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83B1F" w14:textId="144C5F10" w:rsidR="00943C35" w:rsidRPr="00B825B0" w:rsidRDefault="001527ED" w:rsidP="00D16E1D">
      <w:pPr>
        <w:pStyle w:val="Title"/>
      </w:pPr>
      <w:r w:rsidRPr="00B825B0">
        <w:t xml:space="preserve">Clinical </w:t>
      </w:r>
      <w:r w:rsidR="002E2465">
        <w:t>i</w:t>
      </w:r>
      <w:r w:rsidRPr="00B825B0">
        <w:t>mpact of s</w:t>
      </w:r>
      <w:r w:rsidR="00B71E23" w:rsidRPr="00B825B0">
        <w:t>yndromic m</w:t>
      </w:r>
      <w:r w:rsidR="009F5AA8" w:rsidRPr="00B825B0">
        <w:t>olecular point-of-care testing for gastrointestinal pathogens in</w:t>
      </w:r>
      <w:r w:rsidRPr="00B825B0">
        <w:t xml:space="preserve"> </w:t>
      </w:r>
      <w:r w:rsidR="009F5AA8" w:rsidRPr="00B825B0">
        <w:t xml:space="preserve">adults </w:t>
      </w:r>
      <w:r w:rsidR="006F5570" w:rsidRPr="00B825B0">
        <w:t xml:space="preserve">hospitalised </w:t>
      </w:r>
      <w:r w:rsidR="009F5AA8" w:rsidRPr="00B825B0">
        <w:t>with suspected gastroenteritis</w:t>
      </w:r>
      <w:r w:rsidR="00F862D5" w:rsidRPr="00B825B0">
        <w:t xml:space="preserve"> (</w:t>
      </w:r>
      <w:proofErr w:type="spellStart"/>
      <w:r w:rsidR="00F862D5" w:rsidRPr="00B825B0">
        <w:t>GastroPOC</w:t>
      </w:r>
      <w:proofErr w:type="spellEnd"/>
      <w:r w:rsidR="00F862D5" w:rsidRPr="00B825B0">
        <w:t>)</w:t>
      </w:r>
      <w:r w:rsidR="009F5AA8" w:rsidRPr="00B825B0">
        <w:t xml:space="preserve">: a pragmatic, open-label, randomised controlled trial </w:t>
      </w:r>
    </w:p>
    <w:p w14:paraId="560C7A18" w14:textId="7B8822DC" w:rsidR="0077187F" w:rsidRPr="006838E1" w:rsidRDefault="0077187F" w:rsidP="009F5AA8">
      <w:pPr>
        <w:rPr>
          <w:rStyle w:val="SubtleEmphasis"/>
          <w:i w:val="0"/>
        </w:rPr>
      </w:pPr>
      <w:r w:rsidRPr="006838E1">
        <w:rPr>
          <w:i/>
        </w:rPr>
        <w:t>Nathan J Brendish, Kate R Beard, Ahalya</w:t>
      </w:r>
      <w:r w:rsidR="00640D64" w:rsidRPr="006838E1">
        <w:rPr>
          <w:i/>
        </w:rPr>
        <w:t xml:space="preserve"> K</w:t>
      </w:r>
      <w:r w:rsidRPr="006838E1">
        <w:rPr>
          <w:i/>
        </w:rPr>
        <w:t xml:space="preserve"> Malachira, Alex R Tanner</w:t>
      </w:r>
      <w:r w:rsidR="00640D64" w:rsidRPr="006838E1">
        <w:rPr>
          <w:i/>
        </w:rPr>
        <w:t>,</w:t>
      </w:r>
      <w:r w:rsidR="00D8461F" w:rsidRPr="006838E1">
        <w:rPr>
          <w:i/>
        </w:rPr>
        <w:t xml:space="preserve"> Langizya Sanga-Nyirongo,</w:t>
      </w:r>
      <w:r w:rsidR="00F621DC" w:rsidRPr="006838E1">
        <w:rPr>
          <w:i/>
        </w:rPr>
        <w:t xml:space="preserve"> Markus Gwiggner, </w:t>
      </w:r>
      <w:r w:rsidR="00653348" w:rsidRPr="006838E1">
        <w:rPr>
          <w:i/>
        </w:rPr>
        <w:t xml:space="preserve">J R </w:t>
      </w:r>
      <w:r w:rsidR="00F621DC" w:rsidRPr="006838E1">
        <w:rPr>
          <w:i/>
        </w:rPr>
        <w:t>Fraser Cummings,</w:t>
      </w:r>
      <w:r w:rsidR="00640D64" w:rsidRPr="006838E1">
        <w:rPr>
          <w:i/>
        </w:rPr>
        <w:t xml:space="preserve"> Helen</w:t>
      </w:r>
      <w:r w:rsidR="00A67C43" w:rsidRPr="006838E1">
        <w:rPr>
          <w:i/>
        </w:rPr>
        <w:t xml:space="preserve"> </w:t>
      </w:r>
      <w:r w:rsidR="005E741E">
        <w:rPr>
          <w:i/>
        </w:rPr>
        <w:t xml:space="preserve">E </w:t>
      </w:r>
      <w:r w:rsidR="00A67C43" w:rsidRPr="006838E1">
        <w:rPr>
          <w:i/>
        </w:rPr>
        <w:t>Moyses</w:t>
      </w:r>
      <w:r w:rsidR="00640D64" w:rsidRPr="006838E1">
        <w:rPr>
          <w:i/>
        </w:rPr>
        <w:t>, and Tristan W Clark</w:t>
      </w:r>
    </w:p>
    <w:p w14:paraId="78365154" w14:textId="53BB32A4" w:rsidR="009F5AA8" w:rsidRDefault="009F5AA8" w:rsidP="009F5AA8">
      <w:r w:rsidRPr="00653348">
        <w:rPr>
          <w:b/>
        </w:rPr>
        <w:t>School of Clinical and Experimental Sciences, Fac</w:t>
      </w:r>
      <w:r w:rsidR="00811B61" w:rsidRPr="00653348">
        <w:rPr>
          <w:b/>
        </w:rPr>
        <w:t>ulty of Medicine, University of S</w:t>
      </w:r>
      <w:r w:rsidR="00F621DC" w:rsidRPr="00653348">
        <w:rPr>
          <w:b/>
        </w:rPr>
        <w:t>outhampton, Southampton, UK</w:t>
      </w:r>
      <w:r w:rsidR="00F621DC">
        <w:t xml:space="preserve"> (N J Brendish PhD, K R Beard MRCP, </w:t>
      </w:r>
      <w:r w:rsidR="00653348">
        <w:t xml:space="preserve">J R F Cummings DPhil, </w:t>
      </w:r>
      <w:r w:rsidR="00F621DC">
        <w:t>Prof T W Clark</w:t>
      </w:r>
      <w:r w:rsidR="00653348">
        <w:t xml:space="preserve"> MD</w:t>
      </w:r>
      <w:proofErr w:type="gramStart"/>
      <w:r w:rsidR="00F621DC">
        <w:t>);</w:t>
      </w:r>
      <w:proofErr w:type="gramEnd"/>
    </w:p>
    <w:p w14:paraId="6A3ED5D7" w14:textId="75DA5451" w:rsidR="001E5DCD" w:rsidRDefault="00653348" w:rsidP="009F5AA8">
      <w:r w:rsidRPr="00653348">
        <w:rPr>
          <w:b/>
        </w:rPr>
        <w:t>NIHR Southampton Biomedical Research Centre</w:t>
      </w:r>
      <w:r>
        <w:t xml:space="preserve"> </w:t>
      </w:r>
      <w:r w:rsidR="002E2465" w:rsidRPr="009C6A34">
        <w:rPr>
          <w:b/>
        </w:rPr>
        <w:t>and Clinical Research Facility</w:t>
      </w:r>
      <w:r w:rsidR="002E2465">
        <w:t xml:space="preserve"> </w:t>
      </w:r>
      <w:r>
        <w:t xml:space="preserve">(N J Brendish, K R Beard, J R F Cummings, H </w:t>
      </w:r>
      <w:r w:rsidR="00980525">
        <w:t xml:space="preserve">E </w:t>
      </w:r>
      <w:r>
        <w:t xml:space="preserve">Moyses </w:t>
      </w:r>
      <w:r w:rsidR="005E741E" w:rsidRPr="005E741E">
        <w:t>M</w:t>
      </w:r>
      <w:r w:rsidRPr="005E741E">
        <w:t>Sc,</w:t>
      </w:r>
      <w:r>
        <w:t xml:space="preserve"> Prof T W Clark) </w:t>
      </w:r>
      <w:r w:rsidR="003D2869" w:rsidRPr="00653348">
        <w:rPr>
          <w:b/>
        </w:rPr>
        <w:t>and</w:t>
      </w:r>
    </w:p>
    <w:p w14:paraId="6727C301" w14:textId="08EA1C32" w:rsidR="001E5DCD" w:rsidRDefault="00F621DC" w:rsidP="009F5AA8">
      <w:r w:rsidRPr="001E5DCD">
        <w:rPr>
          <w:b/>
        </w:rPr>
        <w:t>Department of Infection</w:t>
      </w:r>
      <w:r>
        <w:t xml:space="preserve"> (N J Brendish, K R Beard, A K Malachira MD,</w:t>
      </w:r>
      <w:r w:rsidR="00653348">
        <w:t xml:space="preserve"> A R Tanner </w:t>
      </w:r>
      <w:r w:rsidR="003D2869" w:rsidRPr="003D2869">
        <w:t>BM BS</w:t>
      </w:r>
      <w:r w:rsidR="00653348">
        <w:t xml:space="preserve">, L Sanga-Nyirongo </w:t>
      </w:r>
      <w:r w:rsidR="009B7D33">
        <w:t>MBChB</w:t>
      </w:r>
      <w:r w:rsidR="00653348">
        <w:t>,</w:t>
      </w:r>
      <w:r>
        <w:t xml:space="preserve"> </w:t>
      </w:r>
      <w:r w:rsidR="00653348">
        <w:t xml:space="preserve">Prof </w:t>
      </w:r>
      <w:r>
        <w:t>T W Clark</w:t>
      </w:r>
      <w:r w:rsidR="003D2869">
        <w:t>)</w:t>
      </w:r>
      <w:r w:rsidR="00653348">
        <w:t xml:space="preserve"> </w:t>
      </w:r>
      <w:r w:rsidR="003D2869" w:rsidRPr="001E5DCD">
        <w:rPr>
          <w:b/>
        </w:rPr>
        <w:t>and</w:t>
      </w:r>
    </w:p>
    <w:p w14:paraId="3469C724" w14:textId="488A0245" w:rsidR="001E5DCD" w:rsidRDefault="00653348" w:rsidP="009F5AA8">
      <w:r w:rsidRPr="001E5DCD">
        <w:rPr>
          <w:b/>
        </w:rPr>
        <w:t>Department of Gastroenterology</w:t>
      </w:r>
      <w:r>
        <w:t xml:space="preserve"> (M Gwiggner PhD, J R F Cummings)</w:t>
      </w:r>
      <w:r w:rsidR="003D2869">
        <w:t>,</w:t>
      </w:r>
      <w:r>
        <w:t xml:space="preserve"> </w:t>
      </w:r>
    </w:p>
    <w:p w14:paraId="5365DC54" w14:textId="71E1BE13" w:rsidR="00F621DC" w:rsidRDefault="00653348" w:rsidP="009F5AA8">
      <w:r w:rsidRPr="001E5DCD">
        <w:rPr>
          <w:b/>
        </w:rPr>
        <w:t>University Hospital Southampton NHS Fo</w:t>
      </w:r>
      <w:r w:rsidR="001E5DCD">
        <w:rPr>
          <w:b/>
        </w:rPr>
        <w:t xml:space="preserve">undation Trust, Southampton, </w:t>
      </w:r>
      <w:proofErr w:type="gramStart"/>
      <w:r w:rsidR="001E5DCD">
        <w:rPr>
          <w:b/>
        </w:rPr>
        <w:t>UK</w:t>
      </w:r>
      <w:r w:rsidR="001E5DCD" w:rsidRPr="001E5DCD">
        <w:t>;</w:t>
      </w:r>
      <w:proofErr w:type="gramEnd"/>
    </w:p>
    <w:p w14:paraId="6EC89509" w14:textId="3A656B3D" w:rsidR="009F5AA8" w:rsidRDefault="009F5AA8" w:rsidP="009F5AA8">
      <w:r w:rsidRPr="001E5DCD">
        <w:rPr>
          <w:b/>
        </w:rPr>
        <w:t>NIHR Post Doctoral Fellowship Programme, UK</w:t>
      </w:r>
      <w:r w:rsidR="001E5DCD">
        <w:t xml:space="preserve"> (Prof T W</w:t>
      </w:r>
      <w:r w:rsidR="003D2869">
        <w:t xml:space="preserve"> Clark)</w:t>
      </w:r>
    </w:p>
    <w:p w14:paraId="200A7B86" w14:textId="731EC4E2" w:rsidR="009F5AA8" w:rsidRDefault="00F621DC" w:rsidP="00493736">
      <w:pPr>
        <w:pStyle w:val="NoSpacing"/>
      </w:pPr>
      <w:r>
        <w:t>Correspondence to</w:t>
      </w:r>
      <w:r w:rsidR="00447906">
        <w:t>:</w:t>
      </w:r>
    </w:p>
    <w:p w14:paraId="7F9DB537" w14:textId="50EDD9E9" w:rsidR="009F5AA8" w:rsidRDefault="00C605FA" w:rsidP="00493736">
      <w:pPr>
        <w:pStyle w:val="NoSpacing"/>
      </w:pPr>
      <w:r>
        <w:t>Dr Nathan J Brendish</w:t>
      </w:r>
      <w:r w:rsidR="009F5AA8">
        <w:t xml:space="preserve">, </w:t>
      </w:r>
      <w:r w:rsidR="001E5DCD">
        <w:t>School of Clinical and Experimental Sciences,</w:t>
      </w:r>
      <w:r w:rsidR="00447906">
        <w:t xml:space="preserve"> Faculty of Medicine,</w:t>
      </w:r>
      <w:r w:rsidR="001E5DCD">
        <w:t xml:space="preserve"> </w:t>
      </w:r>
      <w:r w:rsidR="00871929">
        <w:t>University of Southampton</w:t>
      </w:r>
      <w:r w:rsidR="00447906">
        <w:t>,</w:t>
      </w:r>
      <w:r w:rsidR="00871929">
        <w:t xml:space="preserve"> </w:t>
      </w:r>
      <w:r w:rsidR="009F5AA8">
        <w:t xml:space="preserve">Southampton General </w:t>
      </w:r>
      <w:r w:rsidR="00A04E50">
        <w:t>Hospital, Southampton, SO16 6YD, UK</w:t>
      </w:r>
    </w:p>
    <w:p w14:paraId="603DF4B1" w14:textId="264A05F1" w:rsidR="00D56370" w:rsidRPr="00447906" w:rsidRDefault="00C605FA" w:rsidP="00493736">
      <w:pPr>
        <w:pStyle w:val="NoSpacing"/>
        <w:rPr>
          <w:b/>
        </w:rPr>
      </w:pPr>
      <w:r>
        <w:rPr>
          <w:b/>
        </w:rPr>
        <w:t>n.brendish</w:t>
      </w:r>
      <w:r w:rsidR="00A04E50" w:rsidRPr="00447906">
        <w:rPr>
          <w:b/>
        </w:rPr>
        <w:t>@soton.ac.uk</w:t>
      </w:r>
      <w:r w:rsidR="00D56370" w:rsidRPr="00447906">
        <w:rPr>
          <w:b/>
        </w:rPr>
        <w:br w:type="page"/>
      </w:r>
    </w:p>
    <w:p w14:paraId="43E111ED" w14:textId="77777777" w:rsidR="009F5AA8" w:rsidRDefault="00D56370" w:rsidP="00D56370">
      <w:pPr>
        <w:pStyle w:val="Heading1"/>
      </w:pPr>
      <w:r>
        <w:lastRenderedPageBreak/>
        <w:t>Summary</w:t>
      </w:r>
    </w:p>
    <w:p w14:paraId="7BEAA9ED" w14:textId="77777777" w:rsidR="00640175" w:rsidRDefault="00640175" w:rsidP="00A55D80">
      <w:pPr>
        <w:pStyle w:val="Heading2"/>
      </w:pPr>
      <w:bookmarkStart w:id="0" w:name="_Hlk120877222"/>
      <w:r w:rsidRPr="00FA4497">
        <w:t>Background</w:t>
      </w:r>
    </w:p>
    <w:p w14:paraId="7485F5BC" w14:textId="5E287152" w:rsidR="00640175" w:rsidRPr="00E24FF1" w:rsidRDefault="006B6505" w:rsidP="00640175">
      <w:pPr>
        <w:spacing w:after="0"/>
        <w:rPr>
          <w:rFonts w:cstheme="minorHAnsi"/>
          <w:szCs w:val="24"/>
        </w:rPr>
      </w:pPr>
      <w:r>
        <w:rPr>
          <w:rFonts w:cstheme="minorHAnsi"/>
          <w:szCs w:val="24"/>
        </w:rPr>
        <w:t>Single-occupancy</w:t>
      </w:r>
      <w:r w:rsidR="00640175" w:rsidRPr="00E24FF1">
        <w:rPr>
          <w:rFonts w:cstheme="minorHAnsi"/>
          <w:szCs w:val="24"/>
        </w:rPr>
        <w:t xml:space="preserve"> isolation </w:t>
      </w:r>
      <w:r w:rsidR="009708E9">
        <w:rPr>
          <w:rFonts w:cstheme="minorHAnsi"/>
          <w:szCs w:val="24"/>
        </w:rPr>
        <w:t>rooms</w:t>
      </w:r>
      <w:r>
        <w:rPr>
          <w:rFonts w:cstheme="minorHAnsi"/>
          <w:szCs w:val="24"/>
        </w:rPr>
        <w:t xml:space="preserve"> </w:t>
      </w:r>
      <w:r w:rsidR="00640175" w:rsidRPr="00E24FF1">
        <w:rPr>
          <w:rFonts w:cstheme="minorHAnsi"/>
          <w:szCs w:val="24"/>
        </w:rPr>
        <w:t xml:space="preserve">are a limited resource in </w:t>
      </w:r>
      <w:r w:rsidR="00640175">
        <w:rPr>
          <w:rFonts w:cstheme="minorHAnsi"/>
          <w:szCs w:val="24"/>
        </w:rPr>
        <w:t xml:space="preserve">UK hospitals but are </w:t>
      </w:r>
      <w:r w:rsidR="009C4F15">
        <w:rPr>
          <w:rFonts w:cstheme="minorHAnsi"/>
          <w:szCs w:val="24"/>
        </w:rPr>
        <w:t xml:space="preserve">critical </w:t>
      </w:r>
      <w:r w:rsidR="00640175">
        <w:rPr>
          <w:rFonts w:cstheme="minorHAnsi"/>
          <w:szCs w:val="24"/>
        </w:rPr>
        <w:t xml:space="preserve">in preventing transmission of infection. Patients with suspected gastroenteritis are </w:t>
      </w:r>
      <w:r w:rsidR="009C4F15">
        <w:rPr>
          <w:rFonts w:cstheme="minorHAnsi"/>
          <w:szCs w:val="24"/>
        </w:rPr>
        <w:t xml:space="preserve">nursed </w:t>
      </w:r>
      <w:r w:rsidR="00640175">
        <w:rPr>
          <w:rFonts w:cstheme="minorHAnsi"/>
          <w:szCs w:val="24"/>
        </w:rPr>
        <w:t xml:space="preserve">in </w:t>
      </w:r>
      <w:r w:rsidR="009C4F15">
        <w:rPr>
          <w:rFonts w:cstheme="minorHAnsi"/>
          <w:szCs w:val="24"/>
        </w:rPr>
        <w:t>s</w:t>
      </w:r>
      <w:r w:rsidR="009C4F15" w:rsidRPr="009C4F15">
        <w:rPr>
          <w:rFonts w:cstheme="minorHAnsi"/>
          <w:szCs w:val="24"/>
        </w:rPr>
        <w:t xml:space="preserve">ingle-occupancy </w:t>
      </w:r>
      <w:r w:rsidR="009C4F15">
        <w:rPr>
          <w:rFonts w:cstheme="minorHAnsi"/>
          <w:szCs w:val="24"/>
        </w:rPr>
        <w:t xml:space="preserve">rooms </w:t>
      </w:r>
      <w:r w:rsidR="00640175">
        <w:rPr>
          <w:rFonts w:cstheme="minorHAnsi"/>
          <w:szCs w:val="24"/>
        </w:rPr>
        <w:t>but delays in laboratory test</w:t>
      </w:r>
      <w:r w:rsidR="00C33DD6">
        <w:rPr>
          <w:rFonts w:cstheme="minorHAnsi"/>
          <w:szCs w:val="24"/>
        </w:rPr>
        <w:t>ing</w:t>
      </w:r>
      <w:r w:rsidR="00640175">
        <w:rPr>
          <w:rFonts w:cstheme="minorHAnsi"/>
          <w:szCs w:val="24"/>
        </w:rPr>
        <w:t xml:space="preserve"> </w:t>
      </w:r>
      <w:proofErr w:type="gramStart"/>
      <w:r w:rsidR="00B825B0">
        <w:rPr>
          <w:rFonts w:cstheme="minorHAnsi"/>
          <w:szCs w:val="24"/>
        </w:rPr>
        <w:t>lead</w:t>
      </w:r>
      <w:proofErr w:type="gramEnd"/>
      <w:r w:rsidR="00B825B0">
        <w:rPr>
          <w:rFonts w:cstheme="minorHAnsi"/>
          <w:szCs w:val="24"/>
        </w:rPr>
        <w:t xml:space="preserve"> to </w:t>
      </w:r>
      <w:r w:rsidR="00640175">
        <w:rPr>
          <w:rFonts w:cstheme="minorHAnsi"/>
          <w:szCs w:val="24"/>
        </w:rPr>
        <w:t>non-infectious patients remain</w:t>
      </w:r>
      <w:r w:rsidR="00B825B0">
        <w:rPr>
          <w:rFonts w:cstheme="minorHAnsi"/>
          <w:szCs w:val="24"/>
        </w:rPr>
        <w:t>ing</w:t>
      </w:r>
      <w:r w:rsidR="00D77790">
        <w:rPr>
          <w:rFonts w:cstheme="minorHAnsi"/>
          <w:szCs w:val="24"/>
        </w:rPr>
        <w:t xml:space="preserve"> isolated</w:t>
      </w:r>
      <w:r w:rsidR="00640175">
        <w:rPr>
          <w:rFonts w:cstheme="minorHAnsi"/>
          <w:szCs w:val="24"/>
        </w:rPr>
        <w:t xml:space="preserve"> </w:t>
      </w:r>
      <w:r>
        <w:rPr>
          <w:rFonts w:cstheme="minorHAnsi"/>
          <w:szCs w:val="24"/>
        </w:rPr>
        <w:t>for</w:t>
      </w:r>
      <w:r w:rsidR="00640175">
        <w:rPr>
          <w:rFonts w:cstheme="minorHAnsi"/>
          <w:szCs w:val="24"/>
        </w:rPr>
        <w:t xml:space="preserve"> prolonged periods</w:t>
      </w:r>
      <w:r w:rsidR="00826A7B">
        <w:rPr>
          <w:rFonts w:cstheme="minorHAnsi"/>
          <w:szCs w:val="24"/>
        </w:rPr>
        <w:t xml:space="preserve"> unnecessarily</w:t>
      </w:r>
      <w:r w:rsidR="00640175">
        <w:rPr>
          <w:rFonts w:cstheme="minorHAnsi"/>
          <w:szCs w:val="24"/>
        </w:rPr>
        <w:t xml:space="preserve">. </w:t>
      </w:r>
      <w:bookmarkStart w:id="1" w:name="_Hlk120800753"/>
      <w:r w:rsidR="00640175">
        <w:rPr>
          <w:rFonts w:cstheme="minorHAnsi"/>
          <w:szCs w:val="24"/>
        </w:rPr>
        <w:t xml:space="preserve">Rapid molecular test panels for </w:t>
      </w:r>
      <w:r w:rsidR="009257B8">
        <w:rPr>
          <w:rFonts w:cstheme="minorHAnsi"/>
          <w:szCs w:val="24"/>
        </w:rPr>
        <w:t>gastrointestinal</w:t>
      </w:r>
      <w:r w:rsidR="00640175">
        <w:rPr>
          <w:rFonts w:cstheme="minorHAnsi"/>
          <w:szCs w:val="24"/>
        </w:rPr>
        <w:t xml:space="preserve"> pathogens </w:t>
      </w:r>
      <w:r w:rsidR="00081B2D">
        <w:rPr>
          <w:rFonts w:cstheme="minorHAnsi"/>
          <w:szCs w:val="24"/>
        </w:rPr>
        <w:t>have a run time of</w:t>
      </w:r>
      <w:r w:rsidR="00B825B0">
        <w:rPr>
          <w:rFonts w:cstheme="minorHAnsi"/>
          <w:szCs w:val="24"/>
        </w:rPr>
        <w:t xml:space="preserve"> around 1 hour </w:t>
      </w:r>
      <w:r w:rsidR="00640175">
        <w:rPr>
          <w:rFonts w:cstheme="minorHAnsi"/>
          <w:szCs w:val="24"/>
        </w:rPr>
        <w:t xml:space="preserve">but their clinical impact is unknown. </w:t>
      </w:r>
      <w:bookmarkEnd w:id="1"/>
    </w:p>
    <w:p w14:paraId="52312B40" w14:textId="77777777" w:rsidR="00640175" w:rsidRPr="00FA4497" w:rsidRDefault="00640175" w:rsidP="00A55D80">
      <w:pPr>
        <w:pStyle w:val="Heading2"/>
      </w:pPr>
      <w:r w:rsidRPr="00FA4497">
        <w:t>Methods</w:t>
      </w:r>
    </w:p>
    <w:p w14:paraId="1FC60AEF" w14:textId="0476BB9F" w:rsidR="00A7363E" w:rsidRPr="00FA4497" w:rsidRDefault="00640175" w:rsidP="00640175">
      <w:pPr>
        <w:spacing w:after="0"/>
        <w:rPr>
          <w:rFonts w:cstheme="minorHAnsi"/>
          <w:szCs w:val="24"/>
        </w:rPr>
      </w:pPr>
      <w:r w:rsidRPr="00FA4497">
        <w:rPr>
          <w:rFonts w:cstheme="minorHAnsi"/>
          <w:szCs w:val="24"/>
        </w:rPr>
        <w:t xml:space="preserve">In this pragmatic, randomised controlled trial, we enrolled adults </w:t>
      </w:r>
      <w:r>
        <w:rPr>
          <w:rFonts w:cstheme="minorHAnsi"/>
          <w:szCs w:val="24"/>
        </w:rPr>
        <w:t xml:space="preserve">hospitalised with suspected gastroenteritis in </w:t>
      </w:r>
      <w:r w:rsidRPr="00FA4497">
        <w:rPr>
          <w:rFonts w:cstheme="minorHAnsi"/>
          <w:szCs w:val="24"/>
        </w:rPr>
        <w:t xml:space="preserve">a large UK hospital. Patients were randomly </w:t>
      </w:r>
      <w:r w:rsidR="006332A1">
        <w:rPr>
          <w:rFonts w:cstheme="minorHAnsi"/>
          <w:szCs w:val="24"/>
        </w:rPr>
        <w:t>allocated</w:t>
      </w:r>
      <w:r w:rsidRPr="00FA4497">
        <w:rPr>
          <w:rFonts w:cstheme="minorHAnsi"/>
          <w:szCs w:val="24"/>
        </w:rPr>
        <w:t xml:space="preserve"> (1:1) to receive </w:t>
      </w:r>
      <w:r w:rsidR="00F86346">
        <w:rPr>
          <w:rFonts w:cstheme="minorHAnsi"/>
          <w:szCs w:val="24"/>
        </w:rPr>
        <w:t>syndromic</w:t>
      </w:r>
      <w:r w:rsidRPr="00FA4497">
        <w:rPr>
          <w:rFonts w:cstheme="minorHAnsi"/>
          <w:szCs w:val="24"/>
        </w:rPr>
        <w:t xml:space="preserve"> </w:t>
      </w:r>
      <w:r w:rsidR="00A7363E">
        <w:rPr>
          <w:rFonts w:cstheme="minorHAnsi"/>
          <w:szCs w:val="24"/>
        </w:rPr>
        <w:t xml:space="preserve">molecular point-of-care </w:t>
      </w:r>
      <w:r w:rsidRPr="00FA4497">
        <w:rPr>
          <w:rFonts w:cstheme="minorHAnsi"/>
          <w:szCs w:val="24"/>
        </w:rPr>
        <w:t>testing</w:t>
      </w:r>
      <w:r w:rsidR="00A7363E">
        <w:rPr>
          <w:rFonts w:cstheme="minorHAnsi"/>
          <w:szCs w:val="24"/>
        </w:rPr>
        <w:t xml:space="preserve"> (mPOCT)</w:t>
      </w:r>
      <w:r w:rsidRPr="00FA4497">
        <w:rPr>
          <w:rFonts w:cstheme="minorHAnsi"/>
          <w:szCs w:val="24"/>
        </w:rPr>
        <w:t xml:space="preserve"> of </w:t>
      </w:r>
      <w:r>
        <w:rPr>
          <w:rFonts w:cstheme="minorHAnsi"/>
          <w:szCs w:val="24"/>
        </w:rPr>
        <w:t xml:space="preserve">stool or rectal </w:t>
      </w:r>
      <w:r w:rsidRPr="00FA4497">
        <w:rPr>
          <w:rFonts w:cstheme="minorHAnsi"/>
          <w:szCs w:val="24"/>
        </w:rPr>
        <w:t>samples</w:t>
      </w:r>
      <w:r w:rsidR="002E2465">
        <w:rPr>
          <w:rFonts w:cstheme="minorHAnsi"/>
          <w:szCs w:val="24"/>
        </w:rPr>
        <w:t>,</w:t>
      </w:r>
      <w:r w:rsidR="00A7363E">
        <w:rPr>
          <w:rFonts w:cstheme="minorHAnsi"/>
          <w:szCs w:val="24"/>
        </w:rPr>
        <w:t xml:space="preserve"> </w:t>
      </w:r>
      <w:r w:rsidRPr="00FA4497">
        <w:rPr>
          <w:rFonts w:cstheme="minorHAnsi"/>
          <w:szCs w:val="24"/>
        </w:rPr>
        <w:t xml:space="preserve">or </w:t>
      </w:r>
      <w:r>
        <w:rPr>
          <w:rFonts w:cstheme="minorHAnsi"/>
          <w:szCs w:val="24"/>
        </w:rPr>
        <w:t xml:space="preserve">to </w:t>
      </w:r>
      <w:r w:rsidRPr="00FA4497">
        <w:rPr>
          <w:rFonts w:cstheme="minorHAnsi"/>
          <w:szCs w:val="24"/>
        </w:rPr>
        <w:t>routine clinical care</w:t>
      </w:r>
      <w:r>
        <w:rPr>
          <w:rFonts w:cstheme="minorHAnsi"/>
          <w:szCs w:val="24"/>
        </w:rPr>
        <w:t xml:space="preserve"> (control) with laboratory testing</w:t>
      </w:r>
      <w:r w:rsidRPr="00FA4497">
        <w:rPr>
          <w:rFonts w:cstheme="minorHAnsi"/>
          <w:szCs w:val="24"/>
        </w:rPr>
        <w:t xml:space="preserve">. The primary outcome was the </w:t>
      </w:r>
      <w:r>
        <w:rPr>
          <w:rFonts w:cstheme="minorHAnsi"/>
          <w:szCs w:val="24"/>
        </w:rPr>
        <w:t>duration of time in</w:t>
      </w:r>
      <w:r w:rsidR="006332A1">
        <w:rPr>
          <w:rFonts w:cstheme="minorHAnsi"/>
          <w:szCs w:val="24"/>
        </w:rPr>
        <w:t xml:space="preserve"> </w:t>
      </w:r>
      <w:r w:rsidR="009C4F15" w:rsidRPr="009C4F15">
        <w:rPr>
          <w:rFonts w:cstheme="minorHAnsi"/>
          <w:szCs w:val="24"/>
        </w:rPr>
        <w:t>single-occupancy</w:t>
      </w:r>
      <w:r w:rsidR="006332A1">
        <w:rPr>
          <w:rFonts w:cstheme="minorHAnsi"/>
          <w:szCs w:val="24"/>
        </w:rPr>
        <w:t xml:space="preserve"> room</w:t>
      </w:r>
      <w:r w:rsidR="006C5247">
        <w:rPr>
          <w:rFonts w:cstheme="minorHAnsi"/>
          <w:szCs w:val="24"/>
        </w:rPr>
        <w:t>s</w:t>
      </w:r>
      <w:r w:rsidR="00B825B0">
        <w:rPr>
          <w:rFonts w:cstheme="minorHAnsi"/>
          <w:szCs w:val="24"/>
        </w:rPr>
        <w:t>.</w:t>
      </w:r>
      <w:r w:rsidR="00A7363E">
        <w:rPr>
          <w:rFonts w:cstheme="minorHAnsi"/>
          <w:szCs w:val="24"/>
        </w:rPr>
        <w:t xml:space="preserve"> Secondary outcomes included</w:t>
      </w:r>
      <w:r w:rsidR="006C5247">
        <w:rPr>
          <w:rFonts w:cstheme="minorHAnsi"/>
          <w:szCs w:val="24"/>
        </w:rPr>
        <w:t xml:space="preserve"> the </w:t>
      </w:r>
      <w:r w:rsidR="001A292E">
        <w:rPr>
          <w:rFonts w:cstheme="minorHAnsi"/>
          <w:szCs w:val="24"/>
        </w:rPr>
        <w:t>time to results</w:t>
      </w:r>
      <w:r w:rsidR="003B5B70">
        <w:rPr>
          <w:rFonts w:cstheme="minorHAnsi"/>
          <w:szCs w:val="24"/>
        </w:rPr>
        <w:t>,</w:t>
      </w:r>
      <w:r w:rsidR="004E7B4E">
        <w:rPr>
          <w:rFonts w:cstheme="minorHAnsi"/>
          <w:szCs w:val="24"/>
        </w:rPr>
        <w:t xml:space="preserve"> time to de-</w:t>
      </w:r>
      <w:r w:rsidR="004E7B4E" w:rsidRPr="0090100B">
        <w:rPr>
          <w:rFonts w:cstheme="minorHAnsi"/>
          <w:szCs w:val="24"/>
        </w:rPr>
        <w:t>isolation,</w:t>
      </w:r>
      <w:r w:rsidR="004D08D8" w:rsidRPr="00A1099B">
        <w:rPr>
          <w:rFonts w:cstheme="minorHAnsi"/>
          <w:szCs w:val="24"/>
        </w:rPr>
        <w:t xml:space="preserve"> antibiotic use,</w:t>
      </w:r>
      <w:r w:rsidR="004E7B4E" w:rsidRPr="0090100B">
        <w:rPr>
          <w:rFonts w:cstheme="minorHAnsi"/>
          <w:szCs w:val="24"/>
        </w:rPr>
        <w:t xml:space="preserve"> and</w:t>
      </w:r>
      <w:r w:rsidR="00696235" w:rsidRPr="0090100B">
        <w:rPr>
          <w:rFonts w:cstheme="minorHAnsi"/>
          <w:szCs w:val="24"/>
        </w:rPr>
        <w:t xml:space="preserve"> </w:t>
      </w:r>
      <w:r w:rsidR="009D3023">
        <w:rPr>
          <w:rFonts w:cstheme="minorHAnsi"/>
          <w:szCs w:val="24"/>
        </w:rPr>
        <w:t>safety outcomes</w:t>
      </w:r>
      <w:bookmarkStart w:id="2" w:name="_Hlk121151207"/>
      <w:r w:rsidR="00081B2D">
        <w:rPr>
          <w:rFonts w:cstheme="minorHAnsi"/>
          <w:szCs w:val="24"/>
        </w:rPr>
        <w:t>.</w:t>
      </w:r>
      <w:bookmarkEnd w:id="2"/>
      <w:r w:rsidR="00A7363E">
        <w:rPr>
          <w:rFonts w:cstheme="minorHAnsi"/>
          <w:szCs w:val="24"/>
        </w:rPr>
        <w:t xml:space="preserve"> The study was registered (ISRCTN88918395) and is complete.</w:t>
      </w:r>
    </w:p>
    <w:p w14:paraId="334B3D87" w14:textId="77777777" w:rsidR="00640175" w:rsidRPr="00FA4497" w:rsidRDefault="00640175" w:rsidP="00A55D80">
      <w:pPr>
        <w:pStyle w:val="Heading2"/>
      </w:pPr>
      <w:r w:rsidRPr="00FA4497">
        <w:t>Findings</w:t>
      </w:r>
    </w:p>
    <w:p w14:paraId="688422E8" w14:textId="2E87C012" w:rsidR="00640175" w:rsidRDefault="00640175" w:rsidP="00640175">
      <w:pPr>
        <w:spacing w:after="0"/>
        <w:rPr>
          <w:rFonts w:cstheme="minorHAnsi"/>
          <w:szCs w:val="24"/>
        </w:rPr>
      </w:pPr>
      <w:r w:rsidRPr="00FA4497">
        <w:rPr>
          <w:rFonts w:cstheme="minorHAnsi"/>
          <w:szCs w:val="24"/>
        </w:rPr>
        <w:t xml:space="preserve">Between </w:t>
      </w:r>
      <w:r w:rsidR="00DE2FF1">
        <w:t xml:space="preserve">March 20, </w:t>
      </w:r>
      <w:proofErr w:type="gramStart"/>
      <w:r w:rsidR="00DE2FF1">
        <w:t>2017</w:t>
      </w:r>
      <w:proofErr w:type="gramEnd"/>
      <w:r w:rsidR="00DE2FF1">
        <w:t xml:space="preserve"> and March 17, 2020, </w:t>
      </w:r>
      <w:r w:rsidRPr="00FA4497">
        <w:rPr>
          <w:rFonts w:cstheme="minorHAnsi"/>
          <w:szCs w:val="24"/>
        </w:rPr>
        <w:t>we enrolled 2</w:t>
      </w:r>
      <w:r w:rsidR="005351DD">
        <w:rPr>
          <w:rFonts w:cstheme="minorHAnsi"/>
          <w:szCs w:val="24"/>
        </w:rPr>
        <w:t>78</w:t>
      </w:r>
      <w:r w:rsidRPr="00FA4497">
        <w:rPr>
          <w:rFonts w:cstheme="minorHAnsi"/>
          <w:szCs w:val="24"/>
        </w:rPr>
        <w:t xml:space="preserve"> patients, 1</w:t>
      </w:r>
      <w:r>
        <w:rPr>
          <w:rFonts w:cstheme="minorHAnsi"/>
          <w:szCs w:val="24"/>
        </w:rPr>
        <w:t>3</w:t>
      </w:r>
      <w:r w:rsidR="005351DD">
        <w:rPr>
          <w:rFonts w:cstheme="minorHAnsi"/>
          <w:szCs w:val="24"/>
        </w:rPr>
        <w:t>8</w:t>
      </w:r>
      <w:r w:rsidRPr="00FA4497">
        <w:rPr>
          <w:rFonts w:cstheme="minorHAnsi"/>
          <w:szCs w:val="24"/>
        </w:rPr>
        <w:t xml:space="preserve"> assigned to mPOCT</w:t>
      </w:r>
      <w:r w:rsidR="005351DD">
        <w:rPr>
          <w:rFonts w:cstheme="minorHAnsi"/>
          <w:szCs w:val="24"/>
        </w:rPr>
        <w:t xml:space="preserve"> </w:t>
      </w:r>
      <w:r w:rsidR="005E6334">
        <w:rPr>
          <w:rFonts w:cstheme="minorHAnsi"/>
          <w:szCs w:val="24"/>
        </w:rPr>
        <w:t>(</w:t>
      </w:r>
      <w:r w:rsidR="005351DD">
        <w:rPr>
          <w:rFonts w:cstheme="minorHAnsi"/>
          <w:szCs w:val="24"/>
        </w:rPr>
        <w:t xml:space="preserve">one withdrawal) </w:t>
      </w:r>
      <w:r w:rsidRPr="00FA4497">
        <w:rPr>
          <w:rFonts w:cstheme="minorHAnsi"/>
          <w:szCs w:val="24"/>
        </w:rPr>
        <w:t>and 1</w:t>
      </w:r>
      <w:r>
        <w:rPr>
          <w:rFonts w:cstheme="minorHAnsi"/>
          <w:szCs w:val="24"/>
        </w:rPr>
        <w:t>40</w:t>
      </w:r>
      <w:r w:rsidRPr="00FA4497">
        <w:rPr>
          <w:rFonts w:cstheme="minorHAnsi"/>
          <w:szCs w:val="24"/>
        </w:rPr>
        <w:t xml:space="preserve"> to the control group. </w:t>
      </w:r>
      <w:r w:rsidR="002B2940">
        <w:rPr>
          <w:rFonts w:cstheme="minorHAnsi"/>
          <w:szCs w:val="24"/>
        </w:rPr>
        <w:t>The d</w:t>
      </w:r>
      <w:r>
        <w:rPr>
          <w:rFonts w:cstheme="minorHAnsi"/>
          <w:szCs w:val="24"/>
        </w:rPr>
        <w:t xml:space="preserve">uration </w:t>
      </w:r>
      <w:r w:rsidR="00081B2D">
        <w:rPr>
          <w:rFonts w:cstheme="minorHAnsi"/>
          <w:szCs w:val="24"/>
        </w:rPr>
        <w:t>(</w:t>
      </w:r>
      <w:r w:rsidR="00081B2D" w:rsidRPr="00081B2D">
        <w:rPr>
          <w:rFonts w:cstheme="minorHAnsi"/>
          <w:szCs w:val="24"/>
        </w:rPr>
        <w:t>geometric mean</w:t>
      </w:r>
      <w:r w:rsidR="00081B2D">
        <w:rPr>
          <w:rFonts w:cstheme="minorHAnsi"/>
          <w:szCs w:val="24"/>
        </w:rPr>
        <w:t xml:space="preserve">) </w:t>
      </w:r>
      <w:r>
        <w:rPr>
          <w:rFonts w:cstheme="minorHAnsi"/>
          <w:szCs w:val="24"/>
        </w:rPr>
        <w:t xml:space="preserve">of </w:t>
      </w:r>
      <w:r w:rsidR="006B6505">
        <w:rPr>
          <w:rFonts w:cstheme="minorHAnsi"/>
          <w:szCs w:val="24"/>
        </w:rPr>
        <w:t>single-occupancy room</w:t>
      </w:r>
      <w:r>
        <w:rPr>
          <w:rFonts w:cstheme="minorHAnsi"/>
          <w:szCs w:val="24"/>
        </w:rPr>
        <w:t xml:space="preserve"> isolation was 1</w:t>
      </w:r>
      <w:r w:rsidR="00121B63" w:rsidRPr="00FA4497">
        <w:rPr>
          <w:rFonts w:cstheme="minorHAnsi"/>
          <w:szCs w:val="24"/>
        </w:rPr>
        <w:t>∙</w:t>
      </w:r>
      <w:r w:rsidR="003F5FB8">
        <w:rPr>
          <w:rFonts w:cstheme="minorHAnsi"/>
          <w:szCs w:val="24"/>
        </w:rPr>
        <w:t>8</w:t>
      </w:r>
      <w:r>
        <w:rPr>
          <w:rFonts w:cstheme="minorHAnsi"/>
          <w:szCs w:val="24"/>
        </w:rPr>
        <w:t xml:space="preserve"> </w:t>
      </w:r>
      <w:r w:rsidR="00892306">
        <w:rPr>
          <w:rFonts w:cstheme="minorHAnsi"/>
          <w:szCs w:val="24"/>
        </w:rPr>
        <w:t xml:space="preserve">days </w:t>
      </w:r>
      <w:r>
        <w:rPr>
          <w:rFonts w:cstheme="minorHAnsi"/>
          <w:szCs w:val="24"/>
        </w:rPr>
        <w:t>(</w:t>
      </w:r>
      <w:r w:rsidR="00121B63">
        <w:rPr>
          <w:rFonts w:cstheme="minorHAnsi"/>
          <w:szCs w:val="24"/>
        </w:rPr>
        <w:t>95%</w:t>
      </w:r>
      <w:r w:rsidR="00A55D80">
        <w:rPr>
          <w:rFonts w:cstheme="minorHAnsi"/>
          <w:szCs w:val="24"/>
        </w:rPr>
        <w:t xml:space="preserve">CI </w:t>
      </w:r>
      <w:r w:rsidR="003F5FB8">
        <w:rPr>
          <w:rFonts w:ascii="Calibri" w:eastAsia="Times New Roman" w:hAnsi="Calibri" w:cs="Calibri"/>
          <w:color w:val="000000"/>
          <w:lang w:eastAsia="en-GB"/>
        </w:rPr>
        <w:t>1</w:t>
      </w:r>
      <w:r w:rsidR="00DA1CD2" w:rsidRPr="00FA4497">
        <w:rPr>
          <w:rFonts w:cstheme="minorHAnsi"/>
          <w:szCs w:val="24"/>
        </w:rPr>
        <w:t>∙</w:t>
      </w:r>
      <w:r w:rsidR="003F5FB8">
        <w:rPr>
          <w:rFonts w:ascii="Calibri" w:eastAsia="Times New Roman" w:hAnsi="Calibri" w:cs="Calibri"/>
          <w:color w:val="000000"/>
          <w:lang w:eastAsia="en-GB"/>
        </w:rPr>
        <w:t>5</w:t>
      </w:r>
      <w:r w:rsidR="003F5FB8" w:rsidRPr="00A55D80">
        <w:rPr>
          <w:rFonts w:ascii="Calibri" w:hAnsi="Calibri"/>
          <w:color w:val="000000"/>
        </w:rPr>
        <w:t xml:space="preserve"> to </w:t>
      </w:r>
      <w:r w:rsidR="003F5FB8">
        <w:rPr>
          <w:rFonts w:ascii="Calibri" w:eastAsia="Times New Roman" w:hAnsi="Calibri" w:cs="Calibri"/>
          <w:color w:val="000000"/>
          <w:lang w:eastAsia="en-GB"/>
        </w:rPr>
        <w:t>2</w:t>
      </w:r>
      <w:r w:rsidR="00DA1CD2" w:rsidRPr="00FA4497">
        <w:rPr>
          <w:rFonts w:cstheme="minorHAnsi"/>
          <w:szCs w:val="24"/>
        </w:rPr>
        <w:t>∙</w:t>
      </w:r>
      <w:r w:rsidR="003F5FB8">
        <w:rPr>
          <w:rFonts w:ascii="Calibri" w:eastAsia="Times New Roman" w:hAnsi="Calibri" w:cs="Calibri"/>
          <w:color w:val="000000"/>
          <w:lang w:eastAsia="en-GB"/>
        </w:rPr>
        <w:t>2</w:t>
      </w:r>
      <w:r w:rsidR="00892306">
        <w:rPr>
          <w:rFonts w:cstheme="minorHAnsi"/>
          <w:szCs w:val="24"/>
        </w:rPr>
        <w:t>)</w:t>
      </w:r>
      <w:r>
        <w:rPr>
          <w:rFonts w:cstheme="minorHAnsi"/>
          <w:szCs w:val="24"/>
        </w:rPr>
        <w:t xml:space="preserve"> in the </w:t>
      </w:r>
      <w:r w:rsidRPr="00FA4497">
        <w:rPr>
          <w:rFonts w:cstheme="minorHAnsi"/>
          <w:szCs w:val="24"/>
        </w:rPr>
        <w:t xml:space="preserve">mPOCT group compared </w:t>
      </w:r>
      <w:r w:rsidRPr="00873278">
        <w:rPr>
          <w:rFonts w:cstheme="minorHAnsi"/>
          <w:szCs w:val="24"/>
        </w:rPr>
        <w:t xml:space="preserve">with </w:t>
      </w:r>
      <w:r>
        <w:rPr>
          <w:rFonts w:cstheme="minorHAnsi"/>
          <w:szCs w:val="24"/>
        </w:rPr>
        <w:t>2</w:t>
      </w:r>
      <w:r w:rsidR="00121B63" w:rsidRPr="00FA4497">
        <w:rPr>
          <w:rFonts w:cstheme="minorHAnsi"/>
          <w:szCs w:val="24"/>
        </w:rPr>
        <w:t>∙</w:t>
      </w:r>
      <w:r w:rsidR="00AE66B8">
        <w:rPr>
          <w:rFonts w:cstheme="minorHAnsi"/>
          <w:szCs w:val="24"/>
        </w:rPr>
        <w:t>6</w:t>
      </w:r>
      <w:r>
        <w:rPr>
          <w:rFonts w:cstheme="minorHAnsi"/>
          <w:szCs w:val="24"/>
        </w:rPr>
        <w:t xml:space="preserve"> (</w:t>
      </w:r>
      <w:r w:rsidR="00AE66B8" w:rsidRPr="00944DF0">
        <w:rPr>
          <w:rFonts w:ascii="Calibri" w:eastAsia="Times New Roman" w:hAnsi="Calibri" w:cs="Calibri"/>
          <w:color w:val="000000"/>
          <w:lang w:eastAsia="en-GB"/>
        </w:rPr>
        <w:t>2</w:t>
      </w:r>
      <w:r w:rsidR="00DA1CD2" w:rsidRPr="00FA4497">
        <w:rPr>
          <w:rFonts w:cstheme="minorHAnsi"/>
          <w:szCs w:val="24"/>
        </w:rPr>
        <w:t>∙</w:t>
      </w:r>
      <w:r w:rsidR="00AE66B8" w:rsidRPr="00944DF0">
        <w:rPr>
          <w:rFonts w:ascii="Calibri" w:eastAsia="Times New Roman" w:hAnsi="Calibri" w:cs="Calibri"/>
          <w:color w:val="000000"/>
          <w:lang w:eastAsia="en-GB"/>
        </w:rPr>
        <w:t>2</w:t>
      </w:r>
      <w:r w:rsidR="00AE66B8">
        <w:rPr>
          <w:rFonts w:ascii="Calibri" w:eastAsia="Times New Roman" w:hAnsi="Calibri" w:cs="Calibri"/>
          <w:color w:val="000000"/>
          <w:lang w:eastAsia="en-GB"/>
        </w:rPr>
        <w:t xml:space="preserve"> to</w:t>
      </w:r>
      <w:r w:rsidR="00AE66B8" w:rsidRPr="00944DF0">
        <w:rPr>
          <w:rFonts w:ascii="Calibri" w:eastAsia="Times New Roman" w:hAnsi="Calibri" w:cs="Calibri"/>
          <w:color w:val="000000"/>
          <w:lang w:eastAsia="en-GB"/>
        </w:rPr>
        <w:t xml:space="preserve"> </w:t>
      </w:r>
      <w:r w:rsidR="00AE66B8" w:rsidRPr="00A55D80">
        <w:rPr>
          <w:rFonts w:ascii="Calibri" w:hAnsi="Calibri"/>
          <w:color w:val="000000"/>
        </w:rPr>
        <w:t>3</w:t>
      </w:r>
      <w:r w:rsidR="00DA1CD2" w:rsidRPr="00FA4497">
        <w:rPr>
          <w:rFonts w:cstheme="minorHAnsi"/>
          <w:szCs w:val="24"/>
        </w:rPr>
        <w:t>∙</w:t>
      </w:r>
      <w:r w:rsidR="00AE66B8">
        <w:rPr>
          <w:rFonts w:ascii="Calibri" w:eastAsia="Times New Roman" w:hAnsi="Calibri" w:cs="Calibri"/>
          <w:color w:val="000000"/>
          <w:lang w:eastAsia="en-GB"/>
        </w:rPr>
        <w:t>0</w:t>
      </w:r>
      <w:r>
        <w:rPr>
          <w:rFonts w:cstheme="minorHAnsi"/>
          <w:szCs w:val="24"/>
        </w:rPr>
        <w:t xml:space="preserve">) days </w:t>
      </w:r>
      <w:r w:rsidRPr="00873278">
        <w:rPr>
          <w:rFonts w:cstheme="minorHAnsi"/>
          <w:szCs w:val="24"/>
        </w:rPr>
        <w:t xml:space="preserve">in the control group </w:t>
      </w:r>
      <w:r w:rsidR="000B1175" w:rsidRPr="000B1175">
        <w:rPr>
          <w:rFonts w:cstheme="minorHAnsi"/>
          <w:szCs w:val="24"/>
        </w:rPr>
        <w:t>(</w:t>
      </w:r>
      <w:r w:rsidR="00DC0A72">
        <w:rPr>
          <w:rFonts w:cstheme="minorHAnsi"/>
          <w:szCs w:val="24"/>
        </w:rPr>
        <w:t xml:space="preserve">exponentiated </w:t>
      </w:r>
      <w:r w:rsidR="00577385" w:rsidRPr="00DC0A72">
        <w:rPr>
          <w:rFonts w:cstheme="minorHAnsi"/>
          <w:szCs w:val="24"/>
        </w:rPr>
        <w:t>coefficient</w:t>
      </w:r>
      <w:r w:rsidR="00577385">
        <w:rPr>
          <w:rFonts w:cstheme="minorHAnsi"/>
          <w:szCs w:val="24"/>
        </w:rPr>
        <w:t xml:space="preserve"> 0·7</w:t>
      </w:r>
      <w:r w:rsidR="00151C27">
        <w:rPr>
          <w:rFonts w:cstheme="minorHAnsi"/>
          <w:szCs w:val="24"/>
        </w:rPr>
        <w:t>0 [95%CI 0·56 to 0·87</w:t>
      </w:r>
      <w:r w:rsidR="00A55D80">
        <w:rPr>
          <w:rFonts w:cstheme="minorHAnsi"/>
          <w:szCs w:val="24"/>
        </w:rPr>
        <w:t>]</w:t>
      </w:r>
      <w:r w:rsidR="00081B2D">
        <w:rPr>
          <w:rFonts w:cstheme="minorHAnsi"/>
          <w:szCs w:val="24"/>
        </w:rPr>
        <w:t>;</w:t>
      </w:r>
      <w:r w:rsidR="000B1175" w:rsidRPr="000B1175">
        <w:rPr>
          <w:rFonts w:cstheme="minorHAnsi"/>
          <w:szCs w:val="24"/>
        </w:rPr>
        <w:t xml:space="preserve"> p=0·0017</w:t>
      </w:r>
      <w:r w:rsidR="000B1175">
        <w:rPr>
          <w:rFonts w:cstheme="minorHAnsi"/>
          <w:szCs w:val="24"/>
        </w:rPr>
        <w:t xml:space="preserve">). </w:t>
      </w:r>
      <w:r w:rsidR="002E2465" w:rsidRPr="002E2465">
        <w:rPr>
          <w:rFonts w:cstheme="minorHAnsi"/>
          <w:szCs w:val="24"/>
        </w:rPr>
        <w:t>The median (IQR) time to results was 1∙7 hours (1∙5</w:t>
      </w:r>
      <w:r w:rsidR="00D30B7D">
        <w:rPr>
          <w:rFonts w:cstheme="minorHAnsi"/>
          <w:szCs w:val="24"/>
        </w:rPr>
        <w:t xml:space="preserve"> to </w:t>
      </w:r>
      <w:r w:rsidR="002E2465" w:rsidRPr="002E2465">
        <w:rPr>
          <w:rFonts w:cstheme="minorHAnsi"/>
          <w:szCs w:val="24"/>
        </w:rPr>
        <w:t>2∙0) for mPOCT and 44∙7 hours (21∙2</w:t>
      </w:r>
      <w:r w:rsidR="00D30B7D">
        <w:rPr>
          <w:rFonts w:cstheme="minorHAnsi"/>
          <w:szCs w:val="24"/>
        </w:rPr>
        <w:t xml:space="preserve"> to </w:t>
      </w:r>
      <w:r w:rsidR="002E2465" w:rsidRPr="002E2465">
        <w:rPr>
          <w:rFonts w:cstheme="minorHAnsi"/>
          <w:szCs w:val="24"/>
        </w:rPr>
        <w:t>66∙1) for the control group (p&lt;0∙0001</w:t>
      </w:r>
      <w:bookmarkStart w:id="3" w:name="_Hlk121218046"/>
      <w:r w:rsidR="002E2465" w:rsidRPr="002E2465">
        <w:rPr>
          <w:rFonts w:cstheme="minorHAnsi"/>
          <w:szCs w:val="24"/>
        </w:rPr>
        <w:t>).</w:t>
      </w:r>
      <w:r w:rsidR="009D3023">
        <w:rPr>
          <w:rFonts w:cstheme="minorHAnsi"/>
          <w:szCs w:val="24"/>
        </w:rPr>
        <w:t xml:space="preserve"> </w:t>
      </w:r>
      <w:bookmarkEnd w:id="3"/>
      <w:r w:rsidR="003B5B70">
        <w:rPr>
          <w:rFonts w:ascii="Calibri" w:eastAsia="Times New Roman" w:hAnsi="Calibri" w:cs="Calibri"/>
          <w:color w:val="000000"/>
          <w:lang w:eastAsia="en-GB"/>
        </w:rPr>
        <w:t>T</w:t>
      </w:r>
      <w:r w:rsidR="003B5B70" w:rsidRPr="00454F99">
        <w:rPr>
          <w:rFonts w:ascii="Calibri" w:eastAsia="Times New Roman" w:hAnsi="Calibri" w:cs="Calibri"/>
          <w:color w:val="000000"/>
          <w:lang w:eastAsia="en-GB"/>
        </w:rPr>
        <w:t xml:space="preserve">ime to de-isolation </w:t>
      </w:r>
      <w:r w:rsidR="003B5B70" w:rsidRPr="00454F99">
        <w:rPr>
          <w:rFonts w:ascii="Calibri" w:eastAsia="Times New Roman" w:hAnsi="Calibri" w:cs="Calibri"/>
          <w:color w:val="000000"/>
          <w:lang w:eastAsia="en-GB"/>
        </w:rPr>
        <w:lastRenderedPageBreak/>
        <w:t xml:space="preserve">was </w:t>
      </w:r>
      <w:r w:rsidR="003B5B70">
        <w:rPr>
          <w:rFonts w:eastAsia="Times New Roman" w:cs="Arial"/>
          <w:color w:val="000000"/>
          <w:lang w:eastAsia="en-GB"/>
        </w:rPr>
        <w:t>0·6 days (0·3 to</w:t>
      </w:r>
      <w:r w:rsidR="003B5B70" w:rsidRPr="000F52CC">
        <w:rPr>
          <w:rFonts w:eastAsia="Times New Roman" w:cs="Arial"/>
          <w:color w:val="000000"/>
          <w:lang w:eastAsia="en-GB"/>
        </w:rPr>
        <w:t xml:space="preserve"> 1</w:t>
      </w:r>
      <w:r w:rsidR="003B5B70">
        <w:rPr>
          <w:rFonts w:eastAsia="Times New Roman" w:cs="Arial"/>
          <w:color w:val="000000"/>
          <w:lang w:eastAsia="en-GB"/>
        </w:rPr>
        <w:t>·8) in the mPOCT group compared with 2·2 days</w:t>
      </w:r>
      <w:r w:rsidR="003B5B70" w:rsidRPr="00173FB2">
        <w:rPr>
          <w:rFonts w:eastAsia="Times New Roman" w:cs="Arial"/>
          <w:color w:val="000000"/>
          <w:lang w:eastAsia="en-GB"/>
        </w:rPr>
        <w:t xml:space="preserve"> (1·</w:t>
      </w:r>
      <w:r w:rsidR="003B5B70">
        <w:rPr>
          <w:rFonts w:eastAsia="Times New Roman" w:cs="Arial"/>
          <w:color w:val="000000"/>
          <w:lang w:eastAsia="en-GB"/>
        </w:rPr>
        <w:t>2</w:t>
      </w:r>
      <w:r w:rsidR="003B5B70" w:rsidRPr="00173FB2">
        <w:rPr>
          <w:rFonts w:eastAsia="Times New Roman" w:cs="Arial"/>
          <w:color w:val="000000"/>
          <w:lang w:eastAsia="en-GB"/>
        </w:rPr>
        <w:t xml:space="preserve"> to 3·</w:t>
      </w:r>
      <w:r w:rsidR="003B5B70">
        <w:rPr>
          <w:rFonts w:eastAsia="Times New Roman" w:cs="Arial"/>
          <w:color w:val="000000"/>
          <w:lang w:eastAsia="en-GB"/>
        </w:rPr>
        <w:t>2</w:t>
      </w:r>
      <w:r w:rsidR="003B5B70" w:rsidRPr="00173FB2">
        <w:rPr>
          <w:rFonts w:eastAsia="Times New Roman" w:cs="Arial"/>
          <w:color w:val="000000"/>
          <w:lang w:eastAsia="en-GB"/>
        </w:rPr>
        <w:t>)</w:t>
      </w:r>
      <w:r w:rsidR="003B5B70">
        <w:rPr>
          <w:rFonts w:eastAsia="Times New Roman" w:cs="Arial"/>
          <w:color w:val="000000"/>
          <w:lang w:eastAsia="en-GB"/>
        </w:rPr>
        <w:t xml:space="preserve"> in the control group, (p</w:t>
      </w:r>
      <w:r w:rsidR="003B5B70" w:rsidRPr="00173FB2">
        <w:rPr>
          <w:rFonts w:eastAsia="Times New Roman" w:cs="Arial"/>
          <w:color w:val="000000"/>
          <w:lang w:eastAsia="en-GB"/>
        </w:rPr>
        <w:t>&lt;0·0001</w:t>
      </w:r>
      <w:r w:rsidR="003B5B70">
        <w:rPr>
          <w:rFonts w:eastAsia="Times New Roman" w:cs="Arial"/>
          <w:color w:val="000000"/>
          <w:lang w:eastAsia="en-GB"/>
        </w:rPr>
        <w:t>).</w:t>
      </w:r>
      <w:r w:rsidR="004D08D8">
        <w:rPr>
          <w:rFonts w:eastAsia="Times New Roman" w:cs="Arial"/>
          <w:color w:val="000000"/>
          <w:lang w:eastAsia="en-GB"/>
        </w:rPr>
        <w:t xml:space="preserve"> </w:t>
      </w:r>
      <w:r w:rsidR="004D08D8">
        <w:rPr>
          <w:rFonts w:cstheme="minorHAnsi"/>
          <w:szCs w:val="24"/>
        </w:rPr>
        <w:t xml:space="preserve">Antibiotics were given in </w:t>
      </w:r>
      <w:r w:rsidR="004D08D8" w:rsidRPr="003608B7">
        <w:rPr>
          <w:rFonts w:cstheme="minorHAnsi"/>
          <w:szCs w:val="24"/>
        </w:rPr>
        <w:t>89</w:t>
      </w:r>
      <w:r w:rsidR="004D08D8">
        <w:rPr>
          <w:rFonts w:cstheme="minorHAnsi"/>
          <w:szCs w:val="24"/>
        </w:rPr>
        <w:t xml:space="preserve"> (65%) of 137 in the mPOCT group and </w:t>
      </w:r>
      <w:r w:rsidR="004D08D8" w:rsidRPr="003608B7">
        <w:rPr>
          <w:rFonts w:cstheme="minorHAnsi"/>
          <w:szCs w:val="24"/>
        </w:rPr>
        <w:t>66</w:t>
      </w:r>
      <w:r w:rsidR="004D08D8">
        <w:rPr>
          <w:rFonts w:cstheme="minorHAnsi"/>
          <w:szCs w:val="24"/>
        </w:rPr>
        <w:t xml:space="preserve"> (47%) of 140</w:t>
      </w:r>
      <w:r w:rsidR="004D08D8" w:rsidRPr="003608B7">
        <w:rPr>
          <w:rFonts w:cstheme="minorHAnsi"/>
          <w:szCs w:val="24"/>
        </w:rPr>
        <w:t xml:space="preserve"> </w:t>
      </w:r>
      <w:r w:rsidR="004D08D8">
        <w:rPr>
          <w:rFonts w:cstheme="minorHAnsi"/>
          <w:szCs w:val="24"/>
        </w:rPr>
        <w:t>in the control group (p=</w:t>
      </w:r>
      <w:r w:rsidR="004D08D8" w:rsidRPr="003608B7">
        <w:rPr>
          <w:rFonts w:cstheme="minorHAnsi"/>
          <w:szCs w:val="24"/>
        </w:rPr>
        <w:t>0·0028</w:t>
      </w:r>
      <w:r w:rsidR="004D08D8">
        <w:rPr>
          <w:rFonts w:cstheme="minorHAnsi"/>
          <w:szCs w:val="24"/>
        </w:rPr>
        <w:t>).</w:t>
      </w:r>
      <w:r w:rsidR="003B5B70">
        <w:rPr>
          <w:rFonts w:eastAsia="Times New Roman" w:cs="Arial"/>
          <w:color w:val="000000"/>
          <w:lang w:eastAsia="en-GB"/>
        </w:rPr>
        <w:t xml:space="preserve"> </w:t>
      </w:r>
      <w:r w:rsidRPr="00FA4497">
        <w:rPr>
          <w:rFonts w:cstheme="minorHAnsi"/>
          <w:szCs w:val="24"/>
        </w:rPr>
        <w:t xml:space="preserve">There were no differences in </w:t>
      </w:r>
      <w:r>
        <w:rPr>
          <w:rFonts w:cstheme="minorHAnsi"/>
          <w:szCs w:val="24"/>
        </w:rPr>
        <w:t>length of stay, re-admission, or mortali</w:t>
      </w:r>
      <w:r w:rsidR="00121B63">
        <w:rPr>
          <w:rFonts w:cstheme="minorHAnsi"/>
          <w:szCs w:val="24"/>
        </w:rPr>
        <w:t>ty</w:t>
      </w:r>
      <w:r>
        <w:rPr>
          <w:rFonts w:cstheme="minorHAnsi"/>
          <w:szCs w:val="24"/>
        </w:rPr>
        <w:t xml:space="preserve"> between </w:t>
      </w:r>
      <w:r w:rsidRPr="00FA4497">
        <w:rPr>
          <w:rFonts w:cstheme="minorHAnsi"/>
          <w:szCs w:val="24"/>
        </w:rPr>
        <w:t>groups</w:t>
      </w:r>
      <w:r>
        <w:rPr>
          <w:rFonts w:cstheme="minorHAnsi"/>
          <w:szCs w:val="24"/>
        </w:rPr>
        <w:t xml:space="preserve">. </w:t>
      </w:r>
    </w:p>
    <w:p w14:paraId="303C0755" w14:textId="77777777" w:rsidR="00640175" w:rsidRPr="00FA4497" w:rsidRDefault="00640175" w:rsidP="00A55D80">
      <w:pPr>
        <w:pStyle w:val="Heading2"/>
      </w:pPr>
      <w:r w:rsidRPr="00FA4497">
        <w:t>Interpretation</w:t>
      </w:r>
    </w:p>
    <w:p w14:paraId="12100189" w14:textId="661AE2F9" w:rsidR="009C4F15" w:rsidRPr="00FA4497" w:rsidRDefault="00640175" w:rsidP="00640175">
      <w:pPr>
        <w:spacing w:after="0"/>
        <w:rPr>
          <w:rFonts w:cstheme="minorHAnsi"/>
          <w:szCs w:val="24"/>
        </w:rPr>
      </w:pPr>
      <w:r w:rsidRPr="00FA4497">
        <w:rPr>
          <w:rFonts w:cstheme="minorHAnsi"/>
          <w:szCs w:val="24"/>
        </w:rPr>
        <w:t xml:space="preserve">mPOCT for </w:t>
      </w:r>
      <w:r w:rsidR="002E2465">
        <w:rPr>
          <w:rFonts w:cstheme="minorHAnsi"/>
          <w:szCs w:val="24"/>
        </w:rPr>
        <w:t xml:space="preserve">gastrointestinal </w:t>
      </w:r>
      <w:r w:rsidRPr="00FA4497">
        <w:rPr>
          <w:rFonts w:cstheme="minorHAnsi"/>
          <w:szCs w:val="24"/>
        </w:rPr>
        <w:t xml:space="preserve">pathogens in patients with </w:t>
      </w:r>
      <w:r>
        <w:rPr>
          <w:rFonts w:cstheme="minorHAnsi"/>
          <w:szCs w:val="24"/>
        </w:rPr>
        <w:t xml:space="preserve">suspected gastroenteritis </w:t>
      </w:r>
      <w:r w:rsidRPr="00FA4497">
        <w:rPr>
          <w:rFonts w:cstheme="minorHAnsi"/>
          <w:szCs w:val="24"/>
        </w:rPr>
        <w:t>returned results more rapidly than conventional testing</w:t>
      </w:r>
      <w:r w:rsidR="00081B2D">
        <w:rPr>
          <w:rFonts w:cstheme="minorHAnsi"/>
          <w:szCs w:val="24"/>
        </w:rPr>
        <w:t xml:space="preserve"> and</w:t>
      </w:r>
      <w:r w:rsidR="0016549A">
        <w:rPr>
          <w:rFonts w:cstheme="minorHAnsi"/>
          <w:szCs w:val="24"/>
        </w:rPr>
        <w:t xml:space="preserve"> </w:t>
      </w:r>
      <w:r w:rsidRPr="00FA4497">
        <w:rPr>
          <w:rFonts w:cstheme="minorHAnsi"/>
          <w:szCs w:val="24"/>
        </w:rPr>
        <w:t xml:space="preserve">was associated with </w:t>
      </w:r>
      <w:r w:rsidR="000B1175">
        <w:rPr>
          <w:rFonts w:cstheme="minorHAnsi"/>
          <w:szCs w:val="24"/>
        </w:rPr>
        <w:t xml:space="preserve">a reduction in </w:t>
      </w:r>
      <w:r w:rsidR="006B6505">
        <w:rPr>
          <w:rFonts w:cstheme="minorHAnsi"/>
          <w:szCs w:val="24"/>
        </w:rPr>
        <w:t>single-occupancy room</w:t>
      </w:r>
      <w:r>
        <w:rPr>
          <w:rFonts w:cstheme="minorHAnsi"/>
          <w:szCs w:val="24"/>
        </w:rPr>
        <w:t xml:space="preserve"> </w:t>
      </w:r>
      <w:r w:rsidR="006B6505">
        <w:rPr>
          <w:rFonts w:cstheme="minorHAnsi"/>
          <w:szCs w:val="24"/>
        </w:rPr>
        <w:t>use</w:t>
      </w:r>
      <w:r w:rsidR="00081B2D">
        <w:rPr>
          <w:rFonts w:cstheme="minorHAnsi"/>
          <w:szCs w:val="24"/>
        </w:rPr>
        <w:t>.</w:t>
      </w:r>
      <w:r w:rsidR="00A10576">
        <w:rPr>
          <w:rFonts w:cstheme="minorHAnsi"/>
          <w:szCs w:val="24"/>
        </w:rPr>
        <w:t xml:space="preserve"> </w:t>
      </w:r>
      <w:bookmarkStart w:id="4" w:name="_Hlk125542645"/>
      <w:r w:rsidR="00A10576">
        <w:rPr>
          <w:rFonts w:cstheme="minorHAnsi"/>
          <w:szCs w:val="24"/>
        </w:rPr>
        <w:t xml:space="preserve">However, these benefits </w:t>
      </w:r>
      <w:r w:rsidR="00E863FF">
        <w:rPr>
          <w:rFonts w:cstheme="minorHAnsi"/>
          <w:szCs w:val="24"/>
        </w:rPr>
        <w:t xml:space="preserve">need to be </w:t>
      </w:r>
      <w:r w:rsidR="00A10576">
        <w:rPr>
          <w:rFonts w:cstheme="minorHAnsi"/>
          <w:szCs w:val="24"/>
        </w:rPr>
        <w:t xml:space="preserve">balanced </w:t>
      </w:r>
      <w:r w:rsidR="00E863FF">
        <w:rPr>
          <w:rFonts w:cstheme="minorHAnsi"/>
          <w:szCs w:val="24"/>
        </w:rPr>
        <w:t>against</w:t>
      </w:r>
      <w:r w:rsidR="00A10576">
        <w:rPr>
          <w:rFonts w:cstheme="minorHAnsi"/>
          <w:szCs w:val="24"/>
        </w:rPr>
        <w:t xml:space="preserve"> </w:t>
      </w:r>
      <w:r w:rsidR="00E863FF">
        <w:rPr>
          <w:rFonts w:cstheme="minorHAnsi"/>
          <w:szCs w:val="24"/>
        </w:rPr>
        <w:t xml:space="preserve">a </w:t>
      </w:r>
      <w:r w:rsidR="00A10576">
        <w:rPr>
          <w:rFonts w:cstheme="minorHAnsi"/>
          <w:szCs w:val="24"/>
        </w:rPr>
        <w:t>potential increase in antibiotic use.</w:t>
      </w:r>
      <w:bookmarkEnd w:id="4"/>
    </w:p>
    <w:p w14:paraId="27103805" w14:textId="77777777" w:rsidR="00640175" w:rsidRPr="00640175" w:rsidRDefault="00640175" w:rsidP="00A55D80">
      <w:pPr>
        <w:pStyle w:val="Heading2"/>
      </w:pPr>
      <w:r w:rsidRPr="00640175">
        <w:t>Funding</w:t>
      </w:r>
    </w:p>
    <w:p w14:paraId="3441E55E" w14:textId="05393808" w:rsidR="00640175" w:rsidRPr="00FA4497" w:rsidRDefault="00640175" w:rsidP="00640175">
      <w:pPr>
        <w:rPr>
          <w:rFonts w:cstheme="minorHAnsi"/>
          <w:color w:val="000000" w:themeColor="text1"/>
          <w:szCs w:val="24"/>
          <w:lang w:eastAsia="zh-CN"/>
        </w:rPr>
      </w:pPr>
      <w:r w:rsidRPr="00FA4497">
        <w:rPr>
          <w:rFonts w:cstheme="minorHAnsi"/>
          <w:color w:val="000000" w:themeColor="text1"/>
          <w:szCs w:val="24"/>
          <w:lang w:eastAsia="zh-CN"/>
        </w:rPr>
        <w:t>University Hospital Southampton NHS Foundation Trust</w:t>
      </w:r>
      <w:r w:rsidR="006E5152">
        <w:rPr>
          <w:rFonts w:cstheme="minorHAnsi"/>
          <w:color w:val="000000" w:themeColor="text1"/>
          <w:szCs w:val="24"/>
          <w:lang w:eastAsia="zh-CN"/>
        </w:rPr>
        <w:t>.</w:t>
      </w:r>
      <w:r w:rsidRPr="00FA4497">
        <w:rPr>
          <w:rFonts w:cstheme="minorHAnsi"/>
          <w:color w:val="000000" w:themeColor="text1"/>
          <w:szCs w:val="24"/>
          <w:lang w:eastAsia="zh-CN"/>
        </w:rPr>
        <w:t xml:space="preserve"> </w:t>
      </w:r>
    </w:p>
    <w:bookmarkEnd w:id="0"/>
    <w:p w14:paraId="133CB22F" w14:textId="77777777" w:rsidR="00640175" w:rsidRDefault="00640175">
      <w:pPr>
        <w:spacing w:after="160" w:line="259" w:lineRule="auto"/>
        <w:rPr>
          <w:rFonts w:asciiTheme="majorHAnsi" w:eastAsiaTheme="majorEastAsia" w:hAnsiTheme="majorHAnsi" w:cstheme="majorBidi"/>
          <w:b/>
          <w:sz w:val="36"/>
          <w:szCs w:val="32"/>
        </w:rPr>
      </w:pPr>
      <w:r>
        <w:br w:type="page"/>
      </w:r>
    </w:p>
    <w:p w14:paraId="13375441" w14:textId="7FE870CF" w:rsidR="006734E0" w:rsidRDefault="001E0AB9" w:rsidP="001E0AB9">
      <w:pPr>
        <w:pStyle w:val="Heading1"/>
      </w:pPr>
      <w:r>
        <w:lastRenderedPageBreak/>
        <w:t>Introduction</w:t>
      </w:r>
    </w:p>
    <w:p w14:paraId="759AF043" w14:textId="7F58147A" w:rsidR="00CE03A2" w:rsidRDefault="00306BA3" w:rsidP="009C4F15">
      <w:r>
        <w:t>Worldwide, diarrhoeal illness causes over 1.6 million deaths annually, and is the eighth most common</w:t>
      </w:r>
      <w:r w:rsidR="00640175">
        <w:t xml:space="preserve"> cause of death.</w:t>
      </w:r>
      <w:r w:rsidR="00AE7907" w:rsidRPr="00AE7907">
        <w:rPr>
          <w:vertAlign w:val="superscript"/>
        </w:rPr>
        <w:t>1</w:t>
      </w:r>
      <w:r>
        <w:t xml:space="preserve"> </w:t>
      </w:r>
      <w:r w:rsidR="00CB674C">
        <w:t xml:space="preserve">Gastrointestinal </w:t>
      </w:r>
      <w:r>
        <w:t>illness</w:t>
      </w:r>
      <w:r w:rsidR="00CB674C">
        <w:t xml:space="preserve"> account</w:t>
      </w:r>
      <w:r>
        <w:t>s</w:t>
      </w:r>
      <w:r w:rsidR="00CB674C">
        <w:t xml:space="preserve"> for over 1 million visits to Emergency Departments</w:t>
      </w:r>
      <w:r w:rsidR="001946FA">
        <w:t>, and at least 130,000 hospital admissions,</w:t>
      </w:r>
      <w:r w:rsidR="00CB674C">
        <w:t xml:space="preserve"> in </w:t>
      </w:r>
      <w:r w:rsidR="00C22B61">
        <w:t xml:space="preserve">England </w:t>
      </w:r>
      <w:r w:rsidR="00CB674C">
        <w:t>each year.</w:t>
      </w:r>
      <w:r w:rsidR="00AE7907" w:rsidRPr="00AE7907">
        <w:rPr>
          <w:vertAlign w:val="superscript"/>
        </w:rPr>
        <w:t>2,3</w:t>
      </w:r>
      <w:r>
        <w:t xml:space="preserve"> </w:t>
      </w:r>
      <w:r w:rsidR="006F3940">
        <w:t xml:space="preserve">Diarrhoea can be caused by a wide range of gastrointestinal pathogens and </w:t>
      </w:r>
      <w:r w:rsidR="009C4F15">
        <w:t xml:space="preserve">also </w:t>
      </w:r>
      <w:r w:rsidR="006F3940">
        <w:t xml:space="preserve">by </w:t>
      </w:r>
      <w:r w:rsidR="00162C06">
        <w:t xml:space="preserve">many </w:t>
      </w:r>
      <w:r w:rsidR="006F3940">
        <w:t>other illnesses and medications, and is therefore a non-specific symptom with a wide differential diagnosis</w:t>
      </w:r>
      <w:r w:rsidR="00BA3DA8">
        <w:t>.</w:t>
      </w:r>
      <w:r w:rsidR="000F62C2" w:rsidRPr="000F62C2">
        <w:rPr>
          <w:vertAlign w:val="superscript"/>
        </w:rPr>
        <w:t>2</w:t>
      </w:r>
      <w:r w:rsidR="00162C06">
        <w:t xml:space="preserve"> </w:t>
      </w:r>
      <w:r w:rsidR="007F24BA">
        <w:t xml:space="preserve">Additionally, centralised laboratory testing of stool samples is associated with a </w:t>
      </w:r>
      <w:r w:rsidR="00BA3DA8">
        <w:t>long turnaround time to results.</w:t>
      </w:r>
      <w:r w:rsidR="00A866D9" w:rsidRPr="00A866D9">
        <w:rPr>
          <w:vertAlign w:val="superscript"/>
        </w:rPr>
        <w:t>4–7</w:t>
      </w:r>
      <w:r w:rsidR="000F62C2">
        <w:t xml:space="preserve"> </w:t>
      </w:r>
      <w:r w:rsidR="006F3940">
        <w:t xml:space="preserve">Patients presenting to hospital with diarrhoea </w:t>
      </w:r>
      <w:r w:rsidR="009C4F15">
        <w:t xml:space="preserve">are routinely nursed </w:t>
      </w:r>
      <w:r w:rsidR="00897941">
        <w:t xml:space="preserve">in single-occupancy rooms (called </w:t>
      </w:r>
      <w:r w:rsidR="00BA3DA8">
        <w:t>‘</w:t>
      </w:r>
      <w:r w:rsidR="00897941">
        <w:t>side rooms</w:t>
      </w:r>
      <w:r w:rsidR="00BA3DA8">
        <w:t>’</w:t>
      </w:r>
      <w:r w:rsidR="00897941">
        <w:t xml:space="preserve"> in the NHS) </w:t>
      </w:r>
      <w:r w:rsidR="009C4F15">
        <w:t xml:space="preserve">along with </w:t>
      </w:r>
      <w:r w:rsidR="00897941">
        <w:t>associated infection control measures</w:t>
      </w:r>
      <w:r w:rsidR="007F24BA">
        <w:t>.</w:t>
      </w:r>
      <w:r w:rsidR="000358FF">
        <w:t xml:space="preserve"> There are </w:t>
      </w:r>
      <w:r w:rsidR="0024228F">
        <w:t xml:space="preserve">only </w:t>
      </w:r>
      <w:r w:rsidR="000358FF">
        <w:t xml:space="preserve">about </w:t>
      </w:r>
      <w:r w:rsidR="0024228F">
        <w:t>40,000</w:t>
      </w:r>
      <w:r w:rsidR="000358FF">
        <w:t xml:space="preserve"> single-occupancy rooms </w:t>
      </w:r>
      <w:r w:rsidR="00D5273D">
        <w:t>out of about 1</w:t>
      </w:r>
      <w:r w:rsidR="0024228F">
        <w:t>11,</w:t>
      </w:r>
      <w:r w:rsidR="001327B9">
        <w:t>00</w:t>
      </w:r>
      <w:r w:rsidR="0024228F">
        <w:t>0</w:t>
      </w:r>
      <w:r w:rsidR="00B65DCC">
        <w:t xml:space="preserve"> acute</w:t>
      </w:r>
      <w:r w:rsidR="0024228F">
        <w:t xml:space="preserve"> hospital</w:t>
      </w:r>
      <w:r w:rsidR="001327B9">
        <w:t xml:space="preserve"> beds</w:t>
      </w:r>
      <w:r w:rsidR="0024228F">
        <w:t xml:space="preserve"> in</w:t>
      </w:r>
      <w:r w:rsidR="001327B9">
        <w:t xml:space="preserve"> the NHS in England</w:t>
      </w:r>
      <w:r w:rsidR="00600F25">
        <w:t xml:space="preserve"> </w:t>
      </w:r>
      <w:r w:rsidR="009437EE">
        <w:t xml:space="preserve">and only around 1700 </w:t>
      </w:r>
      <w:r w:rsidR="004E7E3E">
        <w:t xml:space="preserve">of these </w:t>
      </w:r>
      <w:r w:rsidR="009437EE">
        <w:t>are dedicated isolation rooms</w:t>
      </w:r>
      <w:r w:rsidR="001327B9">
        <w:t>.</w:t>
      </w:r>
      <w:r w:rsidR="00A866D9" w:rsidRPr="00A866D9">
        <w:rPr>
          <w:vertAlign w:val="superscript"/>
        </w:rPr>
        <w:t>8,9</w:t>
      </w:r>
      <w:r w:rsidR="000358FF">
        <w:t xml:space="preserve"> </w:t>
      </w:r>
      <w:r w:rsidR="001330DD">
        <w:t xml:space="preserve">The COVID-19 pandemic has </w:t>
      </w:r>
      <w:r w:rsidR="00600F25">
        <w:t>put further pressure on th</w:t>
      </w:r>
      <w:r w:rsidR="009437EE">
        <w:t>is</w:t>
      </w:r>
      <w:r w:rsidR="001330DD">
        <w:t xml:space="preserve"> limited </w:t>
      </w:r>
      <w:r w:rsidR="004A16AA">
        <w:t>resource, therefore</w:t>
      </w:r>
      <w:r w:rsidR="009437EE">
        <w:t xml:space="preserve"> </w:t>
      </w:r>
      <w:r w:rsidR="00BA3DA8">
        <w:t xml:space="preserve">patients presenting with diarrhoea to hospital represent a diagnostic challenge, experience delays in diagnosis, and stretch </w:t>
      </w:r>
      <w:r w:rsidR="009C4F15">
        <w:t xml:space="preserve">limited </w:t>
      </w:r>
      <w:r w:rsidR="00BA3DA8">
        <w:t xml:space="preserve">healthcare resources. </w:t>
      </w:r>
    </w:p>
    <w:p w14:paraId="65EA48D9" w14:textId="32B0F1D5" w:rsidR="007F635E" w:rsidRDefault="00CD2DAB" w:rsidP="009C4F15">
      <w:r>
        <w:t>Testing for gastrointestinal pathogens is further delayed by the need to wait for the patient to produce a stool sample</w:t>
      </w:r>
      <w:r w:rsidR="003763A8">
        <w:t xml:space="preserve"> which is the </w:t>
      </w:r>
      <w:r w:rsidR="00F6414D">
        <w:t xml:space="preserve">standard </w:t>
      </w:r>
      <w:r w:rsidR="003763A8">
        <w:t xml:space="preserve">sample type </w:t>
      </w:r>
      <w:r w:rsidR="009437EE">
        <w:t xml:space="preserve">used </w:t>
      </w:r>
      <w:r w:rsidR="003763A8">
        <w:t xml:space="preserve">for </w:t>
      </w:r>
      <w:r w:rsidR="004E7E3E">
        <w:t>laboratory testing</w:t>
      </w:r>
      <w:r>
        <w:t xml:space="preserve">. However, rectal swabs have been shown to have broadly equivalent diagnostic </w:t>
      </w:r>
      <w:r w:rsidR="00B669BA">
        <w:t xml:space="preserve">performance </w:t>
      </w:r>
      <w:r w:rsidR="003763A8">
        <w:t xml:space="preserve">compared to </w:t>
      </w:r>
      <w:r w:rsidR="00095850">
        <w:t>conventional stool samples</w:t>
      </w:r>
      <w:r>
        <w:t xml:space="preserve"> for the </w:t>
      </w:r>
      <w:r w:rsidR="00F6414D">
        <w:t xml:space="preserve">molecular </w:t>
      </w:r>
      <w:r>
        <w:t>detection of gastrointestinal p</w:t>
      </w:r>
      <w:r w:rsidR="00095850">
        <w:t>athogens.</w:t>
      </w:r>
      <w:r w:rsidR="00141988" w:rsidRPr="00141988">
        <w:rPr>
          <w:vertAlign w:val="superscript"/>
        </w:rPr>
        <w:t>10–12</w:t>
      </w:r>
      <w:r w:rsidR="00095850">
        <w:t xml:space="preserve"> </w:t>
      </w:r>
      <w:r w:rsidR="002B57E2">
        <w:t>Additionally, the use of rectal swabs for diagnosis is supported by US guidelines whe</w:t>
      </w:r>
      <w:r w:rsidR="003763A8">
        <w:t>n</w:t>
      </w:r>
      <w:r w:rsidR="002B57E2">
        <w:t xml:space="preserve"> stool samples cannot be collected in a timely manner</w:t>
      </w:r>
      <w:r w:rsidR="000427C9">
        <w:t xml:space="preserve">, and in European guidelines for </w:t>
      </w:r>
      <w:proofErr w:type="spellStart"/>
      <w:r w:rsidR="000427C9">
        <w:rPr>
          <w:i/>
        </w:rPr>
        <w:t>Clostridioides</w:t>
      </w:r>
      <w:proofErr w:type="spellEnd"/>
      <w:r w:rsidR="000427C9">
        <w:rPr>
          <w:i/>
        </w:rPr>
        <w:t xml:space="preserve"> difficile</w:t>
      </w:r>
      <w:r w:rsidR="000427C9">
        <w:t xml:space="preserve"> diagnosis.</w:t>
      </w:r>
      <w:r w:rsidR="00141988" w:rsidRPr="00141988">
        <w:rPr>
          <w:vertAlign w:val="superscript"/>
        </w:rPr>
        <w:t>13,14</w:t>
      </w:r>
      <w:r w:rsidR="002B57E2">
        <w:t xml:space="preserve"> </w:t>
      </w:r>
      <w:r>
        <w:t xml:space="preserve">Rectal swabs therefore provide an opportunity to </w:t>
      </w:r>
      <w:r w:rsidR="006545A9">
        <w:t xml:space="preserve">expedite </w:t>
      </w:r>
      <w:r w:rsidR="00B669BA">
        <w:t xml:space="preserve">current </w:t>
      </w:r>
      <w:r w:rsidR="006545A9">
        <w:t>testing for gastrointestinal pathogens</w:t>
      </w:r>
      <w:r w:rsidR="005D6813">
        <w:t>.</w:t>
      </w:r>
      <w:r w:rsidR="007F635E" w:rsidRPr="007F635E">
        <w:t xml:space="preserve"> </w:t>
      </w:r>
    </w:p>
    <w:p w14:paraId="632A3CC0" w14:textId="29A2BEA4" w:rsidR="00F862D5" w:rsidRDefault="00F86346" w:rsidP="009C4F15">
      <w:r>
        <w:lastRenderedPageBreak/>
        <w:t>Syndromic</w:t>
      </w:r>
      <w:r w:rsidR="00915852">
        <w:t xml:space="preserve"> m</w:t>
      </w:r>
      <w:r w:rsidR="007F635E">
        <w:t xml:space="preserve">olecular </w:t>
      </w:r>
      <w:r w:rsidR="003763A8">
        <w:t xml:space="preserve">test </w:t>
      </w:r>
      <w:r w:rsidR="007F635E">
        <w:t xml:space="preserve">platforms for the detection of gastrointestinal pathogens are highly accurate, </w:t>
      </w:r>
      <w:r w:rsidR="0097552A">
        <w:t>test for a comprehensive range of pathogens</w:t>
      </w:r>
      <w:r w:rsidR="00845731">
        <w:t>,</w:t>
      </w:r>
      <w:r w:rsidR="0097552A">
        <w:t xml:space="preserve"> </w:t>
      </w:r>
      <w:r w:rsidR="007F635E">
        <w:t xml:space="preserve">and selected platforms are easy to use </w:t>
      </w:r>
      <w:r w:rsidR="003763A8">
        <w:t xml:space="preserve">‘sample-to-answer’ </w:t>
      </w:r>
      <w:r w:rsidR="0097552A">
        <w:t xml:space="preserve">type </w:t>
      </w:r>
      <w:r w:rsidR="003763A8">
        <w:t>platforms</w:t>
      </w:r>
      <w:r w:rsidR="004E7E3E">
        <w:t>,</w:t>
      </w:r>
      <w:r w:rsidR="003763A8">
        <w:t xml:space="preserve"> </w:t>
      </w:r>
      <w:r w:rsidR="00F6414D">
        <w:t xml:space="preserve">with a run time of </w:t>
      </w:r>
      <w:r w:rsidR="007F635E">
        <w:t>about an hour</w:t>
      </w:r>
      <w:r w:rsidR="00F6422C">
        <w:t>.</w:t>
      </w:r>
      <w:r w:rsidR="003763A8">
        <w:t xml:space="preserve"> These have the potential to be </w:t>
      </w:r>
      <w:r w:rsidR="007F635E">
        <w:t xml:space="preserve">deployed as </w:t>
      </w:r>
      <w:r w:rsidR="006E5152">
        <w:t>near-</w:t>
      </w:r>
      <w:r w:rsidR="003763A8">
        <w:t xml:space="preserve">patient or </w:t>
      </w:r>
      <w:r w:rsidR="007F635E">
        <w:t>point-of-care tests in acute care areas.</w:t>
      </w:r>
      <w:r w:rsidR="00135A57" w:rsidRPr="00135A57">
        <w:rPr>
          <w:vertAlign w:val="superscript"/>
        </w:rPr>
        <w:t>6,15–17</w:t>
      </w:r>
      <w:r w:rsidR="009E76B9">
        <w:t xml:space="preserve"> </w:t>
      </w:r>
      <w:bookmarkStart w:id="5" w:name="_Hlk120801193"/>
      <w:r w:rsidR="0097552A">
        <w:t xml:space="preserve">Because </w:t>
      </w:r>
      <w:r w:rsidR="00850B80">
        <w:t xml:space="preserve">some </w:t>
      </w:r>
      <w:r>
        <w:t>syndromic</w:t>
      </w:r>
      <w:r w:rsidR="0097552A">
        <w:t xml:space="preserve"> molecular panels test comprehensively for gastrointestin</w:t>
      </w:r>
      <w:r w:rsidR="006E5152">
        <w:t xml:space="preserve">al pathogens in a single test, </w:t>
      </w:r>
      <w:r w:rsidR="0097552A">
        <w:t>negative test results can lead to confident de-isolation decisions</w:t>
      </w:r>
      <w:r w:rsidR="006E5152">
        <w:t>.</w:t>
      </w:r>
      <w:r w:rsidR="0097552A">
        <w:t xml:space="preserve"> </w:t>
      </w:r>
      <w:bookmarkEnd w:id="5"/>
      <w:r w:rsidR="00B669BA">
        <w:t>The u</w:t>
      </w:r>
      <w:r w:rsidR="009E76B9">
        <w:t xml:space="preserve">se of </w:t>
      </w:r>
      <w:r w:rsidR="003763A8">
        <w:t xml:space="preserve">rectal swabs </w:t>
      </w:r>
      <w:r w:rsidR="00B669BA">
        <w:t xml:space="preserve">combined </w:t>
      </w:r>
      <w:r w:rsidR="00A5789E">
        <w:t>with syndromic</w:t>
      </w:r>
      <w:r w:rsidR="003763A8">
        <w:t xml:space="preserve"> </w:t>
      </w:r>
      <w:r w:rsidR="009E76B9">
        <w:t>molecular point-of-care tests (mPOCT)</w:t>
      </w:r>
      <w:r w:rsidR="000331CE">
        <w:t xml:space="preserve"> </w:t>
      </w:r>
      <w:r w:rsidR="007F24BA">
        <w:t xml:space="preserve">may </w:t>
      </w:r>
      <w:r w:rsidR="00F6414D">
        <w:t xml:space="preserve">therefore </w:t>
      </w:r>
      <w:r w:rsidR="003763A8">
        <w:t xml:space="preserve">reduce the current delays </w:t>
      </w:r>
      <w:r w:rsidR="000331CE">
        <w:t>associated with laboratory testing, and le</w:t>
      </w:r>
      <w:r w:rsidR="00CF53B7">
        <w:t>a</w:t>
      </w:r>
      <w:r w:rsidR="000331CE">
        <w:t xml:space="preserve">d to improved </w:t>
      </w:r>
      <w:r w:rsidR="00CE03A2">
        <w:t>use of single-occupancy rooms in</w:t>
      </w:r>
      <w:r w:rsidR="000331CE">
        <w:t xml:space="preserve"> patients</w:t>
      </w:r>
      <w:r w:rsidR="00CE03A2">
        <w:t xml:space="preserve"> presenting to hospital</w:t>
      </w:r>
      <w:r w:rsidR="000331CE">
        <w:t xml:space="preserve"> with diarrhoea.</w:t>
      </w:r>
      <w:r w:rsidR="00E703D2">
        <w:t xml:space="preserve"> Other </w:t>
      </w:r>
      <w:r w:rsidR="003763A8">
        <w:t xml:space="preserve">potential </w:t>
      </w:r>
      <w:r w:rsidR="00E703D2">
        <w:t xml:space="preserve">benefits include </w:t>
      </w:r>
      <w:r w:rsidR="00B669BA">
        <w:t xml:space="preserve">improved diagnosis </w:t>
      </w:r>
      <w:r w:rsidR="00423EA0">
        <w:t xml:space="preserve">and treatment </w:t>
      </w:r>
      <w:r w:rsidR="00B669BA">
        <w:t xml:space="preserve">of patients with diarrhoea </w:t>
      </w:r>
      <w:r w:rsidR="009D5034">
        <w:t>through</w:t>
      </w:r>
      <w:r w:rsidR="00B669BA">
        <w:t xml:space="preserve"> </w:t>
      </w:r>
      <w:r w:rsidR="00E703D2">
        <w:t xml:space="preserve">increased pathogen </w:t>
      </w:r>
      <w:r w:rsidR="00423EA0">
        <w:t>detection</w:t>
      </w:r>
      <w:r w:rsidR="009D5034">
        <w:t>,</w:t>
      </w:r>
      <w:r w:rsidR="00423EA0">
        <w:t xml:space="preserve"> although the detection of pathogens by molecular test may not always represent the </w:t>
      </w:r>
      <w:r w:rsidR="009D5034">
        <w:t xml:space="preserve">cause of </w:t>
      </w:r>
      <w:r w:rsidR="00F6414D">
        <w:t>patient’s</w:t>
      </w:r>
      <w:r w:rsidR="009D5034">
        <w:t xml:space="preserve"> illness and concern exist around the potential for overtreatment of colonising or non-pathogenic organisms</w:t>
      </w:r>
      <w:r w:rsidR="00944B5C">
        <w:t>.</w:t>
      </w:r>
      <w:r w:rsidR="00944B5C" w:rsidRPr="00944B5C">
        <w:rPr>
          <w:vertAlign w:val="superscript"/>
        </w:rPr>
        <w:t>18</w:t>
      </w:r>
      <w:r w:rsidR="009D5034">
        <w:t xml:space="preserve"> </w:t>
      </w:r>
    </w:p>
    <w:p w14:paraId="60C03F33" w14:textId="1AF42F75" w:rsidR="000427C9" w:rsidRPr="00F862D5" w:rsidRDefault="00BE6CC1" w:rsidP="009C4F15">
      <w:r>
        <w:t>The</w:t>
      </w:r>
      <w:r w:rsidR="000427C9">
        <w:t xml:space="preserve"> UK’s National Institute for Health and Care Excellence</w:t>
      </w:r>
      <w:r>
        <w:t xml:space="preserve"> </w:t>
      </w:r>
      <w:r w:rsidR="00181DE2">
        <w:t xml:space="preserve">diagnostic assessment </w:t>
      </w:r>
      <w:r w:rsidR="00F6422C">
        <w:t>programme</w:t>
      </w:r>
      <w:r w:rsidR="0097552A">
        <w:t xml:space="preserve"> </w:t>
      </w:r>
      <w:r w:rsidR="00181DE2">
        <w:t xml:space="preserve">has </w:t>
      </w:r>
      <w:r w:rsidR="004E7E3E">
        <w:t xml:space="preserve">previously </w:t>
      </w:r>
      <w:r w:rsidR="00181DE2">
        <w:t xml:space="preserve">reviewed </w:t>
      </w:r>
      <w:r w:rsidR="0097552A">
        <w:t>molecular panel</w:t>
      </w:r>
      <w:r w:rsidR="006E5152">
        <w:t>s</w:t>
      </w:r>
      <w:r w:rsidR="0097552A">
        <w:t xml:space="preserve"> for gastrointestinal pathogens and </w:t>
      </w:r>
      <w:r>
        <w:t xml:space="preserve">identified </w:t>
      </w:r>
      <w:r w:rsidR="00795D30">
        <w:t>key</w:t>
      </w:r>
      <w:r>
        <w:t xml:space="preserve"> research priorities for </w:t>
      </w:r>
      <w:r w:rsidR="0097552A">
        <w:t xml:space="preserve">assessing the impact of </w:t>
      </w:r>
      <w:r>
        <w:t>the</w:t>
      </w:r>
      <w:r w:rsidR="0097552A">
        <w:t>ir</w:t>
      </w:r>
      <w:r>
        <w:t xml:space="preserve"> use</w:t>
      </w:r>
      <w:r w:rsidR="0097552A">
        <w:t>. Sugges</w:t>
      </w:r>
      <w:r w:rsidR="00F6422C">
        <w:t xml:space="preserve">ted outcome measures </w:t>
      </w:r>
      <w:r>
        <w:t>includ</w:t>
      </w:r>
      <w:r w:rsidR="0097552A">
        <w:t>ed</w:t>
      </w:r>
      <w:r>
        <w:t xml:space="preserve"> length of time in </w:t>
      </w:r>
      <w:r w:rsidR="0097552A">
        <w:t>single</w:t>
      </w:r>
      <w:r w:rsidR="00A66A8A">
        <w:t>-occupancy</w:t>
      </w:r>
      <w:r w:rsidR="0097552A">
        <w:t xml:space="preserve"> room</w:t>
      </w:r>
      <w:r>
        <w:t xml:space="preserve">, length of hospital stay, and change of treatment </w:t>
      </w:r>
      <w:proofErr w:type="gramStart"/>
      <w:r>
        <w:t>as a result of</w:t>
      </w:r>
      <w:proofErr w:type="gramEnd"/>
      <w:r>
        <w:t xml:space="preserve"> testing.</w:t>
      </w:r>
      <w:r w:rsidR="00135A57" w:rsidRPr="00135A57">
        <w:rPr>
          <w:vertAlign w:val="superscript"/>
        </w:rPr>
        <w:t>1</w:t>
      </w:r>
      <w:r w:rsidR="00817E8C">
        <w:rPr>
          <w:vertAlign w:val="superscript"/>
        </w:rPr>
        <w:t>9</w:t>
      </w:r>
    </w:p>
    <w:p w14:paraId="66696FEF" w14:textId="24CD53B4" w:rsidR="00F862D5" w:rsidRDefault="00CE03A2" w:rsidP="009C4F15">
      <w:r>
        <w:t xml:space="preserve">We aimed to address this evidence gap by </w:t>
      </w:r>
      <w:r w:rsidR="0097552A">
        <w:t xml:space="preserve">performing </w:t>
      </w:r>
      <w:r>
        <w:t>a pragmatic, randomised controlled trial of mPOCT for gastrointestinal pathogens</w:t>
      </w:r>
      <w:r w:rsidR="00CD2DAB">
        <w:t xml:space="preserve"> on stool samples and/or rectal swabs</w:t>
      </w:r>
      <w:r>
        <w:t xml:space="preserve"> in </w:t>
      </w:r>
      <w:r w:rsidR="00C063A7">
        <w:t xml:space="preserve">adult </w:t>
      </w:r>
      <w:r>
        <w:t xml:space="preserve">patients </w:t>
      </w:r>
      <w:r w:rsidR="0097552A">
        <w:t xml:space="preserve">presenting to hospital </w:t>
      </w:r>
      <w:r>
        <w:t xml:space="preserve">with suspected gastroenteritis </w:t>
      </w:r>
      <w:r w:rsidR="0097552A">
        <w:t xml:space="preserve">and </w:t>
      </w:r>
      <w:r>
        <w:t>evaluating the impact upon single-occupancy room use, antibiotic use, and a range of other outcome measures.</w:t>
      </w:r>
      <w:r w:rsidR="00F862D5">
        <w:br w:type="page"/>
      </w:r>
    </w:p>
    <w:p w14:paraId="75F80A06" w14:textId="77777777" w:rsidR="001E0AB9" w:rsidRDefault="00F862D5" w:rsidP="00F862D5">
      <w:pPr>
        <w:pStyle w:val="Heading1"/>
      </w:pPr>
      <w:r>
        <w:lastRenderedPageBreak/>
        <w:t>Methods</w:t>
      </w:r>
    </w:p>
    <w:p w14:paraId="47A57F17" w14:textId="77777777" w:rsidR="0045686A" w:rsidRDefault="007B0814" w:rsidP="00A55D80">
      <w:pPr>
        <w:pStyle w:val="Heading2"/>
      </w:pPr>
      <w:r w:rsidRPr="007B0814">
        <w:t>Study design</w:t>
      </w:r>
    </w:p>
    <w:p w14:paraId="33097963" w14:textId="614283D4" w:rsidR="0045686A" w:rsidRDefault="004C7D57" w:rsidP="0032744A">
      <w:r>
        <w:t>We did a single-centre, pragmatic, open-label, parallel group randomised controlled trial (</w:t>
      </w:r>
      <w:proofErr w:type="spellStart"/>
      <w:r>
        <w:t>GastroPOC</w:t>
      </w:r>
      <w:proofErr w:type="spellEnd"/>
      <w:r>
        <w:t>). Patients were recruited from the acute medicine unit, acute surgical unit, emergency department, and other acute clinical areas within Southampton General Hospital, a large acute teaching hospital in the UK. The hospital serves a</w:t>
      </w:r>
      <w:r w:rsidR="006163C0">
        <w:t xml:space="preserve"> secondary care</w:t>
      </w:r>
      <w:r>
        <w:t xml:space="preserve"> population of 650,000 people, and is run by University Hospital Southampton NHS Foundation Trust</w:t>
      </w:r>
      <w:r w:rsidR="004C7E61">
        <w:t>, which was the trial sponsor</w:t>
      </w:r>
      <w:r>
        <w:t xml:space="preserve">. </w:t>
      </w:r>
    </w:p>
    <w:p w14:paraId="0D829140" w14:textId="7410DCB4" w:rsidR="00AC74AF" w:rsidRDefault="00AC74AF" w:rsidP="0032744A">
      <w:r>
        <w:t>The study was approved by the West Midlands – Solihull Research Ethics Committee (REC) on January 9, 2017 (reference 16/WM/0515). The study protocol was amended once (REC approv</w:t>
      </w:r>
      <w:r w:rsidR="004E7E3E">
        <w:t>al</w:t>
      </w:r>
      <w:r>
        <w:t xml:space="preserve"> on June 19, 2018) </w:t>
      </w:r>
      <w:proofErr w:type="gramStart"/>
      <w:r>
        <w:t>to:</w:t>
      </w:r>
      <w:proofErr w:type="gramEnd"/>
      <w:r>
        <w:t xml:space="preserve"> change the study from a pilot to a full study, increase the sample size from 200 to 300 participants, allow three years for participant recruitment, and add </w:t>
      </w:r>
      <w:r w:rsidR="006163C0">
        <w:t xml:space="preserve">additional </w:t>
      </w:r>
      <w:r w:rsidR="00C7137D">
        <w:t xml:space="preserve">patient </w:t>
      </w:r>
      <w:r>
        <w:t xml:space="preserve">de-isolation </w:t>
      </w:r>
      <w:r w:rsidR="00386461">
        <w:t>measures as</w:t>
      </w:r>
      <w:r>
        <w:t xml:space="preserve"> secondary outcome measure</w:t>
      </w:r>
      <w:r w:rsidR="00386461">
        <w:t>s</w:t>
      </w:r>
      <w:r>
        <w:t>. The study was prospectively registered on an international trials database (</w:t>
      </w:r>
      <w:r w:rsidRPr="00C366B0">
        <w:t>ISRCTN88918395</w:t>
      </w:r>
      <w:r>
        <w:t>)</w:t>
      </w:r>
      <w:r w:rsidR="006163C0">
        <w:t xml:space="preserve"> and has completed</w:t>
      </w:r>
      <w:r>
        <w:t>.</w:t>
      </w:r>
      <w:r w:rsidR="00370259">
        <w:t xml:space="preserve"> </w:t>
      </w:r>
      <w:r w:rsidR="00370259" w:rsidRPr="008B49A8">
        <w:t>The stu</w:t>
      </w:r>
      <w:r w:rsidR="008B49A8">
        <w:t>dy protocol is available</w:t>
      </w:r>
      <w:r w:rsidR="00F5040F">
        <w:t xml:space="preserve"> online</w:t>
      </w:r>
      <w:r w:rsidR="008B49A8">
        <w:t xml:space="preserve"> (</w:t>
      </w:r>
      <w:hyperlink r:id="rId8" w:history="1">
        <w:r w:rsidR="00B34652" w:rsidRPr="00B52532">
          <w:rPr>
            <w:rStyle w:val="Hyperlink"/>
          </w:rPr>
          <w:t>https://eprints.soton.ac.uk/449770/</w:t>
        </w:r>
      </w:hyperlink>
      <w:r w:rsidR="008B49A8">
        <w:rPr>
          <w:rStyle w:val="csl-right-inline"/>
        </w:rPr>
        <w:t>).</w:t>
      </w:r>
      <w:r w:rsidR="00817E8C">
        <w:rPr>
          <w:vertAlign w:val="superscript"/>
        </w:rPr>
        <w:t>20</w:t>
      </w:r>
    </w:p>
    <w:p w14:paraId="10AAFECF" w14:textId="216CCAD9" w:rsidR="00872625" w:rsidRDefault="007B0814" w:rsidP="00A55D80">
      <w:pPr>
        <w:pStyle w:val="Heading2"/>
      </w:pPr>
      <w:r>
        <w:t>Participants</w:t>
      </w:r>
    </w:p>
    <w:p w14:paraId="65AEA372" w14:textId="45EFEE0F" w:rsidR="00872625" w:rsidRPr="00872625" w:rsidRDefault="00872625" w:rsidP="0032744A">
      <w:r>
        <w:t>Patients were eligible if</w:t>
      </w:r>
      <w:r w:rsidR="00F6422C">
        <w:t>:</w:t>
      </w:r>
      <w:r w:rsidR="003134D3">
        <w:t xml:space="preserve"> they had an acute diarrhoeal illness and/or vomiting of ≤14 days</w:t>
      </w:r>
      <w:r w:rsidR="006163C0">
        <w:t xml:space="preserve"> duration</w:t>
      </w:r>
      <w:r w:rsidR="003134D3">
        <w:t xml:space="preserve">, were </w:t>
      </w:r>
      <w:r w:rsidR="00370259">
        <w:t>≥18 years old, had capacity</w:t>
      </w:r>
      <w:r w:rsidR="003134D3">
        <w:t xml:space="preserve"> to provide informed written consent, and were able to adhere to study procedures, </w:t>
      </w:r>
      <w:proofErr w:type="gramStart"/>
      <w:r w:rsidR="003134D3">
        <w:t>were located in</w:t>
      </w:r>
      <w:proofErr w:type="gramEnd"/>
      <w:r w:rsidR="003134D3">
        <w:t xml:space="preserve"> the Emergency Department (ED), Acute Medicine Unit (AMU), Acute Surgical Unit (ASU), or inpatient ward. Patients had to be recruited within 48 hours of first triage in ED, or within 48 hours of arrival in AMU, ASU, or inpatient ward if they were admitted directly</w:t>
      </w:r>
      <w:r w:rsidR="006F7B4D">
        <w:t xml:space="preserve"> from the community</w:t>
      </w:r>
      <w:r w:rsidR="003134D3">
        <w:t xml:space="preserve">. </w:t>
      </w:r>
      <w:r w:rsidR="008E4801">
        <w:t xml:space="preserve">Acute diarrhoeal illness </w:t>
      </w:r>
      <w:r w:rsidR="008E4801">
        <w:lastRenderedPageBreak/>
        <w:t xml:space="preserve">was defined as the having three </w:t>
      </w:r>
      <w:r w:rsidR="006163C0">
        <w:t xml:space="preserve">or more </w:t>
      </w:r>
      <w:r w:rsidR="008E4801">
        <w:t>loose stool</w:t>
      </w:r>
      <w:r w:rsidR="006163C0">
        <w:t>s</w:t>
      </w:r>
      <w:r w:rsidR="008E4801">
        <w:t xml:space="preserve"> for a least one day. Patients were excluded if</w:t>
      </w:r>
      <w:r w:rsidR="00F6422C">
        <w:t>:</w:t>
      </w:r>
      <w:r w:rsidR="008E4801">
        <w:t xml:space="preserve"> a palliative approach was being taken by the treating clinicians, they were previously included in the study and were re-presenting within 30 days after hospital discharge, or they declined to give a stool sample and/or rectal swab.</w:t>
      </w:r>
      <w:r w:rsidR="00346E69">
        <w:t xml:space="preserve"> All participants gave written informed consent.</w:t>
      </w:r>
    </w:p>
    <w:p w14:paraId="72FC1326" w14:textId="77777777" w:rsidR="007B0814" w:rsidRDefault="007B0814" w:rsidP="00A55D80">
      <w:pPr>
        <w:pStyle w:val="Heading2"/>
      </w:pPr>
      <w:r w:rsidRPr="007B0814">
        <w:t>Randomisation and masking</w:t>
      </w:r>
    </w:p>
    <w:p w14:paraId="0BB7CC7B" w14:textId="77777777" w:rsidR="00984F79" w:rsidRDefault="00346E69" w:rsidP="00984F79">
      <w:r>
        <w:t>Patient-participants</w:t>
      </w:r>
      <w:r w:rsidRPr="00346E69">
        <w:t xml:space="preserve"> were consecutively assigned a unique participant identification number by </w:t>
      </w:r>
      <w:r>
        <w:t>study</w:t>
      </w:r>
      <w:r w:rsidRPr="00346E69">
        <w:t xml:space="preserve"> </w:t>
      </w:r>
      <w:r>
        <w:t>staff</w:t>
      </w:r>
      <w:r w:rsidRPr="00346E69">
        <w:t xml:space="preserve"> who then used the internet-based randomis</w:t>
      </w:r>
      <w:r>
        <w:t>ation service Sealed</w:t>
      </w:r>
      <w:r w:rsidR="009868F9">
        <w:t xml:space="preserve"> </w:t>
      </w:r>
      <w:r>
        <w:t xml:space="preserve">Envelope, </w:t>
      </w:r>
      <w:r w:rsidRPr="00346E69">
        <w:t>which uses random permu</w:t>
      </w:r>
      <w:r>
        <w:t xml:space="preserve">ted blocks of sizes 4, 6, and 8, </w:t>
      </w:r>
      <w:r w:rsidRPr="00346E69">
        <w:t xml:space="preserve">to generate the allocation </w:t>
      </w:r>
      <w:r>
        <w:t>s</w:t>
      </w:r>
      <w:r w:rsidRPr="00346E69">
        <w:t>equence</w:t>
      </w:r>
      <w:r w:rsidR="006163C0">
        <w:t xml:space="preserve">, </w:t>
      </w:r>
      <w:r w:rsidRPr="00346E69">
        <w:t>and assigned the participants (1:1) to either the intervention group or control group.</w:t>
      </w:r>
      <w:r>
        <w:t xml:space="preserve"> </w:t>
      </w:r>
      <w:r w:rsidR="008A2610" w:rsidRPr="008A2610">
        <w:t xml:space="preserve"> </w:t>
      </w:r>
      <w:r w:rsidR="008A2610" w:rsidRPr="00303CF2">
        <w:t>Data analysts and statisticians were masked to group allocation. Due to the nature of the intervention, research staff, participants, and the clinical teams were not masked to group allocation.</w:t>
      </w:r>
      <w:r w:rsidR="00D850F5">
        <w:t xml:space="preserve"> </w:t>
      </w:r>
    </w:p>
    <w:p w14:paraId="4B779EB4" w14:textId="21B083AA" w:rsidR="007B0814" w:rsidRDefault="007B0814" w:rsidP="00A55D80">
      <w:pPr>
        <w:pStyle w:val="Heading2"/>
      </w:pPr>
      <w:r w:rsidRPr="007B0814">
        <w:t>Procedures</w:t>
      </w:r>
    </w:p>
    <w:p w14:paraId="4C28A97E" w14:textId="7761F6BF" w:rsidR="00B047EA" w:rsidRDefault="00424D37" w:rsidP="0032744A">
      <w:r>
        <w:t xml:space="preserve">Patients randomly allocated to the intervention group had a stool sample and/or rectal swab </w:t>
      </w:r>
      <w:r w:rsidR="006163C0">
        <w:t xml:space="preserve">obtained </w:t>
      </w:r>
      <w:r w:rsidRPr="00454930">
        <w:t xml:space="preserve">(both </w:t>
      </w:r>
      <w:r w:rsidR="0050710C">
        <w:t>i</w:t>
      </w:r>
      <w:r w:rsidR="00FA4C01" w:rsidRPr="00454930">
        <w:t xml:space="preserve">n Carey-Blair media: </w:t>
      </w:r>
      <w:proofErr w:type="spellStart"/>
      <w:r w:rsidR="00FA4C01">
        <w:t>Remel</w:t>
      </w:r>
      <w:proofErr w:type="spellEnd"/>
      <w:r w:rsidR="00FA4C01">
        <w:t xml:space="preserve">, </w:t>
      </w:r>
      <w:proofErr w:type="spellStart"/>
      <w:r w:rsidR="00F01E36">
        <w:t>Thermo</w:t>
      </w:r>
      <w:proofErr w:type="spellEnd"/>
      <w:r w:rsidR="00F01E36">
        <w:t xml:space="preserve"> Fisher Scientific, Kansas</w:t>
      </w:r>
      <w:r w:rsidR="00FA4C01">
        <w:t xml:space="preserve">, USA, and </w:t>
      </w:r>
      <w:proofErr w:type="spellStart"/>
      <w:r w:rsidR="00454930">
        <w:t>FecalSwab</w:t>
      </w:r>
      <w:proofErr w:type="spellEnd"/>
      <w:r w:rsidR="00454930">
        <w:t>, Copan</w:t>
      </w:r>
      <w:r w:rsidR="00FA4C01">
        <w:t>,</w:t>
      </w:r>
      <w:r w:rsidR="00454930">
        <w:t xml:space="preserve"> Brescia, Italy)</w:t>
      </w:r>
      <w:r>
        <w:t xml:space="preserve"> </w:t>
      </w:r>
      <w:r w:rsidR="006163C0">
        <w:t xml:space="preserve">and </w:t>
      </w:r>
      <w:r>
        <w:t xml:space="preserve">analysed </w:t>
      </w:r>
      <w:r w:rsidR="004E7E3E">
        <w:t xml:space="preserve">immediately </w:t>
      </w:r>
      <w:r>
        <w:t>using the FilmArray Gastrointestinal</w:t>
      </w:r>
      <w:r w:rsidR="00EF1518">
        <w:t xml:space="preserve"> </w:t>
      </w:r>
      <w:r>
        <w:t>Panel (</w:t>
      </w:r>
      <w:proofErr w:type="spellStart"/>
      <w:r>
        <w:t>BioFire</w:t>
      </w:r>
      <w:proofErr w:type="spellEnd"/>
      <w:r>
        <w:t xml:space="preserve"> Diagnostics,</w:t>
      </w:r>
      <w:r w:rsidR="00077478" w:rsidRPr="00077478">
        <w:t xml:space="preserve"> </w:t>
      </w:r>
      <w:proofErr w:type="spellStart"/>
      <w:r w:rsidR="00077478" w:rsidRPr="00077478">
        <w:t>bioMérieux</w:t>
      </w:r>
      <w:proofErr w:type="spellEnd"/>
      <w:r w:rsidR="00077478">
        <w:t>, Salt Lake City</w:t>
      </w:r>
      <w:r w:rsidR="00077478" w:rsidRPr="00077478">
        <w:t>, USA</w:t>
      </w:r>
      <w:r>
        <w:t>)</w:t>
      </w:r>
      <w:r w:rsidR="006163C0">
        <w:t xml:space="preserve"> at the point-of-care</w:t>
      </w:r>
      <w:r>
        <w:t>.</w:t>
      </w:r>
      <w:r w:rsidR="00B047EA">
        <w:t xml:space="preserve"> </w:t>
      </w:r>
      <w:r w:rsidR="00077478">
        <w:t xml:space="preserve">Clinical staff </w:t>
      </w:r>
      <w:r w:rsidR="006163C0">
        <w:t>caring for</w:t>
      </w:r>
      <w:r w:rsidR="00077478">
        <w:t xml:space="preserve"> the patient, and the hospital infection control team,</w:t>
      </w:r>
      <w:r w:rsidR="00B047EA">
        <w:t xml:space="preserve"> were informed of the</w:t>
      </w:r>
      <w:r w:rsidR="00077478">
        <w:t xml:space="preserve"> mPOCT</w:t>
      </w:r>
      <w:r w:rsidR="00B047EA">
        <w:t xml:space="preserve"> result</w:t>
      </w:r>
      <w:r w:rsidR="00077478">
        <w:t xml:space="preserve"> directly. The </w:t>
      </w:r>
      <w:r w:rsidR="00EF1518">
        <w:t>FilmArray</w:t>
      </w:r>
      <w:r w:rsidR="00077478">
        <w:t xml:space="preserve"> testing units </w:t>
      </w:r>
      <w:proofErr w:type="gramStart"/>
      <w:r w:rsidR="00077478">
        <w:t>were located in</w:t>
      </w:r>
      <w:proofErr w:type="gramEnd"/>
      <w:r w:rsidR="00077478">
        <w:t xml:space="preserve"> </w:t>
      </w:r>
      <w:r w:rsidR="006163C0">
        <w:t xml:space="preserve">dedicated areas within </w:t>
      </w:r>
      <w:r w:rsidR="00077478">
        <w:t xml:space="preserve">the </w:t>
      </w:r>
      <w:r w:rsidR="004E7E3E">
        <w:t>AMU and ASU.</w:t>
      </w:r>
      <w:r w:rsidR="00F37549">
        <w:t xml:space="preserve"> </w:t>
      </w:r>
      <w:bookmarkStart w:id="6" w:name="_Hlk120879818"/>
      <w:r w:rsidR="00303CF2">
        <w:t>If a rectal swab was obtained, a subsequent stool sample was obtained whenever possible.</w:t>
      </w:r>
      <w:bookmarkEnd w:id="6"/>
      <w:r w:rsidR="003C5B5B">
        <w:t xml:space="preserve"> </w:t>
      </w:r>
      <w:bookmarkStart w:id="7" w:name="_Hlk120881249"/>
      <w:r w:rsidR="00F621C5">
        <w:t>The mPOCT analysers were operated by members of the research team.</w:t>
      </w:r>
      <w:bookmarkEnd w:id="7"/>
    </w:p>
    <w:p w14:paraId="1B876F08" w14:textId="36978F42" w:rsidR="00424D37" w:rsidRDefault="00424D37" w:rsidP="0032744A">
      <w:bookmarkStart w:id="8" w:name="_Hlk120880080"/>
      <w:bookmarkStart w:id="9" w:name="_Hlk120880015"/>
      <w:r>
        <w:lastRenderedPageBreak/>
        <w:t xml:space="preserve">Patients </w:t>
      </w:r>
      <w:r w:rsidR="00077478">
        <w:t xml:space="preserve">randomly assigned to </w:t>
      </w:r>
      <w:r w:rsidR="003134D3">
        <w:t>receive</w:t>
      </w:r>
      <w:r>
        <w:t xml:space="preserve"> routine clinical care (control group) had </w:t>
      </w:r>
      <w:r w:rsidR="006163C0">
        <w:t>stool testing performed</w:t>
      </w:r>
      <w:r w:rsidR="00303CF2">
        <w:t xml:space="preserve"> by standard laboratory testing</w:t>
      </w:r>
      <w:r w:rsidR="006163C0">
        <w:t xml:space="preserve"> at the discretion of the clinical team</w:t>
      </w:r>
      <w:bookmarkEnd w:id="8"/>
      <w:bookmarkEnd w:id="9"/>
      <w:r w:rsidR="00D850F5">
        <w:t>.</w:t>
      </w:r>
      <w:r w:rsidR="00FF7B0E">
        <w:t xml:space="preserve"> In addition, </w:t>
      </w:r>
      <w:r w:rsidR="00455845">
        <w:t xml:space="preserve">all </w:t>
      </w:r>
      <w:r w:rsidR="00FF7B0E">
        <w:t>patients in</w:t>
      </w:r>
      <w:r w:rsidR="006163C0">
        <w:t xml:space="preserve"> the control group also had a</w:t>
      </w:r>
      <w:r>
        <w:t xml:space="preserve"> stool sample and/or rectal swab taken (in</w:t>
      </w:r>
      <w:r w:rsidR="004E7E3E">
        <w:t>to</w:t>
      </w:r>
      <w:r>
        <w:t xml:space="preserve"> Carey-Blair media) and frozen at -80°C</w:t>
      </w:r>
      <w:r w:rsidR="00077478">
        <w:t xml:space="preserve">, and </w:t>
      </w:r>
      <w:r>
        <w:t>subsequent</w:t>
      </w:r>
      <w:r w:rsidR="00077478">
        <w:t>ly</w:t>
      </w:r>
      <w:r>
        <w:t xml:space="preserve"> </w:t>
      </w:r>
      <w:r w:rsidR="00077478">
        <w:t>analysed</w:t>
      </w:r>
      <w:r>
        <w:t xml:space="preserve"> using the FilmArray G</w:t>
      </w:r>
      <w:r w:rsidR="00346BFA">
        <w:t>astrointestinal</w:t>
      </w:r>
      <w:r>
        <w:t xml:space="preserve"> Panel </w:t>
      </w:r>
      <w:r w:rsidR="006163C0">
        <w:t>(</w:t>
      </w:r>
      <w:r>
        <w:t>at least 30 days after collection</w:t>
      </w:r>
      <w:r w:rsidR="006163C0">
        <w:t>) to allow direct comparison for pathogens not detected by</w:t>
      </w:r>
      <w:r w:rsidR="002D6669">
        <w:t xml:space="preserve"> routine clinical care</w:t>
      </w:r>
      <w:r>
        <w:t xml:space="preserve">. </w:t>
      </w:r>
    </w:p>
    <w:p w14:paraId="7767619A" w14:textId="63BC881C" w:rsidR="00B239B8" w:rsidRPr="0074078D" w:rsidRDefault="007D577F" w:rsidP="0074078D">
      <w:pPr>
        <w:keepNext/>
        <w:rPr>
          <w:vertAlign w:val="superscript"/>
        </w:rPr>
      </w:pPr>
      <w:r>
        <w:t>The FilmArray G</w:t>
      </w:r>
      <w:r w:rsidR="00346BFA">
        <w:t>astrointestinal</w:t>
      </w:r>
      <w:r>
        <w:t xml:space="preserve"> Panel </w:t>
      </w:r>
      <w:r w:rsidR="00EF1518">
        <w:t xml:space="preserve">gives a result in about </w:t>
      </w:r>
      <w:r w:rsidR="00EF1518" w:rsidRPr="00F8348D">
        <w:t>60</w:t>
      </w:r>
      <w:r w:rsidR="00EF1518">
        <w:t xml:space="preserve"> minutes and detects 22 pathogens: </w:t>
      </w:r>
      <w:r w:rsidR="00EF1518" w:rsidRPr="00EF1518">
        <w:t>Bacteria</w:t>
      </w:r>
      <w:r w:rsidR="00EF1518">
        <w:t xml:space="preserve">: </w:t>
      </w:r>
      <w:r w:rsidR="00EF1518" w:rsidRPr="00CD3080">
        <w:rPr>
          <w:i/>
        </w:rPr>
        <w:t xml:space="preserve">Campylobacter </w:t>
      </w:r>
      <w:r w:rsidR="00EF1518" w:rsidRPr="00EF1518">
        <w:t>(</w:t>
      </w:r>
      <w:proofErr w:type="spellStart"/>
      <w:r w:rsidR="00EF1518" w:rsidRPr="00CD3080">
        <w:rPr>
          <w:i/>
        </w:rPr>
        <w:t>jejuni</w:t>
      </w:r>
      <w:proofErr w:type="spellEnd"/>
      <w:r w:rsidR="00EF1518" w:rsidRPr="00CD3080">
        <w:rPr>
          <w:i/>
        </w:rPr>
        <w:t xml:space="preserve">, coli </w:t>
      </w:r>
      <w:r w:rsidR="00EF1518" w:rsidRPr="00CD3080">
        <w:t xml:space="preserve">and </w:t>
      </w:r>
      <w:proofErr w:type="spellStart"/>
      <w:r w:rsidR="00EF1518" w:rsidRPr="00CD3080">
        <w:rPr>
          <w:i/>
        </w:rPr>
        <w:t>upsaliensis</w:t>
      </w:r>
      <w:proofErr w:type="spellEnd"/>
      <w:r w:rsidR="00EF1518" w:rsidRPr="00EF1518">
        <w:t>),</w:t>
      </w:r>
      <w:r w:rsidR="00EF1518" w:rsidRPr="00CD3080">
        <w:rPr>
          <w:i/>
        </w:rPr>
        <w:t xml:space="preserve"> </w:t>
      </w:r>
      <w:proofErr w:type="spellStart"/>
      <w:r w:rsidR="00EF1518" w:rsidRPr="00CD3080">
        <w:rPr>
          <w:i/>
        </w:rPr>
        <w:t>Clostridi</w:t>
      </w:r>
      <w:r w:rsidR="00EF1518">
        <w:rPr>
          <w:i/>
        </w:rPr>
        <w:t>oides</w:t>
      </w:r>
      <w:proofErr w:type="spellEnd"/>
      <w:r w:rsidR="00EF1518" w:rsidRPr="00CD3080">
        <w:rPr>
          <w:i/>
        </w:rPr>
        <w:t xml:space="preserve"> difficile</w:t>
      </w:r>
      <w:r w:rsidR="00EF1518" w:rsidRPr="00CD3080">
        <w:t xml:space="preserve"> (toxin </w:t>
      </w:r>
      <w:r w:rsidR="00EF1518" w:rsidRPr="00A069C9">
        <w:t>A/B)</w:t>
      </w:r>
      <w:r w:rsidR="00EF1518" w:rsidRPr="00455845">
        <w:t xml:space="preserve">, </w:t>
      </w:r>
      <w:proofErr w:type="spellStart"/>
      <w:r w:rsidR="00EF1518" w:rsidRPr="004D2075">
        <w:rPr>
          <w:i/>
        </w:rPr>
        <w:t>Plesiomonas</w:t>
      </w:r>
      <w:proofErr w:type="spellEnd"/>
      <w:r w:rsidR="00EF1518" w:rsidRPr="004D2075">
        <w:rPr>
          <w:i/>
        </w:rPr>
        <w:t xml:space="preserve"> </w:t>
      </w:r>
      <w:proofErr w:type="spellStart"/>
      <w:r w:rsidR="00EF1518" w:rsidRPr="004D2075">
        <w:rPr>
          <w:i/>
        </w:rPr>
        <w:t>shigelloides</w:t>
      </w:r>
      <w:proofErr w:type="spellEnd"/>
      <w:r w:rsidR="00EF1518" w:rsidRPr="008A0A20">
        <w:t>,</w:t>
      </w:r>
      <w:r w:rsidR="00EF1518" w:rsidRPr="008A0A20">
        <w:rPr>
          <w:i/>
        </w:rPr>
        <w:t xml:space="preserve"> Salmonella</w:t>
      </w:r>
      <w:r w:rsidR="002D6669" w:rsidRPr="0063788A">
        <w:rPr>
          <w:i/>
        </w:rPr>
        <w:t xml:space="preserve"> </w:t>
      </w:r>
      <w:proofErr w:type="spellStart"/>
      <w:r w:rsidR="002D6669" w:rsidRPr="0063788A">
        <w:rPr>
          <w:i/>
        </w:rPr>
        <w:t>sp</w:t>
      </w:r>
      <w:proofErr w:type="spellEnd"/>
      <w:r w:rsidR="00EF1518" w:rsidRPr="0063788A">
        <w:t>,</w:t>
      </w:r>
      <w:r w:rsidR="00EF1518" w:rsidRPr="00A069C9">
        <w:t xml:space="preserve"> </w:t>
      </w:r>
      <w:r w:rsidR="00EF1518" w:rsidRPr="00A069C9">
        <w:rPr>
          <w:i/>
        </w:rPr>
        <w:t>Yersinia enterocolitica</w:t>
      </w:r>
      <w:r w:rsidR="00EF1518" w:rsidRPr="00A069C9">
        <w:t xml:space="preserve">, </w:t>
      </w:r>
      <w:r w:rsidR="00EF1518" w:rsidRPr="00A069C9">
        <w:rPr>
          <w:i/>
        </w:rPr>
        <w:t xml:space="preserve">Vibrio </w:t>
      </w:r>
      <w:r w:rsidR="00EF1518" w:rsidRPr="00A069C9">
        <w:t>(</w:t>
      </w:r>
      <w:r w:rsidR="00EF1518" w:rsidRPr="00A069C9">
        <w:rPr>
          <w:i/>
        </w:rPr>
        <w:t>parahaemolyticus</w:t>
      </w:r>
      <w:r w:rsidR="00EF1518" w:rsidRPr="00A069C9">
        <w:t>,</w:t>
      </w:r>
      <w:r w:rsidR="00EF1518" w:rsidRPr="00A069C9">
        <w:rPr>
          <w:i/>
        </w:rPr>
        <w:t xml:space="preserve"> vulnificus</w:t>
      </w:r>
      <w:r w:rsidR="00EF1518" w:rsidRPr="00A069C9">
        <w:t>,</w:t>
      </w:r>
      <w:r w:rsidR="00EF1518" w:rsidRPr="00A069C9">
        <w:rPr>
          <w:i/>
        </w:rPr>
        <w:t xml:space="preserve"> and cholerae</w:t>
      </w:r>
      <w:r w:rsidR="00EF1518" w:rsidRPr="00A069C9">
        <w:t>), Diarrh</w:t>
      </w:r>
      <w:r w:rsidR="004C5288" w:rsidRPr="00A069C9">
        <w:t>o</w:t>
      </w:r>
      <w:r w:rsidR="00EF1518" w:rsidRPr="00A069C9">
        <w:t xml:space="preserve">eagenic </w:t>
      </w:r>
      <w:r w:rsidR="00EF1518" w:rsidRPr="00A069C9">
        <w:rPr>
          <w:i/>
        </w:rPr>
        <w:t>E. coli/Shigella</w:t>
      </w:r>
      <w:r w:rsidR="00EF1518" w:rsidRPr="00A069C9">
        <w:t xml:space="preserve">: Enteroaggregative </w:t>
      </w:r>
      <w:r w:rsidR="00EF1518" w:rsidRPr="00A069C9">
        <w:rPr>
          <w:i/>
        </w:rPr>
        <w:t>E. coli</w:t>
      </w:r>
      <w:r w:rsidR="00EF1518" w:rsidRPr="00A069C9">
        <w:t xml:space="preserve"> (EAEC), Enteropathogenic </w:t>
      </w:r>
      <w:r w:rsidR="00EF1518" w:rsidRPr="00A069C9">
        <w:rPr>
          <w:i/>
        </w:rPr>
        <w:t>E. coli</w:t>
      </w:r>
      <w:r w:rsidR="00EF1518" w:rsidRPr="00A069C9">
        <w:t xml:space="preserve"> (EPEC), Enterotoxigenic </w:t>
      </w:r>
      <w:r w:rsidR="00EF1518" w:rsidRPr="00A069C9">
        <w:rPr>
          <w:i/>
        </w:rPr>
        <w:t>E. coli</w:t>
      </w:r>
      <w:r w:rsidR="00EF1518" w:rsidRPr="00A069C9">
        <w:t>(ETEC)</w:t>
      </w:r>
      <w:r w:rsidR="000B4AB9" w:rsidRPr="00A069C9">
        <w:t>,</w:t>
      </w:r>
      <w:r w:rsidR="00EF1518" w:rsidRPr="00A069C9">
        <w:t xml:space="preserve"> Shiga-like toxin-producing </w:t>
      </w:r>
      <w:r w:rsidR="00EF1518" w:rsidRPr="00455845">
        <w:rPr>
          <w:i/>
        </w:rPr>
        <w:t xml:space="preserve">E. </w:t>
      </w:r>
      <w:r w:rsidR="00EF1518" w:rsidRPr="00A069C9">
        <w:rPr>
          <w:i/>
        </w:rPr>
        <w:t>coli</w:t>
      </w:r>
      <w:r w:rsidR="00EF1518" w:rsidRPr="00A069C9">
        <w:t xml:space="preserve"> (STEC</w:t>
      </w:r>
      <w:r w:rsidR="00D850F5">
        <w:t>)</w:t>
      </w:r>
      <w:r w:rsidR="00F621C5">
        <w:t xml:space="preserve"> </w:t>
      </w:r>
      <w:r w:rsidR="00FC05FD" w:rsidRPr="00A069C9">
        <w:t>stx1/stx2</w:t>
      </w:r>
      <w:r w:rsidR="00EF1518" w:rsidRPr="00A069C9">
        <w:t xml:space="preserve">, </w:t>
      </w:r>
      <w:r w:rsidR="00EF1518" w:rsidRPr="00A069C9">
        <w:rPr>
          <w:i/>
        </w:rPr>
        <w:t>E. coli O157</w:t>
      </w:r>
      <w:r w:rsidR="00EF1518" w:rsidRPr="00455845">
        <w:t>,</w:t>
      </w:r>
      <w:r w:rsidR="00EF1518" w:rsidRPr="004D2075">
        <w:t xml:space="preserve"> </w:t>
      </w:r>
      <w:r w:rsidR="00EF1518" w:rsidRPr="008A0A20">
        <w:rPr>
          <w:i/>
        </w:rPr>
        <w:t>Shigella</w:t>
      </w:r>
      <w:r w:rsidR="00EF1518" w:rsidRPr="008A0A20">
        <w:t>/</w:t>
      </w:r>
      <w:proofErr w:type="spellStart"/>
      <w:r w:rsidR="00EF1518" w:rsidRPr="008A0A20">
        <w:t>Enteroinvasive</w:t>
      </w:r>
      <w:proofErr w:type="spellEnd"/>
      <w:r w:rsidR="00EF1518" w:rsidRPr="008A0A20">
        <w:t xml:space="preserve"> </w:t>
      </w:r>
      <w:r w:rsidR="00EF1518" w:rsidRPr="0063788A">
        <w:rPr>
          <w:i/>
        </w:rPr>
        <w:t>E. coli</w:t>
      </w:r>
      <w:r w:rsidR="00EF1518" w:rsidRPr="0063788A">
        <w:t xml:space="preserve"> </w:t>
      </w:r>
      <w:r w:rsidR="00EF1518" w:rsidRPr="00A069C9">
        <w:t>(EIEC)</w:t>
      </w:r>
      <w:r w:rsidR="002F7D20" w:rsidRPr="00A069C9">
        <w:t>;</w:t>
      </w:r>
      <w:r w:rsidR="00EF1518" w:rsidRPr="00A069C9">
        <w:t xml:space="preserve"> Parasites</w:t>
      </w:r>
      <w:r w:rsidR="002F7D20">
        <w:t>:</w:t>
      </w:r>
      <w:r w:rsidR="00EF1518">
        <w:t xml:space="preserve"> </w:t>
      </w:r>
      <w:r w:rsidR="00EF1518">
        <w:rPr>
          <w:i/>
        </w:rPr>
        <w:t>Cryptosporidium</w:t>
      </w:r>
      <w:r w:rsidR="00EF1518" w:rsidRPr="00EF1518">
        <w:t>,</w:t>
      </w:r>
      <w:r w:rsidR="00EF1518">
        <w:t xml:space="preserve"> </w:t>
      </w:r>
      <w:r w:rsidR="00EF1518" w:rsidRPr="00CD3080">
        <w:rPr>
          <w:i/>
        </w:rPr>
        <w:t>Cyclo</w:t>
      </w:r>
      <w:r w:rsidR="00EF1518">
        <w:rPr>
          <w:i/>
        </w:rPr>
        <w:t xml:space="preserve">spora </w:t>
      </w:r>
      <w:proofErr w:type="spellStart"/>
      <w:r w:rsidR="00EF1518">
        <w:rPr>
          <w:i/>
        </w:rPr>
        <w:t>cayetanensis</w:t>
      </w:r>
      <w:proofErr w:type="spellEnd"/>
      <w:r w:rsidR="00EF1518" w:rsidRPr="00EF1518">
        <w:t>,</w:t>
      </w:r>
      <w:r w:rsidR="00EF1518">
        <w:t xml:space="preserve"> </w:t>
      </w:r>
      <w:r w:rsidR="00EF1518" w:rsidRPr="00CD3080">
        <w:rPr>
          <w:i/>
        </w:rPr>
        <w:t>Entamoeba histolytica</w:t>
      </w:r>
      <w:r w:rsidR="00EF1518" w:rsidRPr="00EF1518">
        <w:t>,</w:t>
      </w:r>
      <w:r w:rsidR="00EF1518">
        <w:t xml:space="preserve"> </w:t>
      </w:r>
      <w:r w:rsidR="00EF1518" w:rsidRPr="00CD3080">
        <w:rPr>
          <w:i/>
        </w:rPr>
        <w:t>Giardia lamblia</w:t>
      </w:r>
      <w:r w:rsidR="002F7D20">
        <w:t>;</w:t>
      </w:r>
      <w:r w:rsidR="00EF1518">
        <w:t xml:space="preserve"> </w:t>
      </w:r>
      <w:r w:rsidR="00EF1518" w:rsidRPr="00EF1518">
        <w:t>Viruses</w:t>
      </w:r>
      <w:r w:rsidR="002F7D20">
        <w:t>:</w:t>
      </w:r>
      <w:r w:rsidR="00EF1518">
        <w:t xml:space="preserve"> Adenovirus F40/41, Astrovirus, Norovirus GI/GII, Rotavirus A, and </w:t>
      </w:r>
      <w:proofErr w:type="spellStart"/>
      <w:r w:rsidR="00EF1518" w:rsidRPr="00CD3080">
        <w:t>Sapovirus</w:t>
      </w:r>
      <w:proofErr w:type="spellEnd"/>
      <w:r w:rsidR="00EF1518" w:rsidRPr="00CD3080">
        <w:t xml:space="preserve"> (I, II, IV and V)</w:t>
      </w:r>
      <w:r w:rsidR="00EF1518">
        <w:t>.</w:t>
      </w:r>
      <w:r w:rsidR="00DE7B16" w:rsidRPr="000B0F01">
        <w:rPr>
          <w:vertAlign w:val="superscript"/>
        </w:rPr>
        <w:t>1</w:t>
      </w:r>
      <w:r w:rsidR="000B6F1C" w:rsidRPr="000B0F01">
        <w:rPr>
          <w:vertAlign w:val="superscript"/>
        </w:rPr>
        <w:t>6</w:t>
      </w:r>
      <w:r w:rsidR="00B239B8">
        <w:rPr>
          <w:vertAlign w:val="superscript"/>
        </w:rPr>
        <w:t xml:space="preserve"> </w:t>
      </w:r>
    </w:p>
    <w:p w14:paraId="2B067217" w14:textId="3E04EC67" w:rsidR="006C7758" w:rsidRPr="0002415A" w:rsidRDefault="0024654D" w:rsidP="00B239B8">
      <w:r>
        <w:t>The on-site microbiology</w:t>
      </w:r>
      <w:r w:rsidR="00FA4C01">
        <w:t xml:space="preserve"> laboratory</w:t>
      </w:r>
      <w:r>
        <w:t xml:space="preserve"> used</w:t>
      </w:r>
      <w:r w:rsidR="0074078D">
        <w:t xml:space="preserve"> </w:t>
      </w:r>
      <w:r w:rsidR="00A95C43">
        <w:t>a variety of diagnostic methods for the detection of gastrointestinal pathogens including</w:t>
      </w:r>
      <w:r w:rsidR="00166BEB">
        <w:t>:</w:t>
      </w:r>
      <w:r w:rsidR="00A95C43">
        <w:t xml:space="preserve"> culture for </w:t>
      </w:r>
      <w:r w:rsidR="00A95C43" w:rsidRPr="009868F9">
        <w:rPr>
          <w:i/>
          <w:iCs/>
        </w:rPr>
        <w:t>Salmonella, Shigella, Campylobacter</w:t>
      </w:r>
      <w:r w:rsidR="00A95C43" w:rsidRPr="00A95C43">
        <w:t xml:space="preserve">, and </w:t>
      </w:r>
      <w:r w:rsidR="00A95C43" w:rsidRPr="009868F9">
        <w:rPr>
          <w:i/>
          <w:iCs/>
        </w:rPr>
        <w:t>E.</w:t>
      </w:r>
      <w:r w:rsidR="00136CC9">
        <w:rPr>
          <w:i/>
          <w:iCs/>
        </w:rPr>
        <w:t xml:space="preserve"> </w:t>
      </w:r>
      <w:r w:rsidR="00A95C43" w:rsidRPr="009868F9">
        <w:rPr>
          <w:i/>
          <w:iCs/>
        </w:rPr>
        <w:t>coli</w:t>
      </w:r>
      <w:r w:rsidR="00A95C43" w:rsidRPr="00A95C43">
        <w:t xml:space="preserve"> </w:t>
      </w:r>
      <w:r w:rsidR="00DC27BC">
        <w:t>O</w:t>
      </w:r>
      <w:r w:rsidR="00A95C43" w:rsidRPr="00A95C43">
        <w:t>157</w:t>
      </w:r>
      <w:r w:rsidR="00166BEB">
        <w:t>;</w:t>
      </w:r>
      <w:r w:rsidR="00A95C43">
        <w:t xml:space="preserve"> </w:t>
      </w:r>
      <w:r w:rsidR="0074078D">
        <w:t>the</w:t>
      </w:r>
      <w:r w:rsidR="00FF0633">
        <w:t xml:space="preserve"> </w:t>
      </w:r>
      <w:proofErr w:type="spellStart"/>
      <w:r w:rsidR="00FF0633">
        <w:t>EntericBio</w:t>
      </w:r>
      <w:proofErr w:type="spellEnd"/>
      <w:r w:rsidR="00FF0633">
        <w:t xml:space="preserve"> </w:t>
      </w:r>
      <w:r w:rsidR="00BD2ADB">
        <w:t xml:space="preserve">PCR </w:t>
      </w:r>
      <w:r w:rsidR="00FF0633">
        <w:t>system (</w:t>
      </w:r>
      <w:proofErr w:type="spellStart"/>
      <w:r w:rsidR="00FF0633">
        <w:t>Serosep</w:t>
      </w:r>
      <w:proofErr w:type="spellEnd"/>
      <w:r w:rsidR="00FF0633">
        <w:t>, Ireland/UK) for bacterial</w:t>
      </w:r>
      <w:r w:rsidR="00166BEB">
        <w:t xml:space="preserve"> pathogens</w:t>
      </w:r>
      <w:r w:rsidR="00BD2ADB">
        <w:t xml:space="preserve"> (</w:t>
      </w:r>
      <w:r w:rsidR="00BD2ADB">
        <w:rPr>
          <w:i/>
          <w:iCs/>
        </w:rPr>
        <w:t xml:space="preserve">Salmonella, </w:t>
      </w:r>
      <w:r w:rsidR="00136CC9">
        <w:rPr>
          <w:i/>
          <w:iCs/>
        </w:rPr>
        <w:t xml:space="preserve">Shigella, Campylobacter, Verotoxigenic E. coli, </w:t>
      </w:r>
      <w:r w:rsidR="00073252">
        <w:rPr>
          <w:i/>
          <w:iCs/>
        </w:rPr>
        <w:t xml:space="preserve">plus </w:t>
      </w:r>
      <w:r w:rsidR="00136CC9">
        <w:rPr>
          <w:i/>
          <w:iCs/>
        </w:rPr>
        <w:t>Cryptosporidium</w:t>
      </w:r>
      <w:r w:rsidR="00073252">
        <w:rPr>
          <w:i/>
          <w:iCs/>
        </w:rPr>
        <w:t xml:space="preserve"> and</w:t>
      </w:r>
      <w:r w:rsidR="00136CC9">
        <w:rPr>
          <w:i/>
          <w:iCs/>
        </w:rPr>
        <w:t xml:space="preserve"> Giardia</w:t>
      </w:r>
      <w:r w:rsidR="00166BEB">
        <w:t>)</w:t>
      </w:r>
      <w:r w:rsidR="009D2FA9">
        <w:t xml:space="preserve">, </w:t>
      </w:r>
      <w:proofErr w:type="spellStart"/>
      <w:r w:rsidR="009D2FA9">
        <w:rPr>
          <w:i/>
        </w:rPr>
        <w:t>Clostridioides</w:t>
      </w:r>
      <w:proofErr w:type="spellEnd"/>
      <w:r w:rsidR="009D2FA9">
        <w:rPr>
          <w:i/>
        </w:rPr>
        <w:t xml:space="preserve"> difficile</w:t>
      </w:r>
      <w:r w:rsidR="00D850F5" w:rsidRPr="00D850F5">
        <w:rPr>
          <w:i/>
        </w:rPr>
        <w:t xml:space="preserve"> </w:t>
      </w:r>
      <w:r w:rsidR="00D850F5">
        <w:rPr>
          <w:i/>
        </w:rPr>
        <w:t>(in addition to toxin detection by enzyme immunoassay)</w:t>
      </w:r>
      <w:r w:rsidR="00D850F5">
        <w:t xml:space="preserve">, and separate  norovirus GI/GII </w:t>
      </w:r>
      <w:r w:rsidR="00FF0633" w:rsidRPr="00F8348D">
        <w:t>PCR</w:t>
      </w:r>
      <w:r w:rsidR="00166BEB">
        <w:t>;</w:t>
      </w:r>
      <w:r w:rsidR="00A95C43" w:rsidRPr="00F8348D">
        <w:t xml:space="preserve"> microscopy for ova, cysts and parasites</w:t>
      </w:r>
      <w:r w:rsidR="00166BEB">
        <w:t>;</w:t>
      </w:r>
      <w:r w:rsidR="00A95C43" w:rsidRPr="00F8348D">
        <w:t xml:space="preserve"> and </w:t>
      </w:r>
      <w:r w:rsidR="00A95C43" w:rsidRPr="00E86576">
        <w:t xml:space="preserve">antigen testing for adenovirus and rotavirus </w:t>
      </w:r>
      <w:r w:rsidR="00E86576">
        <w:t>(</w:t>
      </w:r>
      <w:proofErr w:type="spellStart"/>
      <w:r w:rsidR="00E86576">
        <w:t>bioNexia</w:t>
      </w:r>
      <w:proofErr w:type="spellEnd"/>
      <w:r w:rsidR="00E86576">
        <w:t xml:space="preserve"> Rota-Adeno, </w:t>
      </w:r>
      <w:proofErr w:type="spellStart"/>
      <w:r w:rsidR="00E86576" w:rsidRPr="00E86576">
        <w:t>bioMérieux</w:t>
      </w:r>
      <w:proofErr w:type="spellEnd"/>
      <w:r w:rsidR="00E86576">
        <w:t>, France).</w:t>
      </w:r>
    </w:p>
    <w:p w14:paraId="471029A5" w14:textId="77777777" w:rsidR="007B0814" w:rsidRDefault="007B0814" w:rsidP="00A55D80">
      <w:pPr>
        <w:pStyle w:val="Heading2"/>
      </w:pPr>
      <w:r w:rsidRPr="007B0814">
        <w:lastRenderedPageBreak/>
        <w:t>Outcomes</w:t>
      </w:r>
    </w:p>
    <w:p w14:paraId="657CA236" w14:textId="26A5EE41" w:rsidR="002F7AD1" w:rsidRDefault="002F7AD1" w:rsidP="0032744A">
      <w:r>
        <w:t xml:space="preserve">The primary outcome </w:t>
      </w:r>
      <w:r w:rsidR="005A789D">
        <w:t xml:space="preserve">measure </w:t>
      </w:r>
      <w:r>
        <w:t>was t</w:t>
      </w:r>
      <w:r w:rsidR="006B6505">
        <w:t>he duration of time in a single-</w:t>
      </w:r>
      <w:r>
        <w:t xml:space="preserve">occupancy room (known as a ‘side room’ in the NHS). This was chosen as </w:t>
      </w:r>
      <w:r w:rsidR="006B6505">
        <w:t>single-occupancy room</w:t>
      </w:r>
      <w:r w:rsidR="00D839D2">
        <w:t>s</w:t>
      </w:r>
      <w:r>
        <w:t xml:space="preserve"> </w:t>
      </w:r>
      <w:r w:rsidR="00D839D2">
        <w:t xml:space="preserve">are </w:t>
      </w:r>
      <w:r>
        <w:t>a finite hospital resource</w:t>
      </w:r>
      <w:r w:rsidR="005A789D">
        <w:t xml:space="preserve"> </w:t>
      </w:r>
      <w:r w:rsidR="002D6669">
        <w:t xml:space="preserve">and vital </w:t>
      </w:r>
      <w:r w:rsidR="005A789D">
        <w:t xml:space="preserve">for preventing transmissions of infection between </w:t>
      </w:r>
      <w:proofErr w:type="gramStart"/>
      <w:r w:rsidR="005A789D">
        <w:t>patients</w:t>
      </w:r>
      <w:r w:rsidR="002D6669">
        <w:t>,</w:t>
      </w:r>
      <w:r>
        <w:t xml:space="preserve"> and</w:t>
      </w:r>
      <w:proofErr w:type="gramEnd"/>
      <w:r>
        <w:t xml:space="preserve"> </w:t>
      </w:r>
      <w:r w:rsidR="0028252B">
        <w:t xml:space="preserve">was suggested by the </w:t>
      </w:r>
      <w:r w:rsidR="0028252B" w:rsidRPr="0028252B">
        <w:t xml:space="preserve">National Institute for Health and Care Excellence diagnostic assessment programme </w:t>
      </w:r>
      <w:r w:rsidR="0028252B">
        <w:t>review of this technology as detailed above</w:t>
      </w:r>
      <w:r w:rsidR="009868F9">
        <w:t>.</w:t>
      </w:r>
      <w:r w:rsidR="003B0BBA" w:rsidRPr="003B0BBA">
        <w:rPr>
          <w:vertAlign w:val="superscript"/>
        </w:rPr>
        <w:t>1</w:t>
      </w:r>
      <w:r w:rsidR="00F5782E">
        <w:rPr>
          <w:vertAlign w:val="superscript"/>
        </w:rPr>
        <w:t>9</w:t>
      </w:r>
      <w:r w:rsidR="0028252B">
        <w:t xml:space="preserve"> </w:t>
      </w:r>
      <w:bookmarkStart w:id="10" w:name="_Hlk120805833"/>
      <w:r w:rsidR="009618F0">
        <w:t xml:space="preserve">The duration of time in a side room was measured </w:t>
      </w:r>
      <w:r w:rsidR="00AC3C60">
        <w:t>for the whole of the admission to hospital, regardless of the time of gastrointestinal pathogen testing</w:t>
      </w:r>
      <w:r w:rsidR="009618F0">
        <w:t>.</w:t>
      </w:r>
      <w:bookmarkEnd w:id="10"/>
    </w:p>
    <w:p w14:paraId="1FF57A66" w14:textId="2FEB8819" w:rsidR="002F7AD1" w:rsidRDefault="005A789D" w:rsidP="009D3023">
      <w:r>
        <w:t>S</w:t>
      </w:r>
      <w:r w:rsidR="002F7AD1">
        <w:t>econdary outcome</w:t>
      </w:r>
      <w:r>
        <w:t xml:space="preserve"> measures </w:t>
      </w:r>
      <w:r w:rsidR="002F7AD1">
        <w:t xml:space="preserve"> included: duration of time in a side room for pathogen positive patients</w:t>
      </w:r>
      <w:r>
        <w:t xml:space="preserve"> (days)</w:t>
      </w:r>
      <w:r w:rsidR="002F7AD1">
        <w:t>, duration of time in a side room for pathogen negative patients</w:t>
      </w:r>
      <w:r>
        <w:t xml:space="preserve"> (days)</w:t>
      </w:r>
      <w:r w:rsidR="002F7AD1">
        <w:t xml:space="preserve">, proportion of patients isolated in a side room, </w:t>
      </w:r>
      <w:r w:rsidR="002F7AD1" w:rsidRPr="00CB7A88">
        <w:t>proportion of pathogen positive patients isolated in a side room, proportion of pathogen negative patients isolated in a side room,</w:t>
      </w:r>
      <w:r w:rsidR="002F7AD1">
        <w:t xml:space="preserve"> proportion of pathogen negative patients de-isolated, proportion of pathogen positive patient de-isolated, </w:t>
      </w:r>
      <w:r w:rsidR="002F7AD1" w:rsidRPr="004C5288">
        <w:t>time to de-isolation in pathogen negative patients</w:t>
      </w:r>
      <w:r>
        <w:t xml:space="preserve"> (days)</w:t>
      </w:r>
      <w:r w:rsidR="002F7AD1" w:rsidRPr="004C5288">
        <w:t>, proportion of patients treated with antibiotics,</w:t>
      </w:r>
      <w:r w:rsidR="002F7AD1">
        <w:t xml:space="preserve"> </w:t>
      </w:r>
      <w:r w:rsidR="00605F33">
        <w:t>d</w:t>
      </w:r>
      <w:r w:rsidR="002F7AD1">
        <w:t>uration of antibiotics</w:t>
      </w:r>
      <w:r>
        <w:t xml:space="preserve"> (days)</w:t>
      </w:r>
      <w:r w:rsidR="00605F33">
        <w:t>, d</w:t>
      </w:r>
      <w:r w:rsidR="002F7AD1">
        <w:t>uration of hospitalisation</w:t>
      </w:r>
      <w:r>
        <w:t xml:space="preserve"> (days)</w:t>
      </w:r>
      <w:r w:rsidR="00605F33">
        <w:t>, p</w:t>
      </w:r>
      <w:r w:rsidR="002F7AD1">
        <w:t>roportion of p</w:t>
      </w:r>
      <w:r w:rsidR="00605F33">
        <w:t xml:space="preserve">atients with a pathogen detected, </w:t>
      </w:r>
      <w:r w:rsidR="00605F33" w:rsidRPr="004C5288">
        <w:t>p</w:t>
      </w:r>
      <w:r w:rsidR="002F7AD1" w:rsidRPr="004C5288">
        <w:t>roportion of patients with</w:t>
      </w:r>
      <w:r w:rsidR="00605F33" w:rsidRPr="004C5288">
        <w:t xml:space="preserve"> a</w:t>
      </w:r>
      <w:r w:rsidR="002F7AD1" w:rsidRPr="004C5288">
        <w:t xml:space="preserve"> bacterial pathogen detected</w:t>
      </w:r>
      <w:r w:rsidR="00605F33">
        <w:t>, and the proportion of patients with m</w:t>
      </w:r>
      <w:r w:rsidR="002F7AD1">
        <w:t>issed diagnoses</w:t>
      </w:r>
      <w:r w:rsidR="00605F33">
        <w:t xml:space="preserve">, concordance between results obtained from rectal swab and stool culture, and time from sampling to availability of results </w:t>
      </w:r>
      <w:r>
        <w:t>(hours)</w:t>
      </w:r>
      <w:r w:rsidR="0079625A">
        <w:t>.</w:t>
      </w:r>
      <w:r>
        <w:t xml:space="preserve"> </w:t>
      </w:r>
      <w:r w:rsidR="00605F33">
        <w:t>Safety outcome measures included</w:t>
      </w:r>
      <w:r w:rsidR="004C5288">
        <w:t xml:space="preserve">: </w:t>
      </w:r>
      <w:r w:rsidR="002F7AD1">
        <w:t xml:space="preserve">ICU admissions, </w:t>
      </w:r>
      <w:r w:rsidR="009868F9">
        <w:t>30-day</w:t>
      </w:r>
      <w:r w:rsidR="002F7AD1">
        <w:t xml:space="preserve"> mortality, </w:t>
      </w:r>
      <w:r w:rsidR="00605F33">
        <w:t xml:space="preserve">and </w:t>
      </w:r>
      <w:r w:rsidR="002F7AD1">
        <w:t xml:space="preserve">representation </w:t>
      </w:r>
      <w:r w:rsidR="004E7E3E">
        <w:t xml:space="preserve">(without admission) </w:t>
      </w:r>
      <w:r w:rsidR="002F7AD1">
        <w:t>and readmission</w:t>
      </w:r>
      <w:r w:rsidR="00605F33">
        <w:t xml:space="preserve"> to hospital</w:t>
      </w:r>
      <w:r w:rsidR="002F7AD1">
        <w:t>.</w:t>
      </w:r>
      <w:r w:rsidR="00605F33">
        <w:t xml:space="preserve"> </w:t>
      </w:r>
      <w:r w:rsidR="00CB7A88">
        <w:t>Patient satisfaction scores</w:t>
      </w:r>
      <w:r w:rsidR="00847905">
        <w:t xml:space="preserve"> and other medication use</w:t>
      </w:r>
      <w:r w:rsidR="00CB7A88">
        <w:t xml:space="preserve"> were exploratory outcome</w:t>
      </w:r>
      <w:r w:rsidR="00847905">
        <w:t>s</w:t>
      </w:r>
      <w:r w:rsidR="00CB7A88">
        <w:t xml:space="preserve"> and are not reported here. </w:t>
      </w:r>
      <w:r w:rsidR="00313C54">
        <w:t xml:space="preserve">Complications including acute kidney injury </w:t>
      </w:r>
      <w:r w:rsidR="00B241F2">
        <w:t>and t</w:t>
      </w:r>
      <w:r w:rsidR="00B241F2" w:rsidRPr="00B241F2">
        <w:t>he time to treatment with antibiotics</w:t>
      </w:r>
      <w:r w:rsidR="00B241F2">
        <w:t xml:space="preserve"> </w:t>
      </w:r>
      <w:r w:rsidR="00313C54">
        <w:t>were planned as outcome</w:t>
      </w:r>
      <w:r w:rsidR="00B241F2">
        <w:t xml:space="preserve"> </w:t>
      </w:r>
      <w:proofErr w:type="gramStart"/>
      <w:r w:rsidR="00B241F2">
        <w:t>measure</w:t>
      </w:r>
      <w:r w:rsidR="00F621C5">
        <w:t>s</w:t>
      </w:r>
      <w:proofErr w:type="gramEnd"/>
      <w:r w:rsidR="00313C54">
        <w:t xml:space="preserve"> but data were unobtainable. </w:t>
      </w:r>
      <w:r w:rsidR="001B05AB" w:rsidRPr="001B05AB">
        <w:t xml:space="preserve">Time to patent </w:t>
      </w:r>
      <w:r w:rsidR="001B05AB" w:rsidRPr="001B05AB">
        <w:lastRenderedPageBreak/>
        <w:t xml:space="preserve">isolation was </w:t>
      </w:r>
      <w:r w:rsidR="001D49C1">
        <w:t xml:space="preserve">a planned outcome but was </w:t>
      </w:r>
      <w:r w:rsidR="001B05AB" w:rsidRPr="001B05AB">
        <w:t xml:space="preserve">not analysed as almost all patients were isolated at enrolment (table 1). </w:t>
      </w:r>
      <w:r w:rsidR="00AC29B8">
        <w:t>Where appropriate, a</w:t>
      </w:r>
      <w:r w:rsidR="00F34927">
        <w:t>ll outcomes were measured until discharge fr</w:t>
      </w:r>
      <w:r w:rsidR="00AC29B8">
        <w:t>om hospital or the first 30 days of hospitalisation, whichever was shorter, however antibiotic duration included what the patient was discharged with. Serious adverse events were reporte</w:t>
      </w:r>
      <w:r w:rsidR="000E3598">
        <w:t>d to the sponsor.</w:t>
      </w:r>
      <w:r w:rsidR="008A0A20">
        <w:t xml:space="preserve"> </w:t>
      </w:r>
    </w:p>
    <w:p w14:paraId="05C4BE72" w14:textId="6A4B5BB9" w:rsidR="00BB7230" w:rsidRDefault="002F74FB" w:rsidP="0032744A">
      <w:r>
        <w:t xml:space="preserve">For the </w:t>
      </w:r>
      <w:bookmarkStart w:id="11" w:name="_Hlk120720877"/>
      <w:r>
        <w:rPr>
          <w:i/>
        </w:rPr>
        <w:t>post hoc</w:t>
      </w:r>
      <w:r>
        <w:t xml:space="preserve"> </w:t>
      </w:r>
      <w:r w:rsidR="003966F6">
        <w:t xml:space="preserve">additional secondary outcome </w:t>
      </w:r>
      <w:r>
        <w:t xml:space="preserve">analysis </w:t>
      </w:r>
      <w:bookmarkEnd w:id="11"/>
      <w:r>
        <w:t>of inappropriate antibiotic use</w:t>
      </w:r>
      <w:r w:rsidR="00BB7230">
        <w:t xml:space="preserve">, </w:t>
      </w:r>
      <w:r w:rsidR="008B1108">
        <w:t xml:space="preserve">antibiotic prescriptions were reviewed by two independent infectious diseases physician researchers, with any disagreements adjudicated by a </w:t>
      </w:r>
      <w:r w:rsidR="00E83D66">
        <w:t xml:space="preserve">third </w:t>
      </w:r>
      <w:r w:rsidR="00E83D66" w:rsidRPr="00E83D66">
        <w:t xml:space="preserve">infectious diseases </w:t>
      </w:r>
      <w:r w:rsidR="005A789D">
        <w:t>researcher</w:t>
      </w:r>
      <w:r w:rsidR="008B1108">
        <w:t xml:space="preserve">. </w:t>
      </w:r>
      <w:bookmarkStart w:id="12" w:name="_Hlk121229502"/>
      <w:r w:rsidR="008B1108">
        <w:t xml:space="preserve">Appropriateness was based on </w:t>
      </w:r>
      <w:r w:rsidR="00BB7230">
        <w:t>a</w:t>
      </w:r>
      <w:r w:rsidR="00A069C9">
        <w:t xml:space="preserve"> retrospective </w:t>
      </w:r>
      <w:r w:rsidR="00BB7230">
        <w:t>assessment as to the clinical relevance of the pathogen</w:t>
      </w:r>
      <w:r w:rsidR="00A069C9">
        <w:t>s</w:t>
      </w:r>
      <w:r w:rsidR="00BB7230">
        <w:t xml:space="preserve"> detected, </w:t>
      </w:r>
      <w:r w:rsidR="005A789D">
        <w:t xml:space="preserve">the use of </w:t>
      </w:r>
      <w:r w:rsidR="008B1108">
        <w:t>antibiotic</w:t>
      </w:r>
      <w:r w:rsidR="005A789D">
        <w:t xml:space="preserve">s recommended by </w:t>
      </w:r>
      <w:r w:rsidR="008B1108">
        <w:t>national and international guidelines</w:t>
      </w:r>
      <w:r w:rsidR="009A1323">
        <w:t xml:space="preserve"> and on pathogen detection from FilmArray gastrointestinal panel testing </w:t>
      </w:r>
      <w:r w:rsidR="009B5DD5">
        <w:t xml:space="preserve">used either as mPOCT or </w:t>
      </w:r>
      <w:r w:rsidR="00BB7230">
        <w:t xml:space="preserve">retrospectively performed </w:t>
      </w:r>
      <w:r w:rsidR="009B5DD5">
        <w:t>on frozen samples</w:t>
      </w:r>
      <w:r w:rsidR="00B25086">
        <w:t xml:space="preserve"> in the control group</w:t>
      </w:r>
      <w:r w:rsidR="009A1323">
        <w:t xml:space="preserve">, </w:t>
      </w:r>
      <w:r w:rsidR="00BB7230">
        <w:t xml:space="preserve">in addition to pathogens detected by </w:t>
      </w:r>
      <w:r w:rsidR="00423EA0">
        <w:t xml:space="preserve">routine </w:t>
      </w:r>
      <w:r w:rsidR="009A1323">
        <w:t xml:space="preserve">laboratory testing where </w:t>
      </w:r>
      <w:r w:rsidR="00BB7230">
        <w:t>this was performed</w:t>
      </w:r>
      <w:bookmarkEnd w:id="12"/>
      <w:r w:rsidR="008B1108">
        <w:t>.</w:t>
      </w:r>
      <w:r w:rsidR="00357D64">
        <w:rPr>
          <w:vertAlign w:val="superscript"/>
        </w:rPr>
        <w:t>1</w:t>
      </w:r>
      <w:r w:rsidR="0025083B">
        <w:rPr>
          <w:vertAlign w:val="superscript"/>
        </w:rPr>
        <w:t>3</w:t>
      </w:r>
      <w:r w:rsidR="004834EB" w:rsidRPr="004834EB">
        <w:rPr>
          <w:vertAlign w:val="superscript"/>
        </w:rPr>
        <w:t>,</w:t>
      </w:r>
      <w:r w:rsidR="0025083B">
        <w:rPr>
          <w:vertAlign w:val="superscript"/>
        </w:rPr>
        <w:t>2</w:t>
      </w:r>
      <w:r w:rsidR="00F5782E">
        <w:rPr>
          <w:vertAlign w:val="superscript"/>
        </w:rPr>
        <w:t>1</w:t>
      </w:r>
      <w:r w:rsidR="008B1108">
        <w:t xml:space="preserve"> </w:t>
      </w:r>
      <w:r w:rsidR="004834EB">
        <w:t xml:space="preserve">Antibiotics not active against </w:t>
      </w:r>
      <w:proofErr w:type="spellStart"/>
      <w:r w:rsidR="004834EB">
        <w:rPr>
          <w:i/>
        </w:rPr>
        <w:t>Clostridioides</w:t>
      </w:r>
      <w:proofErr w:type="spellEnd"/>
      <w:r w:rsidR="004834EB">
        <w:rPr>
          <w:i/>
        </w:rPr>
        <w:t xml:space="preserve"> difficile </w:t>
      </w:r>
      <w:r w:rsidR="005A789D" w:rsidRPr="0032744A">
        <w:rPr>
          <w:iCs/>
        </w:rPr>
        <w:t xml:space="preserve">and </w:t>
      </w:r>
      <w:r w:rsidR="004834EB">
        <w:t xml:space="preserve">prescribed for gastrointestinal </w:t>
      </w:r>
      <w:r w:rsidR="005A789D">
        <w:t xml:space="preserve">illness </w:t>
      </w:r>
      <w:r w:rsidR="004834EB">
        <w:t xml:space="preserve">when </w:t>
      </w:r>
      <w:r w:rsidR="004834EB">
        <w:rPr>
          <w:i/>
        </w:rPr>
        <w:t xml:space="preserve">C. difficile </w:t>
      </w:r>
      <w:r w:rsidR="004834EB">
        <w:t xml:space="preserve">was detected </w:t>
      </w:r>
      <w:r w:rsidR="00BB7230">
        <w:t xml:space="preserve">and deemed to be causing disease </w:t>
      </w:r>
      <w:r w:rsidR="004834EB">
        <w:t xml:space="preserve">were </w:t>
      </w:r>
      <w:r w:rsidR="00FC283A">
        <w:t>termed</w:t>
      </w:r>
      <w:r w:rsidR="004834EB">
        <w:t xml:space="preserve"> inappropriate. Antibiotics given </w:t>
      </w:r>
      <w:r w:rsidR="005A789D">
        <w:t xml:space="preserve">for gastrointestinal illness </w:t>
      </w:r>
      <w:r w:rsidR="004834EB">
        <w:t xml:space="preserve">when </w:t>
      </w:r>
      <w:r w:rsidR="00BB7230">
        <w:t xml:space="preserve">no pathogen or only </w:t>
      </w:r>
      <w:r w:rsidR="004834EB">
        <w:t xml:space="preserve">a viral </w:t>
      </w:r>
      <w:r w:rsidR="005A789D">
        <w:t xml:space="preserve">pathogen </w:t>
      </w:r>
      <w:r w:rsidR="004834EB">
        <w:t>was detected were deemed inappropriate.</w:t>
      </w:r>
      <w:r w:rsidR="009D3023">
        <w:t xml:space="preserve"> </w:t>
      </w:r>
    </w:p>
    <w:p w14:paraId="60067095" w14:textId="5A83AFA4" w:rsidR="002F74FB" w:rsidRDefault="009D3023" w:rsidP="0032744A">
      <w:r>
        <w:t xml:space="preserve">The proportion of patients with bacterial gastroenteritis treated with antibiotics, </w:t>
      </w:r>
      <w:r w:rsidR="007B6312">
        <w:t xml:space="preserve">and </w:t>
      </w:r>
      <w:r>
        <w:t xml:space="preserve">proportion of patients without bacterial gastroenteritis treated with antibiotics were </w:t>
      </w:r>
      <w:r w:rsidR="00BB7230">
        <w:t xml:space="preserve">originally </w:t>
      </w:r>
      <w:r>
        <w:t xml:space="preserve">planned </w:t>
      </w:r>
      <w:r w:rsidR="00BB7230">
        <w:t xml:space="preserve">as secondary </w:t>
      </w:r>
      <w:r>
        <w:t>outcome measures</w:t>
      </w:r>
      <w:r w:rsidR="007B6312">
        <w:t>. After review</w:t>
      </w:r>
      <w:r w:rsidR="007E39CA">
        <w:t>,</w:t>
      </w:r>
      <w:r w:rsidR="007B6312">
        <w:t xml:space="preserve"> this data was instead analysed </w:t>
      </w:r>
      <w:r w:rsidR="007B6312" w:rsidRPr="00F621C5">
        <w:rPr>
          <w:i/>
          <w:iCs/>
        </w:rPr>
        <w:t>post hoc</w:t>
      </w:r>
      <w:r w:rsidR="007B6312">
        <w:t xml:space="preserve"> as antibiotic use by clinical diagnosis and according to individual pathogen</w:t>
      </w:r>
      <w:r w:rsidR="00B241F2">
        <w:t>s</w:t>
      </w:r>
      <w:r w:rsidR="007B6312">
        <w:t xml:space="preserve"> detected, due to the complexities caused by pathogen co-detection and other factors.</w:t>
      </w:r>
    </w:p>
    <w:p w14:paraId="3BF030C5" w14:textId="5E6CF457" w:rsidR="00C77F56" w:rsidRPr="004834EB" w:rsidRDefault="00337268" w:rsidP="0032744A">
      <w:bookmarkStart w:id="13" w:name="_Hlk120883803"/>
      <w:r>
        <w:lastRenderedPageBreak/>
        <w:t xml:space="preserve">Hospital infection control policy would permit immediate de-isolation based on test results. </w:t>
      </w:r>
      <w:bookmarkStart w:id="14" w:name="_Hlk121132125"/>
      <w:r w:rsidR="00C77F56">
        <w:t>The research team members had no influence over</w:t>
      </w:r>
      <w:r>
        <w:t xml:space="preserve"> de</w:t>
      </w:r>
      <w:r w:rsidR="00C77F56">
        <w:t xml:space="preserve">cisions relating to de-isolation, antibiotic management, </w:t>
      </w:r>
      <w:r w:rsidR="00BB7892">
        <w:t>or</w:t>
      </w:r>
      <w:r w:rsidR="00C77F56">
        <w:t xml:space="preserve"> other clinical </w:t>
      </w:r>
      <w:r w:rsidR="00BB7892">
        <w:t>or</w:t>
      </w:r>
      <w:r w:rsidR="00C77F56">
        <w:t xml:space="preserve"> patient-flow </w:t>
      </w:r>
      <w:bookmarkStart w:id="15" w:name="_Hlk120883218"/>
      <w:r w:rsidR="008F0F2D">
        <w:t>decisions</w:t>
      </w:r>
      <w:r>
        <w:t>.</w:t>
      </w:r>
      <w:bookmarkEnd w:id="14"/>
    </w:p>
    <w:bookmarkEnd w:id="13"/>
    <w:bookmarkEnd w:id="15"/>
    <w:p w14:paraId="3AC58A16" w14:textId="77777777" w:rsidR="008C3A7C" w:rsidRDefault="004C733E" w:rsidP="00A55D80">
      <w:pPr>
        <w:pStyle w:val="Heading2"/>
      </w:pPr>
      <w:r w:rsidRPr="004C733E">
        <w:t xml:space="preserve">Sample size </w:t>
      </w:r>
    </w:p>
    <w:p w14:paraId="159753E6" w14:textId="49FEEF96" w:rsidR="004C733E" w:rsidRDefault="000E3598" w:rsidP="00FF7B0E">
      <w:r>
        <w:t>The initial phase of this study wa</w:t>
      </w:r>
      <w:r w:rsidRPr="000F480F">
        <w:t xml:space="preserve">s </w:t>
      </w:r>
      <w:r>
        <w:t xml:space="preserve">designed as </w:t>
      </w:r>
      <w:r w:rsidRPr="000F480F">
        <w:t>a</w:t>
      </w:r>
      <w:r>
        <w:t>n internal</w:t>
      </w:r>
      <w:r w:rsidRPr="000F480F">
        <w:t xml:space="preserve"> pilot study </w:t>
      </w:r>
      <w:proofErr w:type="gramStart"/>
      <w:r w:rsidR="004C733E">
        <w:t>so as to</w:t>
      </w:r>
      <w:proofErr w:type="gramEnd"/>
      <w:r w:rsidR="004C733E">
        <w:t xml:space="preserve"> derive data to inform the sample size of the full study.  </w:t>
      </w:r>
      <w:r>
        <w:t xml:space="preserve">After recruiting </w:t>
      </w:r>
      <w:r w:rsidRPr="000F480F">
        <w:t>100 patient</w:t>
      </w:r>
      <w:r>
        <w:t>s</w:t>
      </w:r>
      <w:r w:rsidRPr="000F480F">
        <w:t xml:space="preserve"> </w:t>
      </w:r>
      <w:r>
        <w:t xml:space="preserve">(50 per group) we generated data on </w:t>
      </w:r>
      <w:r w:rsidR="00263764">
        <w:t>the</w:t>
      </w:r>
      <w:r>
        <w:t xml:space="preserve"> duration of </w:t>
      </w:r>
      <w:r w:rsidR="006B6505">
        <w:t xml:space="preserve">single-occupancy </w:t>
      </w:r>
      <w:r>
        <w:t xml:space="preserve">room use, and withdrawal rate, allowing us to calculate </w:t>
      </w:r>
      <w:r w:rsidR="00C91AB7">
        <w:t xml:space="preserve">the </w:t>
      </w:r>
      <w:r>
        <w:t xml:space="preserve">sample size </w:t>
      </w:r>
      <w:r w:rsidR="00A77D9D">
        <w:t xml:space="preserve">based on </w:t>
      </w:r>
      <w:r>
        <w:t xml:space="preserve">the primary outcome. 141 patients </w:t>
      </w:r>
      <w:r w:rsidRPr="000F480F">
        <w:t xml:space="preserve">per group </w:t>
      </w:r>
      <w:r w:rsidR="00A77D9D">
        <w:t>were</w:t>
      </w:r>
      <w:r>
        <w:t xml:space="preserve"> required </w:t>
      </w:r>
      <w:r w:rsidR="00A77D9D">
        <w:t xml:space="preserve">to </w:t>
      </w:r>
      <w:r w:rsidR="004C733E">
        <w:t xml:space="preserve">provide </w:t>
      </w:r>
      <w:r w:rsidR="00B34652">
        <w:t>9</w:t>
      </w:r>
      <w:r w:rsidRPr="000F480F">
        <w:t>0% power</w:t>
      </w:r>
      <w:r w:rsidR="004C733E">
        <w:t>,</w:t>
      </w:r>
      <w:r w:rsidRPr="000F480F">
        <w:t xml:space="preserve"> at a 0</w:t>
      </w:r>
      <w:r w:rsidR="00725337">
        <w:rPr>
          <w:rFonts w:eastAsia="Times New Roman" w:cs="Arial"/>
          <w:color w:val="000000"/>
          <w:lang w:eastAsia="en-GB"/>
        </w:rPr>
        <w:t>·</w:t>
      </w:r>
      <w:r w:rsidRPr="000F480F">
        <w:t>05 significance level</w:t>
      </w:r>
      <w:r w:rsidR="004C733E">
        <w:t xml:space="preserve">, </w:t>
      </w:r>
      <w:r w:rsidRPr="000F480F">
        <w:t xml:space="preserve">to detect a </w:t>
      </w:r>
      <w:proofErr w:type="gramStart"/>
      <w:r w:rsidR="004C733E">
        <w:t>1</w:t>
      </w:r>
      <w:r>
        <w:t xml:space="preserve"> day</w:t>
      </w:r>
      <w:proofErr w:type="gramEnd"/>
      <w:r>
        <w:t xml:space="preserve"> </w:t>
      </w:r>
      <w:r w:rsidRPr="000F480F">
        <w:t xml:space="preserve">reduction in </w:t>
      </w:r>
      <w:r>
        <w:t xml:space="preserve">the mean duration of </w:t>
      </w:r>
      <w:r w:rsidR="006B6505">
        <w:t>single-occupancy</w:t>
      </w:r>
      <w:r w:rsidRPr="000F480F">
        <w:t xml:space="preserve"> room use</w:t>
      </w:r>
      <w:r>
        <w:t>,</w:t>
      </w:r>
      <w:r w:rsidRPr="000F480F">
        <w:t xml:space="preserve"> </w:t>
      </w:r>
      <w:r>
        <w:t xml:space="preserve">from 3 to 2 days (with a </w:t>
      </w:r>
      <w:r w:rsidR="003E0584">
        <w:t>variance</w:t>
      </w:r>
      <w:r>
        <w:t xml:space="preserve"> of 6</w:t>
      </w:r>
      <w:r w:rsidR="00D40694">
        <w:rPr>
          <w:rFonts w:eastAsia="Times New Roman" w:cs="Arial"/>
          <w:color w:val="000000"/>
          <w:lang w:eastAsia="en-GB"/>
        </w:rPr>
        <w:t>·</w:t>
      </w:r>
      <w:r w:rsidR="00A014F0">
        <w:t>7</w:t>
      </w:r>
      <w:r>
        <w:t xml:space="preserve"> days). </w:t>
      </w:r>
      <w:r w:rsidR="00EC1B37">
        <w:t xml:space="preserve">We </w:t>
      </w:r>
      <w:r w:rsidRPr="000F480F">
        <w:t>considered</w:t>
      </w:r>
      <w:r w:rsidR="00EC1B37">
        <w:t xml:space="preserve"> this reduction</w:t>
      </w:r>
      <w:r w:rsidRPr="000F480F">
        <w:t xml:space="preserve"> </w:t>
      </w:r>
      <w:r w:rsidR="004C733E">
        <w:t xml:space="preserve">significant from an institutional and </w:t>
      </w:r>
      <w:r w:rsidR="00125FE9">
        <w:t>economical</w:t>
      </w:r>
      <w:r w:rsidR="004C733E">
        <w:t xml:space="preserve"> perspective</w:t>
      </w:r>
      <w:r w:rsidRPr="000F480F">
        <w:t>.</w:t>
      </w:r>
      <w:r>
        <w:t xml:space="preserve"> Allowing for a ~5% withdrawal rate we </w:t>
      </w:r>
      <w:r w:rsidR="00EC1B37">
        <w:t xml:space="preserve">aimed to </w:t>
      </w:r>
      <w:r>
        <w:t>recruit 150 patients per group (300 in total).</w:t>
      </w:r>
    </w:p>
    <w:p w14:paraId="0B75CCC1" w14:textId="77777777" w:rsidR="004C733E" w:rsidRPr="00FF7B0E" w:rsidRDefault="004C733E" w:rsidP="00A55D80">
      <w:pPr>
        <w:pStyle w:val="Heading2"/>
      </w:pPr>
      <w:r w:rsidRPr="007B0814">
        <w:t>Statistical analysis</w:t>
      </w:r>
    </w:p>
    <w:p w14:paraId="4DB4C55A" w14:textId="724EA778" w:rsidR="002D4696" w:rsidRDefault="007519B1" w:rsidP="0032744A">
      <w:r>
        <w:t xml:space="preserve">The trial design framework was superiority. </w:t>
      </w:r>
      <w:r w:rsidR="0037339D">
        <w:t xml:space="preserve">Analysis was by </w:t>
      </w:r>
      <w:r w:rsidR="00A27BFB">
        <w:t>intention-to-treat</w:t>
      </w:r>
      <w:r w:rsidR="00263929">
        <w:t xml:space="preserve">. </w:t>
      </w:r>
      <w:r w:rsidR="004C733E">
        <w:t xml:space="preserve">Statistical </w:t>
      </w:r>
      <w:r w:rsidR="00D146B2">
        <w:t>a</w:t>
      </w:r>
      <w:r w:rsidR="00263929">
        <w:t xml:space="preserve">nalyses were </w:t>
      </w:r>
      <w:r w:rsidR="005C1BF2">
        <w:t>performed</w:t>
      </w:r>
      <w:r w:rsidR="00263929">
        <w:t xml:space="preserve"> by </w:t>
      </w:r>
      <w:r w:rsidR="003E7981">
        <w:t xml:space="preserve">a </w:t>
      </w:r>
      <w:r w:rsidR="004C733E">
        <w:t xml:space="preserve">trial </w:t>
      </w:r>
      <w:r w:rsidR="003E7981">
        <w:t>statistician</w:t>
      </w:r>
      <w:r w:rsidR="00263929">
        <w:t xml:space="preserve"> </w:t>
      </w:r>
      <w:r w:rsidR="0037339D">
        <w:t xml:space="preserve">independent from the study team </w:t>
      </w:r>
      <w:r w:rsidR="00263929">
        <w:t xml:space="preserve">who was masked to group allocation. </w:t>
      </w:r>
      <w:r w:rsidR="0037339D" w:rsidRPr="0037339D">
        <w:t>The use of multiple imputation was planned should missing data exceed 5% for the primary outcome or for key secondary outcomes b</w:t>
      </w:r>
      <w:r w:rsidR="00F50726">
        <w:t>ut was not needed as missing data</w:t>
      </w:r>
      <w:r w:rsidR="0037339D" w:rsidRPr="0037339D">
        <w:t xml:space="preserve"> was below this threshold</w:t>
      </w:r>
      <w:r w:rsidR="002D4696">
        <w:t>.</w:t>
      </w:r>
      <w:r w:rsidR="0037339D" w:rsidRPr="0037339D">
        <w:t xml:space="preserve"> </w:t>
      </w:r>
      <w:r w:rsidR="002D4696">
        <w:t>T</w:t>
      </w:r>
      <w:r w:rsidR="0037339D">
        <w:t>he</w:t>
      </w:r>
      <w:r w:rsidR="00F50726">
        <w:t>re</w:t>
      </w:r>
      <w:r w:rsidR="0037339D">
        <w:t xml:space="preserve"> was no missing data for the</w:t>
      </w:r>
      <w:r w:rsidR="0037339D" w:rsidRPr="0037339D">
        <w:t xml:space="preserve"> primary outcome and </w:t>
      </w:r>
      <w:r w:rsidR="00F50726">
        <w:t>missing data</w:t>
      </w:r>
      <w:r w:rsidR="0037339D">
        <w:t xml:space="preserve"> was </w:t>
      </w:r>
      <w:r w:rsidR="0037339D" w:rsidRPr="0037339D">
        <w:t>&lt;</w:t>
      </w:r>
      <w:r w:rsidR="0037339D">
        <w:t>1</w:t>
      </w:r>
      <w:r w:rsidR="002D4696">
        <w:t>% overall</w:t>
      </w:r>
      <w:r w:rsidR="0037339D" w:rsidRPr="0037339D">
        <w:t>.</w:t>
      </w:r>
    </w:p>
    <w:p w14:paraId="49490C42" w14:textId="53DF9454" w:rsidR="00F50726" w:rsidRPr="002D4696" w:rsidRDefault="002D4696" w:rsidP="0032744A">
      <w:pPr>
        <w:rPr>
          <w:rFonts w:cstheme="minorHAnsi"/>
          <w:bCs/>
        </w:rPr>
      </w:pPr>
      <w:r w:rsidRPr="00644B6C">
        <w:rPr>
          <w:rFonts w:cstheme="minorHAnsi"/>
          <w:bCs/>
        </w:rPr>
        <w:t xml:space="preserve">Descriptive statistics </w:t>
      </w:r>
      <w:r>
        <w:rPr>
          <w:rFonts w:cstheme="minorHAnsi"/>
          <w:bCs/>
        </w:rPr>
        <w:t>were</w:t>
      </w:r>
      <w:r w:rsidRPr="00644B6C">
        <w:rPr>
          <w:rFonts w:cstheme="minorHAnsi"/>
          <w:bCs/>
        </w:rPr>
        <w:t xml:space="preserve"> used to summarise baseline demographic and clinical variables.</w:t>
      </w:r>
      <w:r>
        <w:rPr>
          <w:rFonts w:cstheme="minorHAnsi"/>
          <w:bCs/>
        </w:rPr>
        <w:t xml:space="preserve"> </w:t>
      </w:r>
      <w:r w:rsidRPr="00644B6C">
        <w:rPr>
          <w:rFonts w:cstheme="minorHAnsi"/>
          <w:bCs/>
        </w:rPr>
        <w:t xml:space="preserve">For continuous variables, the mean and standard deviation </w:t>
      </w:r>
      <w:r>
        <w:rPr>
          <w:rFonts w:cstheme="minorHAnsi"/>
          <w:bCs/>
        </w:rPr>
        <w:t xml:space="preserve">was used for </w:t>
      </w:r>
      <w:r w:rsidR="002D6669">
        <w:rPr>
          <w:rFonts w:cstheme="minorHAnsi"/>
          <w:bCs/>
        </w:rPr>
        <w:t>n</w:t>
      </w:r>
      <w:r>
        <w:rPr>
          <w:rFonts w:cstheme="minorHAnsi"/>
          <w:bCs/>
        </w:rPr>
        <w:t xml:space="preserve">ormally distributed </w:t>
      </w:r>
      <w:r>
        <w:rPr>
          <w:rFonts w:cstheme="minorHAnsi"/>
          <w:bCs/>
        </w:rPr>
        <w:lastRenderedPageBreak/>
        <w:t>data. For non-</w:t>
      </w:r>
      <w:r w:rsidR="002D6669">
        <w:rPr>
          <w:rFonts w:cstheme="minorHAnsi"/>
          <w:bCs/>
        </w:rPr>
        <w:t>n</w:t>
      </w:r>
      <w:r w:rsidRPr="00644B6C">
        <w:rPr>
          <w:rFonts w:cstheme="minorHAnsi"/>
          <w:bCs/>
        </w:rPr>
        <w:t>ormally distributed</w:t>
      </w:r>
      <w:r w:rsidR="000B4AB9">
        <w:rPr>
          <w:rFonts w:cstheme="minorHAnsi"/>
          <w:bCs/>
        </w:rPr>
        <w:t xml:space="preserve"> data</w:t>
      </w:r>
      <w:r w:rsidRPr="00644B6C">
        <w:rPr>
          <w:rFonts w:cstheme="minorHAnsi"/>
          <w:bCs/>
        </w:rPr>
        <w:t xml:space="preserve">, the median and interquartile range </w:t>
      </w:r>
      <w:r>
        <w:rPr>
          <w:rFonts w:cstheme="minorHAnsi"/>
          <w:bCs/>
        </w:rPr>
        <w:t>were</w:t>
      </w:r>
      <w:r w:rsidRPr="00644B6C">
        <w:rPr>
          <w:rFonts w:cstheme="minorHAnsi"/>
          <w:bCs/>
        </w:rPr>
        <w:t xml:space="preserve"> calculated. </w:t>
      </w:r>
      <w:r>
        <w:rPr>
          <w:rFonts w:cstheme="minorHAnsi"/>
          <w:bCs/>
        </w:rPr>
        <w:t>Categorical</w:t>
      </w:r>
      <w:r w:rsidRPr="00644B6C">
        <w:rPr>
          <w:rFonts w:cstheme="minorHAnsi"/>
          <w:bCs/>
        </w:rPr>
        <w:t xml:space="preserve"> or binary variables </w:t>
      </w:r>
      <w:r>
        <w:rPr>
          <w:rFonts w:cstheme="minorHAnsi"/>
          <w:bCs/>
        </w:rPr>
        <w:t>were</w:t>
      </w:r>
      <w:r w:rsidRPr="00644B6C">
        <w:rPr>
          <w:rFonts w:cstheme="minorHAnsi"/>
          <w:bCs/>
        </w:rPr>
        <w:t xml:space="preserve"> summarised as frequency and percentage of total.</w:t>
      </w:r>
      <w:r w:rsidR="0037339D" w:rsidRPr="0037339D">
        <w:t xml:space="preserve">  </w:t>
      </w:r>
    </w:p>
    <w:p w14:paraId="176C52A5" w14:textId="01109632" w:rsidR="002D4696" w:rsidRDefault="00FC283A" w:rsidP="0032744A">
      <w:r w:rsidRPr="0037339D">
        <w:t xml:space="preserve">The primary outcome was compared between groups using </w:t>
      </w:r>
      <w:r w:rsidRPr="00884E51">
        <w:t>Student’s t-test.</w:t>
      </w:r>
      <w:r w:rsidRPr="0037339D">
        <w:t xml:space="preserve"> </w:t>
      </w:r>
      <w:r w:rsidRPr="00C829C2">
        <w:t>The distribution of time in a single-occupancy room was right-</w:t>
      </w:r>
      <w:r w:rsidRPr="003B5498">
        <w:t>skewed (appendix p</w:t>
      </w:r>
      <w:r>
        <w:t xml:space="preserve"> </w:t>
      </w:r>
      <w:r w:rsidRPr="003B5498">
        <w:t>2), and log-transformation of this variable was found to yield a normal distribution. This was</w:t>
      </w:r>
      <w:r w:rsidRPr="00C829C2">
        <w:t xml:space="preserve"> verified using the </w:t>
      </w:r>
      <w:proofErr w:type="spellStart"/>
      <w:r w:rsidRPr="00C829C2">
        <w:t>Sharpiro</w:t>
      </w:r>
      <w:proofErr w:type="spellEnd"/>
      <w:r w:rsidRPr="00C829C2">
        <w:t xml:space="preserve">-Wilk and skewness and </w:t>
      </w:r>
      <w:proofErr w:type="spellStart"/>
      <w:r w:rsidRPr="00C829C2">
        <w:t>kurtotis</w:t>
      </w:r>
      <w:proofErr w:type="spellEnd"/>
      <w:r w:rsidRPr="00C829C2">
        <w:t xml:space="preserve"> tests.</w:t>
      </w:r>
      <w:r>
        <w:t xml:space="preserve"> </w:t>
      </w:r>
      <w:r w:rsidRPr="00884E51">
        <w:t>A multiple regression model with a range of explanatory variables (age, sex, presence of inflammatory bowel disease, duration of diarrhoea, time from admission to recruitment and whether a pathogen was detected) was used to estimate the effects of these key variables upon the primary outcome of (log transformed) time in a single-occupancy room</w:t>
      </w:r>
      <w:r w:rsidRPr="00270C4D">
        <w:t xml:space="preserve">. </w:t>
      </w:r>
      <w:r w:rsidR="002D4696">
        <w:t xml:space="preserve">This model also included an interaction term </w:t>
      </w:r>
      <w:proofErr w:type="gramStart"/>
      <w:r w:rsidR="002D4696">
        <w:t>in order to</w:t>
      </w:r>
      <w:proofErr w:type="gramEnd"/>
      <w:r w:rsidR="002D4696">
        <w:t xml:space="preserve"> investigate whether the relationship between time in a </w:t>
      </w:r>
      <w:r w:rsidR="009708E9">
        <w:t>single-occupancy room</w:t>
      </w:r>
      <w:r w:rsidR="002D4696">
        <w:t xml:space="preserve"> and intervention group differed depending on pathogen status.</w:t>
      </w:r>
    </w:p>
    <w:p w14:paraId="3D745EF1" w14:textId="0CC86267" w:rsidR="005C1BF2" w:rsidRDefault="00E82738" w:rsidP="0032744A">
      <w:r w:rsidRPr="00270C4D">
        <w:t xml:space="preserve">For secondary outcomes, we compared the intervention and control groups for equality of proportions </w:t>
      </w:r>
      <w:r>
        <w:t xml:space="preserve">using the two-sample test of proportions </w:t>
      </w:r>
      <w:r w:rsidRPr="00270C4D">
        <w:t>for binary data</w:t>
      </w:r>
      <w:r w:rsidR="00884E51">
        <w:t xml:space="preserve"> using the z-test</w:t>
      </w:r>
      <w:r>
        <w:t>.</w:t>
      </w:r>
      <w:r w:rsidRPr="00270C4D">
        <w:t xml:space="preserve"> </w:t>
      </w:r>
      <w:r>
        <w:t xml:space="preserve">For continuous data, we used the appropriate regression model. </w:t>
      </w:r>
      <w:r w:rsidR="00680C7E" w:rsidRPr="00680C7E">
        <w:t>Time-to-event analysis data were compared using the log-rank test.</w:t>
      </w:r>
      <w:r w:rsidR="005C6603">
        <w:t xml:space="preserve"> </w:t>
      </w:r>
      <w:r w:rsidR="00CF0F47" w:rsidRPr="00CF0F47">
        <w:t xml:space="preserve">No differences were expected between the sexes and therefore no analyses were done disaggregated by sex. </w:t>
      </w:r>
      <w:r w:rsidR="00680C7E" w:rsidRPr="00680C7E">
        <w:t xml:space="preserve">All analyses were done using Prism version </w:t>
      </w:r>
      <w:r w:rsidR="00D146B2">
        <w:t>9</w:t>
      </w:r>
      <w:r w:rsidR="00A05946">
        <w:rPr>
          <w:rFonts w:eastAsia="Times New Roman" w:cs="Arial"/>
          <w:color w:val="000000"/>
          <w:lang w:eastAsia="en-GB"/>
        </w:rPr>
        <w:t>·</w:t>
      </w:r>
      <w:r w:rsidR="00D146B2">
        <w:t>4</w:t>
      </w:r>
      <w:r w:rsidR="00A05946">
        <w:rPr>
          <w:rFonts w:eastAsia="Times New Roman" w:cs="Arial"/>
          <w:color w:val="000000"/>
          <w:lang w:eastAsia="en-GB"/>
        </w:rPr>
        <w:t>·</w:t>
      </w:r>
      <w:r w:rsidR="00D146B2">
        <w:t>1</w:t>
      </w:r>
      <w:r w:rsidR="00680C7E" w:rsidRPr="00680C7E">
        <w:t xml:space="preserve"> (GraphPad Software, La Jolla, CA, USA) and </w:t>
      </w:r>
      <w:r w:rsidR="0031455C" w:rsidRPr="00980ACA">
        <w:rPr>
          <w:color w:val="000000" w:themeColor="text1"/>
          <w:szCs w:val="24"/>
        </w:rPr>
        <w:t>Stata version 17</w:t>
      </w:r>
      <w:r w:rsidR="00A05946">
        <w:rPr>
          <w:rFonts w:eastAsia="Times New Roman" w:cs="Arial"/>
          <w:color w:val="000000"/>
          <w:lang w:eastAsia="en-GB"/>
        </w:rPr>
        <w:t>·</w:t>
      </w:r>
      <w:r w:rsidR="002D4696">
        <w:rPr>
          <w:color w:val="000000" w:themeColor="text1"/>
          <w:szCs w:val="24"/>
        </w:rPr>
        <w:t>0</w:t>
      </w:r>
      <w:r w:rsidR="0031455C" w:rsidRPr="00980ACA">
        <w:rPr>
          <w:color w:val="000000" w:themeColor="text1"/>
          <w:szCs w:val="24"/>
        </w:rPr>
        <w:t xml:space="preserve"> (</w:t>
      </w:r>
      <w:proofErr w:type="spellStart"/>
      <w:r w:rsidR="0031455C" w:rsidRPr="00980ACA">
        <w:rPr>
          <w:color w:val="000000" w:themeColor="text1"/>
          <w:szCs w:val="24"/>
        </w:rPr>
        <w:t>StataCorp</w:t>
      </w:r>
      <w:proofErr w:type="spellEnd"/>
      <w:r w:rsidR="0031455C" w:rsidRPr="00980ACA">
        <w:rPr>
          <w:color w:val="000000" w:themeColor="text1"/>
          <w:szCs w:val="24"/>
        </w:rPr>
        <w:t>, College Station, Texas</w:t>
      </w:r>
      <w:r w:rsidR="0031455C">
        <w:rPr>
          <w:color w:val="000000" w:themeColor="text1"/>
          <w:szCs w:val="24"/>
        </w:rPr>
        <w:t>)</w:t>
      </w:r>
      <w:r w:rsidR="00680C7E">
        <w:t>.</w:t>
      </w:r>
    </w:p>
    <w:p w14:paraId="279EDAEA" w14:textId="14411DC0" w:rsidR="005C1BF2" w:rsidRPr="005C1BF2" w:rsidRDefault="007B0814" w:rsidP="00A55D80">
      <w:pPr>
        <w:pStyle w:val="Heading2"/>
      </w:pPr>
      <w:r w:rsidRPr="007B0814">
        <w:t>Role of the funding source</w:t>
      </w:r>
    </w:p>
    <w:p w14:paraId="071C9A98" w14:textId="4B0E2DF7" w:rsidR="00763E57" w:rsidRDefault="00D534D4" w:rsidP="008E7BE1">
      <w:pPr>
        <w:rPr>
          <w:rFonts w:asciiTheme="majorHAnsi" w:eastAsiaTheme="majorEastAsia" w:hAnsiTheme="majorHAnsi" w:cstheme="majorBidi"/>
          <w:b/>
          <w:sz w:val="36"/>
          <w:szCs w:val="32"/>
        </w:rPr>
      </w:pPr>
      <w:r>
        <w:t>The funder</w:t>
      </w:r>
      <w:r w:rsidR="00EB32E3">
        <w:t>s</w:t>
      </w:r>
      <w:r>
        <w:t xml:space="preserve"> of the study had no role in study design, data collection, data analysis, data interpretation, or writing of the report.</w:t>
      </w:r>
      <w:r w:rsidR="00763E57">
        <w:br w:type="page"/>
      </w:r>
    </w:p>
    <w:p w14:paraId="1F6BE817" w14:textId="51753448" w:rsidR="00F862D5" w:rsidRDefault="00F862D5" w:rsidP="00F862D5">
      <w:pPr>
        <w:pStyle w:val="Heading1"/>
      </w:pPr>
      <w:r>
        <w:lastRenderedPageBreak/>
        <w:t>Results</w:t>
      </w:r>
    </w:p>
    <w:p w14:paraId="0E90D496" w14:textId="45AB3B74" w:rsidR="003E0B69" w:rsidRDefault="003E0B69" w:rsidP="0032744A">
      <w:r>
        <w:rPr>
          <w:lang w:eastAsia="en-GB"/>
        </w:rPr>
        <w:t xml:space="preserve">Between </w:t>
      </w:r>
      <w:r>
        <w:t>March 20, 2017</w:t>
      </w:r>
      <w:r w:rsidR="0076146D">
        <w:t>,</w:t>
      </w:r>
      <w:r>
        <w:t xml:space="preserve"> and March 17, 2020, 455 patients were assessed for eligibility</w:t>
      </w:r>
      <w:r w:rsidR="00D22F9B">
        <w:t>,</w:t>
      </w:r>
      <w:r>
        <w:t xml:space="preserve"> and 278 were </w:t>
      </w:r>
      <w:r w:rsidR="00D22F9B">
        <w:t xml:space="preserve">enrolled and </w:t>
      </w:r>
      <w:r>
        <w:t xml:space="preserve">randomly assigned to </w:t>
      </w:r>
      <w:r w:rsidR="0037339D">
        <w:t xml:space="preserve">either </w:t>
      </w:r>
      <w:r>
        <w:t xml:space="preserve">the mPOCT group </w:t>
      </w:r>
      <w:r w:rsidR="006339C2">
        <w:t>(</w:t>
      </w:r>
      <w:r>
        <w:t>n=</w:t>
      </w:r>
      <w:r w:rsidR="00317B3F">
        <w:t>13</w:t>
      </w:r>
      <w:r w:rsidR="006A1BF4">
        <w:t>8</w:t>
      </w:r>
      <w:r>
        <w:t>) or to routine clinical care group (n=</w:t>
      </w:r>
      <w:r w:rsidR="001A1366">
        <w:t>140</w:t>
      </w:r>
      <w:r w:rsidR="006339C2">
        <w:t xml:space="preserve">). </w:t>
      </w:r>
      <w:r w:rsidR="0037339D">
        <w:t>One patient randomised to the intervention group did not receive the intervention (as they could not produce a stool sample and declined a rectal swab) and so was withdrawn from the study</w:t>
      </w:r>
      <w:r w:rsidR="00E65801">
        <w:t xml:space="preserve"> leaving 137 and 140 in the modified intention</w:t>
      </w:r>
      <w:r w:rsidR="00BB2F62">
        <w:t>-</w:t>
      </w:r>
      <w:r w:rsidR="00E65801">
        <w:t>to</w:t>
      </w:r>
      <w:r w:rsidR="00BB2F62">
        <w:t>-</w:t>
      </w:r>
      <w:r w:rsidR="00E65801">
        <w:t>treat analysis</w:t>
      </w:r>
      <w:r w:rsidR="0037339D">
        <w:t xml:space="preserve">. </w:t>
      </w:r>
      <w:r w:rsidR="00E162E4" w:rsidRPr="00E162E4">
        <w:t>Although the desired nu</w:t>
      </w:r>
      <w:r w:rsidR="002A7DF4">
        <w:t>mber of recruited participants</w:t>
      </w:r>
      <w:r w:rsidR="00E162E4" w:rsidRPr="00E162E4">
        <w:t xml:space="preserve"> was not achieved (150 per group), </w:t>
      </w:r>
      <w:r w:rsidR="00A84241">
        <w:t xml:space="preserve">because of </w:t>
      </w:r>
      <w:r w:rsidR="00E162E4" w:rsidRPr="00E162E4">
        <w:t xml:space="preserve">resource constraints due to the COVID-19 pandemic the study recruitment period </w:t>
      </w:r>
      <w:r w:rsidR="0078456F">
        <w:t xml:space="preserve">could </w:t>
      </w:r>
      <w:r w:rsidR="00E162E4" w:rsidRPr="00E162E4">
        <w:t xml:space="preserve">not </w:t>
      </w:r>
      <w:r w:rsidR="00E140E4">
        <w:t xml:space="preserve">be </w:t>
      </w:r>
      <w:r w:rsidR="00E162E4" w:rsidRPr="00E162E4">
        <w:t xml:space="preserve">extended. </w:t>
      </w:r>
      <w:r w:rsidR="00CF6B6B">
        <w:t xml:space="preserve">The trial profile is shown in figure 1. </w:t>
      </w:r>
      <w:r>
        <w:t>Baseline characteristics for all patients are shown in table 1</w:t>
      </w:r>
      <w:r w:rsidR="0037339D">
        <w:t xml:space="preserve"> and were well matched between the groups</w:t>
      </w:r>
      <w:r w:rsidR="00133BBA">
        <w:t xml:space="preserve">. </w:t>
      </w:r>
      <w:r w:rsidR="00990C85">
        <w:t xml:space="preserve">130 (95%) of 137 patients in the mPOCT group and 132 (94%) of </w:t>
      </w:r>
      <w:r w:rsidR="00A84241">
        <w:t xml:space="preserve">140 </w:t>
      </w:r>
      <w:r w:rsidR="00990C85">
        <w:t xml:space="preserve">patients in the control group were </w:t>
      </w:r>
      <w:r w:rsidR="0078456F">
        <w:t xml:space="preserve">isolated </w:t>
      </w:r>
      <w:r w:rsidR="00990C85">
        <w:t>in single-occupancy rooms at the time of study enrolment</w:t>
      </w:r>
      <w:r w:rsidR="00423EA0">
        <w:t>.</w:t>
      </w:r>
      <w:r w:rsidR="00133BBA">
        <w:t xml:space="preserve"> 136 (99%) of 137 patients and 140 (100%) of 140 patients in the mPOCT and control groups respectively were isolated at any time during their admission.</w:t>
      </w:r>
    </w:p>
    <w:p w14:paraId="5BED9A91" w14:textId="7D5DF806" w:rsidR="00A82A10" w:rsidRDefault="00257B85" w:rsidP="005C1BF2">
      <w:pPr>
        <w:rPr>
          <w:rFonts w:ascii="Calibri" w:eastAsia="Times New Roman" w:hAnsi="Calibri" w:cs="Calibri"/>
          <w:color w:val="000000"/>
          <w:lang w:eastAsia="en-GB"/>
        </w:rPr>
      </w:pPr>
      <w:r>
        <w:t xml:space="preserve">The duration </w:t>
      </w:r>
      <w:r w:rsidR="00423EA0">
        <w:t>(</w:t>
      </w:r>
      <w:r w:rsidR="00423EA0" w:rsidRPr="00423EA0">
        <w:t>geometric mean</w:t>
      </w:r>
      <w:r w:rsidR="00423EA0">
        <w:t>)</w:t>
      </w:r>
      <w:r w:rsidR="00423EA0" w:rsidRPr="00423EA0">
        <w:t xml:space="preserve"> </w:t>
      </w:r>
      <w:r>
        <w:t xml:space="preserve">of time in a </w:t>
      </w:r>
      <w:r w:rsidR="006B6505">
        <w:t xml:space="preserve">single-occupancy </w:t>
      </w:r>
      <w:r>
        <w:t xml:space="preserve">room in the mPOCT group was </w:t>
      </w:r>
      <w:r w:rsidR="00AE66B8" w:rsidRPr="008E7BE1">
        <w:rPr>
          <w:rFonts w:ascii="Calibri" w:hAnsi="Calibri"/>
          <w:color w:val="000000"/>
        </w:rPr>
        <w:t>1·</w:t>
      </w:r>
      <w:r w:rsidR="00AE66B8">
        <w:rPr>
          <w:rFonts w:ascii="Calibri" w:eastAsia="Times New Roman" w:hAnsi="Calibri" w:cs="Calibri"/>
          <w:color w:val="000000"/>
          <w:lang w:eastAsia="en-GB"/>
        </w:rPr>
        <w:t>8 (</w:t>
      </w:r>
      <w:r w:rsidR="002B2940">
        <w:rPr>
          <w:rFonts w:ascii="Calibri" w:eastAsia="Times New Roman" w:hAnsi="Calibri" w:cs="Calibri"/>
          <w:color w:val="000000"/>
          <w:lang w:eastAsia="en-GB"/>
        </w:rPr>
        <w:t xml:space="preserve">95%CI </w:t>
      </w:r>
      <w:r w:rsidR="00AE66B8" w:rsidRPr="008E7BE1">
        <w:rPr>
          <w:rFonts w:ascii="Calibri" w:hAnsi="Calibri"/>
          <w:color w:val="000000"/>
        </w:rPr>
        <w:t>1</w:t>
      </w:r>
      <w:r w:rsidR="00AE66B8">
        <w:rPr>
          <w:rFonts w:ascii="Calibri" w:eastAsia="Times New Roman" w:hAnsi="Calibri" w:cs="Calibri"/>
          <w:color w:val="000000"/>
          <w:lang w:eastAsia="en-GB"/>
        </w:rPr>
        <w:t>·5 to 2·2)</w:t>
      </w:r>
      <w:r w:rsidR="00D554FB">
        <w:rPr>
          <w:rFonts w:ascii="Calibri" w:eastAsia="Times New Roman" w:hAnsi="Calibri" w:cs="Calibri"/>
          <w:color w:val="000000"/>
          <w:lang w:eastAsia="en-GB"/>
        </w:rPr>
        <w:t xml:space="preserve"> days</w:t>
      </w:r>
      <w:r>
        <w:rPr>
          <w:rFonts w:ascii="Calibri" w:eastAsia="Times New Roman" w:hAnsi="Calibri" w:cs="Calibri"/>
          <w:color w:val="000000"/>
          <w:lang w:eastAsia="en-GB"/>
        </w:rPr>
        <w:t xml:space="preserve"> compared with </w:t>
      </w:r>
      <w:r w:rsidR="00AE66B8" w:rsidRPr="00944DF0">
        <w:rPr>
          <w:rFonts w:ascii="Calibri" w:eastAsia="Times New Roman" w:hAnsi="Calibri" w:cs="Calibri"/>
          <w:color w:val="000000"/>
          <w:lang w:eastAsia="en-GB"/>
        </w:rPr>
        <w:t>2</w:t>
      </w:r>
      <w:r w:rsidR="00AE66B8">
        <w:rPr>
          <w:rFonts w:ascii="Calibri" w:eastAsia="Times New Roman" w:hAnsi="Calibri" w:cs="Calibri"/>
          <w:color w:val="000000"/>
          <w:lang w:eastAsia="en-GB"/>
        </w:rPr>
        <w:t>·6</w:t>
      </w:r>
      <w:r w:rsidR="00AE66B8" w:rsidRPr="00944DF0">
        <w:rPr>
          <w:rFonts w:ascii="Calibri" w:eastAsia="Times New Roman" w:hAnsi="Calibri" w:cs="Calibri"/>
          <w:color w:val="000000"/>
          <w:lang w:eastAsia="en-GB"/>
        </w:rPr>
        <w:t xml:space="preserve"> (2</w:t>
      </w:r>
      <w:r w:rsidR="00AE66B8">
        <w:rPr>
          <w:rFonts w:ascii="Calibri" w:eastAsia="Times New Roman" w:hAnsi="Calibri" w:cs="Calibri"/>
          <w:color w:val="000000"/>
          <w:lang w:eastAsia="en-GB"/>
        </w:rPr>
        <w:t>·</w:t>
      </w:r>
      <w:r w:rsidR="00AE66B8" w:rsidRPr="00944DF0">
        <w:rPr>
          <w:rFonts w:ascii="Calibri" w:eastAsia="Times New Roman" w:hAnsi="Calibri" w:cs="Calibri"/>
          <w:color w:val="000000"/>
          <w:lang w:eastAsia="en-GB"/>
        </w:rPr>
        <w:t>2</w:t>
      </w:r>
      <w:r w:rsidR="00AE66B8">
        <w:rPr>
          <w:rFonts w:ascii="Calibri" w:eastAsia="Times New Roman" w:hAnsi="Calibri" w:cs="Calibri"/>
          <w:color w:val="000000"/>
          <w:lang w:eastAsia="en-GB"/>
        </w:rPr>
        <w:t xml:space="preserve"> to</w:t>
      </w:r>
      <w:r w:rsidR="00AE66B8" w:rsidRPr="00944DF0">
        <w:rPr>
          <w:rFonts w:ascii="Calibri" w:eastAsia="Times New Roman" w:hAnsi="Calibri" w:cs="Calibri"/>
          <w:color w:val="000000"/>
          <w:lang w:eastAsia="en-GB"/>
        </w:rPr>
        <w:t xml:space="preserve"> </w:t>
      </w:r>
      <w:r w:rsidR="00AE66B8">
        <w:rPr>
          <w:rFonts w:ascii="Calibri" w:eastAsia="Times New Roman" w:hAnsi="Calibri" w:cs="Calibri"/>
          <w:color w:val="000000"/>
          <w:lang w:eastAsia="en-GB"/>
        </w:rPr>
        <w:t>3·0</w:t>
      </w:r>
      <w:r w:rsidR="00AE66B8" w:rsidRPr="00944DF0">
        <w:rPr>
          <w:rFonts w:ascii="Calibri" w:eastAsia="Times New Roman" w:hAnsi="Calibri" w:cs="Calibri"/>
          <w:color w:val="000000"/>
          <w:lang w:eastAsia="en-GB"/>
        </w:rPr>
        <w:t>)</w:t>
      </w:r>
      <w:r>
        <w:rPr>
          <w:rFonts w:ascii="Calibri" w:eastAsia="Times New Roman" w:hAnsi="Calibri" w:cs="Calibri"/>
          <w:color w:val="000000"/>
          <w:lang w:eastAsia="en-GB"/>
        </w:rPr>
        <w:t xml:space="preserve"> </w:t>
      </w:r>
      <w:r w:rsidR="00D554FB">
        <w:rPr>
          <w:rFonts w:ascii="Calibri" w:eastAsia="Times New Roman" w:hAnsi="Calibri" w:cs="Calibri"/>
          <w:color w:val="000000"/>
          <w:lang w:eastAsia="en-GB"/>
        </w:rPr>
        <w:t xml:space="preserve">days </w:t>
      </w:r>
      <w:r>
        <w:rPr>
          <w:rFonts w:ascii="Calibri" w:eastAsia="Times New Roman" w:hAnsi="Calibri" w:cs="Calibri"/>
          <w:color w:val="000000"/>
          <w:lang w:eastAsia="en-GB"/>
        </w:rPr>
        <w:t>in the control group (</w:t>
      </w:r>
      <w:r w:rsidR="00C34AC3">
        <w:rPr>
          <w:rFonts w:ascii="Calibri" w:eastAsia="Times New Roman" w:hAnsi="Calibri" w:cs="Calibri"/>
          <w:color w:val="000000"/>
          <w:lang w:eastAsia="en-GB"/>
        </w:rPr>
        <w:t xml:space="preserve">exponentiated </w:t>
      </w:r>
      <w:r w:rsidRPr="00C34AC3">
        <w:rPr>
          <w:rFonts w:ascii="Calibri" w:eastAsia="Times New Roman" w:hAnsi="Calibri" w:cs="Calibri"/>
          <w:color w:val="000000"/>
          <w:lang w:eastAsia="en-GB"/>
        </w:rPr>
        <w:t>coefficient</w:t>
      </w:r>
      <w:r>
        <w:rPr>
          <w:rFonts w:ascii="Calibri" w:eastAsia="Times New Roman" w:hAnsi="Calibri" w:cs="Calibri"/>
          <w:color w:val="000000"/>
          <w:lang w:eastAsia="en-GB"/>
        </w:rPr>
        <w:t xml:space="preserve"> </w:t>
      </w:r>
      <w:r w:rsidRPr="00C244B0">
        <w:rPr>
          <w:rFonts w:ascii="Calibri" w:eastAsia="Times New Roman" w:hAnsi="Calibri" w:cs="Calibri"/>
          <w:color w:val="000000"/>
          <w:lang w:eastAsia="en-GB"/>
        </w:rPr>
        <w:t>0</w:t>
      </w:r>
      <w:r>
        <w:rPr>
          <w:rFonts w:ascii="Calibri" w:eastAsia="Times New Roman" w:hAnsi="Calibri" w:cs="Calibri"/>
          <w:color w:val="000000"/>
          <w:lang w:eastAsia="en-GB"/>
        </w:rPr>
        <w:t>·</w:t>
      </w:r>
      <w:r w:rsidRPr="00C244B0">
        <w:rPr>
          <w:rFonts w:ascii="Calibri" w:eastAsia="Times New Roman" w:hAnsi="Calibri" w:cs="Calibri"/>
          <w:color w:val="000000"/>
          <w:lang w:eastAsia="en-GB"/>
        </w:rPr>
        <w:t>70</w:t>
      </w:r>
      <w:r>
        <w:rPr>
          <w:rFonts w:ascii="Calibri" w:eastAsia="Times New Roman" w:hAnsi="Calibri" w:cs="Calibri"/>
          <w:color w:val="000000"/>
          <w:lang w:eastAsia="en-GB"/>
        </w:rPr>
        <w:t xml:space="preserve"> [95%CI</w:t>
      </w:r>
      <w:r w:rsidRPr="000111C5">
        <w:rPr>
          <w:rFonts w:ascii="Calibri" w:eastAsia="Times New Roman" w:hAnsi="Calibri" w:cs="Calibri"/>
          <w:color w:val="000000"/>
          <w:lang w:eastAsia="en-GB"/>
        </w:rPr>
        <w:t xml:space="preserve"> 0</w:t>
      </w:r>
      <w:r>
        <w:rPr>
          <w:rFonts w:ascii="Calibri" w:eastAsia="Times New Roman" w:hAnsi="Calibri" w:cs="Calibri"/>
          <w:color w:val="000000"/>
          <w:lang w:eastAsia="en-GB"/>
        </w:rPr>
        <w:t>·56 to</w:t>
      </w:r>
      <w:r w:rsidRPr="000111C5">
        <w:rPr>
          <w:rFonts w:ascii="Calibri" w:eastAsia="Times New Roman" w:hAnsi="Calibri" w:cs="Calibri"/>
          <w:color w:val="000000"/>
          <w:lang w:eastAsia="en-GB"/>
        </w:rPr>
        <w:t xml:space="preserve"> 0</w:t>
      </w:r>
      <w:r>
        <w:rPr>
          <w:rFonts w:ascii="Calibri" w:eastAsia="Times New Roman" w:hAnsi="Calibri" w:cs="Calibri"/>
          <w:color w:val="000000"/>
          <w:lang w:eastAsia="en-GB"/>
        </w:rPr>
        <w:t>·</w:t>
      </w:r>
      <w:r w:rsidRPr="000111C5">
        <w:rPr>
          <w:rFonts w:ascii="Calibri" w:eastAsia="Times New Roman" w:hAnsi="Calibri" w:cs="Calibri"/>
          <w:color w:val="000000"/>
          <w:lang w:eastAsia="en-GB"/>
        </w:rPr>
        <w:t>87</w:t>
      </w:r>
      <w:r w:rsidR="009C1806">
        <w:rPr>
          <w:rFonts w:ascii="Calibri" w:eastAsia="Times New Roman" w:hAnsi="Calibri" w:cs="Calibri"/>
          <w:color w:val="000000"/>
          <w:lang w:eastAsia="en-GB"/>
        </w:rPr>
        <w:t>]</w:t>
      </w:r>
      <w:r w:rsidRPr="000111C5">
        <w:rPr>
          <w:rFonts w:ascii="Calibri" w:eastAsia="Times New Roman" w:hAnsi="Calibri" w:cs="Calibri"/>
          <w:color w:val="000000"/>
          <w:lang w:eastAsia="en-GB"/>
        </w:rPr>
        <w:t>, p=0</w:t>
      </w:r>
      <w:r>
        <w:rPr>
          <w:rFonts w:ascii="Calibri" w:eastAsia="Times New Roman" w:hAnsi="Calibri" w:cs="Calibri"/>
          <w:color w:val="000000"/>
          <w:lang w:eastAsia="en-GB"/>
        </w:rPr>
        <w:t>·</w:t>
      </w:r>
      <w:r w:rsidRPr="000111C5">
        <w:rPr>
          <w:rFonts w:ascii="Calibri" w:eastAsia="Times New Roman" w:hAnsi="Calibri" w:cs="Calibri"/>
          <w:color w:val="000000"/>
          <w:lang w:eastAsia="en-GB"/>
        </w:rPr>
        <w:t>0017</w:t>
      </w:r>
      <w:r w:rsidR="009C1806">
        <w:rPr>
          <w:rFonts w:ascii="Calibri" w:eastAsia="Times New Roman" w:hAnsi="Calibri" w:cs="Calibri"/>
          <w:color w:val="000000"/>
          <w:lang w:eastAsia="en-GB"/>
        </w:rPr>
        <w:t>, table 2</w:t>
      </w:r>
      <w:r w:rsidR="00F218EE">
        <w:rPr>
          <w:rFonts w:ascii="Calibri" w:eastAsia="Times New Roman" w:hAnsi="Calibri" w:cs="Calibri"/>
          <w:color w:val="000000"/>
          <w:lang w:eastAsia="en-GB"/>
        </w:rPr>
        <w:t>).</w:t>
      </w:r>
      <w:r w:rsidR="00D809CC">
        <w:rPr>
          <w:rFonts w:ascii="Calibri" w:eastAsia="Times New Roman" w:hAnsi="Calibri" w:cs="Calibri"/>
          <w:color w:val="000000"/>
          <w:lang w:eastAsia="en-GB"/>
        </w:rPr>
        <w:t xml:space="preserve"> </w:t>
      </w:r>
      <w:r w:rsidR="004909AC" w:rsidRPr="004909AC">
        <w:rPr>
          <w:rFonts w:ascii="Calibri" w:eastAsia="Times New Roman" w:hAnsi="Calibri" w:cs="Calibri"/>
          <w:color w:val="000000"/>
          <w:lang w:eastAsia="en-GB"/>
        </w:rPr>
        <w:t>The interpretation of th</w:t>
      </w:r>
      <w:r w:rsidR="006A1BF4">
        <w:rPr>
          <w:rFonts w:ascii="Calibri" w:eastAsia="Times New Roman" w:hAnsi="Calibri" w:cs="Calibri"/>
          <w:color w:val="000000"/>
          <w:lang w:eastAsia="en-GB"/>
        </w:rPr>
        <w:t>e</w:t>
      </w:r>
      <w:r w:rsidR="004909AC" w:rsidRPr="004909AC">
        <w:rPr>
          <w:rFonts w:ascii="Calibri" w:eastAsia="Times New Roman" w:hAnsi="Calibri" w:cs="Calibri"/>
          <w:color w:val="000000"/>
          <w:lang w:eastAsia="en-GB"/>
        </w:rPr>
        <w:t xml:space="preserve"> </w:t>
      </w:r>
      <w:r w:rsidR="00C34AC3">
        <w:rPr>
          <w:rFonts w:ascii="Calibri" w:eastAsia="Times New Roman" w:hAnsi="Calibri" w:cs="Calibri"/>
          <w:color w:val="000000"/>
          <w:lang w:eastAsia="en-GB"/>
        </w:rPr>
        <w:t xml:space="preserve">exponentiated </w:t>
      </w:r>
      <w:r w:rsidR="004909AC" w:rsidRPr="004909AC">
        <w:rPr>
          <w:rFonts w:ascii="Calibri" w:eastAsia="Times New Roman" w:hAnsi="Calibri" w:cs="Calibri"/>
          <w:color w:val="000000"/>
          <w:lang w:eastAsia="en-GB"/>
        </w:rPr>
        <w:t xml:space="preserve">coefficient </w:t>
      </w:r>
      <w:r w:rsidR="006A1BF4">
        <w:rPr>
          <w:rFonts w:ascii="Calibri" w:eastAsia="Times New Roman" w:hAnsi="Calibri" w:cs="Calibri"/>
          <w:color w:val="000000"/>
          <w:lang w:eastAsia="en-GB"/>
        </w:rPr>
        <w:t xml:space="preserve">is that </w:t>
      </w:r>
      <w:r w:rsidR="004909AC" w:rsidRPr="004909AC">
        <w:rPr>
          <w:rFonts w:ascii="Calibri" w:eastAsia="Times New Roman" w:hAnsi="Calibri" w:cs="Calibri"/>
          <w:color w:val="000000"/>
          <w:lang w:eastAsia="en-GB"/>
        </w:rPr>
        <w:t xml:space="preserve">the time in a </w:t>
      </w:r>
      <w:r w:rsidR="006B6505">
        <w:t>single-occupancy</w:t>
      </w:r>
      <w:r w:rsidR="004909AC" w:rsidRPr="004909AC">
        <w:rPr>
          <w:rFonts w:ascii="Calibri" w:eastAsia="Times New Roman" w:hAnsi="Calibri" w:cs="Calibri"/>
          <w:color w:val="000000"/>
          <w:lang w:eastAsia="en-GB"/>
        </w:rPr>
        <w:t xml:space="preserve"> room </w:t>
      </w:r>
      <w:r w:rsidR="000B1175">
        <w:rPr>
          <w:rFonts w:ascii="Calibri" w:eastAsia="Times New Roman" w:hAnsi="Calibri" w:cs="Calibri"/>
          <w:color w:val="000000"/>
          <w:lang w:eastAsia="en-GB"/>
        </w:rPr>
        <w:t xml:space="preserve">was reduced by 30% overall in the </w:t>
      </w:r>
      <w:r w:rsidR="001860DD">
        <w:rPr>
          <w:rFonts w:ascii="Calibri" w:eastAsia="Times New Roman" w:hAnsi="Calibri" w:cs="Calibri"/>
          <w:color w:val="000000"/>
          <w:lang w:eastAsia="en-GB"/>
        </w:rPr>
        <w:t xml:space="preserve">intervention group </w:t>
      </w:r>
      <w:r w:rsidR="004909AC">
        <w:rPr>
          <w:rFonts w:ascii="Calibri" w:eastAsia="Times New Roman" w:hAnsi="Calibri" w:cs="Calibri"/>
          <w:color w:val="000000"/>
          <w:lang w:eastAsia="en-GB"/>
        </w:rPr>
        <w:t>(100</w:t>
      </w:r>
      <w:r w:rsidR="00D554FB">
        <w:rPr>
          <w:rFonts w:ascii="Calibri" w:eastAsia="Times New Roman" w:hAnsi="Calibri" w:cs="Calibri"/>
          <w:color w:val="000000"/>
          <w:lang w:eastAsia="en-GB"/>
        </w:rPr>
        <w:t xml:space="preserve"> x </w:t>
      </w:r>
      <w:r w:rsidR="004909AC">
        <w:rPr>
          <w:rFonts w:ascii="Calibri" w:eastAsia="Times New Roman" w:hAnsi="Calibri" w:cs="Calibri"/>
          <w:color w:val="000000"/>
          <w:lang w:eastAsia="en-GB"/>
        </w:rPr>
        <w:t>(1</w:t>
      </w:r>
      <w:r w:rsidR="00D554FB">
        <w:rPr>
          <w:rFonts w:ascii="Calibri" w:eastAsia="Times New Roman" w:hAnsi="Calibri" w:cs="Calibri"/>
          <w:color w:val="000000"/>
          <w:lang w:eastAsia="en-GB"/>
        </w:rPr>
        <w:t xml:space="preserve"> </w:t>
      </w:r>
      <w:r w:rsidR="004909AC">
        <w:rPr>
          <w:rFonts w:ascii="Calibri" w:eastAsia="Times New Roman" w:hAnsi="Calibri" w:cs="Calibri"/>
          <w:color w:val="000000"/>
          <w:lang w:eastAsia="en-GB"/>
        </w:rPr>
        <w:t>-</w:t>
      </w:r>
      <w:r w:rsidR="00D554FB">
        <w:rPr>
          <w:rFonts w:ascii="Calibri" w:eastAsia="Times New Roman" w:hAnsi="Calibri" w:cs="Calibri"/>
          <w:color w:val="000000"/>
          <w:lang w:eastAsia="en-GB"/>
        </w:rPr>
        <w:t xml:space="preserve"> </w:t>
      </w:r>
      <w:r w:rsidR="004909AC">
        <w:rPr>
          <w:rFonts w:ascii="Calibri" w:eastAsia="Times New Roman" w:hAnsi="Calibri" w:cs="Calibri"/>
          <w:color w:val="000000"/>
          <w:lang w:eastAsia="en-GB"/>
        </w:rPr>
        <w:t>0</w:t>
      </w:r>
      <w:r w:rsidR="00320A95">
        <w:rPr>
          <w:rFonts w:ascii="Calibri" w:eastAsia="Times New Roman" w:hAnsi="Calibri" w:cs="Calibri"/>
          <w:color w:val="000000"/>
          <w:lang w:eastAsia="en-GB"/>
        </w:rPr>
        <w:t>·</w:t>
      </w:r>
      <w:r w:rsidR="004909AC">
        <w:rPr>
          <w:rFonts w:ascii="Calibri" w:eastAsia="Times New Roman" w:hAnsi="Calibri" w:cs="Calibri"/>
          <w:color w:val="000000"/>
          <w:lang w:eastAsia="en-GB"/>
        </w:rPr>
        <w:t xml:space="preserve">70). </w:t>
      </w:r>
      <w:r w:rsidR="00A82A10">
        <w:rPr>
          <w:rFonts w:ascii="Calibri" w:eastAsia="Times New Roman" w:hAnsi="Calibri" w:cs="Calibri"/>
          <w:color w:val="000000"/>
          <w:lang w:eastAsia="en-GB"/>
        </w:rPr>
        <w:t xml:space="preserve">The </w:t>
      </w:r>
      <w:r w:rsidR="001860DD">
        <w:rPr>
          <w:rFonts w:ascii="Calibri" w:eastAsia="Times New Roman" w:hAnsi="Calibri" w:cs="Calibri"/>
          <w:color w:val="000000"/>
          <w:lang w:eastAsia="en-GB"/>
        </w:rPr>
        <w:t xml:space="preserve">difference between the groups for </w:t>
      </w:r>
      <w:r w:rsidR="00A82A10">
        <w:rPr>
          <w:rFonts w:ascii="Calibri" w:eastAsia="Times New Roman" w:hAnsi="Calibri" w:cs="Calibri"/>
          <w:color w:val="000000"/>
          <w:lang w:eastAsia="en-GB"/>
        </w:rPr>
        <w:t>the primary</w:t>
      </w:r>
      <w:r w:rsidR="00206A46">
        <w:rPr>
          <w:rFonts w:ascii="Calibri" w:eastAsia="Times New Roman" w:hAnsi="Calibri" w:cs="Calibri"/>
          <w:color w:val="000000"/>
          <w:lang w:eastAsia="en-GB"/>
        </w:rPr>
        <w:t xml:space="preserve"> outcome</w:t>
      </w:r>
      <w:r w:rsidR="00A82A10">
        <w:rPr>
          <w:rFonts w:ascii="Calibri" w:eastAsia="Times New Roman" w:hAnsi="Calibri" w:cs="Calibri"/>
          <w:color w:val="000000"/>
          <w:lang w:eastAsia="en-GB"/>
        </w:rPr>
        <w:t xml:space="preserve"> remain</w:t>
      </w:r>
      <w:r w:rsidR="001860DD">
        <w:rPr>
          <w:rFonts w:ascii="Calibri" w:eastAsia="Times New Roman" w:hAnsi="Calibri" w:cs="Calibri"/>
          <w:color w:val="000000"/>
          <w:lang w:eastAsia="en-GB"/>
        </w:rPr>
        <w:t>ed</w:t>
      </w:r>
      <w:r w:rsidR="00A82A10">
        <w:rPr>
          <w:rFonts w:ascii="Calibri" w:eastAsia="Times New Roman" w:hAnsi="Calibri" w:cs="Calibri"/>
          <w:color w:val="000000"/>
          <w:lang w:eastAsia="en-GB"/>
        </w:rPr>
        <w:t xml:space="preserve"> significant</w:t>
      </w:r>
      <w:r w:rsidR="00206A46">
        <w:rPr>
          <w:rFonts w:ascii="Calibri" w:eastAsia="Times New Roman" w:hAnsi="Calibri" w:cs="Calibri"/>
          <w:color w:val="000000"/>
          <w:lang w:eastAsia="en-GB"/>
        </w:rPr>
        <w:t xml:space="preserve"> when adjusting for</w:t>
      </w:r>
      <w:r w:rsidR="00A82A10">
        <w:rPr>
          <w:rFonts w:ascii="Calibri" w:eastAsia="Times New Roman" w:hAnsi="Calibri" w:cs="Calibri"/>
          <w:color w:val="000000"/>
          <w:lang w:eastAsia="en-GB"/>
        </w:rPr>
        <w:t xml:space="preserve"> multiple </w:t>
      </w:r>
      <w:r w:rsidR="001860DD">
        <w:rPr>
          <w:rFonts w:ascii="Calibri" w:eastAsia="Times New Roman" w:hAnsi="Calibri" w:cs="Calibri"/>
          <w:color w:val="000000"/>
          <w:lang w:eastAsia="en-GB"/>
        </w:rPr>
        <w:t>co-</w:t>
      </w:r>
      <w:r w:rsidR="00A82A10">
        <w:rPr>
          <w:rFonts w:ascii="Calibri" w:eastAsia="Times New Roman" w:hAnsi="Calibri" w:cs="Calibri"/>
          <w:color w:val="000000"/>
          <w:lang w:eastAsia="en-GB"/>
        </w:rPr>
        <w:t>varia</w:t>
      </w:r>
      <w:r w:rsidR="001860DD">
        <w:rPr>
          <w:rFonts w:ascii="Calibri" w:eastAsia="Times New Roman" w:hAnsi="Calibri" w:cs="Calibri"/>
          <w:color w:val="000000"/>
          <w:lang w:eastAsia="en-GB"/>
        </w:rPr>
        <w:t>tes</w:t>
      </w:r>
      <w:r w:rsidR="00206A46">
        <w:rPr>
          <w:rFonts w:ascii="Calibri" w:eastAsia="Times New Roman" w:hAnsi="Calibri" w:cs="Calibri"/>
          <w:color w:val="000000"/>
          <w:lang w:eastAsia="en-GB"/>
        </w:rPr>
        <w:t xml:space="preserve"> (</w:t>
      </w:r>
      <w:r w:rsidR="001F4C6C">
        <w:rPr>
          <w:rFonts w:ascii="Calibri" w:eastAsia="Times New Roman" w:hAnsi="Calibri" w:cs="Calibri"/>
          <w:color w:val="000000"/>
          <w:lang w:eastAsia="en-GB"/>
        </w:rPr>
        <w:t>appendix</w:t>
      </w:r>
      <w:r w:rsidR="00206A46">
        <w:rPr>
          <w:rFonts w:ascii="Calibri" w:eastAsia="Times New Roman" w:hAnsi="Calibri" w:cs="Calibri"/>
          <w:color w:val="000000"/>
          <w:lang w:eastAsia="en-GB"/>
        </w:rPr>
        <w:t xml:space="preserve"> </w:t>
      </w:r>
      <w:r w:rsidR="001F4C6C">
        <w:rPr>
          <w:rFonts w:ascii="Calibri" w:eastAsia="Times New Roman" w:hAnsi="Calibri" w:cs="Calibri"/>
          <w:color w:val="000000"/>
          <w:lang w:eastAsia="en-GB"/>
        </w:rPr>
        <w:t xml:space="preserve">p </w:t>
      </w:r>
      <w:r w:rsidR="00513740">
        <w:rPr>
          <w:rFonts w:ascii="Calibri" w:eastAsia="Times New Roman" w:hAnsi="Calibri" w:cs="Calibri"/>
          <w:color w:val="000000"/>
          <w:lang w:eastAsia="en-GB"/>
        </w:rPr>
        <w:t>3</w:t>
      </w:r>
      <w:r w:rsidR="00206A46">
        <w:rPr>
          <w:rFonts w:ascii="Calibri" w:eastAsia="Times New Roman" w:hAnsi="Calibri" w:cs="Calibri"/>
          <w:color w:val="000000"/>
          <w:lang w:eastAsia="en-GB"/>
        </w:rPr>
        <w:t>)</w:t>
      </w:r>
      <w:r w:rsidR="00A82A10">
        <w:rPr>
          <w:rFonts w:ascii="Calibri" w:eastAsia="Times New Roman" w:hAnsi="Calibri" w:cs="Calibri"/>
          <w:color w:val="000000"/>
          <w:lang w:eastAsia="en-GB"/>
        </w:rPr>
        <w:t>.</w:t>
      </w:r>
      <w:r w:rsidR="00935203">
        <w:rPr>
          <w:rFonts w:ascii="Calibri" w:eastAsia="Times New Roman" w:hAnsi="Calibri" w:cs="Calibri"/>
          <w:color w:val="000000"/>
          <w:lang w:eastAsia="en-GB"/>
        </w:rPr>
        <w:t xml:space="preserve"> </w:t>
      </w:r>
    </w:p>
    <w:p w14:paraId="3E0D2C93" w14:textId="26FEDC21" w:rsidR="006339C2" w:rsidRDefault="00A82A10" w:rsidP="00447C3C">
      <w:pPr>
        <w:rPr>
          <w:rFonts w:ascii="Calibri" w:eastAsia="Times New Roman" w:hAnsi="Calibri" w:cs="Calibri"/>
          <w:color w:val="000000"/>
          <w:lang w:eastAsia="en-GB"/>
        </w:rPr>
      </w:pPr>
      <w:r>
        <w:rPr>
          <w:rFonts w:ascii="Calibri" w:eastAsia="Times New Roman" w:hAnsi="Calibri" w:cs="Calibri"/>
          <w:color w:val="000000"/>
          <w:lang w:eastAsia="en-GB"/>
        </w:rPr>
        <w:t>P</w:t>
      </w:r>
      <w:r w:rsidR="000572F4">
        <w:rPr>
          <w:rFonts w:ascii="Calibri" w:eastAsia="Times New Roman" w:hAnsi="Calibri" w:cs="Calibri"/>
          <w:color w:val="000000"/>
          <w:lang w:eastAsia="en-GB"/>
        </w:rPr>
        <w:t xml:space="preserve">atients </w:t>
      </w:r>
      <w:r w:rsidR="001860DD">
        <w:rPr>
          <w:rFonts w:ascii="Calibri" w:eastAsia="Times New Roman" w:hAnsi="Calibri" w:cs="Calibri"/>
          <w:color w:val="000000"/>
          <w:lang w:eastAsia="en-GB"/>
        </w:rPr>
        <w:t>with no</w:t>
      </w:r>
      <w:r w:rsidR="0032744A">
        <w:rPr>
          <w:rFonts w:ascii="Calibri" w:eastAsia="Times New Roman" w:hAnsi="Calibri" w:cs="Calibri"/>
          <w:color w:val="000000"/>
          <w:lang w:eastAsia="en-GB"/>
        </w:rPr>
        <w:t xml:space="preserve"> </w:t>
      </w:r>
      <w:r w:rsidR="000572F4">
        <w:rPr>
          <w:rFonts w:ascii="Calibri" w:eastAsia="Times New Roman" w:hAnsi="Calibri" w:cs="Calibri"/>
          <w:color w:val="000000"/>
          <w:lang w:eastAsia="en-GB"/>
        </w:rPr>
        <w:t xml:space="preserve">pathogen detected had a shorter duration of time in a </w:t>
      </w:r>
      <w:r w:rsidR="006B6505">
        <w:t>single-occupancy</w:t>
      </w:r>
      <w:r w:rsidR="000572F4">
        <w:rPr>
          <w:rFonts w:ascii="Calibri" w:eastAsia="Times New Roman" w:hAnsi="Calibri" w:cs="Calibri"/>
          <w:color w:val="000000"/>
          <w:lang w:eastAsia="en-GB"/>
        </w:rPr>
        <w:t xml:space="preserve"> room in the mPOCT group</w:t>
      </w:r>
      <w:r w:rsidR="001860DD">
        <w:rPr>
          <w:rFonts w:ascii="Calibri" w:eastAsia="Times New Roman" w:hAnsi="Calibri" w:cs="Calibri"/>
          <w:color w:val="000000"/>
          <w:lang w:eastAsia="en-GB"/>
        </w:rPr>
        <w:t>,</w:t>
      </w:r>
      <w:r w:rsidR="000572F4">
        <w:rPr>
          <w:rFonts w:ascii="Calibri" w:eastAsia="Times New Roman" w:hAnsi="Calibri" w:cs="Calibri"/>
          <w:color w:val="000000"/>
          <w:lang w:eastAsia="en-GB"/>
        </w:rPr>
        <w:t xml:space="preserve"> </w:t>
      </w:r>
      <w:r w:rsidR="00AE66B8" w:rsidRPr="00944DF0">
        <w:rPr>
          <w:rFonts w:ascii="Calibri" w:eastAsia="Times New Roman" w:hAnsi="Calibri" w:cs="Calibri"/>
          <w:color w:val="000000"/>
          <w:lang w:eastAsia="en-GB"/>
        </w:rPr>
        <w:t>1</w:t>
      </w:r>
      <w:r w:rsidR="00AE66B8">
        <w:rPr>
          <w:rFonts w:ascii="Calibri" w:eastAsia="Times New Roman" w:hAnsi="Calibri" w:cs="Calibri"/>
          <w:color w:val="000000"/>
          <w:lang w:eastAsia="en-GB"/>
        </w:rPr>
        <w:t>·3</w:t>
      </w:r>
      <w:r w:rsidR="00AE66B8" w:rsidRPr="00944DF0">
        <w:rPr>
          <w:rFonts w:ascii="Calibri" w:eastAsia="Times New Roman" w:hAnsi="Calibri" w:cs="Calibri"/>
          <w:color w:val="000000"/>
          <w:lang w:eastAsia="en-GB"/>
        </w:rPr>
        <w:t xml:space="preserve"> (1</w:t>
      </w:r>
      <w:r w:rsidR="00AE66B8">
        <w:rPr>
          <w:rFonts w:ascii="Calibri" w:eastAsia="Times New Roman" w:hAnsi="Calibri" w:cs="Calibri"/>
          <w:color w:val="000000"/>
          <w:lang w:eastAsia="en-GB"/>
        </w:rPr>
        <w:t>·</w:t>
      </w:r>
      <w:r w:rsidR="00AE66B8" w:rsidRPr="00944DF0">
        <w:rPr>
          <w:rFonts w:ascii="Calibri" w:eastAsia="Times New Roman" w:hAnsi="Calibri" w:cs="Calibri"/>
          <w:color w:val="000000"/>
          <w:lang w:eastAsia="en-GB"/>
        </w:rPr>
        <w:t>0</w:t>
      </w:r>
      <w:r w:rsidR="00AE66B8">
        <w:rPr>
          <w:rFonts w:ascii="Calibri" w:eastAsia="Times New Roman" w:hAnsi="Calibri" w:cs="Calibri"/>
          <w:color w:val="000000"/>
          <w:lang w:eastAsia="en-GB"/>
        </w:rPr>
        <w:t xml:space="preserve"> to</w:t>
      </w:r>
      <w:r w:rsidR="00AE66B8" w:rsidRPr="00944DF0">
        <w:rPr>
          <w:rFonts w:ascii="Calibri" w:eastAsia="Times New Roman" w:hAnsi="Calibri" w:cs="Calibri"/>
          <w:color w:val="000000"/>
          <w:lang w:eastAsia="en-GB"/>
        </w:rPr>
        <w:t xml:space="preserve"> 1</w:t>
      </w:r>
      <w:r w:rsidR="00AE66B8">
        <w:rPr>
          <w:rFonts w:ascii="Calibri" w:eastAsia="Times New Roman" w:hAnsi="Calibri" w:cs="Calibri"/>
          <w:color w:val="000000"/>
          <w:lang w:eastAsia="en-GB"/>
        </w:rPr>
        <w:t>·6</w:t>
      </w:r>
      <w:r w:rsidR="00AE66B8" w:rsidRPr="00944DF0">
        <w:rPr>
          <w:rFonts w:ascii="Calibri" w:eastAsia="Times New Roman" w:hAnsi="Calibri" w:cs="Calibri"/>
          <w:color w:val="000000"/>
          <w:lang w:eastAsia="en-GB"/>
        </w:rPr>
        <w:t>)</w:t>
      </w:r>
      <w:r w:rsidR="00E140E4">
        <w:rPr>
          <w:rFonts w:ascii="Calibri" w:eastAsia="Times New Roman" w:hAnsi="Calibri" w:cs="Calibri"/>
          <w:color w:val="000000"/>
          <w:lang w:eastAsia="en-GB"/>
        </w:rPr>
        <w:t xml:space="preserve"> days</w:t>
      </w:r>
      <w:r w:rsidR="001860DD">
        <w:rPr>
          <w:rFonts w:ascii="Calibri" w:eastAsia="Times New Roman" w:hAnsi="Calibri" w:cs="Calibri"/>
          <w:color w:val="000000"/>
          <w:lang w:eastAsia="en-GB"/>
        </w:rPr>
        <w:t>,</w:t>
      </w:r>
      <w:r w:rsidR="000572F4">
        <w:rPr>
          <w:rFonts w:ascii="Calibri" w:eastAsia="Times New Roman" w:hAnsi="Calibri" w:cs="Calibri"/>
          <w:color w:val="000000"/>
          <w:lang w:eastAsia="en-GB"/>
        </w:rPr>
        <w:t xml:space="preserve"> compared with </w:t>
      </w:r>
      <w:r w:rsidR="001860DD">
        <w:rPr>
          <w:rFonts w:ascii="Calibri" w:eastAsia="Times New Roman" w:hAnsi="Calibri" w:cs="Calibri"/>
          <w:color w:val="000000"/>
          <w:lang w:eastAsia="en-GB"/>
        </w:rPr>
        <w:t xml:space="preserve">the control group, </w:t>
      </w:r>
      <w:r w:rsidR="00AE66B8" w:rsidRPr="00944DF0">
        <w:rPr>
          <w:rFonts w:ascii="Calibri" w:eastAsia="Times New Roman" w:hAnsi="Calibri" w:cs="Calibri"/>
          <w:color w:val="000000"/>
          <w:lang w:eastAsia="en-GB"/>
        </w:rPr>
        <w:t>2</w:t>
      </w:r>
      <w:r w:rsidR="00AE66B8">
        <w:rPr>
          <w:rFonts w:ascii="Calibri" w:eastAsia="Times New Roman" w:hAnsi="Calibri" w:cs="Calibri"/>
          <w:color w:val="000000"/>
          <w:lang w:eastAsia="en-GB"/>
        </w:rPr>
        <w:t>·5</w:t>
      </w:r>
      <w:r w:rsidR="00AE66B8" w:rsidRPr="00944DF0">
        <w:rPr>
          <w:rFonts w:ascii="Calibri" w:eastAsia="Times New Roman" w:hAnsi="Calibri" w:cs="Calibri"/>
          <w:color w:val="000000"/>
          <w:lang w:eastAsia="en-GB"/>
        </w:rPr>
        <w:t xml:space="preserve"> (2</w:t>
      </w:r>
      <w:r w:rsidR="00AE66B8">
        <w:rPr>
          <w:rFonts w:ascii="Calibri" w:eastAsia="Times New Roman" w:hAnsi="Calibri" w:cs="Calibri"/>
          <w:color w:val="000000"/>
          <w:lang w:eastAsia="en-GB"/>
        </w:rPr>
        <w:t>·1 to</w:t>
      </w:r>
      <w:r w:rsidR="00AE66B8" w:rsidRPr="00944DF0">
        <w:rPr>
          <w:rFonts w:ascii="Calibri" w:eastAsia="Times New Roman" w:hAnsi="Calibri" w:cs="Calibri"/>
          <w:color w:val="000000"/>
          <w:lang w:eastAsia="en-GB"/>
        </w:rPr>
        <w:t xml:space="preserve"> </w:t>
      </w:r>
      <w:r w:rsidR="00AE66B8" w:rsidRPr="00944DF0">
        <w:rPr>
          <w:rFonts w:ascii="Calibri" w:eastAsia="Times New Roman" w:hAnsi="Calibri" w:cs="Calibri"/>
          <w:color w:val="000000"/>
          <w:lang w:eastAsia="en-GB"/>
        </w:rPr>
        <w:lastRenderedPageBreak/>
        <w:t>2</w:t>
      </w:r>
      <w:r w:rsidR="00AE66B8">
        <w:rPr>
          <w:rFonts w:ascii="Calibri" w:eastAsia="Times New Roman" w:hAnsi="Calibri" w:cs="Calibri"/>
          <w:color w:val="000000"/>
          <w:lang w:eastAsia="en-GB"/>
        </w:rPr>
        <w:t>·</w:t>
      </w:r>
      <w:r w:rsidR="00AE66B8" w:rsidRPr="00944DF0">
        <w:rPr>
          <w:rFonts w:ascii="Calibri" w:eastAsia="Times New Roman" w:hAnsi="Calibri" w:cs="Calibri"/>
          <w:color w:val="000000"/>
          <w:lang w:eastAsia="en-GB"/>
        </w:rPr>
        <w:t>9)</w:t>
      </w:r>
      <w:r w:rsidR="00AE66B8">
        <w:rPr>
          <w:rFonts w:ascii="Calibri" w:eastAsia="Times New Roman" w:hAnsi="Calibri" w:cs="Calibri"/>
          <w:color w:val="000000"/>
          <w:lang w:eastAsia="en-GB"/>
        </w:rPr>
        <w:t xml:space="preserve"> </w:t>
      </w:r>
      <w:r w:rsidR="00D554FB">
        <w:rPr>
          <w:rFonts w:ascii="Calibri" w:eastAsia="Times New Roman" w:hAnsi="Calibri" w:cs="Calibri"/>
          <w:color w:val="000000"/>
          <w:lang w:eastAsia="en-GB"/>
        </w:rPr>
        <w:t>days</w:t>
      </w:r>
      <w:r w:rsidR="001860DD">
        <w:rPr>
          <w:rFonts w:ascii="Calibri" w:eastAsia="Times New Roman" w:hAnsi="Calibri" w:cs="Calibri"/>
          <w:color w:val="000000"/>
          <w:lang w:eastAsia="en-GB"/>
        </w:rPr>
        <w:t>,</w:t>
      </w:r>
      <w:r w:rsidR="0066500B">
        <w:rPr>
          <w:rFonts w:ascii="Calibri" w:eastAsia="Times New Roman" w:hAnsi="Calibri" w:cs="Calibri"/>
          <w:color w:val="000000"/>
          <w:lang w:eastAsia="en-GB"/>
        </w:rPr>
        <w:t xml:space="preserve"> </w:t>
      </w:r>
      <w:r w:rsidR="001860DD">
        <w:rPr>
          <w:rFonts w:ascii="Calibri" w:eastAsia="Times New Roman" w:hAnsi="Calibri" w:cs="Calibri"/>
          <w:color w:val="000000"/>
          <w:lang w:eastAsia="en-GB"/>
        </w:rPr>
        <w:t>(</w:t>
      </w:r>
      <w:r w:rsidR="007819FC">
        <w:rPr>
          <w:rFonts w:ascii="Calibri" w:eastAsia="Times New Roman" w:hAnsi="Calibri" w:cs="Calibri"/>
          <w:color w:val="000000"/>
          <w:lang w:eastAsia="en-GB"/>
        </w:rPr>
        <w:t xml:space="preserve">exponentiated </w:t>
      </w:r>
      <w:r w:rsidR="000572F4">
        <w:rPr>
          <w:rFonts w:ascii="Calibri" w:eastAsia="Times New Roman" w:hAnsi="Calibri" w:cs="Calibri"/>
          <w:color w:val="000000"/>
          <w:lang w:eastAsia="en-GB"/>
        </w:rPr>
        <w:t xml:space="preserve">coefficient </w:t>
      </w:r>
      <w:r w:rsidR="0066500B">
        <w:rPr>
          <w:rFonts w:ascii="Calibri" w:eastAsia="Times New Roman" w:hAnsi="Calibri" w:cs="Calibri"/>
          <w:color w:val="000000"/>
          <w:lang w:eastAsia="en-GB"/>
        </w:rPr>
        <w:t>0·51 [</w:t>
      </w:r>
      <w:r w:rsidR="000572F4">
        <w:rPr>
          <w:rFonts w:ascii="Calibri" w:eastAsia="Times New Roman" w:hAnsi="Calibri" w:cs="Calibri"/>
          <w:color w:val="000000"/>
          <w:lang w:eastAsia="en-GB"/>
        </w:rPr>
        <w:t xml:space="preserve">95% CI </w:t>
      </w:r>
      <w:r w:rsidR="0066500B">
        <w:rPr>
          <w:rFonts w:ascii="Calibri" w:eastAsia="Times New Roman" w:hAnsi="Calibri" w:cs="Calibri"/>
          <w:color w:val="000000"/>
          <w:lang w:eastAsia="en-GB"/>
        </w:rPr>
        <w:t>0·39 to 0·67]</w:t>
      </w:r>
      <w:r w:rsidR="001860DD">
        <w:rPr>
          <w:rFonts w:ascii="Calibri" w:eastAsia="Times New Roman" w:hAnsi="Calibri" w:cs="Calibri"/>
          <w:color w:val="000000"/>
          <w:lang w:eastAsia="en-GB"/>
        </w:rPr>
        <w:t>;</w:t>
      </w:r>
      <w:r w:rsidR="000572F4" w:rsidRPr="000572F4">
        <w:rPr>
          <w:rFonts w:ascii="Calibri" w:eastAsia="Times New Roman" w:hAnsi="Calibri" w:cs="Calibri"/>
          <w:color w:val="000000"/>
          <w:lang w:eastAsia="en-GB"/>
        </w:rPr>
        <w:t xml:space="preserve"> p&lt;0·0001</w:t>
      </w:r>
      <w:r w:rsidR="00206A46">
        <w:rPr>
          <w:rFonts w:ascii="Calibri" w:eastAsia="Times New Roman" w:hAnsi="Calibri" w:cs="Calibri"/>
          <w:color w:val="000000"/>
          <w:lang w:eastAsia="en-GB"/>
        </w:rPr>
        <w:t>, table 2</w:t>
      </w:r>
      <w:r w:rsidR="000572F4">
        <w:rPr>
          <w:rFonts w:ascii="Calibri" w:eastAsia="Times New Roman" w:hAnsi="Calibri" w:cs="Calibri"/>
          <w:color w:val="000000"/>
          <w:lang w:eastAsia="en-GB"/>
        </w:rPr>
        <w:t>). There was no difference</w:t>
      </w:r>
      <w:r w:rsidR="0066500B">
        <w:rPr>
          <w:rFonts w:ascii="Calibri" w:eastAsia="Times New Roman" w:hAnsi="Calibri" w:cs="Calibri"/>
          <w:color w:val="000000"/>
          <w:lang w:eastAsia="en-GB"/>
        </w:rPr>
        <w:t xml:space="preserve"> </w:t>
      </w:r>
      <w:r w:rsidR="000572F4">
        <w:rPr>
          <w:rFonts w:ascii="Calibri" w:eastAsia="Times New Roman" w:hAnsi="Calibri" w:cs="Calibri"/>
          <w:color w:val="000000"/>
          <w:lang w:eastAsia="en-GB"/>
        </w:rPr>
        <w:t>in</w:t>
      </w:r>
      <w:r w:rsidR="00C77F56">
        <w:rPr>
          <w:rFonts w:ascii="Calibri" w:eastAsia="Times New Roman" w:hAnsi="Calibri" w:cs="Calibri"/>
          <w:color w:val="000000"/>
          <w:lang w:eastAsia="en-GB"/>
        </w:rPr>
        <w:t xml:space="preserve"> the</w:t>
      </w:r>
      <w:r w:rsidR="000572F4">
        <w:rPr>
          <w:rFonts w:ascii="Calibri" w:eastAsia="Times New Roman" w:hAnsi="Calibri" w:cs="Calibri"/>
          <w:color w:val="000000"/>
          <w:lang w:eastAsia="en-GB"/>
        </w:rPr>
        <w:t xml:space="preserve"> duration of time in a </w:t>
      </w:r>
      <w:r w:rsidR="006B6505">
        <w:t>single-occupancy</w:t>
      </w:r>
      <w:r w:rsidR="000572F4">
        <w:rPr>
          <w:rFonts w:ascii="Calibri" w:eastAsia="Times New Roman" w:hAnsi="Calibri" w:cs="Calibri"/>
          <w:color w:val="000000"/>
          <w:lang w:eastAsia="en-GB"/>
        </w:rPr>
        <w:t xml:space="preserve"> room </w:t>
      </w:r>
      <w:r w:rsidR="0078456F">
        <w:rPr>
          <w:rFonts w:ascii="Calibri" w:eastAsia="Times New Roman" w:hAnsi="Calibri" w:cs="Calibri"/>
          <w:color w:val="000000"/>
          <w:lang w:eastAsia="en-GB"/>
        </w:rPr>
        <w:t xml:space="preserve">between the groups </w:t>
      </w:r>
      <w:r w:rsidR="000572F4">
        <w:rPr>
          <w:rFonts w:ascii="Calibri" w:eastAsia="Times New Roman" w:hAnsi="Calibri" w:cs="Calibri"/>
          <w:color w:val="000000"/>
          <w:lang w:eastAsia="en-GB"/>
        </w:rPr>
        <w:t>in patients who had a pathogen detected</w:t>
      </w:r>
      <w:r w:rsidR="001860DD">
        <w:rPr>
          <w:rFonts w:ascii="Calibri" w:eastAsia="Times New Roman" w:hAnsi="Calibri" w:cs="Calibri"/>
          <w:color w:val="000000"/>
          <w:lang w:eastAsia="en-GB"/>
        </w:rPr>
        <w:t xml:space="preserve">, </w:t>
      </w:r>
      <w:r w:rsidR="009B637E">
        <w:rPr>
          <w:rFonts w:ascii="Calibri" w:eastAsia="Times New Roman" w:hAnsi="Calibri" w:cs="Calibri"/>
          <w:color w:val="000000"/>
          <w:lang w:eastAsia="en-GB"/>
        </w:rPr>
        <w:t xml:space="preserve">2·8 (2·1 to 3·5) </w:t>
      </w:r>
      <w:r w:rsidR="00393041">
        <w:rPr>
          <w:rFonts w:ascii="Calibri" w:eastAsia="Times New Roman" w:hAnsi="Calibri" w:cs="Calibri"/>
          <w:color w:val="000000"/>
          <w:lang w:eastAsia="en-GB"/>
        </w:rPr>
        <w:t>days</w:t>
      </w:r>
      <w:r w:rsidR="001860DD">
        <w:rPr>
          <w:rFonts w:ascii="Calibri" w:eastAsia="Times New Roman" w:hAnsi="Calibri" w:cs="Calibri"/>
          <w:color w:val="000000"/>
          <w:lang w:eastAsia="en-GB"/>
        </w:rPr>
        <w:t>,</w:t>
      </w:r>
      <w:r w:rsidR="0066500B">
        <w:rPr>
          <w:rFonts w:ascii="Calibri" w:eastAsia="Times New Roman" w:hAnsi="Calibri" w:cs="Calibri"/>
          <w:color w:val="000000"/>
          <w:lang w:eastAsia="en-GB"/>
        </w:rPr>
        <w:t xml:space="preserve"> in the mPOCT group compared with </w:t>
      </w:r>
      <w:r w:rsidR="00A4442D" w:rsidRPr="00944DF0">
        <w:rPr>
          <w:rFonts w:ascii="Calibri" w:eastAsia="Times New Roman" w:hAnsi="Calibri" w:cs="Calibri"/>
          <w:color w:val="000000"/>
          <w:lang w:eastAsia="en-GB"/>
        </w:rPr>
        <w:t>2</w:t>
      </w:r>
      <w:r w:rsidR="00A4442D">
        <w:rPr>
          <w:rFonts w:ascii="Calibri" w:eastAsia="Times New Roman" w:hAnsi="Calibri" w:cs="Calibri"/>
          <w:color w:val="000000"/>
          <w:lang w:eastAsia="en-GB"/>
        </w:rPr>
        <w:t>·</w:t>
      </w:r>
      <w:r w:rsidR="00A4442D" w:rsidRPr="00944DF0">
        <w:rPr>
          <w:rFonts w:ascii="Calibri" w:eastAsia="Times New Roman" w:hAnsi="Calibri" w:cs="Calibri"/>
          <w:color w:val="000000"/>
          <w:lang w:eastAsia="en-GB"/>
        </w:rPr>
        <w:t>9 (2</w:t>
      </w:r>
      <w:r w:rsidR="00A4442D">
        <w:rPr>
          <w:rFonts w:ascii="Calibri" w:eastAsia="Times New Roman" w:hAnsi="Calibri" w:cs="Calibri"/>
          <w:color w:val="000000"/>
          <w:lang w:eastAsia="en-GB"/>
        </w:rPr>
        <w:t>·</w:t>
      </w:r>
      <w:r w:rsidR="00A4442D" w:rsidRPr="00944DF0">
        <w:rPr>
          <w:rFonts w:ascii="Calibri" w:eastAsia="Times New Roman" w:hAnsi="Calibri" w:cs="Calibri"/>
          <w:color w:val="000000"/>
          <w:lang w:eastAsia="en-GB"/>
        </w:rPr>
        <w:t>2</w:t>
      </w:r>
      <w:r w:rsidR="00A4442D">
        <w:rPr>
          <w:rFonts w:ascii="Calibri" w:eastAsia="Times New Roman" w:hAnsi="Calibri" w:cs="Calibri"/>
          <w:color w:val="000000"/>
          <w:lang w:eastAsia="en-GB"/>
        </w:rPr>
        <w:t xml:space="preserve"> to</w:t>
      </w:r>
      <w:r w:rsidR="00A4442D" w:rsidRPr="00944DF0">
        <w:rPr>
          <w:rFonts w:ascii="Calibri" w:eastAsia="Times New Roman" w:hAnsi="Calibri" w:cs="Calibri"/>
          <w:color w:val="000000"/>
          <w:lang w:eastAsia="en-GB"/>
        </w:rPr>
        <w:t xml:space="preserve"> 3</w:t>
      </w:r>
      <w:r w:rsidR="00A4442D">
        <w:rPr>
          <w:rFonts w:ascii="Calibri" w:eastAsia="Times New Roman" w:hAnsi="Calibri" w:cs="Calibri"/>
          <w:color w:val="000000"/>
          <w:lang w:eastAsia="en-GB"/>
        </w:rPr>
        <w:t>·9</w:t>
      </w:r>
      <w:r w:rsidR="00A4442D" w:rsidRPr="00944DF0">
        <w:rPr>
          <w:rFonts w:ascii="Calibri" w:eastAsia="Times New Roman" w:hAnsi="Calibri" w:cs="Calibri"/>
          <w:color w:val="000000"/>
          <w:lang w:eastAsia="en-GB"/>
        </w:rPr>
        <w:t>)</w:t>
      </w:r>
      <w:r w:rsidR="00A4442D">
        <w:rPr>
          <w:rFonts w:ascii="Calibri" w:eastAsia="Times New Roman" w:hAnsi="Calibri" w:cs="Calibri"/>
          <w:color w:val="000000"/>
          <w:lang w:eastAsia="en-GB"/>
        </w:rPr>
        <w:t xml:space="preserve"> </w:t>
      </w:r>
      <w:r w:rsidR="00393041">
        <w:rPr>
          <w:rFonts w:ascii="Calibri" w:eastAsia="Times New Roman" w:hAnsi="Calibri" w:cs="Calibri"/>
          <w:color w:val="000000"/>
          <w:lang w:eastAsia="en-GB"/>
        </w:rPr>
        <w:t>days</w:t>
      </w:r>
      <w:r w:rsidR="002A7DF4">
        <w:rPr>
          <w:rFonts w:ascii="Calibri" w:eastAsia="Times New Roman" w:hAnsi="Calibri" w:cs="Calibri"/>
          <w:color w:val="000000"/>
          <w:lang w:eastAsia="en-GB"/>
        </w:rPr>
        <w:t xml:space="preserve"> in the control group</w:t>
      </w:r>
      <w:r w:rsidR="0066500B">
        <w:rPr>
          <w:rFonts w:ascii="Calibri" w:eastAsia="Times New Roman" w:hAnsi="Calibri" w:cs="Calibri"/>
          <w:color w:val="000000"/>
          <w:lang w:eastAsia="en-GB"/>
        </w:rPr>
        <w:t xml:space="preserve"> </w:t>
      </w:r>
      <w:r w:rsidR="001860DD">
        <w:rPr>
          <w:rFonts w:ascii="Calibri" w:eastAsia="Times New Roman" w:hAnsi="Calibri" w:cs="Calibri"/>
          <w:color w:val="000000"/>
          <w:lang w:eastAsia="en-GB"/>
        </w:rPr>
        <w:t>(</w:t>
      </w:r>
      <w:r w:rsidR="007819FC">
        <w:rPr>
          <w:rFonts w:ascii="Calibri" w:eastAsia="Times New Roman" w:hAnsi="Calibri" w:cs="Calibri"/>
          <w:color w:val="000000"/>
          <w:lang w:eastAsia="en-GB"/>
        </w:rPr>
        <w:t xml:space="preserve">exponentiated </w:t>
      </w:r>
      <w:r w:rsidR="0066500B">
        <w:rPr>
          <w:rFonts w:ascii="Calibri" w:eastAsia="Times New Roman" w:hAnsi="Calibri" w:cs="Calibri"/>
          <w:color w:val="000000"/>
          <w:lang w:eastAsia="en-GB"/>
        </w:rPr>
        <w:t>coefficient 0·94 [95%CI 0·64 to 1·39]</w:t>
      </w:r>
      <w:r w:rsidR="001860DD">
        <w:rPr>
          <w:rFonts w:ascii="Calibri" w:eastAsia="Times New Roman" w:hAnsi="Calibri" w:cs="Calibri"/>
          <w:color w:val="000000"/>
          <w:lang w:eastAsia="en-GB"/>
        </w:rPr>
        <w:t>;</w:t>
      </w:r>
      <w:r w:rsidR="0032744A">
        <w:rPr>
          <w:rFonts w:ascii="Calibri" w:eastAsia="Times New Roman" w:hAnsi="Calibri" w:cs="Calibri"/>
          <w:color w:val="000000"/>
          <w:lang w:eastAsia="en-GB"/>
        </w:rPr>
        <w:t xml:space="preserve"> </w:t>
      </w:r>
      <w:r w:rsidR="000572F4" w:rsidRPr="000572F4">
        <w:rPr>
          <w:rFonts w:ascii="Calibri" w:eastAsia="Times New Roman" w:hAnsi="Calibri" w:cs="Calibri"/>
          <w:color w:val="000000"/>
          <w:lang w:eastAsia="en-GB"/>
        </w:rPr>
        <w:t>p=0·7</w:t>
      </w:r>
      <w:r w:rsidR="0066500B">
        <w:rPr>
          <w:rFonts w:ascii="Calibri" w:eastAsia="Times New Roman" w:hAnsi="Calibri" w:cs="Calibri"/>
          <w:color w:val="000000"/>
          <w:lang w:eastAsia="en-GB"/>
        </w:rPr>
        <w:t>6)</w:t>
      </w:r>
      <w:r w:rsidR="005C3A16">
        <w:rPr>
          <w:rFonts w:ascii="Calibri" w:eastAsia="Times New Roman" w:hAnsi="Calibri" w:cs="Calibri"/>
          <w:color w:val="000000"/>
          <w:lang w:eastAsia="en-GB"/>
        </w:rPr>
        <w:t>.</w:t>
      </w:r>
      <w:r w:rsidR="00AD61F2">
        <w:rPr>
          <w:rFonts w:ascii="Calibri" w:eastAsia="Times New Roman" w:hAnsi="Calibri" w:cs="Calibri"/>
          <w:color w:val="000000"/>
          <w:lang w:eastAsia="en-GB"/>
        </w:rPr>
        <w:t xml:space="preserve"> </w:t>
      </w:r>
      <w:r w:rsidR="006A1BF4">
        <w:rPr>
          <w:rFonts w:ascii="Calibri" w:eastAsia="Times New Roman" w:hAnsi="Calibri" w:cs="Calibri"/>
          <w:color w:val="000000"/>
          <w:lang w:eastAsia="en-GB"/>
        </w:rPr>
        <w:t xml:space="preserve">Time-to-event </w:t>
      </w:r>
      <w:r w:rsidR="0063653A">
        <w:rPr>
          <w:rFonts w:ascii="Calibri" w:eastAsia="Times New Roman" w:hAnsi="Calibri" w:cs="Calibri"/>
          <w:color w:val="000000"/>
          <w:lang w:eastAsia="en-GB"/>
        </w:rPr>
        <w:t>analyses further</w:t>
      </w:r>
      <w:r w:rsidR="00447C3C">
        <w:rPr>
          <w:rFonts w:ascii="Calibri" w:eastAsia="Times New Roman" w:hAnsi="Calibri" w:cs="Calibri"/>
          <w:color w:val="000000"/>
          <w:lang w:eastAsia="en-GB"/>
        </w:rPr>
        <w:t xml:space="preserve"> demonstrate that patients in the mPOCT group ha</w:t>
      </w:r>
      <w:r w:rsidR="006A1BF4">
        <w:rPr>
          <w:rFonts w:ascii="Calibri" w:eastAsia="Times New Roman" w:hAnsi="Calibri" w:cs="Calibri"/>
          <w:color w:val="000000"/>
          <w:lang w:eastAsia="en-GB"/>
        </w:rPr>
        <w:t>d</w:t>
      </w:r>
      <w:r w:rsidR="00447C3C">
        <w:rPr>
          <w:rFonts w:ascii="Calibri" w:eastAsia="Times New Roman" w:hAnsi="Calibri" w:cs="Calibri"/>
          <w:color w:val="000000"/>
          <w:lang w:eastAsia="en-GB"/>
        </w:rPr>
        <w:t xml:space="preserve"> a shorter time in single-occupancy isolation room</w:t>
      </w:r>
      <w:r w:rsidR="006A1BF4">
        <w:rPr>
          <w:rFonts w:ascii="Calibri" w:eastAsia="Times New Roman" w:hAnsi="Calibri" w:cs="Calibri"/>
          <w:color w:val="000000"/>
          <w:lang w:eastAsia="en-GB"/>
        </w:rPr>
        <w:t>s</w:t>
      </w:r>
      <w:r w:rsidR="00447C3C">
        <w:rPr>
          <w:rFonts w:ascii="Calibri" w:eastAsia="Times New Roman" w:hAnsi="Calibri" w:cs="Calibri"/>
          <w:color w:val="000000"/>
          <w:lang w:eastAsia="en-GB"/>
        </w:rPr>
        <w:t xml:space="preserve">, that de-isolation </w:t>
      </w:r>
      <w:r w:rsidR="00E65801">
        <w:rPr>
          <w:rFonts w:ascii="Calibri" w:eastAsia="Times New Roman" w:hAnsi="Calibri" w:cs="Calibri"/>
          <w:color w:val="000000"/>
          <w:lang w:eastAsia="en-GB"/>
        </w:rPr>
        <w:t>occurred</w:t>
      </w:r>
      <w:r w:rsidR="00447C3C">
        <w:rPr>
          <w:rFonts w:ascii="Calibri" w:eastAsia="Times New Roman" w:hAnsi="Calibri" w:cs="Calibri"/>
          <w:color w:val="000000"/>
          <w:lang w:eastAsia="en-GB"/>
        </w:rPr>
        <w:t xml:space="preserve"> promptly after mPOCT, and that patients in the mPOCT group with no pathogen detected </w:t>
      </w:r>
      <w:r w:rsidR="0078456F">
        <w:rPr>
          <w:rFonts w:ascii="Calibri" w:eastAsia="Times New Roman" w:hAnsi="Calibri" w:cs="Calibri"/>
          <w:color w:val="000000"/>
          <w:lang w:eastAsia="en-GB"/>
        </w:rPr>
        <w:t>were</w:t>
      </w:r>
      <w:r w:rsidR="00447C3C">
        <w:rPr>
          <w:rFonts w:ascii="Calibri" w:eastAsia="Times New Roman" w:hAnsi="Calibri" w:cs="Calibri"/>
          <w:color w:val="000000"/>
          <w:lang w:eastAsia="en-GB"/>
        </w:rPr>
        <w:t xml:space="preserve"> </w:t>
      </w:r>
      <w:r w:rsidR="006A1BF4">
        <w:rPr>
          <w:rFonts w:ascii="Calibri" w:eastAsia="Times New Roman" w:hAnsi="Calibri" w:cs="Calibri"/>
          <w:color w:val="000000"/>
          <w:lang w:eastAsia="en-GB"/>
        </w:rPr>
        <w:t xml:space="preserve">the </w:t>
      </w:r>
      <w:r w:rsidR="00447C3C">
        <w:rPr>
          <w:rFonts w:ascii="Calibri" w:eastAsia="Times New Roman" w:hAnsi="Calibri" w:cs="Calibri"/>
          <w:color w:val="000000"/>
          <w:lang w:eastAsia="en-GB"/>
        </w:rPr>
        <w:t xml:space="preserve">reason for the shorter duration of time in isolation </w:t>
      </w:r>
      <w:r w:rsidR="0078456F">
        <w:rPr>
          <w:rFonts w:ascii="Calibri" w:eastAsia="Times New Roman" w:hAnsi="Calibri" w:cs="Calibri"/>
          <w:color w:val="000000"/>
          <w:lang w:eastAsia="en-GB"/>
        </w:rPr>
        <w:t xml:space="preserve">between the groups overall </w:t>
      </w:r>
      <w:r w:rsidR="00447C3C">
        <w:rPr>
          <w:rFonts w:ascii="Calibri" w:eastAsia="Times New Roman" w:hAnsi="Calibri" w:cs="Calibri"/>
          <w:color w:val="000000"/>
          <w:lang w:eastAsia="en-GB"/>
        </w:rPr>
        <w:t>(figure 2).</w:t>
      </w:r>
    </w:p>
    <w:p w14:paraId="6390DE0C" w14:textId="633C14F5" w:rsidR="00173FB2" w:rsidRDefault="00173FB2" w:rsidP="00173FB2">
      <w:r>
        <w:t xml:space="preserve">The median time from study enrolment to results being available to clinicians was 1·7 (1·5 to 2·0) </w:t>
      </w:r>
      <w:r w:rsidR="00D554FB">
        <w:t xml:space="preserve">hours </w:t>
      </w:r>
      <w:r>
        <w:t xml:space="preserve">in the mPOCT group and 44·7 (21·2 to 66·1) </w:t>
      </w:r>
      <w:r w:rsidR="00D554FB">
        <w:t xml:space="preserve">hours </w:t>
      </w:r>
      <w:r>
        <w:t xml:space="preserve">in the control group (difference </w:t>
      </w:r>
      <w:r w:rsidR="00D554FB">
        <w:t xml:space="preserve">of </w:t>
      </w:r>
      <w:r>
        <w:t>-43·9 [95%CI -49·3 to -38·4]; p&lt;0·0001, table 3).</w:t>
      </w:r>
    </w:p>
    <w:p w14:paraId="7A88EEE7" w14:textId="2C604DB1" w:rsidR="00454F99" w:rsidRDefault="005C4790" w:rsidP="0032744A">
      <w:pPr>
        <w:rPr>
          <w:rFonts w:ascii="Calibri" w:eastAsia="Times New Roman" w:hAnsi="Calibri" w:cs="Calibri"/>
          <w:color w:val="000000"/>
          <w:lang w:eastAsia="en-GB"/>
        </w:rPr>
      </w:pPr>
      <w:r>
        <w:rPr>
          <w:rFonts w:ascii="Calibri" w:eastAsia="Times New Roman" w:hAnsi="Calibri" w:cs="Calibri"/>
          <w:color w:val="000000"/>
          <w:lang w:eastAsia="en-GB"/>
        </w:rPr>
        <w:t xml:space="preserve">A higher proportion of patients in the mPOCT group </w:t>
      </w:r>
      <w:r w:rsidR="00EC73A9">
        <w:rPr>
          <w:rFonts w:ascii="Calibri" w:eastAsia="Times New Roman" w:hAnsi="Calibri" w:cs="Calibri"/>
          <w:color w:val="000000"/>
          <w:lang w:eastAsia="en-GB"/>
        </w:rPr>
        <w:t xml:space="preserve">were de-isolated </w:t>
      </w:r>
      <w:r w:rsidR="001860DD">
        <w:rPr>
          <w:rFonts w:ascii="Calibri" w:eastAsia="Times New Roman" w:hAnsi="Calibri" w:cs="Calibri"/>
          <w:color w:val="000000"/>
          <w:lang w:eastAsia="en-GB"/>
        </w:rPr>
        <w:t>(moved from single</w:t>
      </w:r>
      <w:r w:rsidR="00F75360">
        <w:rPr>
          <w:rFonts w:ascii="Calibri" w:eastAsia="Times New Roman" w:hAnsi="Calibri" w:cs="Calibri"/>
          <w:color w:val="000000"/>
          <w:lang w:eastAsia="en-GB"/>
        </w:rPr>
        <w:t>-occupancy</w:t>
      </w:r>
      <w:r w:rsidR="001860DD">
        <w:rPr>
          <w:rFonts w:ascii="Calibri" w:eastAsia="Times New Roman" w:hAnsi="Calibri" w:cs="Calibri"/>
          <w:color w:val="000000"/>
          <w:lang w:eastAsia="en-GB"/>
        </w:rPr>
        <w:t xml:space="preserve"> room accommodation to a shared bay area) </w:t>
      </w:r>
      <w:r>
        <w:rPr>
          <w:rFonts w:ascii="Calibri" w:eastAsia="Times New Roman" w:hAnsi="Calibri" w:cs="Calibri"/>
          <w:color w:val="000000"/>
          <w:lang w:eastAsia="en-GB"/>
        </w:rPr>
        <w:t xml:space="preserve">during their hospitalisation </w:t>
      </w:r>
      <w:r w:rsidR="00E162E4">
        <w:rPr>
          <w:rFonts w:ascii="Calibri" w:eastAsia="Times New Roman" w:hAnsi="Calibri" w:cs="Calibri"/>
          <w:color w:val="000000"/>
          <w:lang w:eastAsia="en-GB"/>
        </w:rPr>
        <w:t xml:space="preserve">compared to </w:t>
      </w:r>
      <w:r>
        <w:rPr>
          <w:rFonts w:ascii="Calibri" w:eastAsia="Times New Roman" w:hAnsi="Calibri" w:cs="Calibri"/>
          <w:color w:val="000000"/>
          <w:lang w:eastAsia="en-GB"/>
        </w:rPr>
        <w:t>the control group</w:t>
      </w:r>
      <w:r w:rsidR="00E65801">
        <w:rPr>
          <w:rFonts w:ascii="Calibri" w:eastAsia="Times New Roman" w:hAnsi="Calibri" w:cs="Calibri"/>
          <w:color w:val="000000"/>
          <w:lang w:eastAsia="en-GB"/>
        </w:rPr>
        <w:t xml:space="preserve">, </w:t>
      </w:r>
      <w:r w:rsidRPr="005C4790">
        <w:rPr>
          <w:rFonts w:ascii="Calibri" w:eastAsia="Times New Roman" w:hAnsi="Calibri" w:cs="Calibri"/>
          <w:color w:val="000000"/>
          <w:lang w:eastAsia="en-GB"/>
        </w:rPr>
        <w:t xml:space="preserve">58 </w:t>
      </w:r>
      <w:r w:rsidR="00E65801">
        <w:rPr>
          <w:rFonts w:ascii="Calibri" w:eastAsia="Times New Roman" w:hAnsi="Calibri" w:cs="Calibri"/>
          <w:color w:val="000000"/>
          <w:lang w:eastAsia="en-GB"/>
        </w:rPr>
        <w:t>(</w:t>
      </w:r>
      <w:r>
        <w:rPr>
          <w:rFonts w:ascii="Calibri" w:eastAsia="Times New Roman" w:hAnsi="Calibri" w:cs="Calibri"/>
          <w:color w:val="000000"/>
          <w:lang w:eastAsia="en-GB"/>
        </w:rPr>
        <w:t>43%</w:t>
      </w:r>
      <w:r w:rsidR="00E65801">
        <w:rPr>
          <w:rFonts w:ascii="Calibri" w:eastAsia="Times New Roman" w:hAnsi="Calibri" w:cs="Calibri"/>
          <w:color w:val="000000"/>
          <w:lang w:eastAsia="en-GB"/>
        </w:rPr>
        <w:t>)</w:t>
      </w:r>
      <w:r>
        <w:rPr>
          <w:rFonts w:ascii="Calibri" w:eastAsia="Times New Roman" w:hAnsi="Calibri" w:cs="Calibri"/>
          <w:color w:val="000000"/>
          <w:lang w:eastAsia="en-GB"/>
        </w:rPr>
        <w:t xml:space="preserve"> </w:t>
      </w:r>
      <w:r w:rsidR="00E140E4">
        <w:rPr>
          <w:rFonts w:ascii="Calibri" w:eastAsia="Times New Roman" w:hAnsi="Calibri" w:cs="Calibri"/>
          <w:color w:val="000000"/>
          <w:lang w:eastAsia="en-GB"/>
        </w:rPr>
        <w:t xml:space="preserve">of 136 </w:t>
      </w:r>
      <w:r w:rsidR="00E162E4">
        <w:rPr>
          <w:rFonts w:ascii="Calibri" w:eastAsia="Times New Roman" w:hAnsi="Calibri" w:cs="Calibri"/>
          <w:color w:val="000000"/>
          <w:lang w:eastAsia="en-GB"/>
        </w:rPr>
        <w:t xml:space="preserve">versus </w:t>
      </w:r>
      <w:r w:rsidRPr="005C4790">
        <w:rPr>
          <w:rFonts w:ascii="Calibri" w:eastAsia="Times New Roman" w:hAnsi="Calibri" w:cs="Calibri"/>
          <w:color w:val="000000"/>
          <w:lang w:eastAsia="en-GB"/>
        </w:rPr>
        <w:t xml:space="preserve">38 </w:t>
      </w:r>
      <w:r w:rsidR="00E65801">
        <w:rPr>
          <w:rFonts w:ascii="Calibri" w:eastAsia="Times New Roman" w:hAnsi="Calibri" w:cs="Calibri"/>
          <w:color w:val="000000"/>
          <w:lang w:eastAsia="en-GB"/>
        </w:rPr>
        <w:t>(</w:t>
      </w:r>
      <w:r>
        <w:rPr>
          <w:rFonts w:ascii="Calibri" w:eastAsia="Times New Roman" w:hAnsi="Calibri" w:cs="Calibri"/>
          <w:color w:val="000000"/>
          <w:lang w:eastAsia="en-GB"/>
        </w:rPr>
        <w:t>27%</w:t>
      </w:r>
      <w:r w:rsidR="00E65801">
        <w:rPr>
          <w:rFonts w:ascii="Calibri" w:eastAsia="Times New Roman" w:hAnsi="Calibri" w:cs="Calibri"/>
          <w:color w:val="000000"/>
          <w:lang w:eastAsia="en-GB"/>
        </w:rPr>
        <w:t xml:space="preserve">) </w:t>
      </w:r>
      <w:r w:rsidR="00E140E4">
        <w:rPr>
          <w:rFonts w:ascii="Calibri" w:eastAsia="Times New Roman" w:hAnsi="Calibri" w:cs="Calibri"/>
          <w:color w:val="000000"/>
          <w:lang w:eastAsia="en-GB"/>
        </w:rPr>
        <w:t>of 140</w:t>
      </w:r>
      <w:r w:rsidR="00E65801">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difference </w:t>
      </w:r>
      <w:r w:rsidR="00AA2F42">
        <w:rPr>
          <w:rFonts w:ascii="Calibri" w:eastAsia="Times New Roman" w:hAnsi="Calibri" w:cs="Calibri"/>
          <w:color w:val="000000"/>
          <w:lang w:eastAsia="en-GB"/>
        </w:rPr>
        <w:t xml:space="preserve">of </w:t>
      </w:r>
      <w:r>
        <w:rPr>
          <w:rFonts w:ascii="Calibri" w:eastAsia="Times New Roman" w:hAnsi="Calibri" w:cs="Calibri"/>
          <w:color w:val="000000"/>
          <w:lang w:eastAsia="en-GB"/>
        </w:rPr>
        <w:t>16% [95%CI 4 to 27]</w:t>
      </w:r>
      <w:r w:rsidR="0032744A">
        <w:rPr>
          <w:rFonts w:ascii="Calibri" w:eastAsia="Times New Roman" w:hAnsi="Calibri" w:cs="Calibri"/>
          <w:color w:val="000000"/>
          <w:lang w:eastAsia="en-GB"/>
        </w:rPr>
        <w:t>;</w:t>
      </w:r>
      <w:r>
        <w:rPr>
          <w:rFonts w:ascii="Calibri" w:eastAsia="Times New Roman" w:hAnsi="Calibri" w:cs="Calibri"/>
          <w:color w:val="000000"/>
          <w:lang w:eastAsia="en-GB"/>
        </w:rPr>
        <w:t xml:space="preserve"> p=</w:t>
      </w:r>
      <w:r w:rsidRPr="005C4790">
        <w:rPr>
          <w:rFonts w:ascii="Calibri" w:eastAsia="Times New Roman" w:hAnsi="Calibri" w:cs="Calibri"/>
          <w:color w:val="000000"/>
          <w:lang w:eastAsia="en-GB"/>
        </w:rPr>
        <w:t>0·0069</w:t>
      </w:r>
      <w:r>
        <w:rPr>
          <w:rFonts w:ascii="Calibri" w:eastAsia="Times New Roman" w:hAnsi="Calibri" w:cs="Calibri"/>
          <w:color w:val="000000"/>
          <w:lang w:eastAsia="en-GB"/>
        </w:rPr>
        <w:t xml:space="preserve">, table 3). </w:t>
      </w:r>
      <w:r w:rsidR="00532B73">
        <w:rPr>
          <w:rFonts w:ascii="Calibri" w:eastAsia="Times New Roman" w:hAnsi="Calibri" w:cs="Calibri"/>
          <w:color w:val="000000"/>
          <w:lang w:eastAsia="en-GB"/>
        </w:rPr>
        <w:t xml:space="preserve">Patients with no pathogen detected were more likely </w:t>
      </w:r>
      <w:r w:rsidR="001860DD">
        <w:rPr>
          <w:rFonts w:ascii="Calibri" w:eastAsia="Times New Roman" w:hAnsi="Calibri" w:cs="Calibri"/>
          <w:color w:val="000000"/>
          <w:lang w:eastAsia="en-GB"/>
        </w:rPr>
        <w:t xml:space="preserve">to be de-isolated </w:t>
      </w:r>
      <w:r w:rsidR="00532B73">
        <w:rPr>
          <w:rFonts w:ascii="Calibri" w:eastAsia="Times New Roman" w:hAnsi="Calibri" w:cs="Calibri"/>
          <w:color w:val="000000"/>
          <w:lang w:eastAsia="en-GB"/>
        </w:rPr>
        <w:t>during their hospital stay in the mPOCT group than in the control group</w:t>
      </w:r>
      <w:r w:rsidR="00E65801">
        <w:rPr>
          <w:rFonts w:ascii="Calibri" w:eastAsia="Times New Roman" w:hAnsi="Calibri" w:cs="Calibri"/>
          <w:color w:val="000000"/>
          <w:lang w:eastAsia="en-GB"/>
        </w:rPr>
        <w:t xml:space="preserve">, </w:t>
      </w:r>
      <w:r w:rsidR="00532B73">
        <w:rPr>
          <w:rFonts w:ascii="Calibri" w:eastAsia="Times New Roman" w:hAnsi="Calibri" w:cs="Calibri"/>
          <w:color w:val="000000"/>
          <w:lang w:eastAsia="en-GB"/>
        </w:rPr>
        <w:t xml:space="preserve">54 </w:t>
      </w:r>
      <w:r w:rsidR="00E65801">
        <w:rPr>
          <w:rFonts w:ascii="Calibri" w:eastAsia="Times New Roman" w:hAnsi="Calibri" w:cs="Calibri"/>
          <w:color w:val="000000"/>
          <w:lang w:eastAsia="en-GB"/>
        </w:rPr>
        <w:t>(</w:t>
      </w:r>
      <w:r w:rsidR="00532B73">
        <w:rPr>
          <w:rFonts w:ascii="Calibri" w:eastAsia="Times New Roman" w:hAnsi="Calibri" w:cs="Calibri"/>
          <w:color w:val="000000"/>
          <w:lang w:eastAsia="en-GB"/>
        </w:rPr>
        <w:t>73%</w:t>
      </w:r>
      <w:r w:rsidR="00E65801">
        <w:rPr>
          <w:rFonts w:ascii="Calibri" w:eastAsia="Times New Roman" w:hAnsi="Calibri" w:cs="Calibri"/>
          <w:color w:val="000000"/>
          <w:lang w:eastAsia="en-GB"/>
        </w:rPr>
        <w:t>)</w:t>
      </w:r>
      <w:r w:rsidR="00532B73">
        <w:rPr>
          <w:rFonts w:ascii="Calibri" w:eastAsia="Times New Roman" w:hAnsi="Calibri" w:cs="Calibri"/>
          <w:color w:val="000000"/>
          <w:lang w:eastAsia="en-GB"/>
        </w:rPr>
        <w:t xml:space="preserve"> </w:t>
      </w:r>
      <w:r w:rsidR="00D554FB">
        <w:rPr>
          <w:rFonts w:ascii="Calibri" w:eastAsia="Times New Roman" w:hAnsi="Calibri" w:cs="Calibri"/>
          <w:color w:val="000000"/>
          <w:lang w:eastAsia="en-GB"/>
        </w:rPr>
        <w:t xml:space="preserve">of 74 </w:t>
      </w:r>
      <w:r w:rsidR="00E140E4">
        <w:rPr>
          <w:rFonts w:ascii="Calibri" w:eastAsia="Times New Roman" w:hAnsi="Calibri" w:cs="Calibri"/>
          <w:color w:val="000000"/>
          <w:lang w:eastAsia="en-GB"/>
        </w:rPr>
        <w:t>versus</w:t>
      </w:r>
      <w:r w:rsidR="00E65801">
        <w:rPr>
          <w:rFonts w:ascii="Calibri" w:eastAsia="Times New Roman" w:hAnsi="Calibri" w:cs="Calibri"/>
          <w:color w:val="000000"/>
          <w:lang w:eastAsia="en-GB"/>
        </w:rPr>
        <w:t xml:space="preserve"> </w:t>
      </w:r>
      <w:r w:rsidR="00532B73">
        <w:rPr>
          <w:rFonts w:ascii="Calibri" w:eastAsia="Times New Roman" w:hAnsi="Calibri" w:cs="Calibri"/>
          <w:color w:val="000000"/>
          <w:lang w:eastAsia="en-GB"/>
        </w:rPr>
        <w:t xml:space="preserve">35 </w:t>
      </w:r>
      <w:r w:rsidR="00E65801">
        <w:rPr>
          <w:rFonts w:ascii="Calibri" w:eastAsia="Times New Roman" w:hAnsi="Calibri" w:cs="Calibri"/>
          <w:color w:val="000000"/>
          <w:lang w:eastAsia="en-GB"/>
        </w:rPr>
        <w:t>(</w:t>
      </w:r>
      <w:r w:rsidR="00532B73">
        <w:rPr>
          <w:rFonts w:ascii="Calibri" w:eastAsia="Times New Roman" w:hAnsi="Calibri" w:cs="Calibri"/>
          <w:color w:val="000000"/>
          <w:lang w:eastAsia="en-GB"/>
        </w:rPr>
        <w:t>34</w:t>
      </w:r>
      <w:r w:rsidR="00E65801">
        <w:rPr>
          <w:rFonts w:ascii="Calibri" w:eastAsia="Times New Roman" w:hAnsi="Calibri" w:cs="Calibri"/>
          <w:color w:val="000000"/>
          <w:lang w:eastAsia="en-GB"/>
        </w:rPr>
        <w:t>%)</w:t>
      </w:r>
      <w:r w:rsidR="00D554FB">
        <w:rPr>
          <w:rFonts w:ascii="Calibri" w:eastAsia="Times New Roman" w:hAnsi="Calibri" w:cs="Calibri"/>
          <w:color w:val="000000"/>
          <w:lang w:eastAsia="en-GB"/>
        </w:rPr>
        <w:t xml:space="preserve"> of 104</w:t>
      </w:r>
      <w:r w:rsidR="00E65801">
        <w:rPr>
          <w:rFonts w:ascii="Calibri" w:eastAsia="Times New Roman" w:hAnsi="Calibri" w:cs="Calibri"/>
          <w:color w:val="000000"/>
          <w:lang w:eastAsia="en-GB"/>
        </w:rPr>
        <w:t xml:space="preserve"> (</w:t>
      </w:r>
      <w:r w:rsidR="00532B73">
        <w:rPr>
          <w:rFonts w:ascii="Calibri" w:eastAsia="Times New Roman" w:hAnsi="Calibri" w:cs="Calibri"/>
          <w:color w:val="000000"/>
          <w:lang w:eastAsia="en-GB"/>
        </w:rPr>
        <w:t xml:space="preserve">difference </w:t>
      </w:r>
      <w:r w:rsidR="00D554FB">
        <w:rPr>
          <w:rFonts w:ascii="Calibri" w:eastAsia="Times New Roman" w:hAnsi="Calibri" w:cs="Calibri"/>
          <w:color w:val="000000"/>
          <w:lang w:eastAsia="en-GB"/>
        </w:rPr>
        <w:t xml:space="preserve">of </w:t>
      </w:r>
      <w:r w:rsidR="00532B73">
        <w:rPr>
          <w:rFonts w:ascii="Calibri" w:eastAsia="Times New Roman" w:hAnsi="Calibri" w:cs="Calibri"/>
          <w:color w:val="000000"/>
          <w:lang w:eastAsia="en-GB"/>
        </w:rPr>
        <w:t>39% [95%CI 26 to 53]</w:t>
      </w:r>
      <w:r w:rsidR="0032744A">
        <w:rPr>
          <w:rFonts w:ascii="Calibri" w:eastAsia="Times New Roman" w:hAnsi="Calibri" w:cs="Calibri"/>
          <w:color w:val="000000"/>
          <w:lang w:eastAsia="en-GB"/>
        </w:rPr>
        <w:t>;</w:t>
      </w:r>
      <w:r w:rsidR="00532B73">
        <w:rPr>
          <w:rFonts w:ascii="Calibri" w:eastAsia="Times New Roman" w:hAnsi="Calibri" w:cs="Calibri"/>
          <w:color w:val="000000"/>
          <w:lang w:eastAsia="en-GB"/>
        </w:rPr>
        <w:t xml:space="preserve"> p</w:t>
      </w:r>
      <w:r w:rsidR="00532B73" w:rsidRPr="00532B73">
        <w:rPr>
          <w:rFonts w:ascii="Calibri" w:eastAsia="Times New Roman" w:hAnsi="Calibri" w:cs="Calibri"/>
          <w:color w:val="000000"/>
          <w:lang w:eastAsia="en-GB"/>
        </w:rPr>
        <w:t>&lt;0·0001</w:t>
      </w:r>
      <w:r>
        <w:rPr>
          <w:rFonts w:ascii="Calibri" w:eastAsia="Times New Roman" w:hAnsi="Calibri" w:cs="Calibri"/>
          <w:color w:val="000000"/>
          <w:lang w:eastAsia="en-GB"/>
        </w:rPr>
        <w:t xml:space="preserve">) whereas there was no difference between </w:t>
      </w:r>
      <w:r w:rsidR="00D554FB">
        <w:rPr>
          <w:rFonts w:ascii="Calibri" w:eastAsia="Times New Roman" w:hAnsi="Calibri" w:cs="Calibri"/>
          <w:color w:val="000000"/>
          <w:lang w:eastAsia="en-GB"/>
        </w:rPr>
        <w:t xml:space="preserve">the </w:t>
      </w:r>
      <w:r>
        <w:rPr>
          <w:rFonts w:ascii="Calibri" w:eastAsia="Times New Roman" w:hAnsi="Calibri" w:cs="Calibri"/>
          <w:color w:val="000000"/>
          <w:lang w:eastAsia="en-GB"/>
        </w:rPr>
        <w:t>groups in patients with a pathogen detected</w:t>
      </w:r>
      <w:r w:rsidR="00E65801">
        <w:rPr>
          <w:rFonts w:ascii="Calibri" w:eastAsia="Times New Roman" w:hAnsi="Calibri" w:cs="Calibri"/>
          <w:color w:val="000000"/>
          <w:lang w:eastAsia="en-GB"/>
        </w:rPr>
        <w:t xml:space="preserve">, </w:t>
      </w:r>
      <w:r w:rsidR="00D554FB">
        <w:rPr>
          <w:rFonts w:ascii="Calibri" w:eastAsia="Times New Roman" w:hAnsi="Calibri" w:cs="Calibri"/>
          <w:color w:val="000000"/>
          <w:lang w:eastAsia="en-GB"/>
        </w:rPr>
        <w:t xml:space="preserve">4 </w:t>
      </w:r>
      <w:r w:rsidR="00E65801">
        <w:rPr>
          <w:rFonts w:ascii="Calibri" w:eastAsia="Times New Roman" w:hAnsi="Calibri" w:cs="Calibri"/>
          <w:color w:val="000000"/>
          <w:lang w:eastAsia="en-GB"/>
        </w:rPr>
        <w:t>(</w:t>
      </w:r>
      <w:r w:rsidR="00D554FB">
        <w:rPr>
          <w:rFonts w:ascii="Calibri" w:eastAsia="Times New Roman" w:hAnsi="Calibri" w:cs="Calibri"/>
          <w:color w:val="000000"/>
          <w:lang w:eastAsia="en-GB"/>
        </w:rPr>
        <w:t>6%</w:t>
      </w:r>
      <w:r w:rsidR="00E65801">
        <w:rPr>
          <w:rFonts w:ascii="Calibri" w:eastAsia="Times New Roman" w:hAnsi="Calibri" w:cs="Calibri"/>
          <w:color w:val="000000"/>
          <w:lang w:eastAsia="en-GB"/>
        </w:rPr>
        <w:t>)</w:t>
      </w:r>
      <w:r w:rsidR="00D554FB">
        <w:rPr>
          <w:rFonts w:ascii="Calibri" w:eastAsia="Times New Roman" w:hAnsi="Calibri" w:cs="Calibri"/>
          <w:color w:val="000000"/>
          <w:lang w:eastAsia="en-GB"/>
        </w:rPr>
        <w:t xml:space="preserve"> of 62 versus 3 </w:t>
      </w:r>
      <w:r w:rsidR="00E65801">
        <w:rPr>
          <w:rFonts w:ascii="Calibri" w:eastAsia="Times New Roman" w:hAnsi="Calibri" w:cs="Calibri"/>
          <w:color w:val="000000"/>
          <w:lang w:eastAsia="en-GB"/>
        </w:rPr>
        <w:t>(</w:t>
      </w:r>
      <w:r w:rsidR="00D554FB">
        <w:rPr>
          <w:rFonts w:ascii="Calibri" w:eastAsia="Times New Roman" w:hAnsi="Calibri" w:cs="Calibri"/>
          <w:color w:val="000000"/>
          <w:lang w:eastAsia="en-GB"/>
        </w:rPr>
        <w:t>8%</w:t>
      </w:r>
      <w:r w:rsidR="00E65801">
        <w:rPr>
          <w:rFonts w:ascii="Calibri" w:eastAsia="Times New Roman" w:hAnsi="Calibri" w:cs="Calibri"/>
          <w:color w:val="000000"/>
          <w:lang w:eastAsia="en-GB"/>
        </w:rPr>
        <w:t>)</w:t>
      </w:r>
      <w:r w:rsidR="00AA2F42">
        <w:rPr>
          <w:rFonts w:ascii="Calibri" w:eastAsia="Times New Roman" w:hAnsi="Calibri" w:cs="Calibri"/>
          <w:color w:val="000000"/>
          <w:lang w:eastAsia="en-GB"/>
        </w:rPr>
        <w:t xml:space="preserve"> </w:t>
      </w:r>
      <w:r w:rsidR="00D554FB">
        <w:rPr>
          <w:rFonts w:ascii="Calibri" w:eastAsia="Times New Roman" w:hAnsi="Calibri" w:cs="Calibri"/>
          <w:color w:val="000000"/>
          <w:lang w:eastAsia="en-GB"/>
        </w:rPr>
        <w:t>of 36</w:t>
      </w:r>
      <w:r w:rsidR="00E65801">
        <w:rPr>
          <w:rFonts w:ascii="Calibri" w:eastAsia="Times New Roman" w:hAnsi="Calibri" w:cs="Calibri"/>
          <w:color w:val="000000"/>
          <w:lang w:eastAsia="en-GB"/>
        </w:rPr>
        <w:t xml:space="preserve"> (</w:t>
      </w:r>
      <w:r w:rsidR="00D554FB">
        <w:rPr>
          <w:rFonts w:ascii="Calibri" w:eastAsia="Times New Roman" w:hAnsi="Calibri" w:cs="Calibri"/>
          <w:color w:val="000000"/>
          <w:lang w:eastAsia="en-GB"/>
        </w:rPr>
        <w:t>difference of -2% [95%CI -13 to 9]; p=0</w:t>
      </w:r>
      <w:r w:rsidR="00393041" w:rsidRPr="00532B73">
        <w:rPr>
          <w:rFonts w:ascii="Calibri" w:eastAsia="Times New Roman" w:hAnsi="Calibri" w:cs="Calibri"/>
          <w:color w:val="000000"/>
          <w:lang w:eastAsia="en-GB"/>
        </w:rPr>
        <w:t>·</w:t>
      </w:r>
      <w:r w:rsidR="00D554FB">
        <w:rPr>
          <w:rFonts w:ascii="Calibri" w:eastAsia="Times New Roman" w:hAnsi="Calibri" w:cs="Calibri"/>
          <w:color w:val="000000"/>
          <w:lang w:eastAsia="en-GB"/>
        </w:rPr>
        <w:t>73)</w:t>
      </w:r>
      <w:r>
        <w:rPr>
          <w:rFonts w:ascii="Calibri" w:eastAsia="Times New Roman" w:hAnsi="Calibri" w:cs="Calibri"/>
          <w:color w:val="000000"/>
          <w:lang w:eastAsia="en-GB"/>
        </w:rPr>
        <w:t>.</w:t>
      </w:r>
      <w:r w:rsidR="00BD76DD">
        <w:rPr>
          <w:rFonts w:ascii="Calibri" w:eastAsia="Times New Roman" w:hAnsi="Calibri" w:cs="Calibri"/>
          <w:color w:val="000000"/>
          <w:lang w:eastAsia="en-GB"/>
        </w:rPr>
        <w:t xml:space="preserve"> </w:t>
      </w:r>
    </w:p>
    <w:p w14:paraId="49EEFA7C" w14:textId="7DFEA0B0" w:rsidR="00532B73" w:rsidRDefault="00BD76DD" w:rsidP="0032744A">
      <w:pPr>
        <w:rPr>
          <w:rFonts w:ascii="Calibri" w:eastAsia="Times New Roman" w:hAnsi="Calibri" w:cs="Calibri"/>
          <w:color w:val="000000"/>
          <w:lang w:eastAsia="en-GB"/>
        </w:rPr>
      </w:pPr>
      <w:r w:rsidRPr="00454F99">
        <w:rPr>
          <w:rFonts w:ascii="Calibri" w:eastAsia="Times New Roman" w:hAnsi="Calibri" w:cs="Calibri"/>
          <w:color w:val="000000"/>
          <w:lang w:eastAsia="en-GB"/>
        </w:rPr>
        <w:t xml:space="preserve">The </w:t>
      </w:r>
      <w:r w:rsidR="00173FB2" w:rsidRPr="00454F99">
        <w:rPr>
          <w:rFonts w:ascii="Calibri" w:eastAsia="Times New Roman" w:hAnsi="Calibri" w:cs="Calibri"/>
          <w:color w:val="000000"/>
          <w:lang w:eastAsia="en-GB"/>
        </w:rPr>
        <w:t>median</w:t>
      </w:r>
      <w:r w:rsidR="00AA2F42">
        <w:rPr>
          <w:rFonts w:ascii="Calibri" w:eastAsia="Times New Roman" w:hAnsi="Calibri" w:cs="Calibri"/>
          <w:color w:val="000000"/>
          <w:lang w:eastAsia="en-GB"/>
        </w:rPr>
        <w:t xml:space="preserve"> </w:t>
      </w:r>
      <w:r w:rsidRPr="00454F99">
        <w:rPr>
          <w:rFonts w:ascii="Calibri" w:eastAsia="Times New Roman" w:hAnsi="Calibri" w:cs="Calibri"/>
          <w:color w:val="000000"/>
          <w:lang w:eastAsia="en-GB"/>
        </w:rPr>
        <w:t xml:space="preserve">time </w:t>
      </w:r>
      <w:r w:rsidR="0078456F">
        <w:rPr>
          <w:rFonts w:ascii="Calibri" w:eastAsia="Times New Roman" w:hAnsi="Calibri" w:cs="Calibri"/>
          <w:color w:val="000000"/>
          <w:lang w:eastAsia="en-GB"/>
        </w:rPr>
        <w:t xml:space="preserve">from </w:t>
      </w:r>
      <w:r w:rsidR="00173FB2" w:rsidRPr="00454F99">
        <w:rPr>
          <w:rFonts w:ascii="Calibri" w:eastAsia="Times New Roman" w:hAnsi="Calibri" w:cs="Calibri"/>
          <w:color w:val="000000"/>
          <w:lang w:eastAsia="en-GB"/>
        </w:rPr>
        <w:t xml:space="preserve">study enrolment </w:t>
      </w:r>
      <w:r w:rsidR="0078456F" w:rsidRPr="0078456F">
        <w:rPr>
          <w:rFonts w:ascii="Calibri" w:eastAsia="Times New Roman" w:hAnsi="Calibri" w:cs="Calibri"/>
          <w:color w:val="000000"/>
          <w:lang w:eastAsia="en-GB"/>
        </w:rPr>
        <w:t>to de-isolation</w:t>
      </w:r>
      <w:r w:rsidR="0078456F">
        <w:rPr>
          <w:rFonts w:ascii="Calibri" w:eastAsia="Times New Roman" w:hAnsi="Calibri" w:cs="Calibri"/>
          <w:color w:val="000000"/>
          <w:lang w:eastAsia="en-GB"/>
        </w:rPr>
        <w:t xml:space="preserve"> </w:t>
      </w:r>
      <w:r w:rsidR="00173FB2" w:rsidRPr="00454F99">
        <w:rPr>
          <w:rFonts w:ascii="Calibri" w:eastAsia="Times New Roman" w:hAnsi="Calibri" w:cs="Calibri"/>
          <w:color w:val="000000"/>
          <w:lang w:eastAsia="en-GB"/>
        </w:rPr>
        <w:t xml:space="preserve">was </w:t>
      </w:r>
      <w:r w:rsidR="00173FB2">
        <w:rPr>
          <w:rFonts w:eastAsia="Times New Roman" w:cs="Arial"/>
          <w:color w:val="000000"/>
          <w:lang w:eastAsia="en-GB"/>
        </w:rPr>
        <w:t>0·6 (0·3 to</w:t>
      </w:r>
      <w:r w:rsidR="00173FB2" w:rsidRPr="000F52CC">
        <w:rPr>
          <w:rFonts w:eastAsia="Times New Roman" w:cs="Arial"/>
          <w:color w:val="000000"/>
          <w:lang w:eastAsia="en-GB"/>
        </w:rPr>
        <w:t xml:space="preserve"> 1</w:t>
      </w:r>
      <w:r w:rsidR="00173FB2">
        <w:rPr>
          <w:rFonts w:eastAsia="Times New Roman" w:cs="Arial"/>
          <w:color w:val="000000"/>
          <w:lang w:eastAsia="en-GB"/>
        </w:rPr>
        <w:t>·</w:t>
      </w:r>
      <w:r w:rsidR="00173FB2" w:rsidRPr="000F52CC">
        <w:rPr>
          <w:rFonts w:eastAsia="Times New Roman" w:cs="Arial"/>
          <w:color w:val="000000"/>
          <w:lang w:eastAsia="en-GB"/>
        </w:rPr>
        <w:t>8</w:t>
      </w:r>
      <w:r w:rsidR="00173FB2">
        <w:rPr>
          <w:rFonts w:eastAsia="Times New Roman" w:cs="Arial"/>
          <w:color w:val="000000"/>
          <w:lang w:eastAsia="en-GB"/>
        </w:rPr>
        <w:t>)</w:t>
      </w:r>
      <w:r w:rsidR="00AA2F42">
        <w:rPr>
          <w:rFonts w:eastAsia="Times New Roman" w:cs="Arial"/>
          <w:color w:val="000000"/>
          <w:lang w:eastAsia="en-GB"/>
        </w:rPr>
        <w:t xml:space="preserve"> days</w:t>
      </w:r>
      <w:r w:rsidR="00173FB2">
        <w:rPr>
          <w:rFonts w:eastAsia="Times New Roman" w:cs="Arial"/>
          <w:color w:val="000000"/>
          <w:lang w:eastAsia="en-GB"/>
        </w:rPr>
        <w:t xml:space="preserve"> in the mPOCT group compared with </w:t>
      </w:r>
      <w:r w:rsidR="00173FB2" w:rsidRPr="00173FB2">
        <w:rPr>
          <w:rFonts w:eastAsia="Times New Roman" w:cs="Arial"/>
          <w:color w:val="000000"/>
          <w:lang w:eastAsia="en-GB"/>
        </w:rPr>
        <w:t>2·</w:t>
      </w:r>
      <w:r w:rsidR="001D60BF">
        <w:rPr>
          <w:rFonts w:eastAsia="Times New Roman" w:cs="Arial"/>
          <w:color w:val="000000"/>
          <w:lang w:eastAsia="en-GB"/>
        </w:rPr>
        <w:t>2</w:t>
      </w:r>
      <w:r w:rsidR="00173FB2">
        <w:rPr>
          <w:rFonts w:eastAsia="Times New Roman" w:cs="Arial"/>
          <w:color w:val="000000"/>
          <w:lang w:eastAsia="en-GB"/>
        </w:rPr>
        <w:t xml:space="preserve"> </w:t>
      </w:r>
      <w:r w:rsidR="00173FB2" w:rsidRPr="00173FB2">
        <w:rPr>
          <w:rFonts w:eastAsia="Times New Roman" w:cs="Arial"/>
          <w:color w:val="000000"/>
          <w:lang w:eastAsia="en-GB"/>
        </w:rPr>
        <w:t>(1·</w:t>
      </w:r>
      <w:r w:rsidR="001D60BF">
        <w:rPr>
          <w:rFonts w:eastAsia="Times New Roman" w:cs="Arial"/>
          <w:color w:val="000000"/>
          <w:lang w:eastAsia="en-GB"/>
        </w:rPr>
        <w:t>2</w:t>
      </w:r>
      <w:r w:rsidR="00173FB2" w:rsidRPr="00173FB2">
        <w:rPr>
          <w:rFonts w:eastAsia="Times New Roman" w:cs="Arial"/>
          <w:color w:val="000000"/>
          <w:lang w:eastAsia="en-GB"/>
        </w:rPr>
        <w:t xml:space="preserve"> to 3·</w:t>
      </w:r>
      <w:r w:rsidR="001D60BF">
        <w:rPr>
          <w:rFonts w:eastAsia="Times New Roman" w:cs="Arial"/>
          <w:color w:val="000000"/>
          <w:lang w:eastAsia="en-GB"/>
        </w:rPr>
        <w:t>2</w:t>
      </w:r>
      <w:r w:rsidR="00173FB2" w:rsidRPr="00173FB2">
        <w:rPr>
          <w:rFonts w:eastAsia="Times New Roman" w:cs="Arial"/>
          <w:color w:val="000000"/>
          <w:lang w:eastAsia="en-GB"/>
        </w:rPr>
        <w:t>)</w:t>
      </w:r>
      <w:r w:rsidR="00173FB2">
        <w:rPr>
          <w:rFonts w:eastAsia="Times New Roman" w:cs="Arial"/>
          <w:color w:val="000000"/>
          <w:lang w:eastAsia="en-GB"/>
        </w:rPr>
        <w:t xml:space="preserve"> </w:t>
      </w:r>
      <w:r w:rsidR="00AA2F42">
        <w:rPr>
          <w:rFonts w:eastAsia="Times New Roman" w:cs="Arial"/>
          <w:color w:val="000000"/>
          <w:lang w:eastAsia="en-GB"/>
        </w:rPr>
        <w:t xml:space="preserve">days </w:t>
      </w:r>
      <w:r w:rsidR="00173FB2">
        <w:rPr>
          <w:rFonts w:eastAsia="Times New Roman" w:cs="Arial"/>
          <w:color w:val="000000"/>
          <w:lang w:eastAsia="en-GB"/>
        </w:rPr>
        <w:t xml:space="preserve">in the control group (difference </w:t>
      </w:r>
      <w:r w:rsidR="00173FB2" w:rsidRPr="00173FB2">
        <w:rPr>
          <w:rFonts w:eastAsia="Times New Roman" w:cs="Arial"/>
          <w:color w:val="000000"/>
          <w:lang w:eastAsia="en-GB"/>
        </w:rPr>
        <w:t>-1·5 (</w:t>
      </w:r>
      <w:r w:rsidR="00892306">
        <w:rPr>
          <w:rFonts w:eastAsia="Times New Roman" w:cs="Arial"/>
          <w:color w:val="000000"/>
          <w:lang w:eastAsia="en-GB"/>
        </w:rPr>
        <w:t xml:space="preserve">95% CI </w:t>
      </w:r>
      <w:r w:rsidR="00173FB2" w:rsidRPr="00173FB2">
        <w:rPr>
          <w:rFonts w:eastAsia="Times New Roman" w:cs="Arial"/>
          <w:color w:val="000000"/>
          <w:lang w:eastAsia="en-GB"/>
        </w:rPr>
        <w:t>-2·</w:t>
      </w:r>
      <w:r w:rsidR="001D60BF">
        <w:rPr>
          <w:rFonts w:eastAsia="Times New Roman" w:cs="Arial"/>
          <w:color w:val="000000"/>
          <w:lang w:eastAsia="en-GB"/>
        </w:rPr>
        <w:t>2</w:t>
      </w:r>
      <w:r w:rsidR="00173FB2" w:rsidRPr="00173FB2">
        <w:rPr>
          <w:rFonts w:eastAsia="Times New Roman" w:cs="Arial"/>
          <w:color w:val="000000"/>
          <w:lang w:eastAsia="en-GB"/>
        </w:rPr>
        <w:t xml:space="preserve"> to -0·8)</w:t>
      </w:r>
      <w:r w:rsidR="00E140E4">
        <w:rPr>
          <w:rFonts w:eastAsia="Times New Roman" w:cs="Arial"/>
          <w:color w:val="000000"/>
          <w:lang w:eastAsia="en-GB"/>
        </w:rPr>
        <w:t>;</w:t>
      </w:r>
      <w:r w:rsidR="00173FB2">
        <w:rPr>
          <w:rFonts w:eastAsia="Times New Roman" w:cs="Arial"/>
          <w:color w:val="000000"/>
          <w:lang w:eastAsia="en-GB"/>
        </w:rPr>
        <w:t xml:space="preserve"> p</w:t>
      </w:r>
      <w:r w:rsidR="00173FB2" w:rsidRPr="00173FB2">
        <w:rPr>
          <w:rFonts w:eastAsia="Times New Roman" w:cs="Arial"/>
          <w:color w:val="000000"/>
          <w:lang w:eastAsia="en-GB"/>
        </w:rPr>
        <w:t>&lt;0·0001</w:t>
      </w:r>
      <w:r w:rsidR="00173FB2">
        <w:rPr>
          <w:rFonts w:eastAsia="Times New Roman" w:cs="Arial"/>
          <w:color w:val="000000"/>
          <w:lang w:eastAsia="en-GB"/>
        </w:rPr>
        <w:t xml:space="preserve">). This difference in time to de-isolation was again </w:t>
      </w:r>
      <w:r w:rsidR="00E140E4">
        <w:rPr>
          <w:rFonts w:eastAsia="Times New Roman" w:cs="Arial"/>
          <w:color w:val="000000"/>
          <w:lang w:eastAsia="en-GB"/>
        </w:rPr>
        <w:t xml:space="preserve">due to </w:t>
      </w:r>
      <w:r w:rsidR="00173FB2">
        <w:rPr>
          <w:rFonts w:eastAsia="Times New Roman" w:cs="Arial"/>
          <w:color w:val="000000"/>
          <w:lang w:eastAsia="en-GB"/>
        </w:rPr>
        <w:t>patients with no pathogen d</w:t>
      </w:r>
      <w:r w:rsidR="00E140E4">
        <w:rPr>
          <w:rFonts w:eastAsia="Times New Roman" w:cs="Arial"/>
          <w:color w:val="000000"/>
          <w:lang w:eastAsia="en-GB"/>
        </w:rPr>
        <w:t>e</w:t>
      </w:r>
      <w:r w:rsidR="00DB0E71">
        <w:rPr>
          <w:rFonts w:eastAsia="Times New Roman" w:cs="Arial"/>
          <w:color w:val="000000"/>
          <w:lang w:eastAsia="en-GB"/>
        </w:rPr>
        <w:t>t</w:t>
      </w:r>
      <w:r w:rsidR="00173FB2">
        <w:rPr>
          <w:rFonts w:eastAsia="Times New Roman" w:cs="Arial"/>
          <w:color w:val="000000"/>
          <w:lang w:eastAsia="en-GB"/>
        </w:rPr>
        <w:t>ected in the mPOCT group compared with the control group</w:t>
      </w:r>
      <w:r w:rsidR="00AA2F42">
        <w:rPr>
          <w:rFonts w:eastAsia="Times New Roman" w:cs="Arial"/>
          <w:color w:val="000000"/>
          <w:lang w:eastAsia="en-GB"/>
        </w:rPr>
        <w:t xml:space="preserve">, </w:t>
      </w:r>
      <w:r w:rsidR="00D50188">
        <w:rPr>
          <w:rFonts w:eastAsia="Times New Roman" w:cs="Arial"/>
          <w:color w:val="000000"/>
          <w:lang w:eastAsia="en-GB"/>
        </w:rPr>
        <w:t>0·6</w:t>
      </w:r>
      <w:r w:rsidR="003A0EFA">
        <w:rPr>
          <w:rFonts w:eastAsia="Times New Roman" w:cs="Arial"/>
          <w:color w:val="000000"/>
          <w:lang w:eastAsia="en-GB"/>
        </w:rPr>
        <w:t xml:space="preserve"> </w:t>
      </w:r>
      <w:r w:rsidR="00AA2F42">
        <w:rPr>
          <w:rFonts w:eastAsia="Times New Roman" w:cs="Arial"/>
          <w:color w:val="000000"/>
          <w:lang w:eastAsia="en-GB"/>
        </w:rPr>
        <w:t>(</w:t>
      </w:r>
      <w:r w:rsidR="00173FB2" w:rsidRPr="00173FB2">
        <w:rPr>
          <w:rFonts w:eastAsia="Times New Roman" w:cs="Arial"/>
          <w:color w:val="000000"/>
          <w:lang w:eastAsia="en-GB"/>
        </w:rPr>
        <w:t>0·3 to 1·3</w:t>
      </w:r>
      <w:r w:rsidR="00AA2F42">
        <w:rPr>
          <w:rFonts w:eastAsia="Times New Roman" w:cs="Arial"/>
          <w:color w:val="000000"/>
          <w:lang w:eastAsia="en-GB"/>
        </w:rPr>
        <w:t xml:space="preserve">) </w:t>
      </w:r>
      <w:r w:rsidR="00AA2F42">
        <w:rPr>
          <w:rFonts w:eastAsia="Times New Roman" w:cs="Arial"/>
          <w:color w:val="000000"/>
          <w:lang w:eastAsia="en-GB"/>
        </w:rPr>
        <w:lastRenderedPageBreak/>
        <w:t xml:space="preserve">days </w:t>
      </w:r>
      <w:r w:rsidR="00A7238A">
        <w:rPr>
          <w:rFonts w:eastAsia="Times New Roman" w:cs="Arial"/>
          <w:color w:val="000000"/>
          <w:lang w:eastAsia="en-GB"/>
        </w:rPr>
        <w:t>compared to</w:t>
      </w:r>
      <w:r w:rsidR="00173FB2">
        <w:rPr>
          <w:rFonts w:eastAsia="Times New Roman" w:cs="Arial"/>
          <w:color w:val="000000"/>
          <w:lang w:eastAsia="en-GB"/>
        </w:rPr>
        <w:t xml:space="preserve"> </w:t>
      </w:r>
      <w:r w:rsidR="00173FB2" w:rsidRPr="00173FB2">
        <w:rPr>
          <w:rFonts w:eastAsia="Times New Roman" w:cs="Arial"/>
          <w:color w:val="000000"/>
          <w:lang w:eastAsia="en-GB"/>
        </w:rPr>
        <w:t>2·</w:t>
      </w:r>
      <w:r w:rsidR="00D50188">
        <w:rPr>
          <w:rFonts w:eastAsia="Times New Roman" w:cs="Arial"/>
          <w:color w:val="000000"/>
          <w:lang w:eastAsia="en-GB"/>
        </w:rPr>
        <w:t>2</w:t>
      </w:r>
      <w:r w:rsidR="00173FB2" w:rsidRPr="00173FB2">
        <w:rPr>
          <w:rFonts w:eastAsia="Times New Roman" w:cs="Arial"/>
          <w:color w:val="000000"/>
          <w:lang w:eastAsia="en-GB"/>
        </w:rPr>
        <w:t xml:space="preserve"> </w:t>
      </w:r>
      <w:r w:rsidR="00AA2F42">
        <w:rPr>
          <w:rFonts w:eastAsia="Times New Roman" w:cs="Arial"/>
          <w:color w:val="000000"/>
          <w:lang w:eastAsia="en-GB"/>
        </w:rPr>
        <w:t>(</w:t>
      </w:r>
      <w:r w:rsidR="00173FB2" w:rsidRPr="00173FB2">
        <w:rPr>
          <w:rFonts w:eastAsia="Times New Roman" w:cs="Arial"/>
          <w:color w:val="000000"/>
          <w:lang w:eastAsia="en-GB"/>
        </w:rPr>
        <w:t>1·</w:t>
      </w:r>
      <w:r w:rsidR="00D50188">
        <w:rPr>
          <w:rFonts w:eastAsia="Times New Roman" w:cs="Arial"/>
          <w:color w:val="000000"/>
          <w:lang w:eastAsia="en-GB"/>
        </w:rPr>
        <w:t>2</w:t>
      </w:r>
      <w:r w:rsidR="00173FB2" w:rsidRPr="00173FB2">
        <w:rPr>
          <w:rFonts w:eastAsia="Times New Roman" w:cs="Arial"/>
          <w:color w:val="000000"/>
          <w:lang w:eastAsia="en-GB"/>
        </w:rPr>
        <w:t xml:space="preserve"> to 3·</w:t>
      </w:r>
      <w:r w:rsidR="00D50188">
        <w:rPr>
          <w:rFonts w:eastAsia="Times New Roman" w:cs="Arial"/>
          <w:color w:val="000000"/>
          <w:lang w:eastAsia="en-GB"/>
        </w:rPr>
        <w:t>2</w:t>
      </w:r>
      <w:r w:rsidR="00AA2F42">
        <w:rPr>
          <w:rFonts w:eastAsia="Times New Roman" w:cs="Arial"/>
          <w:color w:val="000000"/>
          <w:lang w:eastAsia="en-GB"/>
        </w:rPr>
        <w:t>) days (</w:t>
      </w:r>
      <w:r w:rsidR="00173FB2">
        <w:rPr>
          <w:rFonts w:eastAsia="Times New Roman" w:cs="Arial"/>
          <w:color w:val="000000"/>
          <w:lang w:eastAsia="en-GB"/>
        </w:rPr>
        <w:t>difference</w:t>
      </w:r>
      <w:r w:rsidR="00AA2F42">
        <w:rPr>
          <w:rFonts w:eastAsia="Times New Roman" w:cs="Arial"/>
          <w:color w:val="000000"/>
          <w:lang w:eastAsia="en-GB"/>
        </w:rPr>
        <w:t xml:space="preserve"> of</w:t>
      </w:r>
      <w:r w:rsidR="00173FB2">
        <w:rPr>
          <w:rFonts w:eastAsia="Times New Roman" w:cs="Arial"/>
          <w:color w:val="000000"/>
          <w:lang w:eastAsia="en-GB"/>
        </w:rPr>
        <w:t xml:space="preserve"> -1·6 </w:t>
      </w:r>
      <w:r w:rsidR="00D50188">
        <w:rPr>
          <w:rFonts w:eastAsia="Times New Roman" w:cs="Arial"/>
          <w:color w:val="000000"/>
          <w:lang w:eastAsia="en-GB"/>
        </w:rPr>
        <w:t xml:space="preserve">[-2·2 </w:t>
      </w:r>
      <w:r w:rsidR="003A0EFA">
        <w:rPr>
          <w:rFonts w:eastAsia="Times New Roman" w:cs="Arial"/>
          <w:color w:val="000000"/>
          <w:lang w:eastAsia="en-GB"/>
        </w:rPr>
        <w:t>to -0·9]</w:t>
      </w:r>
      <w:r w:rsidR="00AA2F42">
        <w:rPr>
          <w:rFonts w:eastAsia="Times New Roman" w:cs="Arial"/>
          <w:color w:val="000000"/>
          <w:lang w:eastAsia="en-GB"/>
        </w:rPr>
        <w:t>;</w:t>
      </w:r>
      <w:r w:rsidR="00173FB2">
        <w:rPr>
          <w:rFonts w:eastAsia="Times New Roman" w:cs="Arial"/>
          <w:color w:val="000000"/>
          <w:lang w:eastAsia="en-GB"/>
        </w:rPr>
        <w:t xml:space="preserve"> p</w:t>
      </w:r>
      <w:r w:rsidR="00173FB2" w:rsidRPr="00173FB2">
        <w:rPr>
          <w:rFonts w:eastAsia="Times New Roman" w:cs="Arial"/>
          <w:color w:val="000000"/>
          <w:lang w:eastAsia="en-GB"/>
        </w:rPr>
        <w:t>&lt;0</w:t>
      </w:r>
      <w:r w:rsidR="0063653A">
        <w:rPr>
          <w:rFonts w:ascii="Calibri" w:eastAsia="Times New Roman" w:hAnsi="Calibri" w:cs="Calibri"/>
          <w:color w:val="000000"/>
          <w:lang w:eastAsia="en-GB"/>
        </w:rPr>
        <w:t>·</w:t>
      </w:r>
      <w:r w:rsidR="00173FB2" w:rsidRPr="00173FB2">
        <w:rPr>
          <w:rFonts w:eastAsia="Times New Roman" w:cs="Arial"/>
          <w:color w:val="000000"/>
          <w:lang w:eastAsia="en-GB"/>
        </w:rPr>
        <w:t>0001</w:t>
      </w:r>
      <w:r w:rsidR="00173FB2">
        <w:rPr>
          <w:rFonts w:eastAsia="Times New Roman" w:cs="Arial"/>
          <w:color w:val="000000"/>
          <w:lang w:eastAsia="en-GB"/>
        </w:rPr>
        <w:t>)</w:t>
      </w:r>
      <w:r w:rsidR="00DE3F62">
        <w:rPr>
          <w:rFonts w:eastAsia="Times New Roman" w:cs="Arial"/>
          <w:color w:val="000000"/>
          <w:lang w:eastAsia="en-GB"/>
        </w:rPr>
        <w:t xml:space="preserve"> and there was no difference in time to de-isolation in patients with pathogens detected (p=1</w:t>
      </w:r>
      <w:r w:rsidR="002B7E66">
        <w:rPr>
          <w:rFonts w:ascii="Calibri" w:eastAsia="Times New Roman" w:hAnsi="Calibri" w:cs="Calibri"/>
          <w:color w:val="000000"/>
          <w:lang w:eastAsia="en-GB"/>
        </w:rPr>
        <w:t>·</w:t>
      </w:r>
      <w:r w:rsidR="00DE3F62">
        <w:rPr>
          <w:rFonts w:eastAsia="Times New Roman" w:cs="Arial"/>
          <w:color w:val="000000"/>
          <w:lang w:eastAsia="en-GB"/>
        </w:rPr>
        <w:t>0)</w:t>
      </w:r>
      <w:r w:rsidR="00AA2F42">
        <w:rPr>
          <w:rFonts w:eastAsia="Times New Roman" w:cs="Arial"/>
          <w:color w:val="000000"/>
          <w:lang w:eastAsia="en-GB"/>
        </w:rPr>
        <w:t xml:space="preserve">. </w:t>
      </w:r>
    </w:p>
    <w:p w14:paraId="6F97C284" w14:textId="33A09775" w:rsidR="0072755A" w:rsidRDefault="0009015F" w:rsidP="0032744A">
      <w:r>
        <w:t>There was no difference in the length of hospital stay between the mPOCT group and the control group</w:t>
      </w:r>
      <w:r w:rsidR="00AA2F42">
        <w:t xml:space="preserve">, </w:t>
      </w:r>
      <w:r w:rsidR="0020588F">
        <w:t>3</w:t>
      </w:r>
      <w:r w:rsidR="0085201C">
        <w:rPr>
          <w:rFonts w:eastAsia="Times New Roman" w:cs="Arial"/>
          <w:color w:val="000000"/>
          <w:lang w:eastAsia="en-GB"/>
        </w:rPr>
        <w:t>·</w:t>
      </w:r>
      <w:r w:rsidR="0020588F">
        <w:t>3</w:t>
      </w:r>
      <w:r w:rsidR="006339C2">
        <w:t xml:space="preserve"> </w:t>
      </w:r>
      <w:r w:rsidR="00AA2F42">
        <w:t>(</w:t>
      </w:r>
      <w:r w:rsidR="0020588F" w:rsidRPr="009055A7">
        <w:rPr>
          <w:rFonts w:eastAsia="Times New Roman" w:cs="Arial"/>
          <w:color w:val="000000"/>
          <w:lang w:eastAsia="en-GB"/>
        </w:rPr>
        <w:t>2</w:t>
      </w:r>
      <w:r w:rsidR="0020588F">
        <w:rPr>
          <w:rFonts w:eastAsia="Times New Roman" w:cs="Arial"/>
          <w:color w:val="000000"/>
          <w:lang w:eastAsia="en-GB"/>
        </w:rPr>
        <w:t>·</w:t>
      </w:r>
      <w:r w:rsidR="0020588F" w:rsidRPr="009055A7">
        <w:rPr>
          <w:rFonts w:eastAsia="Times New Roman" w:cs="Arial"/>
          <w:color w:val="000000"/>
          <w:lang w:eastAsia="en-GB"/>
        </w:rPr>
        <w:t>1</w:t>
      </w:r>
      <w:r w:rsidR="0020588F">
        <w:rPr>
          <w:rFonts w:eastAsia="Times New Roman" w:cs="Arial"/>
          <w:color w:val="000000"/>
          <w:lang w:eastAsia="en-GB"/>
        </w:rPr>
        <w:t xml:space="preserve"> to</w:t>
      </w:r>
      <w:r w:rsidR="0020588F" w:rsidRPr="009055A7">
        <w:rPr>
          <w:rFonts w:eastAsia="Times New Roman" w:cs="Arial"/>
          <w:color w:val="000000"/>
          <w:lang w:eastAsia="en-GB"/>
        </w:rPr>
        <w:t xml:space="preserve"> 7</w:t>
      </w:r>
      <w:r w:rsidR="0020588F">
        <w:rPr>
          <w:rFonts w:eastAsia="Times New Roman" w:cs="Arial"/>
          <w:color w:val="000000"/>
          <w:lang w:eastAsia="en-GB"/>
        </w:rPr>
        <w:t>·</w:t>
      </w:r>
      <w:r w:rsidR="00D50188">
        <w:rPr>
          <w:rFonts w:eastAsia="Times New Roman" w:cs="Arial"/>
          <w:color w:val="000000"/>
          <w:lang w:eastAsia="en-GB"/>
        </w:rPr>
        <w:t>9</w:t>
      </w:r>
      <w:r w:rsidR="00AA2F42">
        <w:rPr>
          <w:rFonts w:eastAsia="Times New Roman" w:cs="Arial"/>
          <w:color w:val="000000"/>
          <w:lang w:eastAsia="en-GB"/>
        </w:rPr>
        <w:t xml:space="preserve">) </w:t>
      </w:r>
      <w:r w:rsidR="00AA2F42">
        <w:t xml:space="preserve">days </w:t>
      </w:r>
      <w:r w:rsidR="00A7238A">
        <w:t>versus</w:t>
      </w:r>
      <w:r w:rsidR="006339C2">
        <w:t xml:space="preserve"> </w:t>
      </w:r>
      <w:r w:rsidR="0020588F" w:rsidRPr="009055A7">
        <w:rPr>
          <w:rFonts w:eastAsia="Times New Roman" w:cs="Arial"/>
          <w:color w:val="000000"/>
          <w:lang w:eastAsia="en-GB"/>
        </w:rPr>
        <w:t>3</w:t>
      </w:r>
      <w:r w:rsidR="0020588F">
        <w:rPr>
          <w:rFonts w:eastAsia="Times New Roman" w:cs="Arial"/>
          <w:color w:val="000000"/>
          <w:lang w:eastAsia="en-GB"/>
        </w:rPr>
        <w:t>·</w:t>
      </w:r>
      <w:r w:rsidR="0020588F" w:rsidRPr="009055A7">
        <w:rPr>
          <w:rFonts w:eastAsia="Times New Roman" w:cs="Arial"/>
          <w:color w:val="000000"/>
          <w:lang w:eastAsia="en-GB"/>
        </w:rPr>
        <w:t>0</w:t>
      </w:r>
      <w:r w:rsidR="0020588F">
        <w:rPr>
          <w:rFonts w:eastAsia="Times New Roman" w:cs="Arial"/>
          <w:color w:val="000000"/>
          <w:lang w:eastAsia="en-GB"/>
        </w:rPr>
        <w:t xml:space="preserve"> </w:t>
      </w:r>
      <w:r w:rsidR="00AA2F42">
        <w:rPr>
          <w:rFonts w:eastAsia="Times New Roman" w:cs="Arial"/>
          <w:color w:val="000000"/>
          <w:lang w:eastAsia="en-GB"/>
        </w:rPr>
        <w:t>(</w:t>
      </w:r>
      <w:r w:rsidR="0020588F" w:rsidRPr="009055A7">
        <w:rPr>
          <w:rFonts w:eastAsia="Times New Roman" w:cs="Arial"/>
          <w:color w:val="000000"/>
          <w:lang w:eastAsia="en-GB"/>
        </w:rPr>
        <w:t>2</w:t>
      </w:r>
      <w:r w:rsidR="0020588F">
        <w:rPr>
          <w:rFonts w:eastAsia="Times New Roman" w:cs="Arial"/>
          <w:color w:val="000000"/>
          <w:lang w:eastAsia="en-GB"/>
        </w:rPr>
        <w:t>·</w:t>
      </w:r>
      <w:r w:rsidR="0020588F" w:rsidRPr="009055A7">
        <w:rPr>
          <w:rFonts w:eastAsia="Times New Roman" w:cs="Arial"/>
          <w:color w:val="000000"/>
          <w:lang w:eastAsia="en-GB"/>
        </w:rPr>
        <w:t>0</w:t>
      </w:r>
      <w:r w:rsidR="0020588F">
        <w:rPr>
          <w:rFonts w:eastAsia="Times New Roman" w:cs="Arial"/>
          <w:color w:val="000000"/>
          <w:lang w:eastAsia="en-GB"/>
        </w:rPr>
        <w:t xml:space="preserve"> to </w:t>
      </w:r>
      <w:r w:rsidR="0020588F" w:rsidRPr="009055A7">
        <w:rPr>
          <w:rFonts w:eastAsia="Times New Roman" w:cs="Arial"/>
          <w:color w:val="000000"/>
          <w:lang w:eastAsia="en-GB"/>
        </w:rPr>
        <w:t>7</w:t>
      </w:r>
      <w:r w:rsidR="0020588F">
        <w:rPr>
          <w:rFonts w:eastAsia="Times New Roman" w:cs="Arial"/>
          <w:color w:val="000000"/>
          <w:lang w:eastAsia="en-GB"/>
        </w:rPr>
        <w:t>·0</w:t>
      </w:r>
      <w:r w:rsidR="00AA2F42">
        <w:rPr>
          <w:rFonts w:eastAsia="Times New Roman" w:cs="Arial"/>
          <w:color w:val="000000"/>
          <w:lang w:eastAsia="en-GB"/>
        </w:rPr>
        <w:t>) days (</w:t>
      </w:r>
      <w:r w:rsidR="006339C2">
        <w:t xml:space="preserve">difference of </w:t>
      </w:r>
      <w:r w:rsidR="0020588F" w:rsidRPr="009055A7">
        <w:rPr>
          <w:rFonts w:eastAsia="Times New Roman" w:cs="Arial"/>
          <w:color w:val="000000"/>
          <w:lang w:eastAsia="en-GB"/>
        </w:rPr>
        <w:t>0</w:t>
      </w:r>
      <w:r w:rsidR="0020588F">
        <w:rPr>
          <w:rFonts w:eastAsia="Times New Roman" w:cs="Arial"/>
          <w:color w:val="000000"/>
          <w:lang w:eastAsia="en-GB"/>
        </w:rPr>
        <w:t>·</w:t>
      </w:r>
      <w:r w:rsidR="0020588F" w:rsidRPr="009055A7">
        <w:rPr>
          <w:rFonts w:eastAsia="Times New Roman" w:cs="Arial"/>
          <w:color w:val="000000"/>
          <w:lang w:eastAsia="en-GB"/>
        </w:rPr>
        <w:t xml:space="preserve">3 </w:t>
      </w:r>
      <w:r w:rsidR="00AA2F42">
        <w:rPr>
          <w:rFonts w:eastAsia="Times New Roman" w:cs="Arial"/>
          <w:color w:val="000000"/>
          <w:lang w:eastAsia="en-GB"/>
        </w:rPr>
        <w:t xml:space="preserve">[95%CI </w:t>
      </w:r>
      <w:r w:rsidR="0020588F" w:rsidRPr="009055A7">
        <w:rPr>
          <w:rFonts w:eastAsia="Times New Roman" w:cs="Arial"/>
          <w:color w:val="000000"/>
          <w:lang w:eastAsia="en-GB"/>
        </w:rPr>
        <w:t>-0</w:t>
      </w:r>
      <w:r w:rsidR="0020588F">
        <w:rPr>
          <w:rFonts w:eastAsia="Times New Roman" w:cs="Arial"/>
          <w:color w:val="000000"/>
          <w:lang w:eastAsia="en-GB"/>
        </w:rPr>
        <w:t>·</w:t>
      </w:r>
      <w:r w:rsidR="0020588F" w:rsidRPr="009055A7">
        <w:rPr>
          <w:rFonts w:eastAsia="Times New Roman" w:cs="Arial"/>
          <w:color w:val="000000"/>
          <w:lang w:eastAsia="en-GB"/>
        </w:rPr>
        <w:t>7</w:t>
      </w:r>
      <w:r w:rsidR="0020588F">
        <w:rPr>
          <w:rFonts w:eastAsia="Times New Roman" w:cs="Arial"/>
          <w:color w:val="000000"/>
          <w:lang w:eastAsia="en-GB"/>
        </w:rPr>
        <w:t xml:space="preserve"> to</w:t>
      </w:r>
      <w:r w:rsidR="0020588F" w:rsidRPr="009055A7">
        <w:rPr>
          <w:rFonts w:eastAsia="Times New Roman" w:cs="Arial"/>
          <w:color w:val="000000"/>
          <w:lang w:eastAsia="en-GB"/>
        </w:rPr>
        <w:t xml:space="preserve"> 1</w:t>
      </w:r>
      <w:r w:rsidR="0020588F">
        <w:rPr>
          <w:rFonts w:eastAsia="Times New Roman" w:cs="Arial"/>
          <w:color w:val="000000"/>
          <w:lang w:eastAsia="en-GB"/>
        </w:rPr>
        <w:t>·</w:t>
      </w:r>
      <w:r w:rsidR="0020588F" w:rsidRPr="009055A7">
        <w:rPr>
          <w:rFonts w:eastAsia="Times New Roman" w:cs="Arial"/>
          <w:color w:val="000000"/>
          <w:lang w:eastAsia="en-GB"/>
        </w:rPr>
        <w:t>3</w:t>
      </w:r>
      <w:r w:rsidR="00AA2F42">
        <w:rPr>
          <w:rFonts w:eastAsia="Times New Roman" w:cs="Arial"/>
          <w:color w:val="000000"/>
          <w:lang w:eastAsia="en-GB"/>
        </w:rPr>
        <w:t>]</w:t>
      </w:r>
      <w:r w:rsidR="006339C2">
        <w:t>; p=</w:t>
      </w:r>
      <w:r w:rsidR="0020588F">
        <w:t>0</w:t>
      </w:r>
      <w:r w:rsidR="0085201C">
        <w:rPr>
          <w:rFonts w:eastAsia="Times New Roman" w:cs="Arial"/>
          <w:color w:val="000000"/>
          <w:lang w:eastAsia="en-GB"/>
        </w:rPr>
        <w:t>·</w:t>
      </w:r>
      <w:r w:rsidR="0020588F">
        <w:t>55</w:t>
      </w:r>
      <w:r w:rsidR="006339C2">
        <w:t>)</w:t>
      </w:r>
      <w:r w:rsidR="004D71CC">
        <w:t xml:space="preserve"> and</w:t>
      </w:r>
      <w:r w:rsidR="007E39CA">
        <w:t xml:space="preserve"> </w:t>
      </w:r>
      <w:r w:rsidR="004D71CC">
        <w:t>t</w:t>
      </w:r>
      <w:r w:rsidR="0072755A">
        <w:t>here were no differences between groups in mortality, intensive care unit admission, representation to hospital (without admission), or readmission to hospital (table 3).</w:t>
      </w:r>
    </w:p>
    <w:p w14:paraId="3536B93A" w14:textId="7DBE09F4" w:rsidR="000B357F" w:rsidRDefault="00532B73" w:rsidP="0032744A">
      <w:r>
        <w:t xml:space="preserve">A higher proportion of patients had pathogens detected </w:t>
      </w:r>
      <w:r w:rsidR="001860DD">
        <w:t xml:space="preserve">in the </w:t>
      </w:r>
      <w:r>
        <w:t xml:space="preserve">mPOCT </w:t>
      </w:r>
      <w:r w:rsidR="001860DD">
        <w:t>group</w:t>
      </w:r>
      <w:r w:rsidR="008C3A7C">
        <w:t xml:space="preserve">, </w:t>
      </w:r>
      <w:r w:rsidR="002A6345">
        <w:t>62</w:t>
      </w:r>
      <w:r w:rsidR="008C3A7C">
        <w:t xml:space="preserve"> </w:t>
      </w:r>
      <w:r>
        <w:t>(45%)</w:t>
      </w:r>
      <w:r w:rsidR="001860DD">
        <w:t xml:space="preserve"> </w:t>
      </w:r>
      <w:r w:rsidR="008C3A7C">
        <w:t xml:space="preserve">of </w:t>
      </w:r>
      <w:r w:rsidR="002A6345">
        <w:t>137</w:t>
      </w:r>
      <w:r w:rsidR="008C3A7C">
        <w:t xml:space="preserve"> </w:t>
      </w:r>
      <w:r w:rsidR="002A6345">
        <w:t xml:space="preserve">patients, </w:t>
      </w:r>
      <w:r w:rsidR="001860DD">
        <w:t xml:space="preserve">compared to </w:t>
      </w:r>
      <w:r w:rsidR="008023A8">
        <w:t>the control group</w:t>
      </w:r>
      <w:r w:rsidR="004D71CC">
        <w:t xml:space="preserve"> (with laboratory testing)</w:t>
      </w:r>
      <w:r w:rsidR="001860DD">
        <w:t xml:space="preserve">, </w:t>
      </w:r>
      <w:r w:rsidR="002A6345">
        <w:t>36</w:t>
      </w:r>
      <w:r w:rsidR="0032744A">
        <w:t xml:space="preserve"> (</w:t>
      </w:r>
      <w:r w:rsidR="002A6345">
        <w:t>2</w:t>
      </w:r>
      <w:r w:rsidR="008023A8">
        <w:t>6%</w:t>
      </w:r>
      <w:r w:rsidR="001860DD">
        <w:t xml:space="preserve">) </w:t>
      </w:r>
      <w:r w:rsidR="008C3A7C">
        <w:t xml:space="preserve">of </w:t>
      </w:r>
      <w:r w:rsidR="002A6345">
        <w:t>140</w:t>
      </w:r>
      <w:r w:rsidR="008C3A7C">
        <w:t xml:space="preserve"> (</w:t>
      </w:r>
      <w:r w:rsidR="00251891">
        <w:t>difference</w:t>
      </w:r>
      <w:r w:rsidR="00AA2F42">
        <w:t xml:space="preserve"> of</w:t>
      </w:r>
      <w:r w:rsidR="00251891">
        <w:t xml:space="preserve"> 20% [95%CI 9 to 31]</w:t>
      </w:r>
      <w:r w:rsidR="008C3A7C">
        <w:t xml:space="preserve">; </w:t>
      </w:r>
      <w:r w:rsidR="00251891">
        <w:t>p=</w:t>
      </w:r>
      <w:r w:rsidR="00251891" w:rsidRPr="00251891">
        <w:t>0·0007</w:t>
      </w:r>
      <w:r w:rsidR="008C3A7C">
        <w:t>;</w:t>
      </w:r>
      <w:r w:rsidR="0009015F">
        <w:t xml:space="preserve"> table 3</w:t>
      </w:r>
      <w:r w:rsidR="00251891">
        <w:t xml:space="preserve">). </w:t>
      </w:r>
      <w:r w:rsidR="0066012B" w:rsidRPr="008E7BE1">
        <w:rPr>
          <w:i/>
        </w:rPr>
        <w:t>Campylobacter</w:t>
      </w:r>
      <w:r w:rsidR="0066012B">
        <w:t xml:space="preserve"> </w:t>
      </w:r>
      <w:r w:rsidR="008C3A7C">
        <w:t xml:space="preserve">was </w:t>
      </w:r>
      <w:r w:rsidR="0066012B">
        <w:t>the most frequently detected pathogen in both groups</w:t>
      </w:r>
      <w:r w:rsidR="00BA4036">
        <w:t xml:space="preserve"> (</w:t>
      </w:r>
      <w:r w:rsidR="009731FE" w:rsidRPr="00847E1E">
        <w:t>appendix</w:t>
      </w:r>
      <w:r w:rsidR="009731FE" w:rsidRPr="003B5498">
        <w:t xml:space="preserve"> p</w:t>
      </w:r>
      <w:r w:rsidR="00B47A96">
        <w:t xml:space="preserve"> </w:t>
      </w:r>
      <w:r w:rsidR="003B5498">
        <w:t>4</w:t>
      </w:r>
      <w:r w:rsidR="00BA4036" w:rsidRPr="003B5498">
        <w:t>)</w:t>
      </w:r>
      <w:r w:rsidR="0066012B" w:rsidRPr="003B5498">
        <w:t>.</w:t>
      </w:r>
      <w:r w:rsidR="0066012B">
        <w:t xml:space="preserve"> mPOCT detected a greater </w:t>
      </w:r>
      <w:r w:rsidR="008C3A7C">
        <w:t>number</w:t>
      </w:r>
      <w:r w:rsidR="0006578C">
        <w:t xml:space="preserve"> of pathogens</w:t>
      </w:r>
      <w:r w:rsidR="00BA4036">
        <w:t xml:space="preserve"> (71 detections </w:t>
      </w:r>
      <w:r w:rsidR="00DB0E71">
        <w:t xml:space="preserve">versus </w:t>
      </w:r>
      <w:r w:rsidR="00BA4036">
        <w:t>36)</w:t>
      </w:r>
      <w:r w:rsidR="008C3A7C">
        <w:t xml:space="preserve"> and </w:t>
      </w:r>
      <w:r w:rsidR="0066012B">
        <w:t>range</w:t>
      </w:r>
      <w:r w:rsidR="00BA4036">
        <w:t xml:space="preserve"> of pathogens (14 different pathogens </w:t>
      </w:r>
      <w:r w:rsidR="00DB0E71">
        <w:t xml:space="preserve">versus </w:t>
      </w:r>
      <w:r w:rsidR="00BA4036">
        <w:t>10)</w:t>
      </w:r>
      <w:r w:rsidR="0066012B">
        <w:t xml:space="preserve">, </w:t>
      </w:r>
      <w:r w:rsidR="00E162E4">
        <w:t xml:space="preserve">compared to </w:t>
      </w:r>
      <w:r w:rsidR="0066012B">
        <w:t>the control group</w:t>
      </w:r>
      <w:r w:rsidR="00781D2D">
        <w:t>.</w:t>
      </w:r>
      <w:r w:rsidR="0066012B">
        <w:t xml:space="preserve"> </w:t>
      </w:r>
      <w:r w:rsidR="004D71CC">
        <w:t>In addition, c</w:t>
      </w:r>
      <w:r w:rsidR="00E97AE7">
        <w:t xml:space="preserve">o-detection of pathogens was also more common in the mPOCT group and involved detection of </w:t>
      </w:r>
      <w:r w:rsidR="00E97AE7" w:rsidRPr="00145AA1">
        <w:t xml:space="preserve">EPEC </w:t>
      </w:r>
      <w:r w:rsidR="00E97AE7">
        <w:t>in all cases (appendix p</w:t>
      </w:r>
      <w:r w:rsidR="00B47A96">
        <w:t xml:space="preserve"> </w:t>
      </w:r>
      <w:r w:rsidR="00E97AE7">
        <w:t>4).</w:t>
      </w:r>
      <w:r w:rsidR="005179E6">
        <w:t xml:space="preserve"> The details of pathogens detected in the control group by retrospective testing of </w:t>
      </w:r>
      <w:r w:rsidR="00B66E55">
        <w:t xml:space="preserve">frozen </w:t>
      </w:r>
      <w:r w:rsidR="005179E6">
        <w:t xml:space="preserve">stored samples using the FilmArray </w:t>
      </w:r>
      <w:r w:rsidR="007E39CA">
        <w:t xml:space="preserve">Gastrointestinal </w:t>
      </w:r>
      <w:r w:rsidR="005179E6">
        <w:t xml:space="preserve">panel are shown </w:t>
      </w:r>
      <w:r w:rsidR="005179E6" w:rsidRPr="00DD7E2B">
        <w:t>in the appendix, p</w:t>
      </w:r>
      <w:r w:rsidR="00B47A96">
        <w:t xml:space="preserve"> </w:t>
      </w:r>
      <w:r w:rsidR="00DD7E2B" w:rsidRPr="00DD7E2B">
        <w:t>5</w:t>
      </w:r>
      <w:r w:rsidR="00DD7E2B">
        <w:t>.</w:t>
      </w:r>
      <w:r w:rsidR="00B66E55" w:rsidRPr="00DD7E2B">
        <w:t xml:space="preserve"> 30 (21</w:t>
      </w:r>
      <w:r w:rsidR="00B66E55" w:rsidRPr="00B66E55">
        <w:t xml:space="preserve">%) of 140 patients were found to have had at least one pathogen that was not detected via routine clinical care, including: </w:t>
      </w:r>
      <w:r w:rsidR="001D49C1" w:rsidRPr="007E39CA">
        <w:rPr>
          <w:i/>
          <w:iCs/>
        </w:rPr>
        <w:t>C</w:t>
      </w:r>
      <w:r w:rsidR="00B66E55" w:rsidRPr="007E39CA">
        <w:rPr>
          <w:i/>
          <w:iCs/>
        </w:rPr>
        <w:t>ampylobacter</w:t>
      </w:r>
      <w:r w:rsidR="00B66E55" w:rsidRPr="00B66E55">
        <w:t xml:space="preserve"> (5), norovirus (5</w:t>
      </w:r>
      <w:r w:rsidR="00B66E55">
        <w:t>)</w:t>
      </w:r>
      <w:r w:rsidR="00DD7E2B">
        <w:t>,</w:t>
      </w:r>
      <w:r w:rsidR="00B66E55" w:rsidRPr="00B66E55">
        <w:t xml:space="preserve"> </w:t>
      </w:r>
      <w:r w:rsidR="00B66E55" w:rsidRPr="00145AA1">
        <w:t xml:space="preserve">EPEC </w:t>
      </w:r>
      <w:r w:rsidR="00B66E55" w:rsidRPr="00B66E55">
        <w:t>(</w:t>
      </w:r>
      <w:r w:rsidR="00B66E55">
        <w:t>11</w:t>
      </w:r>
      <w:r w:rsidR="00B66E55" w:rsidRPr="00B66E55">
        <w:t>)</w:t>
      </w:r>
      <w:r w:rsidR="00DD7E2B">
        <w:t>,</w:t>
      </w:r>
      <w:r w:rsidR="00B66E55" w:rsidRPr="00B66E55">
        <w:t xml:space="preserve"> </w:t>
      </w:r>
      <w:r w:rsidR="00B66E55" w:rsidRPr="007E39CA">
        <w:rPr>
          <w:i/>
          <w:iCs/>
        </w:rPr>
        <w:t>C</w:t>
      </w:r>
      <w:r w:rsidR="007E39CA">
        <w:rPr>
          <w:i/>
          <w:iCs/>
        </w:rPr>
        <w:t xml:space="preserve">. </w:t>
      </w:r>
      <w:r w:rsidR="00B66E55" w:rsidRPr="007E39CA">
        <w:rPr>
          <w:i/>
          <w:iCs/>
        </w:rPr>
        <w:t>difficile</w:t>
      </w:r>
      <w:r w:rsidR="00B66E55" w:rsidRPr="00B66E55">
        <w:t xml:space="preserve"> (4)</w:t>
      </w:r>
      <w:r w:rsidR="00DD7E2B">
        <w:t>,</w:t>
      </w:r>
      <w:r w:rsidR="00B66E55" w:rsidRPr="00B66E55">
        <w:t xml:space="preserve"> </w:t>
      </w:r>
      <w:r w:rsidR="00B66E55">
        <w:t xml:space="preserve">and </w:t>
      </w:r>
      <w:r w:rsidR="001D49C1" w:rsidRPr="007E39CA">
        <w:rPr>
          <w:i/>
          <w:iCs/>
        </w:rPr>
        <w:t>S</w:t>
      </w:r>
      <w:r w:rsidR="00B66E55" w:rsidRPr="007E39CA">
        <w:rPr>
          <w:i/>
          <w:iCs/>
        </w:rPr>
        <w:t>higella/</w:t>
      </w:r>
      <w:r w:rsidR="00B66E55" w:rsidRPr="00145AA1">
        <w:t>EIEC</w:t>
      </w:r>
      <w:r w:rsidR="00B66E55">
        <w:t xml:space="preserve"> (2</w:t>
      </w:r>
      <w:r w:rsidR="008E7BE1">
        <w:t>).</w:t>
      </w:r>
    </w:p>
    <w:p w14:paraId="25912E93" w14:textId="1415607B" w:rsidR="00656317" w:rsidRDefault="00251891" w:rsidP="0032744A">
      <w:r>
        <w:t>89 (65%) of</w:t>
      </w:r>
      <w:r w:rsidR="00ED326C">
        <w:t xml:space="preserve"> 137</w:t>
      </w:r>
      <w:r>
        <w:t xml:space="preserve"> patients in the mPOCT group received </w:t>
      </w:r>
      <w:r w:rsidR="00DB0E71">
        <w:t xml:space="preserve">an </w:t>
      </w:r>
      <w:r>
        <w:t xml:space="preserve">antibiotic at any point in their hospitalisation compared with </w:t>
      </w:r>
      <w:r w:rsidR="00ED326C">
        <w:t xml:space="preserve">66 (47%) of 140 patients in the control group (difference </w:t>
      </w:r>
      <w:r w:rsidR="00AA2F42">
        <w:t xml:space="preserve">of </w:t>
      </w:r>
      <w:r w:rsidR="00ED326C">
        <w:t>18%</w:t>
      </w:r>
      <w:r w:rsidR="00ED326C" w:rsidRPr="00ED326C">
        <w:t xml:space="preserve"> </w:t>
      </w:r>
      <w:r w:rsidR="00ED326C">
        <w:t xml:space="preserve">[95%CI </w:t>
      </w:r>
      <w:r w:rsidR="00ED326C" w:rsidRPr="00ED326C">
        <w:t>6 to 29</w:t>
      </w:r>
      <w:r w:rsidR="00ED326C">
        <w:t>]</w:t>
      </w:r>
      <w:r w:rsidR="008C3A7C">
        <w:t>;</w:t>
      </w:r>
      <w:r w:rsidR="00ED326C">
        <w:t xml:space="preserve"> p=</w:t>
      </w:r>
      <w:r w:rsidR="00ED326C" w:rsidRPr="00ED326C">
        <w:t>0·0028</w:t>
      </w:r>
      <w:r w:rsidR="00102CF3">
        <w:t xml:space="preserve">, table </w:t>
      </w:r>
      <w:r w:rsidR="0072755A">
        <w:t>4</w:t>
      </w:r>
      <w:r w:rsidR="00ED326C">
        <w:t xml:space="preserve">). </w:t>
      </w:r>
      <w:r w:rsidR="00656317">
        <w:t>Patients with a final diagnosis of gastroenteritis were more frequently treated with antibiotics in the mPOCT group</w:t>
      </w:r>
      <w:r w:rsidR="00E45198">
        <w:t xml:space="preserve">, </w:t>
      </w:r>
      <w:r w:rsidR="00656317">
        <w:t xml:space="preserve">45 (65%) </w:t>
      </w:r>
      <w:r w:rsidR="00E45198">
        <w:t xml:space="preserve">of 69 versus 40 (48%) </w:t>
      </w:r>
      <w:r w:rsidR="00E45198">
        <w:lastRenderedPageBreak/>
        <w:t xml:space="preserve">of 83 in the control group (p=0.049). Antibiotic treatment of </w:t>
      </w:r>
      <w:r w:rsidR="00171839" w:rsidRPr="00171839">
        <w:rPr>
          <w:i/>
          <w:iCs/>
        </w:rPr>
        <w:t>C</w:t>
      </w:r>
      <w:r w:rsidR="00E45198" w:rsidRPr="00171839">
        <w:rPr>
          <w:i/>
          <w:iCs/>
        </w:rPr>
        <w:t>ampylobacter</w:t>
      </w:r>
      <w:r w:rsidR="00E45198">
        <w:t xml:space="preserve"> </w:t>
      </w:r>
      <w:r w:rsidR="00123E9C">
        <w:t xml:space="preserve">and EPEC </w:t>
      </w:r>
      <w:r w:rsidR="00E45198">
        <w:t>was more common in the mPOCT group</w:t>
      </w:r>
      <w:r w:rsidR="00123E9C">
        <w:t xml:space="preserve">, although </w:t>
      </w:r>
      <w:r w:rsidR="00E45198">
        <w:t xml:space="preserve">EPEC </w:t>
      </w:r>
      <w:r w:rsidR="00123E9C">
        <w:t xml:space="preserve">was frequently co-detected with other pathogens (including </w:t>
      </w:r>
      <w:r w:rsidR="006D7D92" w:rsidRPr="006D7D92">
        <w:rPr>
          <w:i/>
          <w:iCs/>
        </w:rPr>
        <w:t>C</w:t>
      </w:r>
      <w:r w:rsidR="00123E9C" w:rsidRPr="006D7D92">
        <w:rPr>
          <w:i/>
          <w:iCs/>
        </w:rPr>
        <w:t>ampylobacter</w:t>
      </w:r>
      <w:r w:rsidR="00123E9C">
        <w:t>)</w:t>
      </w:r>
      <w:r w:rsidR="006164AD">
        <w:t>,</w:t>
      </w:r>
      <w:r w:rsidR="00123E9C">
        <w:t xml:space="preserve"> </w:t>
      </w:r>
      <w:r w:rsidR="00123E9C" w:rsidRPr="006D7D92">
        <w:t>appendix p</w:t>
      </w:r>
      <w:r w:rsidR="006D7D92" w:rsidRPr="006D7D92">
        <w:t>6</w:t>
      </w:r>
      <w:r w:rsidR="00123E9C" w:rsidRPr="006D7D92">
        <w:t>.</w:t>
      </w:r>
      <w:r w:rsidR="00123E9C">
        <w:t xml:space="preserve"> </w:t>
      </w:r>
    </w:p>
    <w:p w14:paraId="7B553EE6" w14:textId="7AA2EE5D" w:rsidR="00ED326C" w:rsidRDefault="00ED326C" w:rsidP="0032744A">
      <w:r>
        <w:t>Of patients receiving antibiotics, there was no difference in the proportion of patients who received inappropriate antibiotics</w:t>
      </w:r>
      <w:r w:rsidR="00AA2F42">
        <w:t xml:space="preserve">, 34 (38%) of 89 </w:t>
      </w:r>
      <w:r>
        <w:t>in the mPOCT group v</w:t>
      </w:r>
      <w:r w:rsidR="00A7238A">
        <w:t>ersu</w:t>
      </w:r>
      <w:r>
        <w:t>s</w:t>
      </w:r>
      <w:r w:rsidR="00E65801">
        <w:t xml:space="preserve"> 35 (53%) of 66 </w:t>
      </w:r>
      <w:r>
        <w:t>in the control group</w:t>
      </w:r>
      <w:r w:rsidR="00E65801">
        <w:t xml:space="preserve"> </w:t>
      </w:r>
      <w:r>
        <w:t xml:space="preserve"> </w:t>
      </w:r>
      <w:r w:rsidR="00E65801">
        <w:t>(</w:t>
      </w:r>
      <w:r>
        <w:t xml:space="preserve">difference </w:t>
      </w:r>
      <w:r w:rsidR="00E65801">
        <w:t xml:space="preserve">of </w:t>
      </w:r>
      <w:r>
        <w:t>-15% [95%CI -31 to 0·9]</w:t>
      </w:r>
      <w:r w:rsidR="008C3A7C">
        <w:t>;</w:t>
      </w:r>
      <w:r>
        <w:t xml:space="preserve"> p=0</w:t>
      </w:r>
      <w:r w:rsidR="002A6345">
        <w:t>·</w:t>
      </w:r>
      <w:r>
        <w:t xml:space="preserve">066), however patients in the mPOCT group received a shorter </w:t>
      </w:r>
      <w:r w:rsidR="00E65801">
        <w:t xml:space="preserve">median </w:t>
      </w:r>
      <w:r>
        <w:t xml:space="preserve">duration of inappropriate antibiotics </w:t>
      </w:r>
      <w:r w:rsidR="00BF65D9">
        <w:t xml:space="preserve">compared to </w:t>
      </w:r>
      <w:r>
        <w:t>the control group</w:t>
      </w:r>
      <w:r w:rsidR="00E65801">
        <w:t xml:space="preserve">, </w:t>
      </w:r>
      <w:r w:rsidR="00D7170C">
        <w:t>0·</w:t>
      </w:r>
      <w:r w:rsidR="00294A52" w:rsidRPr="00ED326C">
        <w:t xml:space="preserve">5 </w:t>
      </w:r>
      <w:r w:rsidR="00E65801">
        <w:t>(</w:t>
      </w:r>
      <w:r w:rsidR="00294A52">
        <w:t>0·0 to 1·8</w:t>
      </w:r>
      <w:r w:rsidR="00E65801">
        <w:t>) days</w:t>
      </w:r>
      <w:r w:rsidR="00A7238A">
        <w:t xml:space="preserve"> compared to </w:t>
      </w:r>
      <w:r w:rsidR="00294A52" w:rsidRPr="00ED326C">
        <w:t>4·2</w:t>
      </w:r>
      <w:r w:rsidR="00D7170C">
        <w:t xml:space="preserve"> </w:t>
      </w:r>
      <w:r w:rsidR="00E65801">
        <w:t>(</w:t>
      </w:r>
      <w:r w:rsidR="00D7170C">
        <w:t>0·</w:t>
      </w:r>
      <w:r w:rsidR="00294A52">
        <w:t>7 to 6·5</w:t>
      </w:r>
      <w:r w:rsidR="00E65801">
        <w:t>) days (</w:t>
      </w:r>
      <w:r w:rsidR="00294A52">
        <w:t>difference -3·7 [95% CI -5·</w:t>
      </w:r>
      <w:r w:rsidR="00D7170C">
        <w:t>6</w:t>
      </w:r>
      <w:r w:rsidR="00294A52">
        <w:t xml:space="preserve"> to -1·</w:t>
      </w:r>
      <w:r w:rsidR="00D7170C">
        <w:t>9</w:t>
      </w:r>
      <w:r w:rsidR="00294A52">
        <w:t>], p=</w:t>
      </w:r>
      <w:r w:rsidR="00294A52" w:rsidRPr="00ED326C">
        <w:t>0·0002</w:t>
      </w:r>
      <w:r w:rsidR="00FC28C8">
        <w:t>; table 4</w:t>
      </w:r>
      <w:r w:rsidR="00294A52">
        <w:t>).</w:t>
      </w:r>
      <w:r w:rsidR="002E2256">
        <w:t xml:space="preserve"> </w:t>
      </w:r>
      <w:r w:rsidR="005179E6">
        <w:t>F</w:t>
      </w:r>
      <w:r w:rsidR="002E2256">
        <w:t>urther details of inappropriate antibiotic use and the antibiotic agents used</w:t>
      </w:r>
      <w:r w:rsidR="005179E6">
        <w:t xml:space="preserve"> are shown in the appendix, </w:t>
      </w:r>
      <w:r w:rsidR="005179E6" w:rsidRPr="0021248D">
        <w:t>p</w:t>
      </w:r>
      <w:r w:rsidR="0021248D" w:rsidRPr="0021248D">
        <w:t xml:space="preserve"> 7-8</w:t>
      </w:r>
      <w:r w:rsidR="002E2256" w:rsidRPr="0021248D">
        <w:t xml:space="preserve">. </w:t>
      </w:r>
      <w:r w:rsidR="00B66E55" w:rsidRPr="0021248D">
        <w:t>E</w:t>
      </w:r>
      <w:r w:rsidR="00B66E55">
        <w:t>mpiric use of broad-spectrum intravenous antibiotics (</w:t>
      </w:r>
      <w:proofErr w:type="gramStart"/>
      <w:r w:rsidR="00E45198">
        <w:t>e.g.</w:t>
      </w:r>
      <w:proofErr w:type="gramEnd"/>
      <w:r w:rsidR="00E45198">
        <w:t xml:space="preserve"> </w:t>
      </w:r>
      <w:r w:rsidR="00B66E55">
        <w:t xml:space="preserve">cefuroxime and metronidazole) was common in patient with gastroenteritis including in those </w:t>
      </w:r>
      <w:r w:rsidR="00656317">
        <w:t>patients</w:t>
      </w:r>
      <w:r w:rsidR="00B66E55">
        <w:t xml:space="preserve"> subsequently </w:t>
      </w:r>
      <w:r w:rsidR="00123E9C">
        <w:t xml:space="preserve">testing </w:t>
      </w:r>
      <w:r w:rsidR="00B66E55">
        <w:t xml:space="preserve">positive for </w:t>
      </w:r>
      <w:r w:rsidR="00171839" w:rsidRPr="00171839">
        <w:rPr>
          <w:i/>
          <w:iCs/>
        </w:rPr>
        <w:t>C</w:t>
      </w:r>
      <w:r w:rsidR="00B66E55" w:rsidRPr="00171839">
        <w:rPr>
          <w:i/>
          <w:iCs/>
        </w:rPr>
        <w:t>ampylobacter</w:t>
      </w:r>
      <w:r w:rsidR="00B66E55">
        <w:t xml:space="preserve">, and in patients without pathogens detected. </w:t>
      </w:r>
      <w:r w:rsidR="006164AD">
        <w:t>The patients in the mPOCT group and the control group had similar proportions of different categories of final diagnoses based on discharge ICD-10 codes (</w:t>
      </w:r>
      <w:r w:rsidR="006164AD" w:rsidRPr="006164AD">
        <w:t>appendix p</w:t>
      </w:r>
      <w:r w:rsidR="009342C5">
        <w:t xml:space="preserve"> </w:t>
      </w:r>
      <w:r w:rsidR="006164AD" w:rsidRPr="006164AD">
        <w:t>9).</w:t>
      </w:r>
    </w:p>
    <w:p w14:paraId="65382B99" w14:textId="6FE7B8BA" w:rsidR="003E0B69" w:rsidRDefault="003D0BCB" w:rsidP="0032744A">
      <w:r>
        <w:t xml:space="preserve">There was </w:t>
      </w:r>
      <w:r w:rsidR="006339C2">
        <w:t xml:space="preserve">high </w:t>
      </w:r>
      <w:r>
        <w:t xml:space="preserve">concordance in </w:t>
      </w:r>
      <w:r w:rsidR="00BF65D9">
        <w:t xml:space="preserve">pathogens detected </w:t>
      </w:r>
      <w:r>
        <w:t>between</w:t>
      </w:r>
      <w:r w:rsidR="00D809CC">
        <w:t xml:space="preserve"> </w:t>
      </w:r>
      <w:r w:rsidR="00BF65D9">
        <w:t xml:space="preserve">paired </w:t>
      </w:r>
      <w:r>
        <w:t>r</w:t>
      </w:r>
      <w:r w:rsidR="00D809CC">
        <w:t xml:space="preserve">ectal swabs </w:t>
      </w:r>
      <w:r>
        <w:t xml:space="preserve">and stool </w:t>
      </w:r>
      <w:r w:rsidR="00E577F7">
        <w:t xml:space="preserve">samples </w:t>
      </w:r>
      <w:r w:rsidR="00B66E55">
        <w:t xml:space="preserve">collected at the same time and </w:t>
      </w:r>
      <w:r w:rsidR="00E577F7">
        <w:t>tested</w:t>
      </w:r>
      <w:r>
        <w:t xml:space="preserve"> on </w:t>
      </w:r>
      <w:r w:rsidR="00843A36">
        <w:t>the FilmArray Gastrointestinal P</w:t>
      </w:r>
      <w:r>
        <w:t>anel</w:t>
      </w:r>
      <w:r w:rsidR="00E577F7">
        <w:t>, with</w:t>
      </w:r>
      <w:r w:rsidR="005B604A">
        <w:t xml:space="preserve"> rectal swabs having a negative predictive value </w:t>
      </w:r>
      <w:r w:rsidR="00762B35">
        <w:t xml:space="preserve">of 91% </w:t>
      </w:r>
      <w:r w:rsidR="00DB0E71">
        <w:t>(</w:t>
      </w:r>
      <w:r w:rsidR="00762B35">
        <w:t>95%CI 80 to 97</w:t>
      </w:r>
      <w:r w:rsidR="00E65801">
        <w:t>) (</w:t>
      </w:r>
      <w:r w:rsidR="001F4C6C">
        <w:t>appendix</w:t>
      </w:r>
      <w:r w:rsidR="00465756">
        <w:t xml:space="preserve"> </w:t>
      </w:r>
      <w:r w:rsidR="001F4C6C">
        <w:t xml:space="preserve">p </w:t>
      </w:r>
      <w:r w:rsidR="00BD5A19">
        <w:t>9</w:t>
      </w:r>
      <w:r w:rsidR="00E65801">
        <w:t>)</w:t>
      </w:r>
      <w:r w:rsidR="00762B35">
        <w:t>.</w:t>
      </w:r>
      <w:r w:rsidR="00CD72FA">
        <w:t xml:space="preserve"> </w:t>
      </w:r>
      <w:r w:rsidR="00887539">
        <w:t>Five (56%) out of nine discordant rectal swabs occurred in samples with multiple pathogen dete</w:t>
      </w:r>
      <w:r w:rsidR="00465756">
        <w:t>ctions (</w:t>
      </w:r>
      <w:r w:rsidR="001F4C6C">
        <w:t>appendix p</w:t>
      </w:r>
      <w:r w:rsidR="008E7BE1">
        <w:t xml:space="preserve"> 9).</w:t>
      </w:r>
      <w:r w:rsidR="001F4C6C">
        <w:t xml:space="preserve"> </w:t>
      </w:r>
      <w:r w:rsidR="00CD72FA">
        <w:t xml:space="preserve"> </w:t>
      </w:r>
    </w:p>
    <w:p w14:paraId="36ED73C2" w14:textId="0C5BF6D1" w:rsidR="00F862D5" w:rsidRDefault="00F862D5" w:rsidP="008C3A7C">
      <w:r>
        <w:br w:type="page"/>
      </w:r>
    </w:p>
    <w:p w14:paraId="4E7EB7E3" w14:textId="77777777" w:rsidR="00F862D5" w:rsidRDefault="00F862D5" w:rsidP="00F862D5">
      <w:pPr>
        <w:pStyle w:val="Heading1"/>
      </w:pPr>
      <w:r>
        <w:lastRenderedPageBreak/>
        <w:t>Discussion</w:t>
      </w:r>
    </w:p>
    <w:p w14:paraId="05FAE05B" w14:textId="28C98F82" w:rsidR="005171F4" w:rsidRDefault="007B2D38" w:rsidP="005C1BF2">
      <w:r>
        <w:t>In this study</w:t>
      </w:r>
      <w:r w:rsidR="00947CF6">
        <w:t>,</w:t>
      </w:r>
      <w:r>
        <w:t xml:space="preserve"> routine </w:t>
      </w:r>
      <w:r w:rsidR="006519A4" w:rsidRPr="006519A4">
        <w:t xml:space="preserve">syndromic </w:t>
      </w:r>
      <w:r>
        <w:t>m</w:t>
      </w:r>
      <w:r w:rsidR="00F7381D">
        <w:t xml:space="preserve">olecular point-of-care testing for gastrointestinal pathogens in adults hospitalised with suspected gastroenteritis </w:t>
      </w:r>
      <w:r w:rsidR="00751668">
        <w:t xml:space="preserve">led to </w:t>
      </w:r>
      <w:r>
        <w:t xml:space="preserve">a </w:t>
      </w:r>
      <w:r w:rsidR="00751668">
        <w:t xml:space="preserve">faster time to results, identified </w:t>
      </w:r>
      <w:r w:rsidR="00BF65D9">
        <w:t xml:space="preserve">more </w:t>
      </w:r>
      <w:r w:rsidR="00751668">
        <w:t xml:space="preserve">pathogens, and </w:t>
      </w:r>
      <w:r w:rsidR="00DE3F62">
        <w:t xml:space="preserve">reduced </w:t>
      </w:r>
      <w:r w:rsidR="00751668">
        <w:t>the duration of single-occupancy isolation room</w:t>
      </w:r>
      <w:r w:rsidR="00DE3F62">
        <w:t xml:space="preserve"> use</w:t>
      </w:r>
      <w:r w:rsidR="00751668">
        <w:t xml:space="preserve">, </w:t>
      </w:r>
      <w:r w:rsidR="002F47FA">
        <w:t xml:space="preserve">compared with </w:t>
      </w:r>
      <w:r w:rsidR="00751668">
        <w:t xml:space="preserve">routine clinical care </w:t>
      </w:r>
      <w:r w:rsidR="002F47FA">
        <w:t xml:space="preserve">using </w:t>
      </w:r>
      <w:r w:rsidR="00751668">
        <w:t>conventional laboratory testing.</w:t>
      </w:r>
      <w:r w:rsidR="00F7381D">
        <w:t xml:space="preserve"> </w:t>
      </w:r>
      <w:r w:rsidR="00751668">
        <w:t xml:space="preserve">The </w:t>
      </w:r>
      <w:r w:rsidR="002F47FA">
        <w:t xml:space="preserve">reduced </w:t>
      </w:r>
      <w:r w:rsidR="00F7381D">
        <w:t>time in single-occupancy room</w:t>
      </w:r>
      <w:r w:rsidR="002F47FA">
        <w:t>s</w:t>
      </w:r>
      <w:r w:rsidR="00751668">
        <w:t xml:space="preserve"> was driven by </w:t>
      </w:r>
      <w:r w:rsidR="000800BD">
        <w:t>pathogen-</w:t>
      </w:r>
      <w:r w:rsidR="002F47FA">
        <w:t xml:space="preserve">negative </w:t>
      </w:r>
      <w:r w:rsidR="00751668">
        <w:t xml:space="preserve">patients </w:t>
      </w:r>
      <w:r w:rsidR="002F47FA">
        <w:t xml:space="preserve">being appropriately </w:t>
      </w:r>
      <w:r w:rsidR="00751668">
        <w:t>de-</w:t>
      </w:r>
      <w:r w:rsidR="002F47FA">
        <w:t>isolated</w:t>
      </w:r>
      <w:r w:rsidR="000800BD">
        <w:t xml:space="preserve"> a day and half</w:t>
      </w:r>
      <w:r w:rsidR="002F47FA">
        <w:t xml:space="preserve"> earlier </w:t>
      </w:r>
      <w:proofErr w:type="gramStart"/>
      <w:r w:rsidR="002F47FA">
        <w:t>in the c</w:t>
      </w:r>
      <w:r w:rsidR="000800BD">
        <w:t>ourse of</w:t>
      </w:r>
      <w:proofErr w:type="gramEnd"/>
      <w:r w:rsidR="000800BD">
        <w:t xml:space="preserve"> their hospitalisation</w:t>
      </w:r>
      <w:r w:rsidR="00751668">
        <w:t>.</w:t>
      </w:r>
    </w:p>
    <w:p w14:paraId="02C6E839" w14:textId="41D2F928" w:rsidR="005171F4" w:rsidRDefault="002F67E8" w:rsidP="0032744A">
      <w:r>
        <w:t>Single-</w:t>
      </w:r>
      <w:r w:rsidR="00357D64">
        <w:t>occupancy isolation room</w:t>
      </w:r>
      <w:r w:rsidR="00B75AA9">
        <w:t>s</w:t>
      </w:r>
      <w:r w:rsidR="00357D64">
        <w:t xml:space="preserve"> are a limited resource in the NHS</w:t>
      </w:r>
      <w:r>
        <w:t>,</w:t>
      </w:r>
      <w:r w:rsidR="00357D64">
        <w:t xml:space="preserve"> </w:t>
      </w:r>
      <w:r>
        <w:t xml:space="preserve">and many other healthcare systems, </w:t>
      </w:r>
      <w:r w:rsidR="00357D64">
        <w:t xml:space="preserve">and </w:t>
      </w:r>
      <w:r>
        <w:t xml:space="preserve">most hospital beds are </w:t>
      </w:r>
      <w:r w:rsidR="00B75AA9">
        <w:t xml:space="preserve">located </w:t>
      </w:r>
      <w:r>
        <w:t xml:space="preserve">in </w:t>
      </w:r>
      <w:r w:rsidR="00BF65D9">
        <w:t xml:space="preserve">shared </w:t>
      </w:r>
      <w:r>
        <w:t>bays.</w:t>
      </w:r>
      <w:r w:rsidR="008E7BE1" w:rsidRPr="00640D74">
        <w:rPr>
          <w:vertAlign w:val="superscript"/>
        </w:rPr>
        <w:t>2</w:t>
      </w:r>
      <w:r w:rsidR="008E7BE1">
        <w:rPr>
          <w:vertAlign w:val="superscript"/>
        </w:rPr>
        <w:t>2</w:t>
      </w:r>
      <w:r>
        <w:t xml:space="preserve"> A</w:t>
      </w:r>
      <w:r w:rsidR="006519A4">
        <w:t>round</w:t>
      </w:r>
      <w:r>
        <w:t xml:space="preserve"> 130,000 hospital admissions for potentially infectious diarrhoeal illnesses occur in England each year.</w:t>
      </w:r>
      <w:r w:rsidR="00640D74">
        <w:rPr>
          <w:vertAlign w:val="superscript"/>
        </w:rPr>
        <w:t>3</w:t>
      </w:r>
      <w:r w:rsidRPr="00710043">
        <w:t xml:space="preserve"> </w:t>
      </w:r>
      <w:r>
        <w:t xml:space="preserve">This study suggests that a  molecular point-of-care testing strategy for these patients could reduce </w:t>
      </w:r>
      <w:r w:rsidR="00BF65D9">
        <w:t xml:space="preserve">unnecessary single-occupancy room use and </w:t>
      </w:r>
      <w:r w:rsidR="0031685C">
        <w:t xml:space="preserve">overall </w:t>
      </w:r>
      <w:r w:rsidR="0095490D">
        <w:t xml:space="preserve">decrease </w:t>
      </w:r>
      <w:r>
        <w:t xml:space="preserve">use by </w:t>
      </w:r>
      <w:r w:rsidR="0095490D">
        <w:t xml:space="preserve">around </w:t>
      </w:r>
      <w:r>
        <w:t xml:space="preserve">30% </w:t>
      </w:r>
      <w:r w:rsidR="00B75AA9">
        <w:t>(i.e. around 40,000 s</w:t>
      </w:r>
      <w:r w:rsidR="002B7E66">
        <w:t>ingle-occupan</w:t>
      </w:r>
      <w:r w:rsidR="000D3574">
        <w:t>c</w:t>
      </w:r>
      <w:r w:rsidR="002B7E66">
        <w:t>y</w:t>
      </w:r>
      <w:r w:rsidR="00B75AA9">
        <w:t xml:space="preserve"> rooms saved per year) </w:t>
      </w:r>
      <w:r>
        <w:t>therefore</w:t>
      </w:r>
      <w:r w:rsidR="0031685C">
        <w:t xml:space="preserve"> </w:t>
      </w:r>
      <w:r>
        <w:t>improv</w:t>
      </w:r>
      <w:r w:rsidR="00BF65D9">
        <w:t xml:space="preserve">ing </w:t>
      </w:r>
      <w:r>
        <w:t xml:space="preserve">patient flow </w:t>
      </w:r>
      <w:r w:rsidR="00BF65D9">
        <w:t xml:space="preserve">and operational </w:t>
      </w:r>
      <w:r>
        <w:t xml:space="preserve">capacity within </w:t>
      </w:r>
      <w:r w:rsidR="006B0AD7">
        <w:t>NHS</w:t>
      </w:r>
      <w:r w:rsidR="006519A4">
        <w:t xml:space="preserve"> hospitals</w:t>
      </w:r>
      <w:r w:rsidR="006B0AD7">
        <w:t>.</w:t>
      </w:r>
    </w:p>
    <w:p w14:paraId="49BA26B9" w14:textId="74D8D83A" w:rsidR="00417818" w:rsidRDefault="00BF7FEF" w:rsidP="0032744A">
      <w:r>
        <w:t>Overall antibiotic use was higher in the mPOCT group compared to the control group</w:t>
      </w:r>
      <w:r w:rsidR="00592497">
        <w:t xml:space="preserve"> by 18%</w:t>
      </w:r>
      <w:r w:rsidR="00417818">
        <w:t xml:space="preserve"> which is potentially concerning for overtreatment of colonising organisms</w:t>
      </w:r>
      <w:r w:rsidR="00974247">
        <w:t xml:space="preserve"> including </w:t>
      </w:r>
      <w:r w:rsidR="00974247" w:rsidRPr="00171839">
        <w:rPr>
          <w:i/>
          <w:iCs/>
        </w:rPr>
        <w:t>C.</w:t>
      </w:r>
      <w:r w:rsidR="00171839">
        <w:rPr>
          <w:i/>
          <w:iCs/>
        </w:rPr>
        <w:t xml:space="preserve"> </w:t>
      </w:r>
      <w:r w:rsidR="00974247" w:rsidRPr="00171839">
        <w:rPr>
          <w:i/>
          <w:iCs/>
        </w:rPr>
        <w:t>difficile</w:t>
      </w:r>
      <w:r w:rsidR="00974247" w:rsidRPr="00974247">
        <w:t xml:space="preserve"> </w:t>
      </w:r>
      <w:r w:rsidR="00974247" w:rsidRPr="00171839">
        <w:t>due to</w:t>
      </w:r>
      <w:r w:rsidR="00974247" w:rsidRPr="00974247">
        <w:rPr>
          <w:i/>
          <w:iCs/>
        </w:rPr>
        <w:t xml:space="preserve"> </w:t>
      </w:r>
      <w:r w:rsidR="00974247" w:rsidRPr="00171839">
        <w:t>increased detection</w:t>
      </w:r>
      <w:r w:rsidR="00215E52">
        <w:t>.</w:t>
      </w:r>
      <w:r w:rsidR="0095490D">
        <w:t xml:space="preserve"> </w:t>
      </w:r>
      <w:r w:rsidR="00417818">
        <w:t xml:space="preserve">Our data show that </w:t>
      </w:r>
      <w:r w:rsidR="00974247">
        <w:t xml:space="preserve">increased antibiotic use was </w:t>
      </w:r>
      <w:r w:rsidR="00417818">
        <w:t xml:space="preserve">due to a higher proportion of patient with gastroenteritis in the mPOCT group </w:t>
      </w:r>
      <w:r w:rsidR="00974247">
        <w:t xml:space="preserve">receiving antibiotics, </w:t>
      </w:r>
      <w:r w:rsidR="00417818">
        <w:t xml:space="preserve">including those with </w:t>
      </w:r>
      <w:r w:rsidR="00F163CE" w:rsidRPr="00F163CE">
        <w:rPr>
          <w:i/>
          <w:iCs/>
        </w:rPr>
        <w:t>C</w:t>
      </w:r>
      <w:r w:rsidR="00417818" w:rsidRPr="00EA4419">
        <w:rPr>
          <w:i/>
          <w:iCs/>
        </w:rPr>
        <w:t>ampylobacter</w:t>
      </w:r>
      <w:r w:rsidR="00417818">
        <w:t xml:space="preserve"> </w:t>
      </w:r>
      <w:r w:rsidR="00974247">
        <w:t xml:space="preserve">and EPEC but not </w:t>
      </w:r>
      <w:r w:rsidR="00974247" w:rsidRPr="00AA4D4A">
        <w:rPr>
          <w:i/>
          <w:iCs/>
        </w:rPr>
        <w:t>C.</w:t>
      </w:r>
      <w:r w:rsidR="00171839">
        <w:rPr>
          <w:i/>
          <w:iCs/>
        </w:rPr>
        <w:t xml:space="preserve"> </w:t>
      </w:r>
      <w:r w:rsidR="00974247" w:rsidRPr="00171839">
        <w:rPr>
          <w:i/>
          <w:iCs/>
        </w:rPr>
        <w:t>difficile</w:t>
      </w:r>
      <w:r w:rsidR="00974247">
        <w:t xml:space="preserve">. Not all patients with </w:t>
      </w:r>
      <w:r w:rsidR="00171839">
        <w:rPr>
          <w:i/>
          <w:iCs/>
        </w:rPr>
        <w:t>C</w:t>
      </w:r>
      <w:r w:rsidR="00974247" w:rsidRPr="001D49C1">
        <w:rPr>
          <w:i/>
          <w:iCs/>
        </w:rPr>
        <w:t xml:space="preserve">ampylobacter </w:t>
      </w:r>
      <w:r w:rsidR="00974247">
        <w:t>require antibiotics and so the impact of this increase in treatment is difficult to a</w:t>
      </w:r>
      <w:r w:rsidR="00171839">
        <w:t>s</w:t>
      </w:r>
      <w:r w:rsidR="00974247">
        <w:t>ce</w:t>
      </w:r>
      <w:r w:rsidR="00171839">
        <w:t>r</w:t>
      </w:r>
      <w:r w:rsidR="00974247">
        <w:t xml:space="preserve">tain. Similarly, most of the patients with </w:t>
      </w:r>
      <w:r w:rsidR="00974247" w:rsidRPr="00145AA1">
        <w:t>EPEC</w:t>
      </w:r>
      <w:r w:rsidR="00974247">
        <w:t xml:space="preserve"> who were treated with antibiotics were co-infected with another pathogen (most frequently </w:t>
      </w:r>
      <w:r w:rsidR="00171839">
        <w:rPr>
          <w:i/>
          <w:iCs/>
        </w:rPr>
        <w:t>C</w:t>
      </w:r>
      <w:r w:rsidR="00974247" w:rsidRPr="001D49C1">
        <w:rPr>
          <w:i/>
          <w:iCs/>
        </w:rPr>
        <w:t>ampylobacter</w:t>
      </w:r>
      <w:r w:rsidR="00974247">
        <w:t>) and so the likely impact of this is unclear.</w:t>
      </w:r>
    </w:p>
    <w:p w14:paraId="4B6D2CC6" w14:textId="303A4061" w:rsidR="00974247" w:rsidRDefault="00974247" w:rsidP="0032744A">
      <w:r>
        <w:lastRenderedPageBreak/>
        <w:t>I</w:t>
      </w:r>
      <w:r w:rsidR="00B75AA9">
        <w:t xml:space="preserve">nappropriate antibiotic use was </w:t>
      </w:r>
      <w:r>
        <w:t xml:space="preserve">very </w:t>
      </w:r>
      <w:r w:rsidR="00B75AA9">
        <w:t>common</w:t>
      </w:r>
      <w:r>
        <w:t xml:space="preserve"> in both groups with broad spectrum antibiotics commonly being given empirically</w:t>
      </w:r>
      <w:r w:rsidR="001B05AB">
        <w:t xml:space="preserve">, </w:t>
      </w:r>
      <w:r>
        <w:t xml:space="preserve">likely representing diagnostic uncertainty </w:t>
      </w:r>
      <w:r w:rsidR="00D30B7D">
        <w:t xml:space="preserve">at the point of admission and </w:t>
      </w:r>
      <w:r>
        <w:t>before results were available. T</w:t>
      </w:r>
      <w:r w:rsidR="00BF7FEF">
        <w:t>he duration of inappropriate antibiotics was reduced by almost four days</w:t>
      </w:r>
      <w:r w:rsidR="00B75AA9">
        <w:t xml:space="preserve"> in the mPOCT group</w:t>
      </w:r>
      <w:r w:rsidR="00BB074F">
        <w:t xml:space="preserve"> demonstrating that clinicians acted on mPOCT results by switching to appropriate agents based on pathogen detected or by stopping antibiotic</w:t>
      </w:r>
      <w:r w:rsidR="00F163CE">
        <w:t>s</w:t>
      </w:r>
      <w:r w:rsidR="00BB074F">
        <w:t>, representing a powerful antibiotic stewardship intervention.</w:t>
      </w:r>
      <w:r>
        <w:t xml:space="preserve"> </w:t>
      </w:r>
      <w:r w:rsidR="0098792B">
        <w:t xml:space="preserve"> Use of mPOCT</w:t>
      </w:r>
      <w:r w:rsidR="00D30B7D">
        <w:t xml:space="preserve"> even</w:t>
      </w:r>
      <w:r w:rsidR="00F163CE">
        <w:t xml:space="preserve"> </w:t>
      </w:r>
      <w:r w:rsidR="0098792B">
        <w:t xml:space="preserve">earlier in the patient </w:t>
      </w:r>
      <w:r w:rsidR="00040147">
        <w:t>pathway</w:t>
      </w:r>
      <w:r w:rsidR="0098792B">
        <w:t xml:space="preserve"> may overcome this </w:t>
      </w:r>
      <w:r>
        <w:t xml:space="preserve">issue </w:t>
      </w:r>
      <w:r w:rsidR="0098792B">
        <w:t xml:space="preserve">and </w:t>
      </w:r>
      <w:r>
        <w:t xml:space="preserve">could </w:t>
      </w:r>
      <w:r w:rsidR="0098792B">
        <w:t>le</w:t>
      </w:r>
      <w:r w:rsidR="0031793E">
        <w:t xml:space="preserve">ad to </w:t>
      </w:r>
      <w:r w:rsidR="00A323F0">
        <w:t xml:space="preserve">even </w:t>
      </w:r>
      <w:r w:rsidR="0031793E">
        <w:t>greater clinical benefits</w:t>
      </w:r>
      <w:r w:rsidR="0095490D">
        <w:t xml:space="preserve"> and true pathogen-directed therapy</w:t>
      </w:r>
      <w:r>
        <w:t xml:space="preserve">. </w:t>
      </w:r>
    </w:p>
    <w:p w14:paraId="6E615435" w14:textId="438B2CF6" w:rsidR="00F862D5" w:rsidRDefault="00A323F0" w:rsidP="0032744A">
      <w:r>
        <w:t xml:space="preserve">A single small previous study has demonstrated that </w:t>
      </w:r>
      <w:r w:rsidR="00D2684C">
        <w:t xml:space="preserve">using mPOCT in the emergency department </w:t>
      </w:r>
      <w:r>
        <w:t xml:space="preserve">was associated with </w:t>
      </w:r>
      <w:r w:rsidR="00D2684C">
        <w:t>improvements in pathogen-directed antibiotic use</w:t>
      </w:r>
      <w:r>
        <w:t xml:space="preserve"> but did not evaluate impact on infection control measures</w:t>
      </w:r>
      <w:r w:rsidR="00D2684C">
        <w:t>.</w:t>
      </w:r>
      <w:r w:rsidR="00640D74">
        <w:rPr>
          <w:rStyle w:val="EndnoteReference"/>
        </w:rPr>
        <w:t>2</w:t>
      </w:r>
      <w:r w:rsidR="00F5782E">
        <w:rPr>
          <w:rStyle w:val="EndnoteReference"/>
        </w:rPr>
        <w:t>3</w:t>
      </w:r>
      <w:r w:rsidR="00D2684C">
        <w:t xml:space="preserve"> </w:t>
      </w:r>
      <w:r w:rsidR="002709DA">
        <w:t>The only randomised controlled trial of laboratory-based molecular</w:t>
      </w:r>
      <w:r w:rsidR="006A2FFF">
        <w:t xml:space="preserve"> </w:t>
      </w:r>
      <w:r w:rsidR="002709DA">
        <w:t xml:space="preserve">testing in hospitalised adults enrolled around half the number of patients </w:t>
      </w:r>
      <w:r w:rsidR="00BB074F">
        <w:t xml:space="preserve">in our study </w:t>
      </w:r>
      <w:r w:rsidR="002709DA">
        <w:t>and found no difference in isolation facility use or other clinical outcomes</w:t>
      </w:r>
      <w:r w:rsidR="00D30B7D">
        <w:t xml:space="preserve"> which is unsurprising  given the delays in obtaining laboratory results compared to mPOCT</w:t>
      </w:r>
      <w:r w:rsidR="002709DA">
        <w:t>.</w:t>
      </w:r>
      <w:r w:rsidR="002709DA" w:rsidRPr="002709DA">
        <w:rPr>
          <w:vertAlign w:val="superscript"/>
        </w:rPr>
        <w:t>2</w:t>
      </w:r>
      <w:r w:rsidR="00F5782E">
        <w:rPr>
          <w:vertAlign w:val="superscript"/>
        </w:rPr>
        <w:t>4</w:t>
      </w:r>
      <w:r w:rsidR="002709DA">
        <w:t xml:space="preserve"> </w:t>
      </w:r>
      <w:r w:rsidR="00145FC9">
        <w:t>In</w:t>
      </w:r>
      <w:r w:rsidR="006519A4">
        <w:t xml:space="preserve"> </w:t>
      </w:r>
      <w:r w:rsidR="00417818">
        <w:t>addition</w:t>
      </w:r>
      <w:r w:rsidR="006519A4">
        <w:t>,</w:t>
      </w:r>
      <w:r w:rsidR="00145FC9">
        <w:t xml:space="preserve"> </w:t>
      </w:r>
      <w:r w:rsidR="00D30B7D">
        <w:t xml:space="preserve">in </w:t>
      </w:r>
      <w:r w:rsidR="00E611AB">
        <w:t xml:space="preserve">a </w:t>
      </w:r>
      <w:r w:rsidR="00145FC9">
        <w:t xml:space="preserve">randomised controlled trial in children in Botswana, a test-and-treat strategy with rapid molecular laboratory testing was not associated with improved outcomes, </w:t>
      </w:r>
      <w:r w:rsidR="00D30B7D">
        <w:t xml:space="preserve">although this </w:t>
      </w:r>
      <w:r w:rsidR="00145FC9">
        <w:t>study was</w:t>
      </w:r>
      <w:r w:rsidR="00D30B7D">
        <w:t xml:space="preserve"> significant</w:t>
      </w:r>
      <w:r w:rsidR="00824BDA">
        <w:t>ly</w:t>
      </w:r>
      <w:r w:rsidR="00D30B7D">
        <w:t xml:space="preserve"> </w:t>
      </w:r>
      <w:r w:rsidR="00145FC9">
        <w:t>underpowered.</w:t>
      </w:r>
      <w:r w:rsidR="00145FC9" w:rsidRPr="00145FC9">
        <w:rPr>
          <w:vertAlign w:val="superscript"/>
        </w:rPr>
        <w:t>2</w:t>
      </w:r>
      <w:r w:rsidR="00F5782E">
        <w:rPr>
          <w:vertAlign w:val="superscript"/>
        </w:rPr>
        <w:t>5</w:t>
      </w:r>
      <w:r w:rsidR="00145FC9">
        <w:t xml:space="preserve"> </w:t>
      </w:r>
      <w:bookmarkStart w:id="16" w:name="_Hlk121232412"/>
      <w:bookmarkStart w:id="17" w:name="_Hlk120882493"/>
      <w:r w:rsidR="00D74871">
        <w:t xml:space="preserve">That there was no difference in the length of hospital stay </w:t>
      </w:r>
      <w:r w:rsidR="004D2075">
        <w:t xml:space="preserve">or </w:t>
      </w:r>
      <w:r w:rsidR="0063788A">
        <w:t>o</w:t>
      </w:r>
      <w:r w:rsidR="004D2075">
        <w:t xml:space="preserve">ther clinical outcome measures </w:t>
      </w:r>
      <w:r w:rsidR="00D74871">
        <w:t xml:space="preserve">between groups in our study </w:t>
      </w:r>
      <w:r w:rsidR="004D2075">
        <w:t xml:space="preserve">may </w:t>
      </w:r>
      <w:r w:rsidR="00D74871">
        <w:t xml:space="preserve">suggests that </w:t>
      </w:r>
      <w:r w:rsidR="0063788A">
        <w:t xml:space="preserve">other </w:t>
      </w:r>
      <w:r w:rsidR="006519A4">
        <w:t>factors, such as age an</w:t>
      </w:r>
      <w:r w:rsidR="00F5782E">
        <w:t>d</w:t>
      </w:r>
      <w:r w:rsidR="006519A4">
        <w:t xml:space="preserve"> comorbidity, are more important determinant</w:t>
      </w:r>
      <w:r w:rsidR="00F5782E">
        <w:t>s</w:t>
      </w:r>
      <w:r w:rsidR="006519A4">
        <w:t>,</w:t>
      </w:r>
      <w:r w:rsidR="0063788A">
        <w:t xml:space="preserve"> </w:t>
      </w:r>
      <w:r w:rsidR="004D2075">
        <w:t>although</w:t>
      </w:r>
      <w:r w:rsidR="006519A4">
        <w:t xml:space="preserve"> it is important to note that</w:t>
      </w:r>
      <w:r w:rsidR="004D2075">
        <w:t xml:space="preserve"> our study was not powered specifically to evaluate th</w:t>
      </w:r>
      <w:r w:rsidR="00D30B7D">
        <w:t>ese</w:t>
      </w:r>
      <w:r w:rsidR="004D2075">
        <w:t xml:space="preserve"> endpoint</w:t>
      </w:r>
      <w:bookmarkEnd w:id="16"/>
      <w:r w:rsidR="00FC0D3D">
        <w:t>s</w:t>
      </w:r>
      <w:r w:rsidR="004D2075">
        <w:t>.</w:t>
      </w:r>
      <w:bookmarkEnd w:id="17"/>
      <w:r w:rsidR="00171839">
        <w:t xml:space="preserve"> </w:t>
      </w:r>
      <w:r>
        <w:t>In our study a</w:t>
      </w:r>
      <w:r w:rsidR="00D332C5">
        <w:t>bout a quarter of participants were p</w:t>
      </w:r>
      <w:r w:rsidR="0031793E">
        <w:t xml:space="preserve">atients with </w:t>
      </w:r>
      <w:r w:rsidR="0095490D">
        <w:t xml:space="preserve">known </w:t>
      </w:r>
      <w:r w:rsidR="0031793E">
        <w:t>inflammatory bowel disease</w:t>
      </w:r>
      <w:r w:rsidR="006A37E2">
        <w:t xml:space="preserve"> (IBD)</w:t>
      </w:r>
      <w:r w:rsidR="0031793E">
        <w:t xml:space="preserve"> and </w:t>
      </w:r>
      <w:r w:rsidR="00D820BD">
        <w:t xml:space="preserve">studies </w:t>
      </w:r>
      <w:r w:rsidR="0031793E">
        <w:t>of mPOCT</w:t>
      </w:r>
      <w:r w:rsidR="00D820BD">
        <w:t xml:space="preserve"> use</w:t>
      </w:r>
      <w:r w:rsidR="0031793E">
        <w:t xml:space="preserve"> in </w:t>
      </w:r>
      <w:r w:rsidR="00D332C5">
        <w:t>IBD</w:t>
      </w:r>
      <w:r w:rsidR="006A37E2">
        <w:t xml:space="preserve"> </w:t>
      </w:r>
      <w:r w:rsidR="0031793E">
        <w:t xml:space="preserve">rapid access clinics </w:t>
      </w:r>
      <w:r w:rsidR="0031793E">
        <w:lastRenderedPageBreak/>
        <w:t xml:space="preserve">with outcome measures including </w:t>
      </w:r>
      <w:r w:rsidR="006A37E2">
        <w:t xml:space="preserve">admission avoidance, </w:t>
      </w:r>
      <w:r w:rsidR="0031793E">
        <w:t>a</w:t>
      </w:r>
      <w:r w:rsidR="00D820BD">
        <w:t>ntibiotic and steroid use are warranted.</w:t>
      </w:r>
    </w:p>
    <w:p w14:paraId="1DD8B5B9" w14:textId="54635DC6" w:rsidR="000770B9" w:rsidRDefault="00795F02" w:rsidP="0032744A">
      <w:r>
        <w:t xml:space="preserve">The concordance of </w:t>
      </w:r>
      <w:r w:rsidR="00A323F0">
        <w:t xml:space="preserve">pathogen detection </w:t>
      </w:r>
      <w:r w:rsidR="0095490D">
        <w:t xml:space="preserve">in </w:t>
      </w:r>
      <w:r>
        <w:t>r</w:t>
      </w:r>
      <w:r w:rsidR="000770B9">
        <w:t>ectal swabs</w:t>
      </w:r>
      <w:r w:rsidR="00A323F0">
        <w:t xml:space="preserve"> and</w:t>
      </w:r>
      <w:r>
        <w:t xml:space="preserve"> stool samples tested on the FilmArray platform was </w:t>
      </w:r>
      <w:r w:rsidR="00A323F0">
        <w:t xml:space="preserve">high </w:t>
      </w:r>
      <w:r>
        <w:t>and comparable with previously reported studies</w:t>
      </w:r>
      <w:r w:rsidR="00640D74">
        <w:t>.</w:t>
      </w:r>
      <w:r w:rsidR="00640D74" w:rsidRPr="00640D74">
        <w:rPr>
          <w:vertAlign w:val="superscript"/>
        </w:rPr>
        <w:t>10–12</w:t>
      </w:r>
      <w:r w:rsidR="00C36F1E">
        <w:t xml:space="preserve"> </w:t>
      </w:r>
      <w:r w:rsidR="00A323F0">
        <w:t xml:space="preserve">In particular, </w:t>
      </w:r>
      <w:r w:rsidR="00D41E32">
        <w:t>t</w:t>
      </w:r>
      <w:r>
        <w:t xml:space="preserve">he negative predictive value </w:t>
      </w:r>
      <w:r w:rsidR="00D41E32">
        <w:t xml:space="preserve">of </w:t>
      </w:r>
      <w:r>
        <w:t>rectal swab</w:t>
      </w:r>
      <w:r w:rsidR="00245F08">
        <w:t>s was high in this study</w:t>
      </w:r>
      <w:r w:rsidR="008B74AF">
        <w:t xml:space="preserve"> </w:t>
      </w:r>
      <w:r w:rsidR="00245F08">
        <w:t>suggest</w:t>
      </w:r>
      <w:r w:rsidR="00A323F0">
        <w:t xml:space="preserve">ing </w:t>
      </w:r>
      <w:r w:rsidR="00245F08">
        <w:t>that</w:t>
      </w:r>
      <w:r>
        <w:t xml:space="preserve"> routine rectal swab use in clinical practice </w:t>
      </w:r>
      <w:r w:rsidR="00A323F0">
        <w:t xml:space="preserve">is </w:t>
      </w:r>
      <w:r w:rsidR="006519A4">
        <w:t xml:space="preserve">reasonable </w:t>
      </w:r>
      <w:r w:rsidR="00A323F0">
        <w:t xml:space="preserve">and can </w:t>
      </w:r>
      <w:r w:rsidR="00B75AA9">
        <w:t xml:space="preserve">safely </w:t>
      </w:r>
      <w:r w:rsidR="00A323F0">
        <w:t>facilitate rapid diagnosis</w:t>
      </w:r>
      <w:bookmarkStart w:id="18" w:name="_Hlk121496334"/>
      <w:r w:rsidR="00FC0D3D">
        <w:t>,</w:t>
      </w:r>
      <w:r w:rsidR="006519A4">
        <w:t xml:space="preserve"> </w:t>
      </w:r>
      <w:bookmarkStart w:id="19" w:name="_Hlk120807624"/>
      <w:r w:rsidR="00841D74">
        <w:t xml:space="preserve">as its use is likely </w:t>
      </w:r>
      <w:r w:rsidR="004861ED">
        <w:t>to negate the significant delay</w:t>
      </w:r>
      <w:r w:rsidR="006519A4">
        <w:t>s associated with</w:t>
      </w:r>
      <w:r w:rsidR="004861ED">
        <w:t xml:space="preserve"> obtaining a stool sample.</w:t>
      </w:r>
      <w:bookmarkEnd w:id="18"/>
      <w:bookmarkEnd w:id="19"/>
    </w:p>
    <w:p w14:paraId="65F7EE60" w14:textId="2F61627D" w:rsidR="00AD7345" w:rsidRDefault="005716F8" w:rsidP="005C1BF2">
      <w:r>
        <w:t>Patient</w:t>
      </w:r>
      <w:r w:rsidR="00710043">
        <w:t>s</w:t>
      </w:r>
      <w:r>
        <w:t xml:space="preserve"> in the</w:t>
      </w:r>
      <w:r w:rsidR="007540FA">
        <w:t xml:space="preserve"> m</w:t>
      </w:r>
      <w:r w:rsidR="001573E1">
        <w:t xml:space="preserve">POCT </w:t>
      </w:r>
      <w:r w:rsidR="00F46368">
        <w:t>group had</w:t>
      </w:r>
      <w:r w:rsidR="007540FA">
        <w:t xml:space="preserve"> more pathogens</w:t>
      </w:r>
      <w:r w:rsidR="00F46368">
        <w:t xml:space="preserve"> detected</w:t>
      </w:r>
      <w:r w:rsidR="007540FA">
        <w:t xml:space="preserve"> than </w:t>
      </w:r>
      <w:r w:rsidR="00580D13">
        <w:t xml:space="preserve">those in </w:t>
      </w:r>
      <w:r w:rsidR="007540FA">
        <w:t xml:space="preserve">the control group. </w:t>
      </w:r>
      <w:r w:rsidR="00AD7345">
        <w:t>The reasons for this are multifactorial. Firstly, all patient</w:t>
      </w:r>
      <w:r w:rsidR="00AA570B">
        <w:t>s</w:t>
      </w:r>
      <w:r w:rsidR="00AD7345">
        <w:t xml:space="preserve"> in the mPOCT group were tested for </w:t>
      </w:r>
      <w:r w:rsidR="00174320">
        <w:t>gastrointestinal</w:t>
      </w:r>
      <w:r w:rsidR="00AD7345">
        <w:t xml:space="preserve"> pathogens whereas only </w:t>
      </w:r>
      <w:r w:rsidR="00AA570B">
        <w:t>84%</w:t>
      </w:r>
      <w:r w:rsidR="003E1EF5">
        <w:t xml:space="preserve"> </w:t>
      </w:r>
      <w:r w:rsidR="00AD7345">
        <w:t xml:space="preserve">were tested in the control group as stool samples were not always sent for laboratory testing. This is likely to be due to the inability of some patient to produce stool samples when requested and the inability to use rectal swabs </w:t>
      </w:r>
      <w:r w:rsidR="00B75AA9">
        <w:t xml:space="preserve">to overcome this </w:t>
      </w:r>
      <w:r w:rsidR="00AD7345">
        <w:t>as part of routine diagnostic testing</w:t>
      </w:r>
      <w:r w:rsidR="005171F4">
        <w:t xml:space="preserve">. </w:t>
      </w:r>
      <w:r w:rsidR="00AD7345">
        <w:t>Secondly</w:t>
      </w:r>
      <w:r w:rsidR="00330A7B">
        <w:t>,</w:t>
      </w:r>
      <w:r w:rsidR="00AD7345">
        <w:t xml:space="preserve"> it is due to the</w:t>
      </w:r>
      <w:r w:rsidR="007540FA">
        <w:t xml:space="preserve"> wide</w:t>
      </w:r>
      <w:r w:rsidR="00AD7345">
        <w:t>r</w:t>
      </w:r>
      <w:r w:rsidR="007540FA">
        <w:t xml:space="preserve"> range of pathogens detectable on the </w:t>
      </w:r>
      <w:r w:rsidR="00AD7345">
        <w:t xml:space="preserve">syndromic </w:t>
      </w:r>
      <w:r w:rsidR="004D67DA">
        <w:t xml:space="preserve">molecular </w:t>
      </w:r>
      <w:r w:rsidR="007540FA">
        <w:t>panel</w:t>
      </w:r>
      <w:r w:rsidR="00AD7345">
        <w:t xml:space="preserve"> compared to laboratory testing</w:t>
      </w:r>
      <w:r w:rsidR="007540FA">
        <w:t xml:space="preserve">, including pathogens that the </w:t>
      </w:r>
      <w:r w:rsidR="004D67DA">
        <w:t xml:space="preserve">in-house </w:t>
      </w:r>
      <w:r w:rsidR="007540FA">
        <w:t xml:space="preserve">laboratory </w:t>
      </w:r>
      <w:r w:rsidR="004D67DA">
        <w:t>meth</w:t>
      </w:r>
      <w:r w:rsidR="007540FA">
        <w:t>ods did not test for</w:t>
      </w:r>
      <w:r w:rsidR="00AD7345">
        <w:t xml:space="preserve"> (for example </w:t>
      </w:r>
      <w:r w:rsidRPr="00145AA1">
        <w:t>EPEC</w:t>
      </w:r>
      <w:r w:rsidR="00AD7345">
        <w:t xml:space="preserve">). Thirdly, it </w:t>
      </w:r>
      <w:r w:rsidR="005171F4">
        <w:t>was</w:t>
      </w:r>
      <w:r w:rsidR="00AD7345">
        <w:t xml:space="preserve"> due to patient</w:t>
      </w:r>
      <w:r w:rsidR="005171F4">
        <w:t>s</w:t>
      </w:r>
      <w:r w:rsidR="00AD7345">
        <w:t xml:space="preserve"> in the mPOCT group always being tested for all pathogens</w:t>
      </w:r>
      <w:r w:rsidR="006519A4">
        <w:t xml:space="preserve"> (i.e</w:t>
      </w:r>
      <w:r w:rsidR="00145AA1">
        <w:t>.</w:t>
      </w:r>
      <w:r w:rsidR="006519A4">
        <w:t xml:space="preserve"> the ‘syndromic approach’) </w:t>
      </w:r>
      <w:r w:rsidR="00AD7345">
        <w:t>whereas patients in the control group we</w:t>
      </w:r>
      <w:r w:rsidR="00580D13">
        <w:t>re</w:t>
      </w:r>
      <w:r w:rsidR="00AD7345">
        <w:t xml:space="preserve"> often tested for only </w:t>
      </w:r>
      <w:r w:rsidR="005171F4">
        <w:t>one type of pathogen (</w:t>
      </w:r>
      <w:r w:rsidR="000D3574">
        <w:t>i.e.</w:t>
      </w:r>
      <w:r w:rsidR="00F520C5">
        <w:t xml:space="preserve"> </w:t>
      </w:r>
      <w:r w:rsidR="005171F4">
        <w:t xml:space="preserve">bacterial, viral, </w:t>
      </w:r>
      <w:r w:rsidR="00F520C5">
        <w:t xml:space="preserve">or </w:t>
      </w:r>
      <w:r w:rsidR="005171F4" w:rsidRPr="0032744A">
        <w:rPr>
          <w:i/>
          <w:iCs/>
        </w:rPr>
        <w:t>C</w:t>
      </w:r>
      <w:r w:rsidR="00BD2495">
        <w:rPr>
          <w:i/>
          <w:iCs/>
        </w:rPr>
        <w:t>.</w:t>
      </w:r>
      <w:r w:rsidR="00145AA1">
        <w:rPr>
          <w:i/>
          <w:iCs/>
        </w:rPr>
        <w:t xml:space="preserve"> </w:t>
      </w:r>
      <w:r w:rsidR="005171F4" w:rsidRPr="0032744A">
        <w:rPr>
          <w:i/>
          <w:iCs/>
        </w:rPr>
        <w:t>difficile</w:t>
      </w:r>
      <w:r w:rsidR="005171F4">
        <w:t>) depending on the clinical details provided to the laboratory. The retrospective testing of patient</w:t>
      </w:r>
      <w:r w:rsidR="006519A4">
        <w:t>s</w:t>
      </w:r>
      <w:r w:rsidR="005171F4">
        <w:t xml:space="preserve"> in the control group using the </w:t>
      </w:r>
      <w:r>
        <w:t>FilmArray Gastrointestinal P</w:t>
      </w:r>
      <w:r w:rsidR="005171F4">
        <w:t>anel allowed an objective assessment of pathogens</w:t>
      </w:r>
      <w:r w:rsidR="00F520C5">
        <w:t xml:space="preserve"> not detected</w:t>
      </w:r>
      <w:r w:rsidR="005171F4">
        <w:t xml:space="preserve"> by the processes </w:t>
      </w:r>
      <w:r w:rsidR="00580D13">
        <w:t xml:space="preserve">of </w:t>
      </w:r>
      <w:r w:rsidR="005171F4">
        <w:t xml:space="preserve">routine clinical care and demonstrated frequent missed </w:t>
      </w:r>
      <w:r w:rsidR="00451018">
        <w:t>detections</w:t>
      </w:r>
      <w:r>
        <w:t xml:space="preserve"> of pathogens including n</w:t>
      </w:r>
      <w:r w:rsidR="005171F4">
        <w:t>orovirus</w:t>
      </w:r>
      <w:r w:rsidR="00235B13">
        <w:t xml:space="preserve">, </w:t>
      </w:r>
      <w:r w:rsidR="00BD2495" w:rsidRPr="00BD2495">
        <w:rPr>
          <w:i/>
          <w:iCs/>
        </w:rPr>
        <w:t>C</w:t>
      </w:r>
      <w:r w:rsidR="00235B13" w:rsidRPr="00BD2495">
        <w:rPr>
          <w:i/>
          <w:iCs/>
        </w:rPr>
        <w:t>ampylobacter</w:t>
      </w:r>
      <w:r w:rsidR="00235B13">
        <w:t>,</w:t>
      </w:r>
      <w:r w:rsidR="005171F4">
        <w:t xml:space="preserve"> and </w:t>
      </w:r>
      <w:r w:rsidR="005171F4" w:rsidRPr="0032744A">
        <w:rPr>
          <w:i/>
          <w:iCs/>
        </w:rPr>
        <w:t>C</w:t>
      </w:r>
      <w:r w:rsidR="00BD2495">
        <w:rPr>
          <w:i/>
          <w:iCs/>
        </w:rPr>
        <w:t>.</w:t>
      </w:r>
      <w:r w:rsidR="00841D74" w:rsidRPr="00BB074F">
        <w:rPr>
          <w:i/>
        </w:rPr>
        <w:t xml:space="preserve"> </w:t>
      </w:r>
      <w:r w:rsidR="005171F4" w:rsidRPr="0032744A">
        <w:rPr>
          <w:i/>
          <w:iCs/>
        </w:rPr>
        <w:t>difficile.</w:t>
      </w:r>
      <w:r w:rsidR="005171F4">
        <w:t xml:space="preserve"> </w:t>
      </w:r>
      <w:r w:rsidR="0095490D">
        <w:t xml:space="preserve">Finally, the </w:t>
      </w:r>
      <w:r w:rsidR="0095490D">
        <w:lastRenderedPageBreak/>
        <w:t xml:space="preserve">increased detection of pathogens in the mPOCT group </w:t>
      </w:r>
      <w:r w:rsidR="003D2052">
        <w:t xml:space="preserve">may </w:t>
      </w:r>
      <w:r w:rsidR="00F520C5">
        <w:t xml:space="preserve">also </w:t>
      </w:r>
      <w:r w:rsidR="003D2052">
        <w:t xml:space="preserve">reflect the greater sensitivity of molecular methods compared with </w:t>
      </w:r>
      <w:r w:rsidR="0095490D">
        <w:t xml:space="preserve">the </w:t>
      </w:r>
      <w:r w:rsidR="003D2052">
        <w:t>culture or antigen-</w:t>
      </w:r>
      <w:r w:rsidR="0095490D">
        <w:t xml:space="preserve">based testing that </w:t>
      </w:r>
      <w:r w:rsidR="00F520C5">
        <w:t xml:space="preserve">were </w:t>
      </w:r>
      <w:r w:rsidR="0095490D">
        <w:t xml:space="preserve">sometimes </w:t>
      </w:r>
      <w:r w:rsidR="00F520C5">
        <w:t xml:space="preserve">used </w:t>
      </w:r>
      <w:r w:rsidR="0095490D">
        <w:t>in the control group</w:t>
      </w:r>
      <w:r w:rsidR="003D2052">
        <w:t>.</w:t>
      </w:r>
    </w:p>
    <w:p w14:paraId="22AC313B" w14:textId="3E961B9A" w:rsidR="00BB074F" w:rsidRDefault="006519A4" w:rsidP="005C1BF2">
      <w:r>
        <w:t>Whilst the increased detection of pathogens may improve diagnosis</w:t>
      </w:r>
      <w:r w:rsidR="00417818">
        <w:t xml:space="preserve"> and management of patient with gastroenteritis</w:t>
      </w:r>
      <w:r>
        <w:t>, t</w:t>
      </w:r>
      <w:r w:rsidR="00F87743">
        <w:t>he higher sensitivity of molecular testing</w:t>
      </w:r>
      <w:r w:rsidR="001C149A">
        <w:t xml:space="preserve"> compared to traditional laboratory methods</w:t>
      </w:r>
      <w:r w:rsidR="00F87743">
        <w:t xml:space="preserve"> may </w:t>
      </w:r>
      <w:r>
        <w:t xml:space="preserve">also </w:t>
      </w:r>
      <w:r w:rsidR="00F87743">
        <w:t>result in detection of low levels of genetic material found in stool from past infection or asymptomatic carriage</w:t>
      </w:r>
      <w:r w:rsidR="001C149A">
        <w:t xml:space="preserve">. This may </w:t>
      </w:r>
      <w:r w:rsidR="00F87743">
        <w:t>lead to over-diagnosis</w:t>
      </w:r>
      <w:r w:rsidR="00AA4D4A">
        <w:t xml:space="preserve"> </w:t>
      </w:r>
      <w:r w:rsidR="001C149A">
        <w:t>of some pathogens,</w:t>
      </w:r>
      <w:r w:rsidR="00F87743">
        <w:t xml:space="preserve"> </w:t>
      </w:r>
      <w:r w:rsidR="001C149A">
        <w:t xml:space="preserve">particularly </w:t>
      </w:r>
      <w:r>
        <w:t xml:space="preserve">in </w:t>
      </w:r>
      <w:r w:rsidR="00F87743">
        <w:rPr>
          <w:i/>
          <w:iCs/>
        </w:rPr>
        <w:t>C</w:t>
      </w:r>
      <w:r w:rsidR="00145AA1">
        <w:rPr>
          <w:i/>
          <w:iCs/>
        </w:rPr>
        <w:t>.</w:t>
      </w:r>
      <w:r w:rsidR="00065A0E">
        <w:rPr>
          <w:i/>
          <w:iCs/>
        </w:rPr>
        <w:t xml:space="preserve"> </w:t>
      </w:r>
      <w:r w:rsidR="00F87743">
        <w:rPr>
          <w:i/>
          <w:iCs/>
        </w:rPr>
        <w:t>difficile</w:t>
      </w:r>
      <w:r w:rsidR="00417818">
        <w:rPr>
          <w:i/>
          <w:iCs/>
        </w:rPr>
        <w:t xml:space="preserve"> </w:t>
      </w:r>
      <w:r w:rsidR="00417818" w:rsidRPr="002A1C46">
        <w:t>where detection by PCR alone often represent</w:t>
      </w:r>
      <w:r w:rsidR="001B05AB" w:rsidRPr="002A1C46">
        <w:t>s</w:t>
      </w:r>
      <w:r w:rsidR="00417818" w:rsidRPr="002A1C46">
        <w:t xml:space="preserve"> carriage</w:t>
      </w:r>
      <w:r w:rsidR="00F87743">
        <w:t>.</w:t>
      </w:r>
      <w:r w:rsidR="001C149A">
        <w:t xml:space="preserve"> </w:t>
      </w:r>
      <w:r w:rsidR="00F87743">
        <w:t>Similarly, some targets on molecular panels</w:t>
      </w:r>
      <w:r w:rsidR="00A7584D">
        <w:t xml:space="preserve"> such as </w:t>
      </w:r>
      <w:r w:rsidR="00A7584D" w:rsidRPr="00145AA1">
        <w:t>EPEC</w:t>
      </w:r>
      <w:r w:rsidR="00A7584D">
        <w:t xml:space="preserve"> </w:t>
      </w:r>
      <w:r>
        <w:t xml:space="preserve">and </w:t>
      </w:r>
      <w:r w:rsidRPr="00145AA1">
        <w:t>EAEC</w:t>
      </w:r>
      <w:r w:rsidRPr="00BD2495">
        <w:rPr>
          <w:i/>
          <w:iCs/>
        </w:rPr>
        <w:t xml:space="preserve"> </w:t>
      </w:r>
      <w:r w:rsidR="001C149A">
        <w:t xml:space="preserve">are not </w:t>
      </w:r>
      <w:r w:rsidR="00A7584D">
        <w:t>always</w:t>
      </w:r>
      <w:r w:rsidR="00065A0E">
        <w:t xml:space="preserve"> </w:t>
      </w:r>
      <w:proofErr w:type="gramStart"/>
      <w:r w:rsidR="001C149A">
        <w:t>pathogenic</w:t>
      </w:r>
      <w:proofErr w:type="gramEnd"/>
      <w:r w:rsidR="001C149A">
        <w:t xml:space="preserve"> and</w:t>
      </w:r>
      <w:r w:rsidR="00065A0E">
        <w:t xml:space="preserve"> </w:t>
      </w:r>
      <w:r w:rsidR="001C149A">
        <w:t>their detection may be unrelated to patients’</w:t>
      </w:r>
      <w:r w:rsidR="00065A0E">
        <w:t xml:space="preserve"> </w:t>
      </w:r>
      <w:r w:rsidR="001B05AB">
        <w:t>illness</w:t>
      </w:r>
      <w:r w:rsidR="002A1C46">
        <w:t>es</w:t>
      </w:r>
      <w:r w:rsidR="001C149A">
        <w:t xml:space="preserve">. </w:t>
      </w:r>
      <w:proofErr w:type="gramStart"/>
      <w:r w:rsidR="00F87743">
        <w:t>Both</w:t>
      </w:r>
      <w:r w:rsidR="00A7584D">
        <w:t xml:space="preserve"> of these</w:t>
      </w:r>
      <w:proofErr w:type="gramEnd"/>
      <w:r w:rsidR="00F87743">
        <w:t xml:space="preserve"> situations have the potential to result in unnecessary antibiotic treatment</w:t>
      </w:r>
      <w:r>
        <w:t xml:space="preserve"> and</w:t>
      </w:r>
      <w:r w:rsidR="00065A0E">
        <w:t>,</w:t>
      </w:r>
      <w:r>
        <w:t xml:space="preserve"> as dis</w:t>
      </w:r>
      <w:r w:rsidR="00417818">
        <w:t xml:space="preserve">cussed above, highlight the importance of integrating robust diagnostic and antibiotic stewardship when introducing new molecular test such as </w:t>
      </w:r>
      <w:r w:rsidR="00065A0E">
        <w:t xml:space="preserve">gastrointestinal </w:t>
      </w:r>
      <w:r w:rsidR="00417818">
        <w:t>panels.</w:t>
      </w:r>
    </w:p>
    <w:p w14:paraId="78A10694" w14:textId="07984C93" w:rsidR="008F0F2D" w:rsidRPr="00F87743" w:rsidRDefault="000C510C" w:rsidP="005C1BF2">
      <w:bookmarkStart w:id="20" w:name="_Hlk125022372"/>
      <w:bookmarkStart w:id="21" w:name="_Hlk125028512"/>
      <w:bookmarkStart w:id="22" w:name="_Hlk125029444"/>
      <w:r>
        <w:t>Despite the increased pathogen detection by mPOCT, a</w:t>
      </w:r>
      <w:r w:rsidRPr="003755C9">
        <w:t xml:space="preserve"> higher proportion of patients </w:t>
      </w:r>
      <w:r>
        <w:t xml:space="preserve">were </w:t>
      </w:r>
      <w:r w:rsidRPr="003755C9">
        <w:t>de-isolated during their hospitalisation</w:t>
      </w:r>
      <w:r>
        <w:t xml:space="preserve"> in the mPOCT group than the control group</w:t>
      </w:r>
      <w:r w:rsidR="004635D6">
        <w:t>.</w:t>
      </w:r>
      <w:r>
        <w:t xml:space="preserve"> </w:t>
      </w:r>
      <w:r w:rsidR="004635D6">
        <w:t>This</w:t>
      </w:r>
      <w:r w:rsidRPr="003755C9">
        <w:t xml:space="preserve"> </w:t>
      </w:r>
      <w:r>
        <w:t>suggests</w:t>
      </w:r>
      <w:r w:rsidRPr="003755C9">
        <w:t xml:space="preserve"> that </w:t>
      </w:r>
      <w:r>
        <w:t>the rapid turnaround time of results and subsequent rapid de-isolation</w:t>
      </w:r>
      <w:r w:rsidR="004635D6">
        <w:t xml:space="preserve"> of patients who do not have infectious diarrhoea</w:t>
      </w:r>
      <w:r>
        <w:t xml:space="preserve"> more than </w:t>
      </w:r>
      <w:r w:rsidR="00EA4419">
        <w:t xml:space="preserve">offsets </w:t>
      </w:r>
      <w:r>
        <w:t>the effect</w:t>
      </w:r>
      <w:r w:rsidRPr="003755C9">
        <w:t xml:space="preserve"> </w:t>
      </w:r>
      <w:r>
        <w:t>of</w:t>
      </w:r>
      <w:r w:rsidRPr="003755C9">
        <w:t xml:space="preserve"> increase</w:t>
      </w:r>
      <w:r>
        <w:t>d</w:t>
      </w:r>
      <w:r w:rsidRPr="003755C9">
        <w:t xml:space="preserve"> pathogen detection by mPOCT</w:t>
      </w:r>
      <w:r>
        <w:t xml:space="preserve"> on single-occupancy room use.</w:t>
      </w:r>
      <w:bookmarkEnd w:id="20"/>
      <w:bookmarkEnd w:id="21"/>
      <w:r w:rsidR="00EA4419">
        <w:t xml:space="preserve"> However, the</w:t>
      </w:r>
      <w:r w:rsidR="008F04D9">
        <w:t xml:space="preserve"> </w:t>
      </w:r>
      <w:r w:rsidR="00A061BC">
        <w:t xml:space="preserve">increased </w:t>
      </w:r>
      <w:r w:rsidR="008F04D9">
        <w:t xml:space="preserve">frequency of </w:t>
      </w:r>
      <w:r w:rsidR="00A061BC">
        <w:t xml:space="preserve">pathogen detection by molecular testing has the potential to increase </w:t>
      </w:r>
      <w:r w:rsidR="008F04D9">
        <w:t xml:space="preserve">the use of </w:t>
      </w:r>
      <w:r w:rsidR="002C7061">
        <w:t>single-occupancy rooms</w:t>
      </w:r>
      <w:bookmarkStart w:id="23" w:name="_Hlk125362718"/>
      <w:r w:rsidR="00F163CE">
        <w:t xml:space="preserve"> </w:t>
      </w:r>
      <w:r w:rsidR="00EA4419">
        <w:t>in institutions where patients hospitalised with diarrhoea are not routinely isolated</w:t>
      </w:r>
      <w:bookmarkEnd w:id="23"/>
      <w:r w:rsidR="00EA4419">
        <w:t>.</w:t>
      </w:r>
      <w:r w:rsidR="002C7061">
        <w:t xml:space="preserve"> The use of the limited number of single-occupancy rooms for isolation of patients with COVID-19, influenza, and other contagious diseases </w:t>
      </w:r>
      <w:r w:rsidR="00EA4419">
        <w:t xml:space="preserve">could therefore </w:t>
      </w:r>
      <w:r w:rsidR="002C7061">
        <w:t xml:space="preserve">be further </w:t>
      </w:r>
      <w:r w:rsidR="002C7061">
        <w:lastRenderedPageBreak/>
        <w:t>pressured by the introduction of molecular gastrointestinal testing, although this may be managed by pragmatic infection control policies and skilled co-ordinat</w:t>
      </w:r>
      <w:r w:rsidR="00EA4419">
        <w:t>ion</w:t>
      </w:r>
      <w:r w:rsidR="002C7061">
        <w:t xml:space="preserve"> of patient flow.</w:t>
      </w:r>
      <w:r w:rsidR="008F04D9">
        <w:t xml:space="preserve"> </w:t>
      </w:r>
    </w:p>
    <w:bookmarkEnd w:id="22"/>
    <w:p w14:paraId="3DC992D4" w14:textId="709129D1" w:rsidR="000770B9" w:rsidRDefault="00751668" w:rsidP="0032744A">
      <w:r>
        <w:t xml:space="preserve">To our knowledge, this is the first randomised controlled trial </w:t>
      </w:r>
      <w:r w:rsidR="00580D13">
        <w:t xml:space="preserve">to </w:t>
      </w:r>
      <w:r w:rsidR="002F47FA">
        <w:t>evaluat</w:t>
      </w:r>
      <w:r w:rsidR="00580D13">
        <w:t>e</w:t>
      </w:r>
      <w:r w:rsidR="002F47FA">
        <w:t xml:space="preserve"> the clinical impact of </w:t>
      </w:r>
      <w:r>
        <w:t>molecular point-of-care testing for gastrointestinal pathogens</w:t>
      </w:r>
      <w:r w:rsidR="002F47FA">
        <w:t xml:space="preserve"> on </w:t>
      </w:r>
      <w:r w:rsidR="005716F8">
        <w:t>isolation</w:t>
      </w:r>
      <w:r w:rsidR="002F47FA">
        <w:t xml:space="preserve"> facility use</w:t>
      </w:r>
      <w:r w:rsidR="007B006C">
        <w:t xml:space="preserve"> </w:t>
      </w:r>
      <w:r w:rsidR="008C17ED">
        <w:t xml:space="preserve">in addition to </w:t>
      </w:r>
      <w:r w:rsidR="007B006C">
        <w:t>a wide range of other clinically relevant outcomes</w:t>
      </w:r>
      <w:r>
        <w:t>.</w:t>
      </w:r>
      <w:r w:rsidR="009A5CC0">
        <w:t xml:space="preserve"> </w:t>
      </w:r>
      <w:r w:rsidR="002F47FA">
        <w:t xml:space="preserve">The study recruited standard adult medical patients presenting to hospital </w:t>
      </w:r>
      <w:r w:rsidR="00407768">
        <w:t xml:space="preserve">over </w:t>
      </w:r>
      <w:r w:rsidR="002F47FA">
        <w:t>a 3-year period</w:t>
      </w:r>
      <w:r w:rsidR="00407768">
        <w:t xml:space="preserve">, </w:t>
      </w:r>
      <w:r w:rsidR="00EA4419">
        <w:t>limiting</w:t>
      </w:r>
      <w:r w:rsidR="00FC0D3D">
        <w:t xml:space="preserve"> </w:t>
      </w:r>
      <w:r w:rsidR="00407768">
        <w:t>bias from any gastrointestinal pathogen outbreaks or epidemics</w:t>
      </w:r>
      <w:r w:rsidR="002F47FA">
        <w:t xml:space="preserve">. </w:t>
      </w:r>
      <w:r w:rsidR="00580D13">
        <w:t>O</w:t>
      </w:r>
      <w:r w:rsidR="009A5CC0">
        <w:t xml:space="preserve">ther </w:t>
      </w:r>
      <w:r>
        <w:t>strengths of</w:t>
      </w:r>
      <w:r w:rsidR="000770B9">
        <w:t xml:space="preserve"> the</w:t>
      </w:r>
      <w:r>
        <w:t xml:space="preserve"> study include the pragmatic </w:t>
      </w:r>
      <w:r w:rsidR="000770B9">
        <w:t xml:space="preserve">trial </w:t>
      </w:r>
      <w:r>
        <w:t>design</w:t>
      </w:r>
      <w:r w:rsidR="000770B9">
        <w:t>,</w:t>
      </w:r>
      <w:r w:rsidR="008C17ED">
        <w:t xml:space="preserve"> with</w:t>
      </w:r>
      <w:r w:rsidR="000770B9">
        <w:t xml:space="preserve"> comparison to routine clinical care, and broad inclusion criteria. Therefore, the study results are likely to be generalisable to other UK and international </w:t>
      </w:r>
      <w:r w:rsidR="002F47FA">
        <w:t>centres</w:t>
      </w:r>
      <w:r w:rsidR="00D332C5">
        <w:t>.</w:t>
      </w:r>
    </w:p>
    <w:p w14:paraId="6DFB5490" w14:textId="64BC5C70" w:rsidR="001573E1" w:rsidRPr="0043307A" w:rsidRDefault="000770B9" w:rsidP="0032744A">
      <w:bookmarkStart w:id="24" w:name="_Hlk120798148"/>
      <w:r>
        <w:t xml:space="preserve">The limitations of the study include </w:t>
      </w:r>
      <w:bookmarkEnd w:id="24"/>
      <w:r>
        <w:t xml:space="preserve">that it </w:t>
      </w:r>
      <w:r w:rsidR="008C17ED">
        <w:t>was</w:t>
      </w:r>
      <w:r>
        <w:t xml:space="preserve"> a single-centre </w:t>
      </w:r>
      <w:r w:rsidR="008C17ED">
        <w:t xml:space="preserve">non-blinded </w:t>
      </w:r>
      <w:r>
        <w:t>study</w:t>
      </w:r>
      <w:r w:rsidR="009A5CC0">
        <w:t xml:space="preserve">, and that we could not extend study recruitment to </w:t>
      </w:r>
      <w:r w:rsidR="008C17ED">
        <w:t xml:space="preserve">obtain </w:t>
      </w:r>
      <w:r w:rsidR="009A5CC0">
        <w:t xml:space="preserve">the original target </w:t>
      </w:r>
      <w:r w:rsidR="008C17ED">
        <w:t xml:space="preserve">sample size </w:t>
      </w:r>
      <w:r w:rsidR="009A5CC0">
        <w:t>due to the COVID-19 pandemic.</w:t>
      </w:r>
      <w:r w:rsidR="00F746CD">
        <w:t xml:space="preserve"> Despite this</w:t>
      </w:r>
      <w:r w:rsidR="00E964AF">
        <w:t>,</w:t>
      </w:r>
      <w:r w:rsidR="00F746CD">
        <w:t xml:space="preserve"> our achieved sample size was able to detect clinically significant differences between the groups for both the primary and for several </w:t>
      </w:r>
      <w:r w:rsidR="00F520C5">
        <w:t xml:space="preserve">key </w:t>
      </w:r>
      <w:r w:rsidR="00F746CD">
        <w:t>secondary outcome measures</w:t>
      </w:r>
      <w:r w:rsidR="009A5CC0">
        <w:t>.</w:t>
      </w:r>
      <w:r w:rsidR="00FC06CB">
        <w:t xml:space="preserve"> </w:t>
      </w:r>
      <w:r w:rsidR="001573E1">
        <w:t>The patient, clinical teams, and researchers could not</w:t>
      </w:r>
      <w:r w:rsidR="009A5CC0">
        <w:t xml:space="preserve"> be</w:t>
      </w:r>
      <w:r w:rsidR="001573E1">
        <w:t xml:space="preserve"> blinded to group allocation and intervention result, as it was required that these groups were informed of the mPOCT results to evaluate the effects of these results on patient management.</w:t>
      </w:r>
      <w:r w:rsidR="006B060A">
        <w:t xml:space="preserve"> </w:t>
      </w:r>
      <w:bookmarkStart w:id="25" w:name="_Hlk121136896"/>
      <w:bookmarkStart w:id="26" w:name="_Hlk121127331"/>
      <w:r w:rsidR="00EA4419">
        <w:t xml:space="preserve">Adjudicating antibiotic appropriateness </w:t>
      </w:r>
      <w:r w:rsidR="00EA4419" w:rsidRPr="00483FCA">
        <w:t xml:space="preserve">is prone to subjectivity </w:t>
      </w:r>
      <w:r w:rsidR="00EA4419">
        <w:t xml:space="preserve">and so may potentially introduce bias despite prescriptions being compared to guideline-based advice. </w:t>
      </w:r>
      <w:bookmarkStart w:id="27" w:name="_Hlk125550462"/>
      <w:r w:rsidR="004D395E">
        <w:t>Furthermore a</w:t>
      </w:r>
      <w:r w:rsidR="007F0572">
        <w:t>ntibiotic treatment</w:t>
      </w:r>
      <w:r w:rsidR="00801039">
        <w:t xml:space="preserve"> guidelines are based on pathogen detection by traditional diagnostic methods rather than highly sensitive molecular testing, and</w:t>
      </w:r>
      <w:r w:rsidR="007F0572">
        <w:t xml:space="preserve"> do not consider the potential </w:t>
      </w:r>
      <w:r w:rsidR="00E863FF">
        <w:t xml:space="preserve">that detection </w:t>
      </w:r>
      <w:proofErr w:type="gramStart"/>
      <w:r w:rsidR="00E863FF">
        <w:t xml:space="preserve">represents </w:t>
      </w:r>
      <w:r w:rsidR="007F0572">
        <w:t xml:space="preserve"> non</w:t>
      </w:r>
      <w:proofErr w:type="gramEnd"/>
      <w:r w:rsidR="007F0572">
        <w:t>-pathogenic colonisation rather than infection</w:t>
      </w:r>
      <w:r w:rsidR="00801039">
        <w:t>, therefore our adjudication of appropriateness may unduly favour molecular testing.</w:t>
      </w:r>
      <w:bookmarkEnd w:id="27"/>
      <w:r w:rsidR="007F0572">
        <w:t xml:space="preserve"> </w:t>
      </w:r>
      <w:r w:rsidR="009E75C3">
        <w:t xml:space="preserve">The FilmArray </w:t>
      </w:r>
      <w:r w:rsidR="00E24436">
        <w:t xml:space="preserve">system </w:t>
      </w:r>
      <w:r w:rsidR="00036089">
        <w:lastRenderedPageBreak/>
        <w:t>is</w:t>
      </w:r>
      <w:r w:rsidR="009E75C3">
        <w:t xml:space="preserve"> not marketed as a point-of-care test</w:t>
      </w:r>
      <w:r w:rsidR="00036089">
        <w:t xml:space="preserve"> platform</w:t>
      </w:r>
      <w:r w:rsidR="009E75C3">
        <w:t xml:space="preserve"> and is not CLIA-waived in the US</w:t>
      </w:r>
      <w:r w:rsidR="00E24436">
        <w:t xml:space="preserve"> for this purpose</w:t>
      </w:r>
      <w:r w:rsidR="009E75C3">
        <w:t xml:space="preserve">. </w:t>
      </w:r>
      <w:bookmarkStart w:id="28" w:name="_Hlk121483439"/>
      <w:bookmarkEnd w:id="25"/>
      <w:r w:rsidR="00C63B64" w:rsidRPr="00C63B64">
        <w:t>A health economic analysis is needed to understand the cost implications of mPOCT implementation. Although molecular panel test</w:t>
      </w:r>
      <w:r w:rsidR="00065A0E">
        <w:t>s</w:t>
      </w:r>
      <w:r w:rsidR="00C63B64" w:rsidRPr="00C63B64">
        <w:t xml:space="preserve"> are more expensive than conventional laboratory testing, these cost</w:t>
      </w:r>
      <w:r w:rsidR="003004C0">
        <w:t>s</w:t>
      </w:r>
      <w:r w:rsidR="00C63B64" w:rsidRPr="00C63B64">
        <w:t xml:space="preserve"> are likely to be offset by </w:t>
      </w:r>
      <w:r w:rsidR="00C63B64">
        <w:t xml:space="preserve">the </w:t>
      </w:r>
      <w:r w:rsidR="00C63B64" w:rsidRPr="00C63B64">
        <w:t>improvement</w:t>
      </w:r>
      <w:r w:rsidR="00C63B64">
        <w:t>s seen</w:t>
      </w:r>
      <w:r w:rsidR="00C63B64" w:rsidRPr="00C63B64">
        <w:t xml:space="preserve"> in isolation facility use</w:t>
      </w:r>
      <w:r w:rsidR="00C63B64">
        <w:t xml:space="preserve"> as this may improve </w:t>
      </w:r>
      <w:r w:rsidR="00C63B64" w:rsidRPr="00C63B64">
        <w:t>patient flow and operational capacity</w:t>
      </w:r>
      <w:r w:rsidR="00C63B64">
        <w:t xml:space="preserve"> in hospital</w:t>
      </w:r>
      <w:r w:rsidR="00C63B64" w:rsidRPr="00C63B64">
        <w:t>, and potentially prevent nosocomial outbreaks.</w:t>
      </w:r>
      <w:bookmarkEnd w:id="26"/>
      <w:bookmarkEnd w:id="28"/>
    </w:p>
    <w:p w14:paraId="71CB1CEE" w14:textId="436AB33E" w:rsidR="008C17ED" w:rsidRDefault="00E121C7" w:rsidP="0032744A">
      <w:r>
        <w:t>The</w:t>
      </w:r>
      <w:r w:rsidR="00016277">
        <w:t xml:space="preserve"> use</w:t>
      </w:r>
      <w:r w:rsidR="00FB4638">
        <w:t xml:space="preserve"> of </w:t>
      </w:r>
      <w:r>
        <w:t>mol</w:t>
      </w:r>
      <w:r w:rsidR="00FB4638">
        <w:t>ecular point-of-care testing for respiratory viruses</w:t>
      </w:r>
      <w:r w:rsidR="007A67FA">
        <w:t xml:space="preserve"> including SARS-CoV-2</w:t>
      </w:r>
      <w:r w:rsidR="00FB4638">
        <w:t xml:space="preserve"> in hospital pathways</w:t>
      </w:r>
      <w:r w:rsidR="005749A0">
        <w:t xml:space="preserve"> now has a </w:t>
      </w:r>
      <w:r w:rsidR="00580D13">
        <w:t>robust</w:t>
      </w:r>
      <w:r w:rsidR="00B54AB6">
        <w:t xml:space="preserve"> </w:t>
      </w:r>
      <w:r w:rsidR="005749A0">
        <w:t>evidence base</w:t>
      </w:r>
      <w:r w:rsidR="00FB4638">
        <w:t xml:space="preserve">, and </w:t>
      </w:r>
      <w:r w:rsidR="00F520C5">
        <w:t>has been</w:t>
      </w:r>
      <w:r w:rsidR="00FB4638">
        <w:t xml:space="preserve"> associated with improvements in antibiotic use, length of stay,</w:t>
      </w:r>
      <w:r>
        <w:t xml:space="preserve"> patient flow through the hospital,</w:t>
      </w:r>
      <w:r w:rsidR="00FB4638">
        <w:t xml:space="preserve"> and isolation facility use.</w:t>
      </w:r>
      <w:r w:rsidR="00377028" w:rsidRPr="00377028">
        <w:rPr>
          <w:vertAlign w:val="superscript"/>
        </w:rPr>
        <w:t>2</w:t>
      </w:r>
      <w:r w:rsidR="00F5782E">
        <w:rPr>
          <w:vertAlign w:val="superscript"/>
        </w:rPr>
        <w:t>6</w:t>
      </w:r>
      <w:r w:rsidR="00377028" w:rsidRPr="00377028">
        <w:rPr>
          <w:vertAlign w:val="superscript"/>
        </w:rPr>
        <w:t>–2</w:t>
      </w:r>
      <w:r w:rsidR="00F5782E">
        <w:rPr>
          <w:vertAlign w:val="superscript"/>
        </w:rPr>
        <w:t>9</w:t>
      </w:r>
      <w:r w:rsidR="00580D13">
        <w:t xml:space="preserve"> Many NHS hospital trust</w:t>
      </w:r>
      <w:r w:rsidR="00CB79B5">
        <w:t>s</w:t>
      </w:r>
      <w:r w:rsidR="001571D1">
        <w:t xml:space="preserve"> and hospitals internationally</w:t>
      </w:r>
      <w:r w:rsidR="00580D13">
        <w:t xml:space="preserve"> have now developed POCT or near</w:t>
      </w:r>
      <w:r w:rsidR="00B54AB6">
        <w:t>-</w:t>
      </w:r>
      <w:r w:rsidR="00580D13">
        <w:t xml:space="preserve">patient testing infrastructure to allow rapid </w:t>
      </w:r>
      <w:r w:rsidR="000E4705">
        <w:t xml:space="preserve">molecular </w:t>
      </w:r>
      <w:r w:rsidR="00235B13">
        <w:t>SARS-CoV-2 testing</w:t>
      </w:r>
      <w:r w:rsidR="00580D13">
        <w:t>.</w:t>
      </w:r>
      <w:r w:rsidR="00377028" w:rsidRPr="00377028">
        <w:rPr>
          <w:vertAlign w:val="superscript"/>
        </w:rPr>
        <w:t>2</w:t>
      </w:r>
      <w:r w:rsidR="00F5782E">
        <w:rPr>
          <w:vertAlign w:val="superscript"/>
        </w:rPr>
        <w:t>9</w:t>
      </w:r>
      <w:r w:rsidR="00377028" w:rsidRPr="00377028">
        <w:rPr>
          <w:vertAlign w:val="superscript"/>
        </w:rPr>
        <w:softHyphen/>
        <w:t>–</w:t>
      </w:r>
      <w:r w:rsidR="00957AEA">
        <w:rPr>
          <w:vertAlign w:val="superscript"/>
        </w:rPr>
        <w:t>3</w:t>
      </w:r>
      <w:r w:rsidR="00F5782E">
        <w:rPr>
          <w:vertAlign w:val="superscript"/>
        </w:rPr>
        <w:t>1</w:t>
      </w:r>
      <w:r w:rsidR="00580D13">
        <w:t xml:space="preserve"> T</w:t>
      </w:r>
      <w:r>
        <w:t>herefore</w:t>
      </w:r>
      <w:r w:rsidR="00A7584D">
        <w:t xml:space="preserve"> widespread</w:t>
      </w:r>
      <w:r>
        <w:t xml:space="preserve"> implementation of g</w:t>
      </w:r>
      <w:r w:rsidR="00135E0E">
        <w:t xml:space="preserve">astrointestinal pathogen detection at the point-of-care </w:t>
      </w:r>
      <w:r w:rsidR="00A7584D">
        <w:t xml:space="preserve">may be </w:t>
      </w:r>
      <w:r w:rsidR="00135E0E">
        <w:t>feasible</w:t>
      </w:r>
      <w:r>
        <w:t xml:space="preserve">. </w:t>
      </w:r>
      <w:r w:rsidR="008C17ED">
        <w:t xml:space="preserve">Although the optimal delivery model for mPOCT services will depend </w:t>
      </w:r>
      <w:r w:rsidR="00F746CD">
        <w:t>upon</w:t>
      </w:r>
      <w:r w:rsidR="008C17ED">
        <w:t xml:space="preserve"> the circumstances of individual institutions, all such services must be embedded within a comprehensive quality management system provided by local pathology services </w:t>
      </w:r>
      <w:proofErr w:type="gramStart"/>
      <w:r w:rsidR="00F746CD">
        <w:t xml:space="preserve">in order </w:t>
      </w:r>
      <w:r w:rsidR="008C17ED">
        <w:t>to</w:t>
      </w:r>
      <w:proofErr w:type="gramEnd"/>
      <w:r w:rsidR="008C17ED">
        <w:t xml:space="preserve"> ensure the accuracy</w:t>
      </w:r>
      <w:r w:rsidR="00A7584D">
        <w:t xml:space="preserve"> and reliability</w:t>
      </w:r>
      <w:r w:rsidR="008C17ED">
        <w:t xml:space="preserve"> of results. </w:t>
      </w:r>
    </w:p>
    <w:p w14:paraId="36CB019B" w14:textId="207A665A" w:rsidR="00A7584D" w:rsidRDefault="00A1790E" w:rsidP="0032744A">
      <w:r>
        <w:t xml:space="preserve">In conclusion, </w:t>
      </w:r>
      <w:r w:rsidR="007A67FA">
        <w:t>molecular point-of-care testing for gastrointestinal pathogens</w:t>
      </w:r>
      <w:r w:rsidR="0005399D">
        <w:t xml:space="preserve"> </w:t>
      </w:r>
      <w:r w:rsidR="002F47FA" w:rsidRPr="002F47FA">
        <w:t>on stool and rectal swab</w:t>
      </w:r>
      <w:r w:rsidR="00B54AB6">
        <w:t>s</w:t>
      </w:r>
      <w:r w:rsidR="002F47FA">
        <w:t xml:space="preserve"> </w:t>
      </w:r>
      <w:r w:rsidR="0005399D">
        <w:t xml:space="preserve">in adults hospitalised with suspected gastroenteritis </w:t>
      </w:r>
      <w:r w:rsidR="007A67FA">
        <w:t xml:space="preserve">was associated with </w:t>
      </w:r>
      <w:r w:rsidR="002F47FA">
        <w:t xml:space="preserve">a </w:t>
      </w:r>
      <w:r w:rsidR="007A67FA">
        <w:t>faster time to results</w:t>
      </w:r>
      <w:r w:rsidR="00BB074F">
        <w:t xml:space="preserve"> </w:t>
      </w:r>
      <w:r w:rsidR="00A7584D">
        <w:t>and</w:t>
      </w:r>
      <w:r w:rsidR="00F5782E">
        <w:t xml:space="preserve"> </w:t>
      </w:r>
      <w:r w:rsidR="00016277">
        <w:t xml:space="preserve">reduced the unnecessary </w:t>
      </w:r>
      <w:r w:rsidR="007A67FA">
        <w:t>use of single-occupancy isolation rooms</w:t>
      </w:r>
      <w:r w:rsidR="00A7584D">
        <w:t>. This is likely to have a</w:t>
      </w:r>
      <w:r w:rsidR="00016277">
        <w:t xml:space="preserve"> significant</w:t>
      </w:r>
      <w:r w:rsidR="00A7584D">
        <w:t xml:space="preserve"> impact o</w:t>
      </w:r>
      <w:r w:rsidR="00016277">
        <w:t xml:space="preserve">n </w:t>
      </w:r>
      <w:r w:rsidR="00A7584D">
        <w:t xml:space="preserve">hospital </w:t>
      </w:r>
      <w:r w:rsidR="00016277">
        <w:t xml:space="preserve">infection control capacity and patient flow though acute areas. </w:t>
      </w:r>
      <w:r w:rsidR="00A7584D">
        <w:t xml:space="preserve">mPOCT was also associated with the detection of more pathogens and an increase in antibiotic use. </w:t>
      </w:r>
      <w:bookmarkStart w:id="29" w:name="_Hlk125549021"/>
      <w:bookmarkStart w:id="30" w:name="_Hlk121495347"/>
      <w:r w:rsidR="002862B9">
        <w:t>Whil</w:t>
      </w:r>
      <w:r w:rsidR="00E863FF">
        <w:t>st</w:t>
      </w:r>
      <w:r w:rsidR="002862B9">
        <w:t xml:space="preserve"> the duration of inappropriate antibiotics appears reduced, the overall increase in antibiotic use has an unclear impact on clinical outcome</w:t>
      </w:r>
      <w:r w:rsidR="004D395E">
        <w:t xml:space="preserve"> and </w:t>
      </w:r>
      <w:r w:rsidR="004D395E">
        <w:lastRenderedPageBreak/>
        <w:t xml:space="preserve">is </w:t>
      </w:r>
      <w:r w:rsidR="00E863FF">
        <w:t xml:space="preserve">potentially </w:t>
      </w:r>
      <w:r w:rsidR="004D395E">
        <w:t>concerning from an antimicrobial stewardship perspective</w:t>
      </w:r>
      <w:r w:rsidR="002862B9">
        <w:t xml:space="preserve">. </w:t>
      </w:r>
      <w:bookmarkEnd w:id="29"/>
      <w:r w:rsidR="00A7584D">
        <w:t xml:space="preserve">Further studies </w:t>
      </w:r>
      <w:r w:rsidR="00417818">
        <w:t xml:space="preserve">are needed to </w:t>
      </w:r>
      <w:r w:rsidR="00A7584D">
        <w:t xml:space="preserve">examine the effects </w:t>
      </w:r>
      <w:r w:rsidR="00417818">
        <w:t xml:space="preserve">of mPOCT </w:t>
      </w:r>
      <w:r w:rsidR="00A7584D">
        <w:t xml:space="preserve">on antibiotic use and </w:t>
      </w:r>
      <w:r w:rsidR="00417818">
        <w:t xml:space="preserve">clinical outcomes in </w:t>
      </w:r>
      <w:r w:rsidR="00A7584D">
        <w:t xml:space="preserve">greater detail. </w:t>
      </w:r>
      <w:bookmarkEnd w:id="30"/>
    </w:p>
    <w:p w14:paraId="26E85FCE" w14:textId="6124AB9F" w:rsidR="00F862D5" w:rsidRDefault="00F862D5" w:rsidP="0032744A">
      <w:r>
        <w:br w:type="page"/>
      </w:r>
    </w:p>
    <w:p w14:paraId="3BB020B4" w14:textId="77777777" w:rsidR="00661914" w:rsidRDefault="00661914" w:rsidP="00661914">
      <w:pPr>
        <w:pStyle w:val="Heading1"/>
      </w:pPr>
      <w:r>
        <w:lastRenderedPageBreak/>
        <w:t>Contributors</w:t>
      </w:r>
    </w:p>
    <w:p w14:paraId="6EE35C13" w14:textId="4017A6E7" w:rsidR="00661914" w:rsidRPr="00661914" w:rsidRDefault="00661914" w:rsidP="00661914">
      <w:r w:rsidRPr="00661914">
        <w:t xml:space="preserve">TWC reviewed the medical literature, conceived </w:t>
      </w:r>
      <w:proofErr w:type="gramStart"/>
      <w:r w:rsidRPr="00661914">
        <w:t>of</w:t>
      </w:r>
      <w:proofErr w:type="gramEnd"/>
      <w:r w:rsidRPr="00661914">
        <w:t xml:space="preserve"> and designed the study, oversaw the conduct of the study, </w:t>
      </w:r>
      <w:r w:rsidR="00880356">
        <w:t xml:space="preserve">collected </w:t>
      </w:r>
      <w:r w:rsidR="00C73011">
        <w:t xml:space="preserve">data, </w:t>
      </w:r>
      <w:r w:rsidRPr="00661914">
        <w:t>interpret</w:t>
      </w:r>
      <w:r w:rsidR="00880356">
        <w:t xml:space="preserve">ed results, and </w:t>
      </w:r>
      <w:r w:rsidRPr="00661914">
        <w:t xml:space="preserve">wrote the manuscript. </w:t>
      </w:r>
      <w:r>
        <w:t xml:space="preserve">NJB </w:t>
      </w:r>
      <w:r w:rsidRPr="00661914">
        <w:t xml:space="preserve">reviewed the medical literature, participated in the trial design, recruited patients, </w:t>
      </w:r>
      <w:proofErr w:type="gramStart"/>
      <w:r w:rsidRPr="00661914">
        <w:t>generated</w:t>
      </w:r>
      <w:proofErr w:type="gramEnd"/>
      <w:r w:rsidRPr="00661914">
        <w:t xml:space="preserve"> and collected data</w:t>
      </w:r>
      <w:r w:rsidR="00086620">
        <w:t>,</w:t>
      </w:r>
      <w:r w:rsidRPr="00661914">
        <w:t xml:space="preserve"> </w:t>
      </w:r>
      <w:r w:rsidR="00880356">
        <w:t xml:space="preserve">interpreted results, </w:t>
      </w:r>
      <w:r w:rsidRPr="00661914">
        <w:t xml:space="preserve">and </w:t>
      </w:r>
      <w:r>
        <w:t>drafted and wrote the</w:t>
      </w:r>
      <w:r w:rsidRPr="00661914">
        <w:t xml:space="preserve"> manuscript. KRB reviewed the medical literature, participated in the trial design, recruited patient</w:t>
      </w:r>
      <w:r w:rsidR="00880356">
        <w:t>s, and generated and collected data</w:t>
      </w:r>
      <w:r w:rsidRPr="00661914">
        <w:t xml:space="preserve">. </w:t>
      </w:r>
      <w:r w:rsidR="00880356">
        <w:t xml:space="preserve">AKM recruited </w:t>
      </w:r>
      <w:proofErr w:type="gramStart"/>
      <w:r w:rsidR="00880356">
        <w:t>patients, and</w:t>
      </w:r>
      <w:proofErr w:type="gramEnd"/>
      <w:r w:rsidR="00880356">
        <w:t xml:space="preserve"> generated and collected data. </w:t>
      </w:r>
      <w:r w:rsidR="00D8461F">
        <w:t xml:space="preserve">ART and </w:t>
      </w:r>
      <w:r w:rsidR="00880356">
        <w:t>LS-N</w:t>
      </w:r>
      <w:r w:rsidR="00D8461F">
        <w:t xml:space="preserve"> generated and collected data. </w:t>
      </w:r>
      <w:r w:rsidR="00880356">
        <w:t xml:space="preserve">MG and JRFC </w:t>
      </w:r>
      <w:r w:rsidR="0092031C">
        <w:t>participated</w:t>
      </w:r>
      <w:r w:rsidR="00880356">
        <w:t xml:space="preserve"> in the trial design</w:t>
      </w:r>
      <w:r w:rsidR="00E85F6F">
        <w:t xml:space="preserve"> and assisted with study oversight</w:t>
      </w:r>
      <w:r w:rsidR="00880356">
        <w:t>.</w:t>
      </w:r>
      <w:r w:rsidRPr="00661914">
        <w:t xml:space="preserve"> </w:t>
      </w:r>
      <w:r w:rsidR="00880356">
        <w:t>H</w:t>
      </w:r>
      <w:r w:rsidR="00AA5A4C">
        <w:t>E</w:t>
      </w:r>
      <w:r w:rsidR="00880356">
        <w:t>M</w:t>
      </w:r>
      <w:r w:rsidR="00880356" w:rsidRPr="00661914">
        <w:t xml:space="preserve"> designed the statistical analysis plan and analysed the data.</w:t>
      </w:r>
      <w:r w:rsidR="00880356">
        <w:t xml:space="preserve"> </w:t>
      </w:r>
      <w:r w:rsidR="002237AA" w:rsidRPr="00661914">
        <w:t>All authors</w:t>
      </w:r>
      <w:r w:rsidR="002F0266">
        <w:t xml:space="preserve"> </w:t>
      </w:r>
      <w:r w:rsidR="002237AA" w:rsidRPr="00661914">
        <w:t>contributed to</w:t>
      </w:r>
      <w:r w:rsidR="002F0266">
        <w:t>, reviewed, and approved</w:t>
      </w:r>
      <w:r w:rsidR="002237AA" w:rsidRPr="00661914">
        <w:t xml:space="preserve"> the</w:t>
      </w:r>
      <w:r w:rsidR="00474F07">
        <w:t xml:space="preserve"> </w:t>
      </w:r>
      <w:r w:rsidR="002F0266">
        <w:t xml:space="preserve">final </w:t>
      </w:r>
      <w:bookmarkStart w:id="31" w:name="_Hlk120798967"/>
      <w:r w:rsidR="002237AA" w:rsidRPr="00661914">
        <w:t>manuscript</w:t>
      </w:r>
      <w:r w:rsidR="004F0667">
        <w:t xml:space="preserve"> and </w:t>
      </w:r>
      <w:r w:rsidR="004F0667" w:rsidRPr="004F0667">
        <w:t>had final responsibility for the decision to submit for publication</w:t>
      </w:r>
      <w:bookmarkEnd w:id="31"/>
      <w:r w:rsidR="002237AA" w:rsidRPr="00661914">
        <w:t xml:space="preserve">. </w:t>
      </w:r>
      <w:r w:rsidRPr="00661914">
        <w:t>TWC</w:t>
      </w:r>
      <w:r w:rsidR="00D8461F">
        <w:t xml:space="preserve"> and NJB</w:t>
      </w:r>
      <w:r w:rsidRPr="00661914">
        <w:t xml:space="preserve"> verified the underlying data for this study.</w:t>
      </w:r>
    </w:p>
    <w:p w14:paraId="23503812" w14:textId="77777777" w:rsidR="00661914" w:rsidRDefault="00661914" w:rsidP="00661914">
      <w:pPr>
        <w:pStyle w:val="Heading1"/>
      </w:pPr>
      <w:r>
        <w:t>Declaration of interests</w:t>
      </w:r>
    </w:p>
    <w:p w14:paraId="1362673E" w14:textId="0A9335E9" w:rsidR="00636796" w:rsidRPr="00661914" w:rsidRDefault="000B38AA" w:rsidP="00025AB9">
      <w:r>
        <w:t xml:space="preserve">TWC has received speaker fees, honoraria, travel reimbursement, and equipment and consumables at discount or free of charge for the purposes independent of research, outside of this submitted study, from </w:t>
      </w:r>
      <w:proofErr w:type="spellStart"/>
      <w:r>
        <w:t>BioFire</w:t>
      </w:r>
      <w:proofErr w:type="spellEnd"/>
      <w:r>
        <w:t xml:space="preserve"> diagnostics, </w:t>
      </w:r>
      <w:proofErr w:type="spellStart"/>
      <w:r>
        <w:t>BioMerieux</w:t>
      </w:r>
      <w:proofErr w:type="spellEnd"/>
      <w:r>
        <w:t xml:space="preserve"> and QIAGEN. </w:t>
      </w:r>
      <w:r w:rsidR="00502A5D">
        <w:t>He</w:t>
      </w:r>
      <w:r>
        <w:t xml:space="preserve"> has received consultancy fees from Cepheid, Synairgen research, </w:t>
      </w:r>
      <w:proofErr w:type="spellStart"/>
      <w:r>
        <w:t>Randox</w:t>
      </w:r>
      <w:proofErr w:type="spellEnd"/>
      <w:r>
        <w:t xml:space="preserve"> laboratories and </w:t>
      </w:r>
      <w:proofErr w:type="spellStart"/>
      <w:r>
        <w:t>Cidara</w:t>
      </w:r>
      <w:proofErr w:type="spellEnd"/>
      <w:r>
        <w:t xml:space="preserve"> therapeutics. He has received honoraria for participation in advisory boards from Cepheid, Roche, Janssen and Shionogi. He is a member of an independent data monitoring committee for a trial sponsored by Roche. He has acted as the UK chief investigator for a study sponsored by Janssen.</w:t>
      </w:r>
      <w:r w:rsidR="001639F9">
        <w:t xml:space="preserve"> </w:t>
      </w:r>
      <w:r w:rsidR="001639F9" w:rsidRPr="001639F9">
        <w:t>All other authors declare no competing interests.</w:t>
      </w:r>
    </w:p>
    <w:p w14:paraId="752BA4F7" w14:textId="2C890292" w:rsidR="00661914" w:rsidRDefault="00661914" w:rsidP="00661914">
      <w:pPr>
        <w:pStyle w:val="Heading1"/>
      </w:pPr>
      <w:r>
        <w:lastRenderedPageBreak/>
        <w:t>Data sharing</w:t>
      </w:r>
    </w:p>
    <w:p w14:paraId="266493BD" w14:textId="77777777" w:rsidR="00A24CA1" w:rsidRPr="00A24CA1" w:rsidRDefault="00A24CA1" w:rsidP="00A24CA1">
      <w:r w:rsidRPr="00A24CA1">
        <w:t>All de-identified participant data analysed and presented in this study are available from the corresponding author following publication, on reasonable request.</w:t>
      </w:r>
    </w:p>
    <w:p w14:paraId="7B8484CF" w14:textId="77777777" w:rsidR="00661914" w:rsidRDefault="00661914" w:rsidP="00661914">
      <w:pPr>
        <w:pStyle w:val="Heading1"/>
      </w:pPr>
      <w:r>
        <w:t>Acknowledgements</w:t>
      </w:r>
    </w:p>
    <w:p w14:paraId="25E80086" w14:textId="45F2D394" w:rsidR="00A24CA1" w:rsidRDefault="00A24CA1" w:rsidP="00A24CA1">
      <w:r w:rsidRPr="00A24CA1">
        <w:t xml:space="preserve">We thank all the patients </w:t>
      </w:r>
      <w:r w:rsidR="00B54885">
        <w:t>enrolled</w:t>
      </w:r>
      <w:r w:rsidRPr="00A24CA1">
        <w:t xml:space="preserve"> </w:t>
      </w:r>
      <w:r w:rsidR="00B54885">
        <w:t>and all the clinical staff involved at</w:t>
      </w:r>
      <w:r w:rsidRPr="00A24CA1">
        <w:t xml:space="preserve"> Southampto</w:t>
      </w:r>
      <w:r>
        <w:t>n General Hospital</w:t>
      </w:r>
      <w:r w:rsidRPr="00A24CA1">
        <w:t xml:space="preserve">. We thank the directors, research nurses, data managers, clinical trials assistants, and laboratory staff at the National Institute for Health Research (NIHR) </w:t>
      </w:r>
      <w:r>
        <w:t xml:space="preserve">Southampton </w:t>
      </w:r>
      <w:r w:rsidRPr="00A24CA1">
        <w:t>Clinical Research Facility</w:t>
      </w:r>
      <w:r>
        <w:t>, NIHR Southampton Biomedical Research Centre,</w:t>
      </w:r>
      <w:r w:rsidRPr="00A24CA1">
        <w:t xml:space="preserve"> </w:t>
      </w:r>
      <w:r w:rsidR="00A35A70" w:rsidRPr="00A24CA1">
        <w:t>and the</w:t>
      </w:r>
      <w:r w:rsidRPr="00A24CA1">
        <w:t xml:space="preserve"> </w:t>
      </w:r>
      <w:r>
        <w:t>R&amp;D Department</w:t>
      </w:r>
      <w:r w:rsidR="00A35A70">
        <w:t>,</w:t>
      </w:r>
      <w:r>
        <w:t xml:space="preserve"> at </w:t>
      </w:r>
      <w:r w:rsidRPr="00A24CA1">
        <w:t>University Hospital S</w:t>
      </w:r>
      <w:r w:rsidR="00A35A70">
        <w:t>outhampton NHS Foundation Trust. We also thank</w:t>
      </w:r>
      <w:r w:rsidRPr="00A24CA1">
        <w:t xml:space="preserve"> the NIHR Clinical Research Network, Wessex, for their support throughout the trial. </w:t>
      </w:r>
      <w:r w:rsidR="00BC568C">
        <w:t xml:space="preserve">TWC </w:t>
      </w:r>
      <w:r w:rsidR="006240AB">
        <w:t>was</w:t>
      </w:r>
      <w:r w:rsidR="00BC568C">
        <w:t xml:space="preserve"> supported</w:t>
      </w:r>
      <w:r w:rsidR="008961C4">
        <w:t xml:space="preserve"> by</w:t>
      </w:r>
      <w:r w:rsidR="00BC568C" w:rsidRPr="00BC568C">
        <w:t xml:space="preserve"> </w:t>
      </w:r>
      <w:r w:rsidR="008961C4">
        <w:t xml:space="preserve">a </w:t>
      </w:r>
      <w:r w:rsidR="00BC568C" w:rsidRPr="00BC568C">
        <w:t xml:space="preserve">NIHR Postdoctoral Fellowship </w:t>
      </w:r>
      <w:r w:rsidR="00BC568C">
        <w:t>(grant number PDF 2016-09-061). NJB is supported by the N</w:t>
      </w:r>
      <w:r w:rsidR="00244D8D">
        <w:t>IHR Clinical Lecturer programme, and KRB is supported by the NIHR Academic Clinical Fellow programme.</w:t>
      </w:r>
    </w:p>
    <w:p w14:paraId="7832E0A8" w14:textId="4F5E4DCA" w:rsidR="00EB32E3" w:rsidRDefault="00A24CA1" w:rsidP="00A24CA1">
      <w:r w:rsidRPr="00A24CA1">
        <w:t>The molecular analysers and the test kits</w:t>
      </w:r>
      <w:r w:rsidR="00EB32E3">
        <w:t xml:space="preserve"> were </w:t>
      </w:r>
      <w:r w:rsidR="00C54137">
        <w:t>provided without cost</w:t>
      </w:r>
      <w:r w:rsidR="00EB32E3">
        <w:t xml:space="preserve"> by the manufacturer </w:t>
      </w:r>
      <w:r w:rsidR="00EB32E3" w:rsidRPr="00A24CA1">
        <w:t>(</w:t>
      </w:r>
      <w:proofErr w:type="spellStart"/>
      <w:r w:rsidR="00EB32E3" w:rsidRPr="00A24CA1">
        <w:t>BioFire</w:t>
      </w:r>
      <w:proofErr w:type="spellEnd"/>
      <w:r w:rsidR="00EB32E3" w:rsidRPr="00A24CA1">
        <w:t xml:space="preserve"> Diagnostics, a </w:t>
      </w:r>
      <w:proofErr w:type="spellStart"/>
      <w:r w:rsidR="00EB32E3" w:rsidRPr="00A24CA1">
        <w:t>bioMérieux</w:t>
      </w:r>
      <w:proofErr w:type="spellEnd"/>
      <w:r w:rsidR="00EB32E3" w:rsidRPr="00A24CA1">
        <w:t xml:space="preserve"> company, Salt Lake City, Utah, USA)</w:t>
      </w:r>
      <w:r w:rsidRPr="00A24CA1">
        <w:t xml:space="preserve">. The manufacturer had no role in the study conception, design, data analysis, or manuscript preparation. </w:t>
      </w:r>
    </w:p>
    <w:p w14:paraId="5068C9F4" w14:textId="52E19600" w:rsidR="00DF0D67" w:rsidRPr="00A24CA1" w:rsidRDefault="00A24CA1" w:rsidP="00A24CA1">
      <w:r w:rsidRPr="00A24CA1">
        <w:t>The views expressed in this publication are those of the authors and not necessarily those of the NHS, the NIHR, or the Department of Health</w:t>
      </w:r>
      <w:r w:rsidR="0098378F">
        <w:t xml:space="preserve"> and Social Care</w:t>
      </w:r>
      <w:r w:rsidRPr="00A24CA1">
        <w:t>.</w:t>
      </w:r>
    </w:p>
    <w:p w14:paraId="5F187519" w14:textId="77777777" w:rsidR="00AF339E" w:rsidRDefault="00AF339E">
      <w:pPr>
        <w:spacing w:after="160" w:line="259" w:lineRule="auto"/>
        <w:rPr>
          <w:rFonts w:asciiTheme="majorHAnsi" w:eastAsiaTheme="majorEastAsia" w:hAnsiTheme="majorHAnsi" w:cstheme="majorBidi"/>
          <w:b/>
          <w:sz w:val="36"/>
          <w:szCs w:val="32"/>
        </w:rPr>
      </w:pPr>
      <w:r>
        <w:br w:type="page"/>
      </w:r>
    </w:p>
    <w:p w14:paraId="485129A8" w14:textId="29468EFA" w:rsidR="00F862D5" w:rsidRDefault="00A11DF4" w:rsidP="00F862D5">
      <w:pPr>
        <w:pStyle w:val="Heading1"/>
      </w:pPr>
      <w:r>
        <w:lastRenderedPageBreak/>
        <w:t>References</w:t>
      </w:r>
    </w:p>
    <w:p w14:paraId="2F6EEF53" w14:textId="4A787428" w:rsidR="00DD00D4" w:rsidRPr="00DD00D4" w:rsidRDefault="00DD00D4" w:rsidP="00A11DF4">
      <w:pPr>
        <w:pStyle w:val="EndnoteText"/>
        <w:spacing w:after="240" w:line="360" w:lineRule="auto"/>
        <w:rPr>
          <w:sz w:val="24"/>
        </w:rPr>
      </w:pPr>
      <w:r>
        <w:rPr>
          <w:sz w:val="24"/>
        </w:rPr>
        <w:t>1</w:t>
      </w:r>
      <w:r w:rsidRPr="00DD00D4">
        <w:rPr>
          <w:sz w:val="24"/>
        </w:rPr>
        <w:tab/>
      </w:r>
      <w:proofErr w:type="spellStart"/>
      <w:r w:rsidRPr="00DD00D4">
        <w:rPr>
          <w:rStyle w:val="csl-right-inline"/>
          <w:sz w:val="24"/>
        </w:rPr>
        <w:t>Troeger</w:t>
      </w:r>
      <w:proofErr w:type="spellEnd"/>
      <w:r w:rsidRPr="00DD00D4">
        <w:rPr>
          <w:rStyle w:val="csl-right-inline"/>
          <w:sz w:val="24"/>
        </w:rPr>
        <w:t xml:space="preserve"> C, Blacker BF, Khalil IA, </w:t>
      </w:r>
      <w:r w:rsidRPr="00DD00D4">
        <w:rPr>
          <w:rStyle w:val="csl-right-inline"/>
          <w:i/>
          <w:iCs/>
          <w:sz w:val="24"/>
        </w:rPr>
        <w:t>et al.</w:t>
      </w:r>
      <w:r w:rsidRPr="00DD00D4">
        <w:rPr>
          <w:rStyle w:val="csl-right-inline"/>
          <w:sz w:val="24"/>
        </w:rPr>
        <w:t xml:space="preserve"> Estimates of the global, regional, and national morbidity, mortality, and aetiologies of diarrhoea in 195 countries: a systematic analysis for the Global Burden of Disease Study 2016. </w:t>
      </w:r>
      <w:r w:rsidRPr="00DD00D4">
        <w:rPr>
          <w:rStyle w:val="csl-right-inline"/>
          <w:i/>
          <w:iCs/>
          <w:sz w:val="24"/>
        </w:rPr>
        <w:t>Lancet Infect Dis</w:t>
      </w:r>
      <w:r w:rsidRPr="00DD00D4">
        <w:rPr>
          <w:rStyle w:val="csl-right-inline"/>
          <w:sz w:val="24"/>
        </w:rPr>
        <w:t xml:space="preserve"> 2018; </w:t>
      </w:r>
      <w:r w:rsidRPr="00DD00D4">
        <w:rPr>
          <w:rStyle w:val="csl-right-inline"/>
          <w:b/>
          <w:bCs/>
          <w:sz w:val="24"/>
        </w:rPr>
        <w:t>18</w:t>
      </w:r>
      <w:r w:rsidRPr="00DD00D4">
        <w:rPr>
          <w:rStyle w:val="csl-right-inline"/>
          <w:sz w:val="24"/>
        </w:rPr>
        <w:t>: 1211–28.</w:t>
      </w:r>
    </w:p>
    <w:p w14:paraId="4DE02216" w14:textId="26AE800C" w:rsidR="00DD00D4" w:rsidRPr="00DD00D4" w:rsidRDefault="00DD00D4" w:rsidP="00A11DF4">
      <w:pPr>
        <w:pStyle w:val="EndnoteText"/>
        <w:spacing w:after="240" w:line="360" w:lineRule="auto"/>
        <w:rPr>
          <w:sz w:val="24"/>
        </w:rPr>
      </w:pPr>
      <w:r>
        <w:rPr>
          <w:sz w:val="24"/>
        </w:rPr>
        <w:t>2</w:t>
      </w:r>
      <w:r>
        <w:rPr>
          <w:sz w:val="24"/>
        </w:rPr>
        <w:tab/>
      </w:r>
      <w:hyperlink r:id="rId9" w:history="1">
        <w:r w:rsidR="00640D74" w:rsidRPr="0084422D">
          <w:rPr>
            <w:rStyle w:val="Hyperlink"/>
            <w:sz w:val="24"/>
          </w:rPr>
          <w:t>https://files.digital.nhs.uk/1A/4A65BF/AE1920_National_Data_Tables%20v1.1.xlsx</w:t>
        </w:r>
      </w:hyperlink>
      <w:r w:rsidR="00640D74">
        <w:rPr>
          <w:sz w:val="24"/>
        </w:rPr>
        <w:t xml:space="preserve"> </w:t>
      </w:r>
      <w:r w:rsidRPr="00DD00D4">
        <w:rPr>
          <w:sz w:val="24"/>
        </w:rPr>
        <w:t>(Table 18) [Last accessed 23</w:t>
      </w:r>
      <w:r w:rsidRPr="00DD00D4">
        <w:rPr>
          <w:sz w:val="24"/>
          <w:vertAlign w:val="superscript"/>
        </w:rPr>
        <w:t>rd</w:t>
      </w:r>
      <w:r w:rsidRPr="00DD00D4">
        <w:rPr>
          <w:sz w:val="24"/>
        </w:rPr>
        <w:t xml:space="preserve"> August 2022].</w:t>
      </w:r>
    </w:p>
    <w:p w14:paraId="2A888527" w14:textId="307E94C4" w:rsidR="00DD00D4" w:rsidRPr="00DF3270" w:rsidRDefault="00DF3270" w:rsidP="00A11DF4">
      <w:pPr>
        <w:pStyle w:val="EndnoteText"/>
        <w:spacing w:after="240" w:line="360" w:lineRule="auto"/>
        <w:rPr>
          <w:sz w:val="24"/>
        </w:rPr>
      </w:pPr>
      <w:r>
        <w:rPr>
          <w:sz w:val="24"/>
        </w:rPr>
        <w:t>3</w:t>
      </w:r>
      <w:r w:rsidR="00DD00D4" w:rsidRPr="00DD00D4">
        <w:rPr>
          <w:sz w:val="24"/>
        </w:rPr>
        <w:tab/>
      </w:r>
      <w:hyperlink r:id="rId10" w:history="1">
        <w:r w:rsidR="00DD00D4" w:rsidRPr="00DD00D4">
          <w:rPr>
            <w:rStyle w:val="Hyperlink"/>
            <w:sz w:val="24"/>
          </w:rPr>
          <w:t>https://files.digital.nhs.uk/0E/E70963/hosp-epis-stat-admi-diag-2021-22-tab.xlsx</w:t>
        </w:r>
      </w:hyperlink>
      <w:r w:rsidR="00DD00D4" w:rsidRPr="00DD00D4">
        <w:rPr>
          <w:sz w:val="24"/>
        </w:rPr>
        <w:t xml:space="preserve"> </w:t>
      </w:r>
      <w:r w:rsidR="00DD00D4" w:rsidRPr="00DF3270">
        <w:rPr>
          <w:sz w:val="24"/>
        </w:rPr>
        <w:t>[Last accessed 22nd September 2022]</w:t>
      </w:r>
    </w:p>
    <w:p w14:paraId="5268F6DE" w14:textId="2F5C2DDC" w:rsidR="00DD00D4" w:rsidRPr="00DD00D4" w:rsidRDefault="00DF3270" w:rsidP="00A11DF4">
      <w:pPr>
        <w:pStyle w:val="EndnoteText"/>
        <w:spacing w:after="240" w:line="360" w:lineRule="auto"/>
        <w:rPr>
          <w:sz w:val="24"/>
        </w:rPr>
      </w:pPr>
      <w:r>
        <w:rPr>
          <w:sz w:val="24"/>
        </w:rPr>
        <w:t>4</w:t>
      </w:r>
      <w:r w:rsidR="00DD00D4" w:rsidRPr="00DD00D4">
        <w:rPr>
          <w:sz w:val="24"/>
        </w:rPr>
        <w:tab/>
      </w:r>
      <w:r w:rsidR="00DD00D4" w:rsidRPr="00DD00D4">
        <w:rPr>
          <w:rStyle w:val="csl-right-inline"/>
          <w:sz w:val="24"/>
        </w:rPr>
        <w:t xml:space="preserve">Goldenberg SD, </w:t>
      </w:r>
      <w:proofErr w:type="spellStart"/>
      <w:r w:rsidR="00DD00D4" w:rsidRPr="00DD00D4">
        <w:rPr>
          <w:rStyle w:val="csl-right-inline"/>
          <w:sz w:val="24"/>
        </w:rPr>
        <w:t>Bisnauthsing</w:t>
      </w:r>
      <w:proofErr w:type="spellEnd"/>
      <w:r w:rsidR="00DD00D4" w:rsidRPr="00DD00D4">
        <w:rPr>
          <w:rStyle w:val="csl-right-inline"/>
          <w:sz w:val="24"/>
        </w:rPr>
        <w:t xml:space="preserve"> KN, Patel A, </w:t>
      </w:r>
      <w:r w:rsidR="00DD00D4" w:rsidRPr="00DD00D4">
        <w:rPr>
          <w:rStyle w:val="csl-right-inline"/>
          <w:i/>
          <w:iCs/>
          <w:sz w:val="24"/>
        </w:rPr>
        <w:t>et al.</w:t>
      </w:r>
      <w:r w:rsidR="00DD00D4" w:rsidRPr="00DD00D4">
        <w:rPr>
          <w:rStyle w:val="csl-right-inline"/>
          <w:sz w:val="24"/>
        </w:rPr>
        <w:t xml:space="preserve"> Point-of-Care Testing for Clostridium Difficile Infection: A Real-World Feasibility Study of a Rapid Molecular Test in Two Hospital Settings. </w:t>
      </w:r>
      <w:r w:rsidR="00DD00D4" w:rsidRPr="00DD00D4">
        <w:rPr>
          <w:rStyle w:val="csl-right-inline"/>
          <w:i/>
          <w:iCs/>
          <w:sz w:val="24"/>
        </w:rPr>
        <w:t xml:space="preserve">Infect Dis </w:t>
      </w:r>
      <w:proofErr w:type="spellStart"/>
      <w:r w:rsidR="00DD00D4" w:rsidRPr="00DD00D4">
        <w:rPr>
          <w:rStyle w:val="csl-right-inline"/>
          <w:i/>
          <w:iCs/>
          <w:sz w:val="24"/>
        </w:rPr>
        <w:t>Ther</w:t>
      </w:r>
      <w:proofErr w:type="spellEnd"/>
      <w:r w:rsidR="00DD00D4" w:rsidRPr="00DD00D4">
        <w:rPr>
          <w:rStyle w:val="csl-right-inline"/>
          <w:i/>
          <w:iCs/>
          <w:sz w:val="24"/>
        </w:rPr>
        <w:t xml:space="preserve"> </w:t>
      </w:r>
      <w:r w:rsidR="00DD00D4" w:rsidRPr="00DD00D4">
        <w:rPr>
          <w:rStyle w:val="csl-right-inline"/>
          <w:sz w:val="24"/>
        </w:rPr>
        <w:t xml:space="preserve">2014; </w:t>
      </w:r>
      <w:r w:rsidR="00DD00D4" w:rsidRPr="00DD00D4">
        <w:rPr>
          <w:rStyle w:val="csl-right-inline"/>
          <w:b/>
          <w:bCs/>
          <w:sz w:val="24"/>
        </w:rPr>
        <w:t>3</w:t>
      </w:r>
      <w:r w:rsidR="00DD00D4" w:rsidRPr="00DD00D4">
        <w:rPr>
          <w:rStyle w:val="csl-right-inline"/>
          <w:sz w:val="24"/>
        </w:rPr>
        <w:t>: 295–306.</w:t>
      </w:r>
    </w:p>
    <w:p w14:paraId="1FD38A5A" w14:textId="46ABFEA0" w:rsidR="00DD00D4" w:rsidRPr="00DD00D4" w:rsidRDefault="00DF3270" w:rsidP="00A11DF4">
      <w:pPr>
        <w:pStyle w:val="EndnoteText"/>
        <w:spacing w:after="240" w:line="360" w:lineRule="auto"/>
        <w:rPr>
          <w:sz w:val="24"/>
        </w:rPr>
      </w:pPr>
      <w:r>
        <w:rPr>
          <w:rStyle w:val="csl-right-inline"/>
          <w:sz w:val="24"/>
        </w:rPr>
        <w:t>5</w:t>
      </w:r>
      <w:r>
        <w:rPr>
          <w:rStyle w:val="csl-right-inline"/>
          <w:sz w:val="24"/>
        </w:rPr>
        <w:tab/>
      </w:r>
      <w:proofErr w:type="spellStart"/>
      <w:r w:rsidR="00DD00D4" w:rsidRPr="00DD00D4">
        <w:rPr>
          <w:rStyle w:val="csl-right-inline"/>
          <w:sz w:val="24"/>
        </w:rPr>
        <w:t>Barbut</w:t>
      </w:r>
      <w:proofErr w:type="spellEnd"/>
      <w:r w:rsidR="00DD00D4" w:rsidRPr="00DD00D4">
        <w:rPr>
          <w:rStyle w:val="csl-right-inline"/>
          <w:sz w:val="24"/>
        </w:rPr>
        <w:t xml:space="preserve"> F, </w:t>
      </w:r>
      <w:proofErr w:type="spellStart"/>
      <w:r w:rsidR="00DD00D4" w:rsidRPr="00DD00D4">
        <w:rPr>
          <w:rStyle w:val="csl-right-inline"/>
          <w:sz w:val="24"/>
        </w:rPr>
        <w:t>Surgers</w:t>
      </w:r>
      <w:proofErr w:type="spellEnd"/>
      <w:r w:rsidR="00DD00D4" w:rsidRPr="00DD00D4">
        <w:rPr>
          <w:rStyle w:val="csl-right-inline"/>
          <w:sz w:val="24"/>
        </w:rPr>
        <w:t xml:space="preserve"> L, Eckert C, </w:t>
      </w:r>
      <w:r w:rsidR="00DD00D4" w:rsidRPr="00DD00D4">
        <w:rPr>
          <w:rStyle w:val="csl-right-inline"/>
          <w:i/>
          <w:iCs/>
          <w:sz w:val="24"/>
        </w:rPr>
        <w:t>et al.</w:t>
      </w:r>
      <w:r w:rsidR="00DD00D4" w:rsidRPr="00DD00D4">
        <w:rPr>
          <w:rStyle w:val="csl-right-inline"/>
          <w:sz w:val="24"/>
        </w:rPr>
        <w:t xml:space="preserve"> Does a rapid diagnosis of Clostridium difficile infection impact on quality of patient management? </w:t>
      </w:r>
      <w:r w:rsidR="00DD00D4" w:rsidRPr="00DD00D4">
        <w:rPr>
          <w:rStyle w:val="csl-right-inline"/>
          <w:i/>
          <w:iCs/>
          <w:sz w:val="24"/>
        </w:rPr>
        <w:t xml:space="preserve">Clin </w:t>
      </w:r>
      <w:proofErr w:type="spellStart"/>
      <w:r w:rsidR="00DD00D4" w:rsidRPr="00DD00D4">
        <w:rPr>
          <w:rStyle w:val="csl-right-inline"/>
          <w:i/>
          <w:iCs/>
          <w:sz w:val="24"/>
        </w:rPr>
        <w:t>Microbiol</w:t>
      </w:r>
      <w:proofErr w:type="spellEnd"/>
      <w:r w:rsidR="00DD00D4" w:rsidRPr="00DD00D4">
        <w:rPr>
          <w:rStyle w:val="csl-right-inline"/>
          <w:i/>
          <w:iCs/>
          <w:sz w:val="24"/>
        </w:rPr>
        <w:t xml:space="preserve"> Infect</w:t>
      </w:r>
      <w:r w:rsidR="00DD00D4" w:rsidRPr="00DD00D4">
        <w:rPr>
          <w:rStyle w:val="csl-right-inline"/>
          <w:sz w:val="24"/>
        </w:rPr>
        <w:t xml:space="preserve"> 2014; </w:t>
      </w:r>
      <w:r w:rsidR="00DD00D4" w:rsidRPr="00DD00D4">
        <w:rPr>
          <w:rStyle w:val="csl-right-inline"/>
          <w:b/>
          <w:bCs/>
          <w:sz w:val="24"/>
        </w:rPr>
        <w:t>20</w:t>
      </w:r>
      <w:r w:rsidR="00DD00D4" w:rsidRPr="00DD00D4">
        <w:rPr>
          <w:rStyle w:val="csl-right-inline"/>
          <w:sz w:val="24"/>
        </w:rPr>
        <w:t>: 136–44.</w:t>
      </w:r>
    </w:p>
    <w:p w14:paraId="116F6129" w14:textId="74228008" w:rsidR="00DD00D4" w:rsidRPr="00DD00D4" w:rsidRDefault="00DF3270" w:rsidP="00A11DF4">
      <w:pPr>
        <w:pStyle w:val="EndnoteText"/>
        <w:spacing w:after="240" w:line="360" w:lineRule="auto"/>
        <w:rPr>
          <w:sz w:val="24"/>
        </w:rPr>
      </w:pPr>
      <w:r>
        <w:rPr>
          <w:sz w:val="24"/>
        </w:rPr>
        <w:t>6</w:t>
      </w:r>
      <w:r w:rsidR="00DD00D4" w:rsidRPr="00DD00D4">
        <w:rPr>
          <w:sz w:val="24"/>
        </w:rPr>
        <w:tab/>
      </w:r>
      <w:r w:rsidR="00DD00D4" w:rsidRPr="00DD00D4">
        <w:rPr>
          <w:rStyle w:val="csl-right-inline"/>
          <w:sz w:val="24"/>
        </w:rPr>
        <w:t xml:space="preserve">Cybulski RJ, Bateman AC, Bourassa L, </w:t>
      </w:r>
      <w:r w:rsidR="00DD00D4" w:rsidRPr="00DD00D4">
        <w:rPr>
          <w:rStyle w:val="csl-right-inline"/>
          <w:i/>
          <w:iCs/>
          <w:sz w:val="24"/>
        </w:rPr>
        <w:t>et al.</w:t>
      </w:r>
      <w:r w:rsidR="00DD00D4" w:rsidRPr="00DD00D4">
        <w:rPr>
          <w:rStyle w:val="csl-right-inline"/>
          <w:sz w:val="24"/>
        </w:rPr>
        <w:t xml:space="preserve"> Clinical Impact of a Multiplex Gastrointestinal Polymerase Chain Reaction Panel in Patients </w:t>
      </w:r>
      <w:proofErr w:type="gramStart"/>
      <w:r w:rsidR="00DD00D4" w:rsidRPr="00DD00D4">
        <w:rPr>
          <w:rStyle w:val="csl-right-inline"/>
          <w:sz w:val="24"/>
        </w:rPr>
        <w:t>With</w:t>
      </w:r>
      <w:proofErr w:type="gramEnd"/>
      <w:r w:rsidR="00DD00D4" w:rsidRPr="00DD00D4">
        <w:rPr>
          <w:rStyle w:val="csl-right-inline"/>
          <w:sz w:val="24"/>
        </w:rPr>
        <w:t xml:space="preserve"> Acute Gastroenteritis. </w:t>
      </w:r>
      <w:r w:rsidR="00DD00D4" w:rsidRPr="00DD00D4">
        <w:rPr>
          <w:rStyle w:val="csl-right-inline"/>
          <w:i/>
          <w:iCs/>
          <w:sz w:val="24"/>
        </w:rPr>
        <w:t>Clin Infect Dis</w:t>
      </w:r>
      <w:r w:rsidR="00DD00D4" w:rsidRPr="00DD00D4">
        <w:rPr>
          <w:rStyle w:val="csl-right-inline"/>
          <w:sz w:val="24"/>
        </w:rPr>
        <w:t xml:space="preserve"> 2018; </w:t>
      </w:r>
      <w:r w:rsidR="00DD00D4" w:rsidRPr="00DD00D4">
        <w:rPr>
          <w:rStyle w:val="csl-right-inline"/>
          <w:b/>
          <w:bCs/>
          <w:sz w:val="24"/>
        </w:rPr>
        <w:t>67</w:t>
      </w:r>
      <w:r w:rsidR="00DD00D4" w:rsidRPr="00DD00D4">
        <w:rPr>
          <w:rStyle w:val="csl-right-inline"/>
          <w:sz w:val="24"/>
        </w:rPr>
        <w:t>: 1688–96.</w:t>
      </w:r>
    </w:p>
    <w:p w14:paraId="78EF19CA" w14:textId="475E2B64" w:rsidR="00DD00D4" w:rsidRPr="00DD00D4" w:rsidRDefault="00DF3270" w:rsidP="00A11DF4">
      <w:pPr>
        <w:pStyle w:val="EndnoteText"/>
        <w:spacing w:after="240" w:line="360" w:lineRule="auto"/>
        <w:rPr>
          <w:sz w:val="24"/>
        </w:rPr>
      </w:pPr>
      <w:r w:rsidRPr="00DF3270">
        <w:rPr>
          <w:rStyle w:val="EndnoteReference"/>
          <w:sz w:val="24"/>
          <w:vertAlign w:val="baseline"/>
        </w:rPr>
        <w:t>7</w:t>
      </w:r>
      <w:r w:rsidR="00DD00D4" w:rsidRPr="00DD00D4">
        <w:rPr>
          <w:sz w:val="24"/>
        </w:rPr>
        <w:tab/>
      </w:r>
      <w:proofErr w:type="spellStart"/>
      <w:r w:rsidR="00DD00D4" w:rsidRPr="00DD00D4">
        <w:rPr>
          <w:rStyle w:val="csl-right-inline"/>
          <w:sz w:val="24"/>
        </w:rPr>
        <w:t>Machiels</w:t>
      </w:r>
      <w:proofErr w:type="spellEnd"/>
      <w:r w:rsidR="00DD00D4" w:rsidRPr="00DD00D4">
        <w:rPr>
          <w:rStyle w:val="csl-right-inline"/>
          <w:sz w:val="24"/>
        </w:rPr>
        <w:t xml:space="preserve"> JD, </w:t>
      </w:r>
      <w:proofErr w:type="spellStart"/>
      <w:r w:rsidR="00DD00D4" w:rsidRPr="00DD00D4">
        <w:rPr>
          <w:rStyle w:val="csl-right-inline"/>
          <w:sz w:val="24"/>
        </w:rPr>
        <w:t>Cremers</w:t>
      </w:r>
      <w:proofErr w:type="spellEnd"/>
      <w:r w:rsidR="00DD00D4" w:rsidRPr="00DD00D4">
        <w:rPr>
          <w:rStyle w:val="csl-right-inline"/>
          <w:sz w:val="24"/>
        </w:rPr>
        <w:t xml:space="preserve"> AJH, Bergen-</w:t>
      </w:r>
      <w:proofErr w:type="spellStart"/>
      <w:r w:rsidR="00DD00D4" w:rsidRPr="00DD00D4">
        <w:rPr>
          <w:rStyle w:val="csl-right-inline"/>
          <w:sz w:val="24"/>
        </w:rPr>
        <w:t>Verkuyten</w:t>
      </w:r>
      <w:proofErr w:type="spellEnd"/>
      <w:r w:rsidR="00DD00D4" w:rsidRPr="00DD00D4">
        <w:rPr>
          <w:rStyle w:val="csl-right-inline"/>
          <w:sz w:val="24"/>
        </w:rPr>
        <w:t xml:space="preserve"> MCGT van, </w:t>
      </w:r>
      <w:r w:rsidR="00DD00D4" w:rsidRPr="00DD00D4">
        <w:rPr>
          <w:rStyle w:val="csl-right-inline"/>
          <w:i/>
          <w:iCs/>
          <w:sz w:val="24"/>
        </w:rPr>
        <w:t>et al.</w:t>
      </w:r>
      <w:r w:rsidR="00DD00D4" w:rsidRPr="00DD00D4">
        <w:rPr>
          <w:rStyle w:val="csl-right-inline"/>
          <w:sz w:val="24"/>
        </w:rPr>
        <w:t xml:space="preserve"> Impact of the BioFire FilmArray gastrointestinal panel on patient care and infection control. </w:t>
      </w:r>
      <w:proofErr w:type="spellStart"/>
      <w:r w:rsidR="00DD00D4" w:rsidRPr="00DD00D4">
        <w:rPr>
          <w:rStyle w:val="csl-right-inline"/>
          <w:i/>
          <w:iCs/>
          <w:sz w:val="24"/>
        </w:rPr>
        <w:t>Plo</w:t>
      </w:r>
      <w:r w:rsidR="000A660D">
        <w:rPr>
          <w:rStyle w:val="csl-right-inline"/>
          <w:i/>
          <w:iCs/>
          <w:sz w:val="24"/>
        </w:rPr>
        <w:t>S</w:t>
      </w:r>
      <w:proofErr w:type="spellEnd"/>
      <w:r w:rsidR="00DD00D4" w:rsidRPr="00DD00D4">
        <w:rPr>
          <w:rStyle w:val="csl-right-inline"/>
          <w:i/>
          <w:iCs/>
          <w:sz w:val="24"/>
        </w:rPr>
        <w:t xml:space="preserve"> One</w:t>
      </w:r>
      <w:r w:rsidR="00DD00D4" w:rsidRPr="00DD00D4">
        <w:rPr>
          <w:rStyle w:val="csl-right-inline"/>
          <w:sz w:val="24"/>
        </w:rPr>
        <w:t xml:space="preserve"> 2020; </w:t>
      </w:r>
      <w:r w:rsidR="00DD00D4" w:rsidRPr="00DD00D4">
        <w:rPr>
          <w:rStyle w:val="csl-right-inline"/>
          <w:b/>
          <w:bCs/>
          <w:sz w:val="24"/>
        </w:rPr>
        <w:t>15</w:t>
      </w:r>
      <w:r w:rsidR="00DD00D4" w:rsidRPr="00DD00D4">
        <w:rPr>
          <w:rStyle w:val="csl-right-inline"/>
          <w:sz w:val="24"/>
        </w:rPr>
        <w:t>: e0228596.</w:t>
      </w:r>
    </w:p>
    <w:p w14:paraId="07BD478F" w14:textId="76071A1B" w:rsidR="00DD00D4" w:rsidRPr="00DD00D4" w:rsidRDefault="00DF3270" w:rsidP="00A11DF4">
      <w:pPr>
        <w:pStyle w:val="EndnoteText"/>
        <w:spacing w:after="240" w:line="360" w:lineRule="auto"/>
        <w:rPr>
          <w:sz w:val="24"/>
        </w:rPr>
      </w:pPr>
      <w:r w:rsidRPr="00DF3270">
        <w:rPr>
          <w:rStyle w:val="EndnoteReference"/>
          <w:sz w:val="24"/>
          <w:vertAlign w:val="baseline"/>
        </w:rPr>
        <w:t>8</w:t>
      </w:r>
      <w:r w:rsidR="00DD00D4" w:rsidRPr="00DD00D4">
        <w:rPr>
          <w:sz w:val="24"/>
        </w:rPr>
        <w:tab/>
      </w:r>
      <w:hyperlink r:id="rId11" w:history="1">
        <w:r w:rsidR="00DD00D4" w:rsidRPr="00DD00D4">
          <w:rPr>
            <w:rStyle w:val="Hyperlink"/>
            <w:sz w:val="24"/>
          </w:rPr>
          <w:t>https://files.digital.nhs.uk/7C/86725F/ERIC%20-%20202021%20-%20Report%20v2.xlsx</w:t>
        </w:r>
      </w:hyperlink>
      <w:r w:rsidR="00DD00D4" w:rsidRPr="00DD00D4">
        <w:rPr>
          <w:sz w:val="24"/>
        </w:rPr>
        <w:t xml:space="preserve"> [Last accessed 27</w:t>
      </w:r>
      <w:r w:rsidR="00DD00D4" w:rsidRPr="00DD00D4">
        <w:rPr>
          <w:sz w:val="24"/>
          <w:vertAlign w:val="superscript"/>
        </w:rPr>
        <w:t>th</w:t>
      </w:r>
      <w:r w:rsidR="00DD00D4" w:rsidRPr="00DD00D4">
        <w:rPr>
          <w:sz w:val="24"/>
        </w:rPr>
        <w:t xml:space="preserve"> September 2022]</w:t>
      </w:r>
      <w:r w:rsidR="00A142CA">
        <w:rPr>
          <w:sz w:val="24"/>
        </w:rPr>
        <w:t>.</w:t>
      </w:r>
    </w:p>
    <w:p w14:paraId="036EDF17" w14:textId="0981825C" w:rsidR="00DD00D4" w:rsidRPr="00DD00D4" w:rsidRDefault="00DF3270" w:rsidP="00A11DF4">
      <w:pPr>
        <w:pStyle w:val="EndnoteText"/>
        <w:spacing w:after="240" w:line="360" w:lineRule="auto"/>
        <w:rPr>
          <w:sz w:val="24"/>
        </w:rPr>
      </w:pPr>
      <w:r w:rsidRPr="00DF3270">
        <w:rPr>
          <w:rStyle w:val="EndnoteReference"/>
          <w:sz w:val="24"/>
          <w:vertAlign w:val="baseline"/>
        </w:rPr>
        <w:t>9</w:t>
      </w:r>
      <w:r w:rsidR="00DD00D4" w:rsidRPr="00DD00D4">
        <w:rPr>
          <w:sz w:val="24"/>
        </w:rPr>
        <w:t xml:space="preserve"> </w:t>
      </w:r>
      <w:hyperlink r:id="rId12" w:history="1">
        <w:r w:rsidR="00DD00D4" w:rsidRPr="00DD00D4">
          <w:rPr>
            <w:rStyle w:val="Hyperlink"/>
            <w:sz w:val="24"/>
          </w:rPr>
          <w:t>https://www.england.nhs.uk/statistics/wp-content/uploads/sites/2/2022/08/Beds-Open-Overnight-Web_File-Q1-2022-23-Final-TRFGH.xlsx</w:t>
        </w:r>
      </w:hyperlink>
      <w:r w:rsidR="00DD00D4" w:rsidRPr="00DD00D4">
        <w:rPr>
          <w:sz w:val="24"/>
        </w:rPr>
        <w:t xml:space="preserve"> </w:t>
      </w:r>
      <w:r w:rsidR="00A142CA" w:rsidRPr="00DD00D4">
        <w:rPr>
          <w:sz w:val="24"/>
        </w:rPr>
        <w:t>[Last accessed 27</w:t>
      </w:r>
      <w:r w:rsidR="00A142CA" w:rsidRPr="00DD00D4">
        <w:rPr>
          <w:sz w:val="24"/>
          <w:vertAlign w:val="superscript"/>
        </w:rPr>
        <w:t>th</w:t>
      </w:r>
      <w:r w:rsidR="00A142CA" w:rsidRPr="00DD00D4">
        <w:rPr>
          <w:sz w:val="24"/>
        </w:rPr>
        <w:t xml:space="preserve"> September 2022]</w:t>
      </w:r>
      <w:r w:rsidR="00A142CA">
        <w:rPr>
          <w:sz w:val="24"/>
        </w:rPr>
        <w:t>.</w:t>
      </w:r>
    </w:p>
    <w:p w14:paraId="4F713A4A" w14:textId="02B381D6" w:rsidR="00DD00D4" w:rsidRPr="00DD00D4" w:rsidRDefault="00DF3270" w:rsidP="00A11DF4">
      <w:pPr>
        <w:pStyle w:val="EndnoteText"/>
        <w:spacing w:after="240" w:line="360" w:lineRule="auto"/>
        <w:rPr>
          <w:sz w:val="24"/>
        </w:rPr>
      </w:pPr>
      <w:r>
        <w:rPr>
          <w:rStyle w:val="EndnoteReference"/>
          <w:sz w:val="24"/>
          <w:vertAlign w:val="baseline"/>
        </w:rPr>
        <w:t>1</w:t>
      </w:r>
      <w:r>
        <w:rPr>
          <w:sz w:val="24"/>
        </w:rPr>
        <w:t>0</w:t>
      </w:r>
      <w:r w:rsidR="00DD00D4" w:rsidRPr="00DD00D4">
        <w:rPr>
          <w:sz w:val="24"/>
        </w:rPr>
        <w:tab/>
      </w:r>
      <w:proofErr w:type="spellStart"/>
      <w:r w:rsidR="00DD00D4" w:rsidRPr="00DD00D4">
        <w:rPr>
          <w:rStyle w:val="csl-right-inline"/>
          <w:sz w:val="24"/>
        </w:rPr>
        <w:t>Kotar</w:t>
      </w:r>
      <w:proofErr w:type="spellEnd"/>
      <w:r w:rsidR="00DD00D4" w:rsidRPr="00DD00D4">
        <w:rPr>
          <w:rStyle w:val="csl-right-inline"/>
          <w:sz w:val="24"/>
        </w:rPr>
        <w:t xml:space="preserve"> T, </w:t>
      </w:r>
      <w:proofErr w:type="spellStart"/>
      <w:r w:rsidR="00DD00D4" w:rsidRPr="00DD00D4">
        <w:rPr>
          <w:rStyle w:val="csl-right-inline"/>
          <w:sz w:val="24"/>
        </w:rPr>
        <w:t>Pirš</w:t>
      </w:r>
      <w:proofErr w:type="spellEnd"/>
      <w:r w:rsidR="00DD00D4" w:rsidRPr="00DD00D4">
        <w:rPr>
          <w:rStyle w:val="csl-right-inline"/>
          <w:sz w:val="24"/>
        </w:rPr>
        <w:t xml:space="preserve"> M, Steyer A, </w:t>
      </w:r>
      <w:r w:rsidR="00DD00D4" w:rsidRPr="00DD00D4">
        <w:rPr>
          <w:rStyle w:val="csl-right-inline"/>
          <w:i/>
          <w:iCs/>
          <w:sz w:val="24"/>
        </w:rPr>
        <w:t>et al.</w:t>
      </w:r>
      <w:r w:rsidR="00DD00D4" w:rsidRPr="00DD00D4">
        <w:rPr>
          <w:rStyle w:val="csl-right-inline"/>
          <w:sz w:val="24"/>
        </w:rPr>
        <w:t xml:space="preserve"> Evaluation of rectal swab use for the determination of enteric pathogens: a prospective study of diarrhoea in adults. </w:t>
      </w:r>
      <w:r w:rsidR="00DD00D4" w:rsidRPr="00DD00D4">
        <w:rPr>
          <w:rStyle w:val="csl-right-inline"/>
          <w:i/>
          <w:iCs/>
          <w:sz w:val="24"/>
        </w:rPr>
        <w:t xml:space="preserve">Clin </w:t>
      </w:r>
      <w:proofErr w:type="spellStart"/>
      <w:r w:rsidR="00DD00D4" w:rsidRPr="00DD00D4">
        <w:rPr>
          <w:rStyle w:val="csl-right-inline"/>
          <w:i/>
          <w:iCs/>
          <w:sz w:val="24"/>
        </w:rPr>
        <w:t>Microbiol</w:t>
      </w:r>
      <w:proofErr w:type="spellEnd"/>
      <w:r w:rsidR="00DD00D4" w:rsidRPr="00DD00D4">
        <w:rPr>
          <w:rStyle w:val="csl-right-inline"/>
          <w:i/>
          <w:iCs/>
          <w:sz w:val="24"/>
        </w:rPr>
        <w:t xml:space="preserve"> Infec</w:t>
      </w:r>
      <w:r w:rsidR="000A660D">
        <w:rPr>
          <w:rStyle w:val="csl-right-inline"/>
          <w:i/>
          <w:iCs/>
          <w:sz w:val="24"/>
        </w:rPr>
        <w:t>t</w:t>
      </w:r>
      <w:r w:rsidR="00DD00D4" w:rsidRPr="00DD00D4">
        <w:rPr>
          <w:rStyle w:val="csl-right-inline"/>
          <w:sz w:val="24"/>
        </w:rPr>
        <w:t xml:space="preserve"> 2019; </w:t>
      </w:r>
      <w:r w:rsidR="00DD00D4" w:rsidRPr="00DD00D4">
        <w:rPr>
          <w:rStyle w:val="csl-right-inline"/>
          <w:b/>
          <w:bCs/>
          <w:sz w:val="24"/>
        </w:rPr>
        <w:t>25</w:t>
      </w:r>
      <w:r w:rsidR="00DD00D4" w:rsidRPr="00DD00D4">
        <w:rPr>
          <w:rStyle w:val="csl-right-inline"/>
          <w:sz w:val="24"/>
        </w:rPr>
        <w:t>: 733–8.</w:t>
      </w:r>
    </w:p>
    <w:p w14:paraId="45D606EB" w14:textId="0588C4A4" w:rsidR="00DD00D4" w:rsidRPr="00DD00D4" w:rsidRDefault="00A11DF4" w:rsidP="00A11DF4">
      <w:pPr>
        <w:pStyle w:val="EndnoteText"/>
        <w:spacing w:after="240" w:line="360" w:lineRule="auto"/>
        <w:rPr>
          <w:sz w:val="24"/>
        </w:rPr>
      </w:pPr>
      <w:r>
        <w:rPr>
          <w:rStyle w:val="EndnoteReference"/>
          <w:sz w:val="24"/>
          <w:vertAlign w:val="baseline"/>
        </w:rPr>
        <w:lastRenderedPageBreak/>
        <w:t>1</w:t>
      </w:r>
      <w:r>
        <w:rPr>
          <w:sz w:val="24"/>
        </w:rPr>
        <w:t>1</w:t>
      </w:r>
      <w:r w:rsidR="00DD00D4" w:rsidRPr="00DD00D4">
        <w:rPr>
          <w:sz w:val="24"/>
        </w:rPr>
        <w:tab/>
      </w:r>
      <w:proofErr w:type="spellStart"/>
      <w:r w:rsidR="00DD00D4" w:rsidRPr="00DD00D4">
        <w:rPr>
          <w:rStyle w:val="csl-right-inline"/>
          <w:sz w:val="24"/>
        </w:rPr>
        <w:t>Sidler</w:t>
      </w:r>
      <w:proofErr w:type="spellEnd"/>
      <w:r w:rsidR="00DD00D4" w:rsidRPr="00DD00D4">
        <w:rPr>
          <w:rStyle w:val="csl-right-inline"/>
          <w:sz w:val="24"/>
        </w:rPr>
        <w:t xml:space="preserve"> J, </w:t>
      </w:r>
      <w:proofErr w:type="spellStart"/>
      <w:r w:rsidR="00DD00D4" w:rsidRPr="00DD00D4">
        <w:rPr>
          <w:rStyle w:val="csl-right-inline"/>
          <w:sz w:val="24"/>
        </w:rPr>
        <w:t>Käch</w:t>
      </w:r>
      <w:proofErr w:type="spellEnd"/>
      <w:r w:rsidR="00DD00D4" w:rsidRPr="00DD00D4">
        <w:rPr>
          <w:rStyle w:val="csl-right-inline"/>
          <w:sz w:val="24"/>
        </w:rPr>
        <w:t xml:space="preserve"> R, Noppen C, </w:t>
      </w:r>
      <w:r w:rsidR="00DD00D4" w:rsidRPr="00DD00D4">
        <w:rPr>
          <w:rStyle w:val="csl-right-inline"/>
          <w:i/>
          <w:iCs/>
          <w:sz w:val="24"/>
        </w:rPr>
        <w:t>et al.</w:t>
      </w:r>
      <w:r w:rsidR="00DD00D4" w:rsidRPr="00DD00D4">
        <w:rPr>
          <w:rStyle w:val="csl-right-inline"/>
          <w:sz w:val="24"/>
        </w:rPr>
        <w:t xml:space="preserve"> Rectal swab for detection of norovirus by real-time PCR: similar sensitivity compared to faecal specimens. </w:t>
      </w:r>
      <w:r w:rsidR="00DD00D4" w:rsidRPr="00DD00D4">
        <w:rPr>
          <w:rStyle w:val="csl-right-inline"/>
          <w:i/>
          <w:iCs/>
          <w:sz w:val="24"/>
        </w:rPr>
        <w:t xml:space="preserve">Clin </w:t>
      </w:r>
      <w:proofErr w:type="spellStart"/>
      <w:r w:rsidR="00DD00D4" w:rsidRPr="00DD00D4">
        <w:rPr>
          <w:rStyle w:val="csl-right-inline"/>
          <w:i/>
          <w:iCs/>
          <w:sz w:val="24"/>
        </w:rPr>
        <w:t>Microbiol</w:t>
      </w:r>
      <w:proofErr w:type="spellEnd"/>
      <w:r w:rsidR="00DD00D4" w:rsidRPr="00DD00D4">
        <w:rPr>
          <w:rStyle w:val="csl-right-inline"/>
          <w:i/>
          <w:iCs/>
          <w:sz w:val="24"/>
        </w:rPr>
        <w:t xml:space="preserve"> Infect</w:t>
      </w:r>
      <w:r w:rsidR="00DD00D4" w:rsidRPr="00DD00D4">
        <w:rPr>
          <w:rStyle w:val="csl-right-inline"/>
          <w:sz w:val="24"/>
        </w:rPr>
        <w:t xml:space="preserve"> 2014; </w:t>
      </w:r>
      <w:r w:rsidR="00DD00D4" w:rsidRPr="00DD00D4">
        <w:rPr>
          <w:rStyle w:val="csl-right-inline"/>
          <w:b/>
          <w:bCs/>
          <w:sz w:val="24"/>
        </w:rPr>
        <w:t>20</w:t>
      </w:r>
      <w:r w:rsidR="00DD00D4" w:rsidRPr="00DD00D4">
        <w:rPr>
          <w:rStyle w:val="csl-right-inline"/>
          <w:sz w:val="24"/>
        </w:rPr>
        <w:t>: O1017–9.</w:t>
      </w:r>
    </w:p>
    <w:p w14:paraId="3ED43DA3" w14:textId="2CC39DC0" w:rsidR="00DD00D4" w:rsidRPr="00DD00D4" w:rsidRDefault="00A11DF4" w:rsidP="00A11DF4">
      <w:pPr>
        <w:pStyle w:val="EndnoteText"/>
        <w:spacing w:after="240" w:line="360" w:lineRule="auto"/>
        <w:rPr>
          <w:sz w:val="24"/>
        </w:rPr>
      </w:pPr>
      <w:r>
        <w:rPr>
          <w:rStyle w:val="EndnoteReference"/>
          <w:sz w:val="24"/>
          <w:vertAlign w:val="baseline"/>
        </w:rPr>
        <w:t>1</w:t>
      </w:r>
      <w:r>
        <w:rPr>
          <w:sz w:val="24"/>
        </w:rPr>
        <w:t>2</w:t>
      </w:r>
      <w:r w:rsidR="00DD00D4" w:rsidRPr="00DD00D4">
        <w:rPr>
          <w:sz w:val="24"/>
        </w:rPr>
        <w:tab/>
      </w:r>
      <w:r w:rsidR="00DD00D4" w:rsidRPr="00DD00D4">
        <w:rPr>
          <w:rStyle w:val="csl-right-inline"/>
          <w:sz w:val="24"/>
        </w:rPr>
        <w:t xml:space="preserve">Walker CR, </w:t>
      </w:r>
      <w:proofErr w:type="spellStart"/>
      <w:r w:rsidR="00DD00D4" w:rsidRPr="00DD00D4">
        <w:rPr>
          <w:rStyle w:val="csl-right-inline"/>
          <w:sz w:val="24"/>
        </w:rPr>
        <w:t>Lechiile</w:t>
      </w:r>
      <w:proofErr w:type="spellEnd"/>
      <w:r w:rsidR="00DD00D4" w:rsidRPr="00DD00D4">
        <w:rPr>
          <w:rStyle w:val="csl-right-inline"/>
          <w:sz w:val="24"/>
        </w:rPr>
        <w:t xml:space="preserve"> K, </w:t>
      </w:r>
      <w:proofErr w:type="spellStart"/>
      <w:r w:rsidR="00DD00D4" w:rsidRPr="00DD00D4">
        <w:rPr>
          <w:rStyle w:val="csl-right-inline"/>
          <w:sz w:val="24"/>
        </w:rPr>
        <w:t>Mokomane</w:t>
      </w:r>
      <w:proofErr w:type="spellEnd"/>
      <w:r w:rsidR="00DD00D4" w:rsidRPr="00DD00D4">
        <w:rPr>
          <w:rStyle w:val="csl-right-inline"/>
          <w:sz w:val="24"/>
        </w:rPr>
        <w:t xml:space="preserve"> M, </w:t>
      </w:r>
      <w:r w:rsidR="00DD00D4" w:rsidRPr="00DD00D4">
        <w:rPr>
          <w:rStyle w:val="csl-right-inline"/>
          <w:i/>
          <w:iCs/>
          <w:sz w:val="24"/>
        </w:rPr>
        <w:t>et al.</w:t>
      </w:r>
      <w:r w:rsidR="00DD00D4" w:rsidRPr="00DD00D4">
        <w:rPr>
          <w:rStyle w:val="csl-right-inline"/>
          <w:sz w:val="24"/>
        </w:rPr>
        <w:t xml:space="preserve"> Evaluation of Anatomically Designed Flocked Rectal Swabs for Use with the BioFire FilmArray Gastrointestinal Panel for Detection of Enteric Pathogens in Children Admitted to Hospital with Severe Gastroenteritis. </w:t>
      </w:r>
      <w:r w:rsidR="00DD00D4" w:rsidRPr="00DD00D4">
        <w:rPr>
          <w:rStyle w:val="csl-right-inline"/>
          <w:i/>
          <w:iCs/>
          <w:sz w:val="24"/>
        </w:rPr>
        <w:t xml:space="preserve">J Clin </w:t>
      </w:r>
      <w:proofErr w:type="spellStart"/>
      <w:r w:rsidR="00DD00D4" w:rsidRPr="00DD00D4">
        <w:rPr>
          <w:rStyle w:val="csl-right-inline"/>
          <w:i/>
          <w:iCs/>
          <w:sz w:val="24"/>
        </w:rPr>
        <w:t>Microbiol</w:t>
      </w:r>
      <w:proofErr w:type="spellEnd"/>
      <w:r w:rsidR="00DD00D4" w:rsidRPr="00DD00D4">
        <w:rPr>
          <w:rStyle w:val="csl-right-inline"/>
          <w:sz w:val="24"/>
        </w:rPr>
        <w:t xml:space="preserve"> 2019; </w:t>
      </w:r>
      <w:r w:rsidR="00DD00D4" w:rsidRPr="00DD00D4">
        <w:rPr>
          <w:rStyle w:val="csl-right-inline"/>
          <w:b/>
          <w:bCs/>
          <w:sz w:val="24"/>
        </w:rPr>
        <w:t>57</w:t>
      </w:r>
      <w:r w:rsidR="000A660D">
        <w:rPr>
          <w:rStyle w:val="csl-right-inline"/>
          <w:b/>
          <w:bCs/>
          <w:sz w:val="24"/>
        </w:rPr>
        <w:t xml:space="preserve">: </w:t>
      </w:r>
      <w:r w:rsidR="00DD00D4" w:rsidRPr="00DD00D4">
        <w:rPr>
          <w:rStyle w:val="csl-right-inline"/>
          <w:sz w:val="24"/>
        </w:rPr>
        <w:t>00962</w:t>
      </w:r>
      <w:r w:rsidR="000A660D" w:rsidRPr="00DD00D4">
        <w:rPr>
          <w:rStyle w:val="csl-right-inline"/>
          <w:sz w:val="24"/>
        </w:rPr>
        <w:t>–</w:t>
      </w:r>
      <w:r w:rsidR="00DD00D4" w:rsidRPr="00DD00D4">
        <w:rPr>
          <w:rStyle w:val="csl-right-inline"/>
          <w:sz w:val="24"/>
        </w:rPr>
        <w:t>19.</w:t>
      </w:r>
    </w:p>
    <w:p w14:paraId="6F4D6F01" w14:textId="5D4DF623" w:rsidR="00DD00D4" w:rsidRPr="00DD00D4" w:rsidRDefault="00A11DF4" w:rsidP="00A11DF4">
      <w:pPr>
        <w:pStyle w:val="EndnoteText"/>
        <w:spacing w:after="240" w:line="360" w:lineRule="auto"/>
        <w:rPr>
          <w:sz w:val="24"/>
        </w:rPr>
      </w:pPr>
      <w:r>
        <w:rPr>
          <w:rStyle w:val="EndnoteReference"/>
          <w:sz w:val="24"/>
          <w:vertAlign w:val="baseline"/>
        </w:rPr>
        <w:t>1</w:t>
      </w:r>
      <w:r>
        <w:rPr>
          <w:sz w:val="24"/>
        </w:rPr>
        <w:t>3</w:t>
      </w:r>
      <w:r w:rsidR="00DD00D4" w:rsidRPr="00DD00D4">
        <w:rPr>
          <w:sz w:val="24"/>
        </w:rPr>
        <w:tab/>
      </w:r>
      <w:r w:rsidR="00DD00D4" w:rsidRPr="00DD00D4">
        <w:rPr>
          <w:rStyle w:val="csl-right-inline"/>
          <w:sz w:val="24"/>
        </w:rPr>
        <w:t xml:space="preserve">Shane AL, </w:t>
      </w:r>
      <w:proofErr w:type="spellStart"/>
      <w:r w:rsidR="00DD00D4" w:rsidRPr="00DD00D4">
        <w:rPr>
          <w:rStyle w:val="csl-right-inline"/>
          <w:sz w:val="24"/>
        </w:rPr>
        <w:t>Mody</w:t>
      </w:r>
      <w:proofErr w:type="spellEnd"/>
      <w:r w:rsidR="00DD00D4" w:rsidRPr="00DD00D4">
        <w:rPr>
          <w:rStyle w:val="csl-right-inline"/>
          <w:sz w:val="24"/>
        </w:rPr>
        <w:t xml:space="preserve"> RK, Crump JA, </w:t>
      </w:r>
      <w:r w:rsidR="00DD00D4" w:rsidRPr="00DD00D4">
        <w:rPr>
          <w:rStyle w:val="csl-right-inline"/>
          <w:i/>
          <w:iCs/>
          <w:sz w:val="24"/>
        </w:rPr>
        <w:t>et al.</w:t>
      </w:r>
      <w:r w:rsidR="00DD00D4" w:rsidRPr="00DD00D4">
        <w:rPr>
          <w:rStyle w:val="csl-right-inline"/>
          <w:sz w:val="24"/>
        </w:rPr>
        <w:t xml:space="preserve"> 2017 Infectious Diseases Society of America Clinical Practice Guidelines for the Diagnosis and Management of Infectious </w:t>
      </w:r>
      <w:proofErr w:type="spellStart"/>
      <w:r w:rsidR="00DD00D4" w:rsidRPr="00DD00D4">
        <w:rPr>
          <w:rStyle w:val="csl-right-inline"/>
          <w:sz w:val="24"/>
        </w:rPr>
        <w:t>Diarrhea</w:t>
      </w:r>
      <w:proofErr w:type="spellEnd"/>
      <w:r w:rsidR="00DD00D4" w:rsidRPr="00DD00D4">
        <w:rPr>
          <w:rStyle w:val="csl-right-inline"/>
          <w:sz w:val="24"/>
        </w:rPr>
        <w:t xml:space="preserve">. </w:t>
      </w:r>
      <w:r w:rsidR="00DD00D4" w:rsidRPr="00DD00D4">
        <w:rPr>
          <w:rStyle w:val="csl-right-inline"/>
          <w:i/>
          <w:iCs/>
          <w:sz w:val="24"/>
        </w:rPr>
        <w:t>Clin Infect Dis</w:t>
      </w:r>
      <w:r w:rsidR="00DD00D4" w:rsidRPr="00DD00D4">
        <w:rPr>
          <w:rStyle w:val="csl-right-inline"/>
          <w:sz w:val="24"/>
        </w:rPr>
        <w:t xml:space="preserve"> 2017; </w:t>
      </w:r>
      <w:r w:rsidR="00DD00D4" w:rsidRPr="00DD00D4">
        <w:rPr>
          <w:rStyle w:val="csl-right-inline"/>
          <w:b/>
          <w:bCs/>
          <w:sz w:val="24"/>
        </w:rPr>
        <w:t>65</w:t>
      </w:r>
      <w:r w:rsidR="00DD00D4" w:rsidRPr="00DD00D4">
        <w:rPr>
          <w:rStyle w:val="csl-right-inline"/>
          <w:sz w:val="24"/>
        </w:rPr>
        <w:t>: e45–80.</w:t>
      </w:r>
    </w:p>
    <w:p w14:paraId="08A85C92" w14:textId="12E87E80" w:rsidR="00DD00D4" w:rsidRPr="00DD00D4" w:rsidRDefault="00A11DF4" w:rsidP="00A11DF4">
      <w:pPr>
        <w:pStyle w:val="EndnoteText"/>
        <w:spacing w:after="240" w:line="360" w:lineRule="auto"/>
        <w:rPr>
          <w:sz w:val="24"/>
        </w:rPr>
      </w:pPr>
      <w:r w:rsidRPr="00A11DF4">
        <w:rPr>
          <w:rStyle w:val="EndnoteReference"/>
          <w:sz w:val="24"/>
          <w:vertAlign w:val="baseline"/>
        </w:rPr>
        <w:t>1</w:t>
      </w:r>
      <w:r w:rsidRPr="00A11DF4">
        <w:rPr>
          <w:sz w:val="24"/>
        </w:rPr>
        <w:t>4</w:t>
      </w:r>
      <w:r w:rsidR="00DD00D4" w:rsidRPr="00DD00D4">
        <w:rPr>
          <w:sz w:val="24"/>
        </w:rPr>
        <w:tab/>
      </w:r>
      <w:proofErr w:type="spellStart"/>
      <w:r w:rsidR="00DD00D4" w:rsidRPr="00DD00D4">
        <w:rPr>
          <w:rStyle w:val="csl-right-inline"/>
          <w:sz w:val="24"/>
        </w:rPr>
        <w:t>Crobach</w:t>
      </w:r>
      <w:proofErr w:type="spellEnd"/>
      <w:r w:rsidR="00DD00D4" w:rsidRPr="00DD00D4">
        <w:rPr>
          <w:rStyle w:val="csl-right-inline"/>
          <w:sz w:val="24"/>
        </w:rPr>
        <w:t xml:space="preserve"> MJT, </w:t>
      </w:r>
      <w:proofErr w:type="spellStart"/>
      <w:r w:rsidR="00DD00D4" w:rsidRPr="00DD00D4">
        <w:rPr>
          <w:rStyle w:val="csl-right-inline"/>
          <w:sz w:val="24"/>
        </w:rPr>
        <w:t>Planche</w:t>
      </w:r>
      <w:proofErr w:type="spellEnd"/>
      <w:r w:rsidR="00DD00D4" w:rsidRPr="00DD00D4">
        <w:rPr>
          <w:rStyle w:val="csl-right-inline"/>
          <w:sz w:val="24"/>
        </w:rPr>
        <w:t xml:space="preserve"> T, Eckert C, </w:t>
      </w:r>
      <w:r w:rsidR="00DD00D4" w:rsidRPr="00DD00D4">
        <w:rPr>
          <w:rStyle w:val="csl-right-inline"/>
          <w:i/>
          <w:iCs/>
          <w:sz w:val="24"/>
        </w:rPr>
        <w:t>et al.</w:t>
      </w:r>
      <w:r w:rsidR="00DD00D4" w:rsidRPr="00DD00D4">
        <w:rPr>
          <w:rStyle w:val="csl-right-inline"/>
          <w:sz w:val="24"/>
        </w:rPr>
        <w:t xml:space="preserve"> European Society of Clinical Microbiology and Infectious Diseases: update of the diagnostic guidance document for Clostridium difficile infection. </w:t>
      </w:r>
      <w:r w:rsidR="00DD00D4" w:rsidRPr="00DD00D4">
        <w:rPr>
          <w:rStyle w:val="csl-right-inline"/>
          <w:i/>
          <w:iCs/>
          <w:sz w:val="24"/>
        </w:rPr>
        <w:t xml:space="preserve">Clin </w:t>
      </w:r>
      <w:proofErr w:type="spellStart"/>
      <w:r w:rsidR="00DD00D4" w:rsidRPr="00DD00D4">
        <w:rPr>
          <w:rStyle w:val="csl-right-inline"/>
          <w:i/>
          <w:iCs/>
          <w:sz w:val="24"/>
        </w:rPr>
        <w:t>Microbiol</w:t>
      </w:r>
      <w:proofErr w:type="spellEnd"/>
      <w:r w:rsidR="00DD00D4" w:rsidRPr="00DD00D4">
        <w:rPr>
          <w:rStyle w:val="csl-right-inline"/>
          <w:i/>
          <w:iCs/>
          <w:sz w:val="24"/>
        </w:rPr>
        <w:t xml:space="preserve"> Infec</w:t>
      </w:r>
      <w:r w:rsidR="000A660D">
        <w:rPr>
          <w:rStyle w:val="csl-right-inline"/>
          <w:i/>
          <w:iCs/>
          <w:sz w:val="24"/>
        </w:rPr>
        <w:t>t</w:t>
      </w:r>
      <w:r w:rsidR="00DD00D4" w:rsidRPr="00DD00D4">
        <w:rPr>
          <w:rStyle w:val="csl-right-inline"/>
          <w:sz w:val="24"/>
        </w:rPr>
        <w:t xml:space="preserve"> 2016; </w:t>
      </w:r>
      <w:r w:rsidR="00DD00D4" w:rsidRPr="00DD00D4">
        <w:rPr>
          <w:rStyle w:val="csl-right-inline"/>
          <w:b/>
          <w:bCs/>
          <w:sz w:val="24"/>
        </w:rPr>
        <w:t>22</w:t>
      </w:r>
      <w:r w:rsidR="00DD00D4" w:rsidRPr="00DD00D4">
        <w:rPr>
          <w:rStyle w:val="csl-right-inline"/>
          <w:sz w:val="24"/>
        </w:rPr>
        <w:t>: S63–81.</w:t>
      </w:r>
    </w:p>
    <w:p w14:paraId="3DF41366" w14:textId="4DB303CD" w:rsidR="00DD00D4" w:rsidRPr="00DD00D4" w:rsidRDefault="00A11DF4" w:rsidP="00A11DF4">
      <w:pPr>
        <w:pStyle w:val="EndnoteText"/>
        <w:spacing w:after="240" w:line="360" w:lineRule="auto"/>
        <w:rPr>
          <w:sz w:val="24"/>
        </w:rPr>
      </w:pPr>
      <w:r>
        <w:rPr>
          <w:rStyle w:val="EndnoteReference"/>
          <w:sz w:val="24"/>
          <w:vertAlign w:val="baseline"/>
        </w:rPr>
        <w:t>1</w:t>
      </w:r>
      <w:r>
        <w:rPr>
          <w:sz w:val="24"/>
        </w:rPr>
        <w:t>5</w:t>
      </w:r>
      <w:r w:rsidR="00DD00D4" w:rsidRPr="00DD00D4">
        <w:rPr>
          <w:sz w:val="24"/>
        </w:rPr>
        <w:tab/>
      </w:r>
      <w:r w:rsidR="00DD00D4" w:rsidRPr="00DD00D4">
        <w:rPr>
          <w:rStyle w:val="csl-right-inline"/>
          <w:sz w:val="24"/>
        </w:rPr>
        <w:t xml:space="preserve">Chang L-J, Hsiao C-J, Chen B, </w:t>
      </w:r>
      <w:r w:rsidR="00DD00D4" w:rsidRPr="00DD00D4">
        <w:rPr>
          <w:rStyle w:val="csl-right-inline"/>
          <w:i/>
          <w:iCs/>
          <w:sz w:val="24"/>
        </w:rPr>
        <w:t>et al.</w:t>
      </w:r>
      <w:r w:rsidR="00DD00D4" w:rsidRPr="00DD00D4">
        <w:rPr>
          <w:rStyle w:val="csl-right-inline"/>
          <w:sz w:val="24"/>
        </w:rPr>
        <w:t xml:space="preserve"> Accuracy and comparison of two rapid multiplex PCR tests for gastroenteritis pathogens: a systematic review and meta-analysis. </w:t>
      </w:r>
      <w:r w:rsidR="00DD00D4" w:rsidRPr="00DD00D4">
        <w:rPr>
          <w:rStyle w:val="csl-right-inline"/>
          <w:i/>
          <w:iCs/>
          <w:sz w:val="24"/>
        </w:rPr>
        <w:t>BMJ Open Gastroenterol</w:t>
      </w:r>
      <w:r w:rsidR="00DD00D4" w:rsidRPr="00DD00D4">
        <w:rPr>
          <w:rStyle w:val="csl-right-inline"/>
          <w:sz w:val="24"/>
        </w:rPr>
        <w:t xml:space="preserve"> 2021; </w:t>
      </w:r>
      <w:r w:rsidR="00DD00D4" w:rsidRPr="00DD00D4">
        <w:rPr>
          <w:rStyle w:val="csl-right-inline"/>
          <w:b/>
          <w:bCs/>
          <w:sz w:val="24"/>
        </w:rPr>
        <w:t>8</w:t>
      </w:r>
      <w:r w:rsidR="00DD00D4" w:rsidRPr="00DD00D4">
        <w:rPr>
          <w:rStyle w:val="csl-right-inline"/>
          <w:sz w:val="24"/>
        </w:rPr>
        <w:t>: e000553.</w:t>
      </w:r>
    </w:p>
    <w:p w14:paraId="5798F909" w14:textId="06FDB691" w:rsidR="00DD00D4" w:rsidRPr="00DD00D4" w:rsidRDefault="00A11DF4" w:rsidP="00A11DF4">
      <w:pPr>
        <w:pStyle w:val="EndnoteText"/>
        <w:spacing w:after="240" w:line="360" w:lineRule="auto"/>
        <w:rPr>
          <w:sz w:val="24"/>
        </w:rPr>
      </w:pPr>
      <w:r w:rsidRPr="00A11DF4">
        <w:rPr>
          <w:rStyle w:val="EndnoteReference"/>
          <w:sz w:val="24"/>
          <w:vertAlign w:val="baseline"/>
        </w:rPr>
        <w:t>1</w:t>
      </w:r>
      <w:r w:rsidRPr="00A11DF4">
        <w:rPr>
          <w:sz w:val="24"/>
        </w:rPr>
        <w:t>6</w:t>
      </w:r>
      <w:r w:rsidR="00DD00D4" w:rsidRPr="00DD00D4">
        <w:rPr>
          <w:rStyle w:val="csl-right-inline"/>
          <w:sz w:val="24"/>
        </w:rPr>
        <w:tab/>
        <w:t xml:space="preserve">Buss SN, </w:t>
      </w:r>
      <w:proofErr w:type="spellStart"/>
      <w:r w:rsidR="00DD00D4" w:rsidRPr="00DD00D4">
        <w:rPr>
          <w:rStyle w:val="csl-right-inline"/>
          <w:sz w:val="24"/>
        </w:rPr>
        <w:t>Leber</w:t>
      </w:r>
      <w:proofErr w:type="spellEnd"/>
      <w:r w:rsidR="00DD00D4" w:rsidRPr="00DD00D4">
        <w:rPr>
          <w:rStyle w:val="csl-right-inline"/>
          <w:sz w:val="24"/>
        </w:rPr>
        <w:t xml:space="preserve"> A, Chapin K, </w:t>
      </w:r>
      <w:r w:rsidR="00DD00D4" w:rsidRPr="00DD00D4">
        <w:rPr>
          <w:rStyle w:val="csl-right-inline"/>
          <w:i/>
          <w:iCs/>
          <w:sz w:val="24"/>
        </w:rPr>
        <w:t>et al.</w:t>
      </w:r>
      <w:r w:rsidR="00DD00D4" w:rsidRPr="00DD00D4">
        <w:rPr>
          <w:rStyle w:val="csl-right-inline"/>
          <w:sz w:val="24"/>
        </w:rPr>
        <w:t xml:space="preserve"> </w:t>
      </w:r>
      <w:proofErr w:type="spellStart"/>
      <w:r w:rsidR="00DD00D4" w:rsidRPr="00DD00D4">
        <w:rPr>
          <w:rStyle w:val="csl-right-inline"/>
          <w:sz w:val="24"/>
        </w:rPr>
        <w:t>Multicenter</w:t>
      </w:r>
      <w:proofErr w:type="spellEnd"/>
      <w:r w:rsidR="00DD00D4" w:rsidRPr="00DD00D4">
        <w:rPr>
          <w:rStyle w:val="csl-right-inline"/>
          <w:sz w:val="24"/>
        </w:rPr>
        <w:t xml:space="preserve"> Evaluation of the BioFire FilmArray Gastrointestinal Panel for Etiologic Diagnosis of Infectious Gastroenteritis. </w:t>
      </w:r>
      <w:r w:rsidR="00DD00D4" w:rsidRPr="00DD00D4">
        <w:rPr>
          <w:rStyle w:val="csl-right-inline"/>
          <w:i/>
          <w:iCs/>
          <w:sz w:val="24"/>
        </w:rPr>
        <w:t xml:space="preserve">J Clin </w:t>
      </w:r>
      <w:proofErr w:type="spellStart"/>
      <w:r w:rsidR="00DD00D4" w:rsidRPr="00DD00D4">
        <w:rPr>
          <w:rStyle w:val="csl-right-inline"/>
          <w:i/>
          <w:iCs/>
          <w:sz w:val="24"/>
        </w:rPr>
        <w:t>Microbiol</w:t>
      </w:r>
      <w:proofErr w:type="spellEnd"/>
      <w:r w:rsidR="00DD00D4" w:rsidRPr="00DD00D4">
        <w:rPr>
          <w:rStyle w:val="csl-right-inline"/>
          <w:i/>
          <w:iCs/>
          <w:sz w:val="24"/>
        </w:rPr>
        <w:t xml:space="preserve"> </w:t>
      </w:r>
      <w:r w:rsidR="00DD00D4" w:rsidRPr="00DD00D4">
        <w:rPr>
          <w:rStyle w:val="csl-right-inline"/>
          <w:sz w:val="24"/>
        </w:rPr>
        <w:t xml:space="preserve">2015; </w:t>
      </w:r>
      <w:r w:rsidR="00DD00D4" w:rsidRPr="00DD00D4">
        <w:rPr>
          <w:rStyle w:val="csl-right-inline"/>
          <w:b/>
          <w:bCs/>
          <w:sz w:val="24"/>
        </w:rPr>
        <w:t>53</w:t>
      </w:r>
      <w:r w:rsidR="00DD00D4" w:rsidRPr="00DD00D4">
        <w:rPr>
          <w:rStyle w:val="csl-right-inline"/>
          <w:sz w:val="24"/>
        </w:rPr>
        <w:t xml:space="preserve">: 915–25. </w:t>
      </w:r>
    </w:p>
    <w:p w14:paraId="2296A4F7" w14:textId="6E307236" w:rsidR="00DD00D4" w:rsidRPr="00CE7DF0" w:rsidRDefault="00A11DF4" w:rsidP="00A11DF4">
      <w:pPr>
        <w:pStyle w:val="EndnoteText"/>
        <w:spacing w:after="240" w:line="360" w:lineRule="auto"/>
        <w:rPr>
          <w:rStyle w:val="csl-right-inline"/>
          <w:sz w:val="24"/>
        </w:rPr>
      </w:pPr>
      <w:r w:rsidRPr="00A11DF4">
        <w:rPr>
          <w:rStyle w:val="EndnoteReference"/>
          <w:sz w:val="24"/>
          <w:vertAlign w:val="baseline"/>
        </w:rPr>
        <w:t>1</w:t>
      </w:r>
      <w:r w:rsidRPr="00A11DF4">
        <w:rPr>
          <w:sz w:val="24"/>
        </w:rPr>
        <w:t>7</w:t>
      </w:r>
      <w:r w:rsidR="00DD00D4" w:rsidRPr="00DD00D4">
        <w:rPr>
          <w:sz w:val="24"/>
        </w:rPr>
        <w:tab/>
      </w:r>
      <w:r w:rsidR="00DD00D4" w:rsidRPr="00DD00D4">
        <w:rPr>
          <w:rStyle w:val="csl-right-inline"/>
          <w:sz w:val="24"/>
        </w:rPr>
        <w:t xml:space="preserve">Spina A, Kerr KG, </w:t>
      </w:r>
      <w:proofErr w:type="spellStart"/>
      <w:r w:rsidR="00DD00D4" w:rsidRPr="00DD00D4">
        <w:rPr>
          <w:rStyle w:val="csl-right-inline"/>
          <w:sz w:val="24"/>
        </w:rPr>
        <w:t>Cormican</w:t>
      </w:r>
      <w:proofErr w:type="spellEnd"/>
      <w:r w:rsidR="00DD00D4" w:rsidRPr="00DD00D4">
        <w:rPr>
          <w:rStyle w:val="csl-right-inline"/>
          <w:sz w:val="24"/>
        </w:rPr>
        <w:t xml:space="preserve"> M, </w:t>
      </w:r>
      <w:r w:rsidR="00DD00D4" w:rsidRPr="00DD00D4">
        <w:rPr>
          <w:rStyle w:val="csl-right-inline"/>
          <w:i/>
          <w:iCs/>
          <w:sz w:val="24"/>
        </w:rPr>
        <w:t>et al.</w:t>
      </w:r>
      <w:r w:rsidR="00DD00D4" w:rsidRPr="00DD00D4">
        <w:rPr>
          <w:rStyle w:val="csl-right-inline"/>
          <w:sz w:val="24"/>
        </w:rPr>
        <w:t xml:space="preserve"> Spectrum of </w:t>
      </w:r>
      <w:proofErr w:type="spellStart"/>
      <w:r w:rsidR="00DD00D4" w:rsidRPr="00DD00D4">
        <w:rPr>
          <w:rStyle w:val="csl-right-inline"/>
          <w:sz w:val="24"/>
        </w:rPr>
        <w:t>enteropathogens</w:t>
      </w:r>
      <w:proofErr w:type="spellEnd"/>
      <w:r w:rsidR="00DD00D4" w:rsidRPr="00DD00D4">
        <w:rPr>
          <w:rStyle w:val="csl-right-inline"/>
          <w:sz w:val="24"/>
        </w:rPr>
        <w:t xml:space="preserve"> detected by the FilmArray GI Panel in a multicentre study of community-acquired gastroenteritis. </w:t>
      </w:r>
      <w:r w:rsidR="00DD00D4" w:rsidRPr="00DD00D4">
        <w:rPr>
          <w:rStyle w:val="csl-right-inline"/>
          <w:i/>
          <w:iCs/>
          <w:sz w:val="24"/>
        </w:rPr>
        <w:t xml:space="preserve">Clin </w:t>
      </w:r>
      <w:proofErr w:type="spellStart"/>
      <w:r w:rsidR="00DD00D4" w:rsidRPr="00DD00D4">
        <w:rPr>
          <w:rStyle w:val="csl-right-inline"/>
          <w:i/>
          <w:iCs/>
          <w:sz w:val="24"/>
        </w:rPr>
        <w:t>Microbiol</w:t>
      </w:r>
      <w:proofErr w:type="spellEnd"/>
      <w:r w:rsidR="00DD00D4" w:rsidRPr="00DD00D4">
        <w:rPr>
          <w:rStyle w:val="csl-right-inline"/>
          <w:i/>
          <w:iCs/>
          <w:sz w:val="24"/>
        </w:rPr>
        <w:t xml:space="preserve"> Infect</w:t>
      </w:r>
      <w:r w:rsidR="00DD00D4" w:rsidRPr="00DD00D4">
        <w:rPr>
          <w:rStyle w:val="csl-right-inline"/>
          <w:sz w:val="24"/>
        </w:rPr>
        <w:t xml:space="preserve"> 2015; </w:t>
      </w:r>
      <w:r w:rsidR="00DD00D4" w:rsidRPr="00DD00D4">
        <w:rPr>
          <w:rStyle w:val="csl-right-inline"/>
          <w:b/>
          <w:bCs/>
          <w:sz w:val="24"/>
        </w:rPr>
        <w:t>21</w:t>
      </w:r>
      <w:r w:rsidR="00DD00D4" w:rsidRPr="00DD00D4">
        <w:rPr>
          <w:rStyle w:val="csl-right-inline"/>
          <w:sz w:val="24"/>
        </w:rPr>
        <w:t>: 719–28.</w:t>
      </w:r>
    </w:p>
    <w:p w14:paraId="539A6353" w14:textId="7543A310" w:rsidR="00950D66" w:rsidRPr="00DD00D4" w:rsidRDefault="00950D66" w:rsidP="00A11DF4">
      <w:pPr>
        <w:pStyle w:val="EndnoteText"/>
        <w:spacing w:after="240" w:line="360" w:lineRule="auto"/>
        <w:rPr>
          <w:sz w:val="24"/>
        </w:rPr>
      </w:pPr>
      <w:r>
        <w:rPr>
          <w:rStyle w:val="csl-right-inline"/>
          <w:sz w:val="24"/>
        </w:rPr>
        <w:t>18</w:t>
      </w:r>
      <w:r>
        <w:rPr>
          <w:rStyle w:val="csl-right-inline"/>
          <w:sz w:val="24"/>
        </w:rPr>
        <w:tab/>
      </w:r>
      <w:proofErr w:type="spellStart"/>
      <w:r w:rsidRPr="00950D66">
        <w:rPr>
          <w:rStyle w:val="csl-right-inline"/>
          <w:sz w:val="24"/>
        </w:rPr>
        <w:t>Polage</w:t>
      </w:r>
      <w:proofErr w:type="spellEnd"/>
      <w:r w:rsidRPr="00950D66">
        <w:rPr>
          <w:rStyle w:val="csl-right-inline"/>
          <w:sz w:val="24"/>
        </w:rPr>
        <w:t xml:space="preserve"> CR, </w:t>
      </w:r>
      <w:proofErr w:type="spellStart"/>
      <w:r w:rsidRPr="00950D66">
        <w:rPr>
          <w:rStyle w:val="csl-right-inline"/>
          <w:sz w:val="24"/>
        </w:rPr>
        <w:t>Gyorke</w:t>
      </w:r>
      <w:proofErr w:type="spellEnd"/>
      <w:r w:rsidRPr="00950D66">
        <w:rPr>
          <w:rStyle w:val="csl-right-inline"/>
          <w:sz w:val="24"/>
        </w:rPr>
        <w:t xml:space="preserve"> CE, Kennedy MA,</w:t>
      </w:r>
      <w:r>
        <w:rPr>
          <w:rStyle w:val="csl-right-inline"/>
          <w:sz w:val="24"/>
        </w:rPr>
        <w:t xml:space="preserve"> </w:t>
      </w:r>
      <w:r>
        <w:rPr>
          <w:rStyle w:val="csl-right-inline"/>
          <w:i/>
          <w:iCs/>
          <w:sz w:val="24"/>
        </w:rPr>
        <w:t>et al</w:t>
      </w:r>
      <w:r w:rsidRPr="00950D66">
        <w:rPr>
          <w:rStyle w:val="csl-right-inline"/>
          <w:sz w:val="24"/>
        </w:rPr>
        <w:t xml:space="preserve">. Overdiagnosis of Clostridium difficile Infection in the Molecular Test Era. </w:t>
      </w:r>
      <w:r w:rsidRPr="00950D66">
        <w:rPr>
          <w:rStyle w:val="csl-right-inline"/>
          <w:i/>
          <w:iCs/>
          <w:sz w:val="24"/>
        </w:rPr>
        <w:t>JAMA Intern Med</w:t>
      </w:r>
      <w:r w:rsidRPr="00950D66">
        <w:rPr>
          <w:rStyle w:val="csl-right-inline"/>
          <w:sz w:val="24"/>
        </w:rPr>
        <w:t xml:space="preserve"> 2015;</w:t>
      </w:r>
      <w:r>
        <w:rPr>
          <w:rStyle w:val="csl-right-inline"/>
          <w:sz w:val="24"/>
        </w:rPr>
        <w:t xml:space="preserve"> </w:t>
      </w:r>
      <w:r w:rsidRPr="00950D66">
        <w:rPr>
          <w:rStyle w:val="csl-right-inline"/>
          <w:b/>
          <w:bCs/>
          <w:sz w:val="24"/>
        </w:rPr>
        <w:t>175</w:t>
      </w:r>
      <w:r w:rsidRPr="00950D66">
        <w:rPr>
          <w:rStyle w:val="csl-right-inline"/>
          <w:sz w:val="24"/>
        </w:rPr>
        <w:t>:</w:t>
      </w:r>
      <w:r>
        <w:rPr>
          <w:rStyle w:val="csl-right-inline"/>
          <w:sz w:val="24"/>
        </w:rPr>
        <w:t xml:space="preserve"> </w:t>
      </w:r>
      <w:r w:rsidRPr="00950D66">
        <w:rPr>
          <w:rStyle w:val="csl-right-inline"/>
          <w:sz w:val="24"/>
        </w:rPr>
        <w:t>1792</w:t>
      </w:r>
      <w:r w:rsidRPr="00DD00D4">
        <w:rPr>
          <w:rStyle w:val="csl-right-inline"/>
          <w:sz w:val="24"/>
        </w:rPr>
        <w:t>–</w:t>
      </w:r>
      <w:r w:rsidRPr="00950D66">
        <w:rPr>
          <w:rStyle w:val="csl-right-inline"/>
          <w:sz w:val="24"/>
        </w:rPr>
        <w:t xml:space="preserve">801. </w:t>
      </w:r>
    </w:p>
    <w:p w14:paraId="08435147" w14:textId="66CA5068" w:rsidR="00DD00D4" w:rsidRPr="00DD00D4" w:rsidRDefault="00A11DF4" w:rsidP="00A11DF4">
      <w:pPr>
        <w:pStyle w:val="EndnoteText"/>
        <w:spacing w:after="240" w:line="360" w:lineRule="auto"/>
        <w:rPr>
          <w:sz w:val="24"/>
        </w:rPr>
      </w:pPr>
      <w:r w:rsidRPr="00A11DF4">
        <w:rPr>
          <w:rStyle w:val="EndnoteReference"/>
          <w:sz w:val="24"/>
          <w:vertAlign w:val="baseline"/>
        </w:rPr>
        <w:t>1</w:t>
      </w:r>
      <w:r w:rsidR="0042055C">
        <w:rPr>
          <w:sz w:val="24"/>
        </w:rPr>
        <w:t>9</w:t>
      </w:r>
      <w:r w:rsidR="00DD00D4" w:rsidRPr="00DD00D4">
        <w:rPr>
          <w:sz w:val="24"/>
        </w:rPr>
        <w:tab/>
      </w:r>
      <w:hyperlink r:id="rId13" w:history="1">
        <w:r w:rsidR="00DD00D4" w:rsidRPr="00DD00D4">
          <w:rPr>
            <w:rStyle w:val="Hyperlink"/>
            <w:sz w:val="24"/>
          </w:rPr>
          <w:t>https://www.nice.org.uk/researchrecommendation/further-research-is-recommended-on-resource-use-and-clinical-effects-associated-with-using-the-xtag-</w:t>
        </w:r>
        <w:r w:rsidR="00DD00D4" w:rsidRPr="00DD00D4">
          <w:rPr>
            <w:rStyle w:val="Hyperlink"/>
            <w:sz w:val="24"/>
          </w:rPr>
          <w:lastRenderedPageBreak/>
          <w:t>gastrointestinal-pathogen-panel-the-filmarray-gi-panel-and-the-faecal-pathogens-b-assay</w:t>
        </w:r>
      </w:hyperlink>
      <w:r w:rsidR="00DD00D4" w:rsidRPr="00DD00D4">
        <w:rPr>
          <w:sz w:val="24"/>
        </w:rPr>
        <w:t xml:space="preserve"> [Last accessed 31st August 2022]</w:t>
      </w:r>
    </w:p>
    <w:p w14:paraId="1991D774" w14:textId="57B9EE82" w:rsidR="00DD00D4" w:rsidRPr="00DD00D4" w:rsidRDefault="0042055C" w:rsidP="00A11DF4">
      <w:pPr>
        <w:pStyle w:val="EndnoteText"/>
        <w:spacing w:after="240" w:line="360" w:lineRule="auto"/>
        <w:rPr>
          <w:sz w:val="24"/>
        </w:rPr>
      </w:pPr>
      <w:r>
        <w:rPr>
          <w:rStyle w:val="EndnoteReference"/>
          <w:sz w:val="24"/>
          <w:vertAlign w:val="baseline"/>
        </w:rPr>
        <w:t>2</w:t>
      </w:r>
      <w:r>
        <w:rPr>
          <w:sz w:val="24"/>
        </w:rPr>
        <w:t>0</w:t>
      </w:r>
      <w:r w:rsidR="00DD00D4" w:rsidRPr="00DD00D4">
        <w:rPr>
          <w:sz w:val="24"/>
        </w:rPr>
        <w:tab/>
      </w:r>
      <w:r w:rsidR="00DD00D4" w:rsidRPr="00DD00D4">
        <w:rPr>
          <w:rStyle w:val="csl-right-inline"/>
          <w:sz w:val="24"/>
        </w:rPr>
        <w:t>Randomised controlled trial comparing molecular Point-of-Care testing for gastrointestinal pathogens with standard clinical care, in adults presenting to secondary care with suspected infectious gastroenteritis (</w:t>
      </w:r>
      <w:proofErr w:type="spellStart"/>
      <w:r w:rsidR="00DD00D4" w:rsidRPr="00DD00D4">
        <w:rPr>
          <w:rStyle w:val="csl-right-inline"/>
          <w:sz w:val="24"/>
        </w:rPr>
        <w:t>GastroPOC</w:t>
      </w:r>
      <w:proofErr w:type="spellEnd"/>
      <w:r w:rsidR="00DD00D4" w:rsidRPr="00DD00D4">
        <w:rPr>
          <w:rStyle w:val="csl-right-inline"/>
          <w:sz w:val="24"/>
        </w:rPr>
        <w:t xml:space="preserve"> Trial) [Trial Protocol] available via https://eprints.soton.ac.uk/449770/ [Last accessed </w:t>
      </w:r>
      <w:r w:rsidR="000A660D">
        <w:rPr>
          <w:rStyle w:val="csl-right-inline"/>
          <w:sz w:val="24"/>
        </w:rPr>
        <w:t>10</w:t>
      </w:r>
      <w:r w:rsidR="000A660D" w:rsidRPr="000A660D">
        <w:rPr>
          <w:rStyle w:val="csl-right-inline"/>
          <w:sz w:val="24"/>
          <w:vertAlign w:val="superscript"/>
        </w:rPr>
        <w:t>th</w:t>
      </w:r>
      <w:r w:rsidR="000A660D">
        <w:rPr>
          <w:rStyle w:val="csl-right-inline"/>
          <w:sz w:val="24"/>
        </w:rPr>
        <w:t xml:space="preserve"> October</w:t>
      </w:r>
      <w:r w:rsidR="00DD00D4" w:rsidRPr="00DD00D4">
        <w:rPr>
          <w:rStyle w:val="csl-right-inline"/>
          <w:sz w:val="24"/>
        </w:rPr>
        <w:t xml:space="preserve"> 2022]</w:t>
      </w:r>
      <w:r w:rsidR="00A142CA">
        <w:rPr>
          <w:rStyle w:val="csl-right-inline"/>
          <w:sz w:val="24"/>
        </w:rPr>
        <w:t>.</w:t>
      </w:r>
    </w:p>
    <w:p w14:paraId="0B033BA2" w14:textId="7CAA9F7D" w:rsidR="00DD00D4" w:rsidRPr="00DD00D4" w:rsidRDefault="00A11DF4" w:rsidP="00A11DF4">
      <w:pPr>
        <w:pStyle w:val="EndnoteText"/>
        <w:spacing w:after="240" w:line="360" w:lineRule="auto"/>
        <w:rPr>
          <w:sz w:val="24"/>
        </w:rPr>
      </w:pPr>
      <w:r w:rsidRPr="00A11DF4">
        <w:rPr>
          <w:rStyle w:val="EndnoteReference"/>
          <w:sz w:val="24"/>
          <w:vertAlign w:val="baseline"/>
        </w:rPr>
        <w:t>2</w:t>
      </w:r>
      <w:r w:rsidR="0042055C">
        <w:rPr>
          <w:rStyle w:val="EndnoteReference"/>
          <w:sz w:val="24"/>
          <w:vertAlign w:val="baseline"/>
        </w:rPr>
        <w:t>1</w:t>
      </w:r>
      <w:r w:rsidR="00DD00D4" w:rsidRPr="00DD00D4">
        <w:rPr>
          <w:sz w:val="24"/>
        </w:rPr>
        <w:tab/>
      </w:r>
      <w:hyperlink r:id="rId14" w:history="1">
        <w:r w:rsidR="00DD00D4" w:rsidRPr="00DD00D4">
          <w:rPr>
            <w:rStyle w:val="Hyperlink"/>
            <w:sz w:val="24"/>
          </w:rPr>
          <w:t>https://bnf.nice.org.uk/treatment-summaries/gastro-intestinal-system-infections-antibacterial-therapy/</w:t>
        </w:r>
      </w:hyperlink>
      <w:r w:rsidR="00DD00D4" w:rsidRPr="00DD00D4">
        <w:rPr>
          <w:sz w:val="24"/>
        </w:rPr>
        <w:t xml:space="preserve"> [last accessed 31</w:t>
      </w:r>
      <w:r w:rsidR="00DD00D4" w:rsidRPr="00DD00D4">
        <w:rPr>
          <w:sz w:val="24"/>
          <w:vertAlign w:val="superscript"/>
        </w:rPr>
        <w:t>st</w:t>
      </w:r>
      <w:r w:rsidR="00DD00D4" w:rsidRPr="00DD00D4">
        <w:rPr>
          <w:sz w:val="24"/>
        </w:rPr>
        <w:t xml:space="preserve"> August 2022]</w:t>
      </w:r>
      <w:r w:rsidR="00A142CA">
        <w:rPr>
          <w:sz w:val="24"/>
        </w:rPr>
        <w:t>.</w:t>
      </w:r>
    </w:p>
    <w:p w14:paraId="16137C10" w14:textId="237F98F6" w:rsidR="00DD00D4" w:rsidRPr="00DD00D4" w:rsidRDefault="00A11DF4" w:rsidP="00A11DF4">
      <w:pPr>
        <w:pStyle w:val="EndnoteText"/>
        <w:spacing w:after="240" w:line="360" w:lineRule="auto"/>
        <w:rPr>
          <w:sz w:val="24"/>
        </w:rPr>
      </w:pPr>
      <w:r w:rsidRPr="00A11DF4">
        <w:rPr>
          <w:rStyle w:val="EndnoteReference"/>
          <w:sz w:val="24"/>
          <w:vertAlign w:val="baseline"/>
        </w:rPr>
        <w:t>2</w:t>
      </w:r>
      <w:r w:rsidR="0042055C">
        <w:rPr>
          <w:rStyle w:val="EndnoteReference"/>
          <w:sz w:val="24"/>
          <w:vertAlign w:val="baseline"/>
        </w:rPr>
        <w:t>2</w:t>
      </w:r>
      <w:r w:rsidR="00DD00D4" w:rsidRPr="00DD00D4">
        <w:rPr>
          <w:sz w:val="24"/>
        </w:rPr>
        <w:tab/>
      </w:r>
      <w:r w:rsidR="00DD00D4" w:rsidRPr="00DD00D4">
        <w:rPr>
          <w:rStyle w:val="csl-right-inline"/>
          <w:sz w:val="24"/>
        </w:rPr>
        <w:t xml:space="preserve">Oliver D. David Oliver: Should single rooms be the default for NHS inpatients? </w:t>
      </w:r>
      <w:r w:rsidR="00DD00D4" w:rsidRPr="00DD00D4">
        <w:rPr>
          <w:rStyle w:val="csl-right-inline"/>
          <w:i/>
          <w:iCs/>
          <w:sz w:val="24"/>
        </w:rPr>
        <w:t>BMJ</w:t>
      </w:r>
      <w:r w:rsidR="00DD00D4" w:rsidRPr="00DD00D4">
        <w:rPr>
          <w:rStyle w:val="csl-right-inline"/>
          <w:sz w:val="24"/>
        </w:rPr>
        <w:t xml:space="preserve"> 2021; </w:t>
      </w:r>
      <w:r w:rsidR="00DD00D4" w:rsidRPr="00DD00D4">
        <w:rPr>
          <w:rStyle w:val="csl-right-inline"/>
          <w:b/>
          <w:bCs/>
          <w:sz w:val="24"/>
        </w:rPr>
        <w:t>375</w:t>
      </w:r>
      <w:r w:rsidR="00DD00D4" w:rsidRPr="00DD00D4">
        <w:rPr>
          <w:rStyle w:val="csl-right-inline"/>
          <w:sz w:val="24"/>
        </w:rPr>
        <w:t>: n2612.</w:t>
      </w:r>
    </w:p>
    <w:p w14:paraId="048B2CDC" w14:textId="5686C381" w:rsidR="00DD00D4" w:rsidRDefault="00A11DF4" w:rsidP="00A11DF4">
      <w:pPr>
        <w:pStyle w:val="EndnoteText"/>
        <w:spacing w:after="240" w:line="360" w:lineRule="auto"/>
        <w:rPr>
          <w:rStyle w:val="csl-right-inline"/>
          <w:sz w:val="24"/>
        </w:rPr>
      </w:pPr>
      <w:r w:rsidRPr="00A11DF4">
        <w:rPr>
          <w:rStyle w:val="EndnoteReference"/>
          <w:sz w:val="24"/>
          <w:vertAlign w:val="baseline"/>
        </w:rPr>
        <w:t>2</w:t>
      </w:r>
      <w:r w:rsidR="0042055C">
        <w:rPr>
          <w:rStyle w:val="EndnoteReference"/>
          <w:sz w:val="24"/>
          <w:vertAlign w:val="baseline"/>
        </w:rPr>
        <w:t>3</w:t>
      </w:r>
      <w:r w:rsidR="00DD00D4" w:rsidRPr="00DD00D4">
        <w:rPr>
          <w:sz w:val="24"/>
        </w:rPr>
        <w:tab/>
      </w:r>
      <w:r w:rsidR="00DD00D4" w:rsidRPr="00DD00D4">
        <w:rPr>
          <w:rStyle w:val="csl-right-inline"/>
          <w:sz w:val="24"/>
        </w:rPr>
        <w:t xml:space="preserve">Meltzer AC, Newton S, Lange J, </w:t>
      </w:r>
      <w:r w:rsidR="00DD00D4" w:rsidRPr="00DD00D4">
        <w:rPr>
          <w:rStyle w:val="csl-right-inline"/>
          <w:i/>
          <w:iCs/>
          <w:sz w:val="24"/>
        </w:rPr>
        <w:t>et al.</w:t>
      </w:r>
      <w:r w:rsidR="00DD00D4" w:rsidRPr="00DD00D4">
        <w:rPr>
          <w:rStyle w:val="csl-right-inline"/>
          <w:sz w:val="24"/>
        </w:rPr>
        <w:t xml:space="preserve"> A randomized control trial of a multiplex gastrointestinal PCR panel versus usual testing to assess antibiotics use for patients with infectious </w:t>
      </w:r>
      <w:proofErr w:type="spellStart"/>
      <w:r w:rsidR="00DD00D4" w:rsidRPr="00DD00D4">
        <w:rPr>
          <w:rStyle w:val="csl-right-inline"/>
          <w:sz w:val="24"/>
        </w:rPr>
        <w:t>diarrhea</w:t>
      </w:r>
      <w:proofErr w:type="spellEnd"/>
      <w:r w:rsidR="00DD00D4" w:rsidRPr="00DD00D4">
        <w:rPr>
          <w:rStyle w:val="csl-right-inline"/>
          <w:sz w:val="24"/>
        </w:rPr>
        <w:t xml:space="preserve"> in the emergency department. </w:t>
      </w:r>
      <w:r w:rsidR="00DD00D4" w:rsidRPr="00DD00D4">
        <w:rPr>
          <w:rStyle w:val="csl-right-inline"/>
          <w:i/>
          <w:iCs/>
          <w:sz w:val="24"/>
        </w:rPr>
        <w:t xml:space="preserve">J Am Coll </w:t>
      </w:r>
      <w:proofErr w:type="spellStart"/>
      <w:r w:rsidR="00DD00D4" w:rsidRPr="00DD00D4">
        <w:rPr>
          <w:rStyle w:val="csl-right-inline"/>
          <w:i/>
          <w:iCs/>
          <w:sz w:val="24"/>
        </w:rPr>
        <w:t>Emerg</w:t>
      </w:r>
      <w:proofErr w:type="spellEnd"/>
      <w:r w:rsidR="00DD00D4" w:rsidRPr="00DD00D4">
        <w:rPr>
          <w:rStyle w:val="csl-right-inline"/>
          <w:i/>
          <w:iCs/>
          <w:sz w:val="24"/>
        </w:rPr>
        <w:t xml:space="preserve"> Physicians Open</w:t>
      </w:r>
      <w:r w:rsidR="00DD00D4" w:rsidRPr="00DD00D4">
        <w:rPr>
          <w:rStyle w:val="csl-right-inline"/>
          <w:sz w:val="24"/>
        </w:rPr>
        <w:t xml:space="preserve"> 2022; </w:t>
      </w:r>
      <w:r w:rsidR="00DD00D4" w:rsidRPr="00DD00D4">
        <w:rPr>
          <w:rStyle w:val="csl-right-inline"/>
          <w:b/>
          <w:bCs/>
          <w:sz w:val="24"/>
        </w:rPr>
        <w:t>3</w:t>
      </w:r>
      <w:r w:rsidR="00DD00D4" w:rsidRPr="00DD00D4">
        <w:rPr>
          <w:rStyle w:val="csl-right-inline"/>
          <w:sz w:val="24"/>
        </w:rPr>
        <w:t>: e12616.</w:t>
      </w:r>
    </w:p>
    <w:p w14:paraId="3062DB8B" w14:textId="0B07100C" w:rsidR="002709DA" w:rsidRDefault="002709DA" w:rsidP="00A11DF4">
      <w:pPr>
        <w:pStyle w:val="EndnoteText"/>
        <w:spacing w:after="240" w:line="360" w:lineRule="auto"/>
        <w:rPr>
          <w:sz w:val="24"/>
        </w:rPr>
      </w:pPr>
      <w:r>
        <w:rPr>
          <w:sz w:val="24"/>
        </w:rPr>
        <w:t>2</w:t>
      </w:r>
      <w:r w:rsidR="0042055C">
        <w:rPr>
          <w:sz w:val="24"/>
        </w:rPr>
        <w:t>4</w:t>
      </w:r>
      <w:r>
        <w:rPr>
          <w:sz w:val="24"/>
        </w:rPr>
        <w:tab/>
      </w:r>
      <w:proofErr w:type="spellStart"/>
      <w:r w:rsidRPr="002709DA">
        <w:rPr>
          <w:sz w:val="24"/>
        </w:rPr>
        <w:t>DiDiodato</w:t>
      </w:r>
      <w:proofErr w:type="spellEnd"/>
      <w:r w:rsidRPr="002709DA">
        <w:rPr>
          <w:sz w:val="24"/>
        </w:rPr>
        <w:t xml:space="preserve"> G, Allen A, Bradbury N, </w:t>
      </w:r>
      <w:r w:rsidRPr="002709DA">
        <w:rPr>
          <w:i/>
          <w:iCs/>
          <w:sz w:val="24"/>
        </w:rPr>
        <w:t>et al.</w:t>
      </w:r>
      <w:r w:rsidRPr="002709DA">
        <w:rPr>
          <w:sz w:val="24"/>
        </w:rPr>
        <w:t xml:space="preserve"> The Efficacy of the BioFire FilmArray Gastrointestinal Panel to Reduce Hospital Costs Associated </w:t>
      </w:r>
      <w:proofErr w:type="gramStart"/>
      <w:r w:rsidRPr="002709DA">
        <w:rPr>
          <w:sz w:val="24"/>
        </w:rPr>
        <w:t>With</w:t>
      </w:r>
      <w:proofErr w:type="gramEnd"/>
      <w:r w:rsidRPr="002709DA">
        <w:rPr>
          <w:sz w:val="24"/>
        </w:rPr>
        <w:t xml:space="preserve"> Contact Isolation: A Pragmatic Randomized Controlled Trial. </w:t>
      </w:r>
      <w:proofErr w:type="spellStart"/>
      <w:r w:rsidRPr="002709DA">
        <w:rPr>
          <w:i/>
          <w:iCs/>
          <w:sz w:val="24"/>
        </w:rPr>
        <w:t>Cureus</w:t>
      </w:r>
      <w:proofErr w:type="spellEnd"/>
      <w:r w:rsidRPr="002709DA">
        <w:rPr>
          <w:sz w:val="24"/>
        </w:rPr>
        <w:t xml:space="preserve"> 2022; </w:t>
      </w:r>
      <w:r w:rsidRPr="002709DA">
        <w:rPr>
          <w:b/>
          <w:bCs/>
          <w:sz w:val="24"/>
        </w:rPr>
        <w:t>14</w:t>
      </w:r>
      <w:r w:rsidRPr="002709DA">
        <w:rPr>
          <w:sz w:val="24"/>
        </w:rPr>
        <w:t>: e27931.</w:t>
      </w:r>
    </w:p>
    <w:p w14:paraId="58BFC900" w14:textId="64CF001D" w:rsidR="00957AEA" w:rsidRPr="00DD00D4" w:rsidRDefault="00957AEA" w:rsidP="00A11DF4">
      <w:pPr>
        <w:pStyle w:val="EndnoteText"/>
        <w:spacing w:after="240" w:line="360" w:lineRule="auto"/>
        <w:rPr>
          <w:sz w:val="24"/>
        </w:rPr>
      </w:pPr>
      <w:r>
        <w:rPr>
          <w:sz w:val="24"/>
        </w:rPr>
        <w:t>2</w:t>
      </w:r>
      <w:r w:rsidR="0042055C">
        <w:rPr>
          <w:sz w:val="24"/>
        </w:rPr>
        <w:t>5</w:t>
      </w:r>
      <w:r>
        <w:rPr>
          <w:sz w:val="24"/>
        </w:rPr>
        <w:tab/>
      </w:r>
      <w:proofErr w:type="spellStart"/>
      <w:r w:rsidRPr="00957AEA">
        <w:rPr>
          <w:sz w:val="24"/>
        </w:rPr>
        <w:t>Pernica</w:t>
      </w:r>
      <w:proofErr w:type="spellEnd"/>
      <w:r w:rsidRPr="00957AEA">
        <w:rPr>
          <w:sz w:val="24"/>
        </w:rPr>
        <w:t xml:space="preserve"> JM, Arscott-Mills T, </w:t>
      </w:r>
      <w:proofErr w:type="spellStart"/>
      <w:r w:rsidRPr="00957AEA">
        <w:rPr>
          <w:sz w:val="24"/>
        </w:rPr>
        <w:t>Steenhoff</w:t>
      </w:r>
      <w:proofErr w:type="spellEnd"/>
      <w:r w:rsidRPr="00957AEA">
        <w:rPr>
          <w:sz w:val="24"/>
        </w:rPr>
        <w:t xml:space="preserve"> AP, </w:t>
      </w:r>
      <w:r>
        <w:rPr>
          <w:i/>
          <w:iCs/>
          <w:sz w:val="24"/>
        </w:rPr>
        <w:t>et al</w:t>
      </w:r>
      <w:r w:rsidRPr="00957AEA">
        <w:rPr>
          <w:sz w:val="24"/>
        </w:rPr>
        <w:t xml:space="preserve">. Optimising the management of childhood acute diarrhoeal disease using a rapid test-and- treat strategy and/or </w:t>
      </w:r>
      <w:r w:rsidRPr="00817E8C">
        <w:rPr>
          <w:i/>
          <w:iCs/>
          <w:sz w:val="24"/>
        </w:rPr>
        <w:t xml:space="preserve">Lactobacillus </w:t>
      </w:r>
      <w:proofErr w:type="spellStart"/>
      <w:r w:rsidRPr="00817E8C">
        <w:rPr>
          <w:i/>
          <w:iCs/>
          <w:sz w:val="24"/>
        </w:rPr>
        <w:t>reuteri</w:t>
      </w:r>
      <w:proofErr w:type="spellEnd"/>
      <w:r w:rsidRPr="00957AEA">
        <w:rPr>
          <w:sz w:val="24"/>
        </w:rPr>
        <w:t xml:space="preserve"> DSM 17938: a multicentre, randomised, controlled, factorial trial in Botswana. </w:t>
      </w:r>
      <w:r w:rsidRPr="00957AEA">
        <w:rPr>
          <w:i/>
          <w:iCs/>
          <w:sz w:val="24"/>
        </w:rPr>
        <w:t>BMJ Glob Health</w:t>
      </w:r>
      <w:r w:rsidRPr="00957AEA">
        <w:rPr>
          <w:sz w:val="24"/>
        </w:rPr>
        <w:t xml:space="preserve"> 2022</w:t>
      </w:r>
      <w:r>
        <w:rPr>
          <w:sz w:val="24"/>
        </w:rPr>
        <w:t>;</w:t>
      </w:r>
      <w:r w:rsidRPr="00957AEA">
        <w:rPr>
          <w:sz w:val="24"/>
        </w:rPr>
        <w:t xml:space="preserve"> </w:t>
      </w:r>
      <w:r w:rsidRPr="00957AEA">
        <w:rPr>
          <w:b/>
          <w:bCs/>
          <w:sz w:val="24"/>
        </w:rPr>
        <w:t>7</w:t>
      </w:r>
      <w:r>
        <w:rPr>
          <w:sz w:val="24"/>
        </w:rPr>
        <w:t xml:space="preserve">: </w:t>
      </w:r>
      <w:r w:rsidRPr="00957AEA">
        <w:rPr>
          <w:sz w:val="24"/>
        </w:rPr>
        <w:t xml:space="preserve">e007826. </w:t>
      </w:r>
    </w:p>
    <w:p w14:paraId="6A44AC7E" w14:textId="165D731B" w:rsidR="00DD00D4" w:rsidRPr="00A11DF4" w:rsidRDefault="00A11DF4" w:rsidP="00A11DF4">
      <w:pPr>
        <w:pStyle w:val="EndnoteText"/>
        <w:spacing w:after="240" w:line="360" w:lineRule="auto"/>
        <w:rPr>
          <w:sz w:val="24"/>
          <w:szCs w:val="24"/>
        </w:rPr>
      </w:pPr>
      <w:r w:rsidRPr="00A11DF4">
        <w:rPr>
          <w:rStyle w:val="EndnoteReference"/>
          <w:sz w:val="24"/>
          <w:szCs w:val="24"/>
          <w:vertAlign w:val="baseline"/>
        </w:rPr>
        <w:t>2</w:t>
      </w:r>
      <w:r w:rsidR="0042055C">
        <w:rPr>
          <w:sz w:val="24"/>
          <w:szCs w:val="24"/>
        </w:rPr>
        <w:t>6</w:t>
      </w:r>
      <w:r w:rsidR="00DD00D4" w:rsidRPr="00A11DF4">
        <w:rPr>
          <w:sz w:val="24"/>
          <w:szCs w:val="24"/>
        </w:rPr>
        <w:tab/>
      </w:r>
      <w:r w:rsidR="00DD00D4" w:rsidRPr="00A11DF4">
        <w:rPr>
          <w:rStyle w:val="csl-right-inline"/>
          <w:sz w:val="24"/>
          <w:szCs w:val="24"/>
        </w:rPr>
        <w:t xml:space="preserve">Brendish NJ, Malachira AK, Armstrong L, </w:t>
      </w:r>
      <w:r w:rsidR="00DD00D4" w:rsidRPr="00A11DF4">
        <w:rPr>
          <w:rStyle w:val="csl-right-inline"/>
          <w:i/>
          <w:iCs/>
          <w:sz w:val="24"/>
          <w:szCs w:val="24"/>
        </w:rPr>
        <w:t>et al.</w:t>
      </w:r>
      <w:r w:rsidR="00DD00D4" w:rsidRPr="00A11DF4">
        <w:rPr>
          <w:rStyle w:val="csl-right-inline"/>
          <w:sz w:val="24"/>
          <w:szCs w:val="24"/>
        </w:rPr>
        <w:t xml:space="preserve"> Routine molecular point-of-care testing for respiratory viruses in adults presenting to hospital with acute respiratory illness (ResPOC): a pragmatic, open-label, randomised controlled trial. </w:t>
      </w:r>
      <w:r w:rsidR="00DD00D4" w:rsidRPr="00A11DF4">
        <w:rPr>
          <w:rStyle w:val="csl-right-inline"/>
          <w:i/>
          <w:iCs/>
          <w:sz w:val="24"/>
          <w:szCs w:val="24"/>
        </w:rPr>
        <w:t>Lancet Respir Med</w:t>
      </w:r>
      <w:r w:rsidR="00DD00D4" w:rsidRPr="00A11DF4">
        <w:rPr>
          <w:rStyle w:val="csl-right-inline"/>
          <w:sz w:val="24"/>
          <w:szCs w:val="24"/>
        </w:rPr>
        <w:t xml:space="preserve"> 2017; </w:t>
      </w:r>
      <w:r w:rsidR="00DD00D4" w:rsidRPr="00A11DF4">
        <w:rPr>
          <w:rStyle w:val="csl-right-inline"/>
          <w:b/>
          <w:bCs/>
          <w:sz w:val="24"/>
          <w:szCs w:val="24"/>
        </w:rPr>
        <w:t>5</w:t>
      </w:r>
      <w:r w:rsidR="00DD00D4" w:rsidRPr="00A11DF4">
        <w:rPr>
          <w:rStyle w:val="csl-right-inline"/>
          <w:sz w:val="24"/>
          <w:szCs w:val="24"/>
        </w:rPr>
        <w:t>: 401–11.</w:t>
      </w:r>
    </w:p>
    <w:p w14:paraId="679A3CEE" w14:textId="778F7B92" w:rsidR="00DD00D4" w:rsidRPr="00A11DF4" w:rsidRDefault="00A11DF4" w:rsidP="00A11DF4">
      <w:pPr>
        <w:pStyle w:val="EndnoteText"/>
        <w:spacing w:after="240" w:line="360" w:lineRule="auto"/>
        <w:rPr>
          <w:sz w:val="24"/>
          <w:szCs w:val="24"/>
        </w:rPr>
      </w:pPr>
      <w:r w:rsidRPr="00A11DF4">
        <w:rPr>
          <w:rStyle w:val="EndnoteReference"/>
          <w:sz w:val="24"/>
          <w:szCs w:val="24"/>
          <w:vertAlign w:val="baseline"/>
        </w:rPr>
        <w:t>2</w:t>
      </w:r>
      <w:r w:rsidR="0042055C">
        <w:rPr>
          <w:sz w:val="24"/>
          <w:szCs w:val="24"/>
        </w:rPr>
        <w:t>7</w:t>
      </w:r>
      <w:r w:rsidR="00DD00D4" w:rsidRPr="00A11DF4">
        <w:rPr>
          <w:sz w:val="24"/>
          <w:szCs w:val="24"/>
        </w:rPr>
        <w:tab/>
      </w:r>
      <w:r w:rsidR="00DD00D4" w:rsidRPr="00A11DF4">
        <w:rPr>
          <w:rStyle w:val="csl-right-inline"/>
          <w:sz w:val="24"/>
          <w:szCs w:val="24"/>
        </w:rPr>
        <w:t xml:space="preserve">Clark TW, Beard KR, Brendish NJ, </w:t>
      </w:r>
      <w:r w:rsidR="00DD00D4" w:rsidRPr="00A11DF4">
        <w:rPr>
          <w:rStyle w:val="csl-right-inline"/>
          <w:i/>
          <w:iCs/>
          <w:sz w:val="24"/>
          <w:szCs w:val="24"/>
        </w:rPr>
        <w:t>et al.</w:t>
      </w:r>
      <w:r w:rsidR="00DD00D4" w:rsidRPr="00A11DF4">
        <w:rPr>
          <w:rStyle w:val="csl-right-inline"/>
          <w:sz w:val="24"/>
          <w:szCs w:val="24"/>
        </w:rPr>
        <w:t xml:space="preserve"> Clinical impact of a routine, molecular, point-of-care, test-and-treat strategy for influenza in adults admitted to hospital (FluPOC): a multicentre, open-label, randomised controlled trial. </w:t>
      </w:r>
      <w:r w:rsidR="00DD00D4" w:rsidRPr="00A11DF4">
        <w:rPr>
          <w:rStyle w:val="csl-right-inline"/>
          <w:i/>
          <w:iCs/>
          <w:sz w:val="24"/>
          <w:szCs w:val="24"/>
        </w:rPr>
        <w:t>Lancet Respir Med</w:t>
      </w:r>
      <w:r w:rsidR="00DD00D4" w:rsidRPr="00A11DF4">
        <w:rPr>
          <w:rStyle w:val="csl-right-inline"/>
          <w:sz w:val="24"/>
          <w:szCs w:val="24"/>
        </w:rPr>
        <w:t xml:space="preserve"> 2021;</w:t>
      </w:r>
      <w:r w:rsidR="00DD00D4" w:rsidRPr="00A11DF4">
        <w:rPr>
          <w:sz w:val="24"/>
          <w:szCs w:val="24"/>
        </w:rPr>
        <w:t xml:space="preserve"> </w:t>
      </w:r>
      <w:r w:rsidR="00DD00D4" w:rsidRPr="00A11DF4">
        <w:rPr>
          <w:rStyle w:val="csl-right-inline"/>
          <w:b/>
          <w:sz w:val="24"/>
          <w:szCs w:val="24"/>
        </w:rPr>
        <w:t>9</w:t>
      </w:r>
      <w:r w:rsidR="00DD00D4" w:rsidRPr="00A11DF4">
        <w:rPr>
          <w:rStyle w:val="csl-right-inline"/>
          <w:sz w:val="24"/>
          <w:szCs w:val="24"/>
        </w:rPr>
        <w:t>:419–29.</w:t>
      </w:r>
    </w:p>
    <w:p w14:paraId="23206A87" w14:textId="33DB4C16" w:rsidR="00DD00D4" w:rsidRPr="00A11DF4" w:rsidRDefault="00A11DF4" w:rsidP="00A11DF4">
      <w:pPr>
        <w:pStyle w:val="EndnoteText"/>
        <w:spacing w:after="240" w:line="360" w:lineRule="auto"/>
        <w:rPr>
          <w:sz w:val="24"/>
          <w:szCs w:val="24"/>
        </w:rPr>
      </w:pPr>
      <w:r w:rsidRPr="00A11DF4">
        <w:rPr>
          <w:rStyle w:val="EndnoteReference"/>
          <w:sz w:val="24"/>
          <w:szCs w:val="24"/>
          <w:vertAlign w:val="baseline"/>
        </w:rPr>
        <w:lastRenderedPageBreak/>
        <w:t>2</w:t>
      </w:r>
      <w:r w:rsidR="0042055C">
        <w:rPr>
          <w:sz w:val="24"/>
          <w:szCs w:val="24"/>
        </w:rPr>
        <w:t>8</w:t>
      </w:r>
      <w:r w:rsidR="00DD00D4" w:rsidRPr="00A11DF4">
        <w:rPr>
          <w:sz w:val="24"/>
          <w:szCs w:val="24"/>
        </w:rPr>
        <w:tab/>
      </w:r>
      <w:r w:rsidR="00DD00D4" w:rsidRPr="00A11DF4">
        <w:rPr>
          <w:rStyle w:val="csl-right-inline"/>
          <w:sz w:val="24"/>
          <w:szCs w:val="24"/>
        </w:rPr>
        <w:t xml:space="preserve">Brendish NJ, Poole S, Naidu VV, </w:t>
      </w:r>
      <w:r w:rsidR="00DD00D4" w:rsidRPr="00A11DF4">
        <w:rPr>
          <w:rStyle w:val="csl-right-inline"/>
          <w:i/>
          <w:iCs/>
          <w:sz w:val="24"/>
          <w:szCs w:val="24"/>
        </w:rPr>
        <w:t>et al.</w:t>
      </w:r>
      <w:r w:rsidR="00DD00D4" w:rsidRPr="00A11DF4">
        <w:rPr>
          <w:rStyle w:val="csl-right-inline"/>
          <w:sz w:val="24"/>
          <w:szCs w:val="24"/>
        </w:rPr>
        <w:t xml:space="preserve"> Clinical impact of molecular point-of-care testing for suspected COVID-19 in hospital (COV-19POC): a prospective, interventional, non-randomised, controlled study. </w:t>
      </w:r>
      <w:r w:rsidR="00DD00D4" w:rsidRPr="00A11DF4">
        <w:rPr>
          <w:rStyle w:val="csl-right-inline"/>
          <w:i/>
          <w:iCs/>
          <w:sz w:val="24"/>
          <w:szCs w:val="24"/>
        </w:rPr>
        <w:t>Lancet Respir Med</w:t>
      </w:r>
      <w:r w:rsidR="00DD00D4" w:rsidRPr="00A11DF4">
        <w:rPr>
          <w:rStyle w:val="csl-right-inline"/>
          <w:sz w:val="24"/>
          <w:szCs w:val="24"/>
        </w:rPr>
        <w:t xml:space="preserve"> 2020; </w:t>
      </w:r>
      <w:r w:rsidR="00DD00D4" w:rsidRPr="00A11DF4">
        <w:rPr>
          <w:rStyle w:val="csl-right-inline"/>
          <w:b/>
          <w:bCs/>
          <w:sz w:val="24"/>
          <w:szCs w:val="24"/>
        </w:rPr>
        <w:t>8</w:t>
      </w:r>
      <w:r w:rsidR="00DD00D4" w:rsidRPr="00A11DF4">
        <w:rPr>
          <w:rStyle w:val="csl-right-inline"/>
          <w:sz w:val="24"/>
          <w:szCs w:val="24"/>
        </w:rPr>
        <w:t>: 1192–200.</w:t>
      </w:r>
    </w:p>
    <w:p w14:paraId="2DA37E62" w14:textId="257FD4D3" w:rsidR="00DD00D4" w:rsidRPr="00A11DF4" w:rsidRDefault="00A11DF4" w:rsidP="00A11DF4">
      <w:pPr>
        <w:pStyle w:val="EndnoteText"/>
        <w:spacing w:after="240" w:line="360" w:lineRule="auto"/>
        <w:rPr>
          <w:sz w:val="24"/>
          <w:szCs w:val="24"/>
        </w:rPr>
      </w:pPr>
      <w:r w:rsidRPr="00A11DF4">
        <w:rPr>
          <w:rStyle w:val="EndnoteReference"/>
          <w:sz w:val="24"/>
          <w:szCs w:val="24"/>
          <w:vertAlign w:val="baseline"/>
        </w:rPr>
        <w:t>2</w:t>
      </w:r>
      <w:r w:rsidR="0042055C">
        <w:rPr>
          <w:sz w:val="24"/>
          <w:szCs w:val="24"/>
        </w:rPr>
        <w:t>9</w:t>
      </w:r>
      <w:r w:rsidR="00DD00D4" w:rsidRPr="00A11DF4">
        <w:rPr>
          <w:sz w:val="24"/>
          <w:szCs w:val="24"/>
        </w:rPr>
        <w:tab/>
      </w:r>
      <w:r w:rsidR="00DD00D4" w:rsidRPr="00A11DF4">
        <w:rPr>
          <w:rStyle w:val="csl-right-inline"/>
          <w:sz w:val="24"/>
          <w:szCs w:val="24"/>
        </w:rPr>
        <w:t xml:space="preserve">Livingstone R, Lin H, Brendish NJ, </w:t>
      </w:r>
      <w:r w:rsidR="00DD00D4" w:rsidRPr="00A11DF4">
        <w:rPr>
          <w:rStyle w:val="csl-right-inline"/>
          <w:i/>
          <w:iCs/>
          <w:sz w:val="24"/>
          <w:szCs w:val="24"/>
        </w:rPr>
        <w:t>et al.</w:t>
      </w:r>
      <w:r w:rsidR="00DD00D4" w:rsidRPr="00A11DF4">
        <w:rPr>
          <w:rStyle w:val="csl-right-inline"/>
          <w:sz w:val="24"/>
          <w:szCs w:val="24"/>
        </w:rPr>
        <w:t xml:space="preserve"> Routine molecular point-of-care testing for SARS-CoV-2 reduces hospital-acquired COVID-19. </w:t>
      </w:r>
      <w:r w:rsidR="00DD00D4" w:rsidRPr="00A11DF4">
        <w:rPr>
          <w:rStyle w:val="csl-right-inline"/>
          <w:i/>
          <w:iCs/>
          <w:sz w:val="24"/>
          <w:szCs w:val="24"/>
        </w:rPr>
        <w:t>J Infect</w:t>
      </w:r>
      <w:r w:rsidR="00DD00D4" w:rsidRPr="00A11DF4">
        <w:rPr>
          <w:rStyle w:val="csl-right-inline"/>
          <w:sz w:val="24"/>
          <w:szCs w:val="24"/>
        </w:rPr>
        <w:t xml:space="preserve"> 2022; </w:t>
      </w:r>
      <w:r w:rsidR="00DD00D4" w:rsidRPr="00A11DF4">
        <w:rPr>
          <w:rStyle w:val="csl-right-inline"/>
          <w:b/>
          <w:bCs/>
          <w:sz w:val="24"/>
          <w:szCs w:val="24"/>
        </w:rPr>
        <w:t>84</w:t>
      </w:r>
      <w:r w:rsidR="00DD00D4" w:rsidRPr="00A11DF4">
        <w:rPr>
          <w:rStyle w:val="csl-right-inline"/>
          <w:sz w:val="24"/>
          <w:szCs w:val="24"/>
        </w:rPr>
        <w:t>: 558–65.</w:t>
      </w:r>
    </w:p>
    <w:p w14:paraId="7434380F" w14:textId="0C8672A9" w:rsidR="00DD00D4" w:rsidRPr="00A11DF4" w:rsidRDefault="0042055C" w:rsidP="00A11DF4">
      <w:pPr>
        <w:pStyle w:val="EndnoteText"/>
        <w:spacing w:after="240" w:line="360" w:lineRule="auto"/>
        <w:rPr>
          <w:sz w:val="24"/>
          <w:szCs w:val="24"/>
        </w:rPr>
      </w:pPr>
      <w:r>
        <w:rPr>
          <w:sz w:val="24"/>
          <w:szCs w:val="24"/>
        </w:rPr>
        <w:t>30</w:t>
      </w:r>
      <w:r w:rsidR="00DD00D4" w:rsidRPr="00A11DF4">
        <w:rPr>
          <w:sz w:val="24"/>
          <w:szCs w:val="24"/>
        </w:rPr>
        <w:tab/>
      </w:r>
      <w:r w:rsidR="00DD00D4" w:rsidRPr="00A11DF4">
        <w:rPr>
          <w:rStyle w:val="csl-right-inline"/>
          <w:sz w:val="24"/>
          <w:szCs w:val="24"/>
        </w:rPr>
        <w:t xml:space="preserve">Bousquet A, </w:t>
      </w:r>
      <w:proofErr w:type="spellStart"/>
      <w:r w:rsidR="00DD00D4" w:rsidRPr="00A11DF4">
        <w:rPr>
          <w:rStyle w:val="csl-right-inline"/>
          <w:sz w:val="24"/>
          <w:szCs w:val="24"/>
        </w:rPr>
        <w:t>Larréché</w:t>
      </w:r>
      <w:proofErr w:type="spellEnd"/>
      <w:r w:rsidR="00DD00D4" w:rsidRPr="00A11DF4">
        <w:rPr>
          <w:rStyle w:val="csl-right-inline"/>
          <w:sz w:val="24"/>
          <w:szCs w:val="24"/>
        </w:rPr>
        <w:t xml:space="preserve"> S, </w:t>
      </w:r>
      <w:proofErr w:type="spellStart"/>
      <w:r w:rsidR="00DD00D4" w:rsidRPr="00A11DF4">
        <w:rPr>
          <w:rStyle w:val="csl-right-inline"/>
          <w:sz w:val="24"/>
          <w:szCs w:val="24"/>
        </w:rPr>
        <w:t>Bigaillon</w:t>
      </w:r>
      <w:proofErr w:type="spellEnd"/>
      <w:r w:rsidR="00DD00D4" w:rsidRPr="00A11DF4">
        <w:rPr>
          <w:rStyle w:val="csl-right-inline"/>
          <w:sz w:val="24"/>
          <w:szCs w:val="24"/>
        </w:rPr>
        <w:t xml:space="preserve"> C, </w:t>
      </w:r>
      <w:r w:rsidR="00DD00D4" w:rsidRPr="00A11DF4">
        <w:rPr>
          <w:rStyle w:val="csl-right-inline"/>
          <w:i/>
          <w:iCs/>
          <w:sz w:val="24"/>
          <w:szCs w:val="24"/>
        </w:rPr>
        <w:t>et al.</w:t>
      </w:r>
      <w:r w:rsidR="00DD00D4" w:rsidRPr="00A11DF4">
        <w:rPr>
          <w:rStyle w:val="csl-right-inline"/>
          <w:sz w:val="24"/>
          <w:szCs w:val="24"/>
        </w:rPr>
        <w:t xml:space="preserve"> Abbott® ID NOW</w:t>
      </w:r>
      <w:r w:rsidR="00DD00D4" w:rsidRPr="00A11DF4">
        <w:rPr>
          <w:rStyle w:val="csl-right-inline"/>
          <w:sz w:val="24"/>
          <w:szCs w:val="24"/>
          <w:vertAlign w:val="superscript"/>
        </w:rPr>
        <w:t>TM</w:t>
      </w:r>
      <w:r w:rsidR="00DD00D4" w:rsidRPr="00A11DF4">
        <w:rPr>
          <w:rStyle w:val="csl-right-inline"/>
          <w:sz w:val="24"/>
          <w:szCs w:val="24"/>
        </w:rPr>
        <w:t xml:space="preserve"> COVID-19 rapid molecular assay versus Hologic® Panther </w:t>
      </w:r>
      <w:proofErr w:type="spellStart"/>
      <w:r w:rsidR="00DD00D4" w:rsidRPr="00A11DF4">
        <w:rPr>
          <w:rStyle w:val="csl-right-inline"/>
          <w:sz w:val="24"/>
          <w:szCs w:val="24"/>
        </w:rPr>
        <w:t>Aptima</w:t>
      </w:r>
      <w:r w:rsidR="00DD00D4" w:rsidRPr="00A11DF4">
        <w:rPr>
          <w:rStyle w:val="csl-right-inline"/>
          <w:sz w:val="24"/>
          <w:szCs w:val="24"/>
          <w:vertAlign w:val="superscript"/>
        </w:rPr>
        <w:t>TM</w:t>
      </w:r>
      <w:proofErr w:type="spellEnd"/>
      <w:r w:rsidR="00DD00D4" w:rsidRPr="00A11DF4">
        <w:rPr>
          <w:rStyle w:val="csl-right-inline"/>
          <w:sz w:val="24"/>
          <w:szCs w:val="24"/>
        </w:rPr>
        <w:t xml:space="preserve"> SARS-CoV-2 assay in nasopharyngeal specimens: results from 1-year retrospective study in an emergency department. </w:t>
      </w:r>
      <w:proofErr w:type="spellStart"/>
      <w:r w:rsidR="00DD00D4" w:rsidRPr="00A11DF4">
        <w:rPr>
          <w:rStyle w:val="csl-right-inline"/>
          <w:i/>
          <w:iCs/>
          <w:sz w:val="24"/>
          <w:szCs w:val="24"/>
        </w:rPr>
        <w:t>Diagn</w:t>
      </w:r>
      <w:proofErr w:type="spellEnd"/>
      <w:r w:rsidR="00DD00D4" w:rsidRPr="00A11DF4">
        <w:rPr>
          <w:rStyle w:val="csl-right-inline"/>
          <w:i/>
          <w:iCs/>
          <w:sz w:val="24"/>
          <w:szCs w:val="24"/>
        </w:rPr>
        <w:t xml:space="preserve"> </w:t>
      </w:r>
      <w:proofErr w:type="spellStart"/>
      <w:r w:rsidR="00DD00D4" w:rsidRPr="00A11DF4">
        <w:rPr>
          <w:rStyle w:val="csl-right-inline"/>
          <w:i/>
          <w:iCs/>
          <w:sz w:val="24"/>
          <w:szCs w:val="24"/>
        </w:rPr>
        <w:t>Micr</w:t>
      </w:r>
      <w:r w:rsidR="000A660D">
        <w:rPr>
          <w:rStyle w:val="csl-right-inline"/>
          <w:i/>
          <w:iCs/>
          <w:sz w:val="24"/>
          <w:szCs w:val="24"/>
        </w:rPr>
        <w:t>obiol</w:t>
      </w:r>
      <w:proofErr w:type="spellEnd"/>
      <w:r w:rsidR="00DD00D4" w:rsidRPr="00A11DF4">
        <w:rPr>
          <w:rStyle w:val="csl-right-inline"/>
          <w:i/>
          <w:iCs/>
          <w:sz w:val="24"/>
          <w:szCs w:val="24"/>
        </w:rPr>
        <w:t xml:space="preserve"> Infec</w:t>
      </w:r>
      <w:r w:rsidR="000A660D">
        <w:rPr>
          <w:rStyle w:val="csl-right-inline"/>
          <w:i/>
          <w:iCs/>
          <w:sz w:val="24"/>
          <w:szCs w:val="24"/>
        </w:rPr>
        <w:t>t</w:t>
      </w:r>
      <w:r w:rsidR="00DD00D4" w:rsidRPr="00A11DF4">
        <w:rPr>
          <w:rStyle w:val="csl-right-inline"/>
          <w:i/>
          <w:iCs/>
          <w:sz w:val="24"/>
          <w:szCs w:val="24"/>
        </w:rPr>
        <w:t xml:space="preserve"> Dis</w:t>
      </w:r>
      <w:r w:rsidR="00DD00D4" w:rsidRPr="00A11DF4">
        <w:rPr>
          <w:rStyle w:val="csl-right-inline"/>
          <w:sz w:val="24"/>
          <w:szCs w:val="24"/>
        </w:rPr>
        <w:t xml:space="preserve"> 2022; </w:t>
      </w:r>
      <w:r w:rsidR="00DD00D4" w:rsidRPr="00A11DF4">
        <w:rPr>
          <w:rStyle w:val="csl-right-inline"/>
          <w:b/>
          <w:bCs/>
          <w:sz w:val="24"/>
          <w:szCs w:val="24"/>
        </w:rPr>
        <w:t>104</w:t>
      </w:r>
      <w:r w:rsidR="00DD00D4" w:rsidRPr="00A11DF4">
        <w:rPr>
          <w:rStyle w:val="csl-right-inline"/>
          <w:sz w:val="24"/>
          <w:szCs w:val="24"/>
        </w:rPr>
        <w:t>: 115742.</w:t>
      </w:r>
    </w:p>
    <w:p w14:paraId="667C0035" w14:textId="45A409C4" w:rsidR="00F862D5" w:rsidRDefault="00957AEA" w:rsidP="00A11DF4">
      <w:pPr>
        <w:spacing w:line="360" w:lineRule="auto"/>
      </w:pPr>
      <w:r>
        <w:rPr>
          <w:rStyle w:val="EndnoteReference"/>
          <w:szCs w:val="24"/>
          <w:vertAlign w:val="baseline"/>
        </w:rPr>
        <w:t>3</w:t>
      </w:r>
      <w:r w:rsidR="0042055C">
        <w:rPr>
          <w:szCs w:val="24"/>
        </w:rPr>
        <w:t>1</w:t>
      </w:r>
      <w:r w:rsidR="00DD00D4" w:rsidRPr="00A11DF4">
        <w:rPr>
          <w:szCs w:val="24"/>
        </w:rPr>
        <w:tab/>
      </w:r>
      <w:r w:rsidR="00DD00D4" w:rsidRPr="00A11DF4">
        <w:rPr>
          <w:rStyle w:val="csl-right-inline"/>
          <w:szCs w:val="24"/>
        </w:rPr>
        <w:t xml:space="preserve">May L, Tran N, </w:t>
      </w:r>
      <w:proofErr w:type="spellStart"/>
      <w:r w:rsidR="00DD00D4" w:rsidRPr="00A11DF4">
        <w:rPr>
          <w:rStyle w:val="csl-right-inline"/>
          <w:szCs w:val="24"/>
        </w:rPr>
        <w:t>Ledeboer</w:t>
      </w:r>
      <w:proofErr w:type="spellEnd"/>
      <w:r w:rsidR="00DD00D4" w:rsidRPr="00A11DF4">
        <w:rPr>
          <w:rStyle w:val="csl-right-inline"/>
          <w:szCs w:val="24"/>
        </w:rPr>
        <w:t xml:space="preserve"> NA. Point-of-care COVID-19 testing in the emergency department: </w:t>
      </w:r>
      <w:proofErr w:type="gramStart"/>
      <w:r w:rsidR="00DD00D4" w:rsidRPr="00A11DF4">
        <w:rPr>
          <w:rStyle w:val="csl-right-inline"/>
          <w:szCs w:val="24"/>
        </w:rPr>
        <w:t>current status</w:t>
      </w:r>
      <w:proofErr w:type="gramEnd"/>
      <w:r w:rsidR="00DD00D4" w:rsidRPr="00A11DF4">
        <w:rPr>
          <w:rStyle w:val="csl-right-inline"/>
          <w:szCs w:val="24"/>
        </w:rPr>
        <w:t xml:space="preserve"> and future prospects. </w:t>
      </w:r>
      <w:r w:rsidR="00DD00D4" w:rsidRPr="00A11DF4">
        <w:rPr>
          <w:rStyle w:val="csl-right-inline"/>
          <w:i/>
          <w:iCs/>
          <w:szCs w:val="24"/>
        </w:rPr>
        <w:t xml:space="preserve">Expert Rev Mol </w:t>
      </w:r>
      <w:proofErr w:type="spellStart"/>
      <w:r w:rsidR="00DD00D4" w:rsidRPr="00A11DF4">
        <w:rPr>
          <w:rStyle w:val="csl-right-inline"/>
          <w:i/>
          <w:iCs/>
          <w:szCs w:val="24"/>
        </w:rPr>
        <w:t>Diagn</w:t>
      </w:r>
      <w:proofErr w:type="spellEnd"/>
      <w:r w:rsidR="00DD00D4" w:rsidRPr="00A11DF4">
        <w:rPr>
          <w:rStyle w:val="csl-right-inline"/>
          <w:szCs w:val="24"/>
        </w:rPr>
        <w:t xml:space="preserve"> 2021; </w:t>
      </w:r>
      <w:r w:rsidR="00DD00D4" w:rsidRPr="00A11DF4">
        <w:rPr>
          <w:rStyle w:val="csl-right-inline"/>
          <w:b/>
          <w:bCs/>
          <w:szCs w:val="24"/>
        </w:rPr>
        <w:t>21</w:t>
      </w:r>
      <w:r w:rsidR="00DD00D4" w:rsidRPr="00A11DF4">
        <w:rPr>
          <w:rStyle w:val="csl-right-inline"/>
          <w:szCs w:val="24"/>
        </w:rPr>
        <w:t>: 1</w:t>
      </w:r>
      <w:r w:rsidR="000A660D">
        <w:rPr>
          <w:rStyle w:val="csl-right-inline"/>
          <w:szCs w:val="24"/>
        </w:rPr>
        <w:t>333</w:t>
      </w:r>
      <w:r w:rsidR="00DD00D4" w:rsidRPr="00A11DF4">
        <w:rPr>
          <w:rStyle w:val="csl-right-inline"/>
          <w:szCs w:val="24"/>
        </w:rPr>
        <w:t>–</w:t>
      </w:r>
      <w:r w:rsidR="000A660D">
        <w:rPr>
          <w:rStyle w:val="csl-right-inline"/>
          <w:szCs w:val="24"/>
        </w:rPr>
        <w:t>40</w:t>
      </w:r>
      <w:r w:rsidR="00DD00D4" w:rsidRPr="00A11DF4">
        <w:rPr>
          <w:rStyle w:val="csl-right-inline"/>
          <w:szCs w:val="24"/>
        </w:rPr>
        <w:t>.</w:t>
      </w:r>
      <w:r w:rsidR="00F862D5">
        <w:br w:type="page"/>
      </w:r>
    </w:p>
    <w:p w14:paraId="0F6BF7BC" w14:textId="77777777" w:rsidR="00F862D5" w:rsidRDefault="00F862D5" w:rsidP="00661914">
      <w:pPr>
        <w:pStyle w:val="Heading1"/>
      </w:pPr>
      <w:r>
        <w:lastRenderedPageBreak/>
        <w:t>Figure legends</w:t>
      </w:r>
    </w:p>
    <w:p w14:paraId="3D081DD2" w14:textId="58EAF8A7" w:rsidR="0083196E" w:rsidRPr="00125083" w:rsidRDefault="0083196E" w:rsidP="0083196E">
      <w:pPr>
        <w:rPr>
          <w:b/>
        </w:rPr>
      </w:pPr>
      <w:r w:rsidRPr="00125083">
        <w:rPr>
          <w:b/>
        </w:rPr>
        <w:t>Figure 1: Trial profile</w:t>
      </w:r>
      <w:r w:rsidR="004334AC" w:rsidRPr="00125083">
        <w:rPr>
          <w:b/>
        </w:rPr>
        <w:t>.</w:t>
      </w:r>
    </w:p>
    <w:p w14:paraId="5D858330" w14:textId="3D2CA90B" w:rsidR="008D3BC9" w:rsidRPr="00125083" w:rsidRDefault="008D3BC9" w:rsidP="0083196E">
      <w:pPr>
        <w:rPr>
          <w:b/>
        </w:rPr>
      </w:pPr>
      <w:r w:rsidRPr="00125083">
        <w:rPr>
          <w:b/>
        </w:rPr>
        <w:t xml:space="preserve">Figure 2: </w:t>
      </w:r>
      <w:r w:rsidR="004334AC" w:rsidRPr="00125083">
        <w:rPr>
          <w:b/>
        </w:rPr>
        <w:t>Time-to-event analyses showing t</w:t>
      </w:r>
      <w:r w:rsidR="00F00818" w:rsidRPr="00125083">
        <w:rPr>
          <w:b/>
        </w:rPr>
        <w:t xml:space="preserve">ime </w:t>
      </w:r>
      <w:r w:rsidR="004334AC" w:rsidRPr="00125083">
        <w:rPr>
          <w:b/>
        </w:rPr>
        <w:t xml:space="preserve">in a single-occupancy room for (a) mPOCT </w:t>
      </w:r>
      <w:r w:rsidR="002323E3">
        <w:rPr>
          <w:b/>
        </w:rPr>
        <w:t xml:space="preserve">group </w:t>
      </w:r>
      <w:r w:rsidR="004334AC" w:rsidRPr="00125083">
        <w:rPr>
          <w:b/>
        </w:rPr>
        <w:t>and control group</w:t>
      </w:r>
      <w:r w:rsidR="00EC0FBB">
        <w:rPr>
          <w:b/>
        </w:rPr>
        <w:t xml:space="preserve">s </w:t>
      </w:r>
      <w:r w:rsidR="004334AC" w:rsidRPr="00125083">
        <w:rPr>
          <w:b/>
        </w:rPr>
        <w:t>and (b) mPOCT</w:t>
      </w:r>
      <w:r w:rsidR="002323E3">
        <w:rPr>
          <w:b/>
        </w:rPr>
        <w:t xml:space="preserve"> group</w:t>
      </w:r>
      <w:r w:rsidR="004334AC" w:rsidRPr="00125083">
        <w:rPr>
          <w:b/>
        </w:rPr>
        <w:t xml:space="preserve"> and control group</w:t>
      </w:r>
      <w:r w:rsidR="00EC0FBB">
        <w:rPr>
          <w:b/>
        </w:rPr>
        <w:t>s</w:t>
      </w:r>
      <w:r w:rsidR="002323E3">
        <w:rPr>
          <w:b/>
        </w:rPr>
        <w:t>,</w:t>
      </w:r>
      <w:r w:rsidR="004334AC" w:rsidRPr="00125083">
        <w:rPr>
          <w:b/>
        </w:rPr>
        <w:t xml:space="preserve"> by pathogen detection. </w:t>
      </w:r>
    </w:p>
    <w:p w14:paraId="22BC40EF" w14:textId="77777777" w:rsidR="00AF339E" w:rsidRDefault="00AF339E">
      <w:pPr>
        <w:spacing w:after="160" w:line="259" w:lineRule="auto"/>
        <w:rPr>
          <w:rFonts w:asciiTheme="majorHAnsi" w:eastAsiaTheme="majorEastAsia" w:hAnsiTheme="majorHAnsi" w:cstheme="majorBidi"/>
          <w:b/>
          <w:sz w:val="36"/>
          <w:szCs w:val="32"/>
        </w:rPr>
      </w:pPr>
      <w:r>
        <w:br w:type="page"/>
      </w:r>
    </w:p>
    <w:p w14:paraId="2B13D2FD" w14:textId="77777777" w:rsidR="00AF339E" w:rsidRDefault="00AF339E" w:rsidP="00AF339E">
      <w:pPr>
        <w:pStyle w:val="Heading1"/>
      </w:pPr>
      <w:r>
        <w:lastRenderedPageBreak/>
        <w:t>Panel: Research in context</w:t>
      </w:r>
    </w:p>
    <w:p w14:paraId="3291F64C" w14:textId="77777777" w:rsidR="00AF339E" w:rsidRDefault="00AF339E" w:rsidP="00A55D80">
      <w:pPr>
        <w:pStyle w:val="Heading2"/>
      </w:pPr>
      <w:r>
        <w:t>Evidence before this study</w:t>
      </w:r>
    </w:p>
    <w:p w14:paraId="43285D6C" w14:textId="65F39335" w:rsidR="002A4CDB" w:rsidRDefault="002A4CDB" w:rsidP="00204799">
      <w:r>
        <w:t>W</w:t>
      </w:r>
      <w:r w:rsidR="00BD2BB8">
        <w:t>e searched PubMed, the Cochrane Database of Systematic Reviews, the Cochrane Central</w:t>
      </w:r>
      <w:r>
        <w:t xml:space="preserve"> Register</w:t>
      </w:r>
      <w:r w:rsidR="00BD2BB8">
        <w:t xml:space="preserve"> of Controlled Trials</w:t>
      </w:r>
      <w:r>
        <w:t xml:space="preserve">, ClinicalTrials.gov, and </w:t>
      </w:r>
      <w:r w:rsidR="00BD2BB8">
        <w:t xml:space="preserve">the </w:t>
      </w:r>
      <w:r>
        <w:t>ISRCTN trial database for relevant published articles and ongoing trials assessing the clinical impact of molecular point-of-care testing for gastrointestinal pathogens in hospital</w:t>
      </w:r>
      <w:r w:rsidR="00110CEF">
        <w:t>ised</w:t>
      </w:r>
      <w:r w:rsidR="006819E7">
        <w:t xml:space="preserve"> adults</w:t>
      </w:r>
      <w:r>
        <w:t>. We used the search terms “point-of-care test</w:t>
      </w:r>
      <w:r w:rsidR="0055455F">
        <w:t>*</w:t>
      </w:r>
      <w:r>
        <w:t xml:space="preserve">” </w:t>
      </w:r>
      <w:r w:rsidRPr="002A4CDB">
        <w:t>OR “rapid PCR</w:t>
      </w:r>
      <w:r>
        <w:t xml:space="preserve"> </w:t>
      </w:r>
      <w:r w:rsidR="000E23A4">
        <w:t>testing” OR “</w:t>
      </w:r>
      <w:r w:rsidRPr="002A4CDB">
        <w:t>rapid molecular testing’’</w:t>
      </w:r>
      <w:r>
        <w:t>,</w:t>
      </w:r>
      <w:r w:rsidRPr="002A4CDB">
        <w:t xml:space="preserve"> AND “</w:t>
      </w:r>
      <w:r>
        <w:t>diarrhoea</w:t>
      </w:r>
      <w:r w:rsidRPr="002A4CDB">
        <w:t>”</w:t>
      </w:r>
      <w:r>
        <w:t xml:space="preserve"> OR “gastroenteritis”</w:t>
      </w:r>
      <w:r w:rsidR="008214C7">
        <w:t>.</w:t>
      </w:r>
      <w:r>
        <w:t xml:space="preserve"> </w:t>
      </w:r>
      <w:r w:rsidR="006819E7">
        <w:t xml:space="preserve">Word variations for British English </w:t>
      </w:r>
      <w:r w:rsidR="00C26F4A">
        <w:t>or American English spelling</w:t>
      </w:r>
      <w:r w:rsidR="000E23A4">
        <w:t>s</w:t>
      </w:r>
      <w:r w:rsidR="00C26F4A">
        <w:t xml:space="preserve"> were</w:t>
      </w:r>
      <w:r w:rsidR="006819E7">
        <w:t xml:space="preserve"> also done. </w:t>
      </w:r>
      <w:r w:rsidR="004B132A">
        <w:t>To widen the search, w</w:t>
      </w:r>
      <w:r w:rsidR="0036031E">
        <w:t>e also included</w:t>
      </w:r>
      <w:r w:rsidR="008214C7">
        <w:t xml:space="preserve"> </w:t>
      </w:r>
      <w:r w:rsidR="00D76B9B">
        <w:t>the names of PCR panel manufacturers.</w:t>
      </w:r>
      <w:r w:rsidR="0036031E">
        <w:t xml:space="preserve"> </w:t>
      </w:r>
      <w:r>
        <w:t>We limited the search to studies published between Jan</w:t>
      </w:r>
      <w:r w:rsidR="002F2CE8">
        <w:t>uary</w:t>
      </w:r>
      <w:r>
        <w:t xml:space="preserve"> 1, 1980, and </w:t>
      </w:r>
      <w:r w:rsidR="00502FF2">
        <w:t>October</w:t>
      </w:r>
      <w:r>
        <w:t xml:space="preserve"> 1, 2022, </w:t>
      </w:r>
      <w:proofErr w:type="gramStart"/>
      <w:r>
        <w:t xml:space="preserve">and </w:t>
      </w:r>
      <w:r w:rsidR="00ED28F0">
        <w:t>also</w:t>
      </w:r>
      <w:proofErr w:type="gramEnd"/>
      <w:r w:rsidR="00ED28F0">
        <w:t xml:space="preserve"> to </w:t>
      </w:r>
      <w:r>
        <w:t>articles in English.</w:t>
      </w:r>
      <w:r w:rsidR="004307D3">
        <w:t xml:space="preserve"> </w:t>
      </w:r>
      <w:r w:rsidR="00810DB7">
        <w:t>We excluded studies</w:t>
      </w:r>
      <w:r w:rsidR="00C9610E">
        <w:t xml:space="preserve"> reporting only diagnostic test accuracy, studies</w:t>
      </w:r>
      <w:r w:rsidR="00810DB7">
        <w:t xml:space="preserve"> </w:t>
      </w:r>
      <w:r w:rsidR="0055455F">
        <w:t xml:space="preserve">in </w:t>
      </w:r>
      <w:r w:rsidR="00502FF2">
        <w:t>outpatients</w:t>
      </w:r>
      <w:r w:rsidR="0055455F">
        <w:t>,</w:t>
      </w:r>
      <w:r w:rsidR="00502FF2">
        <w:t xml:space="preserve"> studies enrolling patients presenting without gastrointestinal illness,</w:t>
      </w:r>
      <w:r w:rsidR="0055455F">
        <w:t xml:space="preserve"> </w:t>
      </w:r>
      <w:r w:rsidR="00502FF2">
        <w:t xml:space="preserve">studies using </w:t>
      </w:r>
      <w:r w:rsidR="00810DB7">
        <w:t>antigen-based tests,</w:t>
      </w:r>
      <w:r w:rsidR="001A4C85">
        <w:t xml:space="preserve"> studies requiring endoscop</w:t>
      </w:r>
      <w:r w:rsidR="004B132A">
        <w:t>y or</w:t>
      </w:r>
      <w:r w:rsidR="001A4C85">
        <w:t xml:space="preserve"> ultrasound, studies assessing faecal occult blood</w:t>
      </w:r>
      <w:r w:rsidR="00BB1AF7">
        <w:t xml:space="preserve"> testing</w:t>
      </w:r>
      <w:r w:rsidR="001A4C85">
        <w:t>,</w:t>
      </w:r>
      <w:r w:rsidR="00810DB7">
        <w:t xml:space="preserve"> </w:t>
      </w:r>
      <w:r w:rsidR="00C9610E">
        <w:t xml:space="preserve">and </w:t>
      </w:r>
      <w:r w:rsidR="00810DB7">
        <w:t>studies only in children.</w:t>
      </w:r>
    </w:p>
    <w:p w14:paraId="6149A853" w14:textId="073E3DCD" w:rsidR="00C9610E" w:rsidRDefault="00FD174E" w:rsidP="00204799">
      <w:r>
        <w:t>Eight</w:t>
      </w:r>
      <w:r w:rsidR="004B132A">
        <w:t xml:space="preserve"> </w:t>
      </w:r>
      <w:r>
        <w:t xml:space="preserve">studies </w:t>
      </w:r>
      <w:r w:rsidR="007C16B7">
        <w:t xml:space="preserve">were identified that that used rapid </w:t>
      </w:r>
      <w:r w:rsidR="003D3B00">
        <w:t>syndromic</w:t>
      </w:r>
      <w:r w:rsidR="007C16B7">
        <w:t xml:space="preserve"> PCR for gastrointestinal pathogens in the laboratory</w:t>
      </w:r>
      <w:r w:rsidR="008A3DFA">
        <w:t>, rather than at the point-of-care,</w:t>
      </w:r>
      <w:r w:rsidR="00252BC1">
        <w:t xml:space="preserve"> </w:t>
      </w:r>
      <w:r w:rsidR="00110CEF">
        <w:t xml:space="preserve">and reported on </w:t>
      </w:r>
      <w:r w:rsidR="00170EC2">
        <w:t xml:space="preserve">the </w:t>
      </w:r>
      <w:r w:rsidR="00110CEF">
        <w:t>clinical impact</w:t>
      </w:r>
      <w:r w:rsidR="0005431A">
        <w:t xml:space="preserve"> beyond turnaround time of results</w:t>
      </w:r>
      <w:r w:rsidR="00ED28F0">
        <w:t>.</w:t>
      </w:r>
      <w:r w:rsidR="00252BC1">
        <w:t xml:space="preserve"> </w:t>
      </w:r>
      <w:r w:rsidR="00110CEF">
        <w:t>O</w:t>
      </w:r>
      <w:r w:rsidR="007C16B7">
        <w:t>nly</w:t>
      </w:r>
      <w:r w:rsidR="00ED28F0">
        <w:t xml:space="preserve"> </w:t>
      </w:r>
      <w:r w:rsidR="00110CEF">
        <w:t xml:space="preserve">one </w:t>
      </w:r>
      <w:r w:rsidR="00ED28F0">
        <w:t>study</w:t>
      </w:r>
      <w:r w:rsidR="007C16B7">
        <w:t xml:space="preserve"> was a randomised controlled </w:t>
      </w:r>
      <w:proofErr w:type="gramStart"/>
      <w:r w:rsidR="007C16B7">
        <w:t>trial</w:t>
      </w:r>
      <w:proofErr w:type="gramEnd"/>
      <w:r w:rsidR="00110CEF">
        <w:t xml:space="preserve"> and the others were observational</w:t>
      </w:r>
      <w:r w:rsidR="007C16B7">
        <w:t xml:space="preserve">. </w:t>
      </w:r>
      <w:r w:rsidR="008A3DFA">
        <w:t>The randomised controlled trial was smaller than the study presented here</w:t>
      </w:r>
      <w:r w:rsidR="00A2000D">
        <w:t xml:space="preserve"> and</w:t>
      </w:r>
      <w:r w:rsidR="008A3DFA">
        <w:t xml:space="preserve"> </w:t>
      </w:r>
      <w:r w:rsidR="00F413FB">
        <w:t xml:space="preserve">did not find any difference in isolation facility use or </w:t>
      </w:r>
      <w:r w:rsidR="00A2000D">
        <w:t xml:space="preserve">the limited range of </w:t>
      </w:r>
      <w:r w:rsidR="00F413FB">
        <w:t>other clinical outcome</w:t>
      </w:r>
      <w:r w:rsidR="004F7482">
        <w:t>s</w:t>
      </w:r>
      <w:r w:rsidR="00F413FB">
        <w:t xml:space="preserve"> measure</w:t>
      </w:r>
      <w:r w:rsidR="004F7482">
        <w:t>d</w:t>
      </w:r>
      <w:r w:rsidR="00F413FB">
        <w:t>.</w:t>
      </w:r>
    </w:p>
    <w:p w14:paraId="3EA6A071" w14:textId="7860A267" w:rsidR="002A4CDB" w:rsidRDefault="00BB1AF7" w:rsidP="00204799">
      <w:r>
        <w:t>Only o</w:t>
      </w:r>
      <w:r w:rsidR="007C16B7">
        <w:t xml:space="preserve">ne </w:t>
      </w:r>
      <w:r>
        <w:t xml:space="preserve">study (a </w:t>
      </w:r>
      <w:r w:rsidR="007C16B7">
        <w:t>small randomised controlled trial</w:t>
      </w:r>
      <w:r w:rsidRPr="00BB1AF7">
        <w:t xml:space="preserve"> </w:t>
      </w:r>
      <w:r>
        <w:t xml:space="preserve">conducted </w:t>
      </w:r>
      <w:r w:rsidRPr="00BB1AF7">
        <w:t>in the emergency department</w:t>
      </w:r>
      <w:r>
        <w:t>)</w:t>
      </w:r>
      <w:r w:rsidR="007C16B7">
        <w:t xml:space="preserve"> was identified</w:t>
      </w:r>
      <w:r w:rsidR="00252BC1">
        <w:t xml:space="preserve"> that used </w:t>
      </w:r>
      <w:r w:rsidR="00D955E9">
        <w:t>syndromic PCR</w:t>
      </w:r>
      <w:r w:rsidR="00252BC1">
        <w:t xml:space="preserve"> </w:t>
      </w:r>
      <w:r w:rsidR="00110CEF">
        <w:t xml:space="preserve">for gastrointestinal pathogens </w:t>
      </w:r>
      <w:r w:rsidR="00D955E9">
        <w:t>at the point-of-care</w:t>
      </w:r>
      <w:r w:rsidR="00252BC1">
        <w:t xml:space="preserve">, </w:t>
      </w:r>
      <w:r w:rsidR="00252BC1">
        <w:lastRenderedPageBreak/>
        <w:t xml:space="preserve">however, this study </w:t>
      </w:r>
      <w:r w:rsidR="00D05039">
        <w:t>was terminated due to the COVID-19 pandemic after including only 74 patients. Th</w:t>
      </w:r>
      <w:r w:rsidR="00110CEF">
        <w:t>is</w:t>
      </w:r>
      <w:r w:rsidR="00D05039">
        <w:t xml:space="preserve"> study showed an improvement in appropriate antibiotic prescriptions </w:t>
      </w:r>
      <w:r w:rsidR="00FB60ED">
        <w:t>but</w:t>
      </w:r>
      <w:r w:rsidR="00D05039">
        <w:t xml:space="preserve"> did not repor</w:t>
      </w:r>
      <w:r w:rsidR="006B1050">
        <w:t xml:space="preserve">t </w:t>
      </w:r>
      <w:r w:rsidR="00110CEF">
        <w:t>on isolation facility use</w:t>
      </w:r>
      <w:r w:rsidR="006B1050">
        <w:t>. We found no systematic reviews</w:t>
      </w:r>
      <w:r w:rsidR="00170EC2">
        <w:t xml:space="preserve"> </w:t>
      </w:r>
      <w:r>
        <w:t xml:space="preserve">evaluating the impact </w:t>
      </w:r>
      <w:r w:rsidR="00170EC2">
        <w:t>of molecular point-of-care testing for gastrointestinal pathogens</w:t>
      </w:r>
      <w:r w:rsidR="006B1050">
        <w:t>.</w:t>
      </w:r>
    </w:p>
    <w:p w14:paraId="24A298E7" w14:textId="77777777" w:rsidR="00AF339E" w:rsidRDefault="00AF339E" w:rsidP="00A55D80">
      <w:pPr>
        <w:pStyle w:val="Heading2"/>
      </w:pPr>
      <w:r>
        <w:t>Added value of this study</w:t>
      </w:r>
    </w:p>
    <w:p w14:paraId="75E69A85" w14:textId="2E433098" w:rsidR="00DC20BF" w:rsidRPr="00DC20BF" w:rsidRDefault="00DC20BF" w:rsidP="00DC20BF">
      <w:r>
        <w:t xml:space="preserve">To our knowledge, this is the first </w:t>
      </w:r>
      <w:r w:rsidR="006B1050">
        <w:t xml:space="preserve">large </w:t>
      </w:r>
      <w:r>
        <w:t>randomised controlled trial of molecular point-of-care testing of gastrointestinal pathogens in adults presenting to hospital</w:t>
      </w:r>
      <w:r w:rsidR="007C7DFB">
        <w:t>, evaluating the impact on isolation facility use</w:t>
      </w:r>
      <w:r w:rsidR="00BB1AF7">
        <w:t xml:space="preserve"> in addition to other </w:t>
      </w:r>
      <w:r w:rsidR="00F55FA8">
        <w:t>outcome measures.</w:t>
      </w:r>
    </w:p>
    <w:p w14:paraId="0CD0A0DA" w14:textId="77777777" w:rsidR="00AF339E" w:rsidRDefault="00AF339E" w:rsidP="00A55D80">
      <w:pPr>
        <w:pStyle w:val="Heading2"/>
      </w:pPr>
      <w:r>
        <w:t>Implications of all the available evidence</w:t>
      </w:r>
    </w:p>
    <w:p w14:paraId="3AB770E3" w14:textId="4CCEC24B" w:rsidR="00AF339E" w:rsidRPr="00220FB4" w:rsidRDefault="00DC20BF" w:rsidP="00AF339E">
      <w:pPr>
        <w:rPr>
          <w:rFonts w:asciiTheme="majorHAnsi" w:eastAsiaTheme="majorEastAsia" w:hAnsiTheme="majorHAnsi" w:cstheme="majorBidi"/>
          <w:b/>
          <w:sz w:val="36"/>
          <w:szCs w:val="32"/>
        </w:rPr>
      </w:pPr>
      <w:r>
        <w:t xml:space="preserve">Routine molecular point-of-care testing for gastrointestinal pathogens </w:t>
      </w:r>
      <w:r w:rsidR="002D08D1">
        <w:t>by</w:t>
      </w:r>
      <w:r>
        <w:t xml:space="preserve"> rectal swabs and/or stool </w:t>
      </w:r>
      <w:r w:rsidR="002D08D1">
        <w:t>sample</w:t>
      </w:r>
      <w:r w:rsidR="00F55FA8">
        <w:t>s</w:t>
      </w:r>
      <w:r w:rsidR="002D08D1">
        <w:t xml:space="preserve"> in adults presenting to hospital with suspected gastroenteritis </w:t>
      </w:r>
      <w:r w:rsidR="00BB1AF7">
        <w:t xml:space="preserve">is associated with </w:t>
      </w:r>
      <w:r w:rsidR="002D08D1">
        <w:t>improve</w:t>
      </w:r>
      <w:r w:rsidR="007C7DFB">
        <w:t>d</w:t>
      </w:r>
      <w:r w:rsidR="002D08D1">
        <w:t xml:space="preserve"> the time to results</w:t>
      </w:r>
      <w:r w:rsidR="007C7DFB">
        <w:t xml:space="preserve"> and</w:t>
      </w:r>
      <w:r w:rsidR="002D08D1">
        <w:t xml:space="preserve"> </w:t>
      </w:r>
      <w:r w:rsidR="00BB1AF7">
        <w:t xml:space="preserve">reduced </w:t>
      </w:r>
      <w:r w:rsidR="002D08D1">
        <w:t xml:space="preserve">time </w:t>
      </w:r>
      <w:r w:rsidR="007C7DFB">
        <w:t xml:space="preserve">non-infectious </w:t>
      </w:r>
      <w:r w:rsidR="002D08D1">
        <w:t>patients spen</w:t>
      </w:r>
      <w:r w:rsidR="00BB1AF7">
        <w:t>d</w:t>
      </w:r>
      <w:r w:rsidR="002D08D1">
        <w:t xml:space="preserve"> in single-occupancy isolation rooms, </w:t>
      </w:r>
      <w:r w:rsidR="007C7DFB">
        <w:t xml:space="preserve">by accelerating </w:t>
      </w:r>
      <w:r w:rsidR="002D08D1">
        <w:t xml:space="preserve">the time to de-isolation from single-occupancy isolation rooms to bays. Use of mPOCT also </w:t>
      </w:r>
      <w:r w:rsidR="007C7DFB">
        <w:t>reduce</w:t>
      </w:r>
      <w:r w:rsidR="00F55FA8">
        <w:t>s</w:t>
      </w:r>
      <w:r w:rsidR="007C7DFB">
        <w:t xml:space="preserve"> the use of in</w:t>
      </w:r>
      <w:r w:rsidR="002D08D1">
        <w:t>appropriate antibiotic</w:t>
      </w:r>
      <w:r w:rsidR="007C7DFB">
        <w:t xml:space="preserve">s </w:t>
      </w:r>
      <w:r w:rsidR="002709DA">
        <w:t>in patients</w:t>
      </w:r>
      <w:r w:rsidR="002D08D1">
        <w:t xml:space="preserve"> and appear</w:t>
      </w:r>
      <w:r w:rsidR="00F55FA8">
        <w:t>s</w:t>
      </w:r>
      <w:r w:rsidR="002D08D1">
        <w:t xml:space="preserve"> safe. </w:t>
      </w:r>
    </w:p>
    <w:sectPr w:rsidR="00AF339E" w:rsidRPr="00220FB4" w:rsidSect="00A55D80">
      <w:footerReference w:type="default" r:id="rId15"/>
      <w:endnotePr>
        <w:numFmt w:val="decimal"/>
      </w:endnotePr>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C3FC7" w14:textId="77777777" w:rsidR="00E97C0D" w:rsidRDefault="00E97C0D" w:rsidP="009F5AA8">
      <w:pPr>
        <w:spacing w:after="0" w:line="240" w:lineRule="auto"/>
      </w:pPr>
      <w:r>
        <w:separator/>
      </w:r>
    </w:p>
  </w:endnote>
  <w:endnote w:type="continuationSeparator" w:id="0">
    <w:p w14:paraId="1C7946DB" w14:textId="77777777" w:rsidR="00E97C0D" w:rsidRDefault="00E97C0D" w:rsidP="009F5AA8">
      <w:pPr>
        <w:spacing w:after="0" w:line="240" w:lineRule="auto"/>
      </w:pPr>
      <w:r>
        <w:continuationSeparator/>
      </w:r>
    </w:p>
  </w:endnote>
  <w:endnote w:type="continuationNotice" w:id="1">
    <w:p w14:paraId="5E3AC3E6" w14:textId="77777777" w:rsidR="00E97C0D" w:rsidRDefault="00E97C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663500"/>
      <w:docPartObj>
        <w:docPartGallery w:val="Page Numbers (Bottom of Page)"/>
        <w:docPartUnique/>
      </w:docPartObj>
    </w:sdtPr>
    <w:sdtEndPr>
      <w:rPr>
        <w:noProof/>
      </w:rPr>
    </w:sdtEndPr>
    <w:sdtContent>
      <w:p w14:paraId="4F437EC1" w14:textId="77777777" w:rsidR="009F5AA8" w:rsidRDefault="009F5AA8">
        <w:pPr>
          <w:pStyle w:val="Footer"/>
          <w:jc w:val="center"/>
        </w:pPr>
        <w:r>
          <w:fldChar w:fldCharType="begin"/>
        </w:r>
        <w:r>
          <w:instrText xml:space="preserve"> PAGE   \* MERGEFORMAT </w:instrText>
        </w:r>
        <w:r>
          <w:fldChar w:fldCharType="separate"/>
        </w:r>
        <w:r w:rsidR="007B006C">
          <w:rPr>
            <w:noProof/>
          </w:rPr>
          <w:t>27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76261" w14:textId="77777777" w:rsidR="00E97C0D" w:rsidRDefault="00E97C0D" w:rsidP="009F5AA8">
      <w:pPr>
        <w:spacing w:after="0" w:line="240" w:lineRule="auto"/>
      </w:pPr>
      <w:r>
        <w:separator/>
      </w:r>
    </w:p>
  </w:footnote>
  <w:footnote w:type="continuationSeparator" w:id="0">
    <w:p w14:paraId="2EBD48F1" w14:textId="77777777" w:rsidR="00E97C0D" w:rsidRDefault="00E97C0D" w:rsidP="009F5AA8">
      <w:pPr>
        <w:spacing w:after="0" w:line="240" w:lineRule="auto"/>
      </w:pPr>
      <w:r>
        <w:continuationSeparator/>
      </w:r>
    </w:p>
  </w:footnote>
  <w:footnote w:type="continuationNotice" w:id="1">
    <w:p w14:paraId="66303536" w14:textId="77777777" w:rsidR="00E97C0D" w:rsidRDefault="00E97C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E5D83"/>
    <w:multiLevelType w:val="hybridMultilevel"/>
    <w:tmpl w:val="7008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20FC7"/>
    <w:multiLevelType w:val="hybridMultilevel"/>
    <w:tmpl w:val="E4A05852"/>
    <w:lvl w:ilvl="0" w:tplc="03505DE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150337"/>
    <w:multiLevelType w:val="hybridMultilevel"/>
    <w:tmpl w:val="FCC84CF2"/>
    <w:lvl w:ilvl="0" w:tplc="2764898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164574"/>
    <w:multiLevelType w:val="hybridMultilevel"/>
    <w:tmpl w:val="101C5184"/>
    <w:lvl w:ilvl="0" w:tplc="2764898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0381669">
    <w:abstractNumId w:val="0"/>
  </w:num>
  <w:num w:numId="2" w16cid:durableId="993415716">
    <w:abstractNumId w:val="3"/>
  </w:num>
  <w:num w:numId="3" w16cid:durableId="910315310">
    <w:abstractNumId w:val="2"/>
  </w:num>
  <w:num w:numId="4" w16cid:durableId="189075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2BD"/>
    <w:rsid w:val="00005AA9"/>
    <w:rsid w:val="000064B1"/>
    <w:rsid w:val="00015A0F"/>
    <w:rsid w:val="00016277"/>
    <w:rsid w:val="0002415A"/>
    <w:rsid w:val="00025AB9"/>
    <w:rsid w:val="00026EBD"/>
    <w:rsid w:val="000279FC"/>
    <w:rsid w:val="00030E83"/>
    <w:rsid w:val="000331CE"/>
    <w:rsid w:val="00033EB1"/>
    <w:rsid w:val="000358FF"/>
    <w:rsid w:val="00036089"/>
    <w:rsid w:val="00040147"/>
    <w:rsid w:val="000427C9"/>
    <w:rsid w:val="000455AF"/>
    <w:rsid w:val="00050731"/>
    <w:rsid w:val="00050D0E"/>
    <w:rsid w:val="0005399D"/>
    <w:rsid w:val="0005431A"/>
    <w:rsid w:val="000572F4"/>
    <w:rsid w:val="00064EE3"/>
    <w:rsid w:val="0006560D"/>
    <w:rsid w:val="0006578C"/>
    <w:rsid w:val="00065A0E"/>
    <w:rsid w:val="00065D17"/>
    <w:rsid w:val="000668F1"/>
    <w:rsid w:val="00070DBA"/>
    <w:rsid w:val="00071D38"/>
    <w:rsid w:val="00073021"/>
    <w:rsid w:val="00073252"/>
    <w:rsid w:val="00073920"/>
    <w:rsid w:val="000770B9"/>
    <w:rsid w:val="00077478"/>
    <w:rsid w:val="0007757B"/>
    <w:rsid w:val="000800BD"/>
    <w:rsid w:val="00081B2D"/>
    <w:rsid w:val="000849A7"/>
    <w:rsid w:val="00086620"/>
    <w:rsid w:val="00086A29"/>
    <w:rsid w:val="0009015F"/>
    <w:rsid w:val="000944E3"/>
    <w:rsid w:val="00095850"/>
    <w:rsid w:val="00095D07"/>
    <w:rsid w:val="00097DCD"/>
    <w:rsid w:val="000A27F9"/>
    <w:rsid w:val="000A660D"/>
    <w:rsid w:val="000B0F01"/>
    <w:rsid w:val="000B1175"/>
    <w:rsid w:val="000B1837"/>
    <w:rsid w:val="000B26A6"/>
    <w:rsid w:val="000B357F"/>
    <w:rsid w:val="000B38AA"/>
    <w:rsid w:val="000B4AB9"/>
    <w:rsid w:val="000B6F1C"/>
    <w:rsid w:val="000B6F9F"/>
    <w:rsid w:val="000C181A"/>
    <w:rsid w:val="000C2A4D"/>
    <w:rsid w:val="000C510C"/>
    <w:rsid w:val="000C5F54"/>
    <w:rsid w:val="000D3574"/>
    <w:rsid w:val="000D3A23"/>
    <w:rsid w:val="000D76AF"/>
    <w:rsid w:val="000E04DB"/>
    <w:rsid w:val="000E23A4"/>
    <w:rsid w:val="000E3598"/>
    <w:rsid w:val="000E4705"/>
    <w:rsid w:val="000E6CCB"/>
    <w:rsid w:val="000F47A5"/>
    <w:rsid w:val="000F62C2"/>
    <w:rsid w:val="000F6A37"/>
    <w:rsid w:val="00101AD8"/>
    <w:rsid w:val="00102CF3"/>
    <w:rsid w:val="00110CEF"/>
    <w:rsid w:val="00121B63"/>
    <w:rsid w:val="00122BEB"/>
    <w:rsid w:val="001237FA"/>
    <w:rsid w:val="00123E9C"/>
    <w:rsid w:val="001243E3"/>
    <w:rsid w:val="00125083"/>
    <w:rsid w:val="00125261"/>
    <w:rsid w:val="00125E9A"/>
    <w:rsid w:val="00125FE9"/>
    <w:rsid w:val="00127460"/>
    <w:rsid w:val="001327B9"/>
    <w:rsid w:val="001330DD"/>
    <w:rsid w:val="001337B3"/>
    <w:rsid w:val="00133BBA"/>
    <w:rsid w:val="00133EC4"/>
    <w:rsid w:val="0013595E"/>
    <w:rsid w:val="0013598E"/>
    <w:rsid w:val="00135A57"/>
    <w:rsid w:val="00135E0E"/>
    <w:rsid w:val="00136CC9"/>
    <w:rsid w:val="00141988"/>
    <w:rsid w:val="0014235E"/>
    <w:rsid w:val="00142879"/>
    <w:rsid w:val="00145AA1"/>
    <w:rsid w:val="00145FC9"/>
    <w:rsid w:val="0014632C"/>
    <w:rsid w:val="00147F57"/>
    <w:rsid w:val="00151C27"/>
    <w:rsid w:val="001527ED"/>
    <w:rsid w:val="00155CF3"/>
    <w:rsid w:val="001571D1"/>
    <w:rsid w:val="001573E1"/>
    <w:rsid w:val="00160E88"/>
    <w:rsid w:val="00162080"/>
    <w:rsid w:val="0016214F"/>
    <w:rsid w:val="00162C06"/>
    <w:rsid w:val="001639F9"/>
    <w:rsid w:val="0016549A"/>
    <w:rsid w:val="00166BEB"/>
    <w:rsid w:val="00166CF4"/>
    <w:rsid w:val="00170EC2"/>
    <w:rsid w:val="00171839"/>
    <w:rsid w:val="00173FB2"/>
    <w:rsid w:val="00174320"/>
    <w:rsid w:val="00175870"/>
    <w:rsid w:val="0018101A"/>
    <w:rsid w:val="00181DE2"/>
    <w:rsid w:val="001860DD"/>
    <w:rsid w:val="001946FA"/>
    <w:rsid w:val="00195C49"/>
    <w:rsid w:val="001A1366"/>
    <w:rsid w:val="001A24B7"/>
    <w:rsid w:val="001A27A8"/>
    <w:rsid w:val="001A292E"/>
    <w:rsid w:val="001A4C85"/>
    <w:rsid w:val="001B05AB"/>
    <w:rsid w:val="001B145F"/>
    <w:rsid w:val="001B45F6"/>
    <w:rsid w:val="001B7731"/>
    <w:rsid w:val="001C149A"/>
    <w:rsid w:val="001C4253"/>
    <w:rsid w:val="001D49C1"/>
    <w:rsid w:val="001D5D99"/>
    <w:rsid w:val="001D60BF"/>
    <w:rsid w:val="001D6D20"/>
    <w:rsid w:val="001E0AB9"/>
    <w:rsid w:val="001E1154"/>
    <w:rsid w:val="001E4892"/>
    <w:rsid w:val="001E5DCD"/>
    <w:rsid w:val="001F307B"/>
    <w:rsid w:val="001F450C"/>
    <w:rsid w:val="001F4C6C"/>
    <w:rsid w:val="001F7CE8"/>
    <w:rsid w:val="002039C4"/>
    <w:rsid w:val="00204799"/>
    <w:rsid w:val="0020588F"/>
    <w:rsid w:val="00206A46"/>
    <w:rsid w:val="002115A4"/>
    <w:rsid w:val="0021248D"/>
    <w:rsid w:val="00215E52"/>
    <w:rsid w:val="002200CC"/>
    <w:rsid w:val="00220FB4"/>
    <w:rsid w:val="002237AA"/>
    <w:rsid w:val="00224E41"/>
    <w:rsid w:val="002261E2"/>
    <w:rsid w:val="002323E3"/>
    <w:rsid w:val="00235B13"/>
    <w:rsid w:val="00236E88"/>
    <w:rsid w:val="0024228F"/>
    <w:rsid w:val="00244D8D"/>
    <w:rsid w:val="00245F08"/>
    <w:rsid w:val="0024654D"/>
    <w:rsid w:val="002476AD"/>
    <w:rsid w:val="00250506"/>
    <w:rsid w:val="0025083B"/>
    <w:rsid w:val="00251891"/>
    <w:rsid w:val="00252BC1"/>
    <w:rsid w:val="00257B85"/>
    <w:rsid w:val="00263764"/>
    <w:rsid w:val="00263929"/>
    <w:rsid w:val="002671C9"/>
    <w:rsid w:val="002672BC"/>
    <w:rsid w:val="002709DA"/>
    <w:rsid w:val="002756A7"/>
    <w:rsid w:val="002776F1"/>
    <w:rsid w:val="0028252B"/>
    <w:rsid w:val="00282C46"/>
    <w:rsid w:val="002862B9"/>
    <w:rsid w:val="00291903"/>
    <w:rsid w:val="002919FA"/>
    <w:rsid w:val="00294A52"/>
    <w:rsid w:val="00295DDB"/>
    <w:rsid w:val="002963D2"/>
    <w:rsid w:val="002A1C46"/>
    <w:rsid w:val="002A3CAD"/>
    <w:rsid w:val="002A470F"/>
    <w:rsid w:val="002A4CDB"/>
    <w:rsid w:val="002A4F33"/>
    <w:rsid w:val="002A54A1"/>
    <w:rsid w:val="002A6345"/>
    <w:rsid w:val="002A7DF4"/>
    <w:rsid w:val="002B15A1"/>
    <w:rsid w:val="002B2940"/>
    <w:rsid w:val="002B57E2"/>
    <w:rsid w:val="002B697C"/>
    <w:rsid w:val="002B7E66"/>
    <w:rsid w:val="002C2F7D"/>
    <w:rsid w:val="002C7061"/>
    <w:rsid w:val="002C75EF"/>
    <w:rsid w:val="002D08D1"/>
    <w:rsid w:val="002D4696"/>
    <w:rsid w:val="002D6669"/>
    <w:rsid w:val="002E2256"/>
    <w:rsid w:val="002E2465"/>
    <w:rsid w:val="002F0266"/>
    <w:rsid w:val="002F1880"/>
    <w:rsid w:val="002F2CE8"/>
    <w:rsid w:val="002F47FA"/>
    <w:rsid w:val="002F4C7D"/>
    <w:rsid w:val="002F67E8"/>
    <w:rsid w:val="002F73DE"/>
    <w:rsid w:val="002F74FB"/>
    <w:rsid w:val="002F7AD1"/>
    <w:rsid w:val="002F7D20"/>
    <w:rsid w:val="003004C0"/>
    <w:rsid w:val="003012F4"/>
    <w:rsid w:val="003032AB"/>
    <w:rsid w:val="00303CF2"/>
    <w:rsid w:val="00306BA3"/>
    <w:rsid w:val="00307DD4"/>
    <w:rsid w:val="00310263"/>
    <w:rsid w:val="00312E4B"/>
    <w:rsid w:val="003131CA"/>
    <w:rsid w:val="003134D3"/>
    <w:rsid w:val="00313C54"/>
    <w:rsid w:val="0031455C"/>
    <w:rsid w:val="00314DC2"/>
    <w:rsid w:val="0031685C"/>
    <w:rsid w:val="0031793E"/>
    <w:rsid w:val="00317B3F"/>
    <w:rsid w:val="00320A95"/>
    <w:rsid w:val="00322E25"/>
    <w:rsid w:val="00323E6C"/>
    <w:rsid w:val="0032707A"/>
    <w:rsid w:val="0032744A"/>
    <w:rsid w:val="00330A7B"/>
    <w:rsid w:val="00337268"/>
    <w:rsid w:val="00346BFA"/>
    <w:rsid w:val="00346E69"/>
    <w:rsid w:val="00351DDC"/>
    <w:rsid w:val="00352481"/>
    <w:rsid w:val="00357D64"/>
    <w:rsid w:val="0036031E"/>
    <w:rsid w:val="003608B7"/>
    <w:rsid w:val="00360CAC"/>
    <w:rsid w:val="00370259"/>
    <w:rsid w:val="0037339D"/>
    <w:rsid w:val="003745B9"/>
    <w:rsid w:val="003755C9"/>
    <w:rsid w:val="003763A8"/>
    <w:rsid w:val="00377028"/>
    <w:rsid w:val="00377CA3"/>
    <w:rsid w:val="00380B86"/>
    <w:rsid w:val="00386461"/>
    <w:rsid w:val="0039119B"/>
    <w:rsid w:val="00391368"/>
    <w:rsid w:val="00393041"/>
    <w:rsid w:val="00393E30"/>
    <w:rsid w:val="003966F6"/>
    <w:rsid w:val="003A0EFA"/>
    <w:rsid w:val="003B0BBA"/>
    <w:rsid w:val="003B5498"/>
    <w:rsid w:val="003B5B70"/>
    <w:rsid w:val="003B5FD0"/>
    <w:rsid w:val="003C2209"/>
    <w:rsid w:val="003C5B5B"/>
    <w:rsid w:val="003D0BCB"/>
    <w:rsid w:val="003D2052"/>
    <w:rsid w:val="003D2869"/>
    <w:rsid w:val="003D3B00"/>
    <w:rsid w:val="003D43FA"/>
    <w:rsid w:val="003E0584"/>
    <w:rsid w:val="003E0B69"/>
    <w:rsid w:val="003E167E"/>
    <w:rsid w:val="003E1EF5"/>
    <w:rsid w:val="003E7981"/>
    <w:rsid w:val="003F5901"/>
    <w:rsid w:val="003F5FB8"/>
    <w:rsid w:val="003F7B3B"/>
    <w:rsid w:val="00407768"/>
    <w:rsid w:val="00414592"/>
    <w:rsid w:val="00417818"/>
    <w:rsid w:val="0042055C"/>
    <w:rsid w:val="00420FE0"/>
    <w:rsid w:val="00423EA0"/>
    <w:rsid w:val="0042419E"/>
    <w:rsid w:val="00424D37"/>
    <w:rsid w:val="004307D3"/>
    <w:rsid w:val="004327A4"/>
    <w:rsid w:val="00432E78"/>
    <w:rsid w:val="0043307A"/>
    <w:rsid w:val="004334AC"/>
    <w:rsid w:val="004338A9"/>
    <w:rsid w:val="00435B3C"/>
    <w:rsid w:val="0043602C"/>
    <w:rsid w:val="00447906"/>
    <w:rsid w:val="00447C3C"/>
    <w:rsid w:val="00451018"/>
    <w:rsid w:val="00454930"/>
    <w:rsid w:val="00454F99"/>
    <w:rsid w:val="00455845"/>
    <w:rsid w:val="00455D58"/>
    <w:rsid w:val="00456659"/>
    <w:rsid w:val="0045686A"/>
    <w:rsid w:val="00457F95"/>
    <w:rsid w:val="00461190"/>
    <w:rsid w:val="004635D6"/>
    <w:rsid w:val="00465756"/>
    <w:rsid w:val="00474F07"/>
    <w:rsid w:val="004834EB"/>
    <w:rsid w:val="00483FCA"/>
    <w:rsid w:val="004861ED"/>
    <w:rsid w:val="00487356"/>
    <w:rsid w:val="004909AC"/>
    <w:rsid w:val="00490AA1"/>
    <w:rsid w:val="00493736"/>
    <w:rsid w:val="00496A1E"/>
    <w:rsid w:val="004A16AA"/>
    <w:rsid w:val="004A1FF3"/>
    <w:rsid w:val="004A548B"/>
    <w:rsid w:val="004B132A"/>
    <w:rsid w:val="004B63B3"/>
    <w:rsid w:val="004B7C12"/>
    <w:rsid w:val="004C5288"/>
    <w:rsid w:val="004C733E"/>
    <w:rsid w:val="004C7D57"/>
    <w:rsid w:val="004C7E61"/>
    <w:rsid w:val="004D08D8"/>
    <w:rsid w:val="004D2075"/>
    <w:rsid w:val="004D395E"/>
    <w:rsid w:val="004D3B7E"/>
    <w:rsid w:val="004D67DA"/>
    <w:rsid w:val="004D71CC"/>
    <w:rsid w:val="004E3B12"/>
    <w:rsid w:val="004E765B"/>
    <w:rsid w:val="004E7B4E"/>
    <w:rsid w:val="004E7E3E"/>
    <w:rsid w:val="004F0374"/>
    <w:rsid w:val="004F0667"/>
    <w:rsid w:val="004F3A2E"/>
    <w:rsid w:val="004F3F19"/>
    <w:rsid w:val="004F534B"/>
    <w:rsid w:val="004F7482"/>
    <w:rsid w:val="004F778C"/>
    <w:rsid w:val="00502A5D"/>
    <w:rsid w:val="00502FF2"/>
    <w:rsid w:val="00504505"/>
    <w:rsid w:val="005059D9"/>
    <w:rsid w:val="0050710C"/>
    <w:rsid w:val="00513740"/>
    <w:rsid w:val="00514476"/>
    <w:rsid w:val="00515BB8"/>
    <w:rsid w:val="00517049"/>
    <w:rsid w:val="005171F4"/>
    <w:rsid w:val="005179E6"/>
    <w:rsid w:val="00530697"/>
    <w:rsid w:val="00530DB0"/>
    <w:rsid w:val="00532B73"/>
    <w:rsid w:val="005351DD"/>
    <w:rsid w:val="00546F2D"/>
    <w:rsid w:val="0055455F"/>
    <w:rsid w:val="00554D2D"/>
    <w:rsid w:val="0055557A"/>
    <w:rsid w:val="00556EB1"/>
    <w:rsid w:val="005654C6"/>
    <w:rsid w:val="005673D6"/>
    <w:rsid w:val="005716F8"/>
    <w:rsid w:val="005737DE"/>
    <w:rsid w:val="005749A0"/>
    <w:rsid w:val="00577385"/>
    <w:rsid w:val="00580D13"/>
    <w:rsid w:val="00590E69"/>
    <w:rsid w:val="00592497"/>
    <w:rsid w:val="005A0CEA"/>
    <w:rsid w:val="005A180C"/>
    <w:rsid w:val="005A21AB"/>
    <w:rsid w:val="005A789D"/>
    <w:rsid w:val="005B1228"/>
    <w:rsid w:val="005B23A3"/>
    <w:rsid w:val="005B440D"/>
    <w:rsid w:val="005B604A"/>
    <w:rsid w:val="005B67AE"/>
    <w:rsid w:val="005C086F"/>
    <w:rsid w:val="005C16E8"/>
    <w:rsid w:val="005C1BF2"/>
    <w:rsid w:val="005C2132"/>
    <w:rsid w:val="005C243B"/>
    <w:rsid w:val="005C3A16"/>
    <w:rsid w:val="005C4790"/>
    <w:rsid w:val="005C4DDA"/>
    <w:rsid w:val="005C538B"/>
    <w:rsid w:val="005C6603"/>
    <w:rsid w:val="005C7D27"/>
    <w:rsid w:val="005D239F"/>
    <w:rsid w:val="005D4EB6"/>
    <w:rsid w:val="005D5CB3"/>
    <w:rsid w:val="005D6813"/>
    <w:rsid w:val="005E6334"/>
    <w:rsid w:val="005E741E"/>
    <w:rsid w:val="005F6E1E"/>
    <w:rsid w:val="00600B44"/>
    <w:rsid w:val="00600F25"/>
    <w:rsid w:val="00601AE3"/>
    <w:rsid w:val="00602B6E"/>
    <w:rsid w:val="00604DE6"/>
    <w:rsid w:val="00605F33"/>
    <w:rsid w:val="00607A80"/>
    <w:rsid w:val="00615F48"/>
    <w:rsid w:val="006163C0"/>
    <w:rsid w:val="006164AD"/>
    <w:rsid w:val="00621879"/>
    <w:rsid w:val="0062306A"/>
    <w:rsid w:val="006240AB"/>
    <w:rsid w:val="006257C6"/>
    <w:rsid w:val="0063078C"/>
    <w:rsid w:val="006332A1"/>
    <w:rsid w:val="006339C2"/>
    <w:rsid w:val="0063653A"/>
    <w:rsid w:val="00636796"/>
    <w:rsid w:val="0063788A"/>
    <w:rsid w:val="00640175"/>
    <w:rsid w:val="00640D64"/>
    <w:rsid w:val="00640D74"/>
    <w:rsid w:val="00642378"/>
    <w:rsid w:val="00647EE6"/>
    <w:rsid w:val="006519A4"/>
    <w:rsid w:val="00653348"/>
    <w:rsid w:val="006545A9"/>
    <w:rsid w:val="00656317"/>
    <w:rsid w:val="006567D2"/>
    <w:rsid w:val="0066012B"/>
    <w:rsid w:val="00661914"/>
    <w:rsid w:val="0066500B"/>
    <w:rsid w:val="00673356"/>
    <w:rsid w:val="006734E0"/>
    <w:rsid w:val="00676855"/>
    <w:rsid w:val="00680C7E"/>
    <w:rsid w:val="00681289"/>
    <w:rsid w:val="006819E7"/>
    <w:rsid w:val="006838E1"/>
    <w:rsid w:val="006912EA"/>
    <w:rsid w:val="0069180B"/>
    <w:rsid w:val="00696235"/>
    <w:rsid w:val="0069769C"/>
    <w:rsid w:val="006A1BF4"/>
    <w:rsid w:val="006A2FFF"/>
    <w:rsid w:val="006A37E2"/>
    <w:rsid w:val="006B060A"/>
    <w:rsid w:val="006B0AD7"/>
    <w:rsid w:val="006B1050"/>
    <w:rsid w:val="006B42BD"/>
    <w:rsid w:val="006B528C"/>
    <w:rsid w:val="006B6505"/>
    <w:rsid w:val="006C2418"/>
    <w:rsid w:val="006C4DD3"/>
    <w:rsid w:val="006C5247"/>
    <w:rsid w:val="006C644D"/>
    <w:rsid w:val="006C7758"/>
    <w:rsid w:val="006D0909"/>
    <w:rsid w:val="006D24F5"/>
    <w:rsid w:val="006D46CC"/>
    <w:rsid w:val="006D7D92"/>
    <w:rsid w:val="006E1C71"/>
    <w:rsid w:val="006E1DAB"/>
    <w:rsid w:val="006E5152"/>
    <w:rsid w:val="006E5C5A"/>
    <w:rsid w:val="006E7485"/>
    <w:rsid w:val="006F099A"/>
    <w:rsid w:val="006F0D4A"/>
    <w:rsid w:val="006F31F5"/>
    <w:rsid w:val="006F3940"/>
    <w:rsid w:val="006F5570"/>
    <w:rsid w:val="006F7B4D"/>
    <w:rsid w:val="00700FF3"/>
    <w:rsid w:val="00710043"/>
    <w:rsid w:val="00710D92"/>
    <w:rsid w:val="00713D0A"/>
    <w:rsid w:val="00725337"/>
    <w:rsid w:val="0072755A"/>
    <w:rsid w:val="0072797B"/>
    <w:rsid w:val="007307BD"/>
    <w:rsid w:val="007318A5"/>
    <w:rsid w:val="00734FED"/>
    <w:rsid w:val="0074074B"/>
    <w:rsid w:val="0074078D"/>
    <w:rsid w:val="00741463"/>
    <w:rsid w:val="007418A7"/>
    <w:rsid w:val="00742850"/>
    <w:rsid w:val="00742DAA"/>
    <w:rsid w:val="00742EDD"/>
    <w:rsid w:val="007465D7"/>
    <w:rsid w:val="00746A83"/>
    <w:rsid w:val="00751668"/>
    <w:rsid w:val="007519B1"/>
    <w:rsid w:val="007540FA"/>
    <w:rsid w:val="00754701"/>
    <w:rsid w:val="007577AF"/>
    <w:rsid w:val="00760FAC"/>
    <w:rsid w:val="0076146D"/>
    <w:rsid w:val="00762B35"/>
    <w:rsid w:val="00762DF5"/>
    <w:rsid w:val="00763E57"/>
    <w:rsid w:val="0077187F"/>
    <w:rsid w:val="007754E4"/>
    <w:rsid w:val="007819FC"/>
    <w:rsid w:val="00781D2D"/>
    <w:rsid w:val="0078456F"/>
    <w:rsid w:val="00790B41"/>
    <w:rsid w:val="00795D30"/>
    <w:rsid w:val="00795F02"/>
    <w:rsid w:val="0079625A"/>
    <w:rsid w:val="007A57C5"/>
    <w:rsid w:val="007A6643"/>
    <w:rsid w:val="007A67FA"/>
    <w:rsid w:val="007B006C"/>
    <w:rsid w:val="007B0814"/>
    <w:rsid w:val="007B2D38"/>
    <w:rsid w:val="007B6312"/>
    <w:rsid w:val="007C0981"/>
    <w:rsid w:val="007C16B7"/>
    <w:rsid w:val="007C7DFB"/>
    <w:rsid w:val="007C7F03"/>
    <w:rsid w:val="007D577F"/>
    <w:rsid w:val="007E39CA"/>
    <w:rsid w:val="007F0572"/>
    <w:rsid w:val="007F24BA"/>
    <w:rsid w:val="007F635E"/>
    <w:rsid w:val="00801039"/>
    <w:rsid w:val="008023A8"/>
    <w:rsid w:val="0080453D"/>
    <w:rsid w:val="00810DB7"/>
    <w:rsid w:val="00811B61"/>
    <w:rsid w:val="0081739C"/>
    <w:rsid w:val="00817E8C"/>
    <w:rsid w:val="008214C7"/>
    <w:rsid w:val="008241E0"/>
    <w:rsid w:val="0082473B"/>
    <w:rsid w:val="00824BDA"/>
    <w:rsid w:val="00826A7B"/>
    <w:rsid w:val="0083196E"/>
    <w:rsid w:val="0083215C"/>
    <w:rsid w:val="00841D74"/>
    <w:rsid w:val="0084282A"/>
    <w:rsid w:val="0084362B"/>
    <w:rsid w:val="00843A36"/>
    <w:rsid w:val="00845092"/>
    <w:rsid w:val="00845731"/>
    <w:rsid w:val="00846CFB"/>
    <w:rsid w:val="008477F8"/>
    <w:rsid w:val="00847905"/>
    <w:rsid w:val="00847E1E"/>
    <w:rsid w:val="008503D6"/>
    <w:rsid w:val="00850B80"/>
    <w:rsid w:val="0085201C"/>
    <w:rsid w:val="0085517E"/>
    <w:rsid w:val="00855182"/>
    <w:rsid w:val="00855A58"/>
    <w:rsid w:val="0085620B"/>
    <w:rsid w:val="0086004E"/>
    <w:rsid w:val="00861D8C"/>
    <w:rsid w:val="0086515E"/>
    <w:rsid w:val="00871929"/>
    <w:rsid w:val="00872625"/>
    <w:rsid w:val="00880356"/>
    <w:rsid w:val="00884E51"/>
    <w:rsid w:val="00887539"/>
    <w:rsid w:val="00892306"/>
    <w:rsid w:val="00892E28"/>
    <w:rsid w:val="008933F4"/>
    <w:rsid w:val="008961C4"/>
    <w:rsid w:val="00897941"/>
    <w:rsid w:val="008A0A20"/>
    <w:rsid w:val="008A2610"/>
    <w:rsid w:val="008A3BBC"/>
    <w:rsid w:val="008A3DFA"/>
    <w:rsid w:val="008B1108"/>
    <w:rsid w:val="008B16FD"/>
    <w:rsid w:val="008B20E0"/>
    <w:rsid w:val="008B49A8"/>
    <w:rsid w:val="008B6998"/>
    <w:rsid w:val="008B74AF"/>
    <w:rsid w:val="008C17ED"/>
    <w:rsid w:val="008C3A7C"/>
    <w:rsid w:val="008D058F"/>
    <w:rsid w:val="008D1010"/>
    <w:rsid w:val="008D3BC9"/>
    <w:rsid w:val="008E4801"/>
    <w:rsid w:val="008E4909"/>
    <w:rsid w:val="008E7210"/>
    <w:rsid w:val="008E7BE1"/>
    <w:rsid w:val="008F04D9"/>
    <w:rsid w:val="008F0F2D"/>
    <w:rsid w:val="0090100B"/>
    <w:rsid w:val="009011C5"/>
    <w:rsid w:val="00905E9F"/>
    <w:rsid w:val="0091454C"/>
    <w:rsid w:val="00915852"/>
    <w:rsid w:val="00916245"/>
    <w:rsid w:val="00917148"/>
    <w:rsid w:val="0092031C"/>
    <w:rsid w:val="009257B8"/>
    <w:rsid w:val="009267E8"/>
    <w:rsid w:val="009342C5"/>
    <w:rsid w:val="00935203"/>
    <w:rsid w:val="00936EB5"/>
    <w:rsid w:val="00937D5F"/>
    <w:rsid w:val="00940083"/>
    <w:rsid w:val="00942E38"/>
    <w:rsid w:val="009437EE"/>
    <w:rsid w:val="00943C35"/>
    <w:rsid w:val="0094428C"/>
    <w:rsid w:val="00944B5C"/>
    <w:rsid w:val="00946955"/>
    <w:rsid w:val="00947CF6"/>
    <w:rsid w:val="00947D36"/>
    <w:rsid w:val="00950D66"/>
    <w:rsid w:val="0095490D"/>
    <w:rsid w:val="00955C4D"/>
    <w:rsid w:val="00957AEA"/>
    <w:rsid w:val="009618F0"/>
    <w:rsid w:val="0096401E"/>
    <w:rsid w:val="0097020B"/>
    <w:rsid w:val="0097041B"/>
    <w:rsid w:val="009708E9"/>
    <w:rsid w:val="009731FE"/>
    <w:rsid w:val="00974247"/>
    <w:rsid w:val="0097552A"/>
    <w:rsid w:val="00980525"/>
    <w:rsid w:val="00981DEC"/>
    <w:rsid w:val="00983570"/>
    <w:rsid w:val="0098378F"/>
    <w:rsid w:val="00984F79"/>
    <w:rsid w:val="009868F9"/>
    <w:rsid w:val="0098792B"/>
    <w:rsid w:val="00990370"/>
    <w:rsid w:val="00990C85"/>
    <w:rsid w:val="009A1323"/>
    <w:rsid w:val="009A2693"/>
    <w:rsid w:val="009A3AB0"/>
    <w:rsid w:val="009A5CC0"/>
    <w:rsid w:val="009B24F6"/>
    <w:rsid w:val="009B3B72"/>
    <w:rsid w:val="009B4241"/>
    <w:rsid w:val="009B427E"/>
    <w:rsid w:val="009B4D52"/>
    <w:rsid w:val="009B5A0D"/>
    <w:rsid w:val="009B5DD5"/>
    <w:rsid w:val="009B637E"/>
    <w:rsid w:val="009B7D33"/>
    <w:rsid w:val="009C1806"/>
    <w:rsid w:val="009C224A"/>
    <w:rsid w:val="009C4F15"/>
    <w:rsid w:val="009C6A34"/>
    <w:rsid w:val="009D0EF8"/>
    <w:rsid w:val="009D102B"/>
    <w:rsid w:val="009D2D44"/>
    <w:rsid w:val="009D2FA9"/>
    <w:rsid w:val="009D3023"/>
    <w:rsid w:val="009D5034"/>
    <w:rsid w:val="009D60E5"/>
    <w:rsid w:val="009E13C6"/>
    <w:rsid w:val="009E75C3"/>
    <w:rsid w:val="009E76B9"/>
    <w:rsid w:val="009F1A2D"/>
    <w:rsid w:val="009F3145"/>
    <w:rsid w:val="009F3F9C"/>
    <w:rsid w:val="009F5AA8"/>
    <w:rsid w:val="00A014F0"/>
    <w:rsid w:val="00A044C9"/>
    <w:rsid w:val="00A04E50"/>
    <w:rsid w:val="00A053EF"/>
    <w:rsid w:val="00A05946"/>
    <w:rsid w:val="00A061BC"/>
    <w:rsid w:val="00A069C9"/>
    <w:rsid w:val="00A10576"/>
    <w:rsid w:val="00A11DF4"/>
    <w:rsid w:val="00A11FDA"/>
    <w:rsid w:val="00A142CA"/>
    <w:rsid w:val="00A1790E"/>
    <w:rsid w:val="00A2000D"/>
    <w:rsid w:val="00A235B8"/>
    <w:rsid w:val="00A23DE0"/>
    <w:rsid w:val="00A24CA1"/>
    <w:rsid w:val="00A27BFB"/>
    <w:rsid w:val="00A323F0"/>
    <w:rsid w:val="00A35A70"/>
    <w:rsid w:val="00A35E3B"/>
    <w:rsid w:val="00A4314A"/>
    <w:rsid w:val="00A4442D"/>
    <w:rsid w:val="00A46348"/>
    <w:rsid w:val="00A46E3C"/>
    <w:rsid w:val="00A55D80"/>
    <w:rsid w:val="00A5789E"/>
    <w:rsid w:val="00A60F8E"/>
    <w:rsid w:val="00A61B75"/>
    <w:rsid w:val="00A66A8A"/>
    <w:rsid w:val="00A67C43"/>
    <w:rsid w:val="00A7238A"/>
    <w:rsid w:val="00A7363E"/>
    <w:rsid w:val="00A7584D"/>
    <w:rsid w:val="00A77D9D"/>
    <w:rsid w:val="00A81F2D"/>
    <w:rsid w:val="00A82A10"/>
    <w:rsid w:val="00A84241"/>
    <w:rsid w:val="00A866D9"/>
    <w:rsid w:val="00A922F2"/>
    <w:rsid w:val="00A95C43"/>
    <w:rsid w:val="00A97164"/>
    <w:rsid w:val="00AA2F42"/>
    <w:rsid w:val="00AA4B47"/>
    <w:rsid w:val="00AA4D4A"/>
    <w:rsid w:val="00AA570B"/>
    <w:rsid w:val="00AA5A4C"/>
    <w:rsid w:val="00AB0BD2"/>
    <w:rsid w:val="00AB2896"/>
    <w:rsid w:val="00AB42F9"/>
    <w:rsid w:val="00AC0D66"/>
    <w:rsid w:val="00AC29B8"/>
    <w:rsid w:val="00AC3C60"/>
    <w:rsid w:val="00AC74AF"/>
    <w:rsid w:val="00AD055C"/>
    <w:rsid w:val="00AD2DC2"/>
    <w:rsid w:val="00AD61F2"/>
    <w:rsid w:val="00AD6AF1"/>
    <w:rsid w:val="00AD7345"/>
    <w:rsid w:val="00AE473E"/>
    <w:rsid w:val="00AE66B8"/>
    <w:rsid w:val="00AE7907"/>
    <w:rsid w:val="00AF0481"/>
    <w:rsid w:val="00AF339E"/>
    <w:rsid w:val="00AF3977"/>
    <w:rsid w:val="00AF7DDF"/>
    <w:rsid w:val="00B0106A"/>
    <w:rsid w:val="00B014CA"/>
    <w:rsid w:val="00B047EA"/>
    <w:rsid w:val="00B10640"/>
    <w:rsid w:val="00B13321"/>
    <w:rsid w:val="00B239B8"/>
    <w:rsid w:val="00B241F2"/>
    <w:rsid w:val="00B25086"/>
    <w:rsid w:val="00B26B2D"/>
    <w:rsid w:val="00B277FB"/>
    <w:rsid w:val="00B30F7E"/>
    <w:rsid w:val="00B334C8"/>
    <w:rsid w:val="00B33A25"/>
    <w:rsid w:val="00B34652"/>
    <w:rsid w:val="00B35289"/>
    <w:rsid w:val="00B47A96"/>
    <w:rsid w:val="00B54885"/>
    <w:rsid w:val="00B54AB6"/>
    <w:rsid w:val="00B568D3"/>
    <w:rsid w:val="00B615DC"/>
    <w:rsid w:val="00B65DCC"/>
    <w:rsid w:val="00B669BA"/>
    <w:rsid w:val="00B66E55"/>
    <w:rsid w:val="00B71E23"/>
    <w:rsid w:val="00B74956"/>
    <w:rsid w:val="00B75868"/>
    <w:rsid w:val="00B75AA9"/>
    <w:rsid w:val="00B825B0"/>
    <w:rsid w:val="00B85F53"/>
    <w:rsid w:val="00B863D9"/>
    <w:rsid w:val="00B91B5C"/>
    <w:rsid w:val="00B95A0B"/>
    <w:rsid w:val="00B97693"/>
    <w:rsid w:val="00BA3DA8"/>
    <w:rsid w:val="00BA4036"/>
    <w:rsid w:val="00BB074F"/>
    <w:rsid w:val="00BB1AF7"/>
    <w:rsid w:val="00BB2F62"/>
    <w:rsid w:val="00BB6945"/>
    <w:rsid w:val="00BB7230"/>
    <w:rsid w:val="00BB7776"/>
    <w:rsid w:val="00BB7892"/>
    <w:rsid w:val="00BC1854"/>
    <w:rsid w:val="00BC20B7"/>
    <w:rsid w:val="00BC568C"/>
    <w:rsid w:val="00BD2495"/>
    <w:rsid w:val="00BD2ADB"/>
    <w:rsid w:val="00BD2BB8"/>
    <w:rsid w:val="00BD433C"/>
    <w:rsid w:val="00BD4349"/>
    <w:rsid w:val="00BD5A19"/>
    <w:rsid w:val="00BD76DD"/>
    <w:rsid w:val="00BE0B9D"/>
    <w:rsid w:val="00BE6CC1"/>
    <w:rsid w:val="00BE7B41"/>
    <w:rsid w:val="00BF01F3"/>
    <w:rsid w:val="00BF11E5"/>
    <w:rsid w:val="00BF38B2"/>
    <w:rsid w:val="00BF65D9"/>
    <w:rsid w:val="00BF7548"/>
    <w:rsid w:val="00BF7FEF"/>
    <w:rsid w:val="00C02F31"/>
    <w:rsid w:val="00C063A7"/>
    <w:rsid w:val="00C063F0"/>
    <w:rsid w:val="00C14B74"/>
    <w:rsid w:val="00C22B61"/>
    <w:rsid w:val="00C26F4A"/>
    <w:rsid w:val="00C30F9A"/>
    <w:rsid w:val="00C3326A"/>
    <w:rsid w:val="00C33DD6"/>
    <w:rsid w:val="00C34AC3"/>
    <w:rsid w:val="00C35C75"/>
    <w:rsid w:val="00C366B0"/>
    <w:rsid w:val="00C36F1E"/>
    <w:rsid w:val="00C403A7"/>
    <w:rsid w:val="00C533B0"/>
    <w:rsid w:val="00C54137"/>
    <w:rsid w:val="00C55BCE"/>
    <w:rsid w:val="00C605FA"/>
    <w:rsid w:val="00C63B64"/>
    <w:rsid w:val="00C67B46"/>
    <w:rsid w:val="00C7137D"/>
    <w:rsid w:val="00C73011"/>
    <w:rsid w:val="00C7769C"/>
    <w:rsid w:val="00C77F56"/>
    <w:rsid w:val="00C80684"/>
    <w:rsid w:val="00C80E8E"/>
    <w:rsid w:val="00C829C2"/>
    <w:rsid w:val="00C843FE"/>
    <w:rsid w:val="00C8663E"/>
    <w:rsid w:val="00C90B68"/>
    <w:rsid w:val="00C91AB7"/>
    <w:rsid w:val="00C92417"/>
    <w:rsid w:val="00C9610E"/>
    <w:rsid w:val="00CA6C11"/>
    <w:rsid w:val="00CA7B4A"/>
    <w:rsid w:val="00CB05D9"/>
    <w:rsid w:val="00CB10A8"/>
    <w:rsid w:val="00CB2CA9"/>
    <w:rsid w:val="00CB674C"/>
    <w:rsid w:val="00CB79B5"/>
    <w:rsid w:val="00CB7A88"/>
    <w:rsid w:val="00CD1223"/>
    <w:rsid w:val="00CD2DAB"/>
    <w:rsid w:val="00CD72FA"/>
    <w:rsid w:val="00CE03A2"/>
    <w:rsid w:val="00CE7B5C"/>
    <w:rsid w:val="00CE7DF0"/>
    <w:rsid w:val="00CF0F47"/>
    <w:rsid w:val="00CF53B7"/>
    <w:rsid w:val="00CF5A18"/>
    <w:rsid w:val="00CF644A"/>
    <w:rsid w:val="00CF6510"/>
    <w:rsid w:val="00CF6B6B"/>
    <w:rsid w:val="00D02823"/>
    <w:rsid w:val="00D05039"/>
    <w:rsid w:val="00D11900"/>
    <w:rsid w:val="00D13CFA"/>
    <w:rsid w:val="00D146B2"/>
    <w:rsid w:val="00D16E1D"/>
    <w:rsid w:val="00D22F9B"/>
    <w:rsid w:val="00D2684C"/>
    <w:rsid w:val="00D30B7D"/>
    <w:rsid w:val="00D332C5"/>
    <w:rsid w:val="00D40694"/>
    <w:rsid w:val="00D40805"/>
    <w:rsid w:val="00D41116"/>
    <w:rsid w:val="00D41E32"/>
    <w:rsid w:val="00D42CDE"/>
    <w:rsid w:val="00D46B6E"/>
    <w:rsid w:val="00D50188"/>
    <w:rsid w:val="00D515D8"/>
    <w:rsid w:val="00D5273D"/>
    <w:rsid w:val="00D534D4"/>
    <w:rsid w:val="00D554FB"/>
    <w:rsid w:val="00D56370"/>
    <w:rsid w:val="00D566AC"/>
    <w:rsid w:val="00D70E5C"/>
    <w:rsid w:val="00D70F07"/>
    <w:rsid w:val="00D7170C"/>
    <w:rsid w:val="00D74871"/>
    <w:rsid w:val="00D75DA1"/>
    <w:rsid w:val="00D75DC4"/>
    <w:rsid w:val="00D76B9B"/>
    <w:rsid w:val="00D77790"/>
    <w:rsid w:val="00D809CC"/>
    <w:rsid w:val="00D81153"/>
    <w:rsid w:val="00D820BD"/>
    <w:rsid w:val="00D839D2"/>
    <w:rsid w:val="00D83FAA"/>
    <w:rsid w:val="00D8461F"/>
    <w:rsid w:val="00D84B5F"/>
    <w:rsid w:val="00D850F5"/>
    <w:rsid w:val="00D91B26"/>
    <w:rsid w:val="00D93FC6"/>
    <w:rsid w:val="00D955E9"/>
    <w:rsid w:val="00DA1198"/>
    <w:rsid w:val="00DA1CD2"/>
    <w:rsid w:val="00DA34B7"/>
    <w:rsid w:val="00DA52BF"/>
    <w:rsid w:val="00DB0E71"/>
    <w:rsid w:val="00DB2EC1"/>
    <w:rsid w:val="00DB72BA"/>
    <w:rsid w:val="00DC0A72"/>
    <w:rsid w:val="00DC1142"/>
    <w:rsid w:val="00DC20BF"/>
    <w:rsid w:val="00DC27BC"/>
    <w:rsid w:val="00DD00D4"/>
    <w:rsid w:val="00DD0B74"/>
    <w:rsid w:val="00DD3392"/>
    <w:rsid w:val="00DD58FE"/>
    <w:rsid w:val="00DD6D21"/>
    <w:rsid w:val="00DD7E2B"/>
    <w:rsid w:val="00DE2FF1"/>
    <w:rsid w:val="00DE3F62"/>
    <w:rsid w:val="00DE669C"/>
    <w:rsid w:val="00DE7B16"/>
    <w:rsid w:val="00DF0D67"/>
    <w:rsid w:val="00DF3270"/>
    <w:rsid w:val="00DF3551"/>
    <w:rsid w:val="00E02D94"/>
    <w:rsid w:val="00E0739F"/>
    <w:rsid w:val="00E101B5"/>
    <w:rsid w:val="00E121C7"/>
    <w:rsid w:val="00E140E4"/>
    <w:rsid w:val="00E145C2"/>
    <w:rsid w:val="00E162E4"/>
    <w:rsid w:val="00E24436"/>
    <w:rsid w:val="00E27B92"/>
    <w:rsid w:val="00E34E0D"/>
    <w:rsid w:val="00E45198"/>
    <w:rsid w:val="00E4675D"/>
    <w:rsid w:val="00E47A1E"/>
    <w:rsid w:val="00E515E7"/>
    <w:rsid w:val="00E51BB2"/>
    <w:rsid w:val="00E56596"/>
    <w:rsid w:val="00E577F7"/>
    <w:rsid w:val="00E57A4B"/>
    <w:rsid w:val="00E60976"/>
    <w:rsid w:val="00E6107B"/>
    <w:rsid w:val="00E611AB"/>
    <w:rsid w:val="00E628D9"/>
    <w:rsid w:val="00E62DCB"/>
    <w:rsid w:val="00E65801"/>
    <w:rsid w:val="00E66967"/>
    <w:rsid w:val="00E703D2"/>
    <w:rsid w:val="00E75028"/>
    <w:rsid w:val="00E82738"/>
    <w:rsid w:val="00E83D66"/>
    <w:rsid w:val="00E85F6F"/>
    <w:rsid w:val="00E863FF"/>
    <w:rsid w:val="00E86576"/>
    <w:rsid w:val="00E870C7"/>
    <w:rsid w:val="00E9516D"/>
    <w:rsid w:val="00E964AF"/>
    <w:rsid w:val="00E97AE7"/>
    <w:rsid w:val="00E97C0D"/>
    <w:rsid w:val="00EA041C"/>
    <w:rsid w:val="00EA32AC"/>
    <w:rsid w:val="00EA4419"/>
    <w:rsid w:val="00EA46DA"/>
    <w:rsid w:val="00EA4E84"/>
    <w:rsid w:val="00EB32E3"/>
    <w:rsid w:val="00EC0FBB"/>
    <w:rsid w:val="00EC1B37"/>
    <w:rsid w:val="00EC287F"/>
    <w:rsid w:val="00EC73A9"/>
    <w:rsid w:val="00ED275B"/>
    <w:rsid w:val="00ED28F0"/>
    <w:rsid w:val="00ED326C"/>
    <w:rsid w:val="00EE5C97"/>
    <w:rsid w:val="00EE76C4"/>
    <w:rsid w:val="00EF1518"/>
    <w:rsid w:val="00EF1CCF"/>
    <w:rsid w:val="00EF5C51"/>
    <w:rsid w:val="00F002DA"/>
    <w:rsid w:val="00F00818"/>
    <w:rsid w:val="00F01E36"/>
    <w:rsid w:val="00F03DA4"/>
    <w:rsid w:val="00F044E8"/>
    <w:rsid w:val="00F1164A"/>
    <w:rsid w:val="00F163CE"/>
    <w:rsid w:val="00F218EE"/>
    <w:rsid w:val="00F26381"/>
    <w:rsid w:val="00F26C0F"/>
    <w:rsid w:val="00F276FB"/>
    <w:rsid w:val="00F30E81"/>
    <w:rsid w:val="00F34927"/>
    <w:rsid w:val="00F37549"/>
    <w:rsid w:val="00F413FB"/>
    <w:rsid w:val="00F42CF6"/>
    <w:rsid w:val="00F46368"/>
    <w:rsid w:val="00F47723"/>
    <w:rsid w:val="00F47C3D"/>
    <w:rsid w:val="00F5040F"/>
    <w:rsid w:val="00F50726"/>
    <w:rsid w:val="00F520C5"/>
    <w:rsid w:val="00F5461C"/>
    <w:rsid w:val="00F55FA8"/>
    <w:rsid w:val="00F5782E"/>
    <w:rsid w:val="00F621C5"/>
    <w:rsid w:val="00F621DC"/>
    <w:rsid w:val="00F6287C"/>
    <w:rsid w:val="00F6414D"/>
    <w:rsid w:val="00F6422C"/>
    <w:rsid w:val="00F70C35"/>
    <w:rsid w:val="00F71272"/>
    <w:rsid w:val="00F7381D"/>
    <w:rsid w:val="00F73899"/>
    <w:rsid w:val="00F746CD"/>
    <w:rsid w:val="00F75360"/>
    <w:rsid w:val="00F8348D"/>
    <w:rsid w:val="00F8390E"/>
    <w:rsid w:val="00F862D5"/>
    <w:rsid w:val="00F86346"/>
    <w:rsid w:val="00F869D8"/>
    <w:rsid w:val="00F87743"/>
    <w:rsid w:val="00FA064D"/>
    <w:rsid w:val="00FA1C1C"/>
    <w:rsid w:val="00FA4C01"/>
    <w:rsid w:val="00FB4638"/>
    <w:rsid w:val="00FB60ED"/>
    <w:rsid w:val="00FC05FD"/>
    <w:rsid w:val="00FC06CB"/>
    <w:rsid w:val="00FC0D3D"/>
    <w:rsid w:val="00FC283A"/>
    <w:rsid w:val="00FC28C8"/>
    <w:rsid w:val="00FC33F3"/>
    <w:rsid w:val="00FC4098"/>
    <w:rsid w:val="00FC6240"/>
    <w:rsid w:val="00FD174E"/>
    <w:rsid w:val="00FD3B70"/>
    <w:rsid w:val="00FD4526"/>
    <w:rsid w:val="00FE073C"/>
    <w:rsid w:val="00FE2996"/>
    <w:rsid w:val="00FF0633"/>
    <w:rsid w:val="00FF2314"/>
    <w:rsid w:val="00FF6A41"/>
    <w:rsid w:val="00FF7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199D"/>
  <w15:chartTrackingRefBased/>
  <w15:docId w15:val="{522BF09C-5638-4AED-81F3-1C4D7B8A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B0E"/>
    <w:pPr>
      <w:spacing w:after="240" w:line="480" w:lineRule="auto"/>
      <w:jc w:val="both"/>
    </w:pPr>
    <w:rPr>
      <w:sz w:val="24"/>
    </w:rPr>
  </w:style>
  <w:style w:type="paragraph" w:styleId="Heading1">
    <w:name w:val="heading 1"/>
    <w:basedOn w:val="Normal"/>
    <w:next w:val="Normal"/>
    <w:link w:val="Heading1Char"/>
    <w:autoRedefine/>
    <w:uiPriority w:val="9"/>
    <w:qFormat/>
    <w:rsid w:val="0014632C"/>
    <w:pPr>
      <w:keepNext/>
      <w:keepLines/>
      <w:spacing w:before="120" w:after="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autoRedefine/>
    <w:uiPriority w:val="9"/>
    <w:unhideWhenUsed/>
    <w:qFormat/>
    <w:rsid w:val="00A55D80"/>
    <w:pPr>
      <w:keepNext/>
      <w:keepLines/>
      <w:spacing w:after="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autoRedefine/>
    <w:uiPriority w:val="9"/>
    <w:semiHidden/>
    <w:unhideWhenUsed/>
    <w:qFormat/>
    <w:rsid w:val="006B42BD"/>
    <w:pPr>
      <w:keepNext/>
      <w:keepLines/>
      <w:spacing w:before="40" w:after="0" w:line="276" w:lineRule="auto"/>
      <w:outlineLvl w:val="2"/>
    </w:pPr>
    <w:rPr>
      <w:rFonts w:asciiTheme="majorHAnsi" w:eastAsiaTheme="majorEastAsia" w:hAnsiTheme="majorHAnsi" w:cstheme="majorBidi"/>
      <w:b/>
      <w: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32C"/>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sid w:val="00A55D80"/>
    <w:rPr>
      <w:rFonts w:asciiTheme="majorHAnsi" w:eastAsiaTheme="majorEastAsia" w:hAnsiTheme="majorHAnsi" w:cstheme="majorBidi"/>
      <w:b/>
      <w:sz w:val="28"/>
      <w:szCs w:val="26"/>
    </w:rPr>
  </w:style>
  <w:style w:type="paragraph" w:styleId="Title">
    <w:name w:val="Title"/>
    <w:basedOn w:val="Normal"/>
    <w:next w:val="Normal"/>
    <w:link w:val="TitleChar"/>
    <w:autoRedefine/>
    <w:uiPriority w:val="10"/>
    <w:qFormat/>
    <w:rsid w:val="00D16E1D"/>
    <w:pPr>
      <w:spacing w:line="360" w:lineRule="auto"/>
      <w:contextualSpacing/>
    </w:pPr>
    <w:rPr>
      <w:rFonts w:eastAsiaTheme="majorEastAsia" w:cstheme="minorHAnsi"/>
      <w:b/>
      <w:spacing w:val="-10"/>
      <w:kern w:val="28"/>
      <w:sz w:val="38"/>
      <w:szCs w:val="56"/>
    </w:rPr>
  </w:style>
  <w:style w:type="character" w:customStyle="1" w:styleId="TitleChar">
    <w:name w:val="Title Char"/>
    <w:basedOn w:val="DefaultParagraphFont"/>
    <w:link w:val="Title"/>
    <w:uiPriority w:val="10"/>
    <w:rsid w:val="00D16E1D"/>
    <w:rPr>
      <w:rFonts w:eastAsiaTheme="majorEastAsia" w:cstheme="minorHAnsi"/>
      <w:b/>
      <w:spacing w:val="-10"/>
      <w:kern w:val="28"/>
      <w:sz w:val="38"/>
      <w:szCs w:val="56"/>
    </w:rPr>
  </w:style>
  <w:style w:type="character" w:customStyle="1" w:styleId="Heading3Char">
    <w:name w:val="Heading 3 Char"/>
    <w:basedOn w:val="DefaultParagraphFont"/>
    <w:link w:val="Heading3"/>
    <w:uiPriority w:val="9"/>
    <w:semiHidden/>
    <w:rsid w:val="006B42BD"/>
    <w:rPr>
      <w:rFonts w:asciiTheme="majorHAnsi" w:eastAsiaTheme="majorEastAsia" w:hAnsiTheme="majorHAnsi" w:cstheme="majorBidi"/>
      <w:b/>
      <w:i/>
      <w:sz w:val="26"/>
      <w:szCs w:val="24"/>
    </w:rPr>
  </w:style>
  <w:style w:type="paragraph" w:styleId="Header">
    <w:name w:val="header"/>
    <w:basedOn w:val="Normal"/>
    <w:link w:val="HeaderChar"/>
    <w:uiPriority w:val="99"/>
    <w:unhideWhenUsed/>
    <w:rsid w:val="009F5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AA8"/>
    <w:rPr>
      <w:sz w:val="24"/>
    </w:rPr>
  </w:style>
  <w:style w:type="paragraph" w:styleId="Footer">
    <w:name w:val="footer"/>
    <w:basedOn w:val="Normal"/>
    <w:link w:val="FooterChar"/>
    <w:uiPriority w:val="99"/>
    <w:unhideWhenUsed/>
    <w:rsid w:val="009F5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AA8"/>
    <w:rPr>
      <w:sz w:val="24"/>
    </w:rPr>
  </w:style>
  <w:style w:type="paragraph" w:styleId="NoSpacing">
    <w:name w:val="No Spacing"/>
    <w:uiPriority w:val="1"/>
    <w:qFormat/>
    <w:rsid w:val="009F5AA8"/>
    <w:pPr>
      <w:spacing w:beforeAutospacing="1" w:after="0" w:line="240" w:lineRule="auto"/>
    </w:pPr>
    <w:rPr>
      <w:sz w:val="24"/>
    </w:rPr>
  </w:style>
  <w:style w:type="character" w:styleId="Hyperlink">
    <w:name w:val="Hyperlink"/>
    <w:basedOn w:val="DefaultParagraphFont"/>
    <w:uiPriority w:val="99"/>
    <w:unhideWhenUsed/>
    <w:rsid w:val="00A04E50"/>
    <w:rPr>
      <w:color w:val="0563C1" w:themeColor="hyperlink"/>
      <w:u w:val="single"/>
    </w:rPr>
  </w:style>
  <w:style w:type="character" w:styleId="SubtleEmphasis">
    <w:name w:val="Subtle Emphasis"/>
    <w:basedOn w:val="DefaultParagraphFont"/>
    <w:uiPriority w:val="19"/>
    <w:qFormat/>
    <w:rsid w:val="00B35289"/>
    <w:rPr>
      <w:i/>
      <w:iCs/>
      <w:color w:val="404040" w:themeColor="text1" w:themeTint="BF"/>
    </w:rPr>
  </w:style>
  <w:style w:type="paragraph" w:styleId="ListParagraph">
    <w:name w:val="List Paragraph"/>
    <w:basedOn w:val="Normal"/>
    <w:uiPriority w:val="34"/>
    <w:qFormat/>
    <w:rsid w:val="002F7AD1"/>
    <w:pPr>
      <w:ind w:left="720"/>
      <w:contextualSpacing/>
    </w:pPr>
  </w:style>
  <w:style w:type="character" w:styleId="CommentReference">
    <w:name w:val="annotation reference"/>
    <w:basedOn w:val="DefaultParagraphFont"/>
    <w:uiPriority w:val="99"/>
    <w:semiHidden/>
    <w:unhideWhenUsed/>
    <w:rsid w:val="00640D64"/>
    <w:rPr>
      <w:sz w:val="16"/>
      <w:szCs w:val="16"/>
    </w:rPr>
  </w:style>
  <w:style w:type="paragraph" w:styleId="CommentText">
    <w:name w:val="annotation text"/>
    <w:basedOn w:val="Normal"/>
    <w:link w:val="CommentTextChar"/>
    <w:uiPriority w:val="99"/>
    <w:unhideWhenUsed/>
    <w:rsid w:val="00640D64"/>
    <w:pPr>
      <w:spacing w:line="240" w:lineRule="auto"/>
    </w:pPr>
    <w:rPr>
      <w:sz w:val="20"/>
      <w:szCs w:val="20"/>
    </w:rPr>
  </w:style>
  <w:style w:type="character" w:customStyle="1" w:styleId="CommentTextChar">
    <w:name w:val="Comment Text Char"/>
    <w:basedOn w:val="DefaultParagraphFont"/>
    <w:link w:val="CommentText"/>
    <w:uiPriority w:val="99"/>
    <w:rsid w:val="00640D64"/>
    <w:rPr>
      <w:sz w:val="20"/>
      <w:szCs w:val="20"/>
    </w:rPr>
  </w:style>
  <w:style w:type="paragraph" w:styleId="CommentSubject">
    <w:name w:val="annotation subject"/>
    <w:basedOn w:val="CommentText"/>
    <w:next w:val="CommentText"/>
    <w:link w:val="CommentSubjectChar"/>
    <w:uiPriority w:val="99"/>
    <w:semiHidden/>
    <w:unhideWhenUsed/>
    <w:rsid w:val="00640D64"/>
    <w:rPr>
      <w:b/>
      <w:bCs/>
    </w:rPr>
  </w:style>
  <w:style w:type="character" w:customStyle="1" w:styleId="CommentSubjectChar">
    <w:name w:val="Comment Subject Char"/>
    <w:basedOn w:val="CommentTextChar"/>
    <w:link w:val="CommentSubject"/>
    <w:uiPriority w:val="99"/>
    <w:semiHidden/>
    <w:rsid w:val="00640D64"/>
    <w:rPr>
      <w:b/>
      <w:bCs/>
      <w:sz w:val="20"/>
      <w:szCs w:val="20"/>
    </w:rPr>
  </w:style>
  <w:style w:type="paragraph" w:styleId="BalloonText">
    <w:name w:val="Balloon Text"/>
    <w:basedOn w:val="Normal"/>
    <w:link w:val="BalloonTextChar"/>
    <w:uiPriority w:val="99"/>
    <w:semiHidden/>
    <w:unhideWhenUsed/>
    <w:rsid w:val="00640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D64"/>
    <w:rPr>
      <w:rFonts w:ascii="Segoe UI" w:hAnsi="Segoe UI" w:cs="Segoe UI"/>
      <w:sz w:val="18"/>
      <w:szCs w:val="18"/>
    </w:rPr>
  </w:style>
  <w:style w:type="character" w:customStyle="1" w:styleId="csl-left-margin">
    <w:name w:val="csl-left-margin"/>
    <w:basedOn w:val="DefaultParagraphFont"/>
    <w:rsid w:val="00640175"/>
  </w:style>
  <w:style w:type="character" w:customStyle="1" w:styleId="csl-right-inline">
    <w:name w:val="csl-right-inline"/>
    <w:basedOn w:val="DefaultParagraphFont"/>
    <w:rsid w:val="00640175"/>
  </w:style>
  <w:style w:type="character" w:customStyle="1" w:styleId="csl-entry">
    <w:name w:val="csl-entry"/>
    <w:basedOn w:val="DefaultParagraphFont"/>
    <w:rsid w:val="00CE7B5C"/>
  </w:style>
  <w:style w:type="paragraph" w:styleId="EndnoteText">
    <w:name w:val="endnote text"/>
    <w:basedOn w:val="Normal"/>
    <w:link w:val="EndnoteTextChar"/>
    <w:uiPriority w:val="99"/>
    <w:semiHidden/>
    <w:unhideWhenUsed/>
    <w:rsid w:val="00A235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35B8"/>
    <w:rPr>
      <w:sz w:val="20"/>
      <w:szCs w:val="20"/>
    </w:rPr>
  </w:style>
  <w:style w:type="character" w:styleId="EndnoteReference">
    <w:name w:val="endnote reference"/>
    <w:basedOn w:val="DefaultParagraphFont"/>
    <w:uiPriority w:val="99"/>
    <w:semiHidden/>
    <w:unhideWhenUsed/>
    <w:rsid w:val="00A235B8"/>
    <w:rPr>
      <w:vertAlign w:val="superscript"/>
    </w:rPr>
  </w:style>
  <w:style w:type="character" w:styleId="FollowedHyperlink">
    <w:name w:val="FollowedHyperlink"/>
    <w:basedOn w:val="DefaultParagraphFont"/>
    <w:uiPriority w:val="99"/>
    <w:semiHidden/>
    <w:unhideWhenUsed/>
    <w:rsid w:val="00181DE2"/>
    <w:rPr>
      <w:color w:val="954F72" w:themeColor="followedHyperlink"/>
      <w:u w:val="single"/>
    </w:rPr>
  </w:style>
  <w:style w:type="character" w:styleId="UnresolvedMention">
    <w:name w:val="Unresolved Mention"/>
    <w:basedOn w:val="DefaultParagraphFont"/>
    <w:uiPriority w:val="99"/>
    <w:semiHidden/>
    <w:unhideWhenUsed/>
    <w:rsid w:val="004E7E3E"/>
    <w:rPr>
      <w:color w:val="605E5C"/>
      <w:shd w:val="clear" w:color="auto" w:fill="E1DFDD"/>
    </w:rPr>
  </w:style>
  <w:style w:type="character" w:styleId="LineNumber">
    <w:name w:val="line number"/>
    <w:basedOn w:val="DefaultParagraphFont"/>
    <w:uiPriority w:val="99"/>
    <w:semiHidden/>
    <w:unhideWhenUsed/>
    <w:rsid w:val="004F0667"/>
  </w:style>
  <w:style w:type="paragraph" w:styleId="Revision">
    <w:name w:val="Revision"/>
    <w:hidden/>
    <w:uiPriority w:val="99"/>
    <w:semiHidden/>
    <w:rsid w:val="00073021"/>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4879">
      <w:bodyDiv w:val="1"/>
      <w:marLeft w:val="0"/>
      <w:marRight w:val="0"/>
      <w:marTop w:val="0"/>
      <w:marBottom w:val="0"/>
      <w:divBdr>
        <w:top w:val="none" w:sz="0" w:space="0" w:color="auto"/>
        <w:left w:val="none" w:sz="0" w:space="0" w:color="auto"/>
        <w:bottom w:val="none" w:sz="0" w:space="0" w:color="auto"/>
        <w:right w:val="none" w:sz="0" w:space="0" w:color="auto"/>
      </w:divBdr>
    </w:div>
    <w:div w:id="292103059">
      <w:bodyDiv w:val="1"/>
      <w:marLeft w:val="0"/>
      <w:marRight w:val="0"/>
      <w:marTop w:val="0"/>
      <w:marBottom w:val="0"/>
      <w:divBdr>
        <w:top w:val="none" w:sz="0" w:space="0" w:color="auto"/>
        <w:left w:val="none" w:sz="0" w:space="0" w:color="auto"/>
        <w:bottom w:val="none" w:sz="0" w:space="0" w:color="auto"/>
        <w:right w:val="none" w:sz="0" w:space="0" w:color="auto"/>
      </w:divBdr>
    </w:div>
    <w:div w:id="870341624">
      <w:bodyDiv w:val="1"/>
      <w:marLeft w:val="0"/>
      <w:marRight w:val="0"/>
      <w:marTop w:val="0"/>
      <w:marBottom w:val="0"/>
      <w:divBdr>
        <w:top w:val="none" w:sz="0" w:space="0" w:color="auto"/>
        <w:left w:val="none" w:sz="0" w:space="0" w:color="auto"/>
        <w:bottom w:val="none" w:sz="0" w:space="0" w:color="auto"/>
        <w:right w:val="none" w:sz="0" w:space="0" w:color="auto"/>
      </w:divBdr>
    </w:div>
    <w:div w:id="177674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ints.soton.ac.uk/449770/" TargetMode="External"/><Relationship Id="rId13" Type="http://schemas.openxmlformats.org/officeDocument/2006/relationships/hyperlink" Target="https://www.nice.org.uk/researchrecommendation/further-research-is-recommended-on-resource-use-and-clinical-effects-associated-with-using-the-xtag-gastrointestinal-pathogen-panel-the-filmarray-gi-panel-and-the-faecal-pathogens-b-assa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gland.nhs.uk/statistics/wp-content/uploads/sites/2/2022/08/Beds-Open-Overnight-Web_File-Q1-2022-23-Final-TRFGH.xls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les.digital.nhs.uk/7C/86725F/ERIC%20-%20202021%20-%20Report%20v2.xls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iles.digital.nhs.uk/0E/E70963/hosp-epis-stat-admi-diag-2021-22-tab.xlsx" TargetMode="External"/><Relationship Id="rId4" Type="http://schemas.openxmlformats.org/officeDocument/2006/relationships/settings" Target="settings.xml"/><Relationship Id="rId9" Type="http://schemas.openxmlformats.org/officeDocument/2006/relationships/hyperlink" Target="https://files.digital.nhs.uk/1A/4A65BF/AE1920_National_Data_Tables%20v1.1.xlsx" TargetMode="External"/><Relationship Id="rId14" Type="http://schemas.openxmlformats.org/officeDocument/2006/relationships/hyperlink" Target="https://bnf.nice.org.uk/treatment-summaries/gastro-intestinal-system-infections-antibacterial-ther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B976A-907B-4A24-A325-2F410922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7866</Words>
  <Characters>44840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52601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Brendish</dc:creator>
  <cp:keywords/>
  <dc:description/>
  <cp:lastModifiedBy>Tristan Clark</cp:lastModifiedBy>
  <cp:revision>2</cp:revision>
  <dcterms:created xsi:type="dcterms:W3CDTF">2023-02-27T11:09:00Z</dcterms:created>
  <dcterms:modified xsi:type="dcterms:W3CDTF">2023-02-27T11:09:00Z</dcterms:modified>
</cp:coreProperties>
</file>