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5DB16" w14:textId="7D9AF554" w:rsidR="00151070" w:rsidRPr="00575A3E" w:rsidRDefault="00562D56" w:rsidP="00A55356">
      <w:pPr>
        <w:spacing w:line="360" w:lineRule="auto"/>
        <w:rPr>
          <w:b/>
          <w:bCs/>
          <w:caps/>
          <w:szCs w:val="22"/>
          <w:lang w:val="en-GB"/>
        </w:rPr>
      </w:pPr>
      <w:r w:rsidRPr="00575A3E">
        <w:rPr>
          <w:b/>
          <w:bCs/>
          <w:caps/>
          <w:szCs w:val="22"/>
          <w:lang w:val="en-GB"/>
        </w:rPr>
        <w:t>Abstract</w:t>
      </w:r>
    </w:p>
    <w:p w14:paraId="2394B610" w14:textId="77777777" w:rsidR="00F201A0" w:rsidRPr="00575A3E" w:rsidRDefault="00F201A0" w:rsidP="00A55356">
      <w:pPr>
        <w:spacing w:line="360" w:lineRule="auto"/>
        <w:rPr>
          <w:szCs w:val="22"/>
          <w:lang w:val="en-GB"/>
        </w:rPr>
      </w:pPr>
    </w:p>
    <w:p w14:paraId="2AF6B2B0" w14:textId="05D7F456" w:rsidR="006C2236" w:rsidRPr="00575A3E" w:rsidRDefault="00087A11" w:rsidP="00A55356">
      <w:pPr>
        <w:spacing w:line="360" w:lineRule="auto"/>
        <w:rPr>
          <w:szCs w:val="22"/>
          <w:lang w:val="en-GB"/>
        </w:rPr>
      </w:pPr>
      <w:r w:rsidRPr="00575A3E">
        <w:rPr>
          <w:szCs w:val="22"/>
          <w:lang w:val="en-GB"/>
        </w:rPr>
        <w:t xml:space="preserve">Advances in </w:t>
      </w:r>
      <w:r w:rsidR="00355C74" w:rsidRPr="00575A3E">
        <w:rPr>
          <w:szCs w:val="22"/>
          <w:lang w:val="en-GB"/>
        </w:rPr>
        <w:t>automotive engineering</w:t>
      </w:r>
      <w:r w:rsidRPr="00575A3E">
        <w:rPr>
          <w:szCs w:val="22"/>
          <w:lang w:val="en-GB"/>
        </w:rPr>
        <w:t xml:space="preserve"> have brought about a range of new </w:t>
      </w:r>
      <w:r w:rsidR="00355C74" w:rsidRPr="00575A3E">
        <w:rPr>
          <w:szCs w:val="22"/>
          <w:lang w:val="en-GB"/>
        </w:rPr>
        <w:t>vehicle technologies</w:t>
      </w:r>
      <w:r w:rsidRPr="00575A3E">
        <w:rPr>
          <w:szCs w:val="22"/>
          <w:lang w:val="en-GB"/>
        </w:rPr>
        <w:t xml:space="preserve">, such as automation, connectivity and electrification, which </w:t>
      </w:r>
      <w:r w:rsidR="00562D56" w:rsidRPr="00575A3E">
        <w:rPr>
          <w:szCs w:val="22"/>
          <w:lang w:val="en-GB"/>
        </w:rPr>
        <w:t>are expected to have multiple effects on different aspects of people’s lives</w:t>
      </w:r>
      <w:r w:rsidRPr="00575A3E">
        <w:rPr>
          <w:szCs w:val="22"/>
          <w:lang w:val="en-GB"/>
        </w:rPr>
        <w:t xml:space="preserve"> and have the potential of radically transforming the transportation status quo</w:t>
      </w:r>
      <w:r w:rsidR="00562D56" w:rsidRPr="00575A3E">
        <w:rPr>
          <w:szCs w:val="22"/>
          <w:lang w:val="en-GB"/>
        </w:rPr>
        <w:t xml:space="preserve">. This paper </w:t>
      </w:r>
      <w:r w:rsidRPr="00575A3E">
        <w:rPr>
          <w:szCs w:val="22"/>
          <w:lang w:val="en-GB"/>
        </w:rPr>
        <w:t xml:space="preserve">explores </w:t>
      </w:r>
      <w:r w:rsidR="00562D56" w:rsidRPr="00575A3E">
        <w:rPr>
          <w:szCs w:val="22"/>
          <w:lang w:val="en-GB"/>
        </w:rPr>
        <w:t>the effect</w:t>
      </w:r>
      <w:r w:rsidRPr="00575A3E">
        <w:rPr>
          <w:szCs w:val="22"/>
          <w:lang w:val="en-GB"/>
        </w:rPr>
        <w:t>s</w:t>
      </w:r>
      <w:r w:rsidR="00562D56" w:rsidRPr="00575A3E">
        <w:rPr>
          <w:szCs w:val="22"/>
          <w:lang w:val="en-GB"/>
        </w:rPr>
        <w:t xml:space="preserve"> that </w:t>
      </w:r>
      <w:r w:rsidRPr="00575A3E">
        <w:rPr>
          <w:szCs w:val="22"/>
          <w:lang w:val="en-GB"/>
        </w:rPr>
        <w:t xml:space="preserve">such </w:t>
      </w:r>
      <w:r w:rsidR="00355C74" w:rsidRPr="00575A3E">
        <w:rPr>
          <w:szCs w:val="22"/>
          <w:lang w:val="en-GB"/>
        </w:rPr>
        <w:t>new technologies</w:t>
      </w:r>
      <w:r w:rsidR="00562D56" w:rsidRPr="00575A3E">
        <w:rPr>
          <w:szCs w:val="22"/>
          <w:lang w:val="en-GB"/>
        </w:rPr>
        <w:t xml:space="preserve"> </w:t>
      </w:r>
      <w:r w:rsidRPr="00575A3E">
        <w:rPr>
          <w:szCs w:val="22"/>
          <w:lang w:val="en-GB"/>
        </w:rPr>
        <w:t xml:space="preserve">can </w:t>
      </w:r>
      <w:r w:rsidR="00562D56" w:rsidRPr="00575A3E">
        <w:rPr>
          <w:szCs w:val="22"/>
          <w:lang w:val="en-GB"/>
        </w:rPr>
        <w:t>have on land use</w:t>
      </w:r>
      <w:r w:rsidRPr="00575A3E">
        <w:rPr>
          <w:szCs w:val="22"/>
          <w:lang w:val="en-GB"/>
        </w:rPr>
        <w:t xml:space="preserve"> by employing</w:t>
      </w:r>
      <w:r w:rsidR="00562D56" w:rsidRPr="00575A3E">
        <w:rPr>
          <w:szCs w:val="22"/>
          <w:lang w:val="en-GB"/>
        </w:rPr>
        <w:t xml:space="preserve"> a Land Use and Transportation Interaction (LUTI) model</w:t>
      </w:r>
      <w:r w:rsidRPr="00575A3E">
        <w:rPr>
          <w:szCs w:val="22"/>
          <w:lang w:val="en-GB"/>
        </w:rPr>
        <w:t>ling approach</w:t>
      </w:r>
      <w:r w:rsidR="00562D56" w:rsidRPr="00575A3E">
        <w:rPr>
          <w:szCs w:val="22"/>
          <w:lang w:val="en-GB"/>
        </w:rPr>
        <w:t xml:space="preserve">. </w:t>
      </w:r>
      <w:r w:rsidRPr="00575A3E">
        <w:rPr>
          <w:szCs w:val="22"/>
          <w:lang w:val="en-GB"/>
        </w:rPr>
        <w:t>A</w:t>
      </w:r>
      <w:r w:rsidR="00562D56" w:rsidRPr="00575A3E">
        <w:rPr>
          <w:szCs w:val="22"/>
          <w:lang w:val="en-GB"/>
        </w:rPr>
        <w:t xml:space="preserve"> </w:t>
      </w:r>
      <w:r w:rsidR="00355C74" w:rsidRPr="00575A3E">
        <w:rPr>
          <w:szCs w:val="22"/>
          <w:lang w:val="en-GB"/>
        </w:rPr>
        <w:t xml:space="preserve">new </w:t>
      </w:r>
      <w:r w:rsidR="00562D56" w:rsidRPr="00575A3E">
        <w:rPr>
          <w:szCs w:val="22"/>
          <w:lang w:val="en-GB"/>
        </w:rPr>
        <w:t xml:space="preserve">methodology </w:t>
      </w:r>
      <w:r w:rsidRPr="00575A3E">
        <w:rPr>
          <w:szCs w:val="22"/>
          <w:lang w:val="en-GB"/>
        </w:rPr>
        <w:t xml:space="preserve">is </w:t>
      </w:r>
      <w:r w:rsidR="00562D56" w:rsidRPr="00575A3E">
        <w:rPr>
          <w:szCs w:val="22"/>
          <w:lang w:val="en-GB"/>
        </w:rPr>
        <w:t>developed</w:t>
      </w:r>
      <w:r w:rsidR="00355C74" w:rsidRPr="00575A3E">
        <w:rPr>
          <w:szCs w:val="22"/>
          <w:lang w:val="en-GB"/>
        </w:rPr>
        <w:t xml:space="preserve"> </w:t>
      </w:r>
      <w:r w:rsidR="00562D56" w:rsidRPr="00575A3E">
        <w:rPr>
          <w:szCs w:val="22"/>
          <w:lang w:val="en-GB"/>
        </w:rPr>
        <w:t xml:space="preserve">to simulate </w:t>
      </w:r>
      <w:r w:rsidRPr="00575A3E">
        <w:rPr>
          <w:szCs w:val="22"/>
          <w:lang w:val="en-GB"/>
        </w:rPr>
        <w:t>the effects of automation, connectivity and electrification</w:t>
      </w:r>
      <w:r w:rsidR="00562D56" w:rsidRPr="00575A3E">
        <w:rPr>
          <w:szCs w:val="22"/>
          <w:lang w:val="en-GB"/>
        </w:rPr>
        <w:t xml:space="preserve"> </w:t>
      </w:r>
      <w:r w:rsidRPr="00575A3E">
        <w:rPr>
          <w:szCs w:val="22"/>
          <w:lang w:val="en-GB"/>
        </w:rPr>
        <w:t>on</w:t>
      </w:r>
      <w:r w:rsidR="00562D56" w:rsidRPr="00575A3E">
        <w:rPr>
          <w:szCs w:val="22"/>
          <w:lang w:val="en-GB"/>
        </w:rPr>
        <w:t xml:space="preserve"> accessibility</w:t>
      </w:r>
      <w:r w:rsidR="00874995" w:rsidRPr="00575A3E">
        <w:rPr>
          <w:szCs w:val="22"/>
          <w:lang w:val="en-GB"/>
        </w:rPr>
        <w:t xml:space="preserve"> and </w:t>
      </w:r>
      <w:r w:rsidRPr="00575A3E">
        <w:rPr>
          <w:szCs w:val="22"/>
          <w:lang w:val="en-GB"/>
        </w:rPr>
        <w:t>to</w:t>
      </w:r>
      <w:r w:rsidR="00562D56" w:rsidRPr="00575A3E">
        <w:rPr>
          <w:szCs w:val="22"/>
          <w:lang w:val="en-GB"/>
        </w:rPr>
        <w:t xml:space="preserve"> conduct a sensitivity analysis. Th</w:t>
      </w:r>
      <w:r w:rsidR="00355C74" w:rsidRPr="00575A3E">
        <w:rPr>
          <w:szCs w:val="22"/>
          <w:lang w:val="en-GB"/>
        </w:rPr>
        <w:t>e</w:t>
      </w:r>
      <w:r w:rsidR="00562D56" w:rsidRPr="00575A3E">
        <w:rPr>
          <w:szCs w:val="22"/>
          <w:lang w:val="en-GB"/>
        </w:rPr>
        <w:t xml:space="preserve"> analysis </w:t>
      </w:r>
      <w:r w:rsidR="00355C74" w:rsidRPr="00575A3E">
        <w:rPr>
          <w:szCs w:val="22"/>
          <w:lang w:val="en-GB"/>
        </w:rPr>
        <w:t>is carried out</w:t>
      </w:r>
      <w:r w:rsidR="00562D56" w:rsidRPr="00575A3E">
        <w:rPr>
          <w:szCs w:val="22"/>
          <w:lang w:val="en-GB"/>
        </w:rPr>
        <w:t xml:space="preserve"> on a regional scale to determine the effects of </w:t>
      </w:r>
      <w:r w:rsidR="00355C74" w:rsidRPr="00575A3E">
        <w:rPr>
          <w:szCs w:val="22"/>
          <w:lang w:val="en-GB"/>
        </w:rPr>
        <w:t xml:space="preserve">the </w:t>
      </w:r>
      <w:r w:rsidR="00562D56" w:rsidRPr="00575A3E">
        <w:rPr>
          <w:szCs w:val="22"/>
          <w:lang w:val="en-GB"/>
        </w:rPr>
        <w:t xml:space="preserve">new technologies on multiple </w:t>
      </w:r>
      <w:r w:rsidR="00874995" w:rsidRPr="00575A3E">
        <w:rPr>
          <w:szCs w:val="22"/>
          <w:lang w:val="en-GB"/>
        </w:rPr>
        <w:t>cities</w:t>
      </w:r>
      <w:r w:rsidR="00562D56" w:rsidRPr="00575A3E">
        <w:rPr>
          <w:szCs w:val="22"/>
          <w:lang w:val="en-GB"/>
        </w:rPr>
        <w:t xml:space="preserve"> that </w:t>
      </w:r>
      <w:r w:rsidR="00D650FF" w:rsidRPr="00575A3E">
        <w:rPr>
          <w:szCs w:val="22"/>
          <w:lang w:val="en-GB"/>
        </w:rPr>
        <w:t>form a re</w:t>
      </w:r>
      <w:r w:rsidR="00A918B2" w:rsidRPr="00575A3E">
        <w:rPr>
          <w:szCs w:val="22"/>
          <w:lang w:val="en-GB"/>
        </w:rPr>
        <w:t>gion.</w:t>
      </w:r>
      <w:r w:rsidR="00562D56" w:rsidRPr="00575A3E">
        <w:rPr>
          <w:szCs w:val="22"/>
          <w:lang w:val="en-GB"/>
        </w:rPr>
        <w:t xml:space="preserve"> The case study for this application is the region </w:t>
      </w:r>
      <w:r w:rsidR="00606E8D" w:rsidRPr="00575A3E">
        <w:rPr>
          <w:szCs w:val="22"/>
          <w:lang w:val="en-GB"/>
        </w:rPr>
        <w:t xml:space="preserve">of the </w:t>
      </w:r>
      <w:r w:rsidR="00562D56" w:rsidRPr="00575A3E">
        <w:rPr>
          <w:szCs w:val="22"/>
          <w:lang w:val="en-GB"/>
        </w:rPr>
        <w:t xml:space="preserve">West Midlands (UK). </w:t>
      </w:r>
      <w:r w:rsidR="00355C74" w:rsidRPr="00575A3E">
        <w:rPr>
          <w:szCs w:val="22"/>
          <w:lang w:val="en-GB"/>
        </w:rPr>
        <w:t>T</w:t>
      </w:r>
      <w:r w:rsidR="00562D56" w:rsidRPr="00575A3E">
        <w:rPr>
          <w:szCs w:val="22"/>
          <w:lang w:val="en-GB"/>
        </w:rPr>
        <w:t>he results</w:t>
      </w:r>
      <w:r w:rsidR="00355C74" w:rsidRPr="00575A3E">
        <w:rPr>
          <w:szCs w:val="22"/>
          <w:lang w:val="en-GB"/>
        </w:rPr>
        <w:t xml:space="preserve"> suggest that</w:t>
      </w:r>
      <w:r w:rsidR="00562D56" w:rsidRPr="00575A3E">
        <w:rPr>
          <w:szCs w:val="22"/>
          <w:lang w:val="en-GB"/>
        </w:rPr>
        <w:t xml:space="preserve"> </w:t>
      </w:r>
      <w:r w:rsidR="00A87615" w:rsidRPr="00575A3E">
        <w:rPr>
          <w:szCs w:val="22"/>
          <w:lang w:val="en-GB"/>
        </w:rPr>
        <w:t xml:space="preserve">new vehicle technologies </w:t>
      </w:r>
      <w:r w:rsidR="00355C74" w:rsidRPr="00575A3E">
        <w:rPr>
          <w:szCs w:val="22"/>
          <w:lang w:val="en-GB"/>
        </w:rPr>
        <w:t xml:space="preserve">can </w:t>
      </w:r>
      <w:r w:rsidR="00A918B2" w:rsidRPr="00575A3E">
        <w:rPr>
          <w:szCs w:val="22"/>
          <w:lang w:val="en-GB"/>
        </w:rPr>
        <w:t>affect</w:t>
      </w:r>
      <w:r w:rsidR="00A87615" w:rsidRPr="00575A3E">
        <w:rPr>
          <w:szCs w:val="22"/>
          <w:lang w:val="en-GB"/>
        </w:rPr>
        <w:t xml:space="preserve"> accessibility, population and employment </w:t>
      </w:r>
      <w:r w:rsidR="00A918B2" w:rsidRPr="00575A3E">
        <w:rPr>
          <w:szCs w:val="22"/>
          <w:lang w:val="en-GB"/>
        </w:rPr>
        <w:t>in the</w:t>
      </w:r>
      <w:r w:rsidR="000762D9" w:rsidRPr="00575A3E">
        <w:rPr>
          <w:szCs w:val="22"/>
          <w:lang w:val="en-GB"/>
        </w:rPr>
        <w:t xml:space="preserve"> cities of the region, the region</w:t>
      </w:r>
      <w:r w:rsidR="002D56BC" w:rsidRPr="00575A3E">
        <w:rPr>
          <w:szCs w:val="22"/>
          <w:lang w:val="en-GB"/>
        </w:rPr>
        <w:t xml:space="preserve"> itself,</w:t>
      </w:r>
      <w:r w:rsidR="000762D9" w:rsidRPr="00575A3E">
        <w:rPr>
          <w:szCs w:val="22"/>
          <w:lang w:val="en-GB"/>
        </w:rPr>
        <w:t xml:space="preserve"> </w:t>
      </w:r>
      <w:r w:rsidR="002D56BC" w:rsidRPr="00575A3E">
        <w:rPr>
          <w:szCs w:val="22"/>
          <w:lang w:val="en-GB"/>
        </w:rPr>
        <w:t>as well as</w:t>
      </w:r>
      <w:r w:rsidR="000762D9" w:rsidRPr="00575A3E">
        <w:rPr>
          <w:szCs w:val="22"/>
          <w:lang w:val="en-GB"/>
        </w:rPr>
        <w:t xml:space="preserve"> the </w:t>
      </w:r>
      <w:r w:rsidR="00205243" w:rsidRPr="00575A3E">
        <w:rPr>
          <w:szCs w:val="22"/>
          <w:lang w:val="en-GB"/>
        </w:rPr>
        <w:t>peripheral</w:t>
      </w:r>
      <w:r w:rsidR="000762D9" w:rsidRPr="00575A3E">
        <w:rPr>
          <w:szCs w:val="22"/>
          <w:lang w:val="en-GB"/>
        </w:rPr>
        <w:t xml:space="preserve"> zones </w:t>
      </w:r>
      <w:r w:rsidR="006D4144" w:rsidRPr="00575A3E">
        <w:rPr>
          <w:szCs w:val="22"/>
          <w:lang w:val="en-GB"/>
        </w:rPr>
        <w:t>beyond</w:t>
      </w:r>
      <w:r w:rsidR="000762D9" w:rsidRPr="00575A3E">
        <w:rPr>
          <w:szCs w:val="22"/>
          <w:lang w:val="en-GB"/>
        </w:rPr>
        <w:t xml:space="preserve"> the boundary of the region</w:t>
      </w:r>
      <w:r w:rsidR="000E1004" w:rsidRPr="00575A3E">
        <w:rPr>
          <w:szCs w:val="22"/>
          <w:lang w:val="en-GB"/>
        </w:rPr>
        <w:t xml:space="preserve"> in a </w:t>
      </w:r>
      <w:r w:rsidR="009C60FD" w:rsidRPr="00575A3E">
        <w:rPr>
          <w:szCs w:val="22"/>
          <w:lang w:val="en-GB"/>
        </w:rPr>
        <w:t>15-year</w:t>
      </w:r>
      <w:r w:rsidR="000E1004" w:rsidRPr="00575A3E">
        <w:rPr>
          <w:szCs w:val="22"/>
          <w:lang w:val="en-GB"/>
        </w:rPr>
        <w:t xml:space="preserve"> modelling period.</w:t>
      </w:r>
      <w:r w:rsidR="00A918B2" w:rsidRPr="00575A3E">
        <w:rPr>
          <w:szCs w:val="22"/>
          <w:lang w:val="en-GB"/>
        </w:rPr>
        <w:t xml:space="preserve"> </w:t>
      </w:r>
      <w:r w:rsidR="00445AC5" w:rsidRPr="00575A3E">
        <w:rPr>
          <w:szCs w:val="22"/>
          <w:lang w:val="en-GB"/>
        </w:rPr>
        <w:t>Most notably,</w:t>
      </w:r>
      <w:r w:rsidR="00A918B2" w:rsidRPr="00575A3E">
        <w:rPr>
          <w:szCs w:val="22"/>
          <w:lang w:val="en-GB"/>
        </w:rPr>
        <w:t xml:space="preserve"> </w:t>
      </w:r>
      <w:r w:rsidR="00A87615" w:rsidRPr="00575A3E">
        <w:rPr>
          <w:szCs w:val="22"/>
          <w:lang w:val="en-GB"/>
        </w:rPr>
        <w:t>the two main urban cores of the region</w:t>
      </w:r>
      <w:r w:rsidR="003068C2" w:rsidRPr="00575A3E">
        <w:rPr>
          <w:szCs w:val="22"/>
          <w:lang w:val="en-GB"/>
        </w:rPr>
        <w:t xml:space="preserve"> </w:t>
      </w:r>
      <w:r w:rsidR="00445AC5" w:rsidRPr="00575A3E">
        <w:rPr>
          <w:szCs w:val="22"/>
          <w:lang w:val="en-GB"/>
        </w:rPr>
        <w:t xml:space="preserve">are found to </w:t>
      </w:r>
      <w:r w:rsidR="00A87615" w:rsidRPr="00575A3E">
        <w:rPr>
          <w:szCs w:val="22"/>
          <w:lang w:val="en-GB"/>
        </w:rPr>
        <w:t>not lose their financial power</w:t>
      </w:r>
      <w:r w:rsidR="00A918B2" w:rsidRPr="00575A3E">
        <w:rPr>
          <w:szCs w:val="22"/>
          <w:lang w:val="en-GB"/>
        </w:rPr>
        <w:t xml:space="preserve">, </w:t>
      </w:r>
      <w:r w:rsidR="00445AC5" w:rsidRPr="00575A3E">
        <w:rPr>
          <w:szCs w:val="22"/>
          <w:lang w:val="en-GB"/>
        </w:rPr>
        <w:t xml:space="preserve">despite </w:t>
      </w:r>
      <w:r w:rsidR="006D4144" w:rsidRPr="00575A3E">
        <w:rPr>
          <w:szCs w:val="22"/>
          <w:lang w:val="en-GB"/>
        </w:rPr>
        <w:t xml:space="preserve">increases in </w:t>
      </w:r>
      <w:r w:rsidR="00A918B2" w:rsidRPr="00575A3E">
        <w:rPr>
          <w:szCs w:val="22"/>
          <w:lang w:val="en-GB"/>
        </w:rPr>
        <w:t>employment</w:t>
      </w:r>
      <w:r w:rsidR="00445AC5" w:rsidRPr="00575A3E">
        <w:rPr>
          <w:szCs w:val="22"/>
          <w:lang w:val="en-GB"/>
        </w:rPr>
        <w:t xml:space="preserve"> opportunities</w:t>
      </w:r>
      <w:r w:rsidR="00A918B2" w:rsidRPr="00575A3E">
        <w:rPr>
          <w:szCs w:val="22"/>
          <w:lang w:val="en-GB"/>
        </w:rPr>
        <w:t xml:space="preserve"> and population</w:t>
      </w:r>
      <w:r w:rsidR="00445AC5" w:rsidRPr="00575A3E">
        <w:rPr>
          <w:szCs w:val="22"/>
          <w:lang w:val="en-GB"/>
        </w:rPr>
        <w:t xml:space="preserve"> density</w:t>
      </w:r>
      <w:r w:rsidR="00A918B2" w:rsidRPr="00575A3E">
        <w:rPr>
          <w:szCs w:val="22"/>
          <w:lang w:val="en-GB"/>
        </w:rPr>
        <w:t xml:space="preserve"> in </w:t>
      </w:r>
      <w:r w:rsidR="00445AC5" w:rsidRPr="00575A3E">
        <w:rPr>
          <w:szCs w:val="22"/>
          <w:lang w:val="en-GB"/>
        </w:rPr>
        <w:t xml:space="preserve">more </w:t>
      </w:r>
      <w:r w:rsidR="00A918B2" w:rsidRPr="00575A3E">
        <w:rPr>
          <w:szCs w:val="22"/>
          <w:lang w:val="en-GB"/>
        </w:rPr>
        <w:t xml:space="preserve">rural </w:t>
      </w:r>
      <w:r w:rsidR="00445AC5" w:rsidRPr="00575A3E">
        <w:rPr>
          <w:szCs w:val="22"/>
          <w:lang w:val="en-GB"/>
        </w:rPr>
        <w:t>outskirts</w:t>
      </w:r>
      <w:r w:rsidR="00A918B2" w:rsidRPr="00575A3E">
        <w:rPr>
          <w:szCs w:val="22"/>
          <w:lang w:val="en-GB"/>
        </w:rPr>
        <w:t>.</w:t>
      </w:r>
      <w:r w:rsidR="00A87615" w:rsidRPr="00575A3E">
        <w:rPr>
          <w:szCs w:val="22"/>
          <w:lang w:val="en-GB"/>
        </w:rPr>
        <w:t xml:space="preserve"> </w:t>
      </w:r>
      <w:r w:rsidR="00445AC5" w:rsidRPr="00575A3E">
        <w:rPr>
          <w:szCs w:val="22"/>
          <w:lang w:val="en-GB"/>
        </w:rPr>
        <w:t>T</w:t>
      </w:r>
      <w:r w:rsidR="00A87615" w:rsidRPr="00575A3E">
        <w:rPr>
          <w:szCs w:val="22"/>
          <w:lang w:val="en-GB"/>
        </w:rPr>
        <w:t>he increased accessibility</w:t>
      </w:r>
      <w:r w:rsidR="00445AC5" w:rsidRPr="00575A3E">
        <w:rPr>
          <w:szCs w:val="22"/>
          <w:lang w:val="en-GB"/>
        </w:rPr>
        <w:t xml:space="preserve"> also</w:t>
      </w:r>
      <w:r w:rsidR="00A87615" w:rsidRPr="00575A3E">
        <w:rPr>
          <w:szCs w:val="22"/>
          <w:lang w:val="en-GB"/>
        </w:rPr>
        <w:t xml:space="preserve"> </w:t>
      </w:r>
      <w:r w:rsidR="00A918B2" w:rsidRPr="00575A3E">
        <w:rPr>
          <w:szCs w:val="22"/>
          <w:lang w:val="en-GB"/>
        </w:rPr>
        <w:t>result</w:t>
      </w:r>
      <w:r w:rsidR="00445AC5" w:rsidRPr="00575A3E">
        <w:rPr>
          <w:szCs w:val="22"/>
          <w:lang w:val="en-GB"/>
        </w:rPr>
        <w:t>s</w:t>
      </w:r>
      <w:r w:rsidR="00A918B2" w:rsidRPr="00575A3E">
        <w:rPr>
          <w:szCs w:val="22"/>
          <w:lang w:val="en-GB"/>
        </w:rPr>
        <w:t xml:space="preserve"> </w:t>
      </w:r>
      <w:r w:rsidR="00445AC5" w:rsidRPr="00575A3E">
        <w:rPr>
          <w:szCs w:val="22"/>
          <w:lang w:val="en-GB"/>
        </w:rPr>
        <w:t>in</w:t>
      </w:r>
      <w:r w:rsidR="00A918B2" w:rsidRPr="00575A3E">
        <w:rPr>
          <w:szCs w:val="22"/>
          <w:lang w:val="en-GB"/>
        </w:rPr>
        <w:t xml:space="preserve"> the relocation of </w:t>
      </w:r>
      <w:r w:rsidR="00A87615" w:rsidRPr="00575A3E">
        <w:rPr>
          <w:szCs w:val="22"/>
          <w:lang w:val="en-GB"/>
        </w:rPr>
        <w:t>lower</w:t>
      </w:r>
      <w:r w:rsidR="002D56BC" w:rsidRPr="00575A3E">
        <w:rPr>
          <w:szCs w:val="22"/>
          <w:lang w:val="en-GB"/>
        </w:rPr>
        <w:t>-</w:t>
      </w:r>
      <w:r w:rsidR="00A87615" w:rsidRPr="00575A3E">
        <w:rPr>
          <w:szCs w:val="22"/>
          <w:lang w:val="en-GB"/>
        </w:rPr>
        <w:t xml:space="preserve">income households to places with lower housing rent. </w:t>
      </w:r>
      <w:r w:rsidR="00445AC5" w:rsidRPr="00575A3E">
        <w:rPr>
          <w:szCs w:val="22"/>
          <w:lang w:val="en-GB"/>
        </w:rPr>
        <w:t xml:space="preserve">The sensitivity analysis shows that these findings are mostly impacted by changes in road capacity (which is expected to be generally higher as a result of these new technologies), as well as different penetration levels in the fleet. </w:t>
      </w:r>
    </w:p>
    <w:p w14:paraId="368BCDF1" w14:textId="77777777" w:rsidR="006C2236" w:rsidRPr="00575A3E" w:rsidRDefault="006C2236" w:rsidP="00A55356">
      <w:pPr>
        <w:spacing w:line="360" w:lineRule="auto"/>
        <w:rPr>
          <w:szCs w:val="22"/>
          <w:lang w:val="en-GB"/>
        </w:rPr>
      </w:pPr>
    </w:p>
    <w:p w14:paraId="1178FCC8" w14:textId="6AF4AD0E" w:rsidR="00151070" w:rsidRPr="00575A3E" w:rsidRDefault="006C2236" w:rsidP="00A55356">
      <w:pPr>
        <w:spacing w:line="360" w:lineRule="auto"/>
        <w:rPr>
          <w:b/>
          <w:bCs/>
          <w:szCs w:val="22"/>
          <w:lang w:val="en-GB"/>
        </w:rPr>
      </w:pPr>
      <w:r w:rsidRPr="00575A3E">
        <w:rPr>
          <w:b/>
          <w:bCs/>
          <w:szCs w:val="22"/>
          <w:lang w:val="en-GB"/>
        </w:rPr>
        <w:t>Key</w:t>
      </w:r>
      <w:r w:rsidR="00005F61" w:rsidRPr="00575A3E">
        <w:rPr>
          <w:b/>
          <w:bCs/>
          <w:szCs w:val="22"/>
          <w:lang w:val="en-GB"/>
        </w:rPr>
        <w:t>w</w:t>
      </w:r>
      <w:r w:rsidRPr="00575A3E">
        <w:rPr>
          <w:b/>
          <w:bCs/>
          <w:szCs w:val="22"/>
          <w:lang w:val="en-GB"/>
        </w:rPr>
        <w:t>ords:</w:t>
      </w:r>
      <w:r w:rsidRPr="00575A3E">
        <w:rPr>
          <w:szCs w:val="22"/>
          <w:lang w:val="en-GB"/>
        </w:rPr>
        <w:t xml:space="preserve"> automation, connectivity, electrification. LUTI, West Midlands</w:t>
      </w:r>
      <w:r w:rsidR="00562D56" w:rsidRPr="00575A3E">
        <w:rPr>
          <w:szCs w:val="22"/>
          <w:lang w:val="en-GB"/>
        </w:rPr>
        <w:br w:type="page"/>
      </w:r>
    </w:p>
    <w:p w14:paraId="69862DDD" w14:textId="4A71CCD0" w:rsidR="00151070" w:rsidRPr="00575A3E" w:rsidRDefault="00651D13" w:rsidP="00A55356">
      <w:pPr>
        <w:pStyle w:val="Heading1"/>
        <w:widowControl/>
        <w:spacing w:before="0" w:after="0" w:line="360" w:lineRule="auto"/>
        <w:rPr>
          <w:lang w:val="en-GB"/>
        </w:rPr>
      </w:pPr>
      <w:r w:rsidRPr="00575A3E">
        <w:rPr>
          <w:lang w:val="en-GB"/>
        </w:rPr>
        <w:lastRenderedPageBreak/>
        <w:t>INTRODUCTION</w:t>
      </w:r>
    </w:p>
    <w:p w14:paraId="2418F6FE" w14:textId="77777777" w:rsidR="00651D13" w:rsidRPr="00575A3E" w:rsidRDefault="00651D13" w:rsidP="00A55356">
      <w:pPr>
        <w:widowControl/>
        <w:spacing w:line="360" w:lineRule="auto"/>
        <w:rPr>
          <w:szCs w:val="22"/>
          <w:lang w:val="en-GB"/>
        </w:rPr>
      </w:pPr>
    </w:p>
    <w:p w14:paraId="0FF11E50" w14:textId="50EF9C79" w:rsidR="00D650FF" w:rsidRPr="00575A3E" w:rsidRDefault="00D650FF" w:rsidP="00A55356">
      <w:pPr>
        <w:widowControl/>
        <w:spacing w:line="360" w:lineRule="auto"/>
        <w:rPr>
          <w:szCs w:val="22"/>
          <w:lang w:val="en-GB"/>
        </w:rPr>
      </w:pPr>
      <w:r w:rsidRPr="00575A3E">
        <w:rPr>
          <w:szCs w:val="22"/>
          <w:lang w:val="en-GB"/>
        </w:rPr>
        <w:t xml:space="preserve">Transportation changes rapidly due </w:t>
      </w:r>
      <w:r w:rsidR="00BD5452" w:rsidRPr="00575A3E">
        <w:rPr>
          <w:szCs w:val="22"/>
          <w:lang w:val="en-GB"/>
        </w:rPr>
        <w:t>the new opportunities created</w:t>
      </w:r>
      <w:r w:rsidR="00BD5452" w:rsidRPr="00575A3E" w:rsidDel="00BD5452">
        <w:rPr>
          <w:szCs w:val="22"/>
          <w:lang w:val="en-GB"/>
        </w:rPr>
        <w:t xml:space="preserve"> </w:t>
      </w:r>
      <w:r w:rsidR="00BD5452" w:rsidRPr="00575A3E">
        <w:rPr>
          <w:szCs w:val="22"/>
          <w:lang w:val="en-GB"/>
        </w:rPr>
        <w:t>by</w:t>
      </w:r>
      <w:r w:rsidRPr="00575A3E">
        <w:rPr>
          <w:szCs w:val="22"/>
          <w:lang w:val="en-GB"/>
        </w:rPr>
        <w:t xml:space="preserve"> advances in </w:t>
      </w:r>
      <w:r w:rsidR="00BD5452" w:rsidRPr="00575A3E">
        <w:rPr>
          <w:szCs w:val="22"/>
          <w:lang w:val="en-GB"/>
        </w:rPr>
        <w:t>various related sectors</w:t>
      </w:r>
      <w:r w:rsidR="00B51DDE" w:rsidRPr="00575A3E">
        <w:rPr>
          <w:szCs w:val="22"/>
          <w:lang w:val="en-GB"/>
        </w:rPr>
        <w:t xml:space="preserve">. </w:t>
      </w:r>
      <w:r w:rsidR="00BD5452" w:rsidRPr="00575A3E">
        <w:rPr>
          <w:szCs w:val="22"/>
          <w:lang w:val="en-GB"/>
        </w:rPr>
        <w:t>Recent advances in automotive engineering</w:t>
      </w:r>
      <w:r w:rsidR="00B51DDE" w:rsidRPr="00575A3E">
        <w:rPr>
          <w:szCs w:val="22"/>
          <w:lang w:val="en-GB"/>
        </w:rPr>
        <w:t xml:space="preserve"> </w:t>
      </w:r>
      <w:r w:rsidR="001A4CB1" w:rsidRPr="00575A3E">
        <w:rPr>
          <w:szCs w:val="22"/>
          <w:lang w:val="en-GB"/>
        </w:rPr>
        <w:t xml:space="preserve">have </w:t>
      </w:r>
      <w:r w:rsidR="00BD5405" w:rsidRPr="00575A3E">
        <w:rPr>
          <w:szCs w:val="22"/>
          <w:lang w:val="en-GB"/>
        </w:rPr>
        <w:t>led</w:t>
      </w:r>
      <w:r w:rsidR="001A4CB1" w:rsidRPr="00575A3E">
        <w:rPr>
          <w:szCs w:val="22"/>
          <w:lang w:val="en-GB"/>
        </w:rPr>
        <w:t xml:space="preserve"> to</w:t>
      </w:r>
      <w:r w:rsidR="00BD5452" w:rsidRPr="00575A3E">
        <w:rPr>
          <w:szCs w:val="22"/>
          <w:lang w:val="en-GB"/>
        </w:rPr>
        <w:t xml:space="preserve"> new vehicle technologies, such as automation, connectivity and electrification,</w:t>
      </w:r>
      <w:r w:rsidR="00E652C3" w:rsidRPr="00575A3E">
        <w:rPr>
          <w:szCs w:val="22"/>
          <w:lang w:val="en-GB"/>
        </w:rPr>
        <w:t xml:space="preserve"> which have culminated to</w:t>
      </w:r>
      <w:r w:rsidR="001A4CB1" w:rsidRPr="00575A3E">
        <w:rPr>
          <w:szCs w:val="22"/>
          <w:lang w:val="en-GB"/>
        </w:rPr>
        <w:t xml:space="preserve"> </w:t>
      </w:r>
      <w:r w:rsidR="00BD5452" w:rsidRPr="00575A3E">
        <w:rPr>
          <w:szCs w:val="22"/>
          <w:lang w:val="en-GB"/>
        </w:rPr>
        <w:t xml:space="preserve">the </w:t>
      </w:r>
      <w:r w:rsidR="001A4CB1" w:rsidRPr="00575A3E">
        <w:rPr>
          <w:szCs w:val="22"/>
          <w:lang w:val="en-GB"/>
        </w:rPr>
        <w:t>creation</w:t>
      </w:r>
      <w:r w:rsidR="00BD5452" w:rsidRPr="00575A3E">
        <w:rPr>
          <w:szCs w:val="22"/>
          <w:lang w:val="en-GB"/>
        </w:rPr>
        <w:t xml:space="preserve"> of</w:t>
      </w:r>
      <w:r w:rsidR="00B51DDE" w:rsidRPr="00575A3E">
        <w:rPr>
          <w:szCs w:val="22"/>
          <w:lang w:val="en-GB"/>
        </w:rPr>
        <w:t xml:space="preserve"> Connected and Autonomous Vehicles (CAVs) and Electric Vehicles (EVs)</w:t>
      </w:r>
      <w:r w:rsidR="001A4CB1" w:rsidRPr="00575A3E">
        <w:rPr>
          <w:szCs w:val="22"/>
          <w:lang w:val="en-GB"/>
        </w:rPr>
        <w:t xml:space="preserve">. </w:t>
      </w:r>
      <w:r w:rsidR="00BD5405" w:rsidRPr="00575A3E">
        <w:rPr>
          <w:szCs w:val="22"/>
          <w:lang w:val="en-GB"/>
        </w:rPr>
        <w:t xml:space="preserve">The examination of the effects of </w:t>
      </w:r>
      <w:r w:rsidR="00E652C3" w:rsidRPr="00575A3E">
        <w:rPr>
          <w:szCs w:val="22"/>
          <w:lang w:val="en-GB"/>
        </w:rPr>
        <w:t xml:space="preserve">these </w:t>
      </w:r>
      <w:r w:rsidR="00BD5405" w:rsidRPr="00575A3E">
        <w:rPr>
          <w:szCs w:val="22"/>
          <w:lang w:val="en-GB"/>
        </w:rPr>
        <w:t xml:space="preserve">new technologies on the spatial distribution of activities is important for professionals in the field, as the last time that </w:t>
      </w:r>
      <w:r w:rsidR="00E652C3" w:rsidRPr="00575A3E">
        <w:rPr>
          <w:szCs w:val="22"/>
          <w:lang w:val="en-GB"/>
        </w:rPr>
        <w:t xml:space="preserve">such a transformative and disruptive </w:t>
      </w:r>
      <w:r w:rsidR="007358E4" w:rsidRPr="00575A3E">
        <w:rPr>
          <w:szCs w:val="22"/>
          <w:lang w:val="en-GB"/>
        </w:rPr>
        <w:t>intervention</w:t>
      </w:r>
      <w:r w:rsidR="00BD5405" w:rsidRPr="00575A3E">
        <w:rPr>
          <w:szCs w:val="22"/>
          <w:lang w:val="en-GB"/>
        </w:rPr>
        <w:t xml:space="preserve"> in </w:t>
      </w:r>
      <w:r w:rsidR="00B54B0F" w:rsidRPr="00575A3E">
        <w:rPr>
          <w:szCs w:val="22"/>
          <w:lang w:val="en-GB"/>
        </w:rPr>
        <w:t>transportation</w:t>
      </w:r>
      <w:r w:rsidR="00BD5405" w:rsidRPr="00575A3E">
        <w:rPr>
          <w:szCs w:val="22"/>
          <w:lang w:val="en-GB"/>
        </w:rPr>
        <w:t xml:space="preserve"> </w:t>
      </w:r>
      <w:r w:rsidR="002D56BC" w:rsidRPr="00575A3E">
        <w:rPr>
          <w:szCs w:val="22"/>
          <w:lang w:val="en-GB"/>
        </w:rPr>
        <w:t xml:space="preserve">occurred </w:t>
      </w:r>
      <w:r w:rsidR="00BD5405" w:rsidRPr="00575A3E">
        <w:rPr>
          <w:szCs w:val="22"/>
          <w:lang w:val="en-GB"/>
        </w:rPr>
        <w:t xml:space="preserve">was when the private car was introduced, which </w:t>
      </w:r>
      <w:r w:rsidR="005C6372" w:rsidRPr="00575A3E">
        <w:rPr>
          <w:szCs w:val="22"/>
          <w:lang w:val="en-GB"/>
        </w:rPr>
        <w:t>suddenly resulted in</w:t>
      </w:r>
      <w:r w:rsidR="00BD5405" w:rsidRPr="00575A3E">
        <w:rPr>
          <w:szCs w:val="22"/>
          <w:lang w:val="en-GB"/>
        </w:rPr>
        <w:t xml:space="preserve"> higher accessibilities in the outskirts of the cities and </w:t>
      </w:r>
      <w:r w:rsidR="002D56BC" w:rsidRPr="00575A3E">
        <w:rPr>
          <w:szCs w:val="22"/>
          <w:lang w:val="en-GB"/>
        </w:rPr>
        <w:t xml:space="preserve">in </w:t>
      </w:r>
      <w:r w:rsidR="005C6372" w:rsidRPr="00575A3E">
        <w:rPr>
          <w:szCs w:val="22"/>
          <w:lang w:val="en-GB"/>
        </w:rPr>
        <w:t xml:space="preserve">an almost “explosive” </w:t>
      </w:r>
      <w:r w:rsidR="00BD5405" w:rsidRPr="00575A3E">
        <w:rPr>
          <w:szCs w:val="22"/>
          <w:lang w:val="en-GB"/>
        </w:rPr>
        <w:t>expansion of the urban cores</w:t>
      </w:r>
      <w:r w:rsidR="007358E4" w:rsidRPr="00575A3E">
        <w:rPr>
          <w:szCs w:val="22"/>
          <w:lang w:val="en-GB"/>
        </w:rPr>
        <w:t>’</w:t>
      </w:r>
      <w:r w:rsidR="00BD5405" w:rsidRPr="00575A3E">
        <w:rPr>
          <w:szCs w:val="22"/>
          <w:lang w:val="en-GB"/>
        </w:rPr>
        <w:t xml:space="preserve"> peripheries</w:t>
      </w:r>
      <w:r w:rsidR="00717F8C" w:rsidRPr="00575A3E">
        <w:rPr>
          <w:szCs w:val="22"/>
          <w:lang w:val="en-GB"/>
        </w:rPr>
        <w:t xml:space="preserve">. </w:t>
      </w:r>
    </w:p>
    <w:p w14:paraId="171B0DC9" w14:textId="77777777" w:rsidR="00303B74" w:rsidRPr="00575A3E" w:rsidRDefault="00303B74" w:rsidP="00A55356">
      <w:pPr>
        <w:widowControl/>
        <w:spacing w:line="360" w:lineRule="auto"/>
        <w:rPr>
          <w:szCs w:val="22"/>
          <w:lang w:val="en-GB"/>
        </w:rPr>
      </w:pPr>
    </w:p>
    <w:p w14:paraId="3732EFFB" w14:textId="6CDA046C" w:rsidR="007A06AC" w:rsidRPr="00575A3E" w:rsidRDefault="00DE2FCC" w:rsidP="00A55356">
      <w:pPr>
        <w:widowControl/>
        <w:spacing w:line="360" w:lineRule="auto"/>
        <w:rPr>
          <w:szCs w:val="22"/>
          <w:lang w:val="en-GB"/>
        </w:rPr>
      </w:pPr>
      <w:r w:rsidRPr="00575A3E">
        <w:rPr>
          <w:szCs w:val="22"/>
          <w:lang w:val="en-GB"/>
        </w:rPr>
        <w:t>The aim of this study is</w:t>
      </w:r>
      <w:r w:rsidR="007358E4" w:rsidRPr="00575A3E">
        <w:rPr>
          <w:szCs w:val="22"/>
          <w:lang w:val="en-GB"/>
        </w:rPr>
        <w:t xml:space="preserve"> to investigate the effects of new transportation technologies on land use at a regional level of analysis.</w:t>
      </w:r>
      <w:r w:rsidR="007A06AC" w:rsidRPr="00575A3E">
        <w:rPr>
          <w:szCs w:val="22"/>
          <w:lang w:val="en-GB"/>
        </w:rPr>
        <w:t xml:space="preserve"> </w:t>
      </w:r>
      <w:r w:rsidR="00E343CB" w:rsidRPr="00575A3E">
        <w:rPr>
          <w:szCs w:val="22"/>
          <w:lang w:val="en-GB"/>
        </w:rPr>
        <w:t>T</w:t>
      </w:r>
      <w:r w:rsidR="007A06AC" w:rsidRPr="00575A3E">
        <w:rPr>
          <w:szCs w:val="22"/>
          <w:lang w:val="en-GB"/>
        </w:rPr>
        <w:t xml:space="preserve">he importance of the examination of the land use effects from new vehicle technologies has been mentioned in various sources the literature, </w:t>
      </w:r>
      <w:r w:rsidR="002D56BC" w:rsidRPr="00575A3E">
        <w:rPr>
          <w:szCs w:val="22"/>
          <w:lang w:val="en-GB"/>
        </w:rPr>
        <w:t>such as</w:t>
      </w:r>
      <w:r w:rsidR="007A06AC" w:rsidRPr="00575A3E">
        <w:rPr>
          <w:szCs w:val="22"/>
          <w:lang w:val="en-GB"/>
        </w:rPr>
        <w:t xml:space="preserve"> </w:t>
      </w:r>
      <w:r w:rsidR="007A06AC" w:rsidRPr="00575A3E">
        <w:rPr>
          <w:szCs w:val="22"/>
          <w:lang w:val="en-GB"/>
        </w:rPr>
        <w:fldChar w:fldCharType="begin" w:fldLock="1"/>
      </w:r>
      <w:r w:rsidR="0002665A" w:rsidRPr="00575A3E">
        <w:rPr>
          <w:szCs w:val="22"/>
          <w:lang w:val="en-GB"/>
        </w:rPr>
        <w:instrText>ADDIN CSL_CITATION {"citationItems":[{"id":"ITEM-1","itemData":{"DOI":"10.1016/j.retrec.2017.03.005","ISSN":"07398859","abstract":"Autonomous vehicles are expected to offer a higher comfort of traveling at lower prices and at the same time to increase road capacity - a pattern recalling the rise of the private car and later of motorway construction. Using the Swiss national transport model, this research simulates the impact of autonomous vehicles on accessibility of the Swiss municipalities. The results show that autonomous vehicles could cause another quantum leap in accessibility. Moreover, the spatial distribution of the accessibility impacts implies that autonomous vehicles favor urban sprawl and may render public transport superfluous except for dense urban areas.","author":[{"dropping-particle":"","family":"Meyer","given":"Jonas","non-dropping-particle":"","parse-names":false,"suffix":""},{"dropping-particle":"","family":"Becker","given":"Henrik","non-dropping-particle":"","parse-names":false,"suffix":""},{"dropping-particle":"","family":"Bösch","given":"Patrick M.","non-dropping-particle":"","parse-names":false,"suffix":""},{"dropping-particle":"","family":"Axhausen","given":"Kay W.","non-dropping-particle":"","parse-names":false,"suffix":""}],"container-title":"Research in Transportation Economics","id":"ITEM-1","issued":{"date-parts":[["2017"]]},"title":"Autonomous vehicles: The next jump in accessibilities?","type":"article-journal"},"uris":["http://www.mendeley.com/documents/?uuid=1b869dde-17d5-4819-a2f3-469684283a3c"]},{"id":"ITEM-2","itemData":{"DOI":"10.1080/01441647.2018.1523253","ISSN":"14645327","abstract":"Automated vehicles (AVs) could completely change mobility in the coming years and decades. As AVs are still under development and gathering empirical data for further analysis is not yet possible, existing studies mainly applied models and simulations to assess their impact. This paper provides a comprehensive review of modelling studies investigating the impacts of AVs on travel behaviour and land use. It shows that AVs are mostly found to increase vehicle miles travelled and reduce public transport and slow modes share. This particularly applies to private AVs, which are also leading to a more dispersed urban growth pattern. Shared automated vehicle fleets, conversely, could have positive impacts, including reducing the overall number of vehicles and parking spaces. Moreover, if it is assumed that automation would make the public transport system more efficient, AVs could lead to a favouring of urbanisation processes. However, results are very sensitive to model assumptions which are still very uncertain (e.g. the perception of time in AVs) and more research to gain further insight should have priority in future research as well as the development of the models and their further adaptation to AVs. ARTICLE HISTORY","author":[{"dropping-particle":"","family":"Soteropoulos","given":"Aggelos","non-dropping-particle":"","parse-names":false,"suffix":""},{"dropping-particle":"","family":"Berger","given":"Martin","non-dropping-particle":"","parse-names":false,"suffix":""},{"dropping-particle":"","family":"Ciari","given":"Francesco","non-dropping-particle":"","parse-names":false,"suffix":""}],"container-title":"Transport Reviews","id":"ITEM-2","issue":"1","issued":{"date-parts":[["2018"]]},"page":"29-49","title":"Impacts of automated vehicles on travel behaviour and land use: an international review of modelling studies","type":"article-journal","volume":"39"},"uris":["http://www.mendeley.com/documents/?uuid=6d44355c-8959-4167-a02e-7275c5c2c02b"]},{"id":"ITEM-3","itemData":{"DOI":"10.1016/j.tranpol.2020.06.014","ISSN":"1879310X","abstract":"Objective: Digitisation and automation are expected to change the transport system and settlement structures in a disruptive way. Due to new developments in sensor and communication technology different business models of automated vehicles (AV) - such as private AV, car-sharing-AV, ride-sharing-AV and public transport-AV – are likely to enter the transport market. Further, different penetration rates of AVs, extension of user groups (elderly and young, people without driving licenses etc.), different cost scenarios of AV veh-kms, parking regimes/fees, etc. will have significant impact on future transport demand. The objective of the work presented in this paper was to develop a simulation-based approach to analyse the potential impacts of different vehicle automation scenarios in Austria. Method: A multitude of complex cause-effect-chains and feedback loops characterise the relationship between AV take up, travel demand and environmental effects. The method of System Dynamics (SD) is designed to deal with such complexities. As a first step the qualitative method of Causal Loop Diagrams (CLD) was used to identify all potential automation related factors influencing the attractiveness of car and public transport use. In a second step the identified factors were coded into an operational version of the Stock-Flow based land use and transport interaction model MARS (Metropolitan Activity Relocation Simulator). As a third step sensitivity tests and scenarios were defined and simulated. Finally the resulting quantitative impacts were assessed and discussed. Results: In this paper we describe briefly how MARS was adapted to be able to simulate the effects of different AV-take up rates on the national level of Austria. Simulation results are presented for the scenario elements road capacity, remote parking, value of travel time, access for new user groups in the business models private car, car-sharing and ride-sharing and automation of the first and last mile in public transport. The results show that with a fleet share of 90% of private AVs in 2050, the nationwide changes in veh-kms travelled are between −2% (impact on road capacity) and +22 percent (new user groups in the case of AVs as private cars). Policy implications: An uncontrolled market take-up of AVs into the transport system will very likely increase the dependency on motorized transport, veh-kms driven and related emissions. Compensating policies have to be implemented in parallel to avoid un-sus…","author":[{"dropping-particle":"","family":"Emberger","given":"Guenter","non-dropping-particle":"","parse-names":false,"suffix":""},{"dropping-particle":"","family":"Pfaffenbichler","given":"Paul","non-dropping-particle":"","parse-names":false,"suffix":""}],"container-title":"Transport Policy","id":"ITEM-3","issued":{"date-parts":[["2020"]]},"title":"A quantitative analysis of potential impacts of automated vehicles in Austria using a dynamic integrated land use and transport interaction model","type":"article-journal"},"uris":["http://www.mendeley.com/documents/?uuid=ebb23ddf-d9b6-4850-80ce-74011b241851"]}],"mendeley":{"formattedCitation":"(Emberger and Pfaffenbichler, 2020; Meyer et al., 2017; Soteropoulos et al., 2018)","manualFormatting":"Emberger &amp; Pfaffenbichler (2020), Meyer et al. (2017) and Soteropoulos et al. (2018)","plainTextFormattedCitation":"(Emberger and Pfaffenbichler, 2020; Meyer et al., 2017; Soteropoulos et al., 2018)","previouslyFormattedCitation":"(Emberger and Pfaffenbichler, 2020; Meyer et al., 2017; Soteropoulos et al., 2018)"},"properties":{"noteIndex":0},"schema":"https://github.com/citation-style-language/schema/raw/master/csl-citation.json"}</w:instrText>
      </w:r>
      <w:r w:rsidR="007A06AC" w:rsidRPr="00575A3E">
        <w:rPr>
          <w:szCs w:val="22"/>
          <w:lang w:val="en-GB"/>
        </w:rPr>
        <w:fldChar w:fldCharType="separate"/>
      </w:r>
      <w:r w:rsidR="008E72C8" w:rsidRPr="00575A3E">
        <w:rPr>
          <w:noProof/>
          <w:szCs w:val="22"/>
          <w:lang w:val="en-GB"/>
        </w:rPr>
        <w:t xml:space="preserve">Emberger </w:t>
      </w:r>
      <w:r w:rsidR="00B50E47" w:rsidRPr="00575A3E">
        <w:rPr>
          <w:noProof/>
          <w:szCs w:val="22"/>
          <w:lang w:val="en-GB"/>
        </w:rPr>
        <w:t>&amp;</w:t>
      </w:r>
      <w:r w:rsidR="006D4144" w:rsidRPr="00575A3E">
        <w:rPr>
          <w:noProof/>
          <w:szCs w:val="22"/>
          <w:lang w:val="en-GB"/>
        </w:rPr>
        <w:t xml:space="preserve"> </w:t>
      </w:r>
      <w:r w:rsidR="008E72C8" w:rsidRPr="00575A3E">
        <w:rPr>
          <w:noProof/>
          <w:szCs w:val="22"/>
          <w:lang w:val="en-GB"/>
        </w:rPr>
        <w:t>Pfaffenbichler</w:t>
      </w:r>
      <w:r w:rsidR="000B132F" w:rsidRPr="00575A3E">
        <w:rPr>
          <w:noProof/>
          <w:szCs w:val="22"/>
          <w:lang w:val="en-GB"/>
        </w:rPr>
        <w:t xml:space="preserve"> (</w:t>
      </w:r>
      <w:r w:rsidR="008E72C8" w:rsidRPr="00575A3E">
        <w:rPr>
          <w:noProof/>
          <w:szCs w:val="22"/>
          <w:lang w:val="en-GB"/>
        </w:rPr>
        <w:t>2020</w:t>
      </w:r>
      <w:r w:rsidR="000B132F" w:rsidRPr="00575A3E">
        <w:rPr>
          <w:noProof/>
          <w:szCs w:val="22"/>
          <w:lang w:val="en-GB"/>
        </w:rPr>
        <w:t>),</w:t>
      </w:r>
      <w:r w:rsidR="008E72C8" w:rsidRPr="00575A3E">
        <w:rPr>
          <w:noProof/>
          <w:szCs w:val="22"/>
          <w:lang w:val="en-GB"/>
        </w:rPr>
        <w:t xml:space="preserve"> Meyer et al.</w:t>
      </w:r>
      <w:r w:rsidR="000B132F" w:rsidRPr="00575A3E">
        <w:rPr>
          <w:noProof/>
          <w:szCs w:val="22"/>
          <w:lang w:val="en-GB"/>
        </w:rPr>
        <w:t xml:space="preserve"> (</w:t>
      </w:r>
      <w:r w:rsidR="008E72C8" w:rsidRPr="00575A3E">
        <w:rPr>
          <w:noProof/>
          <w:szCs w:val="22"/>
          <w:lang w:val="en-GB"/>
        </w:rPr>
        <w:t>2017</w:t>
      </w:r>
      <w:r w:rsidR="000B132F" w:rsidRPr="00575A3E">
        <w:rPr>
          <w:noProof/>
          <w:szCs w:val="22"/>
          <w:lang w:val="en-GB"/>
        </w:rPr>
        <w:t>) and</w:t>
      </w:r>
      <w:r w:rsidR="008E72C8" w:rsidRPr="00575A3E">
        <w:rPr>
          <w:noProof/>
          <w:szCs w:val="22"/>
          <w:lang w:val="en-GB"/>
        </w:rPr>
        <w:t xml:space="preserve"> Soteropoulos et al.</w:t>
      </w:r>
      <w:r w:rsidR="000B132F" w:rsidRPr="00575A3E">
        <w:rPr>
          <w:noProof/>
          <w:szCs w:val="22"/>
          <w:lang w:val="en-GB"/>
        </w:rPr>
        <w:t xml:space="preserve"> (</w:t>
      </w:r>
      <w:r w:rsidR="008E72C8" w:rsidRPr="00575A3E">
        <w:rPr>
          <w:noProof/>
          <w:szCs w:val="22"/>
          <w:lang w:val="en-GB"/>
        </w:rPr>
        <w:t>2018)</w:t>
      </w:r>
      <w:r w:rsidR="007A06AC" w:rsidRPr="00575A3E">
        <w:rPr>
          <w:szCs w:val="22"/>
          <w:lang w:val="en-GB"/>
        </w:rPr>
        <w:fldChar w:fldCharType="end"/>
      </w:r>
      <w:r w:rsidR="00E343CB" w:rsidRPr="00575A3E">
        <w:rPr>
          <w:szCs w:val="22"/>
          <w:lang w:val="en-GB"/>
        </w:rPr>
        <w:t>. Moreover, m</w:t>
      </w:r>
      <w:r w:rsidR="007A06AC" w:rsidRPr="00575A3E">
        <w:rPr>
          <w:szCs w:val="22"/>
          <w:lang w:val="en-GB"/>
        </w:rPr>
        <w:t xml:space="preserve">any studies on the subject have focused on urban scales of analysis </w:t>
      </w:r>
      <w:r w:rsidR="007A06AC" w:rsidRPr="00575A3E">
        <w:rPr>
          <w:szCs w:val="22"/>
          <w:lang w:val="en-GB"/>
        </w:rPr>
        <w:fldChar w:fldCharType="begin" w:fldLock="1"/>
      </w:r>
      <w:r w:rsidR="005F1281" w:rsidRPr="00575A3E">
        <w:rPr>
          <w:szCs w:val="22"/>
          <w:lang w:val="en-GB"/>
        </w:rPr>
        <w:instrText>ADDIN CSL_CITATION {"citationItems":[{"id":"ITEM-1","itemData":{"DOI":"10.1016/j.tranpol.2020.06.014","ISSN":"1879310X","abstract":"Objective: Digitisation and automation are expected to change the transport system and settlement structures in a disruptive way. Due to new developments in sensor and communication technology different business models of automated vehicles (AV) - such as private AV, car-sharing-AV, ride-sharing-AV and public transport-AV – are likely to enter the transport market. Further, different penetration rates of AVs, extension of user groups (elderly and young, people without driving licenses etc.), different cost scenarios of AV veh-kms, parking regimes/fees, etc. will have significant impact on future transport demand. The objective of the work presented in this paper was to develop a simulation-based approach to analyse the potential impacts of different vehicle automation scenarios in Austria. Method: A multitude of complex cause-effect-chains and feedback loops characterise the relationship between AV take up, travel demand and environmental effects. The method of System Dynamics (SD) is designed to deal with such complexities. As a first step the qualitative method of Causal Loop Diagrams (CLD) was used to identify all potential automation related factors influencing the attractiveness of car and public transport use. In a second step the identified factors were coded into an operational version of the Stock-Flow based land use and transport interaction model MARS (Metropolitan Activity Relocation Simulator). As a third step sensitivity tests and scenarios were defined and simulated. Finally the resulting quantitative impacts were assessed and discussed. Results: In this paper we describe briefly how MARS was adapted to be able to simulate the effects of different AV-take up rates on the national level of Austria. Simulation results are presented for the scenario elements road capacity, remote parking, value of travel time, access for new user groups in the business models private car, car-sharing and ride-sharing and automation of the first and last mile in public transport. The results show that with a fleet share of 90% of private AVs in 2050, the nationwide changes in veh-kms travelled are between −2% (impact on road capacity) and +22 percent (new user groups in the case of AVs as private cars). Policy implications: An uncontrolled market take-up of AVs into the transport system will very likely increase the dependency on motorized transport, veh-kms driven and related emissions. Compensating policies have to be implemented in parallel to avoid un-sus…","author":[{"dropping-particle":"","family":"Emberger","given":"Guenter","non-dropping-particle":"","parse-names":false,"suffix":""},{"dropping-particle":"","family":"Pfaffenbichler","given":"Paul","non-dropping-particle":"","parse-names":false,"suffix":""}],"container-title":"Transport Policy","id":"ITEM-1","issued":{"date-parts":[["2020"]]},"title":"A quantitative analysis of potential impacts of automated vehicles in Austria using a dynamic integrated land use and transport interaction model","type":"article-journal"},"uris":["http://www.mendeley.com/documents/?uuid=ebb23ddf-d9b6-4850-80ce-74011b241851"]}],"mendeley":{"formattedCitation":"(Emberger and Pfaffenbichler, 2020)","manualFormatting":"(e.g. Emberger &amp; Pfaffenbichler, 2020)","plainTextFormattedCitation":"(Emberger and Pfaffenbichler, 2020)","previouslyFormattedCitation":"(Emberger and Pfaffenbichler, 2020)"},"properties":{"noteIndex":0},"schema":"https://github.com/citation-style-language/schema/raw/master/csl-citation.json"}</w:instrText>
      </w:r>
      <w:r w:rsidR="007A06AC" w:rsidRPr="00575A3E">
        <w:rPr>
          <w:szCs w:val="22"/>
          <w:lang w:val="en-GB"/>
        </w:rPr>
        <w:fldChar w:fldCharType="separate"/>
      </w:r>
      <w:r w:rsidR="00C41D0C" w:rsidRPr="00575A3E">
        <w:rPr>
          <w:noProof/>
          <w:szCs w:val="22"/>
          <w:lang w:val="en-GB"/>
        </w:rPr>
        <w:t>(</w:t>
      </w:r>
      <w:r w:rsidR="008D5D05" w:rsidRPr="00575A3E">
        <w:rPr>
          <w:noProof/>
          <w:szCs w:val="22"/>
          <w:lang w:val="en-GB"/>
        </w:rPr>
        <w:t xml:space="preserve">e.g. </w:t>
      </w:r>
      <w:r w:rsidR="00C41D0C" w:rsidRPr="00575A3E">
        <w:rPr>
          <w:noProof/>
          <w:szCs w:val="22"/>
          <w:lang w:val="en-GB"/>
        </w:rPr>
        <w:t xml:space="preserve">Emberger </w:t>
      </w:r>
      <w:r w:rsidR="00B50E47" w:rsidRPr="00575A3E">
        <w:rPr>
          <w:noProof/>
          <w:szCs w:val="22"/>
          <w:lang w:val="en-GB"/>
        </w:rPr>
        <w:t>&amp;</w:t>
      </w:r>
      <w:r w:rsidR="00C41D0C" w:rsidRPr="00575A3E">
        <w:rPr>
          <w:noProof/>
          <w:szCs w:val="22"/>
          <w:lang w:val="en-GB"/>
        </w:rPr>
        <w:t xml:space="preserve"> Pfaffenbichler, 2020)</w:t>
      </w:r>
      <w:r w:rsidR="007A06AC" w:rsidRPr="00575A3E">
        <w:rPr>
          <w:szCs w:val="22"/>
          <w:lang w:val="en-GB"/>
        </w:rPr>
        <w:fldChar w:fldCharType="end"/>
      </w:r>
      <w:r w:rsidR="007A06AC" w:rsidRPr="00575A3E">
        <w:rPr>
          <w:szCs w:val="22"/>
          <w:lang w:val="en-GB"/>
        </w:rPr>
        <w:t xml:space="preserve">. However, the examination of the distribution of activities at regional levels is equally important, as also stated in </w:t>
      </w:r>
      <w:r w:rsidR="000B132F" w:rsidRPr="00575A3E">
        <w:rPr>
          <w:szCs w:val="22"/>
          <w:lang w:val="en-GB"/>
        </w:rPr>
        <w:t xml:space="preserve">the analysis of </w:t>
      </w:r>
      <w:r w:rsidR="007A06AC" w:rsidRPr="00575A3E">
        <w:rPr>
          <w:szCs w:val="22"/>
          <w:lang w:val="en-GB"/>
        </w:rPr>
        <w:fldChar w:fldCharType="begin" w:fldLock="1"/>
      </w:r>
      <w:r w:rsidR="0002665A" w:rsidRPr="00575A3E">
        <w:rPr>
          <w:szCs w:val="22"/>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Prefecture","type":"article-journal"},"uris":["http://www.mendeley.com/documents/?uuid=a3da3ce1-5370-4fcf-b4f8-ac17abc381b7"]}],"mendeley":{"formattedCitation":"(Luo et al., 2019)","manualFormatting":"Luo et al. (2019)","plainTextFormattedCitation":"(Luo et al., 2019)","previouslyFormattedCitation":"(Luo et al., 2019)"},"properties":{"noteIndex":0},"schema":"https://github.com/citation-style-language/schema/raw/master/csl-citation.json"}</w:instrText>
      </w:r>
      <w:r w:rsidR="007A06AC" w:rsidRPr="00575A3E">
        <w:rPr>
          <w:szCs w:val="22"/>
          <w:lang w:val="en-GB"/>
        </w:rPr>
        <w:fldChar w:fldCharType="separate"/>
      </w:r>
      <w:r w:rsidR="008E72C8" w:rsidRPr="00575A3E">
        <w:rPr>
          <w:noProof/>
          <w:szCs w:val="22"/>
          <w:lang w:val="en-GB"/>
        </w:rPr>
        <w:t>Luo et al.</w:t>
      </w:r>
      <w:r w:rsidR="000B132F" w:rsidRPr="00575A3E">
        <w:rPr>
          <w:noProof/>
          <w:szCs w:val="22"/>
          <w:lang w:val="en-GB"/>
        </w:rPr>
        <w:t xml:space="preserve"> (</w:t>
      </w:r>
      <w:r w:rsidR="008E72C8" w:rsidRPr="00575A3E">
        <w:rPr>
          <w:noProof/>
          <w:szCs w:val="22"/>
          <w:lang w:val="en-GB"/>
        </w:rPr>
        <w:t>2019)</w:t>
      </w:r>
      <w:r w:rsidR="007A06AC" w:rsidRPr="00575A3E">
        <w:rPr>
          <w:szCs w:val="22"/>
          <w:lang w:val="en-GB"/>
        </w:rPr>
        <w:fldChar w:fldCharType="end"/>
      </w:r>
      <w:r w:rsidR="007A06AC" w:rsidRPr="00575A3E">
        <w:rPr>
          <w:szCs w:val="22"/>
          <w:lang w:val="en-GB"/>
        </w:rPr>
        <w:t>, as the effects o</w:t>
      </w:r>
      <w:r w:rsidR="006D4144" w:rsidRPr="00575A3E">
        <w:rPr>
          <w:szCs w:val="22"/>
          <w:lang w:val="en-GB"/>
        </w:rPr>
        <w:t>n</w:t>
      </w:r>
      <w:r w:rsidR="007A06AC" w:rsidRPr="00575A3E">
        <w:rPr>
          <w:szCs w:val="22"/>
          <w:lang w:val="en-GB"/>
        </w:rPr>
        <w:t xml:space="preserve"> the</w:t>
      </w:r>
      <w:r w:rsidR="00E343CB" w:rsidRPr="00575A3E">
        <w:rPr>
          <w:szCs w:val="22"/>
          <w:lang w:val="en-GB"/>
        </w:rPr>
        <w:t xml:space="preserve"> major</w:t>
      </w:r>
      <w:r w:rsidR="007A06AC" w:rsidRPr="00575A3E">
        <w:rPr>
          <w:szCs w:val="22"/>
          <w:lang w:val="en-GB"/>
        </w:rPr>
        <w:t xml:space="preserve"> urban cores will affect whole regions</w:t>
      </w:r>
      <w:r w:rsidR="00E343CB" w:rsidRPr="00575A3E">
        <w:rPr>
          <w:szCs w:val="22"/>
          <w:lang w:val="en-GB"/>
        </w:rPr>
        <w:t>, including not just the major cities, but also rural areas, villages and smaller cities</w:t>
      </w:r>
      <w:r w:rsidR="007A06AC" w:rsidRPr="00575A3E">
        <w:rPr>
          <w:szCs w:val="22"/>
          <w:lang w:val="en-GB"/>
        </w:rPr>
        <w:t xml:space="preserve">. </w:t>
      </w:r>
    </w:p>
    <w:p w14:paraId="62A15774" w14:textId="77777777" w:rsidR="00303B74" w:rsidRPr="00575A3E" w:rsidRDefault="00303B74" w:rsidP="00A55356">
      <w:pPr>
        <w:widowControl/>
        <w:spacing w:line="360" w:lineRule="auto"/>
        <w:rPr>
          <w:szCs w:val="22"/>
          <w:lang w:val="en-GB"/>
        </w:rPr>
      </w:pPr>
    </w:p>
    <w:p w14:paraId="3FD5E54D" w14:textId="00F26BDE" w:rsidR="00C9198A" w:rsidRPr="00575A3E" w:rsidRDefault="00383E02" w:rsidP="002654EA">
      <w:pPr>
        <w:widowControl/>
        <w:spacing w:line="360" w:lineRule="auto"/>
        <w:rPr>
          <w:szCs w:val="22"/>
          <w:lang w:val="en-GB"/>
        </w:rPr>
      </w:pPr>
      <w:r w:rsidRPr="00575A3E">
        <w:rPr>
          <w:szCs w:val="22"/>
          <w:lang w:val="en-GB"/>
        </w:rPr>
        <w:t>Using the well-established framework of Land Use and Transportation Interaction (LUTI)</w:t>
      </w:r>
      <w:r w:rsidR="00205243" w:rsidRPr="00575A3E">
        <w:rPr>
          <w:szCs w:val="22"/>
          <w:lang w:val="en-GB"/>
        </w:rPr>
        <w:t xml:space="preserve"> modelling</w:t>
      </w:r>
      <w:r w:rsidR="00154F0D" w:rsidRPr="00575A3E">
        <w:rPr>
          <w:szCs w:val="22"/>
          <w:lang w:val="en-GB"/>
        </w:rPr>
        <w:t xml:space="preserve"> </w:t>
      </w:r>
      <w:r w:rsidR="00205243" w:rsidRPr="00575A3E">
        <w:rPr>
          <w:szCs w:val="22"/>
          <w:lang w:val="en-GB"/>
        </w:rPr>
        <w:fldChar w:fldCharType="begin" w:fldLock="1"/>
      </w:r>
      <w:r w:rsidR="0002665A" w:rsidRPr="00575A3E">
        <w:rPr>
          <w:szCs w:val="22"/>
          <w:lang w:val="en-GB"/>
        </w:rPr>
        <w:instrText>ADDIN CSL_CITATION {"citationItems":[{"id":"ITEM-1","itemData":{"abstract":"Interest in the appraisal of the sustainability impacts of transport policies has grown the last few years, expressing the need for a balanced treatment of economic, environmental and social impacts. This paper represents a first step in creating a framework for Sustainability Impact Assessments; it will also review operational land-use/transport interaction models as assessment tools. An in-depth analysis of the potential impacts of land-use and transport policies, and scenarios, on the economy, society and the environment will present new challenges to land-use/transport interaction models. The first challenge is related to modelling behaviour: i.e. the model should estimate land-use, transport and accessibility impacts in a theoretically sound and consonant manner, and consistently link the full set of (long-term) land-use and (short-term) travel-behavioural responses to these policies. The second challenge is to improve methodologies to (better) include the wider (macro-)economic effects and the passive values. The third challenge is to generate more knowledge for understanding ecological and social impacts, and for the development of related indicators and methodologies to calculate them. A fourth, and final, challenge is related to the presentation and integration of the sustainability impacts, not only including the economic, ecological and social impacts, but also finding the 'right' balance between them. Although recent model developments facilitate a far more comprehensive analysis than is common 334 Land-use/transport Interaction Models … practice today, there is certainly a need for theoretical and practical research for conducting Sustainability Impact Assessments of land use and transport policies and scenarios.","author":[{"dropping-particle":"","family":"Geurs","given":"Karst T","non-dropping-particle":"","parse-names":false,"suffix":""},{"dropping-particle":"","family":"Wee","given":"B","non-dropping-particle":"van","parse-names":false,"suffix":""}],"container-title":"European Journal of Transport and Infrastructure Research","id":"ITEM-1","issued":{"date-parts":[["2004"]]},"title":"Land-use/transport Interaction Models as Tools for Sustainability Impact Assessment of Transport Investments: Review and Research Perspectives","type":"article-journal"},"uris":["http://www.mendeley.com/documents/?uuid=671f6513-3adf-4a92-9846-d4c93ce519d7"]}],"mendeley":{"formattedCitation":"(Geurs and van Wee, 2004)","plainTextFormattedCitation":"(Geurs and van Wee, 2004)","previouslyFormattedCitation":"(Geurs and van Wee, 2004)"},"properties":{"noteIndex":0},"schema":"https://github.com/citation-style-language/schema/raw/master/csl-citation.json"}</w:instrText>
      </w:r>
      <w:r w:rsidR="00205243" w:rsidRPr="00575A3E">
        <w:rPr>
          <w:szCs w:val="22"/>
          <w:lang w:val="en-GB"/>
        </w:rPr>
        <w:fldChar w:fldCharType="separate"/>
      </w:r>
      <w:r w:rsidR="00BF7603" w:rsidRPr="00575A3E">
        <w:rPr>
          <w:noProof/>
          <w:szCs w:val="22"/>
          <w:lang w:val="en-GB"/>
        </w:rPr>
        <w:t>(Geurs and van Wee, 2004)</w:t>
      </w:r>
      <w:r w:rsidR="00205243" w:rsidRPr="00575A3E">
        <w:rPr>
          <w:szCs w:val="22"/>
          <w:lang w:val="en-GB"/>
        </w:rPr>
        <w:fldChar w:fldCharType="end"/>
      </w:r>
      <w:r w:rsidR="00154F0D" w:rsidRPr="00575A3E">
        <w:rPr>
          <w:szCs w:val="22"/>
          <w:lang w:val="en-GB"/>
        </w:rPr>
        <w:t>, a new approach is developed to reflect projected changes in road capacity and total cost of ownership as a result of the new vehicle technologies. This methodology includes</w:t>
      </w:r>
      <w:r w:rsidRPr="00575A3E">
        <w:rPr>
          <w:szCs w:val="22"/>
          <w:lang w:val="en-GB"/>
        </w:rPr>
        <w:t xml:space="preserve"> </w:t>
      </w:r>
      <w:r w:rsidR="009D11C8" w:rsidRPr="00575A3E">
        <w:rPr>
          <w:szCs w:val="22"/>
          <w:lang w:val="en-GB"/>
        </w:rPr>
        <w:t>modifications</w:t>
      </w:r>
      <w:r w:rsidRPr="00575A3E">
        <w:rPr>
          <w:szCs w:val="22"/>
          <w:lang w:val="en-GB"/>
        </w:rPr>
        <w:t xml:space="preserve"> </w:t>
      </w:r>
      <w:r w:rsidR="009D11C8" w:rsidRPr="00575A3E">
        <w:rPr>
          <w:szCs w:val="22"/>
          <w:lang w:val="en-GB"/>
        </w:rPr>
        <w:t xml:space="preserve">to a number of parameters, such as </w:t>
      </w:r>
      <w:r w:rsidR="00C9198A" w:rsidRPr="00575A3E">
        <w:rPr>
          <w:szCs w:val="22"/>
          <w:lang w:val="en-GB"/>
        </w:rPr>
        <w:t>generalised cost of travel, trip generation rates</w:t>
      </w:r>
      <w:r w:rsidR="009D11C8" w:rsidRPr="00575A3E">
        <w:rPr>
          <w:szCs w:val="22"/>
          <w:lang w:val="en-GB"/>
        </w:rPr>
        <w:t xml:space="preserve"> and</w:t>
      </w:r>
      <w:r w:rsidR="00C9198A" w:rsidRPr="00575A3E">
        <w:rPr>
          <w:szCs w:val="22"/>
          <w:lang w:val="en-GB"/>
        </w:rPr>
        <w:t xml:space="preserve"> Passenger Car Unit (PCU)</w:t>
      </w:r>
      <w:r w:rsidR="009D11C8" w:rsidRPr="00575A3E">
        <w:rPr>
          <w:szCs w:val="22"/>
          <w:lang w:val="en-GB"/>
        </w:rPr>
        <w:t xml:space="preserve"> values</w:t>
      </w:r>
      <w:r w:rsidR="00C9198A" w:rsidRPr="00575A3E">
        <w:rPr>
          <w:szCs w:val="22"/>
          <w:lang w:val="en-GB"/>
        </w:rPr>
        <w:t xml:space="preserve">. </w:t>
      </w:r>
      <w:r w:rsidR="009D11C8" w:rsidRPr="00575A3E">
        <w:rPr>
          <w:szCs w:val="22"/>
          <w:lang w:val="en-GB"/>
        </w:rPr>
        <w:t>A number of relevant</w:t>
      </w:r>
      <w:r w:rsidR="00661200" w:rsidRPr="00575A3E">
        <w:rPr>
          <w:szCs w:val="22"/>
          <w:lang w:val="en-GB"/>
        </w:rPr>
        <w:t xml:space="preserve"> simulation</w:t>
      </w:r>
      <w:r w:rsidR="00C9198A" w:rsidRPr="00575A3E">
        <w:rPr>
          <w:szCs w:val="22"/>
          <w:lang w:val="en-GB"/>
        </w:rPr>
        <w:t xml:space="preserve"> scenarios </w:t>
      </w:r>
      <w:r w:rsidR="009D11C8" w:rsidRPr="00575A3E">
        <w:rPr>
          <w:szCs w:val="22"/>
          <w:lang w:val="en-GB"/>
        </w:rPr>
        <w:t xml:space="preserve">are </w:t>
      </w:r>
      <w:r w:rsidR="00C9198A" w:rsidRPr="00575A3E">
        <w:rPr>
          <w:szCs w:val="22"/>
          <w:lang w:val="en-GB"/>
        </w:rPr>
        <w:t>developed</w:t>
      </w:r>
      <w:r w:rsidR="00661200" w:rsidRPr="00575A3E">
        <w:rPr>
          <w:szCs w:val="22"/>
          <w:lang w:val="en-GB"/>
        </w:rPr>
        <w:t xml:space="preserve"> and applied</w:t>
      </w:r>
      <w:r w:rsidR="00154F0D" w:rsidRPr="00575A3E">
        <w:rPr>
          <w:szCs w:val="22"/>
          <w:lang w:val="en-GB"/>
        </w:rPr>
        <w:t xml:space="preserve">, utilising the DELTA LUTI model </w:t>
      </w:r>
      <w:r w:rsidR="00154F0D" w:rsidRPr="00575A3E">
        <w:rPr>
          <w:szCs w:val="22"/>
          <w:lang w:val="en-GB"/>
        </w:rPr>
        <w:fldChar w:fldCharType="begin" w:fldLock="1"/>
      </w:r>
      <w:r w:rsidR="0002665A" w:rsidRPr="00575A3E">
        <w:rPr>
          <w:szCs w:val="22"/>
          <w:lang w:val="en-GB"/>
        </w:rPr>
        <w:instrText>ADDIN CSL_CITATION {"citationItems":[{"id":"ITEM-1","itemData":{"author":[{"dropping-particle":"","family":"Simmonds","given":"David","non-dropping-particle":"","parse-names":false,"suffix":""}],"container-title":"In M Echenique, M Batty, M Wegener and Y Jin (ed): Applied Urban Modelling. British Academy Proceedings. (Preprint available from the author; provides an update on previous papers published from 1999 onwards.)","id":"ITEM-1","issued":{"date-parts":[["2019"]]},"title":"The DELTA models and their applications","type":"article-journal"},"uris":["http://www.mendeley.com/documents/?uuid=7efcf05b-0071-4100-a331-a04ae16e6ce1"]}],"mendeley":{"formattedCitation":"(Simmonds, 2019a)","plainTextFormattedCitation":"(Simmonds, 2019a)","previouslyFormattedCitation":"(Simmonds, 2019a)"},"properties":{"noteIndex":0},"schema":"https://github.com/citation-style-language/schema/raw/master/csl-citation.json"}</w:instrText>
      </w:r>
      <w:r w:rsidR="00154F0D" w:rsidRPr="00575A3E">
        <w:rPr>
          <w:szCs w:val="22"/>
          <w:lang w:val="en-GB"/>
        </w:rPr>
        <w:fldChar w:fldCharType="separate"/>
      </w:r>
      <w:r w:rsidR="00BF7603" w:rsidRPr="00575A3E">
        <w:rPr>
          <w:noProof/>
          <w:szCs w:val="22"/>
          <w:lang w:val="en-GB"/>
        </w:rPr>
        <w:t>(Simmonds, 2019a)</w:t>
      </w:r>
      <w:r w:rsidR="00154F0D" w:rsidRPr="00575A3E">
        <w:rPr>
          <w:szCs w:val="22"/>
          <w:lang w:val="en-GB"/>
        </w:rPr>
        <w:fldChar w:fldCharType="end"/>
      </w:r>
      <w:r w:rsidR="00154F0D" w:rsidRPr="00575A3E">
        <w:rPr>
          <w:szCs w:val="22"/>
          <w:lang w:val="en-GB"/>
        </w:rPr>
        <w:t>,</w:t>
      </w:r>
      <w:r w:rsidR="00661200" w:rsidRPr="00575A3E">
        <w:rPr>
          <w:szCs w:val="22"/>
          <w:lang w:val="en-GB"/>
        </w:rPr>
        <w:t xml:space="preserve"> to the example case study of </w:t>
      </w:r>
      <w:r w:rsidR="006D4144" w:rsidRPr="00575A3E">
        <w:rPr>
          <w:szCs w:val="22"/>
          <w:lang w:val="en-GB"/>
        </w:rPr>
        <w:t xml:space="preserve">the </w:t>
      </w:r>
      <w:r w:rsidR="00661200" w:rsidRPr="00575A3E">
        <w:rPr>
          <w:szCs w:val="22"/>
          <w:lang w:val="en-GB"/>
        </w:rPr>
        <w:t xml:space="preserve">West Midlands region </w:t>
      </w:r>
      <w:r w:rsidR="00A34160" w:rsidRPr="00575A3E">
        <w:rPr>
          <w:szCs w:val="22"/>
          <w:lang w:val="en-GB"/>
        </w:rPr>
        <w:t>(</w:t>
      </w:r>
      <w:r w:rsidR="00661200" w:rsidRPr="00575A3E">
        <w:rPr>
          <w:szCs w:val="22"/>
          <w:lang w:val="en-GB"/>
        </w:rPr>
        <w:t>UK</w:t>
      </w:r>
      <w:r w:rsidR="00A34160" w:rsidRPr="00575A3E">
        <w:rPr>
          <w:szCs w:val="22"/>
          <w:lang w:val="en-GB"/>
        </w:rPr>
        <w:t>)</w:t>
      </w:r>
      <w:r w:rsidR="00C9198A" w:rsidRPr="00575A3E">
        <w:rPr>
          <w:szCs w:val="22"/>
          <w:lang w:val="en-GB"/>
        </w:rPr>
        <w:t xml:space="preserve"> in order to</w:t>
      </w:r>
      <w:r w:rsidR="00661200" w:rsidRPr="00575A3E">
        <w:rPr>
          <w:szCs w:val="22"/>
          <w:lang w:val="en-GB"/>
        </w:rPr>
        <w:t xml:space="preserve"> explore changes in accessibility and to</w:t>
      </w:r>
      <w:r w:rsidR="00C9198A" w:rsidRPr="00575A3E">
        <w:rPr>
          <w:szCs w:val="22"/>
          <w:lang w:val="en-GB"/>
        </w:rPr>
        <w:t xml:space="preserve"> conduct a sensitivity analysis. </w:t>
      </w:r>
    </w:p>
    <w:p w14:paraId="06665173" w14:textId="77777777" w:rsidR="00303B74" w:rsidRPr="00575A3E" w:rsidRDefault="00303B74" w:rsidP="002654EA">
      <w:pPr>
        <w:widowControl/>
        <w:spacing w:line="360" w:lineRule="auto"/>
        <w:rPr>
          <w:szCs w:val="22"/>
          <w:lang w:val="en-GB"/>
        </w:rPr>
      </w:pPr>
    </w:p>
    <w:p w14:paraId="35D2FEF3" w14:textId="3C3B0430" w:rsidR="00661200" w:rsidRPr="00575A3E" w:rsidRDefault="00661200" w:rsidP="002654EA">
      <w:pPr>
        <w:widowControl/>
        <w:spacing w:line="360" w:lineRule="auto"/>
        <w:rPr>
          <w:szCs w:val="22"/>
          <w:lang w:val="en-GB"/>
        </w:rPr>
      </w:pPr>
      <w:r w:rsidRPr="00575A3E">
        <w:rPr>
          <w:szCs w:val="22"/>
          <w:lang w:val="en-GB"/>
        </w:rPr>
        <w:t xml:space="preserve">The rest of the paper is structured as follows. Section 2 presents the background of the study by reviewing the literature to establish the research gap. Section 3 describes the study’s methodological approach and, starting from a brief description of the </w:t>
      </w:r>
      <w:r w:rsidR="009C60FD" w:rsidRPr="00575A3E">
        <w:rPr>
          <w:szCs w:val="22"/>
          <w:lang w:val="en-GB"/>
        </w:rPr>
        <w:t xml:space="preserve">simulation framework for this analysis, </w:t>
      </w:r>
      <w:r w:rsidRPr="00575A3E">
        <w:rPr>
          <w:szCs w:val="22"/>
          <w:lang w:val="en-GB"/>
        </w:rPr>
        <w:t>application case study</w:t>
      </w:r>
      <w:r w:rsidR="009C60FD" w:rsidRPr="00575A3E">
        <w:rPr>
          <w:szCs w:val="22"/>
          <w:lang w:val="en-GB"/>
        </w:rPr>
        <w:t xml:space="preserve"> and also</w:t>
      </w:r>
      <w:r w:rsidRPr="00575A3E">
        <w:rPr>
          <w:szCs w:val="22"/>
          <w:lang w:val="en-GB"/>
        </w:rPr>
        <w:t xml:space="preserve"> explain</w:t>
      </w:r>
      <w:r w:rsidR="002B7815" w:rsidRPr="00575A3E">
        <w:rPr>
          <w:szCs w:val="22"/>
          <w:lang w:val="en-GB"/>
        </w:rPr>
        <w:t>s</w:t>
      </w:r>
      <w:r w:rsidRPr="00575A3E">
        <w:rPr>
          <w:szCs w:val="22"/>
          <w:lang w:val="en-GB"/>
        </w:rPr>
        <w:t xml:space="preserve"> how LUTI models are adapted to consider the effects of new vehicle technologies on land use and to define the scenarios tested. Section 4 reports and discusses the results of the simulation process and sensitivity analysis. Finally, Section 5 concludes the paper and identifies areas of future work.</w:t>
      </w:r>
    </w:p>
    <w:p w14:paraId="1028354E" w14:textId="23033A5B" w:rsidR="002654EA" w:rsidRPr="00575A3E" w:rsidRDefault="002654EA" w:rsidP="002654EA">
      <w:pPr>
        <w:widowControl/>
        <w:spacing w:line="360" w:lineRule="auto"/>
        <w:rPr>
          <w:szCs w:val="22"/>
          <w:lang w:val="en-GB"/>
        </w:rPr>
      </w:pPr>
    </w:p>
    <w:p w14:paraId="733AB155" w14:textId="5F9B6F03" w:rsidR="00151070" w:rsidRPr="00575A3E" w:rsidRDefault="00562D56" w:rsidP="00A55356">
      <w:pPr>
        <w:pStyle w:val="Heading1"/>
        <w:spacing w:before="0" w:after="0" w:line="360" w:lineRule="auto"/>
        <w:rPr>
          <w:lang w:val="en-GB"/>
        </w:rPr>
      </w:pPr>
      <w:r w:rsidRPr="00575A3E">
        <w:rPr>
          <w:lang w:val="en-GB"/>
        </w:rPr>
        <w:lastRenderedPageBreak/>
        <w:t>Literature Review</w:t>
      </w:r>
    </w:p>
    <w:p w14:paraId="4237D60A" w14:textId="0720314E" w:rsidR="004A1B9A" w:rsidRPr="00575A3E" w:rsidRDefault="00885ED4" w:rsidP="00885ED4">
      <w:pPr>
        <w:spacing w:line="360" w:lineRule="auto"/>
        <w:rPr>
          <w:szCs w:val="22"/>
          <w:lang w:val="en-GB"/>
        </w:rPr>
      </w:pPr>
      <w:r w:rsidRPr="00575A3E">
        <w:rPr>
          <w:szCs w:val="22"/>
          <w:lang w:val="en-GB"/>
        </w:rPr>
        <w:t>A critical point for implementing this analysis is the literature review, as it provides a foundation of knowledge for the topic. This review includes an investigation of related analyses in order to explore the main characteristics of new transportation technologies and their effects based on the literature and as a result identify a research gap.</w:t>
      </w:r>
    </w:p>
    <w:p w14:paraId="7910365A" w14:textId="77777777" w:rsidR="009C60FD" w:rsidRPr="00575A3E" w:rsidRDefault="009C60FD" w:rsidP="00885ED4">
      <w:pPr>
        <w:spacing w:line="360" w:lineRule="auto"/>
        <w:rPr>
          <w:szCs w:val="22"/>
          <w:lang w:val="en-GB"/>
        </w:rPr>
      </w:pPr>
    </w:p>
    <w:p w14:paraId="7BA9397D" w14:textId="2445A579" w:rsidR="00B51DDE" w:rsidRPr="00575A3E" w:rsidRDefault="007038DD" w:rsidP="00A55356">
      <w:pPr>
        <w:pStyle w:val="Heading2"/>
        <w:spacing w:before="0" w:after="0" w:line="360" w:lineRule="auto"/>
        <w:rPr>
          <w:sz w:val="22"/>
          <w:szCs w:val="22"/>
          <w:lang w:val="en-GB"/>
        </w:rPr>
      </w:pPr>
      <w:r w:rsidRPr="00575A3E">
        <w:t>New transport technologies and their effects</w:t>
      </w:r>
      <w:r w:rsidRPr="00575A3E">
        <w:rPr>
          <w:sz w:val="22"/>
          <w:szCs w:val="22"/>
          <w:lang w:val="en-GB"/>
        </w:rPr>
        <w:t xml:space="preserve"> </w:t>
      </w:r>
    </w:p>
    <w:p w14:paraId="34156FDA" w14:textId="3CF7998B" w:rsidR="007E7974" w:rsidRPr="00575A3E" w:rsidRDefault="000928D6" w:rsidP="00A55356">
      <w:pPr>
        <w:spacing w:line="360" w:lineRule="auto"/>
        <w:rPr>
          <w:szCs w:val="22"/>
          <w:lang w:val="en-GB"/>
        </w:rPr>
      </w:pPr>
      <w:r w:rsidRPr="00575A3E">
        <w:rPr>
          <w:szCs w:val="22"/>
          <w:lang w:val="en-GB"/>
        </w:rPr>
        <w:t>T</w:t>
      </w:r>
      <w:r w:rsidR="003C0558" w:rsidRPr="00575A3E">
        <w:rPr>
          <w:szCs w:val="22"/>
          <w:lang w:val="en-GB"/>
        </w:rPr>
        <w:t xml:space="preserve">he necessity to predict land use effects from new transportation technologies has been </w:t>
      </w:r>
      <w:r w:rsidR="00E12BAC" w:rsidRPr="00575A3E">
        <w:rPr>
          <w:szCs w:val="22"/>
          <w:lang w:val="en-GB"/>
        </w:rPr>
        <w:t xml:space="preserve">repeatedly identified </w:t>
      </w:r>
      <w:r w:rsidR="003C0558" w:rsidRPr="00575A3E">
        <w:rPr>
          <w:szCs w:val="22"/>
          <w:lang w:val="en-GB"/>
        </w:rPr>
        <w:t>in the literature, and this paper aims to shed further light on this research question. For instance,</w:t>
      </w:r>
      <w:bookmarkStart w:id="0" w:name="_Hlk71618676"/>
      <w:r w:rsidR="003C0558" w:rsidRPr="00575A3E">
        <w:rPr>
          <w:szCs w:val="22"/>
          <w:lang w:val="en-GB"/>
        </w:rPr>
        <w:t xml:space="preserve"> </w:t>
      </w:r>
      <w:r w:rsidR="003C0558" w:rsidRPr="00575A3E">
        <w:rPr>
          <w:szCs w:val="22"/>
          <w:lang w:val="en-GB"/>
        </w:rPr>
        <w:fldChar w:fldCharType="begin" w:fldLock="1"/>
      </w:r>
      <w:r w:rsidR="0002665A" w:rsidRPr="00575A3E">
        <w:rPr>
          <w:szCs w:val="22"/>
          <w:lang w:val="en-GB"/>
        </w:rPr>
        <w:instrText>ADDIN CSL_CITATION {"citationItems":[{"id":"ITEM-1","itemData":{"DOI":"10.1080/15472450.2017.1291351","ISSN":"15472442","abstract":"In this paper, the potential effects of automated driving that are relevant to policy and society are explored, findings discussed in literature about those effects are reviewed and areas for future research are identified. The structure of our review is based on the ripple effect concept, which represents the implications of automated vehicles at three different stages: first-order (traffic, travel cost, and travel choices), second-order (vehicle ownership and sharing, location choices and land use, and transport infrastructure), and third-order (energy consumption, air pollution, safety, social equity, economy, and public health). Our review shows that first-order impacts on road capacity, fuel efficiency, emissions, and accidents risk are expected to be beneficial. The magnitude of these benefits will likely increase with the level of automation and cooperation and with the penetration rate of these systems. The synergistic effects between vehicle automation, sharing, and electrification can multiply these benefits. However, studies confirm that automated vehicles can induce additional travel demand because of more and longer vehicle trips. Potential land use changes have not been included in these estimations about excessive travel demand. Other third-order benefits on safety, economy, public health and social equity still remain unclear. Therefore, the balance between the short-term benefits and long-term impacts of vehicle automation remains an open question.","author":[{"dropping-particle":"","family":"Milakis","given":"Dimitris","non-dropping-particle":"","parse-names":false,"suffix":""},{"dropping-particle":"","family":"Arem","given":"Bart","non-dropping-particle":"Van","parse-names":false,"suffix":""},{"dropping-particle":"","family":"Wee","given":"Bert","non-dropping-particle":"Van","parse-names":false,"suffix":""}],"container-title":"Journal of Intelligent Transportation Systems: Technology, Planning, and Operations","id":"ITEM-1","issued":{"date-parts":[["2017"]]},"title":"Policy and society related implications of automated driving: A review of literature and directions for future research","type":"article-journal"},"uris":["http://www.mendeley.com/documents/?uuid=54bd97d6-59f1-4b12-8ba1-72777d845f54"]}],"mendeley":{"formattedCitation":"(Milakis et al., 2017)","manualFormatting":"Milakis et al. (2017)","plainTextFormattedCitation":"(Milakis et al., 2017)","previouslyFormattedCitation":"(Milakis et al., 2017)"},"properties":{"noteIndex":0},"schema":"https://github.com/citation-style-language/schema/raw/master/csl-citation.json"}</w:instrText>
      </w:r>
      <w:r w:rsidR="003C0558" w:rsidRPr="00575A3E">
        <w:rPr>
          <w:szCs w:val="22"/>
          <w:lang w:val="en-GB"/>
        </w:rPr>
        <w:fldChar w:fldCharType="separate"/>
      </w:r>
      <w:r w:rsidR="003C0558" w:rsidRPr="00575A3E">
        <w:rPr>
          <w:noProof/>
          <w:szCs w:val="22"/>
          <w:lang w:val="en-GB"/>
        </w:rPr>
        <w:t>Milakis et al. (2017)</w:t>
      </w:r>
      <w:r w:rsidR="003C0558" w:rsidRPr="00575A3E">
        <w:rPr>
          <w:szCs w:val="22"/>
          <w:lang w:val="en-GB"/>
        </w:rPr>
        <w:fldChar w:fldCharType="end"/>
      </w:r>
      <w:r w:rsidR="003C0558" w:rsidRPr="00575A3E">
        <w:rPr>
          <w:szCs w:val="22"/>
          <w:lang w:val="en-GB"/>
        </w:rPr>
        <w:t xml:space="preserve"> explicitly mention that it is necessary to evaluate the effects of automation utilising LUTI models and accessibility measures in the long-term</w:t>
      </w:r>
      <w:bookmarkEnd w:id="0"/>
      <w:r w:rsidR="003C0558" w:rsidRPr="00575A3E">
        <w:rPr>
          <w:szCs w:val="22"/>
          <w:lang w:val="en-GB"/>
        </w:rPr>
        <w:t xml:space="preserve">. </w:t>
      </w:r>
      <w:r w:rsidR="007E7974" w:rsidRPr="00575A3E">
        <w:rPr>
          <w:szCs w:val="22"/>
          <w:lang w:val="en-GB"/>
        </w:rPr>
        <w:t>T</w:t>
      </w:r>
      <w:r w:rsidR="00076A62" w:rsidRPr="00575A3E">
        <w:rPr>
          <w:szCs w:val="22"/>
          <w:lang w:val="en-GB"/>
        </w:rPr>
        <w:t>he technologies</w:t>
      </w:r>
      <w:r w:rsidR="007E7974" w:rsidRPr="00575A3E">
        <w:rPr>
          <w:szCs w:val="22"/>
          <w:lang w:val="en-GB"/>
        </w:rPr>
        <w:t xml:space="preserve">, which are most influential in transportation </w:t>
      </w:r>
      <w:r w:rsidR="0059184E" w:rsidRPr="00575A3E">
        <w:rPr>
          <w:szCs w:val="22"/>
          <w:lang w:val="en-GB"/>
        </w:rPr>
        <w:t xml:space="preserve">today </w:t>
      </w:r>
      <w:r w:rsidR="007E7974" w:rsidRPr="00575A3E">
        <w:rPr>
          <w:szCs w:val="22"/>
          <w:lang w:val="en-GB"/>
        </w:rPr>
        <w:t>are</w:t>
      </w:r>
      <w:r w:rsidR="0059184E" w:rsidRPr="00575A3E">
        <w:rPr>
          <w:szCs w:val="22"/>
          <w:lang w:val="en-GB"/>
        </w:rPr>
        <w:t xml:space="preserve"> connectivity, automation and electrification, which are reflected in </w:t>
      </w:r>
      <w:r w:rsidR="0022241D" w:rsidRPr="00575A3E">
        <w:rPr>
          <w:szCs w:val="22"/>
          <w:lang w:val="en-GB"/>
        </w:rPr>
        <w:t>different</w:t>
      </w:r>
      <w:r w:rsidR="0059184E" w:rsidRPr="00575A3E">
        <w:rPr>
          <w:szCs w:val="22"/>
          <w:lang w:val="en-GB"/>
        </w:rPr>
        <w:t xml:space="preserve"> innovations, such as</w:t>
      </w:r>
      <w:r w:rsidR="007E7974" w:rsidRPr="00575A3E">
        <w:rPr>
          <w:szCs w:val="22"/>
          <w:lang w:val="en-GB"/>
        </w:rPr>
        <w:t xml:space="preserve"> Con</w:t>
      </w:r>
      <w:r w:rsidR="00076A62" w:rsidRPr="00575A3E">
        <w:rPr>
          <w:szCs w:val="22"/>
          <w:lang w:val="en-GB"/>
        </w:rPr>
        <w:t xml:space="preserve">nected </w:t>
      </w:r>
      <w:r w:rsidR="0059184E" w:rsidRPr="00575A3E">
        <w:rPr>
          <w:szCs w:val="22"/>
          <w:lang w:val="en-GB"/>
        </w:rPr>
        <w:t xml:space="preserve">and </w:t>
      </w:r>
      <w:r w:rsidR="00076A62" w:rsidRPr="00575A3E">
        <w:rPr>
          <w:szCs w:val="22"/>
          <w:lang w:val="en-GB"/>
        </w:rPr>
        <w:t xml:space="preserve">Autonomous </w:t>
      </w:r>
      <w:r w:rsidR="0059184E" w:rsidRPr="00575A3E">
        <w:rPr>
          <w:szCs w:val="22"/>
          <w:lang w:val="en-GB"/>
        </w:rPr>
        <w:t>V</w:t>
      </w:r>
      <w:r w:rsidR="00076A62" w:rsidRPr="00575A3E">
        <w:rPr>
          <w:szCs w:val="22"/>
          <w:lang w:val="en-GB"/>
        </w:rPr>
        <w:t>ehicles</w:t>
      </w:r>
      <w:r w:rsidR="0059184E" w:rsidRPr="00575A3E">
        <w:rPr>
          <w:szCs w:val="22"/>
          <w:lang w:val="en-GB"/>
        </w:rPr>
        <w:t xml:space="preserve"> (CAVs)</w:t>
      </w:r>
      <w:r w:rsidR="000870E5" w:rsidRPr="00575A3E">
        <w:rPr>
          <w:szCs w:val="22"/>
          <w:lang w:val="en-GB"/>
        </w:rPr>
        <w:t xml:space="preserve">, </w:t>
      </w:r>
      <w:r w:rsidR="00076A62" w:rsidRPr="00575A3E">
        <w:rPr>
          <w:szCs w:val="22"/>
          <w:lang w:val="en-GB"/>
        </w:rPr>
        <w:t xml:space="preserve">Electric </w:t>
      </w:r>
      <w:r w:rsidR="00E15510" w:rsidRPr="00575A3E">
        <w:rPr>
          <w:szCs w:val="22"/>
          <w:lang w:val="en-GB"/>
        </w:rPr>
        <w:t>Vehicles (EVs)</w:t>
      </w:r>
      <w:r w:rsidR="00E12BAC" w:rsidRPr="00575A3E">
        <w:rPr>
          <w:szCs w:val="22"/>
          <w:lang w:val="en-GB"/>
        </w:rPr>
        <w:t>,</w:t>
      </w:r>
      <w:r w:rsidR="008B23CF" w:rsidRPr="00575A3E">
        <w:rPr>
          <w:szCs w:val="22"/>
          <w:lang w:val="en-GB"/>
        </w:rPr>
        <w:t xml:space="preserve"> </w:t>
      </w:r>
      <w:r w:rsidR="000870E5" w:rsidRPr="00575A3E">
        <w:rPr>
          <w:szCs w:val="22"/>
          <w:lang w:val="en-GB"/>
        </w:rPr>
        <w:t xml:space="preserve">as well as Shared Mobility </w:t>
      </w:r>
      <w:r w:rsidR="000870E5" w:rsidRPr="00575A3E">
        <w:rPr>
          <w:szCs w:val="22"/>
          <w:lang w:val="en-GB"/>
        </w:rPr>
        <w:fldChar w:fldCharType="begin" w:fldLock="1"/>
      </w:r>
      <w:r w:rsidR="00893050" w:rsidRPr="00575A3E">
        <w:rPr>
          <w:szCs w:val="22"/>
          <w:lang w:val="en-GB"/>
        </w:rPr>
        <w:instrText>ADDIN CSL_CITATION {"citationItems":[{"id":"ITEM-1","itemData":{"DOI":"10.5822/978-1-61091-906-7","ISBN":"9781610919067","abstract":"For the first time in half a century, real transformative innovations are coming to our world of passenger transportation. The convergence of new shared mobility services with automated and electric vehicles promises to significantly reshape our lives and communities for the better—or for the worse. The dream scenario could bring huge public and private benefits, including more transportation choices, greater affordability and accessibility, and healthier, more livable cities, along with reduced greenhouse gas emissions. The nightmare scenario could bring more urban sprawl, energy use, greenhouse gas emissions, and unhealthy cities and individuals. In Three Revolutions, transportation expert Dan Sperling, along with seven other leaders in the field, share research–based insights on potential public benefits and impacts of the three transportation revolutions. They describe innovative ideas and partnerships, and explore the role government policy can play in steering the new transportation paradigm toward the public interest—toward our dream scenario of social equity, environmental sustainability, and urban livability. Many factors will influence these revolutions—including the willingness of travelers to share rides and eschew car ownership; continuing reductions in battery, fuel cell, and automation costs; and the adaptiveness of companies. But one of the most important factors is policy. Three Revolutions offers policy recommendations and provides insight and knowledge that could lead to wiser choices by all. With this book, Sperling and his collaborators hope to steer these revolutions toward the public interest and a better quality of life for everyone.","author":[{"dropping-particle":"","family":"Sperling","given":"Daniel","non-dropping-particle":"","parse-names":false,"suffix":""}],"container-title":"Three Revolutions: Steering Automated, Shared, and Electric Vehicles to a Better Future","id":"ITEM-1","issued":{"date-parts":[["2018"]]},"title":"Three revolutions: Steering automated, shared, and electric vehicles to a better future","type":"book"},"uris":["http://www.mendeley.com/documents/?uuid=acd3e7ad-bf38-4e95-96fd-76be003ad2e1"]}],"mendeley":{"formattedCitation":"(Sperling, 2018)","plainTextFormattedCitation":"(Sperling, 2018)","previouslyFormattedCitation":"(Sperling, 2018)"},"properties":{"noteIndex":0},"schema":"https://github.com/citation-style-language/schema/raw/master/csl-citation.json"}</w:instrText>
      </w:r>
      <w:r w:rsidR="000870E5" w:rsidRPr="00575A3E">
        <w:rPr>
          <w:szCs w:val="22"/>
          <w:lang w:val="en-GB"/>
        </w:rPr>
        <w:fldChar w:fldCharType="separate"/>
      </w:r>
      <w:r w:rsidR="00C41D0C" w:rsidRPr="00575A3E">
        <w:rPr>
          <w:noProof/>
          <w:szCs w:val="22"/>
          <w:lang w:val="en-GB"/>
        </w:rPr>
        <w:t>(Sperling, 2018)</w:t>
      </w:r>
      <w:r w:rsidR="000870E5" w:rsidRPr="00575A3E">
        <w:rPr>
          <w:szCs w:val="22"/>
          <w:lang w:val="en-GB"/>
        </w:rPr>
        <w:fldChar w:fldCharType="end"/>
      </w:r>
      <w:bookmarkStart w:id="1" w:name="_Hlk67924524"/>
      <w:r w:rsidR="000870E5" w:rsidRPr="00575A3E">
        <w:rPr>
          <w:szCs w:val="22"/>
          <w:lang w:val="en-GB"/>
        </w:rPr>
        <w:t>. This paper focus</w:t>
      </w:r>
      <w:r w:rsidR="00E12BAC" w:rsidRPr="00575A3E">
        <w:rPr>
          <w:szCs w:val="22"/>
          <w:lang w:val="en-GB"/>
        </w:rPr>
        <w:t>es</w:t>
      </w:r>
      <w:r w:rsidR="000870E5" w:rsidRPr="00575A3E">
        <w:rPr>
          <w:szCs w:val="22"/>
          <w:lang w:val="en-GB"/>
        </w:rPr>
        <w:t xml:space="preserve"> on private vehicle ownership of new </w:t>
      </w:r>
      <w:r w:rsidR="0037704E" w:rsidRPr="00575A3E">
        <w:rPr>
          <w:szCs w:val="22"/>
          <w:lang w:val="en-GB"/>
        </w:rPr>
        <w:t>technologies;</w:t>
      </w:r>
      <w:r w:rsidR="000870E5" w:rsidRPr="00575A3E">
        <w:rPr>
          <w:szCs w:val="22"/>
          <w:lang w:val="en-GB"/>
        </w:rPr>
        <w:t xml:space="preserve"> </w:t>
      </w:r>
      <w:r w:rsidR="0037704E" w:rsidRPr="00575A3E">
        <w:rPr>
          <w:szCs w:val="22"/>
          <w:lang w:val="en-GB"/>
        </w:rPr>
        <w:t>thus,</w:t>
      </w:r>
      <w:r w:rsidR="000870E5" w:rsidRPr="00575A3E">
        <w:rPr>
          <w:szCs w:val="22"/>
          <w:lang w:val="en-GB"/>
        </w:rPr>
        <w:t xml:space="preserve"> the background examination </w:t>
      </w:r>
      <w:r w:rsidR="0037704E" w:rsidRPr="00575A3E">
        <w:rPr>
          <w:szCs w:val="22"/>
          <w:lang w:val="en-GB"/>
        </w:rPr>
        <w:t>explores</w:t>
      </w:r>
      <w:r w:rsidR="000870E5" w:rsidRPr="00575A3E">
        <w:rPr>
          <w:szCs w:val="22"/>
          <w:lang w:val="en-GB"/>
        </w:rPr>
        <w:t xml:space="preserve"> CAVs and EVs. </w:t>
      </w:r>
      <w:r w:rsidR="003C0558" w:rsidRPr="00575A3E">
        <w:rPr>
          <w:szCs w:val="22"/>
          <w:lang w:val="en-GB"/>
        </w:rPr>
        <w:t xml:space="preserve">A definition for these two technologies is provided </w:t>
      </w:r>
      <w:r w:rsidR="00E12BAC" w:rsidRPr="00575A3E">
        <w:rPr>
          <w:szCs w:val="22"/>
          <w:lang w:val="en-GB"/>
        </w:rPr>
        <w:t>next</w:t>
      </w:r>
      <w:r w:rsidR="003C0558" w:rsidRPr="00575A3E">
        <w:rPr>
          <w:szCs w:val="22"/>
          <w:lang w:val="en-GB"/>
        </w:rPr>
        <w:t>.</w:t>
      </w:r>
    </w:p>
    <w:p w14:paraId="2569834A" w14:textId="77777777" w:rsidR="00E12BAC" w:rsidRPr="00575A3E" w:rsidRDefault="00E12BAC" w:rsidP="00A55356">
      <w:pPr>
        <w:spacing w:line="360" w:lineRule="auto"/>
        <w:rPr>
          <w:szCs w:val="22"/>
          <w:lang w:val="en-GB"/>
        </w:rPr>
      </w:pPr>
    </w:p>
    <w:p w14:paraId="58972169" w14:textId="4B72C764" w:rsidR="00076A62" w:rsidRPr="00575A3E" w:rsidRDefault="00555CBB" w:rsidP="00A55356">
      <w:pPr>
        <w:pStyle w:val="ListParagraph"/>
        <w:numPr>
          <w:ilvl w:val="0"/>
          <w:numId w:val="30"/>
        </w:numPr>
        <w:spacing w:after="0" w:line="360" w:lineRule="auto"/>
        <w:jc w:val="both"/>
        <w:rPr>
          <w:i/>
          <w:sz w:val="22"/>
          <w:szCs w:val="20"/>
          <w:lang w:val="en-GB"/>
        </w:rPr>
      </w:pPr>
      <w:r w:rsidRPr="00575A3E">
        <w:rPr>
          <w:i/>
          <w:sz w:val="22"/>
          <w:szCs w:val="20"/>
          <w:lang w:val="en-GB"/>
        </w:rPr>
        <w:t xml:space="preserve">Connected and </w:t>
      </w:r>
      <w:r w:rsidR="00076A62" w:rsidRPr="00575A3E">
        <w:rPr>
          <w:i/>
          <w:sz w:val="22"/>
          <w:szCs w:val="20"/>
          <w:lang w:val="en-GB"/>
        </w:rPr>
        <w:t>Autonomous Vehicles</w:t>
      </w:r>
      <w:r w:rsidR="00E12BAC" w:rsidRPr="00575A3E">
        <w:rPr>
          <w:i/>
          <w:sz w:val="22"/>
          <w:szCs w:val="20"/>
          <w:lang w:val="en-GB"/>
        </w:rPr>
        <w:t>:</w:t>
      </w:r>
      <w:r w:rsidR="00076A62" w:rsidRPr="00575A3E">
        <w:rPr>
          <w:i/>
          <w:sz w:val="22"/>
          <w:szCs w:val="20"/>
          <w:lang w:val="en-GB"/>
        </w:rPr>
        <w:t xml:space="preserve"> </w:t>
      </w:r>
    </w:p>
    <w:bookmarkEnd w:id="1"/>
    <w:p w14:paraId="1A5EB3D1" w14:textId="2B4B6B8E" w:rsidR="00BA4DE7" w:rsidRPr="00575A3E" w:rsidRDefault="007E7974" w:rsidP="002654EA">
      <w:pPr>
        <w:spacing w:line="360" w:lineRule="auto"/>
        <w:rPr>
          <w:szCs w:val="22"/>
          <w:lang w:val="en-GB" w:eastAsia="en-GB"/>
        </w:rPr>
      </w:pPr>
      <w:r w:rsidRPr="00575A3E">
        <w:rPr>
          <w:szCs w:val="22"/>
        </w:rPr>
        <w:t xml:space="preserve">Vehicles that </w:t>
      </w:r>
      <w:r w:rsidR="00A31EB5" w:rsidRPr="00575A3E">
        <w:rPr>
          <w:szCs w:val="22"/>
        </w:rPr>
        <w:t>are</w:t>
      </w:r>
      <w:r w:rsidR="00076A62" w:rsidRPr="00575A3E">
        <w:rPr>
          <w:szCs w:val="22"/>
        </w:rPr>
        <w:t xml:space="preserve"> driven without human control</w:t>
      </w:r>
      <w:r w:rsidRPr="00575A3E">
        <w:rPr>
          <w:szCs w:val="22"/>
        </w:rPr>
        <w:t xml:space="preserve"> are called autonomous vehicles. The</w:t>
      </w:r>
      <w:r w:rsidR="00596BD5" w:rsidRPr="00575A3E">
        <w:rPr>
          <w:szCs w:val="22"/>
        </w:rPr>
        <w:t>y</w:t>
      </w:r>
      <w:r w:rsidRPr="00575A3E">
        <w:rPr>
          <w:szCs w:val="22"/>
        </w:rPr>
        <w:t xml:space="preserve"> have the</w:t>
      </w:r>
      <w:r w:rsidR="00076A62" w:rsidRPr="00575A3E">
        <w:rPr>
          <w:szCs w:val="22"/>
        </w:rPr>
        <w:t xml:space="preserve"> ability to drive </w:t>
      </w:r>
      <w:r w:rsidRPr="00575A3E">
        <w:rPr>
          <w:szCs w:val="22"/>
        </w:rPr>
        <w:t xml:space="preserve">with </w:t>
      </w:r>
      <w:r w:rsidR="00E15510" w:rsidRPr="00575A3E">
        <w:rPr>
          <w:szCs w:val="22"/>
        </w:rPr>
        <w:t xml:space="preserve">shorter </w:t>
      </w:r>
      <w:r w:rsidRPr="00575A3E">
        <w:rPr>
          <w:szCs w:val="22"/>
        </w:rPr>
        <w:t>headways</w:t>
      </w:r>
      <w:r w:rsidR="00076A62" w:rsidRPr="00575A3E">
        <w:rPr>
          <w:szCs w:val="22"/>
        </w:rPr>
        <w:t xml:space="preserve"> and </w:t>
      </w:r>
      <w:r w:rsidR="00E15510" w:rsidRPr="00575A3E">
        <w:rPr>
          <w:szCs w:val="22"/>
        </w:rPr>
        <w:t xml:space="preserve">have therefore the potential to </w:t>
      </w:r>
      <w:r w:rsidR="00076A62" w:rsidRPr="00575A3E">
        <w:rPr>
          <w:szCs w:val="22"/>
        </w:rPr>
        <w:t>increas</w:t>
      </w:r>
      <w:r w:rsidRPr="00575A3E">
        <w:rPr>
          <w:szCs w:val="22"/>
        </w:rPr>
        <w:t>e</w:t>
      </w:r>
      <w:r w:rsidR="00076A62" w:rsidRPr="00575A3E">
        <w:rPr>
          <w:szCs w:val="22"/>
        </w:rPr>
        <w:t xml:space="preserve"> road capacity </w:t>
      </w:r>
      <w:r w:rsidR="00076A62" w:rsidRPr="00575A3E">
        <w:rPr>
          <w:rFonts w:eastAsia="Times New Roman"/>
          <w:kern w:val="0"/>
          <w:sz w:val="24"/>
          <w:szCs w:val="22"/>
          <w:lang w:val="en-GB" w:eastAsia="en-GB"/>
        </w:rPr>
        <w:fldChar w:fldCharType="begin" w:fldLock="1"/>
      </w:r>
      <w:r w:rsidR="0002665A" w:rsidRPr="00575A3E">
        <w:rPr>
          <w:szCs w:val="22"/>
        </w:rPr>
        <w:instrText>ADDIN CSL_CITATION {"citationItems":[{"id":"ITEM-1","itemData":{"DOI":"10.1016/j.trb.2016.08.018","ISSN":"01912615","abstract":"‘Autonomous cars’ are cars that can drive themselves without human control. Autonomous cars can safely drive closer together than cars driven by humans, thereby possibly increasing road capacity. By allowing drivers to perform other activities in the vehicle, they may reduce the value of travel time losses (VOT). We investigate the effects of autonomous cars using a dynamic equilibrium model of congestion that captures three main elements: the resulting increase in capacity, the decrease in the VOT for those who acquire one and the implications of the resulting changes in the heterogeneity of VOTs. We do so for three market organizations: private monopoly, perfect competition and public supply. Even though an increased share of autonomous cars raises average capacity, it may hurt existing autonomous car users as those who switch to an autonomous car will impose increased congestion externalities due to their altered departure time behaviour. Depending on which effect dominates, switching to an autonomous vehicle may impose a net negative or positive externality. Often public supply leads to 100% autonomous cars, but it may be optimal to have a mix of car types, especially when there is a net negative externality. With a positive (negative) externality, perfect competition leads to an undersupply (oversupply) of autonomous cars, and a public supplier needs to subsidise (tax) autonomous cars to maximise welfare. A monopolist supplier ignores the capacity effect and adds a mark-up to its price.","author":[{"dropping-particle":"","family":"Berg","given":"Vincent A.C.","non-dropping-particle":"van den","parse-names":false,"suffix":""},{"dropping-particle":"","family":"Verhoef","given":"Erik T.","non-dropping-particle":"","parse-names":false,"suffix":""}],"container-title":"Transportation Research Part B: Methodological","id":"ITEM-1","issued":{"date-parts":[["2016"]]},"page":"43-60","title":"Autonomous cars and dynamic bottleneck congestion: The effects on capacity, value of time and preference heterogeneity","type":"article-journal","volume":"94"},"uris":["http://www.mendeley.com/documents/?uuid=40bdf898-7cc8-481a-945d-5f7b00acdcd6"]}],"mendeley":{"formattedCitation":"(van den Berg and Verhoef, 2016)","plainTextFormattedCitation":"(van den Berg and Verhoef, 2016)","previouslyFormattedCitation":"(van den Berg and Verhoef, 2016)"},"properties":{"noteIndex":0},"schema":"https://github.com/citation-style-language/schema/raw/master/csl-citation.json"}</w:instrText>
      </w:r>
      <w:r w:rsidR="00076A62" w:rsidRPr="00575A3E">
        <w:rPr>
          <w:rFonts w:eastAsia="Times New Roman"/>
          <w:kern w:val="0"/>
          <w:sz w:val="24"/>
          <w:szCs w:val="22"/>
          <w:lang w:val="en-GB" w:eastAsia="en-GB"/>
        </w:rPr>
        <w:fldChar w:fldCharType="separate"/>
      </w:r>
      <w:r w:rsidR="00BF7603" w:rsidRPr="00575A3E">
        <w:rPr>
          <w:noProof/>
          <w:szCs w:val="22"/>
        </w:rPr>
        <w:t>(van den Berg and Verhoef, 2016)</w:t>
      </w:r>
      <w:r w:rsidR="00076A62" w:rsidRPr="00575A3E">
        <w:rPr>
          <w:rFonts w:eastAsia="Times New Roman"/>
          <w:kern w:val="0"/>
          <w:sz w:val="24"/>
          <w:szCs w:val="22"/>
          <w:lang w:val="en-GB" w:eastAsia="en-GB"/>
        </w:rPr>
        <w:fldChar w:fldCharType="end"/>
      </w:r>
      <w:r w:rsidR="00076A62" w:rsidRPr="00575A3E">
        <w:rPr>
          <w:szCs w:val="22"/>
        </w:rPr>
        <w:t xml:space="preserve">. </w:t>
      </w:r>
      <w:r w:rsidRPr="00575A3E">
        <w:rPr>
          <w:szCs w:val="22"/>
        </w:rPr>
        <w:t>There are different levels of a</w:t>
      </w:r>
      <w:r w:rsidR="00076A62" w:rsidRPr="00575A3E">
        <w:rPr>
          <w:szCs w:val="22"/>
        </w:rPr>
        <w:t>utomation in vehicles</w:t>
      </w:r>
      <w:r w:rsidR="00E15510" w:rsidRPr="00575A3E">
        <w:rPr>
          <w:szCs w:val="22"/>
        </w:rPr>
        <w:t>,</w:t>
      </w:r>
      <w:r w:rsidR="00076A62" w:rsidRPr="00575A3E">
        <w:rPr>
          <w:szCs w:val="22"/>
        </w:rPr>
        <w:t xml:space="preserve"> </w:t>
      </w:r>
      <w:r w:rsidR="00E12BAC" w:rsidRPr="00575A3E">
        <w:rPr>
          <w:szCs w:val="22"/>
        </w:rPr>
        <w:t xml:space="preserve">ranging </w:t>
      </w:r>
      <w:r w:rsidRPr="00575A3E">
        <w:rPr>
          <w:szCs w:val="22"/>
        </w:rPr>
        <w:t>from</w:t>
      </w:r>
      <w:r w:rsidR="00076A62" w:rsidRPr="00575A3E">
        <w:rPr>
          <w:szCs w:val="22"/>
        </w:rPr>
        <w:t xml:space="preserve"> </w:t>
      </w:r>
      <w:r w:rsidR="00E15510" w:rsidRPr="00575A3E">
        <w:rPr>
          <w:szCs w:val="22"/>
        </w:rPr>
        <w:t>L</w:t>
      </w:r>
      <w:r w:rsidR="00076A62" w:rsidRPr="00575A3E">
        <w:rPr>
          <w:szCs w:val="22"/>
        </w:rPr>
        <w:t xml:space="preserve">evel 0, </w:t>
      </w:r>
      <w:r w:rsidRPr="00575A3E">
        <w:rPr>
          <w:szCs w:val="22"/>
        </w:rPr>
        <w:t>which indicates no</w:t>
      </w:r>
      <w:r w:rsidR="00076A62" w:rsidRPr="00575A3E">
        <w:rPr>
          <w:szCs w:val="22"/>
        </w:rPr>
        <w:t xml:space="preserve"> autonomy</w:t>
      </w:r>
      <w:r w:rsidR="00E12BAC" w:rsidRPr="00575A3E">
        <w:rPr>
          <w:szCs w:val="22"/>
        </w:rPr>
        <w:t xml:space="preserve">, to </w:t>
      </w:r>
      <w:r w:rsidR="00E15510" w:rsidRPr="00575A3E">
        <w:rPr>
          <w:szCs w:val="22"/>
        </w:rPr>
        <w:t>L</w:t>
      </w:r>
      <w:r w:rsidR="00076A62" w:rsidRPr="00575A3E">
        <w:rPr>
          <w:szCs w:val="22"/>
        </w:rPr>
        <w:t>evel 5</w:t>
      </w:r>
      <w:r w:rsidR="00E12BAC" w:rsidRPr="00575A3E">
        <w:rPr>
          <w:szCs w:val="22"/>
        </w:rPr>
        <w:t>, which</w:t>
      </w:r>
      <w:r w:rsidR="00076A62" w:rsidRPr="00575A3E">
        <w:rPr>
          <w:szCs w:val="22"/>
        </w:rPr>
        <w:t xml:space="preserve"> represent</w:t>
      </w:r>
      <w:r w:rsidR="00E12BAC" w:rsidRPr="00575A3E">
        <w:rPr>
          <w:szCs w:val="22"/>
        </w:rPr>
        <w:t>s</w:t>
      </w:r>
      <w:r w:rsidR="00076A62" w:rsidRPr="00575A3E">
        <w:rPr>
          <w:szCs w:val="22"/>
        </w:rPr>
        <w:t xml:space="preserve"> full automation</w:t>
      </w:r>
      <w:r w:rsidR="00596BD5" w:rsidRPr="00575A3E">
        <w:rPr>
          <w:i/>
          <w:szCs w:val="22"/>
        </w:rPr>
        <w:t xml:space="preserve"> </w:t>
      </w:r>
      <w:r w:rsidR="00596BD5" w:rsidRPr="00575A3E">
        <w:rPr>
          <w:rFonts w:eastAsia="Times New Roman"/>
          <w:i/>
          <w:kern w:val="0"/>
          <w:sz w:val="24"/>
          <w:szCs w:val="22"/>
          <w:lang w:val="en-GB" w:eastAsia="en-GB"/>
        </w:rPr>
        <w:fldChar w:fldCharType="begin" w:fldLock="1"/>
      </w:r>
      <w:r w:rsidR="00893050" w:rsidRPr="00575A3E">
        <w:rPr>
          <w:i/>
          <w:szCs w:val="22"/>
        </w:rPr>
        <w:instrText>ADDIN CSL_CITATION {"citationItems":[{"id":"ITEM-1","itemData":{"DOI":"10.5822/978-1-61091-906-7","ISBN":"9781610919067","abstract":"For the first time in half a century, real transformative innovations are coming to our world of passenger transportation. The convergence of new shared mobility services with automated and electric vehicles promises to significantly reshape our lives and communities for the better—or for the worse. The dream scenario could bring huge public and private benefits, including more transportation choices, greater affordability and accessibility, and healthier, more livable cities, along with reduced greenhouse gas emissions. The nightmare scenario could bring more urban sprawl, energy use, greenhouse gas emissions, and unhealthy cities and individuals. In Three Revolutions, transportation expert Dan Sperling, along with seven other leaders in the field, share research–based insights on potential public benefits and impacts of the three transportation revolutions. They describe innovative ideas and partnerships, and explore the role government policy can play in steering the new transportation paradigm toward the public interest—toward our dream scenario of social equity, environmental sustainability, and urban livability. Many factors will influence these revolutions—including the willingness of travelers to share rides and eschew car ownership; continuing reductions in battery, fuel cell, and automation costs; and the adaptiveness of companies. But one of the most important factors is policy. Three Revolutions offers policy recommendations and provides insight and knowledge that could lead to wiser choices by all. With this book, Sperling and his collaborators hope to steer these revolutions toward the public interest and a better quality of life for everyone.","author":[{"dropping-particle":"","family":"Sperling","given":"Daniel","non-dropping-particle":"","parse-names":false,"suffix":""}],"container-title":"Three Revolutions: Steering Automated, Shared, and Electric Vehicles to a Better Future","id":"ITEM-1","issued":{"date-parts":[["2018"]]},"title":"Three revolutions: Steering automated, shared, and electric vehicles to a better future","type":"book"},"uris":["http://www.mendeley.com/documents/?uuid=acd3e7ad-bf38-4e95-96fd-76be003ad2e1"]}],"mendeley":{"formattedCitation":"(Sperling, 2018)","plainTextFormattedCitation":"(Sperling, 2018)","previouslyFormattedCitation":"(Sperling, 2018)"},"properties":{"noteIndex":0},"schema":"https://github.com/citation-style-language/schema/raw/master/csl-citation.json"}</w:instrText>
      </w:r>
      <w:r w:rsidR="00596BD5" w:rsidRPr="00575A3E">
        <w:rPr>
          <w:rFonts w:eastAsia="Times New Roman"/>
          <w:i/>
          <w:kern w:val="0"/>
          <w:sz w:val="24"/>
          <w:szCs w:val="22"/>
          <w:lang w:val="en-GB" w:eastAsia="en-GB"/>
        </w:rPr>
        <w:fldChar w:fldCharType="separate"/>
      </w:r>
      <w:r w:rsidR="00C41D0C" w:rsidRPr="00575A3E">
        <w:rPr>
          <w:noProof/>
          <w:szCs w:val="22"/>
        </w:rPr>
        <w:t>(Sperling, 2018)</w:t>
      </w:r>
      <w:r w:rsidR="00596BD5" w:rsidRPr="00575A3E">
        <w:rPr>
          <w:rFonts w:eastAsia="Times New Roman"/>
          <w:i/>
          <w:kern w:val="0"/>
          <w:sz w:val="24"/>
          <w:szCs w:val="22"/>
          <w:lang w:val="en-GB" w:eastAsia="en-GB"/>
        </w:rPr>
        <w:fldChar w:fldCharType="end"/>
      </w:r>
      <w:r w:rsidR="00076A62" w:rsidRPr="00575A3E">
        <w:rPr>
          <w:szCs w:val="22"/>
        </w:rPr>
        <w:t xml:space="preserve">. </w:t>
      </w:r>
      <w:r w:rsidR="00BA4DE7" w:rsidRPr="00575A3E">
        <w:rPr>
          <w:szCs w:val="22"/>
        </w:rPr>
        <w:t xml:space="preserve">The development of ICT has furthermore introduced communication abilities to vehicles. Connected vehicles, hence, </w:t>
      </w:r>
      <w:r w:rsidR="00596BD5" w:rsidRPr="00575A3E">
        <w:rPr>
          <w:szCs w:val="22"/>
        </w:rPr>
        <w:t>are able</w:t>
      </w:r>
      <w:r w:rsidR="00BA4DE7" w:rsidRPr="00575A3E">
        <w:rPr>
          <w:szCs w:val="22"/>
        </w:rPr>
        <w:t xml:space="preserve"> to utilise wireless communication and support many types of interactions, such as vehicle-to-sensor, vehicle-to-vehicle, vehicle–to-infrastructure, vehicle–to-Internet and vehicle-to-everything </w:t>
      </w:r>
      <w:r w:rsidR="00BA4DE7" w:rsidRPr="00575A3E">
        <w:rPr>
          <w:rFonts w:eastAsia="Times New Roman"/>
          <w:kern w:val="0"/>
          <w:sz w:val="24"/>
          <w:szCs w:val="22"/>
          <w:lang w:val="en-GB" w:eastAsia="en-GB"/>
        </w:rPr>
        <w:fldChar w:fldCharType="begin" w:fldLock="1"/>
      </w:r>
      <w:r w:rsidR="0002665A" w:rsidRPr="00575A3E">
        <w:rPr>
          <w:szCs w:val="22"/>
        </w:rPr>
        <w:instrText>ADDIN CSL_CITATION {"citationItems":[{"id":"ITEM-1","itemData":{"DOI":"10.1109/JIOT.2014.2327587","ISSN":"23274662","abstract":"Providing various wireless connectivities for vehicles enables the communication between vehicles and their internal and external environments. Such a connected vehicle solution is expected to be the next frontier for automotive revolution and the key to the evolution to next generation intelligent transportation systems (ITSs). Moreover, connected vehicles are also the building blocks of emerging Internet of Vehicles (IoV). Extensive research activities and numerous industrial initiatives have paved the way for the coming era of connected vehicles. In this paper, we focus on wireless technologies and potential challenges to provide vehicle-to-x connectivity. In particular, we discuss the challenges and review the state-of-the-art wireless solutions for vehicle-to-sensor, vehicle-to-vehicle, vehicle-to-Internet, and vehicle-to-road infrastructure connectivities. We also identify future research issues for building connected vehicles.","author":[{"dropping-particle":"","family":"Lu","given":"Ning","non-dropping-particle":"","parse-names":false,"suffix":""},{"dropping-particle":"","family":"Cheng","given":"Nan","non-dropping-particle":"","parse-names":false,"suffix":""},{"dropping-particle":"","family":"Zhang","given":"Ning","non-dropping-particle":"","parse-names":false,"suffix":""},{"dropping-particle":"","family":"Shen","given":"Xuemin","non-dropping-particle":"","parse-names":false,"suffix":""},{"dropping-particle":"","family":"Mark","given":"Jon W.","non-dropping-particle":"","parse-names":false,"suffix":""}],"container-title":"IEEE Internet of Things Journal","id":"ITEM-1","issue":"4","issued":{"date-parts":[["2014"]]},"page":"289-299","title":"Connected vehicles: Solutions and challenges","type":"article","volume":"1"},"uris":["http://www.mendeley.com/documents/?uuid=791447e7-ea92-438f-91ea-740ca1dbb6ed"]}],"mendeley":{"formattedCitation":"(Lu et al., 2014)","plainTextFormattedCitation":"(Lu et al., 2014)","previouslyFormattedCitation":"(Lu et al., 2014)"},"properties":{"noteIndex":0},"schema":"https://github.com/citation-style-language/schema/raw/master/csl-citation.json"}</w:instrText>
      </w:r>
      <w:r w:rsidR="00BA4DE7" w:rsidRPr="00575A3E">
        <w:rPr>
          <w:rFonts w:eastAsia="Times New Roman"/>
          <w:kern w:val="0"/>
          <w:sz w:val="24"/>
          <w:szCs w:val="22"/>
          <w:lang w:val="en-GB" w:eastAsia="en-GB"/>
        </w:rPr>
        <w:fldChar w:fldCharType="separate"/>
      </w:r>
      <w:r w:rsidR="00BF7603" w:rsidRPr="00575A3E">
        <w:rPr>
          <w:noProof/>
          <w:szCs w:val="22"/>
        </w:rPr>
        <w:t>(Lu et al., 2014)</w:t>
      </w:r>
      <w:r w:rsidR="00BA4DE7" w:rsidRPr="00575A3E">
        <w:rPr>
          <w:rFonts w:eastAsia="Times New Roman"/>
          <w:kern w:val="0"/>
          <w:sz w:val="24"/>
          <w:szCs w:val="22"/>
          <w:lang w:val="en-GB" w:eastAsia="en-GB"/>
        </w:rPr>
        <w:fldChar w:fldCharType="end"/>
      </w:r>
      <w:r w:rsidR="00BA4DE7" w:rsidRPr="00575A3E">
        <w:rPr>
          <w:szCs w:val="22"/>
        </w:rPr>
        <w:t>.</w:t>
      </w:r>
      <w:r w:rsidR="00E12BAC" w:rsidRPr="00575A3E">
        <w:rPr>
          <w:szCs w:val="22"/>
        </w:rPr>
        <w:t xml:space="preserve"> </w:t>
      </w:r>
      <w:r w:rsidR="00BA4DE7" w:rsidRPr="00575A3E">
        <w:rPr>
          <w:szCs w:val="22"/>
          <w:lang w:val="en-GB" w:eastAsia="en-GB"/>
        </w:rPr>
        <w:t>The two technologies are not mutually exclusive, meaning that a vehicle can be automated, connected or both. The combination of the two technological streams in vehicle technologies lead to CAVs, which</w:t>
      </w:r>
      <w:r w:rsidR="00596BD5" w:rsidRPr="00575A3E">
        <w:rPr>
          <w:szCs w:val="22"/>
          <w:lang w:val="en-GB" w:eastAsia="en-GB"/>
        </w:rPr>
        <w:t xml:space="preserve"> </w:t>
      </w:r>
      <w:r w:rsidR="00BA4DE7" w:rsidRPr="00575A3E">
        <w:rPr>
          <w:szCs w:val="22"/>
          <w:lang w:val="en-GB" w:eastAsia="en-GB"/>
        </w:rPr>
        <w:t>have the ability to transmit and receive data</w:t>
      </w:r>
      <w:r w:rsidR="00596BD5" w:rsidRPr="00575A3E">
        <w:rPr>
          <w:szCs w:val="22"/>
          <w:lang w:val="en-GB" w:eastAsia="en-GB"/>
        </w:rPr>
        <w:t xml:space="preserve"> and </w:t>
      </w:r>
      <w:r w:rsidR="00BA4DE7" w:rsidRPr="00575A3E">
        <w:rPr>
          <w:szCs w:val="22"/>
          <w:lang w:val="en-GB" w:eastAsia="en-GB"/>
        </w:rPr>
        <w:t>to self-drive, partially o</w:t>
      </w:r>
      <w:r w:rsidR="00596BD5" w:rsidRPr="00575A3E">
        <w:rPr>
          <w:szCs w:val="22"/>
          <w:lang w:val="en-GB" w:eastAsia="en-GB"/>
        </w:rPr>
        <w:t xml:space="preserve">r </w:t>
      </w:r>
      <w:r w:rsidR="00BA4DE7" w:rsidRPr="00575A3E">
        <w:rPr>
          <w:szCs w:val="22"/>
          <w:lang w:val="en-GB" w:eastAsia="en-GB"/>
        </w:rPr>
        <w:t xml:space="preserve">completely </w:t>
      </w:r>
      <w:r w:rsidR="00BA4DE7" w:rsidRPr="00575A3E">
        <w:rPr>
          <w:szCs w:val="22"/>
          <w:lang w:val="en-GB" w:eastAsia="en-GB"/>
        </w:rPr>
        <w:fldChar w:fldCharType="begin" w:fldLock="1"/>
      </w:r>
      <w:r w:rsidR="0002665A" w:rsidRPr="00575A3E">
        <w:rPr>
          <w:szCs w:val="22"/>
          <w:lang w:val="en-GB" w:eastAsia="en-GB"/>
        </w:rPr>
        <w:instrText>ADDIN CSL_CITATION {"citationItems":[{"id":"ITEM-1","itemData":{"DOI":"10.1016/j.proeng.2017.04.425","ISSN":"18777058","abstract":"The emergence of Intelligent Transportation Systems (ITS) has paved the way to new innovative prospects for improving the safety, operation, and environmental impact of transportation networks. Connected vehicle (CV), a ground-breaking initiative of \"intelligent vehicles\", emerging as the next wave of technology to further empower travellers. Among other benefits, this technology will help provide for increased capacity of existing transportation networks in addition to increased roadside safety for motorists through the development of an overall Intelligent Transportation System. However, before we can even consider how to integrate the technology of CV into our transport system, professionals must understand and realize its environment and how future cities to be created. This paper outlines the various aspects of the CV concept and how it will affect the transport system and urban environments over the next decade with the aim of providing transport directors and practitioners with an insight into this innovative technology. Two main types of short-range wireless communication are discussed namely Vehicle-to-Vehicle (V2 V), and Vehicle-to-Infrastructure (V2I) communication. An overview of the evolution of the CV and its operational aspects are presented together with its application. The impacts and potential operational benefits of the CV are discussed. The best practices of CV initiatives are reviewed, the broader public perception of CV applications are investigated, and the various challenges to the CV technology are identified.","author":[{"dropping-particle":"","family":"Jadaan","given":"Khair","non-dropping-particle":"","parse-names":false,"suffix":""},{"dropping-particle":"","family":"Zeater","given":"Sana","non-dropping-particle":"","parse-names":false,"suffix":""},{"dropping-particle":"","family":"Abukhalil","given":"Yazan","non-dropping-particle":"","parse-names":false,"suffix":""}],"container-title":"Procedia Engineering","id":"ITEM-1","issued":{"date-parts":[["2017"]]},"title":"Connected Vehicles: An Innovative Transport Technology","type":"paper-conference"},"uris":["http://www.mendeley.com/documents/?uuid=a3f588c0-4a12-4ff3-80d3-eb9b5b9e452e"]}],"mendeley":{"formattedCitation":"(Jadaan et al., 2017)","plainTextFormattedCitation":"(Jadaan et al., 2017)","previouslyFormattedCitation":"(Jadaan et al., 2017)"},"properties":{"noteIndex":0},"schema":"https://github.com/citation-style-language/schema/raw/master/csl-citation.json"}</w:instrText>
      </w:r>
      <w:r w:rsidR="00BA4DE7" w:rsidRPr="00575A3E">
        <w:rPr>
          <w:szCs w:val="22"/>
          <w:lang w:val="en-GB" w:eastAsia="en-GB"/>
        </w:rPr>
        <w:fldChar w:fldCharType="separate"/>
      </w:r>
      <w:r w:rsidR="00BF7603" w:rsidRPr="00575A3E">
        <w:rPr>
          <w:noProof/>
          <w:szCs w:val="22"/>
          <w:lang w:val="en-GB" w:eastAsia="en-GB"/>
        </w:rPr>
        <w:t>(Jadaan et al., 2017)</w:t>
      </w:r>
      <w:r w:rsidR="00BA4DE7" w:rsidRPr="00575A3E">
        <w:rPr>
          <w:szCs w:val="22"/>
          <w:lang w:val="en-GB" w:eastAsia="en-GB"/>
        </w:rPr>
        <w:fldChar w:fldCharType="end"/>
      </w:r>
      <w:r w:rsidR="00BA4DE7" w:rsidRPr="00575A3E">
        <w:rPr>
          <w:szCs w:val="22"/>
          <w:lang w:val="en-GB" w:eastAsia="en-GB"/>
        </w:rPr>
        <w:t>.</w:t>
      </w:r>
    </w:p>
    <w:p w14:paraId="23B96FCB" w14:textId="77777777" w:rsidR="00E12BAC" w:rsidRPr="00575A3E" w:rsidRDefault="00E12BAC" w:rsidP="002654EA">
      <w:pPr>
        <w:spacing w:line="360" w:lineRule="auto"/>
        <w:rPr>
          <w:szCs w:val="22"/>
          <w:lang w:val="en-GB" w:eastAsia="en-GB"/>
        </w:rPr>
      </w:pPr>
    </w:p>
    <w:p w14:paraId="73F7E7D6" w14:textId="2DE53671" w:rsidR="00076A62" w:rsidRPr="00575A3E" w:rsidRDefault="00076A62" w:rsidP="00A55356">
      <w:pPr>
        <w:pStyle w:val="Bulletedlist"/>
        <w:numPr>
          <w:ilvl w:val="0"/>
          <w:numId w:val="30"/>
        </w:numPr>
        <w:spacing w:before="0" w:after="0" w:line="360" w:lineRule="auto"/>
        <w:jc w:val="both"/>
        <w:rPr>
          <w:i/>
          <w:sz w:val="22"/>
          <w:szCs w:val="22"/>
        </w:rPr>
      </w:pPr>
      <w:r w:rsidRPr="00575A3E">
        <w:rPr>
          <w:i/>
          <w:sz w:val="22"/>
          <w:szCs w:val="22"/>
        </w:rPr>
        <w:t xml:space="preserve">Electric </w:t>
      </w:r>
      <w:r w:rsidR="00E15510" w:rsidRPr="00575A3E">
        <w:rPr>
          <w:i/>
          <w:sz w:val="22"/>
          <w:szCs w:val="22"/>
        </w:rPr>
        <w:t>Vehicles</w:t>
      </w:r>
      <w:r w:rsidR="00E12BAC" w:rsidRPr="00575A3E">
        <w:rPr>
          <w:i/>
          <w:sz w:val="22"/>
          <w:szCs w:val="22"/>
        </w:rPr>
        <w:t>:</w:t>
      </w:r>
      <w:r w:rsidR="00E15510" w:rsidRPr="00575A3E">
        <w:rPr>
          <w:i/>
          <w:sz w:val="22"/>
          <w:szCs w:val="22"/>
        </w:rPr>
        <w:t xml:space="preserve"> </w:t>
      </w:r>
    </w:p>
    <w:p w14:paraId="0885E68B" w14:textId="3872A99D" w:rsidR="00076A62" w:rsidRPr="00575A3E" w:rsidRDefault="00E15510" w:rsidP="00A55356">
      <w:pPr>
        <w:pStyle w:val="Paragraph"/>
        <w:spacing w:before="0" w:line="360" w:lineRule="auto"/>
        <w:jc w:val="both"/>
        <w:rPr>
          <w:sz w:val="22"/>
          <w:szCs w:val="22"/>
        </w:rPr>
      </w:pPr>
      <w:r w:rsidRPr="00575A3E">
        <w:rPr>
          <w:sz w:val="22"/>
          <w:szCs w:val="22"/>
        </w:rPr>
        <w:t xml:space="preserve">Transport electrification is a </w:t>
      </w:r>
      <w:r w:rsidR="00E710FE" w:rsidRPr="00575A3E">
        <w:rPr>
          <w:sz w:val="22"/>
          <w:szCs w:val="22"/>
        </w:rPr>
        <w:t xml:space="preserve">rapidly evolving </w:t>
      </w:r>
      <w:r w:rsidRPr="00575A3E">
        <w:rPr>
          <w:sz w:val="22"/>
          <w:szCs w:val="22"/>
        </w:rPr>
        <w:t>field and</w:t>
      </w:r>
      <w:r w:rsidR="00076A62" w:rsidRPr="00575A3E">
        <w:rPr>
          <w:sz w:val="22"/>
          <w:szCs w:val="22"/>
        </w:rPr>
        <w:t xml:space="preserve"> </w:t>
      </w:r>
      <w:r w:rsidRPr="00575A3E">
        <w:rPr>
          <w:sz w:val="22"/>
          <w:szCs w:val="22"/>
        </w:rPr>
        <w:t xml:space="preserve">comprises </w:t>
      </w:r>
      <w:r w:rsidR="00076A62" w:rsidRPr="00575A3E">
        <w:rPr>
          <w:sz w:val="22"/>
          <w:szCs w:val="22"/>
        </w:rPr>
        <w:t xml:space="preserve">a </w:t>
      </w:r>
      <w:r w:rsidR="00E710FE" w:rsidRPr="00575A3E">
        <w:rPr>
          <w:sz w:val="22"/>
          <w:szCs w:val="22"/>
        </w:rPr>
        <w:t>variety</w:t>
      </w:r>
      <w:r w:rsidR="00076A62" w:rsidRPr="00575A3E">
        <w:rPr>
          <w:sz w:val="22"/>
          <w:szCs w:val="22"/>
        </w:rPr>
        <w:t xml:space="preserve"> of </w:t>
      </w:r>
      <w:r w:rsidRPr="00575A3E">
        <w:rPr>
          <w:sz w:val="22"/>
          <w:szCs w:val="22"/>
        </w:rPr>
        <w:t>applications</w:t>
      </w:r>
      <w:r w:rsidR="00076A62" w:rsidRPr="00575A3E">
        <w:rPr>
          <w:sz w:val="22"/>
          <w:szCs w:val="22"/>
        </w:rPr>
        <w:t xml:space="preserve">, </w:t>
      </w:r>
      <w:r w:rsidRPr="00575A3E">
        <w:rPr>
          <w:sz w:val="22"/>
          <w:szCs w:val="22"/>
        </w:rPr>
        <w:t>including EVs</w:t>
      </w:r>
      <w:r w:rsidR="00076A62" w:rsidRPr="00575A3E">
        <w:rPr>
          <w:sz w:val="22"/>
          <w:szCs w:val="22"/>
        </w:rPr>
        <w:t>,</w:t>
      </w:r>
      <w:r w:rsidR="00E710FE" w:rsidRPr="00575A3E">
        <w:rPr>
          <w:sz w:val="22"/>
          <w:szCs w:val="22"/>
        </w:rPr>
        <w:t xml:space="preserve"> but also</w:t>
      </w:r>
      <w:r w:rsidR="00076A62" w:rsidRPr="00575A3E">
        <w:rPr>
          <w:sz w:val="22"/>
          <w:szCs w:val="22"/>
        </w:rPr>
        <w:t xml:space="preserve"> charging points</w:t>
      </w:r>
      <w:r w:rsidRPr="00575A3E">
        <w:rPr>
          <w:sz w:val="22"/>
          <w:szCs w:val="22"/>
        </w:rPr>
        <w:t xml:space="preserve"> and</w:t>
      </w:r>
      <w:r w:rsidR="00076A62" w:rsidRPr="00575A3E">
        <w:rPr>
          <w:sz w:val="22"/>
          <w:szCs w:val="22"/>
        </w:rPr>
        <w:t xml:space="preserve"> </w:t>
      </w:r>
      <w:r w:rsidR="00E710FE" w:rsidRPr="00575A3E">
        <w:rPr>
          <w:sz w:val="22"/>
          <w:szCs w:val="22"/>
        </w:rPr>
        <w:t xml:space="preserve">wireless </w:t>
      </w:r>
      <w:r w:rsidRPr="00575A3E">
        <w:rPr>
          <w:sz w:val="22"/>
          <w:szCs w:val="22"/>
        </w:rPr>
        <w:t xml:space="preserve">continuous </w:t>
      </w:r>
      <w:r w:rsidR="00076A62" w:rsidRPr="00575A3E">
        <w:rPr>
          <w:sz w:val="22"/>
          <w:szCs w:val="22"/>
        </w:rPr>
        <w:t xml:space="preserve">electricity supply. The </w:t>
      </w:r>
      <w:r w:rsidRPr="00575A3E">
        <w:rPr>
          <w:sz w:val="22"/>
          <w:szCs w:val="22"/>
        </w:rPr>
        <w:t xml:space="preserve">present study </w:t>
      </w:r>
      <w:r w:rsidR="00076A62" w:rsidRPr="00575A3E">
        <w:rPr>
          <w:sz w:val="22"/>
          <w:szCs w:val="22"/>
        </w:rPr>
        <w:t>focuse</w:t>
      </w:r>
      <w:r w:rsidRPr="00575A3E">
        <w:rPr>
          <w:sz w:val="22"/>
          <w:szCs w:val="22"/>
        </w:rPr>
        <w:t>s</w:t>
      </w:r>
      <w:r w:rsidR="00076A62" w:rsidRPr="00575A3E">
        <w:rPr>
          <w:sz w:val="22"/>
          <w:szCs w:val="22"/>
        </w:rPr>
        <w:t xml:space="preserve"> on </w:t>
      </w:r>
      <w:r w:rsidRPr="00575A3E">
        <w:rPr>
          <w:sz w:val="22"/>
          <w:szCs w:val="22"/>
        </w:rPr>
        <w:t>EVs</w:t>
      </w:r>
      <w:r w:rsidR="00076A62" w:rsidRPr="00575A3E">
        <w:rPr>
          <w:sz w:val="22"/>
          <w:szCs w:val="22"/>
        </w:rPr>
        <w:t>, which</w:t>
      </w:r>
      <w:r w:rsidRPr="00575A3E">
        <w:rPr>
          <w:sz w:val="22"/>
          <w:szCs w:val="22"/>
        </w:rPr>
        <w:t>,</w:t>
      </w:r>
      <w:r w:rsidR="00076A62" w:rsidRPr="00575A3E">
        <w:rPr>
          <w:sz w:val="22"/>
          <w:szCs w:val="22"/>
        </w:rPr>
        <w:t xml:space="preserve"> based on their characteristics</w:t>
      </w:r>
      <w:r w:rsidRPr="00575A3E">
        <w:rPr>
          <w:sz w:val="22"/>
          <w:szCs w:val="22"/>
        </w:rPr>
        <w:t>,</w:t>
      </w:r>
      <w:r w:rsidR="00076A62" w:rsidRPr="00575A3E">
        <w:rPr>
          <w:sz w:val="22"/>
          <w:szCs w:val="22"/>
        </w:rPr>
        <w:t xml:space="preserve"> can be separated into three </w:t>
      </w:r>
      <w:r w:rsidR="00E212EB" w:rsidRPr="00575A3E">
        <w:rPr>
          <w:sz w:val="22"/>
          <w:szCs w:val="22"/>
        </w:rPr>
        <w:t>main technological categories</w:t>
      </w:r>
      <w:r w:rsidRPr="00575A3E">
        <w:rPr>
          <w:sz w:val="22"/>
          <w:szCs w:val="22"/>
        </w:rPr>
        <w:t>:</w:t>
      </w:r>
      <w:r w:rsidR="00E212EB" w:rsidRPr="00575A3E">
        <w:rPr>
          <w:sz w:val="22"/>
          <w:szCs w:val="22"/>
        </w:rPr>
        <w:t xml:space="preserve"> </w:t>
      </w:r>
      <w:r w:rsidR="00076A62" w:rsidRPr="00575A3E">
        <w:rPr>
          <w:sz w:val="22"/>
          <w:szCs w:val="22"/>
        </w:rPr>
        <w:t xml:space="preserve">Battery Electric Vehicles, Hybrid Electric Vehicles and Plug-in Hybrid Electric Vehicles </w:t>
      </w:r>
      <w:r w:rsidR="00076A62" w:rsidRPr="00575A3E">
        <w:rPr>
          <w:sz w:val="22"/>
          <w:szCs w:val="22"/>
        </w:rPr>
        <w:fldChar w:fldCharType="begin" w:fldLock="1"/>
      </w:r>
      <w:r w:rsidR="0002665A" w:rsidRPr="00575A3E">
        <w:rPr>
          <w:sz w:val="22"/>
          <w:szCs w:val="22"/>
        </w:rPr>
        <w:instrText>ADDIN CSL_CITATION {"citationItems":[{"id":"ITEM-1","itemData":{"DOI":"10.1109/TPWRS.2009.2036481","ISSN":"08858950","abstract":"Alternative vehicles, such as plug-in hybrid electric vehicles, are becoming more popular. The batteries of these plug-in hybrid electric vehicles are to be charged at home from a standard outlet or on a corporate car park. These extra electrical loads have an impact on the distribution grid which is analyzed in terms of power losses and voltage deviations. Without coordination of the charging, the vehicles are charged instantaneously when they are plugged in or after a fixed start delay. This uncoordinated power consumption on a local scale can lead to grid problems. Therefore, coordinated charging is proposed to minimize the power losses and to maximize the main grid load factor. The optimal charging profile of the plug-in hybrid electric vehicles is computed by minimizing the power losses. As the exact forecasting of household loads is not possible, stochastic programming is introduced. Two main techniques are analyzed: quadratic and dynamic programming.","author":[{"dropping-particle":"","family":"Clement-Nyns","given":"Kristien","non-dropping-particle":"","parse-names":false,"suffix":""},{"dropping-particle":"","family":"Haesen","given":"Edwin","non-dropping-particle":"","parse-names":false,"suffix":""},{"dropping-particle":"","family":"Driesen","given":"Johan","non-dropping-particle":"","parse-names":false,"suffix":""}],"container-title":"IEEE Transactions on Power Systems","id":"ITEM-1","issue":"1","issued":{"date-parts":[["2010"]]},"page":"371-380","title":"The impact of Charging plug-in hybrid electric vehicles on a residential distribution grid","type":"article-journal","volume":"25"},"uris":["http://www.mendeley.com/documents/?uuid=e4f90e4c-4870-40df-8cfc-b729c1a5c76f"]}],"mendeley":{"formattedCitation":"(Clement-Nyns et al., 2010)","plainTextFormattedCitation":"(Clement-Nyns et al., 2010)","previouslyFormattedCitation":"(Clement-Nyns et al., 2010)"},"properties":{"noteIndex":0},"schema":"https://github.com/citation-style-language/schema/raw/master/csl-citation.json"}</w:instrText>
      </w:r>
      <w:r w:rsidR="00076A62" w:rsidRPr="00575A3E">
        <w:rPr>
          <w:sz w:val="22"/>
          <w:szCs w:val="22"/>
        </w:rPr>
        <w:fldChar w:fldCharType="separate"/>
      </w:r>
      <w:r w:rsidR="00BF7603" w:rsidRPr="00575A3E">
        <w:rPr>
          <w:noProof/>
          <w:sz w:val="22"/>
          <w:szCs w:val="22"/>
        </w:rPr>
        <w:t>(Clement-Nyns et al., 2010)</w:t>
      </w:r>
      <w:r w:rsidR="00076A62" w:rsidRPr="00575A3E">
        <w:rPr>
          <w:sz w:val="22"/>
          <w:szCs w:val="22"/>
        </w:rPr>
        <w:fldChar w:fldCharType="end"/>
      </w:r>
      <w:r w:rsidR="00076A62" w:rsidRPr="00575A3E">
        <w:rPr>
          <w:sz w:val="22"/>
          <w:szCs w:val="22"/>
        </w:rPr>
        <w:t>.</w:t>
      </w:r>
    </w:p>
    <w:p w14:paraId="7B8298F6" w14:textId="77777777" w:rsidR="00E12BAC" w:rsidRPr="00575A3E" w:rsidRDefault="00E12BAC" w:rsidP="008119F3"/>
    <w:p w14:paraId="6E2F2999" w14:textId="446AA214" w:rsidR="00E12BAC" w:rsidRPr="00575A3E" w:rsidRDefault="009A4C1E" w:rsidP="00A55356">
      <w:pPr>
        <w:spacing w:line="360" w:lineRule="auto"/>
        <w:rPr>
          <w:szCs w:val="22"/>
          <w:lang w:val="en-GB"/>
        </w:rPr>
      </w:pPr>
      <w:r w:rsidRPr="00575A3E">
        <w:rPr>
          <w:lang w:val="en-GB" w:eastAsia="en-GB"/>
        </w:rPr>
        <w:lastRenderedPageBreak/>
        <w:t xml:space="preserve">These new vehicle technologies are expected to change </w:t>
      </w:r>
      <w:r w:rsidR="001630F9" w:rsidRPr="00575A3E">
        <w:rPr>
          <w:lang w:val="en-GB" w:eastAsia="en-GB"/>
        </w:rPr>
        <w:t>the current transportation systems and bring new opportunities to people</w:t>
      </w:r>
      <w:r w:rsidR="00E201B4" w:rsidRPr="00575A3E">
        <w:rPr>
          <w:lang w:val="en-GB" w:eastAsia="en-GB"/>
        </w:rPr>
        <w:t xml:space="preserve"> </w:t>
      </w:r>
      <w:r w:rsidR="00E201B4" w:rsidRPr="00575A3E">
        <w:rPr>
          <w:lang w:val="en-GB" w:eastAsia="en-GB"/>
        </w:rPr>
        <w:fldChar w:fldCharType="begin" w:fldLock="1"/>
      </w:r>
      <w:r w:rsidR="006650C8" w:rsidRPr="00575A3E">
        <w:rPr>
          <w:lang w:val="en-GB" w:eastAsia="en-GB"/>
        </w:rPr>
        <w:instrText>ADDIN CSL_CITATION {"citationItems":[{"id":"ITEM-1","itemData":{"DOI":"10.1016/j.tranpol.2020.05.007","ISSN":"1879310X","abstract":"Objective: The concept of automated cars is rapidly becoming a reality. Yet there has been very little analysis of the impacts of such developments on the performance of urban transport systems. These impacts are potentially complex. On the positive side, automation has the potential to increase road capacity, make driving available to more people, and reduce accidents and emissions. On the negative side, it could attract users away from public transport, walking and cycling, substantially increase traffic levels and stimulate urban sprawl. These impacts cannot currently be measured empirically and, by the time that they can, it will be too late to change the implementation model to rectify any resulting problems. Predictive assessments are therefore needed. This paper considers the possible impacts of automated vehicles, predicts their effects on the urban land use and transport system, and discusses the policy implications. We focus on automation of the car fleet, and do not consider the potential of automation of public transport or freight. Methods: We consider the literature on the range of attributes of automated vehicles which might affect transport and land use patterns, and suggest potential outcomes for each over the period to 2050. These include the proportion of automated vehicles in the car fleet, whether automated vehicles are privately purchased or publicly shared, the impacts on network capacity, the reduced need to pay for and walk from parking places, the potential reduction in the value of in-vehicle time and the potential use by current non-drivers. We represent these attributes in an expanded causal link diagram of the urban land use and transport system and import those causal links into the MARS system dynamics model. We determine from the literature a level for each attribute, and test the impacts in a set of ten scenarios using an updated MARS model of Leeds. Results: Based on our input assumptions, we find that car-km in 2050 could be over 50% higher than in the business as usual scenario. Public transport use could fall by 18%, threatening accessibility for those dependent on it, while walking and cycling could fall by 13%, reducing their health benefits. Overall person-km would rise, suggesting a reduction in sustainability. A requirement that all automated cars are shared vehicles could reduce these adverse impacts somewhat, but the effects are sensitive to the charge per km. Discussion: Our use of a single value for each at…","author":[{"dropping-particle":"","family":"May","given":"Anthony D.","non-dropping-particle":"","parse-names":false,"suffix":""},{"dropping-particle":"","family":"Shepherd","given":"Simon","non-dropping-particle":"","parse-names":false,"suffix":""},{"dropping-particle":"","family":"Pfaffenbichler","given":"Paul","non-dropping-particle":"","parse-names":false,"suffix":""},{"dropping-particle":"","family":"Emberger","given":"Günter","non-dropping-particle":"","parse-names":false,"suffix":""}],"container-title":"Transport Policy","id":"ITEM-1","issued":{"date-parts":[["2020"]]},"title":"The potential impacts of automated cars on urban transport: An exploratory analysis","type":"article-journal","volume":"98"},"uris":["http://www.mendeley.com/documents/?uuid=584973b5-8054-3ae3-8f82-0da190e5fac8"]},{"id":"ITEM-2","itemData":{"DOI":"10.1016/bs.atpp.2020.06.001","ISSN":"25429116","abstract":"This chapter first systematically summarizes the most important findings and policy implications of each of the chapters “Factors affecting traffic flow efficiency implications of connected and autonomous vehicles: A review and policy recommendations” by Narayanan et al.; “Automated bus systems in Europe: A systematic review of passenger experience and road user interaction” by Heikoop et al.; “Cyber security and its impact on CAV safety: Overview, policy needs and challenges” by Katrakazas et al.; “Cybersecurity certification and auditing of automotive industry” by Mateo Sanguino et al.; “The wider use of autonomous vehicles in non-commuting journeys” by Kimber et al.; “Policy implications of the potential carbon dioxide (CO2) emission and energy impacts of highly automated vehicles” by Annema; “Potential health and well-being implications of autonomous vehicles” by Singleton et al.; “Data protection in a GDPR era: An international comparison of implications for autonomous vehicles” by Costantini et al.; “Ethical issues concerning automated vehicles and their implications for transport” by Dogan et al.; “Governance cultures and sociotechnical imaginaries of self-driving vehicle technology: Comparative analysis of Finland, UK and Germany” by Mladenović et al.; “Wider implications of autonomous vessels for the maritime industry: Mapping the unprecedented challenges” by Ghaderi; “The potential for automation to transform urban deliveries: Drivers, barriers and policy priorities” by Paddeu and Parkhurst. Next it synthesizes the overall findings and policy implications, and discusses future avenues for policy making and research. A first conclusion is that the chapters make clear that the ranges in policy relevant implications of AVs, within the scope of each chapter/topic, are still relatively broad. Secondly we conclude that research that is conceptually rich is more valuable for policy making. Thirdly we hypothesize that context matters for the uptake, impacts, and specific system design characteristics of real world AV implementation. Fourth we conclude that research on the global south has been limited so far. Fifth we argue that AVs, shared vehicles and electric vehicles (EVs) might stimulate each other in a positive way, in all directions. Finally we conclude that AVs will have wider societal implications, such as in the area of land use, accessibility, social exclusion, governmental expenditures, the labor market, and the environment. The more indir…","author":[{"dropping-particle":"","family":"Wee","given":"Bert","non-dropping-particle":"van","parse-names":false,"suffix":""},{"dropping-particle":"","family":"Milakis","given":"Dimitris","non-dropping-particle":"","parse-names":false,"suffix":""},{"dropping-particle":"","family":"Thomopoulos","given":"Nikolas","non-dropping-particle":"","parse-names":false,"suffix":""}],"container-title":"Advances in Transport Policy and Planning","id":"ITEM-2","issued":{"date-parts":[["2020"]]},"title":"Overall synthesis and conclusions","type":"chapter"},"uris":["http://www.mendeley.com/documents/?uuid=d778cfa0-81a9-37a3-b770-d0a9595baef0"]}],"mendeley":{"formattedCitation":"(May et al., 2020; van Wee et al., 2020)","plainTextFormattedCitation":"(May et al., 2020; van Wee et al., 2020)","previouslyFormattedCitation":"(May et al., 2020; van Wee et al., 2020)"},"properties":{"noteIndex":0},"schema":"https://github.com/citation-style-language/schema/raw/master/csl-citation.json"}</w:instrText>
      </w:r>
      <w:r w:rsidR="00E201B4" w:rsidRPr="00575A3E">
        <w:rPr>
          <w:lang w:val="en-GB" w:eastAsia="en-GB"/>
        </w:rPr>
        <w:fldChar w:fldCharType="separate"/>
      </w:r>
      <w:r w:rsidR="006D4137" w:rsidRPr="00575A3E">
        <w:rPr>
          <w:noProof/>
          <w:lang w:val="en-GB" w:eastAsia="en-GB"/>
        </w:rPr>
        <w:t>(May et al., 2020; van Wee et al., 2020)</w:t>
      </w:r>
      <w:r w:rsidR="00E201B4" w:rsidRPr="00575A3E">
        <w:rPr>
          <w:lang w:val="en-GB" w:eastAsia="en-GB"/>
        </w:rPr>
        <w:fldChar w:fldCharType="end"/>
      </w:r>
      <w:r w:rsidR="001630F9" w:rsidRPr="00575A3E">
        <w:rPr>
          <w:lang w:val="en-GB" w:eastAsia="en-GB"/>
        </w:rPr>
        <w:t xml:space="preserve">. </w:t>
      </w:r>
      <w:r w:rsidR="003C0558" w:rsidRPr="00575A3E">
        <w:rPr>
          <w:lang w:val="en-GB" w:eastAsia="en-GB"/>
        </w:rPr>
        <w:t xml:space="preserve"> </w:t>
      </w:r>
      <w:r w:rsidR="000D1DC7" w:rsidRPr="00575A3E">
        <w:rPr>
          <w:szCs w:val="22"/>
          <w:lang w:val="en-GB"/>
        </w:rPr>
        <w:t>The effects of automation on land use based on the literature are mixed, with urban rural areas be</w:t>
      </w:r>
      <w:r w:rsidR="00E12BAC" w:rsidRPr="00575A3E">
        <w:rPr>
          <w:szCs w:val="22"/>
          <w:lang w:val="en-GB"/>
        </w:rPr>
        <w:t>coming</w:t>
      </w:r>
      <w:r w:rsidR="000D1DC7" w:rsidRPr="00575A3E">
        <w:rPr>
          <w:szCs w:val="22"/>
          <w:lang w:val="en-GB"/>
        </w:rPr>
        <w:t xml:space="preserve"> attractive due to the lower cost of trips</w:t>
      </w:r>
      <w:r w:rsidR="00E12BAC" w:rsidRPr="00575A3E">
        <w:rPr>
          <w:szCs w:val="22"/>
          <w:lang w:val="en-GB"/>
        </w:rPr>
        <w:t xml:space="preserve"> on one hand</w:t>
      </w:r>
      <w:r w:rsidR="000D1DC7" w:rsidRPr="00575A3E">
        <w:rPr>
          <w:szCs w:val="22"/>
          <w:lang w:val="en-GB"/>
        </w:rPr>
        <w:t xml:space="preserve"> </w:t>
      </w:r>
      <w:r w:rsidR="000D1DC7" w:rsidRPr="00575A3E">
        <w:rPr>
          <w:szCs w:val="22"/>
          <w:lang w:val="en-GB"/>
        </w:rPr>
        <w:fldChar w:fldCharType="begin" w:fldLock="1"/>
      </w:r>
      <w:r w:rsidR="00BF7603" w:rsidRPr="00575A3E">
        <w:rPr>
          <w:szCs w:val="22"/>
          <w:lang w:val="en-GB"/>
        </w:rPr>
        <w:instrText>ADDIN CSL_CITATION {"citationItems":[{"id":"ITEM-1","itemData":{"DOI":"10.1080/01441647.2018.1523253","ISSN":"14645327","abstract":"Automated vehicles (AVs) could completely change mobility in the coming years and decades. As AVs are still under development and gathering empirical data for further analysis is not yet possible, existing studies mainly applied models and simulations to assess their impact. This paper provides a comprehensive review of modelling studies investigating the impacts of AVs on travel behaviour and land use. It shows that AVs are mostly found to increase vehicle miles travelled and reduce public transport and slow modes share. This particularly applies to private AVs, which are also leading to a more dispersed urban growth pattern. Shared automated vehicle fleets, conversely, could have positive impacts, including reducing the overall number of vehicles and parking spaces. Moreover, if it is assumed that automation would make the public transport system more efficient, AVs could lead to a favouring of urbanisation processes. However, results are very sensitive to model assumptions which are still very uncertain (e.g. the perception of time in AVs) and more research to gain further insight should have priority in future research as well as the development of the models and their further adaptation to AVs. ARTICLE HISTORY","author":[{"dropping-particle":"","family":"Soteropoulos","given":"Aggelos","non-dropping-particle":"","parse-names":false,"suffix":""},{"dropping-particle":"","family":"Berger","given":"Martin","non-dropping-particle":"","parse-names":false,"suffix":""},{"dropping-particle":"","family":"Ciari","given":"Francesco","non-dropping-particle":"","parse-names":false,"suffix":""}],"container-title":"Transport Reviews","id":"ITEM-1","issue":"1","issued":{"date-parts":[["2018"]]},"page":"29-49","title":"Impacts of automated vehicles on travel behaviour and land use: an international review of modelling studies","type":"article-journal","volume":"39"},"uris":["http://www.mendeley.com/documents/?uuid=6d44355c-8959-4167-a02e-7275c5c2c02b"]}],"mendeley":{"formattedCitation":"(Soteropoulos et al., 2018)","plainTextFormattedCitation":"(Soteropoulos et al., 2018)","previouslyFormattedCitation":"(Soteropoulos et al., 2018)"},"properties":{"noteIndex":0},"schema":"https://github.com/citation-style-language/schema/raw/master/csl-citation.json"}</w:instrText>
      </w:r>
      <w:r w:rsidR="000D1DC7" w:rsidRPr="00575A3E">
        <w:rPr>
          <w:szCs w:val="22"/>
          <w:lang w:val="en-GB"/>
        </w:rPr>
        <w:fldChar w:fldCharType="separate"/>
      </w:r>
      <w:r w:rsidR="001B3826" w:rsidRPr="00575A3E">
        <w:rPr>
          <w:noProof/>
          <w:szCs w:val="22"/>
          <w:lang w:val="en-GB"/>
        </w:rPr>
        <w:t>(Soteropoulos et al., 2018)</w:t>
      </w:r>
      <w:r w:rsidR="000D1DC7" w:rsidRPr="00575A3E">
        <w:rPr>
          <w:szCs w:val="22"/>
          <w:lang w:val="en-GB"/>
        </w:rPr>
        <w:fldChar w:fldCharType="end"/>
      </w:r>
      <w:r w:rsidR="000D1DC7" w:rsidRPr="00575A3E">
        <w:rPr>
          <w:szCs w:val="22"/>
          <w:lang w:val="en-GB"/>
        </w:rPr>
        <w:t xml:space="preserve">, but </w:t>
      </w:r>
      <w:r w:rsidR="00E12BAC" w:rsidRPr="00575A3E">
        <w:rPr>
          <w:szCs w:val="22"/>
          <w:lang w:val="en-GB"/>
        </w:rPr>
        <w:t>with</w:t>
      </w:r>
      <w:r w:rsidR="000D1DC7" w:rsidRPr="00575A3E">
        <w:rPr>
          <w:szCs w:val="22"/>
          <w:lang w:val="en-GB"/>
        </w:rPr>
        <w:t xml:space="preserve"> densification of the main urban cores</w:t>
      </w:r>
      <w:r w:rsidR="00E12BAC" w:rsidRPr="00575A3E">
        <w:rPr>
          <w:szCs w:val="22"/>
          <w:lang w:val="en-GB"/>
        </w:rPr>
        <w:t xml:space="preserve"> also taking place on the other hand</w:t>
      </w:r>
      <w:r w:rsidR="000D1DC7" w:rsidRPr="00575A3E">
        <w:rPr>
          <w:szCs w:val="22"/>
          <w:lang w:val="en-GB"/>
        </w:rPr>
        <w:t xml:space="preserve">, as trips with shared autonomous vehicles create </w:t>
      </w:r>
      <w:r w:rsidR="00E12BAC" w:rsidRPr="00575A3E">
        <w:rPr>
          <w:szCs w:val="22"/>
          <w:lang w:val="en-GB"/>
        </w:rPr>
        <w:t xml:space="preserve">an </w:t>
      </w:r>
      <w:r w:rsidR="000D1DC7" w:rsidRPr="00575A3E">
        <w:rPr>
          <w:szCs w:val="22"/>
          <w:lang w:val="en-GB"/>
        </w:rPr>
        <w:t xml:space="preserve">inexpensive alternative </w:t>
      </w:r>
      <w:r w:rsidR="00E12BAC" w:rsidRPr="00575A3E">
        <w:rPr>
          <w:szCs w:val="22"/>
          <w:lang w:val="en-GB"/>
        </w:rPr>
        <w:t>to</w:t>
      </w:r>
      <w:r w:rsidR="000D1DC7" w:rsidRPr="00575A3E">
        <w:rPr>
          <w:szCs w:val="22"/>
          <w:lang w:val="en-GB"/>
        </w:rPr>
        <w:t xml:space="preserve"> public transport </w:t>
      </w:r>
      <w:r w:rsidR="000D1DC7" w:rsidRPr="00575A3E">
        <w:rPr>
          <w:szCs w:val="22"/>
          <w:lang w:val="en-GB"/>
        </w:rPr>
        <w:fldChar w:fldCharType="begin" w:fldLock="1"/>
      </w:r>
      <w:r w:rsidR="0002665A" w:rsidRPr="00575A3E">
        <w:rPr>
          <w:szCs w:val="22"/>
          <w:lang w:val="en-GB"/>
        </w:rPr>
        <w:instrText>ADDIN CSL_CITATION {"citationItems":[{"id":"ITEM-1","itemData":{"DOI":"10.1016/j.tra.2019.01.013","ISSN":"09658564","abstract":"This paper shows that automated driving can lead both, to growth and decline of cities. We simulate spatial effects of automated driving for the Netherlands using LUCA, the Dutch spatial general equilibrium model. Two components of automation are accounted for: (i) more productive time use during car trips; (ii) fast and comfortable door-to-door automated public transit. We find that the car component results in population flight from cities, while the public transit component leads to population clustering in urban areas. A combination of the two may result in the population concentrating in the largest, most attractive cities, at the expense of smaller cities and non-urban regions. The simulations suggest that welfare benefits of automation are considerable, with up 10% coming from population relocation and changes in land use. Our results are particularly relevant for countries where public transit claims a considerable share of urban mobility. Neglecting the impact of vehicle automation on public transit could result in biased policy recommendations.","author":[{"dropping-particle":"","family":"Gelauff","given":"George","non-dropping-particle":"","parse-names":false,"suffix":""},{"dropping-particle":"","family":"Ossokina","given":"Ioulia","non-dropping-particle":"","parse-names":false,"suffix":""},{"dropping-particle":"","family":"Teulings","given":"Coen","non-dropping-particle":"","parse-names":false,"suffix":""}],"container-title":"Transportation Research Part A: Policy and Practice","id":"ITEM-1","issued":{"date-parts":[["2019"]]},"title":"Spatial and welfare effects of automated driving: Will cities grow, decline or both?","type":"article-journal"},"uris":["http://www.mendeley.com/documents/?uuid=deefa09c-64ab-4724-8e50-7cf71a78da15"]}],"mendeley":{"formattedCitation":"(Gelauff et al., 2019)","plainTextFormattedCitation":"(Gelauff et al., 2019)","previouslyFormattedCitation":"(Gelauff et al., 2019)"},"properties":{"noteIndex":0},"schema":"https://github.com/citation-style-language/schema/raw/master/csl-citation.json"}</w:instrText>
      </w:r>
      <w:r w:rsidR="000D1DC7" w:rsidRPr="00575A3E">
        <w:rPr>
          <w:szCs w:val="22"/>
          <w:lang w:val="en-GB"/>
        </w:rPr>
        <w:fldChar w:fldCharType="separate"/>
      </w:r>
      <w:r w:rsidR="00BF7603" w:rsidRPr="00575A3E">
        <w:rPr>
          <w:noProof/>
          <w:szCs w:val="22"/>
          <w:lang w:val="en-GB"/>
        </w:rPr>
        <w:t>(Gelauff et al., 2019)</w:t>
      </w:r>
      <w:r w:rsidR="000D1DC7" w:rsidRPr="00575A3E">
        <w:rPr>
          <w:szCs w:val="22"/>
          <w:lang w:val="en-GB"/>
        </w:rPr>
        <w:fldChar w:fldCharType="end"/>
      </w:r>
      <w:r w:rsidR="000D1DC7" w:rsidRPr="00575A3E">
        <w:rPr>
          <w:szCs w:val="22"/>
          <w:lang w:val="en-GB"/>
        </w:rPr>
        <w:t xml:space="preserve">. </w:t>
      </w:r>
      <w:r w:rsidR="006D4137" w:rsidRPr="00575A3E">
        <w:rPr>
          <w:szCs w:val="22"/>
          <w:lang w:val="en-GB"/>
        </w:rPr>
        <w:t xml:space="preserve">This conclusion is also mentioned in the research of </w:t>
      </w:r>
      <w:r w:rsidR="006D4137" w:rsidRPr="00575A3E">
        <w:rPr>
          <w:szCs w:val="22"/>
          <w:lang w:val="en-GB"/>
        </w:rPr>
        <w:fldChar w:fldCharType="begin" w:fldLock="1"/>
      </w:r>
      <w:r w:rsidR="006D4137" w:rsidRPr="00575A3E">
        <w:rPr>
          <w:szCs w:val="22"/>
          <w:lang w:val="en-GB"/>
        </w:rPr>
        <w:instrText>ADDIN CSL_CITATION {"citationItems":[{"id":"ITEM-1","itemData":{"DOI":"10.1016/j.trpro.2019.12.006","ISSN":"23521465","abstract":"In recent years the interest in urban mobility has grown considerably, not only due to the local increase in negative externalities generated by transport, but also because recent technological innovations are offering effective solutions especially in urban context. In particular, the introduction of Connected and Automated Vehicles (CAVs) could radically change the mobility scenario allowing, on the one hand, a widespread diffusion of shared vehicles that could feed the stations of the mass rapid transit network, improving the attractiveness of Public Transportation (PT), and on the other, the implementation of Travel Demand Management (TDM) measures on large areas of the most densely urbanized (and congested) territory of a city, without reducing accessibility and creating social exclusion. The present study aims at evaluating, through a system of Land-Use Transportation Interaction (LUTI) models, the impacts on transport demand and on population and activities location, of transportation policies oriented to both enhancing PT and restricting the individual use of the car. The case study analyzed is represented by the urban area of Rome. Several scenarios have been simulated and compared by means of sustainability indicators. Preliminary results show that the improvement of PT services, combined with the introduction of car use restriction and car free areas, do induce not only a significant modal shift towards more sustainable transportation modes, but also a limitation of urban sprawl.","author":[{"dropping-particle":"","family":"Coppola","given":"Pierluigi","non-dropping-particle":"","parse-names":false,"suffix":""},{"dropping-particle":"","family":"Silvestri","given":"Fulvio","non-dropping-particle":"","parse-names":false,"suffix":""}],"id":"ITEM-1","issued":{"date-parts":[["2019"]]},"title":"Future mobility and land use scenarios: Impact assessment with an urban case study","type":"paper-conference","volume":"42"},"uris":["http://www.mendeley.com/documents/?uuid=ea68bd8d-f0fa-3380-ab36-112f8f765f70"]}],"mendeley":{"formattedCitation":"(Coppola and Silvestri, 2019)","manualFormatting":"Coppola and Silvestri (2019)","plainTextFormattedCitation":"(Coppola and Silvestri, 2019)","previouslyFormattedCitation":"(Coppola and Silvestri, 2019)"},"properties":{"noteIndex":0},"schema":"https://github.com/citation-style-language/schema/raw/master/csl-citation.json"}</w:instrText>
      </w:r>
      <w:r w:rsidR="006D4137" w:rsidRPr="00575A3E">
        <w:rPr>
          <w:szCs w:val="22"/>
          <w:lang w:val="en-GB"/>
        </w:rPr>
        <w:fldChar w:fldCharType="separate"/>
      </w:r>
      <w:r w:rsidR="006D4137" w:rsidRPr="00575A3E">
        <w:rPr>
          <w:noProof/>
          <w:szCs w:val="22"/>
          <w:lang w:val="en-GB"/>
        </w:rPr>
        <w:t>Coppola and Silvestri (2019)</w:t>
      </w:r>
      <w:r w:rsidR="006D4137" w:rsidRPr="00575A3E">
        <w:rPr>
          <w:szCs w:val="22"/>
          <w:lang w:val="en-GB"/>
        </w:rPr>
        <w:fldChar w:fldCharType="end"/>
      </w:r>
      <w:r w:rsidR="006D4137" w:rsidRPr="00575A3E">
        <w:rPr>
          <w:szCs w:val="22"/>
          <w:lang w:val="en-GB"/>
        </w:rPr>
        <w:t xml:space="preserve">, as based on their modelling results, if public transport infrastructure is improved and also vehicle automation is incorporated in the system, population and employment are increased within the limits of the CBD and reduced outside of these limits, compared with the business as usual scenario developed for Rome </w:t>
      </w:r>
      <w:r w:rsidR="006D4137" w:rsidRPr="00575A3E">
        <w:rPr>
          <w:szCs w:val="22"/>
          <w:lang w:val="en-GB"/>
        </w:rPr>
        <w:fldChar w:fldCharType="begin" w:fldLock="1"/>
      </w:r>
      <w:r w:rsidR="006D4137" w:rsidRPr="00575A3E">
        <w:rPr>
          <w:szCs w:val="22"/>
          <w:lang w:val="en-GB"/>
        </w:rPr>
        <w:instrText>ADDIN CSL_CITATION {"citationItems":[{"id":"ITEM-1","itemData":{"DOI":"10.1016/j.trpro.2019.12.006","ISSN":"23521465","abstract":"In recent years the interest in urban mobility has grown considerably, not only due to the local increase in negative externalities generated by transport, but also because recent technological innovations are offering effective solutions especially in urban context. In particular, the introduction of Connected and Automated Vehicles (CAVs) could radically change the mobility scenario allowing, on the one hand, a widespread diffusion of shared vehicles that could feed the stations of the mass rapid transit network, improving the attractiveness of Public Transportation (PT), and on the other, the implementation of Travel Demand Management (TDM) measures on large areas of the most densely urbanized (and congested) territory of a city, without reducing accessibility and creating social exclusion. The present study aims at evaluating, through a system of Land-Use Transportation Interaction (LUTI) models, the impacts on transport demand and on population and activities location, of transportation policies oriented to both enhancing PT and restricting the individual use of the car. The case study analyzed is represented by the urban area of Rome. Several scenarios have been simulated and compared by means of sustainability indicators. Preliminary results show that the improvement of PT services, combined with the introduction of car use restriction and car free areas, do induce not only a significant modal shift towards more sustainable transportation modes, but also a limitation of urban sprawl.","author":[{"dropping-particle":"","family":"Coppola","given":"Pierluigi","non-dropping-particle":"","parse-names":false,"suffix":""},{"dropping-particle":"","family":"Silvestri","given":"Fulvio","non-dropping-particle":"","parse-names":false,"suffix":""}],"id":"ITEM-1","issued":{"date-parts":[["2019"]]},"title":"Future mobility and land use scenarios: Impact assessment with an urban case study","type":"paper-conference","volume":"42"},"uris":["http://www.mendeley.com/documents/?uuid=ea68bd8d-f0fa-3380-ab36-112f8f765f70"]}],"mendeley":{"formattedCitation":"(Coppola and Silvestri, 2019)","plainTextFormattedCitation":"(Coppola and Silvestri, 2019)","previouslyFormattedCitation":"(Coppola and Silvestri, 2019)"},"properties":{"noteIndex":0},"schema":"https://github.com/citation-style-language/schema/raw/master/csl-citation.json"}</w:instrText>
      </w:r>
      <w:r w:rsidR="006D4137" w:rsidRPr="00575A3E">
        <w:rPr>
          <w:szCs w:val="22"/>
          <w:lang w:val="en-GB"/>
        </w:rPr>
        <w:fldChar w:fldCharType="separate"/>
      </w:r>
      <w:r w:rsidR="005F1281" w:rsidRPr="00575A3E">
        <w:rPr>
          <w:noProof/>
          <w:szCs w:val="22"/>
          <w:lang w:val="en-GB"/>
        </w:rPr>
        <w:t>(Coppola and Silvestri, 2019)</w:t>
      </w:r>
      <w:r w:rsidR="006D4137" w:rsidRPr="00575A3E">
        <w:rPr>
          <w:szCs w:val="22"/>
          <w:lang w:val="en-GB"/>
        </w:rPr>
        <w:fldChar w:fldCharType="end"/>
      </w:r>
      <w:r w:rsidR="006D4137" w:rsidRPr="00575A3E">
        <w:rPr>
          <w:szCs w:val="22"/>
          <w:lang w:val="en-GB"/>
        </w:rPr>
        <w:t xml:space="preserve">. </w:t>
      </w:r>
      <w:r w:rsidR="00023FD8" w:rsidRPr="00575A3E">
        <w:rPr>
          <w:szCs w:val="22"/>
          <w:lang w:val="en-GB"/>
        </w:rPr>
        <w:fldChar w:fldCharType="begin" w:fldLock="1"/>
      </w:r>
      <w:r w:rsidR="00023FD8" w:rsidRPr="00575A3E">
        <w:rPr>
          <w:szCs w:val="22"/>
          <w:lang w:val="en-GB"/>
        </w:rPr>
        <w:instrText>ADDIN CSL_CITATION {"citationItems":[{"id":"ITEM-1","itemData":{"DOI":"10.3390/su13041608","ISSN":"20711050","abstract":"Autonomous vehicles (AVs) can generate major changes in urban systems due to their ability to use road infrastructures more efficiently and shorten trip times. However, there is great uncertainty about these effects and about whether the use of these vehicles will continue to be private, in continuity with the current paradigm, or whether they will become shared (carsharing/ridesharing). In order to try to shed light on these matters, the use of a scenario-based methodology and the evaluation of the scenarios using a land use–transport interaction model (LUTI model TRANSPACE) is proposed. This model allows simulating the impacts that changes in the transport system can generate on the location of households and companies oriented to local demand and accessibility conditions. The obtained results allow us to state that, if AVs would generate a significant increase in the capacity of urban and interurban road infrastructures, the impacts on mobility and on the location of activities could be positive, with a decrease in the distances traveled, trip times, and no evidence of significant urban sprawl processes. However, if these increases in capacity are accompanied by a large augment in the demand for shared journeys by new users (young, elderly) or empty journeys, the positive effects could disappear. Thus, this scenario would imply an increase in trip times, reduced accessibilities, and longer average distances traveled, all of which could cause the unwanted effect of expelling activities from the consolidated urban center.","author":[{"dropping-particle":"","family":"Cordera","given":"Rubén","non-dropping-particle":"","parse-names":false,"suffix":""},{"dropping-particle":"","family":"Nogués","given":"Soledad","non-dropping-particle":"","parse-names":false,"suffix":""},{"dropping-particle":"","family":"González-González","given":"Esther","non-dropping-particle":"","parse-names":false,"suffix":""},{"dropping-particle":"","family":"Moura","given":"José Luis","non-dropping-particle":"","parse-names":false,"suffix":""}],"container-title":"Sustainability (Switzerland)","id":"ITEM-1","issue":"4","issued":{"date-parts":[["2021"]]},"title":"Modeling the impacts of autonomous vehicles on land use using a luti model","type":"article-journal","volume":"13"},"uris":["http://www.mendeley.com/documents/?uuid=37dd8037-15f4-3bcc-a222-e9311a189b6d"]}],"mendeley":{"formattedCitation":"(Cordera et al., 2021)","manualFormatting":"Cordera et al. (2021)","plainTextFormattedCitation":"(Cordera et al., 2021)","previouslyFormattedCitation":"(Cordera et al., 2021)"},"properties":{"noteIndex":0},"schema":"https://github.com/citation-style-language/schema/raw/master/csl-citation.json"}</w:instrText>
      </w:r>
      <w:r w:rsidR="00023FD8" w:rsidRPr="00575A3E">
        <w:rPr>
          <w:szCs w:val="22"/>
          <w:lang w:val="en-GB"/>
        </w:rPr>
        <w:fldChar w:fldCharType="separate"/>
      </w:r>
      <w:r w:rsidR="00023FD8" w:rsidRPr="00575A3E">
        <w:rPr>
          <w:noProof/>
          <w:szCs w:val="22"/>
          <w:lang w:val="en-GB"/>
        </w:rPr>
        <w:t>Cordera et al. (2021)</w:t>
      </w:r>
      <w:r w:rsidR="00023FD8" w:rsidRPr="00575A3E">
        <w:rPr>
          <w:szCs w:val="22"/>
          <w:lang w:val="en-GB"/>
        </w:rPr>
        <w:fldChar w:fldCharType="end"/>
      </w:r>
      <w:r w:rsidR="00023FD8" w:rsidRPr="00575A3E">
        <w:rPr>
          <w:szCs w:val="22"/>
          <w:lang w:val="en-GB"/>
        </w:rPr>
        <w:t xml:space="preserve"> mention that based on their results, vehicle automation does not necessarily cause urban sprawl, if increased road capacity does not increase congestion and if trip rates also </w:t>
      </w:r>
      <w:r w:rsidR="00B64F0B" w:rsidRPr="00575A3E">
        <w:rPr>
          <w:szCs w:val="22"/>
          <w:lang w:val="en-GB"/>
        </w:rPr>
        <w:t xml:space="preserve">do </w:t>
      </w:r>
      <w:r w:rsidR="00023FD8" w:rsidRPr="00575A3E">
        <w:rPr>
          <w:szCs w:val="22"/>
          <w:lang w:val="en-GB"/>
        </w:rPr>
        <w:t xml:space="preserve">not increase. </w:t>
      </w:r>
      <w:r w:rsidR="007320CA" w:rsidRPr="00575A3E">
        <w:rPr>
          <w:szCs w:val="22"/>
          <w:lang w:val="en-GB"/>
        </w:rPr>
        <w:t xml:space="preserve">Based on the results of </w:t>
      </w:r>
      <w:r w:rsidR="007320CA" w:rsidRPr="00575A3E">
        <w:rPr>
          <w:szCs w:val="22"/>
          <w:lang w:val="en-GB"/>
        </w:rPr>
        <w:fldChar w:fldCharType="begin" w:fldLock="1"/>
      </w:r>
      <w:r w:rsidR="004679D5" w:rsidRPr="00575A3E">
        <w:rPr>
          <w:szCs w:val="22"/>
          <w:lang w:val="en-GB"/>
        </w:rPr>
        <w:instrText>ADDIN CSL_CITATION {"citationItems":[{"id":"ITEM-1","itemData":{"DOI":"10.1016/j.techfore.2020.120444","ISSN":"00401625","abstract":"The widespread availability of connected and autonomous vehicles (CAVs) will likely affect social change in terms of how people travel. Traditional methods of travel demand and land use modeling require vast amounts of data that could be expensive to obtain. Such models use complex software that requires trained professionals to configure and hours to run a single scenario. Alternative closed-form models that can quickly assess trends in potential CAV impact on the regional demand for shopping, entertainment, or dining land use does not exist. This research developed a closed-form model that considers the potential mode shift towards CAVs, possible changes in the propensity to travel, shopping trip avoidance from e-commerce, and greater accessibility for non-drivers. Model parameter estimation based on statistics from the greater Toronto area found that population growth from 2017 to 2050 alone could increase the demand for shopping, entertainment, or dining land use by nearly 60%. However, CAVs could double or triple that demand—implicating dynamic planning and environmental considerations.","author":[{"dropping-particle":"","family":"Bridgelall","given":"Raj","non-dropping-particle":"","parse-names":false,"suffix":""},{"dropping-particle":"","family":"Stubbing","given":"Edward","non-dropping-particle":"","parse-names":false,"suffix":""}],"container-title":"Technological Forecasting and Social Change","id":"ITEM-1","issued":{"date-parts":[["2021"]]},"title":"Forecasting the effects of autonomous vehicles on land use","type":"article-journal","volume":"163"},"uris":["http://www.mendeley.com/documents/?uuid=a61350f7-93f1-3ed7-904d-c630600f289c"]}],"mendeley":{"formattedCitation":"(Bridgelall and Stubbing, 2021)","manualFormatting":"Bridgelall and Stubbing (2021)","plainTextFormattedCitation":"(Bridgelall and Stubbing, 2021)","previouslyFormattedCitation":"(Bridgelall and Stubbing, 2021)"},"properties":{"noteIndex":0},"schema":"https://github.com/citation-style-language/schema/raw/master/csl-citation.json"}</w:instrText>
      </w:r>
      <w:r w:rsidR="007320CA" w:rsidRPr="00575A3E">
        <w:rPr>
          <w:szCs w:val="22"/>
          <w:lang w:val="en-GB"/>
        </w:rPr>
        <w:fldChar w:fldCharType="separate"/>
      </w:r>
      <w:r w:rsidR="007320CA" w:rsidRPr="00575A3E">
        <w:rPr>
          <w:noProof/>
          <w:szCs w:val="22"/>
          <w:lang w:val="en-GB"/>
        </w:rPr>
        <w:t>Bridgelall and Stubbing (2021)</w:t>
      </w:r>
      <w:r w:rsidR="007320CA" w:rsidRPr="00575A3E">
        <w:rPr>
          <w:szCs w:val="22"/>
          <w:lang w:val="en-GB"/>
        </w:rPr>
        <w:fldChar w:fldCharType="end"/>
      </w:r>
      <w:r w:rsidR="007320CA" w:rsidRPr="00575A3E">
        <w:rPr>
          <w:szCs w:val="22"/>
          <w:lang w:val="en-GB"/>
        </w:rPr>
        <w:t>, if population and employment are increased based on current statistical analyses and predictions, CAVs can possib</w:t>
      </w:r>
      <w:r w:rsidR="00F50D84" w:rsidRPr="00575A3E">
        <w:rPr>
          <w:szCs w:val="22"/>
          <w:lang w:val="en-GB"/>
        </w:rPr>
        <w:t>ly</w:t>
      </w:r>
      <w:r w:rsidR="007320CA" w:rsidRPr="00575A3E">
        <w:rPr>
          <w:szCs w:val="22"/>
          <w:lang w:val="en-GB"/>
        </w:rPr>
        <w:t xml:space="preserve"> increase demand for different land uses, thus leading to changes in the spatial distribution of activities of an urban or regional system.</w:t>
      </w:r>
      <w:r w:rsidR="004679D5" w:rsidRPr="00575A3E">
        <w:rPr>
          <w:szCs w:val="22"/>
          <w:lang w:val="en-GB"/>
        </w:rPr>
        <w:t xml:space="preserve"> Moreover, </w:t>
      </w:r>
      <w:r w:rsidR="004679D5" w:rsidRPr="00575A3E">
        <w:rPr>
          <w:szCs w:val="22"/>
          <w:lang w:val="en-GB"/>
        </w:rPr>
        <w:fldChar w:fldCharType="begin" w:fldLock="1"/>
      </w:r>
      <w:r w:rsidR="004F1159" w:rsidRPr="00575A3E">
        <w:rPr>
          <w:szCs w:val="22"/>
          <w:lang w:val="en-GB"/>
        </w:rPr>
        <w:instrText>ADDIN CSL_CITATION {"citationItems":[{"id":"ITEM-1","itemData":{"DOI":"10.1016/j.scs.2021.102800","ISSN":"22106707","abstract":"Electric vehicles (EVs) are considered a promising technology and an attractive solution for a low-carbon future. It is therefore necessary to model the market penetration of EVs and determine the role of EV adoption in future urban decarbonization scenarios. This study developed an integrated land use–transport–energy model to examine interactions between location choice, land use, transport patterns, energy profiles, and economy when implementing a stringent EV policy. Two scenarios were structured to investigate the long-term (to 2050) impacts of EV adoption on population distribution, land use patterns, transport demand, energy mix, emission profiles, and social welfare. Scenario simulations showed that ambitious market diffusion of EVs is likely to have significant positive effects on emission reduction in city centers, while economic benefits tend to occur in suburban areas, implying that EV adoption will play an important role in the spatial organization and structure of cities. The spatial heterogeneity of different urban zones requires more attention when evaluating the effectiveness of sustainable urban policies. Because disaggregated spatial interactions can be handled by the new integrated model, the methodology proposed here will be a useful tool for sustainable urban planning.","author":[{"dropping-particle":"","family":"Zhang","given":"Runsen","non-dropping-particle":"","parse-names":false,"suffix":""},{"dropping-particle":"","family":"Zhang","given":"Junyi","non-dropping-particle":"","parse-names":false,"suffix":""},{"dropping-particle":"","family":"Long","given":"Yin","non-dropping-particle":"","parse-names":false,"suffix":""},{"dropping-particle":"","family":"Wu","given":"Wenchao","non-dropping-particle":"","parse-names":false,"suffix":""},{"dropping-particle":"","family":"Liu","given":"Jingyu","non-dropping-particle":"","parse-names":false,"suffix":""},{"dropping-particle":"","family":"Jiang","given":"Ying","non-dropping-particle":"","parse-names":false,"suffix":""}],"container-title":"Sustainable Cities and Society","id":"ITEM-1","issued":{"date-parts":[["2021"]]},"title":"Long-term implications of electric vehicle penetration in urban decarbonization scenarios: An integrated land use–transport–energy model","type":"article-journal"},"uris":["http://www.mendeley.com/documents/?uuid=79182b82-0c41-4224-9ce3-3dafd1738661"]}],"mendeley":{"formattedCitation":"(Zhang et al., 2021)","manualFormatting":"Zhang et al. (2021)","plainTextFormattedCitation":"(Zhang et al., 2021)","previouslyFormattedCitation":"(Zhang et al., 2021)"},"properties":{"noteIndex":0},"schema":"https://github.com/citation-style-language/schema/raw/master/csl-citation.json"}</w:instrText>
      </w:r>
      <w:r w:rsidR="004679D5" w:rsidRPr="00575A3E">
        <w:rPr>
          <w:szCs w:val="22"/>
          <w:lang w:val="en-GB"/>
        </w:rPr>
        <w:fldChar w:fldCharType="separate"/>
      </w:r>
      <w:r w:rsidR="004679D5" w:rsidRPr="00575A3E">
        <w:rPr>
          <w:noProof/>
          <w:szCs w:val="22"/>
          <w:lang w:val="en-GB"/>
        </w:rPr>
        <w:t>Zhang et al. (2021)</w:t>
      </w:r>
      <w:r w:rsidR="004679D5" w:rsidRPr="00575A3E">
        <w:rPr>
          <w:szCs w:val="22"/>
          <w:lang w:val="en-GB"/>
        </w:rPr>
        <w:fldChar w:fldCharType="end"/>
      </w:r>
      <w:r w:rsidR="004679D5" w:rsidRPr="00575A3E">
        <w:rPr>
          <w:szCs w:val="22"/>
          <w:lang w:val="en-GB"/>
        </w:rPr>
        <w:t xml:space="preserve"> developed a LUTI framework to incorporate vehicle electrification, and based on their results activity, both residential and employment, is increased in balanced rates </w:t>
      </w:r>
      <w:r w:rsidR="004F1159" w:rsidRPr="00575A3E">
        <w:rPr>
          <w:szCs w:val="22"/>
          <w:lang w:val="en-GB"/>
        </w:rPr>
        <w:t>across the city of Changzhou in China, but activity is reduced in its peripheral zones.</w:t>
      </w:r>
    </w:p>
    <w:p w14:paraId="6AA9A157" w14:textId="77777777" w:rsidR="00E12BAC" w:rsidRPr="00575A3E" w:rsidRDefault="00E12BAC" w:rsidP="00A55356">
      <w:pPr>
        <w:spacing w:line="360" w:lineRule="auto"/>
        <w:rPr>
          <w:szCs w:val="22"/>
          <w:lang w:val="en-GB"/>
        </w:rPr>
      </w:pPr>
    </w:p>
    <w:p w14:paraId="6BE872B2" w14:textId="013E6F81" w:rsidR="00D55A12" w:rsidRPr="00575A3E" w:rsidRDefault="000D1DC7" w:rsidP="00A55356">
      <w:pPr>
        <w:spacing w:line="360" w:lineRule="auto"/>
        <w:rPr>
          <w:szCs w:val="22"/>
          <w:lang w:val="en-GB"/>
        </w:rPr>
      </w:pPr>
      <w:r w:rsidRPr="00575A3E">
        <w:rPr>
          <w:szCs w:val="22"/>
          <w:lang w:val="en-GB"/>
        </w:rPr>
        <w:t>Automation is</w:t>
      </w:r>
      <w:r w:rsidR="00E12BAC" w:rsidRPr="00575A3E">
        <w:rPr>
          <w:szCs w:val="22"/>
          <w:lang w:val="en-GB"/>
        </w:rPr>
        <w:t>, therefore,</w:t>
      </w:r>
      <w:r w:rsidRPr="00575A3E">
        <w:rPr>
          <w:szCs w:val="22"/>
          <w:lang w:val="en-GB"/>
        </w:rPr>
        <w:t xml:space="preserve"> expected to change various factors that are important in LUTI modelling. </w:t>
      </w:r>
      <w:r w:rsidR="00D55A12" w:rsidRPr="00575A3E">
        <w:rPr>
          <w:szCs w:val="22"/>
          <w:lang w:val="en-GB"/>
        </w:rPr>
        <w:t>Firstly</w:t>
      </w:r>
      <w:r w:rsidRPr="00575A3E">
        <w:rPr>
          <w:szCs w:val="22"/>
          <w:lang w:val="en-GB"/>
        </w:rPr>
        <w:t xml:space="preserve">, autonomous vehicles </w:t>
      </w:r>
      <w:r w:rsidR="00D55A12" w:rsidRPr="00575A3E">
        <w:rPr>
          <w:szCs w:val="22"/>
          <w:lang w:val="en-GB"/>
        </w:rPr>
        <w:t>will likely</w:t>
      </w:r>
      <w:r w:rsidRPr="00575A3E">
        <w:rPr>
          <w:szCs w:val="22"/>
          <w:lang w:val="en-GB"/>
        </w:rPr>
        <w:t xml:space="preserve"> reduce values of time in comparison with non-automated vehicles </w:t>
      </w:r>
      <w:r w:rsidRPr="00575A3E">
        <w:rPr>
          <w:szCs w:val="22"/>
          <w:lang w:val="en-GB"/>
        </w:rPr>
        <w:fldChar w:fldCharType="begin" w:fldLock="1"/>
      </w:r>
      <w:r w:rsidR="0002665A" w:rsidRPr="00575A3E">
        <w:rPr>
          <w:szCs w:val="22"/>
          <w:lang w:val="en-GB"/>
        </w:rPr>
        <w:instrText>ADDIN CSL_CITATION {"citationItems":[{"id":"ITEM-1","itemData":{"DOI":"10.1016/j.jtrangeo.2019.102547","ISSN":"09666923","abstract":"Increasing population and travel demand has prompted new efforts to model travel demand across the United States. One such model is rJourney that estimates travel demand among thousands of regions and models mode and destination choice. rJourney includes records representing 1.17 billion long-distance trips throughout the year 2010. Although inter-regional impacts caused by an increase of automated vehicles (AVs) has been investigated, there is little research on inter-regional travel and how longer distance destination and mode choices will change. Because of conveniences offered by AVs, the value of travel time of drivers is expected to fall, thus reducing the generalized cost of AV travel. To initially analyze the impacts of AVs in the United States, a new AV mode was added to a subset of the rJourney mode and destination choice models. With an initial scenario assuming an operating cost of AVs that is 118% of traditional cars, two outcomes are observed that are solely based on model results. First, the attractiveness of AVs severely digs into the airline travel market, reducing airline revenues to 53%. Second, the introduction of AVs results in a shift of destination choice, increasing travel in further distances for personal vehicles, but favoring closer distances across all modes, for an overall 6.7% decline in US passenger-miles traveled on existing long-distance trips. While this preliminary research has revealed an initial perspective on how an existing model can support AVs, the increasing availability of data as AVs emerge will refine nationwide long-distance modeling.","author":[{"dropping-particle":"","family":"Perrine","given":"Kenneth A.","non-dropping-particle":"","parse-names":false,"suffix":""},{"dropping-particle":"","family":"Kockelman","given":"Kara M.","non-dropping-particle":"","parse-names":false,"suffix":""},{"dropping-particle":"","family":"Huang","given":"Yantao","non-dropping-particle":"","parse-names":false,"suffix":""}],"container-title":"Journal of Transport Geography","id":"ITEM-1","issued":{"date-parts":[["2020"]]},"title":"Anticipating long-distance travel shifts due to self-driving vehicles","type":"article-journal"},"uris":["http://www.mendeley.com/documents/?uuid=76b4ba6c-012a-49d1-b279-41cc8e7f39c0"]}],"mendeley":{"formattedCitation":"(Perrine et al., 2020)","manualFormatting":"(Perrine et al., 2020)","plainTextFormattedCitation":"(Perrine et al., 2020)","previouslyFormattedCitation":"(Perrine et al., 2020)"},"properties":{"noteIndex":0},"schema":"https://github.com/citation-style-language/schema/raw/master/csl-citation.json"}</w:instrText>
      </w:r>
      <w:r w:rsidRPr="00575A3E">
        <w:rPr>
          <w:szCs w:val="22"/>
          <w:lang w:val="en-GB"/>
        </w:rPr>
        <w:fldChar w:fldCharType="separate"/>
      </w:r>
      <w:r w:rsidRPr="00575A3E">
        <w:rPr>
          <w:noProof/>
          <w:szCs w:val="22"/>
          <w:lang w:val="en-GB"/>
        </w:rPr>
        <w:t>(Perrine et al., 2020)</w:t>
      </w:r>
      <w:r w:rsidRPr="00575A3E">
        <w:rPr>
          <w:szCs w:val="22"/>
          <w:lang w:val="en-GB"/>
        </w:rPr>
        <w:fldChar w:fldCharType="end"/>
      </w:r>
      <w:r w:rsidRPr="00575A3E">
        <w:rPr>
          <w:szCs w:val="22"/>
          <w:lang w:val="en-GB"/>
        </w:rPr>
        <w:t xml:space="preserve">, due to the fact that the burden of driving will be fully or partially removed </w:t>
      </w:r>
      <w:r w:rsidRPr="00575A3E">
        <w:rPr>
          <w:szCs w:val="22"/>
          <w:lang w:val="en-GB"/>
        </w:rPr>
        <w:fldChar w:fldCharType="begin" w:fldLock="1"/>
      </w:r>
      <w:r w:rsidR="006C3199" w:rsidRPr="00575A3E">
        <w:rPr>
          <w:szCs w:val="22"/>
          <w:lang w:val="en-GB"/>
        </w:rPr>
        <w:instrText>ADDIN CSL_CITATION {"citationItems":[{"id":"ITEM-1","itemData":{"DOI":"10.1016/j.trpro.2018.09.044","ISSN":"23521465","abstract":"In recent years the transportation system, and in particular road vehicles, are becoming increasingly automated and connected. Thus there is the expectation that in the near future there will be fully automated vehicles on roads. Support for road vehicles automation include increased safety, more efficient transport system, as well as increase of the comfort level and enabling users to do other activities while travelling. Especially the last two aspects might potentially change the way people perceive the time spent travelling by car and hence lead to a reduction of the value of time in terms of willingness to pay for saving travel time. Additionally, automation enables new mobility options and access to car use for people who are currently not able or not willing to drive. As a result, mode choice preferences and travel behaviour might change in favour of the individual motorized transport. Understanding these changes is crucial when predicting the impact of automation in the context of developing a sustainable and efficient future transportation system. This study addresses the potential mode choice preference changes once automated driving becomes available. For this purpose, a stated choice experiment for currently available modes of transport and a second experiment on potentially future available alternatives were conducted. Two concepts of automated vehicles are considered - a privately owned vehicle and a vehicle on demand (i.e., a driverless taxi). This paper describes the survey design as well as the methodology used in the study and presents the first results of model estimations using simple multinomial logit for the analysis of the study data. The results suggest a potential reduction in the value of time for automated driving. Solutions for the integration of the results into a microscopic travel demand models as well as further analysis are discussed.","author":[{"dropping-particle":"","family":"Kolarova","given":"Viktoriya","non-dropping-particle":"","parse-names":false,"suffix":""},{"dropping-particle":"","family":"Steck","given":"Felix","non-dropping-particle":"","parse-names":false,"suffix":""},{"dropping-particle":"","family":"Cyganski","given":"Rita","non-dropping-particle":"","parse-names":false,"suffix":""},{"dropping-particle":"","family":"Trommer","given":"Stefan","non-dropping-particle":"","parse-names":false,"suffix":""}],"container-title":"Transportation Research Procedia","id":"ITEM-1","issued":{"date-parts":[["2018"]]},"title":"Estimation of the value of time for automated driving using revealed and stated preference methods","type":"paper-conference"},"uris":["http://www.mendeley.com/documents/?uuid=d238c810-f45b-4f83-966f-ccbb90675cfa"]},{"id":"ITEM-2","itemData":{"abstract":"It is widely believed that fully-automated vehicles (AVs) will be part of transportation systems in the foreseeable future. Technological developments are rapidly speeding up their adoption as an increasing number of car manufacturers and research centers join efforts to develop AVs. However, at present, there are numerous important knowledge gaps that need to be solved, in particular regarding the impacts of AVs on travel demand and, more broadly, on mobility. For instance, full automation will enable passengers to perform other, non-driving, related tasks while traveling to their destination. This may substantially change the way in which passengers experience traveling by car, and, in turn, may lead to considerable changes in the so-called Value-of-Travel Time (VOTT). Experts expect VOTT to decrease substantially due to AVs. However, the extent to which VOTT will get lower is currently far from clear. This study aims to develop new insights on the impacts of full AVs on the VOTT for commute trips. To do so, we estimate discrete choice models based on data obtained from a novel Stated Preference (SP) survey data, specifically designed and administered for this purpose. In total we collected data from 252 respondents. We find the VOTT for an AV with an office interior (6.26€/h) to be lower than the VOTT for the conventional car (8.37€/h). The VOTT for the conventional car is quite close to the official Dutch VOTT, providing support for the reliability of our results.","author":[{"dropping-particle":"","family":"Looff","given":"Erwin","non-dropping-particle":"de","parse-names":false,"suffix":""},{"dropping-particle":"","family":"Correia Homem de Almeida","given":"Gonçalo","non-dropping-particle":"","parse-names":false,"suffix":""},{"dropping-particle":"","family":"Cranenburgh","given":"Sander","non-dropping-particle":"van","parse-names":false,"suffix":""},{"dropping-particle":"","family":"Snelder","given":"Maaike","non-dropping-particle":"","parse-names":false,"suffix":""},{"dropping-particle":"","family":"Arem","given":"Bart","non-dropping-particle":"van","parse-names":false,"suffix":""}],"container-title":"TRB 97th Annual Meeting Compendium of Papers","id":"ITEM-2","issued":{"date-parts":[["2018"]]},"title":"Potential changes in value of travel time as a result of vehicle automation: a casestudy in the Netherlands","type":"article-journal"},"uris":["http://www.mendeley.com/documents/?uuid=f656ff9d-ae7b-47f6-b294-9d6f26ec4976"]},{"id":"ITEM-3","itemData":{"DOI":"10.1016/j.tra.2017.05.005","ISSN":"09658564","abstract":"Vehicle automation and its adoption by the vehicle purchasers is an active area of research among transportation academics. So far, most of the interest in the adoption of fully automated, driverless vehicles has focussed on private vehicles alone, yet full automation could be beneficial for commercial vehicles too. This paper identifies the vehicle sectors that will likely be the earliest adopters of full automation. Total cost of ownership analysis is used to compare the costs (and benefits) of vehicle automation for private vehicles among different income groups and commercial vehicles in the taxi and freight sectors in the UK. Commercial operations clearly benefit more from automation because the driver costs can be reduced substantially through automation. Among private users, households with the highest income will benefit more from automation because of their higher driving distances and higher perceived value of time, which can be used more productively through full automation.","author":[{"dropping-particle":"","family":"Wadud","given":"Zia","non-dropping-particle":"","parse-names":false,"suffix":""}],"container-title":"Transportation Research Part A: Policy and Practice","id":"ITEM-3","issued":{"date-parts":[["2017"]]},"title":"Fully automated vehicles: A cost of ownership analysis to inform early adoption","type":"article-journal"},"uris":["http://www.mendeley.com/documents/?uuid=8d04d03a-b407-4472-98a8-eebd29cee35d"]},{"id":"ITEM-4","itemData":{"abstract":"Autonomous vehicles are an emerging technology that is likely to have significant impacts on travel behaviour and road network operations in the medium to long term. Autonomous vehicles will improve safety on roads as they more closely observe their surroundings using technologies such as radar, lidar, GPS, and computer vision; these will be more reliable than the human eye and the system will not be subject to slow human reaction times. As a result, these driver-less cars will be able to travel closer together and operate at higher speeds, thus increasing capacity on roads. However, the improved comfort; ability to better use the time while travelling; and reduced complexity of parking will make road- based travel more attractive. This is likely to increase trip making and increase average trip lengths. The extra demand pressures could be exacerbated by the use of cars to auto-chauffeur people, reducing parking requirements but increasing counter peak traffic flows. The relative attractiveness of public transport will also be altered; on the one hand the improvements to car travel will make PT relatively less attractive; on the other hand autonomous vehicles could make PT more responsive and affordable. All of these effects are explored in the TransPosition model, and the overall impact on Brisbane's traffic assessed.","author":[{"dropping-particle":"","family":"Davidson","given":"Peter","non-dropping-particle":"","parse-names":false,"suffix":""},{"dropping-particle":"","family":"Spinoulas","given":"Anabelle","non-dropping-particle":"","parse-names":false,"suffix":""}],"container-title":"Australian Institute of Traffic Planning and Management (AITPM) National Conference","id":"ITEM-4","issued":{"date-parts":[["2015"]]},"title":"AUTONOMOUS VEHICLES-WHAT COULD THIS MEAN FOR THE FUTURE OF TRANSPORT?","type":"paper-conference"},"uris":["http://www.mendeley.com/documents/?uuid=3ebe3d18-93b4-42c2-a525-3b58de7745ad"]},{"id":"ITEM-5","itemData":{"DOI":"10.1016/j.tranpol.2020.05.007","ISSN":"1879310X","abstract":"Objective: The concept of automated cars is rapidly becoming a reality. Yet there has been very little analysis of the impacts of such developments on the performance of urban transport systems. These impacts are potentially complex. On the positive side, automation has the potential to increase road capacity, make driving available to more people, and reduce accidents and emissions. On the negative side, it could attract users away from public transport, walking and cycling, substantially increase traffic levels and stimulate urban sprawl. These impacts cannot currently be measured empirically and, by the time that they can, it will be too late to change the implementation model to rectify any resulting problems. Predictive assessments are therefore needed. This paper considers the possible impacts of automated vehicles, predicts their effects on the urban land use and transport system, and discusses the policy implications. We focus on automation of the car fleet, and do not consider the potential of automation of public transport or freight. Methods: We consider the literature on the range of attributes of automated vehicles which might affect transport and land use patterns, and suggest potential outcomes for each over the period to 2050. These include the proportion of automated vehicles in the car fleet, whether automated vehicles are privately purchased or publicly shared, the impacts on network capacity, the reduced need to pay for and walk from parking places, the potential reduction in the value of in-vehicle time and the potential use by current non-drivers. We represent these attributes in an expanded causal link diagram of the urban land use and transport system and import those causal links into the MARS system dynamics model. We determine from the literature a level for each attribute, and test the impacts in a set of ten scenarios using an updated MARS model of Leeds. Results: Based on our input assumptions, we find that car-km in 2050 could be over 50% higher than in the business as usual scenario. Public transport use could fall by 18%, threatening accessibility for those dependent on it, while walking and cycling could fall by 13%, reducing their health benefits. Overall person-km would rise, suggesting a reduction in sustainability. A requirement that all automated cars are shared vehicles could reduce these adverse impacts somewhat, but the effects are sensitive to the charge per km. Discussion: Our use of a single value for each at…","author":[{"dropping-particle":"","family":"May","given":"Anthony D.","non-dropping-particle":"","parse-names":false,"suffix":""},{"dropping-particle":"","family":"Shepherd","given":"Simon","non-dropping-particle":"","parse-names":false,"suffix":""},{"dropping-particle":"","family":"Pfaffenbichler","given":"Paul","non-dropping-particle":"","parse-names":false,"suffix":""},{"dropping-particle":"","family":"Emberger","given":"Günter","non-dropping-particle":"","parse-names":false,"suffix":""}],"container-title":"Transport Policy","id":"ITEM-5","issued":{"date-parts":[["2020"]]},"title":"The potential impacts of automated cars on urban transport: An exploratory analysis","type":"article-journal","volume":"98"},"uris":["http://www.mendeley.com/documents/?uuid=584973b5-8054-3ae3-8f82-0da190e5fac8"]},{"id":"ITEM-6","itemData":{"DOI":"10.1016/j.tranpol.2020.06.014","ISSN":"1879310X","abstract":"Objective: Digitisation and automation are expected to change the transport system and settlement structures in a disruptive way. Due to new developments in sensor and communication technology different business models of automated vehicles (AV) - such as private AV, car-sharing-AV, ride-sharing-AV and public transport-AV – are likely to enter the transport market. Further, different penetration rates of AVs, extension of user groups (elderly and young, people without driving licenses etc.), different cost scenarios of AV veh-kms, parking regimes/fees, etc. will have significant impact on future transport demand. The objective of the work presented in this paper was to develop a simulation-based approach to analyse the potential impacts of different vehicle automation scenarios in Austria. Method: A multitude of complex cause-effect-chains and feedback loops characterise the relationship between AV take up, travel demand and environmental effects. The method of System Dynamics (SD) is designed to deal with such complexities. As a first step the qualitative method of Causal Loop Diagrams (CLD) was used to identify all potential automation related factors influencing the attractiveness of car and public transport use. In a second step the identified factors were coded into an operational version of the Stock-Flow based land use and transport interaction model MARS (Metropolitan Activity Relocation Simulator). As a third step sensitivity tests and scenarios were defined and simulated. Finally the resulting quantitative impacts were assessed and discussed. Results: In this paper we describe briefly how MARS was adapted to be able to simulate the effects of different AV-take up rates on the national level of Austria. Simulation results are presented for the scenario elements road capacity, remote parking, value of travel time, access for new user groups in the business models private car, car-sharing and ride-sharing and automation of the first and last mile in public transport. The results show that with a fleet share of 90% of private AVs in 2050, the nationwide changes in veh-kms travelled are between −2% (impact on road capacity) and +22 percent (new user groups in the case of AVs as private cars). Policy implications: An uncontrolled market take-up of AVs into the transport system will very likely increase the dependency on motorized transport, veh-kms driven and related emissions. Compensating policies have to be implemented in parallel to avoid un-sus…","author":[{"dropping-particle":"","family":"Emberger","given":"Guenter","non-dropping-particle":"","parse-names":false,"suffix":""},{"dropping-particle":"","family":"Pfaffenbichler","given":"Paul","non-dropping-particle":"","parse-names":false,"suffix":""}],"container-title":"Transport Policy","id":"ITEM-6","issued":{"date-parts":[["2020"]]},"title":"A quantitative analysis of potential impacts of automated vehicles in Austria using a dynamic integrated land use and transport interaction model","type":"article-journal"},"uris":["http://www.mendeley.com/documents/?uuid=ebb23ddf-d9b6-4850-80ce-74011b241851"]}],"mendeley":{"formattedCitation":"(Davidson and Spinoulas, 2015; de Looff et al., 2018; Emberger and Pfaffenbichler, 2020; Kolarova et al., 2018; May et al., 2020; Wadud, 2017)","plainTextFormattedCitation":"(Davidson and Spinoulas, 2015; de Looff et al., 2018; Emberger and Pfaffenbichler, 2020; Kolarova et al., 2018; May et al., 2020; Wadud, 2017)","previouslyFormattedCitation":"(Davidson and Spinoulas, 2015; de Looff et al., 2018; Emberger and Pfaffenbichler, 2020; Kolarova et al., 2018; May et al., 2020; Wadud, 2017)"},"properties":{"noteIndex":0},"schema":"https://github.com/citation-style-language/schema/raw/master/csl-citation.json"}</w:instrText>
      </w:r>
      <w:r w:rsidRPr="00575A3E">
        <w:rPr>
          <w:szCs w:val="22"/>
          <w:lang w:val="en-GB"/>
        </w:rPr>
        <w:fldChar w:fldCharType="separate"/>
      </w:r>
      <w:r w:rsidR="00A320A0" w:rsidRPr="00575A3E">
        <w:rPr>
          <w:noProof/>
          <w:szCs w:val="22"/>
          <w:lang w:val="en-GB"/>
        </w:rPr>
        <w:t>(Davidson and Spinoulas, 2015; de Looff et al., 2018; Emberger and Pfaffenbichler, 2020; Kolarova et al., 2018; May et al., 2020; Wadud, 2017)</w:t>
      </w:r>
      <w:r w:rsidRPr="00575A3E">
        <w:rPr>
          <w:szCs w:val="22"/>
          <w:lang w:val="en-GB"/>
        </w:rPr>
        <w:fldChar w:fldCharType="end"/>
      </w:r>
      <w:r w:rsidRPr="00575A3E">
        <w:rPr>
          <w:szCs w:val="22"/>
          <w:lang w:val="en-GB"/>
        </w:rPr>
        <w:t>. Moreover, the existence of electrification is also expected to change the generalised costs of travelling, because the vehicle operating costs will be reduced</w:t>
      </w:r>
      <w:r w:rsidR="007038DD" w:rsidRPr="00575A3E">
        <w:rPr>
          <w:szCs w:val="22"/>
          <w:lang w:val="en-GB"/>
        </w:rPr>
        <w:t xml:space="preserve"> </w:t>
      </w:r>
      <w:r w:rsidRPr="00575A3E">
        <w:rPr>
          <w:szCs w:val="22"/>
          <w:lang w:val="en-GB"/>
        </w:rPr>
        <w:fldChar w:fldCharType="begin" w:fldLock="1"/>
      </w:r>
      <w:r w:rsidR="002859DD" w:rsidRPr="00575A3E">
        <w:rPr>
          <w:szCs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Pr="00575A3E">
        <w:rPr>
          <w:szCs w:val="22"/>
          <w:lang w:val="en-GB"/>
        </w:rPr>
        <w:fldChar w:fldCharType="separate"/>
      </w:r>
      <w:r w:rsidR="002859DD" w:rsidRPr="00575A3E">
        <w:rPr>
          <w:noProof/>
          <w:szCs w:val="22"/>
          <w:lang w:val="en-GB"/>
        </w:rPr>
        <w:t>(UK Department for Transport, 2021a)</w:t>
      </w:r>
      <w:r w:rsidRPr="00575A3E">
        <w:rPr>
          <w:szCs w:val="22"/>
          <w:lang w:val="en-GB"/>
        </w:rPr>
        <w:fldChar w:fldCharType="end"/>
      </w:r>
      <w:r w:rsidR="007038DD" w:rsidRPr="00575A3E">
        <w:rPr>
          <w:szCs w:val="22"/>
          <w:lang w:val="en-GB"/>
        </w:rPr>
        <w:t>, assuming of course that the current prices and taxes will be maintained.</w:t>
      </w:r>
    </w:p>
    <w:p w14:paraId="10D6A37A" w14:textId="77777777" w:rsidR="00D55A12" w:rsidRPr="00575A3E" w:rsidRDefault="00D55A12" w:rsidP="00A55356">
      <w:pPr>
        <w:spacing w:line="360" w:lineRule="auto"/>
        <w:rPr>
          <w:szCs w:val="22"/>
          <w:lang w:val="en-GB"/>
        </w:rPr>
      </w:pPr>
    </w:p>
    <w:p w14:paraId="0768AC2A" w14:textId="06F083A3" w:rsidR="00E201B4" w:rsidRPr="00575A3E" w:rsidRDefault="000D1DC7" w:rsidP="00A55356">
      <w:pPr>
        <w:spacing w:line="360" w:lineRule="auto"/>
        <w:rPr>
          <w:szCs w:val="22"/>
          <w:lang w:val="en-GB"/>
        </w:rPr>
      </w:pPr>
      <w:r w:rsidRPr="00575A3E">
        <w:rPr>
          <w:szCs w:val="22"/>
          <w:lang w:val="en-GB"/>
        </w:rPr>
        <w:t xml:space="preserve">Another important aspect that will be affected is trip generation. For example, </w:t>
      </w:r>
      <w:r w:rsidRPr="00575A3E">
        <w:rPr>
          <w:szCs w:val="22"/>
          <w:lang w:val="en-GB"/>
        </w:rPr>
        <w:fldChar w:fldCharType="begin" w:fldLock="1"/>
      </w:r>
      <w:r w:rsidR="0002665A" w:rsidRPr="00575A3E">
        <w:rPr>
          <w:szCs w:val="22"/>
          <w:lang w:val="en-GB"/>
        </w:rPr>
        <w:instrText>ADDIN CSL_CITATION {"citationItems":[{"id":"ITEM-1","itemData":{"DOI":"10.1177/0361198120922544","ISSN":"0361-1981","abstract":"Automated vehicles (AVs) are a concrete possibility in the near future. As AVs may shift transportation paradigms, transportation agencies are eager to update their models to consider them in planning. In this context, the use of advanced models may be challenging, given the uncertainty in the use and deployment of AVs. In this paper, we present a general framework to extend the four-step model to include AVs, and test our extension on North Central Texas Council of Governments’ model. Our approach introduces a module for AV ownership and exogenous parameters into an existing four-step model to account for changes in travel decisions for AV owners, and for the impacts of AVs on network performance. The latter is modeled using the concept of passenger-car-equivalent to avoid imposing network-wide assumptions on AVs’ capacity consumption. We analyze five scenarios, representing different assumptions on the impacts of AVs, and include references to inform the selection of modeling parameters. We compute aggregate metrics that suggest that the model is sensitive to the proposed parameters, with the passenger-car-equivalent assumptions having the largest impact on model outcomes. Results suggest that, even when we assume that AVs can better use network capacity and that trip-making rates do not drastically increase, AVs may lead to an increase of about 2.8% in vehicle-hours traveled while also improving speeds by about 1.8%. If AVs introduce additional friction on traffic, the system performance may deteriorate. The analyses presented here suggest that existing modeling tools may be adjusted to support analyses of a future with AVs.","author":[{"dropping-particle":"","family":"Dias","given":"Felipe F.","non-dropping-particle":"","parse-names":false,"suffix":""},{"dropping-particle":"","family":"Nair","given":"Gopindra S.","non-dropping-particle":"","parse-names":false,"suffix":""},{"dropping-particle":"","family":"Ruíz-Juri","given":"Natalia","non-dropping-particle":"","parse-names":false,"suffix":""},{"dropping-particle":"","family":"Bhat","given":"Chandra R.","non-dropping-particle":"","parse-names":false,"suffix":""},{"dropping-particle":"","family":"Mirzaei","given":"Arash","non-dropping-particle":"","parse-names":false,"suffix":""}],"container-title":"Transportation Research Record: Journal of the Transportation Research Board","id":"ITEM-1","issued":{"date-parts":[["2020"]]},"title":"Incorporating Autonomous Vehicles in the Traditional Four-Step Model","type":"article-journal"},"uris":["http://www.mendeley.com/documents/?uuid=a8b45399-4557-4177-b74d-cc492747af11"]}],"mendeley":{"formattedCitation":"(Dias et al., 2020)","manualFormatting":"Dias et al. (2020)","plainTextFormattedCitation":"(Dias et al., 2020)","previouslyFormattedCitation":"(Dias et al., 2020)"},"properties":{"noteIndex":0},"schema":"https://github.com/citation-style-language/schema/raw/master/csl-citation.json"}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Dias </w:t>
      </w:r>
      <w:r w:rsidRPr="00575A3E">
        <w:rPr>
          <w:i/>
          <w:noProof/>
          <w:szCs w:val="22"/>
          <w:lang w:val="en-GB"/>
        </w:rPr>
        <w:t>et al.</w:t>
      </w:r>
      <w:r w:rsidRPr="00575A3E">
        <w:rPr>
          <w:noProof/>
          <w:szCs w:val="22"/>
          <w:lang w:val="en-GB"/>
        </w:rPr>
        <w:t xml:space="preserve"> (2020)</w:t>
      </w:r>
      <w:r w:rsidRPr="00575A3E">
        <w:rPr>
          <w:szCs w:val="22"/>
          <w:lang w:val="en-GB"/>
        </w:rPr>
        <w:fldChar w:fldCharType="end"/>
      </w:r>
      <w:r w:rsidRPr="00575A3E">
        <w:rPr>
          <w:szCs w:val="22"/>
          <w:lang w:val="en-GB"/>
        </w:rPr>
        <w:t xml:space="preserve"> attempt to incorporate autonomous vehicles in the classical four-stage model. In the trip generation stage, it is suggested that because of less inconvenience related to driving and latent demand, autonomous vehicles become more desirable and this lead</w:t>
      </w:r>
      <w:r w:rsidR="00D55A12" w:rsidRPr="00575A3E">
        <w:rPr>
          <w:szCs w:val="22"/>
          <w:lang w:val="en-GB"/>
        </w:rPr>
        <w:t>s to</w:t>
      </w:r>
      <w:r w:rsidRPr="00575A3E">
        <w:rPr>
          <w:szCs w:val="22"/>
          <w:lang w:val="en-GB"/>
        </w:rPr>
        <w:t xml:space="preserve"> potentially more vehicle trips. This assumption is also in line with the paper of </w:t>
      </w:r>
      <w:r w:rsidRPr="00575A3E">
        <w:rPr>
          <w:szCs w:val="22"/>
          <w:lang w:val="en-GB"/>
        </w:rPr>
        <w:fldChar w:fldCharType="begin" w:fldLock="1"/>
      </w:r>
      <w:r w:rsidR="0002665A" w:rsidRPr="00575A3E">
        <w:rPr>
          <w:szCs w:val="22"/>
          <w:lang w:val="en-GB"/>
        </w:rPr>
        <w:instrText>ADDIN CSL_CITATION {"citationItems":[{"id":"ITEM-1","itemData":{"DOI":"10.1007/s11116-017-9802-2","ISSN":"15729435","abstract":"© 2017, Springer Science+Business Media, LLC. Autonomous vehicles (AVs) potentially increase vehicle travel by reducing travel and parking costs and by providing improved mobility to those who are too young to drive or older people. The increase in vehicle travel could be generated by both trip diversion from other modes and entirely new trips. Existing studies however tend to overlook AVs’ impacts on entirely new trips. There is a need to develop a methodology for estimating possible impacts of AVs on entirely new trips across all age groups. This paper explores the impacts of AVs on car trips using a case study of Victoria, Australia. A new methodology for estimating entirely new trips associated with AVs is proposed by measuring gaps in travel need at different life stages. Results show that AVs would increase daily trips by 4.14% on average. The 76+ age group would have the largest increase of 18.5%, followed by the 18–24 age group and the 12–17 age group with 14.6 and 11.1% respectively. If car occupancy remains constant in AV scenarios, entirely new trips and trip diversions from public transport and active modes would lead to a 7.31% increase in car trips. However increases in car travel are substantially magnified by reduced car occupancy rates, a trend evidenced throughout the world. Car occupancy would need to increase by at least 5.3–7.3% to keep car trips unchanged in AV scenarios.","author":[{"dropping-particle":"","family":"Truong","given":"Long T.","non-dropping-particle":"","parse-names":false,"suffix":""},{"dropping-particle":"","family":"Gruyter","given":"Chris","non-dropping-particle":"De","parse-names":false,"suffix":""},{"dropping-particle":"","family":"Currie","given":"Graham","non-dropping-particle":"","parse-names":false,"suffix":""},{"dropping-particle":"","family":"Delbosc","given":"Alexa","non-dropping-particle":"","parse-names":false,"suffix":""}],"container-title":"Transportation","id":"ITEM-1","issue":"6","issued":{"date-parts":[["2017"]]},"page":"1279-1292","title":"Estimating the trip generation impacts of autonomous vehicles on car travel in Victoria, Australia","type":"article-journal","volume":"44"},"uris":["http://www.mendeley.com/documents/?uuid=21047d4c-ae5e-4ec4-b951-b356687f6c20"]}],"mendeley":{"formattedCitation":"(Truong et al., 2017)","manualFormatting":"Truong et al. (2017)","plainTextFormattedCitation":"(Truong et al., 2017)","previouslyFormattedCitation":"(Truong et al., 2017)"},"properties":{"noteIndex":0},"schema":"https://github.com/citation-style-language/schema/raw/master/csl-citation.json"}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Truong </w:t>
      </w:r>
      <w:r w:rsidRPr="00575A3E">
        <w:rPr>
          <w:i/>
          <w:noProof/>
          <w:szCs w:val="22"/>
          <w:lang w:val="en-GB"/>
        </w:rPr>
        <w:t>et al.</w:t>
      </w:r>
      <w:r w:rsidRPr="00575A3E">
        <w:rPr>
          <w:noProof/>
          <w:szCs w:val="22"/>
          <w:lang w:val="en-GB"/>
        </w:rPr>
        <w:t xml:space="preserve"> (2017)</w:t>
      </w:r>
      <w:r w:rsidRPr="00575A3E">
        <w:rPr>
          <w:szCs w:val="22"/>
          <w:lang w:val="en-GB"/>
        </w:rPr>
        <w:fldChar w:fldCharType="end"/>
      </w:r>
      <w:r w:rsidRPr="00575A3E">
        <w:rPr>
          <w:szCs w:val="22"/>
          <w:lang w:val="en-GB"/>
        </w:rPr>
        <w:t xml:space="preserve">, where </w:t>
      </w:r>
      <w:r w:rsidR="00D55A12" w:rsidRPr="00575A3E">
        <w:rPr>
          <w:szCs w:val="22"/>
          <w:lang w:val="en-GB"/>
        </w:rPr>
        <w:t xml:space="preserve">the </w:t>
      </w:r>
      <w:r w:rsidRPr="00575A3E">
        <w:rPr>
          <w:szCs w:val="22"/>
          <w:lang w:val="en-GB"/>
        </w:rPr>
        <w:t xml:space="preserve">trip generation impacts of autonomous vehicles </w:t>
      </w:r>
      <w:r w:rsidR="00D55A12" w:rsidRPr="00575A3E">
        <w:rPr>
          <w:szCs w:val="22"/>
          <w:lang w:val="en-GB"/>
        </w:rPr>
        <w:t>a</w:t>
      </w:r>
      <w:r w:rsidRPr="00575A3E">
        <w:rPr>
          <w:szCs w:val="22"/>
          <w:lang w:val="en-GB"/>
        </w:rPr>
        <w:t xml:space="preserve">re analysed in Victoria, Australia by introducing a new model to estimate trip rates, considering also vehicle autonomy </w:t>
      </w:r>
      <w:r w:rsidRPr="00575A3E">
        <w:rPr>
          <w:szCs w:val="22"/>
          <w:lang w:val="en-GB"/>
        </w:rPr>
        <w:fldChar w:fldCharType="begin" w:fldLock="1"/>
      </w:r>
      <w:r w:rsidR="00BF7603" w:rsidRPr="00575A3E">
        <w:rPr>
          <w:szCs w:val="22"/>
          <w:lang w:val="en-GB"/>
        </w:rPr>
        <w:instrText>ADDIN CSL_CITATION {"citationItems":[{"id":"ITEM-1","itemData":{"DOI":"10.1007/s11116-017-9802-2","ISSN":"15729435","abstract":"© 2017, Springer Science+Business Media, LLC. Autonomous vehicles (AVs) potentially increase vehicle travel by reducing travel and parking costs and by providing improved mobility to those who are too young to drive or older people. The increase in vehicle travel could be generated by both trip diversion from other modes and entirely new trips. Existing studies however tend to overlook AVs’ impacts on entirely new trips. There is a need to develop a methodology for estimating possible impacts of AVs on entirely new trips across all age groups. This paper explores the impacts of AVs on car trips using a case study of Victoria, Australia. A new methodology for estimating entirely new trips associated with AVs is proposed by measuring gaps in travel need at different life stages. Results show that AVs would increase daily trips by 4.14% on average. The 76+ age group would have the largest increase of 18.5%, followed by the 18–24 age group and the 12–17 age group with 14.6 and 11.1% respectively. If car occupancy remains constant in AV scenarios, entirely new trips and trip diversions from public transport and active modes would lead to a 7.31% increase in car trips. However increases in car travel are substantially magnified by reduced car occupancy rates, a trend evidenced throughout the world. Car occupancy would need to increase by at least 5.3–7.3% to keep car trips unchanged in AV scenarios.","author":[{"dropping-particle":"","family":"Truong","given":"Long T.","non-dropping-particle":"","parse-names":false,"suffix":""},{"dropping-particle":"","family":"Gruyter","given":"Chris","non-dropping-particle":"De","parse-names":false,"suffix":""},{"dropping-particle":"","family":"Currie","given":"Graham","non-dropping-particle":"","parse-names":false,"suffix":""},{"dropping-particle":"","family":"Delbosc","given":"Alexa","non-dropping-particle":"","parse-names":false,"suffix":""}],"container-title":"Transportation","id":"ITEM-1","issue":"6","issued":{"date-parts":[["2017"]]},"page":"1279-1292","title":"Estimating the trip generation impacts of autonomous vehicles on car travel in Victoria, Australia","type":"article-journal","volume":"44"},"uris":["http://www.mendeley.com/documents/?uuid=21047d4c-ae5e-4ec4-b951-b356687f6c20"]}],"mendeley":{"formattedCitation":"(Truong et al., 2017)","plainTextFormattedCitation":"(Truong et al., 2017)","previouslyFormattedCitation":"(Truong et al., 2017)"},"properties":{"noteIndex":0},"schema":"https://github.com/citation-style-language/schema/raw/master/csl-citation.json"}</w:instrText>
      </w:r>
      <w:r w:rsidRPr="00575A3E">
        <w:rPr>
          <w:szCs w:val="22"/>
          <w:lang w:val="en-GB"/>
        </w:rPr>
        <w:fldChar w:fldCharType="separate"/>
      </w:r>
      <w:r w:rsidR="008119F3" w:rsidRPr="00575A3E">
        <w:rPr>
          <w:noProof/>
          <w:szCs w:val="22"/>
          <w:lang w:val="en-GB"/>
        </w:rPr>
        <w:t>(Truong et al., 2017)</w:t>
      </w:r>
      <w:r w:rsidRPr="00575A3E">
        <w:rPr>
          <w:szCs w:val="22"/>
          <w:lang w:val="en-GB"/>
        </w:rPr>
        <w:fldChar w:fldCharType="end"/>
      </w:r>
      <w:r w:rsidRPr="00575A3E">
        <w:rPr>
          <w:szCs w:val="22"/>
          <w:lang w:val="en-GB"/>
        </w:rPr>
        <w:t>. Trip rates will also increase f</w:t>
      </w:r>
      <w:r w:rsidR="00D55A12" w:rsidRPr="00575A3E">
        <w:rPr>
          <w:szCs w:val="22"/>
          <w:lang w:val="en-GB"/>
        </w:rPr>
        <w:t>o</w:t>
      </w:r>
      <w:r w:rsidRPr="00575A3E">
        <w:rPr>
          <w:szCs w:val="22"/>
          <w:lang w:val="en-GB"/>
        </w:rPr>
        <w:t xml:space="preserve">r Zero Occupancy Vehicle (ZOV) trips </w:t>
      </w:r>
      <w:r w:rsidR="00D55A12" w:rsidRPr="00575A3E">
        <w:rPr>
          <w:szCs w:val="22"/>
          <w:lang w:val="en-GB"/>
        </w:rPr>
        <w:t xml:space="preserve">due to </w:t>
      </w:r>
      <w:r w:rsidRPr="00575A3E">
        <w:rPr>
          <w:szCs w:val="22"/>
          <w:lang w:val="en-GB"/>
        </w:rPr>
        <w:t>trips of seniors and students that will</w:t>
      </w:r>
      <w:r w:rsidR="00D55A12" w:rsidRPr="00575A3E">
        <w:rPr>
          <w:szCs w:val="22"/>
          <w:lang w:val="en-GB"/>
        </w:rPr>
        <w:t>,</w:t>
      </w:r>
      <w:r w:rsidRPr="00575A3E">
        <w:rPr>
          <w:szCs w:val="22"/>
          <w:lang w:val="en-GB"/>
        </w:rPr>
        <w:t xml:space="preserve"> in the future</w:t>
      </w:r>
      <w:r w:rsidR="00D55A12" w:rsidRPr="00575A3E">
        <w:rPr>
          <w:szCs w:val="22"/>
          <w:lang w:val="en-GB"/>
        </w:rPr>
        <w:t>,</w:t>
      </w:r>
      <w:r w:rsidRPr="00575A3E">
        <w:rPr>
          <w:szCs w:val="22"/>
          <w:lang w:val="en-GB"/>
        </w:rPr>
        <w:t xml:space="preserve"> have access to automation </w:t>
      </w:r>
      <w:r w:rsidRPr="00575A3E">
        <w:rPr>
          <w:szCs w:val="22"/>
          <w:lang w:val="en-GB"/>
        </w:rPr>
        <w:fldChar w:fldCharType="begin" w:fldLock="1"/>
      </w:r>
      <w:r w:rsidR="0002665A" w:rsidRPr="00575A3E">
        <w:rPr>
          <w:szCs w:val="22"/>
          <w:lang w:val="en-GB"/>
        </w:rPr>
        <w:instrText>ADDIN CSL_CITATION {"citationItems":[{"id":"ITEM-1","itemData":{"DOI":"10.1177/0361198119846478","ISSN":"21694052","abstract":"While a range of methods have been employed to quantify certain anticipated impacts of connected and autonomous vehicles (CAVs), a comprehensive framework for integrating CAVs into trip-based models, like those used by many metropolitan areas today, is lacking. Without real-world CAV usage data, integrating CAVs into trip-based models today requires speculative modeling assumptions; however, incorporating fundamental parameters into existing travel modeling frameworks is timely for two reasons. First, understanding the range of possible futures from scenario planning or exploratory modeling analysis can assist metropolitan areas anticipate and manage the potential risks and benefits of CAVs. Second, data on the travel behavior of early CAV adopters will become available during the lifespan of many models currently in use or development. This paper summarizes an enhanced trip-based modeling framework incorporating uncertainties related to CAVs initially developed in support of the Michigan Department of Transportation’s statewide model. This framework is now being applied in statewide and metropolitan scale models in Michigan, Illinois, Virginia, Indiana, and South Carolina. An important contribution of this framework is its typology of and methods for representing zero-occupant vehicle (ZOV) trips. Additionally, this paper details an exploratory analysis of CAV scenarios in Vermont using a trip-based model incorporating several elements of the framework. In this application, reasonable assumptions related to induced CAV demand, including ZOV trips, resulted in substantial increases in vehicle miles traveled, vehicle hours traveled, and delay despite capacity increases, demonstrating how relatively basic trip-based scenario modeling of CAVs can be a valuable tool for informing and encouraging public policy discussions.","author":[{"dropping-particle":"","family":"Bernardin","given":"Vincent L.","non-dropping-particle":"","parse-names":false,"suffix":""},{"dropping-particle":"","family":"Mansfield","given":"Theodore","non-dropping-particle":"","parse-names":false,"suffix":""},{"dropping-particle":"","family":"Swanson","given":"Benjamin","non-dropping-particle":"","parse-names":false,"suffix":""},{"dropping-particle":"","family":"Sadrsadat","given":"Hadi","non-dropping-particle":"","parse-names":false,"suffix":""},{"dropping-particle":"","family":"Bindra","given":"Sumit","non-dropping-particle":"","parse-names":false,"suffix":""}],"container-title":"Transportation Research Record","id":"ITEM-1","issued":{"date-parts":[["2019"]]},"title":"Scenario Modeling of Autonomous Vehicles with Trip-Based Models","type":"article-journal"},"uris":["http://www.mendeley.com/documents/?uuid=b8ecf1bb-ea17-4c6e-865e-134f3e350c7c"]}],"mendeley":{"formattedCitation":"(Bernardin et al., 2019)","plainTextFormattedCitation":"(Bernardin et al., 2019)","previouslyFormattedCitation":"(Bernardin et al., 2019)"},"properties":{"noteIndex":0},"schema":"https://github.com/citation-style-language/schema/raw/master/csl-citation.json"}</w:instrText>
      </w:r>
      <w:r w:rsidRPr="00575A3E">
        <w:rPr>
          <w:szCs w:val="22"/>
          <w:lang w:val="en-GB"/>
        </w:rPr>
        <w:fldChar w:fldCharType="separate"/>
      </w:r>
      <w:r w:rsidR="00BF7603" w:rsidRPr="00575A3E">
        <w:rPr>
          <w:noProof/>
          <w:szCs w:val="22"/>
          <w:lang w:val="en-GB"/>
        </w:rPr>
        <w:t>(Bernardin et al., 2019)</w:t>
      </w:r>
      <w:r w:rsidRPr="00575A3E">
        <w:rPr>
          <w:szCs w:val="22"/>
          <w:lang w:val="en-GB"/>
        </w:rPr>
        <w:fldChar w:fldCharType="end"/>
      </w:r>
      <w:r w:rsidRPr="00575A3E">
        <w:rPr>
          <w:szCs w:val="22"/>
          <w:lang w:val="en-GB"/>
        </w:rPr>
        <w:t>.</w:t>
      </w:r>
      <w:r w:rsidR="00387813" w:rsidRPr="00575A3E">
        <w:rPr>
          <w:szCs w:val="22"/>
          <w:lang w:val="en-GB"/>
        </w:rPr>
        <w:t xml:space="preserve"> </w:t>
      </w:r>
    </w:p>
    <w:p w14:paraId="62CA0048" w14:textId="77777777" w:rsidR="00E201B4" w:rsidRPr="00575A3E" w:rsidRDefault="00E201B4" w:rsidP="00A55356">
      <w:pPr>
        <w:spacing w:line="360" w:lineRule="auto"/>
        <w:rPr>
          <w:szCs w:val="22"/>
          <w:lang w:val="en-GB"/>
        </w:rPr>
      </w:pPr>
    </w:p>
    <w:p w14:paraId="04B01F16" w14:textId="5BB50BEE" w:rsidR="00387813" w:rsidRPr="00575A3E" w:rsidRDefault="00D55A12" w:rsidP="00387813">
      <w:pPr>
        <w:spacing w:line="360" w:lineRule="auto"/>
        <w:rPr>
          <w:szCs w:val="22"/>
          <w:lang w:val="en-GB"/>
        </w:rPr>
      </w:pPr>
      <w:r w:rsidRPr="00575A3E">
        <w:rPr>
          <w:szCs w:val="22"/>
          <w:lang w:val="en-GB"/>
        </w:rPr>
        <w:lastRenderedPageBreak/>
        <w:t>Changes are also to be expected in</w:t>
      </w:r>
      <w:r w:rsidR="000D1DC7" w:rsidRPr="00575A3E">
        <w:rPr>
          <w:szCs w:val="22"/>
          <w:lang w:val="en-GB"/>
        </w:rPr>
        <w:t xml:space="preserve"> road capacity as a result of </w:t>
      </w:r>
      <w:r w:rsidRPr="00575A3E">
        <w:rPr>
          <w:szCs w:val="22"/>
          <w:lang w:val="en-GB"/>
        </w:rPr>
        <w:t xml:space="preserve">shorter </w:t>
      </w:r>
      <w:r w:rsidR="000D1DC7" w:rsidRPr="00575A3E">
        <w:rPr>
          <w:szCs w:val="22"/>
          <w:lang w:val="en-GB"/>
        </w:rPr>
        <w:t>headways</w:t>
      </w:r>
      <w:r w:rsidRPr="00575A3E">
        <w:rPr>
          <w:szCs w:val="22"/>
          <w:lang w:val="en-GB"/>
        </w:rPr>
        <w:t xml:space="preserve"> between vehicles in traffic, enabled by the improved reliability of the vehicles’</w:t>
      </w:r>
      <w:r w:rsidR="000D1DC7" w:rsidRPr="00575A3E">
        <w:rPr>
          <w:szCs w:val="22"/>
          <w:lang w:val="en-GB"/>
        </w:rPr>
        <w:t xml:space="preserve"> connectivity</w:t>
      </w:r>
      <w:r w:rsidRPr="00575A3E">
        <w:rPr>
          <w:szCs w:val="22"/>
          <w:lang w:val="en-GB"/>
        </w:rPr>
        <w:t xml:space="preserve"> features</w:t>
      </w:r>
      <w:r w:rsidR="000D1DC7" w:rsidRPr="00575A3E">
        <w:rPr>
          <w:szCs w:val="22"/>
          <w:lang w:val="en-GB"/>
        </w:rPr>
        <w:t xml:space="preserve"> </w:t>
      </w:r>
      <w:r w:rsidR="000D1DC7" w:rsidRPr="00575A3E">
        <w:rPr>
          <w:szCs w:val="22"/>
          <w:lang w:val="en-GB"/>
        </w:rPr>
        <w:fldChar w:fldCharType="begin" w:fldLock="1"/>
      </w:r>
      <w:r w:rsidR="00E201B4" w:rsidRPr="00575A3E">
        <w:rPr>
          <w:szCs w:val="22"/>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Prefecture","type":"article-journal"},"uris":["http://www.mendeley.com/documents/?uuid=a3da3ce1-5370-4fcf-b4f8-ac17abc381b7"]},{"id":"ITEM-2","itemData":{"DOI":"10.1177/0361198120922544","ISSN":"0361-1981","abstract":"Automated vehicles (AVs) are a concrete possibility in the near future. As AVs may shift transportation paradigms, transportation agencies are eager to update their models to consider them in planning. In this context, the use of advanced models may be challenging, given the uncertainty in the use and deployment of AVs. In this paper, we present a general framework to extend the four-step model to include AVs, and test our extension on North Central Texas Council of Governments’ model. Our approach introduces a module for AV ownership and exogenous parameters into an existing four-step model to account for changes in travel decisions for AV owners, and for the impacts of AVs on network performance. The latter is modeled using the concept of passenger-car-equivalent to avoid imposing network-wide assumptions on AVs’ capacity consumption. We analyze five scenarios, representing different assumptions on the impacts of AVs, and include references to inform the selection of modeling parameters. We compute aggregate metrics that suggest that the model is sensitive to the proposed parameters, with the passenger-car-equivalent assumptions having the largest impact on model outcomes. Results suggest that, even when we assume that AVs can better use network capacity and that trip-making rates do not drastically increase, AVs may lead to an increase of about 2.8% in vehicle-hours traveled while also improving speeds by about 1.8%. If AVs introduce additional friction on traffic, the system performance may deteriorate. The analyses presented here suggest that existing modeling tools may be adjusted to support analyses of a future with AVs.","author":[{"dropping-particle":"","family":"Dias","given":"Felipe F.","non-dropping-particle":"","parse-names":false,"suffix":""},{"dropping-particle":"","family":"Nair","given":"Gopindra S.","non-dropping-particle":"","parse-names":false,"suffix":""},{"dropping-particle":"","family":"Ruíz-Juri","given":"Natalia","non-dropping-particle":"","parse-names":false,"suffix":""},{"dropping-particle":"","family":"Bhat","given":"Chandra R.","non-dropping-particle":"","parse-names":false,"suffix":""},{"dropping-particle":"","family":"Mirzaei","given":"Arash","non-dropping-particle":"","parse-names":false,"suffix":""}],"container-title":"Transportation Research Record: Journal of the Transportation Research Board","id":"ITEM-2","issued":{"date-parts":[["2020"]]},"title":"Incorporating Autonomous Vehicles in the Traditional Four-Step Model","type":"article-journal"},"uris":["http://www.mendeley.com/documents/?uuid=a8b45399-4557-4177-b74d-cc492747af11"]},{"id":"ITEM-3","itemData":{"DOI":"10.1016/j.tranpol.2020.05.007","ISSN":"1879310X","abstract":"Objective: The concept of automated cars is rapidly becoming a reality. Yet there has been very little analysis of the impacts of such developments on the performance of urban transport systems. These impacts are potentially complex. On the positive side, automation has the potential to increase road capacity, make driving available to more people, and reduce accidents and emissions. On the negative side, it could attract users away from public transport, walking and cycling, substantially increase traffic levels and stimulate urban sprawl. These impacts cannot currently be measured empirically and, by the time that they can, it will be too late to change the implementation model to rectify any resulting problems. Predictive assessments are therefore needed. This paper considers the possible impacts of automated vehicles, predicts their effects on the urban land use and transport system, and discusses the policy implications. We focus on automation of the car fleet, and do not consider the potential of automation of public transport or freight. Methods: We consider the literature on the range of attributes of automated vehicles which might affect transport and land use patterns, and suggest potential outcomes for each over the period to 2050. These include the proportion of automated vehicles in the car fleet, whether automated vehicles are privately purchased or publicly shared, the impacts on network capacity, the reduced need to pay for and walk from parking places, the potential reduction in the value of in-vehicle time and the potential use by current non-drivers. We represent these attributes in an expanded causal link diagram of the urban land use and transport system and import those causal links into the MARS system dynamics model. We determine from the literature a level for each attribute, and test the impacts in a set of ten scenarios using an updated MARS model of Leeds. Results: Based on our input assumptions, we find that car-km in 2050 could be over 50% higher than in the business as usual scenario. Public transport use could fall by 18%, threatening accessibility for those dependent on it, while walking and cycling could fall by 13%, reducing their health benefits. Overall person-km would rise, suggesting a reduction in sustainability. A requirement that all automated cars are shared vehicles could reduce these adverse impacts somewhat, but the effects are sensitive to the charge per km. Discussion: Our use of a single value for each at…","author":[{"dropping-particle":"","family":"May","given":"Anthony D.","non-dropping-particle":"","parse-names":false,"suffix":""},{"dropping-particle":"","family":"Shepherd","given":"Simon","non-dropping-particle":"","parse-names":false,"suffix":""},{"dropping-particle":"","family":"Pfaffenbichler","given":"Paul","non-dropping-particle":"","parse-names":false,"suffix":""},{"dropping-particle":"","family":"Emberger","given":"Günter","non-dropping-particle":"","parse-names":false,"suffix":""}],"container-title":"Transport Policy","id":"ITEM-3","issued":{"date-parts":[["2020"]]},"title":"The potential impacts of automated cars on urban transport: An exploratory analysis","type":"article-journal","volume":"98"},"uris":["http://www.mendeley.com/documents/?uuid=584973b5-8054-3ae3-8f82-0da190e5fac8"]}],"mendeley":{"formattedCitation":"(Dias et al., 2020; Luo et al., 2019; May et al., 2020)","plainTextFormattedCitation":"(Dias et al., 2020; Luo et al., 2019; May et al., 2020)","previouslyFormattedCitation":"(Dias et al., 2020; Luo et al., 2019; May et al., 2020)"},"properties":{"noteIndex":0},"schema":"https://github.com/citation-style-language/schema/raw/master/csl-citation.json"}</w:instrText>
      </w:r>
      <w:r w:rsidR="000D1DC7" w:rsidRPr="00575A3E">
        <w:rPr>
          <w:szCs w:val="22"/>
          <w:lang w:val="en-GB"/>
        </w:rPr>
        <w:fldChar w:fldCharType="separate"/>
      </w:r>
      <w:r w:rsidR="00E201B4" w:rsidRPr="00575A3E">
        <w:rPr>
          <w:noProof/>
          <w:szCs w:val="22"/>
          <w:lang w:val="en-GB"/>
        </w:rPr>
        <w:t>(Dias et al., 2020; Luo et al., 2019; May et al., 2020)</w:t>
      </w:r>
      <w:r w:rsidR="000D1DC7" w:rsidRPr="00575A3E">
        <w:rPr>
          <w:szCs w:val="22"/>
          <w:lang w:val="en-GB"/>
        </w:rPr>
        <w:fldChar w:fldCharType="end"/>
      </w:r>
      <w:r w:rsidR="000D1DC7" w:rsidRPr="00575A3E">
        <w:rPr>
          <w:szCs w:val="22"/>
          <w:lang w:val="en-GB"/>
        </w:rPr>
        <w:t xml:space="preserve">. </w:t>
      </w:r>
      <w:r w:rsidR="00387813" w:rsidRPr="00575A3E">
        <w:rPr>
          <w:szCs w:val="22"/>
          <w:lang w:val="en-GB"/>
        </w:rPr>
        <w:t xml:space="preserve">Moreover, using the LUTI model of MARS, at the national spatial scale for Austria, </w:t>
      </w:r>
      <w:r w:rsidR="00387813" w:rsidRPr="00575A3E">
        <w:rPr>
          <w:szCs w:val="22"/>
          <w:lang w:val="en-GB"/>
        </w:rPr>
        <w:fldChar w:fldCharType="begin" w:fldLock="1"/>
      </w:r>
      <w:r w:rsidR="00387813" w:rsidRPr="00575A3E">
        <w:rPr>
          <w:szCs w:val="22"/>
          <w:lang w:val="en-GB"/>
        </w:rPr>
        <w:instrText>ADDIN CSL_CITATION {"citationItems":[{"id":"ITEM-1","itemData":{"DOI":"10.1016/j.tranpol.2020.06.014","ISSN":"1879310X","abstract":"Objective: Digitisation and automation are expected to change the transport system and settlement structures in a disruptive way. Due to new developments in sensor and communication technology different business models of automated vehicles (AV) - such as private AV, car-sharing-AV, ride-sharing-AV and public transport-AV – are likely to enter the transport market. Further, different penetration rates of AVs, extension of user groups (elderly and young, people without driving licenses etc.), different cost scenarios of AV veh-kms, parking regimes/fees, etc. will have significant impact on future transport demand. The objective of the work presented in this paper was to develop a simulation-based approach to analyse the potential impacts of different vehicle automation scenarios in Austria. Method: A multitude of complex cause-effect-chains and feedback loops characterise the relationship between AV take up, travel demand and environmental effects. The method of System Dynamics (SD) is designed to deal with such complexities. As a first step the qualitative method of Causal Loop Diagrams (CLD) was used to identify all potential automation related factors influencing the attractiveness of car and public transport use. In a second step the identified factors were coded into an operational version of the Stock-Flow based land use and transport interaction model MARS (Metropolitan Activity Relocation Simulator). As a third step sensitivity tests and scenarios were defined and simulated. Finally the resulting quantitative impacts were assessed and discussed. Results: In this paper we describe briefly how MARS was adapted to be able to simulate the effects of different AV-take up rates on the national level of Austria. Simulation results are presented for the scenario elements road capacity, remote parking, value of travel time, access for new user groups in the business models private car, car-sharing and ride-sharing and automation of the first and last mile in public transport. The results show that with a fleet share of 90% of private AVs in 2050, the nationwide changes in veh-kms travelled are between −2% (impact on road capacity) and +22 percent (new user groups in the case of AVs as private cars). Policy implications: An uncontrolled market take-up of AVs into the transport system will very likely increase the dependency on motorized transport, veh-kms driven and related emissions. Compensating policies have to be implemented in parallel to avoid un-sus…","author":[{"dropping-particle":"","family":"Emberger","given":"Guenter","non-dropping-particle":"","parse-names":false,"suffix":""},{"dropping-particle":"","family":"Pfaffenbichler","given":"Paul","non-dropping-particle":"","parse-names":false,"suffix":""}],"container-title":"Transport Policy","id":"ITEM-1","issued":{"date-parts":[["2020"]]},"title":"A quantitative analysis of potential impacts of automated vehicles in Austria using a dynamic integrated land use and transport interaction model","type":"article-journal"},"uris":["http://www.mendeley.com/documents/?uuid=ebb23ddf-d9b6-4850-80ce-74011b241851"]}],"mendeley":{"formattedCitation":"(Emberger and Pfaffenbichler, 2020)","manualFormatting":"Emberger and Pfaffenbichler (2020)","plainTextFormattedCitation":"(Emberger and Pfaffenbichler, 2020)","previouslyFormattedCitation":"(Emberger and Pfaffenbichler, 2020)"},"properties":{"noteIndex":0},"schema":"https://github.com/citation-style-language/schema/raw/master/csl-citation.json"}</w:instrText>
      </w:r>
      <w:r w:rsidR="00387813" w:rsidRPr="00575A3E">
        <w:rPr>
          <w:szCs w:val="22"/>
          <w:lang w:val="en-GB"/>
        </w:rPr>
        <w:fldChar w:fldCharType="separate"/>
      </w:r>
      <w:r w:rsidR="00387813" w:rsidRPr="00575A3E">
        <w:rPr>
          <w:noProof/>
          <w:szCs w:val="22"/>
          <w:lang w:val="en-GB"/>
        </w:rPr>
        <w:t>Emberger and Pfaffenbichler (2020)</w:t>
      </w:r>
      <w:r w:rsidR="00387813" w:rsidRPr="00575A3E">
        <w:rPr>
          <w:szCs w:val="22"/>
          <w:lang w:val="en-GB"/>
        </w:rPr>
        <w:fldChar w:fldCharType="end"/>
      </w:r>
      <w:r w:rsidR="00387813" w:rsidRPr="00575A3E">
        <w:rPr>
          <w:szCs w:val="22"/>
          <w:lang w:val="en-GB"/>
        </w:rPr>
        <w:t xml:space="preserve"> concluded that for different scenarios related to vehicle automation incorporated in the transportation system veh</w:t>
      </w:r>
      <w:r w:rsidR="003B080C" w:rsidRPr="00575A3E">
        <w:rPr>
          <w:szCs w:val="22"/>
          <w:lang w:val="en-GB"/>
        </w:rPr>
        <w:t>icle</w:t>
      </w:r>
      <w:r w:rsidR="00387813" w:rsidRPr="00575A3E">
        <w:rPr>
          <w:szCs w:val="22"/>
          <w:lang w:val="en-GB"/>
        </w:rPr>
        <w:t xml:space="preserve">-kms are increased up to 22%, with the most pronounced results in the capital city of Vienna and following the </w:t>
      </w:r>
      <w:r w:rsidR="00F50D84" w:rsidRPr="00575A3E">
        <w:rPr>
          <w:szCs w:val="22"/>
          <w:lang w:val="en-GB"/>
        </w:rPr>
        <w:t xml:space="preserve">other </w:t>
      </w:r>
      <w:r w:rsidR="00387813" w:rsidRPr="00575A3E">
        <w:rPr>
          <w:szCs w:val="22"/>
          <w:lang w:val="en-GB"/>
        </w:rPr>
        <w:t xml:space="preserve">large cities of Austria. In their analysis only if road capacity is reduced, </w:t>
      </w:r>
      <w:r w:rsidR="003B080C" w:rsidRPr="00575A3E">
        <w:rPr>
          <w:szCs w:val="22"/>
          <w:lang w:val="en-GB"/>
        </w:rPr>
        <w:t xml:space="preserve">are </w:t>
      </w:r>
      <w:r w:rsidR="00387813" w:rsidRPr="00575A3E">
        <w:rPr>
          <w:szCs w:val="22"/>
          <w:lang w:val="en-GB"/>
        </w:rPr>
        <w:t>veh</w:t>
      </w:r>
      <w:r w:rsidR="003B080C" w:rsidRPr="00575A3E">
        <w:rPr>
          <w:szCs w:val="22"/>
          <w:lang w:val="en-GB"/>
        </w:rPr>
        <w:t>icle</w:t>
      </w:r>
      <w:r w:rsidR="00387813" w:rsidRPr="00575A3E">
        <w:rPr>
          <w:szCs w:val="22"/>
          <w:lang w:val="en-GB"/>
        </w:rPr>
        <w:t xml:space="preserve">-kms reduced, but only by 2% </w:t>
      </w:r>
      <w:r w:rsidR="00387813" w:rsidRPr="00575A3E">
        <w:rPr>
          <w:szCs w:val="22"/>
          <w:lang w:val="en-GB"/>
        </w:rPr>
        <w:fldChar w:fldCharType="begin" w:fldLock="1"/>
      </w:r>
      <w:r w:rsidR="007320CA" w:rsidRPr="00575A3E">
        <w:rPr>
          <w:szCs w:val="22"/>
          <w:lang w:val="en-GB"/>
        </w:rPr>
        <w:instrText>ADDIN CSL_CITATION {"citationItems":[{"id":"ITEM-1","itemData":{"DOI":"10.1016/j.tranpol.2020.06.014","ISSN":"1879310X","abstract":"Objective: Digitisation and automation are expected to change the transport system and settlement structures in a disruptive way. Due to new developments in sensor and communication technology different business models of automated vehicles (AV) - such as private AV, car-sharing-AV, ride-sharing-AV and public transport-AV – are likely to enter the transport market. Further, different penetration rates of AVs, extension of user groups (elderly and young, people without driving licenses etc.), different cost scenarios of AV veh-kms, parking regimes/fees, etc. will have significant impact on future transport demand. The objective of the work presented in this paper was to develop a simulation-based approach to analyse the potential impacts of different vehicle automation scenarios in Austria. Method: A multitude of complex cause-effect-chains and feedback loops characterise the relationship between AV take up, travel demand and environmental effects. The method of System Dynamics (SD) is designed to deal with such complexities. As a first step the qualitative method of Causal Loop Diagrams (CLD) was used to identify all potential automation related factors influencing the attractiveness of car and public transport use. In a second step the identified factors were coded into an operational version of the Stock-Flow based land use and transport interaction model MARS (Metropolitan Activity Relocation Simulator). As a third step sensitivity tests and scenarios were defined and simulated. Finally the resulting quantitative impacts were assessed and discussed. Results: In this paper we describe briefly how MARS was adapted to be able to simulate the effects of different AV-take up rates on the national level of Austria. Simulation results are presented for the scenario elements road capacity, remote parking, value of travel time, access for new user groups in the business models private car, car-sharing and ride-sharing and automation of the first and last mile in public transport. The results show that with a fleet share of 90% of private AVs in 2050, the nationwide changes in veh-kms travelled are between −2% (impact on road capacity) and +22 percent (new user groups in the case of AVs as private cars). Policy implications: An uncontrolled market take-up of AVs into the transport system will very likely increase the dependency on motorized transport, veh-kms driven and related emissions. Compensating policies have to be implemented in parallel to avoid un-sus…","author":[{"dropping-particle":"","family":"Emberger","given":"Guenter","non-dropping-particle":"","parse-names":false,"suffix":""},{"dropping-particle":"","family":"Pfaffenbichler","given":"Paul","non-dropping-particle":"","parse-names":false,"suffix":""}],"container-title":"Transport Policy","id":"ITEM-1","issued":{"date-parts":[["2020"]]},"title":"A quantitative analysis of potential impacts of automated vehicles in Austria using a dynamic integrated land use and transport interaction model","type":"article-journal"},"uris":["http://www.mendeley.com/documents/?uuid=ebb23ddf-d9b6-4850-80ce-74011b241851"]}],"mendeley":{"formattedCitation":"(Emberger and Pfaffenbichler, 2020)","plainTextFormattedCitation":"(Emberger and Pfaffenbichler, 2020)","previouslyFormattedCitation":"(Emberger and Pfaffenbichler, 2020)"},"properties":{"noteIndex":0},"schema":"https://github.com/citation-style-language/schema/raw/master/csl-citation.json"}</w:instrText>
      </w:r>
      <w:r w:rsidR="00387813" w:rsidRPr="00575A3E">
        <w:rPr>
          <w:szCs w:val="22"/>
          <w:lang w:val="en-GB"/>
        </w:rPr>
        <w:fldChar w:fldCharType="separate"/>
      </w:r>
      <w:r w:rsidR="00387813" w:rsidRPr="00575A3E">
        <w:rPr>
          <w:noProof/>
          <w:szCs w:val="22"/>
          <w:lang w:val="en-GB"/>
        </w:rPr>
        <w:t>(Emberger and Pfaffenbichler, 2020)</w:t>
      </w:r>
      <w:r w:rsidR="00387813" w:rsidRPr="00575A3E">
        <w:rPr>
          <w:szCs w:val="22"/>
          <w:lang w:val="en-GB"/>
        </w:rPr>
        <w:fldChar w:fldCharType="end"/>
      </w:r>
      <w:r w:rsidR="00387813" w:rsidRPr="00575A3E">
        <w:rPr>
          <w:szCs w:val="22"/>
          <w:lang w:val="en-GB"/>
        </w:rPr>
        <w:t>.</w:t>
      </w:r>
    </w:p>
    <w:p w14:paraId="71226520" w14:textId="77777777" w:rsidR="00387813" w:rsidRPr="00575A3E" w:rsidRDefault="00387813" w:rsidP="00A55356">
      <w:pPr>
        <w:spacing w:line="360" w:lineRule="auto"/>
        <w:rPr>
          <w:szCs w:val="22"/>
          <w:lang w:val="en-GB"/>
        </w:rPr>
      </w:pPr>
    </w:p>
    <w:p w14:paraId="14253CCB" w14:textId="714B4EFE" w:rsidR="00D55A12" w:rsidRPr="00575A3E" w:rsidRDefault="000D1DC7" w:rsidP="00A55356">
      <w:pPr>
        <w:spacing w:line="360" w:lineRule="auto"/>
        <w:rPr>
          <w:szCs w:val="22"/>
          <w:lang w:val="en-GB"/>
        </w:rPr>
      </w:pPr>
      <w:r w:rsidRPr="00575A3E">
        <w:rPr>
          <w:szCs w:val="22"/>
          <w:lang w:val="en-GB"/>
        </w:rPr>
        <w:t xml:space="preserve">The literature </w:t>
      </w:r>
      <w:r w:rsidR="00D55A12" w:rsidRPr="00575A3E">
        <w:rPr>
          <w:szCs w:val="22"/>
          <w:lang w:val="en-GB"/>
        </w:rPr>
        <w:t xml:space="preserve">further </w:t>
      </w:r>
      <w:r w:rsidRPr="00575A3E">
        <w:rPr>
          <w:szCs w:val="22"/>
          <w:lang w:val="en-GB"/>
        </w:rPr>
        <w:t>shows that vehicle ownership cost</w:t>
      </w:r>
      <w:r w:rsidR="00D55A12" w:rsidRPr="00575A3E">
        <w:rPr>
          <w:szCs w:val="22"/>
          <w:lang w:val="en-GB"/>
        </w:rPr>
        <w:t>s</w:t>
      </w:r>
      <w:r w:rsidRPr="00575A3E">
        <w:rPr>
          <w:szCs w:val="22"/>
          <w:lang w:val="en-GB"/>
        </w:rPr>
        <w:t xml:space="preserve"> </w:t>
      </w:r>
      <w:r w:rsidR="00D55A12" w:rsidRPr="00575A3E">
        <w:rPr>
          <w:szCs w:val="22"/>
          <w:lang w:val="en-GB"/>
        </w:rPr>
        <w:t>are</w:t>
      </w:r>
      <w:r w:rsidRPr="00575A3E">
        <w:rPr>
          <w:szCs w:val="22"/>
          <w:lang w:val="en-GB"/>
        </w:rPr>
        <w:t xml:space="preserve"> expected to change with the existence of new vehicle technologies, due to</w:t>
      </w:r>
      <w:r w:rsidR="00D55A12" w:rsidRPr="00575A3E">
        <w:rPr>
          <w:szCs w:val="22"/>
          <w:lang w:val="en-GB"/>
        </w:rPr>
        <w:t>, for example,</w:t>
      </w:r>
      <w:r w:rsidRPr="00575A3E">
        <w:rPr>
          <w:szCs w:val="22"/>
          <w:lang w:val="en-GB"/>
        </w:rPr>
        <w:t xml:space="preserve"> different purchase prices and subsidies for electrification </w:t>
      </w:r>
      <w:r w:rsidRPr="00575A3E">
        <w:rPr>
          <w:szCs w:val="22"/>
          <w:lang w:val="en-GB"/>
        </w:rPr>
        <w:fldChar w:fldCharType="begin" w:fldLock="1"/>
      </w:r>
      <w:r w:rsidR="0002665A" w:rsidRPr="00575A3E">
        <w:rPr>
          <w:szCs w:val="22"/>
          <w:lang w:val="en-GB"/>
        </w:rPr>
        <w:instrText>ADDIN CSL_CITATION {"citationItems":[{"id":"ITEM-1","itemData":{"DOI":"10.1016/j.apenergy.2017.10.089","ISSN":"0306-2619","author":[{"dropping-particle":"","family":"Palmer","given":"Kate","non-dropping-particle":"","parse-names":false,"suffix":""},{"dropping-particle":"","family":"Tate","given":"James E","non-dropping-particle":"","parse-names":false,"suffix":""},{"dropping-particle":"","family":"Wadud","given":"Zia","non-dropping-particle":"","parse-names":false,"suffix":""},{"dropping-particle":"","family":"Nellthorp","given":"John","non-dropping-particle":"","parse-names":false,"suffix":""}],"container-title":"Applied Energy","id":"ITEM-1","issue":"October 2017","issued":{"date-parts":[["2018"]]},"page":"108-119","publisher":"Elsevier","title":"Total cost of ownership and market share for hybrid and electric vehicles in the UK , US and Japan","type":"article-journal","volume":"209"},"uris":["http://www.mendeley.com/documents/?uuid=043dd010-f029-45a8-b13d-48e9c88f4b3b"]},{"id":"ITEM-2","itemData":{"author":[{"dropping-particle":"","family":"data.gov.uk","given":"","non-dropping-particle":"","parse-names":false,"suffix":""}],"id":"ITEM-2","issued":{"date-parts":[["2020"]]},"page":"1-5","title":"Low-emission vehicles eligible for a plug-in grant","type":"article"},"uris":["http://www.mendeley.com/documents/?uuid=fc88521e-3ff6-4447-a288-33505c49fb02"]}],"mendeley":{"formattedCitation":"(data.gov.uk, 2020a; Palmer et al., 2018)","manualFormatting":"(UK Government, 2020b; Palmer et al., 2018)","plainTextFormattedCitation":"(data.gov.uk, 2020a; Palmer et al., 2018)","previouslyFormattedCitation":"(data.gov.uk, 2020a; Palmer et al., 2018)"},"properties":{"noteIndex":0},"schema":"https://github.com/citation-style-language/schema/raw/master/csl-citation.json"}</w:instrText>
      </w:r>
      <w:r w:rsidRPr="00575A3E">
        <w:rPr>
          <w:szCs w:val="22"/>
          <w:lang w:val="en-GB"/>
        </w:rPr>
        <w:fldChar w:fldCharType="separate"/>
      </w:r>
      <w:r w:rsidR="00E86389" w:rsidRPr="00575A3E">
        <w:rPr>
          <w:noProof/>
          <w:szCs w:val="22"/>
          <w:lang w:val="en-GB"/>
        </w:rPr>
        <w:t>(</w:t>
      </w:r>
      <w:r w:rsidR="00D55A12" w:rsidRPr="00575A3E">
        <w:rPr>
          <w:noProof/>
          <w:szCs w:val="22"/>
          <w:lang w:val="en-GB"/>
        </w:rPr>
        <w:t>UK Government</w:t>
      </w:r>
      <w:r w:rsidR="00E86389" w:rsidRPr="00575A3E">
        <w:rPr>
          <w:noProof/>
          <w:szCs w:val="22"/>
          <w:lang w:val="en-GB"/>
        </w:rPr>
        <w:t>, 2020b; Palmer et al., 2018)</w:t>
      </w:r>
      <w:r w:rsidRPr="00575A3E">
        <w:rPr>
          <w:szCs w:val="22"/>
          <w:lang w:val="en-GB"/>
        </w:rPr>
        <w:fldChar w:fldCharType="end"/>
      </w:r>
      <w:r w:rsidRPr="00575A3E">
        <w:rPr>
          <w:szCs w:val="22"/>
          <w:lang w:val="en-GB"/>
        </w:rPr>
        <w:t xml:space="preserve"> and due to the higher costs of equipment required for automation </w:t>
      </w:r>
      <w:r w:rsidRPr="00575A3E">
        <w:rPr>
          <w:szCs w:val="22"/>
          <w:lang w:val="en-GB"/>
        </w:rPr>
        <w:fldChar w:fldCharType="begin" w:fldLock="1"/>
      </w:r>
      <w:r w:rsidR="0002665A" w:rsidRPr="00575A3E">
        <w:rPr>
          <w:szCs w:val="22"/>
          <w:lang w:val="en-GB"/>
        </w:rPr>
        <w:instrText>ADDIN CSL_CITATION {"citationItems":[{"id":"ITEM-1","itemData":{"DOI":"10.1016/j.tra.2016.10.013","ISSN":"09658564","abstract":"Automobile manufacturers, transportation researchers, and policymakers are interested in knowing the future of connected and autonomous vehicles (CAVs). To this end, this study proposes a new simulation-based fleet evolution framework to forecast Americans’ long-term (year 2015–2045) adoption levels of CAV technologies under eight different scenarios based on 5% and 10% annual drops in technology prices; 0%, 5%, and 10% annual increments in Americans’ willingness to pay (WTP); and changes in government regulations (e.g., mandatory adoption of connectivity on new vehicles). This simulation was calibrated with data obtained from a survey of 2167 Americans, regarding their preferences for CAV technologies (e.g., WTP) and their household's annual vehicle transaction decisions. Long-term fleet evolution suggests that the privately held light-duty-vehicle fleet will have 24.8% Level 4 AV penetration by 2045 if one assumes an annual 5% price drop and constant WTP values (from 2015 forward). This share jumps to 87.2% if one uses a 10% annual rate of decline in prices and a 10% annual rise in WTP values. Overall, simulations suggest that, without a rise in most people's WTP, or policies that promote or require technologies, or unusually rapid reductions in technology costs, it is unlikely that the U.S. light-duty vehicle fleet's technology mix will be anywhere near homogeneous by the year 2045.","author":[{"dropping-particle":"","family":"Bansal","given":"Prateek","non-dropping-particle":"","parse-names":false,"suffix":""},{"dropping-particle":"","family":"Kockelman","given":"Kara M.","non-dropping-particle":"","parse-names":false,"suffix":""}],"container-title":"Transportation Research Part A: Policy and Practice","id":"ITEM-1","issued":{"date-parts":[["2017"]]},"page":"49-63","title":"Forecasting Americans’ long-term adoption of connected and autonomous vehicle technologies","type":"article-journal","volume":"95"},"uris":["http://www.mendeley.com/documents/?uuid=e7f15f2a-5b35-431a-8684-bcff6574c296"]},{"id":"ITEM-2","itemData":{"DOI":"10.1016/j.tra.2017.05.005","ISSN":"09658564","abstract":"Vehicle automation and its adoption by the vehicle purchasers is an active area of research among transportation academics. So far, most of the interest in the adoption of fully automated, driverless vehicles has focussed on private vehicles alone, yet full automation could be beneficial for commercial vehicles too. This paper identifies the vehicle sectors that will likely be the earliest adopters of full automation. Total cost of ownership analysis is used to compare the costs (and benefits) of vehicle automation for private vehicles among different income groups and commercial vehicles in the taxi and freight sectors in the UK. Commercial operations clearly benefit more from automation because the driver costs can be reduced substantially through automation. Among private users, households with the highest income will benefit more from automation because of their higher driving distances and higher perceived value of time, which can be used more productively through full automation.","author":[{"dropping-particle":"","family":"Wadud","given":"Zia","non-dropping-particle":"","parse-names":false,"suffix":""}],"container-title":"Transportation Research Part A: Policy and Practice","id":"ITEM-2","issued":{"date-parts":[["2017"]]},"title":"Fully automated vehicles: A cost of ownership analysis to inform early adoption","type":"article-journal"},"uris":["http://www.mendeley.com/documents/?uuid=8d04d03a-b407-4472-98a8-eebd29cee35d"]}],"mendeley":{"formattedCitation":"(Bansal and Kockelman, 2017; Wadud, 2017)","plainTextFormattedCitation":"(Bansal and Kockelman, 2017; Wadud, 2017)","previouslyFormattedCitation":"(Bansal and Kockelman, 2017; Wadud, 2017)"},"properties":{"noteIndex":0},"schema":"https://github.com/citation-style-language/schema/raw/master/csl-citation.json"}</w:instrText>
      </w:r>
      <w:r w:rsidRPr="00575A3E">
        <w:rPr>
          <w:szCs w:val="22"/>
          <w:lang w:val="en-GB"/>
        </w:rPr>
        <w:fldChar w:fldCharType="separate"/>
      </w:r>
      <w:r w:rsidR="00BF7603" w:rsidRPr="00575A3E">
        <w:rPr>
          <w:noProof/>
          <w:szCs w:val="22"/>
          <w:lang w:val="en-GB"/>
        </w:rPr>
        <w:t>(Bansal and Kockelman, 2017; Wadud, 2017)</w:t>
      </w:r>
      <w:r w:rsidRPr="00575A3E">
        <w:rPr>
          <w:szCs w:val="22"/>
          <w:lang w:val="en-GB"/>
        </w:rPr>
        <w:fldChar w:fldCharType="end"/>
      </w:r>
      <w:r w:rsidRPr="00575A3E">
        <w:rPr>
          <w:szCs w:val="22"/>
          <w:lang w:val="en-GB"/>
        </w:rPr>
        <w:t xml:space="preserve">. </w:t>
      </w:r>
    </w:p>
    <w:p w14:paraId="7D43C75B" w14:textId="77777777" w:rsidR="00D55A12" w:rsidRPr="00575A3E" w:rsidRDefault="00D55A12" w:rsidP="00A55356">
      <w:pPr>
        <w:spacing w:line="360" w:lineRule="auto"/>
        <w:rPr>
          <w:szCs w:val="22"/>
          <w:lang w:val="en-GB"/>
        </w:rPr>
      </w:pPr>
    </w:p>
    <w:p w14:paraId="144C356B" w14:textId="3C292B50" w:rsidR="00D55A12" w:rsidRPr="00575A3E" w:rsidRDefault="000D1DC7" w:rsidP="00A55356">
      <w:pPr>
        <w:spacing w:line="360" w:lineRule="auto"/>
        <w:rPr>
          <w:szCs w:val="22"/>
          <w:lang w:val="en-GB"/>
        </w:rPr>
      </w:pPr>
      <w:r w:rsidRPr="00575A3E">
        <w:rPr>
          <w:szCs w:val="22"/>
          <w:lang w:val="en-GB"/>
        </w:rPr>
        <w:t xml:space="preserve">Finally, accessibility, which is a key factor for the LUTI models, has been mentioned to be affected by new vehicle technologies by various sources. For example, according to </w:t>
      </w:r>
      <w:r w:rsidRPr="00575A3E">
        <w:rPr>
          <w:szCs w:val="22"/>
          <w:lang w:val="en-GB"/>
        </w:rPr>
        <w:fldChar w:fldCharType="begin" w:fldLock="1"/>
      </w:r>
      <w:r w:rsidR="00BF7603" w:rsidRPr="00575A3E">
        <w:rPr>
          <w:szCs w:val="22"/>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Prefecture","type":"article-journal"},"uris":["http://www.mendeley.com/documents/?uuid=a3da3ce1-5370-4fcf-b4f8-ac17abc381b7"]}],"mendeley":{"formattedCitation":"(Luo et al., 2019)","manualFormatting":"Luo et al. (2019)","plainTextFormattedCitation":"(Luo et al., 2019)","previouslyFormattedCitation":"(Luo et al., 2019)"},"properties":{"noteIndex":0},"schema":"https://github.com/citation-style-language/schema/raw/master/csl-citation.json"}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Luo </w:t>
      </w:r>
      <w:r w:rsidRPr="00575A3E">
        <w:rPr>
          <w:i/>
          <w:noProof/>
          <w:szCs w:val="22"/>
          <w:lang w:val="en-GB"/>
        </w:rPr>
        <w:t>et al.</w:t>
      </w:r>
      <w:r w:rsidRPr="00575A3E">
        <w:rPr>
          <w:noProof/>
          <w:szCs w:val="22"/>
          <w:lang w:val="en-GB"/>
        </w:rPr>
        <w:t xml:space="preserve"> (2019)</w:t>
      </w:r>
      <w:r w:rsidRPr="00575A3E">
        <w:rPr>
          <w:szCs w:val="22"/>
          <w:lang w:val="en-GB"/>
        </w:rPr>
        <w:fldChar w:fldCharType="end"/>
      </w:r>
      <w:r w:rsidRPr="00575A3E">
        <w:rPr>
          <w:szCs w:val="22"/>
          <w:lang w:val="en-GB"/>
        </w:rPr>
        <w:t xml:space="preserve"> accessibility is expected to be increased because of the co-existence of privately owned CAVs and</w:t>
      </w:r>
      <w:r w:rsidR="00D0352A" w:rsidRPr="00575A3E">
        <w:rPr>
          <w:szCs w:val="22"/>
          <w:lang w:val="en-GB"/>
        </w:rPr>
        <w:t xml:space="preserve"> Shared Autonomous Vehicles</w:t>
      </w:r>
      <w:r w:rsidRPr="00575A3E">
        <w:rPr>
          <w:szCs w:val="22"/>
          <w:lang w:val="en-GB"/>
        </w:rPr>
        <w:t xml:space="preserve"> </w:t>
      </w:r>
      <w:r w:rsidR="00D0352A" w:rsidRPr="00575A3E">
        <w:rPr>
          <w:szCs w:val="22"/>
          <w:lang w:val="en-GB"/>
        </w:rPr>
        <w:t>(</w:t>
      </w:r>
      <w:r w:rsidRPr="00575A3E">
        <w:rPr>
          <w:szCs w:val="22"/>
          <w:lang w:val="en-GB"/>
        </w:rPr>
        <w:t>SAVs</w:t>
      </w:r>
      <w:r w:rsidR="00D0352A" w:rsidRPr="00575A3E">
        <w:rPr>
          <w:szCs w:val="22"/>
          <w:lang w:val="en-GB"/>
        </w:rPr>
        <w:t>)</w:t>
      </w:r>
      <w:r w:rsidRPr="00575A3E">
        <w:rPr>
          <w:szCs w:val="22"/>
          <w:lang w:val="en-GB"/>
        </w:rPr>
        <w:t xml:space="preserve">, causing further suburbanisation and urban sprawl </w:t>
      </w:r>
      <w:r w:rsidRPr="00575A3E">
        <w:rPr>
          <w:szCs w:val="22"/>
          <w:lang w:val="en-GB"/>
        </w:rPr>
        <w:fldChar w:fldCharType="begin" w:fldLock="1"/>
      </w:r>
      <w:r w:rsidR="00BF7603" w:rsidRPr="00575A3E">
        <w:rPr>
          <w:szCs w:val="22"/>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Prefecture","type":"article-journal"},"uris":["http://www.mendeley.com/documents/?uuid=a3da3ce1-5370-4fcf-b4f8-ac17abc381b7"]}],"mendeley":{"formattedCitation":"(Luo et al., 2019)","plainTextFormattedCitation":"(Luo et al., 2019)","previouslyFormattedCitation":"(Luo et al., 2019)"},"properties":{"noteIndex":0},"schema":"https://github.com/citation-style-language/schema/raw/master/csl-citation.json"}</w:instrText>
      </w:r>
      <w:r w:rsidRPr="00575A3E">
        <w:rPr>
          <w:szCs w:val="22"/>
          <w:lang w:val="en-GB"/>
        </w:rPr>
        <w:fldChar w:fldCharType="separate"/>
      </w:r>
      <w:r w:rsidR="008119F3" w:rsidRPr="00575A3E">
        <w:rPr>
          <w:noProof/>
          <w:szCs w:val="22"/>
          <w:lang w:val="en-GB"/>
        </w:rPr>
        <w:t>(Luo et al., 2019)</w:t>
      </w:r>
      <w:r w:rsidRPr="00575A3E">
        <w:rPr>
          <w:szCs w:val="22"/>
          <w:lang w:val="en-GB"/>
        </w:rPr>
        <w:fldChar w:fldCharType="end"/>
      </w:r>
      <w:r w:rsidRPr="00575A3E">
        <w:rPr>
          <w:szCs w:val="22"/>
          <w:lang w:val="en-GB"/>
        </w:rPr>
        <w:t xml:space="preserve">. Similar conclusions have been </w:t>
      </w:r>
      <w:r w:rsidR="00D55A12" w:rsidRPr="00575A3E">
        <w:rPr>
          <w:szCs w:val="22"/>
          <w:lang w:val="en-GB"/>
        </w:rPr>
        <w:t xml:space="preserve">reached </w:t>
      </w:r>
      <w:r w:rsidRPr="00575A3E">
        <w:rPr>
          <w:szCs w:val="22"/>
          <w:lang w:val="en-GB"/>
        </w:rPr>
        <w:t xml:space="preserve">by </w:t>
      </w:r>
      <w:r w:rsidRPr="00575A3E">
        <w:rPr>
          <w:szCs w:val="22"/>
          <w:lang w:val="en-GB"/>
        </w:rPr>
        <w:fldChar w:fldCharType="begin" w:fldLock="1"/>
      </w:r>
      <w:r w:rsidR="0002665A" w:rsidRPr="00575A3E">
        <w:rPr>
          <w:szCs w:val="22"/>
          <w:lang w:val="en-GB"/>
        </w:rPr>
        <w:instrText>ADDIN CSL_CITATION {"citationItems":[{"id":"ITEM-1","itemData":{"DOI":"10.1007/s11116-020-10106-y","ISSN":"15729435","abstract":"Autonomous vehicle (AV) technologies are under constant improvement with pilot programs now underway in several urban areas worldwide. Modeling and field-testing efforts are demonstrating that shared mobility coupled with AV technology for automated mobility on-demand (AMoD) service may significantly impact levels of service and environmental outcomes in future cities. Given these rapidly emerging developments, there is an urgent need for methods to adequately quantify the economic impacts of new vehicle technologies and future urban mobility policy. In this paper, we show how broader user-centric impacts can be captured by the activity-based accessibility (ABA) measure, which takes advantage of the rich data and outcomes of utility-maximization activity-based models and its interaction with mesoscale agent-based traffic simulation frameworks. Using the SimMobility simulator, we evaluate shared AMoD strategies applied to a Singapore micromodel city testbed. A near-future strategy of exclusive availability of AMoD service in the central business district (CBD), and a further-horizon strategy of the full operation of AMoD city-wide in the absence of other on-demand services, were tested and evaluated. Our results provide insights into the income and accessibility effects on the population under the implementation of shared and automated mobility policies. The outcomes indicate that the city-wide deployment of AMoD results in greater accessibility and network performance. Moreover, the accessibility of low-income individuals is improved relative to that of mid- and high-income individuals. The restriction of AMoD to the CBD along with the operation of other on-demand services, however, provides a certain level of disbenefit to segments of the population in two exceptional cases. The first is to high-income individuals who live in a suburban zone and rely heavily on on-demand services; the second is to mid-income residents that have excellent public transportation coverage with close proximity to the CBD. We further establish the efficacy of the ABA measure, as these findings motivate the need for measuring socioeconomic impacts at the individual level. The work presented here serves as a foundation for policy evaluation in real-world urban models for future mobility paradigms.","author":[{"dropping-particle":"","family":"Nahmias-Biran","given":"Bat hen","non-dropping-particle":"","parse-names":false,"suffix":""},{"dropping-particle":"","family":"Oke","given":"Jimi B.","non-dropping-particle":"","parse-names":false,"suffix":""},{"dropping-particle":"","family":"Kumar","given":"Nishant","non-dropping-particle":"","parse-names":false,"suffix":""},{"dropping-particle":"","family":"Lima Azevedo","given":"Carlos","non-dropping-particle":"","parse-names":false,"suffix":""},{"dropping-particle":"","family":"Ben-Akiva","given":"Moshe","non-dropping-particle":"","parse-names":false,"suffix":""}],"container-title":"Transportation","id":"ITEM-1","issued":{"date-parts":[["2020"]]},"title":"Evaluating the impacts of shared automated mobility on-demand services: an activity-based accessibility approach","type":"article-journal"},"uris":["http://www.mendeley.com/documents/?uuid=442ff931-04f5-44a0-b908-5a15c448120e"]}],"mendeley":{"formattedCitation":"(Nahmias-Biran et al., 2020)","manualFormatting":"Nahmias-Biran et al. (2020)","plainTextFormattedCitation":"(Nahmias-Biran et al., 2020)","previouslyFormattedCitation":"(Nahmias-Biran et al., 2020)"},"properties":{"noteIndex":0},"schema":"https://github.com/citation-style-language/schema/raw/master/csl-citation.json"}</w:instrText>
      </w:r>
      <w:r w:rsidRPr="00575A3E">
        <w:rPr>
          <w:szCs w:val="22"/>
          <w:lang w:val="en-GB"/>
        </w:rPr>
        <w:fldChar w:fldCharType="separate"/>
      </w:r>
      <w:r w:rsidRPr="00575A3E">
        <w:rPr>
          <w:noProof/>
          <w:szCs w:val="22"/>
          <w:lang w:val="en-GB"/>
        </w:rPr>
        <w:t>Nahmias-Biran et al. (2020)</w:t>
      </w:r>
      <w:r w:rsidRPr="00575A3E">
        <w:rPr>
          <w:szCs w:val="22"/>
          <w:lang w:val="en-GB"/>
        </w:rPr>
        <w:fldChar w:fldCharType="end"/>
      </w:r>
      <w:r w:rsidRPr="00575A3E">
        <w:rPr>
          <w:szCs w:val="22"/>
          <w:lang w:val="en-GB"/>
        </w:rPr>
        <w:t xml:space="preserve">, </w:t>
      </w:r>
      <w:r w:rsidRPr="00575A3E">
        <w:rPr>
          <w:szCs w:val="22"/>
          <w:lang w:val="en-GB"/>
        </w:rPr>
        <w:fldChar w:fldCharType="begin" w:fldLock="1"/>
      </w:r>
      <w:r w:rsidR="0002665A" w:rsidRPr="00575A3E">
        <w:rPr>
          <w:szCs w:val="22"/>
          <w:lang w:val="en-GB"/>
        </w:rPr>
        <w:instrText>ADDIN CSL_CITATION {"citationItems":[{"id":"ITEM-1","itemData":{"DOI":"10.3390/urbansci2010005","ISSN":"2413-8851","abstract":"The emergence of fully Automated Vehicles (AVs) is expected to occur in the next 10 to 30 years. The uncertainties related to AVs pose a series of questions about what the societal consequences of such technology are. Mainly, what are the consequences of AVs regarding accessibility? This paper uses Geurs and Van Wee’s definition of accessibility to give an exploratory answer to this question. Using a scenario-based approach which allows identifying critical decisions that will emerge shortly (or are already emerging) concerning automated travelling, this paper proposes that AVs have great potential to both seriously aggravate and considerably alleviate accessibility problems. A great deal will depend on how these critical decisions will be approached and the choices that will be made. This debate is most needed because existing research on AVs tends to focus on how to make them a commercially viable and safe technological enterprise, and on what their benefits and drawbacks are regarding variables such as carbon emissions, energy consumption, and total miles travelled. Narratives of this nature can be problematic, as they are unlikely to promote sufficient awareness about the real disruptive potential of AVs. It is crucial that stakeholders realise the extent to which—if the governance of AVs implementation processes is not taken very seriously, and the identified critical decisions are not carefully approached—these machines can materialise a dystopian mobility future.","author":[{"dropping-particle":"","family":"Papa","given":"Enrica","non-dropping-particle":"","parse-names":false,"suffix":""},{"dropping-particle":"","family":"Ferreira","given":"António","non-dropping-particle":"","parse-names":false,"suffix":""}],"container-title":"Urban Science","id":"ITEM-1","issued":{"date-parts":[["2018"]]},"title":"Sustainable Accessibility and the Implementation of Automated Vehicles: Identifying Critical Decisions","type":"article-journal"},"uris":["http://www.mendeley.com/documents/?uuid=821d121f-af8e-4ac8-8bc5-47bf9305f4da"]}],"mendeley":{"formattedCitation":"(Papa and Ferreira, 2018)","manualFormatting":"Papa and Ferreira (2018)","plainTextFormattedCitation":"(Papa and Ferreira, 2018)","previouslyFormattedCitation":"(Papa and Ferreira, 2018)"},"properties":{"noteIndex":0},"schema":"https://github.com/citation-style-language/schema/raw/master/csl-citation.json"}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Papa </w:t>
      </w:r>
      <w:r w:rsidR="00CA1F09" w:rsidRPr="00575A3E">
        <w:rPr>
          <w:noProof/>
          <w:szCs w:val="22"/>
          <w:lang w:val="en-GB"/>
        </w:rPr>
        <w:t>and</w:t>
      </w:r>
      <w:r w:rsidRPr="00575A3E">
        <w:rPr>
          <w:noProof/>
          <w:szCs w:val="22"/>
          <w:lang w:val="en-GB"/>
        </w:rPr>
        <w:t xml:space="preserve"> Ferreira (2018)</w:t>
      </w:r>
      <w:r w:rsidRPr="00575A3E">
        <w:rPr>
          <w:szCs w:val="22"/>
          <w:lang w:val="en-GB"/>
        </w:rPr>
        <w:fldChar w:fldCharType="end"/>
      </w:r>
      <w:r w:rsidRPr="00575A3E">
        <w:rPr>
          <w:szCs w:val="22"/>
          <w:lang w:val="en-GB"/>
        </w:rPr>
        <w:t xml:space="preserve"> and </w:t>
      </w:r>
      <w:r w:rsidRPr="00575A3E">
        <w:rPr>
          <w:szCs w:val="22"/>
          <w:lang w:val="en-GB"/>
        </w:rPr>
        <w:fldChar w:fldCharType="begin" w:fldLock="1"/>
      </w:r>
      <w:r w:rsidR="0002665A" w:rsidRPr="00575A3E">
        <w:rPr>
          <w:szCs w:val="22"/>
          <w:lang w:val="en-GB"/>
        </w:rPr>
        <w:instrText>ADDIN CSL_CITATION {"citationItems":[{"id":"ITEM-1","itemData":{"DOI":"10.1080/01441647.2018.1524401","ISSN":"14645327","abstract":"Academic research on automated vehicles (AVs) has to date been dominated by the fields of engineering and computer science. Questions of how this potentially transformative technology should be governed remain under-researched and tend to concentrate on governing the technology's early development. We respond in this paper by exploring the possible longer-term effect of government (lack of) intervention. The paper tests the hypothesis that a \"laissez-faire\" governance approach is likely to produce less desirable outcomes in a scenario of mass uptake of AVs than would a well-planned set of government interventions. This is done using two prominent themes in transport policy-traffic flow and accessibility-in a scenario of high market penetration of Level-5 automated vehicles in capitalist market economies. The evidence used is drawn from a literature review and from the findings of a set of workshops with stakeholders. We suggest that a laissez-faire approach will lead to an increase in traffic volume as a result of a growing population of \"drivers\" and a probable increase in kilometres driven per passenger. At the same time, the hoped-for increases in network efficiency commonly claimed are not guaranteed to come about without appropriate government intervention. The likely consequence is an increase in congestion. And, with respect to accessibility, it is likely that the benefits of AVs will be enjoyed by wealthier individuals and that the wider impacts of AV use (including sprawl) may lead to a deterioration in accessibility for those who depend on walking, cycling or collective transport. We consider the range of possible government intervention in five categories: Planning/land-use; Regulation/policy; Infrastructure/technology; Service provision; and Economic instruments. For each category, we set out a series of interventions that might be used by governments (at city, region or state level) to manage congestion or protect accessibility in the AV scenario described. Many of these (e.g. road pricing) are already part of the policy mix but some (e.g. ban empty running of AVs) would be new. We find that all interventions applicable to the management of traffic flow would also be expected to contribute to the management of accessibility; we define a small ARTICLE HISTORY number of additional interventions aimed at protecting the accessibility of priority groups. Our general finding is that the adoption of a package of these interventions could be expect…","author":[{"dropping-particle":"","family":"Cohen","given":"Tom","non-dropping-particle":"","parse-names":false,"suffix":""},{"dropping-particle":"","family":"Cavoli","given":"Clémence","non-dropping-particle":"","parse-names":false,"suffix":""}],"container-title":"Transport Reviews","id":"ITEM-1","issue":"1","issued":{"date-parts":[["2019"]]},"page":"129-151","title":"Automated vehicles: exploring possible consequences of government (non)intervention for congestion and accessibility","type":"article-journal","volume":"39"},"uris":["http://www.mendeley.com/documents/?uuid=09a94549-b8d5-4ed2-a204-b0f85d1a59de"]}],"mendeley":{"formattedCitation":"(Cohen and Cavoli, 2019)","manualFormatting":"Cohen and Cavoli (2019)","plainTextFormattedCitation":"(Cohen and Cavoli, 2019)","previouslyFormattedCitation":"(Cohen and Cavoli, 2019)"},"properties":{"noteIndex":0},"schema":"https://github.com/citation-style-language/schema/raw/master/csl-citation.json"}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Cohen </w:t>
      </w:r>
      <w:r w:rsidR="00C343DF" w:rsidRPr="00575A3E">
        <w:rPr>
          <w:noProof/>
          <w:szCs w:val="22"/>
          <w:lang w:val="en-GB"/>
        </w:rPr>
        <w:t>and</w:t>
      </w:r>
      <w:r w:rsidRPr="00575A3E">
        <w:rPr>
          <w:noProof/>
          <w:szCs w:val="22"/>
          <w:lang w:val="en-GB"/>
        </w:rPr>
        <w:t xml:space="preserve"> Cavoli (2019)</w:t>
      </w:r>
      <w:r w:rsidRPr="00575A3E">
        <w:rPr>
          <w:szCs w:val="22"/>
          <w:lang w:val="en-GB"/>
        </w:rPr>
        <w:fldChar w:fldCharType="end"/>
      </w:r>
      <w:r w:rsidRPr="00575A3E">
        <w:rPr>
          <w:szCs w:val="22"/>
          <w:lang w:val="en-GB"/>
        </w:rPr>
        <w:t xml:space="preserve">. </w:t>
      </w:r>
      <w:r w:rsidR="00E201B4" w:rsidRPr="00575A3E">
        <w:rPr>
          <w:szCs w:val="22"/>
          <w:lang w:val="en-GB"/>
        </w:rPr>
        <w:t xml:space="preserve">Moreover, based on the results of </w:t>
      </w:r>
      <w:r w:rsidR="00E201B4" w:rsidRPr="00575A3E">
        <w:rPr>
          <w:szCs w:val="22"/>
          <w:lang w:val="en-GB"/>
        </w:rPr>
        <w:fldChar w:fldCharType="begin" w:fldLock="1"/>
      </w:r>
      <w:r w:rsidR="00A320A0" w:rsidRPr="00575A3E">
        <w:rPr>
          <w:szCs w:val="22"/>
          <w:lang w:val="en-GB"/>
        </w:rPr>
        <w:instrText>ADDIN CSL_CITATION {"citationItems":[{"id":"ITEM-1","itemData":{"DOI":"10.1016/j.tranpol.2020.05.007","ISSN":"1879310X","abstract":"Objective: The concept of automated cars is rapidly becoming a reality. Yet there has been very little analysis of the impacts of such developments on the performance of urban transport systems. These impacts are potentially complex. On the positive side, automation has the potential to increase road capacity, make driving available to more people, and reduce accidents and emissions. On the negative side, it could attract users away from public transport, walking and cycling, substantially increase traffic levels and stimulate urban sprawl. These impacts cannot currently be measured empirically and, by the time that they can, it will be too late to change the implementation model to rectify any resulting problems. Predictive assessments are therefore needed. This paper considers the possible impacts of automated vehicles, predicts their effects on the urban land use and transport system, and discusses the policy implications. We focus on automation of the car fleet, and do not consider the potential of automation of public transport or freight. Methods: We consider the literature on the range of attributes of automated vehicles which might affect transport and land use patterns, and suggest potential outcomes for each over the period to 2050. These include the proportion of automated vehicles in the car fleet, whether automated vehicles are privately purchased or publicly shared, the impacts on network capacity, the reduced need to pay for and walk from parking places, the potential reduction in the value of in-vehicle time and the potential use by current non-drivers. We represent these attributes in an expanded causal link diagram of the urban land use and transport system and import those causal links into the MARS system dynamics model. We determine from the literature a level for each attribute, and test the impacts in a set of ten scenarios using an updated MARS model of Leeds. Results: Based on our input assumptions, we find that car-km in 2050 could be over 50% higher than in the business as usual scenario. Public transport use could fall by 18%, threatening accessibility for those dependent on it, while walking and cycling could fall by 13%, reducing their health benefits. Overall person-km would rise, suggesting a reduction in sustainability. A requirement that all automated cars are shared vehicles could reduce these adverse impacts somewhat, but the effects are sensitive to the charge per km. Discussion: Our use of a single value for each at…","author":[{"dropping-particle":"","family":"May","given":"Anthony D.","non-dropping-particle":"","parse-names":false,"suffix":""},{"dropping-particle":"","family":"Shepherd","given":"Simon","non-dropping-particle":"","parse-names":false,"suffix":""},{"dropping-particle":"","family":"Pfaffenbichler","given":"Paul","non-dropping-particle":"","parse-names":false,"suffix":""},{"dropping-particle":"","family":"Emberger","given":"Günter","non-dropping-particle":"","parse-names":false,"suffix":""}],"container-title":"Transport Policy","id":"ITEM-1","issued":{"date-parts":[["2020"]]},"title":"The potential impacts of automated cars on urban transport: An exploratory analysis","type":"article-journal","volume":"98"},"uris":["http://www.mendeley.com/documents/?uuid=584973b5-8054-3ae3-8f82-0da190e5fac8"]}],"mendeley":{"formattedCitation":"(May et al., 2020)","manualFormatting":"May et al. (2020)","plainTextFormattedCitation":"(May et al., 2020)","previouslyFormattedCitation":"(May et al., 2020)"},"properties":{"noteIndex":0},"schema":"https://github.com/citation-style-language/schema/raw/master/csl-citation.json"}</w:instrText>
      </w:r>
      <w:r w:rsidR="00E201B4" w:rsidRPr="00575A3E">
        <w:rPr>
          <w:szCs w:val="22"/>
          <w:lang w:val="en-GB"/>
        </w:rPr>
        <w:fldChar w:fldCharType="separate"/>
      </w:r>
      <w:r w:rsidR="00E201B4" w:rsidRPr="00575A3E">
        <w:rPr>
          <w:noProof/>
          <w:szCs w:val="22"/>
          <w:lang w:val="en-GB"/>
        </w:rPr>
        <w:t>May et al. (2020)</w:t>
      </w:r>
      <w:r w:rsidR="00E201B4" w:rsidRPr="00575A3E">
        <w:rPr>
          <w:szCs w:val="22"/>
          <w:lang w:val="en-GB"/>
        </w:rPr>
        <w:fldChar w:fldCharType="end"/>
      </w:r>
      <w:r w:rsidR="00E201B4" w:rsidRPr="00575A3E">
        <w:rPr>
          <w:szCs w:val="22"/>
          <w:lang w:val="en-GB"/>
        </w:rPr>
        <w:t xml:space="preserve">, who have implemented scenarios in the LUTI model of MARS for Leeds in the UK to incorporate vehicle automation, accessibility is especially reduced for people that use public transport for every day travel, because public transport demand is reduced. </w:t>
      </w:r>
      <w:r w:rsidR="00D55A12" w:rsidRPr="00575A3E">
        <w:rPr>
          <w:szCs w:val="22"/>
          <w:lang w:val="en-GB"/>
        </w:rPr>
        <w:t>The a</w:t>
      </w:r>
      <w:r w:rsidRPr="00575A3E">
        <w:rPr>
          <w:szCs w:val="22"/>
          <w:lang w:val="en-GB"/>
        </w:rPr>
        <w:t xml:space="preserve">ccessibility impacts of electric vehicles are highly related in the literature with the location of charging infrastructure. </w:t>
      </w:r>
      <w:r w:rsidRPr="00575A3E">
        <w:rPr>
          <w:szCs w:val="22"/>
          <w:lang w:val="en-GB"/>
        </w:rPr>
        <w:fldChar w:fldCharType="begin" w:fldLock="1"/>
      </w:r>
      <w:r w:rsidR="0002665A" w:rsidRPr="00575A3E">
        <w:rPr>
          <w:szCs w:val="22"/>
          <w:lang w:val="en-GB"/>
        </w:rPr>
        <w:instrText>ADDIN CSL_CITATION {"citationItems":[{"id":"ITEM-1","itemData":{"DOI":"10.2139/ssrn.3660754","author":[{"dropping-particle":"","family":"He","given":"Sylvia Y.","non-dropping-particle":"","parse-names":false,"suffix":""},{"dropping-particle":"","family":"Luo","given":"Shuli","non-dropping-particle":"","parse-names":false,"suffix":""},{"dropping-particle":"","family":"Sun","given":"Ka Kit","non-dropping-particle":"","parse-names":false,"suffix":""}],"container-title":"SSRN Electronic Journal","id":"ITEM-1","issued":{"date-parts":[["2020"]]},"title":"Factors Affecting the Adoption Intention of Electric Vehicles: The Roles of Objective, Perceived and Prospective Accessibility","type":"article-journal"},"uris":["http://www.mendeley.com/documents/?uuid=80425bb1-419c-4345-8cb9-cf4e3de578ca"]}],"mendeley":{"formattedCitation":"(He et al., 2020)","manualFormatting":"He et al. (2020)","plainTextFormattedCitation":"(He et al., 2020)","previouslyFormattedCitation":"(He et al., 2020)"},"properties":{"noteIndex":0},"schema":"https://github.com/citation-style-language/schema/raw/master/csl-citation.json"}</w:instrText>
      </w:r>
      <w:r w:rsidRPr="00575A3E">
        <w:rPr>
          <w:szCs w:val="22"/>
          <w:lang w:val="en-GB"/>
        </w:rPr>
        <w:fldChar w:fldCharType="separate"/>
      </w:r>
      <w:r w:rsidRPr="00575A3E">
        <w:rPr>
          <w:noProof/>
          <w:szCs w:val="22"/>
          <w:lang w:val="en-GB"/>
        </w:rPr>
        <w:t>He et al. (2020)</w:t>
      </w:r>
      <w:r w:rsidRPr="00575A3E">
        <w:rPr>
          <w:szCs w:val="22"/>
          <w:lang w:val="en-GB"/>
        </w:rPr>
        <w:fldChar w:fldCharType="end"/>
      </w:r>
      <w:r w:rsidRPr="00575A3E">
        <w:rPr>
          <w:szCs w:val="22"/>
          <w:lang w:val="en-GB"/>
        </w:rPr>
        <w:t xml:space="preserve"> investigate</w:t>
      </w:r>
      <w:r w:rsidR="00D55A12" w:rsidRPr="00575A3E">
        <w:rPr>
          <w:szCs w:val="22"/>
          <w:lang w:val="en-GB"/>
        </w:rPr>
        <w:t>s</w:t>
      </w:r>
      <w:r w:rsidRPr="00575A3E">
        <w:rPr>
          <w:szCs w:val="22"/>
          <w:lang w:val="en-GB"/>
        </w:rPr>
        <w:t xml:space="preserve"> the interrelation between accessibility and the adoption of EVs and conclude</w:t>
      </w:r>
      <w:r w:rsidR="00D55A12" w:rsidRPr="00575A3E">
        <w:rPr>
          <w:szCs w:val="22"/>
          <w:lang w:val="en-GB"/>
        </w:rPr>
        <w:t>s</w:t>
      </w:r>
      <w:r w:rsidRPr="00575A3E">
        <w:rPr>
          <w:szCs w:val="22"/>
          <w:lang w:val="en-GB"/>
        </w:rPr>
        <w:t xml:space="preserve"> that the density of charging points </w:t>
      </w:r>
      <w:r w:rsidR="00CA1F09" w:rsidRPr="00575A3E">
        <w:rPr>
          <w:szCs w:val="22"/>
          <w:lang w:val="en-GB"/>
        </w:rPr>
        <w:t xml:space="preserve">and their </w:t>
      </w:r>
      <w:r w:rsidRPr="00575A3E">
        <w:rPr>
          <w:szCs w:val="22"/>
          <w:lang w:val="en-GB"/>
        </w:rPr>
        <w:t>accessib</w:t>
      </w:r>
      <w:r w:rsidR="00CA1F09" w:rsidRPr="00575A3E">
        <w:rPr>
          <w:szCs w:val="22"/>
          <w:lang w:val="en-GB"/>
        </w:rPr>
        <w:t>i</w:t>
      </w:r>
      <w:r w:rsidRPr="00575A3E">
        <w:rPr>
          <w:szCs w:val="22"/>
          <w:lang w:val="en-GB"/>
        </w:rPr>
        <w:t>l</w:t>
      </w:r>
      <w:r w:rsidR="00CA1F09" w:rsidRPr="00575A3E">
        <w:rPr>
          <w:szCs w:val="22"/>
          <w:lang w:val="en-GB"/>
        </w:rPr>
        <w:t>ity</w:t>
      </w:r>
      <w:r w:rsidRPr="00575A3E">
        <w:rPr>
          <w:szCs w:val="22"/>
          <w:lang w:val="en-GB"/>
        </w:rPr>
        <w:t xml:space="preserve"> play a major role for EV adoption. This conclusion is </w:t>
      </w:r>
      <w:r w:rsidR="00D55A12" w:rsidRPr="00575A3E">
        <w:rPr>
          <w:szCs w:val="22"/>
          <w:lang w:val="en-GB"/>
        </w:rPr>
        <w:t xml:space="preserve">consistent with </w:t>
      </w:r>
      <w:r w:rsidRPr="00575A3E">
        <w:rPr>
          <w:szCs w:val="22"/>
          <w:lang w:val="en-GB"/>
        </w:rPr>
        <w:t xml:space="preserve">the </w:t>
      </w:r>
      <w:r w:rsidR="00D55A12" w:rsidRPr="00575A3E">
        <w:rPr>
          <w:szCs w:val="22"/>
          <w:lang w:val="en-GB"/>
        </w:rPr>
        <w:t>works</w:t>
      </w:r>
      <w:r w:rsidRPr="00575A3E">
        <w:rPr>
          <w:szCs w:val="22"/>
          <w:lang w:val="en-GB"/>
        </w:rPr>
        <w:t xml:space="preserve"> of </w:t>
      </w:r>
      <w:r w:rsidRPr="00575A3E">
        <w:rPr>
          <w:szCs w:val="22"/>
          <w:lang w:val="en-GB"/>
        </w:rPr>
        <w:fldChar w:fldCharType="begin" w:fldLock="1"/>
      </w:r>
      <w:r w:rsidR="0002665A" w:rsidRPr="00575A3E">
        <w:rPr>
          <w:szCs w:val="22"/>
          <w:lang w:val="en-GB"/>
        </w:rPr>
        <w:instrText>ADDIN CSL_CITATION {"citationItems":[{"id":"ITEM-1","itemData":{"DOI":"10.1109/IEVC.2012.6183286","ISBN":"9781467315623","abstract":"Modern route-guidance software for conventional gasoline-powered vehicles does not consider refueling since gasoline stations are ubiquitous and convenient in terms of both accessibility and use. The same technology is insufficient for electric vehicles (EVs), however, as charging stations are much more scarce and a suggested route may be infeasible given an EV's initial charge level. Recharging decisions may also have significant impacts on the total travel time and longevity of the battery, which can be costly to replace, so they must be considered when planning EV routes. In this paper, the problem of finding a minimum-cost path for an EV when the vehicle must recharge along the way is modeled as a dynamic program. It is proven that the optimal control and state space are discrete under mild assumptions, and two different solution methods are presented.","author":[{"dropping-particle":"","family":"Sweda","given":"Timothy M.","non-dropping-particle":"","parse-names":false,"suffix":""},{"dropping-particle":"","family":"Klabjan","given":"Diego","non-dropping-particle":"","parse-names":false,"suffix":""}],"container-title":"2012 IEEE International Electric Vehicle Conference, IEVC 2012","id":"ITEM-1","issued":{"date-parts":[["2012"]]},"title":"Finding minimum-cost paths for electric vehicles","type":"paper-conference"},"uris":["http://www.mendeley.com/documents/?uuid=8503471f-e70b-498b-a8e8-d16d002328eb"]}],"mendeley":{"formattedCitation":"(Sweda and Klabjan, 2012)","manualFormatting":"Sweda &amp; Klabjan (2012)","plainTextFormattedCitation":"(Sweda and Klabjan, 2012)","previouslyFormattedCitation":"(Sweda and Klabjan, 2012)"},"properties":{"noteIndex":0},"schema":"https://github.com/citation-style-language/schema/raw/master/csl-citation.json"}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Sweda </w:t>
      </w:r>
      <w:r w:rsidR="00B50E47" w:rsidRPr="00575A3E">
        <w:rPr>
          <w:noProof/>
          <w:szCs w:val="22"/>
          <w:lang w:val="en-GB"/>
        </w:rPr>
        <w:t>&amp;</w:t>
      </w:r>
      <w:r w:rsidRPr="00575A3E">
        <w:rPr>
          <w:noProof/>
          <w:szCs w:val="22"/>
          <w:lang w:val="en-GB"/>
        </w:rPr>
        <w:t xml:space="preserve"> Klabjan (2012)</w:t>
      </w:r>
      <w:r w:rsidRPr="00575A3E">
        <w:rPr>
          <w:szCs w:val="22"/>
          <w:lang w:val="en-GB"/>
        </w:rPr>
        <w:fldChar w:fldCharType="end"/>
      </w:r>
      <w:r w:rsidRPr="00575A3E">
        <w:rPr>
          <w:szCs w:val="22"/>
          <w:lang w:val="en-GB"/>
        </w:rPr>
        <w:t xml:space="preserve">, </w:t>
      </w:r>
      <w:r w:rsidRPr="00575A3E">
        <w:rPr>
          <w:szCs w:val="22"/>
          <w:lang w:val="en-GB"/>
        </w:rPr>
        <w:fldChar w:fldCharType="begin" w:fldLock="1"/>
      </w:r>
      <w:r w:rsidR="0002665A" w:rsidRPr="00575A3E">
        <w:rPr>
          <w:szCs w:val="22"/>
          <w:lang w:val="en-GB"/>
        </w:rPr>
        <w:instrText>ADDIN CSL_CITATION {"citationItems":[{"id":"ITEM-1","itemData":{"DOI":"10.3390/infrastructures3030021","ISSN":"24123811","abstract":"The spread of charging infrastructure (CIS) for battery electric vehicles is crucial for coping with the increasing number of electric vehicles. Therefore, the selection of ideal (fast-) charging locations determines acceptance, utilization and, thus, the economic viability of a single site or the whole charging network. The methodology of the Integrated Model Approach STELLA (STELLA is the acronym for the German term “STandortfindungsmodell für ELektrische LAdeinfrastruktur”) for site identification of CIS uses reliable methods of traffic modeling such as the classic four-step traffic modeling in a new context to enable statements regarding the positioning of CIS. Because only (electric) motorized individual traffic is of importance for CIS, the share of trips is calculated by differentiating the modal split between various transport groups. To estimate the public transport share in the model approach STELLA there are several factors used. One aspect is the accessibility of stops, which can be determined with accessibility radii one the one hand, and with network analyses on the other hand. The methods have been evaluated for the region of Nuremberg. Depending on the spatial characteristics there is a difference of up to 60% between the two methods in the area covered by public transport. Therefore, the network analysis leads to a more accurate estimation of the public transport share. The modal split determination is then implemented in the model approach STELLA, which is currently developed for a planning area covering the entire territory of the Federal Republic of Germany.","author":[{"dropping-particle":"","family":"Brost","given":"Waldemar","non-dropping-particle":"","parse-names":false,"suffix":""},{"dropping-particle":"","family":"Funke","given":"Teresa","non-dropping-particle":"","parse-names":false,"suffix":""},{"dropping-particle":"","family":"Lembach","given":"Michael","non-dropping-particle":"","parse-names":false,"suffix":""}],"container-title":"Infrastructures","id":"ITEM-1","issued":{"date-parts":[["2018"]]},"title":"Spatial analysis of the public transport accessibility for modelling the modal split in the context of site identification for charging infrastructure","type":"article-journal"},"uris":["http://www.mendeley.com/documents/?uuid=2ad8905d-d2d2-4833-a931-ef920ba89784"]}],"mendeley":{"formattedCitation":"(Brost et al., 2018)","manualFormatting":"Brost et al. (2018)","plainTextFormattedCitation":"(Brost et al., 2018)","previouslyFormattedCitation":"(Brost et al., 2018)"},"properties":{"noteIndex":0},"schema":"https://github.com/citation-style-language/schema/raw/master/csl-citation.json"}</w:instrText>
      </w:r>
      <w:r w:rsidRPr="00575A3E">
        <w:rPr>
          <w:szCs w:val="22"/>
          <w:lang w:val="en-GB"/>
        </w:rPr>
        <w:fldChar w:fldCharType="separate"/>
      </w:r>
      <w:r w:rsidRPr="00575A3E">
        <w:rPr>
          <w:noProof/>
          <w:szCs w:val="22"/>
          <w:lang w:val="en-GB"/>
        </w:rPr>
        <w:t>Brost et al. (2018)</w:t>
      </w:r>
      <w:r w:rsidRPr="00575A3E">
        <w:rPr>
          <w:szCs w:val="22"/>
          <w:lang w:val="en-GB"/>
        </w:rPr>
        <w:fldChar w:fldCharType="end"/>
      </w:r>
      <w:r w:rsidRPr="00575A3E">
        <w:rPr>
          <w:szCs w:val="22"/>
          <w:lang w:val="en-GB"/>
        </w:rPr>
        <w:t xml:space="preserve"> and </w:t>
      </w:r>
      <w:r w:rsidRPr="00575A3E">
        <w:rPr>
          <w:szCs w:val="22"/>
          <w:lang w:val="en-GB"/>
        </w:rPr>
        <w:fldChar w:fldCharType="begin" w:fldLock="1"/>
      </w:r>
      <w:r w:rsidR="0002665A" w:rsidRPr="00575A3E">
        <w:rPr>
          <w:szCs w:val="22"/>
          <w:lang w:val="en-GB"/>
        </w:rPr>
        <w:instrText>ADDIN CSL_CITATION {"citationItems":[{"id":"ITEM-1","itemData":{"DOI":"10.1080/19475683.2020.1737226","ISSN":"19475691","abstract":"Electric vehicles arouse interest since they not only contribute economies of countries in the context of dependency to oil but also support to more livable and sustainable urban areas. The location selection of electric vehicle charging stations is one of the most vital topics in order to enhance the use of electric vehicles. In this sense, the aim of this paper is to propose an approach that integrates Geographic Information System (GIS) techniques and Multi-Criteria Decision Making (MCDM) methods for finding suitable locations of the electric vehicle charging stations. In this regard, the Analytic Hierarchy Process (AHP) and the Fuzzy Analytic Hierarchy Process (FAHP) methods are used to calculate the weights of criteria. While the two different weights for each criterion are obtained by means of AHP in terms of environmental impact and accessibility, another weight for each criterion is obtained as a means of applying the FAHP. The intersection of three different suitability indexes is determined so as to achieve a holistic, credible result. The Technique for Order Preference by Similarity to Ideal Solution (TOPSIS) method is used to rank the alternative locations. The results show that the proposed approach offers a notable solution to be selected suitable charging station locations. Moreover, policymakers and administrators could benefit from these results in order to make efficient decisions for forward planning and strategies.","author":[{"dropping-particle":"","family":"Guler","given":"Dogus","non-dropping-particle":"","parse-names":false,"suffix":""},{"dropping-particle":"","family":"Yomralioglu","given":"Tahsin","non-dropping-particle":"","parse-names":false,"suffix":""}],"container-title":"Annals of GIS","id":"ITEM-1","issued":{"date-parts":[["2020"]]},"title":"Suitable location selection for the electric vehicle fast charging station with AHP and fuzzy AHP methods using GIS","type":"article-journal"},"uris":["http://www.mendeley.com/documents/?uuid=01565dc9-0f3c-440c-8cc2-d7c86257e675"]}],"mendeley":{"formattedCitation":"(Guler and Yomralioglu, 2020)","manualFormatting":"Guler &amp; Yomralioglu (2020)","plainTextFormattedCitation":"(Guler and Yomralioglu, 2020)","previouslyFormattedCitation":"(Guler and Yomralioglu, 2020)"},"properties":{"noteIndex":0},"schema":"https://github.com/citation-style-language/schema/raw/master/csl-citation.json"}</w:instrText>
      </w:r>
      <w:r w:rsidRPr="00575A3E">
        <w:rPr>
          <w:szCs w:val="22"/>
          <w:lang w:val="en-GB"/>
        </w:rPr>
        <w:fldChar w:fldCharType="separate"/>
      </w:r>
      <w:r w:rsidRPr="00575A3E">
        <w:rPr>
          <w:noProof/>
          <w:szCs w:val="22"/>
          <w:lang w:val="en-GB"/>
        </w:rPr>
        <w:t xml:space="preserve">Guler </w:t>
      </w:r>
      <w:r w:rsidR="00B50E47" w:rsidRPr="00575A3E">
        <w:rPr>
          <w:noProof/>
          <w:szCs w:val="22"/>
          <w:lang w:val="en-GB"/>
        </w:rPr>
        <w:t>&amp;</w:t>
      </w:r>
      <w:r w:rsidRPr="00575A3E">
        <w:rPr>
          <w:noProof/>
          <w:szCs w:val="22"/>
          <w:lang w:val="en-GB"/>
        </w:rPr>
        <w:t xml:space="preserve"> Yomralioglu (2020)</w:t>
      </w:r>
      <w:r w:rsidRPr="00575A3E">
        <w:rPr>
          <w:szCs w:val="22"/>
          <w:lang w:val="en-GB"/>
        </w:rPr>
        <w:fldChar w:fldCharType="end"/>
      </w:r>
      <w:r w:rsidRPr="00575A3E">
        <w:rPr>
          <w:szCs w:val="22"/>
          <w:lang w:val="en-GB"/>
        </w:rPr>
        <w:t xml:space="preserve">. </w:t>
      </w:r>
    </w:p>
    <w:p w14:paraId="41F322DD" w14:textId="77777777" w:rsidR="00D55A12" w:rsidRPr="00575A3E" w:rsidRDefault="00D55A12" w:rsidP="00A55356">
      <w:pPr>
        <w:spacing w:line="360" w:lineRule="auto"/>
        <w:rPr>
          <w:szCs w:val="22"/>
          <w:lang w:val="en-GB"/>
        </w:rPr>
      </w:pPr>
    </w:p>
    <w:p w14:paraId="333780DD" w14:textId="49A36C30" w:rsidR="0042602B" w:rsidRPr="00575A3E" w:rsidRDefault="0077622D" w:rsidP="00652C68">
      <w:pPr>
        <w:spacing w:line="360" w:lineRule="auto"/>
        <w:rPr>
          <w:szCs w:val="22"/>
          <w:lang w:val="en-GB"/>
        </w:rPr>
      </w:pPr>
      <w:r w:rsidRPr="00575A3E">
        <w:rPr>
          <w:szCs w:val="22"/>
          <w:lang w:val="en-GB"/>
        </w:rPr>
        <w:t xml:space="preserve">Consequently, the available literature points to a broad consensus that new transport technologies are likely to have substantial impacts on land use and transport patterns. </w:t>
      </w:r>
      <w:r w:rsidR="006650C8" w:rsidRPr="00575A3E">
        <w:rPr>
          <w:szCs w:val="22"/>
          <w:lang w:val="en-GB"/>
        </w:rPr>
        <w:t xml:space="preserve">Moreover, based on the report of the </w:t>
      </w:r>
      <w:r w:rsidR="006650C8" w:rsidRPr="00575A3E">
        <w:rPr>
          <w:szCs w:val="22"/>
          <w:lang w:val="en-GB"/>
        </w:rPr>
        <w:fldChar w:fldCharType="begin" w:fldLock="1"/>
      </w:r>
      <w:r w:rsidR="00023FD8" w:rsidRPr="00575A3E">
        <w:rPr>
          <w:szCs w:val="22"/>
          <w:lang w:val="en-GB"/>
        </w:rPr>
        <w:instrText>ADDIN CSL_CITATION {"citationItems":[{"id":"ITEM-1","itemData":{"DOI":"10.17226/25580","ISBN":"9780309481038","abstract":"Electrides are materials in which alkali metals (Li through Cs) ionize to form bound alkali cations and \"excess\" electrons. The electrons reside in large cavities or channels or both in the host lattice. We report here the first synthesis of thermally stable inorganic electrides with cation-to-electron ratios of 1:1 as in organic electrides. Although alkali metal adducts to alumino-silicate zeolites are well known, the cation-to-electron ratio is generally 3:1 or greater because these zeolites contain alkali cations prior to incorporation of the alkali metal. In this work, two pure silica zeolites, ITQ-4and ITQ-7, with pore diameters of approximately 7 A, absorb up to 40 wt % cesium from the vapor phase (even at room temperature). The other alkali metals (except Li) can also be introduced at elevated temperatures. The optical and magnetic properties of the cesium-loaded samples suggest ionization to form Cs+ and e- with substantial electron-spin pairing. The metal-loaded samples are stable to at least 100 degrees C and are able to reduce small aromatic molecules such as benzene and naphthalene to the radical anions within the pores of the zeolite.","author":[{"dropping-particle":"","family":"US National Cooperative Highway Research Program","given":"","non-dropping-particle":"","parse-names":false,"suffix":""}],"container-title":"Foreseeing the Impact of Transformational Technologies on Land Use and Transportation","id":"ITEM-1","issued":{"date-parts":[["2019"]]},"title":"Foreseeing the Impact of Transformational Technologies on Land Use and Transportation","type":"book"},"uris":["http://www.mendeley.com/documents/?uuid=f52033b7-14e0-4431-ad2a-559732678715"]}],"mendeley":{"formattedCitation":"(US National Cooperative Highway Research Program, 2019)","manualFormatting":"US National Cooperative Highway Research Program (2019)","plainTextFormattedCitation":"(US National Cooperative Highway Research Program, 2019)","previouslyFormattedCitation":"(US National Cooperative Highway Research Program, 2019)"},"properties":{"noteIndex":0},"schema":"https://github.com/citation-style-language/schema/raw/master/csl-citation.json"}</w:instrText>
      </w:r>
      <w:r w:rsidR="006650C8" w:rsidRPr="00575A3E">
        <w:rPr>
          <w:szCs w:val="22"/>
          <w:lang w:val="en-GB"/>
        </w:rPr>
        <w:fldChar w:fldCharType="separate"/>
      </w:r>
      <w:r w:rsidR="006650C8" w:rsidRPr="00575A3E">
        <w:rPr>
          <w:noProof/>
          <w:szCs w:val="22"/>
          <w:lang w:val="en-GB"/>
        </w:rPr>
        <w:t>US National Cooperative Highway Research Program (2019)</w:t>
      </w:r>
      <w:r w:rsidR="006650C8" w:rsidRPr="00575A3E">
        <w:rPr>
          <w:szCs w:val="22"/>
          <w:lang w:val="en-GB"/>
        </w:rPr>
        <w:fldChar w:fldCharType="end"/>
      </w:r>
      <w:r w:rsidR="00F40A6B" w:rsidRPr="00575A3E">
        <w:rPr>
          <w:szCs w:val="22"/>
          <w:lang w:val="en-GB"/>
        </w:rPr>
        <w:t xml:space="preserve"> and on </w:t>
      </w:r>
      <w:r w:rsidR="00F40A6B" w:rsidRPr="00575A3E">
        <w:rPr>
          <w:szCs w:val="22"/>
          <w:lang w:val="en-GB"/>
        </w:rPr>
        <w:fldChar w:fldCharType="begin" w:fldLock="1"/>
      </w:r>
      <w:r w:rsidR="00E42A92" w:rsidRPr="00575A3E">
        <w:rPr>
          <w:szCs w:val="22"/>
          <w:lang w:val="en-GB"/>
        </w:rPr>
        <w:instrText>ADDIN CSL_CITATION {"citationItems":[{"id":"ITEM-1","itemData":{"URL":"https://opr.ca.gov/planning/transportation/automated-vehicles.html","accessed":{"date-parts":[["2022","11","25"]]},"author":[{"dropping-particle":"","family":"US Governor's Office of Planning and Research","given":"","non-dropping-particle":"","parse-names":false,"suffix":""}],"id":"ITEM-1","issued":{"date-parts":[["2022"]]},"title":"Automated Vehicle Principles for Healthy and Sustainable Communities","type":"webpage"},"uris":["http://www.mendeley.com/documents/?uuid=561bd1f2-d013-49fa-9795-799b67f49b19"]}],"mendeley":{"formattedCitation":"(US Governor’s Office of Planning and Research, 2022)","manualFormatting":"US Governor’s Office of Planning and Research (2022)","plainTextFormattedCitation":"(US Governor’s Office of Planning and Research, 2022)","previouslyFormattedCitation":"(US Governor’s Office of Planning and Research, 2022)"},"properties":{"noteIndex":0},"schema":"https://github.com/citation-style-language/schema/raw/master/csl-citation.json"}</w:instrText>
      </w:r>
      <w:r w:rsidR="00F40A6B" w:rsidRPr="00575A3E">
        <w:rPr>
          <w:szCs w:val="22"/>
          <w:lang w:val="en-GB"/>
        </w:rPr>
        <w:fldChar w:fldCharType="separate"/>
      </w:r>
      <w:r w:rsidR="00F40A6B" w:rsidRPr="00575A3E">
        <w:rPr>
          <w:noProof/>
          <w:szCs w:val="22"/>
          <w:lang w:val="en-GB"/>
        </w:rPr>
        <w:t>US Governor’s Office of Planning and Research (2022)</w:t>
      </w:r>
      <w:r w:rsidR="00F40A6B" w:rsidRPr="00575A3E">
        <w:rPr>
          <w:szCs w:val="22"/>
          <w:lang w:val="en-GB"/>
        </w:rPr>
        <w:fldChar w:fldCharType="end"/>
      </w:r>
      <w:r w:rsidR="006650C8" w:rsidRPr="00575A3E">
        <w:rPr>
          <w:szCs w:val="22"/>
          <w:lang w:val="en-GB"/>
        </w:rPr>
        <w:t xml:space="preserve">, these impacts are also investigated not only in the academic community, but also in different </w:t>
      </w:r>
      <w:r w:rsidR="00DA622D" w:rsidRPr="00575A3E">
        <w:rPr>
          <w:szCs w:val="22"/>
          <w:lang w:val="en-GB"/>
        </w:rPr>
        <w:t xml:space="preserve">sectors among transport and planning professionals, as </w:t>
      </w:r>
      <w:r w:rsidR="00D673D0" w:rsidRPr="00575A3E">
        <w:rPr>
          <w:szCs w:val="22"/>
          <w:lang w:val="en-GB"/>
        </w:rPr>
        <w:t>plans for dealing with vehicle automation</w:t>
      </w:r>
      <w:r w:rsidR="00C73C18" w:rsidRPr="00575A3E">
        <w:rPr>
          <w:szCs w:val="22"/>
          <w:lang w:val="en-GB"/>
        </w:rPr>
        <w:t xml:space="preserve"> have been</w:t>
      </w:r>
      <w:r w:rsidR="00D673D0" w:rsidRPr="00575A3E">
        <w:rPr>
          <w:szCs w:val="22"/>
          <w:lang w:val="en-GB"/>
        </w:rPr>
        <w:t xml:space="preserve"> developed for</w:t>
      </w:r>
      <w:r w:rsidR="00C73C18" w:rsidRPr="00575A3E">
        <w:rPr>
          <w:szCs w:val="22"/>
          <w:lang w:val="en-GB"/>
        </w:rPr>
        <w:t xml:space="preserve"> example among different </w:t>
      </w:r>
      <w:r w:rsidR="003B080C" w:rsidRPr="00575A3E">
        <w:rPr>
          <w:szCs w:val="22"/>
          <w:lang w:val="en-GB"/>
        </w:rPr>
        <w:t xml:space="preserve">states </w:t>
      </w:r>
      <w:r w:rsidR="00C73C18" w:rsidRPr="00575A3E">
        <w:rPr>
          <w:szCs w:val="22"/>
          <w:lang w:val="en-GB"/>
        </w:rPr>
        <w:t>in the United States, such as</w:t>
      </w:r>
      <w:r w:rsidR="00D673D0" w:rsidRPr="00575A3E">
        <w:rPr>
          <w:szCs w:val="22"/>
          <w:lang w:val="en-GB"/>
        </w:rPr>
        <w:t xml:space="preserve"> Missouri, Delaware, Iowa, and Texas</w:t>
      </w:r>
      <w:r w:rsidR="00F40A6B" w:rsidRPr="00575A3E">
        <w:rPr>
          <w:szCs w:val="22"/>
        </w:rPr>
        <w:t xml:space="preserve"> as well as for a number of cities such as,</w:t>
      </w:r>
      <w:r w:rsidR="00F40A6B" w:rsidRPr="00575A3E">
        <w:rPr>
          <w:szCs w:val="22"/>
          <w:lang w:val="en-GB"/>
        </w:rPr>
        <w:t xml:space="preserve"> Los Angeles, San Francisco, Austin and Seattle</w:t>
      </w:r>
      <w:r w:rsidR="00C73C18" w:rsidRPr="00575A3E">
        <w:rPr>
          <w:szCs w:val="22"/>
          <w:lang w:val="en-GB"/>
        </w:rPr>
        <w:t>.</w:t>
      </w:r>
      <w:r w:rsidR="003B080C" w:rsidRPr="00575A3E">
        <w:rPr>
          <w:szCs w:val="22"/>
          <w:lang w:val="en-GB"/>
        </w:rPr>
        <w:t xml:space="preserve"> </w:t>
      </w:r>
      <w:r w:rsidR="004428E6" w:rsidRPr="00575A3E">
        <w:rPr>
          <w:szCs w:val="22"/>
          <w:lang w:val="en-GB"/>
        </w:rPr>
        <w:t>An</w:t>
      </w:r>
      <w:r w:rsidR="007F59E0" w:rsidRPr="00575A3E">
        <w:rPr>
          <w:szCs w:val="22"/>
          <w:lang w:val="en-GB"/>
        </w:rPr>
        <w:t xml:space="preserve"> </w:t>
      </w:r>
      <w:r w:rsidR="004428E6" w:rsidRPr="00575A3E">
        <w:rPr>
          <w:szCs w:val="22"/>
          <w:lang w:val="en-GB"/>
        </w:rPr>
        <w:t>important example of practice in the US is the California Transportation Plan 2050</w:t>
      </w:r>
      <w:r w:rsidR="00652C68" w:rsidRPr="00575A3E">
        <w:rPr>
          <w:szCs w:val="22"/>
          <w:lang w:val="en-GB"/>
        </w:rPr>
        <w:t xml:space="preserve">, in which three </w:t>
      </w:r>
      <w:r w:rsidR="00652C68" w:rsidRPr="00575A3E">
        <w:rPr>
          <w:szCs w:val="22"/>
          <w:lang w:val="en-GB"/>
        </w:rPr>
        <w:lastRenderedPageBreak/>
        <w:t xml:space="preserve">models (CSF2TDM, TREDIS and CARB’s Vision model) were used </w:t>
      </w:r>
      <w:r w:rsidR="007F59E0" w:rsidRPr="00575A3E">
        <w:rPr>
          <w:szCs w:val="22"/>
          <w:lang w:val="en-GB"/>
        </w:rPr>
        <w:t xml:space="preserve">complementarily </w:t>
      </w:r>
      <w:r w:rsidR="00652C68" w:rsidRPr="00575A3E">
        <w:rPr>
          <w:szCs w:val="22"/>
          <w:lang w:val="en-GB"/>
        </w:rPr>
        <w:t xml:space="preserve">to forecast transportation and land use impacts from a variety of transport innovations including CAVs and electrification. </w:t>
      </w:r>
      <w:r w:rsidR="00B33166" w:rsidRPr="00575A3E">
        <w:rPr>
          <w:szCs w:val="22"/>
          <w:lang w:val="en-GB"/>
        </w:rPr>
        <w:t>The modelling</w:t>
      </w:r>
      <w:r w:rsidR="00652C68" w:rsidRPr="00575A3E">
        <w:rPr>
          <w:szCs w:val="22"/>
          <w:lang w:val="en-GB"/>
        </w:rPr>
        <w:t xml:space="preserve"> results from this </w:t>
      </w:r>
      <w:r w:rsidR="007F59E0" w:rsidRPr="00575A3E">
        <w:rPr>
          <w:szCs w:val="22"/>
          <w:lang w:val="en-GB"/>
        </w:rPr>
        <w:t>analysis</w:t>
      </w:r>
      <w:r w:rsidR="00652C68" w:rsidRPr="00575A3E">
        <w:rPr>
          <w:szCs w:val="22"/>
          <w:lang w:val="en-GB"/>
        </w:rPr>
        <w:t>,</w:t>
      </w:r>
      <w:r w:rsidR="00B33166" w:rsidRPr="00575A3E">
        <w:rPr>
          <w:szCs w:val="22"/>
          <w:lang w:val="en-GB"/>
        </w:rPr>
        <w:t xml:space="preserve"> which are related to modal split, VMT, delays and emissions, indicated </w:t>
      </w:r>
      <w:r w:rsidR="00652C68" w:rsidRPr="00575A3E">
        <w:rPr>
          <w:szCs w:val="22"/>
          <w:lang w:val="en-GB"/>
        </w:rPr>
        <w:t>that</w:t>
      </w:r>
      <w:r w:rsidR="00B33166" w:rsidRPr="00575A3E">
        <w:rPr>
          <w:szCs w:val="22"/>
          <w:lang w:val="en-GB"/>
        </w:rPr>
        <w:t xml:space="preserve"> new vehicle technologies may reduce</w:t>
      </w:r>
      <w:r w:rsidR="00652C68" w:rsidRPr="00575A3E">
        <w:rPr>
          <w:szCs w:val="22"/>
          <w:lang w:val="en-GB"/>
        </w:rPr>
        <w:t xml:space="preserve"> </w:t>
      </w:r>
      <w:r w:rsidR="007F59E0" w:rsidRPr="00575A3E">
        <w:rPr>
          <w:szCs w:val="22"/>
          <w:lang w:val="en-GB"/>
        </w:rPr>
        <w:t xml:space="preserve">trip lengths resulting </w:t>
      </w:r>
      <w:r w:rsidR="00D15F1A" w:rsidRPr="00575A3E">
        <w:rPr>
          <w:szCs w:val="22"/>
          <w:lang w:val="en-GB"/>
        </w:rPr>
        <w:t xml:space="preserve">in </w:t>
      </w:r>
      <w:r w:rsidR="007F59E0" w:rsidRPr="00575A3E">
        <w:rPr>
          <w:szCs w:val="22"/>
          <w:lang w:val="en-GB"/>
        </w:rPr>
        <w:t>higher accessibility and increase</w:t>
      </w:r>
      <w:r w:rsidR="00D15F1A" w:rsidRPr="00575A3E">
        <w:rPr>
          <w:szCs w:val="22"/>
          <w:lang w:val="en-GB"/>
        </w:rPr>
        <w:t>d</w:t>
      </w:r>
      <w:r w:rsidR="007F59E0" w:rsidRPr="00575A3E">
        <w:rPr>
          <w:szCs w:val="22"/>
          <w:lang w:val="en-GB"/>
        </w:rPr>
        <w:t xml:space="preserve"> employment and income </w:t>
      </w:r>
      <w:r w:rsidR="007F59E0" w:rsidRPr="00575A3E">
        <w:rPr>
          <w:szCs w:val="22"/>
          <w:lang w:val="en-GB"/>
        </w:rPr>
        <w:fldChar w:fldCharType="begin" w:fldLock="1"/>
      </w:r>
      <w:r w:rsidR="004335AD" w:rsidRPr="00575A3E">
        <w:rPr>
          <w:szCs w:val="22"/>
          <w:lang w:val="en-GB"/>
        </w:rPr>
        <w:instrText>ADDIN CSL_CITATION {"citationItems":[{"id":"ITEM-1","itemData":{"abstract":"What does the CTP 2050 do? The CTP 2050 is the State’s statutorily fiscally unconstrained long-range transportation roadmap for positive change that: ► Provides a unifying and foundational policy framework for making effective, transparent, and transformational transportation decisions in California; ► Addresses the varied transportation needs of urban, suburban, rural, and Tribal communities; and ► Emphasizes implementation and identifies a timeline, roles, and responsibilities for each plan recommendation. The CTP does not contain projects, but policies and strategies required to close the gap between what the regional transportation plans (RTP) aim to achieve and how much more is required to meet 2050 goals","author":[{"dropping-particle":"","family":"California State Transportation Agency","given":"","non-dropping-particle":"","parse-names":false,"suffix":""}],"id":"ITEM-1","issued":{"date-parts":[["2021"]]},"number-of-pages":"1-137","publisher-place":"Sacramento,ΨΑ","title":"California Transportation Plan (CTP) 2050","type":"report"},"uris":["http://www.mendeley.com/documents/?uuid=87080148-d3f0-4946-9781-39ec1019847b"]}],"mendeley":{"formattedCitation":"(California State Transportation Agency, 2021)","plainTextFormattedCitation":"(California State Transportation Agency, 2021)","previouslyFormattedCitation":"(California State Transportation Agency, 2021)"},"properties":{"noteIndex":0},"schema":"https://github.com/citation-style-language/schema/raw/master/csl-citation.json"}</w:instrText>
      </w:r>
      <w:r w:rsidR="007F59E0" w:rsidRPr="00575A3E">
        <w:rPr>
          <w:szCs w:val="22"/>
          <w:lang w:val="en-GB"/>
        </w:rPr>
        <w:fldChar w:fldCharType="separate"/>
      </w:r>
      <w:r w:rsidR="007F59E0" w:rsidRPr="00575A3E">
        <w:rPr>
          <w:noProof/>
          <w:szCs w:val="22"/>
          <w:lang w:val="en-GB"/>
        </w:rPr>
        <w:t>(California State Transportation Agency, 2021)</w:t>
      </w:r>
      <w:r w:rsidR="007F59E0" w:rsidRPr="00575A3E">
        <w:rPr>
          <w:szCs w:val="22"/>
          <w:lang w:val="en-GB"/>
        </w:rPr>
        <w:fldChar w:fldCharType="end"/>
      </w:r>
      <w:r w:rsidR="007F59E0" w:rsidRPr="00575A3E">
        <w:rPr>
          <w:szCs w:val="22"/>
          <w:lang w:val="en-GB"/>
        </w:rPr>
        <w:t>.</w:t>
      </w:r>
    </w:p>
    <w:p w14:paraId="13EC4694" w14:textId="77777777" w:rsidR="0042602B" w:rsidRPr="00575A3E" w:rsidRDefault="0042602B" w:rsidP="00A55356">
      <w:pPr>
        <w:spacing w:line="360" w:lineRule="auto"/>
        <w:rPr>
          <w:szCs w:val="22"/>
          <w:lang w:val="en-GB"/>
        </w:rPr>
      </w:pPr>
    </w:p>
    <w:p w14:paraId="3D63C35A" w14:textId="560188DC" w:rsidR="000D1DC7" w:rsidRPr="00575A3E" w:rsidRDefault="0077622D" w:rsidP="00A55356">
      <w:pPr>
        <w:spacing w:line="360" w:lineRule="auto"/>
        <w:rPr>
          <w:szCs w:val="22"/>
          <w:lang w:val="en-GB"/>
        </w:rPr>
      </w:pPr>
      <w:r w:rsidRPr="00575A3E">
        <w:rPr>
          <w:szCs w:val="22"/>
          <w:lang w:val="en-GB"/>
        </w:rPr>
        <w:t>It is, therefore, essential that these impacts</w:t>
      </w:r>
      <w:r w:rsidR="000D1DC7" w:rsidRPr="00575A3E">
        <w:rPr>
          <w:szCs w:val="22"/>
          <w:lang w:val="en-GB"/>
        </w:rPr>
        <w:t xml:space="preserve"> </w:t>
      </w:r>
      <w:r w:rsidR="00D55A12" w:rsidRPr="00575A3E">
        <w:rPr>
          <w:szCs w:val="22"/>
          <w:lang w:val="en-GB"/>
        </w:rPr>
        <w:t>are</w:t>
      </w:r>
      <w:r w:rsidR="000D1DC7" w:rsidRPr="00575A3E">
        <w:rPr>
          <w:szCs w:val="22"/>
          <w:lang w:val="en-GB"/>
        </w:rPr>
        <w:t xml:space="preserve"> examined holistically,</w:t>
      </w:r>
      <w:r w:rsidRPr="00575A3E">
        <w:rPr>
          <w:szCs w:val="22"/>
          <w:lang w:val="en-GB"/>
        </w:rPr>
        <w:t xml:space="preserve"> and indeed,</w:t>
      </w:r>
      <w:r w:rsidR="000D1DC7" w:rsidRPr="00575A3E">
        <w:rPr>
          <w:szCs w:val="22"/>
          <w:lang w:val="en-GB"/>
        </w:rPr>
        <w:t xml:space="preserve"> </w:t>
      </w:r>
      <w:r w:rsidRPr="00575A3E">
        <w:rPr>
          <w:szCs w:val="22"/>
          <w:lang w:val="en-GB"/>
        </w:rPr>
        <w:t>t</w:t>
      </w:r>
      <w:r w:rsidR="000D1DC7" w:rsidRPr="00575A3E">
        <w:rPr>
          <w:szCs w:val="22"/>
          <w:lang w:val="en-GB"/>
        </w:rPr>
        <w:t xml:space="preserve">his </w:t>
      </w:r>
      <w:r w:rsidRPr="00575A3E">
        <w:rPr>
          <w:szCs w:val="22"/>
          <w:lang w:val="en-GB"/>
        </w:rPr>
        <w:t>is already highlighted by a number of studies, such as</w:t>
      </w:r>
      <w:r w:rsidR="000D1DC7" w:rsidRPr="00575A3E">
        <w:rPr>
          <w:szCs w:val="22"/>
          <w:lang w:val="en-GB"/>
        </w:rPr>
        <w:t xml:space="preserve"> </w:t>
      </w:r>
      <w:r w:rsidR="000D1DC7" w:rsidRPr="00575A3E">
        <w:rPr>
          <w:szCs w:val="22"/>
          <w:lang w:val="en-GB"/>
        </w:rPr>
        <w:fldChar w:fldCharType="begin" w:fldLock="1"/>
      </w:r>
      <w:r w:rsidR="000D1DC7" w:rsidRPr="00575A3E">
        <w:rPr>
          <w:szCs w:val="22"/>
          <w:lang w:val="en-GB"/>
        </w:rPr>
        <w:instrText>ADDIN CSL_CITATION {"citationItems":[{"id":"ITEM-1","itemData":{"author":[{"dropping-particle":"","family":"Harney","given":"Daniel","non-dropping-particle":"","parse-names":false,"suffix":""}],"id":"ITEM-1","issue":"September","issued":{"date-parts":[["2019"]]},"page":"1-35","publisher":"EUROPEAN TRANSPORT CONFERENCE","title":"Potential impacts of electric vehicles, maas and automated vehicles in australia","type":"paper-conference"},"uris":["http://www.mendeley.com/documents/?uuid=ceb070b7-7921-42b8-a114-8087f89684fc"]}],"mendeley":{"formattedCitation":"(Harney, 2019)","manualFormatting":"Harney (2019)","plainTextFormattedCitation":"(Harney, 2019)","previouslyFormattedCitation":"(Harney, 2019)"},"properties":{"noteIndex":0},"schema":"https://github.com/citation-style-language/schema/raw/master/csl-citation.json"}</w:instrText>
      </w:r>
      <w:r w:rsidR="000D1DC7" w:rsidRPr="00575A3E">
        <w:rPr>
          <w:szCs w:val="22"/>
          <w:lang w:val="en-GB"/>
        </w:rPr>
        <w:fldChar w:fldCharType="separate"/>
      </w:r>
      <w:r w:rsidR="000D1DC7" w:rsidRPr="00575A3E">
        <w:rPr>
          <w:noProof/>
          <w:szCs w:val="22"/>
          <w:lang w:val="en-GB"/>
        </w:rPr>
        <w:t>Harney (2019)</w:t>
      </w:r>
      <w:r w:rsidR="000D1DC7" w:rsidRPr="00575A3E">
        <w:rPr>
          <w:szCs w:val="22"/>
          <w:lang w:val="en-GB"/>
        </w:rPr>
        <w:fldChar w:fldCharType="end"/>
      </w:r>
      <w:r w:rsidR="000D1DC7" w:rsidRPr="00575A3E">
        <w:rPr>
          <w:szCs w:val="22"/>
          <w:lang w:val="en-GB"/>
        </w:rPr>
        <w:t xml:space="preserve">, </w:t>
      </w:r>
      <w:r w:rsidRPr="00575A3E">
        <w:rPr>
          <w:szCs w:val="22"/>
          <w:lang w:val="en-GB"/>
        </w:rPr>
        <w:t>who suggest</w:t>
      </w:r>
      <w:r w:rsidR="000D1DC7" w:rsidRPr="00575A3E">
        <w:rPr>
          <w:szCs w:val="22"/>
          <w:lang w:val="en-GB"/>
        </w:rPr>
        <w:t xml:space="preserve"> that the co-existence of all three technological elements </w:t>
      </w:r>
      <w:r w:rsidRPr="00575A3E">
        <w:rPr>
          <w:szCs w:val="22"/>
          <w:lang w:val="en-GB"/>
        </w:rPr>
        <w:t>(</w:t>
      </w:r>
      <w:r w:rsidR="000D1DC7" w:rsidRPr="00575A3E">
        <w:rPr>
          <w:szCs w:val="22"/>
          <w:lang w:val="en-GB"/>
        </w:rPr>
        <w:t>electrification, automation and connectivity</w:t>
      </w:r>
      <w:r w:rsidRPr="00575A3E">
        <w:rPr>
          <w:szCs w:val="22"/>
          <w:lang w:val="en-GB"/>
        </w:rPr>
        <w:t xml:space="preserve">) is likely to </w:t>
      </w:r>
      <w:r w:rsidR="000D1DC7" w:rsidRPr="00575A3E">
        <w:rPr>
          <w:szCs w:val="22"/>
          <w:lang w:val="en-GB"/>
        </w:rPr>
        <w:t>bring</w:t>
      </w:r>
      <w:r w:rsidRPr="00575A3E">
        <w:rPr>
          <w:szCs w:val="22"/>
          <w:lang w:val="en-GB"/>
        </w:rPr>
        <w:t xml:space="preserve"> about</w:t>
      </w:r>
      <w:r w:rsidR="000D1DC7" w:rsidRPr="00575A3E">
        <w:rPr>
          <w:szCs w:val="22"/>
          <w:lang w:val="en-GB"/>
        </w:rPr>
        <w:t xml:space="preserve"> </w:t>
      </w:r>
      <w:r w:rsidRPr="00575A3E">
        <w:rPr>
          <w:szCs w:val="22"/>
          <w:lang w:val="en-GB"/>
        </w:rPr>
        <w:t xml:space="preserve">more significant </w:t>
      </w:r>
      <w:r w:rsidR="000D1DC7" w:rsidRPr="00575A3E">
        <w:rPr>
          <w:szCs w:val="22"/>
          <w:lang w:val="en-GB"/>
        </w:rPr>
        <w:t>changes</w:t>
      </w:r>
      <w:r w:rsidRPr="00575A3E">
        <w:rPr>
          <w:szCs w:val="22"/>
          <w:lang w:val="en-GB"/>
        </w:rPr>
        <w:t xml:space="preserve"> that may be currently largely unaccounted for</w:t>
      </w:r>
      <w:r w:rsidR="000D1DC7" w:rsidRPr="00575A3E">
        <w:rPr>
          <w:szCs w:val="22"/>
          <w:lang w:val="en-GB"/>
        </w:rPr>
        <w:t>.</w:t>
      </w:r>
      <w:r w:rsidR="00E7057C" w:rsidRPr="00575A3E">
        <w:rPr>
          <w:szCs w:val="22"/>
          <w:lang w:val="en-GB"/>
        </w:rPr>
        <w:t xml:space="preserve"> Moreover, an important aspect is that the current literature explores the impact that new vehicle technologies might have </w:t>
      </w:r>
      <w:r w:rsidR="003B080C" w:rsidRPr="00575A3E">
        <w:rPr>
          <w:szCs w:val="22"/>
          <w:lang w:val="en-GB"/>
        </w:rPr>
        <w:t>o</w:t>
      </w:r>
      <w:r w:rsidR="00E7057C" w:rsidRPr="00575A3E">
        <w:rPr>
          <w:szCs w:val="22"/>
          <w:lang w:val="en-GB"/>
        </w:rPr>
        <w:t>n the urban structure, however, exploring the effect at a regional scale is an integral part of urban and regional planning.</w:t>
      </w:r>
      <w:r w:rsidR="000D1DC7" w:rsidRPr="00575A3E">
        <w:rPr>
          <w:szCs w:val="22"/>
          <w:lang w:val="en-GB"/>
        </w:rPr>
        <w:t xml:space="preserve"> </w:t>
      </w:r>
      <w:r w:rsidRPr="00575A3E">
        <w:rPr>
          <w:szCs w:val="22"/>
          <w:lang w:val="en-GB"/>
        </w:rPr>
        <w:t>It is the aim of</w:t>
      </w:r>
      <w:r w:rsidR="000D1DC7" w:rsidRPr="00575A3E">
        <w:rPr>
          <w:szCs w:val="22"/>
          <w:lang w:val="en-GB"/>
        </w:rPr>
        <w:t xml:space="preserve"> th</w:t>
      </w:r>
      <w:r w:rsidRPr="00575A3E">
        <w:rPr>
          <w:szCs w:val="22"/>
          <w:lang w:val="en-GB"/>
        </w:rPr>
        <w:t>e</w:t>
      </w:r>
      <w:r w:rsidR="000D1DC7" w:rsidRPr="00575A3E">
        <w:rPr>
          <w:szCs w:val="22"/>
          <w:lang w:val="en-GB"/>
        </w:rPr>
        <w:t xml:space="preserve"> </w:t>
      </w:r>
      <w:r w:rsidRPr="00575A3E">
        <w:rPr>
          <w:szCs w:val="22"/>
          <w:lang w:val="en-GB"/>
        </w:rPr>
        <w:t>present study</w:t>
      </w:r>
      <w:r w:rsidR="000D1DC7" w:rsidRPr="00575A3E">
        <w:rPr>
          <w:szCs w:val="22"/>
          <w:lang w:val="en-GB"/>
        </w:rPr>
        <w:t xml:space="preserve"> to</w:t>
      </w:r>
      <w:r w:rsidRPr="00575A3E">
        <w:rPr>
          <w:szCs w:val="22"/>
          <w:lang w:val="en-GB"/>
        </w:rPr>
        <w:t xml:space="preserve"> address</w:t>
      </w:r>
      <w:r w:rsidR="000D1DC7" w:rsidRPr="00575A3E">
        <w:rPr>
          <w:szCs w:val="22"/>
          <w:lang w:val="en-GB"/>
        </w:rPr>
        <w:t xml:space="preserve"> </w:t>
      </w:r>
      <w:r w:rsidRPr="00575A3E">
        <w:rPr>
          <w:szCs w:val="22"/>
          <w:lang w:val="en-GB"/>
        </w:rPr>
        <w:t>precisely</w:t>
      </w:r>
      <w:r w:rsidR="000D1DC7" w:rsidRPr="00575A3E">
        <w:rPr>
          <w:szCs w:val="22"/>
          <w:lang w:val="en-GB"/>
        </w:rPr>
        <w:t xml:space="preserve"> th</w:t>
      </w:r>
      <w:r w:rsidR="00E7057C" w:rsidRPr="00575A3E">
        <w:rPr>
          <w:szCs w:val="22"/>
          <w:lang w:val="en-GB"/>
        </w:rPr>
        <w:t>ese</w:t>
      </w:r>
      <w:r w:rsidR="000D1DC7" w:rsidRPr="00575A3E">
        <w:rPr>
          <w:szCs w:val="22"/>
          <w:lang w:val="en-GB"/>
        </w:rPr>
        <w:t xml:space="preserve"> research question</w:t>
      </w:r>
      <w:r w:rsidR="00E7057C" w:rsidRPr="00575A3E">
        <w:rPr>
          <w:szCs w:val="22"/>
          <w:lang w:val="en-GB"/>
        </w:rPr>
        <w:t>s</w:t>
      </w:r>
      <w:r w:rsidR="000D1DC7" w:rsidRPr="00575A3E">
        <w:rPr>
          <w:szCs w:val="22"/>
          <w:lang w:val="en-GB"/>
        </w:rPr>
        <w:t>, namely to determine the land use effects from the co-existence of new vehicle technologies</w:t>
      </w:r>
      <w:r w:rsidR="00E7057C" w:rsidRPr="00575A3E">
        <w:rPr>
          <w:szCs w:val="22"/>
          <w:lang w:val="en-GB"/>
        </w:rPr>
        <w:t xml:space="preserve"> at a regional scale</w:t>
      </w:r>
      <w:r w:rsidR="000D1DC7" w:rsidRPr="00575A3E">
        <w:rPr>
          <w:szCs w:val="22"/>
          <w:lang w:val="en-GB"/>
        </w:rPr>
        <w:t xml:space="preserve">. </w:t>
      </w:r>
    </w:p>
    <w:p w14:paraId="0E776E18" w14:textId="297FDE2E" w:rsidR="00F37E56" w:rsidRPr="00575A3E" w:rsidRDefault="00F37E56" w:rsidP="00A55356">
      <w:pPr>
        <w:spacing w:line="360" w:lineRule="auto"/>
        <w:rPr>
          <w:szCs w:val="22"/>
          <w:lang w:val="en-GB"/>
        </w:rPr>
      </w:pPr>
    </w:p>
    <w:p w14:paraId="200BF278" w14:textId="6668119F" w:rsidR="00151070" w:rsidRPr="00575A3E" w:rsidRDefault="00562D56" w:rsidP="00A55356">
      <w:pPr>
        <w:pStyle w:val="Heading1"/>
        <w:spacing w:before="0" w:after="0" w:line="360" w:lineRule="auto"/>
        <w:rPr>
          <w:lang w:val="en-GB"/>
        </w:rPr>
      </w:pPr>
      <w:r w:rsidRPr="00575A3E">
        <w:rPr>
          <w:lang w:val="en-GB"/>
        </w:rPr>
        <w:t>Methodology</w:t>
      </w:r>
    </w:p>
    <w:p w14:paraId="4178DFFF" w14:textId="27D7613B" w:rsidR="00483BE1" w:rsidRPr="00575A3E" w:rsidRDefault="00F64D50" w:rsidP="00A55356">
      <w:pPr>
        <w:spacing w:line="360" w:lineRule="auto"/>
        <w:rPr>
          <w:lang w:val="en-GB"/>
        </w:rPr>
      </w:pPr>
      <w:r w:rsidRPr="00575A3E">
        <w:rPr>
          <w:lang w:val="en-GB"/>
        </w:rPr>
        <w:t xml:space="preserve">This section refers to the methodology followed that leads to the results and conclusions. It consists of </w:t>
      </w:r>
      <w:r w:rsidR="0002665A" w:rsidRPr="00575A3E">
        <w:rPr>
          <w:lang w:val="en-GB"/>
        </w:rPr>
        <w:t>four parts</w:t>
      </w:r>
      <w:r w:rsidRPr="00575A3E">
        <w:rPr>
          <w:lang w:val="en-GB"/>
        </w:rPr>
        <w:t xml:space="preserve">, namely the </w:t>
      </w:r>
      <w:r w:rsidR="00885ED4" w:rsidRPr="00575A3E">
        <w:rPr>
          <w:lang w:val="en-GB"/>
        </w:rPr>
        <w:t xml:space="preserve">procedure for the identification of an appropriate LUTI model, a </w:t>
      </w:r>
      <w:r w:rsidRPr="00575A3E">
        <w:rPr>
          <w:lang w:val="en-GB"/>
        </w:rPr>
        <w:t xml:space="preserve">presentation of the characteristics of the selected case study, the </w:t>
      </w:r>
      <w:r w:rsidR="0002665A" w:rsidRPr="00575A3E">
        <w:rPr>
          <w:lang w:val="en-GB"/>
        </w:rPr>
        <w:t xml:space="preserve">scenario formulation for the sensitivity analysis and the general </w:t>
      </w:r>
      <w:r w:rsidRPr="00575A3E">
        <w:rPr>
          <w:lang w:val="en-GB"/>
        </w:rPr>
        <w:t xml:space="preserve">methodological </w:t>
      </w:r>
      <w:r w:rsidR="0002665A" w:rsidRPr="00575A3E">
        <w:rPr>
          <w:lang w:val="en-GB"/>
        </w:rPr>
        <w:t>principles followed to implement the scenarios</w:t>
      </w:r>
      <w:r w:rsidRPr="00575A3E">
        <w:rPr>
          <w:lang w:val="en-GB"/>
        </w:rPr>
        <w:t xml:space="preserve">. </w:t>
      </w:r>
    </w:p>
    <w:p w14:paraId="0A77BCC1" w14:textId="77777777" w:rsidR="00487515" w:rsidRPr="00575A3E" w:rsidRDefault="00487515" w:rsidP="00487515">
      <w:pPr>
        <w:spacing w:line="360" w:lineRule="auto"/>
        <w:rPr>
          <w:lang w:val="en-GB"/>
        </w:rPr>
      </w:pPr>
    </w:p>
    <w:p w14:paraId="2E90F4CE" w14:textId="0EE0DEFC" w:rsidR="00487515" w:rsidRPr="00575A3E" w:rsidRDefault="00487515" w:rsidP="00487515">
      <w:pPr>
        <w:pStyle w:val="Heading2"/>
        <w:spacing w:before="0" w:after="0" w:line="360" w:lineRule="auto"/>
        <w:rPr>
          <w:sz w:val="22"/>
          <w:szCs w:val="22"/>
          <w:lang w:val="en-GB"/>
        </w:rPr>
      </w:pPr>
      <w:r w:rsidRPr="00575A3E">
        <w:rPr>
          <w:sz w:val="22"/>
          <w:szCs w:val="22"/>
          <w:lang w:val="en-GB"/>
        </w:rPr>
        <w:t xml:space="preserve">Identifying an </w:t>
      </w:r>
      <w:r w:rsidR="008D5D05" w:rsidRPr="00575A3E">
        <w:rPr>
          <w:sz w:val="22"/>
          <w:szCs w:val="22"/>
          <w:lang w:val="en-GB"/>
        </w:rPr>
        <w:t xml:space="preserve">appropriate </w:t>
      </w:r>
      <w:r w:rsidRPr="00575A3E">
        <w:rPr>
          <w:sz w:val="22"/>
          <w:szCs w:val="22"/>
          <w:lang w:val="en-GB"/>
        </w:rPr>
        <w:t xml:space="preserve">LUTI model </w:t>
      </w:r>
    </w:p>
    <w:p w14:paraId="1809E1FD" w14:textId="7B50C7CD" w:rsidR="00487515" w:rsidRPr="00575A3E" w:rsidRDefault="00487515" w:rsidP="00487515">
      <w:pPr>
        <w:spacing w:line="360" w:lineRule="auto"/>
        <w:rPr>
          <w:szCs w:val="22"/>
          <w:lang w:val="en-GB"/>
        </w:rPr>
      </w:pPr>
      <w:r w:rsidRPr="00575A3E">
        <w:rPr>
          <w:szCs w:val="22"/>
          <w:lang w:val="en-GB"/>
        </w:rPr>
        <w:t xml:space="preserve">LUTI models can predict the spatial evolution and distribution of activities based on transportation interventions and vice versa. Based on their underlying methodology, they can be classified into three main categories </w:t>
      </w:r>
      <w:r w:rsidRPr="00575A3E">
        <w:rPr>
          <w:lang w:val="en-GB"/>
        </w:rPr>
        <w:fldChar w:fldCharType="begin" w:fldLock="1"/>
      </w:r>
      <w:r w:rsidRPr="00575A3E">
        <w:rPr>
          <w:lang w:val="en-GB"/>
        </w:rPr>
        <w:instrText>ADDIN CSL_CITATION {"citationItems":[{"id":"ITEM-1","itemData":{"author":[{"dropping-particle":"","family":"Timmermans","given":"Harry","non-dropping-particle":"","parse-names":false,"suffix":""}],"container-title":"Paper presented at the 10th International Conference on Travel Behaviour Research, Aug. 10-15","id":"ITEM-1","issue":"August","issued":{"date-parts":[["2003"]]},"page":"10-15","title":"The Saga of Integrated Land Use-Transport Modeling: How Many More Dreams Before We Wake Up? Moving through nets: The physical and social dimensions of travel","type":"article-journal"},"uris":["http://www.mendeley.com/documents/?uuid=afe7be35-1e88-45de-95bb-6c4ccd6f40f2"]}],"mendeley":{"formattedCitation":"(Timmermans, 2003)","plainTextFormattedCitation":"(Timmermans, 2003)","previouslyFormattedCitation":"(Timmermans, 2003)"},"properties":{"noteIndex":0},"schema":"https://github.com/citation-style-language/schema/raw/master/csl-citation.json"}</w:instrText>
      </w:r>
      <w:r w:rsidRPr="00575A3E">
        <w:rPr>
          <w:lang w:val="en-GB"/>
        </w:rPr>
        <w:fldChar w:fldCharType="separate"/>
      </w:r>
      <w:r w:rsidRPr="00575A3E">
        <w:rPr>
          <w:noProof/>
          <w:lang w:val="en-GB"/>
        </w:rPr>
        <w:t>(Timmermans, 2003)</w:t>
      </w:r>
      <w:r w:rsidRPr="00575A3E">
        <w:rPr>
          <w:lang w:val="en-GB"/>
        </w:rPr>
        <w:fldChar w:fldCharType="end"/>
      </w:r>
      <w:r w:rsidRPr="00575A3E">
        <w:rPr>
          <w:szCs w:val="22"/>
          <w:lang w:val="en-GB"/>
        </w:rPr>
        <w:t xml:space="preserve">: </w:t>
      </w:r>
    </w:p>
    <w:p w14:paraId="274D194B" w14:textId="560756ED" w:rsidR="00487515" w:rsidRPr="00575A3E" w:rsidRDefault="00487515" w:rsidP="00487515">
      <w:pPr>
        <w:pStyle w:val="ListParagraph"/>
        <w:numPr>
          <w:ilvl w:val="0"/>
          <w:numId w:val="8"/>
        </w:numPr>
        <w:spacing w:after="0" w:line="360" w:lineRule="auto"/>
        <w:jc w:val="both"/>
        <w:rPr>
          <w:lang w:val="en-GB"/>
        </w:rPr>
      </w:pPr>
      <w:r w:rsidRPr="00575A3E">
        <w:rPr>
          <w:i/>
          <w:sz w:val="22"/>
          <w:lang w:val="en-GB"/>
        </w:rPr>
        <w:t>Aggregate spatial interaction-based models</w:t>
      </w:r>
      <w:r w:rsidRPr="00575A3E">
        <w:rPr>
          <w:sz w:val="22"/>
          <w:lang w:val="en-GB"/>
        </w:rPr>
        <w:t xml:space="preserve"> </w:t>
      </w:r>
    </w:p>
    <w:p w14:paraId="6317BF85" w14:textId="24829F83" w:rsidR="00487515" w:rsidRPr="00575A3E" w:rsidRDefault="00487515" w:rsidP="00487515">
      <w:pPr>
        <w:pStyle w:val="ListParagraph"/>
        <w:numPr>
          <w:ilvl w:val="0"/>
          <w:numId w:val="8"/>
        </w:numPr>
        <w:spacing w:after="0" w:line="360" w:lineRule="auto"/>
        <w:jc w:val="both"/>
        <w:rPr>
          <w:sz w:val="22"/>
          <w:szCs w:val="20"/>
          <w:lang w:val="en-GB"/>
        </w:rPr>
      </w:pPr>
      <w:r w:rsidRPr="00575A3E">
        <w:rPr>
          <w:i/>
          <w:sz w:val="22"/>
          <w:szCs w:val="20"/>
          <w:lang w:val="en-GB"/>
        </w:rPr>
        <w:t>Utility-maximising multinomial logit-based models</w:t>
      </w:r>
      <w:r w:rsidRPr="00575A3E">
        <w:rPr>
          <w:sz w:val="22"/>
          <w:szCs w:val="20"/>
          <w:lang w:val="en-GB"/>
        </w:rPr>
        <w:t xml:space="preserve"> </w:t>
      </w:r>
      <w:r w:rsidRPr="00575A3E">
        <w:rPr>
          <w:sz w:val="22"/>
          <w:lang w:val="en-GB"/>
        </w:rPr>
        <w:t xml:space="preserve"> </w:t>
      </w:r>
    </w:p>
    <w:p w14:paraId="211B4409" w14:textId="77777777" w:rsidR="00487515" w:rsidRPr="00575A3E" w:rsidRDefault="00487515" w:rsidP="00487515">
      <w:pPr>
        <w:pStyle w:val="ListParagraph"/>
        <w:numPr>
          <w:ilvl w:val="0"/>
          <w:numId w:val="8"/>
        </w:numPr>
        <w:spacing w:after="0" w:line="360" w:lineRule="auto"/>
        <w:jc w:val="both"/>
        <w:rPr>
          <w:sz w:val="22"/>
          <w:lang w:val="en-GB"/>
        </w:rPr>
      </w:pPr>
      <w:r w:rsidRPr="00575A3E">
        <w:rPr>
          <w:i/>
          <w:sz w:val="22"/>
          <w:lang w:val="en-GB"/>
        </w:rPr>
        <w:t>Activity-Based, microsimulation models</w:t>
      </w:r>
      <w:r w:rsidRPr="00575A3E">
        <w:rPr>
          <w:sz w:val="22"/>
          <w:lang w:val="en-GB"/>
        </w:rPr>
        <w:t xml:space="preserve"> </w:t>
      </w:r>
    </w:p>
    <w:p w14:paraId="612F4AFB" w14:textId="77777777" w:rsidR="00487515" w:rsidRPr="00575A3E" w:rsidRDefault="00487515" w:rsidP="00487515">
      <w:pPr>
        <w:spacing w:line="360" w:lineRule="auto"/>
        <w:ind w:firstLine="709"/>
        <w:rPr>
          <w:szCs w:val="22"/>
          <w:lang w:val="en-GB"/>
        </w:rPr>
      </w:pPr>
    </w:p>
    <w:p w14:paraId="4729286F" w14:textId="77777777" w:rsidR="002E6C13" w:rsidRPr="00575A3E" w:rsidRDefault="002E6C13" w:rsidP="002E6C13">
      <w:pPr>
        <w:spacing w:line="360" w:lineRule="auto"/>
        <w:rPr>
          <w:lang w:val="en-GB"/>
        </w:rPr>
      </w:pPr>
      <w:r w:rsidRPr="00575A3E">
        <w:rPr>
          <w:szCs w:val="22"/>
          <w:lang w:val="en-GB"/>
        </w:rPr>
        <w:t>Models of the first category have</w:t>
      </w:r>
      <w:r w:rsidRPr="00575A3E">
        <w:rPr>
          <w:rStyle w:val="CommentReference"/>
          <w:lang w:val="en-GB"/>
        </w:rPr>
        <w:t xml:space="preserve"> </w:t>
      </w:r>
      <w:r w:rsidRPr="00575A3E">
        <w:rPr>
          <w:szCs w:val="22"/>
          <w:lang w:val="en-GB"/>
        </w:rPr>
        <w:t xml:space="preserve">been criticised in the literature for lacking a solid mathematical and theoretical base </w:t>
      </w:r>
      <w:r w:rsidRPr="00575A3E">
        <w:rPr>
          <w:szCs w:val="22"/>
          <w:lang w:val="en-GB"/>
        </w:rPr>
        <w:fldChar w:fldCharType="begin" w:fldLock="1"/>
      </w:r>
      <w:r w:rsidRPr="00575A3E">
        <w:rPr>
          <w:szCs w:val="22"/>
          <w:lang w:val="en-GB"/>
        </w:rPr>
        <w:instrText>ADDIN CSL_CITATION {"citationItems":[{"id":"ITEM-1","itemData":{"DOI":"10.1016/b0-08-043076-7/02519-5","abstract":"This article examines some of the basic elements of spatial interaction models. Spatial interaction is the general term for any movement of people, goods, or information over space that results from a decision-making process. Specific examples include movements such as migration, shopping trips, commuting, trips for recreational purposes, trips for educational purposes, freight flows, the spatial pattern of telephone calls, emails and world-wide web connections, and even the use of healthcare facilities. Spatial interaction models are mathematical descriptions of spatial flows. The models serve two purposes. One is to predict flows where they are unknown such as the impact on traffic patterns of a new development or the impact of a new retail outlet or healthcare facility. The other is to yield information on the determinants of the flow system being analyzed. For example, spatial interaction models are commonly used by retailers to determine the influence of various store attributes on the choice of stores by consumers or by government agencies to examine the characteristics of places which affect in and out migration. This article describes four common types of spatial interaction models and outlines a typical application of each type of model. Brief discussions of model calibration and local forms of spatial interaction models are then given followed by a description of the various underlying theoretical structures that have been proposed to substantiate spatial interaction models.","author":[{"dropping-particle":"","family":"Fotheringham","given":"A.S.","non-dropping-particle":"","parse-names":false,"suffix":""}],"container-title":"International Encyclopedia of the Social &amp; Behavioral Sciences","id":"ITEM-1","issued":{"date-parts":[["2001"]]},"page":"14794-14800","title":"Spatial Interaction Models","type":"article-journal"},"uris":["http://www.mendeley.com/documents/?uuid=feedd7bd-8d1b-43ba-ba80-a9fcd8c8a919"]}],"mendeley":{"formattedCitation":"(Fotheringham, 2001)","plainTextFormattedCitation":"(Fotheringham, 2001)","previouslyFormattedCitation":"(Fotheringham, 2001)"},"properties":{"noteIndex":0},"schema":"https://github.com/citation-style-language/schema/raw/master/csl-citation.json"}</w:instrText>
      </w:r>
      <w:r w:rsidRPr="00575A3E">
        <w:rPr>
          <w:szCs w:val="22"/>
          <w:lang w:val="en-GB"/>
        </w:rPr>
        <w:fldChar w:fldCharType="separate"/>
      </w:r>
      <w:r w:rsidRPr="00575A3E">
        <w:rPr>
          <w:noProof/>
          <w:szCs w:val="22"/>
          <w:lang w:val="en-GB"/>
        </w:rPr>
        <w:t>(Fotheringham, 2001)</w:t>
      </w:r>
      <w:r w:rsidRPr="00575A3E">
        <w:rPr>
          <w:szCs w:val="22"/>
          <w:lang w:val="en-GB"/>
        </w:rPr>
        <w:fldChar w:fldCharType="end"/>
      </w:r>
      <w:r w:rsidRPr="00575A3E">
        <w:rPr>
          <w:szCs w:val="22"/>
          <w:lang w:val="en-GB"/>
        </w:rPr>
        <w:t xml:space="preserve">. As such, the selected LUTI model for this application needs to be either from the second or the third category. Consequently, </w:t>
      </w:r>
      <w:r w:rsidRPr="00575A3E">
        <w:rPr>
          <w:lang w:val="en-GB"/>
        </w:rPr>
        <w:t xml:space="preserve">LUTI models that could potentially be appropriate for this research include: METROSIM, MEPLAN, TRANUS, MUSSA, URBANSIM, DELTA and PECAS </w:t>
      </w:r>
      <w:r w:rsidRPr="00575A3E">
        <w:rPr>
          <w:lang w:val="en-GB"/>
        </w:rPr>
        <w:fldChar w:fldCharType="begin" w:fldLock="1"/>
      </w:r>
      <w:r w:rsidRPr="00575A3E">
        <w:rPr>
          <w:lang w:val="en-GB"/>
        </w:rPr>
        <w:instrText>ADDIN CSL_CITATION {"citationItems":[{"id":"ITEM-1","itemData":{"ISBN":"9782875584861","abstract":"Land use and transport interactions (LUTI) models are widely employed by planners, to forecast future urban patterns and to test the influence of land use or transport policies. This thesis examines their sensitivity to two types of spatial bias, the choice of the study area (“spatial extent”) and of the areal units (“spatial resolution”). The first part of this thesis focuses on econometric components inside LUTI models. We propose two extensions to the literature on the Modifiable Areal Unit Problem (MAUP). First, the sensitivity of regression models to spatial extent is examined. Secondly, the influence of the spatial resolution on discrete choice models, used by most state-of-the-art LUTI models to forecast location choices of agents, is assessed. Significant variations are found in parameter estimates, leading to changes in the behaviour of the model. The second part of the thesis assesses the influence of these spatial biases on LUTI models’ outputs.","author":[{"dropping-particle":"","family":"Jones","given":"Jonathan","non-dropping-particle":"","parse-names":false,"suffix":""}],"id":"ITEM-1","issued":{"date-parts":[["2016"]]},"publisher":"Université catholique de Louvain","publisher-place":"Louvain","title":"Spatial bias in LUTI models","type":"book"},"uris":["http://www.mendeley.com/documents/?uuid=e8a1bfef-7ebf-421c-ab51-73dc11ad7b79"]},{"id":"ITEM-2","itemData":{"author":[{"dropping-particle":"","family":"Timmermans","given":"Harry","non-dropping-particle":"","parse-names":false,"suffix":""}],"container-title":"Paper presented at the 10th International Conference on Travel Behaviour Research, Aug. 10-15","id":"ITEM-2","issue":"August","issued":{"date-parts":[["2003"]]},"page":"10-15","title":"The Saga of Integrated Land Use-Transport Modeling: How Many More Dreams Before We Wake Up? Moving through nets: The physical and social dimensions of travel","type":"article-journal"},"uris":["http://www.mendeley.com/documents/?uuid=afe7be35-1e88-45de-95bb-6c4ccd6f40f2"]},{"id":"ITEM-3","itemData":{"DOI":"10.1007/978-3-642-23430-9","ISBN":"9783642234309","abstract":"The Handbook of Regional Science is a multi-volume reference work providing a state-of-the-art knowledge on regional science composed by renowned scientists in the field. The Handbook is intended to serve the academic needs of graduate students, and junior and senior scientists in regional science and related fields, with an interest in studying local and regional socio-economic issues. The multi-volume handbook seeks to cover the field of regional science comprehensively, including areas such as regional housing and labor markets, regional economic growth, innovation and regional economic development, new and evolutionary economic geography, location and interaction, the environment and natural resources, spatial analysis and geo-computation as well as spatial statistics and econometrics.","author":[{"dropping-particle":"","family":"Wegener","given":"Michael","non-dropping-particle":"","parse-names":false,"suffix":""}],"container-title":"Handbook of Regional Science","id":"ITEM-3","issued":{"date-parts":[["2014"]]},"page":"1-1732","title":"Land-use transport interactions models","type":"chapter"},"uris":["http://www.mendeley.com/documents/?uuid=a3f050e4-94b0-46dc-a935-d0d429eb22cf"]},{"id":"ITEM-4","itemData":{"author":[{"dropping-particle":"","family":"Solignac","given":"Manon","non-dropping-particle":"","parse-names":false,"suffix":""}],"id":"ITEM-4","issued":{"date-parts":[["2018"]]},"publisher":"Université Paris-Est","title":"Véhicule électrique et forme urbaine : une évaluation prospective To cite this version : HAL Id : tel-01882700","type":"thesis"},"uris":["http://www.mendeley.com/documents/?uuid=12fee560-02a0-4547-9ec4-28f0f1c0224a"]}],"mendeley":{"formattedCitation":"(Jones, 2016; Solignac, 2018; Timmermans, 2003; Wegener, 2014)","plainTextFormattedCitation":"(Jones, 2016; Solignac, 2018; Timmermans, 2003; Wegener, 2014)","previouslyFormattedCitation":"(Jones, 2016; Solignac, 2018; Timmermans, 2003; Wegener, 2014)"},"properties":{"noteIndex":0},"schema":"https://github.com/citation-style-language/schema/raw/master/csl-citation.json"}</w:instrText>
      </w:r>
      <w:r w:rsidRPr="00575A3E">
        <w:rPr>
          <w:lang w:val="en-GB"/>
        </w:rPr>
        <w:fldChar w:fldCharType="separate"/>
      </w:r>
      <w:r w:rsidRPr="00575A3E">
        <w:rPr>
          <w:noProof/>
          <w:lang w:val="en-GB"/>
        </w:rPr>
        <w:t>(Jones, 2016; Solignac, 2018; Timmermans, 2003; Wegener, 2014)</w:t>
      </w:r>
      <w:r w:rsidRPr="00575A3E">
        <w:rPr>
          <w:lang w:val="en-GB"/>
        </w:rPr>
        <w:fldChar w:fldCharType="end"/>
      </w:r>
      <w:r w:rsidRPr="00575A3E">
        <w:rPr>
          <w:lang w:val="en-GB"/>
        </w:rPr>
        <w:t>.</w:t>
      </w:r>
    </w:p>
    <w:p w14:paraId="6ED01383" w14:textId="77777777" w:rsidR="002E6C13" w:rsidRPr="00575A3E" w:rsidRDefault="002E6C13" w:rsidP="002E6C13">
      <w:pPr>
        <w:spacing w:line="360" w:lineRule="auto"/>
        <w:rPr>
          <w:lang w:val="en-GB"/>
        </w:rPr>
      </w:pPr>
    </w:p>
    <w:p w14:paraId="303F6D8E" w14:textId="1354FB19" w:rsidR="002E6C13" w:rsidRPr="00575A3E" w:rsidRDefault="002E6C13" w:rsidP="00487515">
      <w:pPr>
        <w:spacing w:line="360" w:lineRule="auto"/>
        <w:rPr>
          <w:szCs w:val="22"/>
          <w:lang w:val="en-GB"/>
        </w:rPr>
      </w:pPr>
      <w:r w:rsidRPr="00575A3E">
        <w:rPr>
          <w:lang w:val="en-GB"/>
        </w:rPr>
        <w:lastRenderedPageBreak/>
        <w:t xml:space="preserve">Among these models, DELTA has been chosen for this analysis as it has a number of advantages that make it appropriate. First of all it should be mentioned that it is dynamic, as it considers time by iterating in discrete time periods, </w:t>
      </w:r>
      <w:r w:rsidRPr="00575A3E">
        <w:rPr>
          <w:lang w:val="en-GB"/>
        </w:rPr>
        <w:fldChar w:fldCharType="begin" w:fldLock="1"/>
      </w:r>
      <w:r w:rsidR="0002665A" w:rsidRPr="00575A3E">
        <w:rPr>
          <w:lang w:val="en-GB"/>
        </w:rPr>
        <w:instrText>ADDIN CSL_CITATION {"citationItems":[{"id":"ITEM-1","itemData":{"ISBN":"1851121951","abstract":"This Report has been prepared for the Standing Advisory Committee on Trunk Road Assessment (SACTRA) by David Simmonds Consultancy (DSC) and Marcial Echenique &amp; Partners Ltd (ME&amp;P), in response to a Brief issued by the Department of the Environment, Transport and the Regions on 14 April 1998. The Brief called for a review of land-use/transport interaction models, to assist SACTRA in formulating advice on possible improvements to practice in appraisal of the economic development impacts of transport projects. An Interim Report was submitted in June 1998. Since then, both the range of models considered and the discussion of them have been extended. In addition, the material has been substantially reorganized, into the structure described below.","author":[{"dropping-particle":"","family":"Bates","given":"John","non-dropping-particle":"","parse-names":false,"suffix":""},{"dropping-particle":"","family":"Oosterhaven","given":"Jan","non-dropping-particle":"","parse-names":false,"suffix":""}],"container-title":"Department of the Environment, Transport and the Regions","id":"ITEM-1","issue":"October","issued":{"date-parts":[["1999"]]},"number-of-pages":"70","title":"Review of Land-Use / Transport Interaction Models","type":"book"},"uris":["http://www.mendeley.com/documents/?uuid=9c8a3a61-4fa6-40b2-bf4f-1be91b944e5a"]},{"id":"ITEM-2","itemData":{"abstract":"PECAS is a recently-designed generalized approach for simulating spatial economic systems. It operates by clearing spatial submarkets for various goods, services and factors in a short run equilibrium, with floorspace supply handled separately based on development event probabilities. transport interaction models for practical use in several contexts in North America. This paper describes PECAS and discusses its application.","author":[{"dropping-particle":"","family":"Hunt","given":"John Douglas","non-dropping-particle":"","parse-names":false,"suffix":""},{"dropping-particle":"","family":"Abraham","given":"John Edward","non-dropping-particle":"","parse-names":false,"suffix":""}],"container-title":"8th Computers in Urban Planning and Urban Management Conference","id":"ITEM-2","issued":{"date-parts":[["2003"]]},"page":"1-16","title":"Design and Application of the PECAS Land Use Modeling System","type":"article-journal"},"uris":["http://www.mendeley.com/documents/?uuid=8f6f99af-01c2-4b4b-b6f3-ef6888f1d21c"]}],"mendeley":{"formattedCitation":"(Bates and Oosterhaven, 1999; Hunt and Abraham, 2003)","manualFormatting":"(Bates &amp; Oosterhaven, 1999; Hunt &amp; Abraham, 2003)","plainTextFormattedCitation":"(Bates and Oosterhaven, 1999; Hunt and Abraham, 2003)","previouslyFormattedCitation":"(Bates and Oosterhaven, 1999; Hunt and Abraham, 2003)"},"properties":{"noteIndex":0},"schema":"https://github.com/citation-style-language/schema/raw/master/csl-citation.json"}</w:instrText>
      </w:r>
      <w:r w:rsidRPr="00575A3E">
        <w:rPr>
          <w:lang w:val="en-GB"/>
        </w:rPr>
        <w:fldChar w:fldCharType="separate"/>
      </w:r>
      <w:r w:rsidRPr="00575A3E">
        <w:rPr>
          <w:noProof/>
          <w:lang w:val="en-GB"/>
        </w:rPr>
        <w:t>(Bates &amp; Oosterhaven, 1999; Hunt &amp; Abraham, 2003)</w:t>
      </w:r>
      <w:r w:rsidRPr="00575A3E">
        <w:rPr>
          <w:lang w:val="en-GB"/>
        </w:rPr>
        <w:fldChar w:fldCharType="end"/>
      </w:r>
      <w:r w:rsidRPr="00575A3E">
        <w:rPr>
          <w:lang w:val="en-GB"/>
        </w:rPr>
        <w:t xml:space="preserve">. Moreover, it works on multi-level scales of analysis </w:t>
      </w:r>
      <w:r w:rsidRPr="00575A3E">
        <w:rPr>
          <w:lang w:val="en-GB"/>
        </w:rPr>
        <w:fldChar w:fldCharType="begin" w:fldLock="1"/>
      </w:r>
      <w:r w:rsidRPr="00575A3E">
        <w:rPr>
          <w:lang w:val="en-GB"/>
        </w:rPr>
        <w:instrText>ADDIN CSL_CITATION {"citationItems":[{"id":"ITEM-1","itemData":{"ISBN":"9782875584861","abstract":"Land use and transport interactions (LUTI) models are widely employed by planners, to forecast future urban patterns and to test the influence of land use or transport policies. This thesis examines their sensitivity to two types of spatial bias, the choice of the study area (“spatial extent”) and of the areal units (“spatial resolution”). The first part of this thesis focuses on econometric components inside LUTI models. We propose two extensions to the literature on the Modifiable Areal Unit Problem (MAUP). First, the sensitivity of regression models to spatial extent is examined. Secondly, the influence of the spatial resolution on discrete choice models, used by most state-of-the-art LUTI models to forecast location choices of agents, is assessed. Significant variations are found in parameter estimates, leading to changes in the behaviour of the model. The second part of the thesis assesses the influence of these spatial biases on LUTI models’ outputs.","author":[{"dropping-particle":"","family":"Jones","given":"Jonathan","non-dropping-particle":"","parse-names":false,"suffix":""}],"id":"ITEM-1","issued":{"date-parts":[["2016"]]},"publisher":"Université catholique de Louvain","publisher-place":"Louvain","title":"Spatial bias in LUTI models","type":"book"},"uris":["http://www.mendeley.com/documents/?uuid=e8a1bfef-7ebf-421c-ab51-73dc11ad7b79"]},{"id":"ITEM-2","itemData":{"author":[{"dropping-particle":"","family":"Scottish-Executive","given":"","non-dropping-particle":"","parse-names":false,"suffix":""}],"container-title":"Review Literature And Arts Of The Americas","id":"ITEM-2","issued":{"date-parts":[["0"]]},"title":"Scoping Study Investigating the Development of a Land Use and Transport Model for Scotland REVIEW OF MODELS","type":"article-journal"},"uris":["http://www.mendeley.com/documents/?uuid=2cea916f-790f-4ea7-b508-c4eef71b4010"]}],"mendeley":{"formattedCitation":"(Jones, 2016; Scottish-Executive, n.d.)","plainTextFormattedCitation":"(Jones, 2016; Scottish-Executive, n.d.)","previouslyFormattedCitation":"(Jones, 2016; Scottish-Executive, n.d.)"},"properties":{"noteIndex":0},"schema":"https://github.com/citation-style-language/schema/raw/master/csl-citation.json"}</w:instrText>
      </w:r>
      <w:r w:rsidRPr="00575A3E">
        <w:rPr>
          <w:lang w:val="en-GB"/>
        </w:rPr>
        <w:fldChar w:fldCharType="separate"/>
      </w:r>
      <w:r w:rsidRPr="00575A3E">
        <w:rPr>
          <w:noProof/>
          <w:lang w:val="en-GB"/>
        </w:rPr>
        <w:t>(Jones, 2016; Scottish-Executive, n.d.)</w:t>
      </w:r>
      <w:r w:rsidRPr="00575A3E">
        <w:rPr>
          <w:lang w:val="en-GB"/>
        </w:rPr>
        <w:fldChar w:fldCharType="end"/>
      </w:r>
      <w:r w:rsidRPr="00575A3E">
        <w:rPr>
          <w:lang w:val="en-GB"/>
        </w:rPr>
        <w:t xml:space="preserve">, the number of the modelled employment sectors is this LUTI model is not limited </w:t>
      </w:r>
      <w:r w:rsidRPr="00575A3E">
        <w:rPr>
          <w:lang w:val="en-GB"/>
        </w:rPr>
        <w:fldChar w:fldCharType="begin" w:fldLock="1"/>
      </w:r>
      <w:r w:rsidRPr="00575A3E">
        <w:rPr>
          <w:lang w:val="en-GB"/>
        </w:rPr>
        <w:instrText>ADDIN CSL_CITATION {"citationItems":[{"id":"ITEM-1","itemData":{"DOI":"10.1068/b260665","ISBN":"02658135 (ISSN)","ISSN":"02658135","abstract":"In this paper the design of a new land-use modelling package, DELTA, is described. The focus is on the thinking behind the design and the model characteristics that have resulted rather than on the formal mathematical specification. The package has been designed to link with any appropriate transport model so as to create a dynamic system for land use-transport interaction modelling. DELTA itself is a model of a variety of different processes of change in an urban system. It is intended to represent these processes of change over a succession of relatively short (one-year or two-year) periods. The different processes are fairly weakly linked to each other within any one time period but important feedback effects, both positive and negative, come into play over time, both within DELTA and through interaction with transport. The model design is not based on any one key theoretical concept, but on the view that differing concepts arc needed to represent the various processes. The processes modelled can be divided into those which primarily affect spaces and those which primarily afTcct activities. Those modelling change in spaces predict changes in the quantity and quality of floor-space available for occupation. Those referring to activities deal with: (a) household transitions and employment growth or decline; (b) location or relocation, and competition for space (the property market); and (c) the employment status of individuals. The location or relocation model is the main locus of interactions both between activities and space and between land use and transport. The influence of transport operates through sets of accessibility measures and through environmental variables.","author":[{"dropping-particle":"","family":"Simmonds","given":"David","non-dropping-particle":"","parse-names":false,"suffix":""}],"container-title":"Environment and Planning B: Planning and Design","id":"ITEM-1","issue":"5","issued":{"date-parts":[["1999"]]},"page":"665-684","title":"The design of the DELTA land-use modelling package","type":"article-journal","volume":"26"},"uris":["http://www.mendeley.com/documents/?uuid=27745e0d-7801-4de1-8adc-9ea433b7ed0b"]}],"mendeley":{"formattedCitation":"(Simmonds, 1999)","manualFormatting":"(Simmonds, 1999;","plainTextFormattedCitation":"(Simmonds, 1999)","previouslyFormattedCitation":"(Simmonds, 1999)"},"properties":{"noteIndex":0},"schema":"https://github.com/citation-style-language/schema/raw/master/csl-citation.json"}</w:instrText>
      </w:r>
      <w:r w:rsidRPr="00575A3E">
        <w:rPr>
          <w:lang w:val="en-GB"/>
        </w:rPr>
        <w:fldChar w:fldCharType="separate"/>
      </w:r>
      <w:r w:rsidRPr="00575A3E">
        <w:rPr>
          <w:noProof/>
          <w:lang w:val="en-GB"/>
        </w:rPr>
        <w:t>(Simmonds, 1999;</w:t>
      </w:r>
      <w:r w:rsidRPr="00575A3E">
        <w:rPr>
          <w:lang w:val="en-GB"/>
        </w:rPr>
        <w:fldChar w:fldCharType="end"/>
      </w:r>
      <w:r w:rsidRPr="00575A3E">
        <w:rPr>
          <w:lang w:val="en-GB"/>
        </w:rPr>
        <w:t xml:space="preserve"> </w:t>
      </w:r>
      <w:r w:rsidRPr="00575A3E">
        <w:rPr>
          <w:lang w:val="en-GB"/>
        </w:rPr>
        <w:fldChar w:fldCharType="begin" w:fldLock="1"/>
      </w:r>
      <w:r w:rsidR="0002665A" w:rsidRPr="00575A3E">
        <w:rPr>
          <w:lang w:val="en-GB"/>
        </w:rPr>
        <w:instrText>ADDIN CSL_CITATION {"citationItems":[{"id":"ITEM-1","itemData":{"ISBN":"1851121951","abstract":"This Report has been prepared for the Standing Advisory Committee on Trunk Road Assessment (SACTRA) by David Simmonds Consultancy (DSC) and Marcial Echenique &amp; Partners Ltd (ME&amp;P), in response to a Brief issued by the Department of the Environment, Transport and the Regions on 14 April 1998. The Brief called for a review of land-use/transport interaction models, to assist SACTRA in formulating advice on possible improvements to practice in appraisal of the economic development impacts of transport projects. An Interim Report was submitted in June 1998. Since then, both the range of models considered and the discussion of them have been extended. In addition, the material has been substantially reorganized, into the structure described below.","author":[{"dropping-particle":"","family":"Bates","given":"John","non-dropping-particle":"","parse-names":false,"suffix":""},{"dropping-particle":"","family":"Oosterhaven","given":"Jan","non-dropping-particle":"","parse-names":false,"suffix":""}],"container-title":"Department of the Environment, Transport and the Regions","id":"ITEM-1","issue":"October","issued":{"date-parts":[["1999"]]},"number-of-pages":"70","title":"Review of Land-Use / Transport Interaction Models","type":"book"},"uris":["http://www.mendeley.com/documents/?uuid=9c8a3a61-4fa6-40b2-bf4f-1be91b944e5a"]}],"mendeley":{"formattedCitation":"(Bates and Oosterhaven, 1999)","manualFormatting":"Bates et al., 1999)","plainTextFormattedCitation":"(Bates and Oosterhaven, 1999)","previouslyFormattedCitation":"(Bates and Oosterhaven, 1999)"},"properties":{"noteIndex":0},"schema":"https://github.com/citation-style-language/schema/raw/master/csl-citation.json"}</w:instrText>
      </w:r>
      <w:r w:rsidRPr="00575A3E">
        <w:rPr>
          <w:lang w:val="en-GB"/>
        </w:rPr>
        <w:fldChar w:fldCharType="separate"/>
      </w:r>
      <w:r w:rsidRPr="00575A3E">
        <w:rPr>
          <w:noProof/>
          <w:lang w:val="en-GB"/>
        </w:rPr>
        <w:t>Bates et al., 1999)</w:t>
      </w:r>
      <w:r w:rsidRPr="00575A3E">
        <w:rPr>
          <w:lang w:val="en-GB"/>
        </w:rPr>
        <w:fldChar w:fldCharType="end"/>
      </w:r>
      <w:r w:rsidRPr="00575A3E">
        <w:rPr>
          <w:lang w:val="en-GB"/>
        </w:rPr>
        <w:t xml:space="preserve">. Another important aspect is that DELTA can simulate different household employment compositions, as operate in a micro-level household formation </w:t>
      </w:r>
      <w:r w:rsidRPr="00575A3E">
        <w:rPr>
          <w:lang w:val="en-GB"/>
        </w:rPr>
        <w:fldChar w:fldCharType="begin" w:fldLock="1"/>
      </w:r>
      <w:r w:rsidRPr="00575A3E">
        <w:rPr>
          <w:lang w:val="en-GB"/>
        </w:rPr>
        <w:instrText>ADDIN CSL_CITATION {"citationItems":[{"id":"ITEM-1","itemData":{"DOI":"10.1108/9781615832538-009","abstract":"The previous chapters in this Handbook have shown that spatial development, or land use, determines the need for spatial interaction, or transport, but that transport, by the accessibility it provides, also determines spatial development. However, it is difficult to empirically isolate impacts of land use on transport and vice versa because of the multitude of concurrent changes of other factors. This poses a problem if the likely impacts of integrated land-use and transport policies to reduce the demand for travel are to be predicted. There are principally three methods to predict those impacts. The first is to ask people how they would change their location and mobility behaviour if certain factors, such as land use regulations or transport costs, would change ('stated preference'). The second consists of drawing conclusions from observed decision behaviour of people under different conditions on how they would be likely to behave if these factors would change ('revealed preference'). The third method is to simulate human decision behaviour in mathematical models. All three methods have their advantages and disadvantages. Surveys can reveal also subjective factors of location and mobility decisions, however, their respondents can only make conjec- tures about how they would behave in still unknown situations, and the validity of such con- jectures is uncertain. Empirical studies based on observation of behaviour produce detailed and reliable results; these, however, are valid only for existing situations and are therefore not suited for the assessment of novel yet untested policies. In addition it is usually not possible to associate the observed changes of behaviour unequivocally with specific causes, because in reality several determining factors change at the same time. Mathematical models of human behaviour are also based on empirical surveys or observa- tions. The difference is that the conclusions to be drawn from the survey and observation data are quantified. Strictly speaking, the results of mathematical models are no more universally valid than those of empirical studies but are only valid for situations which are similar to those for which their parameters were estimated. Nevertheless it is possible to transfer human be- haviour represented in mathematical models within certain limits to still unknown situations. In addition, mathematical models are the only method by which the effects of individual de- termining factors can be analysed by …","author":[{"dropping-particle":"","family":"Wegener","given":"Michael","non-dropping-particle":"","parse-names":false,"suffix":""}],"id":"ITEM-1","issued":{"date-parts":[["2006"]]},"page":"127-146","title":"Overview of Land Use Transport Models","type":"chapter"},"uris":["http://www.mendeley.com/documents/?uuid=90e6b17a-1b69-47e1-ae6e-3e5624e1df19"]}],"mendeley":{"formattedCitation":"(Wegener, 2006)","manualFormatting":"(Wegener, 2006","plainTextFormattedCitation":"(Wegener, 2006)","previouslyFormattedCitation":"(Wegener, 2006)"},"properties":{"noteIndex":0},"schema":"https://github.com/citation-style-language/schema/raw/master/csl-citation.json"}</w:instrText>
      </w:r>
      <w:r w:rsidRPr="00575A3E">
        <w:rPr>
          <w:lang w:val="en-GB"/>
        </w:rPr>
        <w:fldChar w:fldCharType="separate"/>
      </w:r>
      <w:r w:rsidRPr="00575A3E">
        <w:rPr>
          <w:noProof/>
          <w:lang w:val="en-GB"/>
        </w:rPr>
        <w:t>(Wegener, 2006</w:t>
      </w:r>
      <w:r w:rsidRPr="00575A3E">
        <w:rPr>
          <w:lang w:val="en-GB"/>
        </w:rPr>
        <w:fldChar w:fldCharType="end"/>
      </w:r>
      <w:r w:rsidRPr="00575A3E">
        <w:rPr>
          <w:lang w:val="en-GB"/>
        </w:rPr>
        <w:t xml:space="preserve">; </w:t>
      </w:r>
      <w:r w:rsidRPr="00575A3E">
        <w:rPr>
          <w:lang w:val="en-GB"/>
        </w:rPr>
        <w:fldChar w:fldCharType="begin" w:fldLock="1"/>
      </w:r>
      <w:r w:rsidR="0002665A" w:rsidRPr="00575A3E">
        <w:rPr>
          <w:lang w:val="en-GB"/>
        </w:rPr>
        <w:instrText>ADDIN CSL_CITATION {"citationItems":[{"id":"ITEM-1","itemData":{"DOI":"10.5198/jtlu.2015.806","abstract":"The aim of this review paper is to provide comprehensive and up-to-date material for both researchers and practitioners interested in land-use-transport interaction (LUTI) modeling. The paper brings together some 60 years of published research on the subject. The review discusses the dominant theoretical and conceptual propositions underpinning research in the field and the existing operational LUTI modeling frameworks as well as the modeling methodologies that have been applied over the years. On the basis of these, the paper discusses the challenges, on-going progress and future research directions around the following thematic areas: 1) the challenges imposed by disaggregation—data availability, computation time, stochastic variation and output uncertainty; 2) the challenges of and progress in integrating activity-based travel demand models into LUTI models; 3) the quest for a satisfactory measure of accessibility; and 4) progress and challenges toward integrating the environment into LUTI models.","author":[{"dropping-particle":"","family":"Acheampong","given":"Ransford Antwi","non-dropping-particle":"","parse-names":false,"suffix":""},{"dropping-particle":"","family":"Silva","given":"Elisabete","non-dropping-particle":"","parse-names":false,"suffix":""}],"container-title":"Journal of Transport and Land Use","id":"ITEM-1","issued":{"date-parts":[["2015"]]},"title":"Land use–transport interaction modeling: A review of the literature and future research directions","type":"article-journal"},"uris":["http://www.mendeley.com/documents/?uuid=1124ebd5-897f-42c4-8790-539363bd6cad"]}],"mendeley":{"formattedCitation":"(Acheampong and Silva, 2015)","manualFormatting":"Acheampong et al., 2015)","plainTextFormattedCitation":"(Acheampong and Silva, 2015)","previouslyFormattedCitation":"(Acheampong and Silva, 2015)"},"properties":{"noteIndex":0},"schema":"https://github.com/citation-style-language/schema/raw/master/csl-citation.json"}</w:instrText>
      </w:r>
      <w:r w:rsidRPr="00575A3E">
        <w:rPr>
          <w:lang w:val="en-GB"/>
        </w:rPr>
        <w:fldChar w:fldCharType="separate"/>
      </w:r>
      <w:r w:rsidRPr="00575A3E">
        <w:rPr>
          <w:noProof/>
          <w:lang w:val="en-GB"/>
        </w:rPr>
        <w:t>Acheampong et al., 2015)</w:t>
      </w:r>
      <w:r w:rsidRPr="00575A3E">
        <w:rPr>
          <w:lang w:val="en-GB"/>
        </w:rPr>
        <w:fldChar w:fldCharType="end"/>
      </w:r>
      <w:r w:rsidRPr="00575A3E">
        <w:rPr>
          <w:lang w:val="en-GB"/>
        </w:rPr>
        <w:t xml:space="preserve">. Today households with one employee only are rare and not representative, especially in </w:t>
      </w:r>
      <w:r w:rsidR="003B080C" w:rsidRPr="00575A3E">
        <w:rPr>
          <w:lang w:val="en-GB"/>
        </w:rPr>
        <w:t xml:space="preserve">high-income </w:t>
      </w:r>
      <w:r w:rsidRPr="00575A3E">
        <w:rPr>
          <w:lang w:val="en-GB"/>
        </w:rPr>
        <w:t xml:space="preserve">countries. For example in the UK 72.8% of </w:t>
      </w:r>
      <w:r w:rsidR="00F40A6B" w:rsidRPr="00575A3E">
        <w:rPr>
          <w:lang w:val="en-GB"/>
        </w:rPr>
        <w:t xml:space="preserve">households </w:t>
      </w:r>
      <w:r w:rsidRPr="00575A3E">
        <w:rPr>
          <w:lang w:val="en-GB"/>
        </w:rPr>
        <w:t xml:space="preserve">have both parents employed and only 23.5% are one employee households </w:t>
      </w:r>
      <w:r w:rsidRPr="00575A3E">
        <w:rPr>
          <w:lang w:val="en-GB"/>
        </w:rPr>
        <w:fldChar w:fldCharType="begin" w:fldLock="1"/>
      </w:r>
      <w:r w:rsidRPr="00575A3E">
        <w:rPr>
          <w:lang w:val="en-GB"/>
        </w:rPr>
        <w:instrText>ADDIN CSL_CITATION {"citationItems":[{"id":"ITEM-1","itemData":{"author":[{"dropping-particle":"","family":"UK Office for National Statistics","given":"","non-dropping-particle":"","parse-names":false,"suffix":""}],"id":"ITEM-1","issued":{"date-parts":[["2022"]]},"number-of-pages":"Table 15","title":"Families and the Labour Market: main reference tables, England: 8 March 2021","type":"report"},"uris":["http://www.mendeley.com/documents/?uuid=52e9303b-5d4d-4e4a-9994-602ec8d660b3"]}],"mendeley":{"formattedCitation":"(UK Office for National Statistics, 2022)","plainTextFormattedCitation":"(UK Office for National Statistics, 2022)","previouslyFormattedCitation":"(UK Office for National Statistics, 2022)"},"properties":{"noteIndex":0},"schema":"https://github.com/citation-style-language/schema/raw/master/csl-citation.json"}</w:instrText>
      </w:r>
      <w:r w:rsidRPr="00575A3E">
        <w:rPr>
          <w:lang w:val="en-GB"/>
        </w:rPr>
        <w:fldChar w:fldCharType="separate"/>
      </w:r>
      <w:r w:rsidRPr="00575A3E">
        <w:rPr>
          <w:noProof/>
          <w:lang w:val="en-GB"/>
        </w:rPr>
        <w:t>(UK Office for National Statistics, 2022)</w:t>
      </w:r>
      <w:r w:rsidRPr="00575A3E">
        <w:rPr>
          <w:lang w:val="en-GB"/>
        </w:rPr>
        <w:fldChar w:fldCharType="end"/>
      </w:r>
      <w:r w:rsidRPr="00575A3E">
        <w:rPr>
          <w:lang w:val="en-GB"/>
        </w:rPr>
        <w:t xml:space="preserve">. Furthermore, using a LUTI model with many land use components that represent something different in the urban economic system, is more suitable for this research. DELTA has sub-models in the land use part and is </w:t>
      </w:r>
      <w:r w:rsidR="005836F2" w:rsidRPr="00575A3E">
        <w:rPr>
          <w:lang w:val="en-GB"/>
        </w:rPr>
        <w:t xml:space="preserve">highly </w:t>
      </w:r>
      <w:r w:rsidRPr="00575A3E">
        <w:rPr>
          <w:lang w:val="en-GB"/>
        </w:rPr>
        <w:t xml:space="preserve">analytic </w:t>
      </w:r>
      <w:r w:rsidRPr="00575A3E">
        <w:rPr>
          <w:lang w:val="en-GB"/>
        </w:rPr>
        <w:fldChar w:fldCharType="begin" w:fldLock="1"/>
      </w:r>
      <w:r w:rsidR="005F1281" w:rsidRPr="00575A3E">
        <w:rPr>
          <w:lang w:val="en-GB"/>
        </w:rPr>
        <w:instrText>ADDIN CSL_CITATION {"citationItems":[{"id":"ITEM-1","itemData":{"abstract":"PECAS is a recently-designed generalized approach for simulating spatial economic systems. It operates by clearing spatial submarkets for various goods, services and factors in a short run equilibrium, with floorspace supply handled separately based on development event probabilities. transport interaction models for practical use in several contexts in North America. This paper describes PECAS and discusses its application.","author":[{"dropping-particle":"","family":"Hunt","given":"John Douglas","non-dropping-particle":"","parse-names":false,"suffix":""},{"dropping-particle":"","family":"Abraham","given":"John Edward","non-dropping-particle":"","parse-names":false,"suffix":""}],"container-title":"8th Computers in Urban Planning and Urban Management Conference","id":"ITEM-1","issued":{"date-parts":[["2003"]]},"page":"1-16","title":"Design and Application of the PECAS Land Use Modeling System","type":"article-journal"},"uris":["http://www.mendeley.com/documents/?uuid=8f6f99af-01c2-4b4b-b6f3-ef6888f1d21c"]}],"mendeley":{"formattedCitation":"(Hunt and Abraham, 2003)","manualFormatting":" (Hunt and Abraham, 2003)","plainTextFormattedCitation":"(Hunt and Abraham, 2003)","previouslyFormattedCitation":"(Hunt and Abraham, 2003)"},"properties":{"noteIndex":0},"schema":"https://github.com/citation-style-language/schema/raw/master/csl-citation.json"}</w:instrText>
      </w:r>
      <w:r w:rsidRPr="00575A3E">
        <w:rPr>
          <w:lang w:val="en-GB"/>
        </w:rPr>
        <w:fldChar w:fldCharType="separate"/>
      </w:r>
      <w:r w:rsidRPr="00575A3E">
        <w:rPr>
          <w:noProof/>
          <w:lang w:val="en-GB"/>
        </w:rPr>
        <w:t xml:space="preserve"> </w:t>
      </w:r>
      <w:r w:rsidR="005836F2" w:rsidRPr="00575A3E">
        <w:rPr>
          <w:noProof/>
          <w:lang w:val="en-GB"/>
        </w:rPr>
        <w:t>(</w:t>
      </w:r>
      <w:r w:rsidRPr="00575A3E">
        <w:rPr>
          <w:noProof/>
          <w:lang w:val="en-GB"/>
        </w:rPr>
        <w:t>Hunt and Abraham, 2003)</w:t>
      </w:r>
      <w:r w:rsidRPr="00575A3E">
        <w:rPr>
          <w:lang w:val="en-GB"/>
        </w:rPr>
        <w:fldChar w:fldCharType="end"/>
      </w:r>
      <w:r w:rsidRPr="00575A3E">
        <w:rPr>
          <w:lang w:val="en-GB"/>
        </w:rPr>
        <w:t xml:space="preserve">. Finally, it should be mentioned that </w:t>
      </w:r>
      <w:r w:rsidR="00487515" w:rsidRPr="00575A3E">
        <w:rPr>
          <w:szCs w:val="22"/>
          <w:lang w:val="en-GB"/>
        </w:rPr>
        <w:t xml:space="preserve">it can also be complemented by microsimulation, thus combining procedures from both methodological categories, which provides flexibility </w:t>
      </w:r>
      <w:r w:rsidR="00487515" w:rsidRPr="00575A3E">
        <w:rPr>
          <w:szCs w:val="22"/>
          <w:lang w:val="en-GB"/>
        </w:rPr>
        <w:fldChar w:fldCharType="begin" w:fldLock="1"/>
      </w:r>
      <w:r w:rsidR="00BF7603" w:rsidRPr="00575A3E">
        <w:rPr>
          <w:szCs w:val="22"/>
          <w:lang w:val="en-GB"/>
        </w:rPr>
        <w:instrText>ADDIN CSL_CITATION {"citationItems":[{"id":"ITEM-1","itemData":{"author":[{"dropping-particle":"","family":"Feldman","given":"Olga","non-dropping-particle":"","parse-names":false,"suffix":""},{"dropping-particle":"","family":"Simmonds","given":"David","non-dropping-particle":"","parse-names":false,"suffix":""},{"dropping-particle":"","family":"Zachariadis","given":"Vassilis","non-dropping-particle":"","parse-names":false,"suffix":""},{"dropping-particle":"","family":"Mackett","given":"Roger","non-dropping-particle":"","parse-names":false,"suffix":""},{"dropping-particle":"","family":"Bosredon","given":"Mélanie","non-dropping-particle":"","parse-names":false,"suffix":""},{"dropping-particle":"","family":"Richmond","given":"Emma","non-dropping-particle":"","parse-names":false,"suffix":""},{"dropping-particle":"","family":"Nicoll","given":"James","non-dropping-particle":"","parse-names":false,"suffix":""}],"container-title":"Paper presented to the World Conference on Transport Research 2007, June 24-28, University of California, Berkeley.","id":"ITEM-1","issued":{"date-parts":[["2007"]]},"page":"1-22","title":"SIMDELTA -A MICROSIMULATION APPROACH TO HOUSEHOLD LOCATION MODELLING","type":"article-journal"},"uris":["http://www.mendeley.com/documents/?uuid=9212fe04-ca8a-40ea-940c-39414891c21b"]}],"mendeley":{"formattedCitation":"(Feldman et al., 2007)","plainTextFormattedCitation":"(Feldman et al., 2007)","previouslyFormattedCitation":"(Feldman et al., 2007)"},"properties":{"noteIndex":0},"schema":"https://github.com/citation-style-language/schema/raw/master/csl-citation.json"}</w:instrText>
      </w:r>
      <w:r w:rsidR="00487515" w:rsidRPr="00575A3E">
        <w:rPr>
          <w:szCs w:val="22"/>
          <w:lang w:val="en-GB"/>
        </w:rPr>
        <w:fldChar w:fldCharType="separate"/>
      </w:r>
      <w:r w:rsidR="00487515" w:rsidRPr="00575A3E">
        <w:rPr>
          <w:noProof/>
          <w:szCs w:val="22"/>
          <w:lang w:val="en-GB"/>
        </w:rPr>
        <w:t>(Feldman et al., 2007)</w:t>
      </w:r>
      <w:r w:rsidR="00487515" w:rsidRPr="00575A3E">
        <w:rPr>
          <w:szCs w:val="22"/>
          <w:lang w:val="en-GB"/>
        </w:rPr>
        <w:fldChar w:fldCharType="end"/>
      </w:r>
      <w:r w:rsidR="00487515" w:rsidRPr="00575A3E">
        <w:rPr>
          <w:szCs w:val="22"/>
          <w:lang w:val="en-GB"/>
        </w:rPr>
        <w:t xml:space="preserve">. </w:t>
      </w:r>
    </w:p>
    <w:p w14:paraId="109D0B74" w14:textId="77777777" w:rsidR="002E6C13" w:rsidRPr="00575A3E" w:rsidRDefault="002E6C13" w:rsidP="00487515">
      <w:pPr>
        <w:spacing w:line="360" w:lineRule="auto"/>
        <w:rPr>
          <w:szCs w:val="22"/>
          <w:lang w:val="en-GB"/>
        </w:rPr>
      </w:pPr>
    </w:p>
    <w:p w14:paraId="0E891452" w14:textId="7950175C" w:rsidR="00487515" w:rsidRPr="00575A3E" w:rsidRDefault="00487515" w:rsidP="00487515">
      <w:pPr>
        <w:spacing w:line="360" w:lineRule="auto"/>
        <w:rPr>
          <w:szCs w:val="22"/>
          <w:lang w:val="en-GB"/>
        </w:rPr>
      </w:pPr>
      <w:r w:rsidRPr="00575A3E">
        <w:rPr>
          <w:szCs w:val="22"/>
          <w:lang w:val="en-GB"/>
        </w:rPr>
        <w:t xml:space="preserve">The land use module of DELTA consists of several interacting models as follows: </w:t>
      </w:r>
    </w:p>
    <w:p w14:paraId="3BDD3CB2" w14:textId="77777777" w:rsidR="00487515" w:rsidRPr="00575A3E" w:rsidRDefault="00487515" w:rsidP="00487515">
      <w:pPr>
        <w:spacing w:line="360" w:lineRule="auto"/>
        <w:rPr>
          <w:szCs w:val="22"/>
          <w:lang w:val="en-GB"/>
        </w:rPr>
      </w:pPr>
    </w:p>
    <w:p w14:paraId="316E4744" w14:textId="77777777" w:rsidR="00487515" w:rsidRPr="00575A3E" w:rsidRDefault="00487515" w:rsidP="00487515">
      <w:pPr>
        <w:pStyle w:val="ListParagraph"/>
        <w:numPr>
          <w:ilvl w:val="0"/>
          <w:numId w:val="9"/>
        </w:numPr>
        <w:spacing w:line="360" w:lineRule="auto"/>
        <w:jc w:val="both"/>
        <w:rPr>
          <w:sz w:val="22"/>
          <w:lang w:val="en-GB"/>
        </w:rPr>
      </w:pPr>
      <w:r w:rsidRPr="00575A3E">
        <w:rPr>
          <w:sz w:val="22"/>
          <w:lang w:val="en-GB"/>
        </w:rPr>
        <w:t>Transition model: Determines the amount of residential moving and the establishment of new households.</w:t>
      </w:r>
    </w:p>
    <w:p w14:paraId="6EB0C3EE" w14:textId="77777777" w:rsidR="00487515" w:rsidRPr="00575A3E" w:rsidRDefault="00487515" w:rsidP="00487515">
      <w:pPr>
        <w:pStyle w:val="ListParagraph"/>
        <w:numPr>
          <w:ilvl w:val="0"/>
          <w:numId w:val="9"/>
        </w:numPr>
        <w:spacing w:line="360" w:lineRule="auto"/>
        <w:jc w:val="both"/>
        <w:rPr>
          <w:sz w:val="22"/>
          <w:lang w:val="en-GB"/>
        </w:rPr>
      </w:pPr>
      <w:r w:rsidRPr="00575A3E">
        <w:rPr>
          <w:sz w:val="22"/>
          <w:lang w:val="en-GB"/>
        </w:rPr>
        <w:t>Car ownership model: Predicts the number of households owning 0,1 or 2+ cars.</w:t>
      </w:r>
    </w:p>
    <w:p w14:paraId="0E598590" w14:textId="77777777" w:rsidR="00487515" w:rsidRPr="00575A3E" w:rsidRDefault="00487515" w:rsidP="00487515">
      <w:pPr>
        <w:pStyle w:val="ListParagraph"/>
        <w:numPr>
          <w:ilvl w:val="0"/>
          <w:numId w:val="9"/>
        </w:numPr>
        <w:spacing w:line="360" w:lineRule="auto"/>
        <w:jc w:val="both"/>
        <w:rPr>
          <w:sz w:val="22"/>
          <w:lang w:val="en-GB"/>
        </w:rPr>
      </w:pPr>
      <w:r w:rsidRPr="00575A3E">
        <w:rPr>
          <w:sz w:val="22"/>
          <w:lang w:val="en-GB"/>
        </w:rPr>
        <w:t>Location model: Specifies the location and relocation of employment opportunities and of households.</w:t>
      </w:r>
    </w:p>
    <w:p w14:paraId="1B65A1C8" w14:textId="77777777" w:rsidR="00487515" w:rsidRPr="00575A3E" w:rsidRDefault="00487515" w:rsidP="00487515">
      <w:pPr>
        <w:pStyle w:val="ListParagraph"/>
        <w:numPr>
          <w:ilvl w:val="0"/>
          <w:numId w:val="9"/>
        </w:numPr>
        <w:spacing w:line="360" w:lineRule="auto"/>
        <w:jc w:val="both"/>
        <w:rPr>
          <w:sz w:val="22"/>
          <w:lang w:val="en-GB"/>
        </w:rPr>
      </w:pPr>
      <w:r w:rsidRPr="00575A3E">
        <w:rPr>
          <w:sz w:val="22"/>
          <w:lang w:val="en-GB"/>
        </w:rPr>
        <w:t>Employment status model: Updates the employment status and the number and type of home-to-work trips based on the results of the location model.</w:t>
      </w:r>
    </w:p>
    <w:p w14:paraId="24FC3F8A" w14:textId="77777777" w:rsidR="00487515" w:rsidRPr="00575A3E" w:rsidRDefault="00487515" w:rsidP="00487515">
      <w:pPr>
        <w:pStyle w:val="ListParagraph"/>
        <w:numPr>
          <w:ilvl w:val="0"/>
          <w:numId w:val="9"/>
        </w:numPr>
        <w:spacing w:line="360" w:lineRule="auto"/>
        <w:jc w:val="both"/>
        <w:rPr>
          <w:sz w:val="22"/>
          <w:lang w:val="en-GB"/>
        </w:rPr>
      </w:pPr>
      <w:r w:rsidRPr="00575A3E">
        <w:rPr>
          <w:sz w:val="22"/>
          <w:lang w:val="en-GB"/>
        </w:rPr>
        <w:t>Migration model: Simulates the relocation of households to different areas in a region.</w:t>
      </w:r>
    </w:p>
    <w:p w14:paraId="7C1E485A" w14:textId="77777777" w:rsidR="00487515" w:rsidRPr="00575A3E" w:rsidRDefault="00487515" w:rsidP="00487515">
      <w:pPr>
        <w:pStyle w:val="ListParagraph"/>
        <w:numPr>
          <w:ilvl w:val="0"/>
          <w:numId w:val="9"/>
        </w:numPr>
        <w:spacing w:line="360" w:lineRule="auto"/>
        <w:jc w:val="both"/>
        <w:rPr>
          <w:sz w:val="22"/>
          <w:lang w:val="en-GB"/>
        </w:rPr>
      </w:pPr>
      <w:r w:rsidRPr="00575A3E">
        <w:rPr>
          <w:sz w:val="22"/>
          <w:lang w:val="en-GB"/>
        </w:rPr>
        <w:t>Investment model: Allocates investments to different districts and/or regions.</w:t>
      </w:r>
    </w:p>
    <w:p w14:paraId="30CA9FE1" w14:textId="7825A75D" w:rsidR="00487515" w:rsidRPr="00575A3E" w:rsidRDefault="00487515" w:rsidP="00487515">
      <w:pPr>
        <w:pStyle w:val="ListParagraph"/>
        <w:numPr>
          <w:ilvl w:val="0"/>
          <w:numId w:val="9"/>
        </w:numPr>
        <w:spacing w:after="0" w:line="360" w:lineRule="auto"/>
        <w:jc w:val="both"/>
        <w:rPr>
          <w:sz w:val="22"/>
          <w:lang w:val="en-GB"/>
        </w:rPr>
      </w:pPr>
      <w:r w:rsidRPr="00575A3E">
        <w:rPr>
          <w:sz w:val="22"/>
          <w:lang w:val="en-GB"/>
        </w:rPr>
        <w:t xml:space="preserve">Production trade model: Estimates the production of all the employment sectors in all areas of a region </w:t>
      </w:r>
      <w:r w:rsidRPr="00575A3E">
        <w:rPr>
          <w:sz w:val="22"/>
          <w:lang w:val="en-GB"/>
        </w:rPr>
        <w:fldChar w:fldCharType="begin" w:fldLock="1"/>
      </w:r>
      <w:r w:rsidR="0002665A" w:rsidRPr="00575A3E">
        <w:rPr>
          <w:sz w:val="22"/>
          <w:lang w:val="en-GB"/>
        </w:rPr>
        <w:instrText>ADDIN CSL_CITATION {"citationItems":[{"id":"ITEM-1","itemData":{"ISBN":"9783642127878\r9783642127885","abstract":"The effective planning of residential location choices is one of the great challenges of contemporary societies and requires forecasting capabilities and the consideration of complex interdependencies which can only be handled by complex computer models. This book presents a range of approaches used to model residential locations within the context of developing land-use and transport models. These approaches illustrate the range of choices that modellers have to make in order to represent residential choice behaviour. The models presented in this book represent the state-of-the-art and are valuable both as key building blocks for general urban models, and as representative examples of complexity science.","author":[{"dropping-particle":"","family":"Simmonds","given":"David","non-dropping-particle":"","parse-names":false,"suffix":""},{"dropping-particle":"","family":"Preston","given":"John","non-dropping-particle":"","parse-names":false,"suffix":""},{"dropping-particle":"","family":"Pagliara","given":"Francesca","non-dropping-particle":"","parse-names":false,"suffix":""}],"container-title":"Advances in Spatial Science","id":"ITEM-1","issued":{"date-parts":[["2010"]]},"title":"Residential Location Choice : Models and Applications","type":"book"},"uris":["http://www.mendeley.com/documents/?uuid=ca7413e7-b3ce-41fc-b654-50bd3da928d7"]}],"mendeley":{"formattedCitation":"(Simmonds et al., 2010)","plainTextFormattedCitation":"(Simmonds et al., 2010)","previouslyFormattedCitation":"(Simmonds et al., 2010)"},"properties":{"noteIndex":0},"schema":"https://github.com/citation-style-language/schema/raw/master/csl-citation.json"}</w:instrText>
      </w:r>
      <w:r w:rsidRPr="00575A3E">
        <w:rPr>
          <w:sz w:val="22"/>
          <w:lang w:val="en-GB"/>
        </w:rPr>
        <w:fldChar w:fldCharType="separate"/>
      </w:r>
      <w:r w:rsidR="00BF7603" w:rsidRPr="00575A3E">
        <w:rPr>
          <w:noProof/>
          <w:sz w:val="22"/>
          <w:lang w:val="en-GB"/>
        </w:rPr>
        <w:t>(Simmonds et al., 2010)</w:t>
      </w:r>
      <w:r w:rsidRPr="00575A3E">
        <w:rPr>
          <w:sz w:val="22"/>
          <w:lang w:val="en-GB"/>
        </w:rPr>
        <w:fldChar w:fldCharType="end"/>
      </w:r>
      <w:r w:rsidRPr="00575A3E">
        <w:rPr>
          <w:sz w:val="22"/>
          <w:lang w:val="en-GB"/>
        </w:rPr>
        <w:t>.</w:t>
      </w:r>
    </w:p>
    <w:p w14:paraId="686445E4" w14:textId="77777777" w:rsidR="00487515" w:rsidRPr="00575A3E" w:rsidRDefault="00487515" w:rsidP="00487515">
      <w:pPr>
        <w:pStyle w:val="ListParagraph"/>
        <w:spacing w:after="0" w:line="360" w:lineRule="auto"/>
        <w:jc w:val="both"/>
        <w:rPr>
          <w:sz w:val="22"/>
          <w:lang w:val="en-GB"/>
        </w:rPr>
      </w:pPr>
    </w:p>
    <w:p w14:paraId="69DA1CC8" w14:textId="19856A34" w:rsidR="00487515" w:rsidRPr="00575A3E" w:rsidRDefault="00487515" w:rsidP="00487515">
      <w:pPr>
        <w:spacing w:line="360" w:lineRule="auto"/>
        <w:rPr>
          <w:szCs w:val="22"/>
          <w:lang w:val="en-GB"/>
        </w:rPr>
      </w:pPr>
      <w:r w:rsidRPr="00575A3E">
        <w:rPr>
          <w:szCs w:val="22"/>
          <w:lang w:val="en-GB"/>
        </w:rPr>
        <w:t xml:space="preserve">There are numerous UK transportation models, which are compatible with DELTA, including the Highly Strategic Transport Model (HSTM) </w:t>
      </w:r>
      <w:r w:rsidRPr="00575A3E">
        <w:rPr>
          <w:szCs w:val="22"/>
          <w:lang w:val="en-GB"/>
        </w:rPr>
        <w:fldChar w:fldCharType="begin" w:fldLock="1"/>
      </w:r>
      <w:r w:rsidRPr="00575A3E">
        <w:rPr>
          <w:szCs w:val="22"/>
          <w:lang w:val="en-GB"/>
        </w:rPr>
        <w:instrText>ADDIN CSL_CITATION {"citationItems":[{"id":"ITEM-1","itemData":{"author":[{"dropping-particle":"","family":"DSC","given":"","non-dropping-particle":"","parse-names":false,"suffix":""}],"id":"ITEM-1","issued":{"date-parts":[["2019"]]},"publisher-place":"Cambridge, UK","title":"West Midlands Dynamic Economic Impact Model WMDEIM","type":"report"},"uris":["http://www.mendeley.com/documents/?uuid=d912ae5b-bbc3-4714-95ef-2ae90fea24e0"]}],"mendeley":{"formattedCitation":"(DSC, 2019)","plainTextFormattedCitation":"(DSC, 2019)","previouslyFormattedCitation":"(DSC, 2019)"},"properties":{"noteIndex":0},"schema":"https://github.com/citation-style-language/schema/raw/master/csl-citation.json"}</w:instrText>
      </w:r>
      <w:r w:rsidRPr="00575A3E">
        <w:rPr>
          <w:szCs w:val="22"/>
          <w:lang w:val="en-GB"/>
        </w:rPr>
        <w:fldChar w:fldCharType="separate"/>
      </w:r>
      <w:r w:rsidRPr="00575A3E">
        <w:rPr>
          <w:noProof/>
          <w:szCs w:val="22"/>
          <w:lang w:val="en-GB"/>
        </w:rPr>
        <w:t>(DSC, 2019)</w:t>
      </w:r>
      <w:r w:rsidRPr="00575A3E">
        <w:rPr>
          <w:szCs w:val="22"/>
          <w:lang w:val="en-GB"/>
        </w:rPr>
        <w:fldChar w:fldCharType="end"/>
      </w:r>
      <w:r w:rsidRPr="00575A3E">
        <w:rPr>
          <w:szCs w:val="22"/>
          <w:lang w:val="en-GB"/>
        </w:rPr>
        <w:t xml:space="preserve">, London Transportation Studies (LTS), TRAM </w:t>
      </w:r>
      <w:r w:rsidRPr="00575A3E">
        <w:rPr>
          <w:szCs w:val="22"/>
          <w:lang w:val="en-GB"/>
        </w:rPr>
        <w:fldChar w:fldCharType="begin" w:fldLock="1"/>
      </w:r>
      <w:r w:rsidR="0002665A" w:rsidRPr="00575A3E">
        <w:rPr>
          <w:szCs w:val="22"/>
          <w:lang w:val="en-GB"/>
        </w:rPr>
        <w:instrText>ADDIN CSL_CITATION {"citationItems":[{"id":"ITEM-1","itemData":{"author":[{"dropping-particle":"","family":"Simmonds","given":"David","non-dropping-particle":"","parse-names":false,"suffix":""},{"dropping-particle":"","family":"Feldman","given":"O","non-dropping-particle":"","parse-names":false,"suffix":""}],"container-title":"Proceedings of the Ninth International Conference on Computers in Urban Planning and Urban Management (CUPUM)","id":"ITEM-1","issued":{"date-parts":[["2005"]]},"page":"1-16","title":"Land-use modelling with DELTA: update and experience","type":"article-journal"},"uris":["http://www.mendeley.com/documents/?uuid=65e164a7-3100-44d6-bc4f-7d19723fcca2"]}],"mendeley":{"formattedCitation":"(Simmonds and Feldman, 2005)","plainTextFormattedCitation":"(Simmonds and Feldman, 2005)","previouslyFormattedCitation":"(Simmonds and Feldman, 2005)"},"properties":{"noteIndex":0},"schema":"https://github.com/citation-style-language/schema/raw/master/csl-citation.json"}</w:instrText>
      </w:r>
      <w:r w:rsidRPr="00575A3E">
        <w:rPr>
          <w:szCs w:val="22"/>
          <w:lang w:val="en-GB"/>
        </w:rPr>
        <w:fldChar w:fldCharType="separate"/>
      </w:r>
      <w:r w:rsidR="00BF7603" w:rsidRPr="00575A3E">
        <w:rPr>
          <w:noProof/>
          <w:szCs w:val="22"/>
          <w:lang w:val="en-GB"/>
        </w:rPr>
        <w:t>(Simmonds and Feldman, 2005)</w:t>
      </w:r>
      <w:r w:rsidRPr="00575A3E">
        <w:rPr>
          <w:szCs w:val="22"/>
          <w:lang w:val="en-GB"/>
        </w:rPr>
        <w:fldChar w:fldCharType="end"/>
      </w:r>
      <w:r w:rsidRPr="00575A3E">
        <w:rPr>
          <w:szCs w:val="22"/>
          <w:lang w:val="en-GB"/>
        </w:rPr>
        <w:t xml:space="preserve"> and START </w:t>
      </w:r>
      <w:r w:rsidRPr="00575A3E">
        <w:rPr>
          <w:szCs w:val="22"/>
          <w:lang w:val="en-GB"/>
        </w:rPr>
        <w:fldChar w:fldCharType="begin" w:fldLock="1"/>
      </w:r>
      <w:r w:rsidR="00BF7603" w:rsidRPr="00575A3E">
        <w:rPr>
          <w:szCs w:val="22"/>
          <w:lang w:val="en-GB"/>
        </w:rPr>
        <w:instrText>ADDIN CSL_CITATION {"citationItems":[{"id":"ITEM-1","itemData":{"author":[{"dropping-particle":"","family":"Feldman","given":"Olga","non-dropping-particle":"","parse-names":false,"suffix":""},{"dropping-particle":"","family":"Simmonds","given":"David","non-dropping-particle":"","parse-names":false,"suffix":""},{"dropping-particle":"","family":"Zachariadis","given":"Vassilis","non-dropping-particle":"","parse-names":false,"suffix":""},{"dropping-particle":"","family":"Mackett","given":"Roger","non-dropping-particle":"","parse-names":false,"suffix":""},{"dropping-particle":"","family":"Bosredon","given":"Mélanie","non-dropping-particle":"","parse-names":false,"suffix":""},{"dropping-particle":"","family":"Richmond","given":"Emma","non-dropping-particle":"","parse-names":false,"suffix":""},{"dropping-particle":"","family":"Nicoll","given":"James","non-dropping-particle":"","parse-names":false,"suffix":""}],"container-title":"Paper presented to the World Conference on Transport Research 2007, June 24-28, University of California, Berkeley.","id":"ITEM-1","issued":{"date-parts":[["2007"]]},"page":"1-22","title":"SIMDELTA -A MICROSIMULATION APPROACH TO HOUSEHOLD LOCATION MODELLING","type":"article-journal"},"uris":["http://www.mendeley.com/documents/?uuid=9212fe04-ca8a-40ea-940c-39414891c21b"]}],"mendeley":{"formattedCitation":"(Feldman et al., 2007)","plainTextFormattedCitation":"(Feldman et al., 2007)","previouslyFormattedCitation":"(Feldman et al., 2007)"},"properties":{"noteIndex":0},"schema":"https://github.com/citation-style-language/schema/raw/master/csl-citation.json"}</w:instrText>
      </w:r>
      <w:r w:rsidRPr="00575A3E">
        <w:rPr>
          <w:szCs w:val="22"/>
          <w:lang w:val="en-GB"/>
        </w:rPr>
        <w:fldChar w:fldCharType="separate"/>
      </w:r>
      <w:r w:rsidRPr="00575A3E">
        <w:rPr>
          <w:noProof/>
          <w:szCs w:val="22"/>
          <w:lang w:val="en-GB"/>
        </w:rPr>
        <w:t>(Feldman et al., 2007)</w:t>
      </w:r>
      <w:r w:rsidRPr="00575A3E">
        <w:rPr>
          <w:szCs w:val="22"/>
          <w:lang w:val="en-GB"/>
        </w:rPr>
        <w:fldChar w:fldCharType="end"/>
      </w:r>
      <w:r w:rsidRPr="00575A3E">
        <w:rPr>
          <w:szCs w:val="22"/>
          <w:lang w:val="en-GB"/>
        </w:rPr>
        <w:t xml:space="preserve">. The transportation model used here is the HSTM, which is implemented to produce the broad results of the Policy Responsive Integrated Strategy Model </w:t>
      </w:r>
      <w:r w:rsidR="00DE6ED9" w:rsidRPr="00575A3E">
        <w:rPr>
          <w:szCs w:val="22"/>
          <w:lang w:val="en-GB"/>
        </w:rPr>
        <w:t>(</w:t>
      </w:r>
      <w:r w:rsidRPr="00575A3E">
        <w:rPr>
          <w:szCs w:val="22"/>
          <w:lang w:val="en-GB"/>
        </w:rPr>
        <w:t>PRISM</w:t>
      </w:r>
      <w:r w:rsidR="00DE6ED9" w:rsidRPr="00575A3E">
        <w:rPr>
          <w:szCs w:val="22"/>
          <w:lang w:val="en-GB"/>
        </w:rPr>
        <w:t>)</w:t>
      </w:r>
      <w:r w:rsidRPr="00575A3E">
        <w:rPr>
          <w:szCs w:val="22"/>
          <w:lang w:val="en-GB"/>
        </w:rPr>
        <w:t xml:space="preserve"> </w:t>
      </w:r>
      <w:r w:rsidRPr="00575A3E">
        <w:rPr>
          <w:szCs w:val="22"/>
          <w:lang w:val="en-GB"/>
        </w:rPr>
        <w:fldChar w:fldCharType="begin" w:fldLock="1"/>
      </w:r>
      <w:r w:rsidR="0002665A" w:rsidRPr="00575A3E">
        <w:rPr>
          <w:szCs w:val="22"/>
          <w:lang w:val="en-GB"/>
        </w:rPr>
        <w:instrText>ADDIN CSL_CITATION {"citationItems":[{"id":"ITEM-1","itemData":{"author":[{"dropping-particle":"","family":"Simmonds","given":"David","non-dropping-particle":"","parse-names":false,"suffix":""}],"container-title":"Journal of Transport and Land Use","id":"ITEM-1","issue":"1938-7849","issued":{"date-parts":[["2019"]]},"page":"327-334","title":"Integrated modeling in the UK : Practical usability of integrated models","type":"article-journal"},"uris":["http://www.mendeley.com/documents/?uuid=f870d854-1d6b-41e9-b2c4-bb4ffcf3677a"]}],"mendeley":{"formattedCitation":"(Simmonds, 2019b)","plainTextFormattedCitation":"(Simmonds, 2019b)","previouslyFormattedCitation":"(Simmonds, 2019b)"},"properties":{"noteIndex":0},"schema":"https://github.com/citation-style-language/schema/raw/master/csl-citation.json"}</w:instrText>
      </w:r>
      <w:r w:rsidRPr="00575A3E">
        <w:rPr>
          <w:szCs w:val="22"/>
          <w:lang w:val="en-GB"/>
        </w:rPr>
        <w:fldChar w:fldCharType="separate"/>
      </w:r>
      <w:r w:rsidR="00BF7603" w:rsidRPr="00575A3E">
        <w:rPr>
          <w:noProof/>
          <w:szCs w:val="22"/>
          <w:lang w:val="en-GB"/>
        </w:rPr>
        <w:t>(Simmonds, 2019b)</w:t>
      </w:r>
      <w:r w:rsidRPr="00575A3E">
        <w:rPr>
          <w:szCs w:val="22"/>
          <w:lang w:val="en-GB"/>
        </w:rPr>
        <w:fldChar w:fldCharType="end"/>
      </w:r>
      <w:r w:rsidRPr="00575A3E">
        <w:rPr>
          <w:szCs w:val="22"/>
          <w:lang w:val="en-GB"/>
        </w:rPr>
        <w:t xml:space="preserve">. </w:t>
      </w:r>
    </w:p>
    <w:p w14:paraId="3BEC627C" w14:textId="5D370755" w:rsidR="00D65A75" w:rsidRPr="00575A3E" w:rsidRDefault="00EB66E6" w:rsidP="00A55356">
      <w:pPr>
        <w:pStyle w:val="Heading2"/>
        <w:spacing w:before="0" w:after="0" w:line="360" w:lineRule="auto"/>
        <w:rPr>
          <w:sz w:val="22"/>
          <w:szCs w:val="22"/>
          <w:lang w:val="en-GB"/>
        </w:rPr>
      </w:pPr>
      <w:r w:rsidRPr="00575A3E">
        <w:rPr>
          <w:sz w:val="22"/>
          <w:szCs w:val="22"/>
          <w:lang w:val="en-GB"/>
        </w:rPr>
        <w:lastRenderedPageBreak/>
        <w:t>C</w:t>
      </w:r>
      <w:r w:rsidR="00D65A75" w:rsidRPr="00575A3E">
        <w:rPr>
          <w:sz w:val="22"/>
          <w:szCs w:val="22"/>
          <w:lang w:val="en-GB"/>
        </w:rPr>
        <w:t>ase Study</w:t>
      </w:r>
    </w:p>
    <w:p w14:paraId="5BA08F93" w14:textId="31A6ECE6" w:rsidR="00250EF4" w:rsidRPr="00575A3E" w:rsidRDefault="00701798" w:rsidP="00250EF4">
      <w:pPr>
        <w:spacing w:line="360" w:lineRule="auto"/>
        <w:rPr>
          <w:szCs w:val="22"/>
          <w:lang w:val="en-GB"/>
        </w:rPr>
      </w:pPr>
      <w:r w:rsidRPr="00575A3E">
        <w:rPr>
          <w:lang w:val="en-GB"/>
        </w:rPr>
        <w:t>T</w:t>
      </w:r>
      <w:r w:rsidR="00250EF4" w:rsidRPr="00575A3E">
        <w:rPr>
          <w:lang w:val="en-GB"/>
        </w:rPr>
        <w:t xml:space="preserve">he selected case study is the West Midlands region in the UK, which borders the East Midlands, North West, South West and South East regions of England, as well as Wales. The most important urban areas in the region are Birmingham and Coventry </w:t>
      </w:r>
      <w:r w:rsidR="00250EF4" w:rsidRPr="00575A3E">
        <w:rPr>
          <w:vertAlign w:val="superscript"/>
          <w:lang w:val="en-GB"/>
        </w:rPr>
        <w:fldChar w:fldCharType="begin" w:fldLock="1"/>
      </w:r>
      <w:r w:rsidR="00250EF4" w:rsidRPr="00575A3E">
        <w:rPr>
          <w:vertAlign w:val="superscript"/>
          <w:lang w:val="en-GB"/>
        </w:rPr>
        <w:instrText>ADDIN CSL_CITATION {"citationItems":[{"id":"ITEM-1","itemData":{"abstract":"The West Midlands region: • saw an 11 percentage points decline in manufacturing jobs from 22 per cent of the workforce in 1996 to 11 per cent in 2010, although this is still one of the highest regional percentages • has the highest proportion of the working-age population having no qualifications among all the English regions • has the largest non-White regional population outside of London. 'Asian or Asian British' is the ethnic group that makes up the biggest non-White proportion of the West Midlands population (estimated at 8.5 per cent in 2009) • has the highest total fertility rate of all the English regions at 2.08 births per woman in 2008 • has the highest infant mortality rate of all the regions and countries in the UK – 6.0 per 1,000 live births in 2009 compared with 4.6 for the UK • has the lowest risk of household residents being a victim of crime out of all English regions: 15.0 per cent of households were victimised at least once, compared with the national average of 16.4 per cent in 2009/10 • has a good record of waste disposal – with the lowest regional percentage of local authority collected waste going into landfill (28 per cent compared with 49 per cent for the UK in 2009/10), and the largest percentage incinerated as a method of energy recovery","author":[{"dropping-particle":"","family":"Medland","given":"Angela","non-dropping-particle":"","parse-names":false,"suffix":""}],"container-title":"Office of National Statistics. URL: www. ons. gov. uk. …","id":"ITEM-1","issued":{"date-parts":[["2012"]]},"page":"1-36","title":"Portrait of the West Midlands","type":"article-journal"},"uris":["http://www.mendeley.com/documents/?uuid=c87e1848-e757-4ec5-8b13-fd96373d3ff7"]}],"mendeley":{"formattedCitation":"(Medland, 2012)","plainTextFormattedCitation":"(Medland, 2012)","previouslyFormattedCitation":"(Medland, 2012)"},"properties":{"noteIndex":0},"schema":"https://github.com/citation-style-language/schema/raw/master/csl-citation.json"}</w:instrText>
      </w:r>
      <w:r w:rsidR="00250EF4" w:rsidRPr="00575A3E">
        <w:rPr>
          <w:vertAlign w:val="superscript"/>
          <w:lang w:val="en-GB"/>
        </w:rPr>
        <w:fldChar w:fldCharType="separate"/>
      </w:r>
      <w:r w:rsidR="00250EF4" w:rsidRPr="00575A3E">
        <w:rPr>
          <w:noProof/>
          <w:lang w:val="en-GB"/>
        </w:rPr>
        <w:t>(Medland, 2012)</w:t>
      </w:r>
      <w:r w:rsidR="00250EF4" w:rsidRPr="00575A3E">
        <w:rPr>
          <w:vertAlign w:val="superscript"/>
          <w:lang w:val="en-GB"/>
        </w:rPr>
        <w:fldChar w:fldCharType="end"/>
      </w:r>
      <w:r w:rsidR="00250EF4" w:rsidRPr="00575A3E">
        <w:rPr>
          <w:lang w:val="en-GB"/>
        </w:rPr>
        <w:t xml:space="preserve">. The region and its metropolitan and urban areas are financially fast-growing areas in England excluding London </w:t>
      </w:r>
      <w:r w:rsidR="00250EF4" w:rsidRPr="00575A3E">
        <w:rPr>
          <w:lang w:val="en-GB"/>
        </w:rPr>
        <w:fldChar w:fldCharType="begin" w:fldLock="1"/>
      </w:r>
      <w:r w:rsidR="00250EF4" w:rsidRPr="00575A3E">
        <w:rPr>
          <w:lang w:val="en-GB"/>
        </w:rPr>
        <w:instrText>ADDIN CSL_CITATION {"citationItems":[{"id":"ITEM-1","itemData":{"abstract":"Since 2014 the leaders of the West Midlands have provided strong, clear leadership to strategic transport planning for the West Midlands Metropolitan Area. Leadership which will ensure that profound and enduring improvements are made to the West Midlands' transport system, matching the scale of the challenges faced over the next twenty years. Ongoing changes to governance mean that the Leaders of the West Midlands will own this plan and oversee it's delivery as the new \"West Midlands Combined Authority\" (WMCA). This evolution will strengthen the resolve and leadership of the West Midlands further. This strategic transport plan sets out the long term approach to guide many improvements, to be made year in, year out, over a twenty year period. These improvements will be delivered by a number of organisations, through a range of programmes and packages. The Combined Authority's role will be to ensure that this delivery is joined-up and in accord with this over-arching long term plan for transport.","author":[{"dropping-particle":"","family":"West Midlands Combined Authority","given":"","non-dropping-particle":"","parse-names":false,"suffix":""}],"id":"ITEM-1","issued":{"date-parts":[["2017"]]},"title":"The West Midlands Strategic Transport Plan","type":"article-journal"},"uris":["http://www.mendeley.com/documents/?uuid=b6de1b53-bfae-4bd8-a4bc-e1b7688ad655"]}],"mendeley":{"formattedCitation":"(West Midlands Combined Authority, 2017)","plainTextFormattedCitation":"(West Midlands Combined Authority, 2017)","previouslyFormattedCitation":"(West Midlands Combined Authority, 2017)"},"properties":{"noteIndex":0},"schema":"https://github.com/citation-style-language/schema/raw/master/csl-citation.json"}</w:instrText>
      </w:r>
      <w:r w:rsidR="00250EF4" w:rsidRPr="00575A3E">
        <w:rPr>
          <w:lang w:val="en-GB"/>
        </w:rPr>
        <w:fldChar w:fldCharType="separate"/>
      </w:r>
      <w:r w:rsidR="00250EF4" w:rsidRPr="00575A3E">
        <w:rPr>
          <w:noProof/>
          <w:lang w:val="en-GB"/>
        </w:rPr>
        <w:t>(West Midlands Combined Authority, 2017)</w:t>
      </w:r>
      <w:r w:rsidR="00250EF4" w:rsidRPr="00575A3E">
        <w:rPr>
          <w:lang w:val="en-GB"/>
        </w:rPr>
        <w:fldChar w:fldCharType="end"/>
      </w:r>
      <w:r w:rsidR="00250EF4" w:rsidRPr="00575A3E">
        <w:rPr>
          <w:lang w:val="en-GB"/>
        </w:rPr>
        <w:t xml:space="preserve">. </w:t>
      </w:r>
      <w:r w:rsidR="00250EF4" w:rsidRPr="00575A3E">
        <w:rPr>
          <w:szCs w:val="22"/>
          <w:lang w:val="en-GB"/>
        </w:rPr>
        <w:t xml:space="preserve">The locations of the West Midlands region and its two major cities, Birmingham and Coventry, are illustrated in </w:t>
      </w:r>
      <w:r w:rsidR="00250EF4" w:rsidRPr="00575A3E">
        <w:rPr>
          <w:szCs w:val="22"/>
          <w:lang w:val="en-GB"/>
        </w:rPr>
        <w:fldChar w:fldCharType="begin"/>
      </w:r>
      <w:r w:rsidR="00250EF4" w:rsidRPr="00575A3E">
        <w:rPr>
          <w:szCs w:val="22"/>
          <w:lang w:val="en-GB"/>
        </w:rPr>
        <w:instrText xml:space="preserve"> REF _Ref79686364 \h  \* MERGEFORMAT </w:instrText>
      </w:r>
      <w:r w:rsidR="00250EF4" w:rsidRPr="00575A3E">
        <w:rPr>
          <w:szCs w:val="22"/>
          <w:lang w:val="en-GB"/>
        </w:rPr>
      </w:r>
      <w:r w:rsidR="00250EF4" w:rsidRPr="00575A3E">
        <w:rPr>
          <w:szCs w:val="22"/>
          <w:lang w:val="en-GB"/>
        </w:rPr>
        <w:fldChar w:fldCharType="separate"/>
      </w:r>
      <w:r w:rsidR="004A1C59" w:rsidRPr="00575A3E">
        <w:rPr>
          <w:lang w:val="en-GB"/>
        </w:rPr>
        <w:t>Figure 1</w:t>
      </w:r>
      <w:r w:rsidR="00250EF4" w:rsidRPr="00575A3E">
        <w:rPr>
          <w:szCs w:val="22"/>
          <w:lang w:val="en-GB"/>
        </w:rPr>
        <w:fldChar w:fldCharType="end"/>
      </w:r>
      <w:r w:rsidR="00250EF4" w:rsidRPr="00575A3E">
        <w:rPr>
          <w:szCs w:val="22"/>
          <w:lang w:val="en-GB"/>
        </w:rPr>
        <w:t>.</w:t>
      </w:r>
    </w:p>
    <w:p w14:paraId="5185CC47" w14:textId="77777777" w:rsidR="00250EF4" w:rsidRPr="00575A3E" w:rsidRDefault="00250EF4" w:rsidP="00250EF4">
      <w:pPr>
        <w:keepNext/>
        <w:tabs>
          <w:tab w:val="left" w:pos="5954"/>
        </w:tabs>
        <w:spacing w:line="360" w:lineRule="auto"/>
        <w:jc w:val="center"/>
        <w:rPr>
          <w:lang w:val="en-GB"/>
        </w:rPr>
      </w:pPr>
      <w:bookmarkStart w:id="2" w:name="_Hlk71100879"/>
      <w:bookmarkEnd w:id="2"/>
      <w:r w:rsidRPr="00575A3E">
        <w:rPr>
          <w:b/>
          <w:noProof/>
          <w:sz w:val="20"/>
          <w:szCs w:val="22"/>
          <w:lang w:val="en-GB" w:eastAsia="en-GB"/>
        </w:rPr>
        <w:drawing>
          <wp:inline distT="0" distB="0" distL="0" distR="0" wp14:anchorId="52981624" wp14:editId="61FED474">
            <wp:extent cx="4666233" cy="298070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0293" cy="3040791"/>
                    </a:xfrm>
                    <a:prstGeom prst="rect">
                      <a:avLst/>
                    </a:prstGeom>
                  </pic:spPr>
                </pic:pic>
              </a:graphicData>
            </a:graphic>
          </wp:inline>
        </w:drawing>
      </w:r>
    </w:p>
    <w:p w14:paraId="14FAAAB8" w14:textId="60FBA430" w:rsidR="00250EF4" w:rsidRPr="00575A3E" w:rsidRDefault="00250EF4" w:rsidP="00250EF4">
      <w:pPr>
        <w:pStyle w:val="Caption"/>
        <w:spacing w:line="360" w:lineRule="auto"/>
        <w:rPr>
          <w:b w:val="0"/>
          <w:bCs w:val="0"/>
          <w:szCs w:val="22"/>
          <w:lang w:val="en-GB"/>
        </w:rPr>
      </w:pPr>
      <w:bookmarkStart w:id="3" w:name="_Ref79686364"/>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1</w:t>
      </w:r>
      <w:r w:rsidRPr="00575A3E">
        <w:rPr>
          <w:lang w:val="en-GB"/>
        </w:rPr>
        <w:fldChar w:fldCharType="end"/>
      </w:r>
      <w:bookmarkEnd w:id="3"/>
      <w:r w:rsidRPr="00575A3E">
        <w:rPr>
          <w:szCs w:val="22"/>
          <w:lang w:val="en-GB"/>
        </w:rPr>
        <w:t xml:space="preserve">: </w:t>
      </w:r>
      <w:r w:rsidRPr="00575A3E">
        <w:rPr>
          <w:b w:val="0"/>
          <w:bCs w:val="0"/>
          <w:szCs w:val="22"/>
          <w:lang w:val="en-GB"/>
        </w:rPr>
        <w:t xml:space="preserve">West Midlands, Birmingham and Coventry, adapted from </w:t>
      </w:r>
      <w:r w:rsidRPr="00575A3E">
        <w:rPr>
          <w:b w:val="0"/>
          <w:bCs w:val="0"/>
          <w:szCs w:val="22"/>
          <w:lang w:val="en-GB"/>
        </w:rPr>
        <w:fldChar w:fldCharType="begin" w:fldLock="1"/>
      </w:r>
      <w:r w:rsidR="005F1281" w:rsidRPr="00575A3E">
        <w:rPr>
          <w:b w:val="0"/>
          <w:bCs w:val="0"/>
          <w:szCs w:val="22"/>
          <w:lang w:val="en-GB"/>
        </w:rPr>
        <w:instrText>ADDIN CSL_CITATION {"citationItems":[{"id":"ITEM-1","itemData":{"URL":"https://www.wikiwand.com/en/West_Midlands_(region)","accessed":{"date-parts":[["2021","7","29"]]},"author":[{"dropping-particle":"","family":"wikiwand.com","given":"","non-dropping-particle":"","parse-names":false,"suffix":""}],"id":"ITEM-1","issued":{"date-parts":[["2021"]]},"title":"West Midlands (region)","type":"webpage"},"uris":["http://www.mendeley.com/documents/?uuid=832dcd9e-4319-4f3c-adb2-9fab9988fe44"]}],"mendeley":{"formattedCitation":"(wikiwand.com, 2021)","plainTextFormattedCitation":"(wikiwand.com, 2021)","previouslyFormattedCitation":"(wikiwand.com, 2021)"},"properties":{"noteIndex":0},"schema":"https://github.com/citation-style-language/schema/raw/master/csl-citation.json"}</w:instrText>
      </w:r>
      <w:r w:rsidRPr="00575A3E">
        <w:rPr>
          <w:b w:val="0"/>
          <w:bCs w:val="0"/>
          <w:szCs w:val="22"/>
          <w:lang w:val="en-GB"/>
        </w:rPr>
        <w:fldChar w:fldCharType="separate"/>
      </w:r>
      <w:r w:rsidR="005F1281" w:rsidRPr="00575A3E">
        <w:rPr>
          <w:b w:val="0"/>
          <w:bCs w:val="0"/>
          <w:noProof/>
          <w:szCs w:val="22"/>
          <w:lang w:val="en-GB"/>
        </w:rPr>
        <w:t>(wikiwand.com, 2021)</w:t>
      </w:r>
      <w:r w:rsidRPr="00575A3E">
        <w:rPr>
          <w:b w:val="0"/>
          <w:bCs w:val="0"/>
          <w:szCs w:val="22"/>
          <w:lang w:val="en-GB"/>
        </w:rPr>
        <w:fldChar w:fldCharType="end"/>
      </w:r>
      <w:r w:rsidR="00DE6ED9" w:rsidRPr="00575A3E">
        <w:rPr>
          <w:b w:val="0"/>
          <w:bCs w:val="0"/>
          <w:szCs w:val="22"/>
          <w:lang w:val="en-GB"/>
        </w:rPr>
        <w:t>.</w:t>
      </w:r>
    </w:p>
    <w:p w14:paraId="12E06D5C" w14:textId="1224C167" w:rsidR="00250EF4" w:rsidRPr="00575A3E" w:rsidRDefault="00250EF4" w:rsidP="00250EF4">
      <w:pPr>
        <w:spacing w:line="360" w:lineRule="auto"/>
        <w:rPr>
          <w:lang w:val="en-GB"/>
        </w:rPr>
      </w:pPr>
      <w:r w:rsidRPr="00575A3E">
        <w:rPr>
          <w:lang w:val="en-GB"/>
        </w:rPr>
        <w:t xml:space="preserve">The total population of the region exceeds 5 million and the specific distribution of population per county in the region is presented in </w:t>
      </w:r>
      <w:r w:rsidRPr="00575A3E">
        <w:rPr>
          <w:lang w:val="en-GB"/>
        </w:rPr>
        <w:fldChar w:fldCharType="begin"/>
      </w:r>
      <w:r w:rsidRPr="00575A3E">
        <w:rPr>
          <w:lang w:val="en-GB"/>
        </w:rPr>
        <w:instrText xml:space="preserve"> REF _Ref115694836 \h </w:instrText>
      </w:r>
      <w:r w:rsidRPr="00575A3E">
        <w:rPr>
          <w:lang w:val="en-GB"/>
        </w:rPr>
      </w:r>
      <w:r w:rsidRPr="00575A3E">
        <w:rPr>
          <w:lang w:val="en-GB"/>
        </w:rPr>
        <w:fldChar w:fldCharType="separate"/>
      </w:r>
      <w:r w:rsidR="004A1C59" w:rsidRPr="00575A3E">
        <w:t xml:space="preserve">Table </w:t>
      </w:r>
      <w:r w:rsidR="004A1C59" w:rsidRPr="00575A3E">
        <w:rPr>
          <w:noProof/>
        </w:rPr>
        <w:t>1</w:t>
      </w:r>
      <w:r w:rsidRPr="00575A3E">
        <w:rPr>
          <w:lang w:val="en-GB"/>
        </w:rPr>
        <w:fldChar w:fldCharType="end"/>
      </w:r>
      <w:r w:rsidRPr="00575A3E">
        <w:rPr>
          <w:lang w:val="en-GB"/>
        </w:rPr>
        <w:t xml:space="preserve">. The Gross Disposable Household Income (GDHI) per person in the region is </w:t>
      </w:r>
      <w:r w:rsidR="008D5D05" w:rsidRPr="00575A3E">
        <w:rPr>
          <w:lang w:val="en-GB"/>
        </w:rPr>
        <w:t>just over</w:t>
      </w:r>
      <w:r w:rsidRPr="00575A3E">
        <w:rPr>
          <w:lang w:val="en-GB"/>
        </w:rPr>
        <w:t xml:space="preserve"> £15,000/year, as presented in </w:t>
      </w:r>
      <w:r w:rsidRPr="00575A3E">
        <w:rPr>
          <w:lang w:val="en-GB"/>
        </w:rPr>
        <w:fldChar w:fldCharType="begin"/>
      </w:r>
      <w:r w:rsidRPr="00575A3E">
        <w:rPr>
          <w:lang w:val="en-GB"/>
        </w:rPr>
        <w:instrText xml:space="preserve"> REF _Ref115695782 \h </w:instrText>
      </w:r>
      <w:r w:rsidRPr="00575A3E">
        <w:rPr>
          <w:lang w:val="en-GB"/>
        </w:rPr>
      </w:r>
      <w:r w:rsidRPr="00575A3E">
        <w:rPr>
          <w:lang w:val="en-GB"/>
        </w:rPr>
        <w:fldChar w:fldCharType="separate"/>
      </w:r>
      <w:r w:rsidR="004A1C59" w:rsidRPr="00575A3E">
        <w:t xml:space="preserve">Figure </w:t>
      </w:r>
      <w:r w:rsidR="004A1C59" w:rsidRPr="00575A3E">
        <w:rPr>
          <w:noProof/>
        </w:rPr>
        <w:t>2</w:t>
      </w:r>
      <w:r w:rsidRPr="00575A3E">
        <w:rPr>
          <w:lang w:val="en-GB"/>
        </w:rPr>
        <w:fldChar w:fldCharType="end"/>
      </w:r>
      <w:r w:rsidRPr="00575A3E">
        <w:rPr>
          <w:lang w:val="en-GB"/>
        </w:rPr>
        <w:t xml:space="preserve">, and since 2002 the </w:t>
      </w:r>
      <w:r w:rsidR="008D5D05" w:rsidRPr="00575A3E">
        <w:rPr>
          <w:lang w:val="en-GB"/>
        </w:rPr>
        <w:t>size of</w:t>
      </w:r>
      <w:r w:rsidRPr="00575A3E">
        <w:rPr>
          <w:lang w:val="en-GB"/>
        </w:rPr>
        <w:t xml:space="preserve"> the labour market </w:t>
      </w:r>
      <w:r w:rsidR="008D5D05" w:rsidRPr="00575A3E">
        <w:rPr>
          <w:lang w:val="en-GB"/>
        </w:rPr>
        <w:t xml:space="preserve">has consistently </w:t>
      </w:r>
      <w:r w:rsidRPr="00575A3E">
        <w:rPr>
          <w:lang w:val="en-GB"/>
        </w:rPr>
        <w:t>increas</w:t>
      </w:r>
      <w:r w:rsidR="008D5D05" w:rsidRPr="00575A3E">
        <w:rPr>
          <w:lang w:val="en-GB"/>
        </w:rPr>
        <w:t>ed</w:t>
      </w:r>
      <w:r w:rsidRPr="00575A3E">
        <w:rPr>
          <w:lang w:val="en-GB"/>
        </w:rPr>
        <w:t xml:space="preserve"> (</w:t>
      </w:r>
      <w:r w:rsidRPr="00575A3E">
        <w:rPr>
          <w:lang w:val="en-GB"/>
        </w:rPr>
        <w:fldChar w:fldCharType="begin"/>
      </w:r>
      <w:r w:rsidRPr="00575A3E">
        <w:rPr>
          <w:lang w:val="en-GB"/>
        </w:rPr>
        <w:instrText xml:space="preserve"> REF _Ref115695936 \h </w:instrText>
      </w:r>
      <w:r w:rsidRPr="00575A3E">
        <w:rPr>
          <w:lang w:val="en-GB"/>
        </w:rPr>
      </w:r>
      <w:r w:rsidRPr="00575A3E">
        <w:rPr>
          <w:lang w:val="en-GB"/>
        </w:rPr>
        <w:fldChar w:fldCharType="separate"/>
      </w:r>
      <w:r w:rsidR="004A1C59" w:rsidRPr="00575A3E">
        <w:t xml:space="preserve">Figure </w:t>
      </w:r>
      <w:r w:rsidR="004A1C59" w:rsidRPr="00575A3E">
        <w:rPr>
          <w:noProof/>
        </w:rPr>
        <w:t>3</w:t>
      </w:r>
      <w:r w:rsidRPr="00575A3E">
        <w:rPr>
          <w:lang w:val="en-GB"/>
        </w:rPr>
        <w:fldChar w:fldCharType="end"/>
      </w:r>
      <w:r w:rsidRPr="00575A3E">
        <w:rPr>
          <w:lang w:val="en-GB"/>
        </w:rPr>
        <w:t xml:space="preserve">) based on the latest UK census </w:t>
      </w:r>
      <w:r w:rsidRPr="00575A3E">
        <w:rPr>
          <w:lang w:val="en-GB"/>
        </w:rPr>
        <w:fldChar w:fldCharType="begin" w:fldLock="1"/>
      </w:r>
      <w:r w:rsidRPr="00575A3E">
        <w:rPr>
          <w:lang w:val="en-GB"/>
        </w:rPr>
        <w:instrText>ADDIN CSL_CITATION {"citationItems":[{"id":"ITEM-1","itemData":{"URL":"https://www.ons.gov.uk/","accessed":{"date-parts":[["2022","9","29"]]},"author":[{"dropping-particle":"","family":"UK Office for National Statistics","given":"","non-dropping-particle":"","parse-names":false,"suffix":""}],"id":"ITEM-1","issued":{"date-parts":[["2021"]]},"title":"UK Census","type":"webpage"},"uris":["http://www.mendeley.com/documents/?uuid=22c16654-f4e9-4755-90e2-30e0d310e250"]}],"mendeley":{"formattedCitation":"(UK Office for National Statistics, 2021)","plainTextFormattedCitation":"(UK Office for National Statistics, 2021)","previouslyFormattedCitation":"(UK Office for National Statistics, 2021)"},"properties":{"noteIndex":0},"schema":"https://github.com/citation-style-language/schema/raw/master/csl-citation.json"}</w:instrText>
      </w:r>
      <w:r w:rsidRPr="00575A3E">
        <w:rPr>
          <w:lang w:val="en-GB"/>
        </w:rPr>
        <w:fldChar w:fldCharType="separate"/>
      </w:r>
      <w:r w:rsidRPr="00575A3E">
        <w:rPr>
          <w:noProof/>
          <w:lang w:val="en-GB"/>
        </w:rPr>
        <w:t>(UK Office for National Statistics, 2021)</w:t>
      </w:r>
      <w:r w:rsidRPr="00575A3E">
        <w:rPr>
          <w:lang w:val="en-GB"/>
        </w:rPr>
        <w:fldChar w:fldCharType="end"/>
      </w:r>
      <w:r w:rsidRPr="00575A3E">
        <w:rPr>
          <w:lang w:val="en-GB"/>
        </w:rPr>
        <w:t xml:space="preserve"> </w:t>
      </w:r>
    </w:p>
    <w:p w14:paraId="46D01287" w14:textId="59A808D7" w:rsidR="00250EF4" w:rsidRPr="00575A3E" w:rsidRDefault="00250EF4" w:rsidP="00CE4E88">
      <w:pPr>
        <w:pStyle w:val="Caption"/>
        <w:keepNext/>
        <w:jc w:val="center"/>
      </w:pPr>
      <w:bookmarkStart w:id="4" w:name="_Ref115694836"/>
      <w:r w:rsidRPr="00575A3E">
        <w:t xml:space="preserve">Table </w:t>
      </w:r>
      <w:r w:rsidR="003B4E9E" w:rsidRPr="00575A3E">
        <w:fldChar w:fldCharType="begin"/>
      </w:r>
      <w:r w:rsidR="003B4E9E" w:rsidRPr="00575A3E">
        <w:instrText xml:space="preserve"> SEQ Table \* ARABIC </w:instrText>
      </w:r>
      <w:r w:rsidR="003B4E9E" w:rsidRPr="00575A3E">
        <w:fldChar w:fldCharType="separate"/>
      </w:r>
      <w:r w:rsidR="006101B2" w:rsidRPr="00575A3E">
        <w:rPr>
          <w:noProof/>
        </w:rPr>
        <w:t>1</w:t>
      </w:r>
      <w:r w:rsidR="003B4E9E" w:rsidRPr="00575A3E">
        <w:fldChar w:fldCharType="end"/>
      </w:r>
      <w:bookmarkEnd w:id="4"/>
      <w:r w:rsidRPr="00575A3E">
        <w:t xml:space="preserve">: Population in West Midlands </w:t>
      </w:r>
      <w:bookmarkStart w:id="5" w:name="_Hlk115695109"/>
      <w:r w:rsidRPr="00575A3E">
        <w:fldChar w:fldCharType="begin" w:fldLock="1"/>
      </w:r>
      <w:r w:rsidRPr="00575A3E">
        <w:instrText>ADDIN CSL_CITATION {"citationItems":[{"id":"ITEM-1","itemData":{"URL":"https://www.ons.gov.uk/","accessed":{"date-parts":[["2022","9","29"]]},"author":[{"dropping-particle":"","family":"UK Office for National Statistics","given":"","non-dropping-particle":"","parse-names":false,"suffix":""}],"id":"ITEM-1","issued":{"date-parts":[["2021"]]},"title":"UK Census","type":"webpage"},"uris":["http://www.mendeley.com/documents/?uuid=22c16654-f4e9-4755-90e2-30e0d310e250"]}],"mendeley":{"formattedCitation":"(UK Office for National Statistics, 2021)","plainTextFormattedCitation":"(UK Office for National Statistics, 2021)","previouslyFormattedCitation":"(UK Office for National Statistics, 2021)"},"properties":{"noteIndex":0},"schema":"https://github.com/citation-style-language/schema/raw/master/csl-citation.json"}</w:instrText>
      </w:r>
      <w:r w:rsidRPr="00575A3E">
        <w:fldChar w:fldCharType="separate"/>
      </w:r>
      <w:r w:rsidRPr="00575A3E">
        <w:rPr>
          <w:b w:val="0"/>
          <w:noProof/>
        </w:rPr>
        <w:t>(UK Office for National Statistics, 2021)</w:t>
      </w:r>
      <w:r w:rsidRPr="00575A3E">
        <w:fldChar w:fldCharType="end"/>
      </w:r>
      <w:bookmarkEnd w:id="5"/>
    </w:p>
    <w:tbl>
      <w:tblPr>
        <w:tblStyle w:val="TableGrid"/>
        <w:tblW w:w="6920" w:type="dxa"/>
        <w:jc w:val="center"/>
        <w:tblLook w:val="04A0" w:firstRow="1" w:lastRow="0" w:firstColumn="1" w:lastColumn="0" w:noHBand="0" w:noVBand="1"/>
      </w:tblPr>
      <w:tblGrid>
        <w:gridCol w:w="5380"/>
        <w:gridCol w:w="1540"/>
      </w:tblGrid>
      <w:tr w:rsidR="00575A3E" w:rsidRPr="00575A3E" w14:paraId="09813FF9" w14:textId="77777777" w:rsidTr="00CE4E88">
        <w:trPr>
          <w:trHeight w:val="315"/>
          <w:jc w:val="center"/>
        </w:trPr>
        <w:tc>
          <w:tcPr>
            <w:tcW w:w="5380" w:type="dxa"/>
            <w:noWrap/>
            <w:vAlign w:val="center"/>
            <w:hideMark/>
          </w:tcPr>
          <w:p w14:paraId="3763900C" w14:textId="77777777" w:rsidR="00250EF4" w:rsidRPr="00575A3E" w:rsidRDefault="00250EF4" w:rsidP="00CE4E88">
            <w:pPr>
              <w:widowControl/>
              <w:suppressAutoHyphens w:val="0"/>
              <w:ind w:firstLineChars="200" w:firstLine="440"/>
              <w:jc w:val="center"/>
              <w:rPr>
                <w:rFonts w:eastAsia="Times New Roman"/>
                <w:b/>
                <w:bCs/>
                <w:kern w:val="0"/>
                <w:szCs w:val="22"/>
                <w:lang w:val="en-GB" w:eastAsia="en-GB"/>
              </w:rPr>
            </w:pPr>
            <w:r w:rsidRPr="00575A3E">
              <w:rPr>
                <w:rFonts w:eastAsia="Times New Roman"/>
                <w:b/>
                <w:bCs/>
                <w:kern w:val="0"/>
                <w:szCs w:val="22"/>
                <w:lang w:val="en-GB" w:eastAsia="en-GB"/>
              </w:rPr>
              <w:t>West Midlands Region</w:t>
            </w:r>
          </w:p>
        </w:tc>
        <w:tc>
          <w:tcPr>
            <w:tcW w:w="1540" w:type="dxa"/>
            <w:noWrap/>
            <w:vAlign w:val="center"/>
            <w:hideMark/>
          </w:tcPr>
          <w:p w14:paraId="0199EF62"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Population</w:t>
            </w:r>
          </w:p>
        </w:tc>
      </w:tr>
      <w:tr w:rsidR="00575A3E" w:rsidRPr="00575A3E" w14:paraId="2F8180F1" w14:textId="77777777" w:rsidTr="00CE4E88">
        <w:trPr>
          <w:trHeight w:val="300"/>
          <w:jc w:val="center"/>
        </w:trPr>
        <w:tc>
          <w:tcPr>
            <w:tcW w:w="5380" w:type="dxa"/>
            <w:noWrap/>
            <w:vAlign w:val="center"/>
            <w:hideMark/>
          </w:tcPr>
          <w:p w14:paraId="3E7FDDDE" w14:textId="77777777" w:rsidR="00250EF4" w:rsidRPr="00575A3E" w:rsidRDefault="00250EF4" w:rsidP="00CE4E88">
            <w:pPr>
              <w:widowControl/>
              <w:suppressAutoHyphens w:val="0"/>
              <w:ind w:firstLineChars="300" w:firstLine="660"/>
              <w:jc w:val="center"/>
              <w:rPr>
                <w:rFonts w:eastAsia="Times New Roman"/>
                <w:kern w:val="0"/>
                <w:szCs w:val="22"/>
                <w:lang w:val="en-GB" w:eastAsia="en-GB"/>
              </w:rPr>
            </w:pPr>
            <w:r w:rsidRPr="00575A3E">
              <w:rPr>
                <w:rFonts w:eastAsia="Times New Roman"/>
                <w:kern w:val="0"/>
                <w:szCs w:val="22"/>
                <w:lang w:val="en-GB" w:eastAsia="en-GB"/>
              </w:rPr>
              <w:t>Herefordshire</w:t>
            </w:r>
          </w:p>
        </w:tc>
        <w:tc>
          <w:tcPr>
            <w:tcW w:w="1540" w:type="dxa"/>
            <w:noWrap/>
            <w:vAlign w:val="center"/>
            <w:hideMark/>
          </w:tcPr>
          <w:p w14:paraId="4A6F6BA5"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187,100</w:t>
            </w:r>
          </w:p>
        </w:tc>
      </w:tr>
      <w:tr w:rsidR="00575A3E" w:rsidRPr="00575A3E" w14:paraId="4F8FEFD4" w14:textId="77777777" w:rsidTr="00CE4E88">
        <w:trPr>
          <w:trHeight w:val="300"/>
          <w:jc w:val="center"/>
        </w:trPr>
        <w:tc>
          <w:tcPr>
            <w:tcW w:w="5380" w:type="dxa"/>
            <w:noWrap/>
            <w:vAlign w:val="center"/>
            <w:hideMark/>
          </w:tcPr>
          <w:p w14:paraId="163C7BE3" w14:textId="77777777" w:rsidR="00250EF4" w:rsidRPr="00575A3E" w:rsidRDefault="00250EF4" w:rsidP="00CE4E88">
            <w:pPr>
              <w:widowControl/>
              <w:suppressAutoHyphens w:val="0"/>
              <w:ind w:firstLineChars="300" w:firstLine="660"/>
              <w:jc w:val="center"/>
              <w:rPr>
                <w:rFonts w:eastAsia="Times New Roman"/>
                <w:kern w:val="0"/>
                <w:szCs w:val="22"/>
                <w:lang w:val="en-GB" w:eastAsia="en-GB"/>
              </w:rPr>
            </w:pPr>
            <w:r w:rsidRPr="00575A3E">
              <w:rPr>
                <w:rFonts w:eastAsia="Times New Roman"/>
                <w:kern w:val="0"/>
                <w:szCs w:val="22"/>
                <w:lang w:val="en-GB" w:eastAsia="en-GB"/>
              </w:rPr>
              <w:t>Shropshire</w:t>
            </w:r>
          </w:p>
        </w:tc>
        <w:tc>
          <w:tcPr>
            <w:tcW w:w="1540" w:type="dxa"/>
            <w:noWrap/>
            <w:vAlign w:val="center"/>
            <w:hideMark/>
          </w:tcPr>
          <w:p w14:paraId="2969813E"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509,200</w:t>
            </w:r>
          </w:p>
        </w:tc>
      </w:tr>
      <w:tr w:rsidR="00575A3E" w:rsidRPr="00575A3E" w14:paraId="5CF39AF8" w14:textId="77777777" w:rsidTr="00CE4E88">
        <w:trPr>
          <w:trHeight w:val="300"/>
          <w:jc w:val="center"/>
        </w:trPr>
        <w:tc>
          <w:tcPr>
            <w:tcW w:w="5380" w:type="dxa"/>
            <w:noWrap/>
            <w:vAlign w:val="center"/>
            <w:hideMark/>
          </w:tcPr>
          <w:p w14:paraId="5FF07CB8" w14:textId="77777777" w:rsidR="00250EF4" w:rsidRPr="00575A3E" w:rsidRDefault="00250EF4" w:rsidP="00CE4E88">
            <w:pPr>
              <w:widowControl/>
              <w:suppressAutoHyphens w:val="0"/>
              <w:ind w:firstLineChars="300" w:firstLine="660"/>
              <w:jc w:val="center"/>
              <w:rPr>
                <w:rFonts w:eastAsia="Times New Roman"/>
                <w:kern w:val="0"/>
                <w:szCs w:val="22"/>
                <w:lang w:val="en-GB" w:eastAsia="en-GB"/>
              </w:rPr>
            </w:pPr>
            <w:r w:rsidRPr="00575A3E">
              <w:rPr>
                <w:rFonts w:eastAsia="Times New Roman"/>
                <w:kern w:val="0"/>
                <w:szCs w:val="22"/>
                <w:lang w:val="en-GB" w:eastAsia="en-GB"/>
              </w:rPr>
              <w:t>Staffordshire</w:t>
            </w:r>
          </w:p>
        </w:tc>
        <w:tc>
          <w:tcPr>
            <w:tcW w:w="1540" w:type="dxa"/>
            <w:noWrap/>
            <w:vAlign w:val="center"/>
            <w:hideMark/>
          </w:tcPr>
          <w:p w14:paraId="27ED7D7B"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1,134,500</w:t>
            </w:r>
          </w:p>
        </w:tc>
      </w:tr>
      <w:tr w:rsidR="00575A3E" w:rsidRPr="00575A3E" w14:paraId="4258162F" w14:textId="77777777" w:rsidTr="00CE4E88">
        <w:trPr>
          <w:trHeight w:val="300"/>
          <w:jc w:val="center"/>
        </w:trPr>
        <w:tc>
          <w:tcPr>
            <w:tcW w:w="5380" w:type="dxa"/>
            <w:noWrap/>
            <w:vAlign w:val="center"/>
            <w:hideMark/>
          </w:tcPr>
          <w:p w14:paraId="088CFA48" w14:textId="77777777" w:rsidR="00250EF4" w:rsidRPr="00575A3E" w:rsidRDefault="00250EF4" w:rsidP="00CE4E88">
            <w:pPr>
              <w:widowControl/>
              <w:suppressAutoHyphens w:val="0"/>
              <w:ind w:firstLineChars="300" w:firstLine="660"/>
              <w:jc w:val="center"/>
              <w:rPr>
                <w:rFonts w:eastAsia="Times New Roman"/>
                <w:kern w:val="0"/>
                <w:szCs w:val="22"/>
                <w:lang w:val="en-GB" w:eastAsia="en-GB"/>
              </w:rPr>
            </w:pPr>
            <w:r w:rsidRPr="00575A3E">
              <w:rPr>
                <w:rFonts w:eastAsia="Times New Roman"/>
                <w:kern w:val="0"/>
                <w:szCs w:val="22"/>
                <w:lang w:val="en-GB" w:eastAsia="en-GB"/>
              </w:rPr>
              <w:t>Warwickshire</w:t>
            </w:r>
          </w:p>
        </w:tc>
        <w:tc>
          <w:tcPr>
            <w:tcW w:w="1540" w:type="dxa"/>
            <w:noWrap/>
            <w:vAlign w:val="center"/>
            <w:hideMark/>
          </w:tcPr>
          <w:p w14:paraId="236A5BFF"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596,800</w:t>
            </w:r>
          </w:p>
        </w:tc>
      </w:tr>
      <w:tr w:rsidR="00575A3E" w:rsidRPr="00575A3E" w14:paraId="0B144FD8" w14:textId="77777777" w:rsidTr="00CE4E88">
        <w:trPr>
          <w:trHeight w:val="300"/>
          <w:jc w:val="center"/>
        </w:trPr>
        <w:tc>
          <w:tcPr>
            <w:tcW w:w="5380" w:type="dxa"/>
            <w:noWrap/>
            <w:vAlign w:val="center"/>
            <w:hideMark/>
          </w:tcPr>
          <w:p w14:paraId="4857ED07" w14:textId="77777777" w:rsidR="00250EF4" w:rsidRPr="00575A3E" w:rsidRDefault="00250EF4" w:rsidP="00CE4E88">
            <w:pPr>
              <w:widowControl/>
              <w:suppressAutoHyphens w:val="0"/>
              <w:ind w:firstLineChars="300" w:firstLine="660"/>
              <w:jc w:val="center"/>
              <w:rPr>
                <w:rFonts w:eastAsia="Times New Roman"/>
                <w:kern w:val="0"/>
                <w:szCs w:val="22"/>
                <w:lang w:val="en-GB" w:eastAsia="en-GB"/>
              </w:rPr>
            </w:pPr>
            <w:r w:rsidRPr="00575A3E">
              <w:rPr>
                <w:rFonts w:eastAsia="Times New Roman"/>
                <w:kern w:val="0"/>
                <w:szCs w:val="22"/>
                <w:lang w:val="en-GB" w:eastAsia="en-GB"/>
              </w:rPr>
              <w:t>West Midlands (Metropolitan County)</w:t>
            </w:r>
          </w:p>
        </w:tc>
        <w:tc>
          <w:tcPr>
            <w:tcW w:w="1540" w:type="dxa"/>
            <w:noWrap/>
            <w:vAlign w:val="center"/>
            <w:hideMark/>
          </w:tcPr>
          <w:p w14:paraId="702D0B38"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2,919,600</w:t>
            </w:r>
          </w:p>
        </w:tc>
      </w:tr>
      <w:tr w:rsidR="00575A3E" w:rsidRPr="00575A3E" w14:paraId="34562802" w14:textId="77777777" w:rsidTr="00CE4E88">
        <w:trPr>
          <w:trHeight w:val="300"/>
          <w:jc w:val="center"/>
        </w:trPr>
        <w:tc>
          <w:tcPr>
            <w:tcW w:w="5380" w:type="dxa"/>
            <w:noWrap/>
            <w:vAlign w:val="center"/>
            <w:hideMark/>
          </w:tcPr>
          <w:p w14:paraId="2547C58C" w14:textId="77777777" w:rsidR="00250EF4" w:rsidRPr="00575A3E" w:rsidRDefault="00250EF4" w:rsidP="00CE4E88">
            <w:pPr>
              <w:widowControl/>
              <w:suppressAutoHyphens w:val="0"/>
              <w:ind w:firstLineChars="300" w:firstLine="660"/>
              <w:jc w:val="center"/>
              <w:rPr>
                <w:rFonts w:eastAsia="Times New Roman"/>
                <w:kern w:val="0"/>
                <w:szCs w:val="22"/>
                <w:lang w:val="en-GB" w:eastAsia="en-GB"/>
              </w:rPr>
            </w:pPr>
            <w:r w:rsidRPr="00575A3E">
              <w:rPr>
                <w:rFonts w:eastAsia="Times New Roman"/>
                <w:kern w:val="0"/>
                <w:szCs w:val="22"/>
                <w:lang w:val="en-GB" w:eastAsia="en-GB"/>
              </w:rPr>
              <w:t>Worcestershire</w:t>
            </w:r>
          </w:p>
        </w:tc>
        <w:tc>
          <w:tcPr>
            <w:tcW w:w="1540" w:type="dxa"/>
            <w:noWrap/>
            <w:vAlign w:val="center"/>
            <w:hideMark/>
          </w:tcPr>
          <w:p w14:paraId="4D72488D" w14:textId="77777777" w:rsidR="00250EF4" w:rsidRPr="00575A3E" w:rsidRDefault="00250EF4" w:rsidP="00CE4E88">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603,600</w:t>
            </w:r>
          </w:p>
        </w:tc>
      </w:tr>
    </w:tbl>
    <w:p w14:paraId="6C703138" w14:textId="77777777" w:rsidR="00250EF4" w:rsidRPr="00575A3E" w:rsidRDefault="00250EF4" w:rsidP="00250EF4">
      <w:pPr>
        <w:keepNext/>
        <w:spacing w:line="360" w:lineRule="auto"/>
        <w:jc w:val="left"/>
      </w:pPr>
      <w:r w:rsidRPr="00575A3E">
        <w:rPr>
          <w:noProof/>
          <w:lang w:val="en-GB" w:eastAsia="en-GB"/>
        </w:rPr>
        <w:lastRenderedPageBreak/>
        <w:drawing>
          <wp:inline distT="0" distB="0" distL="0" distR="0" wp14:anchorId="786E16CC" wp14:editId="417EB2EB">
            <wp:extent cx="4678878" cy="3004457"/>
            <wp:effectExtent l="0" t="0" r="7620" b="5715"/>
            <wp:docPr id="3" name="Chart 3">
              <a:extLst xmlns:a="http://schemas.openxmlformats.org/drawingml/2006/main">
                <a:ext uri="{FF2B5EF4-FFF2-40B4-BE49-F238E27FC236}">
                  <a16:creationId xmlns:a16="http://schemas.microsoft.com/office/drawing/2014/main" id="{A2269444-8B88-863D-E4A4-DC43D3652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1D184C" w14:textId="4E749BEB" w:rsidR="00250EF4" w:rsidRPr="00575A3E" w:rsidRDefault="00250EF4" w:rsidP="00250EF4">
      <w:pPr>
        <w:pStyle w:val="Caption"/>
        <w:jc w:val="left"/>
        <w:rPr>
          <w:lang w:val="en-GB"/>
        </w:rPr>
      </w:pPr>
      <w:bookmarkStart w:id="6" w:name="_Ref115695782"/>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2</w:t>
      </w:r>
      <w:r w:rsidRPr="00575A3E">
        <w:fldChar w:fldCharType="end"/>
      </w:r>
      <w:bookmarkEnd w:id="6"/>
      <w:r w:rsidRPr="00575A3E">
        <w:t xml:space="preserve">: GDHI per person in the UK (£) </w:t>
      </w:r>
      <w:r w:rsidRPr="00575A3E">
        <w:fldChar w:fldCharType="begin" w:fldLock="1"/>
      </w:r>
      <w:r w:rsidRPr="00575A3E">
        <w:instrText>ADDIN CSL_CITATION {"citationItems":[{"id":"ITEM-1","itemData":{"URL":"https://www.ons.gov.uk/","accessed":{"date-parts":[["2022","9","29"]]},"author":[{"dropping-particle":"","family":"UK Office for National Statistics","given":"","non-dropping-particle":"","parse-names":false,"suffix":""}],"id":"ITEM-1","issued":{"date-parts":[["2021"]]},"title":"UK Census","type":"webpage"},"uris":["http://www.mendeley.com/documents/?uuid=22c16654-f4e9-4755-90e2-30e0d310e250"]}],"mendeley":{"formattedCitation":"(UK Office for National Statistics, 2021)","plainTextFormattedCitation":"(UK Office for National Statistics, 2021)","previouslyFormattedCitation":"(UK Office for National Statistics, 2021)"},"properties":{"noteIndex":0},"schema":"https://github.com/citation-style-language/schema/raw/master/csl-citation.json"}</w:instrText>
      </w:r>
      <w:r w:rsidRPr="00575A3E">
        <w:fldChar w:fldCharType="separate"/>
      </w:r>
      <w:r w:rsidRPr="00575A3E">
        <w:rPr>
          <w:b w:val="0"/>
          <w:noProof/>
        </w:rPr>
        <w:t>(UK Office for National Statistics, 2021)</w:t>
      </w:r>
      <w:r w:rsidRPr="00575A3E">
        <w:fldChar w:fldCharType="end"/>
      </w:r>
    </w:p>
    <w:p w14:paraId="2239E544" w14:textId="77777777" w:rsidR="00250EF4" w:rsidRPr="00575A3E" w:rsidRDefault="00250EF4" w:rsidP="00250EF4">
      <w:pPr>
        <w:keepNext/>
        <w:spacing w:line="360" w:lineRule="auto"/>
        <w:jc w:val="left"/>
      </w:pPr>
      <w:r w:rsidRPr="00575A3E">
        <w:rPr>
          <w:noProof/>
          <w:lang w:val="en-GB" w:eastAsia="en-GB"/>
        </w:rPr>
        <w:drawing>
          <wp:inline distT="0" distB="0" distL="0" distR="0" wp14:anchorId="2E82D331" wp14:editId="70F9926D">
            <wp:extent cx="5450205" cy="2208810"/>
            <wp:effectExtent l="0" t="0" r="17145" b="1270"/>
            <wp:docPr id="12" name="Chart 12">
              <a:extLst xmlns:a="http://schemas.openxmlformats.org/drawingml/2006/main">
                <a:ext uri="{FF2B5EF4-FFF2-40B4-BE49-F238E27FC236}">
                  <a16:creationId xmlns:a16="http://schemas.microsoft.com/office/drawing/2014/main" id="{28107B79-A536-6CAE-F349-F7978552A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21D2A63" w14:textId="146D9C04" w:rsidR="00250EF4" w:rsidRPr="00575A3E" w:rsidRDefault="00250EF4" w:rsidP="00250EF4">
      <w:pPr>
        <w:pStyle w:val="Caption"/>
        <w:jc w:val="left"/>
        <w:rPr>
          <w:lang w:val="en-GB"/>
        </w:rPr>
      </w:pPr>
      <w:bookmarkStart w:id="7" w:name="_Ref115695936"/>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3</w:t>
      </w:r>
      <w:r w:rsidRPr="00575A3E">
        <w:fldChar w:fldCharType="end"/>
      </w:r>
      <w:bookmarkEnd w:id="7"/>
      <w:r w:rsidRPr="00575A3E">
        <w:t xml:space="preserve">: Employment in West Midlands </w:t>
      </w:r>
      <w:r w:rsidRPr="00575A3E">
        <w:fldChar w:fldCharType="begin" w:fldLock="1"/>
      </w:r>
      <w:r w:rsidRPr="00575A3E">
        <w:instrText>ADDIN CSL_CITATION {"citationItems":[{"id":"ITEM-1","itemData":{"URL":"https://www.ons.gov.uk/","accessed":{"date-parts":[["2022","9","29"]]},"author":[{"dropping-particle":"","family":"UK Office for National Statistics","given":"","non-dropping-particle":"","parse-names":false,"suffix":""}],"id":"ITEM-1","issued":{"date-parts":[["2021"]]},"title":"UK Census","type":"webpage"},"uris":["http://www.mendeley.com/documents/?uuid=22c16654-f4e9-4755-90e2-30e0d310e250"]}],"mendeley":{"formattedCitation":"(UK Office for National Statistics, 2021)","plainTextFormattedCitation":"(UK Office for National Statistics, 2021)","previouslyFormattedCitation":"(UK Office for National Statistics, 2021)"},"properties":{"noteIndex":0},"schema":"https://github.com/citation-style-language/schema/raw/master/csl-citation.json"}</w:instrText>
      </w:r>
      <w:r w:rsidRPr="00575A3E">
        <w:fldChar w:fldCharType="separate"/>
      </w:r>
      <w:r w:rsidRPr="00575A3E">
        <w:rPr>
          <w:b w:val="0"/>
          <w:noProof/>
        </w:rPr>
        <w:t>(UK Office for National Statistics, 2021)</w:t>
      </w:r>
      <w:r w:rsidRPr="00575A3E">
        <w:fldChar w:fldCharType="end"/>
      </w:r>
    </w:p>
    <w:p w14:paraId="53EFD2C8" w14:textId="77777777" w:rsidR="00250EF4" w:rsidRPr="00575A3E" w:rsidRDefault="00250EF4" w:rsidP="00250EF4">
      <w:pPr>
        <w:spacing w:line="360" w:lineRule="auto"/>
        <w:rPr>
          <w:lang w:val="en-GB"/>
        </w:rPr>
      </w:pPr>
    </w:p>
    <w:p w14:paraId="3276330D" w14:textId="086A4BFA" w:rsidR="00250EF4" w:rsidRPr="00575A3E" w:rsidRDefault="00250EF4" w:rsidP="00250EF4">
      <w:pPr>
        <w:spacing w:line="360" w:lineRule="auto"/>
        <w:rPr>
          <w:lang w:val="en-GB"/>
        </w:rPr>
      </w:pPr>
      <w:r w:rsidRPr="00575A3E">
        <w:rPr>
          <w:lang w:val="en-GB"/>
        </w:rPr>
        <w:t xml:space="preserve">In terms of transport, the region is served by an advanced roadway network </w:t>
      </w:r>
      <w:r w:rsidR="008D5D05" w:rsidRPr="00575A3E">
        <w:rPr>
          <w:lang w:val="en-GB"/>
        </w:rPr>
        <w:t>comprising</w:t>
      </w:r>
      <w:r w:rsidRPr="00575A3E">
        <w:rPr>
          <w:lang w:val="en-GB"/>
        </w:rPr>
        <w:t xml:space="preserve"> </w:t>
      </w:r>
      <w:r w:rsidR="00DE6ED9" w:rsidRPr="00575A3E">
        <w:rPr>
          <w:lang w:val="en-GB"/>
        </w:rPr>
        <w:t xml:space="preserve">the </w:t>
      </w:r>
      <w:r w:rsidRPr="00575A3E">
        <w:rPr>
          <w:lang w:val="en-GB"/>
        </w:rPr>
        <w:t xml:space="preserve">M5 </w:t>
      </w:r>
      <w:r w:rsidR="008D5D05" w:rsidRPr="00575A3E">
        <w:rPr>
          <w:lang w:val="en-GB"/>
        </w:rPr>
        <w:t xml:space="preserve">motorway, </w:t>
      </w:r>
      <w:r w:rsidRPr="00575A3E">
        <w:rPr>
          <w:lang w:val="en-GB"/>
        </w:rPr>
        <w:t>which connects the region with the South West</w:t>
      </w:r>
      <w:r w:rsidR="008D5D05" w:rsidRPr="00575A3E">
        <w:rPr>
          <w:lang w:val="en-GB"/>
        </w:rPr>
        <w:t xml:space="preserve"> England</w:t>
      </w:r>
      <w:r w:rsidRPr="00575A3E">
        <w:rPr>
          <w:lang w:val="en-GB"/>
        </w:rPr>
        <w:t xml:space="preserve">, </w:t>
      </w:r>
      <w:r w:rsidR="00DE6ED9" w:rsidRPr="00575A3E">
        <w:rPr>
          <w:lang w:val="en-GB"/>
        </w:rPr>
        <w:t xml:space="preserve">the </w:t>
      </w:r>
      <w:r w:rsidRPr="00575A3E">
        <w:rPr>
          <w:lang w:val="en-GB"/>
        </w:rPr>
        <w:t xml:space="preserve">M6 </w:t>
      </w:r>
      <w:r w:rsidR="008D5D05" w:rsidRPr="00575A3E">
        <w:rPr>
          <w:lang w:val="en-GB"/>
        </w:rPr>
        <w:t xml:space="preserve">motorway, </w:t>
      </w:r>
      <w:r w:rsidRPr="00575A3E">
        <w:rPr>
          <w:lang w:val="en-GB"/>
        </w:rPr>
        <w:t>which connects the region with North West</w:t>
      </w:r>
      <w:r w:rsidR="008D5D05" w:rsidRPr="00575A3E">
        <w:rPr>
          <w:lang w:val="en-GB"/>
        </w:rPr>
        <w:t xml:space="preserve"> England and Scotland,</w:t>
      </w:r>
      <w:r w:rsidRPr="00575A3E">
        <w:rPr>
          <w:lang w:val="en-GB"/>
        </w:rPr>
        <w:t xml:space="preserve"> and </w:t>
      </w:r>
      <w:r w:rsidR="00DE6ED9" w:rsidRPr="00575A3E">
        <w:rPr>
          <w:lang w:val="en-GB"/>
        </w:rPr>
        <w:t xml:space="preserve">the </w:t>
      </w:r>
      <w:r w:rsidRPr="00575A3E">
        <w:rPr>
          <w:lang w:val="en-GB"/>
        </w:rPr>
        <w:t>A5</w:t>
      </w:r>
      <w:r w:rsidR="008D5D05" w:rsidRPr="00575A3E">
        <w:rPr>
          <w:lang w:val="en-GB"/>
        </w:rPr>
        <w:t xml:space="preserve"> expressway</w:t>
      </w:r>
      <w:r w:rsidRPr="00575A3E">
        <w:rPr>
          <w:lang w:val="en-GB"/>
        </w:rPr>
        <w:t xml:space="preserve">, which transverses the region southeast to northwest </w:t>
      </w:r>
      <w:r w:rsidRPr="00575A3E">
        <w:rPr>
          <w:lang w:val="en-GB"/>
        </w:rPr>
        <w:fldChar w:fldCharType="begin" w:fldLock="1"/>
      </w:r>
      <w:r w:rsidRPr="00575A3E">
        <w:rPr>
          <w:lang w:val="en-GB"/>
        </w:rPr>
        <w:instrText>ADDIN CSL_CITATION {"citationItems":[{"id":"ITEM-1","itemData":{"URL":"https://nationalhighways.co.uk/our-roads/west-midlands/","accessed":{"date-parts":[["2022","10","3"]]},"author":[{"dropping-particle":"","family":"UK National Highways","given":"","non-dropping-particle":"","parse-names":false,"suffix":""}],"id":"ITEM-1","issued":{"date-parts":[["2022"]]},"title":"West Midlands","type":"webpage"},"uris":["http://www.mendeley.com/documents/?uuid=bceb1424-ae98-41fb-bfcf-82dc244b6b7e"]}],"mendeley":{"formattedCitation":"(UK National Highways, 2022)","plainTextFormattedCitation":"(UK National Highways, 2022)","previouslyFormattedCitation":"(UK National Highways, 2022)"},"properties":{"noteIndex":0},"schema":"https://github.com/citation-style-language/schema/raw/master/csl-citation.json"}</w:instrText>
      </w:r>
      <w:r w:rsidRPr="00575A3E">
        <w:rPr>
          <w:lang w:val="en-GB"/>
        </w:rPr>
        <w:fldChar w:fldCharType="separate"/>
      </w:r>
      <w:r w:rsidRPr="00575A3E">
        <w:rPr>
          <w:noProof/>
          <w:lang w:val="en-GB"/>
        </w:rPr>
        <w:t>(UK National Highways, 2022)</w:t>
      </w:r>
      <w:r w:rsidRPr="00575A3E">
        <w:rPr>
          <w:lang w:val="en-GB"/>
        </w:rPr>
        <w:fldChar w:fldCharType="end"/>
      </w:r>
      <w:r w:rsidRPr="00575A3E">
        <w:rPr>
          <w:lang w:val="en-GB"/>
        </w:rPr>
        <w:t xml:space="preserve">. Moreover, </w:t>
      </w:r>
      <w:r w:rsidR="008D5D05" w:rsidRPr="00575A3E">
        <w:rPr>
          <w:lang w:val="en-GB"/>
        </w:rPr>
        <w:t xml:space="preserve">the region </w:t>
      </w:r>
      <w:r w:rsidRPr="00575A3E">
        <w:rPr>
          <w:lang w:val="en-GB"/>
        </w:rPr>
        <w:t xml:space="preserve">is served by a number of railway lines </w:t>
      </w:r>
      <w:r w:rsidR="008D5D05" w:rsidRPr="00575A3E">
        <w:rPr>
          <w:lang w:val="en-GB"/>
        </w:rPr>
        <w:t>linking it</w:t>
      </w:r>
      <w:r w:rsidRPr="00575A3E">
        <w:rPr>
          <w:lang w:val="en-GB"/>
        </w:rPr>
        <w:t xml:space="preserve"> with the rest of the UK </w:t>
      </w:r>
      <w:r w:rsidRPr="00575A3E">
        <w:rPr>
          <w:lang w:val="en-GB"/>
        </w:rPr>
        <w:fldChar w:fldCharType="begin" w:fldLock="1"/>
      </w:r>
      <w:r w:rsidR="00B621A2" w:rsidRPr="00575A3E">
        <w:rPr>
          <w:lang w:val="en-GB"/>
        </w:rPr>
        <w:instrText>ADDIN CSL_CITATION {"citationItems":[{"id":"ITEM-1","itemData":{"URL":"https://www.networkrail.co.uk/running-the-railway/our-routes/west-coast-mainline-south/","accessed":{"date-parts":[["2022","1","3"]]},"author":[{"dropping-particle":"","family":"NetworkRail","given":"","non-dropping-particle":"","parse-names":false,"suffix":""}],"id":"ITEM-1","issued":{"date-parts":[["2022"]]},"title":"West Coast South route","type":"webpage"},"uris":["http://www.mendeley.com/documents/?uuid=ebf3f5ad-500d-4031-bc67-658bb9e64ee9"]}],"mendeley":{"formattedCitation":"(NetworkRail, 2022)","manualFormatting":"(Network Rail, 2022)","plainTextFormattedCitation":"(NetworkRail, 2022)","previouslyFormattedCitation":"(NetworkRail, 2022)"},"properties":{"noteIndex":0},"schema":"https://github.com/citation-style-language/schema/raw/master/csl-citation.json"}</w:instrText>
      </w:r>
      <w:r w:rsidRPr="00575A3E">
        <w:rPr>
          <w:lang w:val="en-GB"/>
        </w:rPr>
        <w:fldChar w:fldCharType="separate"/>
      </w:r>
      <w:r w:rsidRPr="00575A3E">
        <w:rPr>
          <w:noProof/>
          <w:lang w:val="en-GB"/>
        </w:rPr>
        <w:t>(Network</w:t>
      </w:r>
      <w:r w:rsidR="00D15F1A" w:rsidRPr="00575A3E">
        <w:rPr>
          <w:noProof/>
          <w:lang w:val="en-GB"/>
        </w:rPr>
        <w:t xml:space="preserve"> </w:t>
      </w:r>
      <w:r w:rsidRPr="00575A3E">
        <w:rPr>
          <w:noProof/>
          <w:lang w:val="en-GB"/>
        </w:rPr>
        <w:t>Rail, 2022)</w:t>
      </w:r>
      <w:r w:rsidRPr="00575A3E">
        <w:rPr>
          <w:lang w:val="en-GB"/>
        </w:rPr>
        <w:fldChar w:fldCharType="end"/>
      </w:r>
      <w:r w:rsidRPr="00575A3E">
        <w:rPr>
          <w:lang w:val="en-GB"/>
        </w:rPr>
        <w:t>, and there are plans for implementation of high speed rail, under the HS2 project which will connect London to Birmingham</w:t>
      </w:r>
      <w:r w:rsidR="00F40A6B" w:rsidRPr="00575A3E">
        <w:rPr>
          <w:lang w:val="en-GB"/>
        </w:rPr>
        <w:t xml:space="preserve"> </w:t>
      </w:r>
      <w:r w:rsidR="00E42A92" w:rsidRPr="00575A3E">
        <w:rPr>
          <w:lang w:val="en-GB"/>
        </w:rPr>
        <w:fldChar w:fldCharType="begin" w:fldLock="1"/>
      </w:r>
      <w:r w:rsidR="002859DD" w:rsidRPr="00575A3E">
        <w:rPr>
          <w:lang w:val="en-GB"/>
        </w:rPr>
        <w:instrText>ADDIN CSL_CITATION {"citationItems":[{"id":"ITEM-1","itemData":{"author":[{"dropping-particle":"","family":"UK Department for Transport","given":"","non-dropping-particle":"","parse-names":false,"suffix":""}],"id":"ITEM-1","issue":"February","issued":{"date-parts":[["2016"]]},"title":"High Speed Rail (London - West Midlands)","type":"report","volume":"1"},"uris":["http://www.mendeley.com/documents/?uuid=23a36159-e346-487e-aebe-ea287d6590ea"]}],"mendeley":{"formattedCitation":"(UK Department for Transport, 2016)","plainTextFormattedCitation":"(UK Department for Transport, 2016)","previouslyFormattedCitation":"(UK Department for Transport, 2016)"},"properties":{"noteIndex":0},"schema":"https://github.com/citation-style-language/schema/raw/master/csl-citation.json"}</w:instrText>
      </w:r>
      <w:r w:rsidR="00E42A92" w:rsidRPr="00575A3E">
        <w:rPr>
          <w:lang w:val="en-GB"/>
        </w:rPr>
        <w:fldChar w:fldCharType="separate"/>
      </w:r>
      <w:r w:rsidR="00E42A92" w:rsidRPr="00575A3E">
        <w:rPr>
          <w:noProof/>
          <w:lang w:val="en-GB"/>
        </w:rPr>
        <w:t>(UK Department for Transport, 2016)</w:t>
      </w:r>
      <w:r w:rsidR="00E42A92" w:rsidRPr="00575A3E">
        <w:rPr>
          <w:lang w:val="en-GB"/>
        </w:rPr>
        <w:fldChar w:fldCharType="end"/>
      </w:r>
      <w:r w:rsidRPr="00575A3E">
        <w:rPr>
          <w:lang w:val="en-GB"/>
        </w:rPr>
        <w:t xml:space="preserve">. </w:t>
      </w:r>
      <w:r w:rsidR="00100C0A" w:rsidRPr="00575A3E">
        <w:rPr>
          <w:lang w:val="en-GB"/>
        </w:rPr>
        <w:t>It is essential to mention that both the road and railway networks are not as dense in the west</w:t>
      </w:r>
      <w:r w:rsidR="00917DD5" w:rsidRPr="00575A3E">
        <w:rPr>
          <w:lang w:val="en-GB"/>
        </w:rPr>
        <w:t>ern</w:t>
      </w:r>
      <w:r w:rsidR="00100C0A" w:rsidRPr="00575A3E">
        <w:rPr>
          <w:lang w:val="en-GB"/>
        </w:rPr>
        <w:t xml:space="preserve"> parts of the region in comparison with the north</w:t>
      </w:r>
      <w:r w:rsidR="00917DD5" w:rsidRPr="00575A3E">
        <w:rPr>
          <w:lang w:val="en-GB"/>
        </w:rPr>
        <w:t>ern</w:t>
      </w:r>
      <w:r w:rsidR="00100C0A" w:rsidRPr="00575A3E">
        <w:rPr>
          <w:lang w:val="en-GB"/>
        </w:rPr>
        <w:t xml:space="preserve"> and east</w:t>
      </w:r>
      <w:r w:rsidR="00917DD5" w:rsidRPr="00575A3E">
        <w:rPr>
          <w:lang w:val="en-GB"/>
        </w:rPr>
        <w:t>ern ones</w:t>
      </w:r>
      <w:r w:rsidR="00100C0A" w:rsidRPr="00575A3E">
        <w:rPr>
          <w:lang w:val="en-GB"/>
        </w:rPr>
        <w:t xml:space="preserve"> </w:t>
      </w:r>
      <w:r w:rsidR="00100C0A" w:rsidRPr="00575A3E">
        <w:rPr>
          <w:lang w:val="en-GB"/>
        </w:rPr>
        <w:fldChar w:fldCharType="begin" w:fldLock="1"/>
      </w:r>
      <w:r w:rsidR="00B621A2" w:rsidRPr="00575A3E">
        <w:rPr>
          <w:lang w:val="en-GB"/>
        </w:rPr>
        <w:instrText>ADDIN CSL_CITATION {"citationItems":[{"id":"ITEM-1","itemData":{"URL":"https://nationalhighways.co.uk/our-roads/west-midlands/","accessed":{"date-parts":[["2022","10","3"]]},"author":[{"dropping-particle":"","family":"UK National Highways","given":"","non-dropping-particle":"","parse-names":false,"suffix":""}],"id":"ITEM-1","issued":{"date-parts":[["2022"]]},"title":"West Midlands","type":"webpage"},"uris":["http://www.mendeley.com/documents/?uuid=bceb1424-ae98-41fb-bfcf-82dc244b6b7e"]},{"id":"ITEM-2","itemData":{"URL":"https://www.networkrail.co.uk/running-the-railway/our-routes/west-coast-mainline-south/","accessed":{"date-parts":[["2022","1","3"]]},"author":[{"dropping-particle":"","family":"NetworkRail","given":"","non-dropping-particle":"","parse-names":false,"suffix":""}],"id":"ITEM-2","issued":{"date-parts":[["2022"]]},"title":"West Coast South route","type":"webpage"},"uris":["http://www.mendeley.com/documents/?uuid=ebf3f5ad-500d-4031-bc67-658bb9e64ee9"]}],"mendeley":{"formattedCitation":"(NetworkRail, 2022; UK National Highways, 2022)","manualFormatting":"(Network Rail, 2022; UK National Highways, 2022)","plainTextFormattedCitation":"(NetworkRail, 2022; UK National Highways, 2022)","previouslyFormattedCitation":"(NetworkRail, 2022; UK National Highways, 2022)"},"properties":{"noteIndex":0},"schema":"https://github.com/citation-style-language/schema/raw/master/csl-citation.json"}</w:instrText>
      </w:r>
      <w:r w:rsidR="00100C0A" w:rsidRPr="00575A3E">
        <w:rPr>
          <w:lang w:val="en-GB"/>
        </w:rPr>
        <w:fldChar w:fldCharType="separate"/>
      </w:r>
      <w:r w:rsidR="00100C0A" w:rsidRPr="00575A3E">
        <w:rPr>
          <w:noProof/>
          <w:lang w:val="en-GB"/>
        </w:rPr>
        <w:t>(Network</w:t>
      </w:r>
      <w:r w:rsidR="00D15F1A" w:rsidRPr="00575A3E">
        <w:rPr>
          <w:noProof/>
          <w:lang w:val="en-GB"/>
        </w:rPr>
        <w:t xml:space="preserve"> </w:t>
      </w:r>
      <w:r w:rsidR="00100C0A" w:rsidRPr="00575A3E">
        <w:rPr>
          <w:noProof/>
          <w:lang w:val="en-GB"/>
        </w:rPr>
        <w:t xml:space="preserve">Rail, 2022; UK National </w:t>
      </w:r>
      <w:r w:rsidR="00100C0A" w:rsidRPr="00575A3E">
        <w:rPr>
          <w:noProof/>
          <w:lang w:val="en-GB"/>
        </w:rPr>
        <w:lastRenderedPageBreak/>
        <w:t>Highways, 2022)</w:t>
      </w:r>
      <w:r w:rsidR="00100C0A" w:rsidRPr="00575A3E">
        <w:rPr>
          <w:lang w:val="en-GB"/>
        </w:rPr>
        <w:fldChar w:fldCharType="end"/>
      </w:r>
      <w:r w:rsidR="00100C0A" w:rsidRPr="00575A3E">
        <w:rPr>
          <w:lang w:val="en-GB"/>
        </w:rPr>
        <w:t xml:space="preserve">, which highly affects accessibility and connectivity with other regions. </w:t>
      </w:r>
      <w:r w:rsidRPr="00575A3E">
        <w:rPr>
          <w:lang w:val="en-GB"/>
        </w:rPr>
        <w:t xml:space="preserve">In terms of urban public transport, </w:t>
      </w:r>
      <w:r w:rsidR="00917DD5" w:rsidRPr="00575A3E">
        <w:rPr>
          <w:lang w:val="en-GB"/>
        </w:rPr>
        <w:t xml:space="preserve">the </w:t>
      </w:r>
      <w:r w:rsidRPr="00575A3E">
        <w:rPr>
          <w:lang w:val="en-GB"/>
        </w:rPr>
        <w:t xml:space="preserve">West Midlands </w:t>
      </w:r>
      <w:r w:rsidR="00917DD5" w:rsidRPr="00575A3E">
        <w:rPr>
          <w:lang w:val="en-GB"/>
        </w:rPr>
        <w:t>C</w:t>
      </w:r>
      <w:r w:rsidRPr="00575A3E">
        <w:rPr>
          <w:lang w:val="en-GB"/>
        </w:rPr>
        <w:t xml:space="preserve">ounty has bus services and light rail, </w:t>
      </w:r>
      <w:r w:rsidR="00DE6ED9" w:rsidRPr="00575A3E">
        <w:rPr>
          <w:lang w:val="en-GB"/>
        </w:rPr>
        <w:t xml:space="preserve">whilst </w:t>
      </w:r>
      <w:r w:rsidRPr="00575A3E">
        <w:rPr>
          <w:lang w:val="en-GB"/>
        </w:rPr>
        <w:t xml:space="preserve">the rest of </w:t>
      </w:r>
      <w:r w:rsidR="00DE6ED9" w:rsidRPr="00575A3E">
        <w:rPr>
          <w:lang w:val="en-GB"/>
        </w:rPr>
        <w:t xml:space="preserve">the </w:t>
      </w:r>
      <w:r w:rsidRPr="00575A3E">
        <w:rPr>
          <w:lang w:val="en-GB"/>
        </w:rPr>
        <w:t xml:space="preserve">counties </w:t>
      </w:r>
      <w:r w:rsidR="00917DD5" w:rsidRPr="00575A3E">
        <w:rPr>
          <w:lang w:val="en-GB"/>
        </w:rPr>
        <w:t xml:space="preserve">comprise </w:t>
      </w:r>
      <w:r w:rsidRPr="00575A3E">
        <w:rPr>
          <w:lang w:val="en-GB"/>
        </w:rPr>
        <w:t xml:space="preserve">primarily bus services </w:t>
      </w:r>
      <w:r w:rsidRPr="00575A3E">
        <w:rPr>
          <w:lang w:val="en-GB"/>
        </w:rPr>
        <w:fldChar w:fldCharType="begin" w:fldLock="1"/>
      </w:r>
      <w:r w:rsidRPr="00575A3E">
        <w:rPr>
          <w:lang w:val="en-GB"/>
        </w:rPr>
        <w:instrText>ADDIN CSL_CITATION {"citationItems":[{"id":"ITEM-1","itemData":{"URL":"https://community-engagement-tfwm.hub.arcgis.com/pages/modal-split","accessed":{"date-parts":[["2022","10","3"]]},"author":[{"dropping-particle":"","family":"Transport for West Midlands Combined Authority","given":"","non-dropping-particle":"","parse-names":false,"suffix":""}],"id":"ITEM-1","issued":{"date-parts":[["2021"]]},"title":"Modal Share","type":"webpage"},"uris":["http://www.mendeley.com/documents/?uuid=2102c751-2aab-4887-bc36-20926b1bd5d7"]},{"id":"ITEM-2","itemData":{"URL":"https://plusbus.info/","accessed":{"date-parts":[["2022","6","26"]]},"author":[{"dropping-particle":"","family":"PLUSBUS","given":"","non-dropping-particle":"","parse-names":false,"suffix":""}],"id":"ITEM-2","issued":{"date-parts":[["2022"]]},"title":"PLUSBUS | HOME","type":"webpage"},"uris":["http://www.mendeley.com/documents/?uuid=147f74fe-3cdd-46f9-9761-5ff5d44cf947"]}],"mendeley":{"formattedCitation":"(PLUSBUS, 2022; Transport for West Midlands Combined Authority, 2021)","plainTextFormattedCitation":"(PLUSBUS, 2022; Transport for West Midlands Combined Authority, 2021)","previouslyFormattedCitation":"(PLUSBUS, 2022; Transport for West Midlands Combined Authority, 2021)"},"properties":{"noteIndex":0},"schema":"https://github.com/citation-style-language/schema/raw/master/csl-citation.json"}</w:instrText>
      </w:r>
      <w:r w:rsidRPr="00575A3E">
        <w:rPr>
          <w:lang w:val="en-GB"/>
        </w:rPr>
        <w:fldChar w:fldCharType="separate"/>
      </w:r>
      <w:r w:rsidRPr="00575A3E">
        <w:rPr>
          <w:noProof/>
          <w:lang w:val="en-GB"/>
        </w:rPr>
        <w:t>(PLUSBUS, 2022; Transport for West Midlands Combined Authority, 2021)</w:t>
      </w:r>
      <w:r w:rsidRPr="00575A3E">
        <w:rPr>
          <w:lang w:val="en-GB"/>
        </w:rPr>
        <w:fldChar w:fldCharType="end"/>
      </w:r>
      <w:r w:rsidRPr="00575A3E">
        <w:rPr>
          <w:lang w:val="en-GB"/>
        </w:rPr>
        <w:t xml:space="preserve">. </w:t>
      </w:r>
    </w:p>
    <w:p w14:paraId="7B913EE1" w14:textId="77777777" w:rsidR="00250EF4" w:rsidRPr="00575A3E" w:rsidRDefault="00250EF4" w:rsidP="00250EF4">
      <w:pPr>
        <w:spacing w:line="360" w:lineRule="auto"/>
        <w:rPr>
          <w:lang w:val="en-GB"/>
        </w:rPr>
      </w:pPr>
    </w:p>
    <w:p w14:paraId="0E2630AF" w14:textId="36746DEE" w:rsidR="00250EF4" w:rsidRPr="00575A3E" w:rsidRDefault="00250EF4" w:rsidP="00250EF4">
      <w:pPr>
        <w:spacing w:line="360" w:lineRule="auto"/>
        <w:rPr>
          <w:lang w:val="en-GB"/>
        </w:rPr>
      </w:pPr>
      <w:r w:rsidRPr="00575A3E">
        <w:rPr>
          <w:lang w:val="en-GB"/>
        </w:rPr>
        <w:t xml:space="preserve">According to </w:t>
      </w:r>
      <w:r w:rsidRPr="00575A3E">
        <w:rPr>
          <w:lang w:val="en-GB"/>
        </w:rPr>
        <w:fldChar w:fldCharType="begin" w:fldLock="1"/>
      </w:r>
      <w:r w:rsidRPr="00575A3E">
        <w:rPr>
          <w:lang w:val="en-GB"/>
        </w:rPr>
        <w:instrText>ADDIN CSL_CITATION {"citationItems":[{"id":"ITEM-1","itemData":{"URL":"https://community-engagement-tfwm.hub.arcgis.com/pages/modal-split","accessed":{"date-parts":[["2022","10","3"]]},"author":[{"dropping-particle":"","family":"Transport for West Midlands Combined Authority","given":"","non-dropping-particle":"","parse-names":false,"suffix":""}],"id":"ITEM-1","issued":{"date-parts":[["2021"]]},"title":"Modal Share","type":"webpage"},"uris":["http://www.mendeley.com/documents/?uuid=2102c751-2aab-4887-bc36-20926b1bd5d7"]}],"mendeley":{"formattedCitation":"(Transport for West Midlands Combined Authority, 2021)","manualFormatting":"Transport for West Midlands Combined Authority (2021)","plainTextFormattedCitation":"(Transport for West Midlands Combined Authority, 2021)","previouslyFormattedCitation":"(Transport for West Midlands Combined Authority, 2021)"},"properties":{"noteIndex":0},"schema":"https://github.com/citation-style-language/schema/raw/master/csl-citation.json"}</w:instrText>
      </w:r>
      <w:r w:rsidRPr="00575A3E">
        <w:rPr>
          <w:lang w:val="en-GB"/>
        </w:rPr>
        <w:fldChar w:fldCharType="separate"/>
      </w:r>
      <w:r w:rsidRPr="00575A3E">
        <w:rPr>
          <w:noProof/>
          <w:lang w:val="en-GB"/>
        </w:rPr>
        <w:t>Transport for West Midlands Combined Authority (2021)</w:t>
      </w:r>
      <w:r w:rsidRPr="00575A3E">
        <w:rPr>
          <w:lang w:val="en-GB"/>
        </w:rPr>
        <w:fldChar w:fldCharType="end"/>
      </w:r>
      <w:r w:rsidR="00DE6ED9" w:rsidRPr="00575A3E">
        <w:rPr>
          <w:lang w:val="en-GB"/>
        </w:rPr>
        <w:t>,</w:t>
      </w:r>
      <w:r w:rsidRPr="00575A3E">
        <w:rPr>
          <w:lang w:val="en-GB"/>
        </w:rPr>
        <w:t xml:space="preserve"> the modal split in Birmingham for AM peak trips is 51.7% public transport, 41.2% car, 4.6% light vehicles, 1.7% heavy vehicles and 0.8% cycle. In Coventry the split differs from Birmingham as it is 16.6% for public transport, 71.2% car, 9.5% light vehicle trips, 1.9% heavy vehicles and 0.8% cycle. As a result, depending on the transportation system characteristics the modal split is different across the urban and rural areas of the region. Finally it should be mentioned that the average vehicle age in the fleet does not exceed 8 to 9 years </w:t>
      </w:r>
      <w:r w:rsidRPr="00575A3E">
        <w:rPr>
          <w:lang w:val="en-GB"/>
        </w:rPr>
        <w:fldChar w:fldCharType="begin" w:fldLock="1"/>
      </w:r>
      <w:r w:rsidR="001D221C" w:rsidRPr="00575A3E">
        <w:rPr>
          <w:lang w:val="en-GB"/>
        </w:rPr>
        <w:instrText>ADDIN CSL_CITATION {"citationItems":[{"id":"ITEM-1","itemData":{"author":[{"dropping-particle":"","family":"UK Department for Transport","given":"","non-dropping-particle":"","parse-names":false,"suffix":""}],"id":"ITEM-1","issue":"August","issued":{"date-parts":[["2015"]]},"page":"4","title":"Taxi and Private Hire Vehicle Statistics : 2015","type":"article-journal"},"uris":["http://www.mendeley.com/documents/?uuid=d94c1530-67a6-4fc1-b4ec-30f51fe12b23"]}],"mendeley":{"formattedCitation":"(UK Department for Transport, 2015)","plainTextFormattedCitation":"(UK Department for Transport, 2015)","previouslyFormattedCitation":"(UK Department for Transport, 2015)"},"properties":{"noteIndex":0},"schema":"https://github.com/citation-style-language/schema/raw/master/csl-citation.json"}</w:instrText>
      </w:r>
      <w:r w:rsidRPr="00575A3E">
        <w:rPr>
          <w:lang w:val="en-GB"/>
        </w:rPr>
        <w:fldChar w:fldCharType="separate"/>
      </w:r>
      <w:r w:rsidR="002859DD" w:rsidRPr="00575A3E">
        <w:rPr>
          <w:noProof/>
          <w:lang w:val="en-GB"/>
        </w:rPr>
        <w:t>(UK Department for Transport, 2015)</w:t>
      </w:r>
      <w:r w:rsidRPr="00575A3E">
        <w:rPr>
          <w:lang w:val="en-GB"/>
        </w:rPr>
        <w:fldChar w:fldCharType="end"/>
      </w:r>
      <w:r w:rsidRPr="00575A3E">
        <w:rPr>
          <w:lang w:val="en-GB"/>
        </w:rPr>
        <w:t>.</w:t>
      </w:r>
    </w:p>
    <w:p w14:paraId="4D9CA2B6" w14:textId="77777777" w:rsidR="00250EF4" w:rsidRPr="00575A3E" w:rsidRDefault="00250EF4" w:rsidP="00250EF4">
      <w:pPr>
        <w:spacing w:line="360" w:lineRule="auto"/>
        <w:rPr>
          <w:lang w:val="en-GB"/>
        </w:rPr>
      </w:pPr>
    </w:p>
    <w:p w14:paraId="5ABBA530" w14:textId="62808707" w:rsidR="00250EF4" w:rsidRPr="00575A3E" w:rsidRDefault="00250EF4" w:rsidP="00250EF4">
      <w:pPr>
        <w:spacing w:line="360" w:lineRule="auto"/>
        <w:rPr>
          <w:lang w:val="en-GB"/>
        </w:rPr>
      </w:pPr>
      <w:r w:rsidRPr="00575A3E">
        <w:rPr>
          <w:lang w:val="en-GB"/>
        </w:rPr>
        <w:t>The</w:t>
      </w:r>
      <w:r w:rsidR="00917DD5" w:rsidRPr="00575A3E">
        <w:rPr>
          <w:lang w:val="en-GB"/>
        </w:rPr>
        <w:t xml:space="preserve"> West Midlands region is a suitable</w:t>
      </w:r>
      <w:r w:rsidRPr="00575A3E">
        <w:rPr>
          <w:lang w:val="en-GB"/>
        </w:rPr>
        <w:t xml:space="preserve"> case study</w:t>
      </w:r>
      <w:r w:rsidR="00917DD5" w:rsidRPr="00575A3E">
        <w:rPr>
          <w:lang w:val="en-GB"/>
        </w:rPr>
        <w:t>,</w:t>
      </w:r>
      <w:r w:rsidRPr="00575A3E">
        <w:rPr>
          <w:lang w:val="en-GB"/>
        </w:rPr>
        <w:t xml:space="preserve"> as the conclusions</w:t>
      </w:r>
      <w:r w:rsidR="00917DD5" w:rsidRPr="00575A3E">
        <w:rPr>
          <w:lang w:val="en-GB"/>
        </w:rPr>
        <w:t xml:space="preserve"> drawn from it</w:t>
      </w:r>
      <w:r w:rsidRPr="00575A3E">
        <w:rPr>
          <w:lang w:val="en-GB"/>
        </w:rPr>
        <w:t xml:space="preserve"> can be transferrable to other case studies, as mentioned in </w:t>
      </w:r>
      <w:r w:rsidRPr="00575A3E">
        <w:rPr>
          <w:lang w:val="en-GB"/>
        </w:rPr>
        <w:fldChar w:fldCharType="begin" w:fldLock="1"/>
      </w:r>
      <w:r w:rsidRPr="00575A3E">
        <w:rPr>
          <w:lang w:val="en-GB"/>
        </w:rPr>
        <w:instrText>ADDIN CSL_CITATION {"citationItems":[{"id":"ITEM-1","itemData":{"ISBN":"9781442637016","author":[{"dropping-particle":"","family":"Morris","given":"Jon","non-dropping-particle":"","parse-names":false,"suffix":""},{"dropping-particle":"","family":"Cobbing","given":"Paul","non-dropping-particle":"","parse-names":false,"suffix":""},{"dropping-particle":"","family":"Leach","given":"Karen","non-dropping-particle":"","parse-names":false,"suffix":""},{"dropping-particle":"","family":"Conaty","given":"","non-dropping-particle":"","parse-names":false,"suffix":""}],"container-title":"Localise West Midlands &amp; Barrow Cadbury Trust","id":"ITEM-1","issue":"January","issued":{"date-parts":[["2013"]]},"page":"229-259","title":"Mainstreaming community economic development in Manitoba","type":"article-journal"},"uris":["http://www.mendeley.com/documents/?uuid=9050182d-210c-456a-835f-9707f3522d83"]}],"mendeley":{"formattedCitation":"(Morris et al., 2013)","manualFormatting":"Morris et al. (2013)","plainTextFormattedCitation":"(Morris et al., 2013)","previouslyFormattedCitation":"(Morris et al., 2013)"},"properties":{"noteIndex":0},"schema":"https://github.com/citation-style-language/schema/raw/master/csl-citation.json"}</w:instrText>
      </w:r>
      <w:r w:rsidRPr="00575A3E">
        <w:rPr>
          <w:lang w:val="en-GB"/>
        </w:rPr>
        <w:fldChar w:fldCharType="separate"/>
      </w:r>
      <w:r w:rsidRPr="00575A3E">
        <w:rPr>
          <w:noProof/>
          <w:lang w:val="en-GB"/>
        </w:rPr>
        <w:t>Morris et al. (2013)</w:t>
      </w:r>
      <w:r w:rsidRPr="00575A3E">
        <w:rPr>
          <w:lang w:val="en-GB"/>
        </w:rPr>
        <w:fldChar w:fldCharType="end"/>
      </w:r>
      <w:r w:rsidRPr="00575A3E">
        <w:rPr>
          <w:lang w:val="en-GB"/>
        </w:rPr>
        <w:t xml:space="preserve">. The area consists of a number of different land uses with different spatial and geographical characteristics. According to </w:t>
      </w:r>
      <w:r w:rsidRPr="00575A3E">
        <w:rPr>
          <w:lang w:val="en-GB"/>
        </w:rPr>
        <w:fldChar w:fldCharType="begin" w:fldLock="1"/>
      </w:r>
      <w:r w:rsidRPr="00575A3E">
        <w:rPr>
          <w:lang w:val="en-GB"/>
        </w:rPr>
        <w:instrText>ADDIN CSL_CITATION {"citationItems":[{"id":"ITEM-1","itemData":{"DOI":"10.1016/j.landurbplan.2005.11.002","ISSN":"01692046","abstract":"An urban land-cover classification of the 900 km2 comprising the UK West Midland metropolitan area was generated for the purpose of facilitating stratified environmental survey and sampling. The classification grouped the 900 km2 into eight urban land-cover classes. Input data to the classification algorithms were derived from spatial land-cover data obtained from the UK Centre for Ecology and Hydrology, and from the UK Ordnance Survey. These data provided a description of each km2 in terms of the contributions to the land cover of 25 attributes (e.g. open land, urban, villages, motorway, etc.). The dimensionality of the land-cover dataset was reduced using principal component analysis, and eight urban classes were derived by cluster analysis using an agglomeration technique on the extracted components. The resulting urban land-cover classes reflected groupings of 1 km2 pixels with similar urban land morphology. Uncertainties associated with this agglomerative classification were investigated in detail using fuzzy-type analyses. Our study is the first report of a quantitative investigation of uncertainty associated with a classification of this type. The resulting classification for the UK West Midland metropolitan area offers an impartial basis for a wide range of environmental and ecological surveys. The methods used can be adapted readily to other metropolitan areas where generic urban features (e.g. roads, housing density) are gridded. © 2005 Elsevier B.V. All rights reserved.","author":[{"dropping-particle":"","family":"Owen","given":"S. M.","non-dropping-particle":"","parse-names":false,"suffix":""},{"dropping-particle":"","family":"MacKenzie","given":"A. R.","non-dropping-particle":"","parse-names":false,"suffix":""},{"dropping-particle":"","family":"Bunce","given":"R. G.H.","non-dropping-particle":"","parse-names":false,"suffix":""},{"dropping-particle":"","family":"Stewart","given":"H. E.","non-dropping-particle":"","parse-names":false,"suffix":""},{"dropping-particle":"","family":"Donovan","given":"R. G.","non-dropping-particle":"","parse-names":false,"suffix":""},{"dropping-particle":"","family":"Stark","given":"G.","non-dropping-particle":"","parse-names":false,"suffix":""},{"dropping-particle":"","family":"Hewitt","given":"C. N.","non-dropping-particle":"","parse-names":false,"suffix":""}],"container-title":"Landscape and Urban Planning","id":"ITEM-1","issued":{"date-parts":[["2006"]]},"title":"Urban land classification and its uncertainties using principal component and cluster analyses: A case study for the UK West Midlands","type":"article-journal"},"uris":["http://www.mendeley.com/documents/?uuid=fce8ad47-dc5c-4168-b700-0df0c172f462"]}],"mendeley":{"formattedCitation":"(Owen et al., 2006)","manualFormatting":"Owen et al. (2006)","plainTextFormattedCitation":"(Owen et al., 2006)","previouslyFormattedCitation":"(Owen et al., 2006)"},"properties":{"noteIndex":0},"schema":"https://github.com/citation-style-language/schema/raw/master/csl-citation.json"}</w:instrText>
      </w:r>
      <w:r w:rsidRPr="00575A3E">
        <w:rPr>
          <w:lang w:val="en-GB"/>
        </w:rPr>
        <w:fldChar w:fldCharType="separate"/>
      </w:r>
      <w:r w:rsidRPr="00575A3E">
        <w:rPr>
          <w:noProof/>
          <w:lang w:val="en-GB"/>
        </w:rPr>
        <w:t xml:space="preserve">Owen </w:t>
      </w:r>
      <w:r w:rsidRPr="00575A3E">
        <w:rPr>
          <w:i/>
          <w:noProof/>
          <w:lang w:val="en-GB"/>
        </w:rPr>
        <w:t>et al.</w:t>
      </w:r>
      <w:r w:rsidRPr="00575A3E">
        <w:rPr>
          <w:noProof/>
          <w:lang w:val="en-GB"/>
        </w:rPr>
        <w:t xml:space="preserve"> (2006)</w:t>
      </w:r>
      <w:r w:rsidRPr="00575A3E">
        <w:rPr>
          <w:lang w:val="en-GB"/>
        </w:rPr>
        <w:fldChar w:fldCharType="end"/>
      </w:r>
      <w:r w:rsidRPr="00575A3E">
        <w:rPr>
          <w:lang w:val="en-GB"/>
        </w:rPr>
        <w:t xml:space="preserve">, who conducted a land classification using principal component and cluster analysis, the West Midlands metropolitan area comprises eight urban land-cover classes, namely: villages and farms, light suburban, suburban, dense suburban, urban with transport, urban, light urban and woodland. </w:t>
      </w:r>
      <w:r w:rsidR="007E11EC" w:rsidRPr="00575A3E">
        <w:rPr>
          <w:lang w:val="en-GB"/>
        </w:rPr>
        <w:t xml:space="preserve">Results from this analysis would </w:t>
      </w:r>
      <w:r w:rsidR="005A523C" w:rsidRPr="00575A3E">
        <w:rPr>
          <w:lang w:val="en-GB"/>
        </w:rPr>
        <w:t xml:space="preserve">of interest to other regions in the UK, but </w:t>
      </w:r>
      <w:r w:rsidR="003927EA" w:rsidRPr="00575A3E">
        <w:rPr>
          <w:lang w:val="en-GB"/>
        </w:rPr>
        <w:t>also,</w:t>
      </w:r>
      <w:r w:rsidR="005A523C" w:rsidRPr="00575A3E">
        <w:rPr>
          <w:lang w:val="en-GB"/>
        </w:rPr>
        <w:t xml:space="preserve"> they would also </w:t>
      </w:r>
      <w:r w:rsidR="007E11EC" w:rsidRPr="00575A3E">
        <w:rPr>
          <w:lang w:val="en-GB"/>
        </w:rPr>
        <w:t xml:space="preserve">be </w:t>
      </w:r>
      <w:r w:rsidR="00B72980" w:rsidRPr="00575A3E">
        <w:rPr>
          <w:lang w:val="en-GB"/>
        </w:rPr>
        <w:t>important</w:t>
      </w:r>
      <w:r w:rsidR="007E11EC" w:rsidRPr="00575A3E">
        <w:rPr>
          <w:lang w:val="en-GB"/>
        </w:rPr>
        <w:t xml:space="preserve"> </w:t>
      </w:r>
      <w:r w:rsidR="00010723" w:rsidRPr="00575A3E">
        <w:rPr>
          <w:lang w:val="en-GB"/>
        </w:rPr>
        <w:t xml:space="preserve">to regions of similar structure </w:t>
      </w:r>
      <w:r w:rsidR="005A523C" w:rsidRPr="00575A3E">
        <w:rPr>
          <w:lang w:val="en-GB"/>
        </w:rPr>
        <w:t>around the world. One example i</w:t>
      </w:r>
      <w:r w:rsidR="00DE6ED9" w:rsidRPr="00575A3E">
        <w:rPr>
          <w:lang w:val="en-GB"/>
        </w:rPr>
        <w:t>s the Ruhr conurbation</w:t>
      </w:r>
      <w:r w:rsidR="007E11EC" w:rsidRPr="00575A3E">
        <w:rPr>
          <w:lang w:val="en-GB"/>
        </w:rPr>
        <w:t xml:space="preserve"> (Germany),</w:t>
      </w:r>
      <w:r w:rsidR="00010723" w:rsidRPr="00575A3E">
        <w:rPr>
          <w:lang w:val="en-GB"/>
        </w:rPr>
        <w:t xml:space="preserve"> which is comprised </w:t>
      </w:r>
      <w:r w:rsidR="00DE6ED9" w:rsidRPr="00575A3E">
        <w:rPr>
          <w:lang w:val="en-GB"/>
        </w:rPr>
        <w:t xml:space="preserve">of </w:t>
      </w:r>
      <w:r w:rsidR="00010723" w:rsidRPr="00575A3E">
        <w:rPr>
          <w:lang w:val="en-GB"/>
        </w:rPr>
        <w:t xml:space="preserve">a number of urban cores and has similar rates of population and employment with West Midlands, while also including an advanced </w:t>
      </w:r>
      <w:r w:rsidR="005A523C" w:rsidRPr="00575A3E">
        <w:rPr>
          <w:lang w:val="en-GB"/>
        </w:rPr>
        <w:t>r</w:t>
      </w:r>
      <w:r w:rsidR="00010723" w:rsidRPr="00575A3E">
        <w:rPr>
          <w:lang w:val="en-GB"/>
        </w:rPr>
        <w:t xml:space="preserve">oad and railway network </w:t>
      </w:r>
      <w:r w:rsidR="00010723" w:rsidRPr="00575A3E">
        <w:rPr>
          <w:lang w:val="en-GB"/>
        </w:rPr>
        <w:fldChar w:fldCharType="begin" w:fldLock="1"/>
      </w:r>
      <w:r w:rsidR="00100C0A" w:rsidRPr="00575A3E">
        <w:rPr>
          <w:lang w:val="en-GB"/>
        </w:rPr>
        <w:instrText>ADDIN CSL_CITATION {"citationItems":[{"id":"ITEM-1","itemData":{"DOI":"10.1016/j.atmosenv.2008.06.045","ISSN":"13522310","abstract":"Compact city forms are associated with minimal consumption of land and energy, hence, they are often promoted as being the more sustainable thus preferred mode of urban development. In this context, numerical simulations were performed to evaluate the effect of urban sprawl on air quality and associated human exposure. Working on a highly urbanised area in the German Ruhrgebiet, models dealing with satellite data processing, traffic flows, pollutant emission and atmospheric dispersion were applied in an integrated fashion, under conditions representative of the urbanised area as it is today. A fair agreement was obtained between simulated and observed meteorological variables, as well as between simulated and observed concentrations of ozone and particulate matter. Simulated atmospheric pollution fields were found to closely reflect urbanisation patterns. In a companion paper [De Ridder, K., Lefebre, F., Adriaensen, S., Arnold, U., Beckroege, W., Bronner, C., Damsgaard, O., Dostal, I., Dufek, J., Hirsch, J., IntPanis, L., Kotek, Z., Ramadier, T., Thierry, A., Vermoote, S., Wania, A., Weber, C., 2008. Simulating the impact of urban sprawl on air quality and population exposure in the German Ruhr area. Part II: Development and evaluation of an urban growth scenario], the results of this base case simulation will be compared with those of a scenario simulation, designed to mimic urban sprawl, so as to allow the evaluation of the latter on air quality and associated human exposure. © 2008 Elsevier Ltd. All rights reserved.","author":[{"dropping-particle":"","family":"Ridder","given":"Koen","non-dropping-particle":"De","parse-names":false,"suffix":""},{"dropping-particle":"","family":"Lefebre","given":"Filip","non-dropping-particle":"","parse-names":false,"suffix":""},{"dropping-particle":"","family":"Adriaensen","given":"Stefan","non-dropping-particle":"","parse-names":false,"suffix":""},{"dropping-particle":"","family":"Arnold","given":"Ute","non-dropping-particle":"","parse-names":false,"suffix":""},{"dropping-particle":"","family":"Beckroege","given":"Wolfgang","non-dropping-particle":"","parse-names":false,"suffix":""},{"dropping-particle":"","family":"Bronner","given":"Christine","non-dropping-particle":"","parse-names":false,"suffix":""},{"dropping-particle":"","family":"Damsgaard","given":"Ole","non-dropping-particle":"","parse-names":false,"suffix":""},{"dropping-particle":"","family":"Dostal","given":"Ivo","non-dropping-particle":"","parse-names":false,"suffix":""},{"dropping-particle":"","family":"Dufek","given":"Jiri","non-dropping-particle":"","parse-names":false,"suffix":""},{"dropping-particle":"","family":"Hirsch","given":"Jacky","non-dropping-particle":"","parse-names":false,"suffix":""},{"dropping-particle":"","family":"IntPanis","given":"Luc","non-dropping-particle":"","parse-names":false,"suffix":""},{"dropping-particle":"","family":"Kotek","given":"Zdenek","non-dropping-particle":"","parse-names":false,"suffix":""},{"dropping-particle":"","family":"Ramadier","given":"Thierry","non-dropping-particle":"","parse-names":false,"suffix":""},{"dropping-particle":"","family":"Thierry","given":"Annette","non-dropping-particle":"","parse-names":false,"suffix":""},{"dropping-particle":"","family":"Vermoote","given":"Stijn","non-dropping-particle":"","parse-names":false,"suffix":""},{"dropping-particle":"","family":"Wania","given":"Annett","non-dropping-particle":"","parse-names":false,"suffix":""},{"dropping-particle":"","family":"Weber","given":"Christiane","non-dropping-particle":"","parse-names":false,"suffix":""}],"container-title":"Atmospheric Environment","id":"ITEM-1","issue":"30","issued":{"date-parts":[["2008"]]},"title":"Simulating the impact of urban sprawl on air quality and population exposure in the German Ruhr area. Part I: Reproducing the base state","type":"article-journal","volume":"42"},"uris":["http://www.mendeley.com/documents/?uuid=87435295-67bb-39b3-a4b6-397f333122ae"]}],"mendeley":{"formattedCitation":"(De Ridder et al., 2008)","plainTextFormattedCitation":"(De Ridder et al., 2008)","previouslyFormattedCitation":"(De Ridder et al., 2008)"},"properties":{"noteIndex":0},"schema":"https://github.com/citation-style-language/schema/raw/master/csl-citation.json"}</w:instrText>
      </w:r>
      <w:r w:rsidR="00010723" w:rsidRPr="00575A3E">
        <w:rPr>
          <w:lang w:val="en-GB"/>
        </w:rPr>
        <w:fldChar w:fldCharType="separate"/>
      </w:r>
      <w:r w:rsidR="00010723" w:rsidRPr="00575A3E">
        <w:rPr>
          <w:noProof/>
          <w:lang w:val="en-GB"/>
        </w:rPr>
        <w:t>(De Ridder et al., 2008)</w:t>
      </w:r>
      <w:r w:rsidR="00010723" w:rsidRPr="00575A3E">
        <w:rPr>
          <w:lang w:val="en-GB"/>
        </w:rPr>
        <w:fldChar w:fldCharType="end"/>
      </w:r>
      <w:r w:rsidR="00010723" w:rsidRPr="00575A3E">
        <w:rPr>
          <w:lang w:val="en-GB"/>
        </w:rPr>
        <w:t xml:space="preserve">. </w:t>
      </w:r>
    </w:p>
    <w:p w14:paraId="6BBD1932" w14:textId="77777777" w:rsidR="00250EF4" w:rsidRPr="00575A3E" w:rsidRDefault="00250EF4" w:rsidP="00250EF4">
      <w:pPr>
        <w:spacing w:line="360" w:lineRule="auto"/>
        <w:rPr>
          <w:lang w:val="en-GB"/>
        </w:rPr>
      </w:pPr>
    </w:p>
    <w:p w14:paraId="72039218" w14:textId="77C8FF9E" w:rsidR="00250EF4" w:rsidRPr="00575A3E" w:rsidRDefault="00250EF4" w:rsidP="00250EF4">
      <w:pPr>
        <w:spacing w:line="360" w:lineRule="auto"/>
        <w:rPr>
          <w:szCs w:val="22"/>
          <w:lang w:val="en-GB"/>
        </w:rPr>
      </w:pPr>
      <w:r w:rsidRPr="00575A3E">
        <w:rPr>
          <w:lang w:val="en-GB"/>
        </w:rPr>
        <w:t>The wider region of the West Midlands comprises further important urban areas, other than Birmingham</w:t>
      </w:r>
      <w:r w:rsidR="00DE6ED9" w:rsidRPr="00575A3E">
        <w:rPr>
          <w:lang w:val="en-GB"/>
        </w:rPr>
        <w:t xml:space="preserve"> and</w:t>
      </w:r>
      <w:r w:rsidRPr="00575A3E">
        <w:rPr>
          <w:lang w:val="en-GB"/>
        </w:rPr>
        <w:t xml:space="preserve"> Coventry, such as Stoke-on-Trent and Wolverhampton, making it rich in terms of spatial information. This region can provide conclusions comparable to other regions, not only due to its geography, but due to the interest of investors as well </w:t>
      </w:r>
      <w:r w:rsidRPr="00575A3E">
        <w:rPr>
          <w:lang w:val="en-GB"/>
        </w:rPr>
        <w:fldChar w:fldCharType="begin" w:fldLock="1"/>
      </w:r>
      <w:r w:rsidRPr="00575A3E">
        <w:rPr>
          <w:lang w:val="en-GB"/>
        </w:rPr>
        <w:instrText>ADDIN CSL_CITATION {"citationItems":[{"id":"ITEM-1","itemData":{"DOI":"10.1080/00343400050078123","ISSN":"00343404","abstract":"This paper examines the direct and indirect contributions made by foreign manufacturing companies to the regional economies of Wales, Scotland and the West Midlands. Survey data derived from foreign manufacturers in each region were used in conjunction with regional input-output tables to assess the comparative contributions of defined foreign and domestically owned sectors to regional value added. The analyses are a starting point for the more accurate targeting of regional resources to industry sectors in the respective regional economies.","author":[{"dropping-particle":"","family":"Brand","given":"Steven","non-dropping-particle":"","parse-names":false,"suffix":""},{"dropping-particle":"","family":"Hill","given":"Stephen","non-dropping-particle":"","parse-names":false,"suffix":""},{"dropping-particle":"","family":"Munday","given":"Max","non-dropping-particle":"","parse-names":false,"suffix":""}],"container-title":"Regional Studies","id":"ITEM-1","issued":{"date-parts":[["2000"]]},"title":"Assessing the impacts of foreign manufacturing on regional economies: The cases of Wales, Scotland and the West Midlands","type":"article-journal"},"uris":["http://www.mendeley.com/documents/?uuid=d02377e1-337b-41af-92a3-9568230ecf12"]}],"mendeley":{"formattedCitation":"(Brand et al., 2000)","plainTextFormattedCitation":"(Brand et al., 2000)","previouslyFormattedCitation":"(Brand et al., 2000)"},"properties":{"noteIndex":0},"schema":"https://github.com/citation-style-language/schema/raw/master/csl-citation.json"}</w:instrText>
      </w:r>
      <w:r w:rsidRPr="00575A3E">
        <w:rPr>
          <w:lang w:val="en-GB"/>
        </w:rPr>
        <w:fldChar w:fldCharType="separate"/>
      </w:r>
      <w:r w:rsidRPr="00575A3E">
        <w:rPr>
          <w:noProof/>
          <w:lang w:val="en-GB"/>
        </w:rPr>
        <w:t>(Brand et al., 2000)</w:t>
      </w:r>
      <w:r w:rsidRPr="00575A3E">
        <w:rPr>
          <w:lang w:val="en-GB"/>
        </w:rPr>
        <w:fldChar w:fldCharType="end"/>
      </w:r>
      <w:r w:rsidRPr="00575A3E">
        <w:rPr>
          <w:lang w:val="en-GB"/>
        </w:rPr>
        <w:t>. Thus, by introducing new transport technologies in this case study, it possible to evaluate land use effects in multiple areas and draw conclusions for a variety of spatial cores. These conclusions could be essential for developing sustainable policies of urban mobility in this new era of transportation.</w:t>
      </w:r>
      <w:r w:rsidRPr="00575A3E">
        <w:rPr>
          <w:szCs w:val="22"/>
          <w:lang w:val="en-GB"/>
        </w:rPr>
        <w:t xml:space="preserve"> </w:t>
      </w:r>
    </w:p>
    <w:p w14:paraId="3C7501AC" w14:textId="77777777" w:rsidR="00917DD5" w:rsidRPr="00575A3E" w:rsidRDefault="00917DD5" w:rsidP="00250EF4">
      <w:pPr>
        <w:spacing w:line="360" w:lineRule="auto"/>
        <w:rPr>
          <w:b/>
          <w:bCs/>
          <w:szCs w:val="22"/>
          <w:lang w:val="en-GB"/>
        </w:rPr>
      </w:pPr>
    </w:p>
    <w:p w14:paraId="2498261E" w14:textId="77777777" w:rsidR="0095612A" w:rsidRPr="00575A3E" w:rsidRDefault="0095612A" w:rsidP="0095612A">
      <w:pPr>
        <w:pStyle w:val="Heading2"/>
        <w:spacing w:before="0" w:after="0" w:line="360" w:lineRule="auto"/>
        <w:rPr>
          <w:lang w:val="en-GB"/>
        </w:rPr>
      </w:pPr>
      <w:r w:rsidRPr="00575A3E">
        <w:rPr>
          <w:lang w:val="en-GB"/>
        </w:rPr>
        <w:t xml:space="preserve">Scenario formulation </w:t>
      </w:r>
    </w:p>
    <w:p w14:paraId="51A98649" w14:textId="3D2285B0" w:rsidR="002D1780" w:rsidRPr="00575A3E" w:rsidRDefault="008940EC" w:rsidP="002D1780">
      <w:pPr>
        <w:spacing w:line="360" w:lineRule="auto"/>
        <w:rPr>
          <w:szCs w:val="22"/>
          <w:lang w:val="en-GB"/>
        </w:rPr>
      </w:pPr>
      <w:r w:rsidRPr="00575A3E">
        <w:rPr>
          <w:szCs w:val="22"/>
          <w:lang w:val="en-GB"/>
        </w:rPr>
        <w:t xml:space="preserve">Scenario-based </w:t>
      </w:r>
      <w:r w:rsidR="002D1780" w:rsidRPr="00575A3E">
        <w:rPr>
          <w:szCs w:val="22"/>
          <w:lang w:val="en-GB"/>
        </w:rPr>
        <w:t>analysis is carried out i</w:t>
      </w:r>
      <w:r w:rsidRPr="00575A3E">
        <w:rPr>
          <w:szCs w:val="22"/>
          <w:lang w:val="en-GB"/>
        </w:rPr>
        <w:t>n</w:t>
      </w:r>
      <w:r w:rsidR="002D1780" w:rsidRPr="00575A3E">
        <w:rPr>
          <w:szCs w:val="22"/>
          <w:lang w:val="en-GB"/>
        </w:rPr>
        <w:t xml:space="preserve"> this paper, because, currently there is uncertainty in terms of the land use effects of new vehicle technologies and this needs to be further examined for conclusions to be </w:t>
      </w:r>
      <w:r w:rsidR="002D1780" w:rsidRPr="00575A3E">
        <w:rPr>
          <w:szCs w:val="22"/>
          <w:lang w:val="en-GB"/>
        </w:rPr>
        <w:lastRenderedPageBreak/>
        <w:t>drawn</w:t>
      </w:r>
      <w:r w:rsidR="00D75C24" w:rsidRPr="00575A3E">
        <w:rPr>
          <w:szCs w:val="22"/>
          <w:lang w:val="en-GB"/>
        </w:rPr>
        <w:t xml:space="preserve">, based on </w:t>
      </w:r>
      <w:r w:rsidRPr="00575A3E">
        <w:rPr>
          <w:szCs w:val="22"/>
          <w:lang w:val="en-GB"/>
        </w:rPr>
        <w:t xml:space="preserve">the </w:t>
      </w:r>
      <w:r w:rsidR="00D75C24" w:rsidRPr="00575A3E">
        <w:rPr>
          <w:szCs w:val="22"/>
          <w:lang w:val="en-GB"/>
        </w:rPr>
        <w:t>differences that modelling scenarios may provide.</w:t>
      </w:r>
      <w:r w:rsidR="002D1780" w:rsidRPr="00575A3E">
        <w:rPr>
          <w:szCs w:val="22"/>
          <w:lang w:val="en-GB"/>
        </w:rPr>
        <w:t xml:space="preserve"> Such scenario-based analysis is important because it can improve the prediction power of the modelling process and assist in addressing the research question in more depth </w:t>
      </w:r>
      <w:r w:rsidR="002D1780" w:rsidRPr="00575A3E">
        <w:rPr>
          <w:szCs w:val="22"/>
          <w:lang w:val="en-GB"/>
        </w:rPr>
        <w:fldChar w:fldCharType="begin" w:fldLock="1"/>
      </w:r>
      <w:r w:rsidR="002D1780" w:rsidRPr="00575A3E">
        <w:rPr>
          <w:szCs w:val="22"/>
          <w:lang w:val="en-GB"/>
        </w:rPr>
        <w:instrText>ADDIN CSL_CITATION {"citationItems":[{"id":"ITEM-1","itemData":{"DOI":"10.1016/B978-0-12-386454-3.00431-0","abstract":"A (mathematical or otherwise) model study is a phenomenon in which the quality depends on the knowledge of this phenomenon. This model can be associated with different sources of uncertainty. The sensitivity analysis (SA) examines the influence of these uncertainties by identifying, quantifying, and analyzing the responses of output variables of the model, impacted by the uncertainties of the input variables. Two methods of SA are available: local and global SA.","author":[{"dropping-particle":"","family":"Pichery","given":"C.","non-dropping-particle":"","parse-names":false,"suffix":""}],"container-title":"Encyclopedia of Toxicology: Third Edition","id":"ITEM-1","issued":{"date-parts":[["2014","1","1"]]},"page":"236-237","publisher":"Academic Press","title":"Sensitivity Analysis","type":"article-journal"},"uris":["http://www.mendeley.com/documents/?uuid=f4fb5fd7-0d09-3c61-8ffd-c6951dd23d78"]}],"mendeley":{"formattedCitation":"(Pichery, 2014)","plainTextFormattedCitation":"(Pichery, 2014)","previouslyFormattedCitation":"(Pichery, 2014)"},"properties":{"noteIndex":0},"schema":"https://github.com/citation-style-language/schema/raw/master/csl-citation.json"}</w:instrText>
      </w:r>
      <w:r w:rsidR="002D1780" w:rsidRPr="00575A3E">
        <w:rPr>
          <w:szCs w:val="22"/>
          <w:lang w:val="en-GB"/>
        </w:rPr>
        <w:fldChar w:fldCharType="separate"/>
      </w:r>
      <w:r w:rsidR="002D1780" w:rsidRPr="00575A3E">
        <w:rPr>
          <w:noProof/>
          <w:szCs w:val="22"/>
          <w:lang w:val="en-GB"/>
        </w:rPr>
        <w:t>(Pichery, 2014)</w:t>
      </w:r>
      <w:r w:rsidR="002D1780" w:rsidRPr="00575A3E">
        <w:rPr>
          <w:szCs w:val="22"/>
          <w:lang w:val="en-GB"/>
        </w:rPr>
        <w:fldChar w:fldCharType="end"/>
      </w:r>
      <w:r w:rsidR="002D1780" w:rsidRPr="00575A3E">
        <w:rPr>
          <w:szCs w:val="22"/>
          <w:lang w:val="en-GB"/>
        </w:rPr>
        <w:t xml:space="preserve">. Evaluating the outcomes of different possible future contexts is an integral part of transportation planning and can assist in understanding the future further, in improving policy making, and in assessing the robustness of new data and scenarios </w:t>
      </w:r>
      <w:r w:rsidR="002D1780" w:rsidRPr="00575A3E">
        <w:rPr>
          <w:szCs w:val="22"/>
          <w:lang w:val="en-GB"/>
        </w:rPr>
        <w:fldChar w:fldCharType="begin" w:fldLock="1"/>
      </w:r>
      <w:r w:rsidR="002D1780" w:rsidRPr="00575A3E">
        <w:rPr>
          <w:szCs w:val="22"/>
          <w:lang w:val="en-GB"/>
        </w:rPr>
        <w:instrText>ADDIN CSL_CITATION {"citationItems":[{"id":"ITEM-1","itemData":{"DOI":"10.1016/j.trip.2021.100438","ISSN":"25901982","abstract":"Scenario planning helps in contemplating how the future may develop and can be especially important when needing to make sense of uncertainty – something now pertinent to the transport sector. Accordingly, scenario planning is moving from the periphery of strategic transport planning towards becoming a more normalised and integral contribution. By examining rather than ignoring a range of uncertainties about the future, scenarios can be developed that enable an exploration of different futures, in turn improving transport planning. Scenarios can be narrative based, represented quantitatively, or combine ‘storytelling and number crunching’. Both the process of creating them and of representing the scenarios, deepen an appreciation of uncertainty about the future. In turn this allows planners and policymakers to better understand potential outcomes and challenges and determine how to address these. Scenarios can also be used to identify and assess candidate measures for influencing the transport system, testing these against a range of uncertain future conditions. This helps to identify measures that together can help form a strategy that is more robust. Drawing upon the combined experience of its authors, this paper provides insights into the development of scenarios and their use to improve decision making in transport planning. It offers advice on how to help ensure the scenario development process is credible, how to produce a coherent set of scenarios and how to ensure they are used to engage key stakeholders and to enable policymakers to confidently develop their strategic thinking and plans.","author":[{"dropping-particle":"","family":"Lyons","given":"Glenn","non-dropping-particle":"","parse-names":false,"suffix":""},{"dropping-particle":"","family":"Rohr","given":"Charlene","non-dropping-particle":"","parse-names":false,"suffix":""},{"dropping-particle":"","family":"Smith","given":"Annette","non-dropping-particle":"","parse-names":false,"suffix":""},{"dropping-particle":"","family":"Rothnie","given":"Anna","non-dropping-particle":"","parse-names":false,"suffix":""},{"dropping-particle":"","family":"Curry","given":"Andrew","non-dropping-particle":"","parse-names":false,"suffix":""}],"container-title":"Transportation Research Interdisciplinary Perspectives","id":"ITEM-1","issued":{"date-parts":[["2021"]]},"title":"Scenario planning for transport practitioners","type":"article-journal","volume":"11"},"uris":["http://www.mendeley.com/documents/?uuid=72031453-c869-3a83-8606-33bc2a47f5a9"]}],"mendeley":{"formattedCitation":"(Lyons et al., 2021)","plainTextFormattedCitation":"(Lyons et al., 2021)","previouslyFormattedCitation":"(Lyons et al., 2021)"},"properties":{"noteIndex":0},"schema":"https://github.com/citation-style-language/schema/raw/master/csl-citation.json"}</w:instrText>
      </w:r>
      <w:r w:rsidR="002D1780" w:rsidRPr="00575A3E">
        <w:rPr>
          <w:szCs w:val="22"/>
          <w:lang w:val="en-GB"/>
        </w:rPr>
        <w:fldChar w:fldCharType="separate"/>
      </w:r>
      <w:r w:rsidR="002D1780" w:rsidRPr="00575A3E">
        <w:rPr>
          <w:noProof/>
          <w:szCs w:val="22"/>
          <w:lang w:val="en-GB"/>
        </w:rPr>
        <w:t>(Lyons et al., 2021)</w:t>
      </w:r>
      <w:r w:rsidR="002D1780" w:rsidRPr="00575A3E">
        <w:rPr>
          <w:szCs w:val="22"/>
          <w:lang w:val="en-GB"/>
        </w:rPr>
        <w:fldChar w:fldCharType="end"/>
      </w:r>
      <w:r w:rsidR="002D1780" w:rsidRPr="00575A3E">
        <w:rPr>
          <w:szCs w:val="22"/>
          <w:lang w:val="en-GB"/>
        </w:rPr>
        <w:t xml:space="preserve">. </w:t>
      </w:r>
    </w:p>
    <w:p w14:paraId="21761FB8" w14:textId="77777777" w:rsidR="002D1780" w:rsidRPr="00575A3E" w:rsidRDefault="002D1780" w:rsidP="002D1780">
      <w:pPr>
        <w:spacing w:line="360" w:lineRule="auto"/>
        <w:rPr>
          <w:szCs w:val="22"/>
          <w:lang w:val="en-GB"/>
        </w:rPr>
      </w:pPr>
    </w:p>
    <w:p w14:paraId="4E5B1922" w14:textId="28708749" w:rsidR="002D1780" w:rsidRPr="00575A3E" w:rsidRDefault="002D1780" w:rsidP="002D1780">
      <w:pPr>
        <w:spacing w:line="360" w:lineRule="auto"/>
        <w:rPr>
          <w:lang w:val="en-GB"/>
        </w:rPr>
      </w:pPr>
      <w:r w:rsidRPr="00575A3E">
        <w:rPr>
          <w:szCs w:val="22"/>
          <w:lang w:val="en-GB"/>
        </w:rPr>
        <w:t xml:space="preserve">According to </w:t>
      </w:r>
      <w:r w:rsidRPr="00575A3E">
        <w:rPr>
          <w:szCs w:val="22"/>
          <w:lang w:val="en-GB"/>
        </w:rPr>
        <w:fldChar w:fldCharType="begin" w:fldLock="1"/>
      </w:r>
      <w:r w:rsidRPr="00575A3E">
        <w:rPr>
          <w:szCs w:val="22"/>
          <w:lang w:val="en-GB"/>
        </w:rPr>
        <w:instrText>ADDIN CSL_CITATION {"citationItems":[{"id":"ITEM-1","itemData":{"DOI":"10.1016/j.futures.2013.05.002","ISSN":"00163287","abstract":"Over the last several years, the University of Houston developed and codified a method for teaching students how to carry out foresight projects. This development represented a philosophical shift from a neutral presentation of methods without particular advocacy for one or the other. The challenge that this neutral approach presented is that each method is somewhat different and especially for those new to foresight, it became challenging to find common ground, distinguish them, or to know when to use one or the other. Our experience is that our initial wariness of promoting a standard method and thus a \"one-right-way\" of doing foresight proved unfounded. Not only does it not detract from the teaching of other methods, in fact it has made it easier. Framework Foresight was deliberately built to accommodate and incorporate other methods and approaches. It provides a basis of comparison of how various practitioners and methods do the work, enabling them to assess the strengths and weaknesses of each. Framework Foresight thus could be viewed as a meta-method in that it is a modular approach that accommodates a substitution of, or supplementation from, other methods or techniques at various steps. As students became practitioners and used the method in their practice, they have provided useful feedback and have generally reported back good results. Thus, Framework Foresight is offered to the foresight community as a method for carrying out foresight projects. © 2013 Elsevier Ltd.","author":[{"dropping-particle":"","family":"Hines","given":"Andy","non-dropping-particle":"","parse-names":false,"suffix":""},{"dropping-particle":"","family":"Bishop","given":"Peter C.","non-dropping-particle":"","parse-names":false,"suffix":""}],"container-title":"Futures","id":"ITEM-1","issued":{"date-parts":[["2013"]]},"title":"Framework foresight: Exploring futures the Houston way","type":"article-journal","volume":"51"},"uris":["http://www.mendeley.com/documents/?uuid=ae228788-87c7-365a-a28c-39a2b7a34f9a"]}],"mendeley":{"formattedCitation":"(Hines and Bishop, 2013)","manualFormatting":"Hines and Bishop (2013)","plainTextFormattedCitation":"(Hines and Bishop, 2013)","previouslyFormattedCitation":"(Hines and Bishop, 2013)"},"properties":{"noteIndex":0},"schema":"https://github.com/citation-style-language/schema/raw/master/csl-citation.json"}</w:instrText>
      </w:r>
      <w:r w:rsidRPr="00575A3E">
        <w:rPr>
          <w:szCs w:val="22"/>
          <w:lang w:val="en-GB"/>
        </w:rPr>
        <w:fldChar w:fldCharType="separate"/>
      </w:r>
      <w:r w:rsidRPr="00575A3E">
        <w:rPr>
          <w:noProof/>
          <w:szCs w:val="22"/>
          <w:lang w:val="en-GB"/>
        </w:rPr>
        <w:t>Hines and Bishop (2013)</w:t>
      </w:r>
      <w:r w:rsidRPr="00575A3E">
        <w:rPr>
          <w:szCs w:val="22"/>
          <w:lang w:val="en-GB"/>
        </w:rPr>
        <w:fldChar w:fldCharType="end"/>
      </w:r>
      <w:r w:rsidRPr="00575A3E">
        <w:rPr>
          <w:szCs w:val="22"/>
          <w:lang w:val="en-GB"/>
        </w:rPr>
        <w:t>, the plausibility of future scenarios in transportation planning decreases when the simulated time period becomes longer. As a result, the sensitivity analysis scenarios are modelled for a 15-year simulation period, which can provide an insight into the main research question and is in accordance with current UK government future goals. Moreover, t</w:t>
      </w:r>
      <w:r w:rsidRPr="00575A3E">
        <w:rPr>
          <w:lang w:val="en-GB"/>
        </w:rPr>
        <w:t xml:space="preserve">here are different scales of analysis that scenarios could be defined, tested and evaluated in, such as national, regional and urban </w:t>
      </w:r>
      <w:r w:rsidRPr="00575A3E">
        <w:rPr>
          <w:lang w:val="en-GB"/>
        </w:rPr>
        <w:fldChar w:fldCharType="begin" w:fldLock="1"/>
      </w:r>
      <w:r w:rsidRPr="00575A3E">
        <w:rPr>
          <w:lang w:val="en-GB"/>
        </w:rPr>
        <w:instrText>ADDIN CSL_CITATION {"citationItems":[{"id":"ITEM-1","itemData":{"DOI":"doi.org/10.1017/CBO9780511552359","ISBN":"9780521243186","ISSN":"1098-6596","PMID":"25246403","author":[{"dropping-particle":"","family":"la Barra","given":"Tomás","non-dropping-particle":"de","parse-names":false,"suffix":""}],"container-title":"Cambridge University Press","id":"ITEM-1","issued":{"date-parts":[["1989"]]},"page":"194","title":"Integrated Land Use and Transport Modelling: Decision chains and hierarchies","type":"article-journal"},"uris":["http://www.mendeley.com/documents/?uuid=0a5777f1-52b4-4447-a43b-272622eb03e3"]}],"mendeley":{"formattedCitation":"(de la Barra, 1989)","plainTextFormattedCitation":"(de la Barra, 1989)","previouslyFormattedCitation":"(de la Barra, 1989)"},"properties":{"noteIndex":0},"schema":"https://github.com/citation-style-language/schema/raw/master/csl-citation.json"}</w:instrText>
      </w:r>
      <w:r w:rsidRPr="00575A3E">
        <w:rPr>
          <w:lang w:val="en-GB"/>
        </w:rPr>
        <w:fldChar w:fldCharType="separate"/>
      </w:r>
      <w:r w:rsidRPr="00575A3E">
        <w:rPr>
          <w:noProof/>
          <w:lang w:val="en-GB"/>
        </w:rPr>
        <w:t>(de la Barra, 1989)</w:t>
      </w:r>
      <w:r w:rsidRPr="00575A3E">
        <w:rPr>
          <w:lang w:val="en-GB"/>
        </w:rPr>
        <w:fldChar w:fldCharType="end"/>
      </w:r>
      <w:r w:rsidRPr="00575A3E">
        <w:rPr>
          <w:lang w:val="en-GB"/>
        </w:rPr>
        <w:t xml:space="preserve">. Regional analysis is selected to be the spatial scale here, as analysis in relation to either connectivity, automation or electrification has already been explored at the urban (e.g. </w:t>
      </w:r>
      <w:r w:rsidRPr="00575A3E">
        <w:rPr>
          <w:lang w:val="en-GB"/>
        </w:rPr>
        <w:fldChar w:fldCharType="begin" w:fldLock="1"/>
      </w:r>
      <w:r w:rsidRPr="00575A3E">
        <w:rPr>
          <w:lang w:val="en-GB"/>
        </w:rPr>
        <w:instrText>ADDIN CSL_CITATION {"citationItems":[{"id":"ITEM-1","itemData":{"DOI":"10.3390/su11020482","ISSN":"20711050","abstract":"Autonomous vehicles promise to revolutionize the automobile market, although their implementation could take several decades in which both types of cars will coexist on the streets. We formulate a model for a circular city based on continuous approximations, considering demand surfaces over the city. Numerical results from our model predict direct and indirect effects of connected and autonomous vehicles. Direct effects will be positive for our cities: (a) less street supply is needed to accommodate the traffic; (b) congestion levels decrease: travel costs may decrease by 30%. Some indirect effects will counterbalance these positive effects: (c) a decrease of 20% in the value of travel time can reduce the total cost by a third; (d) induced demand could be as high as 50%, bringing equivalent total costs in the future scenario; (e) the vehicle-kilometers traveled could also affect the future scenario; and (f) increases in city size and urban sprawl. As a conclusion, the implementation of autonomous vehicles could be neutral for the cities regarding travel time costs. City planning agencies still have to promote complementary modes such as active mobility (walking and bicycle), transit (public transportation), and shared mobility (shared autonomous vehicles and mobility as a service).","author":[{"dropping-particle":"","family":"Medina-Tapia","given":"Marcos","non-dropping-particle":"","parse-names":false,"suffix":""},{"dropping-particle":"","family":"Robusté","given":"Francesc","non-dropping-particle":"","parse-names":false,"suffix":""}],"container-title":"Sustainability (Switzerland)","id":"ITEM-1","issue":"2","issued":{"date-parts":[["2019"]]},"title":"Implementation of connected and autonomous vehicles in cities could have neutral effects on the total travel time costs: Modeling and analysis for a circular city","type":"article-journal","volume":"11"},"uris":["http://www.mendeley.com/documents/?uuid=f79a1cde-ce69-4b0e-b992-feae50b82602"]},{"id":"ITEM-2","itemData":{"DOI":"10.1007/978-3-662-48847-8_11","abstract":"Mobility, transport and the physical forms of urban areas are closely bound up with each other (Cervero and Kockelman in Transportation Research Part D: Transport and Environment 2(3), 199-219, 1997). Urban structure plays an important role when households and businesses make mobility decisions, and to a considerable degree dictates what forms of transport may or may not be taken. Compact city form with high density and mixed use provide good preconditions for short trips and efficient public transportation, promote walking and cycling, and often render daily car use unnecessary.","author":[{"dropping-particle":"","family":"Heinrichs","given":"Dirk","non-dropping-particle":"","parse-names":false,"suffix":""}],"container-title":"Autonomous Driving: Technical, Legal and Social Aspects","id":"ITEM-2","issued":{"date-parts":[["2016"]]},"title":"Autonomous driving and urban land use","type":"chapter"},"uris":["http://www.mendeley.com/documents/?uuid=d02f762c-3424-3bd6-966e-4a13e7497016"]},{"id":"ITEM-3","itemData":{"abstract":"A new era in transport is imminent. A step change in transport technologies will change citizens’ decisions about where to live, work and play, and how they move around. The ‘autonomous era’ will be shaped by two competing dynamics. Reduced perceived costs of travel are likely to encourage citizens to accept longer travel times, exacerbating the existing problems of congestion and urban sprawl. On the other hand, new autonomous ride-sourcing services may catalyse a move away from private vehicle ownership. This would increase the marginal cost of travel, encouraging urban consolidation and regeneration. The transport policy and infrastructure decisions we make now will affect the trajectory our cities take with respect to these dynamics. This paper uses a bespoke strategic Land Use and Transport Interaction (LUTI) model for Melbourne to explore the potential impacts of the autonomous era on transport infrastructure demand and urban form. Policy implications of the autonomous era are also considered.","author":[{"dropping-particle":"","family":"Thakur","given":"Praveen","non-dropping-particle":"","parse-names":false,"suffix":""},{"dropping-particle":"","family":"Kinghorn","given":"Robert","non-dropping-particle":"","parse-names":false,"suffix":""},{"dropping-particle":"","family":"Grace","given":"Renan","non-dropping-particle":"","parse-names":false,"suffix":""}],"container-title":"ATRF 2016 - Australasian Transport Research Forum 2016, Proceedings","id":"ITEM-3","issued":{"date-parts":[["2016"]]},"title":"Urban form and function in the autonomous era","type":"paper-conference"},"uris":["http://www.mendeley.com/documents/?uuid=7f5ceaf8-5fd4-4bc0-8196-abb0a8a86f1f"]},{"id":"ITEM-4","itemData":{"author":[{"dropping-particle":"","family":"Zhang","given":"Wenwen","non-dropping-particle":"","parse-names":false,"suffix":""}],"id":"ITEM-4","issue":"August","issued":{"date-parts":[["2017"]]},"publisher":"Georgia Institute of Technology","title":"The interaction between land use and transportation in the era of shared autonomous vehicles: A simulation model","type":"thesis"},"uris":["http://www.mendeley.com/documents/?uuid=0a94e226-2c93-4af8-b602-ca765797a9ec"]}],"mendeley":{"formattedCitation":"(Heinrichs, 2016; Medina-Tapia and Robusté, 2019; Thakur et al., 2016; Zhang, 2017)","manualFormatting":"Heinrichs, 2016; Medina-Tapia &amp; Robusté, 2019; Thakur et al., 2016; Zhang, 2017)","plainTextFormattedCitation":"(Heinrichs, 2016; Medina-Tapia and Robusté, 2019; Thakur et al., 2016; Zhang, 2017)","previouslyFormattedCitation":"(Heinrichs, 2016; Medina-Tapia and Robusté, 2019; Thakur et al., 2016; Zhang, 2017)"},"properties":{"noteIndex":0},"schema":"https://github.com/citation-style-language/schema/raw/master/csl-citation.json"}</w:instrText>
      </w:r>
      <w:r w:rsidRPr="00575A3E">
        <w:rPr>
          <w:lang w:val="en-GB"/>
        </w:rPr>
        <w:fldChar w:fldCharType="separate"/>
      </w:r>
      <w:r w:rsidRPr="00575A3E">
        <w:rPr>
          <w:noProof/>
          <w:lang w:val="en-GB"/>
        </w:rPr>
        <w:t>Heinrichs, 2016; Medina-Tapia &amp; Robusté, 2019; Thakur et al., 2016; Zhang, 2017)</w:t>
      </w:r>
      <w:r w:rsidRPr="00575A3E">
        <w:rPr>
          <w:lang w:val="en-GB"/>
        </w:rPr>
        <w:fldChar w:fldCharType="end"/>
      </w:r>
      <w:r w:rsidRPr="00575A3E">
        <w:rPr>
          <w:lang w:val="en-GB"/>
        </w:rPr>
        <w:t xml:space="preserve"> and the national scales (e.g. </w:t>
      </w:r>
      <w:r w:rsidRPr="00575A3E">
        <w:rPr>
          <w:lang w:val="en-GB"/>
        </w:rPr>
        <w:fldChar w:fldCharType="begin" w:fldLock="1"/>
      </w:r>
      <w:r w:rsidRPr="00575A3E">
        <w:rPr>
          <w:lang w:val="en-GB"/>
        </w:rPr>
        <w:instrText>ADDIN CSL_CITATION {"citationItems":[{"id":"ITEM-1","itemData":{"DOI":"10.1007/s11116-020-10106-y","ISSN":"15729435","abstract":"Autonomous vehicle (AV) technologies are under constant improvement with pilot programs now underway in several urban areas worldwide. Modeling and field-testing efforts are demonstrating that shared mobility coupled with AV technology for automated mobility on-demand (AMoD) service may significantly impact levels of service and environmental outcomes in future cities. Given these rapidly emerging developments, there is an urgent need for methods to adequately quantify the economic impacts of new vehicle technologies and future urban mobility policy. In this paper, we show how broader user-centric impacts can be captured by the activity-based accessibility (ABA) measure, which takes advantage of the rich data and outcomes of utility-maximization activity-based models and its interaction with mesoscale agent-based traffic simulation frameworks. Using the SimMobility simulator, we evaluate shared AMoD strategies applied to a Singapore micromodel city testbed. A near-future strategy of exclusive availability of AMoD service in the central business district (CBD), and a further-horizon strategy of the full operation of AMoD city-wide in the absence of other on-demand services, were tested and evaluated. Our results provide insights into the income and accessibility effects on the population under the implementation of shared and automated mobility policies. The outcomes indicate that the city-wide deployment of AMoD results in greater accessibility and network performance. Moreover, the accessibility of low-income individuals is improved relative to that of mid- and high-income individuals. The restriction of AMoD to the CBD along with the operation of other on-demand services, however, provides a certain level of disbenefit to segments of the population in two exceptional cases. The first is to high-income individuals who live in a suburban zone and rely heavily on on-demand services; the second is to mid-income residents that have excellent public transportation coverage with close proximity to the CBD. We further establish the efficacy of the ABA measure, as these findings motivate the need for measuring socioeconomic impacts at the individual level. The work presented here serves as a foundation for policy evaluation in real-world urban models for future mobility paradigms.","author":[{"dropping-particle":"","family":"Nahmias-Biran","given":"Bat hen","non-dropping-particle":"","parse-names":false,"suffix":""},{"dropping-particle":"","family":"Oke","given":"Jimi B.","non-dropping-particle":"","parse-names":false,"suffix":""},{"dropping-particle":"","family":"Kumar","given":"Nishant","non-dropping-particle":"","parse-names":false,"suffix":""},{"dropping-particle":"","family":"Lima Azevedo","given":"Carlos","non-dropping-particle":"","parse-names":false,"suffix":""},{"dropping-particle":"","family":"Ben-Akiva","given":"Moshe","non-dropping-particle":"","parse-names":false,"suffix":""}],"container-title":"Transportation","id":"ITEM-1","issued":{"date-parts":[["2020"]]},"title":"Evaluating the impacts of shared automated mobility on-demand services: an activity-based accessibility approach","type":"article-journal"},"uris":["http://www.mendeley.com/documents/?uuid=442ff931-04f5-44a0-b908-5a15c448120e"]},{"id":"ITEM-2","itemData":{"DOI":"10.1016/j.tra.2019.01.013","ISSN":"09658564","abstract":"This paper shows that automated driving can lead both, to growth and decline of cities. We simulate spatial effects of automated driving for the Netherlands using LUCA, the Dutch spatial general equilibrium model. Two components of automation are accounted for: (i) more productive time use during car trips; (ii) fast and comfortable door-to-door automated public transit. We find that the car component results in population flight from cities, while the public transit component leads to population clustering in urban areas. A combination of the two may result in the population concentrating in the largest, most attractive cities, at the expense of smaller cities and non-urban regions. The simulations suggest that welfare benefits of automation are considerable, with up 10% coming from population relocation and changes in land use. Our results are particularly relevant for countries where public transit claims a considerable share of urban mobility. Neglecting the impact of vehicle automation on public transit could result in biased policy recommendations.","author":[{"dropping-particle":"","family":"Gelauff","given":"George","non-dropping-particle":"","parse-names":false,"suffix":""},{"dropping-particle":"","family":"Ossokina","given":"Ioulia","non-dropping-particle":"","parse-names":false,"suffix":""},{"dropping-particle":"","family":"Teulings","given":"Coen","non-dropping-particle":"","parse-names":false,"suffix":""}],"container-title":"Transportation Research Part A: Policy and Practice","id":"ITEM-2","issued":{"date-parts":[["2019"]]},"title":"Spatial and welfare effects of automated driving: Will cities grow, decline or both?","type":"article-journal"},"uris":["http://www.mendeley.com/documents/?uuid=deefa09c-64ab-4724-8e50-7cf71a78da15"]}],"mendeley":{"formattedCitation":"(Gelauff et al., 2019; Nahmias-Biran et al., 2020)","manualFormatting":"Gelauff et al., 2019; Nahmias-Biran et al., 2020","plainTextFormattedCitation":"(Gelauff et al., 2019; Nahmias-Biran et al., 2020)","previouslyFormattedCitation":"(Gelauff et al., 2019; Nahmias-Biran et al., 2020)"},"properties":{"noteIndex":0},"schema":"https://github.com/citation-style-language/schema/raw/master/csl-citation.json"}</w:instrText>
      </w:r>
      <w:r w:rsidRPr="00575A3E">
        <w:rPr>
          <w:lang w:val="en-GB"/>
        </w:rPr>
        <w:fldChar w:fldCharType="separate"/>
      </w:r>
      <w:r w:rsidRPr="00575A3E">
        <w:rPr>
          <w:noProof/>
          <w:lang w:val="en-GB"/>
        </w:rPr>
        <w:t>Gelauff et al., 2019; Nahmias-Biran et al., 2020</w:t>
      </w:r>
      <w:r w:rsidRPr="00575A3E">
        <w:rPr>
          <w:lang w:val="en-GB"/>
        </w:rPr>
        <w:fldChar w:fldCharType="end"/>
      </w:r>
      <w:r w:rsidRPr="00575A3E">
        <w:rPr>
          <w:lang w:val="en-GB"/>
        </w:rPr>
        <w:t xml:space="preserve">). Only few studies have addressed new vehicle technologies using a regional analysis, such as </w:t>
      </w:r>
      <w:r w:rsidRPr="00575A3E">
        <w:rPr>
          <w:lang w:val="en-GB"/>
        </w:rPr>
        <w:fldChar w:fldCharType="begin" w:fldLock="1"/>
      </w:r>
      <w:r w:rsidRPr="00575A3E">
        <w:rPr>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Prefecture","type":"article-journal"},"uris":["http://www.mendeley.com/documents/?uuid=a3da3ce1-5370-4fcf-b4f8-ac17abc381b7"]}],"mendeley":{"formattedCitation":"(Luo et al., 2019)","manualFormatting":"Luo et al. (2019)","plainTextFormattedCitation":"(Luo et al., 2019)","previouslyFormattedCitation":"(Luo et al., 2019)"},"properties":{"noteIndex":0},"schema":"https://github.com/citation-style-language/schema/raw/master/csl-citation.json"}</w:instrText>
      </w:r>
      <w:r w:rsidRPr="00575A3E">
        <w:rPr>
          <w:lang w:val="en-GB"/>
        </w:rPr>
        <w:fldChar w:fldCharType="separate"/>
      </w:r>
      <w:r w:rsidRPr="00575A3E">
        <w:rPr>
          <w:noProof/>
          <w:lang w:val="en-GB"/>
        </w:rPr>
        <w:t>Luo et al. (2019)</w:t>
      </w:r>
      <w:r w:rsidRPr="00575A3E">
        <w:rPr>
          <w:lang w:val="en-GB"/>
        </w:rPr>
        <w:fldChar w:fldCharType="end"/>
      </w:r>
      <w:r w:rsidRPr="00575A3E">
        <w:rPr>
          <w:lang w:val="en-GB"/>
        </w:rPr>
        <w:t xml:space="preserve">, who focused only on automation, and </w:t>
      </w:r>
      <w:r w:rsidRPr="00575A3E">
        <w:rPr>
          <w:lang w:val="en-GB"/>
        </w:rPr>
        <w:fldChar w:fldCharType="begin" w:fldLock="1"/>
      </w:r>
      <w:r w:rsidRPr="00575A3E">
        <w:rPr>
          <w:lang w:val="en-GB"/>
        </w:rPr>
        <w:instrText>ADDIN CSL_CITATION {"citationItems":[{"id":"ITEM-1","itemData":{"DOI":"https://doi.org/10.3390/su14010014","author":[{"dropping-particle":"","family":"Muto","given":"Shinichi","non-dropping-particle":"","parse-names":false,"suffix":""},{"dropping-particle":"","family":"Toyama","given":"Hiroto","non-dropping-particle":"","parse-names":false,"suffix":""},{"dropping-particle":"","family":"Takai","given":"Akina","non-dropping-particle":"","parse-names":false,"suffix":""}],"container-title":"Sustainability","id":"ITEM-1","issued":{"date-parts":[["2022"]]},"title":"Evaluation of Transport and Location Policies to Realize the Carbon-Free Urban Society","type":"article-journal"},"uris":["http://www.mendeley.com/documents/?uuid=f2201211-e530-4780-9ad4-3d61e811f0e3"]}],"mendeley":{"formattedCitation":"(Muto et al., 2022)","manualFormatting":"Muto et al. (2022)","plainTextFormattedCitation":"(Muto et al., 2022)","previouslyFormattedCitation":"(Muto et al., 2022)"},"properties":{"noteIndex":0},"schema":"https://github.com/citation-style-language/schema/raw/master/csl-citation.json"}</w:instrText>
      </w:r>
      <w:r w:rsidRPr="00575A3E">
        <w:rPr>
          <w:lang w:val="en-GB"/>
        </w:rPr>
        <w:fldChar w:fldCharType="separate"/>
      </w:r>
      <w:r w:rsidRPr="00575A3E">
        <w:rPr>
          <w:noProof/>
          <w:lang w:val="en-GB"/>
        </w:rPr>
        <w:t>Muto et al. (2022)</w:t>
      </w:r>
      <w:r w:rsidRPr="00575A3E">
        <w:rPr>
          <w:lang w:val="en-GB"/>
        </w:rPr>
        <w:fldChar w:fldCharType="end"/>
      </w:r>
      <w:r w:rsidRPr="00575A3E">
        <w:rPr>
          <w:lang w:val="en-GB"/>
        </w:rPr>
        <w:t xml:space="preserve">, who concentrated only on electrification. </w:t>
      </w:r>
    </w:p>
    <w:p w14:paraId="0002CD1F" w14:textId="77777777" w:rsidR="0071614D" w:rsidRPr="00575A3E" w:rsidRDefault="0071614D" w:rsidP="002D1780">
      <w:pPr>
        <w:spacing w:line="360" w:lineRule="auto"/>
        <w:rPr>
          <w:lang w:val="en-GB"/>
        </w:rPr>
      </w:pPr>
    </w:p>
    <w:p w14:paraId="46EE563F" w14:textId="62B2E9B1" w:rsidR="0095612A" w:rsidRPr="00575A3E" w:rsidRDefault="002D1780" w:rsidP="0095612A">
      <w:pPr>
        <w:spacing w:line="360" w:lineRule="auto"/>
        <w:rPr>
          <w:szCs w:val="22"/>
          <w:lang w:val="en-GB"/>
        </w:rPr>
      </w:pPr>
      <w:r w:rsidRPr="00575A3E">
        <w:rPr>
          <w:szCs w:val="22"/>
          <w:lang w:val="en-GB"/>
        </w:rPr>
        <w:t>In total, n</w:t>
      </w:r>
      <w:r w:rsidR="0095612A" w:rsidRPr="00575A3E">
        <w:rPr>
          <w:szCs w:val="22"/>
          <w:lang w:val="en-GB"/>
        </w:rPr>
        <w:t>ine scenarios are formulated to examine the sensitivity of the results</w:t>
      </w:r>
      <w:r w:rsidRPr="00575A3E">
        <w:rPr>
          <w:szCs w:val="22"/>
          <w:lang w:val="en-GB"/>
        </w:rPr>
        <w:t xml:space="preserve"> based on the uncertainty regarding the </w:t>
      </w:r>
      <w:r w:rsidR="0095612A" w:rsidRPr="00575A3E">
        <w:rPr>
          <w:szCs w:val="22"/>
          <w:lang w:val="en-GB"/>
        </w:rPr>
        <w:t xml:space="preserve">proportions of new vehicle technologies in the fleet, which is evident from the large number of different available projections for the same technologies (e.g.. </w:t>
      </w:r>
      <w:r w:rsidR="0095612A" w:rsidRPr="00575A3E">
        <w:rPr>
          <w:szCs w:val="22"/>
          <w:lang w:val="en-GB"/>
        </w:rPr>
        <w:fldChar w:fldCharType="begin" w:fldLock="1"/>
      </w:r>
      <w:r w:rsidR="0002665A" w:rsidRPr="00575A3E">
        <w:rPr>
          <w:szCs w:val="22"/>
          <w:lang w:val="en-GB"/>
        </w:rPr>
        <w:instrText>ADDIN CSL_CITATION {"citationItems":[{"id":"ITEM-1","itemData":{"abstract":"Reimagine the future of how people and goods will move","author":[{"dropping-particle":"","family":"KPMG","given":"","non-dropping-particle":"","parse-names":false,"suffix":""}],"id":"ITEM-1","issue":"February","issued":{"date-parts":[["2019"]]},"page":"1-20","title":"The rise of electric, shared and autonomous fleets","type":"article-journal"},"uris":["http://www.mendeley.com/documents/?uuid=d53abd5f-dce1-4e47-bf1a-c951ac818b82"]},{"id":"ITEM-2","itemData":{"abstract":"All appraisal and modelling values referred to in the transport analysis guidance (TAG).","author":[{"dropping-particle":"","family":"DfT","given":"","non-dropping-particle":"","parse-names":false,"suffix":""}],"container-title":"Transport modelling and appraisal","id":"ITEM-2","issued":{"date-parts":[["2019"]]},"title":"WebTAG: TAG data book, November 2019","type":"webpage"},"uris":["http://www.mendeley.com/documents/?uuid=6a3d5462-661a-469d-a7a6-daf97f826cee"]},{"id":"ITEM-3","itemData":{"author":[{"dropping-particle":"","family":"Litman","given":"Todd","non-dropping-particle":"","parse-names":false,"suffix":""}],"container-title":"Victoria Transp. Policy Inst.","id":"ITEM-3","issued":{"date-parts":[["2016"]]},"title":"Autonomous Vehicle Implementation Predictions","type":"article-journal","volume":"28"},"uris":["http://www.mendeley.com/documents/?uuid=de57d55a-b757-4a33-b63d-eb25f96e8a69"]},{"id":"ITEM-4","itemData":{"abstract":"Connected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CAVs.","author":[{"dropping-particle":"","family":"Atkins","given":"","non-dropping-particle":"","parse-names":false,"suffix":""}],"id":"ITEM-4","issue":"March","issued":{"date-parts":[["2016"]]},"page":"58","title":"Research on the Impacts of Connected and Autonomouse Vehicles (CAVs) on Traffic Flow","type":"article-journal"},"uris":["http://www.mendeley.com/documents/?uuid=0c131a8d-77a7-480c-855f-44a4939bc16e"]},{"id":"ITEM-5","itemData":{"author":[{"dropping-particle":"","family":"National Atmospheric Emissions Inventory","given":"","non-dropping-particle":"","parse-names":false,"suffix":""}],"id":"ITEM-5","issued":{"date-parts":[["2019"]]},"title":"UK Fleet Composition Projections (Base 2019r/2017 NAEI). For the UK outside London.","type":"article"},"uris":["http://www.mendeley.com/documents/?uuid=69efbc73-ea38-456b-ae65-6daa4a7bbb61"]}],"mendeley":{"formattedCitation":"(Atkins, 2016; DfT, 2019; KPMG, 2019; Litman, 2016; National Atmospheric Emissions Inventory, 2019)","manualFormatting":"Atkins, 2016; DfT, 2019; KPMG, 2019; Litman, 2016; National Atmospheric Emissions Inventory, 2019)","plainTextFormattedCitation":"(Atkins, 2016; DfT, 2019; KPMG, 2019; Litman, 2016; National Atmospheric Emissions Inventory, 2019)","previouslyFormattedCitation":"(Atkins, 2016; DfT, 2019; KPMG, 2019; Litman, 2016; National Atmospheric Emissions Inventory, 2019)"},"properties":{"noteIndex":0},"schema":"https://github.com/citation-style-language/schema/raw/master/csl-citation.json"}</w:instrText>
      </w:r>
      <w:r w:rsidR="0095612A" w:rsidRPr="00575A3E">
        <w:rPr>
          <w:szCs w:val="22"/>
          <w:lang w:val="en-GB"/>
        </w:rPr>
        <w:fldChar w:fldCharType="separate"/>
      </w:r>
      <w:r w:rsidR="0095612A" w:rsidRPr="00575A3E">
        <w:rPr>
          <w:noProof/>
          <w:szCs w:val="22"/>
          <w:lang w:val="en-GB"/>
        </w:rPr>
        <w:t>Atkins, 2016; DfT, 2019; KPMG, 2019; Litman, 2016; National Atmospheric Emissions Inventory, 2019)</w:t>
      </w:r>
      <w:r w:rsidR="0095612A" w:rsidRPr="00575A3E">
        <w:rPr>
          <w:szCs w:val="22"/>
          <w:lang w:val="en-GB"/>
        </w:rPr>
        <w:fldChar w:fldCharType="end"/>
      </w:r>
      <w:r w:rsidR="0095612A" w:rsidRPr="00575A3E">
        <w:rPr>
          <w:szCs w:val="22"/>
          <w:lang w:val="en-GB"/>
        </w:rPr>
        <w:t xml:space="preserve">, but also </w:t>
      </w:r>
      <w:r w:rsidRPr="00575A3E">
        <w:rPr>
          <w:szCs w:val="22"/>
          <w:lang w:val="en-GB"/>
        </w:rPr>
        <w:t>based on</w:t>
      </w:r>
      <w:r w:rsidR="0095612A" w:rsidRPr="00575A3E">
        <w:rPr>
          <w:szCs w:val="22"/>
          <w:lang w:val="en-GB"/>
        </w:rPr>
        <w:t xml:space="preserve"> the effect that connectivity will have on road capacity. </w:t>
      </w:r>
      <w:r w:rsidR="00FE680F" w:rsidRPr="00575A3E">
        <w:rPr>
          <w:szCs w:val="22"/>
          <w:lang w:val="en-GB"/>
        </w:rPr>
        <w:t xml:space="preserve">Four different </w:t>
      </w:r>
      <w:r w:rsidR="00BF728A" w:rsidRPr="00575A3E">
        <w:rPr>
          <w:szCs w:val="22"/>
          <w:lang w:val="en-GB"/>
        </w:rPr>
        <w:t>groups</w:t>
      </w:r>
      <w:r w:rsidR="00FE680F" w:rsidRPr="00575A3E">
        <w:rPr>
          <w:szCs w:val="22"/>
          <w:lang w:val="en-GB"/>
        </w:rPr>
        <w:t xml:space="preserve"> of proportions of vehicle technologies in the fleet have been deemed as essential for this sensitivity analysis and details for these will be analysed in the following sections. </w:t>
      </w:r>
      <w:r w:rsidR="0095612A" w:rsidRPr="00575A3E">
        <w:rPr>
          <w:szCs w:val="22"/>
          <w:lang w:val="en-GB"/>
        </w:rPr>
        <w:t xml:space="preserve">Even though road capacity is generally expected to increase with connectivity, this has not been distinctively specified by current research </w:t>
      </w:r>
      <w:r w:rsidR="0095612A" w:rsidRPr="00575A3E">
        <w:rPr>
          <w:szCs w:val="22"/>
          <w:lang w:val="en-GB"/>
        </w:rPr>
        <w:fldChar w:fldCharType="begin" w:fldLock="1"/>
      </w:r>
      <w:r w:rsidR="0095612A" w:rsidRPr="00575A3E">
        <w:rPr>
          <w:szCs w:val="22"/>
          <w:lang w:val="en-GB"/>
        </w:rPr>
        <w:instrText>ADDIN CSL_CITATION {"citationItems":[{"id":"ITEM-1","itemData":{"author":[{"dropping-particle":"","family":"Williams","given":"Nigel","non-dropping-particle":"","parse-names":false,"suffix":""}],"id":"ITEM-1","issue":"December","issued":{"date-parts":[["2019"]]},"publisher":"UNIVERSITY OF CALIFORNIA","title":"Integrating Position Uncertainty in Connected and Automated Vehicle Applications","type":"thesis"},"uris":["http://www.mendeley.com/documents/?uuid=ea201c71-6b1b-4aff-ab65-58cdf36be1c6"]}],"mendeley":{"formattedCitation":"(Williams, 2019)","plainTextFormattedCitation":"(Williams, 2019)","previouslyFormattedCitation":"(Williams, 2019)"},"properties":{"noteIndex":0},"schema":"https://github.com/citation-style-language/schema/raw/master/csl-citation.json"}</w:instrText>
      </w:r>
      <w:r w:rsidR="0095612A" w:rsidRPr="00575A3E">
        <w:rPr>
          <w:szCs w:val="22"/>
          <w:lang w:val="en-GB"/>
        </w:rPr>
        <w:fldChar w:fldCharType="separate"/>
      </w:r>
      <w:r w:rsidR="0095612A" w:rsidRPr="00575A3E">
        <w:rPr>
          <w:noProof/>
          <w:szCs w:val="22"/>
          <w:lang w:val="en-GB"/>
        </w:rPr>
        <w:t>(Williams, 2019)</w:t>
      </w:r>
      <w:r w:rsidR="0095612A" w:rsidRPr="00575A3E">
        <w:rPr>
          <w:szCs w:val="22"/>
          <w:lang w:val="en-GB"/>
        </w:rPr>
        <w:fldChar w:fldCharType="end"/>
      </w:r>
      <w:r w:rsidR="0095612A" w:rsidRPr="00575A3E">
        <w:rPr>
          <w:szCs w:val="22"/>
          <w:lang w:val="en-GB"/>
        </w:rPr>
        <w:t xml:space="preserve">, and so testing the sensitivity of different vehicle penetration scenarios with and without their effect on road capacity can contribute further to understanding the effects of connectivity on land use. </w:t>
      </w:r>
      <w:r w:rsidRPr="00575A3E">
        <w:rPr>
          <w:szCs w:val="22"/>
          <w:lang w:val="en-GB"/>
        </w:rPr>
        <w:t>The first scenario of the analysis is the Business As Usual (BAU) scenario and eight test scenarios.</w:t>
      </w:r>
      <w:r w:rsidR="007E11EC" w:rsidRPr="00575A3E">
        <w:rPr>
          <w:szCs w:val="22"/>
          <w:lang w:val="en-GB"/>
        </w:rPr>
        <w:t xml:space="preserve"> The BAU scenario is developed not only for the region of </w:t>
      </w:r>
      <w:r w:rsidR="008940EC" w:rsidRPr="00575A3E">
        <w:rPr>
          <w:szCs w:val="22"/>
          <w:lang w:val="en-GB"/>
        </w:rPr>
        <w:t xml:space="preserve">the </w:t>
      </w:r>
      <w:r w:rsidR="007E11EC" w:rsidRPr="00575A3E">
        <w:rPr>
          <w:szCs w:val="22"/>
          <w:lang w:val="en-GB"/>
        </w:rPr>
        <w:t xml:space="preserve">West Midlands, but also a number of larger zones in the periphery of the region are included in the model to include the effect of migration from external zones. </w:t>
      </w:r>
      <w:r w:rsidR="0095612A" w:rsidRPr="00575A3E">
        <w:rPr>
          <w:szCs w:val="22"/>
          <w:lang w:val="en-GB"/>
        </w:rPr>
        <w:t xml:space="preserve">Each test scenario formulated has a name, consisting of a number and a letter: the number represents the Proportion Group, while the letter denotes whether changes in road capacity are considered (with ‘P’ corresponding to a PCU </w:t>
      </w:r>
      <w:r w:rsidR="002E77DD" w:rsidRPr="00575A3E">
        <w:rPr>
          <w:szCs w:val="22"/>
          <w:lang w:val="en-GB"/>
        </w:rPr>
        <w:t>value change</w:t>
      </w:r>
      <w:r w:rsidR="0095612A" w:rsidRPr="00575A3E">
        <w:rPr>
          <w:szCs w:val="22"/>
          <w:lang w:val="en-GB"/>
        </w:rPr>
        <w:t xml:space="preserve">, and ‘N’ meaning that </w:t>
      </w:r>
      <w:r w:rsidR="002E77DD" w:rsidRPr="00575A3E">
        <w:rPr>
          <w:szCs w:val="22"/>
          <w:lang w:val="en-GB"/>
        </w:rPr>
        <w:t xml:space="preserve">no change to the </w:t>
      </w:r>
      <w:r w:rsidR="0095612A" w:rsidRPr="00575A3E">
        <w:rPr>
          <w:szCs w:val="22"/>
          <w:lang w:val="en-GB"/>
        </w:rPr>
        <w:t xml:space="preserve">PCU </w:t>
      </w:r>
      <w:r w:rsidR="002E77DD" w:rsidRPr="00575A3E">
        <w:rPr>
          <w:szCs w:val="22"/>
          <w:lang w:val="en-GB"/>
        </w:rPr>
        <w:t>value)</w:t>
      </w:r>
      <w:r w:rsidR="0095612A" w:rsidRPr="00575A3E">
        <w:rPr>
          <w:szCs w:val="22"/>
          <w:lang w:val="en-GB"/>
        </w:rPr>
        <w:t>. The following scenarios are, therefore, defined:</w:t>
      </w:r>
    </w:p>
    <w:p w14:paraId="406F8940" w14:textId="77777777" w:rsidR="0095612A" w:rsidRPr="00575A3E" w:rsidRDefault="0095612A" w:rsidP="0095612A">
      <w:pPr>
        <w:spacing w:line="360" w:lineRule="auto"/>
        <w:rPr>
          <w:szCs w:val="22"/>
          <w:lang w:val="en-GB"/>
        </w:rPr>
      </w:pPr>
    </w:p>
    <w:p w14:paraId="11F13857" w14:textId="689F95C2" w:rsidR="0095612A" w:rsidRPr="00575A3E" w:rsidRDefault="0095612A" w:rsidP="0095612A">
      <w:pPr>
        <w:pStyle w:val="ListParagraph"/>
        <w:numPr>
          <w:ilvl w:val="0"/>
          <w:numId w:val="23"/>
        </w:numPr>
        <w:spacing w:line="360" w:lineRule="auto"/>
        <w:jc w:val="both"/>
        <w:rPr>
          <w:sz w:val="22"/>
          <w:lang w:val="en-GB"/>
        </w:rPr>
      </w:pPr>
      <w:r w:rsidRPr="00575A3E">
        <w:rPr>
          <w:sz w:val="22"/>
          <w:lang w:val="en-GB"/>
        </w:rPr>
        <w:lastRenderedPageBreak/>
        <w:t>Scenario</w:t>
      </w:r>
      <w:r w:rsidRPr="00575A3E">
        <w:rPr>
          <w:b/>
          <w:bCs/>
          <w:sz w:val="22"/>
          <w:lang w:val="en-GB"/>
        </w:rPr>
        <w:t xml:space="preserve"> BAU</w:t>
      </w:r>
      <w:r w:rsidR="00C351B3" w:rsidRPr="00575A3E">
        <w:rPr>
          <w:b/>
          <w:bCs/>
          <w:sz w:val="22"/>
          <w:lang w:val="en-GB"/>
        </w:rPr>
        <w:t xml:space="preserve"> </w:t>
      </w:r>
    </w:p>
    <w:p w14:paraId="6E0B1E25" w14:textId="2F0BE3F3" w:rsidR="0095612A" w:rsidRPr="00575A3E" w:rsidRDefault="0095612A" w:rsidP="0095612A">
      <w:pPr>
        <w:pStyle w:val="ListParagraph"/>
        <w:numPr>
          <w:ilvl w:val="0"/>
          <w:numId w:val="23"/>
        </w:numPr>
        <w:spacing w:after="0" w:line="360" w:lineRule="auto"/>
        <w:jc w:val="both"/>
        <w:rPr>
          <w:sz w:val="22"/>
          <w:lang w:val="en-GB"/>
        </w:rPr>
      </w:pPr>
      <w:r w:rsidRPr="00575A3E">
        <w:rPr>
          <w:sz w:val="22"/>
          <w:lang w:val="en-GB"/>
        </w:rPr>
        <w:t xml:space="preserve">Scenarios </w:t>
      </w:r>
      <w:r w:rsidRPr="00575A3E">
        <w:rPr>
          <w:b/>
          <w:bCs/>
          <w:sz w:val="22"/>
          <w:lang w:val="en-GB"/>
        </w:rPr>
        <w:t>1N, 1P</w:t>
      </w:r>
      <w:r w:rsidRPr="00575A3E">
        <w:rPr>
          <w:sz w:val="22"/>
          <w:lang w:val="en-GB"/>
        </w:rPr>
        <w:t xml:space="preserve">, </w:t>
      </w:r>
      <w:r w:rsidRPr="00575A3E">
        <w:rPr>
          <w:b/>
          <w:bCs/>
          <w:sz w:val="22"/>
          <w:lang w:val="en-GB"/>
        </w:rPr>
        <w:t>2N</w:t>
      </w:r>
      <w:r w:rsidRPr="00575A3E">
        <w:rPr>
          <w:sz w:val="22"/>
          <w:lang w:val="en-GB"/>
        </w:rPr>
        <w:t xml:space="preserve">, </w:t>
      </w:r>
      <w:r w:rsidRPr="00575A3E">
        <w:rPr>
          <w:b/>
          <w:bCs/>
          <w:sz w:val="22"/>
          <w:lang w:val="en-GB"/>
        </w:rPr>
        <w:t>2P</w:t>
      </w:r>
      <w:r w:rsidRPr="00575A3E">
        <w:rPr>
          <w:sz w:val="22"/>
          <w:lang w:val="en-GB"/>
        </w:rPr>
        <w:t xml:space="preserve">, </w:t>
      </w:r>
      <w:r w:rsidRPr="00575A3E">
        <w:rPr>
          <w:b/>
          <w:bCs/>
          <w:sz w:val="22"/>
          <w:lang w:val="en-GB"/>
        </w:rPr>
        <w:t>3N</w:t>
      </w:r>
      <w:r w:rsidRPr="00575A3E">
        <w:rPr>
          <w:lang w:val="en-GB"/>
        </w:rPr>
        <w:t xml:space="preserve">, </w:t>
      </w:r>
      <w:r w:rsidRPr="00575A3E">
        <w:rPr>
          <w:b/>
          <w:bCs/>
          <w:sz w:val="22"/>
          <w:szCs w:val="20"/>
          <w:lang w:val="en-GB"/>
        </w:rPr>
        <w:t>3P</w:t>
      </w:r>
      <w:r w:rsidRPr="00575A3E">
        <w:rPr>
          <w:lang w:val="en-GB"/>
        </w:rPr>
        <w:t xml:space="preserve">, </w:t>
      </w:r>
      <w:r w:rsidRPr="00575A3E">
        <w:rPr>
          <w:b/>
          <w:bCs/>
          <w:sz w:val="22"/>
          <w:lang w:val="en-GB"/>
        </w:rPr>
        <w:t>4N</w:t>
      </w:r>
      <w:r w:rsidRPr="00575A3E">
        <w:rPr>
          <w:sz w:val="22"/>
          <w:lang w:val="en-GB"/>
        </w:rPr>
        <w:t xml:space="preserve"> and </w:t>
      </w:r>
      <w:r w:rsidRPr="00575A3E">
        <w:rPr>
          <w:b/>
          <w:bCs/>
          <w:sz w:val="22"/>
          <w:lang w:val="en-GB"/>
        </w:rPr>
        <w:t>4P</w:t>
      </w:r>
    </w:p>
    <w:p w14:paraId="3B9068A7" w14:textId="77777777" w:rsidR="0095612A" w:rsidRPr="00575A3E" w:rsidRDefault="0095612A" w:rsidP="0095612A">
      <w:pPr>
        <w:spacing w:line="360" w:lineRule="auto"/>
        <w:rPr>
          <w:lang w:val="en-GB"/>
        </w:rPr>
      </w:pPr>
    </w:p>
    <w:p w14:paraId="0C487891" w14:textId="3F9471D8" w:rsidR="00151070" w:rsidRPr="00575A3E" w:rsidRDefault="00B51DDE" w:rsidP="00A55356">
      <w:pPr>
        <w:pStyle w:val="Heading2"/>
        <w:spacing w:before="0" w:after="0" w:line="360" w:lineRule="auto"/>
        <w:rPr>
          <w:sz w:val="22"/>
          <w:szCs w:val="22"/>
          <w:lang w:val="en-GB"/>
        </w:rPr>
      </w:pPr>
      <w:bookmarkStart w:id="8" w:name="_Ref128846482"/>
      <w:r w:rsidRPr="00575A3E">
        <w:rPr>
          <w:sz w:val="22"/>
          <w:szCs w:val="22"/>
          <w:lang w:val="en-GB"/>
        </w:rPr>
        <w:t>Inputs</w:t>
      </w:r>
      <w:bookmarkEnd w:id="8"/>
    </w:p>
    <w:p w14:paraId="03628233" w14:textId="00606613" w:rsidR="00CC32CD" w:rsidRPr="00575A3E" w:rsidRDefault="00D75C24" w:rsidP="00CC32CD">
      <w:pPr>
        <w:pStyle w:val="Default"/>
        <w:spacing w:line="360" w:lineRule="auto"/>
        <w:jc w:val="both"/>
        <w:rPr>
          <w:color w:val="auto"/>
          <w:sz w:val="22"/>
          <w:szCs w:val="22"/>
          <w:lang w:val="en-GB"/>
        </w:rPr>
      </w:pPr>
      <w:r w:rsidRPr="00575A3E">
        <w:rPr>
          <w:color w:val="auto"/>
          <w:sz w:val="22"/>
          <w:szCs w:val="22"/>
          <w:lang w:val="en-GB"/>
        </w:rPr>
        <w:t xml:space="preserve">To implement these test scenarios a methodological framework has been developed, which includes a number of different modelling procedures and assumptions consistent with the current literature. </w:t>
      </w:r>
      <w:r w:rsidR="00F63A78" w:rsidRPr="00575A3E">
        <w:rPr>
          <w:color w:val="auto"/>
          <w:sz w:val="22"/>
          <w:szCs w:val="22"/>
          <w:lang w:val="en-GB"/>
        </w:rPr>
        <w:t>More specifically, the assumptions that are made are related to changes in trip rates in order to affect trip generation</w:t>
      </w:r>
      <w:r w:rsidR="00CC32CD" w:rsidRPr="00575A3E">
        <w:rPr>
          <w:color w:val="auto"/>
          <w:sz w:val="22"/>
          <w:szCs w:val="22"/>
          <w:lang w:val="en-GB"/>
        </w:rPr>
        <w:t xml:space="preserve">. Moreover, accessibility and modal split are modelled by considering assumptions of changes </w:t>
      </w:r>
      <w:r w:rsidR="00166C9D" w:rsidRPr="00575A3E">
        <w:rPr>
          <w:color w:val="auto"/>
          <w:sz w:val="22"/>
          <w:szCs w:val="22"/>
          <w:lang w:val="en-GB"/>
        </w:rPr>
        <w:t>in generalised</w:t>
      </w:r>
      <w:r w:rsidR="00F63A78" w:rsidRPr="00575A3E">
        <w:rPr>
          <w:color w:val="auto"/>
          <w:sz w:val="22"/>
          <w:szCs w:val="22"/>
          <w:lang w:val="en-GB"/>
        </w:rPr>
        <w:t xml:space="preserve"> costs estimation parameters and vehicle technologies penetration rates in the fleet</w:t>
      </w:r>
      <w:r w:rsidR="00166C9D" w:rsidRPr="00575A3E">
        <w:rPr>
          <w:color w:val="auto"/>
          <w:sz w:val="22"/>
          <w:szCs w:val="22"/>
          <w:lang w:val="en-GB"/>
        </w:rPr>
        <w:t xml:space="preserve">. </w:t>
      </w:r>
      <w:r w:rsidR="00CC32CD" w:rsidRPr="00575A3E">
        <w:rPr>
          <w:color w:val="auto"/>
          <w:sz w:val="22"/>
          <w:szCs w:val="22"/>
          <w:lang w:val="en-GB"/>
        </w:rPr>
        <w:t xml:space="preserve">Accessibility in DELTA connects the transportation model of DELTA with its land use models and it affects spatial distribution of activities in the system. </w:t>
      </w:r>
      <w:r w:rsidR="00F63A78" w:rsidRPr="00575A3E">
        <w:rPr>
          <w:color w:val="auto"/>
          <w:sz w:val="22"/>
          <w:szCs w:val="22"/>
          <w:lang w:val="en-GB"/>
        </w:rPr>
        <w:t xml:space="preserve">Two elements that </w:t>
      </w:r>
      <w:r w:rsidR="00CC32CD" w:rsidRPr="00575A3E">
        <w:rPr>
          <w:color w:val="auto"/>
          <w:sz w:val="22"/>
          <w:szCs w:val="22"/>
          <w:lang w:val="en-GB"/>
        </w:rPr>
        <w:t xml:space="preserve">are also </w:t>
      </w:r>
      <w:r w:rsidR="00F63A78" w:rsidRPr="00575A3E">
        <w:rPr>
          <w:color w:val="auto"/>
          <w:sz w:val="22"/>
          <w:szCs w:val="22"/>
          <w:lang w:val="en-GB"/>
        </w:rPr>
        <w:t xml:space="preserve">modelled are car ownership levels </w:t>
      </w:r>
      <w:r w:rsidR="00CC32CD" w:rsidRPr="00575A3E">
        <w:rPr>
          <w:color w:val="auto"/>
          <w:sz w:val="22"/>
          <w:szCs w:val="22"/>
          <w:lang w:val="en-GB"/>
        </w:rPr>
        <w:t>after</w:t>
      </w:r>
      <w:r w:rsidR="00636D0D" w:rsidRPr="00575A3E">
        <w:rPr>
          <w:color w:val="auto"/>
          <w:sz w:val="22"/>
          <w:szCs w:val="22"/>
          <w:lang w:val="en-GB"/>
        </w:rPr>
        <w:t xml:space="preserve"> estimating the total cost of ownership by </w:t>
      </w:r>
      <w:r w:rsidR="00F63A78" w:rsidRPr="00575A3E">
        <w:rPr>
          <w:color w:val="auto"/>
          <w:sz w:val="22"/>
          <w:szCs w:val="22"/>
          <w:lang w:val="en-GB"/>
        </w:rPr>
        <w:t xml:space="preserve">using a number of cost related assumptions and network </w:t>
      </w:r>
      <w:r w:rsidR="00CC32CD" w:rsidRPr="00575A3E">
        <w:rPr>
          <w:color w:val="auto"/>
          <w:sz w:val="22"/>
          <w:szCs w:val="22"/>
          <w:lang w:val="en-GB"/>
        </w:rPr>
        <w:t xml:space="preserve">effects by considering changes in the PCU value. The core procedure of implementing the test scenarios is presented in depth in this section. </w:t>
      </w:r>
    </w:p>
    <w:p w14:paraId="45997201" w14:textId="75298B42" w:rsidR="00F63A78" w:rsidRPr="00575A3E" w:rsidRDefault="00F63A78" w:rsidP="00A55356">
      <w:pPr>
        <w:pStyle w:val="Default"/>
        <w:spacing w:line="360" w:lineRule="auto"/>
        <w:jc w:val="both"/>
        <w:rPr>
          <w:color w:val="auto"/>
          <w:sz w:val="22"/>
          <w:szCs w:val="22"/>
          <w:lang w:val="en-GB"/>
        </w:rPr>
      </w:pPr>
    </w:p>
    <w:p w14:paraId="7C4B2C0E" w14:textId="798C43A2" w:rsidR="0089641B" w:rsidRPr="00575A3E" w:rsidRDefault="00701376" w:rsidP="00A55356">
      <w:pPr>
        <w:pStyle w:val="Heading3"/>
        <w:spacing w:before="0" w:after="0" w:line="360" w:lineRule="auto"/>
        <w:rPr>
          <w:i/>
          <w:iCs/>
          <w:szCs w:val="22"/>
          <w:lang w:val="en-GB"/>
        </w:rPr>
      </w:pPr>
      <w:r w:rsidRPr="00575A3E">
        <w:rPr>
          <w:i/>
          <w:iCs/>
          <w:szCs w:val="22"/>
          <w:lang w:val="en-GB"/>
        </w:rPr>
        <w:t>3</w:t>
      </w:r>
      <w:r w:rsidR="0089641B" w:rsidRPr="00575A3E">
        <w:rPr>
          <w:i/>
          <w:iCs/>
          <w:szCs w:val="22"/>
          <w:lang w:val="en-GB"/>
        </w:rPr>
        <w:t>.</w:t>
      </w:r>
      <w:r w:rsidR="00EC0342" w:rsidRPr="00575A3E">
        <w:rPr>
          <w:i/>
          <w:iCs/>
          <w:szCs w:val="22"/>
          <w:lang w:val="en-GB"/>
        </w:rPr>
        <w:t>2</w:t>
      </w:r>
      <w:r w:rsidR="0089641B" w:rsidRPr="00575A3E">
        <w:rPr>
          <w:i/>
          <w:iCs/>
          <w:szCs w:val="22"/>
          <w:lang w:val="en-GB"/>
        </w:rPr>
        <w:t xml:space="preserve">.1 </w:t>
      </w:r>
      <w:r w:rsidR="003A6E17" w:rsidRPr="00575A3E">
        <w:rPr>
          <w:i/>
          <w:iCs/>
          <w:szCs w:val="22"/>
          <w:lang w:val="en-GB"/>
        </w:rPr>
        <w:t xml:space="preserve">Trip </w:t>
      </w:r>
      <w:r w:rsidR="00E421FF" w:rsidRPr="00575A3E">
        <w:rPr>
          <w:i/>
          <w:iCs/>
          <w:szCs w:val="22"/>
          <w:lang w:val="en-GB"/>
        </w:rPr>
        <w:t>r</w:t>
      </w:r>
      <w:r w:rsidR="003A6E17" w:rsidRPr="00575A3E">
        <w:rPr>
          <w:i/>
          <w:iCs/>
          <w:szCs w:val="22"/>
          <w:lang w:val="en-GB"/>
        </w:rPr>
        <w:t>ates</w:t>
      </w:r>
    </w:p>
    <w:p w14:paraId="12B88B6A" w14:textId="7250CF97" w:rsidR="00F32B94" w:rsidRPr="00575A3E" w:rsidRDefault="00C231D4" w:rsidP="00A55356">
      <w:pPr>
        <w:suppressAutoHyphens w:val="0"/>
        <w:autoSpaceDE w:val="0"/>
        <w:autoSpaceDN w:val="0"/>
        <w:adjustRightInd w:val="0"/>
        <w:spacing w:line="360" w:lineRule="auto"/>
        <w:rPr>
          <w:szCs w:val="22"/>
          <w:lang w:val="en-GB"/>
        </w:rPr>
      </w:pPr>
      <w:r w:rsidRPr="00575A3E">
        <w:rPr>
          <w:szCs w:val="22"/>
          <w:lang w:val="en-GB"/>
        </w:rPr>
        <w:t>I</w:t>
      </w:r>
      <w:r w:rsidR="00F32B94" w:rsidRPr="00575A3E">
        <w:rPr>
          <w:szCs w:val="22"/>
          <w:lang w:val="en-GB"/>
        </w:rPr>
        <w:t>nnovations in transport change people</w:t>
      </w:r>
      <w:r w:rsidRPr="00575A3E">
        <w:rPr>
          <w:szCs w:val="22"/>
          <w:lang w:val="en-GB"/>
        </w:rPr>
        <w:t>’s</w:t>
      </w:r>
      <w:r w:rsidR="00F32B94" w:rsidRPr="00575A3E">
        <w:rPr>
          <w:szCs w:val="22"/>
          <w:lang w:val="en-GB"/>
        </w:rPr>
        <w:t xml:space="preserve"> travel and can result </w:t>
      </w:r>
      <w:r w:rsidR="00E421FF" w:rsidRPr="00575A3E">
        <w:rPr>
          <w:szCs w:val="22"/>
          <w:lang w:val="en-GB"/>
        </w:rPr>
        <w:t xml:space="preserve">in </w:t>
      </w:r>
      <w:r w:rsidR="00F32B94" w:rsidRPr="00575A3E">
        <w:rPr>
          <w:szCs w:val="22"/>
          <w:lang w:val="en-GB"/>
        </w:rPr>
        <w:t xml:space="preserve">different trip generation rates. </w:t>
      </w:r>
      <w:r w:rsidR="00CE666E" w:rsidRPr="00575A3E">
        <w:rPr>
          <w:szCs w:val="22"/>
          <w:lang w:val="en-GB"/>
        </w:rPr>
        <w:t>According to</w:t>
      </w:r>
      <w:r w:rsidR="00B96E86" w:rsidRPr="00575A3E">
        <w:rPr>
          <w:szCs w:val="22"/>
          <w:lang w:val="en-GB"/>
        </w:rPr>
        <w:t xml:space="preserve"> </w:t>
      </w:r>
      <w:r w:rsidR="00B96E86" w:rsidRPr="00575A3E">
        <w:rPr>
          <w:szCs w:val="22"/>
          <w:lang w:val="en-GB"/>
        </w:rPr>
        <w:fldChar w:fldCharType="begin" w:fldLock="1"/>
      </w:r>
      <w:r w:rsidR="00BF7603" w:rsidRPr="00575A3E">
        <w:rPr>
          <w:szCs w:val="22"/>
          <w:lang w:val="en-GB"/>
        </w:rPr>
        <w:instrText>ADDIN CSL_CITATION {"citationItems":[{"id":"ITEM-1","itemData":{"DOI":"10.1177/0361198120922544","ISSN":"0361-1981","abstract":"Automated vehicles (AVs) are a concrete possibility in the near future. As AVs may shift transportation paradigms, transportation agencies are eager to update their models to consider them in planning. In this context, the use of advanced models may be challenging, given the uncertainty in the use and deployment of AVs. In this paper, we present a general framework to extend the four-step model to include AVs, and test our extension on North Central Texas Council of Governments’ model. Our approach introduces a module for AV ownership and exogenous parameters into an existing four-step model to account for changes in travel decisions for AV owners, and for the impacts of AVs on network performance. The latter is modeled using the concept of passenger-car-equivalent to avoid imposing network-wide assumptions on AVs’ capacity consumption. We analyze five scenarios, representing different assumptions on the impacts of AVs, and include references to inform the selection of modeling parameters. We compute aggregate metrics that suggest that the model is sensitive to the proposed parameters, with the passenger-car-equivalent assumptions having the largest impact on model outcomes. Results suggest that, even when we assume that AVs can better use network capacity and that trip-making rates do not drastically increase, AVs may lead to an increase of about 2.8% in vehicle-hours traveled while also improving speeds by about 1.8%. If AVs introduce additional friction on traffic, the system performance may deteriorate. The analyses presented here suggest that existing modeling tools may be adjusted to support analyses of a future with AVs.","author":[{"dropping-particle":"","family":"Dias","given":"Felipe F.","non-dropping-particle":"","parse-names":false,"suffix":""},{"dropping-particle":"","family":"Nair","given":"Gopindra S.","non-dropping-particle":"","parse-names":false,"suffix":""},{"dropping-particle":"","family":"Ruíz-Juri","given":"Natalia","non-dropping-particle":"","parse-names":false,"suffix":""},{"dropping-particle":"","family":"Bhat","given":"Chandra R.","non-dropping-particle":"","parse-names":false,"suffix":""},{"dropping-particle":"","family":"Mirzaei","given":"Arash","non-dropping-particle":"","parse-names":false,"suffix":""}],"container-title":"Transportation Research Record: Journal of the Transportation Research Board","id":"ITEM-1","issued":{"date-parts":[["2020"]]},"title":"Incorporating Autonomous Vehicles in the Traditional Four-Step Model","type":"article-journal"},"uris":["http://www.mendeley.com/documents/?uuid=a8b45399-4557-4177-b74d-cc492747af11"]}],"mendeley":{"formattedCitation":"(Dias et al., 2020)","manualFormatting":"Dias et al. (2020)","plainTextFormattedCitation":"(Dias et al., 2020)","previouslyFormattedCitation":"(Dias et al., 2020)"},"properties":{"noteIndex":0},"schema":"https://github.com/citation-style-language/schema/raw/master/csl-citation.json"}</w:instrText>
      </w:r>
      <w:r w:rsidR="00B96E86" w:rsidRPr="00575A3E">
        <w:rPr>
          <w:szCs w:val="22"/>
          <w:lang w:val="en-GB"/>
        </w:rPr>
        <w:fldChar w:fldCharType="separate"/>
      </w:r>
      <w:r w:rsidR="00C41D0C" w:rsidRPr="00575A3E">
        <w:rPr>
          <w:noProof/>
          <w:szCs w:val="22"/>
          <w:lang w:val="en-GB"/>
        </w:rPr>
        <w:t>Dias et al.</w:t>
      </w:r>
      <w:r w:rsidR="00CE666E" w:rsidRPr="00575A3E">
        <w:rPr>
          <w:noProof/>
          <w:szCs w:val="22"/>
          <w:lang w:val="en-GB"/>
        </w:rPr>
        <w:t xml:space="preserve"> (</w:t>
      </w:r>
      <w:r w:rsidR="00C41D0C" w:rsidRPr="00575A3E">
        <w:rPr>
          <w:noProof/>
          <w:szCs w:val="22"/>
          <w:lang w:val="en-GB"/>
        </w:rPr>
        <w:t>2020)</w:t>
      </w:r>
      <w:r w:rsidR="00B96E86" w:rsidRPr="00575A3E">
        <w:rPr>
          <w:szCs w:val="22"/>
          <w:lang w:val="en-GB"/>
        </w:rPr>
        <w:fldChar w:fldCharType="end"/>
      </w:r>
      <w:r w:rsidR="00F2790E" w:rsidRPr="00575A3E">
        <w:rPr>
          <w:szCs w:val="22"/>
          <w:lang w:val="en-GB"/>
        </w:rPr>
        <w:t>,</w:t>
      </w:r>
      <w:r w:rsidR="00F32B94" w:rsidRPr="00575A3E">
        <w:rPr>
          <w:szCs w:val="22"/>
          <w:lang w:val="en-GB"/>
        </w:rPr>
        <w:t xml:space="preserve"> because of </w:t>
      </w:r>
      <w:r w:rsidR="00F2790E" w:rsidRPr="00575A3E">
        <w:rPr>
          <w:szCs w:val="22"/>
          <w:lang w:val="en-GB"/>
        </w:rPr>
        <w:t xml:space="preserve">the </w:t>
      </w:r>
      <w:r w:rsidRPr="00575A3E">
        <w:rPr>
          <w:szCs w:val="22"/>
          <w:lang w:val="en-GB"/>
        </w:rPr>
        <w:t>c</w:t>
      </w:r>
      <w:r w:rsidR="00F32B94" w:rsidRPr="00575A3E">
        <w:rPr>
          <w:szCs w:val="22"/>
          <w:lang w:val="en-GB"/>
        </w:rPr>
        <w:t xml:space="preserve">onvenience related to driving and latent demand, </w:t>
      </w:r>
      <w:r w:rsidR="00F2790E" w:rsidRPr="00575A3E">
        <w:rPr>
          <w:szCs w:val="22"/>
          <w:lang w:val="en-GB"/>
        </w:rPr>
        <w:t xml:space="preserve">travel by </w:t>
      </w:r>
      <w:r w:rsidR="00E421FF" w:rsidRPr="00575A3E">
        <w:rPr>
          <w:szCs w:val="22"/>
          <w:lang w:val="en-GB"/>
        </w:rPr>
        <w:t>CAVs</w:t>
      </w:r>
      <w:r w:rsidR="00F32B94" w:rsidRPr="00575A3E">
        <w:rPr>
          <w:szCs w:val="22"/>
          <w:lang w:val="en-GB"/>
        </w:rPr>
        <w:t xml:space="preserve"> become</w:t>
      </w:r>
      <w:r w:rsidR="00F2790E" w:rsidRPr="00575A3E">
        <w:rPr>
          <w:szCs w:val="22"/>
          <w:lang w:val="en-GB"/>
        </w:rPr>
        <w:t>s</w:t>
      </w:r>
      <w:r w:rsidR="00F32B94" w:rsidRPr="00575A3E">
        <w:rPr>
          <w:szCs w:val="22"/>
          <w:lang w:val="en-GB"/>
        </w:rPr>
        <w:t xml:space="preserve"> more desirable</w:t>
      </w:r>
      <w:r w:rsidRPr="00575A3E">
        <w:rPr>
          <w:szCs w:val="22"/>
          <w:lang w:val="en-GB"/>
        </w:rPr>
        <w:t xml:space="preserve">, which </w:t>
      </w:r>
      <w:r w:rsidR="00F32B94" w:rsidRPr="00575A3E">
        <w:rPr>
          <w:szCs w:val="22"/>
          <w:lang w:val="en-GB"/>
        </w:rPr>
        <w:t>lead</w:t>
      </w:r>
      <w:r w:rsidR="00E421FF" w:rsidRPr="00575A3E">
        <w:rPr>
          <w:szCs w:val="22"/>
          <w:lang w:val="en-GB"/>
        </w:rPr>
        <w:t>s</w:t>
      </w:r>
      <w:r w:rsidR="00F32B94" w:rsidRPr="00575A3E">
        <w:rPr>
          <w:szCs w:val="22"/>
          <w:lang w:val="en-GB"/>
        </w:rPr>
        <w:t xml:space="preserve"> potentially to more vehicle trips</w:t>
      </w:r>
      <w:r w:rsidR="00E421FF" w:rsidRPr="00575A3E">
        <w:rPr>
          <w:szCs w:val="22"/>
          <w:lang w:val="en-GB"/>
        </w:rPr>
        <w:t>;</w:t>
      </w:r>
      <w:r w:rsidR="00F32B94" w:rsidRPr="00575A3E">
        <w:rPr>
          <w:szCs w:val="22"/>
          <w:lang w:val="en-GB"/>
        </w:rPr>
        <w:t xml:space="preserve"> an increase of 5%</w:t>
      </w:r>
      <w:r w:rsidR="00E421FF" w:rsidRPr="00575A3E">
        <w:rPr>
          <w:szCs w:val="22"/>
          <w:lang w:val="en-GB"/>
        </w:rPr>
        <w:t xml:space="preserve"> </w:t>
      </w:r>
      <w:r w:rsidR="000138E5" w:rsidRPr="00575A3E">
        <w:rPr>
          <w:szCs w:val="22"/>
          <w:lang w:val="en-GB"/>
        </w:rPr>
        <w:t>is</w:t>
      </w:r>
      <w:r w:rsidR="00E421FF" w:rsidRPr="00575A3E">
        <w:rPr>
          <w:szCs w:val="22"/>
          <w:lang w:val="en-GB"/>
        </w:rPr>
        <w:t xml:space="preserve"> assumed</w:t>
      </w:r>
      <w:r w:rsidR="00F2790E" w:rsidRPr="00575A3E">
        <w:rPr>
          <w:szCs w:val="22"/>
          <w:lang w:val="en-GB"/>
        </w:rPr>
        <w:t xml:space="preserve"> here,</w:t>
      </w:r>
      <w:r w:rsidR="00606E8D" w:rsidRPr="00575A3E">
        <w:rPr>
          <w:szCs w:val="22"/>
          <w:lang w:val="en-GB"/>
        </w:rPr>
        <w:t xml:space="preserve"> </w:t>
      </w:r>
      <w:r w:rsidR="00E421FF" w:rsidRPr="00575A3E">
        <w:rPr>
          <w:szCs w:val="22"/>
          <w:lang w:val="en-GB"/>
        </w:rPr>
        <w:t>which</w:t>
      </w:r>
      <w:r w:rsidR="00F32B94" w:rsidRPr="00575A3E">
        <w:rPr>
          <w:szCs w:val="22"/>
          <w:lang w:val="en-GB"/>
        </w:rPr>
        <w:t xml:space="preserve"> is in line with </w:t>
      </w:r>
      <w:r w:rsidR="00E421FF" w:rsidRPr="00575A3E">
        <w:rPr>
          <w:szCs w:val="22"/>
          <w:lang w:val="en-GB"/>
        </w:rPr>
        <w:t>other related literature, such as</w:t>
      </w:r>
      <w:r w:rsidR="00F32B94" w:rsidRPr="00575A3E">
        <w:rPr>
          <w:szCs w:val="22"/>
          <w:lang w:val="en-GB"/>
        </w:rPr>
        <w:t xml:space="preserve"> </w:t>
      </w:r>
      <w:r w:rsidR="00F32B94" w:rsidRPr="00575A3E">
        <w:rPr>
          <w:szCs w:val="22"/>
          <w:lang w:val="en-GB"/>
        </w:rPr>
        <w:fldChar w:fldCharType="begin" w:fldLock="1"/>
      </w:r>
      <w:r w:rsidR="00BF7603" w:rsidRPr="00575A3E">
        <w:rPr>
          <w:szCs w:val="22"/>
          <w:lang w:val="en-GB"/>
        </w:rPr>
        <w:instrText>ADDIN CSL_CITATION {"citationItems":[{"id":"ITEM-1","itemData":{"DOI":"10.1177/0361198119846478","ISSN":"21694052","abstract":"While a range of methods have been employed to quantify certain anticipated impacts of connected and autonomous vehicles (CAVs), a comprehensive framework for integrating CAVs into trip-based models, like those used by many metropolitan areas today, is lacking. Without real-world CAV usage data, integrating CAVs into trip-based models today requires speculative modeling assumptions; however, incorporating fundamental parameters into existing travel modeling frameworks is timely for two reasons. First, understanding the range of possible futures from scenario planning or exploratory modeling analysis can assist metropolitan areas anticipate and manage the potential risks and benefits of CAVs. Second, data on the travel behavior of early CAV adopters will become available during the lifespan of many models currently in use or development. This paper summarizes an enhanced trip-based modeling framework incorporating uncertainties related to CAVs initially developed in support of the Michigan Department of Transportation’s statewide model. This framework is now being applied in statewide and metropolitan scale models in Michigan, Illinois, Virginia, Indiana, and South Carolina. An important contribution of this framework is its typology of and methods for representing zero-occupant vehicle (ZOV) trips. Additionally, this paper details an exploratory analysis of CAV scenarios in Vermont using a trip-based model incorporating several elements of the framework. In this application, reasonable assumptions related to induced CAV demand, including ZOV trips, resulted in substantial increases in vehicle miles traveled, vehicle hours traveled, and delay despite capacity increases, demonstrating how relatively basic trip-based scenario modeling of CAVs can be a valuable tool for informing and encouraging public policy discussions.","author":[{"dropping-particle":"","family":"Bernardin","given":"Vincent L.","non-dropping-particle":"","parse-names":false,"suffix":""},{"dropping-particle":"","family":"Mansfield","given":"Theodore","non-dropping-particle":"","parse-names":false,"suffix":""},{"dropping-particle":"","family":"Swanson","given":"Benjamin","non-dropping-particle":"","parse-names":false,"suffix":""},{"dropping-particle":"","family":"Sadrsadat","given":"Hadi","non-dropping-particle":"","parse-names":false,"suffix":""},{"dropping-particle":"","family":"Bindra","given":"Sumit","non-dropping-particle":"","parse-names":false,"suffix":""}],"container-title":"Transportation Research Record","id":"ITEM-1","issued":{"date-parts":[["2019"]]},"title":"Scenario Modeling of Autonomous Vehicles with Trip-Based Models","type":"article-journal"},"uris":["http://www.mendeley.com/documents/?uuid=b8ecf1bb-ea17-4c6e-865e-134f3e350c7c"]}],"mendeley":{"formattedCitation":"(Bernardin et al., 2019)","manualFormatting":"Bernardin et al. (2019)","plainTextFormattedCitation":"(Bernardin et al., 2019)","previouslyFormattedCitation":"(Bernardin et al., 2019)"},"properties":{"noteIndex":0},"schema":"https://github.com/citation-style-language/schema/raw/master/csl-citation.json"}</w:instrText>
      </w:r>
      <w:r w:rsidR="00F32B94" w:rsidRPr="00575A3E">
        <w:rPr>
          <w:szCs w:val="22"/>
          <w:lang w:val="en-GB"/>
        </w:rPr>
        <w:fldChar w:fldCharType="separate"/>
      </w:r>
      <w:r w:rsidR="00C41D0C" w:rsidRPr="00575A3E">
        <w:rPr>
          <w:noProof/>
          <w:szCs w:val="22"/>
          <w:lang w:val="en-GB"/>
        </w:rPr>
        <w:t xml:space="preserve">Bernardin et al. </w:t>
      </w:r>
      <w:r w:rsidR="00260519" w:rsidRPr="00575A3E">
        <w:rPr>
          <w:noProof/>
          <w:szCs w:val="22"/>
          <w:lang w:val="en-GB"/>
        </w:rPr>
        <w:t>(</w:t>
      </w:r>
      <w:r w:rsidR="00C41D0C" w:rsidRPr="00575A3E">
        <w:rPr>
          <w:noProof/>
          <w:szCs w:val="22"/>
          <w:lang w:val="en-GB"/>
        </w:rPr>
        <w:t>2019)</w:t>
      </w:r>
      <w:r w:rsidR="00F32B94" w:rsidRPr="00575A3E">
        <w:rPr>
          <w:szCs w:val="22"/>
          <w:lang w:val="en-GB"/>
        </w:rPr>
        <w:fldChar w:fldCharType="end"/>
      </w:r>
      <w:r w:rsidR="00F32B94" w:rsidRPr="00575A3E">
        <w:rPr>
          <w:szCs w:val="22"/>
          <w:lang w:val="en-GB"/>
        </w:rPr>
        <w:t xml:space="preserve">, where </w:t>
      </w:r>
      <w:r w:rsidR="00E421FF" w:rsidRPr="00575A3E">
        <w:rPr>
          <w:szCs w:val="22"/>
          <w:lang w:val="en-GB"/>
        </w:rPr>
        <w:t>z</w:t>
      </w:r>
      <w:r w:rsidR="00F32B94" w:rsidRPr="00575A3E">
        <w:rPr>
          <w:szCs w:val="22"/>
          <w:lang w:val="en-GB"/>
        </w:rPr>
        <w:t xml:space="preserve">ero </w:t>
      </w:r>
      <w:r w:rsidR="00E421FF" w:rsidRPr="00575A3E">
        <w:rPr>
          <w:szCs w:val="22"/>
          <w:lang w:val="en-GB"/>
        </w:rPr>
        <w:t>o</w:t>
      </w:r>
      <w:r w:rsidR="00F32B94" w:rsidRPr="00575A3E">
        <w:rPr>
          <w:szCs w:val="22"/>
          <w:lang w:val="en-GB"/>
        </w:rPr>
        <w:t xml:space="preserve">ccupancy </w:t>
      </w:r>
      <w:r w:rsidR="00E421FF" w:rsidRPr="00575A3E">
        <w:rPr>
          <w:szCs w:val="22"/>
          <w:lang w:val="en-GB"/>
        </w:rPr>
        <w:t>v</w:t>
      </w:r>
      <w:r w:rsidR="00F32B94" w:rsidRPr="00575A3E">
        <w:rPr>
          <w:szCs w:val="22"/>
          <w:lang w:val="en-GB"/>
        </w:rPr>
        <w:t xml:space="preserve">ehicle </w:t>
      </w:r>
      <w:r w:rsidR="00E421FF" w:rsidRPr="00575A3E">
        <w:rPr>
          <w:szCs w:val="22"/>
          <w:lang w:val="en-GB"/>
        </w:rPr>
        <w:t>t</w:t>
      </w:r>
      <w:r w:rsidR="00F32B94" w:rsidRPr="00575A3E">
        <w:rPr>
          <w:szCs w:val="22"/>
          <w:lang w:val="en-GB"/>
        </w:rPr>
        <w:t>rips</w:t>
      </w:r>
      <w:r w:rsidR="00E421FF" w:rsidRPr="00575A3E">
        <w:rPr>
          <w:szCs w:val="22"/>
          <w:lang w:val="en-GB"/>
        </w:rPr>
        <w:t xml:space="preserve"> are also considered</w:t>
      </w:r>
      <w:r w:rsidR="00F32B94" w:rsidRPr="00575A3E">
        <w:rPr>
          <w:szCs w:val="22"/>
          <w:lang w:val="en-GB"/>
        </w:rPr>
        <w:t>. It is</w:t>
      </w:r>
      <w:r w:rsidR="000138E5" w:rsidRPr="00575A3E">
        <w:rPr>
          <w:szCs w:val="22"/>
          <w:lang w:val="en-GB"/>
        </w:rPr>
        <w:t xml:space="preserve"> </w:t>
      </w:r>
      <w:r w:rsidR="00F2790E" w:rsidRPr="00575A3E">
        <w:rPr>
          <w:szCs w:val="22"/>
          <w:lang w:val="en-GB"/>
        </w:rPr>
        <w:t xml:space="preserve">further </w:t>
      </w:r>
      <w:r w:rsidR="00F32B94" w:rsidRPr="00575A3E">
        <w:rPr>
          <w:szCs w:val="22"/>
          <w:lang w:val="en-GB"/>
        </w:rPr>
        <w:t xml:space="preserve">suggested that trip rates should be increased after the incorporation of new technologies, as barriers </w:t>
      </w:r>
      <w:r w:rsidR="00E421FF" w:rsidRPr="00575A3E">
        <w:rPr>
          <w:szCs w:val="22"/>
          <w:lang w:val="en-GB"/>
        </w:rPr>
        <w:t xml:space="preserve">to </w:t>
      </w:r>
      <w:r w:rsidR="00F32B94" w:rsidRPr="00575A3E">
        <w:rPr>
          <w:szCs w:val="22"/>
          <w:lang w:val="en-GB"/>
        </w:rPr>
        <w:t>mobility will be reduced</w:t>
      </w:r>
      <w:r w:rsidR="00E421FF" w:rsidRPr="00575A3E">
        <w:rPr>
          <w:szCs w:val="22"/>
          <w:lang w:val="en-GB"/>
        </w:rPr>
        <w:t xml:space="preserve">, particularly </w:t>
      </w:r>
      <w:r w:rsidR="00F32B94" w:rsidRPr="00575A3E">
        <w:rPr>
          <w:szCs w:val="22"/>
          <w:lang w:val="en-GB"/>
        </w:rPr>
        <w:t xml:space="preserve">for </w:t>
      </w:r>
      <w:r w:rsidR="00F2790E" w:rsidRPr="00575A3E">
        <w:rPr>
          <w:szCs w:val="22"/>
          <w:lang w:val="en-GB"/>
        </w:rPr>
        <w:t xml:space="preserve">people with </w:t>
      </w:r>
      <w:r w:rsidR="00F32B94" w:rsidRPr="00575A3E">
        <w:rPr>
          <w:szCs w:val="22"/>
          <w:lang w:val="en-GB"/>
        </w:rPr>
        <w:t>disab</w:t>
      </w:r>
      <w:r w:rsidR="00F2790E" w:rsidRPr="00575A3E">
        <w:rPr>
          <w:szCs w:val="22"/>
          <w:lang w:val="en-GB"/>
        </w:rPr>
        <w:t>ilities</w:t>
      </w:r>
      <w:r w:rsidR="00F32B94" w:rsidRPr="00575A3E">
        <w:rPr>
          <w:szCs w:val="22"/>
          <w:lang w:val="en-GB"/>
        </w:rPr>
        <w:t xml:space="preserve">, children and seniors </w:t>
      </w:r>
      <w:r w:rsidR="00F32B94" w:rsidRPr="00575A3E">
        <w:rPr>
          <w:szCs w:val="22"/>
          <w:lang w:val="en-GB"/>
        </w:rPr>
        <w:fldChar w:fldCharType="begin" w:fldLock="1"/>
      </w:r>
      <w:r w:rsidR="00BF7603" w:rsidRPr="00575A3E">
        <w:rPr>
          <w:szCs w:val="22"/>
          <w:lang w:val="en-GB"/>
        </w:rPr>
        <w:instrText>ADDIN CSL_CITATION {"citationItems":[{"id":"ITEM-1","itemData":{"DOI":"10.1177/0361198119846478","ISSN":"21694052","abstract":"While a range of methods have been employed to quantify certain anticipated impacts of connected and autonomous vehicles (CAVs), a comprehensive framework for integrating CAVs into trip-based models, like those used by many metropolitan areas today, is lacking. Without real-world CAV usage data, integrating CAVs into trip-based models today requires speculative modeling assumptions; however, incorporating fundamental parameters into existing travel modeling frameworks is timely for two reasons. First, understanding the range of possible futures from scenario planning or exploratory modeling analysis can assist metropolitan areas anticipate and manage the potential risks and benefits of CAVs. Second, data on the travel behavior of early CAV adopters will become available during the lifespan of many models currently in use or development. This paper summarizes an enhanced trip-based modeling framework incorporating uncertainties related to CAVs initially developed in support of the Michigan Department of Transportation’s statewide model. This framework is now being applied in statewide and metropolitan scale models in Michigan, Illinois, Virginia, Indiana, and South Carolina. An important contribution of this framework is its typology of and methods for representing zero-occupant vehicle (ZOV) trips. Additionally, this paper details an exploratory analysis of CAV scenarios in Vermont using a trip-based model incorporating several elements of the framework. In this application, reasonable assumptions related to induced CAV demand, including ZOV trips, resulted in substantial increases in vehicle miles traveled, vehicle hours traveled, and delay despite capacity increases, demonstrating how relatively basic trip-based scenario modeling of CAVs can be a valuable tool for informing and encouraging public policy discussions.","author":[{"dropping-particle":"","family":"Bernardin","given":"Vincent L.","non-dropping-particle":"","parse-names":false,"suffix":""},{"dropping-particle":"","family":"Mansfield","given":"Theodore","non-dropping-particle":"","parse-names":false,"suffix":""},{"dropping-particle":"","family":"Swanson","given":"Benjamin","non-dropping-particle":"","parse-names":false,"suffix":""},{"dropping-particle":"","family":"Sadrsadat","given":"Hadi","non-dropping-particle":"","parse-names":false,"suffix":""},{"dropping-particle":"","family":"Bindra","given":"Sumit","non-dropping-particle":"","parse-names":false,"suffix":""}],"container-title":"Transportation Research Record","id":"ITEM-1","issued":{"date-parts":[["2019"]]},"title":"Scenario Modeling of Autonomous Vehicles with Trip-Based Models","type":"article-journal"},"uris":["http://www.mendeley.com/documents/?uuid=b8ecf1bb-ea17-4c6e-865e-134f3e350c7c"]}],"mendeley":{"formattedCitation":"(Bernardin et al., 2019)","plainTextFormattedCitation":"(Bernardin et al., 2019)","previouslyFormattedCitation":"(Bernardin et al., 2019)"},"properties":{"noteIndex":0},"schema":"https://github.com/citation-style-language/schema/raw/master/csl-citation.json"}</w:instrText>
      </w:r>
      <w:r w:rsidR="00F32B94" w:rsidRPr="00575A3E">
        <w:rPr>
          <w:szCs w:val="22"/>
          <w:lang w:val="en-GB"/>
        </w:rPr>
        <w:fldChar w:fldCharType="separate"/>
      </w:r>
      <w:r w:rsidR="008119F3" w:rsidRPr="00575A3E">
        <w:rPr>
          <w:noProof/>
          <w:szCs w:val="22"/>
          <w:lang w:val="en-GB"/>
        </w:rPr>
        <w:t>(Bernardin et al., 2019)</w:t>
      </w:r>
      <w:r w:rsidR="00F32B94" w:rsidRPr="00575A3E">
        <w:rPr>
          <w:szCs w:val="22"/>
          <w:lang w:val="en-GB"/>
        </w:rPr>
        <w:fldChar w:fldCharType="end"/>
      </w:r>
      <w:r w:rsidR="00F32B94" w:rsidRPr="00575A3E">
        <w:rPr>
          <w:szCs w:val="22"/>
          <w:lang w:val="en-GB"/>
        </w:rPr>
        <w:t>.</w:t>
      </w:r>
      <w:r w:rsidR="00E421FF" w:rsidRPr="00575A3E">
        <w:rPr>
          <w:szCs w:val="22"/>
          <w:lang w:val="en-GB"/>
        </w:rPr>
        <w:t xml:space="preserve"> Consequently, </w:t>
      </w:r>
      <w:r w:rsidR="00F32B94" w:rsidRPr="00575A3E">
        <w:rPr>
          <w:szCs w:val="22"/>
          <w:lang w:val="en-GB"/>
        </w:rPr>
        <w:t>a 5% increase for work trips</w:t>
      </w:r>
      <w:r w:rsidR="00F2790E" w:rsidRPr="00575A3E">
        <w:rPr>
          <w:szCs w:val="22"/>
          <w:lang w:val="en-GB"/>
        </w:rPr>
        <w:t>,</w:t>
      </w:r>
      <w:r w:rsidR="00F32B94" w:rsidRPr="00575A3E">
        <w:rPr>
          <w:szCs w:val="22"/>
          <w:lang w:val="en-GB"/>
        </w:rPr>
        <w:t xml:space="preserve"> and </w:t>
      </w:r>
      <w:r w:rsidR="00F2790E" w:rsidRPr="00575A3E">
        <w:rPr>
          <w:szCs w:val="22"/>
          <w:lang w:val="en-GB"/>
        </w:rPr>
        <w:t xml:space="preserve">for </w:t>
      </w:r>
      <w:r w:rsidR="00C5607E" w:rsidRPr="00575A3E">
        <w:rPr>
          <w:szCs w:val="22"/>
          <w:lang w:val="en-GB"/>
        </w:rPr>
        <w:t xml:space="preserve">trips of students and </w:t>
      </w:r>
      <w:r w:rsidR="00F2790E" w:rsidRPr="00575A3E">
        <w:rPr>
          <w:szCs w:val="22"/>
          <w:lang w:val="en-GB"/>
        </w:rPr>
        <w:t xml:space="preserve">of </w:t>
      </w:r>
      <w:r w:rsidR="00E421FF" w:rsidRPr="00575A3E">
        <w:rPr>
          <w:szCs w:val="22"/>
          <w:lang w:val="en-GB"/>
        </w:rPr>
        <w:t xml:space="preserve">the </w:t>
      </w:r>
      <w:r w:rsidR="00C5607E" w:rsidRPr="00575A3E">
        <w:rPr>
          <w:szCs w:val="22"/>
          <w:lang w:val="en-GB"/>
        </w:rPr>
        <w:t>elderly</w:t>
      </w:r>
      <w:r w:rsidR="00E421FF" w:rsidRPr="00575A3E">
        <w:rPr>
          <w:szCs w:val="22"/>
          <w:lang w:val="en-GB"/>
        </w:rPr>
        <w:t xml:space="preserve"> is adopted</w:t>
      </w:r>
      <w:r w:rsidR="00C5607E" w:rsidRPr="00575A3E">
        <w:rPr>
          <w:szCs w:val="22"/>
          <w:lang w:val="en-GB"/>
        </w:rPr>
        <w:t xml:space="preserve">. </w:t>
      </w:r>
    </w:p>
    <w:p w14:paraId="2138BA96" w14:textId="77777777" w:rsidR="00C64E24" w:rsidRPr="00575A3E" w:rsidRDefault="00C64E24" w:rsidP="00A55356">
      <w:pPr>
        <w:suppressAutoHyphens w:val="0"/>
        <w:autoSpaceDE w:val="0"/>
        <w:autoSpaceDN w:val="0"/>
        <w:adjustRightInd w:val="0"/>
        <w:spacing w:line="360" w:lineRule="auto"/>
        <w:rPr>
          <w:szCs w:val="22"/>
          <w:lang w:val="en-GB"/>
        </w:rPr>
      </w:pPr>
    </w:p>
    <w:p w14:paraId="0F8C77B2" w14:textId="6ED29D62" w:rsidR="006B1DD6" w:rsidRPr="00575A3E" w:rsidRDefault="00701376" w:rsidP="00A55356">
      <w:pPr>
        <w:pStyle w:val="Heading3"/>
        <w:spacing w:before="0" w:after="0" w:line="360" w:lineRule="auto"/>
        <w:rPr>
          <w:i/>
          <w:iCs/>
          <w:szCs w:val="22"/>
          <w:lang w:val="en-GB"/>
        </w:rPr>
      </w:pPr>
      <w:r w:rsidRPr="00575A3E">
        <w:rPr>
          <w:i/>
          <w:iCs/>
          <w:szCs w:val="22"/>
          <w:lang w:val="en-GB"/>
        </w:rPr>
        <w:t>3</w:t>
      </w:r>
      <w:r w:rsidR="006B1DD6" w:rsidRPr="00575A3E">
        <w:rPr>
          <w:i/>
          <w:iCs/>
          <w:szCs w:val="22"/>
          <w:lang w:val="en-GB"/>
        </w:rPr>
        <w:t xml:space="preserve">.2.2. </w:t>
      </w:r>
      <w:r w:rsidR="00F2790E" w:rsidRPr="00575A3E">
        <w:rPr>
          <w:i/>
          <w:iCs/>
          <w:szCs w:val="22"/>
          <w:lang w:val="en-GB"/>
        </w:rPr>
        <w:t xml:space="preserve">Penetration rates </w:t>
      </w:r>
      <w:r w:rsidR="006B1DD6" w:rsidRPr="00575A3E">
        <w:rPr>
          <w:i/>
          <w:iCs/>
          <w:szCs w:val="22"/>
          <w:lang w:val="en-GB"/>
        </w:rPr>
        <w:t>of different vehicle technologies</w:t>
      </w:r>
    </w:p>
    <w:p w14:paraId="0FEC1EF7" w14:textId="3D34F78C" w:rsidR="001A3287" w:rsidRPr="00575A3E" w:rsidRDefault="00541AB2" w:rsidP="00A55356">
      <w:pPr>
        <w:spacing w:line="360" w:lineRule="auto"/>
        <w:rPr>
          <w:szCs w:val="22"/>
          <w:lang w:val="en-GB"/>
        </w:rPr>
      </w:pPr>
      <w:r w:rsidRPr="00575A3E">
        <w:rPr>
          <w:szCs w:val="22"/>
          <w:lang w:val="en-GB"/>
        </w:rPr>
        <w:t xml:space="preserve">Knowledge </w:t>
      </w:r>
      <w:r w:rsidR="00596BD5" w:rsidRPr="00575A3E">
        <w:rPr>
          <w:szCs w:val="22"/>
          <w:lang w:val="en-GB"/>
        </w:rPr>
        <w:t>regarding</w:t>
      </w:r>
      <w:r w:rsidR="00EE726A" w:rsidRPr="00575A3E">
        <w:rPr>
          <w:szCs w:val="22"/>
          <w:lang w:val="en-GB"/>
        </w:rPr>
        <w:t xml:space="preserve"> </w:t>
      </w:r>
      <w:r w:rsidRPr="00575A3E">
        <w:rPr>
          <w:szCs w:val="22"/>
          <w:lang w:val="en-GB"/>
        </w:rPr>
        <w:t xml:space="preserve">penetration rates </w:t>
      </w:r>
      <w:r w:rsidR="00EE726A" w:rsidRPr="00575A3E">
        <w:rPr>
          <w:szCs w:val="22"/>
          <w:lang w:val="en-GB"/>
        </w:rPr>
        <w:t xml:space="preserve">of </w:t>
      </w:r>
      <w:r w:rsidRPr="00575A3E">
        <w:rPr>
          <w:szCs w:val="22"/>
          <w:lang w:val="en-GB"/>
        </w:rPr>
        <w:t>CAVs and EVs</w:t>
      </w:r>
      <w:r w:rsidR="00EE726A" w:rsidRPr="00575A3E">
        <w:rPr>
          <w:szCs w:val="22"/>
          <w:lang w:val="en-GB"/>
        </w:rPr>
        <w:t xml:space="preserve"> in the fleet </w:t>
      </w:r>
      <w:r w:rsidRPr="00575A3E">
        <w:rPr>
          <w:szCs w:val="22"/>
          <w:lang w:val="en-GB"/>
        </w:rPr>
        <w:t>is necessary to estimate their land use impacts</w:t>
      </w:r>
      <w:r w:rsidR="00767346" w:rsidRPr="00575A3E">
        <w:rPr>
          <w:szCs w:val="22"/>
          <w:lang w:val="en-GB"/>
        </w:rPr>
        <w:t xml:space="preserve"> by formulating relevant scenarios</w:t>
      </w:r>
      <w:r w:rsidRPr="00575A3E">
        <w:rPr>
          <w:szCs w:val="22"/>
          <w:lang w:val="en-GB"/>
        </w:rPr>
        <w:t>, but in the absence of actual data, this can only be obtained from projections available</w:t>
      </w:r>
      <w:r w:rsidR="00C852E8" w:rsidRPr="00575A3E">
        <w:rPr>
          <w:szCs w:val="22"/>
          <w:lang w:val="en-GB"/>
        </w:rPr>
        <w:t xml:space="preserve"> in the literature</w:t>
      </w:r>
      <w:r w:rsidRPr="00575A3E">
        <w:rPr>
          <w:szCs w:val="22"/>
          <w:lang w:val="en-GB"/>
        </w:rPr>
        <w:t>.</w:t>
      </w:r>
      <w:r w:rsidR="00EE726A" w:rsidRPr="00575A3E">
        <w:rPr>
          <w:szCs w:val="22"/>
          <w:lang w:val="en-GB"/>
        </w:rPr>
        <w:t xml:space="preserve"> </w:t>
      </w:r>
      <w:r w:rsidR="00551D0B" w:rsidRPr="00575A3E">
        <w:rPr>
          <w:szCs w:val="22"/>
          <w:lang w:val="en-GB"/>
        </w:rPr>
        <w:t>For CAVs</w:t>
      </w:r>
      <w:r w:rsidR="00767346" w:rsidRPr="00575A3E">
        <w:rPr>
          <w:szCs w:val="22"/>
          <w:lang w:val="en-GB"/>
        </w:rPr>
        <w:t>,</w:t>
      </w:r>
      <w:r w:rsidR="00F30593" w:rsidRPr="00575A3E">
        <w:rPr>
          <w:szCs w:val="22"/>
          <w:lang w:val="en-GB"/>
        </w:rPr>
        <w:t xml:space="preserve"> two scenarios </w:t>
      </w:r>
      <w:r w:rsidR="00767346" w:rsidRPr="00575A3E">
        <w:rPr>
          <w:szCs w:val="22"/>
          <w:lang w:val="en-GB"/>
        </w:rPr>
        <w:t>are considered</w:t>
      </w:r>
      <w:r w:rsidR="00F30593" w:rsidRPr="00575A3E">
        <w:rPr>
          <w:szCs w:val="22"/>
          <w:lang w:val="en-GB"/>
        </w:rPr>
        <w:t xml:space="preserve"> </w:t>
      </w:r>
      <w:r w:rsidR="00767346" w:rsidRPr="00575A3E">
        <w:rPr>
          <w:szCs w:val="22"/>
          <w:lang w:val="en-GB"/>
        </w:rPr>
        <w:t>based on</w:t>
      </w:r>
      <w:r w:rsidR="00F30593" w:rsidRPr="00575A3E">
        <w:rPr>
          <w:szCs w:val="22"/>
          <w:lang w:val="en-GB"/>
        </w:rPr>
        <w:t xml:space="preserve"> </w:t>
      </w:r>
      <w:r w:rsidR="00F30593" w:rsidRPr="00575A3E">
        <w:rPr>
          <w:szCs w:val="22"/>
          <w:lang w:val="en-GB"/>
        </w:rPr>
        <w:fldChar w:fldCharType="begin" w:fldLock="1"/>
      </w:r>
      <w:r w:rsidR="003C378F" w:rsidRPr="00575A3E">
        <w:rPr>
          <w:szCs w:val="22"/>
          <w:lang w:val="en-GB"/>
        </w:rPr>
        <w:instrText>ADDIN CSL_CITATION {"citationItems":[{"id":"ITEM-1","itemData":{"abstract":"Connected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CAVs.","author":[{"dropping-particle":"","family":"Atkins","given":"","non-dropping-particle":"","parse-names":false,"suffix":""}],"id":"ITEM-1","issue":"March","issued":{"date-parts":[["2016"]]},"page":"58","title":"Research on the Impacts of Connected and Autonomouse Vehicles (CAVs) on Traffic Flow","type":"article-journal"},"uris":["http://www.mendeley.com/documents/?uuid=0c131a8d-77a7-480c-855f-44a4939bc16e"]}],"mendeley":{"formattedCitation":"(Atkins, 2016)","manualFormatting":"Atkins (2016)","plainTextFormattedCitation":"(Atkins, 2016)","previouslyFormattedCitation":"(Atkins, 2016)"},"properties":{"noteIndex":0},"schema":"https://github.com/citation-style-language/schema/raw/master/csl-citation.json"}</w:instrText>
      </w:r>
      <w:r w:rsidR="00F30593" w:rsidRPr="00575A3E">
        <w:rPr>
          <w:szCs w:val="22"/>
          <w:lang w:val="en-GB"/>
        </w:rPr>
        <w:fldChar w:fldCharType="separate"/>
      </w:r>
      <w:r w:rsidR="00C41D0C" w:rsidRPr="00575A3E">
        <w:rPr>
          <w:noProof/>
          <w:szCs w:val="22"/>
          <w:lang w:val="en-GB"/>
        </w:rPr>
        <w:t xml:space="preserve">Atkins </w:t>
      </w:r>
      <w:r w:rsidR="003C378F" w:rsidRPr="00575A3E">
        <w:rPr>
          <w:noProof/>
          <w:szCs w:val="22"/>
          <w:lang w:val="en-GB"/>
        </w:rPr>
        <w:t>(</w:t>
      </w:r>
      <w:r w:rsidR="00C41D0C" w:rsidRPr="00575A3E">
        <w:rPr>
          <w:noProof/>
          <w:szCs w:val="22"/>
          <w:lang w:val="en-GB"/>
        </w:rPr>
        <w:t>2016)</w:t>
      </w:r>
      <w:r w:rsidR="00F30593" w:rsidRPr="00575A3E">
        <w:rPr>
          <w:szCs w:val="22"/>
          <w:lang w:val="en-GB"/>
        </w:rPr>
        <w:fldChar w:fldCharType="end"/>
      </w:r>
      <w:r w:rsidR="00F30593" w:rsidRPr="00575A3E">
        <w:rPr>
          <w:szCs w:val="22"/>
          <w:lang w:val="en-GB"/>
        </w:rPr>
        <w:t xml:space="preserve">. The first scenario assumes a 25% penetration of CAVs, with 20% being </w:t>
      </w:r>
      <w:r w:rsidR="00767346" w:rsidRPr="00575A3E">
        <w:rPr>
          <w:szCs w:val="22"/>
          <w:lang w:val="en-GB"/>
        </w:rPr>
        <w:t>L</w:t>
      </w:r>
      <w:r w:rsidR="00F30593" w:rsidRPr="00575A3E">
        <w:rPr>
          <w:szCs w:val="22"/>
          <w:lang w:val="en-GB"/>
        </w:rPr>
        <w:t xml:space="preserve">evel 2 CAVs, 5% </w:t>
      </w:r>
      <w:r w:rsidR="00767346" w:rsidRPr="00575A3E">
        <w:rPr>
          <w:szCs w:val="22"/>
          <w:lang w:val="en-GB"/>
        </w:rPr>
        <w:t>L</w:t>
      </w:r>
      <w:r w:rsidR="00F30593" w:rsidRPr="00575A3E">
        <w:rPr>
          <w:szCs w:val="22"/>
          <w:lang w:val="en-GB"/>
        </w:rPr>
        <w:t xml:space="preserve">evel 3 CAVs and the remaining 75% being a mixture of </w:t>
      </w:r>
      <w:r w:rsidR="00767346" w:rsidRPr="00575A3E">
        <w:rPr>
          <w:szCs w:val="22"/>
          <w:lang w:val="en-GB"/>
        </w:rPr>
        <w:t>L</w:t>
      </w:r>
      <w:r w:rsidR="00F30593" w:rsidRPr="00575A3E">
        <w:rPr>
          <w:szCs w:val="22"/>
          <w:lang w:val="en-GB"/>
        </w:rPr>
        <w:t xml:space="preserve">evel 1 CAVs and conventional cars. The second scenario assumes 50%  penetration of CAVs and this case the breakdown is: </w:t>
      </w:r>
      <w:r w:rsidR="0024499A" w:rsidRPr="00575A3E">
        <w:rPr>
          <w:szCs w:val="22"/>
          <w:lang w:val="en-GB"/>
        </w:rPr>
        <w:t xml:space="preserve">50% </w:t>
      </w:r>
      <w:r w:rsidR="00767346" w:rsidRPr="00575A3E">
        <w:rPr>
          <w:szCs w:val="22"/>
          <w:lang w:val="en-GB"/>
        </w:rPr>
        <w:t>L</w:t>
      </w:r>
      <w:r w:rsidR="0024499A" w:rsidRPr="00575A3E">
        <w:rPr>
          <w:szCs w:val="22"/>
          <w:lang w:val="en-GB"/>
        </w:rPr>
        <w:t xml:space="preserve">evel 1 CAVs and conventional cars, 35% </w:t>
      </w:r>
      <w:r w:rsidR="00767346" w:rsidRPr="00575A3E">
        <w:rPr>
          <w:szCs w:val="22"/>
          <w:lang w:val="en-GB"/>
        </w:rPr>
        <w:t>L</w:t>
      </w:r>
      <w:r w:rsidR="0024499A" w:rsidRPr="00575A3E">
        <w:rPr>
          <w:szCs w:val="22"/>
          <w:lang w:val="en-GB"/>
        </w:rPr>
        <w:t xml:space="preserve">evel 2 CAVs, 10% </w:t>
      </w:r>
      <w:r w:rsidR="00767346" w:rsidRPr="00575A3E">
        <w:rPr>
          <w:szCs w:val="22"/>
          <w:lang w:val="en-GB"/>
        </w:rPr>
        <w:t>L</w:t>
      </w:r>
      <w:r w:rsidR="0024499A" w:rsidRPr="00575A3E">
        <w:rPr>
          <w:szCs w:val="22"/>
          <w:lang w:val="en-GB"/>
        </w:rPr>
        <w:t xml:space="preserve">evel 3 CAVs and the remaining 5% </w:t>
      </w:r>
      <w:r w:rsidR="00767346" w:rsidRPr="00575A3E">
        <w:rPr>
          <w:szCs w:val="22"/>
          <w:lang w:val="en-GB"/>
        </w:rPr>
        <w:t>L</w:t>
      </w:r>
      <w:r w:rsidR="0024499A" w:rsidRPr="00575A3E">
        <w:rPr>
          <w:szCs w:val="22"/>
          <w:lang w:val="en-GB"/>
        </w:rPr>
        <w:t xml:space="preserve">evel 4 and </w:t>
      </w:r>
      <w:r w:rsidR="00767346" w:rsidRPr="00575A3E">
        <w:rPr>
          <w:szCs w:val="22"/>
          <w:lang w:val="en-GB"/>
        </w:rPr>
        <w:t xml:space="preserve">Level </w:t>
      </w:r>
      <w:r w:rsidR="0024499A" w:rsidRPr="00575A3E">
        <w:rPr>
          <w:szCs w:val="22"/>
          <w:lang w:val="en-GB"/>
        </w:rPr>
        <w:t xml:space="preserve">5 CAVs </w:t>
      </w:r>
      <w:r w:rsidR="0024499A" w:rsidRPr="00575A3E">
        <w:rPr>
          <w:szCs w:val="22"/>
          <w:lang w:val="en-GB"/>
        </w:rPr>
        <w:fldChar w:fldCharType="begin" w:fldLock="1"/>
      </w:r>
      <w:r w:rsidR="00893050" w:rsidRPr="00575A3E">
        <w:rPr>
          <w:szCs w:val="22"/>
          <w:lang w:val="en-GB"/>
        </w:rPr>
        <w:instrText>ADDIN CSL_CITATION {"citationItems":[{"id":"ITEM-1","itemData":{"abstract":"Connected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CAVs.","author":[{"dropping-particle":"","family":"Atkins","given":"","non-dropping-particle":"","parse-names":false,"suffix":""}],"id":"ITEM-1","issue":"March","issued":{"date-parts":[["2016"]]},"page":"58","title":"Research on the Impacts of Connected and Autonomouse Vehicles (CAVs) on Traffic Flow","type":"article-journal"},"uris":["http://www.mendeley.com/documents/?uuid=0c131a8d-77a7-480c-855f-44a4939bc16e"]}],"mendeley":{"formattedCitation":"(Atkins, 2016)","plainTextFormattedCitation":"(Atkins, 2016)","previouslyFormattedCitation":"(Atkins, 2016)"},"properties":{"noteIndex":0},"schema":"https://github.com/citation-style-language/schema/raw/master/csl-citation.json"}</w:instrText>
      </w:r>
      <w:r w:rsidR="0024499A" w:rsidRPr="00575A3E">
        <w:rPr>
          <w:szCs w:val="22"/>
          <w:lang w:val="en-GB"/>
        </w:rPr>
        <w:fldChar w:fldCharType="separate"/>
      </w:r>
      <w:r w:rsidR="00C41D0C" w:rsidRPr="00575A3E">
        <w:rPr>
          <w:noProof/>
          <w:szCs w:val="22"/>
          <w:lang w:val="en-GB"/>
        </w:rPr>
        <w:t>(Atkins, 2016)</w:t>
      </w:r>
      <w:r w:rsidR="0024499A" w:rsidRPr="00575A3E">
        <w:rPr>
          <w:szCs w:val="22"/>
          <w:lang w:val="en-GB"/>
        </w:rPr>
        <w:fldChar w:fldCharType="end"/>
      </w:r>
      <w:r w:rsidR="0024499A" w:rsidRPr="00575A3E">
        <w:rPr>
          <w:szCs w:val="22"/>
          <w:lang w:val="en-GB"/>
        </w:rPr>
        <w:t>. The main difference of the two scenarios is that full automation</w:t>
      </w:r>
      <w:r w:rsidR="008F50B6" w:rsidRPr="00575A3E">
        <w:rPr>
          <w:szCs w:val="22"/>
          <w:lang w:val="en-GB"/>
        </w:rPr>
        <w:t xml:space="preserve"> (Level 5)</w:t>
      </w:r>
      <w:r w:rsidR="0024499A" w:rsidRPr="00575A3E">
        <w:rPr>
          <w:szCs w:val="22"/>
          <w:lang w:val="en-GB"/>
        </w:rPr>
        <w:t xml:space="preserve"> is only </w:t>
      </w:r>
      <w:r w:rsidR="00A92162" w:rsidRPr="00575A3E">
        <w:rPr>
          <w:szCs w:val="22"/>
          <w:lang w:val="en-GB"/>
        </w:rPr>
        <w:t>included</w:t>
      </w:r>
      <w:r w:rsidR="0024499A" w:rsidRPr="00575A3E">
        <w:rPr>
          <w:szCs w:val="22"/>
          <w:lang w:val="en-GB"/>
        </w:rPr>
        <w:t xml:space="preserve"> in the </w:t>
      </w:r>
      <w:r w:rsidR="008F50B6" w:rsidRPr="00575A3E">
        <w:rPr>
          <w:szCs w:val="22"/>
          <w:lang w:val="en-GB"/>
        </w:rPr>
        <w:t>latter</w:t>
      </w:r>
      <w:r w:rsidR="0024499A" w:rsidRPr="00575A3E">
        <w:rPr>
          <w:szCs w:val="22"/>
          <w:lang w:val="en-GB"/>
        </w:rPr>
        <w:t xml:space="preserve">. </w:t>
      </w:r>
      <w:r w:rsidR="00551D0B" w:rsidRPr="00575A3E">
        <w:rPr>
          <w:szCs w:val="22"/>
          <w:lang w:val="en-GB"/>
        </w:rPr>
        <w:t>For EVs</w:t>
      </w:r>
      <w:r w:rsidR="00767346" w:rsidRPr="00575A3E">
        <w:rPr>
          <w:szCs w:val="22"/>
          <w:lang w:val="en-GB"/>
        </w:rPr>
        <w:t>, on the other hand, following</w:t>
      </w:r>
      <w:r w:rsidR="0024499A" w:rsidRPr="00575A3E">
        <w:rPr>
          <w:szCs w:val="22"/>
          <w:lang w:val="en-GB"/>
        </w:rPr>
        <w:t xml:space="preserve"> two independent sources</w:t>
      </w:r>
      <w:r w:rsidR="00260519" w:rsidRPr="00575A3E">
        <w:rPr>
          <w:szCs w:val="22"/>
          <w:lang w:val="en-GB"/>
        </w:rPr>
        <w:t>,</w:t>
      </w:r>
      <w:r w:rsidR="0024499A" w:rsidRPr="00575A3E">
        <w:rPr>
          <w:szCs w:val="22"/>
          <w:lang w:val="en-GB"/>
        </w:rPr>
        <w:t xml:space="preserve"> </w:t>
      </w:r>
      <w:r w:rsidR="008F50B6" w:rsidRPr="00575A3E">
        <w:rPr>
          <w:szCs w:val="22"/>
          <w:lang w:val="en-GB"/>
        </w:rPr>
        <w:t xml:space="preserve">the following </w:t>
      </w:r>
      <w:r w:rsidR="00767346" w:rsidRPr="00575A3E">
        <w:rPr>
          <w:szCs w:val="22"/>
          <w:lang w:val="en-GB"/>
        </w:rPr>
        <w:t xml:space="preserve">penetration rates </w:t>
      </w:r>
      <w:r w:rsidR="006A7362" w:rsidRPr="00575A3E">
        <w:rPr>
          <w:szCs w:val="22"/>
          <w:lang w:val="en-GB"/>
        </w:rPr>
        <w:t>are considered</w:t>
      </w:r>
      <w:r w:rsidR="008F50B6" w:rsidRPr="00575A3E">
        <w:rPr>
          <w:szCs w:val="22"/>
          <w:lang w:val="en-GB"/>
        </w:rPr>
        <w:t>:</w:t>
      </w:r>
      <w:r w:rsidR="006A7362" w:rsidRPr="00575A3E">
        <w:rPr>
          <w:szCs w:val="22"/>
          <w:lang w:val="en-GB"/>
        </w:rPr>
        <w:t xml:space="preserve"> </w:t>
      </w:r>
    </w:p>
    <w:p w14:paraId="3409800A" w14:textId="77777777" w:rsidR="00F37E56" w:rsidRPr="00575A3E" w:rsidRDefault="00F37E56" w:rsidP="00A55356">
      <w:pPr>
        <w:spacing w:line="360" w:lineRule="auto"/>
        <w:rPr>
          <w:szCs w:val="22"/>
          <w:lang w:val="en-GB"/>
        </w:rPr>
      </w:pPr>
    </w:p>
    <w:p w14:paraId="66BF17F5" w14:textId="4538C8C5" w:rsidR="001A3287" w:rsidRPr="00575A3E" w:rsidRDefault="001A3287" w:rsidP="001A3287">
      <w:pPr>
        <w:pStyle w:val="ListParagraph"/>
        <w:numPr>
          <w:ilvl w:val="0"/>
          <w:numId w:val="31"/>
        </w:numPr>
        <w:spacing w:line="360" w:lineRule="auto"/>
        <w:jc w:val="both"/>
        <w:rPr>
          <w:sz w:val="22"/>
          <w:lang w:val="en-GB"/>
        </w:rPr>
      </w:pPr>
      <w:r w:rsidRPr="00575A3E">
        <w:rPr>
          <w:sz w:val="22"/>
          <w:lang w:val="en-GB"/>
        </w:rPr>
        <w:t xml:space="preserve">A </w:t>
      </w:r>
      <w:r w:rsidR="0024499A" w:rsidRPr="00575A3E">
        <w:rPr>
          <w:sz w:val="22"/>
          <w:lang w:val="en-GB"/>
        </w:rPr>
        <w:t>24.2%</w:t>
      </w:r>
      <w:r w:rsidR="006A7362" w:rsidRPr="00575A3E">
        <w:rPr>
          <w:sz w:val="22"/>
          <w:lang w:val="en-GB"/>
        </w:rPr>
        <w:t xml:space="preserve"> rate</w:t>
      </w:r>
      <w:r w:rsidR="0024499A" w:rsidRPr="00575A3E">
        <w:rPr>
          <w:sz w:val="22"/>
          <w:lang w:val="en-GB"/>
        </w:rPr>
        <w:t xml:space="preserve"> </w:t>
      </w:r>
      <w:r w:rsidR="00767346" w:rsidRPr="00575A3E">
        <w:rPr>
          <w:sz w:val="22"/>
          <w:lang w:val="en-GB"/>
        </w:rPr>
        <w:fldChar w:fldCharType="begin" w:fldLock="1"/>
      </w:r>
      <w:r w:rsidR="002859DD" w:rsidRPr="00575A3E">
        <w:rPr>
          <w:sz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767346" w:rsidRPr="00575A3E">
        <w:rPr>
          <w:sz w:val="22"/>
          <w:lang w:val="en-GB"/>
        </w:rPr>
        <w:fldChar w:fldCharType="separate"/>
      </w:r>
      <w:r w:rsidR="002859DD" w:rsidRPr="00575A3E">
        <w:rPr>
          <w:noProof/>
          <w:sz w:val="22"/>
          <w:lang w:val="en-GB"/>
        </w:rPr>
        <w:t>(UK Department for Transport, 2021a)</w:t>
      </w:r>
      <w:r w:rsidR="00767346" w:rsidRPr="00575A3E">
        <w:rPr>
          <w:sz w:val="22"/>
          <w:lang w:val="en-GB"/>
        </w:rPr>
        <w:fldChar w:fldCharType="end"/>
      </w:r>
      <w:r w:rsidR="0037704E" w:rsidRPr="00575A3E">
        <w:rPr>
          <w:sz w:val="22"/>
          <w:lang w:val="en-GB"/>
        </w:rPr>
        <w:t xml:space="preserve">, which is based on the goals of the </w:t>
      </w:r>
      <w:r w:rsidR="006A7362" w:rsidRPr="00575A3E">
        <w:rPr>
          <w:sz w:val="22"/>
          <w:lang w:val="en-GB"/>
        </w:rPr>
        <w:t>UK Transportation Decarbonation Plan</w:t>
      </w:r>
      <w:r w:rsidRPr="00575A3E">
        <w:rPr>
          <w:sz w:val="22"/>
          <w:lang w:val="en-GB"/>
        </w:rPr>
        <w:t xml:space="preserve"> for banning the sale of EVs in 2030</w:t>
      </w:r>
      <w:r w:rsidR="008F50B6" w:rsidRPr="00575A3E">
        <w:rPr>
          <w:sz w:val="22"/>
          <w:lang w:val="en-GB"/>
        </w:rPr>
        <w:t>,</w:t>
      </w:r>
      <w:r w:rsidR="006A7362" w:rsidRPr="00575A3E">
        <w:rPr>
          <w:sz w:val="22"/>
          <w:lang w:val="en-GB"/>
        </w:rPr>
        <w:t xml:space="preserve"> as mentioned </w:t>
      </w:r>
      <w:r w:rsidR="008F50B6" w:rsidRPr="00575A3E">
        <w:rPr>
          <w:sz w:val="22"/>
          <w:lang w:val="en-GB"/>
        </w:rPr>
        <w:t xml:space="preserve">by the </w:t>
      </w:r>
      <w:r w:rsidR="006A7362" w:rsidRPr="00575A3E">
        <w:rPr>
          <w:sz w:val="22"/>
          <w:lang w:val="en-GB"/>
        </w:rPr>
        <w:fldChar w:fldCharType="begin" w:fldLock="1"/>
      </w:r>
      <w:r w:rsidR="002859DD" w:rsidRPr="00575A3E">
        <w:rPr>
          <w:sz w:val="22"/>
          <w:lang w:val="en-GB"/>
        </w:rPr>
        <w:instrText>ADDIN CSL_CITATION {"citationItems":[{"id":"ITEM-1","itemData":{"author":[{"dropping-particle":"","family":"UK Department for Transport","given":"","non-dropping-particle":"","parse-names":false,"suffix":""}],"id":"ITEM-1","issue":"July","issued":{"date-parts":[["2021"]]},"title":"Appraisal and Modelling Strategy A route map for updating TAG during uncertain times","type":"article-journal"},"uris":["http://www.mendeley.com/documents/?uuid=42136f82-5ece-415f-a1a7-a0d748796cda"]}],"mendeley":{"formattedCitation":"(UK Department for Transport, 2021b)","manualFormatting":"UK Department of Transport (2020a)","plainTextFormattedCitation":"(UK Department for Transport, 2021b)","previouslyFormattedCitation":"(UK Department for Transport, 2021b)"},"properties":{"noteIndex":0},"schema":"https://github.com/citation-style-language/schema/raw/master/csl-citation.json"}</w:instrText>
      </w:r>
      <w:r w:rsidR="006A7362" w:rsidRPr="00575A3E">
        <w:rPr>
          <w:sz w:val="22"/>
          <w:lang w:val="en-GB"/>
        </w:rPr>
        <w:fldChar w:fldCharType="separate"/>
      </w:r>
      <w:r w:rsidR="00C41D0C" w:rsidRPr="00575A3E">
        <w:rPr>
          <w:noProof/>
          <w:sz w:val="22"/>
          <w:lang w:val="en-GB"/>
        </w:rPr>
        <w:t>UK Department of Transport</w:t>
      </w:r>
      <w:r w:rsidR="003C378F" w:rsidRPr="00575A3E">
        <w:rPr>
          <w:noProof/>
          <w:sz w:val="22"/>
          <w:lang w:val="en-GB"/>
        </w:rPr>
        <w:t xml:space="preserve"> (</w:t>
      </w:r>
      <w:r w:rsidR="00C41D0C" w:rsidRPr="00575A3E">
        <w:rPr>
          <w:noProof/>
          <w:sz w:val="22"/>
          <w:lang w:val="en-GB"/>
        </w:rPr>
        <w:t>2020a)</w:t>
      </w:r>
      <w:r w:rsidR="006A7362" w:rsidRPr="00575A3E">
        <w:rPr>
          <w:sz w:val="22"/>
          <w:lang w:val="en-GB"/>
        </w:rPr>
        <w:fldChar w:fldCharType="end"/>
      </w:r>
      <w:r w:rsidR="00767346" w:rsidRPr="00575A3E">
        <w:rPr>
          <w:sz w:val="22"/>
          <w:lang w:val="en-GB"/>
        </w:rPr>
        <w:t xml:space="preserve"> </w:t>
      </w:r>
    </w:p>
    <w:p w14:paraId="62CED9BC" w14:textId="1308A7ED" w:rsidR="00551D0B" w:rsidRPr="00575A3E" w:rsidRDefault="001A3287" w:rsidP="001A3287">
      <w:pPr>
        <w:pStyle w:val="ListParagraph"/>
        <w:numPr>
          <w:ilvl w:val="0"/>
          <w:numId w:val="31"/>
        </w:numPr>
        <w:spacing w:line="360" w:lineRule="auto"/>
        <w:jc w:val="both"/>
        <w:rPr>
          <w:sz w:val="22"/>
          <w:lang w:val="en-GB"/>
        </w:rPr>
      </w:pPr>
      <w:r w:rsidRPr="00575A3E">
        <w:rPr>
          <w:sz w:val="22"/>
          <w:lang w:val="en-GB"/>
        </w:rPr>
        <w:t xml:space="preserve">A </w:t>
      </w:r>
      <w:r w:rsidR="00767346" w:rsidRPr="00575A3E">
        <w:rPr>
          <w:sz w:val="22"/>
          <w:lang w:val="en-GB"/>
        </w:rPr>
        <w:t>14.1%</w:t>
      </w:r>
      <w:r w:rsidR="006A7362" w:rsidRPr="00575A3E">
        <w:rPr>
          <w:sz w:val="22"/>
          <w:lang w:val="en-GB"/>
        </w:rPr>
        <w:t xml:space="preserve"> rate</w:t>
      </w:r>
      <w:r w:rsidR="00767346" w:rsidRPr="00575A3E">
        <w:rPr>
          <w:sz w:val="22"/>
          <w:lang w:val="en-GB"/>
        </w:rPr>
        <w:t xml:space="preserve"> </w:t>
      </w:r>
      <w:r w:rsidR="0024499A" w:rsidRPr="00575A3E">
        <w:rPr>
          <w:sz w:val="22"/>
          <w:lang w:val="en-GB"/>
        </w:rPr>
        <w:fldChar w:fldCharType="begin" w:fldLock="1"/>
      </w:r>
      <w:r w:rsidR="00893050" w:rsidRPr="00575A3E">
        <w:rPr>
          <w:sz w:val="22"/>
          <w:lang w:val="en-GB"/>
        </w:rPr>
        <w:instrText>ADDIN CSL_CITATION {"citationItems":[{"id":"ITEM-1","itemData":{"author":[{"dropping-particle":"","family":"National Atmospheric Emissions Inventory","given":"","non-dropping-particle":"","parse-names":false,"suffix":""}],"id":"ITEM-1","issued":{"date-parts":[["2019"]]},"title":"UK Fleet Composition Projections (Base 2019r/2017 NAEI). For the UK outside London.","type":"article"},"uris":["http://www.mendeley.com/documents/?uuid=69efbc73-ea38-456b-ae65-6daa4a7bbb61"]}],"mendeley":{"formattedCitation":"(National Atmospheric Emissions Inventory, 2019)","plainTextFormattedCitation":"(National Atmospheric Emissions Inventory, 2019)","previouslyFormattedCitation":"(National Atmospheric Emissions Inventory, 2019)"},"properties":{"noteIndex":0},"schema":"https://github.com/citation-style-language/schema/raw/master/csl-citation.json"}</w:instrText>
      </w:r>
      <w:r w:rsidR="0024499A" w:rsidRPr="00575A3E">
        <w:rPr>
          <w:sz w:val="22"/>
          <w:lang w:val="en-GB"/>
        </w:rPr>
        <w:fldChar w:fldCharType="separate"/>
      </w:r>
      <w:r w:rsidR="00C41D0C" w:rsidRPr="00575A3E">
        <w:rPr>
          <w:noProof/>
          <w:sz w:val="22"/>
          <w:lang w:val="en-GB"/>
        </w:rPr>
        <w:t>(National Atmospheric Emissions Inventory, 2019)</w:t>
      </w:r>
      <w:r w:rsidR="0024499A" w:rsidRPr="00575A3E">
        <w:rPr>
          <w:sz w:val="22"/>
          <w:lang w:val="en-GB"/>
        </w:rPr>
        <w:fldChar w:fldCharType="end"/>
      </w:r>
      <w:r w:rsidR="00767346" w:rsidRPr="00575A3E">
        <w:rPr>
          <w:sz w:val="22"/>
          <w:lang w:val="en-GB"/>
        </w:rPr>
        <w:t xml:space="preserve"> </w:t>
      </w:r>
      <w:r w:rsidR="00A92162" w:rsidRPr="00575A3E">
        <w:rPr>
          <w:sz w:val="22"/>
          <w:lang w:val="en-GB"/>
        </w:rPr>
        <w:t>until 20</w:t>
      </w:r>
      <w:r w:rsidR="00F30593" w:rsidRPr="00575A3E">
        <w:rPr>
          <w:sz w:val="22"/>
          <w:lang w:val="en-GB"/>
        </w:rPr>
        <w:t>35</w:t>
      </w:r>
      <w:r w:rsidR="006A7362" w:rsidRPr="00575A3E">
        <w:rPr>
          <w:sz w:val="22"/>
          <w:lang w:val="en-GB"/>
        </w:rPr>
        <w:t>, which was published in 2019 and could be an important indicator for</w:t>
      </w:r>
      <w:r w:rsidR="001C6884" w:rsidRPr="00575A3E">
        <w:rPr>
          <w:sz w:val="22"/>
          <w:lang w:val="en-GB"/>
        </w:rPr>
        <w:t xml:space="preserve"> the transferability of the results for</w:t>
      </w:r>
      <w:r w:rsidR="006A7362" w:rsidRPr="00575A3E">
        <w:rPr>
          <w:sz w:val="22"/>
          <w:lang w:val="en-GB"/>
        </w:rPr>
        <w:t xml:space="preserve"> case studies</w:t>
      </w:r>
      <w:r w:rsidR="008F50B6" w:rsidRPr="00575A3E">
        <w:rPr>
          <w:sz w:val="22"/>
          <w:lang w:val="en-GB"/>
        </w:rPr>
        <w:t>,</w:t>
      </w:r>
      <w:r w:rsidR="006A7362" w:rsidRPr="00575A3E">
        <w:rPr>
          <w:sz w:val="22"/>
          <w:lang w:val="en-GB"/>
        </w:rPr>
        <w:t xml:space="preserve"> </w:t>
      </w:r>
      <w:r w:rsidR="001C6884" w:rsidRPr="00575A3E">
        <w:rPr>
          <w:sz w:val="22"/>
          <w:lang w:val="en-GB"/>
        </w:rPr>
        <w:t>for which such</w:t>
      </w:r>
      <w:r w:rsidR="006A7362" w:rsidRPr="00575A3E">
        <w:rPr>
          <w:sz w:val="22"/>
          <w:lang w:val="en-GB"/>
        </w:rPr>
        <w:t xml:space="preserve"> decarbonisation plans</w:t>
      </w:r>
      <w:r w:rsidR="001C6884" w:rsidRPr="00575A3E">
        <w:rPr>
          <w:sz w:val="22"/>
          <w:lang w:val="en-GB"/>
        </w:rPr>
        <w:t xml:space="preserve"> do not apply</w:t>
      </w:r>
      <w:r w:rsidR="006A7362" w:rsidRPr="00575A3E">
        <w:rPr>
          <w:sz w:val="22"/>
          <w:lang w:val="en-GB"/>
        </w:rPr>
        <w:t xml:space="preserve"> and thus the penetration of EVs in the fleet will be lower.</w:t>
      </w:r>
      <w:r w:rsidR="00767346" w:rsidRPr="00575A3E">
        <w:rPr>
          <w:sz w:val="22"/>
          <w:lang w:val="en-GB"/>
        </w:rPr>
        <w:t xml:space="preserve"> </w:t>
      </w:r>
    </w:p>
    <w:p w14:paraId="44E4C9DE" w14:textId="27FD31D1" w:rsidR="00DF733F" w:rsidRPr="00575A3E" w:rsidRDefault="001E2051" w:rsidP="001E2051">
      <w:pPr>
        <w:spacing w:line="360" w:lineRule="auto"/>
        <w:rPr>
          <w:lang w:val="en-GB"/>
        </w:rPr>
      </w:pPr>
      <w:r w:rsidRPr="00575A3E">
        <w:rPr>
          <w:lang w:val="en-GB"/>
        </w:rPr>
        <w:t xml:space="preserve">The percentages for EVs used for each simulation year </w:t>
      </w:r>
      <w:r w:rsidR="00DF733F" w:rsidRPr="00575A3E">
        <w:rPr>
          <w:lang w:val="en-GB"/>
        </w:rPr>
        <w:t xml:space="preserve">are presented in </w:t>
      </w:r>
      <w:r w:rsidR="00DF733F" w:rsidRPr="00575A3E">
        <w:rPr>
          <w:lang w:val="en-GB"/>
        </w:rPr>
        <w:fldChar w:fldCharType="begin"/>
      </w:r>
      <w:r w:rsidR="00DF733F" w:rsidRPr="00575A3E">
        <w:rPr>
          <w:lang w:val="en-GB"/>
        </w:rPr>
        <w:instrText xml:space="preserve"> REF _Ref118469625 \h </w:instrText>
      </w:r>
      <w:r w:rsidR="00DF733F" w:rsidRPr="00575A3E">
        <w:rPr>
          <w:lang w:val="en-GB"/>
        </w:rPr>
      </w:r>
      <w:r w:rsidR="00DF733F" w:rsidRPr="00575A3E">
        <w:rPr>
          <w:lang w:val="en-GB"/>
        </w:rPr>
        <w:fldChar w:fldCharType="separate"/>
      </w:r>
      <w:r w:rsidR="004A1C59" w:rsidRPr="00575A3E">
        <w:t xml:space="preserve">Table </w:t>
      </w:r>
      <w:r w:rsidR="004A1C59" w:rsidRPr="00575A3E">
        <w:rPr>
          <w:noProof/>
        </w:rPr>
        <w:t>2</w:t>
      </w:r>
      <w:r w:rsidR="00DF733F" w:rsidRPr="00575A3E">
        <w:rPr>
          <w:lang w:val="en-GB"/>
        </w:rPr>
        <w:fldChar w:fldCharType="end"/>
      </w:r>
      <w:r w:rsidR="00DF733F" w:rsidRPr="00575A3E">
        <w:rPr>
          <w:lang w:val="en-GB"/>
        </w:rPr>
        <w:t>.</w:t>
      </w:r>
    </w:p>
    <w:p w14:paraId="028C1598" w14:textId="0DA9E546" w:rsidR="008662AB" w:rsidRPr="00575A3E" w:rsidRDefault="008662AB" w:rsidP="008662AB">
      <w:pPr>
        <w:pStyle w:val="Caption"/>
        <w:keepNext/>
      </w:pPr>
      <w:bookmarkStart w:id="9" w:name="_Ref118469625"/>
      <w:r w:rsidRPr="00575A3E">
        <w:t xml:space="preserve">Table </w:t>
      </w:r>
      <w:r w:rsidR="003B4E9E" w:rsidRPr="00575A3E">
        <w:fldChar w:fldCharType="begin"/>
      </w:r>
      <w:r w:rsidR="003B4E9E" w:rsidRPr="00575A3E">
        <w:instrText xml:space="preserve"> SEQ Table \* ARABIC </w:instrText>
      </w:r>
      <w:r w:rsidR="003B4E9E" w:rsidRPr="00575A3E">
        <w:fldChar w:fldCharType="separate"/>
      </w:r>
      <w:r w:rsidR="006101B2" w:rsidRPr="00575A3E">
        <w:rPr>
          <w:noProof/>
        </w:rPr>
        <w:t>2</w:t>
      </w:r>
      <w:r w:rsidR="003B4E9E" w:rsidRPr="00575A3E">
        <w:fldChar w:fldCharType="end"/>
      </w:r>
      <w:bookmarkEnd w:id="9"/>
      <w:r w:rsidRPr="00575A3E">
        <w:t>: Penetration rates of EVs in the fleet</w:t>
      </w:r>
    </w:p>
    <w:tbl>
      <w:tblPr>
        <w:tblStyle w:val="TableGrid"/>
        <w:tblW w:w="7225" w:type="dxa"/>
        <w:jc w:val="center"/>
        <w:tblLook w:val="04A0" w:firstRow="1" w:lastRow="0" w:firstColumn="1" w:lastColumn="0" w:noHBand="0" w:noVBand="1"/>
      </w:tblPr>
      <w:tblGrid>
        <w:gridCol w:w="960"/>
        <w:gridCol w:w="2608"/>
        <w:gridCol w:w="3657"/>
      </w:tblGrid>
      <w:tr w:rsidR="00575A3E" w:rsidRPr="00575A3E" w14:paraId="2D8D3287" w14:textId="77777777" w:rsidTr="008662AB">
        <w:trPr>
          <w:trHeight w:val="300"/>
          <w:jc w:val="center"/>
        </w:trPr>
        <w:tc>
          <w:tcPr>
            <w:tcW w:w="960" w:type="dxa"/>
            <w:noWrap/>
            <w:hideMark/>
          </w:tcPr>
          <w:p w14:paraId="5EE06E44" w14:textId="77777777" w:rsidR="007A7BD1" w:rsidRPr="00575A3E" w:rsidRDefault="007A7BD1" w:rsidP="007A7BD1">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Year</w:t>
            </w:r>
          </w:p>
        </w:tc>
        <w:tc>
          <w:tcPr>
            <w:tcW w:w="2608" w:type="dxa"/>
            <w:noWrap/>
            <w:hideMark/>
          </w:tcPr>
          <w:p w14:paraId="62F31AEA" w14:textId="66EF4F44" w:rsidR="007A7BD1" w:rsidRPr="00575A3E" w:rsidRDefault="007A7BD1" w:rsidP="007A7BD1">
            <w:pPr>
              <w:widowControl/>
              <w:suppressAutoHyphens w:val="0"/>
              <w:jc w:val="left"/>
              <w:rPr>
                <w:rFonts w:eastAsia="Times New Roman"/>
                <w:kern w:val="0"/>
                <w:szCs w:val="22"/>
                <w:lang w:val="en-GB" w:eastAsia="en-GB"/>
              </w:rPr>
            </w:pPr>
            <w:r w:rsidRPr="00575A3E">
              <w:rPr>
                <w:lang w:val="en-GB"/>
              </w:rPr>
              <w:fldChar w:fldCharType="begin" w:fldLock="1"/>
            </w:r>
            <w:r w:rsidR="002859DD" w:rsidRPr="00575A3E">
              <w:rPr>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2021a)","manualFormatting":"UK Department for Transport, 2021","plainTextFormattedCitation":"(UK Department for Transport, 2021a)","previouslyFormattedCitation":"(UK Department for Transport, 2021a)"},"properties":{"noteIndex":0},"schema":"https://github.com/citation-style-language/schema/raw/master/csl-citation.json"}</w:instrText>
            </w:r>
            <w:r w:rsidRPr="00575A3E">
              <w:rPr>
                <w:lang w:val="en-GB"/>
              </w:rPr>
              <w:fldChar w:fldCharType="separate"/>
            </w:r>
            <w:r w:rsidRPr="00575A3E">
              <w:rPr>
                <w:noProof/>
                <w:lang w:val="en-GB"/>
              </w:rPr>
              <w:t xml:space="preserve">UK Department </w:t>
            </w:r>
            <w:r w:rsidR="00BE73DF" w:rsidRPr="00575A3E">
              <w:rPr>
                <w:noProof/>
                <w:lang w:val="en-GB"/>
              </w:rPr>
              <w:t>for</w:t>
            </w:r>
            <w:r w:rsidRPr="00575A3E">
              <w:rPr>
                <w:noProof/>
                <w:lang w:val="en-GB"/>
              </w:rPr>
              <w:t xml:space="preserve"> Transport, 2021</w:t>
            </w:r>
            <w:r w:rsidRPr="00575A3E">
              <w:rPr>
                <w:lang w:val="en-GB"/>
              </w:rPr>
              <w:fldChar w:fldCharType="end"/>
            </w:r>
          </w:p>
        </w:tc>
        <w:tc>
          <w:tcPr>
            <w:tcW w:w="3657" w:type="dxa"/>
            <w:noWrap/>
            <w:hideMark/>
          </w:tcPr>
          <w:p w14:paraId="235C78A6" w14:textId="3F79ED35" w:rsidR="007A7BD1" w:rsidRPr="00575A3E" w:rsidRDefault="007A7BD1" w:rsidP="007A7BD1">
            <w:pPr>
              <w:widowControl/>
              <w:suppressAutoHyphens w:val="0"/>
              <w:jc w:val="left"/>
              <w:rPr>
                <w:rFonts w:eastAsia="Times New Roman"/>
                <w:kern w:val="0"/>
                <w:sz w:val="20"/>
                <w:szCs w:val="20"/>
                <w:lang w:val="en-GB" w:eastAsia="en-GB"/>
              </w:rPr>
            </w:pPr>
            <w:r w:rsidRPr="00575A3E">
              <w:rPr>
                <w:lang w:val="en-GB"/>
              </w:rPr>
              <w:fldChar w:fldCharType="begin" w:fldLock="1"/>
            </w:r>
            <w:r w:rsidR="00E7057C" w:rsidRPr="00575A3E">
              <w:rPr>
                <w:lang w:val="en-GB"/>
              </w:rPr>
              <w:instrText>ADDIN CSL_CITATION {"citationItems":[{"id":"ITEM-1","itemData":{"author":[{"dropping-particle":"","family":"National Atmospheric Emissions Inventory","given":"","non-dropping-particle":"","parse-names":false,"suffix":""}],"id":"ITEM-1","issued":{"date-parts":[["2019"]]},"title":"UK Fleet Composition Projections (Base 2019r/2017 NAEI). For the UK outside London.","type":"article"},"uris":["http://www.mendeley.com/documents/?uuid=69efbc73-ea38-456b-ae65-6daa4a7bbb61"]}],"mendeley":{"formattedCitation":"(National Atmospheric Emissions Inventory, 2019)","manualFormatting":"National Atmospheric Emissions Inventory, 2019","plainTextFormattedCitation":"(National Atmospheric Emissions Inventory, 2019)","previouslyFormattedCitation":"(National Atmospheric Emissions Inventory, 2019)"},"properties":{"noteIndex":0},"schema":"https://github.com/citation-style-language/schema/raw/master/csl-citation.json"}</w:instrText>
            </w:r>
            <w:r w:rsidRPr="00575A3E">
              <w:rPr>
                <w:lang w:val="en-GB"/>
              </w:rPr>
              <w:fldChar w:fldCharType="separate"/>
            </w:r>
            <w:r w:rsidRPr="00575A3E">
              <w:rPr>
                <w:noProof/>
                <w:lang w:val="en-GB"/>
              </w:rPr>
              <w:t>National Atmospheric Emissions Inventory, 2019</w:t>
            </w:r>
            <w:r w:rsidRPr="00575A3E">
              <w:rPr>
                <w:lang w:val="en-GB"/>
              </w:rPr>
              <w:fldChar w:fldCharType="end"/>
            </w:r>
          </w:p>
        </w:tc>
      </w:tr>
      <w:tr w:rsidR="00575A3E" w:rsidRPr="00575A3E" w14:paraId="0EBE3C31" w14:textId="77777777" w:rsidTr="008662AB">
        <w:trPr>
          <w:trHeight w:val="300"/>
          <w:jc w:val="center"/>
        </w:trPr>
        <w:tc>
          <w:tcPr>
            <w:tcW w:w="960" w:type="dxa"/>
            <w:noWrap/>
            <w:hideMark/>
          </w:tcPr>
          <w:p w14:paraId="1CD81DB1"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2021</w:t>
            </w:r>
          </w:p>
        </w:tc>
        <w:tc>
          <w:tcPr>
            <w:tcW w:w="2608" w:type="dxa"/>
            <w:noWrap/>
            <w:hideMark/>
          </w:tcPr>
          <w:p w14:paraId="29F7CF11"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1.71%</w:t>
            </w:r>
          </w:p>
        </w:tc>
        <w:tc>
          <w:tcPr>
            <w:tcW w:w="3657" w:type="dxa"/>
            <w:noWrap/>
            <w:hideMark/>
          </w:tcPr>
          <w:p w14:paraId="22CF88C2"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0.6%</w:t>
            </w:r>
          </w:p>
        </w:tc>
      </w:tr>
      <w:tr w:rsidR="00575A3E" w:rsidRPr="00575A3E" w14:paraId="31F4D703" w14:textId="77777777" w:rsidTr="008662AB">
        <w:trPr>
          <w:trHeight w:val="300"/>
          <w:jc w:val="center"/>
        </w:trPr>
        <w:tc>
          <w:tcPr>
            <w:tcW w:w="960" w:type="dxa"/>
            <w:noWrap/>
            <w:hideMark/>
          </w:tcPr>
          <w:p w14:paraId="3317E2BE"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2022</w:t>
            </w:r>
          </w:p>
        </w:tc>
        <w:tc>
          <w:tcPr>
            <w:tcW w:w="2608" w:type="dxa"/>
            <w:noWrap/>
            <w:hideMark/>
          </w:tcPr>
          <w:p w14:paraId="36625CAE"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2.35%</w:t>
            </w:r>
          </w:p>
        </w:tc>
        <w:tc>
          <w:tcPr>
            <w:tcW w:w="3657" w:type="dxa"/>
            <w:noWrap/>
            <w:hideMark/>
          </w:tcPr>
          <w:p w14:paraId="768A47E3"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0.8%</w:t>
            </w:r>
          </w:p>
        </w:tc>
      </w:tr>
      <w:tr w:rsidR="00575A3E" w:rsidRPr="00575A3E" w14:paraId="487E68AB" w14:textId="77777777" w:rsidTr="008662AB">
        <w:trPr>
          <w:trHeight w:val="300"/>
          <w:jc w:val="center"/>
        </w:trPr>
        <w:tc>
          <w:tcPr>
            <w:tcW w:w="960" w:type="dxa"/>
            <w:noWrap/>
            <w:hideMark/>
          </w:tcPr>
          <w:p w14:paraId="18E95832"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2023</w:t>
            </w:r>
          </w:p>
        </w:tc>
        <w:tc>
          <w:tcPr>
            <w:tcW w:w="2608" w:type="dxa"/>
            <w:noWrap/>
            <w:hideMark/>
          </w:tcPr>
          <w:p w14:paraId="4AE9424A"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3.13%</w:t>
            </w:r>
          </w:p>
        </w:tc>
        <w:tc>
          <w:tcPr>
            <w:tcW w:w="3657" w:type="dxa"/>
            <w:noWrap/>
            <w:hideMark/>
          </w:tcPr>
          <w:p w14:paraId="71A0FFB3"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1.1%</w:t>
            </w:r>
          </w:p>
        </w:tc>
      </w:tr>
      <w:tr w:rsidR="00575A3E" w:rsidRPr="00575A3E" w14:paraId="74E4EC7B" w14:textId="77777777" w:rsidTr="008662AB">
        <w:trPr>
          <w:trHeight w:val="300"/>
          <w:jc w:val="center"/>
        </w:trPr>
        <w:tc>
          <w:tcPr>
            <w:tcW w:w="960" w:type="dxa"/>
            <w:noWrap/>
            <w:hideMark/>
          </w:tcPr>
          <w:p w14:paraId="34823EAA"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2024</w:t>
            </w:r>
          </w:p>
        </w:tc>
        <w:tc>
          <w:tcPr>
            <w:tcW w:w="2608" w:type="dxa"/>
            <w:noWrap/>
            <w:hideMark/>
          </w:tcPr>
          <w:p w14:paraId="03AAD1BC"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4.08%</w:t>
            </w:r>
          </w:p>
        </w:tc>
        <w:tc>
          <w:tcPr>
            <w:tcW w:w="3657" w:type="dxa"/>
            <w:noWrap/>
            <w:hideMark/>
          </w:tcPr>
          <w:p w14:paraId="4B3CC1D5"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1.5%</w:t>
            </w:r>
          </w:p>
        </w:tc>
      </w:tr>
      <w:tr w:rsidR="00575A3E" w:rsidRPr="00575A3E" w14:paraId="438F3202" w14:textId="77777777" w:rsidTr="008662AB">
        <w:trPr>
          <w:trHeight w:val="300"/>
          <w:jc w:val="center"/>
        </w:trPr>
        <w:tc>
          <w:tcPr>
            <w:tcW w:w="960" w:type="dxa"/>
            <w:noWrap/>
            <w:hideMark/>
          </w:tcPr>
          <w:p w14:paraId="0D511E4D"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2025</w:t>
            </w:r>
          </w:p>
        </w:tc>
        <w:tc>
          <w:tcPr>
            <w:tcW w:w="2608" w:type="dxa"/>
            <w:noWrap/>
            <w:hideMark/>
          </w:tcPr>
          <w:p w14:paraId="7C042DEF"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5.28%</w:t>
            </w:r>
          </w:p>
        </w:tc>
        <w:tc>
          <w:tcPr>
            <w:tcW w:w="3657" w:type="dxa"/>
            <w:noWrap/>
            <w:hideMark/>
          </w:tcPr>
          <w:p w14:paraId="47633258"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2.1%</w:t>
            </w:r>
          </w:p>
        </w:tc>
      </w:tr>
      <w:tr w:rsidR="00575A3E" w:rsidRPr="00575A3E" w14:paraId="1061B2D7" w14:textId="77777777" w:rsidTr="008662AB">
        <w:trPr>
          <w:trHeight w:val="300"/>
          <w:jc w:val="center"/>
        </w:trPr>
        <w:tc>
          <w:tcPr>
            <w:tcW w:w="960" w:type="dxa"/>
            <w:noWrap/>
            <w:hideMark/>
          </w:tcPr>
          <w:p w14:paraId="677E60F9"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2026</w:t>
            </w:r>
          </w:p>
        </w:tc>
        <w:tc>
          <w:tcPr>
            <w:tcW w:w="2608" w:type="dxa"/>
            <w:noWrap/>
            <w:hideMark/>
          </w:tcPr>
          <w:p w14:paraId="765B2006"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6.76%</w:t>
            </w:r>
          </w:p>
        </w:tc>
        <w:tc>
          <w:tcPr>
            <w:tcW w:w="3657" w:type="dxa"/>
            <w:noWrap/>
            <w:hideMark/>
          </w:tcPr>
          <w:p w14:paraId="20E871C7"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2.9%</w:t>
            </w:r>
          </w:p>
        </w:tc>
      </w:tr>
      <w:tr w:rsidR="00575A3E" w:rsidRPr="00575A3E" w14:paraId="0A127677" w14:textId="77777777" w:rsidTr="008662AB">
        <w:trPr>
          <w:trHeight w:val="300"/>
          <w:jc w:val="center"/>
        </w:trPr>
        <w:tc>
          <w:tcPr>
            <w:tcW w:w="960" w:type="dxa"/>
            <w:noWrap/>
            <w:hideMark/>
          </w:tcPr>
          <w:p w14:paraId="0F16A9E4"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2027</w:t>
            </w:r>
          </w:p>
        </w:tc>
        <w:tc>
          <w:tcPr>
            <w:tcW w:w="2608" w:type="dxa"/>
            <w:noWrap/>
            <w:hideMark/>
          </w:tcPr>
          <w:p w14:paraId="738043C0"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8.47%</w:t>
            </w:r>
          </w:p>
        </w:tc>
        <w:tc>
          <w:tcPr>
            <w:tcW w:w="3657" w:type="dxa"/>
            <w:noWrap/>
            <w:hideMark/>
          </w:tcPr>
          <w:p w14:paraId="1AB4183C"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3.9%</w:t>
            </w:r>
          </w:p>
        </w:tc>
      </w:tr>
      <w:tr w:rsidR="00575A3E" w:rsidRPr="00575A3E" w14:paraId="2C0B874B" w14:textId="77777777" w:rsidTr="008662AB">
        <w:trPr>
          <w:trHeight w:val="300"/>
          <w:jc w:val="center"/>
        </w:trPr>
        <w:tc>
          <w:tcPr>
            <w:tcW w:w="960" w:type="dxa"/>
            <w:noWrap/>
            <w:hideMark/>
          </w:tcPr>
          <w:p w14:paraId="01575D58"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2028</w:t>
            </w:r>
          </w:p>
        </w:tc>
        <w:tc>
          <w:tcPr>
            <w:tcW w:w="2608" w:type="dxa"/>
            <w:noWrap/>
            <w:hideMark/>
          </w:tcPr>
          <w:p w14:paraId="0FA4AF98"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10.28%</w:t>
            </w:r>
          </w:p>
        </w:tc>
        <w:tc>
          <w:tcPr>
            <w:tcW w:w="3657" w:type="dxa"/>
            <w:noWrap/>
            <w:hideMark/>
          </w:tcPr>
          <w:p w14:paraId="3BF11DA8"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4.9%</w:t>
            </w:r>
          </w:p>
        </w:tc>
      </w:tr>
      <w:tr w:rsidR="00575A3E" w:rsidRPr="00575A3E" w14:paraId="5ABD511B" w14:textId="77777777" w:rsidTr="008662AB">
        <w:trPr>
          <w:trHeight w:val="300"/>
          <w:jc w:val="center"/>
        </w:trPr>
        <w:tc>
          <w:tcPr>
            <w:tcW w:w="960" w:type="dxa"/>
            <w:noWrap/>
            <w:hideMark/>
          </w:tcPr>
          <w:p w14:paraId="51520E87"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2029</w:t>
            </w:r>
          </w:p>
        </w:tc>
        <w:tc>
          <w:tcPr>
            <w:tcW w:w="2608" w:type="dxa"/>
            <w:noWrap/>
            <w:hideMark/>
          </w:tcPr>
          <w:p w14:paraId="5404396B"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12.19%</w:t>
            </w:r>
          </w:p>
        </w:tc>
        <w:tc>
          <w:tcPr>
            <w:tcW w:w="3657" w:type="dxa"/>
            <w:noWrap/>
            <w:hideMark/>
          </w:tcPr>
          <w:p w14:paraId="411B98AF"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6.1%</w:t>
            </w:r>
          </w:p>
        </w:tc>
      </w:tr>
      <w:tr w:rsidR="00575A3E" w:rsidRPr="00575A3E" w14:paraId="68367647" w14:textId="77777777" w:rsidTr="008662AB">
        <w:trPr>
          <w:trHeight w:val="300"/>
          <w:jc w:val="center"/>
        </w:trPr>
        <w:tc>
          <w:tcPr>
            <w:tcW w:w="960" w:type="dxa"/>
            <w:noWrap/>
            <w:hideMark/>
          </w:tcPr>
          <w:p w14:paraId="2BDD695A"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2030</w:t>
            </w:r>
          </w:p>
        </w:tc>
        <w:tc>
          <w:tcPr>
            <w:tcW w:w="2608" w:type="dxa"/>
            <w:noWrap/>
            <w:hideMark/>
          </w:tcPr>
          <w:p w14:paraId="681F74CA"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14.29%</w:t>
            </w:r>
          </w:p>
        </w:tc>
        <w:tc>
          <w:tcPr>
            <w:tcW w:w="3657" w:type="dxa"/>
            <w:noWrap/>
            <w:hideMark/>
          </w:tcPr>
          <w:p w14:paraId="19D05415"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7.5%</w:t>
            </w:r>
          </w:p>
        </w:tc>
      </w:tr>
      <w:tr w:rsidR="00575A3E" w:rsidRPr="00575A3E" w14:paraId="0026DABA" w14:textId="77777777" w:rsidTr="008662AB">
        <w:trPr>
          <w:trHeight w:val="300"/>
          <w:jc w:val="center"/>
        </w:trPr>
        <w:tc>
          <w:tcPr>
            <w:tcW w:w="960" w:type="dxa"/>
            <w:noWrap/>
            <w:hideMark/>
          </w:tcPr>
          <w:p w14:paraId="0C647B08"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2031</w:t>
            </w:r>
          </w:p>
        </w:tc>
        <w:tc>
          <w:tcPr>
            <w:tcW w:w="2608" w:type="dxa"/>
            <w:noWrap/>
            <w:hideMark/>
          </w:tcPr>
          <w:p w14:paraId="05D09157"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16.36%</w:t>
            </w:r>
          </w:p>
        </w:tc>
        <w:tc>
          <w:tcPr>
            <w:tcW w:w="3657" w:type="dxa"/>
            <w:noWrap/>
            <w:hideMark/>
          </w:tcPr>
          <w:p w14:paraId="2D646942"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8.8%</w:t>
            </w:r>
          </w:p>
        </w:tc>
      </w:tr>
      <w:tr w:rsidR="00575A3E" w:rsidRPr="00575A3E" w14:paraId="76457D96" w14:textId="77777777" w:rsidTr="008662AB">
        <w:trPr>
          <w:trHeight w:val="300"/>
          <w:jc w:val="center"/>
        </w:trPr>
        <w:tc>
          <w:tcPr>
            <w:tcW w:w="960" w:type="dxa"/>
            <w:noWrap/>
            <w:hideMark/>
          </w:tcPr>
          <w:p w14:paraId="6DA1CB90"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2032</w:t>
            </w:r>
          </w:p>
        </w:tc>
        <w:tc>
          <w:tcPr>
            <w:tcW w:w="2608" w:type="dxa"/>
            <w:noWrap/>
            <w:hideMark/>
          </w:tcPr>
          <w:p w14:paraId="730B43C7"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18.39%</w:t>
            </w:r>
          </w:p>
        </w:tc>
        <w:tc>
          <w:tcPr>
            <w:tcW w:w="3657" w:type="dxa"/>
            <w:noWrap/>
            <w:hideMark/>
          </w:tcPr>
          <w:p w14:paraId="12342A3F"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10.1%</w:t>
            </w:r>
          </w:p>
        </w:tc>
      </w:tr>
      <w:tr w:rsidR="00575A3E" w:rsidRPr="00575A3E" w14:paraId="54111803" w14:textId="77777777" w:rsidTr="008662AB">
        <w:trPr>
          <w:trHeight w:val="300"/>
          <w:jc w:val="center"/>
        </w:trPr>
        <w:tc>
          <w:tcPr>
            <w:tcW w:w="960" w:type="dxa"/>
            <w:noWrap/>
            <w:hideMark/>
          </w:tcPr>
          <w:p w14:paraId="62EFE75D"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2033</w:t>
            </w:r>
          </w:p>
        </w:tc>
        <w:tc>
          <w:tcPr>
            <w:tcW w:w="2608" w:type="dxa"/>
            <w:noWrap/>
            <w:hideMark/>
          </w:tcPr>
          <w:p w14:paraId="288BCF00"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20.38%</w:t>
            </w:r>
          </w:p>
        </w:tc>
        <w:tc>
          <w:tcPr>
            <w:tcW w:w="3657" w:type="dxa"/>
            <w:noWrap/>
            <w:hideMark/>
          </w:tcPr>
          <w:p w14:paraId="16910247"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11.4%</w:t>
            </w:r>
          </w:p>
        </w:tc>
      </w:tr>
      <w:tr w:rsidR="00575A3E" w:rsidRPr="00575A3E" w14:paraId="37E1E264" w14:textId="77777777" w:rsidTr="008662AB">
        <w:trPr>
          <w:trHeight w:val="300"/>
          <w:jc w:val="center"/>
        </w:trPr>
        <w:tc>
          <w:tcPr>
            <w:tcW w:w="960" w:type="dxa"/>
            <w:noWrap/>
            <w:hideMark/>
          </w:tcPr>
          <w:p w14:paraId="2ED30A1A"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2034</w:t>
            </w:r>
          </w:p>
        </w:tc>
        <w:tc>
          <w:tcPr>
            <w:tcW w:w="2608" w:type="dxa"/>
            <w:noWrap/>
            <w:hideMark/>
          </w:tcPr>
          <w:p w14:paraId="71374735"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22.34%</w:t>
            </w:r>
          </w:p>
        </w:tc>
        <w:tc>
          <w:tcPr>
            <w:tcW w:w="3657" w:type="dxa"/>
            <w:noWrap/>
            <w:hideMark/>
          </w:tcPr>
          <w:p w14:paraId="70B3AC32"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12.8%</w:t>
            </w:r>
          </w:p>
        </w:tc>
      </w:tr>
      <w:tr w:rsidR="00FD4587" w:rsidRPr="00575A3E" w14:paraId="3092614F" w14:textId="77777777" w:rsidTr="008662AB">
        <w:trPr>
          <w:trHeight w:val="300"/>
          <w:jc w:val="center"/>
        </w:trPr>
        <w:tc>
          <w:tcPr>
            <w:tcW w:w="960" w:type="dxa"/>
            <w:noWrap/>
            <w:hideMark/>
          </w:tcPr>
          <w:p w14:paraId="6FB6E347"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2035</w:t>
            </w:r>
          </w:p>
        </w:tc>
        <w:tc>
          <w:tcPr>
            <w:tcW w:w="2608" w:type="dxa"/>
            <w:noWrap/>
            <w:hideMark/>
          </w:tcPr>
          <w:p w14:paraId="563A0989"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24.24%</w:t>
            </w:r>
          </w:p>
        </w:tc>
        <w:tc>
          <w:tcPr>
            <w:tcW w:w="3657" w:type="dxa"/>
            <w:noWrap/>
            <w:hideMark/>
          </w:tcPr>
          <w:p w14:paraId="0B8CB898" w14:textId="77777777" w:rsidR="007A7BD1" w:rsidRPr="00575A3E" w:rsidRDefault="007A7BD1" w:rsidP="007A7BD1">
            <w:pPr>
              <w:widowControl/>
              <w:suppressAutoHyphens w:val="0"/>
              <w:jc w:val="right"/>
              <w:rPr>
                <w:rFonts w:eastAsia="Times New Roman"/>
                <w:kern w:val="0"/>
                <w:szCs w:val="22"/>
                <w:lang w:val="en-GB" w:eastAsia="en-GB"/>
              </w:rPr>
            </w:pPr>
            <w:r w:rsidRPr="00575A3E">
              <w:rPr>
                <w:rFonts w:eastAsia="Times New Roman"/>
                <w:kern w:val="0"/>
                <w:szCs w:val="22"/>
                <w:lang w:val="en-GB" w:eastAsia="en-GB"/>
              </w:rPr>
              <w:t>14.1%</w:t>
            </w:r>
          </w:p>
        </w:tc>
      </w:tr>
    </w:tbl>
    <w:p w14:paraId="045F5CFF" w14:textId="77777777" w:rsidR="008F50B6" w:rsidRPr="00575A3E" w:rsidRDefault="008F50B6" w:rsidP="00A55356">
      <w:pPr>
        <w:spacing w:line="360" w:lineRule="auto"/>
        <w:rPr>
          <w:szCs w:val="22"/>
          <w:lang w:val="en-GB"/>
        </w:rPr>
      </w:pPr>
    </w:p>
    <w:p w14:paraId="6423B93C" w14:textId="5E382AE9" w:rsidR="00A630ED" w:rsidRPr="00575A3E" w:rsidRDefault="00EE726A" w:rsidP="005033DC">
      <w:pPr>
        <w:spacing w:line="360" w:lineRule="auto"/>
        <w:rPr>
          <w:szCs w:val="22"/>
          <w:lang w:val="en-GB"/>
        </w:rPr>
      </w:pPr>
      <w:r w:rsidRPr="00575A3E">
        <w:rPr>
          <w:szCs w:val="22"/>
          <w:lang w:val="en-GB"/>
        </w:rPr>
        <w:t xml:space="preserve">Since, the sensitivity of the results </w:t>
      </w:r>
      <w:r w:rsidR="002A5DC3" w:rsidRPr="00575A3E">
        <w:rPr>
          <w:szCs w:val="22"/>
          <w:lang w:val="en-GB"/>
        </w:rPr>
        <w:t xml:space="preserve">is </w:t>
      </w:r>
      <w:r w:rsidRPr="00575A3E">
        <w:rPr>
          <w:szCs w:val="22"/>
          <w:lang w:val="en-GB"/>
        </w:rPr>
        <w:t>based on</w:t>
      </w:r>
      <w:r w:rsidR="00D11AC4" w:rsidRPr="00575A3E">
        <w:rPr>
          <w:szCs w:val="22"/>
          <w:lang w:val="en-GB"/>
        </w:rPr>
        <w:t xml:space="preserve"> </w:t>
      </w:r>
      <w:r w:rsidRPr="00575A3E">
        <w:rPr>
          <w:szCs w:val="22"/>
          <w:lang w:val="en-GB"/>
        </w:rPr>
        <w:t>projections</w:t>
      </w:r>
      <w:r w:rsidR="00A630ED" w:rsidRPr="00575A3E">
        <w:rPr>
          <w:szCs w:val="22"/>
          <w:lang w:val="en-GB"/>
        </w:rPr>
        <w:t xml:space="preserve">, the figures from all four scenarios are </w:t>
      </w:r>
      <w:r w:rsidR="00D87002" w:rsidRPr="00575A3E">
        <w:rPr>
          <w:szCs w:val="22"/>
          <w:lang w:val="en-GB"/>
        </w:rPr>
        <w:t xml:space="preserve">combined </w:t>
      </w:r>
      <w:r w:rsidR="00A630ED" w:rsidRPr="00575A3E">
        <w:rPr>
          <w:szCs w:val="22"/>
          <w:lang w:val="en-GB"/>
        </w:rPr>
        <w:t xml:space="preserve">to form four </w:t>
      </w:r>
      <w:r w:rsidR="00A54B36" w:rsidRPr="00575A3E">
        <w:rPr>
          <w:szCs w:val="22"/>
          <w:lang w:val="en-GB"/>
        </w:rPr>
        <w:t xml:space="preserve">groups </w:t>
      </w:r>
      <w:r w:rsidR="000D33AC" w:rsidRPr="00575A3E">
        <w:rPr>
          <w:szCs w:val="22"/>
          <w:lang w:val="en-GB"/>
        </w:rPr>
        <w:t>of</w:t>
      </w:r>
      <w:r w:rsidR="00A630ED" w:rsidRPr="00575A3E">
        <w:rPr>
          <w:szCs w:val="22"/>
          <w:lang w:val="en-GB"/>
        </w:rPr>
        <w:t xml:space="preserve"> projections </w:t>
      </w:r>
      <w:r w:rsidR="00A77F46" w:rsidRPr="00575A3E">
        <w:rPr>
          <w:szCs w:val="22"/>
          <w:lang w:val="en-GB"/>
        </w:rPr>
        <w:t>of proportions</w:t>
      </w:r>
      <w:r w:rsidR="00A630ED" w:rsidRPr="00575A3E">
        <w:rPr>
          <w:szCs w:val="22"/>
          <w:lang w:val="en-GB"/>
        </w:rPr>
        <w:t xml:space="preserve">. More specifically the </w:t>
      </w:r>
      <w:r w:rsidR="00C231D4" w:rsidRPr="00575A3E">
        <w:rPr>
          <w:szCs w:val="22"/>
          <w:lang w:val="en-GB"/>
        </w:rPr>
        <w:t>groups</w:t>
      </w:r>
      <w:r w:rsidR="00A630ED" w:rsidRPr="00575A3E">
        <w:rPr>
          <w:szCs w:val="22"/>
          <w:lang w:val="en-GB"/>
        </w:rPr>
        <w:t xml:space="preserve"> are: </w:t>
      </w:r>
    </w:p>
    <w:p w14:paraId="6DB83CE3" w14:textId="77777777" w:rsidR="00D87002" w:rsidRPr="00575A3E" w:rsidRDefault="00D87002" w:rsidP="005033DC">
      <w:pPr>
        <w:spacing w:line="360" w:lineRule="auto"/>
        <w:rPr>
          <w:szCs w:val="22"/>
          <w:lang w:val="en-GB"/>
        </w:rPr>
      </w:pPr>
    </w:p>
    <w:p w14:paraId="24A60781" w14:textId="55D4AB7F" w:rsidR="006B1DD6" w:rsidRPr="00575A3E" w:rsidRDefault="000D33AC" w:rsidP="00A55356">
      <w:pPr>
        <w:pStyle w:val="ListParagraph"/>
        <w:numPr>
          <w:ilvl w:val="0"/>
          <w:numId w:val="22"/>
        </w:numPr>
        <w:spacing w:line="360" w:lineRule="auto"/>
        <w:ind w:left="1134" w:hanging="708"/>
        <w:jc w:val="both"/>
        <w:rPr>
          <w:sz w:val="22"/>
          <w:lang w:val="en-GB"/>
        </w:rPr>
      </w:pPr>
      <w:bookmarkStart w:id="10" w:name="_Hlk76981589"/>
      <w:r w:rsidRPr="00575A3E">
        <w:rPr>
          <w:sz w:val="22"/>
          <w:u w:val="single"/>
          <w:lang w:val="en-GB"/>
        </w:rPr>
        <w:t>P</w:t>
      </w:r>
      <w:r w:rsidR="00A77F46" w:rsidRPr="00575A3E">
        <w:rPr>
          <w:sz w:val="22"/>
          <w:u w:val="single"/>
          <w:lang w:val="en-GB"/>
        </w:rPr>
        <w:t>roportions</w:t>
      </w:r>
      <w:r w:rsidRPr="00575A3E">
        <w:rPr>
          <w:sz w:val="22"/>
          <w:u w:val="single"/>
          <w:lang w:val="en-GB"/>
        </w:rPr>
        <w:t xml:space="preserve"> </w:t>
      </w:r>
      <w:r w:rsidR="00A54B36" w:rsidRPr="00575A3E">
        <w:rPr>
          <w:sz w:val="22"/>
          <w:u w:val="single"/>
          <w:lang w:val="en-GB"/>
        </w:rPr>
        <w:t>Group</w:t>
      </w:r>
      <w:r w:rsidRPr="00575A3E">
        <w:rPr>
          <w:sz w:val="22"/>
          <w:u w:val="single"/>
          <w:lang w:val="en-GB"/>
        </w:rPr>
        <w:t xml:space="preserve"> 1:</w:t>
      </w:r>
      <w:r w:rsidRPr="00575A3E">
        <w:rPr>
          <w:sz w:val="22"/>
          <w:lang w:val="en-GB"/>
        </w:rPr>
        <w:t xml:space="preserve"> </w:t>
      </w:r>
      <w:r w:rsidR="00BD5225" w:rsidRPr="00575A3E">
        <w:rPr>
          <w:sz w:val="22"/>
          <w:lang w:val="en-GB"/>
        </w:rPr>
        <w:t xml:space="preserve">The combination of the 25% penetration scenarios of CAVs from </w:t>
      </w:r>
      <w:r w:rsidR="00BD5225" w:rsidRPr="00575A3E">
        <w:rPr>
          <w:sz w:val="22"/>
          <w:lang w:val="en-GB"/>
        </w:rPr>
        <w:fldChar w:fldCharType="begin" w:fldLock="1"/>
      </w:r>
      <w:r w:rsidR="005F1281" w:rsidRPr="00575A3E">
        <w:rPr>
          <w:sz w:val="22"/>
          <w:lang w:val="en-GB"/>
        </w:rPr>
        <w:instrText>ADDIN CSL_CITATION {"citationItems":[{"id":"ITEM-1","itemData":{"abstract":"Connected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CAVs.","author":[{"dropping-particle":"","family":"Atkins","given":"","non-dropping-particle":"","parse-names":false,"suffix":""}],"id":"ITEM-1","issue":"March","issued":{"date-parts":[["2016"]]},"page":"58","title":"Research on the Impacts of Connected and Autonomouse Vehicles (CAVs) on Traffic Flow","type":"article-journal"},"uris":["http://www.mendeley.com/documents/?uuid=0c131a8d-77a7-480c-855f-44a4939bc16e"]}],"mendeley":{"formattedCitation":"(Atkins, 2016)","plainTextFormattedCitation":"(Atkins, 2016)","previouslyFormattedCitation":"(Atkins, 2016)"},"properties":{"noteIndex":0},"schema":"https://github.com/citation-style-language/schema/raw/master/csl-citation.json"}</w:instrText>
      </w:r>
      <w:r w:rsidR="00BD5225" w:rsidRPr="00575A3E">
        <w:rPr>
          <w:sz w:val="22"/>
          <w:lang w:val="en-GB"/>
        </w:rPr>
        <w:fldChar w:fldCharType="separate"/>
      </w:r>
      <w:r w:rsidR="005F1281" w:rsidRPr="00575A3E">
        <w:rPr>
          <w:noProof/>
          <w:sz w:val="22"/>
          <w:lang w:val="en-GB"/>
        </w:rPr>
        <w:t>(Atkins, 2016)</w:t>
      </w:r>
      <w:r w:rsidR="00BD5225" w:rsidRPr="00575A3E">
        <w:rPr>
          <w:sz w:val="22"/>
          <w:lang w:val="en-GB"/>
        </w:rPr>
        <w:fldChar w:fldCharType="end"/>
      </w:r>
      <w:r w:rsidR="00BD5225" w:rsidRPr="00575A3E">
        <w:rPr>
          <w:sz w:val="22"/>
          <w:lang w:val="en-GB"/>
        </w:rPr>
        <w:t xml:space="preserve"> with the 14.1% penetration scenario for EVs from </w:t>
      </w:r>
      <w:r w:rsidR="00BE73DF" w:rsidRPr="00575A3E">
        <w:rPr>
          <w:sz w:val="22"/>
          <w:lang w:val="en-GB"/>
        </w:rPr>
        <w:t xml:space="preserve">the </w:t>
      </w:r>
      <w:r w:rsidR="00BD5225" w:rsidRPr="00575A3E">
        <w:rPr>
          <w:sz w:val="22"/>
          <w:lang w:val="en-GB"/>
        </w:rPr>
        <w:fldChar w:fldCharType="begin" w:fldLock="1"/>
      </w:r>
      <w:r w:rsidR="005F1281" w:rsidRPr="00575A3E">
        <w:rPr>
          <w:sz w:val="22"/>
          <w:lang w:val="en-GB"/>
        </w:rPr>
        <w:instrText>ADDIN CSL_CITATION {"citationItems":[{"id":"ITEM-1","itemData":{"author":[{"dropping-particle":"","family":"National Atmospheric Emissions Inventory","given":"","non-dropping-particle":"","parse-names":false,"suffix":""}],"id":"ITEM-1","issued":{"date-parts":[["2019"]]},"title":"UK Fleet Composition Projections (Base 2019r/2017 NAEI). For the UK outside London.","type":"article"},"uris":["http://www.mendeley.com/documents/?uuid=69efbc73-ea38-456b-ae65-6daa4a7bbb61"]}],"mendeley":{"formattedCitation":"(National Atmospheric Emissions Inventory, 2019)","plainTextFormattedCitation":"(National Atmospheric Emissions Inventory, 2019)","previouslyFormattedCitation":"(National Atmospheric Emissions Inventory, 2019)"},"properties":{"noteIndex":0},"schema":"https://github.com/citation-style-language/schema/raw/master/csl-citation.json"}</w:instrText>
      </w:r>
      <w:r w:rsidR="00BD5225" w:rsidRPr="00575A3E">
        <w:rPr>
          <w:sz w:val="22"/>
          <w:lang w:val="en-GB"/>
        </w:rPr>
        <w:fldChar w:fldCharType="separate"/>
      </w:r>
      <w:r w:rsidR="005F1281" w:rsidRPr="00575A3E">
        <w:rPr>
          <w:noProof/>
          <w:sz w:val="22"/>
          <w:lang w:val="en-GB"/>
        </w:rPr>
        <w:t>(National Atmospheric Emissions Inventory, 2019)</w:t>
      </w:r>
      <w:r w:rsidR="00BD5225" w:rsidRPr="00575A3E">
        <w:rPr>
          <w:sz w:val="22"/>
          <w:lang w:val="en-GB"/>
        </w:rPr>
        <w:fldChar w:fldCharType="end"/>
      </w:r>
      <w:r w:rsidR="00BD5225" w:rsidRPr="00575A3E">
        <w:rPr>
          <w:sz w:val="22"/>
          <w:lang w:val="en-GB"/>
        </w:rPr>
        <w:t>.</w:t>
      </w:r>
    </w:p>
    <w:bookmarkEnd w:id="10"/>
    <w:p w14:paraId="1214121C" w14:textId="4C236D14" w:rsidR="00BD5225" w:rsidRPr="00575A3E" w:rsidRDefault="00A77F46" w:rsidP="00A55356">
      <w:pPr>
        <w:pStyle w:val="ListParagraph"/>
        <w:numPr>
          <w:ilvl w:val="0"/>
          <w:numId w:val="22"/>
        </w:numPr>
        <w:spacing w:line="360" w:lineRule="auto"/>
        <w:ind w:left="1134" w:hanging="708"/>
        <w:jc w:val="both"/>
        <w:rPr>
          <w:sz w:val="22"/>
          <w:lang w:val="en-GB"/>
        </w:rPr>
      </w:pPr>
      <w:r w:rsidRPr="00575A3E">
        <w:rPr>
          <w:sz w:val="22"/>
          <w:u w:val="single"/>
          <w:lang w:val="en-GB"/>
        </w:rPr>
        <w:t>Proportions</w:t>
      </w:r>
      <w:r w:rsidR="000D33AC" w:rsidRPr="00575A3E">
        <w:rPr>
          <w:sz w:val="22"/>
          <w:u w:val="single"/>
          <w:lang w:val="en-GB"/>
        </w:rPr>
        <w:t xml:space="preserve"> </w:t>
      </w:r>
      <w:r w:rsidR="00A54B36" w:rsidRPr="00575A3E">
        <w:rPr>
          <w:sz w:val="22"/>
          <w:u w:val="single"/>
          <w:lang w:val="en-GB"/>
        </w:rPr>
        <w:t>Group</w:t>
      </w:r>
      <w:r w:rsidR="000D33AC" w:rsidRPr="00575A3E">
        <w:rPr>
          <w:sz w:val="22"/>
          <w:u w:val="single"/>
          <w:lang w:val="en-GB"/>
        </w:rPr>
        <w:t xml:space="preserve"> 2:</w:t>
      </w:r>
      <w:r w:rsidR="000D33AC" w:rsidRPr="00575A3E">
        <w:rPr>
          <w:sz w:val="22"/>
          <w:lang w:val="en-GB"/>
        </w:rPr>
        <w:t xml:space="preserve"> </w:t>
      </w:r>
      <w:r w:rsidR="00BD5225" w:rsidRPr="00575A3E">
        <w:rPr>
          <w:sz w:val="22"/>
          <w:lang w:val="en-GB"/>
        </w:rPr>
        <w:t xml:space="preserve">25% penetration of CAVs </w:t>
      </w:r>
      <w:r w:rsidR="00BD5225" w:rsidRPr="00575A3E">
        <w:rPr>
          <w:sz w:val="22"/>
          <w:lang w:val="en-GB"/>
        </w:rPr>
        <w:fldChar w:fldCharType="begin" w:fldLock="1"/>
      </w:r>
      <w:r w:rsidR="00893050" w:rsidRPr="00575A3E">
        <w:rPr>
          <w:sz w:val="22"/>
          <w:lang w:val="en-GB"/>
        </w:rPr>
        <w:instrText>ADDIN CSL_CITATION {"citationItems":[{"id":"ITEM-1","itemData":{"abstract":"Connected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CAVs.","author":[{"dropping-particle":"","family":"Atkins","given":"","non-dropping-particle":"","parse-names":false,"suffix":""}],"id":"ITEM-1","issue":"March","issued":{"date-parts":[["2016"]]},"page":"58","title":"Research on the Impacts of Connected and Autonomouse Vehicles (CAVs) on Traffic Flow","type":"article-journal"},"uris":["http://www.mendeley.com/documents/?uuid=0c131a8d-77a7-480c-855f-44a4939bc16e"]}],"mendeley":{"formattedCitation":"(Atkins, 2016)","plainTextFormattedCitation":"(Atkins, 2016)","previouslyFormattedCitation":"(Atkins, 2016)"},"properties":{"noteIndex":0},"schema":"https://github.com/citation-style-language/schema/raw/master/csl-citation.json"}</w:instrText>
      </w:r>
      <w:r w:rsidR="00BD5225" w:rsidRPr="00575A3E">
        <w:rPr>
          <w:sz w:val="22"/>
          <w:lang w:val="en-GB"/>
        </w:rPr>
        <w:fldChar w:fldCharType="separate"/>
      </w:r>
      <w:r w:rsidR="00C41D0C" w:rsidRPr="00575A3E">
        <w:rPr>
          <w:noProof/>
          <w:sz w:val="22"/>
          <w:lang w:val="en-GB"/>
        </w:rPr>
        <w:t>(Atkins, 2016)</w:t>
      </w:r>
      <w:r w:rsidR="00BD5225" w:rsidRPr="00575A3E">
        <w:rPr>
          <w:sz w:val="22"/>
          <w:lang w:val="en-GB"/>
        </w:rPr>
        <w:fldChar w:fldCharType="end"/>
      </w:r>
      <w:r w:rsidR="00BD5225" w:rsidRPr="00575A3E">
        <w:rPr>
          <w:sz w:val="22"/>
          <w:lang w:val="en-GB"/>
        </w:rPr>
        <w:t xml:space="preserve"> with the 24.2% penetration for EVs </w:t>
      </w:r>
      <w:r w:rsidR="00BD5225" w:rsidRPr="00575A3E">
        <w:rPr>
          <w:sz w:val="22"/>
          <w:lang w:val="en-GB"/>
        </w:rPr>
        <w:fldChar w:fldCharType="begin" w:fldLock="1"/>
      </w:r>
      <w:r w:rsidR="002859DD" w:rsidRPr="00575A3E">
        <w:rPr>
          <w:sz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BD5225" w:rsidRPr="00575A3E">
        <w:rPr>
          <w:sz w:val="22"/>
          <w:lang w:val="en-GB"/>
        </w:rPr>
        <w:fldChar w:fldCharType="separate"/>
      </w:r>
      <w:r w:rsidR="002859DD" w:rsidRPr="00575A3E">
        <w:rPr>
          <w:noProof/>
          <w:sz w:val="22"/>
          <w:lang w:val="en-GB"/>
        </w:rPr>
        <w:t>(UK Department for Transport, 2021a)</w:t>
      </w:r>
      <w:r w:rsidR="00BD5225" w:rsidRPr="00575A3E">
        <w:rPr>
          <w:sz w:val="22"/>
          <w:lang w:val="en-GB"/>
        </w:rPr>
        <w:fldChar w:fldCharType="end"/>
      </w:r>
      <w:r w:rsidR="00BD5225" w:rsidRPr="00575A3E">
        <w:rPr>
          <w:sz w:val="22"/>
          <w:lang w:val="en-GB"/>
        </w:rPr>
        <w:t>.</w:t>
      </w:r>
    </w:p>
    <w:p w14:paraId="349E956B" w14:textId="23F52B7D" w:rsidR="00BD5225" w:rsidRPr="00575A3E" w:rsidRDefault="00A77F46" w:rsidP="00A55356">
      <w:pPr>
        <w:pStyle w:val="ListParagraph"/>
        <w:numPr>
          <w:ilvl w:val="0"/>
          <w:numId w:val="22"/>
        </w:numPr>
        <w:spacing w:line="360" w:lineRule="auto"/>
        <w:ind w:left="1134" w:hanging="708"/>
        <w:jc w:val="both"/>
        <w:rPr>
          <w:sz w:val="22"/>
          <w:lang w:val="en-GB"/>
        </w:rPr>
      </w:pPr>
      <w:r w:rsidRPr="00575A3E">
        <w:rPr>
          <w:sz w:val="22"/>
          <w:u w:val="single"/>
          <w:lang w:val="en-GB"/>
        </w:rPr>
        <w:lastRenderedPageBreak/>
        <w:t>Proportions</w:t>
      </w:r>
      <w:r w:rsidR="000D33AC" w:rsidRPr="00575A3E">
        <w:rPr>
          <w:sz w:val="22"/>
          <w:u w:val="single"/>
          <w:lang w:val="en-GB"/>
        </w:rPr>
        <w:t xml:space="preserve"> </w:t>
      </w:r>
      <w:r w:rsidR="00A54B36" w:rsidRPr="00575A3E">
        <w:rPr>
          <w:sz w:val="22"/>
          <w:u w:val="single"/>
          <w:lang w:val="en-GB"/>
        </w:rPr>
        <w:t xml:space="preserve">Group </w:t>
      </w:r>
      <w:r w:rsidR="000D33AC" w:rsidRPr="00575A3E">
        <w:rPr>
          <w:sz w:val="22"/>
          <w:u w:val="single"/>
          <w:lang w:val="en-GB"/>
        </w:rPr>
        <w:t>3:</w:t>
      </w:r>
      <w:r w:rsidR="000D33AC" w:rsidRPr="00575A3E">
        <w:rPr>
          <w:sz w:val="22"/>
          <w:lang w:val="en-GB"/>
        </w:rPr>
        <w:t xml:space="preserve"> </w:t>
      </w:r>
      <w:r w:rsidR="00BD5225" w:rsidRPr="00575A3E">
        <w:rPr>
          <w:sz w:val="22"/>
          <w:lang w:val="en-GB"/>
        </w:rPr>
        <w:t xml:space="preserve">50% penetration of CAVs </w:t>
      </w:r>
      <w:r w:rsidR="00BD5225" w:rsidRPr="00575A3E">
        <w:rPr>
          <w:sz w:val="22"/>
          <w:lang w:val="en-GB"/>
        </w:rPr>
        <w:fldChar w:fldCharType="begin" w:fldLock="1"/>
      </w:r>
      <w:r w:rsidR="00893050" w:rsidRPr="00575A3E">
        <w:rPr>
          <w:sz w:val="22"/>
          <w:lang w:val="en-GB"/>
        </w:rPr>
        <w:instrText>ADDIN CSL_CITATION {"citationItems":[{"id":"ITEM-1","itemData":{"abstract":"Connected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CAVs.","author":[{"dropping-particle":"","family":"Atkins","given":"","non-dropping-particle":"","parse-names":false,"suffix":""}],"id":"ITEM-1","issue":"March","issued":{"date-parts":[["2016"]]},"page":"58","title":"Research on the Impacts of Connected and Autonomouse Vehicles (CAVs) on Traffic Flow","type":"article-journal"},"uris":["http://www.mendeley.com/documents/?uuid=0c131a8d-77a7-480c-855f-44a4939bc16e"]}],"mendeley":{"formattedCitation":"(Atkins, 2016)","plainTextFormattedCitation":"(Atkins, 2016)","previouslyFormattedCitation":"(Atkins, 2016)"},"properties":{"noteIndex":0},"schema":"https://github.com/citation-style-language/schema/raw/master/csl-citation.json"}</w:instrText>
      </w:r>
      <w:r w:rsidR="00BD5225" w:rsidRPr="00575A3E">
        <w:rPr>
          <w:sz w:val="22"/>
          <w:lang w:val="en-GB"/>
        </w:rPr>
        <w:fldChar w:fldCharType="separate"/>
      </w:r>
      <w:r w:rsidR="00C41D0C" w:rsidRPr="00575A3E">
        <w:rPr>
          <w:noProof/>
          <w:sz w:val="22"/>
          <w:lang w:val="en-GB"/>
        </w:rPr>
        <w:t>(Atkins, 2016)</w:t>
      </w:r>
      <w:r w:rsidR="00BD5225" w:rsidRPr="00575A3E">
        <w:rPr>
          <w:sz w:val="22"/>
          <w:lang w:val="en-GB"/>
        </w:rPr>
        <w:fldChar w:fldCharType="end"/>
      </w:r>
      <w:r w:rsidR="00BD5225" w:rsidRPr="00575A3E">
        <w:rPr>
          <w:sz w:val="22"/>
          <w:lang w:val="en-GB"/>
        </w:rPr>
        <w:t xml:space="preserve"> with the 14.1% penetration for EVs </w:t>
      </w:r>
      <w:r w:rsidR="00BD5225" w:rsidRPr="00575A3E">
        <w:rPr>
          <w:sz w:val="22"/>
          <w:lang w:val="en-GB"/>
        </w:rPr>
        <w:fldChar w:fldCharType="begin" w:fldLock="1"/>
      </w:r>
      <w:r w:rsidR="00893050" w:rsidRPr="00575A3E">
        <w:rPr>
          <w:sz w:val="22"/>
          <w:lang w:val="en-GB"/>
        </w:rPr>
        <w:instrText>ADDIN CSL_CITATION {"citationItems":[{"id":"ITEM-1","itemData":{"author":[{"dropping-particle":"","family":"National Atmospheric Emissions Inventory","given":"","non-dropping-particle":"","parse-names":false,"suffix":""}],"id":"ITEM-1","issued":{"date-parts":[["2019"]]},"title":"UK Fleet Composition Projections (Base 2019r/2017 NAEI). For the UK outside London.","type":"article"},"uris":["http://www.mendeley.com/documents/?uuid=69efbc73-ea38-456b-ae65-6daa4a7bbb61"]}],"mendeley":{"formattedCitation":"(National Atmospheric Emissions Inventory, 2019)","plainTextFormattedCitation":"(National Atmospheric Emissions Inventory, 2019)","previouslyFormattedCitation":"(National Atmospheric Emissions Inventory, 2019)"},"properties":{"noteIndex":0},"schema":"https://github.com/citation-style-language/schema/raw/master/csl-citation.json"}</w:instrText>
      </w:r>
      <w:r w:rsidR="00BD5225" w:rsidRPr="00575A3E">
        <w:rPr>
          <w:sz w:val="22"/>
          <w:lang w:val="en-GB"/>
        </w:rPr>
        <w:fldChar w:fldCharType="separate"/>
      </w:r>
      <w:r w:rsidR="00C41D0C" w:rsidRPr="00575A3E">
        <w:rPr>
          <w:noProof/>
          <w:sz w:val="22"/>
          <w:lang w:val="en-GB"/>
        </w:rPr>
        <w:t>(National Atmospheric Emissions Inventory, 2019)</w:t>
      </w:r>
      <w:r w:rsidR="00BD5225" w:rsidRPr="00575A3E">
        <w:rPr>
          <w:sz w:val="22"/>
          <w:lang w:val="en-GB"/>
        </w:rPr>
        <w:fldChar w:fldCharType="end"/>
      </w:r>
      <w:r w:rsidR="00BD5225" w:rsidRPr="00575A3E">
        <w:rPr>
          <w:sz w:val="22"/>
          <w:lang w:val="en-GB"/>
        </w:rPr>
        <w:t>.</w:t>
      </w:r>
    </w:p>
    <w:p w14:paraId="4DDCC49A" w14:textId="6EAA54BA" w:rsidR="00BD5225" w:rsidRPr="00575A3E" w:rsidRDefault="00A77F46" w:rsidP="00A55356">
      <w:pPr>
        <w:pStyle w:val="ListParagraph"/>
        <w:numPr>
          <w:ilvl w:val="0"/>
          <w:numId w:val="22"/>
        </w:numPr>
        <w:spacing w:line="360" w:lineRule="auto"/>
        <w:ind w:left="1134" w:hanging="708"/>
        <w:jc w:val="both"/>
        <w:rPr>
          <w:sz w:val="22"/>
          <w:lang w:val="en-GB"/>
        </w:rPr>
      </w:pPr>
      <w:r w:rsidRPr="00575A3E">
        <w:rPr>
          <w:sz w:val="22"/>
          <w:u w:val="single"/>
          <w:lang w:val="en-GB"/>
        </w:rPr>
        <w:t>Proportions</w:t>
      </w:r>
      <w:r w:rsidR="000D33AC" w:rsidRPr="00575A3E">
        <w:rPr>
          <w:sz w:val="22"/>
          <w:u w:val="single"/>
          <w:lang w:val="en-GB"/>
        </w:rPr>
        <w:t xml:space="preserve"> </w:t>
      </w:r>
      <w:r w:rsidR="00A54B36" w:rsidRPr="00575A3E">
        <w:rPr>
          <w:sz w:val="22"/>
          <w:u w:val="single"/>
          <w:lang w:val="en-GB"/>
        </w:rPr>
        <w:t>Group</w:t>
      </w:r>
      <w:r w:rsidR="000D33AC" w:rsidRPr="00575A3E">
        <w:rPr>
          <w:sz w:val="22"/>
          <w:u w:val="single"/>
          <w:lang w:val="en-GB"/>
        </w:rPr>
        <w:t xml:space="preserve"> 4:</w:t>
      </w:r>
      <w:r w:rsidR="000D33AC" w:rsidRPr="00575A3E">
        <w:rPr>
          <w:sz w:val="22"/>
          <w:lang w:val="en-GB"/>
        </w:rPr>
        <w:t xml:space="preserve"> </w:t>
      </w:r>
      <w:r w:rsidR="00BD5225" w:rsidRPr="00575A3E">
        <w:rPr>
          <w:sz w:val="22"/>
          <w:lang w:val="en-GB"/>
        </w:rPr>
        <w:t xml:space="preserve">50% penetration of CAVs </w:t>
      </w:r>
      <w:r w:rsidR="00BD5225" w:rsidRPr="00575A3E">
        <w:rPr>
          <w:sz w:val="22"/>
          <w:lang w:val="en-GB"/>
        </w:rPr>
        <w:fldChar w:fldCharType="begin" w:fldLock="1"/>
      </w:r>
      <w:r w:rsidR="00893050" w:rsidRPr="00575A3E">
        <w:rPr>
          <w:sz w:val="22"/>
          <w:lang w:val="en-GB"/>
        </w:rPr>
        <w:instrText>ADDIN CSL_CITATION {"citationItems":[{"id":"ITEM-1","itemData":{"abstract":"Connected and Autonomous Vehicles (CAVs) could have many impacts on UK roads and drivers. This work focuses specifically on the impact on road network capacity, and hence traffic speeds, delay and journey time. There are many other likely areas of impact – such as safety, emissions, car ownership and travel demand – that are all subject to on-going research. As a first stage, this report captures current thinking and gaps in knowledge to steer future work on capacity. It focuses on recent scientific evidence, backed up by discussions with leading researchers and industry globally. This focus is needed because much of the headline information attached to CAV benefits comes from think pieces, and evidence drawn from early speculative work. Much of this is now outdated, as both technology and market needs have changed. Early work tended to assume 100% fleet penetration of CAVs, that no pedestrians or cyclists exist, used hypothetical roads and assumed high levels of user compliance. Later work has explored mixed penetration using examples of real-world situations, and undertaken real-world testing to understand how drivers and other road users might react to the technology, and how they might use it (or even turn it off). This work has refined and reduced the headline capacity benefits from early studies and, in some cases, highlighted disbenefits. However, it is important to recognise that there are still many unsupported and unsubstantiated claims about the capacity benefits of CAVs.","author":[{"dropping-particle":"","family":"Atkins","given":"","non-dropping-particle":"","parse-names":false,"suffix":""}],"id":"ITEM-1","issue":"March","issued":{"date-parts":[["2016"]]},"page":"58","title":"Research on the Impacts of Connected and Autonomouse Vehicles (CAVs) on Traffic Flow","type":"article-journal"},"uris":["http://www.mendeley.com/documents/?uuid=0c131a8d-77a7-480c-855f-44a4939bc16e"]}],"mendeley":{"formattedCitation":"(Atkins, 2016)","plainTextFormattedCitation":"(Atkins, 2016)","previouslyFormattedCitation":"(Atkins, 2016)"},"properties":{"noteIndex":0},"schema":"https://github.com/citation-style-language/schema/raw/master/csl-citation.json"}</w:instrText>
      </w:r>
      <w:r w:rsidR="00BD5225" w:rsidRPr="00575A3E">
        <w:rPr>
          <w:sz w:val="22"/>
          <w:lang w:val="en-GB"/>
        </w:rPr>
        <w:fldChar w:fldCharType="separate"/>
      </w:r>
      <w:r w:rsidR="00C41D0C" w:rsidRPr="00575A3E">
        <w:rPr>
          <w:noProof/>
          <w:sz w:val="22"/>
          <w:lang w:val="en-GB"/>
        </w:rPr>
        <w:t>(Atkins, 2016)</w:t>
      </w:r>
      <w:r w:rsidR="00BD5225" w:rsidRPr="00575A3E">
        <w:rPr>
          <w:sz w:val="22"/>
          <w:lang w:val="en-GB"/>
        </w:rPr>
        <w:fldChar w:fldCharType="end"/>
      </w:r>
      <w:r w:rsidR="00BD5225" w:rsidRPr="00575A3E">
        <w:rPr>
          <w:sz w:val="22"/>
          <w:lang w:val="en-GB"/>
        </w:rPr>
        <w:t xml:space="preserve"> with the 24.2% penetration for EVs</w:t>
      </w:r>
      <w:r w:rsidR="00E96854" w:rsidRPr="00575A3E">
        <w:rPr>
          <w:sz w:val="22"/>
          <w:lang w:val="en-GB"/>
        </w:rPr>
        <w:t xml:space="preserve"> </w:t>
      </w:r>
      <w:r w:rsidR="00BD5225" w:rsidRPr="00575A3E">
        <w:rPr>
          <w:sz w:val="22"/>
          <w:lang w:val="en-GB"/>
        </w:rPr>
        <w:fldChar w:fldCharType="begin" w:fldLock="1"/>
      </w:r>
      <w:r w:rsidR="002859DD" w:rsidRPr="00575A3E">
        <w:rPr>
          <w:sz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BD5225" w:rsidRPr="00575A3E">
        <w:rPr>
          <w:sz w:val="22"/>
          <w:lang w:val="en-GB"/>
        </w:rPr>
        <w:fldChar w:fldCharType="separate"/>
      </w:r>
      <w:r w:rsidR="002859DD" w:rsidRPr="00575A3E">
        <w:rPr>
          <w:noProof/>
          <w:sz w:val="22"/>
          <w:lang w:val="en-GB"/>
        </w:rPr>
        <w:t>(UK Department for Transport, 2021a)</w:t>
      </w:r>
      <w:r w:rsidR="00BD5225" w:rsidRPr="00575A3E">
        <w:rPr>
          <w:sz w:val="22"/>
          <w:lang w:val="en-GB"/>
        </w:rPr>
        <w:fldChar w:fldCharType="end"/>
      </w:r>
      <w:r w:rsidR="00BD5225" w:rsidRPr="00575A3E">
        <w:rPr>
          <w:sz w:val="22"/>
          <w:lang w:val="en-GB"/>
        </w:rPr>
        <w:t>.</w:t>
      </w:r>
    </w:p>
    <w:p w14:paraId="3E667FE2" w14:textId="77777777" w:rsidR="00D87002" w:rsidRPr="00575A3E" w:rsidRDefault="00D87002" w:rsidP="005033DC">
      <w:pPr>
        <w:pStyle w:val="ListParagraph"/>
        <w:spacing w:after="0" w:line="360" w:lineRule="auto"/>
        <w:ind w:left="0"/>
        <w:jc w:val="both"/>
        <w:rPr>
          <w:sz w:val="22"/>
          <w:lang w:val="en-GB"/>
        </w:rPr>
      </w:pPr>
    </w:p>
    <w:p w14:paraId="42A957C1" w14:textId="695A0B0A" w:rsidR="00BD5225" w:rsidRPr="00575A3E" w:rsidRDefault="0001789C" w:rsidP="005033DC">
      <w:pPr>
        <w:pStyle w:val="ListParagraph"/>
        <w:spacing w:after="0" w:line="360" w:lineRule="auto"/>
        <w:ind w:left="0"/>
        <w:jc w:val="both"/>
        <w:rPr>
          <w:sz w:val="22"/>
          <w:lang w:val="en-GB"/>
        </w:rPr>
      </w:pPr>
      <w:r w:rsidRPr="00575A3E">
        <w:rPr>
          <w:sz w:val="22"/>
          <w:lang w:val="en-GB"/>
        </w:rPr>
        <w:t>T</w:t>
      </w:r>
      <w:r w:rsidR="008F4AAE" w:rsidRPr="00575A3E">
        <w:rPr>
          <w:sz w:val="22"/>
          <w:lang w:val="en-GB"/>
        </w:rPr>
        <w:t xml:space="preserve">hese sources are combined because the technologies are not mutually exclusive. </w:t>
      </w:r>
      <w:r w:rsidR="0090391E" w:rsidRPr="00575A3E">
        <w:rPr>
          <w:sz w:val="22"/>
          <w:lang w:val="en-GB"/>
        </w:rPr>
        <w:t>Thus,</w:t>
      </w:r>
      <w:r w:rsidR="00E96854" w:rsidRPr="00575A3E">
        <w:rPr>
          <w:sz w:val="22"/>
          <w:lang w:val="en-GB"/>
        </w:rPr>
        <w:t xml:space="preserve"> all</w:t>
      </w:r>
      <w:r w:rsidR="008F4AAE" w:rsidRPr="00575A3E">
        <w:rPr>
          <w:sz w:val="22"/>
          <w:lang w:val="en-GB"/>
        </w:rPr>
        <w:t xml:space="preserve"> the costs are affected due to changes in fuel costs, values of time and initial purchase prices from subsidies for </w:t>
      </w:r>
      <w:r w:rsidR="0043655E" w:rsidRPr="00575A3E">
        <w:rPr>
          <w:sz w:val="22"/>
          <w:lang w:val="en-GB"/>
        </w:rPr>
        <w:t>EVs</w:t>
      </w:r>
      <w:r w:rsidR="008F4AAE" w:rsidRPr="00575A3E">
        <w:rPr>
          <w:sz w:val="22"/>
          <w:lang w:val="en-GB"/>
        </w:rPr>
        <w:t xml:space="preserve">. </w:t>
      </w:r>
    </w:p>
    <w:p w14:paraId="61FC4F75" w14:textId="199EE054" w:rsidR="003A6E17" w:rsidRPr="00575A3E" w:rsidRDefault="00701376" w:rsidP="00A55356">
      <w:pPr>
        <w:pStyle w:val="Heading3"/>
        <w:spacing w:before="0" w:after="0" w:line="360" w:lineRule="auto"/>
        <w:rPr>
          <w:i/>
          <w:iCs/>
          <w:szCs w:val="22"/>
          <w:lang w:val="en-GB"/>
        </w:rPr>
      </w:pPr>
      <w:r w:rsidRPr="00575A3E">
        <w:rPr>
          <w:i/>
          <w:iCs/>
          <w:szCs w:val="22"/>
          <w:lang w:val="en-GB"/>
        </w:rPr>
        <w:t>3</w:t>
      </w:r>
      <w:r w:rsidR="003A6E17" w:rsidRPr="00575A3E">
        <w:rPr>
          <w:i/>
          <w:iCs/>
          <w:szCs w:val="22"/>
          <w:lang w:val="en-GB"/>
        </w:rPr>
        <w:t>.</w:t>
      </w:r>
      <w:r w:rsidR="00EC0342" w:rsidRPr="00575A3E">
        <w:rPr>
          <w:i/>
          <w:iCs/>
          <w:szCs w:val="22"/>
          <w:lang w:val="en-GB"/>
        </w:rPr>
        <w:t>2.</w:t>
      </w:r>
      <w:r w:rsidR="00120855" w:rsidRPr="00575A3E">
        <w:rPr>
          <w:i/>
          <w:iCs/>
          <w:szCs w:val="22"/>
          <w:lang w:val="en-GB"/>
        </w:rPr>
        <w:t>3</w:t>
      </w:r>
      <w:r w:rsidR="003A6E17" w:rsidRPr="00575A3E">
        <w:rPr>
          <w:i/>
          <w:iCs/>
          <w:szCs w:val="22"/>
          <w:lang w:val="en-GB"/>
        </w:rPr>
        <w:t xml:space="preserve">. Generalised </w:t>
      </w:r>
      <w:r w:rsidR="0043655E" w:rsidRPr="00575A3E">
        <w:rPr>
          <w:i/>
          <w:iCs/>
          <w:szCs w:val="22"/>
          <w:lang w:val="en-GB"/>
        </w:rPr>
        <w:t>c</w:t>
      </w:r>
      <w:r w:rsidR="003A6E17" w:rsidRPr="00575A3E">
        <w:rPr>
          <w:i/>
          <w:iCs/>
          <w:szCs w:val="22"/>
          <w:lang w:val="en-GB"/>
        </w:rPr>
        <w:t>osts</w:t>
      </w:r>
    </w:p>
    <w:p w14:paraId="2F7BE6A0" w14:textId="5F20FC11" w:rsidR="00F479EF" w:rsidRPr="00575A3E" w:rsidRDefault="00F479EF" w:rsidP="00A55356">
      <w:pPr>
        <w:spacing w:line="360" w:lineRule="auto"/>
        <w:rPr>
          <w:szCs w:val="22"/>
          <w:lang w:val="en-GB"/>
        </w:rPr>
      </w:pPr>
      <w:r w:rsidRPr="00575A3E">
        <w:rPr>
          <w:szCs w:val="22"/>
          <w:lang w:val="en-GB"/>
        </w:rPr>
        <w:t xml:space="preserve">New vehicle technologies </w:t>
      </w:r>
      <w:r w:rsidR="0001789C" w:rsidRPr="00575A3E">
        <w:rPr>
          <w:szCs w:val="22"/>
          <w:lang w:val="en-GB"/>
        </w:rPr>
        <w:t>will</w:t>
      </w:r>
      <w:r w:rsidRPr="00575A3E">
        <w:rPr>
          <w:szCs w:val="22"/>
          <w:lang w:val="en-GB"/>
        </w:rPr>
        <w:t xml:space="preserve"> change vehicle operating costs and values of time </w:t>
      </w:r>
      <w:r w:rsidRPr="00575A3E">
        <w:rPr>
          <w:szCs w:val="22"/>
          <w:lang w:val="en-GB"/>
        </w:rPr>
        <w:fldChar w:fldCharType="begin" w:fldLock="1"/>
      </w:r>
      <w:r w:rsidR="00E7057C" w:rsidRPr="00575A3E">
        <w:rPr>
          <w:szCs w:val="22"/>
          <w:lang w:val="en-GB"/>
        </w:rPr>
        <w:instrText>ADDIN CSL_CITATION {"citationItems":[{"id":"ITEM-1","itemData":{"abstract":"This report explores the impacts that autonomous (also called self-driving, driverless or robotic) vehicles are likely to have on travel demands and transportation planning. It discusses autonomous vehicle benefits and costs, predicts their likely development and implementation based on experience with previous vehicle technologies, and explores how they will affect planning decisions such as optimal road, parking and public transit supply. The analysis indicates that some benefits, such as independent mobility for affluent non-drivers, may begin in the 2020s or 2030s, but most impacts, including reduced traffic and parking congestion (and therefore road and parking facility supply requirements), independent mobility for low-income people (and therefore reduced need to subsidize transit), increased safety, energy conservation and pollution reductions, will only be significant when autonomous vehicles become common and affordable, probably in the 2040s to 2060s, and some benefits may require prohibiting human-driven vehicles on certain roadways, which could take longer.","author":[{"dropping-particle":"","family":"Litman","given":"Todd Alexander","non-dropping-particle":"","parse-names":false,"suffix":""}],"container-title":"Traffic Technology International","id":"ITEM-1","issued":{"date-parts":[["2019"]]},"page":"36-42","title":"Autonomous Vehicle Implementation Predictions Implications for Transport Planning","type":"article-journal"},"uris":["http://www.mendeley.com/documents/?uuid=c1e0a66f-ed46-4c67-930a-7539167d1f1c"]}],"mendeley":{"formattedCitation":"(Litman, 2019)","manualFormatting":"(Litman, 2019)","plainTextFormattedCitation":"(Litman, 2019)","previouslyFormattedCitation":"(Litman, 2019)"},"properties":{"noteIndex":0},"schema":"https://github.com/citation-style-language/schema/raw/master/csl-citation.json"}</w:instrText>
      </w:r>
      <w:r w:rsidRPr="00575A3E">
        <w:rPr>
          <w:szCs w:val="22"/>
          <w:lang w:val="en-GB"/>
        </w:rPr>
        <w:fldChar w:fldCharType="separate"/>
      </w:r>
      <w:r w:rsidR="002659CA" w:rsidRPr="00575A3E">
        <w:rPr>
          <w:noProof/>
          <w:szCs w:val="22"/>
          <w:lang w:val="en-GB"/>
        </w:rPr>
        <w:t>(Litman, 2019)</w:t>
      </w:r>
      <w:r w:rsidRPr="00575A3E">
        <w:rPr>
          <w:szCs w:val="22"/>
          <w:lang w:val="en-GB"/>
        </w:rPr>
        <w:fldChar w:fldCharType="end"/>
      </w:r>
      <w:r w:rsidRPr="00575A3E">
        <w:rPr>
          <w:szCs w:val="22"/>
          <w:lang w:val="en-GB"/>
        </w:rPr>
        <w:t>, thus changing generalised costs of travelling.</w:t>
      </w:r>
      <w:r w:rsidR="00F31BFE" w:rsidRPr="00575A3E">
        <w:rPr>
          <w:szCs w:val="22"/>
          <w:lang w:val="en-GB"/>
        </w:rPr>
        <w:t xml:space="preserve"> The</w:t>
      </w:r>
      <w:r w:rsidRPr="00575A3E">
        <w:rPr>
          <w:szCs w:val="22"/>
          <w:lang w:val="en-GB"/>
        </w:rPr>
        <w:t xml:space="preserve"> </w:t>
      </w:r>
      <w:r w:rsidR="00F31BFE" w:rsidRPr="00575A3E">
        <w:rPr>
          <w:szCs w:val="22"/>
          <w:lang w:val="en-GB"/>
        </w:rPr>
        <w:t>c</w:t>
      </w:r>
      <w:r w:rsidRPr="00575A3E">
        <w:rPr>
          <w:szCs w:val="22"/>
          <w:lang w:val="en-GB"/>
        </w:rPr>
        <w:t>alculati</w:t>
      </w:r>
      <w:r w:rsidR="00F31BFE" w:rsidRPr="00575A3E">
        <w:rPr>
          <w:szCs w:val="22"/>
          <w:lang w:val="en-GB"/>
        </w:rPr>
        <w:t>on of</w:t>
      </w:r>
      <w:r w:rsidRPr="00575A3E">
        <w:rPr>
          <w:szCs w:val="22"/>
          <w:lang w:val="en-GB"/>
        </w:rPr>
        <w:t xml:space="preserve"> generalised cost (GC) is conducted according to the UK Transport Analysis Guidance</w:t>
      </w:r>
      <w:r w:rsidR="007B02C0" w:rsidRPr="00575A3E">
        <w:rPr>
          <w:szCs w:val="22"/>
          <w:lang w:val="en-GB"/>
        </w:rPr>
        <w:t xml:space="preserve"> (WebTAG)</w:t>
      </w:r>
      <w:r w:rsidRPr="00575A3E">
        <w:rPr>
          <w:szCs w:val="22"/>
          <w:lang w:val="en-GB"/>
        </w:rPr>
        <w:t xml:space="preserve"> </w:t>
      </w:r>
      <w:r w:rsidR="009D72A6" w:rsidRPr="00575A3E">
        <w:rPr>
          <w:szCs w:val="22"/>
          <w:lang w:val="en-GB"/>
        </w:rPr>
        <w:fldChar w:fldCharType="begin" w:fldLock="1"/>
      </w:r>
      <w:r w:rsidR="002859DD" w:rsidRPr="00575A3E">
        <w:rPr>
          <w:szCs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9D72A6" w:rsidRPr="00575A3E">
        <w:rPr>
          <w:szCs w:val="22"/>
          <w:lang w:val="en-GB"/>
        </w:rPr>
        <w:fldChar w:fldCharType="separate"/>
      </w:r>
      <w:r w:rsidR="002859DD" w:rsidRPr="00575A3E">
        <w:rPr>
          <w:noProof/>
          <w:szCs w:val="22"/>
          <w:lang w:val="en-GB"/>
        </w:rPr>
        <w:t>(UK Department for Transport, 2021a)</w:t>
      </w:r>
      <w:r w:rsidR="009D72A6" w:rsidRPr="00575A3E">
        <w:rPr>
          <w:szCs w:val="22"/>
          <w:lang w:val="en-GB"/>
        </w:rPr>
        <w:fldChar w:fldCharType="end"/>
      </w:r>
      <w:r w:rsidR="009D72A6" w:rsidRPr="00575A3E">
        <w:rPr>
          <w:szCs w:val="22"/>
          <w:lang w:val="en-GB"/>
        </w:rPr>
        <w:t xml:space="preserve">. </w:t>
      </w:r>
      <w:r w:rsidRPr="00575A3E">
        <w:rPr>
          <w:szCs w:val="22"/>
          <w:lang w:val="en-GB"/>
        </w:rPr>
        <w:t>The parameters need for the calculation of the generalised cost are:</w:t>
      </w:r>
    </w:p>
    <w:p w14:paraId="1433067C" w14:textId="77777777" w:rsidR="00D87002" w:rsidRPr="00575A3E" w:rsidRDefault="00D87002" w:rsidP="00A55356">
      <w:pPr>
        <w:spacing w:line="360" w:lineRule="auto"/>
        <w:rPr>
          <w:szCs w:val="22"/>
          <w:lang w:val="en-GB"/>
        </w:rPr>
      </w:pPr>
    </w:p>
    <w:p w14:paraId="498F5B36" w14:textId="490BDD51" w:rsidR="00F479EF" w:rsidRPr="00575A3E" w:rsidRDefault="00F479EF" w:rsidP="00A55356">
      <w:pPr>
        <w:numPr>
          <w:ilvl w:val="0"/>
          <w:numId w:val="12"/>
        </w:numPr>
        <w:spacing w:line="360" w:lineRule="auto"/>
        <w:rPr>
          <w:szCs w:val="22"/>
          <w:lang w:val="en-GB"/>
        </w:rPr>
      </w:pPr>
      <w:r w:rsidRPr="00575A3E">
        <w:rPr>
          <w:szCs w:val="22"/>
          <w:lang w:val="en-GB"/>
        </w:rPr>
        <w:t>Non-Fuel Costs</w:t>
      </w:r>
      <w:r w:rsidR="00F31BFE" w:rsidRPr="00575A3E">
        <w:rPr>
          <w:szCs w:val="22"/>
          <w:lang w:val="en-GB"/>
        </w:rPr>
        <w:t xml:space="preserve"> (NFC)</w:t>
      </w:r>
      <w:r w:rsidRPr="00575A3E">
        <w:rPr>
          <w:szCs w:val="22"/>
          <w:lang w:val="en-GB"/>
        </w:rPr>
        <w:t xml:space="preserve"> in (£/km) </w:t>
      </w:r>
    </w:p>
    <w:p w14:paraId="1BAB1391" w14:textId="3B9E3874" w:rsidR="00F479EF" w:rsidRPr="00575A3E" w:rsidRDefault="00F479EF" w:rsidP="00A55356">
      <w:pPr>
        <w:numPr>
          <w:ilvl w:val="0"/>
          <w:numId w:val="12"/>
        </w:numPr>
        <w:spacing w:line="360" w:lineRule="auto"/>
        <w:rPr>
          <w:szCs w:val="22"/>
          <w:lang w:val="en-GB"/>
        </w:rPr>
      </w:pPr>
      <w:r w:rsidRPr="00575A3E">
        <w:rPr>
          <w:szCs w:val="22"/>
          <w:lang w:val="en-GB"/>
        </w:rPr>
        <w:t>Fuel Costs</w:t>
      </w:r>
      <w:r w:rsidR="00F31BFE" w:rsidRPr="00575A3E">
        <w:rPr>
          <w:szCs w:val="22"/>
          <w:lang w:val="en-GB"/>
        </w:rPr>
        <w:t xml:space="preserve"> (FC)</w:t>
      </w:r>
      <w:r w:rsidRPr="00575A3E">
        <w:rPr>
          <w:szCs w:val="22"/>
          <w:lang w:val="en-GB"/>
        </w:rPr>
        <w:t xml:space="preserve"> in (£/km) </w:t>
      </w:r>
    </w:p>
    <w:p w14:paraId="0D1A5933" w14:textId="0D76CC24" w:rsidR="00F479EF" w:rsidRPr="00575A3E" w:rsidRDefault="00F479EF" w:rsidP="00A55356">
      <w:pPr>
        <w:numPr>
          <w:ilvl w:val="0"/>
          <w:numId w:val="12"/>
        </w:numPr>
        <w:spacing w:line="360" w:lineRule="auto"/>
        <w:rPr>
          <w:szCs w:val="22"/>
          <w:lang w:val="en-GB"/>
        </w:rPr>
      </w:pPr>
      <w:r w:rsidRPr="00575A3E">
        <w:rPr>
          <w:szCs w:val="22"/>
          <w:lang w:val="en-GB"/>
        </w:rPr>
        <w:t>Value of Time</w:t>
      </w:r>
      <w:r w:rsidR="00F31BFE" w:rsidRPr="00575A3E">
        <w:rPr>
          <w:szCs w:val="22"/>
          <w:lang w:val="en-GB"/>
        </w:rPr>
        <w:t xml:space="preserve"> (VoT) in</w:t>
      </w:r>
      <w:r w:rsidRPr="00575A3E">
        <w:rPr>
          <w:szCs w:val="22"/>
          <w:lang w:val="en-GB"/>
        </w:rPr>
        <w:t xml:space="preserve"> (£/h) </w:t>
      </w:r>
    </w:p>
    <w:p w14:paraId="46DCC3DB" w14:textId="1D128EE6" w:rsidR="00F479EF" w:rsidRPr="00575A3E" w:rsidRDefault="00F479EF" w:rsidP="00A55356">
      <w:pPr>
        <w:numPr>
          <w:ilvl w:val="0"/>
          <w:numId w:val="12"/>
        </w:numPr>
        <w:spacing w:line="360" w:lineRule="auto"/>
        <w:rPr>
          <w:szCs w:val="22"/>
          <w:lang w:val="en-GB"/>
        </w:rPr>
      </w:pPr>
      <w:r w:rsidRPr="00575A3E">
        <w:rPr>
          <w:szCs w:val="22"/>
          <w:lang w:val="en-GB"/>
        </w:rPr>
        <w:t>Distance</w:t>
      </w:r>
      <w:r w:rsidR="00F31BFE" w:rsidRPr="00575A3E">
        <w:rPr>
          <w:szCs w:val="22"/>
          <w:lang w:val="en-GB"/>
        </w:rPr>
        <w:t xml:space="preserve"> (D)</w:t>
      </w:r>
      <w:r w:rsidRPr="00575A3E">
        <w:rPr>
          <w:szCs w:val="22"/>
          <w:lang w:val="en-GB"/>
        </w:rPr>
        <w:t xml:space="preserve"> in (km) </w:t>
      </w:r>
    </w:p>
    <w:p w14:paraId="2FCE060E" w14:textId="056C9FA4" w:rsidR="00771894" w:rsidRPr="00575A3E" w:rsidRDefault="00F479EF" w:rsidP="00A55356">
      <w:pPr>
        <w:numPr>
          <w:ilvl w:val="0"/>
          <w:numId w:val="12"/>
        </w:numPr>
        <w:spacing w:line="360" w:lineRule="auto"/>
        <w:rPr>
          <w:szCs w:val="22"/>
          <w:lang w:val="en-GB"/>
        </w:rPr>
      </w:pPr>
      <w:r w:rsidRPr="00575A3E">
        <w:rPr>
          <w:szCs w:val="22"/>
          <w:lang w:val="en-GB"/>
        </w:rPr>
        <w:t xml:space="preserve">Journey time </w:t>
      </w:r>
      <w:r w:rsidR="00F31BFE" w:rsidRPr="00575A3E">
        <w:rPr>
          <w:szCs w:val="22"/>
          <w:lang w:val="en-GB"/>
        </w:rPr>
        <w:t xml:space="preserve">(JT) </w:t>
      </w:r>
      <w:r w:rsidRPr="00575A3E">
        <w:rPr>
          <w:szCs w:val="22"/>
          <w:lang w:val="en-GB"/>
        </w:rPr>
        <w:t xml:space="preserve">in (h) </w:t>
      </w:r>
    </w:p>
    <w:p w14:paraId="556C29BD" w14:textId="77777777" w:rsidR="00DD58F5" w:rsidRPr="00575A3E" w:rsidRDefault="00DD58F5" w:rsidP="00A55356">
      <w:pPr>
        <w:spacing w:line="360" w:lineRule="auto"/>
        <w:rPr>
          <w:szCs w:val="22"/>
          <w:lang w:val="en-GB"/>
        </w:rPr>
      </w:pPr>
    </w:p>
    <w:p w14:paraId="3163F277" w14:textId="109C40BC" w:rsidR="00F479EF" w:rsidRPr="00575A3E" w:rsidRDefault="00771894" w:rsidP="00A55356">
      <w:pPr>
        <w:spacing w:line="360" w:lineRule="auto"/>
        <w:rPr>
          <w:szCs w:val="22"/>
          <w:lang w:val="en-GB"/>
        </w:rPr>
      </w:pPr>
      <w:r w:rsidRPr="00575A3E">
        <w:rPr>
          <w:szCs w:val="22"/>
          <w:lang w:val="en-GB"/>
        </w:rPr>
        <w:t>T</w:t>
      </w:r>
      <w:r w:rsidR="00F479EF" w:rsidRPr="00575A3E">
        <w:rPr>
          <w:szCs w:val="22"/>
          <w:lang w:val="en-GB"/>
        </w:rPr>
        <w:t>he generalised cost per trip for every vehicle type is</w:t>
      </w:r>
      <w:r w:rsidRPr="00575A3E">
        <w:rPr>
          <w:szCs w:val="22"/>
          <w:lang w:val="en-GB"/>
        </w:rPr>
        <w:t>, hence,</w:t>
      </w:r>
      <w:r w:rsidR="00F479EF" w:rsidRPr="00575A3E">
        <w:rPr>
          <w:szCs w:val="22"/>
          <w:lang w:val="en-GB"/>
        </w:rPr>
        <w:t xml:space="preserve"> estimated as:</w:t>
      </w:r>
    </w:p>
    <w:p w14:paraId="5F7302F5" w14:textId="77777777" w:rsidR="00EB397B" w:rsidRPr="00575A3E" w:rsidRDefault="00EB397B" w:rsidP="00A55356">
      <w:pPr>
        <w:spacing w:line="360" w:lineRule="auto"/>
        <w:ind w:firstLine="851"/>
        <w:rPr>
          <w:szCs w:val="22"/>
          <w:lang w:val="en-GB"/>
        </w:rPr>
      </w:pPr>
    </w:p>
    <w:tbl>
      <w:tblPr>
        <w:tblW w:w="9072" w:type="dxa"/>
        <w:tblLayout w:type="fixed"/>
        <w:tblLook w:val="01E0" w:firstRow="1" w:lastRow="1" w:firstColumn="1" w:lastColumn="1" w:noHBand="0" w:noVBand="0"/>
      </w:tblPr>
      <w:tblGrid>
        <w:gridCol w:w="7372"/>
        <w:gridCol w:w="1700"/>
      </w:tblGrid>
      <w:tr w:rsidR="00575A3E" w:rsidRPr="00575A3E" w14:paraId="5A9AB308" w14:textId="77777777" w:rsidTr="00A358EB">
        <w:tc>
          <w:tcPr>
            <w:tcW w:w="7372" w:type="dxa"/>
            <w:vAlign w:val="bottom"/>
          </w:tcPr>
          <w:p w14:paraId="17E570E2" w14:textId="77777777" w:rsidR="00F479EF" w:rsidRPr="00575A3E" w:rsidRDefault="00F479EF" w:rsidP="00A55356">
            <w:pPr>
              <w:spacing w:line="360" w:lineRule="auto"/>
              <w:rPr>
                <w:szCs w:val="22"/>
                <w:lang w:val="en-GB"/>
              </w:rPr>
            </w:pPr>
            <m:oMathPara>
              <m:oMathParaPr>
                <m:jc m:val="center"/>
              </m:oMathParaPr>
              <m:oMath>
                <m:r>
                  <w:rPr>
                    <w:rFonts w:ascii="Cambria Math" w:hAnsi="Cambria Math"/>
                    <w:szCs w:val="22"/>
                    <w:lang w:val="en-GB"/>
                  </w:rPr>
                  <m:t>GC=</m:t>
                </m:r>
                <m:d>
                  <m:dPr>
                    <m:ctrlPr>
                      <w:rPr>
                        <w:rFonts w:ascii="Cambria Math" w:hAnsi="Cambria Math"/>
                        <w:szCs w:val="22"/>
                        <w:lang w:val="en-GB"/>
                      </w:rPr>
                    </m:ctrlPr>
                  </m:dPr>
                  <m:e>
                    <m:r>
                      <w:rPr>
                        <w:rFonts w:ascii="Cambria Math" w:hAnsi="Cambria Math"/>
                        <w:szCs w:val="22"/>
                        <w:lang w:val="en-GB"/>
                      </w:rPr>
                      <m:t>NFC+FC</m:t>
                    </m:r>
                  </m:e>
                </m:d>
                <m:r>
                  <w:rPr>
                    <w:rFonts w:ascii="Cambria Math" w:hAnsi="Cambria Math"/>
                    <w:szCs w:val="22"/>
                    <w:lang w:val="en-GB"/>
                  </w:rPr>
                  <m:t>*D+VoT*JT</m:t>
                </m:r>
              </m:oMath>
            </m:oMathPara>
          </w:p>
          <w:p w14:paraId="20389166" w14:textId="5F63EF6F" w:rsidR="00EB397B" w:rsidRPr="00575A3E" w:rsidRDefault="00EB397B" w:rsidP="00A55356">
            <w:pPr>
              <w:spacing w:line="360" w:lineRule="auto"/>
              <w:rPr>
                <w:szCs w:val="22"/>
                <w:lang w:val="en-GB"/>
              </w:rPr>
            </w:pPr>
          </w:p>
        </w:tc>
        <w:tc>
          <w:tcPr>
            <w:tcW w:w="1700" w:type="dxa"/>
            <w:vAlign w:val="center"/>
          </w:tcPr>
          <w:p w14:paraId="169E06EF" w14:textId="606748AC" w:rsidR="00F479EF" w:rsidRPr="00575A3E" w:rsidRDefault="00F479EF" w:rsidP="00A55356">
            <w:pPr>
              <w:spacing w:line="360" w:lineRule="auto"/>
              <w:rPr>
                <w:szCs w:val="22"/>
                <w:lang w:val="en-GB"/>
              </w:rPr>
            </w:pPr>
            <w:r w:rsidRPr="00575A3E">
              <w:rPr>
                <w:szCs w:val="22"/>
                <w:lang w:val="en-GB"/>
              </w:rPr>
              <w:t>(</w:t>
            </w:r>
            <w:r w:rsidRPr="00575A3E">
              <w:rPr>
                <w:szCs w:val="22"/>
                <w:lang w:val="en-GB"/>
              </w:rPr>
              <w:fldChar w:fldCharType="begin"/>
            </w:r>
            <w:r w:rsidRPr="00575A3E">
              <w:rPr>
                <w:szCs w:val="22"/>
                <w:lang w:val="en-GB"/>
              </w:rPr>
              <w:instrText>SEQ Eq \* ARABIC</w:instrText>
            </w:r>
            <w:r w:rsidRPr="00575A3E">
              <w:rPr>
                <w:szCs w:val="22"/>
                <w:lang w:val="en-GB"/>
              </w:rPr>
              <w:fldChar w:fldCharType="separate"/>
            </w:r>
            <w:r w:rsidR="004A1C59" w:rsidRPr="00575A3E">
              <w:rPr>
                <w:noProof/>
                <w:szCs w:val="22"/>
                <w:lang w:val="en-GB"/>
              </w:rPr>
              <w:t>1</w:t>
            </w:r>
            <w:r w:rsidRPr="00575A3E">
              <w:rPr>
                <w:szCs w:val="22"/>
                <w:lang w:val="en-GB"/>
              </w:rPr>
              <w:fldChar w:fldCharType="end"/>
            </w:r>
            <w:r w:rsidRPr="00575A3E">
              <w:rPr>
                <w:szCs w:val="22"/>
                <w:lang w:val="en-GB"/>
              </w:rPr>
              <w:t>)</w:t>
            </w:r>
          </w:p>
          <w:p w14:paraId="352EAC74" w14:textId="5308E09F" w:rsidR="00EB397B" w:rsidRPr="00575A3E" w:rsidRDefault="00EB397B" w:rsidP="00A55356">
            <w:pPr>
              <w:spacing w:line="360" w:lineRule="auto"/>
              <w:rPr>
                <w:szCs w:val="22"/>
                <w:lang w:val="en-GB"/>
              </w:rPr>
            </w:pPr>
          </w:p>
        </w:tc>
      </w:tr>
    </w:tbl>
    <w:p w14:paraId="260384CF" w14:textId="1CE020D5" w:rsidR="009A4025" w:rsidRPr="00575A3E" w:rsidRDefault="009A4025" w:rsidP="00C56464">
      <w:pPr>
        <w:widowControl/>
        <w:suppressAutoHyphens w:val="0"/>
        <w:spacing w:before="200" w:line="360" w:lineRule="auto"/>
        <w:rPr>
          <w:rFonts w:eastAsia="Times New Roman"/>
          <w:kern w:val="0"/>
          <w:szCs w:val="22"/>
          <w:lang w:val="en-GB" w:eastAsia="zh-CN"/>
        </w:rPr>
      </w:pPr>
      <w:r w:rsidRPr="00575A3E">
        <w:rPr>
          <w:rFonts w:eastAsia="Times New Roman"/>
          <w:kern w:val="0"/>
          <w:szCs w:val="22"/>
          <w:lang w:val="en-GB" w:eastAsia="zh-CN"/>
        </w:rPr>
        <w:t>Based on the</w:t>
      </w:r>
      <w:r w:rsidR="00046D58" w:rsidRPr="00575A3E">
        <w:rPr>
          <w:rFonts w:eastAsia="Times New Roman"/>
          <w:kern w:val="0"/>
          <w:szCs w:val="22"/>
          <w:lang w:val="en-GB" w:eastAsia="zh-CN"/>
        </w:rPr>
        <w:t xml:space="preserve"> </w:t>
      </w:r>
      <w:r w:rsidR="00046D58" w:rsidRPr="00575A3E">
        <w:rPr>
          <w:rFonts w:eastAsia="Times New Roman"/>
          <w:kern w:val="0"/>
          <w:szCs w:val="22"/>
          <w:lang w:val="en-GB" w:eastAsia="zh-CN"/>
        </w:rPr>
        <w:fldChar w:fldCharType="begin" w:fldLock="1"/>
      </w:r>
      <w:r w:rsidR="00046D58" w:rsidRPr="00575A3E">
        <w:rPr>
          <w:rFonts w:eastAsia="Times New Roman"/>
          <w:kern w:val="0"/>
          <w:szCs w:val="22"/>
          <w:lang w:val="en-GB" w:eastAsia="zh-CN"/>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2021a)","manualFormatting":"UK Department for Transport (2021a)","plainTextFormattedCitation":"(UK Department for Transport, 2021a)","previouslyFormattedCitation":"(UK Department for Transport, 2021a)"},"properties":{"noteIndex":0},"schema":"https://github.com/citation-style-language/schema/raw/master/csl-citation.json"}</w:instrText>
      </w:r>
      <w:r w:rsidR="00046D58" w:rsidRPr="00575A3E">
        <w:rPr>
          <w:rFonts w:eastAsia="Times New Roman"/>
          <w:kern w:val="0"/>
          <w:szCs w:val="22"/>
          <w:lang w:val="en-GB" w:eastAsia="zh-CN"/>
        </w:rPr>
        <w:fldChar w:fldCharType="separate"/>
      </w:r>
      <w:r w:rsidR="00046D58" w:rsidRPr="00575A3E">
        <w:rPr>
          <w:rFonts w:eastAsia="Times New Roman"/>
          <w:noProof/>
          <w:kern w:val="0"/>
          <w:szCs w:val="22"/>
          <w:lang w:val="en-GB" w:eastAsia="zh-CN"/>
        </w:rPr>
        <w:t>UK Department for Transport (2021a)</w:t>
      </w:r>
      <w:r w:rsidR="00046D58" w:rsidRPr="00575A3E">
        <w:rPr>
          <w:rFonts w:eastAsia="Times New Roman"/>
          <w:kern w:val="0"/>
          <w:szCs w:val="22"/>
          <w:lang w:val="en-GB" w:eastAsia="zh-CN"/>
        </w:rPr>
        <w:fldChar w:fldCharType="end"/>
      </w:r>
      <w:r w:rsidRPr="00575A3E">
        <w:rPr>
          <w:rFonts w:eastAsia="Times New Roman"/>
          <w:kern w:val="0"/>
          <w:szCs w:val="22"/>
          <w:lang w:val="en-GB" w:eastAsia="zh-CN"/>
        </w:rPr>
        <w:t xml:space="preserve">, non-fuel costs which are relevant </w:t>
      </w:r>
      <w:r w:rsidR="00C56464" w:rsidRPr="00575A3E">
        <w:rPr>
          <w:rFonts w:eastAsia="Times New Roman"/>
          <w:kern w:val="0"/>
          <w:szCs w:val="22"/>
          <w:lang w:val="en-GB" w:eastAsia="zh-CN"/>
        </w:rPr>
        <w:t>to oil, tyres, maintenance, depreciation and vehicle capital saving</w:t>
      </w:r>
      <w:r w:rsidR="003B4E9E" w:rsidRPr="00575A3E">
        <w:rPr>
          <w:rFonts w:eastAsia="Times New Roman"/>
          <w:kern w:val="0"/>
          <w:szCs w:val="22"/>
          <w:lang w:val="en-GB" w:eastAsia="zh-CN"/>
        </w:rPr>
        <w:t xml:space="preserve"> are estimated using equation (2).</w:t>
      </w:r>
    </w:p>
    <w:tbl>
      <w:tblPr>
        <w:tblStyle w:val="TableGrid1"/>
        <w:tblW w:w="85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48"/>
        <w:gridCol w:w="1574"/>
      </w:tblGrid>
      <w:tr w:rsidR="003B4E9E" w:rsidRPr="00575A3E" w14:paraId="0E23AD7D" w14:textId="77777777" w:rsidTr="00C56464">
        <w:trPr>
          <w:trHeight w:val="1026"/>
          <w:jc w:val="center"/>
        </w:trPr>
        <w:tc>
          <w:tcPr>
            <w:tcW w:w="6948" w:type="dxa"/>
            <w:shd w:val="clear" w:color="auto" w:fill="auto"/>
            <w:vAlign w:val="center"/>
          </w:tcPr>
          <w:p w14:paraId="700ACE2A" w14:textId="7B6542D1" w:rsidR="009A4025" w:rsidRPr="00575A3E" w:rsidRDefault="009A4025" w:rsidP="00C56464">
            <w:pPr>
              <w:widowControl/>
              <w:autoSpaceDN w:val="0"/>
              <w:jc w:val="left"/>
              <w:textAlignment w:val="baseline"/>
              <w:rPr>
                <w:kern w:val="0"/>
                <w:szCs w:val="22"/>
                <w:lang w:val="en-GB" w:eastAsia="zh-CN"/>
              </w:rPr>
            </w:pPr>
            <m:oMathPara>
              <m:oMath>
                <m:r>
                  <w:rPr>
                    <w:rFonts w:ascii="Cambria Math" w:hAnsi="Cambria Math"/>
                    <w:kern w:val="0"/>
                    <w:szCs w:val="22"/>
                    <w:lang w:val="en-GB" w:eastAsia="zh-CN"/>
                  </w:rPr>
                  <m:t>C=</m:t>
                </m:r>
                <m:sSub>
                  <m:sSubPr>
                    <m:ctrlPr>
                      <w:rPr>
                        <w:rFonts w:ascii="Cambria Math" w:hAnsi="Cambria Math"/>
                        <w:i/>
                        <w:kern w:val="0"/>
                        <w:szCs w:val="22"/>
                        <w:lang w:val="en-GB" w:eastAsia="zh-CN"/>
                      </w:rPr>
                    </m:ctrlPr>
                  </m:sSubPr>
                  <m:e>
                    <m:r>
                      <w:rPr>
                        <w:rFonts w:ascii="Cambria Math" w:hAnsi="Cambria Math"/>
                        <w:kern w:val="0"/>
                        <w:szCs w:val="22"/>
                        <w:lang w:val="en-GB" w:eastAsia="zh-CN"/>
                      </w:rPr>
                      <m:t>a</m:t>
                    </m:r>
                  </m:e>
                  <m:sub>
                    <m:r>
                      <w:rPr>
                        <w:rFonts w:ascii="Cambria Math" w:hAnsi="Cambria Math"/>
                        <w:kern w:val="0"/>
                        <w:szCs w:val="22"/>
                        <w:lang w:val="en-GB" w:eastAsia="zh-CN"/>
                      </w:rPr>
                      <m:t>1</m:t>
                    </m:r>
                  </m:sub>
                </m:sSub>
                <m:r>
                  <w:rPr>
                    <w:rFonts w:ascii="Cambria Math" w:hAnsi="Cambria Math"/>
                    <w:kern w:val="0"/>
                    <w:szCs w:val="22"/>
                    <w:lang w:val="en-GB" w:eastAsia="zh-CN"/>
                  </w:rPr>
                  <m:t>+</m:t>
                </m:r>
                <m:sSub>
                  <m:sSubPr>
                    <m:ctrlPr>
                      <w:rPr>
                        <w:rFonts w:ascii="Cambria Math" w:hAnsi="Cambria Math"/>
                        <w:i/>
                        <w:kern w:val="0"/>
                        <w:szCs w:val="22"/>
                        <w:lang w:val="en-GB" w:eastAsia="zh-CN"/>
                      </w:rPr>
                    </m:ctrlPr>
                  </m:sSubPr>
                  <m:e>
                    <m:r>
                      <w:rPr>
                        <w:rFonts w:ascii="Cambria Math" w:hAnsi="Cambria Math"/>
                        <w:kern w:val="0"/>
                        <w:szCs w:val="22"/>
                        <w:lang w:val="en-GB" w:eastAsia="zh-CN"/>
                      </w:rPr>
                      <m:t>b</m:t>
                    </m:r>
                  </m:e>
                  <m:sub>
                    <m:r>
                      <w:rPr>
                        <w:rFonts w:ascii="Cambria Math" w:hAnsi="Cambria Math"/>
                        <w:kern w:val="0"/>
                        <w:szCs w:val="22"/>
                        <w:lang w:val="en-GB" w:eastAsia="zh-CN"/>
                      </w:rPr>
                      <m:t xml:space="preserve">1 </m:t>
                    </m:r>
                  </m:sub>
                </m:sSub>
                <m:r>
                  <w:rPr>
                    <w:rFonts w:ascii="Cambria Math" w:hAnsi="Cambria Math"/>
                    <w:kern w:val="0"/>
                    <w:szCs w:val="22"/>
                    <w:lang w:val="en-GB" w:eastAsia="zh-CN"/>
                  </w:rPr>
                  <m:t>/ V</m:t>
                </m:r>
              </m:oMath>
            </m:oMathPara>
          </w:p>
        </w:tc>
        <w:tc>
          <w:tcPr>
            <w:tcW w:w="1574" w:type="dxa"/>
            <w:vAlign w:val="center"/>
          </w:tcPr>
          <w:p w14:paraId="72B7BEE8" w14:textId="355EBA4F" w:rsidR="009A4025" w:rsidRPr="00575A3E" w:rsidRDefault="009A4025" w:rsidP="00C56464">
            <w:pPr>
              <w:jc w:val="left"/>
              <w:rPr>
                <w:szCs w:val="22"/>
                <w:lang w:val="en-GB"/>
              </w:rPr>
            </w:pPr>
            <w:r w:rsidRPr="00575A3E">
              <w:rPr>
                <w:szCs w:val="22"/>
                <w:lang w:val="en-GB"/>
              </w:rPr>
              <w:t>(</w:t>
            </w:r>
            <w:r w:rsidRPr="00575A3E">
              <w:rPr>
                <w:szCs w:val="22"/>
                <w:lang w:val="en-GB"/>
              </w:rPr>
              <w:fldChar w:fldCharType="begin"/>
            </w:r>
            <w:r w:rsidRPr="00575A3E">
              <w:rPr>
                <w:szCs w:val="22"/>
                <w:lang w:val="en-GB"/>
              </w:rPr>
              <w:instrText>SEQ Eq \* ARABIC</w:instrText>
            </w:r>
            <w:r w:rsidRPr="00575A3E">
              <w:rPr>
                <w:szCs w:val="22"/>
                <w:lang w:val="en-GB"/>
              </w:rPr>
              <w:fldChar w:fldCharType="separate"/>
            </w:r>
            <w:r w:rsidR="004A1C59" w:rsidRPr="00575A3E">
              <w:rPr>
                <w:noProof/>
                <w:szCs w:val="22"/>
                <w:lang w:val="en-GB"/>
              </w:rPr>
              <w:t>2</w:t>
            </w:r>
            <w:r w:rsidRPr="00575A3E">
              <w:rPr>
                <w:szCs w:val="22"/>
                <w:lang w:val="en-GB"/>
              </w:rPr>
              <w:fldChar w:fldCharType="end"/>
            </w:r>
            <w:r w:rsidRPr="00575A3E">
              <w:rPr>
                <w:szCs w:val="22"/>
                <w:lang w:val="en-GB"/>
              </w:rPr>
              <w:t>)</w:t>
            </w:r>
          </w:p>
        </w:tc>
      </w:tr>
    </w:tbl>
    <w:p w14:paraId="55495933" w14:textId="77777777" w:rsidR="00C56464" w:rsidRPr="00575A3E" w:rsidRDefault="00C56464" w:rsidP="00C56464">
      <w:pPr>
        <w:widowControl/>
        <w:suppressAutoHyphens w:val="0"/>
        <w:spacing w:line="360" w:lineRule="auto"/>
        <w:rPr>
          <w:rFonts w:eastAsia="Times New Roman"/>
          <w:kern w:val="0"/>
          <w:szCs w:val="22"/>
          <w:lang w:val="en-GB" w:eastAsia="zh-CN"/>
        </w:rPr>
      </w:pPr>
    </w:p>
    <w:p w14:paraId="09C35AC5" w14:textId="37FBE33C" w:rsidR="009A4025" w:rsidRPr="00575A3E" w:rsidRDefault="00C56464" w:rsidP="00C5646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t>w</w:t>
      </w:r>
      <w:r w:rsidR="009A4025" w:rsidRPr="00575A3E">
        <w:rPr>
          <w:rFonts w:eastAsia="Times New Roman"/>
          <w:kern w:val="0"/>
          <w:szCs w:val="22"/>
          <w:lang w:val="en-GB" w:eastAsia="zh-CN"/>
        </w:rPr>
        <w:t>here:</w:t>
      </w:r>
    </w:p>
    <w:p w14:paraId="267E008C" w14:textId="77777777" w:rsidR="009A4025" w:rsidRPr="00575A3E" w:rsidRDefault="009A4025" w:rsidP="00C5646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t xml:space="preserve">C: Cost in pence per km </w:t>
      </w:r>
    </w:p>
    <w:p w14:paraId="4AE7D18D" w14:textId="77777777" w:rsidR="009A4025" w:rsidRPr="00575A3E" w:rsidRDefault="009A4025" w:rsidP="00C5646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t>V: the average speed in km/hr</w:t>
      </w:r>
    </w:p>
    <w:p w14:paraId="3A5EEE22" w14:textId="3D0FA09F" w:rsidR="009A4025" w:rsidRPr="00575A3E" w:rsidRDefault="00000000" w:rsidP="00C56464">
      <w:pPr>
        <w:widowControl/>
        <w:suppressAutoHyphens w:val="0"/>
        <w:spacing w:line="360" w:lineRule="auto"/>
        <w:rPr>
          <w:rFonts w:eastAsia="Times New Roman"/>
          <w:kern w:val="0"/>
          <w:szCs w:val="22"/>
          <w:lang w:val="en-GB" w:eastAsia="zh-CN"/>
        </w:rPr>
      </w:pPr>
      <m:oMath>
        <m:sSub>
          <m:sSubPr>
            <m:ctrlPr>
              <w:rPr>
                <w:rFonts w:ascii="Cambria Math" w:eastAsia="Times New Roman" w:hAnsi="Cambria Math"/>
                <w:i/>
                <w:kern w:val="0"/>
                <w:szCs w:val="22"/>
                <w:lang w:val="en-GB" w:eastAsia="zh-CN"/>
              </w:rPr>
            </m:ctrlPr>
          </m:sSubPr>
          <m:e>
            <m:r>
              <w:rPr>
                <w:rFonts w:ascii="Cambria Math" w:eastAsia="Times New Roman" w:hAnsi="Cambria Math"/>
                <w:kern w:val="0"/>
                <w:szCs w:val="22"/>
                <w:lang w:val="en-GB" w:eastAsia="zh-CN"/>
              </w:rPr>
              <m:t>a</m:t>
            </m:r>
          </m:e>
          <m:sub>
            <m:r>
              <w:rPr>
                <w:rFonts w:ascii="Cambria Math" w:eastAsia="Times New Roman" w:hAnsi="Cambria Math"/>
                <w:kern w:val="0"/>
                <w:szCs w:val="22"/>
                <w:lang w:val="en-GB" w:eastAsia="zh-CN"/>
              </w:rPr>
              <m:t>1</m:t>
            </m:r>
          </m:sub>
        </m:sSub>
      </m:oMath>
      <w:r w:rsidR="009A4025" w:rsidRPr="00575A3E">
        <w:rPr>
          <w:rFonts w:eastAsia="Times New Roman"/>
          <w:kern w:val="0"/>
          <w:szCs w:val="22"/>
          <w:lang w:val="en-GB" w:eastAsia="zh-CN"/>
        </w:rPr>
        <w:t>: a parameter for distance related costs defined by vehicle category and purpose</w:t>
      </w:r>
      <w:r w:rsidR="00B621A2" w:rsidRPr="00575A3E">
        <w:rPr>
          <w:rFonts w:eastAsia="Times New Roman"/>
          <w:kern w:val="0"/>
          <w:szCs w:val="22"/>
          <w:lang w:val="en-GB" w:eastAsia="zh-CN"/>
        </w:rPr>
        <w:t xml:space="preserve"> (pence/km)</w:t>
      </w:r>
    </w:p>
    <w:p w14:paraId="344D34C2" w14:textId="60DDBEF0" w:rsidR="00C56464" w:rsidRPr="00575A3E" w:rsidRDefault="00000000" w:rsidP="00C56464">
      <w:pPr>
        <w:widowControl/>
        <w:suppressAutoHyphens w:val="0"/>
        <w:spacing w:line="360" w:lineRule="auto"/>
        <w:rPr>
          <w:rFonts w:eastAsia="Times New Roman"/>
          <w:kern w:val="0"/>
          <w:szCs w:val="22"/>
          <w:lang w:val="en-GB" w:eastAsia="zh-CN"/>
        </w:rPr>
      </w:pPr>
      <m:oMath>
        <m:sSub>
          <m:sSubPr>
            <m:ctrlPr>
              <w:rPr>
                <w:rFonts w:ascii="Cambria Math" w:eastAsia="Times New Roman" w:hAnsi="Cambria Math"/>
                <w:i/>
                <w:kern w:val="0"/>
                <w:szCs w:val="22"/>
                <w:lang w:val="en-GB" w:eastAsia="zh-CN"/>
              </w:rPr>
            </m:ctrlPr>
          </m:sSubPr>
          <m:e>
            <m:r>
              <w:rPr>
                <w:rFonts w:ascii="Cambria Math" w:eastAsia="Times New Roman" w:hAnsi="Cambria Math"/>
                <w:kern w:val="0"/>
                <w:szCs w:val="22"/>
                <w:lang w:val="en-GB" w:eastAsia="zh-CN"/>
              </w:rPr>
              <m:t>b</m:t>
            </m:r>
          </m:e>
          <m:sub>
            <m:r>
              <w:rPr>
                <w:rFonts w:ascii="Cambria Math" w:eastAsia="Times New Roman" w:hAnsi="Cambria Math"/>
                <w:kern w:val="0"/>
                <w:szCs w:val="22"/>
                <w:lang w:val="en-GB" w:eastAsia="zh-CN"/>
              </w:rPr>
              <m:t>1</m:t>
            </m:r>
          </m:sub>
        </m:sSub>
      </m:oMath>
      <w:r w:rsidR="009A4025" w:rsidRPr="00575A3E">
        <w:rPr>
          <w:rFonts w:eastAsia="Times New Roman"/>
          <w:kern w:val="0"/>
          <w:szCs w:val="22"/>
          <w:lang w:val="en-GB" w:eastAsia="zh-CN"/>
        </w:rPr>
        <w:t>: a parameter for vehicle capital saving defined by vehicle category</w:t>
      </w:r>
      <w:r w:rsidR="008361E4" w:rsidRPr="00575A3E">
        <w:rPr>
          <w:rFonts w:eastAsia="Times New Roman"/>
          <w:kern w:val="0"/>
          <w:szCs w:val="22"/>
          <w:lang w:val="en-GB" w:eastAsia="zh-CN"/>
        </w:rPr>
        <w:t xml:space="preserve"> and</w:t>
      </w:r>
      <w:r w:rsidR="009A4025" w:rsidRPr="00575A3E">
        <w:rPr>
          <w:rFonts w:eastAsia="Times New Roman"/>
          <w:kern w:val="0"/>
          <w:szCs w:val="22"/>
          <w:lang w:val="en-GB" w:eastAsia="zh-CN"/>
        </w:rPr>
        <w:t xml:space="preserve"> purpose</w:t>
      </w:r>
      <w:r w:rsidR="00B621A2" w:rsidRPr="00575A3E">
        <w:rPr>
          <w:rFonts w:eastAsia="Times New Roman"/>
          <w:kern w:val="0"/>
          <w:szCs w:val="22"/>
          <w:lang w:val="en-GB" w:eastAsia="zh-CN"/>
        </w:rPr>
        <w:t xml:space="preserve"> (pence/hr)</w:t>
      </w:r>
    </w:p>
    <w:p w14:paraId="61AC5797" w14:textId="1D58CB4D" w:rsidR="006033C8" w:rsidRPr="00575A3E" w:rsidRDefault="006033C8" w:rsidP="00C5646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lastRenderedPageBreak/>
        <w:t xml:space="preserve">The values for </w:t>
      </w:r>
      <m:oMath>
        <m:sSub>
          <m:sSubPr>
            <m:ctrlPr>
              <w:rPr>
                <w:rFonts w:ascii="Cambria Math" w:eastAsia="Times New Roman" w:hAnsi="Cambria Math"/>
                <w:i/>
                <w:kern w:val="0"/>
                <w:szCs w:val="22"/>
                <w:lang w:val="en-GB" w:eastAsia="zh-CN"/>
              </w:rPr>
            </m:ctrlPr>
          </m:sSubPr>
          <m:e>
            <m:r>
              <w:rPr>
                <w:rFonts w:ascii="Cambria Math" w:eastAsia="Times New Roman" w:hAnsi="Cambria Math"/>
                <w:kern w:val="0"/>
                <w:szCs w:val="22"/>
                <w:lang w:val="en-GB" w:eastAsia="zh-CN"/>
              </w:rPr>
              <m:t>a</m:t>
            </m:r>
          </m:e>
          <m:sub>
            <m:r>
              <w:rPr>
                <w:rFonts w:ascii="Cambria Math" w:eastAsia="Times New Roman" w:hAnsi="Cambria Math"/>
                <w:kern w:val="0"/>
                <w:szCs w:val="22"/>
                <w:lang w:val="en-GB" w:eastAsia="zh-CN"/>
              </w:rPr>
              <m:t>1</m:t>
            </m:r>
          </m:sub>
        </m:sSub>
      </m:oMath>
      <w:r w:rsidRPr="00575A3E">
        <w:rPr>
          <w:rFonts w:eastAsia="Times New Roman"/>
          <w:kern w:val="0"/>
          <w:szCs w:val="22"/>
          <w:lang w:val="en-GB" w:eastAsia="zh-CN"/>
        </w:rPr>
        <w:t xml:space="preserve"> and </w:t>
      </w:r>
      <m:oMath>
        <m:sSub>
          <m:sSubPr>
            <m:ctrlPr>
              <w:rPr>
                <w:rFonts w:ascii="Cambria Math" w:eastAsia="Times New Roman" w:hAnsi="Cambria Math"/>
                <w:i/>
                <w:kern w:val="0"/>
                <w:szCs w:val="22"/>
                <w:lang w:val="en-GB" w:eastAsia="zh-CN"/>
              </w:rPr>
            </m:ctrlPr>
          </m:sSubPr>
          <m:e>
            <m:r>
              <w:rPr>
                <w:rFonts w:ascii="Cambria Math" w:eastAsia="Times New Roman" w:hAnsi="Cambria Math"/>
                <w:kern w:val="0"/>
                <w:szCs w:val="22"/>
                <w:lang w:val="en-GB" w:eastAsia="zh-CN"/>
              </w:rPr>
              <m:t>b</m:t>
            </m:r>
          </m:e>
          <m:sub>
            <m:r>
              <w:rPr>
                <w:rFonts w:ascii="Cambria Math" w:eastAsia="Times New Roman" w:hAnsi="Cambria Math"/>
                <w:kern w:val="0"/>
                <w:szCs w:val="22"/>
                <w:lang w:val="en-GB" w:eastAsia="zh-CN"/>
              </w:rPr>
              <m:t>1</m:t>
            </m:r>
          </m:sub>
        </m:sSub>
      </m:oMath>
      <w:r w:rsidRPr="00575A3E">
        <w:rPr>
          <w:rFonts w:eastAsia="Times New Roman"/>
          <w:kern w:val="0"/>
          <w:szCs w:val="22"/>
          <w:lang w:val="en-GB" w:eastAsia="zh-CN"/>
        </w:rPr>
        <w:t xml:space="preserve"> for the base year 2021</w:t>
      </w:r>
      <w:r w:rsidR="00B621A2" w:rsidRPr="00575A3E">
        <w:rPr>
          <w:rFonts w:eastAsia="Times New Roman"/>
          <w:kern w:val="0"/>
          <w:szCs w:val="22"/>
          <w:lang w:val="en-GB" w:eastAsia="zh-CN"/>
        </w:rPr>
        <w:t xml:space="preserve"> for work trips in 2011 prices</w:t>
      </w:r>
      <w:r w:rsidRPr="00575A3E">
        <w:rPr>
          <w:rFonts w:eastAsia="Times New Roman"/>
          <w:kern w:val="0"/>
          <w:szCs w:val="22"/>
          <w:lang w:val="en-GB" w:eastAsia="zh-CN"/>
        </w:rPr>
        <w:t xml:space="preserve"> are presented in </w:t>
      </w:r>
      <w:r w:rsidRPr="00575A3E">
        <w:rPr>
          <w:rFonts w:eastAsia="Times New Roman"/>
          <w:kern w:val="0"/>
          <w:szCs w:val="22"/>
          <w:lang w:val="en-GB" w:eastAsia="zh-CN"/>
        </w:rPr>
        <w:fldChar w:fldCharType="begin"/>
      </w:r>
      <w:r w:rsidRPr="00575A3E">
        <w:rPr>
          <w:rFonts w:eastAsia="Times New Roman"/>
          <w:kern w:val="0"/>
          <w:szCs w:val="22"/>
          <w:lang w:val="en-GB" w:eastAsia="zh-CN"/>
        </w:rPr>
        <w:instrText xml:space="preserve"> REF _Ref128842610 \h </w:instrText>
      </w:r>
      <w:r w:rsidRPr="00575A3E">
        <w:rPr>
          <w:rFonts w:eastAsia="Times New Roman"/>
          <w:kern w:val="0"/>
          <w:szCs w:val="22"/>
          <w:lang w:val="en-GB" w:eastAsia="zh-CN"/>
        </w:rPr>
      </w:r>
      <w:r w:rsidRPr="00575A3E">
        <w:rPr>
          <w:rFonts w:eastAsia="Times New Roman"/>
          <w:kern w:val="0"/>
          <w:szCs w:val="22"/>
          <w:lang w:val="en-GB" w:eastAsia="zh-CN"/>
        </w:rPr>
        <w:fldChar w:fldCharType="separate"/>
      </w:r>
      <w:r w:rsidR="004A1C59" w:rsidRPr="00575A3E">
        <w:t xml:space="preserve">Table </w:t>
      </w:r>
      <w:r w:rsidR="004A1C59" w:rsidRPr="00575A3E">
        <w:rPr>
          <w:noProof/>
        </w:rPr>
        <w:t>3</w:t>
      </w:r>
      <w:r w:rsidRPr="00575A3E">
        <w:rPr>
          <w:rFonts w:eastAsia="Times New Roman"/>
          <w:kern w:val="0"/>
          <w:szCs w:val="22"/>
          <w:lang w:val="en-GB" w:eastAsia="zh-CN"/>
        </w:rPr>
        <w:fldChar w:fldCharType="end"/>
      </w:r>
      <w:r w:rsidRPr="00575A3E">
        <w:rPr>
          <w:rFonts w:eastAsia="Times New Roman"/>
          <w:kern w:val="0"/>
          <w:szCs w:val="22"/>
          <w:lang w:val="en-GB" w:eastAsia="zh-CN"/>
        </w:rPr>
        <w:t>.</w:t>
      </w:r>
      <w:r w:rsidR="00B621A2" w:rsidRPr="00575A3E">
        <w:rPr>
          <w:rFonts w:eastAsia="Times New Roman"/>
          <w:kern w:val="0"/>
          <w:szCs w:val="22"/>
          <w:lang w:val="en-GB" w:eastAsia="zh-CN"/>
        </w:rPr>
        <w:t xml:space="preserve"> It should be noted that based on the </w:t>
      </w:r>
      <w:r w:rsidR="00B621A2" w:rsidRPr="00575A3E">
        <w:rPr>
          <w:rFonts w:eastAsia="Times New Roman"/>
          <w:kern w:val="0"/>
          <w:szCs w:val="22"/>
          <w:lang w:val="en-GB" w:eastAsia="zh-CN"/>
        </w:rPr>
        <w:fldChar w:fldCharType="begin" w:fldLock="1"/>
      </w:r>
      <w:r w:rsidR="00B621A2" w:rsidRPr="00575A3E">
        <w:rPr>
          <w:rFonts w:eastAsia="Times New Roman"/>
          <w:kern w:val="0"/>
          <w:szCs w:val="22"/>
          <w:lang w:val="en-GB" w:eastAsia="zh-CN"/>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2021a)","manualFormatting":"UK Department for Transport (2021a)","plainTextFormattedCitation":"(UK Department for Transport, 2021a)","previouslyFormattedCitation":"(UK Department for Transport, 2021a)"},"properties":{"noteIndex":0},"schema":"https://github.com/citation-style-language/schema/raw/master/csl-citation.json"}</w:instrText>
      </w:r>
      <w:r w:rsidR="00B621A2" w:rsidRPr="00575A3E">
        <w:rPr>
          <w:rFonts w:eastAsia="Times New Roman"/>
          <w:kern w:val="0"/>
          <w:szCs w:val="22"/>
          <w:lang w:val="en-GB" w:eastAsia="zh-CN"/>
        </w:rPr>
        <w:fldChar w:fldCharType="separate"/>
      </w:r>
      <w:r w:rsidR="00B621A2" w:rsidRPr="00575A3E">
        <w:rPr>
          <w:rFonts w:eastAsia="Times New Roman"/>
          <w:noProof/>
          <w:kern w:val="0"/>
          <w:szCs w:val="22"/>
          <w:lang w:val="en-GB" w:eastAsia="zh-CN"/>
        </w:rPr>
        <w:t>UK Department for Transport (2021a)</w:t>
      </w:r>
      <w:r w:rsidR="00B621A2" w:rsidRPr="00575A3E">
        <w:rPr>
          <w:rFonts w:eastAsia="Times New Roman"/>
          <w:kern w:val="0"/>
          <w:szCs w:val="22"/>
          <w:lang w:val="en-GB" w:eastAsia="zh-CN"/>
        </w:rPr>
        <w:fldChar w:fldCharType="end"/>
      </w:r>
      <w:r w:rsidR="00B621A2" w:rsidRPr="00575A3E">
        <w:rPr>
          <w:rFonts w:eastAsia="Times New Roman"/>
          <w:kern w:val="0"/>
          <w:szCs w:val="22"/>
          <w:lang w:val="en-GB" w:eastAsia="zh-CN"/>
        </w:rPr>
        <w:t xml:space="preserve"> the value of parameter </w:t>
      </w:r>
      <m:oMath>
        <m:sSub>
          <m:sSubPr>
            <m:ctrlPr>
              <w:rPr>
                <w:rFonts w:ascii="Cambria Math" w:eastAsia="Times New Roman" w:hAnsi="Cambria Math"/>
                <w:i/>
                <w:kern w:val="0"/>
                <w:szCs w:val="22"/>
                <w:lang w:val="en-GB" w:eastAsia="zh-CN"/>
              </w:rPr>
            </m:ctrlPr>
          </m:sSubPr>
          <m:e>
            <m:r>
              <w:rPr>
                <w:rFonts w:ascii="Cambria Math" w:eastAsia="Times New Roman" w:hAnsi="Cambria Math"/>
                <w:kern w:val="0"/>
                <w:szCs w:val="22"/>
                <w:lang w:val="en-GB" w:eastAsia="zh-CN"/>
              </w:rPr>
              <m:t>b</m:t>
            </m:r>
          </m:e>
          <m:sub>
            <m:r>
              <w:rPr>
                <w:rFonts w:ascii="Cambria Math" w:eastAsia="Times New Roman" w:hAnsi="Cambria Math"/>
                <w:kern w:val="0"/>
                <w:szCs w:val="22"/>
                <w:lang w:val="en-GB" w:eastAsia="zh-CN"/>
              </w:rPr>
              <m:t>1</m:t>
            </m:r>
          </m:sub>
        </m:sSub>
      </m:oMath>
      <w:r w:rsidR="00B621A2" w:rsidRPr="00575A3E">
        <w:rPr>
          <w:rFonts w:eastAsia="Times New Roman"/>
          <w:kern w:val="0"/>
          <w:szCs w:val="22"/>
          <w:lang w:val="en-GB" w:eastAsia="zh-CN"/>
        </w:rPr>
        <w:t xml:space="preserve"> is equal to zero for non-work trips, as it is only relevant to working vehicles. Finally, these parameters may vary through time, as the proportions of electric vehicles in the fleet changes in the future years </w:t>
      </w:r>
      <w:r w:rsidR="00B621A2" w:rsidRPr="00575A3E">
        <w:rPr>
          <w:rFonts w:eastAsia="Times New Roman"/>
          <w:kern w:val="0"/>
          <w:szCs w:val="22"/>
          <w:lang w:val="en-GB" w:eastAsia="zh-CN"/>
        </w:rPr>
        <w:fldChar w:fldCharType="begin" w:fldLock="1"/>
      </w:r>
      <w:r w:rsidR="008361E4" w:rsidRPr="00575A3E">
        <w:rPr>
          <w:rFonts w:eastAsia="Times New Roman"/>
          <w:kern w:val="0"/>
          <w:szCs w:val="22"/>
          <w:lang w:val="en-GB" w:eastAsia="zh-CN"/>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B621A2" w:rsidRPr="00575A3E">
        <w:rPr>
          <w:rFonts w:eastAsia="Times New Roman"/>
          <w:kern w:val="0"/>
          <w:szCs w:val="22"/>
          <w:lang w:val="en-GB" w:eastAsia="zh-CN"/>
        </w:rPr>
        <w:fldChar w:fldCharType="separate"/>
      </w:r>
      <w:r w:rsidR="00B621A2" w:rsidRPr="00575A3E">
        <w:rPr>
          <w:rFonts w:eastAsia="Times New Roman"/>
          <w:noProof/>
          <w:kern w:val="0"/>
          <w:szCs w:val="22"/>
          <w:lang w:val="en-GB" w:eastAsia="zh-CN"/>
        </w:rPr>
        <w:t>(UK Department for Transport, 2021a)</w:t>
      </w:r>
      <w:r w:rsidR="00B621A2" w:rsidRPr="00575A3E">
        <w:rPr>
          <w:rFonts w:eastAsia="Times New Roman"/>
          <w:kern w:val="0"/>
          <w:szCs w:val="22"/>
          <w:lang w:val="en-GB" w:eastAsia="zh-CN"/>
        </w:rPr>
        <w:fldChar w:fldCharType="end"/>
      </w:r>
      <w:r w:rsidR="00B621A2" w:rsidRPr="00575A3E">
        <w:rPr>
          <w:rFonts w:eastAsia="Times New Roman"/>
          <w:kern w:val="0"/>
          <w:szCs w:val="22"/>
          <w:lang w:val="en-GB" w:eastAsia="zh-CN"/>
        </w:rPr>
        <w:t>.</w:t>
      </w:r>
    </w:p>
    <w:p w14:paraId="12998461" w14:textId="422F7DF4" w:rsidR="006033C8" w:rsidRPr="00575A3E" w:rsidRDefault="006033C8" w:rsidP="006033C8">
      <w:pPr>
        <w:pStyle w:val="Caption"/>
        <w:keepNext/>
      </w:pPr>
      <w:bookmarkStart w:id="11" w:name="_Ref128842610"/>
      <w:r w:rsidRPr="00575A3E">
        <w:t xml:space="preserve">Table </w:t>
      </w:r>
      <w:r w:rsidR="003B4E9E" w:rsidRPr="00575A3E">
        <w:fldChar w:fldCharType="begin"/>
      </w:r>
      <w:r w:rsidR="003B4E9E" w:rsidRPr="00575A3E">
        <w:instrText xml:space="preserve"> SEQ Table \* ARABIC </w:instrText>
      </w:r>
      <w:r w:rsidR="003B4E9E" w:rsidRPr="00575A3E">
        <w:fldChar w:fldCharType="separate"/>
      </w:r>
      <w:r w:rsidR="006101B2" w:rsidRPr="00575A3E">
        <w:rPr>
          <w:noProof/>
        </w:rPr>
        <w:t>3</w:t>
      </w:r>
      <w:r w:rsidR="003B4E9E" w:rsidRPr="00575A3E">
        <w:fldChar w:fldCharType="end"/>
      </w:r>
      <w:bookmarkEnd w:id="11"/>
      <w:r w:rsidRPr="00575A3E">
        <w:t xml:space="preserve">: </w:t>
      </w:r>
      <m:oMath>
        <m:sSub>
          <m:sSubPr>
            <m:ctrlPr>
              <w:rPr>
                <w:rFonts w:ascii="Cambria Math" w:eastAsia="Times New Roman" w:hAnsi="Cambria Math"/>
                <w:i/>
                <w:kern w:val="0"/>
                <w:szCs w:val="22"/>
                <w:lang w:val="en-GB" w:eastAsia="zh-CN"/>
              </w:rPr>
            </m:ctrlPr>
          </m:sSubPr>
          <m:e>
            <m:r>
              <m:rPr>
                <m:sty m:val="bi"/>
              </m:rPr>
              <w:rPr>
                <w:rFonts w:ascii="Cambria Math" w:eastAsia="Times New Roman" w:hAnsi="Cambria Math"/>
                <w:kern w:val="0"/>
                <w:szCs w:val="22"/>
                <w:lang w:val="en-GB" w:eastAsia="zh-CN"/>
              </w:rPr>
              <m:t>a</m:t>
            </m:r>
          </m:e>
          <m:sub>
            <m:r>
              <m:rPr>
                <m:sty m:val="bi"/>
              </m:rPr>
              <w:rPr>
                <w:rFonts w:ascii="Cambria Math" w:eastAsia="Times New Roman" w:hAnsi="Cambria Math"/>
                <w:kern w:val="0"/>
                <w:szCs w:val="22"/>
                <w:lang w:val="en-GB" w:eastAsia="zh-CN"/>
              </w:rPr>
              <m:t>1</m:t>
            </m:r>
          </m:sub>
        </m:sSub>
      </m:oMath>
      <w:r w:rsidRPr="00575A3E">
        <w:rPr>
          <w:rFonts w:eastAsia="Times New Roman"/>
          <w:kern w:val="0"/>
          <w:szCs w:val="22"/>
          <w:lang w:val="en-GB" w:eastAsia="zh-CN"/>
        </w:rPr>
        <w:t xml:space="preserve"> and </w:t>
      </w:r>
      <m:oMath>
        <m:sSub>
          <m:sSubPr>
            <m:ctrlPr>
              <w:rPr>
                <w:rFonts w:ascii="Cambria Math" w:eastAsia="Times New Roman" w:hAnsi="Cambria Math"/>
                <w:i/>
                <w:kern w:val="0"/>
                <w:szCs w:val="22"/>
                <w:lang w:val="en-GB" w:eastAsia="zh-CN"/>
              </w:rPr>
            </m:ctrlPr>
          </m:sSubPr>
          <m:e>
            <m:r>
              <m:rPr>
                <m:sty m:val="bi"/>
              </m:rPr>
              <w:rPr>
                <w:rFonts w:ascii="Cambria Math" w:eastAsia="Times New Roman" w:hAnsi="Cambria Math"/>
                <w:kern w:val="0"/>
                <w:szCs w:val="22"/>
                <w:lang w:val="en-GB" w:eastAsia="zh-CN"/>
              </w:rPr>
              <m:t>b</m:t>
            </m:r>
          </m:e>
          <m:sub>
            <m:r>
              <m:rPr>
                <m:sty m:val="bi"/>
              </m:rPr>
              <w:rPr>
                <w:rFonts w:ascii="Cambria Math" w:eastAsia="Times New Roman" w:hAnsi="Cambria Math"/>
                <w:kern w:val="0"/>
                <w:szCs w:val="22"/>
                <w:lang w:val="en-GB" w:eastAsia="zh-CN"/>
              </w:rPr>
              <m:t>1</m:t>
            </m:r>
          </m:sub>
        </m:sSub>
      </m:oMath>
      <w:r w:rsidRPr="00575A3E">
        <w:rPr>
          <w:rFonts w:eastAsia="Times New Roman"/>
          <w:kern w:val="0"/>
          <w:szCs w:val="22"/>
          <w:lang w:val="en-GB" w:eastAsia="zh-CN"/>
        </w:rPr>
        <w:t xml:space="preserve"> values </w:t>
      </w:r>
      <w:r w:rsidR="006D6CA4" w:rsidRPr="00575A3E">
        <w:rPr>
          <w:rFonts w:eastAsia="Times New Roman"/>
          <w:kern w:val="0"/>
          <w:szCs w:val="22"/>
          <w:lang w:val="en-GB" w:eastAsia="zh-CN"/>
        </w:rPr>
        <w:t>for</w:t>
      </w:r>
      <w:r w:rsidRPr="00575A3E">
        <w:rPr>
          <w:rFonts w:eastAsia="Times New Roman"/>
          <w:kern w:val="0"/>
          <w:szCs w:val="22"/>
          <w:lang w:val="en-GB" w:eastAsia="zh-CN"/>
        </w:rPr>
        <w:t xml:space="preserve"> 2021</w:t>
      </w:r>
      <w:r w:rsidR="008361E4" w:rsidRPr="00575A3E">
        <w:rPr>
          <w:rFonts w:eastAsia="Times New Roman"/>
          <w:kern w:val="0"/>
          <w:szCs w:val="22"/>
          <w:lang w:val="en-GB" w:eastAsia="zh-CN"/>
        </w:rPr>
        <w:t xml:space="preserve"> for work trips</w:t>
      </w:r>
    </w:p>
    <w:tbl>
      <w:tblPr>
        <w:tblStyle w:val="TableGrid1"/>
        <w:tblW w:w="4096" w:type="dxa"/>
        <w:jc w:val="center"/>
        <w:tblInd w:w="0" w:type="dxa"/>
        <w:tblLook w:val="04A0" w:firstRow="1" w:lastRow="0" w:firstColumn="1" w:lastColumn="0" w:noHBand="0" w:noVBand="1"/>
      </w:tblPr>
      <w:tblGrid>
        <w:gridCol w:w="1376"/>
        <w:gridCol w:w="1360"/>
        <w:gridCol w:w="1360"/>
      </w:tblGrid>
      <w:tr w:rsidR="00575A3E" w:rsidRPr="00575A3E" w14:paraId="19AF182E" w14:textId="77777777" w:rsidTr="008E7E12">
        <w:trPr>
          <w:trHeight w:val="328"/>
          <w:jc w:val="center"/>
        </w:trPr>
        <w:tc>
          <w:tcPr>
            <w:tcW w:w="1376" w:type="dxa"/>
            <w:noWrap/>
            <w:hideMark/>
          </w:tcPr>
          <w:p w14:paraId="48D3B9C1" w14:textId="77777777" w:rsidR="00046D58" w:rsidRPr="00575A3E" w:rsidRDefault="00046D58" w:rsidP="00C56464">
            <w:pPr>
              <w:widowControl/>
              <w:jc w:val="center"/>
              <w:rPr>
                <w:b/>
                <w:bCs/>
                <w:kern w:val="0"/>
                <w:sz w:val="20"/>
                <w:szCs w:val="20"/>
                <w:lang w:val="en-GB" w:eastAsia="en-GB"/>
              </w:rPr>
            </w:pPr>
            <w:r w:rsidRPr="00575A3E">
              <w:rPr>
                <w:b/>
                <w:bCs/>
                <w:kern w:val="0"/>
                <w:sz w:val="20"/>
                <w:szCs w:val="20"/>
                <w:lang w:val="en-GB" w:eastAsia="en-GB"/>
              </w:rPr>
              <w:t>Year</w:t>
            </w:r>
          </w:p>
        </w:tc>
        <w:tc>
          <w:tcPr>
            <w:tcW w:w="1360" w:type="dxa"/>
            <w:hideMark/>
          </w:tcPr>
          <w:p w14:paraId="345C906A" w14:textId="453F98C3" w:rsidR="00046D58" w:rsidRPr="00575A3E" w:rsidRDefault="00000000" w:rsidP="00C56464">
            <w:pPr>
              <w:widowControl/>
              <w:jc w:val="center"/>
              <w:rPr>
                <w:b/>
                <w:bCs/>
                <w:kern w:val="0"/>
                <w:sz w:val="20"/>
                <w:szCs w:val="20"/>
                <w:lang w:val="en-GB" w:eastAsia="en-GB"/>
              </w:rPr>
            </w:pPr>
            <m:oMath>
              <m:sSub>
                <m:sSubPr>
                  <m:ctrlPr>
                    <w:rPr>
                      <w:rFonts w:ascii="Cambria Math" w:hAnsi="Cambria Math"/>
                      <w:b/>
                      <w:bCs/>
                      <w:i/>
                      <w:kern w:val="0"/>
                      <w:szCs w:val="22"/>
                      <w:lang w:val="en-GB" w:eastAsia="zh-CN"/>
                    </w:rPr>
                  </m:ctrlPr>
                </m:sSubPr>
                <m:e>
                  <m:r>
                    <m:rPr>
                      <m:sty m:val="bi"/>
                    </m:rPr>
                    <w:rPr>
                      <w:rFonts w:ascii="Cambria Math" w:hAnsi="Cambria Math"/>
                      <w:kern w:val="0"/>
                      <w:szCs w:val="22"/>
                      <w:lang w:val="en-GB" w:eastAsia="zh-CN"/>
                    </w:rPr>
                    <m:t>a</m:t>
                  </m:r>
                </m:e>
                <m:sub>
                  <m:r>
                    <m:rPr>
                      <m:sty m:val="bi"/>
                    </m:rPr>
                    <w:rPr>
                      <w:rFonts w:ascii="Cambria Math" w:hAnsi="Cambria Math"/>
                      <w:kern w:val="0"/>
                      <w:szCs w:val="22"/>
                      <w:lang w:val="en-GB" w:eastAsia="zh-CN"/>
                    </w:rPr>
                    <m:t>1</m:t>
                  </m:r>
                </m:sub>
              </m:sSub>
            </m:oMath>
            <w:r w:rsidR="00046D58" w:rsidRPr="00575A3E">
              <w:rPr>
                <w:b/>
                <w:bCs/>
                <w:kern w:val="0"/>
                <w:sz w:val="20"/>
                <w:szCs w:val="20"/>
                <w:lang w:val="en-GB" w:eastAsia="en-GB"/>
              </w:rPr>
              <w:t xml:space="preserve"> </w:t>
            </w:r>
          </w:p>
        </w:tc>
        <w:tc>
          <w:tcPr>
            <w:tcW w:w="1360" w:type="dxa"/>
            <w:hideMark/>
          </w:tcPr>
          <w:p w14:paraId="5E1D00A8" w14:textId="40406ED3" w:rsidR="00046D58" w:rsidRPr="00575A3E" w:rsidRDefault="00000000" w:rsidP="00C56464">
            <w:pPr>
              <w:widowControl/>
              <w:jc w:val="center"/>
              <w:rPr>
                <w:b/>
                <w:bCs/>
                <w:kern w:val="0"/>
                <w:sz w:val="20"/>
                <w:szCs w:val="20"/>
                <w:lang w:val="en-GB" w:eastAsia="en-GB"/>
              </w:rPr>
            </w:pPr>
            <m:oMath>
              <m:sSub>
                <m:sSubPr>
                  <m:ctrlPr>
                    <w:rPr>
                      <w:rFonts w:ascii="Cambria Math" w:hAnsi="Cambria Math"/>
                      <w:b/>
                      <w:bCs/>
                      <w:i/>
                      <w:kern w:val="0"/>
                      <w:szCs w:val="22"/>
                      <w:lang w:val="en-GB" w:eastAsia="zh-CN"/>
                    </w:rPr>
                  </m:ctrlPr>
                </m:sSubPr>
                <m:e>
                  <m:r>
                    <m:rPr>
                      <m:sty m:val="bi"/>
                    </m:rPr>
                    <w:rPr>
                      <w:rFonts w:ascii="Cambria Math" w:hAnsi="Cambria Math"/>
                      <w:kern w:val="0"/>
                      <w:szCs w:val="22"/>
                      <w:lang w:val="en-GB" w:eastAsia="zh-CN"/>
                    </w:rPr>
                    <m:t>b</m:t>
                  </m:r>
                </m:e>
                <m:sub>
                  <m:r>
                    <m:rPr>
                      <m:sty m:val="bi"/>
                    </m:rPr>
                    <w:rPr>
                      <w:rFonts w:ascii="Cambria Math" w:hAnsi="Cambria Math"/>
                      <w:kern w:val="0"/>
                      <w:szCs w:val="22"/>
                      <w:lang w:val="en-GB" w:eastAsia="zh-CN"/>
                    </w:rPr>
                    <m:t>1</m:t>
                  </m:r>
                </m:sub>
              </m:sSub>
            </m:oMath>
            <w:r w:rsidR="00046D58" w:rsidRPr="00575A3E">
              <w:rPr>
                <w:b/>
                <w:bCs/>
                <w:kern w:val="0"/>
                <w:sz w:val="20"/>
                <w:szCs w:val="20"/>
                <w:lang w:val="en-GB" w:eastAsia="en-GB"/>
              </w:rPr>
              <w:t xml:space="preserve"> </w:t>
            </w:r>
          </w:p>
        </w:tc>
      </w:tr>
      <w:tr w:rsidR="00575A3E" w:rsidRPr="00575A3E" w14:paraId="59B8D49C" w14:textId="77777777" w:rsidTr="008E7E12">
        <w:trPr>
          <w:trHeight w:val="364"/>
          <w:jc w:val="center"/>
        </w:trPr>
        <w:tc>
          <w:tcPr>
            <w:tcW w:w="1376" w:type="dxa"/>
            <w:noWrap/>
            <w:hideMark/>
          </w:tcPr>
          <w:p w14:paraId="6936189F" w14:textId="77777777" w:rsidR="00046D58" w:rsidRPr="00575A3E" w:rsidRDefault="00046D58" w:rsidP="00C56464">
            <w:pPr>
              <w:widowControl/>
              <w:jc w:val="center"/>
              <w:rPr>
                <w:kern w:val="0"/>
                <w:sz w:val="20"/>
                <w:szCs w:val="20"/>
                <w:lang w:val="en-GB" w:eastAsia="en-GB"/>
              </w:rPr>
            </w:pPr>
            <w:r w:rsidRPr="00575A3E">
              <w:rPr>
                <w:kern w:val="0"/>
                <w:sz w:val="20"/>
                <w:szCs w:val="20"/>
                <w:lang w:val="en-GB" w:eastAsia="en-GB"/>
              </w:rPr>
              <w:t>2021</w:t>
            </w:r>
          </w:p>
        </w:tc>
        <w:tc>
          <w:tcPr>
            <w:tcW w:w="1360" w:type="dxa"/>
            <w:noWrap/>
            <w:hideMark/>
          </w:tcPr>
          <w:p w14:paraId="52D67B7F" w14:textId="77777777" w:rsidR="00046D58" w:rsidRPr="00575A3E" w:rsidRDefault="00046D58" w:rsidP="00C56464">
            <w:pPr>
              <w:widowControl/>
              <w:jc w:val="center"/>
              <w:rPr>
                <w:kern w:val="0"/>
                <w:sz w:val="20"/>
                <w:szCs w:val="20"/>
                <w:lang w:val="en-GB" w:eastAsia="en-GB"/>
              </w:rPr>
            </w:pPr>
            <w:r w:rsidRPr="00575A3E">
              <w:rPr>
                <w:kern w:val="0"/>
                <w:sz w:val="20"/>
                <w:szCs w:val="20"/>
                <w:lang w:val="en-GB" w:eastAsia="en-GB"/>
              </w:rPr>
              <w:t>4.013</w:t>
            </w:r>
          </w:p>
        </w:tc>
        <w:tc>
          <w:tcPr>
            <w:tcW w:w="1360" w:type="dxa"/>
            <w:noWrap/>
            <w:hideMark/>
          </w:tcPr>
          <w:p w14:paraId="094C933A" w14:textId="77777777" w:rsidR="00046D58" w:rsidRPr="00575A3E" w:rsidRDefault="00046D58" w:rsidP="00C56464">
            <w:pPr>
              <w:widowControl/>
              <w:jc w:val="center"/>
              <w:rPr>
                <w:kern w:val="0"/>
                <w:sz w:val="20"/>
                <w:szCs w:val="20"/>
                <w:lang w:val="en-GB" w:eastAsia="en-GB"/>
              </w:rPr>
            </w:pPr>
            <w:r w:rsidRPr="00575A3E">
              <w:rPr>
                <w:kern w:val="0"/>
                <w:sz w:val="20"/>
                <w:szCs w:val="20"/>
                <w:lang w:val="en-GB" w:eastAsia="en-GB"/>
              </w:rPr>
              <w:t>16.729</w:t>
            </w:r>
          </w:p>
        </w:tc>
      </w:tr>
    </w:tbl>
    <w:p w14:paraId="297EE2A8" w14:textId="1CE450D3" w:rsidR="0033239E" w:rsidRPr="00575A3E" w:rsidRDefault="006033C8" w:rsidP="006D6CA4">
      <w:pPr>
        <w:widowControl/>
        <w:suppressAutoHyphens w:val="0"/>
        <w:spacing w:before="200" w:line="360" w:lineRule="auto"/>
        <w:rPr>
          <w:rFonts w:eastAsia="Times New Roman"/>
          <w:kern w:val="0"/>
          <w:szCs w:val="22"/>
          <w:lang w:val="en-GB" w:eastAsia="zh-CN"/>
        </w:rPr>
      </w:pPr>
      <w:r w:rsidRPr="00575A3E">
        <w:rPr>
          <w:rFonts w:eastAsia="Times New Roman"/>
          <w:kern w:val="0"/>
          <w:szCs w:val="22"/>
          <w:lang w:val="en-GB" w:eastAsia="zh-CN"/>
        </w:rPr>
        <w:t xml:space="preserve">Regarding the </w:t>
      </w:r>
      <w:r w:rsidR="0033239E" w:rsidRPr="00575A3E">
        <w:rPr>
          <w:rFonts w:eastAsia="Times New Roman"/>
          <w:kern w:val="0"/>
          <w:szCs w:val="22"/>
          <w:lang w:val="en-GB" w:eastAsia="zh-CN"/>
        </w:rPr>
        <w:t xml:space="preserve">fuel costs, </w:t>
      </w:r>
      <w:r w:rsidRPr="00575A3E">
        <w:rPr>
          <w:rFonts w:eastAsia="Times New Roman"/>
          <w:kern w:val="0"/>
          <w:szCs w:val="22"/>
          <w:lang w:val="en-GB" w:eastAsia="zh-CN"/>
        </w:rPr>
        <w:t xml:space="preserve">the formula related to </w:t>
      </w:r>
      <w:r w:rsidR="0033239E" w:rsidRPr="00575A3E">
        <w:rPr>
          <w:rFonts w:eastAsia="Times New Roman"/>
          <w:kern w:val="0"/>
          <w:szCs w:val="22"/>
          <w:lang w:val="en-GB" w:eastAsia="zh-CN"/>
        </w:rPr>
        <w:t>fuel consumption</w:t>
      </w:r>
      <w:r w:rsidRPr="00575A3E">
        <w:rPr>
          <w:rFonts w:eastAsia="Times New Roman"/>
          <w:kern w:val="0"/>
          <w:szCs w:val="22"/>
          <w:lang w:val="en-GB" w:eastAsia="zh-CN"/>
        </w:rPr>
        <w:t xml:space="preserve"> as provided from the</w:t>
      </w:r>
      <w:r w:rsidR="0033239E" w:rsidRPr="00575A3E">
        <w:rPr>
          <w:rFonts w:eastAsia="Times New Roman"/>
          <w:kern w:val="0"/>
          <w:szCs w:val="22"/>
          <w:lang w:val="en-GB" w:eastAsia="zh-CN"/>
        </w:rPr>
        <w:t xml:space="preserve"> </w:t>
      </w:r>
      <w:r w:rsidR="00046D58" w:rsidRPr="00575A3E">
        <w:rPr>
          <w:rFonts w:eastAsia="Times New Roman"/>
          <w:kern w:val="0"/>
          <w:szCs w:val="22"/>
          <w:lang w:val="en-GB" w:eastAsia="zh-CN"/>
        </w:rPr>
        <w:fldChar w:fldCharType="begin" w:fldLock="1"/>
      </w:r>
      <w:r w:rsidR="00046D58" w:rsidRPr="00575A3E">
        <w:rPr>
          <w:rFonts w:eastAsia="Times New Roman"/>
          <w:kern w:val="0"/>
          <w:szCs w:val="22"/>
          <w:lang w:val="en-GB" w:eastAsia="zh-CN"/>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2021a)","manualFormatting":"UK Department for Transport (2021a)","plainTextFormattedCitation":"(UK Department for Transport, 2021a)","previouslyFormattedCitation":"(UK Department for Transport, 2021a)"},"properties":{"noteIndex":0},"schema":"https://github.com/citation-style-language/schema/raw/master/csl-citation.json"}</w:instrText>
      </w:r>
      <w:r w:rsidR="00046D58" w:rsidRPr="00575A3E">
        <w:rPr>
          <w:rFonts w:eastAsia="Times New Roman"/>
          <w:kern w:val="0"/>
          <w:szCs w:val="22"/>
          <w:lang w:val="en-GB" w:eastAsia="zh-CN"/>
        </w:rPr>
        <w:fldChar w:fldCharType="separate"/>
      </w:r>
      <w:r w:rsidR="00046D58" w:rsidRPr="00575A3E">
        <w:rPr>
          <w:rFonts w:eastAsia="Times New Roman"/>
          <w:noProof/>
          <w:kern w:val="0"/>
          <w:szCs w:val="22"/>
          <w:lang w:val="en-GB" w:eastAsia="zh-CN"/>
        </w:rPr>
        <w:t>UK Department for Transport (2021a)</w:t>
      </w:r>
      <w:r w:rsidR="00046D58" w:rsidRPr="00575A3E">
        <w:rPr>
          <w:rFonts w:eastAsia="Times New Roman"/>
          <w:kern w:val="0"/>
          <w:szCs w:val="22"/>
          <w:lang w:val="en-GB" w:eastAsia="zh-CN"/>
        </w:rPr>
        <w:fldChar w:fldCharType="end"/>
      </w:r>
      <w:r w:rsidR="00046D58" w:rsidRPr="00575A3E">
        <w:rPr>
          <w:rFonts w:eastAsia="Times New Roman"/>
          <w:kern w:val="0"/>
          <w:szCs w:val="22"/>
          <w:lang w:val="en-GB" w:eastAsia="zh-CN"/>
        </w:rPr>
        <w:t>,</w:t>
      </w:r>
      <w:r w:rsidRPr="00575A3E">
        <w:rPr>
          <w:rFonts w:eastAsia="Times New Roman"/>
          <w:kern w:val="0"/>
          <w:szCs w:val="22"/>
          <w:lang w:val="en-GB" w:eastAsia="zh-CN"/>
        </w:rPr>
        <w:t xml:space="preserve"> (equation (3)) is </w:t>
      </w:r>
      <w:r w:rsidR="0033239E" w:rsidRPr="00575A3E">
        <w:rPr>
          <w:rFonts w:eastAsia="Times New Roman"/>
          <w:kern w:val="0"/>
          <w:szCs w:val="22"/>
          <w:lang w:val="en-GB" w:eastAsia="zh-CN"/>
        </w:rPr>
        <w:t xml:space="preserve">calculated. </w:t>
      </w:r>
      <w:r w:rsidR="006D6CA4" w:rsidRPr="00575A3E">
        <w:rPr>
          <w:rFonts w:eastAsia="Times New Roman"/>
          <w:kern w:val="0"/>
          <w:szCs w:val="22"/>
          <w:lang w:val="en-GB" w:eastAsia="zh-CN"/>
        </w:rPr>
        <w:t>D</w:t>
      </w:r>
      <w:r w:rsidR="0033239E" w:rsidRPr="00575A3E">
        <w:rPr>
          <w:rFonts w:eastAsia="Times New Roman"/>
          <w:kern w:val="0"/>
          <w:szCs w:val="22"/>
          <w:lang w:val="en-GB" w:eastAsia="zh-CN"/>
        </w:rPr>
        <w:t xml:space="preserve">ata for this formula </w:t>
      </w:r>
      <w:r w:rsidR="006D6CA4" w:rsidRPr="00575A3E">
        <w:rPr>
          <w:rFonts w:eastAsia="Times New Roman"/>
          <w:kern w:val="0"/>
          <w:szCs w:val="22"/>
          <w:lang w:val="en-GB" w:eastAsia="zh-CN"/>
        </w:rPr>
        <w:t xml:space="preserve">are available in </w:t>
      </w:r>
      <w:r w:rsidR="0033239E" w:rsidRPr="00575A3E">
        <w:rPr>
          <w:rFonts w:eastAsia="Times New Roman"/>
          <w:kern w:val="0"/>
          <w:szCs w:val="22"/>
          <w:lang w:val="en-GB" w:eastAsia="zh-CN"/>
        </w:rPr>
        <w:t>A.1.3.12 for work purpose</w:t>
      </w:r>
      <w:r w:rsidR="006D6CA4" w:rsidRPr="00575A3E">
        <w:rPr>
          <w:rFonts w:eastAsia="Times New Roman"/>
          <w:kern w:val="0"/>
          <w:szCs w:val="22"/>
          <w:lang w:val="en-GB" w:eastAsia="zh-CN"/>
        </w:rPr>
        <w:t>s</w:t>
      </w:r>
      <w:r w:rsidR="0033239E" w:rsidRPr="00575A3E">
        <w:rPr>
          <w:rFonts w:eastAsia="Times New Roman"/>
          <w:kern w:val="0"/>
          <w:szCs w:val="22"/>
          <w:lang w:val="en-GB" w:eastAsia="zh-CN"/>
        </w:rPr>
        <w:t xml:space="preserve"> and </w:t>
      </w:r>
      <w:r w:rsidR="006D6CA4" w:rsidRPr="00575A3E">
        <w:rPr>
          <w:rFonts w:eastAsia="Times New Roman"/>
          <w:kern w:val="0"/>
          <w:szCs w:val="22"/>
          <w:lang w:val="en-GB" w:eastAsia="zh-CN"/>
        </w:rPr>
        <w:t xml:space="preserve">in </w:t>
      </w:r>
      <w:r w:rsidR="0033239E" w:rsidRPr="00575A3E">
        <w:rPr>
          <w:rFonts w:eastAsia="Times New Roman"/>
          <w:kern w:val="0"/>
          <w:szCs w:val="22"/>
          <w:lang w:val="en-GB" w:eastAsia="zh-CN"/>
        </w:rPr>
        <w:t>A.1.3.13 for non-work purpose</w:t>
      </w:r>
      <w:r w:rsidR="006D6CA4" w:rsidRPr="00575A3E">
        <w:rPr>
          <w:rFonts w:eastAsia="Times New Roman"/>
          <w:kern w:val="0"/>
          <w:szCs w:val="22"/>
          <w:lang w:val="en-GB" w:eastAsia="zh-CN"/>
        </w:rPr>
        <w:t>s</w:t>
      </w:r>
      <w:r w:rsidR="0033239E" w:rsidRPr="00575A3E">
        <w:rPr>
          <w:rFonts w:eastAsia="Times New Roman"/>
          <w:kern w:val="0"/>
          <w:szCs w:val="22"/>
          <w:lang w:val="en-GB" w:eastAsia="zh-CN"/>
        </w:rPr>
        <w:t xml:space="preserve">. </w:t>
      </w:r>
      <w:r w:rsidR="006D6CA4" w:rsidRPr="00575A3E">
        <w:rPr>
          <w:rFonts w:eastAsia="Times New Roman"/>
          <w:kern w:val="0"/>
          <w:szCs w:val="22"/>
          <w:lang w:val="en-GB" w:eastAsia="zh-CN"/>
        </w:rPr>
        <w:t>Moreover, the estimated results were</w:t>
      </w:r>
      <w:r w:rsidR="0033239E" w:rsidRPr="00575A3E">
        <w:rPr>
          <w:rFonts w:eastAsia="Times New Roman"/>
          <w:kern w:val="0"/>
          <w:szCs w:val="22"/>
          <w:lang w:val="en-GB" w:eastAsia="zh-CN"/>
        </w:rPr>
        <w:t xml:space="preserve"> uplifted using the Value Added Tax (VAT) for each propulsion type</w:t>
      </w:r>
      <w:r w:rsidR="006D6CA4" w:rsidRPr="00575A3E">
        <w:rPr>
          <w:rFonts w:eastAsia="Times New Roman"/>
          <w:kern w:val="0"/>
          <w:szCs w:val="22"/>
          <w:lang w:val="en-GB" w:eastAsia="zh-CN"/>
        </w:rPr>
        <w:t>, available in</w:t>
      </w:r>
      <w:r w:rsidR="0033239E" w:rsidRPr="00575A3E">
        <w:rPr>
          <w:rFonts w:eastAsia="Times New Roman"/>
          <w:kern w:val="0"/>
          <w:szCs w:val="22"/>
          <w:lang w:val="en-GB" w:eastAsia="zh-CN"/>
        </w:rPr>
        <w:t xml:space="preserve"> A.1.3.7 of the </w:t>
      </w:r>
      <w:r w:rsidR="00046D58" w:rsidRPr="00575A3E">
        <w:rPr>
          <w:rFonts w:eastAsia="Times New Roman"/>
          <w:kern w:val="0"/>
          <w:szCs w:val="22"/>
          <w:lang w:val="en-GB" w:eastAsia="zh-CN"/>
        </w:rPr>
        <w:fldChar w:fldCharType="begin" w:fldLock="1"/>
      </w:r>
      <w:r w:rsidR="00046D58" w:rsidRPr="00575A3E">
        <w:rPr>
          <w:rFonts w:eastAsia="Times New Roman"/>
          <w:kern w:val="0"/>
          <w:szCs w:val="22"/>
          <w:lang w:val="en-GB" w:eastAsia="zh-CN"/>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2021a)","manualFormatting":"UK Department for Transport (2021a)","plainTextFormattedCitation":"(UK Department for Transport, 2021a)","previouslyFormattedCitation":"(UK Department for Transport, 2021a)"},"properties":{"noteIndex":0},"schema":"https://github.com/citation-style-language/schema/raw/master/csl-citation.json"}</w:instrText>
      </w:r>
      <w:r w:rsidR="00046D58" w:rsidRPr="00575A3E">
        <w:rPr>
          <w:rFonts w:eastAsia="Times New Roman"/>
          <w:kern w:val="0"/>
          <w:szCs w:val="22"/>
          <w:lang w:val="en-GB" w:eastAsia="zh-CN"/>
        </w:rPr>
        <w:fldChar w:fldCharType="separate"/>
      </w:r>
      <w:r w:rsidR="00046D58" w:rsidRPr="00575A3E">
        <w:rPr>
          <w:rFonts w:eastAsia="Times New Roman"/>
          <w:noProof/>
          <w:kern w:val="0"/>
          <w:szCs w:val="22"/>
          <w:lang w:val="en-GB" w:eastAsia="zh-CN"/>
        </w:rPr>
        <w:t>UK Department for Transport (2021a)</w:t>
      </w:r>
      <w:r w:rsidR="00046D58" w:rsidRPr="00575A3E">
        <w:rPr>
          <w:rFonts w:eastAsia="Times New Roman"/>
          <w:kern w:val="0"/>
          <w:szCs w:val="22"/>
          <w:lang w:val="en-GB" w:eastAsia="zh-CN"/>
        </w:rPr>
        <w:fldChar w:fldCharType="end"/>
      </w:r>
      <w:r w:rsidR="006D6CA4" w:rsidRPr="00575A3E">
        <w:rPr>
          <w:rFonts w:eastAsia="Times New Roman"/>
          <w:kern w:val="0"/>
          <w:szCs w:val="22"/>
          <w:lang w:val="en-GB" w:eastAsia="zh-CN"/>
        </w:rPr>
        <w:t>.</w:t>
      </w:r>
    </w:p>
    <w:tbl>
      <w:tblPr>
        <w:tblStyle w:val="TableGrid1"/>
        <w:tblW w:w="8522"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48"/>
        <w:gridCol w:w="1574"/>
      </w:tblGrid>
      <w:tr w:rsidR="00575A3E" w:rsidRPr="00575A3E" w14:paraId="65B78CFC" w14:textId="77777777" w:rsidTr="0033239E">
        <w:trPr>
          <w:jc w:val="center"/>
        </w:trPr>
        <w:tc>
          <w:tcPr>
            <w:tcW w:w="6948" w:type="dxa"/>
            <w:shd w:val="clear" w:color="auto" w:fill="auto"/>
            <w:vAlign w:val="center"/>
          </w:tcPr>
          <w:p w14:paraId="03CA0F0B" w14:textId="3258AC82" w:rsidR="0033239E" w:rsidRPr="00575A3E" w:rsidRDefault="0033239E" w:rsidP="0033239E">
            <w:pPr>
              <w:widowControl/>
              <w:autoSpaceDN w:val="0"/>
              <w:spacing w:line="240" w:lineRule="auto"/>
              <w:textAlignment w:val="baseline"/>
              <w:rPr>
                <w:kern w:val="0"/>
                <w:szCs w:val="22"/>
                <w:lang w:val="en-GB" w:eastAsia="zh-CN"/>
              </w:rPr>
            </w:pPr>
            <w:bookmarkStart w:id="12" w:name="_Hlk500284426"/>
            <m:oMathPara>
              <m:oMath>
                <m:r>
                  <w:rPr>
                    <w:rFonts w:ascii="Cambria Math" w:eastAsia="Calibri" w:hAnsi="Cambria Math"/>
                    <w:kern w:val="0"/>
                    <w:szCs w:val="22"/>
                    <w:lang w:val="en-GB" w:eastAsia="zh-CN"/>
                  </w:rPr>
                  <m:t>L=a/V+b+c×V+d×</m:t>
                </m:r>
                <m:sSup>
                  <m:sSupPr>
                    <m:ctrlPr>
                      <w:rPr>
                        <w:rFonts w:ascii="Cambria Math" w:eastAsia="Calibri" w:hAnsi="Cambria Math"/>
                        <w:i/>
                        <w:kern w:val="0"/>
                        <w:szCs w:val="22"/>
                        <w:lang w:val="en-GB" w:eastAsia="zh-CN"/>
                      </w:rPr>
                    </m:ctrlPr>
                  </m:sSupPr>
                  <m:e>
                    <m:r>
                      <w:rPr>
                        <w:rFonts w:ascii="Cambria Math" w:eastAsia="Calibri" w:hAnsi="Cambria Math"/>
                        <w:kern w:val="0"/>
                        <w:szCs w:val="22"/>
                        <w:lang w:val="en-GB" w:eastAsia="zh-CN"/>
                      </w:rPr>
                      <m:t>V</m:t>
                    </m:r>
                  </m:e>
                  <m:sup>
                    <m:r>
                      <w:rPr>
                        <w:rFonts w:ascii="Cambria Math" w:eastAsia="Calibri" w:hAnsi="Cambria Math"/>
                        <w:kern w:val="0"/>
                        <w:szCs w:val="22"/>
                        <w:lang w:val="en-GB" w:eastAsia="zh-CN"/>
                      </w:rPr>
                      <m:t>2</m:t>
                    </m:r>
                  </m:sup>
                </m:sSup>
              </m:oMath>
            </m:oMathPara>
            <w:bookmarkEnd w:id="12"/>
          </w:p>
        </w:tc>
        <w:tc>
          <w:tcPr>
            <w:tcW w:w="1574" w:type="dxa"/>
            <w:vAlign w:val="center"/>
          </w:tcPr>
          <w:p w14:paraId="479EE048" w14:textId="6A192130" w:rsidR="0033239E" w:rsidRPr="00575A3E" w:rsidRDefault="0033239E" w:rsidP="006033C8">
            <w:pPr>
              <w:rPr>
                <w:kern w:val="0"/>
                <w:szCs w:val="22"/>
                <w:lang w:val="en-GB" w:eastAsia="zh-CN"/>
              </w:rPr>
            </w:pPr>
            <w:r w:rsidRPr="00575A3E">
              <w:rPr>
                <w:szCs w:val="22"/>
                <w:lang w:val="en-GB"/>
              </w:rPr>
              <w:t>(</w:t>
            </w:r>
            <w:r w:rsidRPr="00575A3E">
              <w:rPr>
                <w:szCs w:val="22"/>
                <w:lang w:val="en-GB"/>
              </w:rPr>
              <w:fldChar w:fldCharType="begin"/>
            </w:r>
            <w:r w:rsidRPr="00575A3E">
              <w:rPr>
                <w:szCs w:val="22"/>
                <w:lang w:val="en-GB"/>
              </w:rPr>
              <w:instrText>SEQ Eq \* ARABIC</w:instrText>
            </w:r>
            <w:r w:rsidRPr="00575A3E">
              <w:rPr>
                <w:szCs w:val="22"/>
                <w:lang w:val="en-GB"/>
              </w:rPr>
              <w:fldChar w:fldCharType="separate"/>
            </w:r>
            <w:r w:rsidR="004A1C59" w:rsidRPr="00575A3E">
              <w:rPr>
                <w:noProof/>
                <w:szCs w:val="22"/>
                <w:lang w:val="en-GB"/>
              </w:rPr>
              <w:t>3</w:t>
            </w:r>
            <w:r w:rsidRPr="00575A3E">
              <w:rPr>
                <w:szCs w:val="22"/>
                <w:lang w:val="en-GB"/>
              </w:rPr>
              <w:fldChar w:fldCharType="end"/>
            </w:r>
            <w:r w:rsidRPr="00575A3E">
              <w:rPr>
                <w:szCs w:val="22"/>
                <w:lang w:val="en-GB"/>
              </w:rPr>
              <w:t>)</w:t>
            </w:r>
          </w:p>
        </w:tc>
      </w:tr>
    </w:tbl>
    <w:p w14:paraId="4DA887C6" w14:textId="77777777" w:rsidR="0033239E" w:rsidRPr="00575A3E" w:rsidRDefault="0033239E" w:rsidP="008361E4">
      <w:pPr>
        <w:widowControl/>
        <w:suppressAutoHyphens w:val="0"/>
        <w:spacing w:before="200" w:line="360" w:lineRule="auto"/>
        <w:rPr>
          <w:rFonts w:eastAsia="Times New Roman"/>
          <w:kern w:val="0"/>
          <w:szCs w:val="22"/>
          <w:lang w:val="en-GB" w:eastAsia="zh-CN"/>
        </w:rPr>
      </w:pPr>
      <w:r w:rsidRPr="00575A3E">
        <w:rPr>
          <w:rFonts w:eastAsia="Times New Roman"/>
          <w:kern w:val="0"/>
          <w:szCs w:val="22"/>
          <w:lang w:val="en-GB" w:eastAsia="zh-CN"/>
        </w:rPr>
        <w:t xml:space="preserve">where: </w:t>
      </w:r>
    </w:p>
    <w:p w14:paraId="556D83CE" w14:textId="77777777" w:rsidR="0033239E" w:rsidRPr="00575A3E" w:rsidRDefault="0033239E" w:rsidP="008361E4">
      <w:pPr>
        <w:widowControl/>
        <w:suppressAutoHyphens w:val="0"/>
        <w:spacing w:before="200" w:line="360" w:lineRule="auto"/>
        <w:rPr>
          <w:rFonts w:eastAsia="Times New Roman"/>
          <w:kern w:val="0"/>
          <w:szCs w:val="22"/>
          <w:lang w:val="en-GB" w:eastAsia="zh-CN"/>
        </w:rPr>
      </w:pPr>
      <w:r w:rsidRPr="00575A3E">
        <w:rPr>
          <w:rFonts w:eastAsia="Times New Roman"/>
          <w:kern w:val="0"/>
          <w:szCs w:val="22"/>
          <w:lang w:val="en-GB" w:eastAsia="zh-CN"/>
        </w:rPr>
        <w:t>L: Fuel consumption expressed in pence/km</w:t>
      </w:r>
    </w:p>
    <w:p w14:paraId="65665D9C" w14:textId="77777777" w:rsidR="0033239E" w:rsidRPr="00575A3E" w:rsidRDefault="0033239E" w:rsidP="008361E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t>V: the average speed in km/hr</w:t>
      </w:r>
    </w:p>
    <w:p w14:paraId="64BA6C85" w14:textId="2E80CA64" w:rsidR="003B4E9E" w:rsidRPr="00575A3E" w:rsidRDefault="0033239E" w:rsidP="008361E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t>a, b, c, d: the parameters defined by each vehicle category and purpose</w:t>
      </w:r>
    </w:p>
    <w:p w14:paraId="559D9653" w14:textId="72D4B1EB" w:rsidR="006D6CA4" w:rsidRPr="00575A3E" w:rsidRDefault="006D6CA4" w:rsidP="008361E4">
      <w:pPr>
        <w:widowControl/>
        <w:suppressAutoHyphens w:val="0"/>
        <w:spacing w:line="360" w:lineRule="auto"/>
        <w:rPr>
          <w:rFonts w:eastAsia="Times New Roman"/>
          <w:kern w:val="0"/>
          <w:szCs w:val="22"/>
          <w:lang w:val="en-GB" w:eastAsia="zh-CN"/>
        </w:rPr>
      </w:pPr>
      <w:r w:rsidRPr="00575A3E">
        <w:rPr>
          <w:rFonts w:eastAsia="Times New Roman"/>
          <w:kern w:val="0"/>
          <w:szCs w:val="22"/>
          <w:lang w:val="en-GB" w:eastAsia="zh-CN"/>
        </w:rPr>
        <w:t>The values for the parameters of a, b, c, d for the base year 2021 are presented in.</w:t>
      </w:r>
    </w:p>
    <w:p w14:paraId="1D0B272E" w14:textId="49349CFB" w:rsidR="003B4E9E" w:rsidRPr="00575A3E" w:rsidRDefault="003B4E9E" w:rsidP="003B4E9E">
      <w:pPr>
        <w:pStyle w:val="Caption"/>
        <w:keepNext/>
      </w:pPr>
      <w:r w:rsidRPr="00575A3E">
        <w:t xml:space="preserve">Table </w:t>
      </w:r>
      <w:r w:rsidRPr="00575A3E">
        <w:fldChar w:fldCharType="begin"/>
      </w:r>
      <w:r w:rsidRPr="00575A3E">
        <w:instrText xml:space="preserve"> SEQ Table \* ARABIC </w:instrText>
      </w:r>
      <w:r w:rsidRPr="00575A3E">
        <w:fldChar w:fldCharType="separate"/>
      </w:r>
      <w:r w:rsidR="006101B2" w:rsidRPr="00575A3E">
        <w:rPr>
          <w:noProof/>
        </w:rPr>
        <w:t>4</w:t>
      </w:r>
      <w:r w:rsidRPr="00575A3E">
        <w:fldChar w:fldCharType="end"/>
      </w:r>
      <w:r w:rsidRPr="00575A3E">
        <w:t xml:space="preserve">: </w:t>
      </w:r>
      <w:r w:rsidRPr="00575A3E">
        <w:rPr>
          <w:rFonts w:eastAsia="Times New Roman"/>
          <w:kern w:val="0"/>
          <w:szCs w:val="22"/>
          <w:lang w:val="en-GB" w:eastAsia="zh-CN"/>
        </w:rPr>
        <w:t>a, b, c, d values for 2021</w:t>
      </w:r>
    </w:p>
    <w:tbl>
      <w:tblPr>
        <w:tblStyle w:val="TableGrid"/>
        <w:tblW w:w="9040" w:type="dxa"/>
        <w:tblInd w:w="-5" w:type="dxa"/>
        <w:tblLook w:val="04A0" w:firstRow="1" w:lastRow="0" w:firstColumn="1" w:lastColumn="0" w:noHBand="0" w:noVBand="1"/>
      </w:tblPr>
      <w:tblGrid>
        <w:gridCol w:w="851"/>
        <w:gridCol w:w="850"/>
        <w:gridCol w:w="717"/>
        <w:gridCol w:w="842"/>
        <w:gridCol w:w="828"/>
        <w:gridCol w:w="828"/>
        <w:gridCol w:w="858"/>
        <w:gridCol w:w="851"/>
        <w:gridCol w:w="828"/>
        <w:gridCol w:w="1587"/>
      </w:tblGrid>
      <w:tr w:rsidR="00575A3E" w:rsidRPr="00575A3E" w14:paraId="1BD37D4E" w14:textId="77777777" w:rsidTr="003B4E9E">
        <w:trPr>
          <w:trHeight w:val="270"/>
        </w:trPr>
        <w:tc>
          <w:tcPr>
            <w:tcW w:w="851" w:type="dxa"/>
            <w:noWrap/>
            <w:hideMark/>
          </w:tcPr>
          <w:p w14:paraId="3A0F041F" w14:textId="77777777" w:rsidR="003B4E9E" w:rsidRPr="00575A3E" w:rsidRDefault="003B4E9E" w:rsidP="003B4E9E">
            <w:pPr>
              <w:widowControl/>
              <w:suppressAutoHyphens w:val="0"/>
              <w:jc w:val="left"/>
              <w:rPr>
                <w:rFonts w:eastAsia="Times New Roman"/>
                <w:b/>
                <w:bCs/>
                <w:kern w:val="0"/>
                <w:sz w:val="20"/>
                <w:szCs w:val="20"/>
                <w:lang w:val="en-GB" w:eastAsia="en-GB"/>
              </w:rPr>
            </w:pPr>
            <w:r w:rsidRPr="00575A3E">
              <w:rPr>
                <w:rFonts w:eastAsia="Times New Roman"/>
                <w:b/>
                <w:bCs/>
                <w:kern w:val="0"/>
                <w:sz w:val="20"/>
                <w:szCs w:val="20"/>
                <w:lang w:val="en-GB" w:eastAsia="en-GB"/>
              </w:rPr>
              <w:t> </w:t>
            </w:r>
          </w:p>
        </w:tc>
        <w:tc>
          <w:tcPr>
            <w:tcW w:w="3237" w:type="dxa"/>
            <w:gridSpan w:val="4"/>
            <w:noWrap/>
            <w:hideMark/>
          </w:tcPr>
          <w:p w14:paraId="2D60A805"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Petrol Car</w:t>
            </w:r>
          </w:p>
        </w:tc>
        <w:tc>
          <w:tcPr>
            <w:tcW w:w="3365" w:type="dxa"/>
            <w:gridSpan w:val="4"/>
            <w:noWrap/>
            <w:hideMark/>
          </w:tcPr>
          <w:p w14:paraId="701A99DC"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Diesel Car</w:t>
            </w:r>
          </w:p>
        </w:tc>
        <w:tc>
          <w:tcPr>
            <w:tcW w:w="1587" w:type="dxa"/>
            <w:noWrap/>
            <w:hideMark/>
          </w:tcPr>
          <w:p w14:paraId="478D8927" w14:textId="6EAF7CA3"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Electric Car</w:t>
            </w:r>
          </w:p>
        </w:tc>
      </w:tr>
      <w:tr w:rsidR="00575A3E" w:rsidRPr="00575A3E" w14:paraId="384DD1F9" w14:textId="77777777" w:rsidTr="003B4E9E">
        <w:trPr>
          <w:trHeight w:val="270"/>
        </w:trPr>
        <w:tc>
          <w:tcPr>
            <w:tcW w:w="851" w:type="dxa"/>
            <w:noWrap/>
            <w:hideMark/>
          </w:tcPr>
          <w:p w14:paraId="51523642"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Year</w:t>
            </w:r>
          </w:p>
        </w:tc>
        <w:tc>
          <w:tcPr>
            <w:tcW w:w="850" w:type="dxa"/>
            <w:noWrap/>
            <w:hideMark/>
          </w:tcPr>
          <w:p w14:paraId="2AE0F054"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a</w:t>
            </w:r>
          </w:p>
        </w:tc>
        <w:tc>
          <w:tcPr>
            <w:tcW w:w="717" w:type="dxa"/>
            <w:noWrap/>
            <w:hideMark/>
          </w:tcPr>
          <w:p w14:paraId="12708E00"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b</w:t>
            </w:r>
          </w:p>
        </w:tc>
        <w:tc>
          <w:tcPr>
            <w:tcW w:w="842" w:type="dxa"/>
            <w:noWrap/>
            <w:hideMark/>
          </w:tcPr>
          <w:p w14:paraId="0304546B"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c</w:t>
            </w:r>
          </w:p>
        </w:tc>
        <w:tc>
          <w:tcPr>
            <w:tcW w:w="828" w:type="dxa"/>
            <w:noWrap/>
            <w:hideMark/>
          </w:tcPr>
          <w:p w14:paraId="58274C1C"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d</w:t>
            </w:r>
          </w:p>
        </w:tc>
        <w:tc>
          <w:tcPr>
            <w:tcW w:w="828" w:type="dxa"/>
            <w:noWrap/>
            <w:hideMark/>
          </w:tcPr>
          <w:p w14:paraId="769FB3B3"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a</w:t>
            </w:r>
          </w:p>
        </w:tc>
        <w:tc>
          <w:tcPr>
            <w:tcW w:w="858" w:type="dxa"/>
            <w:noWrap/>
            <w:hideMark/>
          </w:tcPr>
          <w:p w14:paraId="67BDCF96" w14:textId="570002EB" w:rsidR="003B4E9E" w:rsidRPr="00575A3E" w:rsidRDefault="008A6FC8"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B</w:t>
            </w:r>
          </w:p>
        </w:tc>
        <w:tc>
          <w:tcPr>
            <w:tcW w:w="851" w:type="dxa"/>
            <w:noWrap/>
            <w:hideMark/>
          </w:tcPr>
          <w:p w14:paraId="77D1AD8B"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c</w:t>
            </w:r>
          </w:p>
        </w:tc>
        <w:tc>
          <w:tcPr>
            <w:tcW w:w="828" w:type="dxa"/>
            <w:noWrap/>
            <w:hideMark/>
          </w:tcPr>
          <w:p w14:paraId="41FB9798"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d</w:t>
            </w:r>
          </w:p>
        </w:tc>
        <w:tc>
          <w:tcPr>
            <w:tcW w:w="1587" w:type="dxa"/>
            <w:noWrap/>
            <w:hideMark/>
          </w:tcPr>
          <w:p w14:paraId="78160FAB" w14:textId="77777777" w:rsidR="003B4E9E" w:rsidRPr="00575A3E" w:rsidRDefault="003B4E9E" w:rsidP="003B4E9E">
            <w:pPr>
              <w:widowControl/>
              <w:suppressAutoHyphens w:val="0"/>
              <w:jc w:val="center"/>
              <w:rPr>
                <w:rFonts w:eastAsia="Times New Roman"/>
                <w:b/>
                <w:bCs/>
                <w:kern w:val="0"/>
                <w:sz w:val="20"/>
                <w:szCs w:val="20"/>
                <w:lang w:val="en-GB" w:eastAsia="en-GB"/>
              </w:rPr>
            </w:pPr>
            <w:r w:rsidRPr="00575A3E">
              <w:rPr>
                <w:rFonts w:eastAsia="Times New Roman"/>
                <w:b/>
                <w:bCs/>
                <w:kern w:val="0"/>
                <w:sz w:val="20"/>
                <w:szCs w:val="20"/>
                <w:lang w:val="en-GB" w:eastAsia="en-GB"/>
              </w:rPr>
              <w:t>b</w:t>
            </w:r>
          </w:p>
        </w:tc>
      </w:tr>
      <w:tr w:rsidR="00575A3E" w:rsidRPr="00575A3E" w14:paraId="1638B919" w14:textId="77777777" w:rsidTr="003B4E9E">
        <w:trPr>
          <w:trHeight w:val="270"/>
        </w:trPr>
        <w:tc>
          <w:tcPr>
            <w:tcW w:w="851" w:type="dxa"/>
            <w:noWrap/>
            <w:hideMark/>
          </w:tcPr>
          <w:p w14:paraId="6CB0E200"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2021</w:t>
            </w:r>
          </w:p>
        </w:tc>
        <w:tc>
          <w:tcPr>
            <w:tcW w:w="850" w:type="dxa"/>
            <w:noWrap/>
            <w:hideMark/>
          </w:tcPr>
          <w:p w14:paraId="68A00D9A"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35.941</w:t>
            </w:r>
          </w:p>
        </w:tc>
        <w:tc>
          <w:tcPr>
            <w:tcW w:w="717" w:type="dxa"/>
            <w:noWrap/>
            <w:hideMark/>
          </w:tcPr>
          <w:p w14:paraId="5F36B2B2"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7.638</w:t>
            </w:r>
          </w:p>
        </w:tc>
        <w:tc>
          <w:tcPr>
            <w:tcW w:w="842" w:type="dxa"/>
            <w:noWrap/>
            <w:hideMark/>
          </w:tcPr>
          <w:p w14:paraId="50724A21"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-0.087</w:t>
            </w:r>
          </w:p>
        </w:tc>
        <w:tc>
          <w:tcPr>
            <w:tcW w:w="828" w:type="dxa"/>
            <w:noWrap/>
            <w:hideMark/>
          </w:tcPr>
          <w:p w14:paraId="4B92AA4E"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0.0006</w:t>
            </w:r>
          </w:p>
        </w:tc>
        <w:tc>
          <w:tcPr>
            <w:tcW w:w="828" w:type="dxa"/>
            <w:noWrap/>
            <w:hideMark/>
          </w:tcPr>
          <w:p w14:paraId="549C55C4"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41.163</w:t>
            </w:r>
          </w:p>
        </w:tc>
        <w:tc>
          <w:tcPr>
            <w:tcW w:w="858" w:type="dxa"/>
            <w:noWrap/>
            <w:hideMark/>
          </w:tcPr>
          <w:p w14:paraId="0C931B78"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5.902</w:t>
            </w:r>
          </w:p>
        </w:tc>
        <w:tc>
          <w:tcPr>
            <w:tcW w:w="851" w:type="dxa"/>
            <w:noWrap/>
            <w:hideMark/>
          </w:tcPr>
          <w:p w14:paraId="02918737"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-0.057</w:t>
            </w:r>
          </w:p>
        </w:tc>
        <w:tc>
          <w:tcPr>
            <w:tcW w:w="828" w:type="dxa"/>
            <w:noWrap/>
            <w:hideMark/>
          </w:tcPr>
          <w:p w14:paraId="23FCFA6F"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0.0004</w:t>
            </w:r>
          </w:p>
        </w:tc>
        <w:tc>
          <w:tcPr>
            <w:tcW w:w="1587" w:type="dxa"/>
            <w:noWrap/>
            <w:hideMark/>
          </w:tcPr>
          <w:p w14:paraId="60B711B1" w14:textId="77777777" w:rsidR="003B4E9E" w:rsidRPr="00575A3E" w:rsidRDefault="003B4E9E" w:rsidP="003B4E9E">
            <w:pPr>
              <w:widowControl/>
              <w:suppressAutoHyphens w:val="0"/>
              <w:jc w:val="center"/>
              <w:rPr>
                <w:rFonts w:eastAsia="Times New Roman"/>
                <w:kern w:val="0"/>
                <w:sz w:val="20"/>
                <w:szCs w:val="20"/>
                <w:lang w:val="en-GB" w:eastAsia="en-GB"/>
              </w:rPr>
            </w:pPr>
            <w:r w:rsidRPr="00575A3E">
              <w:rPr>
                <w:rFonts w:eastAsia="Times New Roman"/>
                <w:kern w:val="0"/>
                <w:sz w:val="20"/>
                <w:szCs w:val="20"/>
                <w:lang w:val="en-GB" w:eastAsia="en-GB"/>
              </w:rPr>
              <w:t>2.279</w:t>
            </w:r>
          </w:p>
        </w:tc>
      </w:tr>
    </w:tbl>
    <w:p w14:paraId="0A53B03C" w14:textId="6B5CACDD" w:rsidR="006D6CA4" w:rsidRPr="00575A3E" w:rsidRDefault="006D6CA4" w:rsidP="005033DC">
      <w:pPr>
        <w:spacing w:line="360" w:lineRule="auto"/>
        <w:rPr>
          <w:szCs w:val="22"/>
          <w:lang w:val="en-GB"/>
        </w:rPr>
      </w:pPr>
    </w:p>
    <w:p w14:paraId="5D608056" w14:textId="2FFF6C4C" w:rsidR="003B4E9E" w:rsidRPr="00575A3E" w:rsidRDefault="003B4E9E" w:rsidP="005033DC">
      <w:pPr>
        <w:spacing w:line="360" w:lineRule="auto"/>
        <w:rPr>
          <w:rFonts w:eastAsia="Times New Roman"/>
          <w:kern w:val="0"/>
          <w:szCs w:val="22"/>
          <w:lang w:val="en-GB" w:eastAsia="zh-CN"/>
        </w:rPr>
      </w:pPr>
      <w:r w:rsidRPr="00575A3E">
        <w:rPr>
          <w:szCs w:val="22"/>
          <w:lang w:val="en-GB"/>
        </w:rPr>
        <w:t xml:space="preserve">The values for estimating the parameters of non-fuel and fuel costs for future simulation years are also obtained from the projections provided by </w:t>
      </w:r>
      <w:r w:rsidRPr="00575A3E">
        <w:rPr>
          <w:rFonts w:eastAsia="Times New Roman"/>
          <w:kern w:val="0"/>
          <w:szCs w:val="22"/>
          <w:lang w:val="en-GB" w:eastAsia="zh-CN"/>
        </w:rPr>
        <w:t xml:space="preserve">the </w:t>
      </w:r>
      <w:r w:rsidR="00046D58" w:rsidRPr="00575A3E">
        <w:rPr>
          <w:rFonts w:eastAsia="Times New Roman"/>
          <w:kern w:val="0"/>
          <w:szCs w:val="22"/>
          <w:lang w:val="en-GB" w:eastAsia="zh-CN"/>
        </w:rPr>
        <w:fldChar w:fldCharType="begin" w:fldLock="1"/>
      </w:r>
      <w:r w:rsidR="00046D58" w:rsidRPr="00575A3E">
        <w:rPr>
          <w:rFonts w:eastAsia="Times New Roman"/>
          <w:kern w:val="0"/>
          <w:szCs w:val="22"/>
          <w:lang w:val="en-GB" w:eastAsia="zh-CN"/>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2021a)","manualFormatting":"UK Department for Transport (2021a)","plainTextFormattedCitation":"(UK Department for Transport, 2021a)","previouslyFormattedCitation":"(UK Department for Transport, 2021a)"},"properties":{"noteIndex":0},"schema":"https://github.com/citation-style-language/schema/raw/master/csl-citation.json"}</w:instrText>
      </w:r>
      <w:r w:rsidR="00046D58" w:rsidRPr="00575A3E">
        <w:rPr>
          <w:rFonts w:eastAsia="Times New Roman"/>
          <w:kern w:val="0"/>
          <w:szCs w:val="22"/>
          <w:lang w:val="en-GB" w:eastAsia="zh-CN"/>
        </w:rPr>
        <w:fldChar w:fldCharType="separate"/>
      </w:r>
      <w:r w:rsidR="00046D58" w:rsidRPr="00575A3E">
        <w:rPr>
          <w:rFonts w:eastAsia="Times New Roman"/>
          <w:noProof/>
          <w:kern w:val="0"/>
          <w:szCs w:val="22"/>
          <w:lang w:val="en-GB" w:eastAsia="zh-CN"/>
        </w:rPr>
        <w:t>UK Department for Transport (2021a)</w:t>
      </w:r>
      <w:r w:rsidR="00046D58" w:rsidRPr="00575A3E">
        <w:rPr>
          <w:rFonts w:eastAsia="Times New Roman"/>
          <w:kern w:val="0"/>
          <w:szCs w:val="22"/>
          <w:lang w:val="en-GB" w:eastAsia="zh-CN"/>
        </w:rPr>
        <w:fldChar w:fldCharType="end"/>
      </w:r>
      <w:r w:rsidR="00046D58" w:rsidRPr="00575A3E">
        <w:rPr>
          <w:rFonts w:eastAsia="Times New Roman"/>
          <w:kern w:val="0"/>
          <w:szCs w:val="22"/>
          <w:lang w:val="en-GB" w:eastAsia="zh-CN"/>
        </w:rPr>
        <w:t>.</w:t>
      </w:r>
      <w:r w:rsidRPr="00575A3E">
        <w:rPr>
          <w:rFonts w:eastAsia="Times New Roman"/>
          <w:kern w:val="0"/>
          <w:szCs w:val="22"/>
          <w:lang w:val="en-GB" w:eastAsia="zh-CN"/>
        </w:rPr>
        <w:t xml:space="preserve"> </w:t>
      </w:r>
    </w:p>
    <w:p w14:paraId="0E3465EC" w14:textId="77777777" w:rsidR="00046D58" w:rsidRPr="00575A3E" w:rsidRDefault="00046D58" w:rsidP="005033DC">
      <w:pPr>
        <w:spacing w:line="360" w:lineRule="auto"/>
        <w:rPr>
          <w:rFonts w:eastAsia="Times New Roman"/>
          <w:kern w:val="0"/>
          <w:szCs w:val="22"/>
          <w:lang w:val="en-GB" w:eastAsia="zh-CN"/>
        </w:rPr>
      </w:pPr>
    </w:p>
    <w:p w14:paraId="70410329" w14:textId="0BC61D1D" w:rsidR="00F479EF" w:rsidRPr="00575A3E" w:rsidRDefault="00F479EF" w:rsidP="005033DC">
      <w:pPr>
        <w:spacing w:line="360" w:lineRule="auto"/>
        <w:rPr>
          <w:szCs w:val="22"/>
          <w:lang w:val="en-GB"/>
        </w:rPr>
      </w:pPr>
      <w:r w:rsidRPr="00575A3E">
        <w:rPr>
          <w:szCs w:val="22"/>
          <w:lang w:val="en-GB"/>
        </w:rPr>
        <w:t xml:space="preserve">The generalised </w:t>
      </w:r>
      <w:r w:rsidR="00980BEA" w:rsidRPr="00575A3E">
        <w:rPr>
          <w:szCs w:val="22"/>
          <w:lang w:val="en-GB"/>
        </w:rPr>
        <w:t>time</w:t>
      </w:r>
      <w:r w:rsidRPr="00575A3E">
        <w:rPr>
          <w:szCs w:val="22"/>
          <w:lang w:val="en-GB"/>
        </w:rPr>
        <w:t xml:space="preserve"> in DELTA (GC</w:t>
      </w:r>
      <w:r w:rsidRPr="00575A3E">
        <w:rPr>
          <w:szCs w:val="22"/>
          <w:vertAlign w:val="subscript"/>
          <w:lang w:val="en-GB"/>
        </w:rPr>
        <w:t>D</w:t>
      </w:r>
      <w:r w:rsidRPr="00575A3E">
        <w:rPr>
          <w:szCs w:val="22"/>
          <w:lang w:val="en-GB"/>
        </w:rPr>
        <w:t xml:space="preserve">) </w:t>
      </w:r>
      <w:r w:rsidR="00F31BFE" w:rsidRPr="00575A3E">
        <w:rPr>
          <w:szCs w:val="22"/>
          <w:lang w:val="en-GB"/>
        </w:rPr>
        <w:t>(</w:t>
      </w:r>
      <w:r w:rsidRPr="00575A3E">
        <w:rPr>
          <w:szCs w:val="22"/>
          <w:lang w:val="en-GB"/>
        </w:rPr>
        <w:t>equation (2</w:t>
      </w:r>
      <w:r w:rsidR="00F31BFE" w:rsidRPr="00575A3E">
        <w:rPr>
          <w:szCs w:val="22"/>
          <w:lang w:val="en-GB"/>
        </w:rPr>
        <w:t>)</w:t>
      </w:r>
      <w:r w:rsidRPr="00575A3E">
        <w:rPr>
          <w:szCs w:val="22"/>
          <w:lang w:val="en-GB"/>
        </w:rPr>
        <w:t>)</w:t>
      </w:r>
      <w:r w:rsidR="00EB397B" w:rsidRPr="00575A3E">
        <w:rPr>
          <w:szCs w:val="22"/>
          <w:lang w:val="en-GB"/>
        </w:rPr>
        <w:t xml:space="preserve"> is the </w:t>
      </w:r>
      <w:r w:rsidR="00C231D4" w:rsidRPr="00575A3E">
        <w:rPr>
          <w:szCs w:val="22"/>
          <w:lang w:val="en-GB"/>
        </w:rPr>
        <w:t xml:space="preserve">GC expressed in </w:t>
      </w:r>
      <w:r w:rsidR="00EB397B" w:rsidRPr="00575A3E">
        <w:rPr>
          <w:szCs w:val="22"/>
          <w:lang w:val="en-GB"/>
        </w:rPr>
        <w:t xml:space="preserve">minutes to match </w:t>
      </w:r>
      <w:r w:rsidR="00D87002" w:rsidRPr="00575A3E">
        <w:rPr>
          <w:szCs w:val="22"/>
          <w:lang w:val="en-GB"/>
        </w:rPr>
        <w:t xml:space="preserve">the </w:t>
      </w:r>
      <w:r w:rsidR="00EB397B" w:rsidRPr="00575A3E">
        <w:rPr>
          <w:szCs w:val="22"/>
          <w:lang w:val="en-GB"/>
        </w:rPr>
        <w:t xml:space="preserve">data needed for the </w:t>
      </w:r>
      <w:r w:rsidRPr="00575A3E">
        <w:rPr>
          <w:szCs w:val="22"/>
          <w:lang w:val="en-GB"/>
        </w:rPr>
        <w:t>accessibility measures</w:t>
      </w:r>
      <w:r w:rsidR="00C231D4" w:rsidRPr="00575A3E">
        <w:rPr>
          <w:szCs w:val="22"/>
          <w:lang w:val="en-GB"/>
        </w:rPr>
        <w:t xml:space="preserve"> </w:t>
      </w:r>
      <w:r w:rsidRPr="00575A3E">
        <w:rPr>
          <w:szCs w:val="22"/>
          <w:lang w:val="en-GB"/>
        </w:rPr>
        <w:fldChar w:fldCharType="begin" w:fldLock="1"/>
      </w:r>
      <w:r w:rsidR="00893050" w:rsidRPr="00575A3E">
        <w:rPr>
          <w:szCs w:val="22"/>
          <w:lang w:val="en-GB"/>
        </w:rPr>
        <w:instrText>ADDIN CSL_CITATION {"citationItems":[{"id":"ITEM-1","itemData":{"author":[{"dropping-particle":"","family":"David Simmonds Consultancy Ltd","given":"","non-dropping-particle":"","parse-names":false,"suffix":""}],"id":"ITEM-1","issued":{"date-parts":[["2017"]]},"title":"DELTA User Reference Manual","type":"report"},"uris":["http://www.mendeley.com/documents/?uuid=22d9fc15-ea57-4452-8a95-4ea4cff99de4"]}],"mendeley":{"formattedCitation":"(David Simmonds Consultancy Ltd, 2017)","plainTextFormattedCitation":"(David Simmonds Consultancy Ltd, 2017)","previouslyFormattedCitation":"(David Simmonds Consultancy Ltd, 2017)"},"properties":{"noteIndex":0},"schema":"https://github.com/citation-style-language/schema/raw/master/csl-citation.json"}</w:instrText>
      </w:r>
      <w:r w:rsidRPr="00575A3E">
        <w:rPr>
          <w:szCs w:val="22"/>
          <w:lang w:val="en-GB"/>
        </w:rPr>
        <w:fldChar w:fldCharType="separate"/>
      </w:r>
      <w:r w:rsidR="00C41D0C" w:rsidRPr="00575A3E">
        <w:rPr>
          <w:noProof/>
          <w:szCs w:val="22"/>
          <w:lang w:val="en-GB"/>
        </w:rPr>
        <w:t>(David Simmonds Consultancy Ltd, 2017)</w:t>
      </w:r>
      <w:r w:rsidRPr="00575A3E">
        <w:rPr>
          <w:szCs w:val="22"/>
          <w:lang w:val="en-GB"/>
        </w:rPr>
        <w:fldChar w:fldCharType="end"/>
      </w:r>
      <w:r w:rsidR="00C231D4" w:rsidRPr="00575A3E">
        <w:rPr>
          <w:szCs w:val="22"/>
          <w:lang w:val="en-GB"/>
        </w:rPr>
        <w:t>. To achieve this</w:t>
      </w:r>
      <w:r w:rsidR="00D87002" w:rsidRPr="00575A3E">
        <w:rPr>
          <w:szCs w:val="22"/>
          <w:lang w:val="en-GB"/>
        </w:rPr>
        <w:t>, the</w:t>
      </w:r>
      <w:r w:rsidR="00C231D4" w:rsidRPr="00575A3E">
        <w:rPr>
          <w:szCs w:val="22"/>
          <w:lang w:val="en-GB"/>
        </w:rPr>
        <w:t xml:space="preserve"> GC</w:t>
      </w:r>
      <w:r w:rsidRPr="00575A3E">
        <w:rPr>
          <w:szCs w:val="22"/>
          <w:lang w:val="en-GB"/>
        </w:rPr>
        <w:t xml:space="preserve"> is divided by the value of time per purpose (VoT</w:t>
      </w:r>
      <w:r w:rsidRPr="00575A3E">
        <w:rPr>
          <w:szCs w:val="22"/>
          <w:vertAlign w:val="subscript"/>
          <w:lang w:val="en-GB"/>
        </w:rPr>
        <w:t>purpose</w:t>
      </w:r>
      <w:r w:rsidR="00EB397B" w:rsidRPr="00575A3E">
        <w:rPr>
          <w:szCs w:val="22"/>
          <w:lang w:val="en-GB"/>
        </w:rPr>
        <w:t>)</w:t>
      </w:r>
      <w:r w:rsidRPr="00575A3E">
        <w:rPr>
          <w:szCs w:val="22"/>
          <w:lang w:val="en-GB"/>
        </w:rPr>
        <w:t xml:space="preserve">. The values </w:t>
      </w:r>
      <w:r w:rsidR="00EB397B" w:rsidRPr="00575A3E">
        <w:rPr>
          <w:szCs w:val="22"/>
          <w:lang w:val="en-GB"/>
        </w:rPr>
        <w:t xml:space="preserve">inserted for the </w:t>
      </w:r>
      <w:r w:rsidR="001D6BC6" w:rsidRPr="00575A3E">
        <w:rPr>
          <w:szCs w:val="22"/>
          <w:lang w:val="en-GB"/>
        </w:rPr>
        <w:t>conversion</w:t>
      </w:r>
      <w:r w:rsidR="00EB397B" w:rsidRPr="00575A3E">
        <w:rPr>
          <w:szCs w:val="22"/>
          <w:lang w:val="en-GB"/>
        </w:rPr>
        <w:t xml:space="preserve"> </w:t>
      </w:r>
      <w:r w:rsidRPr="00575A3E">
        <w:rPr>
          <w:szCs w:val="22"/>
          <w:lang w:val="en-GB"/>
        </w:rPr>
        <w:t xml:space="preserve">for </w:t>
      </w:r>
      <w:r w:rsidR="00771894" w:rsidRPr="00575A3E">
        <w:rPr>
          <w:szCs w:val="22"/>
          <w:lang w:val="en-GB"/>
        </w:rPr>
        <w:t>VoT</w:t>
      </w:r>
      <w:r w:rsidR="00771894" w:rsidRPr="00575A3E">
        <w:rPr>
          <w:szCs w:val="22"/>
          <w:vertAlign w:val="subscript"/>
          <w:lang w:val="en-GB"/>
        </w:rPr>
        <w:t>purpose</w:t>
      </w:r>
      <w:r w:rsidR="00771894" w:rsidRPr="00575A3E" w:rsidDel="00771894">
        <w:rPr>
          <w:szCs w:val="22"/>
          <w:lang w:val="en-GB"/>
        </w:rPr>
        <w:t xml:space="preserve"> </w:t>
      </w:r>
      <w:r w:rsidR="00EB397B" w:rsidRPr="00575A3E">
        <w:rPr>
          <w:szCs w:val="22"/>
          <w:lang w:val="en-GB"/>
        </w:rPr>
        <w:t>come</w:t>
      </w:r>
      <w:r w:rsidRPr="00575A3E">
        <w:rPr>
          <w:szCs w:val="22"/>
          <w:lang w:val="en-GB"/>
        </w:rPr>
        <w:t xml:space="preserve"> from</w:t>
      </w:r>
      <w:r w:rsidR="007B02C0" w:rsidRPr="00575A3E">
        <w:rPr>
          <w:szCs w:val="22"/>
          <w:lang w:val="en-GB"/>
        </w:rPr>
        <w:t xml:space="preserve"> the</w:t>
      </w:r>
      <w:r w:rsidR="00FF152D" w:rsidRPr="00575A3E">
        <w:rPr>
          <w:szCs w:val="22"/>
          <w:lang w:val="en-GB"/>
        </w:rPr>
        <w:t xml:space="preserve"> </w:t>
      </w:r>
      <w:r w:rsidR="00FF152D" w:rsidRPr="00575A3E">
        <w:rPr>
          <w:szCs w:val="22"/>
          <w:lang w:val="en-GB"/>
        </w:rPr>
        <w:fldChar w:fldCharType="begin" w:fldLock="1"/>
      </w:r>
      <w:r w:rsidR="00B621A2" w:rsidRPr="00575A3E">
        <w:rPr>
          <w:szCs w:val="22"/>
          <w:lang w:val="en-GB"/>
        </w:rPr>
        <w:instrText>ADDIN CSL_CITATION {"citationItems":[{"id":"ITEM-1","itemData":{"author":[{"dropping-particle":"","family":"UK Department for Transport","given":"","non-dropping-particle":"","parse-names":false,"suffix":""}],"id":"ITEM-1","issue":"July","issued":{"date-parts":[["2021"]]},"title":"Appraisal and Modelling Strategy A route map for updating TAG during uncertain times","type":"article-journal"},"uris":["http://www.mendeley.com/documents/?uuid=42136f82-5ece-415f-a1a7-a0d748796cda"]}],"mendeley":{"formattedCitation":"(UK Department for Transport, 2021b)","manualFormatting":"UK Department for Transport (2021b)","plainTextFormattedCitation":"(UK Department for Transport, 2021b)","previouslyFormattedCitation":"(UK Department for Transport, 2021b)"},"properties":{"noteIndex":0},"schema":"https://github.com/citation-style-language/schema/raw/master/csl-citation.json"}</w:instrText>
      </w:r>
      <w:r w:rsidR="00FF152D" w:rsidRPr="00575A3E">
        <w:rPr>
          <w:szCs w:val="22"/>
          <w:lang w:val="en-GB"/>
        </w:rPr>
        <w:fldChar w:fldCharType="separate"/>
      </w:r>
      <w:r w:rsidR="00FF152D" w:rsidRPr="00575A3E">
        <w:rPr>
          <w:noProof/>
          <w:szCs w:val="22"/>
          <w:lang w:val="en-GB"/>
        </w:rPr>
        <w:t>UK Department for Transport (2021b)</w:t>
      </w:r>
      <w:r w:rsidR="00FF152D" w:rsidRPr="00575A3E">
        <w:rPr>
          <w:szCs w:val="22"/>
          <w:lang w:val="en-GB"/>
        </w:rPr>
        <w:fldChar w:fldCharType="end"/>
      </w:r>
      <w:r w:rsidRPr="00575A3E">
        <w:rPr>
          <w:szCs w:val="22"/>
          <w:lang w:val="en-GB"/>
        </w:rPr>
        <w:t xml:space="preserve">. </w:t>
      </w:r>
      <w:r w:rsidR="00EB397B" w:rsidRPr="00575A3E">
        <w:rPr>
          <w:szCs w:val="22"/>
          <w:lang w:val="en-GB"/>
        </w:rPr>
        <w:t>GC</w:t>
      </w:r>
      <w:r w:rsidR="00EB397B" w:rsidRPr="00575A3E">
        <w:rPr>
          <w:szCs w:val="22"/>
          <w:vertAlign w:val="subscript"/>
          <w:lang w:val="en-GB"/>
        </w:rPr>
        <w:t>D</w:t>
      </w:r>
      <w:r w:rsidRPr="00575A3E">
        <w:rPr>
          <w:szCs w:val="22"/>
          <w:lang w:val="en-GB"/>
        </w:rPr>
        <w:t xml:space="preserve"> </w:t>
      </w:r>
      <w:r w:rsidR="00EB397B" w:rsidRPr="00575A3E">
        <w:rPr>
          <w:szCs w:val="22"/>
          <w:lang w:val="en-GB"/>
        </w:rPr>
        <w:t xml:space="preserve">is estimated </w:t>
      </w:r>
      <w:r w:rsidRPr="00575A3E">
        <w:rPr>
          <w:szCs w:val="22"/>
          <w:lang w:val="en-GB"/>
        </w:rPr>
        <w:t xml:space="preserve">for all trip purposes, for every zone pair and </w:t>
      </w:r>
      <w:r w:rsidR="007B02C0" w:rsidRPr="00575A3E">
        <w:rPr>
          <w:szCs w:val="22"/>
          <w:lang w:val="en-GB"/>
        </w:rPr>
        <w:t xml:space="preserve">for each </w:t>
      </w:r>
      <w:r w:rsidRPr="00575A3E">
        <w:rPr>
          <w:szCs w:val="22"/>
          <w:lang w:val="en-GB"/>
        </w:rPr>
        <w:t>year</w:t>
      </w:r>
      <w:r w:rsidR="00EB397B" w:rsidRPr="00575A3E">
        <w:rPr>
          <w:szCs w:val="22"/>
          <w:lang w:val="en-GB"/>
        </w:rPr>
        <w:t xml:space="preserve"> of </w:t>
      </w:r>
      <w:r w:rsidR="00F31BFE" w:rsidRPr="00575A3E">
        <w:rPr>
          <w:szCs w:val="22"/>
          <w:lang w:val="en-GB"/>
        </w:rPr>
        <w:t>the</w:t>
      </w:r>
      <w:r w:rsidR="00EB397B" w:rsidRPr="00575A3E">
        <w:rPr>
          <w:szCs w:val="22"/>
          <w:lang w:val="en-GB"/>
        </w:rPr>
        <w:t xml:space="preserve"> simulation period</w:t>
      </w:r>
      <w:r w:rsidRPr="00575A3E">
        <w:rPr>
          <w:szCs w:val="22"/>
          <w:lang w:val="en-GB"/>
        </w:rPr>
        <w:t>.</w:t>
      </w:r>
    </w:p>
    <w:tbl>
      <w:tblPr>
        <w:tblW w:w="9072" w:type="dxa"/>
        <w:tblLayout w:type="fixed"/>
        <w:tblLook w:val="01E0" w:firstRow="1" w:lastRow="1" w:firstColumn="1" w:lastColumn="1" w:noHBand="0" w:noVBand="0"/>
      </w:tblPr>
      <w:tblGrid>
        <w:gridCol w:w="7372"/>
        <w:gridCol w:w="1700"/>
      </w:tblGrid>
      <w:tr w:rsidR="00575A3E" w:rsidRPr="00575A3E" w14:paraId="0A0B1FA9" w14:textId="77777777" w:rsidTr="008741E6">
        <w:tc>
          <w:tcPr>
            <w:tcW w:w="7372" w:type="dxa"/>
            <w:vAlign w:val="bottom"/>
          </w:tcPr>
          <w:p w14:paraId="2815D936" w14:textId="7924B892" w:rsidR="00F479EF" w:rsidRPr="00575A3E" w:rsidRDefault="00000000" w:rsidP="00A55356">
            <w:pPr>
              <w:spacing w:line="360" w:lineRule="auto"/>
              <w:rPr>
                <w:szCs w:val="22"/>
                <w:lang w:val="en-GB"/>
              </w:rPr>
            </w:pPr>
            <m:oMathPara>
              <m:oMathParaPr>
                <m:jc m:val="center"/>
              </m:oMathParaPr>
              <m:oMath>
                <m:sSub>
                  <m:sSubPr>
                    <m:ctrlPr>
                      <w:rPr>
                        <w:rFonts w:ascii="Cambria Math" w:hAnsi="Cambria Math"/>
                        <w:szCs w:val="22"/>
                        <w:lang w:val="en-GB"/>
                      </w:rPr>
                    </m:ctrlPr>
                  </m:sSubPr>
                  <m:e>
                    <m:r>
                      <w:rPr>
                        <w:rFonts w:ascii="Cambria Math" w:hAnsi="Cambria Math"/>
                        <w:szCs w:val="22"/>
                        <w:lang w:val="en-GB"/>
                      </w:rPr>
                      <m:t>GC</m:t>
                    </m:r>
                  </m:e>
                  <m:sub>
                    <m:r>
                      <w:rPr>
                        <w:rFonts w:ascii="Cambria Math" w:hAnsi="Cambria Math"/>
                        <w:szCs w:val="22"/>
                        <w:lang w:val="en-GB"/>
                      </w:rPr>
                      <m:t>D</m:t>
                    </m:r>
                  </m:sub>
                </m:sSub>
                <m:r>
                  <w:rPr>
                    <w:rFonts w:ascii="Cambria Math" w:hAnsi="Cambria Math"/>
                    <w:szCs w:val="22"/>
                    <w:lang w:val="en-GB"/>
                  </w:rPr>
                  <m:t>=GC/</m:t>
                </m:r>
                <m:sSub>
                  <m:sSubPr>
                    <m:ctrlPr>
                      <w:rPr>
                        <w:rFonts w:ascii="Cambria Math" w:hAnsi="Cambria Math"/>
                        <w:szCs w:val="22"/>
                        <w:lang w:val="en-GB"/>
                      </w:rPr>
                    </m:ctrlPr>
                  </m:sSubPr>
                  <m:e>
                    <m:r>
                      <w:rPr>
                        <w:rFonts w:ascii="Cambria Math" w:hAnsi="Cambria Math"/>
                        <w:szCs w:val="22"/>
                        <w:lang w:val="en-GB"/>
                      </w:rPr>
                      <m:t>VoT</m:t>
                    </m:r>
                  </m:e>
                  <m:sub>
                    <m:r>
                      <w:rPr>
                        <w:rFonts w:ascii="Cambria Math" w:hAnsi="Cambria Math"/>
                        <w:szCs w:val="22"/>
                        <w:lang w:val="en-GB"/>
                      </w:rPr>
                      <m:t>purpose</m:t>
                    </m:r>
                  </m:sub>
                </m:sSub>
              </m:oMath>
            </m:oMathPara>
          </w:p>
        </w:tc>
        <w:tc>
          <w:tcPr>
            <w:tcW w:w="1700" w:type="dxa"/>
            <w:vAlign w:val="center"/>
          </w:tcPr>
          <w:p w14:paraId="693AA64F" w14:textId="44048F5C" w:rsidR="00F479EF" w:rsidRPr="00575A3E" w:rsidRDefault="00F479EF" w:rsidP="00A55356">
            <w:pPr>
              <w:spacing w:line="360" w:lineRule="auto"/>
              <w:rPr>
                <w:szCs w:val="22"/>
                <w:lang w:val="en-GB"/>
              </w:rPr>
            </w:pPr>
            <w:r w:rsidRPr="00575A3E">
              <w:rPr>
                <w:szCs w:val="22"/>
                <w:lang w:val="en-GB"/>
              </w:rPr>
              <w:t>(</w:t>
            </w:r>
            <w:r w:rsidR="00046D58" w:rsidRPr="00575A3E">
              <w:rPr>
                <w:szCs w:val="22"/>
                <w:lang w:val="en-GB"/>
              </w:rPr>
              <w:fldChar w:fldCharType="begin"/>
            </w:r>
            <w:r w:rsidR="00046D58" w:rsidRPr="00575A3E">
              <w:rPr>
                <w:szCs w:val="22"/>
                <w:lang w:val="en-GB"/>
              </w:rPr>
              <w:instrText>SEQ Eq \* ARABIC</w:instrText>
            </w:r>
            <w:r w:rsidR="00046D58" w:rsidRPr="00575A3E">
              <w:rPr>
                <w:szCs w:val="22"/>
                <w:lang w:val="en-GB"/>
              </w:rPr>
              <w:fldChar w:fldCharType="separate"/>
            </w:r>
            <w:r w:rsidR="004A1C59" w:rsidRPr="00575A3E">
              <w:rPr>
                <w:noProof/>
                <w:szCs w:val="22"/>
                <w:lang w:val="en-GB"/>
              </w:rPr>
              <w:t>4</w:t>
            </w:r>
            <w:r w:rsidR="00046D58" w:rsidRPr="00575A3E">
              <w:rPr>
                <w:szCs w:val="22"/>
                <w:lang w:val="en-GB"/>
              </w:rPr>
              <w:fldChar w:fldCharType="end"/>
            </w:r>
            <w:r w:rsidR="00046D58" w:rsidRPr="00575A3E">
              <w:rPr>
                <w:szCs w:val="22"/>
                <w:lang w:val="en-GB"/>
              </w:rPr>
              <w:t>)</w:t>
            </w:r>
          </w:p>
        </w:tc>
      </w:tr>
    </w:tbl>
    <w:p w14:paraId="56EB1CE6" w14:textId="419D68B8" w:rsidR="00F479EF" w:rsidRPr="00575A3E" w:rsidRDefault="00C231D4" w:rsidP="005033DC">
      <w:pPr>
        <w:spacing w:line="360" w:lineRule="auto"/>
        <w:rPr>
          <w:szCs w:val="22"/>
          <w:lang w:val="en-GB"/>
        </w:rPr>
      </w:pPr>
      <w:r w:rsidRPr="00575A3E">
        <w:rPr>
          <w:szCs w:val="22"/>
          <w:lang w:val="en-GB"/>
        </w:rPr>
        <w:t>T</w:t>
      </w:r>
      <w:r w:rsidR="00F479EF" w:rsidRPr="00575A3E">
        <w:rPr>
          <w:szCs w:val="22"/>
          <w:lang w:val="en-GB"/>
        </w:rPr>
        <w:t>he proportions of new technologies in the fleet</w:t>
      </w:r>
      <w:r w:rsidR="006B1DD6" w:rsidRPr="00575A3E">
        <w:rPr>
          <w:szCs w:val="22"/>
          <w:lang w:val="en-GB"/>
        </w:rPr>
        <w:t xml:space="preserve"> </w:t>
      </w:r>
      <w:r w:rsidR="00EB397B" w:rsidRPr="00575A3E">
        <w:rPr>
          <w:szCs w:val="22"/>
          <w:lang w:val="en-GB"/>
        </w:rPr>
        <w:t>are</w:t>
      </w:r>
      <w:r w:rsidR="00F479EF" w:rsidRPr="00575A3E">
        <w:rPr>
          <w:szCs w:val="22"/>
          <w:lang w:val="en-GB"/>
        </w:rPr>
        <w:t xml:space="preserve"> multiplied </w:t>
      </w:r>
      <w:bookmarkStart w:id="13" w:name="_Hlk78478339"/>
      <w:r w:rsidR="007B02C0" w:rsidRPr="00575A3E">
        <w:rPr>
          <w:szCs w:val="22"/>
          <w:lang w:val="en-GB"/>
        </w:rPr>
        <w:t xml:space="preserve">by the </w:t>
      </w:r>
      <w:r w:rsidR="00EB397B" w:rsidRPr="00575A3E">
        <w:rPr>
          <w:szCs w:val="22"/>
          <w:lang w:val="en-GB"/>
        </w:rPr>
        <w:t>GC</w:t>
      </w:r>
      <w:r w:rsidR="00EB397B" w:rsidRPr="00575A3E">
        <w:rPr>
          <w:szCs w:val="22"/>
          <w:vertAlign w:val="subscript"/>
          <w:lang w:val="en-GB"/>
        </w:rPr>
        <w:t>D</w:t>
      </w:r>
      <w:bookmarkEnd w:id="13"/>
      <w:r w:rsidR="00EB397B" w:rsidRPr="00575A3E">
        <w:rPr>
          <w:szCs w:val="22"/>
          <w:lang w:val="en-GB"/>
        </w:rPr>
        <w:t xml:space="preserve"> </w:t>
      </w:r>
      <w:r w:rsidR="00F479EF" w:rsidRPr="00575A3E">
        <w:rPr>
          <w:szCs w:val="22"/>
          <w:lang w:val="en-GB"/>
        </w:rPr>
        <w:t>of each technology</w:t>
      </w:r>
      <w:r w:rsidR="007B02C0" w:rsidRPr="00575A3E">
        <w:rPr>
          <w:szCs w:val="22"/>
          <w:lang w:val="en-GB"/>
        </w:rPr>
        <w:t xml:space="preserve"> and </w:t>
      </w:r>
      <w:r w:rsidR="00F479EF" w:rsidRPr="00575A3E">
        <w:rPr>
          <w:szCs w:val="22"/>
          <w:lang w:val="en-GB"/>
        </w:rPr>
        <w:t>are</w:t>
      </w:r>
      <w:r w:rsidR="007B02C0" w:rsidRPr="00575A3E">
        <w:rPr>
          <w:szCs w:val="22"/>
          <w:lang w:val="en-GB"/>
        </w:rPr>
        <w:t xml:space="preserve"> then</w:t>
      </w:r>
      <w:r w:rsidR="00F479EF" w:rsidRPr="00575A3E">
        <w:rPr>
          <w:szCs w:val="22"/>
          <w:lang w:val="en-GB"/>
        </w:rPr>
        <w:t xml:space="preserve"> added</w:t>
      </w:r>
      <w:r w:rsidR="007B02C0" w:rsidRPr="00575A3E">
        <w:rPr>
          <w:szCs w:val="22"/>
          <w:lang w:val="en-GB"/>
        </w:rPr>
        <w:t xml:space="preserve"> up</w:t>
      </w:r>
      <w:r w:rsidR="00F479EF" w:rsidRPr="00575A3E">
        <w:rPr>
          <w:szCs w:val="22"/>
          <w:lang w:val="en-GB"/>
        </w:rPr>
        <w:t xml:space="preserve"> to </w:t>
      </w:r>
      <w:r w:rsidR="007B02C0" w:rsidRPr="00575A3E">
        <w:rPr>
          <w:szCs w:val="22"/>
          <w:lang w:val="en-GB"/>
        </w:rPr>
        <w:t xml:space="preserve">calculate </w:t>
      </w:r>
      <w:r w:rsidR="00F479EF" w:rsidRPr="00575A3E">
        <w:rPr>
          <w:szCs w:val="22"/>
          <w:lang w:val="en-GB"/>
        </w:rPr>
        <w:t xml:space="preserve">the total generalised </w:t>
      </w:r>
      <w:r w:rsidR="00980BEA" w:rsidRPr="00575A3E">
        <w:rPr>
          <w:szCs w:val="22"/>
          <w:lang w:val="en-GB"/>
        </w:rPr>
        <w:t>time</w:t>
      </w:r>
      <w:r w:rsidR="00F479EF" w:rsidRPr="00575A3E">
        <w:rPr>
          <w:szCs w:val="22"/>
          <w:lang w:val="en-GB"/>
        </w:rPr>
        <w:t xml:space="preserve"> of </w:t>
      </w:r>
      <w:r w:rsidR="00771894" w:rsidRPr="00575A3E">
        <w:rPr>
          <w:szCs w:val="22"/>
          <w:lang w:val="en-GB"/>
        </w:rPr>
        <w:t xml:space="preserve">the </w:t>
      </w:r>
      <w:r w:rsidR="00F479EF" w:rsidRPr="00575A3E">
        <w:rPr>
          <w:szCs w:val="22"/>
          <w:lang w:val="en-GB"/>
        </w:rPr>
        <w:t>private car</w:t>
      </w:r>
      <w:r w:rsidR="00F31BFE" w:rsidRPr="00575A3E">
        <w:rPr>
          <w:szCs w:val="22"/>
          <w:lang w:val="en-GB"/>
        </w:rPr>
        <w:t xml:space="preserve"> (equation (</w:t>
      </w:r>
      <w:r w:rsidR="00046D58" w:rsidRPr="00575A3E">
        <w:rPr>
          <w:szCs w:val="22"/>
          <w:lang w:val="en-GB"/>
        </w:rPr>
        <w:t>5</w:t>
      </w:r>
      <w:r w:rsidR="00F31BFE" w:rsidRPr="00575A3E">
        <w:rPr>
          <w:szCs w:val="22"/>
          <w:lang w:val="en-GB"/>
        </w:rPr>
        <w:t>))</w:t>
      </w:r>
      <w:r w:rsidR="007B02C0" w:rsidRPr="00575A3E">
        <w:rPr>
          <w:szCs w:val="22"/>
          <w:lang w:val="en-GB"/>
        </w:rPr>
        <w:t>.</w:t>
      </w:r>
      <w:r w:rsidR="00F31BFE" w:rsidRPr="00575A3E">
        <w:rPr>
          <w:szCs w:val="22"/>
          <w:lang w:val="en-GB"/>
        </w:rPr>
        <w:t xml:space="preserve"> </w:t>
      </w:r>
      <w:r w:rsidR="007B02C0" w:rsidRPr="00575A3E">
        <w:rPr>
          <w:szCs w:val="22"/>
          <w:lang w:val="en-GB"/>
        </w:rPr>
        <w:t>Hence</w:t>
      </w:r>
      <w:r w:rsidR="00F479EF" w:rsidRPr="00575A3E">
        <w:rPr>
          <w:szCs w:val="22"/>
          <w:lang w:val="en-GB"/>
        </w:rPr>
        <w:t>:</w:t>
      </w:r>
    </w:p>
    <w:p w14:paraId="56BC4400" w14:textId="77777777" w:rsidR="00483BE1" w:rsidRPr="00575A3E" w:rsidRDefault="00483BE1" w:rsidP="00A55356">
      <w:pPr>
        <w:spacing w:line="360" w:lineRule="auto"/>
        <w:ind w:firstLine="851"/>
        <w:rPr>
          <w:szCs w:val="22"/>
          <w:lang w:val="en-GB"/>
        </w:rPr>
      </w:pPr>
    </w:p>
    <w:tbl>
      <w:tblPr>
        <w:tblW w:w="9072" w:type="dxa"/>
        <w:tblLayout w:type="fixed"/>
        <w:tblLook w:val="01E0" w:firstRow="1" w:lastRow="1" w:firstColumn="1" w:lastColumn="1" w:noHBand="0" w:noVBand="0"/>
      </w:tblPr>
      <w:tblGrid>
        <w:gridCol w:w="7372"/>
        <w:gridCol w:w="1700"/>
      </w:tblGrid>
      <w:tr w:rsidR="00575A3E" w:rsidRPr="00575A3E" w14:paraId="097434BE" w14:textId="77777777" w:rsidTr="008741E6">
        <w:tc>
          <w:tcPr>
            <w:tcW w:w="7372" w:type="dxa"/>
            <w:vAlign w:val="bottom"/>
          </w:tcPr>
          <w:p w14:paraId="48D27769" w14:textId="3A2363AD" w:rsidR="00F479EF" w:rsidRPr="00575A3E" w:rsidRDefault="00000000" w:rsidP="00A55356">
            <w:pPr>
              <w:spacing w:line="360" w:lineRule="auto"/>
              <w:rPr>
                <w:szCs w:val="22"/>
                <w:lang w:val="en-GB"/>
              </w:rPr>
            </w:pPr>
            <m:oMathPara>
              <m:oMath>
                <m:sSub>
                  <m:sSubPr>
                    <m:ctrlPr>
                      <w:rPr>
                        <w:rFonts w:ascii="Cambria Math" w:hAnsi="Cambria Math"/>
                        <w:szCs w:val="22"/>
                        <w:lang w:val="en-GB"/>
                      </w:rPr>
                    </m:ctrlPr>
                  </m:sSubPr>
                  <m:e>
                    <m:r>
                      <w:rPr>
                        <w:rFonts w:ascii="Cambria Math" w:hAnsi="Cambria Math"/>
                        <w:szCs w:val="22"/>
                        <w:lang w:val="en-GB"/>
                      </w:rPr>
                      <m:t>GC</m:t>
                    </m:r>
                  </m:e>
                  <m:sub>
                    <m:r>
                      <w:rPr>
                        <w:rFonts w:ascii="Cambria Math" w:hAnsi="Cambria Math"/>
                        <w:szCs w:val="22"/>
                        <w:lang w:val="en-GB"/>
                      </w:rPr>
                      <m:t>Y</m:t>
                    </m:r>
                  </m:sub>
                </m:sSub>
                <m:r>
                  <w:rPr>
                    <w:rFonts w:ascii="Cambria Math" w:hAnsi="Cambria Math"/>
                    <w:szCs w:val="22"/>
                    <w:lang w:val="en-GB"/>
                  </w:rPr>
                  <m:t>=</m:t>
                </m:r>
                <m:nary>
                  <m:naryPr>
                    <m:chr m:val="∑"/>
                    <m:ctrlPr>
                      <w:rPr>
                        <w:rFonts w:ascii="Cambria Math" w:hAnsi="Cambria Math"/>
                        <w:szCs w:val="22"/>
                        <w:lang w:val="en-GB"/>
                      </w:rPr>
                    </m:ctrlPr>
                  </m:naryPr>
                  <m:sub>
                    <m:r>
                      <w:rPr>
                        <w:rFonts w:ascii="Cambria Math" w:hAnsi="Cambria Math"/>
                        <w:szCs w:val="22"/>
                        <w:lang w:val="en-GB"/>
                      </w:rPr>
                      <m:t>Y</m:t>
                    </m:r>
                  </m:sub>
                  <m:sup>
                    <m:r>
                      <w:rPr>
                        <w:rFonts w:ascii="Cambria Math" w:hAnsi="Cambria Math"/>
                        <w:szCs w:val="22"/>
                        <w:lang w:val="en-GB"/>
                      </w:rPr>
                      <m:t>Tech</m:t>
                    </m:r>
                  </m:sup>
                  <m:e>
                    <m:d>
                      <m:dPr>
                        <m:ctrlPr>
                          <w:rPr>
                            <w:rFonts w:ascii="Cambria Math" w:hAnsi="Cambria Math"/>
                            <w:szCs w:val="22"/>
                            <w:lang w:val="en-GB"/>
                          </w:rPr>
                        </m:ctrlPr>
                      </m:dPr>
                      <m:e>
                        <m:sSubSup>
                          <m:sSubSupPr>
                            <m:ctrlPr>
                              <w:rPr>
                                <w:rFonts w:ascii="Cambria Math" w:hAnsi="Cambria Math"/>
                                <w:szCs w:val="22"/>
                                <w:lang w:val="en-GB"/>
                              </w:rPr>
                            </m:ctrlPr>
                          </m:sSubSupPr>
                          <m:e>
                            <m:r>
                              <w:rPr>
                                <w:rFonts w:ascii="Cambria Math" w:hAnsi="Cambria Math"/>
                                <w:szCs w:val="22"/>
                                <w:lang w:val="en-GB"/>
                              </w:rPr>
                              <m:t>P</m:t>
                            </m:r>
                          </m:e>
                          <m:sub>
                            <m:r>
                              <w:rPr>
                                <w:rFonts w:ascii="Cambria Math" w:hAnsi="Cambria Math"/>
                                <w:szCs w:val="22"/>
                                <w:lang w:val="en-GB"/>
                              </w:rPr>
                              <m:t>Y</m:t>
                            </m:r>
                          </m:sub>
                          <m:sup>
                            <m:r>
                              <w:rPr>
                                <w:rFonts w:ascii="Cambria Math" w:hAnsi="Cambria Math"/>
                                <w:szCs w:val="22"/>
                                <w:lang w:val="en-GB"/>
                              </w:rPr>
                              <m:t>Tech</m:t>
                            </m:r>
                          </m:sup>
                        </m:sSubSup>
                        <m:r>
                          <w:rPr>
                            <w:rFonts w:ascii="Cambria Math" w:hAnsi="Cambria Math"/>
                            <w:szCs w:val="22"/>
                            <w:lang w:val="en-GB"/>
                          </w:rPr>
                          <m:t>*</m:t>
                        </m:r>
                        <m:sSubSup>
                          <m:sSubSupPr>
                            <m:ctrlPr>
                              <w:rPr>
                                <w:rFonts w:ascii="Cambria Math" w:hAnsi="Cambria Math"/>
                                <w:szCs w:val="22"/>
                                <w:lang w:val="en-GB"/>
                              </w:rPr>
                            </m:ctrlPr>
                          </m:sSubSupPr>
                          <m:e>
                            <m:r>
                              <w:rPr>
                                <w:rFonts w:ascii="Cambria Math" w:hAnsi="Cambria Math"/>
                                <w:szCs w:val="22"/>
                                <w:lang w:val="en-GB"/>
                              </w:rPr>
                              <m:t>GC</m:t>
                            </m:r>
                          </m:e>
                          <m:sub>
                            <m:r>
                              <w:rPr>
                                <w:rFonts w:ascii="Cambria Math" w:hAnsi="Cambria Math"/>
                                <w:szCs w:val="22"/>
                                <w:lang w:val="en-GB"/>
                              </w:rPr>
                              <m:t>Y</m:t>
                            </m:r>
                          </m:sub>
                          <m:sup>
                            <m:r>
                              <w:rPr>
                                <w:rFonts w:ascii="Cambria Math" w:hAnsi="Cambria Math"/>
                                <w:szCs w:val="22"/>
                                <w:lang w:val="en-GB"/>
                              </w:rPr>
                              <m:t>Tech</m:t>
                            </m:r>
                          </m:sup>
                        </m:sSubSup>
                      </m:e>
                    </m:d>
                  </m:e>
                </m:nary>
              </m:oMath>
            </m:oMathPara>
          </w:p>
        </w:tc>
        <w:tc>
          <w:tcPr>
            <w:tcW w:w="1700" w:type="dxa"/>
            <w:vAlign w:val="center"/>
          </w:tcPr>
          <w:p w14:paraId="4D3BC7FE" w14:textId="51A0BE4D" w:rsidR="00F479EF" w:rsidRPr="00575A3E" w:rsidRDefault="00F479EF" w:rsidP="00A55356">
            <w:pPr>
              <w:spacing w:line="360" w:lineRule="auto"/>
              <w:rPr>
                <w:szCs w:val="22"/>
                <w:lang w:val="en-GB"/>
              </w:rPr>
            </w:pPr>
            <w:r w:rsidRPr="00575A3E">
              <w:rPr>
                <w:szCs w:val="22"/>
                <w:lang w:val="en-GB"/>
              </w:rPr>
              <w:t>(</w:t>
            </w:r>
            <w:r w:rsidR="00046D58" w:rsidRPr="00575A3E">
              <w:rPr>
                <w:szCs w:val="22"/>
                <w:lang w:val="en-GB"/>
              </w:rPr>
              <w:fldChar w:fldCharType="begin"/>
            </w:r>
            <w:r w:rsidR="00046D58" w:rsidRPr="00575A3E">
              <w:rPr>
                <w:szCs w:val="22"/>
                <w:lang w:val="en-GB"/>
              </w:rPr>
              <w:instrText>SEQ Eq \* ARABIC</w:instrText>
            </w:r>
            <w:r w:rsidR="00046D58" w:rsidRPr="00575A3E">
              <w:rPr>
                <w:szCs w:val="22"/>
                <w:lang w:val="en-GB"/>
              </w:rPr>
              <w:fldChar w:fldCharType="separate"/>
            </w:r>
            <w:r w:rsidR="004A1C59" w:rsidRPr="00575A3E">
              <w:rPr>
                <w:noProof/>
                <w:szCs w:val="22"/>
                <w:lang w:val="en-GB"/>
              </w:rPr>
              <w:t>5</w:t>
            </w:r>
            <w:r w:rsidR="00046D58" w:rsidRPr="00575A3E">
              <w:rPr>
                <w:szCs w:val="22"/>
                <w:lang w:val="en-GB"/>
              </w:rPr>
              <w:fldChar w:fldCharType="end"/>
            </w:r>
            <w:r w:rsidR="00046D58" w:rsidRPr="00575A3E">
              <w:rPr>
                <w:szCs w:val="22"/>
                <w:lang w:val="en-GB"/>
              </w:rPr>
              <w:t>)</w:t>
            </w:r>
          </w:p>
        </w:tc>
      </w:tr>
    </w:tbl>
    <w:p w14:paraId="4A180BDA" w14:textId="44555BE0" w:rsidR="00F479EF" w:rsidRPr="00575A3E" w:rsidRDefault="00EB397B" w:rsidP="00A55356">
      <w:pPr>
        <w:spacing w:line="360" w:lineRule="auto"/>
        <w:rPr>
          <w:szCs w:val="22"/>
          <w:lang w:val="en-GB"/>
        </w:rPr>
      </w:pPr>
      <w:r w:rsidRPr="00575A3E">
        <w:rPr>
          <w:szCs w:val="22"/>
          <w:lang w:val="en-GB"/>
        </w:rPr>
        <w:t>where:</w:t>
      </w:r>
    </w:p>
    <w:p w14:paraId="178B9831" w14:textId="378E638D" w:rsidR="00F479EF" w:rsidRPr="00575A3E" w:rsidRDefault="00000000" w:rsidP="00A55356">
      <w:pPr>
        <w:spacing w:line="360" w:lineRule="auto"/>
        <w:ind w:left="993" w:hanging="993"/>
        <w:rPr>
          <w:szCs w:val="22"/>
          <w:lang w:val="en-GB"/>
        </w:rPr>
      </w:pPr>
      <m:oMath>
        <m:sSub>
          <m:sSubPr>
            <m:ctrlPr>
              <w:rPr>
                <w:rFonts w:ascii="Cambria Math" w:hAnsi="Cambria Math"/>
                <w:szCs w:val="22"/>
                <w:lang w:val="en-GB"/>
              </w:rPr>
            </m:ctrlPr>
          </m:sSubPr>
          <m:e>
            <m:r>
              <w:rPr>
                <w:rFonts w:ascii="Cambria Math" w:hAnsi="Cambria Math"/>
                <w:szCs w:val="22"/>
                <w:lang w:val="en-GB"/>
              </w:rPr>
              <m:t>GC</m:t>
            </m:r>
          </m:e>
          <m:sub>
            <m:r>
              <w:rPr>
                <w:rFonts w:ascii="Cambria Math" w:hAnsi="Cambria Math"/>
                <w:szCs w:val="22"/>
                <w:lang w:val="en-GB"/>
              </w:rPr>
              <m:t>Y</m:t>
            </m:r>
          </m:sub>
        </m:sSub>
      </m:oMath>
      <w:r w:rsidR="00F479EF" w:rsidRPr="00575A3E">
        <w:rPr>
          <w:szCs w:val="22"/>
          <w:lang w:val="en-GB"/>
        </w:rPr>
        <w:t xml:space="preserve">: </w:t>
      </w:r>
      <w:r w:rsidR="00771894" w:rsidRPr="00575A3E">
        <w:rPr>
          <w:szCs w:val="22"/>
          <w:lang w:val="en-GB"/>
        </w:rPr>
        <w:tab/>
      </w:r>
      <w:r w:rsidR="00F479EF" w:rsidRPr="00575A3E">
        <w:rPr>
          <w:szCs w:val="22"/>
          <w:lang w:val="en-GB"/>
        </w:rPr>
        <w:t xml:space="preserve">Total generalised </w:t>
      </w:r>
      <w:r w:rsidR="00980BEA" w:rsidRPr="00575A3E">
        <w:rPr>
          <w:szCs w:val="22"/>
          <w:lang w:val="en-GB"/>
        </w:rPr>
        <w:t>time</w:t>
      </w:r>
      <w:r w:rsidR="00F479EF" w:rsidRPr="00575A3E">
        <w:rPr>
          <w:szCs w:val="22"/>
          <w:lang w:val="en-GB"/>
        </w:rPr>
        <w:t xml:space="preserve"> </w:t>
      </w:r>
      <w:bookmarkStart w:id="14" w:name="_Hlk31105745"/>
      <w:r w:rsidR="00F479EF" w:rsidRPr="00575A3E">
        <w:rPr>
          <w:szCs w:val="22"/>
          <w:lang w:val="en-GB"/>
        </w:rPr>
        <w:t xml:space="preserve">of private car for each transportation simulation year </w:t>
      </w:r>
      <w:bookmarkEnd w:id="14"/>
      <w:r w:rsidR="00F479EF" w:rsidRPr="00575A3E">
        <w:rPr>
          <w:szCs w:val="22"/>
          <w:vertAlign w:val="subscript"/>
          <w:lang w:val="en-GB"/>
        </w:rPr>
        <w:t>(Y)</w:t>
      </w:r>
    </w:p>
    <w:p w14:paraId="615A5C27" w14:textId="38368383" w:rsidR="00F479EF" w:rsidRPr="00575A3E" w:rsidRDefault="00000000" w:rsidP="00A55356">
      <w:pPr>
        <w:spacing w:line="360" w:lineRule="auto"/>
        <w:ind w:left="993" w:hanging="993"/>
        <w:rPr>
          <w:szCs w:val="22"/>
          <w:lang w:val="en-GB"/>
        </w:rPr>
      </w:pPr>
      <m:oMath>
        <m:sSubSup>
          <m:sSubSupPr>
            <m:ctrlPr>
              <w:rPr>
                <w:rFonts w:ascii="Cambria Math" w:hAnsi="Cambria Math"/>
                <w:szCs w:val="22"/>
                <w:lang w:val="en-GB"/>
              </w:rPr>
            </m:ctrlPr>
          </m:sSubSupPr>
          <m:e>
            <m:r>
              <w:rPr>
                <w:rFonts w:ascii="Cambria Math" w:hAnsi="Cambria Math"/>
                <w:szCs w:val="22"/>
                <w:lang w:val="en-GB"/>
              </w:rPr>
              <m:t>P</m:t>
            </m:r>
          </m:e>
          <m:sub>
            <m:r>
              <w:rPr>
                <w:rFonts w:ascii="Cambria Math" w:hAnsi="Cambria Math"/>
                <w:szCs w:val="22"/>
                <w:lang w:val="en-GB"/>
              </w:rPr>
              <m:t>Y</m:t>
            </m:r>
          </m:sub>
          <m:sup>
            <m:r>
              <w:rPr>
                <w:rFonts w:ascii="Cambria Math" w:hAnsi="Cambria Math"/>
                <w:szCs w:val="22"/>
                <w:lang w:val="en-GB"/>
              </w:rPr>
              <m:t>Tech</m:t>
            </m:r>
          </m:sup>
        </m:sSubSup>
      </m:oMath>
      <w:r w:rsidR="00F479EF" w:rsidRPr="00575A3E">
        <w:rPr>
          <w:szCs w:val="22"/>
          <w:lang w:val="en-GB"/>
        </w:rPr>
        <w:t xml:space="preserve">: </w:t>
      </w:r>
      <w:r w:rsidR="00771894" w:rsidRPr="00575A3E">
        <w:rPr>
          <w:szCs w:val="22"/>
          <w:lang w:val="en-GB"/>
        </w:rPr>
        <w:tab/>
      </w:r>
      <w:r w:rsidR="00F479EF" w:rsidRPr="00575A3E">
        <w:rPr>
          <w:szCs w:val="22"/>
          <w:lang w:val="en-GB"/>
        </w:rPr>
        <w:t xml:space="preserve">Proportion of each vehicle technology </w:t>
      </w:r>
      <w:r w:rsidR="00F479EF" w:rsidRPr="00575A3E">
        <w:rPr>
          <w:szCs w:val="22"/>
          <w:vertAlign w:val="superscript"/>
          <w:lang w:val="en-GB"/>
        </w:rPr>
        <w:t>(Tech)</w:t>
      </w:r>
      <w:r w:rsidR="00F479EF" w:rsidRPr="00575A3E">
        <w:rPr>
          <w:szCs w:val="22"/>
          <w:lang w:val="en-GB"/>
        </w:rPr>
        <w:t xml:space="preserve"> in the national passenger car fleet for each transportation simulation year </w:t>
      </w:r>
      <w:r w:rsidR="00F479EF" w:rsidRPr="00575A3E">
        <w:rPr>
          <w:szCs w:val="22"/>
          <w:vertAlign w:val="subscript"/>
          <w:lang w:val="en-GB"/>
        </w:rPr>
        <w:t>(Y)</w:t>
      </w:r>
      <w:r w:rsidR="00F479EF" w:rsidRPr="00575A3E">
        <w:rPr>
          <w:szCs w:val="22"/>
          <w:lang w:val="en-GB"/>
        </w:rPr>
        <w:t xml:space="preserve"> </w:t>
      </w:r>
    </w:p>
    <w:p w14:paraId="628E2187" w14:textId="21EFA2FB" w:rsidR="00F479EF" w:rsidRPr="00575A3E" w:rsidRDefault="00000000" w:rsidP="00A55356">
      <w:pPr>
        <w:spacing w:line="360" w:lineRule="auto"/>
        <w:ind w:left="993" w:hanging="993"/>
        <w:rPr>
          <w:szCs w:val="22"/>
          <w:lang w:val="en-GB"/>
        </w:rPr>
      </w:pPr>
      <m:oMath>
        <m:sSubSup>
          <m:sSubSupPr>
            <m:ctrlPr>
              <w:rPr>
                <w:rFonts w:ascii="Cambria Math" w:hAnsi="Cambria Math"/>
                <w:szCs w:val="22"/>
                <w:lang w:val="en-GB"/>
              </w:rPr>
            </m:ctrlPr>
          </m:sSubSupPr>
          <m:e>
            <m:r>
              <w:rPr>
                <w:rFonts w:ascii="Cambria Math" w:hAnsi="Cambria Math"/>
                <w:szCs w:val="22"/>
                <w:lang w:val="en-GB"/>
              </w:rPr>
              <m:t>GC</m:t>
            </m:r>
          </m:e>
          <m:sub>
            <m:r>
              <w:rPr>
                <w:rFonts w:ascii="Cambria Math" w:hAnsi="Cambria Math"/>
                <w:szCs w:val="22"/>
                <w:lang w:val="en-GB"/>
              </w:rPr>
              <m:t>Y</m:t>
            </m:r>
          </m:sub>
          <m:sup>
            <m:r>
              <w:rPr>
                <w:rFonts w:ascii="Cambria Math" w:hAnsi="Cambria Math"/>
                <w:szCs w:val="22"/>
                <w:lang w:val="en-GB"/>
              </w:rPr>
              <m:t>Tech</m:t>
            </m:r>
          </m:sup>
        </m:sSubSup>
      </m:oMath>
      <w:r w:rsidR="00F479EF" w:rsidRPr="00575A3E">
        <w:rPr>
          <w:szCs w:val="22"/>
          <w:lang w:val="en-GB"/>
        </w:rPr>
        <w:t xml:space="preserve">: </w:t>
      </w:r>
      <w:r w:rsidR="00771894" w:rsidRPr="00575A3E">
        <w:rPr>
          <w:szCs w:val="22"/>
          <w:lang w:val="en-GB"/>
        </w:rPr>
        <w:tab/>
      </w:r>
      <w:r w:rsidR="00F479EF" w:rsidRPr="00575A3E">
        <w:rPr>
          <w:szCs w:val="22"/>
          <w:lang w:val="en-GB"/>
        </w:rPr>
        <w:t xml:space="preserve">Generalised </w:t>
      </w:r>
      <w:r w:rsidR="00980BEA" w:rsidRPr="00575A3E">
        <w:rPr>
          <w:szCs w:val="22"/>
          <w:lang w:val="en-GB"/>
        </w:rPr>
        <w:t>time</w:t>
      </w:r>
      <w:r w:rsidR="00F479EF" w:rsidRPr="00575A3E">
        <w:rPr>
          <w:szCs w:val="22"/>
          <w:lang w:val="en-GB"/>
        </w:rPr>
        <w:t xml:space="preserve"> for each vehicle technology </w:t>
      </w:r>
      <w:r w:rsidR="00F479EF" w:rsidRPr="00575A3E">
        <w:rPr>
          <w:szCs w:val="22"/>
          <w:vertAlign w:val="superscript"/>
          <w:lang w:val="en-GB"/>
        </w:rPr>
        <w:t>(Tech)</w:t>
      </w:r>
      <w:r w:rsidR="00F479EF" w:rsidRPr="00575A3E">
        <w:rPr>
          <w:szCs w:val="22"/>
          <w:lang w:val="en-GB"/>
        </w:rPr>
        <w:t xml:space="preserve"> for the specific simulation year </w:t>
      </w:r>
      <w:r w:rsidR="00F479EF" w:rsidRPr="00575A3E">
        <w:rPr>
          <w:szCs w:val="22"/>
          <w:vertAlign w:val="subscript"/>
          <w:lang w:val="en-GB"/>
        </w:rPr>
        <w:t>(Y)</w:t>
      </w:r>
      <w:r w:rsidR="00F479EF" w:rsidRPr="00575A3E">
        <w:rPr>
          <w:szCs w:val="22"/>
          <w:lang w:val="en-GB"/>
        </w:rPr>
        <w:t xml:space="preserve">. </w:t>
      </w:r>
    </w:p>
    <w:p w14:paraId="014F1B17" w14:textId="77777777" w:rsidR="007563F1" w:rsidRPr="00575A3E" w:rsidRDefault="007563F1" w:rsidP="005033DC">
      <w:pPr>
        <w:spacing w:line="360" w:lineRule="auto"/>
        <w:rPr>
          <w:szCs w:val="22"/>
          <w:lang w:val="en-GB"/>
        </w:rPr>
      </w:pPr>
    </w:p>
    <w:p w14:paraId="6C317778" w14:textId="0230417B" w:rsidR="007563F1" w:rsidRPr="00575A3E" w:rsidRDefault="00FD4587" w:rsidP="005033DC">
      <w:pPr>
        <w:spacing w:line="360" w:lineRule="auto"/>
        <w:rPr>
          <w:szCs w:val="22"/>
          <w:lang w:val="en-GB"/>
        </w:rPr>
      </w:pPr>
      <w:r w:rsidRPr="00575A3E">
        <w:rPr>
          <w:szCs w:val="22"/>
          <w:lang w:val="en-GB"/>
        </w:rPr>
        <w:t>V</w:t>
      </w:r>
      <w:r w:rsidR="000138E5" w:rsidRPr="00575A3E">
        <w:rPr>
          <w:szCs w:val="22"/>
          <w:lang w:val="en-GB"/>
        </w:rPr>
        <w:t xml:space="preserve">alues of time </w:t>
      </w:r>
      <w:r w:rsidR="00771894" w:rsidRPr="00575A3E">
        <w:rPr>
          <w:szCs w:val="22"/>
          <w:lang w:val="en-GB"/>
        </w:rPr>
        <w:t>a</w:t>
      </w:r>
      <w:r w:rsidR="00EB397B" w:rsidRPr="00575A3E">
        <w:rPr>
          <w:szCs w:val="22"/>
          <w:lang w:val="en-GB"/>
        </w:rPr>
        <w:t xml:space="preserve">re estimated </w:t>
      </w:r>
      <w:bookmarkStart w:id="15" w:name="_Hlk120186637"/>
      <w:r w:rsidR="00EB397B" w:rsidRPr="00575A3E">
        <w:rPr>
          <w:szCs w:val="22"/>
          <w:lang w:val="en-GB"/>
        </w:rPr>
        <w:t xml:space="preserve">based on </w:t>
      </w:r>
      <w:r w:rsidR="00771894" w:rsidRPr="00575A3E">
        <w:rPr>
          <w:szCs w:val="22"/>
          <w:lang w:val="en-GB"/>
        </w:rPr>
        <w:t>WebTAG</w:t>
      </w:r>
      <w:bookmarkEnd w:id="15"/>
      <w:r w:rsidR="00771894" w:rsidRPr="00575A3E">
        <w:rPr>
          <w:szCs w:val="22"/>
          <w:lang w:val="en-GB"/>
        </w:rPr>
        <w:t xml:space="preserve">’s </w:t>
      </w:r>
      <w:r w:rsidR="00F479EF" w:rsidRPr="00575A3E">
        <w:rPr>
          <w:szCs w:val="22"/>
          <w:lang w:val="en-GB"/>
        </w:rPr>
        <w:t>data</w:t>
      </w:r>
      <w:bookmarkStart w:id="16" w:name="_Hlk56853496"/>
      <w:bookmarkEnd w:id="16"/>
      <w:r w:rsidRPr="00575A3E">
        <w:rPr>
          <w:szCs w:val="22"/>
          <w:lang w:val="en-GB"/>
        </w:rPr>
        <w:t xml:space="preserve"> (</w:t>
      </w:r>
      <w:r w:rsidRPr="00575A3E">
        <w:rPr>
          <w:szCs w:val="22"/>
          <w:lang w:val="en-GB"/>
        </w:rPr>
        <w:fldChar w:fldCharType="begin"/>
      </w:r>
      <w:r w:rsidRPr="00575A3E">
        <w:rPr>
          <w:szCs w:val="22"/>
          <w:lang w:val="en-GB"/>
        </w:rPr>
        <w:instrText xml:space="preserve"> REF _Ref120187241 \h </w:instrText>
      </w:r>
      <w:r w:rsidRPr="00575A3E">
        <w:rPr>
          <w:szCs w:val="22"/>
          <w:lang w:val="en-GB"/>
        </w:rPr>
      </w:r>
      <w:r w:rsidRPr="00575A3E">
        <w:rPr>
          <w:szCs w:val="22"/>
          <w:lang w:val="en-GB"/>
        </w:rPr>
        <w:fldChar w:fldCharType="separate"/>
      </w:r>
      <w:r w:rsidR="004A1C59" w:rsidRPr="00575A3E">
        <w:t xml:space="preserve">Table </w:t>
      </w:r>
      <w:r w:rsidR="004A1C59" w:rsidRPr="00575A3E">
        <w:rPr>
          <w:noProof/>
        </w:rPr>
        <w:t>5</w:t>
      </w:r>
      <w:r w:rsidRPr="00575A3E">
        <w:rPr>
          <w:szCs w:val="22"/>
          <w:lang w:val="en-GB"/>
        </w:rPr>
        <w:fldChar w:fldCharType="end"/>
      </w:r>
      <w:r w:rsidRPr="00575A3E">
        <w:rPr>
          <w:szCs w:val="22"/>
          <w:lang w:val="en-GB"/>
        </w:rPr>
        <w:t>)</w:t>
      </w:r>
      <w:r w:rsidR="00185C7C" w:rsidRPr="00575A3E">
        <w:rPr>
          <w:szCs w:val="22"/>
          <w:lang w:val="en-GB"/>
        </w:rPr>
        <w:t xml:space="preserve"> </w:t>
      </w:r>
      <w:r w:rsidR="00185C7C" w:rsidRPr="00575A3E">
        <w:rPr>
          <w:szCs w:val="22"/>
          <w:lang w:val="en-GB"/>
        </w:rPr>
        <w:fldChar w:fldCharType="begin" w:fldLock="1"/>
      </w:r>
      <w:r w:rsidR="002859DD" w:rsidRPr="00575A3E">
        <w:rPr>
          <w:szCs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185C7C" w:rsidRPr="00575A3E">
        <w:rPr>
          <w:szCs w:val="22"/>
          <w:lang w:val="en-GB"/>
        </w:rPr>
        <w:fldChar w:fldCharType="separate"/>
      </w:r>
      <w:r w:rsidR="002859DD" w:rsidRPr="00575A3E">
        <w:rPr>
          <w:noProof/>
          <w:szCs w:val="22"/>
          <w:lang w:val="en-GB"/>
        </w:rPr>
        <w:t>(UK Department for Transport, 2021a)</w:t>
      </w:r>
      <w:r w:rsidR="00185C7C" w:rsidRPr="00575A3E">
        <w:rPr>
          <w:szCs w:val="22"/>
          <w:lang w:val="en-GB"/>
        </w:rPr>
        <w:fldChar w:fldCharType="end"/>
      </w:r>
      <w:r w:rsidR="00185C7C" w:rsidRPr="00575A3E">
        <w:rPr>
          <w:szCs w:val="22"/>
          <w:lang w:val="en-GB"/>
        </w:rPr>
        <w:t xml:space="preserve">. </w:t>
      </w:r>
    </w:p>
    <w:p w14:paraId="7188DB64" w14:textId="79D90042" w:rsidR="007563F1" w:rsidRPr="00575A3E" w:rsidRDefault="007563F1" w:rsidP="007563F1">
      <w:pPr>
        <w:pStyle w:val="Caption"/>
        <w:keepNext/>
        <w:jc w:val="center"/>
      </w:pPr>
      <w:bookmarkStart w:id="17" w:name="_Ref120187241"/>
      <w:r w:rsidRPr="00575A3E">
        <w:t xml:space="preserve">Table </w:t>
      </w:r>
      <w:r w:rsidR="003B4E9E" w:rsidRPr="00575A3E">
        <w:fldChar w:fldCharType="begin"/>
      </w:r>
      <w:r w:rsidR="003B4E9E" w:rsidRPr="00575A3E">
        <w:instrText xml:space="preserve"> SEQ Table \* ARABIC </w:instrText>
      </w:r>
      <w:r w:rsidR="003B4E9E" w:rsidRPr="00575A3E">
        <w:fldChar w:fldCharType="separate"/>
      </w:r>
      <w:r w:rsidR="006101B2" w:rsidRPr="00575A3E">
        <w:rPr>
          <w:noProof/>
        </w:rPr>
        <w:t>5</w:t>
      </w:r>
      <w:r w:rsidR="003B4E9E" w:rsidRPr="00575A3E">
        <w:fldChar w:fldCharType="end"/>
      </w:r>
      <w:bookmarkEnd w:id="17"/>
      <w:r w:rsidRPr="00575A3E">
        <w:t>: Values of time</w:t>
      </w:r>
      <w:r w:rsidR="009C60FD" w:rsidRPr="00575A3E">
        <w:t xml:space="preserve"> based on WebTAG</w:t>
      </w:r>
      <w:r w:rsidR="002859DD" w:rsidRPr="00575A3E">
        <w:t xml:space="preserve"> (2011 prices)</w:t>
      </w:r>
    </w:p>
    <w:tbl>
      <w:tblPr>
        <w:tblStyle w:val="TableGrid"/>
        <w:tblW w:w="6357" w:type="dxa"/>
        <w:jc w:val="center"/>
        <w:tblLook w:val="04A0" w:firstRow="1" w:lastRow="0" w:firstColumn="1" w:lastColumn="0" w:noHBand="0" w:noVBand="1"/>
      </w:tblPr>
      <w:tblGrid>
        <w:gridCol w:w="5382"/>
        <w:gridCol w:w="960"/>
        <w:gridCol w:w="15"/>
      </w:tblGrid>
      <w:tr w:rsidR="00575A3E" w:rsidRPr="00575A3E" w14:paraId="2EA11471" w14:textId="77777777" w:rsidTr="00FD4587">
        <w:trPr>
          <w:trHeight w:val="315"/>
          <w:jc w:val="center"/>
        </w:trPr>
        <w:tc>
          <w:tcPr>
            <w:tcW w:w="6357" w:type="dxa"/>
            <w:gridSpan w:val="3"/>
            <w:noWrap/>
            <w:hideMark/>
          </w:tcPr>
          <w:p w14:paraId="2017082B" w14:textId="77777777" w:rsidR="00DC760D" w:rsidRPr="00575A3E" w:rsidRDefault="00DC760D" w:rsidP="00DC760D">
            <w:pPr>
              <w:widowControl/>
              <w:suppressAutoHyphens w:val="0"/>
              <w:jc w:val="left"/>
              <w:rPr>
                <w:rFonts w:eastAsia="Times New Roman"/>
                <w:b/>
                <w:bCs/>
                <w:kern w:val="0"/>
                <w:szCs w:val="22"/>
                <w:lang w:val="en-GB" w:eastAsia="en-GB"/>
              </w:rPr>
            </w:pPr>
            <w:r w:rsidRPr="00575A3E">
              <w:rPr>
                <w:rFonts w:eastAsia="Times New Roman"/>
                <w:b/>
                <w:bCs/>
                <w:kern w:val="0"/>
                <w:szCs w:val="22"/>
                <w:lang w:val="en-GB" w:eastAsia="en-GB"/>
              </w:rPr>
              <w:t xml:space="preserve">Values of Working (Employers' Business) Time by Mode </w:t>
            </w:r>
          </w:p>
        </w:tc>
      </w:tr>
      <w:tr w:rsidR="00575A3E" w:rsidRPr="00575A3E" w14:paraId="4C5FB909" w14:textId="77777777" w:rsidTr="00FD4587">
        <w:trPr>
          <w:gridAfter w:val="1"/>
          <w:wAfter w:w="15" w:type="dxa"/>
          <w:trHeight w:val="315"/>
          <w:jc w:val="center"/>
        </w:trPr>
        <w:tc>
          <w:tcPr>
            <w:tcW w:w="5382" w:type="dxa"/>
            <w:noWrap/>
            <w:hideMark/>
          </w:tcPr>
          <w:p w14:paraId="7499FD14" w14:textId="77777777" w:rsidR="00DC760D" w:rsidRPr="00575A3E" w:rsidRDefault="00DC760D" w:rsidP="00DC760D">
            <w:pPr>
              <w:widowControl/>
              <w:suppressAutoHyphens w:val="0"/>
              <w:jc w:val="left"/>
              <w:rPr>
                <w:rFonts w:eastAsia="Times New Roman"/>
                <w:b/>
                <w:bCs/>
                <w:kern w:val="0"/>
                <w:szCs w:val="22"/>
                <w:lang w:val="en-GB" w:eastAsia="en-GB"/>
              </w:rPr>
            </w:pPr>
            <w:r w:rsidRPr="00575A3E">
              <w:rPr>
                <w:rFonts w:eastAsia="Times New Roman"/>
                <w:b/>
                <w:bCs/>
                <w:kern w:val="0"/>
                <w:szCs w:val="22"/>
                <w:lang w:val="en-GB" w:eastAsia="en-GB"/>
              </w:rPr>
              <w:t>(£ per hour)</w:t>
            </w:r>
          </w:p>
        </w:tc>
        <w:tc>
          <w:tcPr>
            <w:tcW w:w="960" w:type="dxa"/>
            <w:hideMark/>
          </w:tcPr>
          <w:p w14:paraId="528ED3C9" w14:textId="77777777" w:rsidR="00DC760D" w:rsidRPr="00575A3E" w:rsidRDefault="00DC760D" w:rsidP="00DC760D">
            <w:pPr>
              <w:widowControl/>
              <w:suppressAutoHyphens w:val="0"/>
              <w:jc w:val="center"/>
              <w:rPr>
                <w:rFonts w:eastAsia="Times New Roman"/>
                <w:b/>
                <w:bCs/>
                <w:kern w:val="0"/>
                <w:szCs w:val="22"/>
                <w:lang w:val="en-GB" w:eastAsia="en-GB"/>
              </w:rPr>
            </w:pPr>
            <w:r w:rsidRPr="00575A3E">
              <w:rPr>
                <w:rFonts w:eastAsia="Times New Roman"/>
                <w:b/>
                <w:bCs/>
                <w:kern w:val="0"/>
                <w:szCs w:val="22"/>
                <w:lang w:val="en-GB" w:eastAsia="en-GB"/>
              </w:rPr>
              <w:t> </w:t>
            </w:r>
          </w:p>
        </w:tc>
      </w:tr>
      <w:tr w:rsidR="00575A3E" w:rsidRPr="00575A3E" w14:paraId="6F6C7F06" w14:textId="77777777" w:rsidTr="00FD4587">
        <w:trPr>
          <w:gridAfter w:val="1"/>
          <w:wAfter w:w="15" w:type="dxa"/>
          <w:trHeight w:val="315"/>
          <w:jc w:val="center"/>
        </w:trPr>
        <w:tc>
          <w:tcPr>
            <w:tcW w:w="5382" w:type="dxa"/>
            <w:noWrap/>
            <w:hideMark/>
          </w:tcPr>
          <w:p w14:paraId="0F4A6125"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 </w:t>
            </w:r>
          </w:p>
        </w:tc>
        <w:tc>
          <w:tcPr>
            <w:tcW w:w="960" w:type="dxa"/>
            <w:hideMark/>
          </w:tcPr>
          <w:p w14:paraId="337D77DF" w14:textId="77777777" w:rsidR="00DC760D" w:rsidRPr="00575A3E" w:rsidRDefault="00DC760D" w:rsidP="00DC760D">
            <w:pPr>
              <w:widowControl/>
              <w:suppressAutoHyphens w:val="0"/>
              <w:jc w:val="center"/>
              <w:rPr>
                <w:rFonts w:eastAsia="Times New Roman"/>
                <w:b/>
                <w:bCs/>
                <w:kern w:val="0"/>
                <w:szCs w:val="22"/>
                <w:lang w:val="en-GB" w:eastAsia="en-GB"/>
              </w:rPr>
            </w:pPr>
            <w:r w:rsidRPr="00575A3E">
              <w:rPr>
                <w:rFonts w:eastAsia="Times New Roman"/>
                <w:b/>
                <w:bCs/>
                <w:kern w:val="0"/>
                <w:szCs w:val="22"/>
                <w:lang w:val="en-GB" w:eastAsia="en-GB"/>
              </w:rPr>
              <w:t>Cost</w:t>
            </w:r>
          </w:p>
        </w:tc>
      </w:tr>
      <w:tr w:rsidR="00575A3E" w:rsidRPr="00575A3E" w14:paraId="3B977880" w14:textId="77777777" w:rsidTr="00FD4587">
        <w:trPr>
          <w:gridAfter w:val="1"/>
          <w:wAfter w:w="15" w:type="dxa"/>
          <w:trHeight w:val="315"/>
          <w:jc w:val="center"/>
        </w:trPr>
        <w:tc>
          <w:tcPr>
            <w:tcW w:w="5382" w:type="dxa"/>
            <w:noWrap/>
            <w:hideMark/>
          </w:tcPr>
          <w:p w14:paraId="3052014B"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Car driver</w:t>
            </w:r>
          </w:p>
        </w:tc>
        <w:tc>
          <w:tcPr>
            <w:tcW w:w="960" w:type="dxa"/>
            <w:hideMark/>
          </w:tcPr>
          <w:p w14:paraId="55085451"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15.27</w:t>
            </w:r>
          </w:p>
        </w:tc>
      </w:tr>
      <w:tr w:rsidR="00575A3E" w:rsidRPr="00575A3E" w14:paraId="164B3A35" w14:textId="77777777" w:rsidTr="00FD4587">
        <w:trPr>
          <w:gridAfter w:val="1"/>
          <w:wAfter w:w="15" w:type="dxa"/>
          <w:trHeight w:val="315"/>
          <w:jc w:val="center"/>
        </w:trPr>
        <w:tc>
          <w:tcPr>
            <w:tcW w:w="5382" w:type="dxa"/>
            <w:noWrap/>
            <w:hideMark/>
          </w:tcPr>
          <w:p w14:paraId="3CF68E82"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Car passenger</w:t>
            </w:r>
          </w:p>
        </w:tc>
        <w:tc>
          <w:tcPr>
            <w:tcW w:w="960" w:type="dxa"/>
            <w:hideMark/>
          </w:tcPr>
          <w:p w14:paraId="59C5DA0E"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15.27</w:t>
            </w:r>
          </w:p>
        </w:tc>
      </w:tr>
      <w:tr w:rsidR="00575A3E" w:rsidRPr="00575A3E" w14:paraId="2E7E15D1" w14:textId="77777777" w:rsidTr="00FD4587">
        <w:trPr>
          <w:gridAfter w:val="1"/>
          <w:wAfter w:w="15" w:type="dxa"/>
          <w:trHeight w:val="315"/>
          <w:jc w:val="center"/>
        </w:trPr>
        <w:tc>
          <w:tcPr>
            <w:tcW w:w="5382" w:type="dxa"/>
            <w:noWrap/>
            <w:hideMark/>
          </w:tcPr>
          <w:p w14:paraId="5F04C50A"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LGV (driver or passenger)</w:t>
            </w:r>
          </w:p>
        </w:tc>
        <w:tc>
          <w:tcPr>
            <w:tcW w:w="960" w:type="dxa"/>
            <w:hideMark/>
          </w:tcPr>
          <w:p w14:paraId="5507FCE7"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10.81</w:t>
            </w:r>
          </w:p>
        </w:tc>
      </w:tr>
      <w:tr w:rsidR="00575A3E" w:rsidRPr="00575A3E" w14:paraId="7D505F41" w14:textId="77777777" w:rsidTr="00FD4587">
        <w:trPr>
          <w:gridAfter w:val="1"/>
          <w:wAfter w:w="15" w:type="dxa"/>
          <w:trHeight w:val="315"/>
          <w:jc w:val="center"/>
        </w:trPr>
        <w:tc>
          <w:tcPr>
            <w:tcW w:w="5382" w:type="dxa"/>
            <w:noWrap/>
            <w:hideMark/>
          </w:tcPr>
          <w:p w14:paraId="3617BBFB"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OGV (driver or passenger)</w:t>
            </w:r>
          </w:p>
        </w:tc>
        <w:tc>
          <w:tcPr>
            <w:tcW w:w="960" w:type="dxa"/>
            <w:hideMark/>
          </w:tcPr>
          <w:p w14:paraId="479369D8"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12.46</w:t>
            </w:r>
          </w:p>
        </w:tc>
      </w:tr>
      <w:tr w:rsidR="00575A3E" w:rsidRPr="00575A3E" w14:paraId="0381EB6B" w14:textId="77777777" w:rsidTr="00FD4587">
        <w:trPr>
          <w:gridAfter w:val="1"/>
          <w:wAfter w:w="15" w:type="dxa"/>
          <w:trHeight w:val="315"/>
          <w:jc w:val="center"/>
        </w:trPr>
        <w:tc>
          <w:tcPr>
            <w:tcW w:w="5382" w:type="dxa"/>
            <w:noWrap/>
            <w:hideMark/>
          </w:tcPr>
          <w:p w14:paraId="0F632E03"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PSV driver</w:t>
            </w:r>
          </w:p>
        </w:tc>
        <w:tc>
          <w:tcPr>
            <w:tcW w:w="960" w:type="dxa"/>
            <w:hideMark/>
          </w:tcPr>
          <w:p w14:paraId="6AE8E40E"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12.27</w:t>
            </w:r>
          </w:p>
        </w:tc>
      </w:tr>
      <w:tr w:rsidR="00575A3E" w:rsidRPr="00575A3E" w14:paraId="7F2FACC1" w14:textId="77777777" w:rsidTr="00FD4587">
        <w:trPr>
          <w:gridAfter w:val="1"/>
          <w:wAfter w:w="15" w:type="dxa"/>
          <w:trHeight w:val="315"/>
          <w:jc w:val="center"/>
        </w:trPr>
        <w:tc>
          <w:tcPr>
            <w:tcW w:w="5382" w:type="dxa"/>
            <w:noWrap/>
            <w:hideMark/>
          </w:tcPr>
          <w:p w14:paraId="2A3124F0"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PSV passenger</w:t>
            </w:r>
          </w:p>
        </w:tc>
        <w:tc>
          <w:tcPr>
            <w:tcW w:w="960" w:type="dxa"/>
            <w:hideMark/>
          </w:tcPr>
          <w:p w14:paraId="3A62E673"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8.66</w:t>
            </w:r>
          </w:p>
        </w:tc>
      </w:tr>
      <w:tr w:rsidR="00575A3E" w:rsidRPr="00575A3E" w14:paraId="5F87166C" w14:textId="77777777" w:rsidTr="00FD4587">
        <w:trPr>
          <w:gridAfter w:val="1"/>
          <w:wAfter w:w="15" w:type="dxa"/>
          <w:trHeight w:val="315"/>
          <w:jc w:val="center"/>
        </w:trPr>
        <w:tc>
          <w:tcPr>
            <w:tcW w:w="5382" w:type="dxa"/>
            <w:noWrap/>
            <w:hideMark/>
          </w:tcPr>
          <w:p w14:paraId="6303664A"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Taxi driver</w:t>
            </w:r>
          </w:p>
        </w:tc>
        <w:tc>
          <w:tcPr>
            <w:tcW w:w="960" w:type="dxa"/>
            <w:hideMark/>
          </w:tcPr>
          <w:p w14:paraId="14782098"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11.81</w:t>
            </w:r>
          </w:p>
        </w:tc>
      </w:tr>
      <w:tr w:rsidR="00575A3E" w:rsidRPr="00575A3E" w14:paraId="5D63F584" w14:textId="77777777" w:rsidTr="00FD4587">
        <w:trPr>
          <w:gridAfter w:val="1"/>
          <w:wAfter w:w="15" w:type="dxa"/>
          <w:trHeight w:val="315"/>
          <w:jc w:val="center"/>
        </w:trPr>
        <w:tc>
          <w:tcPr>
            <w:tcW w:w="5382" w:type="dxa"/>
            <w:noWrap/>
            <w:hideMark/>
          </w:tcPr>
          <w:p w14:paraId="5C7417B5"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Taxi / Minicab passenger</w:t>
            </w:r>
          </w:p>
        </w:tc>
        <w:tc>
          <w:tcPr>
            <w:tcW w:w="960" w:type="dxa"/>
            <w:hideMark/>
          </w:tcPr>
          <w:p w14:paraId="6CBE58DD"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15.27</w:t>
            </w:r>
          </w:p>
        </w:tc>
      </w:tr>
      <w:tr w:rsidR="00575A3E" w:rsidRPr="00575A3E" w14:paraId="02D6E4B8" w14:textId="77777777" w:rsidTr="00FD4587">
        <w:trPr>
          <w:gridAfter w:val="1"/>
          <w:wAfter w:w="15" w:type="dxa"/>
          <w:trHeight w:val="315"/>
          <w:jc w:val="center"/>
        </w:trPr>
        <w:tc>
          <w:tcPr>
            <w:tcW w:w="5382" w:type="dxa"/>
            <w:noWrap/>
            <w:hideMark/>
          </w:tcPr>
          <w:p w14:paraId="5ECEC40F"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Rail passenger</w:t>
            </w:r>
          </w:p>
        </w:tc>
        <w:tc>
          <w:tcPr>
            <w:tcW w:w="960" w:type="dxa"/>
            <w:hideMark/>
          </w:tcPr>
          <w:p w14:paraId="3D445DFF"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25.19</w:t>
            </w:r>
          </w:p>
        </w:tc>
      </w:tr>
      <w:tr w:rsidR="00575A3E" w:rsidRPr="00575A3E" w14:paraId="248BE065" w14:textId="77777777" w:rsidTr="00FD4587">
        <w:trPr>
          <w:gridAfter w:val="1"/>
          <w:wAfter w:w="15" w:type="dxa"/>
          <w:trHeight w:val="315"/>
          <w:jc w:val="center"/>
        </w:trPr>
        <w:tc>
          <w:tcPr>
            <w:tcW w:w="5382" w:type="dxa"/>
            <w:noWrap/>
            <w:hideMark/>
          </w:tcPr>
          <w:p w14:paraId="09111B99"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Underground passenger</w:t>
            </w:r>
          </w:p>
        </w:tc>
        <w:tc>
          <w:tcPr>
            <w:tcW w:w="960" w:type="dxa"/>
            <w:hideMark/>
          </w:tcPr>
          <w:p w14:paraId="705C6B43"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8.66</w:t>
            </w:r>
          </w:p>
        </w:tc>
      </w:tr>
      <w:tr w:rsidR="00575A3E" w:rsidRPr="00575A3E" w14:paraId="3F12A2BC" w14:textId="77777777" w:rsidTr="00FD4587">
        <w:trPr>
          <w:gridAfter w:val="1"/>
          <w:wAfter w:w="15" w:type="dxa"/>
          <w:trHeight w:val="315"/>
          <w:jc w:val="center"/>
        </w:trPr>
        <w:tc>
          <w:tcPr>
            <w:tcW w:w="5382" w:type="dxa"/>
            <w:noWrap/>
            <w:hideMark/>
          </w:tcPr>
          <w:p w14:paraId="252C3F03"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 xml:space="preserve">Walker </w:t>
            </w:r>
          </w:p>
        </w:tc>
        <w:tc>
          <w:tcPr>
            <w:tcW w:w="960" w:type="dxa"/>
            <w:hideMark/>
          </w:tcPr>
          <w:p w14:paraId="2D7A1209"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8.66</w:t>
            </w:r>
          </w:p>
        </w:tc>
      </w:tr>
      <w:tr w:rsidR="00575A3E" w:rsidRPr="00575A3E" w14:paraId="5A6E85C6" w14:textId="77777777" w:rsidTr="00FD4587">
        <w:trPr>
          <w:gridAfter w:val="1"/>
          <w:wAfter w:w="15" w:type="dxa"/>
          <w:trHeight w:val="315"/>
          <w:jc w:val="center"/>
        </w:trPr>
        <w:tc>
          <w:tcPr>
            <w:tcW w:w="5382" w:type="dxa"/>
            <w:noWrap/>
            <w:hideMark/>
          </w:tcPr>
          <w:p w14:paraId="48F9DA5E"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Cyclist</w:t>
            </w:r>
          </w:p>
        </w:tc>
        <w:tc>
          <w:tcPr>
            <w:tcW w:w="960" w:type="dxa"/>
            <w:hideMark/>
          </w:tcPr>
          <w:p w14:paraId="343B1A59"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8.66</w:t>
            </w:r>
          </w:p>
        </w:tc>
      </w:tr>
      <w:tr w:rsidR="00575A3E" w:rsidRPr="00575A3E" w14:paraId="6152099C" w14:textId="77777777" w:rsidTr="00FD4587">
        <w:trPr>
          <w:gridAfter w:val="1"/>
          <w:wAfter w:w="15" w:type="dxa"/>
          <w:trHeight w:val="315"/>
          <w:jc w:val="center"/>
        </w:trPr>
        <w:tc>
          <w:tcPr>
            <w:tcW w:w="5382" w:type="dxa"/>
            <w:noWrap/>
            <w:hideMark/>
          </w:tcPr>
          <w:p w14:paraId="5D0ED4AB"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Motorcyclist</w:t>
            </w:r>
          </w:p>
        </w:tc>
        <w:tc>
          <w:tcPr>
            <w:tcW w:w="960" w:type="dxa"/>
            <w:hideMark/>
          </w:tcPr>
          <w:p w14:paraId="1D0198DD"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15.27</w:t>
            </w:r>
          </w:p>
        </w:tc>
      </w:tr>
      <w:tr w:rsidR="00575A3E" w:rsidRPr="00575A3E" w14:paraId="7D882400" w14:textId="77777777" w:rsidTr="00FD4587">
        <w:trPr>
          <w:gridAfter w:val="1"/>
          <w:wAfter w:w="15" w:type="dxa"/>
          <w:trHeight w:val="315"/>
          <w:jc w:val="center"/>
        </w:trPr>
        <w:tc>
          <w:tcPr>
            <w:tcW w:w="5382" w:type="dxa"/>
            <w:noWrap/>
            <w:hideMark/>
          </w:tcPr>
          <w:p w14:paraId="23478FC6"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Average of all working persons</w:t>
            </w:r>
          </w:p>
        </w:tc>
        <w:tc>
          <w:tcPr>
            <w:tcW w:w="960" w:type="dxa"/>
            <w:hideMark/>
          </w:tcPr>
          <w:p w14:paraId="0B635A34"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16.64</w:t>
            </w:r>
          </w:p>
        </w:tc>
      </w:tr>
      <w:tr w:rsidR="00575A3E" w:rsidRPr="00575A3E" w14:paraId="4A37ACCB" w14:textId="77777777" w:rsidTr="00FD4587">
        <w:trPr>
          <w:trHeight w:val="315"/>
          <w:jc w:val="center"/>
        </w:trPr>
        <w:tc>
          <w:tcPr>
            <w:tcW w:w="6357" w:type="dxa"/>
            <w:gridSpan w:val="3"/>
            <w:noWrap/>
            <w:hideMark/>
          </w:tcPr>
          <w:p w14:paraId="6ADA0D28" w14:textId="77777777" w:rsidR="00DC760D" w:rsidRPr="00575A3E" w:rsidRDefault="00DC760D" w:rsidP="00DC760D">
            <w:pPr>
              <w:widowControl/>
              <w:suppressAutoHyphens w:val="0"/>
              <w:jc w:val="left"/>
              <w:rPr>
                <w:rFonts w:eastAsia="Times New Roman"/>
                <w:b/>
                <w:bCs/>
                <w:kern w:val="0"/>
                <w:szCs w:val="22"/>
                <w:lang w:val="en-GB" w:eastAsia="en-GB"/>
              </w:rPr>
            </w:pPr>
            <w:r w:rsidRPr="00575A3E">
              <w:rPr>
                <w:rFonts w:eastAsia="Times New Roman"/>
                <w:b/>
                <w:bCs/>
                <w:kern w:val="0"/>
                <w:szCs w:val="22"/>
                <w:lang w:val="en-GB" w:eastAsia="en-GB"/>
              </w:rPr>
              <w:t xml:space="preserve">Values of Non-Working Time by Trip Purpose </w:t>
            </w:r>
          </w:p>
        </w:tc>
      </w:tr>
      <w:tr w:rsidR="00575A3E" w:rsidRPr="00575A3E" w14:paraId="1D835E90" w14:textId="77777777" w:rsidTr="00FD4587">
        <w:trPr>
          <w:gridAfter w:val="1"/>
          <w:wAfter w:w="15" w:type="dxa"/>
          <w:trHeight w:val="315"/>
          <w:jc w:val="center"/>
        </w:trPr>
        <w:tc>
          <w:tcPr>
            <w:tcW w:w="5382" w:type="dxa"/>
            <w:noWrap/>
            <w:hideMark/>
          </w:tcPr>
          <w:p w14:paraId="54ECCBED" w14:textId="77777777" w:rsidR="00DC760D" w:rsidRPr="00575A3E" w:rsidRDefault="00DC760D" w:rsidP="00DC760D">
            <w:pPr>
              <w:widowControl/>
              <w:suppressAutoHyphens w:val="0"/>
              <w:jc w:val="left"/>
              <w:rPr>
                <w:rFonts w:eastAsia="Times New Roman"/>
                <w:b/>
                <w:bCs/>
                <w:kern w:val="0"/>
                <w:szCs w:val="22"/>
                <w:lang w:val="en-GB" w:eastAsia="en-GB"/>
              </w:rPr>
            </w:pPr>
            <w:r w:rsidRPr="00575A3E">
              <w:rPr>
                <w:rFonts w:eastAsia="Times New Roman"/>
                <w:b/>
                <w:bCs/>
                <w:kern w:val="0"/>
                <w:szCs w:val="22"/>
                <w:lang w:val="en-GB" w:eastAsia="en-GB"/>
              </w:rPr>
              <w:t>Trip Purpose</w:t>
            </w:r>
          </w:p>
        </w:tc>
        <w:tc>
          <w:tcPr>
            <w:tcW w:w="960" w:type="dxa"/>
            <w:hideMark/>
          </w:tcPr>
          <w:p w14:paraId="1B581752" w14:textId="77777777" w:rsidR="00DC760D" w:rsidRPr="00575A3E" w:rsidRDefault="00DC760D" w:rsidP="00DC760D">
            <w:pPr>
              <w:widowControl/>
              <w:suppressAutoHyphens w:val="0"/>
              <w:jc w:val="center"/>
              <w:rPr>
                <w:rFonts w:eastAsia="Times New Roman"/>
                <w:b/>
                <w:bCs/>
                <w:kern w:val="0"/>
                <w:szCs w:val="22"/>
                <w:lang w:val="en-GB" w:eastAsia="en-GB"/>
              </w:rPr>
            </w:pPr>
            <w:r w:rsidRPr="00575A3E">
              <w:rPr>
                <w:rFonts w:eastAsia="Times New Roman"/>
                <w:b/>
                <w:bCs/>
                <w:kern w:val="0"/>
                <w:szCs w:val="22"/>
                <w:lang w:val="en-GB" w:eastAsia="en-GB"/>
              </w:rPr>
              <w:t>Cost</w:t>
            </w:r>
          </w:p>
        </w:tc>
      </w:tr>
      <w:tr w:rsidR="00575A3E" w:rsidRPr="00575A3E" w14:paraId="0BC965F7" w14:textId="77777777" w:rsidTr="00FD4587">
        <w:trPr>
          <w:gridAfter w:val="1"/>
          <w:wAfter w:w="15" w:type="dxa"/>
          <w:trHeight w:val="615"/>
          <w:jc w:val="center"/>
        </w:trPr>
        <w:tc>
          <w:tcPr>
            <w:tcW w:w="5382" w:type="dxa"/>
            <w:hideMark/>
          </w:tcPr>
          <w:p w14:paraId="53CF6F83"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Commuting</w:t>
            </w:r>
          </w:p>
        </w:tc>
        <w:tc>
          <w:tcPr>
            <w:tcW w:w="960" w:type="dxa"/>
            <w:hideMark/>
          </w:tcPr>
          <w:p w14:paraId="57F5CD14"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8.59</w:t>
            </w:r>
          </w:p>
        </w:tc>
      </w:tr>
      <w:tr w:rsidR="00FD4587" w:rsidRPr="00575A3E" w14:paraId="3380F3DD" w14:textId="77777777" w:rsidTr="00FD4587">
        <w:trPr>
          <w:gridAfter w:val="1"/>
          <w:wAfter w:w="15" w:type="dxa"/>
          <w:trHeight w:val="315"/>
          <w:jc w:val="center"/>
        </w:trPr>
        <w:tc>
          <w:tcPr>
            <w:tcW w:w="5382" w:type="dxa"/>
            <w:hideMark/>
          </w:tcPr>
          <w:p w14:paraId="48596535" w14:textId="77777777" w:rsidR="00DC760D" w:rsidRPr="00575A3E" w:rsidRDefault="00DC760D" w:rsidP="00DC760D">
            <w:pPr>
              <w:widowControl/>
              <w:suppressAutoHyphens w:val="0"/>
              <w:jc w:val="left"/>
              <w:rPr>
                <w:rFonts w:eastAsia="Times New Roman"/>
                <w:kern w:val="0"/>
                <w:szCs w:val="22"/>
                <w:lang w:val="en-GB" w:eastAsia="en-GB"/>
              </w:rPr>
            </w:pPr>
            <w:r w:rsidRPr="00575A3E">
              <w:rPr>
                <w:rFonts w:eastAsia="Times New Roman"/>
                <w:kern w:val="0"/>
                <w:szCs w:val="22"/>
                <w:lang w:val="en-GB" w:eastAsia="en-GB"/>
              </w:rPr>
              <w:t>Other</w:t>
            </w:r>
          </w:p>
        </w:tc>
        <w:tc>
          <w:tcPr>
            <w:tcW w:w="960" w:type="dxa"/>
            <w:hideMark/>
          </w:tcPr>
          <w:p w14:paraId="288C901A" w14:textId="77777777" w:rsidR="00DC760D" w:rsidRPr="00575A3E" w:rsidRDefault="00DC760D" w:rsidP="00DC760D">
            <w:pPr>
              <w:widowControl/>
              <w:suppressAutoHyphens w:val="0"/>
              <w:jc w:val="center"/>
              <w:rPr>
                <w:rFonts w:eastAsia="Times New Roman"/>
                <w:kern w:val="0"/>
                <w:szCs w:val="22"/>
                <w:lang w:val="en-GB" w:eastAsia="en-GB"/>
              </w:rPr>
            </w:pPr>
            <w:r w:rsidRPr="00575A3E">
              <w:rPr>
                <w:rFonts w:eastAsia="Times New Roman"/>
                <w:kern w:val="0"/>
                <w:szCs w:val="22"/>
                <w:lang w:val="en-GB" w:eastAsia="en-GB"/>
              </w:rPr>
              <w:t>3.92</w:t>
            </w:r>
          </w:p>
        </w:tc>
      </w:tr>
    </w:tbl>
    <w:p w14:paraId="244B3BCD" w14:textId="77777777" w:rsidR="00DE2856" w:rsidRPr="00575A3E" w:rsidRDefault="00DE2856" w:rsidP="00936A6E">
      <w:pPr>
        <w:spacing w:line="360" w:lineRule="auto"/>
      </w:pPr>
    </w:p>
    <w:p w14:paraId="7005E3B4" w14:textId="3E719FE9" w:rsidR="00936A6E" w:rsidRPr="00575A3E" w:rsidRDefault="00F13E49" w:rsidP="00936A6E">
      <w:pPr>
        <w:spacing w:line="360" w:lineRule="auto"/>
      </w:pPr>
      <w:r w:rsidRPr="00575A3E">
        <w:lastRenderedPageBreak/>
        <w:t xml:space="preserve">Regarding </w:t>
      </w:r>
      <w:r w:rsidR="00E60E9F" w:rsidRPr="00575A3E">
        <w:t>v</w:t>
      </w:r>
      <w:r w:rsidRPr="00575A3E">
        <w:t>ehicle operation costs</w:t>
      </w:r>
      <w:r w:rsidR="00E60E9F" w:rsidRPr="00575A3E">
        <w:t>,</w:t>
      </w:r>
      <w:r w:rsidRPr="00575A3E">
        <w:t xml:space="preserve"> </w:t>
      </w:r>
      <w:r w:rsidR="00936A6E" w:rsidRPr="00575A3E">
        <w:t xml:space="preserve">initially fuel consumption should be calculated and the formula of fuel consumption </w:t>
      </w:r>
      <w:r w:rsidRPr="00575A3E">
        <w:t>which depends on average</w:t>
      </w:r>
      <w:r w:rsidR="00936A6E" w:rsidRPr="00575A3E">
        <w:t xml:space="preserve"> speed in km/hr</w:t>
      </w:r>
      <w:r w:rsidRPr="00575A3E">
        <w:t xml:space="preserve"> as well as </w:t>
      </w:r>
      <w:r w:rsidR="00936A6E" w:rsidRPr="00575A3E">
        <w:t>parameters defined by each vehicle category and purpose</w:t>
      </w:r>
      <w:r w:rsidRPr="00575A3E">
        <w:t xml:space="preserve"> and also </w:t>
      </w:r>
      <w:r w:rsidR="00936A6E" w:rsidRPr="00575A3E">
        <w:t xml:space="preserve">non-fuel costs, which are relevant to tyres, maintenance, vehicle capital saving etc. The formula for non-fuel costs </w:t>
      </w:r>
      <w:r w:rsidRPr="00575A3E">
        <w:t>depends on</w:t>
      </w:r>
      <w:r w:rsidR="00936A6E" w:rsidRPr="00575A3E">
        <w:t xml:space="preserve"> the average speed in km/hr</w:t>
      </w:r>
      <w:r w:rsidRPr="00575A3E">
        <w:t xml:space="preserve"> and </w:t>
      </w:r>
      <w:r w:rsidR="00936A6E" w:rsidRPr="00575A3E">
        <w:t>a parameter for distance related costs defined by vehicle category and purpose</w:t>
      </w:r>
      <w:r w:rsidRPr="00575A3E">
        <w:rPr>
          <w:rFonts w:ascii="Cambria Math" w:hAnsi="Cambria Math"/>
        </w:rPr>
        <w:t xml:space="preserve"> </w:t>
      </w:r>
      <w:r w:rsidR="00E60E9F" w:rsidRPr="00575A3E">
        <w:rPr>
          <w:rFonts w:ascii="Cambria Math" w:hAnsi="Cambria Math"/>
        </w:rPr>
        <w:t xml:space="preserve">and </w:t>
      </w:r>
      <w:r w:rsidRPr="00575A3E">
        <w:rPr>
          <w:rFonts w:ascii="Cambria Math" w:hAnsi="Cambria Math"/>
        </w:rPr>
        <w:t>also</w:t>
      </w:r>
      <w:r w:rsidR="00936A6E" w:rsidRPr="00575A3E">
        <w:t xml:space="preserve"> a parameter for vehicle capital saving defined by vehicle category purpose</w:t>
      </w:r>
      <w:r w:rsidRPr="00575A3E">
        <w:t xml:space="preserve">. </w:t>
      </w:r>
      <w:r w:rsidR="00936A6E" w:rsidRPr="00575A3E">
        <w:t xml:space="preserve">Both the fuel and the non-fuel costs were converted to 2011 prices, using the GDP deflator, as 2011 is the base year of the model. </w:t>
      </w:r>
    </w:p>
    <w:p w14:paraId="386C787E" w14:textId="77777777" w:rsidR="007563F1" w:rsidRPr="00575A3E" w:rsidRDefault="007563F1" w:rsidP="005033DC">
      <w:pPr>
        <w:spacing w:line="360" w:lineRule="auto"/>
        <w:rPr>
          <w:szCs w:val="22"/>
        </w:rPr>
      </w:pPr>
    </w:p>
    <w:p w14:paraId="458D9DBF" w14:textId="002577AB" w:rsidR="007B02C0" w:rsidRPr="00575A3E" w:rsidRDefault="002C37D7" w:rsidP="005033DC">
      <w:pPr>
        <w:spacing w:line="360" w:lineRule="auto"/>
        <w:rPr>
          <w:szCs w:val="22"/>
          <w:lang w:val="en-GB"/>
        </w:rPr>
      </w:pPr>
      <w:r w:rsidRPr="00575A3E">
        <w:rPr>
          <w:szCs w:val="22"/>
          <w:lang w:val="en-GB"/>
        </w:rPr>
        <w:t>T</w:t>
      </w:r>
      <w:r w:rsidR="00F479EF" w:rsidRPr="00575A3E">
        <w:rPr>
          <w:szCs w:val="22"/>
          <w:lang w:val="en-GB"/>
        </w:rPr>
        <w:t xml:space="preserve">o </w:t>
      </w:r>
      <w:r w:rsidR="00771894" w:rsidRPr="00575A3E">
        <w:rPr>
          <w:szCs w:val="22"/>
          <w:lang w:val="en-GB"/>
        </w:rPr>
        <w:t xml:space="preserve">express </w:t>
      </w:r>
      <w:r w:rsidR="00F479EF" w:rsidRPr="00575A3E">
        <w:rPr>
          <w:szCs w:val="22"/>
          <w:lang w:val="en-GB"/>
        </w:rPr>
        <w:t>the journey time in monetary values</w:t>
      </w:r>
      <w:r w:rsidR="00185C7C" w:rsidRPr="00575A3E">
        <w:rPr>
          <w:szCs w:val="22"/>
          <w:lang w:val="en-GB"/>
        </w:rPr>
        <w:t xml:space="preserve"> for the generalised cost</w:t>
      </w:r>
      <w:r w:rsidR="00F479EF" w:rsidRPr="00575A3E">
        <w:rPr>
          <w:szCs w:val="22"/>
          <w:lang w:val="en-GB"/>
        </w:rPr>
        <w:t xml:space="preserve"> for all trip purposes and for each zone pair</w:t>
      </w:r>
      <w:r w:rsidR="00771894" w:rsidRPr="00575A3E">
        <w:rPr>
          <w:szCs w:val="22"/>
          <w:lang w:val="en-GB"/>
        </w:rPr>
        <w:t>,</w:t>
      </w:r>
      <w:r w:rsidR="00185C7C" w:rsidRPr="00575A3E">
        <w:rPr>
          <w:szCs w:val="22"/>
          <w:lang w:val="en-GB"/>
        </w:rPr>
        <w:t xml:space="preserve"> the value of time </w:t>
      </w:r>
      <w:r w:rsidR="00F31BFE" w:rsidRPr="00575A3E">
        <w:rPr>
          <w:szCs w:val="22"/>
          <w:lang w:val="en-GB"/>
        </w:rPr>
        <w:t>is</w:t>
      </w:r>
      <w:r w:rsidR="00185C7C" w:rsidRPr="00575A3E">
        <w:rPr>
          <w:szCs w:val="22"/>
          <w:lang w:val="en-GB"/>
        </w:rPr>
        <w:t xml:space="preserve"> multiplied </w:t>
      </w:r>
      <w:r w:rsidR="007B02C0" w:rsidRPr="00575A3E">
        <w:rPr>
          <w:szCs w:val="22"/>
          <w:lang w:val="en-GB"/>
        </w:rPr>
        <w:t xml:space="preserve">by </w:t>
      </w:r>
      <w:r w:rsidR="00185C7C" w:rsidRPr="00575A3E">
        <w:rPr>
          <w:szCs w:val="22"/>
          <w:lang w:val="en-GB"/>
        </w:rPr>
        <w:t>the journey time</w:t>
      </w:r>
      <w:r w:rsidR="00F479EF" w:rsidRPr="00575A3E">
        <w:rPr>
          <w:szCs w:val="22"/>
          <w:lang w:val="en-GB"/>
        </w:rPr>
        <w:t xml:space="preserve">. </w:t>
      </w:r>
      <w:r w:rsidR="00185C7C" w:rsidRPr="00575A3E">
        <w:rPr>
          <w:szCs w:val="22"/>
          <w:lang w:val="en-GB"/>
        </w:rPr>
        <w:t xml:space="preserve">The literature </w:t>
      </w:r>
      <w:r w:rsidR="00771894" w:rsidRPr="00575A3E">
        <w:rPr>
          <w:szCs w:val="22"/>
          <w:lang w:val="en-GB"/>
        </w:rPr>
        <w:t xml:space="preserve">suggests </w:t>
      </w:r>
      <w:r w:rsidR="00185C7C" w:rsidRPr="00575A3E">
        <w:rPr>
          <w:szCs w:val="22"/>
          <w:lang w:val="en-GB"/>
        </w:rPr>
        <w:t xml:space="preserve">that </w:t>
      </w:r>
      <w:r w:rsidR="007B02C0" w:rsidRPr="00575A3E">
        <w:rPr>
          <w:szCs w:val="22"/>
          <w:lang w:val="en-GB"/>
        </w:rPr>
        <w:t xml:space="preserve">the </w:t>
      </w:r>
      <w:r w:rsidR="00F479EF" w:rsidRPr="00575A3E">
        <w:rPr>
          <w:szCs w:val="22"/>
          <w:lang w:val="en-GB"/>
        </w:rPr>
        <w:t xml:space="preserve">value of time </w:t>
      </w:r>
      <w:r w:rsidR="00CE7A69" w:rsidRPr="00575A3E">
        <w:rPr>
          <w:szCs w:val="22"/>
          <w:lang w:val="en-GB"/>
        </w:rPr>
        <w:t>reduce</w:t>
      </w:r>
      <w:r w:rsidR="007B02C0" w:rsidRPr="00575A3E">
        <w:rPr>
          <w:szCs w:val="22"/>
          <w:lang w:val="en-GB"/>
        </w:rPr>
        <w:t>s</w:t>
      </w:r>
      <w:r w:rsidR="00F479EF" w:rsidRPr="00575A3E">
        <w:rPr>
          <w:szCs w:val="22"/>
          <w:lang w:val="en-GB"/>
        </w:rPr>
        <w:t xml:space="preserve"> with </w:t>
      </w:r>
      <w:r w:rsidRPr="00575A3E">
        <w:rPr>
          <w:szCs w:val="22"/>
          <w:lang w:val="en-GB"/>
        </w:rPr>
        <w:t>a</w:t>
      </w:r>
      <w:r w:rsidR="00F479EF" w:rsidRPr="00575A3E">
        <w:rPr>
          <w:szCs w:val="22"/>
          <w:lang w:val="en-GB"/>
        </w:rPr>
        <w:t>utom</w:t>
      </w:r>
      <w:r w:rsidR="00185C7C" w:rsidRPr="00575A3E">
        <w:rPr>
          <w:szCs w:val="22"/>
          <w:lang w:val="en-GB"/>
        </w:rPr>
        <w:t>ation</w:t>
      </w:r>
      <w:r w:rsidR="00F479EF" w:rsidRPr="00575A3E">
        <w:rPr>
          <w:szCs w:val="22"/>
          <w:lang w:val="en-GB"/>
        </w:rPr>
        <w:t xml:space="preserve"> </w:t>
      </w:r>
      <w:r w:rsidR="00BF33C6" w:rsidRPr="00575A3E">
        <w:rPr>
          <w:szCs w:val="22"/>
          <w:lang w:val="en-GB"/>
        </w:rPr>
        <w:fldChar w:fldCharType="begin" w:fldLock="1"/>
      </w:r>
      <w:r w:rsidR="0002665A" w:rsidRPr="00575A3E">
        <w:rPr>
          <w:szCs w:val="22"/>
          <w:lang w:val="en-GB"/>
        </w:rPr>
        <w:instrText>ADDIN CSL_CITATION {"citationItems":[{"id":"ITEM-1","itemData":{"abstract":"This report explores the impacts that autonomous (also called self-driving, driverless or robotic) vehicles are likely to have on travel demands and transportation planning. It discusses autonomous vehicle benefits and costs, predicts their likely development and implementation based on experience with previous vehicle technologies, and explores how they will affect planning decisions such as optimal road, parking and public transit supply. The analysis indicates that some benefits, such as independent mobility for affluent non-drivers, may begin in the 2020s or 2030s, but most impacts, including reduced traffic and parking congestion (and therefore road and parking facility supply requirements), independent mobility for low-income people (and therefore reduced need to subsidize transit), increased safety, energy conservation and pollution reductions, will only be significant when autonomous vehicles become common and affordable, probably in the 2040s to 2060s, and some benefits may require prohibiting human-driven vehicles on certain roadways, which could take longer.","author":[{"dropping-particle":"","family":"Litman","given":"Todd Alexander","non-dropping-particle":"","parse-names":false,"suffix":""}],"container-title":"Traffic Technology International","id":"ITEM-1","issued":{"date-parts":[["2019"]]},"page":"36-42","title":"Autonomous Vehicle Implementation Predictions Implications for Transport Planning","type":"article-journal"},"uris":["http://www.mendeley.com/documents/?uuid=c1e0a66f-ed46-4c67-930a-7539167d1f1c"]}],"mendeley":{"formattedCitation":"(Litman, 2019)","manualFormatting":"(Litman, 2019)","plainTextFormattedCitation":"(Litman, 2019)","previouslyFormattedCitation":"(Litman, 2019)"},"properties":{"noteIndex":0},"schema":"https://github.com/citation-style-language/schema/raw/master/csl-citation.json"}</w:instrText>
      </w:r>
      <w:r w:rsidR="00BF33C6" w:rsidRPr="00575A3E">
        <w:rPr>
          <w:szCs w:val="22"/>
          <w:lang w:val="en-GB"/>
        </w:rPr>
        <w:fldChar w:fldCharType="separate"/>
      </w:r>
      <w:r w:rsidR="002659CA" w:rsidRPr="00575A3E">
        <w:rPr>
          <w:noProof/>
          <w:szCs w:val="22"/>
          <w:lang w:val="en-GB"/>
        </w:rPr>
        <w:t>(Litman, 2019)</w:t>
      </w:r>
      <w:r w:rsidR="00BF33C6" w:rsidRPr="00575A3E">
        <w:rPr>
          <w:szCs w:val="22"/>
          <w:lang w:val="en-GB"/>
        </w:rPr>
        <w:fldChar w:fldCharType="end"/>
      </w:r>
      <w:r w:rsidR="00CE7A69" w:rsidRPr="00575A3E">
        <w:rPr>
          <w:szCs w:val="22"/>
          <w:lang w:val="en-GB"/>
        </w:rPr>
        <w:t xml:space="preserve">, as the travel time of a journey can be used for different activities </w:t>
      </w:r>
      <w:r w:rsidR="00CE7A69" w:rsidRPr="00575A3E">
        <w:rPr>
          <w:szCs w:val="22"/>
          <w:lang w:val="en-GB"/>
        </w:rPr>
        <w:fldChar w:fldCharType="begin" w:fldLock="1"/>
      </w:r>
      <w:r w:rsidR="00BF7603" w:rsidRPr="00575A3E">
        <w:rPr>
          <w:szCs w:val="22"/>
          <w:lang w:val="en-GB"/>
        </w:rPr>
        <w:instrText>ADDIN CSL_CITATION {"citationItems":[{"id":"ITEM-1","itemData":{"DOI":"10.1016/j.trpro.2018.09.044","ISSN":"23521465","abstract":"In recent years the transportation system, and in particular road vehicles, are becoming increasingly automated and connected. Thus there is the expectation that in the near future there will be fully automated vehicles on roads. Support for road vehicles automation include increased safety, more efficient transport system, as well as increase of the comfort level and enabling users to do other activities while travelling. Especially the last two aspects might potentially change the way people perceive the time spent travelling by car and hence lead to a reduction of the value of time in terms of willingness to pay for saving travel time. Additionally, automation enables new mobility options and access to car use for people who are currently not able or not willing to drive. As a result, mode choice preferences and travel behaviour might change in favour of the individual motorized transport. Understanding these changes is crucial when predicting the impact of automation in the context of developing a sustainable and efficient future transportation system. This study addresses the potential mode choice preference changes once automated driving becomes available. For this purpose, a stated choice experiment for currently available modes of transport and a second experiment on potentially future available alternatives were conducted. Two concepts of automated vehicles are considered - a privately owned vehicle and a vehicle on demand (i.e., a driverless taxi). This paper describes the survey design as well as the methodology used in the study and presents the first results of model estimations using simple multinomial logit for the analysis of the study data. The results suggest a potential reduction in the value of time for automated driving. Solutions for the integration of the results into a microscopic travel demand models as well as further analysis are discussed.","author":[{"dropping-particle":"","family":"Kolarova","given":"Viktoriya","non-dropping-particle":"","parse-names":false,"suffix":""},{"dropping-particle":"","family":"Steck","given":"Felix","non-dropping-particle":"","parse-names":false,"suffix":""},{"dropping-particle":"","family":"Cyganski","given":"Rita","non-dropping-particle":"","parse-names":false,"suffix":""},{"dropping-particle":"","family":"Trommer","given":"Stefan","non-dropping-particle":"","parse-names":false,"suffix":""}],"container-title":"Transportation Research Procedia","id":"ITEM-1","issued":{"date-parts":[["2018"]]},"title":"Estimation of the value of time for automated driving using revealed and stated preference methods","type":"paper-conference"},"uris":["http://www.mendeley.com/documents/?uuid=d238c810-f45b-4f83-966f-ccbb90675cfa"]}],"mendeley":{"formattedCitation":"(Kolarova et al., 2018)","plainTextFormattedCitation":"(Kolarova et al., 2018)","previouslyFormattedCitation":"(Kolarova et al., 2018)"},"properties":{"noteIndex":0},"schema":"https://github.com/citation-style-language/schema/raw/master/csl-citation.json"}</w:instrText>
      </w:r>
      <w:r w:rsidR="00CE7A69" w:rsidRPr="00575A3E">
        <w:rPr>
          <w:szCs w:val="22"/>
          <w:lang w:val="en-GB"/>
        </w:rPr>
        <w:fldChar w:fldCharType="separate"/>
      </w:r>
      <w:r w:rsidR="008119F3" w:rsidRPr="00575A3E">
        <w:rPr>
          <w:noProof/>
          <w:szCs w:val="22"/>
          <w:lang w:val="en-GB"/>
        </w:rPr>
        <w:t>(Kolarova et al., 2018)</w:t>
      </w:r>
      <w:r w:rsidR="00CE7A69" w:rsidRPr="00575A3E">
        <w:rPr>
          <w:szCs w:val="22"/>
          <w:lang w:val="en-GB"/>
        </w:rPr>
        <w:fldChar w:fldCharType="end"/>
      </w:r>
      <w:r w:rsidR="00CE7A69" w:rsidRPr="00575A3E">
        <w:rPr>
          <w:szCs w:val="22"/>
          <w:lang w:val="en-GB"/>
        </w:rPr>
        <w:t xml:space="preserve"> and the burden of driving is removed </w:t>
      </w:r>
      <w:r w:rsidR="00F479EF" w:rsidRPr="00575A3E">
        <w:rPr>
          <w:szCs w:val="22"/>
          <w:lang w:val="en-GB"/>
        </w:rPr>
        <w:t xml:space="preserve"> </w:t>
      </w:r>
      <w:r w:rsidR="00CE7A69" w:rsidRPr="00575A3E">
        <w:rPr>
          <w:szCs w:val="22"/>
          <w:lang w:val="en-GB"/>
        </w:rPr>
        <w:fldChar w:fldCharType="begin" w:fldLock="1"/>
      </w:r>
      <w:r w:rsidR="0002665A" w:rsidRPr="00575A3E">
        <w:rPr>
          <w:szCs w:val="22"/>
          <w:lang w:val="en-GB"/>
        </w:rPr>
        <w:instrText>ADDIN CSL_CITATION {"citationItems":[{"id":"ITEM-1","itemData":{"author":[{"dropping-particle":"","family":"Becker","given":"","non-dropping-particle":"","parse-names":false,"suffix":""},{"dropping-particle":"","family":"Axhausen","given":"Kay W.","non-dropping-particle":"","parse-names":false,"suffix":""}],"id":"ITEM-1","issued":{"date-parts":[["2018"]]},"publisher-place":"Santa Barbara, CA","title":"Predicting the use of automated vehicles for Zurich, Switzerland","type":"article"},"uris":["http://www.mendeley.com/documents/?uuid=d8774b58-e982-4d3e-a033-7f9254968353"]}],"mendeley":{"formattedCitation":"(Becker and Axhausen, 2018)","manualFormatting":"(Becker &amp; Axhausen, 2018)","plainTextFormattedCitation":"(Becker and Axhausen, 2018)","previouslyFormattedCitation":"(Becker and Axhausen, 2018)"},"properties":{"noteIndex":0},"schema":"https://github.com/citation-style-language/schema/raw/master/csl-citation.json"}</w:instrText>
      </w:r>
      <w:r w:rsidR="00CE7A69" w:rsidRPr="00575A3E">
        <w:rPr>
          <w:szCs w:val="22"/>
          <w:lang w:val="en-GB"/>
        </w:rPr>
        <w:fldChar w:fldCharType="separate"/>
      </w:r>
      <w:r w:rsidR="00C41D0C" w:rsidRPr="00575A3E">
        <w:rPr>
          <w:noProof/>
          <w:szCs w:val="22"/>
          <w:lang w:val="en-GB"/>
        </w:rPr>
        <w:t xml:space="preserve">(Becker </w:t>
      </w:r>
      <w:r w:rsidR="00B50E47" w:rsidRPr="00575A3E">
        <w:rPr>
          <w:noProof/>
          <w:szCs w:val="22"/>
          <w:lang w:val="en-GB"/>
        </w:rPr>
        <w:t>&amp;</w:t>
      </w:r>
      <w:r w:rsidR="00C41D0C" w:rsidRPr="00575A3E">
        <w:rPr>
          <w:noProof/>
          <w:szCs w:val="22"/>
          <w:lang w:val="en-GB"/>
        </w:rPr>
        <w:t xml:space="preserve"> Axhausen, 2018)</w:t>
      </w:r>
      <w:r w:rsidR="00CE7A69" w:rsidRPr="00575A3E">
        <w:rPr>
          <w:szCs w:val="22"/>
          <w:lang w:val="en-GB"/>
        </w:rPr>
        <w:fldChar w:fldCharType="end"/>
      </w:r>
      <w:r w:rsidR="00CE7A69" w:rsidRPr="00575A3E">
        <w:rPr>
          <w:szCs w:val="22"/>
          <w:lang w:val="en-GB"/>
        </w:rPr>
        <w:t>. T</w:t>
      </w:r>
      <w:r w:rsidR="00F479EF" w:rsidRPr="00575A3E">
        <w:rPr>
          <w:szCs w:val="22"/>
          <w:lang w:val="en-GB"/>
        </w:rPr>
        <w:t xml:space="preserve">o incorporate </w:t>
      </w:r>
      <w:r w:rsidR="008429AE" w:rsidRPr="00575A3E">
        <w:rPr>
          <w:szCs w:val="22"/>
          <w:lang w:val="en-GB"/>
        </w:rPr>
        <w:t>this,</w:t>
      </w:r>
      <w:r w:rsidR="00F479EF" w:rsidRPr="00575A3E">
        <w:rPr>
          <w:szCs w:val="22"/>
          <w:lang w:val="en-GB"/>
        </w:rPr>
        <w:t xml:space="preserve"> it </w:t>
      </w:r>
      <w:r w:rsidR="00771894" w:rsidRPr="00575A3E">
        <w:rPr>
          <w:szCs w:val="22"/>
          <w:lang w:val="en-GB"/>
        </w:rPr>
        <w:t>i</w:t>
      </w:r>
      <w:r w:rsidR="00F479EF" w:rsidRPr="00575A3E">
        <w:rPr>
          <w:szCs w:val="22"/>
          <w:lang w:val="en-GB"/>
        </w:rPr>
        <w:t xml:space="preserve">s assumed that </w:t>
      </w:r>
      <w:r w:rsidR="00185C7C" w:rsidRPr="00575A3E">
        <w:rPr>
          <w:szCs w:val="22"/>
          <w:lang w:val="en-GB"/>
        </w:rPr>
        <w:t xml:space="preserve">the value of time of Level 2 and Level 3 </w:t>
      </w:r>
      <w:r w:rsidR="00771894" w:rsidRPr="00575A3E">
        <w:rPr>
          <w:szCs w:val="22"/>
          <w:lang w:val="en-GB"/>
        </w:rPr>
        <w:t xml:space="preserve">CAVs </w:t>
      </w:r>
      <w:r w:rsidR="00185C7C" w:rsidRPr="00575A3E">
        <w:rPr>
          <w:szCs w:val="22"/>
          <w:lang w:val="en-GB"/>
        </w:rPr>
        <w:t xml:space="preserve">is 5% lower than </w:t>
      </w:r>
      <w:r w:rsidR="00771894" w:rsidRPr="00575A3E">
        <w:rPr>
          <w:szCs w:val="22"/>
          <w:lang w:val="en-GB"/>
        </w:rPr>
        <w:t xml:space="preserve">that of </w:t>
      </w:r>
      <w:r w:rsidR="00185C7C" w:rsidRPr="00575A3E">
        <w:rPr>
          <w:szCs w:val="22"/>
          <w:lang w:val="en-GB"/>
        </w:rPr>
        <w:t xml:space="preserve">conventional vehicles as a result of </w:t>
      </w:r>
      <w:r w:rsidR="00771894" w:rsidRPr="00575A3E">
        <w:rPr>
          <w:szCs w:val="22"/>
          <w:lang w:val="en-GB"/>
        </w:rPr>
        <w:t xml:space="preserve">being able to spend </w:t>
      </w:r>
      <w:r w:rsidR="00185C7C" w:rsidRPr="00575A3E">
        <w:rPr>
          <w:szCs w:val="22"/>
          <w:lang w:val="en-GB"/>
        </w:rPr>
        <w:t>part of the travel time</w:t>
      </w:r>
      <w:r w:rsidR="00771894" w:rsidRPr="00575A3E">
        <w:rPr>
          <w:szCs w:val="22"/>
          <w:lang w:val="en-GB"/>
        </w:rPr>
        <w:t xml:space="preserve"> </w:t>
      </w:r>
      <w:r w:rsidR="007B02C0" w:rsidRPr="00575A3E">
        <w:rPr>
          <w:szCs w:val="22"/>
          <w:lang w:val="en-GB"/>
        </w:rPr>
        <w:t xml:space="preserve">more </w:t>
      </w:r>
      <w:r w:rsidR="00771894" w:rsidRPr="00575A3E">
        <w:rPr>
          <w:szCs w:val="22"/>
          <w:lang w:val="en-GB"/>
        </w:rPr>
        <w:t>productively</w:t>
      </w:r>
      <w:r w:rsidR="00185C7C" w:rsidRPr="00575A3E">
        <w:rPr>
          <w:szCs w:val="22"/>
          <w:lang w:val="en-GB"/>
        </w:rPr>
        <w:t>. Moreover, the value of time of CAVs of the two higher levels of automation, namely Level</w:t>
      </w:r>
      <w:r w:rsidR="00771894" w:rsidRPr="00575A3E">
        <w:rPr>
          <w:szCs w:val="22"/>
          <w:lang w:val="en-GB"/>
        </w:rPr>
        <w:t>s</w:t>
      </w:r>
      <w:r w:rsidR="00185C7C" w:rsidRPr="00575A3E">
        <w:rPr>
          <w:szCs w:val="22"/>
          <w:lang w:val="en-GB"/>
        </w:rPr>
        <w:t xml:space="preserve"> 4 and 5, is assumed to be 50% </w:t>
      </w:r>
      <w:r w:rsidR="00606E8D" w:rsidRPr="00575A3E">
        <w:rPr>
          <w:szCs w:val="22"/>
          <w:lang w:val="en-GB"/>
        </w:rPr>
        <w:t xml:space="preserve">less </w:t>
      </w:r>
      <w:r w:rsidR="00185C7C" w:rsidRPr="00575A3E">
        <w:rPr>
          <w:szCs w:val="22"/>
          <w:lang w:val="en-GB"/>
        </w:rPr>
        <w:t xml:space="preserve">than for conventional </w:t>
      </w:r>
      <w:r w:rsidR="000D046D" w:rsidRPr="00575A3E">
        <w:rPr>
          <w:szCs w:val="22"/>
          <w:lang w:val="en-GB"/>
        </w:rPr>
        <w:t xml:space="preserve">cars </w:t>
      </w:r>
      <w:r w:rsidR="00185C7C" w:rsidRPr="00575A3E">
        <w:rPr>
          <w:szCs w:val="22"/>
          <w:lang w:val="en-GB"/>
        </w:rPr>
        <w:t>for work trips and 80%</w:t>
      </w:r>
      <w:r w:rsidR="00606E8D" w:rsidRPr="00575A3E">
        <w:rPr>
          <w:szCs w:val="22"/>
          <w:lang w:val="en-GB"/>
        </w:rPr>
        <w:t xml:space="preserve"> less</w:t>
      </w:r>
      <w:r w:rsidR="00185C7C" w:rsidRPr="00575A3E">
        <w:rPr>
          <w:szCs w:val="22"/>
          <w:lang w:val="en-GB"/>
        </w:rPr>
        <w:t xml:space="preserve"> for non-work trips</w:t>
      </w:r>
      <w:r w:rsidR="004B2E97" w:rsidRPr="00575A3E">
        <w:rPr>
          <w:szCs w:val="22"/>
          <w:lang w:val="en-GB"/>
        </w:rPr>
        <w:t xml:space="preserve"> </w:t>
      </w:r>
      <w:r w:rsidR="004B2E97" w:rsidRPr="00575A3E">
        <w:rPr>
          <w:szCs w:val="22"/>
          <w:lang w:val="en-GB"/>
        </w:rPr>
        <w:fldChar w:fldCharType="begin" w:fldLock="1"/>
      </w:r>
      <w:r w:rsidR="00BF7603" w:rsidRPr="00575A3E">
        <w:rPr>
          <w:szCs w:val="22"/>
          <w:lang w:val="en-GB"/>
        </w:rPr>
        <w:instrText>ADDIN CSL_CITATION {"citationItems":[{"id":"ITEM-1","itemData":{"DOI":"10.1080/15472450.2017.1291351","ISSN":"15472442","abstract":"In this paper, the potential effects of automated driving that are relevant to policy and society are explored, findings discussed in literature about those effects are reviewed and areas for future research are identified. The structure of our review is based on the ripple effect concept, which represents the implications of automated vehicles at three different stages: first-order (traffic, travel cost, and travel choices), second-order (vehicle ownership and sharing, location choices and land use, and transport infrastructure), and third-order (energy consumption, air pollution, safety, social equity, economy, and public health). Our review shows that first-order impacts on road capacity, fuel efficiency, emissions, and accidents risk are expected to be beneficial. The magnitude of these benefits will likely increase with the level of automation and cooperation and with the penetration rate of these systems. The synergistic effects between vehicle automation, sharing, and electrification can multiply these benefits. However, studies confirm that automated vehicles can induce additional travel demand because of more and longer vehicle trips. Potential land use changes have not been included in these estimations about excessive travel demand. Other third-order benefits on safety, economy, public health and social equity still remain unclear. Therefore, the balance between the short-term benefits and long-term impacts of vehicle automation remains an open question.","author":[{"dropping-particle":"","family":"Milakis","given":"Dimitris","non-dropping-particle":"","parse-names":false,"suffix":""},{"dropping-particle":"","family":"Arem","given":"Bart","non-dropping-particle":"Van","parse-names":false,"suffix":""},{"dropping-particle":"","family":"Wee","given":"Bert","non-dropping-particle":"Van","parse-names":false,"suffix":""}],"container-title":"Journal of Intelligent Transportation Systems: Technology, Planning, and Operations","id":"ITEM-1","issued":{"date-parts":[["2017"]]},"title":"Policy and society related implications of automated driving: A review of literature and directions for future research","type":"article-journal"},"uris":["http://www.mendeley.com/documents/?uuid=54bd97d6-59f1-4b12-8ba1-72777d845f54"]}],"mendeley":{"formattedCitation":"(Milakis et al., 2017)","plainTextFormattedCitation":"(Milakis et al., 2017)","previouslyFormattedCitation":"(Milakis et al., 2017)"},"properties":{"noteIndex":0},"schema":"https://github.com/citation-style-language/schema/raw/master/csl-citation.json"}</w:instrText>
      </w:r>
      <w:r w:rsidR="004B2E97" w:rsidRPr="00575A3E">
        <w:rPr>
          <w:szCs w:val="22"/>
          <w:lang w:val="en-GB"/>
        </w:rPr>
        <w:fldChar w:fldCharType="separate"/>
      </w:r>
      <w:r w:rsidR="001B3826" w:rsidRPr="00575A3E">
        <w:rPr>
          <w:noProof/>
          <w:szCs w:val="22"/>
          <w:lang w:val="en-GB"/>
        </w:rPr>
        <w:t>(Milakis et al., 2017)</w:t>
      </w:r>
      <w:r w:rsidR="004B2E97" w:rsidRPr="00575A3E">
        <w:rPr>
          <w:szCs w:val="22"/>
          <w:lang w:val="en-GB"/>
        </w:rPr>
        <w:fldChar w:fldCharType="end"/>
      </w:r>
      <w:r w:rsidR="00185C7C" w:rsidRPr="00575A3E">
        <w:rPr>
          <w:szCs w:val="22"/>
          <w:lang w:val="en-GB"/>
        </w:rPr>
        <w:t>.</w:t>
      </w:r>
    </w:p>
    <w:p w14:paraId="7745AB86" w14:textId="2AD196A9" w:rsidR="00F479EF" w:rsidRPr="00575A3E" w:rsidRDefault="00F479EF" w:rsidP="005033DC">
      <w:pPr>
        <w:spacing w:line="360" w:lineRule="auto"/>
        <w:rPr>
          <w:szCs w:val="22"/>
          <w:lang w:val="en-GB"/>
        </w:rPr>
      </w:pPr>
      <w:r w:rsidRPr="00575A3E">
        <w:rPr>
          <w:szCs w:val="22"/>
          <w:lang w:val="en-GB"/>
        </w:rPr>
        <w:t xml:space="preserve"> </w:t>
      </w:r>
    </w:p>
    <w:p w14:paraId="360A92E0" w14:textId="6125C60E" w:rsidR="00FC4096" w:rsidRPr="00575A3E" w:rsidRDefault="00701376" w:rsidP="00A55356">
      <w:pPr>
        <w:pStyle w:val="Heading3"/>
        <w:spacing w:before="0" w:after="0" w:line="360" w:lineRule="auto"/>
        <w:rPr>
          <w:i/>
          <w:iCs/>
          <w:szCs w:val="22"/>
          <w:lang w:val="en-GB"/>
        </w:rPr>
      </w:pPr>
      <w:r w:rsidRPr="00575A3E">
        <w:rPr>
          <w:i/>
          <w:iCs/>
          <w:szCs w:val="22"/>
          <w:lang w:val="en-GB"/>
        </w:rPr>
        <w:t>3</w:t>
      </w:r>
      <w:r w:rsidR="00FC4096" w:rsidRPr="00575A3E">
        <w:rPr>
          <w:i/>
          <w:iCs/>
          <w:szCs w:val="22"/>
          <w:lang w:val="en-GB"/>
        </w:rPr>
        <w:t>.</w:t>
      </w:r>
      <w:r w:rsidR="00120855" w:rsidRPr="00575A3E">
        <w:rPr>
          <w:i/>
          <w:iCs/>
          <w:szCs w:val="22"/>
          <w:lang w:val="en-GB"/>
        </w:rPr>
        <w:t>2.4.</w:t>
      </w:r>
      <w:r w:rsidR="00FC4096" w:rsidRPr="00575A3E">
        <w:rPr>
          <w:i/>
          <w:iCs/>
          <w:szCs w:val="22"/>
          <w:lang w:val="en-GB"/>
        </w:rPr>
        <w:t xml:space="preserve"> </w:t>
      </w:r>
      <w:r w:rsidRPr="00575A3E">
        <w:rPr>
          <w:i/>
          <w:iCs/>
          <w:szCs w:val="22"/>
          <w:lang w:val="en-GB"/>
        </w:rPr>
        <w:t>Passenger Car Unit</w:t>
      </w:r>
      <w:r w:rsidR="00771894" w:rsidRPr="00575A3E">
        <w:rPr>
          <w:i/>
          <w:iCs/>
          <w:szCs w:val="22"/>
          <w:lang w:val="en-GB"/>
        </w:rPr>
        <w:t>s</w:t>
      </w:r>
      <w:r w:rsidRPr="00575A3E">
        <w:rPr>
          <w:i/>
          <w:iCs/>
          <w:szCs w:val="22"/>
          <w:lang w:val="en-GB"/>
        </w:rPr>
        <w:t xml:space="preserve"> (</w:t>
      </w:r>
      <w:r w:rsidR="00FC4096" w:rsidRPr="00575A3E">
        <w:rPr>
          <w:i/>
          <w:iCs/>
          <w:szCs w:val="22"/>
          <w:lang w:val="en-GB"/>
        </w:rPr>
        <w:t>PCU</w:t>
      </w:r>
      <w:r w:rsidRPr="00575A3E">
        <w:rPr>
          <w:i/>
          <w:iCs/>
          <w:szCs w:val="22"/>
          <w:lang w:val="en-GB"/>
        </w:rPr>
        <w:t>)</w:t>
      </w:r>
    </w:p>
    <w:p w14:paraId="7DB42B8C" w14:textId="335B98B1" w:rsidR="00D749C3" w:rsidRPr="00575A3E" w:rsidRDefault="00771894" w:rsidP="00A55356">
      <w:pPr>
        <w:spacing w:line="360" w:lineRule="auto"/>
        <w:rPr>
          <w:szCs w:val="22"/>
          <w:lang w:val="en-GB"/>
        </w:rPr>
      </w:pPr>
      <w:r w:rsidRPr="00575A3E">
        <w:rPr>
          <w:szCs w:val="22"/>
          <w:lang w:val="en-GB"/>
        </w:rPr>
        <w:t>Vehicle c</w:t>
      </w:r>
      <w:r w:rsidR="003102BD" w:rsidRPr="00575A3E">
        <w:rPr>
          <w:szCs w:val="22"/>
          <w:lang w:val="en-GB"/>
        </w:rPr>
        <w:t>onnectivity ha</w:t>
      </w:r>
      <w:r w:rsidRPr="00575A3E">
        <w:rPr>
          <w:szCs w:val="22"/>
          <w:lang w:val="en-GB"/>
        </w:rPr>
        <w:t>s</w:t>
      </w:r>
      <w:r w:rsidR="003102BD" w:rsidRPr="00575A3E">
        <w:rPr>
          <w:szCs w:val="22"/>
          <w:lang w:val="en-GB"/>
        </w:rPr>
        <w:t xml:space="preserve"> been </w:t>
      </w:r>
      <w:r w:rsidRPr="00575A3E">
        <w:rPr>
          <w:szCs w:val="22"/>
          <w:lang w:val="en-GB"/>
        </w:rPr>
        <w:t>found to</w:t>
      </w:r>
      <w:r w:rsidR="003102BD" w:rsidRPr="00575A3E">
        <w:rPr>
          <w:szCs w:val="22"/>
          <w:lang w:val="en-GB"/>
        </w:rPr>
        <w:t xml:space="preserve"> bring changes in highway capacity</w:t>
      </w:r>
      <w:r w:rsidR="00483BE1" w:rsidRPr="00575A3E">
        <w:rPr>
          <w:szCs w:val="22"/>
          <w:lang w:val="en-GB"/>
        </w:rPr>
        <w:t xml:space="preserve">. </w:t>
      </w:r>
      <w:r w:rsidRPr="00575A3E">
        <w:rPr>
          <w:szCs w:val="22"/>
          <w:lang w:val="en-GB"/>
        </w:rPr>
        <w:t>T</w:t>
      </w:r>
      <w:r w:rsidR="00483BE1" w:rsidRPr="00575A3E">
        <w:rPr>
          <w:szCs w:val="22"/>
          <w:lang w:val="en-GB"/>
        </w:rPr>
        <w:t>he</w:t>
      </w:r>
      <w:r w:rsidR="00D749C3" w:rsidRPr="00575A3E">
        <w:rPr>
          <w:szCs w:val="22"/>
          <w:lang w:val="en-GB"/>
        </w:rPr>
        <w:t xml:space="preserve"> ratio of the capacity consumed by CAVs and by manually driven vehicles</w:t>
      </w:r>
      <w:r w:rsidR="00D47C38" w:rsidRPr="00575A3E">
        <w:rPr>
          <w:szCs w:val="22"/>
          <w:lang w:val="en-GB"/>
        </w:rPr>
        <w:t xml:space="preserve"> was estimated in </w:t>
      </w:r>
      <w:r w:rsidR="008429AE" w:rsidRPr="00575A3E">
        <w:rPr>
          <w:szCs w:val="22"/>
          <w:lang w:val="en-GB"/>
        </w:rPr>
        <w:t xml:space="preserve">the study of </w:t>
      </w:r>
      <w:r w:rsidR="00D47C38" w:rsidRPr="00575A3E">
        <w:rPr>
          <w:szCs w:val="22"/>
          <w:lang w:val="en-GB"/>
        </w:rPr>
        <w:fldChar w:fldCharType="begin" w:fldLock="1"/>
      </w:r>
      <w:r w:rsidR="00BF7603" w:rsidRPr="00575A3E">
        <w:rPr>
          <w:szCs w:val="22"/>
          <w:lang w:val="en-GB"/>
        </w:rPr>
        <w:instrText>ADDIN CSL_CITATION {"citationItems":[{"id":"ITEM-1","itemData":{"DOI":"10.1177/0361198120922544","ISSN":"0361-1981","abstract":"Automated vehicles (AVs) are a concrete possibility in the near future. As AVs may shift transportation paradigms, transportation agencies are eager to update their models to consider them in planning. In this context, the use of advanced models may be challenging, given the uncertainty in the use and deployment of AVs. In this paper, we present a general framework to extend the four-step model to include AVs, and test our extension on North Central Texas Council of Governments’ model. Our approach introduces a module for AV ownership and exogenous parameters into an existing four-step model to account for changes in travel decisions for AV owners, and for the impacts of AVs on network performance. The latter is modeled using the concept of passenger-car-equivalent to avoid imposing network-wide assumptions on AVs’ capacity consumption. We analyze five scenarios, representing different assumptions on the impacts of AVs, and include references to inform the selection of modeling parameters. We compute aggregate metrics that suggest that the model is sensitive to the proposed parameters, with the passenger-car-equivalent assumptions having the largest impact on model outcomes. Results suggest that, even when we assume that AVs can better use network capacity and that trip-making rates do not drastically increase, AVs may lead to an increase of about 2.8% in vehicle-hours traveled while also improving speeds by about 1.8%. If AVs introduce additional friction on traffic, the system performance may deteriorate. The analyses presented here suggest that existing modeling tools may be adjusted to support analyses of a future with AVs.","author":[{"dropping-particle":"","family":"Dias","given":"Felipe F.","non-dropping-particle":"","parse-names":false,"suffix":""},{"dropping-particle":"","family":"Nair","given":"Gopindra S.","non-dropping-particle":"","parse-names":false,"suffix":""},{"dropping-particle":"","family":"Ruíz-Juri","given":"Natalia","non-dropping-particle":"","parse-names":false,"suffix":""},{"dropping-particle":"","family":"Bhat","given":"Chandra R.","non-dropping-particle":"","parse-names":false,"suffix":""},{"dropping-particle":"","family":"Mirzaei","given":"Arash","non-dropping-particle":"","parse-names":false,"suffix":""}],"container-title":"Transportation Research Record: Journal of the Transportation Research Board","id":"ITEM-1","issued":{"date-parts":[["2020"]]},"title":"Incorporating Autonomous Vehicles in the Traditional Four-Step Model","type":"article-journal"},"uris":["http://www.mendeley.com/documents/?uuid=a8b45399-4557-4177-b74d-cc492747af11"]}],"mendeley":{"formattedCitation":"(Dias et al., 2020)","manualFormatting":"Dias et al. (2020)","plainTextFormattedCitation":"(Dias et al., 2020)","previouslyFormattedCitation":"(Dias et al., 2020)"},"properties":{"noteIndex":0},"schema":"https://github.com/citation-style-language/schema/raw/master/csl-citation.json"}</w:instrText>
      </w:r>
      <w:r w:rsidR="00D47C38" w:rsidRPr="00575A3E">
        <w:rPr>
          <w:szCs w:val="22"/>
          <w:lang w:val="en-GB"/>
        </w:rPr>
        <w:fldChar w:fldCharType="separate"/>
      </w:r>
      <w:r w:rsidR="00C41D0C" w:rsidRPr="00575A3E">
        <w:rPr>
          <w:noProof/>
          <w:szCs w:val="22"/>
          <w:lang w:val="en-GB"/>
        </w:rPr>
        <w:t>Dias et al.</w:t>
      </w:r>
      <w:r w:rsidR="008429AE" w:rsidRPr="00575A3E">
        <w:rPr>
          <w:noProof/>
          <w:szCs w:val="22"/>
          <w:lang w:val="en-GB"/>
        </w:rPr>
        <w:t xml:space="preserve"> (</w:t>
      </w:r>
      <w:r w:rsidR="00C41D0C" w:rsidRPr="00575A3E">
        <w:rPr>
          <w:noProof/>
          <w:szCs w:val="22"/>
          <w:lang w:val="en-GB"/>
        </w:rPr>
        <w:t>2020)</w:t>
      </w:r>
      <w:r w:rsidR="00D47C38" w:rsidRPr="00575A3E">
        <w:rPr>
          <w:szCs w:val="22"/>
          <w:lang w:val="en-GB"/>
        </w:rPr>
        <w:fldChar w:fldCharType="end"/>
      </w:r>
      <w:r w:rsidR="00D47C38" w:rsidRPr="00575A3E">
        <w:rPr>
          <w:szCs w:val="22"/>
          <w:lang w:val="en-GB"/>
        </w:rPr>
        <w:t xml:space="preserve"> </w:t>
      </w:r>
      <w:r w:rsidR="000037B0" w:rsidRPr="00575A3E">
        <w:rPr>
          <w:szCs w:val="22"/>
          <w:lang w:val="en-GB"/>
        </w:rPr>
        <w:t>as</w:t>
      </w:r>
      <w:r w:rsidR="00D47C38" w:rsidRPr="00575A3E">
        <w:rPr>
          <w:szCs w:val="22"/>
          <w:lang w:val="en-GB"/>
        </w:rPr>
        <w:t>:</w:t>
      </w:r>
    </w:p>
    <w:p w14:paraId="0E0311E1" w14:textId="77777777" w:rsidR="00E071F3" w:rsidRPr="00575A3E" w:rsidRDefault="00E071F3" w:rsidP="00A55356">
      <w:pPr>
        <w:spacing w:line="360" w:lineRule="auto"/>
        <w:rPr>
          <w:szCs w:val="22"/>
          <w:lang w:val="en-GB"/>
        </w:rPr>
      </w:pPr>
    </w:p>
    <w:tbl>
      <w:tblPr>
        <w:tblW w:w="9072" w:type="dxa"/>
        <w:tblLayout w:type="fixed"/>
        <w:tblLook w:val="01E0" w:firstRow="1" w:lastRow="1" w:firstColumn="1" w:lastColumn="1" w:noHBand="0" w:noVBand="0"/>
      </w:tblPr>
      <w:tblGrid>
        <w:gridCol w:w="7372"/>
        <w:gridCol w:w="1700"/>
      </w:tblGrid>
      <w:tr w:rsidR="00D47C38" w:rsidRPr="00575A3E" w14:paraId="4B42F946" w14:textId="77777777" w:rsidTr="006A5068">
        <w:tc>
          <w:tcPr>
            <w:tcW w:w="7372" w:type="dxa"/>
            <w:vAlign w:val="bottom"/>
          </w:tcPr>
          <w:p w14:paraId="62D0874B" w14:textId="7957FCDB" w:rsidR="00D47C38" w:rsidRPr="00575A3E" w:rsidRDefault="00000000" w:rsidP="00A55356">
            <w:pPr>
              <w:spacing w:line="360" w:lineRule="auto"/>
              <w:rPr>
                <w:szCs w:val="22"/>
                <w:lang w:val="en-GB"/>
              </w:rPr>
            </w:pPr>
            <m:oMathPara>
              <m:oMathParaPr>
                <m:jc m:val="center"/>
              </m:oMathParaPr>
              <m:oMath>
                <m:sSub>
                  <m:sSubPr>
                    <m:ctrlPr>
                      <w:rPr>
                        <w:rFonts w:ascii="Cambria Math" w:eastAsiaTheme="minorEastAsia" w:hAnsi="Cambria Math"/>
                        <w:i/>
                        <w:szCs w:val="22"/>
                        <w:lang w:val="en-GB"/>
                      </w:rPr>
                    </m:ctrlPr>
                  </m:sSubPr>
                  <m:e>
                    <m:r>
                      <w:rPr>
                        <w:rFonts w:ascii="Cambria Math" w:eastAsiaTheme="minorEastAsia" w:hAnsi="Cambria Math"/>
                        <w:szCs w:val="22"/>
                        <w:lang w:val="en-GB"/>
                      </w:rPr>
                      <m:t>F</m:t>
                    </m:r>
                  </m:e>
                  <m:sub>
                    <m:r>
                      <w:rPr>
                        <w:rFonts w:ascii="Cambria Math" w:eastAsiaTheme="minorEastAsia" w:hAnsi="Cambria Math"/>
                        <w:szCs w:val="22"/>
                        <w:lang w:val="en-GB"/>
                      </w:rPr>
                      <m:t>AV_PCU</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l</m:t>
                    </m:r>
                  </m:e>
                  <m:sub>
                    <m:r>
                      <w:rPr>
                        <w:rFonts w:ascii="Cambria Math" w:hAnsi="Cambria Math"/>
                        <w:szCs w:val="22"/>
                        <w:lang w:val="en-GB"/>
                      </w:rPr>
                      <m:t>AV</m:t>
                    </m:r>
                  </m:sub>
                </m:sSub>
                <m:r>
                  <w:rPr>
                    <w:rFonts w:ascii="Cambria Math" w:hAnsi="Cambria Math"/>
                    <w:szCs w:val="22"/>
                    <w:lang w:val="en-GB"/>
                  </w:rPr>
                  <m:t xml:space="preserve">+ </m:t>
                </m:r>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AV</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l</m:t>
                    </m:r>
                  </m:e>
                  <m:sub>
                    <m:r>
                      <w:rPr>
                        <w:rFonts w:ascii="Cambria Math" w:hAnsi="Cambria Math"/>
                        <w:szCs w:val="22"/>
                        <w:lang w:val="en-GB"/>
                      </w:rPr>
                      <m:t>s</m:t>
                    </m:r>
                  </m:sub>
                </m:sSub>
                <m:r>
                  <w:rPr>
                    <w:rFonts w:ascii="Cambria Math" w:hAnsi="Cambria Math"/>
                    <w:szCs w:val="22"/>
                    <w:lang w:val="en-GB"/>
                  </w:rPr>
                  <m:t xml:space="preserve">+ </m:t>
                </m:r>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s</m:t>
                    </m:r>
                  </m:sub>
                </m:sSub>
                <m:r>
                  <w:rPr>
                    <w:rFonts w:ascii="Cambria Math" w:hAnsi="Cambria Math"/>
                    <w:szCs w:val="22"/>
                    <w:lang w:val="en-GB"/>
                  </w:rPr>
                  <m:t>)</m:t>
                </m:r>
              </m:oMath>
            </m:oMathPara>
          </w:p>
        </w:tc>
        <w:tc>
          <w:tcPr>
            <w:tcW w:w="1700" w:type="dxa"/>
            <w:vAlign w:val="center"/>
          </w:tcPr>
          <w:p w14:paraId="74E333B1" w14:textId="4C320342" w:rsidR="00D47C38" w:rsidRPr="00575A3E" w:rsidRDefault="00D47C38" w:rsidP="00A55356">
            <w:pPr>
              <w:spacing w:line="360" w:lineRule="auto"/>
              <w:rPr>
                <w:szCs w:val="22"/>
                <w:lang w:val="en-GB"/>
              </w:rPr>
            </w:pPr>
            <w:r w:rsidRPr="00575A3E">
              <w:rPr>
                <w:szCs w:val="22"/>
                <w:lang w:val="en-GB"/>
              </w:rPr>
              <w:t>(</w:t>
            </w:r>
            <w:r w:rsidR="00A55D3E" w:rsidRPr="00575A3E">
              <w:rPr>
                <w:szCs w:val="22"/>
                <w:lang w:val="en-GB"/>
              </w:rPr>
              <w:t>4</w:t>
            </w:r>
            <w:r w:rsidRPr="00575A3E">
              <w:rPr>
                <w:szCs w:val="22"/>
                <w:lang w:val="en-GB"/>
              </w:rPr>
              <w:t>)</w:t>
            </w:r>
          </w:p>
        </w:tc>
      </w:tr>
    </w:tbl>
    <w:p w14:paraId="3CFE9AB6" w14:textId="77777777" w:rsidR="001161F9" w:rsidRPr="00575A3E" w:rsidRDefault="001161F9" w:rsidP="00A55356">
      <w:pPr>
        <w:spacing w:line="360" w:lineRule="auto"/>
        <w:rPr>
          <w:rFonts w:eastAsiaTheme="minorEastAsia"/>
          <w:szCs w:val="22"/>
          <w:lang w:val="en-GB"/>
        </w:rPr>
      </w:pPr>
    </w:p>
    <w:p w14:paraId="19D55B39" w14:textId="7DC57A81" w:rsidR="006A5068" w:rsidRPr="00575A3E" w:rsidRDefault="001161F9" w:rsidP="00A55356">
      <w:pPr>
        <w:spacing w:line="360" w:lineRule="auto"/>
        <w:rPr>
          <w:rFonts w:eastAsiaTheme="minorEastAsia"/>
          <w:szCs w:val="22"/>
          <w:lang w:val="en-GB"/>
        </w:rPr>
      </w:pPr>
      <w:r w:rsidRPr="00575A3E">
        <w:rPr>
          <w:rFonts w:eastAsiaTheme="minorEastAsia"/>
          <w:szCs w:val="22"/>
          <w:lang w:val="en-GB"/>
        </w:rPr>
        <w:t>w</w:t>
      </w:r>
      <w:r w:rsidR="006A5068" w:rsidRPr="00575A3E">
        <w:rPr>
          <w:rFonts w:eastAsiaTheme="minorEastAsia"/>
          <w:szCs w:val="22"/>
          <w:lang w:val="en-GB"/>
        </w:rPr>
        <w:t xml:space="preserve">here: </w:t>
      </w:r>
    </w:p>
    <w:p w14:paraId="73C94F77" w14:textId="77777777" w:rsidR="001161F9" w:rsidRPr="00575A3E" w:rsidRDefault="001161F9" w:rsidP="00A55356">
      <w:pPr>
        <w:spacing w:line="360" w:lineRule="auto"/>
        <w:rPr>
          <w:rFonts w:eastAsiaTheme="minorEastAsia"/>
          <w:szCs w:val="22"/>
          <w:lang w:val="en-GB"/>
        </w:rPr>
      </w:pPr>
    </w:p>
    <w:p w14:paraId="29194D42" w14:textId="2FD1374C" w:rsidR="006A5068" w:rsidRPr="00575A3E" w:rsidRDefault="00000000" w:rsidP="00A55356">
      <w:pPr>
        <w:spacing w:line="360" w:lineRule="auto"/>
        <w:ind w:left="993" w:hanging="993"/>
        <w:rPr>
          <w:rFonts w:eastAsiaTheme="minorEastAsia"/>
          <w:szCs w:val="22"/>
          <w:lang w:val="en-GB"/>
        </w:rPr>
      </w:pPr>
      <m:oMath>
        <m:sSub>
          <m:sSubPr>
            <m:ctrlPr>
              <w:rPr>
                <w:rFonts w:ascii="Cambria Math" w:eastAsiaTheme="minorEastAsia" w:hAnsi="Cambria Math"/>
                <w:i/>
                <w:szCs w:val="22"/>
                <w:lang w:val="en-GB"/>
              </w:rPr>
            </m:ctrlPr>
          </m:sSubPr>
          <m:e>
            <m:r>
              <w:rPr>
                <w:rFonts w:ascii="Cambria Math" w:eastAsiaTheme="minorEastAsia" w:hAnsi="Cambria Math"/>
                <w:szCs w:val="22"/>
                <w:lang w:val="en-GB"/>
              </w:rPr>
              <m:t>F</m:t>
            </m:r>
          </m:e>
          <m:sub>
            <m:r>
              <w:rPr>
                <w:rFonts w:ascii="Cambria Math" w:eastAsiaTheme="minorEastAsia" w:hAnsi="Cambria Math"/>
                <w:szCs w:val="22"/>
                <w:lang w:val="en-GB"/>
              </w:rPr>
              <m:t>AV_PCU</m:t>
            </m:r>
          </m:sub>
        </m:sSub>
      </m:oMath>
      <w:r w:rsidR="006A5068" w:rsidRPr="00575A3E">
        <w:rPr>
          <w:rFonts w:eastAsiaTheme="minorEastAsia"/>
          <w:szCs w:val="22"/>
          <w:lang w:val="en-GB"/>
        </w:rPr>
        <w:t xml:space="preserve">: </w:t>
      </w:r>
      <w:r w:rsidR="001161F9" w:rsidRPr="00575A3E">
        <w:rPr>
          <w:rFonts w:eastAsiaTheme="minorEastAsia"/>
          <w:szCs w:val="22"/>
          <w:lang w:val="en-GB"/>
        </w:rPr>
        <w:tab/>
        <w:t>t</w:t>
      </w:r>
      <w:r w:rsidR="006A5068" w:rsidRPr="00575A3E">
        <w:rPr>
          <w:rFonts w:eastAsiaTheme="minorEastAsia"/>
          <w:szCs w:val="22"/>
          <w:lang w:val="en-GB"/>
        </w:rPr>
        <w:t>he ratio of capacity</w:t>
      </w:r>
      <w:r w:rsidR="00606E8D" w:rsidRPr="00575A3E">
        <w:rPr>
          <w:rFonts w:eastAsiaTheme="minorEastAsia"/>
          <w:szCs w:val="22"/>
          <w:lang w:val="en-GB"/>
        </w:rPr>
        <w:t xml:space="preserve"> of a CAV compared to a standard PCU</w:t>
      </w:r>
    </w:p>
    <w:p w14:paraId="4AB5B59E" w14:textId="07646688" w:rsidR="006A5068" w:rsidRPr="00575A3E" w:rsidRDefault="00000000" w:rsidP="00A55356">
      <w:pPr>
        <w:spacing w:line="360" w:lineRule="auto"/>
        <w:ind w:left="993" w:hanging="993"/>
        <w:rPr>
          <w:rFonts w:eastAsiaTheme="minorEastAsia"/>
          <w:szCs w:val="22"/>
          <w:lang w:val="en-GB"/>
        </w:rPr>
      </w:pPr>
      <m:oMath>
        <m:sSub>
          <m:sSubPr>
            <m:ctrlPr>
              <w:rPr>
                <w:rFonts w:ascii="Cambria Math" w:hAnsi="Cambria Math"/>
                <w:i/>
                <w:szCs w:val="22"/>
                <w:lang w:val="en-GB"/>
              </w:rPr>
            </m:ctrlPr>
          </m:sSubPr>
          <m:e>
            <m:r>
              <w:rPr>
                <w:rFonts w:ascii="Cambria Math" w:hAnsi="Cambria Math"/>
                <w:szCs w:val="22"/>
                <w:lang w:val="en-GB"/>
              </w:rPr>
              <m:t>l</m:t>
            </m:r>
          </m:e>
          <m:sub>
            <m:r>
              <w:rPr>
                <w:rFonts w:ascii="Cambria Math" w:hAnsi="Cambria Math"/>
                <w:szCs w:val="22"/>
                <w:lang w:val="en-GB"/>
              </w:rPr>
              <m:t>AV</m:t>
            </m:r>
          </m:sub>
        </m:sSub>
      </m:oMath>
      <w:r w:rsidR="006A5068" w:rsidRPr="00575A3E">
        <w:rPr>
          <w:rFonts w:eastAsiaTheme="minorEastAsia"/>
          <w:szCs w:val="22"/>
          <w:lang w:val="en-GB"/>
        </w:rPr>
        <w:t xml:space="preserve">: </w:t>
      </w:r>
      <w:r w:rsidR="001161F9" w:rsidRPr="00575A3E">
        <w:rPr>
          <w:rFonts w:eastAsiaTheme="minorEastAsia"/>
          <w:szCs w:val="22"/>
          <w:lang w:val="en-GB"/>
        </w:rPr>
        <w:tab/>
      </w:r>
      <w:r w:rsidR="006A5068" w:rsidRPr="00575A3E">
        <w:rPr>
          <w:rFonts w:eastAsiaTheme="minorEastAsia"/>
          <w:szCs w:val="22"/>
          <w:lang w:val="en-GB"/>
        </w:rPr>
        <w:t>length of a CAV</w:t>
      </w:r>
    </w:p>
    <w:p w14:paraId="380543AB" w14:textId="521DF945" w:rsidR="006A5068" w:rsidRPr="00575A3E" w:rsidRDefault="00000000" w:rsidP="00A55356">
      <w:pPr>
        <w:spacing w:line="360" w:lineRule="auto"/>
        <w:ind w:left="993" w:hanging="993"/>
        <w:rPr>
          <w:rFonts w:eastAsiaTheme="minorEastAsia"/>
          <w:szCs w:val="22"/>
          <w:lang w:val="en-GB"/>
        </w:rPr>
      </w:pPr>
      <m:oMath>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AV</m:t>
            </m:r>
          </m:sub>
        </m:sSub>
      </m:oMath>
      <w:r w:rsidR="006A5068" w:rsidRPr="00575A3E">
        <w:rPr>
          <w:rFonts w:eastAsiaTheme="minorEastAsia"/>
          <w:szCs w:val="22"/>
          <w:lang w:val="en-GB"/>
        </w:rPr>
        <w:t xml:space="preserve">: </w:t>
      </w:r>
      <w:r w:rsidR="001161F9" w:rsidRPr="00575A3E">
        <w:rPr>
          <w:rFonts w:eastAsiaTheme="minorEastAsia"/>
          <w:szCs w:val="22"/>
          <w:lang w:val="en-GB"/>
        </w:rPr>
        <w:tab/>
        <w:t>h</w:t>
      </w:r>
      <w:r w:rsidR="006A5068" w:rsidRPr="00575A3E">
        <w:rPr>
          <w:rFonts w:eastAsiaTheme="minorEastAsia"/>
          <w:szCs w:val="22"/>
          <w:lang w:val="en-GB"/>
        </w:rPr>
        <w:t>eadway maintained by CAV</w:t>
      </w:r>
    </w:p>
    <w:p w14:paraId="3D01C5B9" w14:textId="781D341E" w:rsidR="006A5068" w:rsidRPr="00575A3E" w:rsidRDefault="00000000" w:rsidP="00A55356">
      <w:pPr>
        <w:spacing w:line="360" w:lineRule="auto"/>
        <w:ind w:left="993" w:hanging="993"/>
        <w:rPr>
          <w:rFonts w:eastAsiaTheme="minorEastAsia"/>
          <w:szCs w:val="22"/>
          <w:lang w:val="en-GB"/>
        </w:rPr>
      </w:pPr>
      <m:oMath>
        <m:sSub>
          <m:sSubPr>
            <m:ctrlPr>
              <w:rPr>
                <w:rFonts w:ascii="Cambria Math" w:hAnsi="Cambria Math"/>
                <w:i/>
                <w:szCs w:val="22"/>
                <w:lang w:val="en-GB"/>
              </w:rPr>
            </m:ctrlPr>
          </m:sSubPr>
          <m:e>
            <m:r>
              <w:rPr>
                <w:rFonts w:ascii="Cambria Math" w:hAnsi="Cambria Math"/>
                <w:szCs w:val="22"/>
                <w:lang w:val="en-GB"/>
              </w:rPr>
              <m:t>l</m:t>
            </m:r>
          </m:e>
          <m:sub>
            <m:r>
              <w:rPr>
                <w:rFonts w:ascii="Cambria Math" w:hAnsi="Cambria Math"/>
                <w:szCs w:val="22"/>
                <w:lang w:val="en-GB"/>
              </w:rPr>
              <m:t>s</m:t>
            </m:r>
          </m:sub>
        </m:sSub>
      </m:oMath>
      <w:r w:rsidR="006A5068" w:rsidRPr="00575A3E">
        <w:rPr>
          <w:rFonts w:eastAsiaTheme="minorEastAsia"/>
          <w:szCs w:val="22"/>
          <w:lang w:val="en-GB"/>
        </w:rPr>
        <w:t xml:space="preserve">: </w:t>
      </w:r>
      <w:r w:rsidR="001161F9" w:rsidRPr="00575A3E">
        <w:rPr>
          <w:rFonts w:eastAsiaTheme="minorEastAsia"/>
          <w:szCs w:val="22"/>
          <w:lang w:val="en-GB"/>
        </w:rPr>
        <w:tab/>
      </w:r>
      <w:r w:rsidR="006A5068" w:rsidRPr="00575A3E">
        <w:rPr>
          <w:rFonts w:eastAsiaTheme="minorEastAsia"/>
          <w:szCs w:val="22"/>
          <w:lang w:val="en-GB"/>
        </w:rPr>
        <w:t xml:space="preserve">length of vehicle that consumes </w:t>
      </w:r>
      <w:r w:rsidR="000037B0" w:rsidRPr="00575A3E">
        <w:rPr>
          <w:rFonts w:eastAsiaTheme="minorEastAsia"/>
          <w:szCs w:val="22"/>
          <w:lang w:val="en-GB"/>
        </w:rPr>
        <w:t xml:space="preserve">1 </w:t>
      </w:r>
      <w:r w:rsidR="006A5068" w:rsidRPr="00575A3E">
        <w:rPr>
          <w:rFonts w:eastAsiaTheme="minorEastAsia"/>
          <w:szCs w:val="22"/>
          <w:lang w:val="en-GB"/>
        </w:rPr>
        <w:t>PCU</w:t>
      </w:r>
    </w:p>
    <w:p w14:paraId="080B1271" w14:textId="3155E843" w:rsidR="006A5068" w:rsidRPr="00575A3E" w:rsidRDefault="00000000" w:rsidP="00A55356">
      <w:pPr>
        <w:spacing w:line="360" w:lineRule="auto"/>
        <w:ind w:left="993" w:hanging="993"/>
        <w:rPr>
          <w:rFonts w:eastAsiaTheme="minorEastAsia"/>
          <w:szCs w:val="22"/>
          <w:lang w:val="en-GB"/>
        </w:rPr>
      </w:pPr>
      <m:oMath>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s</m:t>
            </m:r>
          </m:sub>
        </m:sSub>
      </m:oMath>
      <w:r w:rsidR="006A5068" w:rsidRPr="00575A3E">
        <w:rPr>
          <w:rFonts w:eastAsiaTheme="minorEastAsia"/>
          <w:szCs w:val="22"/>
          <w:lang w:val="en-GB"/>
        </w:rPr>
        <w:t xml:space="preserve">: </w:t>
      </w:r>
      <w:r w:rsidR="001161F9" w:rsidRPr="00575A3E">
        <w:rPr>
          <w:rFonts w:eastAsiaTheme="minorEastAsia"/>
          <w:szCs w:val="22"/>
          <w:lang w:val="en-GB"/>
        </w:rPr>
        <w:tab/>
        <w:t>h</w:t>
      </w:r>
      <w:r w:rsidR="006A5068" w:rsidRPr="00575A3E">
        <w:rPr>
          <w:rFonts w:eastAsiaTheme="minorEastAsia"/>
          <w:szCs w:val="22"/>
          <w:lang w:val="en-GB"/>
        </w:rPr>
        <w:t xml:space="preserve">eadway maintained by vehicle that consumes </w:t>
      </w:r>
      <w:r w:rsidR="000037B0" w:rsidRPr="00575A3E">
        <w:rPr>
          <w:rFonts w:eastAsiaTheme="minorEastAsia"/>
          <w:szCs w:val="22"/>
          <w:lang w:val="en-GB"/>
        </w:rPr>
        <w:t xml:space="preserve">1 </w:t>
      </w:r>
      <w:r w:rsidR="006A5068" w:rsidRPr="00575A3E">
        <w:rPr>
          <w:rFonts w:eastAsiaTheme="minorEastAsia"/>
          <w:szCs w:val="22"/>
          <w:lang w:val="en-GB"/>
        </w:rPr>
        <w:t>PCU</w:t>
      </w:r>
    </w:p>
    <w:p w14:paraId="2BC7D7C7" w14:textId="77777777" w:rsidR="000037B0" w:rsidRPr="00575A3E" w:rsidRDefault="000037B0" w:rsidP="004B2E97">
      <w:pPr>
        <w:spacing w:line="360" w:lineRule="auto"/>
        <w:rPr>
          <w:szCs w:val="22"/>
          <w:lang w:val="en-GB"/>
        </w:rPr>
      </w:pPr>
    </w:p>
    <w:p w14:paraId="5DC7FEAA" w14:textId="5C49CDA6" w:rsidR="006E0E1E" w:rsidRPr="00575A3E" w:rsidRDefault="00D749C3" w:rsidP="004B2E97">
      <w:pPr>
        <w:spacing w:line="360" w:lineRule="auto"/>
        <w:rPr>
          <w:szCs w:val="22"/>
          <w:lang w:val="en-GB"/>
        </w:rPr>
      </w:pPr>
      <w:r w:rsidRPr="00575A3E">
        <w:rPr>
          <w:szCs w:val="22"/>
          <w:lang w:val="en-GB"/>
        </w:rPr>
        <w:t>From a range of 20 m</w:t>
      </w:r>
      <w:r w:rsidR="001161F9" w:rsidRPr="00575A3E">
        <w:rPr>
          <w:szCs w:val="22"/>
          <w:lang w:val="en-GB"/>
        </w:rPr>
        <w:t>p</w:t>
      </w:r>
      <w:r w:rsidRPr="00575A3E">
        <w:rPr>
          <w:szCs w:val="22"/>
          <w:lang w:val="en-GB"/>
        </w:rPr>
        <w:t>h to 82 m</w:t>
      </w:r>
      <w:r w:rsidR="001161F9" w:rsidRPr="00575A3E">
        <w:rPr>
          <w:szCs w:val="22"/>
          <w:lang w:val="en-GB"/>
        </w:rPr>
        <w:t>p</w:t>
      </w:r>
      <w:r w:rsidRPr="00575A3E">
        <w:rPr>
          <w:szCs w:val="22"/>
          <w:lang w:val="en-GB"/>
        </w:rPr>
        <w:t xml:space="preserve">h the PCU values </w:t>
      </w:r>
      <w:r w:rsidR="001161F9" w:rsidRPr="00575A3E">
        <w:rPr>
          <w:szCs w:val="22"/>
          <w:lang w:val="en-GB"/>
        </w:rPr>
        <w:t xml:space="preserve">were found to </w:t>
      </w:r>
      <w:r w:rsidRPr="00575A3E">
        <w:rPr>
          <w:szCs w:val="22"/>
          <w:lang w:val="en-GB"/>
        </w:rPr>
        <w:t>var</w:t>
      </w:r>
      <w:r w:rsidR="001161F9" w:rsidRPr="00575A3E">
        <w:rPr>
          <w:szCs w:val="22"/>
          <w:lang w:val="en-GB"/>
        </w:rPr>
        <w:t>y</w:t>
      </w:r>
      <w:r w:rsidRPr="00575A3E">
        <w:rPr>
          <w:szCs w:val="22"/>
          <w:lang w:val="en-GB"/>
        </w:rPr>
        <w:t xml:space="preserve"> </w:t>
      </w:r>
      <w:r w:rsidR="001161F9" w:rsidRPr="00575A3E">
        <w:rPr>
          <w:szCs w:val="22"/>
          <w:lang w:val="en-GB"/>
        </w:rPr>
        <w:t>between</w:t>
      </w:r>
      <w:r w:rsidRPr="00575A3E">
        <w:rPr>
          <w:szCs w:val="22"/>
          <w:lang w:val="en-GB"/>
        </w:rPr>
        <w:t xml:space="preserve"> 0.56 </w:t>
      </w:r>
      <w:r w:rsidR="001161F9" w:rsidRPr="00575A3E">
        <w:rPr>
          <w:szCs w:val="22"/>
          <w:lang w:val="en-GB"/>
        </w:rPr>
        <w:t>and</w:t>
      </w:r>
      <w:r w:rsidRPr="00575A3E">
        <w:rPr>
          <w:szCs w:val="22"/>
          <w:lang w:val="en-GB"/>
        </w:rPr>
        <w:t xml:space="preserve"> 0.76. Since an aggregate transport model does not allow for speed</w:t>
      </w:r>
      <w:r w:rsidR="001161F9" w:rsidRPr="00575A3E">
        <w:rPr>
          <w:szCs w:val="22"/>
          <w:lang w:val="en-GB"/>
        </w:rPr>
        <w:t>-</w:t>
      </w:r>
      <w:r w:rsidRPr="00575A3E">
        <w:rPr>
          <w:szCs w:val="22"/>
          <w:lang w:val="en-GB"/>
        </w:rPr>
        <w:t>depend</w:t>
      </w:r>
      <w:r w:rsidR="001161F9" w:rsidRPr="00575A3E">
        <w:rPr>
          <w:szCs w:val="22"/>
          <w:lang w:val="en-GB"/>
        </w:rPr>
        <w:t>e</w:t>
      </w:r>
      <w:r w:rsidRPr="00575A3E">
        <w:rPr>
          <w:szCs w:val="22"/>
          <w:lang w:val="en-GB"/>
        </w:rPr>
        <w:t>nt PCU, a more conservative value</w:t>
      </w:r>
      <w:r w:rsidR="001161F9" w:rsidRPr="00575A3E">
        <w:rPr>
          <w:szCs w:val="22"/>
          <w:lang w:val="en-GB"/>
        </w:rPr>
        <w:t xml:space="preserve"> of</w:t>
      </w:r>
      <w:r w:rsidRPr="00575A3E">
        <w:rPr>
          <w:szCs w:val="22"/>
          <w:lang w:val="en-GB"/>
        </w:rPr>
        <w:t xml:space="preserve"> 0.7</w:t>
      </w:r>
      <w:r w:rsidR="001161F9" w:rsidRPr="00575A3E">
        <w:rPr>
          <w:szCs w:val="22"/>
          <w:lang w:val="en-GB"/>
        </w:rPr>
        <w:t xml:space="preserve"> was adopted</w:t>
      </w:r>
      <w:r w:rsidR="00D47C38" w:rsidRPr="00575A3E">
        <w:rPr>
          <w:szCs w:val="22"/>
          <w:lang w:val="en-GB"/>
        </w:rPr>
        <w:t xml:space="preserve"> </w:t>
      </w:r>
      <w:r w:rsidR="00D47C38" w:rsidRPr="00575A3E">
        <w:rPr>
          <w:szCs w:val="22"/>
          <w:lang w:val="en-GB"/>
        </w:rPr>
        <w:fldChar w:fldCharType="begin" w:fldLock="1"/>
      </w:r>
      <w:r w:rsidR="00BF7603" w:rsidRPr="00575A3E">
        <w:rPr>
          <w:szCs w:val="22"/>
          <w:lang w:val="en-GB"/>
        </w:rPr>
        <w:instrText>ADDIN CSL_CITATION {"citationItems":[{"id":"ITEM-1","itemData":{"DOI":"10.1177/0361198120922544","ISSN":"0361-1981","abstract":"Automated vehicles (AVs) are a concrete possibility in the near future. As AVs may shift transportation paradigms, transportation agencies are eager to update their models to consider them in planning. In this context, the use of advanced models may be challenging, given the uncertainty in the use and deployment of AVs. In this paper, we present a general framework to extend the four-step model to include AVs, and test our extension on North Central Texas Council of Governments’ model. Our approach introduces a module for AV ownership and exogenous parameters into an existing four-step model to account for changes in travel decisions for AV owners, and for the impacts of AVs on network performance. The latter is modeled using the concept of passenger-car-equivalent to avoid imposing network-wide assumptions on AVs’ capacity consumption. We analyze five scenarios, representing different assumptions on the impacts of AVs, and include references to inform the selection of modeling parameters. We compute aggregate metrics that suggest that the model is sensitive to the proposed parameters, with the passenger-car-equivalent assumptions having the largest impact on model outcomes. Results suggest that, even when we assume that AVs can better use network capacity and that trip-making rates do not drastically increase, AVs may lead to an increase of about 2.8% in vehicle-hours traveled while also improving speeds by about 1.8%. If AVs introduce additional friction on traffic, the system performance may deteriorate. The analyses presented here suggest that existing modeling tools may be adjusted to support analyses of a future with AVs.","author":[{"dropping-particle":"","family":"Dias","given":"Felipe F.","non-dropping-particle":"","parse-names":false,"suffix":""},{"dropping-particle":"","family":"Nair","given":"Gopindra S.","non-dropping-particle":"","parse-names":false,"suffix":""},{"dropping-particle":"","family":"Ruíz-Juri","given":"Natalia","non-dropping-particle":"","parse-names":false,"suffix":""},{"dropping-particle":"","family":"Bhat","given":"Chandra R.","non-dropping-particle":"","parse-names":false,"suffix":""},{"dropping-particle":"","family":"Mirzaei","given":"Arash","non-dropping-particle":"","parse-names":false,"suffix":""}],"container-title":"Transportation Research Record: Journal of the Transportation Research Board","id":"ITEM-1","issued":{"date-parts":[["2020"]]},"title":"Incorporating Autonomous Vehicles in the Traditional Four-Step Model","type":"article-journal"},"uris":["http://www.mendeley.com/documents/?uuid=a8b45399-4557-4177-b74d-cc492747af11"]}],"mendeley":{"formattedCitation":"(Dias et al., 2020)","plainTextFormattedCitation":"(Dias et al., 2020)","previouslyFormattedCitation":"(Dias et al., 2020)"},"properties":{"noteIndex":0},"schema":"https://github.com/citation-style-language/schema/raw/master/csl-citation.json"}</w:instrText>
      </w:r>
      <w:r w:rsidR="00D47C38" w:rsidRPr="00575A3E">
        <w:rPr>
          <w:szCs w:val="22"/>
          <w:lang w:val="en-GB"/>
        </w:rPr>
        <w:fldChar w:fldCharType="separate"/>
      </w:r>
      <w:r w:rsidR="008119F3" w:rsidRPr="00575A3E">
        <w:rPr>
          <w:noProof/>
          <w:szCs w:val="22"/>
          <w:lang w:val="en-GB"/>
        </w:rPr>
        <w:t>(Dias et al., 2020)</w:t>
      </w:r>
      <w:r w:rsidR="00D47C38" w:rsidRPr="00575A3E">
        <w:rPr>
          <w:szCs w:val="22"/>
          <w:lang w:val="en-GB"/>
        </w:rPr>
        <w:fldChar w:fldCharType="end"/>
      </w:r>
      <w:r w:rsidRPr="00575A3E">
        <w:rPr>
          <w:szCs w:val="22"/>
          <w:lang w:val="en-GB"/>
        </w:rPr>
        <w:t xml:space="preserve">. </w:t>
      </w:r>
      <w:r w:rsidR="001161F9" w:rsidRPr="00575A3E">
        <w:rPr>
          <w:szCs w:val="22"/>
          <w:lang w:val="en-GB"/>
        </w:rPr>
        <w:t>A s</w:t>
      </w:r>
      <w:r w:rsidRPr="00575A3E">
        <w:rPr>
          <w:szCs w:val="22"/>
          <w:lang w:val="en-GB"/>
        </w:rPr>
        <w:t xml:space="preserve">imilar factor was also applied in the analysis of </w:t>
      </w:r>
      <w:r w:rsidR="001161F9" w:rsidRPr="00575A3E">
        <w:rPr>
          <w:szCs w:val="22"/>
          <w:lang w:val="en-GB"/>
        </w:rPr>
        <w:t>CAVs</w:t>
      </w:r>
      <w:r w:rsidRPr="00575A3E">
        <w:rPr>
          <w:szCs w:val="22"/>
          <w:lang w:val="en-GB"/>
        </w:rPr>
        <w:t xml:space="preserve"> </w:t>
      </w:r>
      <w:r w:rsidR="008429AE" w:rsidRPr="00575A3E">
        <w:rPr>
          <w:szCs w:val="22"/>
          <w:lang w:val="en-GB"/>
        </w:rPr>
        <w:t>of</w:t>
      </w:r>
      <w:r w:rsidR="00D47C38" w:rsidRPr="00575A3E">
        <w:rPr>
          <w:szCs w:val="22"/>
          <w:lang w:val="en-GB"/>
        </w:rPr>
        <w:t xml:space="preserve"> </w:t>
      </w:r>
      <w:r w:rsidR="00D47C38" w:rsidRPr="00575A3E">
        <w:rPr>
          <w:szCs w:val="22"/>
          <w:lang w:val="en-GB"/>
        </w:rPr>
        <w:fldChar w:fldCharType="begin" w:fldLock="1"/>
      </w:r>
      <w:r w:rsidR="00BF7603" w:rsidRPr="00575A3E">
        <w:rPr>
          <w:szCs w:val="22"/>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Prefecture","type":"article-journal"},"uris":["http://www.mendeley.com/documents/?uuid=a3da3ce1-5370-4fcf-b4f8-ac17abc381b7"]}],"mendeley":{"formattedCitation":"(Luo et al., 2019)","manualFormatting":"Luo et al. (2019)","plainTextFormattedCitation":"(Luo et al., 2019)","previouslyFormattedCitation":"(Luo et al., 2019)"},"properties":{"noteIndex":0},"schema":"https://github.com/citation-style-language/schema/raw/master/csl-citation.json"}</w:instrText>
      </w:r>
      <w:r w:rsidR="00D47C38" w:rsidRPr="00575A3E">
        <w:rPr>
          <w:szCs w:val="22"/>
          <w:lang w:val="en-GB"/>
        </w:rPr>
        <w:fldChar w:fldCharType="separate"/>
      </w:r>
      <w:r w:rsidR="00C41D0C" w:rsidRPr="00575A3E">
        <w:rPr>
          <w:noProof/>
          <w:szCs w:val="22"/>
          <w:lang w:val="en-GB"/>
        </w:rPr>
        <w:t>Luo et al.</w:t>
      </w:r>
      <w:r w:rsidR="008429AE" w:rsidRPr="00575A3E">
        <w:rPr>
          <w:noProof/>
          <w:szCs w:val="22"/>
          <w:lang w:val="en-GB"/>
        </w:rPr>
        <w:t xml:space="preserve"> (</w:t>
      </w:r>
      <w:r w:rsidR="00C41D0C" w:rsidRPr="00575A3E">
        <w:rPr>
          <w:noProof/>
          <w:szCs w:val="22"/>
          <w:lang w:val="en-GB"/>
        </w:rPr>
        <w:t>2019)</w:t>
      </w:r>
      <w:r w:rsidR="00D47C38" w:rsidRPr="00575A3E">
        <w:rPr>
          <w:szCs w:val="22"/>
          <w:lang w:val="en-GB"/>
        </w:rPr>
        <w:fldChar w:fldCharType="end"/>
      </w:r>
      <w:r w:rsidR="00D47C38" w:rsidRPr="00575A3E">
        <w:rPr>
          <w:szCs w:val="22"/>
          <w:lang w:val="en-GB"/>
        </w:rPr>
        <w:t>.</w:t>
      </w:r>
      <w:r w:rsidR="001161F9" w:rsidRPr="00575A3E">
        <w:rPr>
          <w:szCs w:val="22"/>
          <w:lang w:val="en-GB"/>
        </w:rPr>
        <w:t xml:space="preserve"> </w:t>
      </w:r>
      <w:r w:rsidR="002F4621" w:rsidRPr="00575A3E">
        <w:rPr>
          <w:szCs w:val="22"/>
          <w:lang w:val="en-GB"/>
        </w:rPr>
        <w:t>Thus</w:t>
      </w:r>
      <w:r w:rsidR="001161F9" w:rsidRPr="00575A3E">
        <w:rPr>
          <w:szCs w:val="22"/>
          <w:lang w:val="en-GB"/>
        </w:rPr>
        <w:t>,</w:t>
      </w:r>
      <w:r w:rsidR="002F4621" w:rsidRPr="00575A3E">
        <w:rPr>
          <w:szCs w:val="22"/>
          <w:lang w:val="en-GB"/>
        </w:rPr>
        <w:t xml:space="preserve"> the PCU value used here is 0.7</w:t>
      </w:r>
      <w:r w:rsidR="00094C01" w:rsidRPr="00575A3E">
        <w:rPr>
          <w:szCs w:val="22"/>
          <w:lang w:val="en-GB"/>
        </w:rPr>
        <w:t xml:space="preserve"> and it is important to note that this value does not refer to freight </w:t>
      </w:r>
      <w:r w:rsidR="00094C01" w:rsidRPr="00575A3E">
        <w:rPr>
          <w:szCs w:val="22"/>
          <w:lang w:val="en-GB"/>
        </w:rPr>
        <w:lastRenderedPageBreak/>
        <w:t xml:space="preserve">vehicles or buses, as this analysis focuses on passenger </w:t>
      </w:r>
      <w:r w:rsidR="001F710B" w:rsidRPr="00575A3E">
        <w:rPr>
          <w:szCs w:val="22"/>
          <w:lang w:val="en-GB"/>
        </w:rPr>
        <w:t xml:space="preserve">car </w:t>
      </w:r>
      <w:r w:rsidR="00094C01" w:rsidRPr="00575A3E">
        <w:rPr>
          <w:szCs w:val="22"/>
          <w:lang w:val="en-GB"/>
        </w:rPr>
        <w:t>trips</w:t>
      </w:r>
      <w:r w:rsidR="002F4621" w:rsidRPr="00575A3E">
        <w:rPr>
          <w:szCs w:val="22"/>
          <w:lang w:val="en-GB"/>
        </w:rPr>
        <w:t>.</w:t>
      </w:r>
      <w:r w:rsidR="00483BE1" w:rsidRPr="00575A3E">
        <w:rPr>
          <w:szCs w:val="22"/>
          <w:lang w:val="en-GB"/>
        </w:rPr>
        <w:t xml:space="preserve"> </w:t>
      </w:r>
      <w:r w:rsidR="00CA3E74" w:rsidRPr="00575A3E">
        <w:rPr>
          <w:szCs w:val="22"/>
          <w:lang w:val="en-GB"/>
        </w:rPr>
        <w:t xml:space="preserve">The literature sometimes includes this step </w:t>
      </w:r>
      <w:r w:rsidR="001D6BC6" w:rsidRPr="00575A3E">
        <w:rPr>
          <w:szCs w:val="22"/>
          <w:lang w:val="en-GB"/>
        </w:rPr>
        <w:t xml:space="preserve">(i.e. </w:t>
      </w:r>
      <w:r w:rsidR="001D6BC6" w:rsidRPr="00575A3E">
        <w:rPr>
          <w:szCs w:val="22"/>
          <w:lang w:val="en-GB"/>
        </w:rPr>
        <w:fldChar w:fldCharType="begin" w:fldLock="1"/>
      </w:r>
      <w:r w:rsidR="00BF7603" w:rsidRPr="00575A3E">
        <w:rPr>
          <w:szCs w:val="22"/>
          <w:lang w:val="en-GB"/>
        </w:rPr>
        <w:instrText>ADDIN CSL_CITATION {"citationItems":[{"id":"ITEM-1","itemData":{"DOI":"10.2208/journalofjsce.7.1_100","ISSN":"2187-5103","author":[{"dropping-particle":"","family":"Luo","given":"Lichen","non-dropping-particle":"","parse-names":false,"suffix":""},{"dropping-particle":"","family":"Troncoso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JSCE","id":"ITEM-1","issued":{"date-parts":[["2019"]]},"title":"Evaluating the Impact of Autonomous Vehicles on Accessibility Using Agent-Based Simulation —A Case Study of Gunma Prefecture","type":"article-journal"},"uris":["http://www.mendeley.com/documents/?uuid=a3da3ce1-5370-4fcf-b4f8-ac17abc381b7"]}],"mendeley":{"formattedCitation":"(Luo et al., 2019)","manualFormatting":"Luo et al., 2019","plainTextFormattedCitation":"(Luo et al., 2019)","previouslyFormattedCitation":"(Luo et al., 2019)"},"properties":{"noteIndex":0},"schema":"https://github.com/citation-style-language/schema/raw/master/csl-citation.json"}</w:instrText>
      </w:r>
      <w:r w:rsidR="001D6BC6" w:rsidRPr="00575A3E">
        <w:rPr>
          <w:szCs w:val="22"/>
          <w:lang w:val="en-GB"/>
        </w:rPr>
        <w:fldChar w:fldCharType="separate"/>
      </w:r>
      <w:r w:rsidR="00C41D0C" w:rsidRPr="00575A3E">
        <w:rPr>
          <w:noProof/>
          <w:szCs w:val="22"/>
          <w:lang w:val="en-GB"/>
        </w:rPr>
        <w:t>Luo et al., 2019</w:t>
      </w:r>
      <w:r w:rsidR="001D6BC6" w:rsidRPr="00575A3E">
        <w:rPr>
          <w:szCs w:val="22"/>
          <w:lang w:val="en-GB"/>
        </w:rPr>
        <w:fldChar w:fldCharType="end"/>
      </w:r>
      <w:r w:rsidR="001D6BC6" w:rsidRPr="00575A3E">
        <w:rPr>
          <w:szCs w:val="22"/>
          <w:lang w:val="en-GB"/>
        </w:rPr>
        <w:t xml:space="preserve">) and </w:t>
      </w:r>
      <w:r w:rsidR="00CA3E74" w:rsidRPr="00575A3E">
        <w:rPr>
          <w:szCs w:val="22"/>
          <w:lang w:val="en-GB"/>
        </w:rPr>
        <w:t xml:space="preserve">sometimes </w:t>
      </w:r>
      <w:r w:rsidR="000037B0" w:rsidRPr="00575A3E">
        <w:rPr>
          <w:szCs w:val="22"/>
          <w:lang w:val="en-GB"/>
        </w:rPr>
        <w:t xml:space="preserve">it omits it </w:t>
      </w:r>
      <w:r w:rsidR="001D6BC6" w:rsidRPr="00575A3E">
        <w:rPr>
          <w:szCs w:val="22"/>
          <w:lang w:val="en-GB"/>
        </w:rPr>
        <w:t>(</w:t>
      </w:r>
      <w:r w:rsidR="000138E5" w:rsidRPr="00575A3E">
        <w:rPr>
          <w:szCs w:val="22"/>
          <w:lang w:val="en-GB"/>
        </w:rPr>
        <w:t>i.e.</w:t>
      </w:r>
      <w:r w:rsidR="001D6BC6" w:rsidRPr="00575A3E">
        <w:rPr>
          <w:szCs w:val="22"/>
          <w:lang w:val="en-GB"/>
        </w:rPr>
        <w:t xml:space="preserve"> </w:t>
      </w:r>
      <w:r w:rsidR="001D6BC6" w:rsidRPr="00575A3E">
        <w:rPr>
          <w:szCs w:val="22"/>
          <w:lang w:val="en-GB"/>
        </w:rPr>
        <w:fldChar w:fldCharType="begin" w:fldLock="1"/>
      </w:r>
      <w:r w:rsidR="0002665A" w:rsidRPr="00575A3E">
        <w:rPr>
          <w:szCs w:val="22"/>
          <w:lang w:val="en-GB"/>
        </w:rPr>
        <w:instrText>ADDIN CSL_CITATION {"citationItems":[{"id":"ITEM-1","itemData":{"abstract":"A new era in transport is imminent. A step change in transport technologies will change citizens’ decisions about where to live, work and play, and how they move around. The ‘autonomous era’ will be shaped by two competing dynamics. Reduced perceived costs of travel are likely to encourage citizens to accept longer travel times, exacerbating the existing problems of congestion and urban sprawl. On the other hand, new autonomous ride-sourcing services may catalyse a move away from private vehicle ownership. This would increase the marginal cost of travel, encouraging urban consolidation and regeneration. The transport policy and infrastructure decisions we make now will affect the trajectory our cities take with respect to these dynamics. This paper uses a bespoke strategic Land Use and Transport Interaction (LUTI) model for Melbourne to explore the potential impacts of the autonomous era on transport infrastructure demand and urban form. Policy implications of the autonomous era are also considered.","author":[{"dropping-particle":"","family":"Thakur","given":"Praveen","non-dropping-particle":"","parse-names":false,"suffix":""},{"dropping-particle":"","family":"Kinghorn","given":"Robert","non-dropping-particle":"","parse-names":false,"suffix":""},{"dropping-particle":"","family":"Grace","given":"Renan","non-dropping-particle":"","parse-names":false,"suffix":""}],"container-title":"ATRF 2016 - Australasian Transport Research Forum 2016, Proceedings","id":"ITEM-1","issued":{"date-parts":[["2016"]]},"title":"Urban form and function in the autonomous era","type":"paper-conference"},"uris":["http://www.mendeley.com/documents/?uuid=fa48b530-d0e5-4de6-96e7-6b58e7c73aed"]}],"mendeley":{"formattedCitation":"(Thakur et al., 2016)","manualFormatting":"Thakur et al., 2016","plainTextFormattedCitation":"(Thakur et al., 2016)","previouslyFormattedCitation":"(Thakur et al., 2016)"},"properties":{"noteIndex":0},"schema":"https://github.com/citation-style-language/schema/raw/master/csl-citation.json"}</w:instrText>
      </w:r>
      <w:r w:rsidR="001D6BC6" w:rsidRPr="00575A3E">
        <w:rPr>
          <w:szCs w:val="22"/>
          <w:lang w:val="en-GB"/>
        </w:rPr>
        <w:fldChar w:fldCharType="separate"/>
      </w:r>
      <w:r w:rsidR="00C41D0C" w:rsidRPr="00575A3E">
        <w:rPr>
          <w:noProof/>
          <w:szCs w:val="22"/>
          <w:lang w:val="en-GB"/>
        </w:rPr>
        <w:t>Thakur et al., 2016</w:t>
      </w:r>
      <w:r w:rsidR="001D6BC6" w:rsidRPr="00575A3E">
        <w:rPr>
          <w:szCs w:val="22"/>
          <w:lang w:val="en-GB"/>
        </w:rPr>
        <w:fldChar w:fldCharType="end"/>
      </w:r>
      <w:r w:rsidR="001D6BC6" w:rsidRPr="00575A3E">
        <w:rPr>
          <w:szCs w:val="22"/>
          <w:lang w:val="en-GB"/>
        </w:rPr>
        <w:t>)</w:t>
      </w:r>
      <w:r w:rsidR="001161F9" w:rsidRPr="00575A3E">
        <w:rPr>
          <w:szCs w:val="22"/>
          <w:lang w:val="en-GB"/>
        </w:rPr>
        <w:t>,</w:t>
      </w:r>
      <w:r w:rsidR="001D6BC6" w:rsidRPr="00575A3E">
        <w:rPr>
          <w:szCs w:val="22"/>
          <w:lang w:val="en-GB"/>
        </w:rPr>
        <w:t xml:space="preserve"> </w:t>
      </w:r>
      <w:r w:rsidR="00CA3E74" w:rsidRPr="00575A3E">
        <w:rPr>
          <w:szCs w:val="22"/>
          <w:lang w:val="en-GB"/>
        </w:rPr>
        <w:t xml:space="preserve">thus both </w:t>
      </w:r>
      <w:r w:rsidR="00483BE1" w:rsidRPr="00575A3E">
        <w:rPr>
          <w:szCs w:val="22"/>
          <w:lang w:val="en-GB"/>
        </w:rPr>
        <w:t>are teste</w:t>
      </w:r>
      <w:r w:rsidR="001161F9" w:rsidRPr="00575A3E">
        <w:rPr>
          <w:szCs w:val="22"/>
          <w:lang w:val="en-GB"/>
        </w:rPr>
        <w:t>d</w:t>
      </w:r>
      <w:r w:rsidR="000037B0" w:rsidRPr="00575A3E">
        <w:rPr>
          <w:szCs w:val="22"/>
          <w:lang w:val="en-GB"/>
        </w:rPr>
        <w:t xml:space="preserve"> here</w:t>
      </w:r>
      <w:r w:rsidR="00483BE1" w:rsidRPr="00575A3E">
        <w:rPr>
          <w:szCs w:val="22"/>
          <w:lang w:val="en-GB"/>
        </w:rPr>
        <w:t xml:space="preserve"> </w:t>
      </w:r>
      <w:r w:rsidR="000037B0" w:rsidRPr="00575A3E">
        <w:rPr>
          <w:szCs w:val="22"/>
          <w:lang w:val="en-GB"/>
        </w:rPr>
        <w:t>(resulting in the</w:t>
      </w:r>
      <w:r w:rsidR="001D6BC6" w:rsidRPr="00575A3E">
        <w:rPr>
          <w:szCs w:val="22"/>
          <w:lang w:val="en-GB"/>
        </w:rPr>
        <w:t xml:space="preserve"> </w:t>
      </w:r>
      <w:r w:rsidR="001161F9" w:rsidRPr="00575A3E">
        <w:rPr>
          <w:szCs w:val="22"/>
          <w:lang w:val="en-GB"/>
        </w:rPr>
        <w:t>‘</w:t>
      </w:r>
      <w:r w:rsidR="001D6BC6" w:rsidRPr="00575A3E">
        <w:rPr>
          <w:szCs w:val="22"/>
          <w:lang w:val="en-GB"/>
        </w:rPr>
        <w:t>P</w:t>
      </w:r>
      <w:r w:rsidR="001161F9" w:rsidRPr="00575A3E">
        <w:rPr>
          <w:szCs w:val="22"/>
          <w:lang w:val="en-GB"/>
        </w:rPr>
        <w:t>’</w:t>
      </w:r>
      <w:r w:rsidR="001D6BC6" w:rsidRPr="00575A3E">
        <w:rPr>
          <w:szCs w:val="22"/>
          <w:lang w:val="en-GB"/>
        </w:rPr>
        <w:t xml:space="preserve"> </w:t>
      </w:r>
      <w:r w:rsidR="000037B0" w:rsidRPr="00575A3E">
        <w:rPr>
          <w:szCs w:val="22"/>
          <w:lang w:val="en-GB"/>
        </w:rPr>
        <w:t xml:space="preserve">and </w:t>
      </w:r>
      <w:r w:rsidR="001161F9" w:rsidRPr="00575A3E">
        <w:rPr>
          <w:szCs w:val="22"/>
          <w:lang w:val="en-GB"/>
        </w:rPr>
        <w:t>‘</w:t>
      </w:r>
      <w:r w:rsidR="00483BE1" w:rsidRPr="00575A3E">
        <w:rPr>
          <w:szCs w:val="22"/>
          <w:lang w:val="en-GB"/>
        </w:rPr>
        <w:t>N</w:t>
      </w:r>
      <w:r w:rsidR="001161F9" w:rsidRPr="00575A3E">
        <w:rPr>
          <w:szCs w:val="22"/>
          <w:lang w:val="en-GB"/>
        </w:rPr>
        <w:t>’</w:t>
      </w:r>
      <w:r w:rsidR="00483BE1" w:rsidRPr="00575A3E">
        <w:rPr>
          <w:szCs w:val="22"/>
          <w:lang w:val="en-GB"/>
        </w:rPr>
        <w:t xml:space="preserve"> </w:t>
      </w:r>
      <w:r w:rsidR="001161F9" w:rsidRPr="00575A3E">
        <w:rPr>
          <w:szCs w:val="22"/>
          <w:lang w:val="en-GB"/>
        </w:rPr>
        <w:t>s</w:t>
      </w:r>
      <w:r w:rsidR="00483BE1" w:rsidRPr="00575A3E">
        <w:rPr>
          <w:szCs w:val="22"/>
          <w:lang w:val="en-GB"/>
        </w:rPr>
        <w:t>cenarios</w:t>
      </w:r>
      <w:r w:rsidR="000037B0" w:rsidRPr="00575A3E">
        <w:rPr>
          <w:szCs w:val="22"/>
          <w:lang w:val="en-GB"/>
        </w:rPr>
        <w:t xml:space="preserve"> respectively)</w:t>
      </w:r>
      <w:r w:rsidR="001D6BC6" w:rsidRPr="00575A3E">
        <w:rPr>
          <w:szCs w:val="22"/>
          <w:lang w:val="en-GB"/>
        </w:rPr>
        <w:t>.</w:t>
      </w:r>
      <w:r w:rsidR="000E1004" w:rsidRPr="00575A3E">
        <w:rPr>
          <w:szCs w:val="22"/>
          <w:lang w:val="en-GB"/>
        </w:rPr>
        <w:t xml:space="preserve"> </w:t>
      </w:r>
      <w:r w:rsidR="00496655" w:rsidRPr="00575A3E">
        <w:rPr>
          <w:szCs w:val="22"/>
          <w:lang w:val="en-GB"/>
        </w:rPr>
        <w:t xml:space="preserve">It is reasonable to expect that since </w:t>
      </w:r>
      <w:r w:rsidR="000E1004" w:rsidRPr="00575A3E">
        <w:rPr>
          <w:szCs w:val="22"/>
          <w:lang w:val="en-GB"/>
        </w:rPr>
        <w:t xml:space="preserve">only </w:t>
      </w:r>
      <w:r w:rsidR="00C64E24" w:rsidRPr="00575A3E">
        <w:rPr>
          <w:szCs w:val="22"/>
          <w:lang w:val="en-GB"/>
        </w:rPr>
        <w:t>a proportion</w:t>
      </w:r>
      <w:r w:rsidR="000E1004" w:rsidRPr="00575A3E">
        <w:rPr>
          <w:szCs w:val="22"/>
          <w:lang w:val="en-GB"/>
        </w:rPr>
        <w:t xml:space="preserve"> of</w:t>
      </w:r>
      <w:r w:rsidR="00C64E24" w:rsidRPr="00575A3E">
        <w:rPr>
          <w:szCs w:val="22"/>
          <w:lang w:val="en-GB"/>
        </w:rPr>
        <w:t xml:space="preserve"> vehicles</w:t>
      </w:r>
      <w:r w:rsidR="000E1004" w:rsidRPr="00575A3E">
        <w:rPr>
          <w:szCs w:val="22"/>
          <w:lang w:val="en-GB"/>
        </w:rPr>
        <w:t xml:space="preserve"> </w:t>
      </w:r>
      <w:r w:rsidR="0057358B" w:rsidRPr="00575A3E">
        <w:rPr>
          <w:szCs w:val="22"/>
          <w:lang w:val="en-GB"/>
        </w:rPr>
        <w:t xml:space="preserve">in </w:t>
      </w:r>
      <w:r w:rsidR="000E1004" w:rsidRPr="00575A3E">
        <w:rPr>
          <w:szCs w:val="22"/>
          <w:lang w:val="en-GB"/>
        </w:rPr>
        <w:t xml:space="preserve">the fleet </w:t>
      </w:r>
      <w:r w:rsidR="0057358B" w:rsidRPr="00575A3E">
        <w:rPr>
          <w:szCs w:val="22"/>
          <w:lang w:val="en-GB"/>
        </w:rPr>
        <w:t>across</w:t>
      </w:r>
      <w:r w:rsidR="00C64E24" w:rsidRPr="00575A3E">
        <w:rPr>
          <w:szCs w:val="22"/>
          <w:lang w:val="en-GB"/>
        </w:rPr>
        <w:t xml:space="preserve"> all scenarios </w:t>
      </w:r>
      <w:r w:rsidR="000E1004" w:rsidRPr="00575A3E">
        <w:rPr>
          <w:szCs w:val="22"/>
          <w:lang w:val="en-GB"/>
        </w:rPr>
        <w:t xml:space="preserve">will </w:t>
      </w:r>
      <w:r w:rsidR="00C64E24" w:rsidRPr="00575A3E">
        <w:rPr>
          <w:szCs w:val="22"/>
          <w:lang w:val="en-GB"/>
        </w:rPr>
        <w:t>be</w:t>
      </w:r>
      <w:r w:rsidR="000E1004" w:rsidRPr="00575A3E">
        <w:rPr>
          <w:szCs w:val="22"/>
          <w:lang w:val="en-GB"/>
        </w:rPr>
        <w:t xml:space="preserve"> connected</w:t>
      </w:r>
      <w:r w:rsidR="00C64E24" w:rsidRPr="00575A3E">
        <w:rPr>
          <w:szCs w:val="22"/>
          <w:lang w:val="en-GB"/>
        </w:rPr>
        <w:t>,</w:t>
      </w:r>
      <w:r w:rsidR="00496655" w:rsidRPr="00575A3E">
        <w:rPr>
          <w:szCs w:val="22"/>
          <w:lang w:val="en-GB"/>
        </w:rPr>
        <w:t xml:space="preserve"> PCU values may not be reduced, until all or most of the users operate a connected vehicle. However,</w:t>
      </w:r>
      <w:r w:rsidR="00903BF3" w:rsidRPr="00575A3E">
        <w:rPr>
          <w:szCs w:val="22"/>
          <w:lang w:val="en-GB"/>
        </w:rPr>
        <w:t xml:space="preserve"> according to </w:t>
      </w:r>
      <w:r w:rsidR="00903BF3" w:rsidRPr="00575A3E">
        <w:rPr>
          <w:szCs w:val="22"/>
          <w:lang w:val="en-GB"/>
        </w:rPr>
        <w:fldChar w:fldCharType="begin" w:fldLock="1"/>
      </w:r>
      <w:r w:rsidR="00064F03" w:rsidRPr="00575A3E">
        <w:rPr>
          <w:szCs w:val="22"/>
          <w:lang w:val="en-GB"/>
        </w:rPr>
        <w:instrText>ADDIN CSL_CITATION {"citationItems":[{"id":"ITEM-1","itemData":{"author":[{"dropping-particle":"","family":"Craig Benjamin Rafter","given":"","non-dropping-particle":"","parse-names":false,"suffix":""}],"id":"ITEM-1","issued":{"date-parts":[["2020"]]},"publisher":"UNIVERSITY OF SOUTHAMPTON","title":"Integrating Connected Vehicles into Urban Traffic Management Systems","type":"thesis"},"uris":["http://www.mendeley.com/documents/?uuid=1a56d051-90e7-498e-b3c6-dee51915ff05"]}],"mendeley":{"formattedCitation":"(Craig Benjamin Rafter, 2020)","manualFormatting":"Craig Benjamin Rafter (2020)","plainTextFormattedCitation":"(Craig Benjamin Rafter, 2020)","previouslyFormattedCitation":"(Craig Benjamin Rafter, 2020)"},"properties":{"noteIndex":0},"schema":"https://github.com/citation-style-language/schema/raw/master/csl-citation.json"}</w:instrText>
      </w:r>
      <w:r w:rsidR="00903BF3" w:rsidRPr="00575A3E">
        <w:rPr>
          <w:szCs w:val="22"/>
          <w:lang w:val="en-GB"/>
        </w:rPr>
        <w:fldChar w:fldCharType="separate"/>
      </w:r>
      <w:r w:rsidR="00903BF3" w:rsidRPr="00575A3E">
        <w:rPr>
          <w:noProof/>
          <w:szCs w:val="22"/>
          <w:lang w:val="en-GB"/>
        </w:rPr>
        <w:t>Craig Benjamin Rafter (2020)</w:t>
      </w:r>
      <w:r w:rsidR="00903BF3" w:rsidRPr="00575A3E">
        <w:rPr>
          <w:szCs w:val="22"/>
          <w:lang w:val="en-GB"/>
        </w:rPr>
        <w:fldChar w:fldCharType="end"/>
      </w:r>
      <w:r w:rsidR="00903BF3" w:rsidRPr="00575A3E">
        <w:t xml:space="preserve"> </w:t>
      </w:r>
      <w:r w:rsidR="00903BF3" w:rsidRPr="00575A3E">
        <w:rPr>
          <w:szCs w:val="22"/>
          <w:lang w:val="en-GB"/>
        </w:rPr>
        <w:t>capacity could increase with better traffic control with CAVs and this is possible even with penetration rates as low as 10%. As a result, incorporating</w:t>
      </w:r>
      <w:r w:rsidR="00496655" w:rsidRPr="00575A3E">
        <w:rPr>
          <w:szCs w:val="22"/>
          <w:lang w:val="en-GB"/>
        </w:rPr>
        <w:t xml:space="preserve"> this effect </w:t>
      </w:r>
      <w:r w:rsidR="00903BF3" w:rsidRPr="00575A3E">
        <w:rPr>
          <w:szCs w:val="22"/>
          <w:lang w:val="en-GB"/>
        </w:rPr>
        <w:t xml:space="preserve">to the analysis </w:t>
      </w:r>
      <w:r w:rsidR="00496655" w:rsidRPr="00575A3E">
        <w:rPr>
          <w:szCs w:val="22"/>
          <w:lang w:val="en-GB"/>
        </w:rPr>
        <w:t xml:space="preserve">might provide important results related to accessibility and </w:t>
      </w:r>
      <w:r w:rsidR="00903BF3" w:rsidRPr="00575A3E">
        <w:rPr>
          <w:szCs w:val="22"/>
          <w:lang w:val="en-GB"/>
        </w:rPr>
        <w:t xml:space="preserve">thus </w:t>
      </w:r>
      <w:r w:rsidR="00C64E24" w:rsidRPr="00575A3E">
        <w:rPr>
          <w:szCs w:val="22"/>
          <w:lang w:val="en-GB"/>
        </w:rPr>
        <w:t xml:space="preserve">both cases are tested, </w:t>
      </w:r>
      <w:r w:rsidR="0057358B" w:rsidRPr="00575A3E">
        <w:rPr>
          <w:szCs w:val="22"/>
          <w:lang w:val="en-GB"/>
        </w:rPr>
        <w:t xml:space="preserve">in order to understand further the impacts of connectivity. </w:t>
      </w:r>
    </w:p>
    <w:p w14:paraId="26A538F6" w14:textId="77777777" w:rsidR="009714CE" w:rsidRPr="00575A3E" w:rsidRDefault="009714CE" w:rsidP="00A55356">
      <w:pPr>
        <w:spacing w:line="360" w:lineRule="auto"/>
        <w:ind w:firstLine="851"/>
        <w:rPr>
          <w:szCs w:val="22"/>
          <w:lang w:val="en-GB"/>
        </w:rPr>
      </w:pPr>
    </w:p>
    <w:p w14:paraId="3C050D4C" w14:textId="36A80C93" w:rsidR="00A31EB5" w:rsidRPr="00575A3E" w:rsidRDefault="00CB161A" w:rsidP="00A55356">
      <w:pPr>
        <w:pStyle w:val="Heading3"/>
        <w:spacing w:before="0" w:after="0" w:line="360" w:lineRule="auto"/>
        <w:rPr>
          <w:i/>
          <w:iCs/>
          <w:szCs w:val="22"/>
          <w:lang w:val="en-GB"/>
        </w:rPr>
      </w:pPr>
      <w:r w:rsidRPr="00575A3E">
        <w:rPr>
          <w:i/>
          <w:iCs/>
          <w:szCs w:val="22"/>
          <w:lang w:val="en-GB"/>
        </w:rPr>
        <w:t>3</w:t>
      </w:r>
      <w:r w:rsidR="00120855" w:rsidRPr="00575A3E">
        <w:rPr>
          <w:i/>
          <w:iCs/>
          <w:szCs w:val="22"/>
          <w:lang w:val="en-GB"/>
        </w:rPr>
        <w:t>.2.5.</w:t>
      </w:r>
      <w:r w:rsidR="00F479EF" w:rsidRPr="00575A3E">
        <w:rPr>
          <w:i/>
          <w:iCs/>
          <w:szCs w:val="22"/>
          <w:lang w:val="en-GB"/>
        </w:rPr>
        <w:t xml:space="preserve"> </w:t>
      </w:r>
      <w:r w:rsidR="00A31EB5" w:rsidRPr="00575A3E">
        <w:rPr>
          <w:i/>
          <w:iCs/>
          <w:szCs w:val="22"/>
          <w:lang w:val="en-GB"/>
        </w:rPr>
        <w:t xml:space="preserve">Total Cost of Ownership </w:t>
      </w:r>
    </w:p>
    <w:p w14:paraId="2BD9FB06" w14:textId="598F2C28" w:rsidR="00D85F27" w:rsidRPr="00575A3E" w:rsidRDefault="006A5068" w:rsidP="00A55356">
      <w:pPr>
        <w:spacing w:line="360" w:lineRule="auto"/>
        <w:rPr>
          <w:szCs w:val="22"/>
          <w:lang w:val="en-GB"/>
        </w:rPr>
      </w:pPr>
      <w:r w:rsidRPr="00575A3E">
        <w:rPr>
          <w:szCs w:val="22"/>
          <w:lang w:val="en-GB"/>
        </w:rPr>
        <w:t>The analysis</w:t>
      </w:r>
      <w:r w:rsidR="00F479EF" w:rsidRPr="00575A3E">
        <w:rPr>
          <w:szCs w:val="22"/>
          <w:lang w:val="en-GB"/>
        </w:rPr>
        <w:t xml:space="preserve"> of car ownership costs</w:t>
      </w:r>
      <w:r w:rsidRPr="00575A3E">
        <w:rPr>
          <w:szCs w:val="22"/>
          <w:lang w:val="en-GB"/>
        </w:rPr>
        <w:t xml:space="preserve"> includes an estimation of t</w:t>
      </w:r>
      <w:r w:rsidR="00F479EF" w:rsidRPr="00575A3E">
        <w:rPr>
          <w:szCs w:val="22"/>
          <w:lang w:val="en-GB"/>
        </w:rPr>
        <w:t>he TCO</w:t>
      </w:r>
      <w:r w:rsidRPr="00575A3E">
        <w:rPr>
          <w:szCs w:val="22"/>
          <w:lang w:val="en-GB"/>
        </w:rPr>
        <w:t xml:space="preserve"> and the </w:t>
      </w:r>
      <w:r w:rsidR="00F479EF" w:rsidRPr="00575A3E">
        <w:rPr>
          <w:szCs w:val="22"/>
          <w:lang w:val="en-GB"/>
        </w:rPr>
        <w:t xml:space="preserve">method used </w:t>
      </w:r>
      <w:r w:rsidR="00E071F3" w:rsidRPr="00575A3E">
        <w:rPr>
          <w:szCs w:val="22"/>
          <w:lang w:val="en-GB"/>
        </w:rPr>
        <w:t xml:space="preserve">is an adaptation of the </w:t>
      </w:r>
      <w:r w:rsidR="00E30061" w:rsidRPr="00575A3E">
        <w:rPr>
          <w:szCs w:val="22"/>
          <w:lang w:val="en-GB"/>
        </w:rPr>
        <w:t xml:space="preserve">one </w:t>
      </w:r>
      <w:r w:rsidR="00E071F3" w:rsidRPr="00575A3E">
        <w:rPr>
          <w:szCs w:val="22"/>
          <w:lang w:val="en-GB"/>
        </w:rPr>
        <w:t>developed</w:t>
      </w:r>
      <w:r w:rsidR="00E93CCA" w:rsidRPr="00575A3E">
        <w:rPr>
          <w:szCs w:val="22"/>
          <w:lang w:val="en-GB"/>
        </w:rPr>
        <w:t xml:space="preserve"> </w:t>
      </w:r>
      <w:r w:rsidR="008429AE" w:rsidRPr="00575A3E">
        <w:rPr>
          <w:szCs w:val="22"/>
          <w:lang w:val="en-GB"/>
        </w:rPr>
        <w:t>by</w:t>
      </w:r>
      <w:r w:rsidR="00E071F3" w:rsidRPr="00575A3E">
        <w:rPr>
          <w:szCs w:val="22"/>
          <w:lang w:val="en-GB"/>
        </w:rPr>
        <w:t xml:space="preserve"> </w:t>
      </w:r>
      <w:r w:rsidRPr="00575A3E">
        <w:rPr>
          <w:szCs w:val="22"/>
          <w:lang w:val="en-GB"/>
        </w:rPr>
        <w:fldChar w:fldCharType="begin" w:fldLock="1"/>
      </w:r>
      <w:r w:rsidR="00BF7603" w:rsidRPr="00575A3E">
        <w:rPr>
          <w:szCs w:val="22"/>
          <w:lang w:val="en-GB"/>
        </w:rPr>
        <w:instrText>ADDIN CSL_CITATION {"citationItems":[{"id":"ITEM-1","itemData":{"DOI":"10.1016/j.apenergy.2017.10.089","ISSN":"0306-2619","author":[{"dropping-particle":"","family":"Palmer","given":"Kate","non-dropping-particle":"","parse-names":false,"suffix":""},{"dropping-particle":"","family":"Tate","given":"James E","non-dropping-particle":"","parse-names":false,"suffix":""},{"dropping-particle":"","family":"Wadud","given":"Zia","non-dropping-particle":"","parse-names":false,"suffix":""},{"dropping-particle":"","family":"Nellthorp","given":"John","non-dropping-particle":"","parse-names":false,"suffix":""}],"container-title":"Applied Energy","id":"ITEM-1","issue":"October 2017","issued":{"date-parts":[["2018"]]},"page":"108-119","publisher":"Elsevier","title":"Total cost of ownership and market share for hybrid and electric vehicles in the UK , US and Japan","type":"article-journal","volume":"209"},"uris":["http://www.mendeley.com/documents/?uuid=043dd010-f029-45a8-b13d-48e9c88f4b3b"]}],"mendeley":{"formattedCitation":"(Palmer et al., 2018)","manualFormatting":"Palmer et al. (2018)","plainTextFormattedCitation":"(Palmer et al., 2018)","previouslyFormattedCitation":"(Palmer et al., 2018)"},"properties":{"noteIndex":0},"schema":"https://github.com/citation-style-language/schema/raw/master/csl-citation.json"}</w:instrText>
      </w:r>
      <w:r w:rsidRPr="00575A3E">
        <w:rPr>
          <w:szCs w:val="22"/>
          <w:lang w:val="en-GB"/>
        </w:rPr>
        <w:fldChar w:fldCharType="separate"/>
      </w:r>
      <w:r w:rsidR="00C41D0C" w:rsidRPr="00575A3E">
        <w:rPr>
          <w:noProof/>
          <w:szCs w:val="22"/>
          <w:lang w:val="en-GB"/>
        </w:rPr>
        <w:t>Palmer et al.</w:t>
      </w:r>
      <w:r w:rsidR="008429AE" w:rsidRPr="00575A3E">
        <w:rPr>
          <w:noProof/>
          <w:szCs w:val="22"/>
          <w:lang w:val="en-GB"/>
        </w:rPr>
        <w:t xml:space="preserve"> (</w:t>
      </w:r>
      <w:r w:rsidR="00C41D0C" w:rsidRPr="00575A3E">
        <w:rPr>
          <w:noProof/>
          <w:szCs w:val="22"/>
          <w:lang w:val="en-GB"/>
        </w:rPr>
        <w:t>2018)</w:t>
      </w:r>
      <w:r w:rsidRPr="00575A3E">
        <w:rPr>
          <w:szCs w:val="22"/>
          <w:lang w:val="en-GB"/>
        </w:rPr>
        <w:fldChar w:fldCharType="end"/>
      </w:r>
      <w:r w:rsidR="009714CE" w:rsidRPr="00575A3E">
        <w:rPr>
          <w:szCs w:val="22"/>
          <w:lang w:val="en-GB"/>
        </w:rPr>
        <w:t xml:space="preserve"> and </w:t>
      </w:r>
      <w:r w:rsidR="009714CE" w:rsidRPr="00575A3E">
        <w:rPr>
          <w:szCs w:val="22"/>
          <w:lang w:val="en-GB"/>
        </w:rPr>
        <w:fldChar w:fldCharType="begin" w:fldLock="1"/>
      </w:r>
      <w:r w:rsidR="00BF7603" w:rsidRPr="00575A3E">
        <w:rPr>
          <w:szCs w:val="22"/>
          <w:lang w:val="en-GB"/>
        </w:rPr>
        <w:instrText xml:space="preserve">ADDIN CSL_CITATION {"citationItems":[{"id":"ITEM-1","itemData":{"DOI":"10.1007/s12239-021-0118-z","ISSN":"19763832","abstract":"New powertrain technologies, such as those used in Hybrid Electric Vehicles, have a price premium which is often offset by lower running costs. Total Cost of Ownership (TCO) combines these purchase and operating expenses to identify the most economical vehicles overall. This is a valuable assessment for both private and fleet purchasers. To date, no studies have compared Total Cost of Ownership across more than two vehicle markets or analysed historic costs. To address this gap, this research provides a more extensive assessment of TCO in three industrialized countries — the U.S.A. (California specifically), the UK, and Republic of Korea — for the time period from 2015 </w:instrText>
      </w:r>
      <w:r w:rsidR="00BF7603" w:rsidRPr="00575A3E">
        <w:rPr>
          <w:rFonts w:ascii="Cambria Math" w:hAnsi="Cambria Math" w:cs="Cambria Math"/>
          <w:szCs w:val="22"/>
          <w:lang w:val="en-GB"/>
        </w:rPr>
        <w:instrText>∼</w:instrText>
      </w:r>
      <w:r w:rsidR="00BF7603" w:rsidRPr="00575A3E">
        <w:rPr>
          <w:szCs w:val="22"/>
          <w:lang w:val="en-GB"/>
        </w:rPr>
        <w:instrText xml:space="preserve"> 2019. As an early analysis of the regional characteristics of TCO, this study aims to examine how TCO varies across different geographic regions and develop an analysis methodology for future analysis of environmental vehicles. To analyze the TCO under identical conditions for each region, the TCO result is calculated using data from conventional vehicles by utilizing sufficient statistical data. The TCO model includes registration and road taxes as well as insurance, fuel, financial interest, depreciation, and maintenance costs. To represent the local features, the research considers four vehicles from different manufacturers. Using the proposed TCO model, the regional characteristic is analyzed and a sensitivity analysis is performed with the parameters constituting the TCO model. This research has implications for both fleet purchasers and private owners considering new vehicles. The findings are also relevant for carmakers aiming to develop vehicle sales strategies optimized for specific regions.","author":[{"dropping-particle":"","family":"Baek","given":"Keon Hee","non-dropping-particle":"","parse-names":false,"suffix":""},{"dropping-particle":"","family":"Kim","given":"Gyeong Pil","non-dropping-particle":"","parse-names":false,"suffix":""},{"dropping-particle":"","family":"Nam","given":"Deok Ho","non-dropping-particle":"","parse-names":false,"suffix":""},{"dropping-particle":"","family":"Kim","given":"Jae Sik","non-dropping-particle":"","parse-names":false,"suffix":""},{"dropping-particle":"","family":"Jang","given":"Chee Hwan","non-dropping-particle":"","parse-names":false,"suffix":""},{"dropping-particle":"","family":"Suh","given":"Myung Won","non-dropping-particle":"","parse-names":false,"suffix":""}],"container-title":"International Journal of Automotive Technology","id":"ITEM-1","issued":{"date-parts":[["2021"]]},"title":"Analysis of Regional Characteristics of Total Cost of Ownership in California, the UK, and Republic of Korea","type":"article-journal"},"uris":["http://www.mendeley.com/documents/?uuid=042ca6c4-38b1-44a1-bc26-7e0e472a4b09"]}],"mendeley":{"formattedCitation":"(Baek et al., 2021)","manualFormatting":"Baek et al. (2021)","plainTextFormattedCitation":"(Baek et al., 2021)","previouslyFormattedCitation":"(Baek et al., 2021)"},"properties":{"noteIndex":0},"schema":"https://github.com/citation-style-language/schema/raw/master/csl-citation.json"}</w:instrText>
      </w:r>
      <w:r w:rsidR="009714CE" w:rsidRPr="00575A3E">
        <w:rPr>
          <w:szCs w:val="22"/>
          <w:lang w:val="en-GB"/>
        </w:rPr>
        <w:fldChar w:fldCharType="separate"/>
      </w:r>
      <w:r w:rsidR="009714CE" w:rsidRPr="00575A3E">
        <w:rPr>
          <w:noProof/>
          <w:szCs w:val="22"/>
          <w:lang w:val="en-GB"/>
        </w:rPr>
        <w:t xml:space="preserve">Baek </w:t>
      </w:r>
      <w:r w:rsidR="009714CE" w:rsidRPr="00575A3E">
        <w:rPr>
          <w:i/>
          <w:noProof/>
          <w:szCs w:val="22"/>
          <w:lang w:val="en-GB"/>
        </w:rPr>
        <w:t>et al.</w:t>
      </w:r>
      <w:r w:rsidR="009714CE" w:rsidRPr="00575A3E">
        <w:rPr>
          <w:noProof/>
          <w:szCs w:val="22"/>
          <w:lang w:val="en-GB"/>
        </w:rPr>
        <w:t xml:space="preserve"> (2021)</w:t>
      </w:r>
      <w:r w:rsidR="009714CE" w:rsidRPr="00575A3E">
        <w:rPr>
          <w:szCs w:val="22"/>
          <w:lang w:val="en-GB"/>
        </w:rPr>
        <w:fldChar w:fldCharType="end"/>
      </w:r>
      <w:r w:rsidR="00F479EF" w:rsidRPr="00575A3E">
        <w:rPr>
          <w:szCs w:val="22"/>
          <w:lang w:val="en-GB"/>
        </w:rPr>
        <w:t xml:space="preserve"> </w:t>
      </w:r>
      <w:r w:rsidR="002C37D7" w:rsidRPr="00575A3E">
        <w:rPr>
          <w:szCs w:val="22"/>
          <w:lang w:val="en-GB"/>
        </w:rPr>
        <w:t>(</w:t>
      </w:r>
      <w:r w:rsidR="00F479EF" w:rsidRPr="00575A3E">
        <w:rPr>
          <w:szCs w:val="22"/>
          <w:lang w:val="en-GB"/>
        </w:rPr>
        <w:t>equation (</w:t>
      </w:r>
      <w:r w:rsidRPr="00575A3E">
        <w:rPr>
          <w:szCs w:val="22"/>
          <w:lang w:val="en-GB"/>
        </w:rPr>
        <w:t>5</w:t>
      </w:r>
      <w:r w:rsidR="00F479EF" w:rsidRPr="00575A3E">
        <w:rPr>
          <w:szCs w:val="22"/>
          <w:lang w:val="en-GB"/>
        </w:rPr>
        <w:t>)</w:t>
      </w:r>
      <w:r w:rsidR="00570936" w:rsidRPr="00575A3E">
        <w:rPr>
          <w:szCs w:val="22"/>
          <w:lang w:val="en-GB"/>
        </w:rPr>
        <w:t>)</w:t>
      </w:r>
      <w:r w:rsidR="00F479EF" w:rsidRPr="00575A3E">
        <w:rPr>
          <w:szCs w:val="22"/>
          <w:lang w:val="en-GB"/>
        </w:rPr>
        <w:t xml:space="preserve">. </w:t>
      </w:r>
      <w:r w:rsidR="002C37D7" w:rsidRPr="00575A3E">
        <w:rPr>
          <w:szCs w:val="22"/>
          <w:lang w:val="en-GB"/>
        </w:rPr>
        <w:t>This</w:t>
      </w:r>
      <w:r w:rsidRPr="00575A3E">
        <w:rPr>
          <w:szCs w:val="22"/>
          <w:lang w:val="en-GB"/>
        </w:rPr>
        <w:t xml:space="preserve"> formula </w:t>
      </w:r>
      <w:r w:rsidR="00D85F27" w:rsidRPr="00575A3E">
        <w:rPr>
          <w:szCs w:val="22"/>
          <w:lang w:val="en-GB"/>
        </w:rPr>
        <w:t xml:space="preserve">is </w:t>
      </w:r>
      <w:r w:rsidRPr="00575A3E">
        <w:rPr>
          <w:szCs w:val="22"/>
          <w:lang w:val="en-GB"/>
        </w:rPr>
        <w:t>selected</w:t>
      </w:r>
      <w:r w:rsidR="002C37D7" w:rsidRPr="00575A3E">
        <w:rPr>
          <w:szCs w:val="22"/>
          <w:lang w:val="en-GB"/>
        </w:rPr>
        <w:t xml:space="preserve"> </w:t>
      </w:r>
      <w:r w:rsidR="00483BE1" w:rsidRPr="00575A3E">
        <w:rPr>
          <w:szCs w:val="22"/>
          <w:lang w:val="en-GB"/>
        </w:rPr>
        <w:t>because</w:t>
      </w:r>
      <w:r w:rsidR="00F479EF" w:rsidRPr="00575A3E">
        <w:rPr>
          <w:szCs w:val="22"/>
          <w:lang w:val="en-GB"/>
        </w:rPr>
        <w:t xml:space="preserve"> it </w:t>
      </w:r>
      <w:r w:rsidRPr="00575A3E">
        <w:rPr>
          <w:szCs w:val="22"/>
          <w:lang w:val="en-GB"/>
        </w:rPr>
        <w:t xml:space="preserve">was developed by comparing </w:t>
      </w:r>
      <w:r w:rsidR="00F479EF" w:rsidRPr="00575A3E">
        <w:rPr>
          <w:szCs w:val="22"/>
          <w:lang w:val="en-GB"/>
        </w:rPr>
        <w:t xml:space="preserve">international examples, </w:t>
      </w:r>
      <w:r w:rsidRPr="00575A3E">
        <w:rPr>
          <w:szCs w:val="22"/>
          <w:lang w:val="en-GB"/>
        </w:rPr>
        <w:t xml:space="preserve">which makes it </w:t>
      </w:r>
      <w:r w:rsidR="00F479EF" w:rsidRPr="00575A3E">
        <w:rPr>
          <w:szCs w:val="22"/>
          <w:lang w:val="en-GB"/>
        </w:rPr>
        <w:t xml:space="preserve">applicable in multiple cases and different vehicle technologies. </w:t>
      </w:r>
      <w:r w:rsidR="009226F6" w:rsidRPr="00575A3E">
        <w:rPr>
          <w:szCs w:val="22"/>
          <w:lang w:val="en-GB"/>
        </w:rPr>
        <w:t xml:space="preserve">The value calculated is the </w:t>
      </w:r>
      <w:r w:rsidR="00D85F27" w:rsidRPr="00575A3E">
        <w:rPr>
          <w:szCs w:val="22"/>
          <w:lang w:val="en-GB"/>
        </w:rPr>
        <w:t xml:space="preserve">TCO </w:t>
      </w:r>
      <w:r w:rsidR="009226F6" w:rsidRPr="00575A3E">
        <w:rPr>
          <w:szCs w:val="22"/>
          <w:lang w:val="en-GB"/>
        </w:rPr>
        <w:t xml:space="preserve">present value after </w:t>
      </w:r>
      <w:r w:rsidR="009226F6" w:rsidRPr="00575A3E">
        <w:rPr>
          <w:i/>
          <w:szCs w:val="22"/>
          <w:lang w:val="en-GB"/>
        </w:rPr>
        <w:t>t</w:t>
      </w:r>
      <w:r w:rsidR="009226F6" w:rsidRPr="00575A3E">
        <w:rPr>
          <w:szCs w:val="22"/>
          <w:lang w:val="en-GB"/>
        </w:rPr>
        <w:t xml:space="preserve"> years of ownership. </w:t>
      </w:r>
      <w:r w:rsidR="000D00BF" w:rsidRPr="00575A3E">
        <w:rPr>
          <w:szCs w:val="22"/>
          <w:lang w:val="en-GB"/>
        </w:rPr>
        <w:t>Hence,</w:t>
      </w:r>
      <w:r w:rsidR="009226F6" w:rsidRPr="00575A3E">
        <w:rPr>
          <w:szCs w:val="22"/>
          <w:lang w:val="en-GB"/>
        </w:rPr>
        <w:t xml:space="preserve"> </w:t>
      </w:r>
      <w:r w:rsidR="00E30061" w:rsidRPr="00575A3E">
        <w:rPr>
          <w:szCs w:val="22"/>
          <w:lang w:val="en-GB"/>
        </w:rPr>
        <w:t xml:space="preserve">the </w:t>
      </w:r>
      <w:r w:rsidR="009226F6" w:rsidRPr="00575A3E">
        <w:rPr>
          <w:szCs w:val="22"/>
          <w:lang w:val="en-GB"/>
        </w:rPr>
        <w:t>TCO is</w:t>
      </w:r>
      <w:r w:rsidR="00D85F27" w:rsidRPr="00575A3E">
        <w:rPr>
          <w:szCs w:val="22"/>
          <w:lang w:val="en-GB"/>
        </w:rPr>
        <w:t xml:space="preserve"> calculated as:</w:t>
      </w:r>
    </w:p>
    <w:p w14:paraId="26D4F493" w14:textId="77777777" w:rsidR="00701376" w:rsidRPr="00575A3E" w:rsidRDefault="00701376" w:rsidP="00A55356">
      <w:pPr>
        <w:spacing w:line="360" w:lineRule="auto"/>
        <w:rPr>
          <w:szCs w:val="22"/>
          <w:lang w:val="en-GB"/>
        </w:rPr>
      </w:pPr>
    </w:p>
    <w:tbl>
      <w:tblPr>
        <w:tblW w:w="9072" w:type="dxa"/>
        <w:tblLayout w:type="fixed"/>
        <w:tblLook w:val="01E0" w:firstRow="1" w:lastRow="1" w:firstColumn="1" w:lastColumn="1" w:noHBand="0" w:noVBand="0"/>
      </w:tblPr>
      <w:tblGrid>
        <w:gridCol w:w="7372"/>
        <w:gridCol w:w="1700"/>
      </w:tblGrid>
      <w:tr w:rsidR="00575A3E" w:rsidRPr="00575A3E" w14:paraId="01DA8197" w14:textId="77777777" w:rsidTr="006E0E1E">
        <w:tc>
          <w:tcPr>
            <w:tcW w:w="7372" w:type="dxa"/>
            <w:vAlign w:val="bottom"/>
          </w:tcPr>
          <w:bookmarkStart w:id="18" w:name="_Hlk76838195"/>
          <w:p w14:paraId="0E8F2141" w14:textId="3719985D" w:rsidR="00F479EF" w:rsidRPr="00575A3E" w:rsidRDefault="00000000" w:rsidP="009714CE">
            <w:pPr>
              <w:spacing w:line="360" w:lineRule="auto"/>
              <w:rPr>
                <w:szCs w:val="22"/>
                <w:lang w:val="en-GB"/>
              </w:rPr>
            </w:pPr>
            <m:oMathPara>
              <m:oMathParaPr>
                <m:jc m:val="center"/>
              </m:oMathParaP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Tech</m:t>
                    </m:r>
                  </m:sub>
                </m:sSub>
                <m:r>
                  <w:rPr>
                    <w:rFonts w:ascii="Cambria Math" w:hAnsi="Cambria Math"/>
                    <w:szCs w:val="22"/>
                    <w:lang w:val="en-GB"/>
                  </w:rPr>
                  <m:t>=</m:t>
                </m:r>
                <m:nary>
                  <m:naryPr>
                    <m:chr m:val="∑"/>
                    <m:limLoc m:val="undOvr"/>
                    <m:ctrlPr>
                      <w:rPr>
                        <w:rFonts w:ascii="Cambria Math" w:hAnsi="Cambria Math"/>
                        <w:i/>
                        <w:szCs w:val="22"/>
                        <w:lang w:val="en-GB"/>
                      </w:rPr>
                    </m:ctrlPr>
                  </m:naryPr>
                  <m:sub>
                    <m:r>
                      <w:rPr>
                        <w:rFonts w:ascii="Cambria Math" w:hAnsi="Cambria Math"/>
                        <w:szCs w:val="22"/>
                        <w:lang w:val="en-GB"/>
                      </w:rPr>
                      <m:t>t=1</m:t>
                    </m:r>
                  </m:sub>
                  <m:sup>
                    <m:r>
                      <w:rPr>
                        <w:rFonts w:ascii="Cambria Math" w:hAnsi="Cambria Math"/>
                        <w:szCs w:val="22"/>
                        <w:lang w:val="en-GB"/>
                      </w:rPr>
                      <m:t>3</m:t>
                    </m:r>
                  </m:sup>
                  <m:e>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t</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E</m:t>
                        </m:r>
                      </m:e>
                      <m:sub>
                        <m:r>
                          <w:rPr>
                            <w:rFonts w:ascii="Cambria Math" w:hAnsi="Cambria Math"/>
                            <w:szCs w:val="22"/>
                            <w:lang w:val="en-GB"/>
                          </w:rPr>
                          <m:t>t</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T</m:t>
                        </m:r>
                      </m:e>
                      <m:sub>
                        <m:r>
                          <w:rPr>
                            <w:rFonts w:ascii="Cambria Math" w:hAnsi="Cambria Math"/>
                            <w:szCs w:val="22"/>
                            <w:lang w:val="en-GB"/>
                          </w:rPr>
                          <m:t>t</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t</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M</m:t>
                        </m:r>
                      </m:e>
                      <m:sub>
                        <m:r>
                          <w:rPr>
                            <w:rFonts w:ascii="Cambria Math" w:hAnsi="Cambria Math"/>
                            <w:szCs w:val="22"/>
                            <w:lang w:val="en-GB"/>
                          </w:rPr>
                          <m:t>t</m:t>
                        </m:r>
                      </m:sub>
                    </m:sSub>
                    <m:r>
                      <w:rPr>
                        <w:rFonts w:ascii="Cambria Math" w:hAnsi="Cambria Math"/>
                        <w:szCs w:val="22"/>
                        <w:lang w:val="en-GB"/>
                      </w:rPr>
                      <m:t>+</m:t>
                    </m:r>
                    <m:sSub>
                      <m:sSubPr>
                        <m:ctrlPr>
                          <w:rPr>
                            <w:rFonts w:ascii="Cambria Math" w:hAnsi="Cambria Math"/>
                            <w:i/>
                            <w:szCs w:val="22"/>
                            <w:lang w:val="en-GB"/>
                          </w:rPr>
                        </m:ctrlPr>
                      </m:sSubPr>
                      <m:e>
                        <m:r>
                          <w:rPr>
                            <w:rFonts w:ascii="Cambria Math" w:hAnsi="Cambria Math"/>
                            <w:szCs w:val="22"/>
                            <w:lang w:val="en-GB"/>
                          </w:rPr>
                          <m:t>I</m:t>
                        </m:r>
                      </m:e>
                      <m:sub>
                        <m:r>
                          <w:rPr>
                            <w:rFonts w:ascii="Cambria Math" w:hAnsi="Cambria Math"/>
                            <w:szCs w:val="22"/>
                            <w:lang w:val="en-GB"/>
                          </w:rPr>
                          <m:t>t</m:t>
                        </m:r>
                      </m:sub>
                    </m:sSub>
                    <m:r>
                      <w:rPr>
                        <w:rFonts w:ascii="Cambria Math" w:hAnsi="Cambria Math"/>
                        <w:szCs w:val="22"/>
                        <w:lang w:val="en-GB"/>
                      </w:rPr>
                      <m:t>)/</m:t>
                    </m:r>
                    <m:sSup>
                      <m:sSupPr>
                        <m:ctrlPr>
                          <w:rPr>
                            <w:rFonts w:ascii="Cambria Math" w:hAnsi="Cambria Math"/>
                            <w:szCs w:val="22"/>
                            <w:lang w:val="en-GB"/>
                          </w:rPr>
                        </m:ctrlPr>
                      </m:sSupPr>
                      <m:e>
                        <m:d>
                          <m:dPr>
                            <m:ctrlPr>
                              <w:rPr>
                                <w:rFonts w:ascii="Cambria Math" w:hAnsi="Cambria Math"/>
                                <w:szCs w:val="22"/>
                                <w:lang w:val="en-GB"/>
                              </w:rPr>
                            </m:ctrlPr>
                          </m:dPr>
                          <m:e>
                            <m:r>
                              <w:rPr>
                                <w:rFonts w:ascii="Cambria Math" w:hAnsi="Cambria Math"/>
                                <w:szCs w:val="22"/>
                                <w:lang w:val="en-GB"/>
                              </w:rPr>
                              <m:t>1+r</m:t>
                            </m:r>
                          </m:e>
                        </m:d>
                      </m:e>
                      <m:sup>
                        <m:r>
                          <w:rPr>
                            <w:rFonts w:ascii="Cambria Math" w:hAnsi="Cambria Math"/>
                            <w:szCs w:val="22"/>
                            <w:lang w:val="en-GB"/>
                          </w:rPr>
                          <m:t>t</m:t>
                        </m:r>
                      </m:sup>
                    </m:sSup>
                    <m:r>
                      <w:rPr>
                        <w:rFonts w:ascii="Cambria Math" w:hAnsi="Cambria Math"/>
                        <w:szCs w:val="22"/>
                        <w:lang w:val="en-GB"/>
                      </w:rPr>
                      <m:t>)</m:t>
                    </m:r>
                  </m:e>
                </m:nary>
              </m:oMath>
            </m:oMathPara>
          </w:p>
        </w:tc>
        <w:tc>
          <w:tcPr>
            <w:tcW w:w="1700" w:type="dxa"/>
            <w:vAlign w:val="center"/>
          </w:tcPr>
          <w:p w14:paraId="23FB7C41" w14:textId="35B3D09F" w:rsidR="00F479EF" w:rsidRPr="00575A3E" w:rsidRDefault="00F479EF" w:rsidP="00A55356">
            <w:pPr>
              <w:spacing w:line="360" w:lineRule="auto"/>
              <w:rPr>
                <w:szCs w:val="22"/>
                <w:lang w:val="en-GB"/>
              </w:rPr>
            </w:pPr>
            <w:r w:rsidRPr="00575A3E">
              <w:rPr>
                <w:szCs w:val="22"/>
                <w:lang w:val="en-GB"/>
              </w:rPr>
              <w:t>(</w:t>
            </w:r>
            <w:r w:rsidR="00A55D3E" w:rsidRPr="00575A3E">
              <w:rPr>
                <w:szCs w:val="22"/>
                <w:lang w:val="en-GB"/>
              </w:rPr>
              <w:t>5</w:t>
            </w:r>
            <w:r w:rsidRPr="00575A3E">
              <w:rPr>
                <w:szCs w:val="22"/>
                <w:lang w:val="en-GB"/>
              </w:rPr>
              <w:t>)</w:t>
            </w:r>
          </w:p>
        </w:tc>
      </w:tr>
    </w:tbl>
    <w:bookmarkEnd w:id="18"/>
    <w:p w14:paraId="38649060" w14:textId="1442D3E8" w:rsidR="00F479EF" w:rsidRPr="00575A3E" w:rsidRDefault="00F479EF" w:rsidP="00A55356">
      <w:pPr>
        <w:spacing w:line="360" w:lineRule="auto"/>
        <w:rPr>
          <w:szCs w:val="22"/>
          <w:lang w:val="en-GB"/>
        </w:rPr>
      </w:pPr>
      <w:r w:rsidRPr="00575A3E">
        <w:rPr>
          <w:szCs w:val="22"/>
          <w:lang w:val="en-GB"/>
        </w:rPr>
        <w:t xml:space="preserve">where: </w:t>
      </w:r>
    </w:p>
    <w:p w14:paraId="738DA1E9" w14:textId="76C8EB80" w:rsidR="00F479EF" w:rsidRPr="00575A3E" w:rsidRDefault="00000000" w:rsidP="00A55356">
      <w:pPr>
        <w:spacing w:line="360" w:lineRule="auto"/>
        <w:ind w:left="993" w:hanging="993"/>
        <w:rPr>
          <w:szCs w:val="22"/>
          <w:lang w:val="en-GB"/>
        </w:rPr>
      </w:pP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Tech</m:t>
            </m:r>
          </m:sub>
        </m:sSub>
      </m:oMath>
      <w:r w:rsidR="00F479EF" w:rsidRPr="00575A3E">
        <w:rPr>
          <w:szCs w:val="22"/>
          <w:lang w:val="en-GB"/>
        </w:rPr>
        <w:t xml:space="preserve">: </w:t>
      </w:r>
      <w:r w:rsidR="00D85F27" w:rsidRPr="00575A3E">
        <w:rPr>
          <w:szCs w:val="22"/>
          <w:lang w:val="en-GB"/>
        </w:rPr>
        <w:tab/>
        <w:t>TCO</w:t>
      </w:r>
      <w:r w:rsidR="00F479EF" w:rsidRPr="00575A3E">
        <w:rPr>
          <w:szCs w:val="22"/>
          <w:lang w:val="en-GB"/>
        </w:rPr>
        <w:t xml:space="preserve"> for a specific vehicle technology type</w:t>
      </w:r>
    </w:p>
    <w:p w14:paraId="1B89521F" w14:textId="6B613C0B" w:rsidR="00F479EF" w:rsidRPr="00575A3E" w:rsidRDefault="00000000" w:rsidP="00A55356">
      <w:pPr>
        <w:spacing w:line="360" w:lineRule="auto"/>
        <w:ind w:left="993" w:hanging="993"/>
        <w:rPr>
          <w:szCs w:val="22"/>
          <w:lang w:val="en-GB"/>
        </w:rPr>
      </w:pPr>
      <m:oMath>
        <m:sSub>
          <m:sSubPr>
            <m:ctrlPr>
              <w:rPr>
                <w:rFonts w:ascii="Cambria Math" w:hAnsi="Cambria Math"/>
                <w:i/>
                <w:szCs w:val="22"/>
                <w:lang w:val="en-GB"/>
              </w:rPr>
            </m:ctrlPr>
          </m:sSubPr>
          <m:e>
            <m:r>
              <w:rPr>
                <w:rFonts w:ascii="Cambria Math" w:hAnsi="Cambria Math"/>
                <w:szCs w:val="22"/>
                <w:lang w:val="en-GB"/>
              </w:rPr>
              <m:t>D</m:t>
            </m:r>
          </m:e>
          <m:sub>
            <m:r>
              <w:rPr>
                <w:rFonts w:ascii="Cambria Math" w:hAnsi="Cambria Math"/>
                <w:szCs w:val="22"/>
                <w:lang w:val="en-GB"/>
              </w:rPr>
              <m:t>t</m:t>
            </m:r>
          </m:sub>
        </m:sSub>
      </m:oMath>
      <w:r w:rsidR="00F479EF" w:rsidRPr="00575A3E">
        <w:rPr>
          <w:szCs w:val="22"/>
          <w:lang w:val="en-GB"/>
        </w:rPr>
        <w:t xml:space="preserve">: </w:t>
      </w:r>
      <w:r w:rsidR="00D85F27" w:rsidRPr="00575A3E">
        <w:rPr>
          <w:szCs w:val="22"/>
          <w:lang w:val="en-GB"/>
        </w:rPr>
        <w:tab/>
      </w:r>
      <w:r w:rsidR="009714CE" w:rsidRPr="00575A3E">
        <w:rPr>
          <w:szCs w:val="22"/>
          <w:lang w:val="en-GB"/>
        </w:rPr>
        <w:t>Annual depreciation costs</w:t>
      </w:r>
    </w:p>
    <w:p w14:paraId="7E202714" w14:textId="5541B815" w:rsidR="00F479EF" w:rsidRPr="00575A3E" w:rsidRDefault="00000000" w:rsidP="00A55356">
      <w:pPr>
        <w:spacing w:line="360" w:lineRule="auto"/>
        <w:ind w:left="993" w:hanging="993"/>
        <w:rPr>
          <w:szCs w:val="22"/>
          <w:lang w:val="en-GB"/>
        </w:rPr>
      </w:pPr>
      <m:oMath>
        <m:sSub>
          <m:sSubPr>
            <m:ctrlPr>
              <w:rPr>
                <w:rFonts w:ascii="Cambria Math" w:hAnsi="Cambria Math"/>
                <w:i/>
                <w:szCs w:val="22"/>
                <w:lang w:val="en-GB"/>
              </w:rPr>
            </m:ctrlPr>
          </m:sSubPr>
          <m:e>
            <m:r>
              <w:rPr>
                <w:rFonts w:ascii="Cambria Math" w:hAnsi="Cambria Math"/>
                <w:szCs w:val="22"/>
                <w:lang w:val="en-GB"/>
              </w:rPr>
              <m:t>E</m:t>
            </m:r>
          </m:e>
          <m:sub>
            <m:r>
              <w:rPr>
                <w:rFonts w:ascii="Cambria Math" w:hAnsi="Cambria Math"/>
                <w:szCs w:val="22"/>
                <w:lang w:val="en-GB"/>
              </w:rPr>
              <m:t>t</m:t>
            </m:r>
          </m:sub>
        </m:sSub>
      </m:oMath>
      <w:r w:rsidR="00F479EF" w:rsidRPr="00575A3E">
        <w:rPr>
          <w:szCs w:val="22"/>
          <w:lang w:val="en-GB"/>
        </w:rPr>
        <w:t xml:space="preserve">: </w:t>
      </w:r>
      <w:r w:rsidR="00D85F27" w:rsidRPr="00575A3E">
        <w:rPr>
          <w:szCs w:val="22"/>
          <w:lang w:val="en-GB"/>
        </w:rPr>
        <w:tab/>
      </w:r>
      <w:r w:rsidR="009714CE" w:rsidRPr="00575A3E">
        <w:rPr>
          <w:szCs w:val="22"/>
          <w:lang w:val="en-GB"/>
        </w:rPr>
        <w:t>Annual fuel costs</w:t>
      </w:r>
    </w:p>
    <w:p w14:paraId="328836D5" w14:textId="37F78968" w:rsidR="00F479EF" w:rsidRPr="00575A3E" w:rsidRDefault="00000000" w:rsidP="00A55356">
      <w:pPr>
        <w:spacing w:line="360" w:lineRule="auto"/>
        <w:ind w:left="993" w:hanging="993"/>
        <w:rPr>
          <w:szCs w:val="22"/>
          <w:lang w:val="en-GB"/>
        </w:rPr>
      </w:pPr>
      <m:oMath>
        <m:sSub>
          <m:sSubPr>
            <m:ctrlPr>
              <w:rPr>
                <w:rFonts w:ascii="Cambria Math" w:hAnsi="Cambria Math"/>
                <w:i/>
                <w:szCs w:val="22"/>
                <w:lang w:val="en-GB"/>
              </w:rPr>
            </m:ctrlPr>
          </m:sSubPr>
          <m:e>
            <m:r>
              <w:rPr>
                <w:rFonts w:ascii="Cambria Math" w:hAnsi="Cambria Math"/>
                <w:szCs w:val="22"/>
                <w:lang w:val="en-GB"/>
              </w:rPr>
              <m:t>T</m:t>
            </m:r>
          </m:e>
          <m:sub>
            <m:r>
              <w:rPr>
                <w:rFonts w:ascii="Cambria Math" w:hAnsi="Cambria Math"/>
                <w:szCs w:val="22"/>
                <w:lang w:val="en-GB"/>
              </w:rPr>
              <m:t>t</m:t>
            </m:r>
          </m:sub>
        </m:sSub>
      </m:oMath>
      <w:r w:rsidR="00F479EF" w:rsidRPr="00575A3E">
        <w:rPr>
          <w:szCs w:val="22"/>
          <w:lang w:val="en-GB"/>
        </w:rPr>
        <w:t xml:space="preserve">: </w:t>
      </w:r>
      <w:r w:rsidR="00D85F27" w:rsidRPr="00575A3E">
        <w:rPr>
          <w:szCs w:val="22"/>
          <w:lang w:val="en-GB"/>
        </w:rPr>
        <w:tab/>
      </w:r>
      <w:r w:rsidR="009714CE" w:rsidRPr="00575A3E">
        <w:rPr>
          <w:szCs w:val="22"/>
          <w:lang w:val="en-GB"/>
        </w:rPr>
        <w:t>Annual Tax</w:t>
      </w:r>
    </w:p>
    <w:p w14:paraId="2EAC59EE" w14:textId="556974D0" w:rsidR="00F479EF" w:rsidRPr="00575A3E" w:rsidRDefault="00000000" w:rsidP="00A55356">
      <w:pPr>
        <w:spacing w:line="360" w:lineRule="auto"/>
        <w:ind w:left="993" w:hanging="993"/>
        <w:rPr>
          <w:szCs w:val="22"/>
          <w:lang w:val="en-GB"/>
        </w:rPr>
      </w:pPr>
      <m:oMath>
        <m:sSub>
          <m:sSubPr>
            <m:ctrlPr>
              <w:rPr>
                <w:rFonts w:ascii="Cambria Math" w:hAnsi="Cambria Math"/>
                <w:i/>
                <w:szCs w:val="22"/>
                <w:lang w:val="en-GB"/>
              </w:rPr>
            </m:ctrlPr>
          </m:sSubPr>
          <m:e>
            <m:r>
              <w:rPr>
                <w:rFonts w:ascii="Cambria Math" w:hAnsi="Cambria Math"/>
                <w:szCs w:val="22"/>
                <w:lang w:val="en-GB"/>
              </w:rPr>
              <m:t>F</m:t>
            </m:r>
          </m:e>
          <m:sub>
            <m:r>
              <w:rPr>
                <w:rFonts w:ascii="Cambria Math" w:hAnsi="Cambria Math"/>
                <w:szCs w:val="22"/>
                <w:lang w:val="en-GB"/>
              </w:rPr>
              <m:t>t</m:t>
            </m:r>
          </m:sub>
        </m:sSub>
      </m:oMath>
      <w:r w:rsidR="00F479EF" w:rsidRPr="00575A3E">
        <w:rPr>
          <w:szCs w:val="22"/>
          <w:lang w:val="en-GB"/>
        </w:rPr>
        <w:t xml:space="preserve">: </w:t>
      </w:r>
      <w:r w:rsidR="00D85F27" w:rsidRPr="00575A3E">
        <w:rPr>
          <w:szCs w:val="22"/>
          <w:lang w:val="en-GB"/>
        </w:rPr>
        <w:tab/>
      </w:r>
      <w:r w:rsidR="009714CE" w:rsidRPr="00575A3E">
        <w:rPr>
          <w:szCs w:val="22"/>
          <w:lang w:val="en-GB"/>
        </w:rPr>
        <w:t>Annual financing costs</w:t>
      </w:r>
    </w:p>
    <w:p w14:paraId="2502BD0E" w14:textId="0D133C9D" w:rsidR="00F479EF" w:rsidRPr="00575A3E" w:rsidRDefault="00000000" w:rsidP="00A55356">
      <w:pPr>
        <w:spacing w:line="360" w:lineRule="auto"/>
        <w:ind w:left="993" w:hanging="993"/>
        <w:rPr>
          <w:szCs w:val="22"/>
          <w:lang w:val="en-GB"/>
        </w:rPr>
      </w:pPr>
      <m:oMath>
        <m:sSub>
          <m:sSubPr>
            <m:ctrlPr>
              <w:rPr>
                <w:rFonts w:ascii="Cambria Math" w:hAnsi="Cambria Math"/>
                <w:i/>
                <w:szCs w:val="22"/>
                <w:lang w:val="en-GB"/>
              </w:rPr>
            </m:ctrlPr>
          </m:sSubPr>
          <m:e>
            <m:r>
              <w:rPr>
                <w:rFonts w:ascii="Cambria Math" w:hAnsi="Cambria Math"/>
                <w:szCs w:val="22"/>
                <w:lang w:val="en-GB"/>
              </w:rPr>
              <m:t>M</m:t>
            </m:r>
          </m:e>
          <m:sub>
            <m:r>
              <w:rPr>
                <w:rFonts w:ascii="Cambria Math" w:hAnsi="Cambria Math"/>
                <w:szCs w:val="22"/>
                <w:lang w:val="en-GB"/>
              </w:rPr>
              <m:t>t</m:t>
            </m:r>
          </m:sub>
        </m:sSub>
      </m:oMath>
      <w:r w:rsidR="00F479EF" w:rsidRPr="00575A3E">
        <w:rPr>
          <w:szCs w:val="22"/>
          <w:lang w:val="en-GB"/>
        </w:rPr>
        <w:t xml:space="preserve">: </w:t>
      </w:r>
      <w:r w:rsidR="00D85F27" w:rsidRPr="00575A3E">
        <w:rPr>
          <w:szCs w:val="22"/>
          <w:lang w:val="en-GB"/>
        </w:rPr>
        <w:tab/>
      </w:r>
      <w:r w:rsidR="009714CE" w:rsidRPr="00575A3E">
        <w:rPr>
          <w:szCs w:val="22"/>
          <w:lang w:val="en-GB"/>
        </w:rPr>
        <w:t>Annual maintenance costs</w:t>
      </w:r>
    </w:p>
    <w:p w14:paraId="751B8166" w14:textId="3D6B51BC" w:rsidR="00F479EF" w:rsidRPr="00575A3E" w:rsidRDefault="00000000" w:rsidP="00A55356">
      <w:pPr>
        <w:spacing w:line="360" w:lineRule="auto"/>
        <w:ind w:left="993" w:hanging="993"/>
        <w:rPr>
          <w:szCs w:val="22"/>
          <w:lang w:val="en-GB"/>
        </w:rPr>
      </w:pPr>
      <m:oMath>
        <m:sSub>
          <m:sSubPr>
            <m:ctrlPr>
              <w:rPr>
                <w:rFonts w:ascii="Cambria Math" w:hAnsi="Cambria Math"/>
                <w:i/>
                <w:szCs w:val="22"/>
                <w:lang w:val="en-GB"/>
              </w:rPr>
            </m:ctrlPr>
          </m:sSubPr>
          <m:e>
            <m:r>
              <w:rPr>
                <w:rFonts w:ascii="Cambria Math" w:hAnsi="Cambria Math"/>
                <w:szCs w:val="22"/>
                <w:lang w:val="en-GB"/>
              </w:rPr>
              <m:t>I</m:t>
            </m:r>
          </m:e>
          <m:sub>
            <m:r>
              <w:rPr>
                <w:rFonts w:ascii="Cambria Math" w:hAnsi="Cambria Math"/>
                <w:szCs w:val="22"/>
                <w:lang w:val="en-GB"/>
              </w:rPr>
              <m:t>t</m:t>
            </m:r>
          </m:sub>
        </m:sSub>
      </m:oMath>
      <w:r w:rsidR="00F479EF" w:rsidRPr="00575A3E">
        <w:rPr>
          <w:szCs w:val="22"/>
          <w:lang w:val="en-GB"/>
        </w:rPr>
        <w:t xml:space="preserve">: </w:t>
      </w:r>
      <w:r w:rsidR="00D85F27" w:rsidRPr="00575A3E">
        <w:rPr>
          <w:szCs w:val="22"/>
          <w:lang w:val="en-GB"/>
        </w:rPr>
        <w:tab/>
      </w:r>
      <w:r w:rsidR="009714CE" w:rsidRPr="00575A3E">
        <w:rPr>
          <w:szCs w:val="22"/>
          <w:lang w:val="en-GB"/>
        </w:rPr>
        <w:t>Annual insurance costs</w:t>
      </w:r>
    </w:p>
    <w:p w14:paraId="5951258F" w14:textId="45D40B2D" w:rsidR="00F479EF" w:rsidRPr="00575A3E" w:rsidRDefault="00F479EF" w:rsidP="00A55356">
      <w:pPr>
        <w:spacing w:line="360" w:lineRule="auto"/>
        <w:ind w:left="993" w:hanging="993"/>
        <w:rPr>
          <w:szCs w:val="22"/>
          <w:lang w:val="en-GB"/>
        </w:rPr>
      </w:pPr>
      <m:oMath>
        <m:r>
          <w:rPr>
            <w:rFonts w:ascii="Cambria Math" w:hAnsi="Cambria Math"/>
            <w:szCs w:val="22"/>
            <w:lang w:val="en-GB"/>
          </w:rPr>
          <m:t>r</m:t>
        </m:r>
      </m:oMath>
      <w:r w:rsidRPr="00575A3E">
        <w:rPr>
          <w:szCs w:val="22"/>
          <w:lang w:val="en-GB"/>
        </w:rPr>
        <w:t xml:space="preserve">: </w:t>
      </w:r>
      <w:r w:rsidR="00D85F27" w:rsidRPr="00575A3E">
        <w:rPr>
          <w:szCs w:val="22"/>
          <w:lang w:val="en-GB"/>
        </w:rPr>
        <w:tab/>
      </w:r>
      <w:r w:rsidR="006F7956" w:rsidRPr="00575A3E">
        <w:rPr>
          <w:szCs w:val="22"/>
          <w:lang w:val="en-GB"/>
        </w:rPr>
        <w:t>D</w:t>
      </w:r>
      <w:r w:rsidRPr="00575A3E">
        <w:rPr>
          <w:szCs w:val="22"/>
          <w:lang w:val="en-GB"/>
        </w:rPr>
        <w:t>iscount rate</w:t>
      </w:r>
      <w:bookmarkStart w:id="19" w:name="_Hlk49693647"/>
      <w:bookmarkEnd w:id="19"/>
    </w:p>
    <w:p w14:paraId="191AD68A" w14:textId="4885E6DB" w:rsidR="00F479EF" w:rsidRPr="00575A3E" w:rsidRDefault="00F479EF" w:rsidP="00A55356">
      <w:pPr>
        <w:spacing w:line="360" w:lineRule="auto"/>
        <w:ind w:left="993" w:hanging="993"/>
        <w:rPr>
          <w:szCs w:val="22"/>
          <w:lang w:val="en-GB"/>
        </w:rPr>
      </w:pPr>
      <m:oMath>
        <m:r>
          <w:rPr>
            <w:rFonts w:ascii="Cambria Math" w:hAnsi="Cambria Math"/>
            <w:szCs w:val="22"/>
            <w:lang w:val="en-GB"/>
          </w:rPr>
          <m:t>t</m:t>
        </m:r>
      </m:oMath>
      <w:r w:rsidRPr="00575A3E">
        <w:rPr>
          <w:szCs w:val="22"/>
          <w:lang w:val="en-GB"/>
        </w:rPr>
        <w:t xml:space="preserve">: </w:t>
      </w:r>
      <w:r w:rsidR="00D85F27" w:rsidRPr="00575A3E">
        <w:rPr>
          <w:szCs w:val="22"/>
          <w:lang w:val="en-GB"/>
        </w:rPr>
        <w:tab/>
      </w:r>
      <w:r w:rsidR="006F7956" w:rsidRPr="00575A3E">
        <w:rPr>
          <w:szCs w:val="22"/>
          <w:lang w:val="en-GB"/>
        </w:rPr>
        <w:t>Y</w:t>
      </w:r>
      <w:r w:rsidRPr="00575A3E">
        <w:rPr>
          <w:szCs w:val="22"/>
          <w:lang w:val="en-GB"/>
        </w:rPr>
        <w:t>ear of ownership</w:t>
      </w:r>
    </w:p>
    <w:p w14:paraId="42165B11" w14:textId="77777777" w:rsidR="00E30061" w:rsidRPr="00575A3E" w:rsidRDefault="00E30061" w:rsidP="004B2E97">
      <w:pPr>
        <w:spacing w:line="360" w:lineRule="auto"/>
        <w:rPr>
          <w:szCs w:val="22"/>
          <w:lang w:val="en-GB"/>
        </w:rPr>
      </w:pPr>
    </w:p>
    <w:p w14:paraId="1A24FC12" w14:textId="71DB28C6" w:rsidR="00F479EF" w:rsidRPr="00575A3E" w:rsidRDefault="00B85C25" w:rsidP="004B2E97">
      <w:pPr>
        <w:spacing w:line="360" w:lineRule="auto"/>
        <w:rPr>
          <w:szCs w:val="22"/>
          <w:lang w:val="en-GB"/>
        </w:rPr>
      </w:pPr>
      <w:r w:rsidRPr="00575A3E">
        <w:rPr>
          <w:szCs w:val="22"/>
          <w:lang w:val="en-GB"/>
        </w:rPr>
        <w:t>Since different technologies are examined</w:t>
      </w:r>
      <w:r w:rsidR="00F479EF" w:rsidRPr="00575A3E">
        <w:rPr>
          <w:szCs w:val="22"/>
          <w:lang w:val="en-GB"/>
        </w:rPr>
        <w:t xml:space="preserve"> in</w:t>
      </w:r>
      <w:r w:rsidRPr="00575A3E">
        <w:rPr>
          <w:szCs w:val="22"/>
          <w:lang w:val="en-GB"/>
        </w:rPr>
        <w:t xml:space="preserve"> each simulation</w:t>
      </w:r>
      <w:r w:rsidR="00F479EF" w:rsidRPr="00575A3E">
        <w:rPr>
          <w:szCs w:val="22"/>
          <w:lang w:val="en-GB"/>
        </w:rPr>
        <w:t xml:space="preserve"> year</w:t>
      </w:r>
      <w:r w:rsidRPr="00575A3E">
        <w:rPr>
          <w:szCs w:val="22"/>
          <w:lang w:val="en-GB"/>
        </w:rPr>
        <w:t xml:space="preserve"> and both used and new cars </w:t>
      </w:r>
      <w:r w:rsidR="00D85F27" w:rsidRPr="00575A3E">
        <w:rPr>
          <w:szCs w:val="22"/>
          <w:lang w:val="en-GB"/>
        </w:rPr>
        <w:t>(which have different initial purchase costs) co-</w:t>
      </w:r>
      <w:r w:rsidRPr="00575A3E">
        <w:rPr>
          <w:szCs w:val="22"/>
          <w:lang w:val="en-GB"/>
        </w:rPr>
        <w:t>exist</w:t>
      </w:r>
      <w:r w:rsidR="00D85F27" w:rsidRPr="00575A3E">
        <w:rPr>
          <w:szCs w:val="22"/>
          <w:lang w:val="en-GB"/>
        </w:rPr>
        <w:t xml:space="preserve"> in the fleet</w:t>
      </w:r>
      <w:r w:rsidR="00F479EF" w:rsidRPr="00575A3E">
        <w:rPr>
          <w:szCs w:val="22"/>
          <w:lang w:val="en-GB"/>
        </w:rPr>
        <w:t xml:space="preserve">, </w:t>
      </w:r>
      <w:r w:rsidRPr="00575A3E">
        <w:rPr>
          <w:szCs w:val="22"/>
          <w:lang w:val="en-GB"/>
        </w:rPr>
        <w:t>the</w:t>
      </w:r>
      <w:r w:rsidR="00F479EF" w:rsidRPr="00575A3E">
        <w:rPr>
          <w:szCs w:val="22"/>
          <w:lang w:val="en-GB"/>
        </w:rPr>
        <w:t xml:space="preserve"> proportion</w:t>
      </w:r>
      <w:r w:rsidRPr="00575A3E">
        <w:rPr>
          <w:szCs w:val="22"/>
          <w:lang w:val="en-GB"/>
        </w:rPr>
        <w:t xml:space="preserve">s </w:t>
      </w:r>
      <w:r w:rsidR="005A2F9A" w:rsidRPr="00575A3E">
        <w:rPr>
          <w:szCs w:val="22"/>
          <w:lang w:val="en-GB"/>
        </w:rPr>
        <w:t>of</w:t>
      </w:r>
      <w:r w:rsidR="00F479EF" w:rsidRPr="00575A3E">
        <w:rPr>
          <w:szCs w:val="22"/>
          <w:lang w:val="en-GB"/>
        </w:rPr>
        <w:t xml:space="preserve"> new </w:t>
      </w:r>
      <w:r w:rsidRPr="00575A3E">
        <w:rPr>
          <w:szCs w:val="22"/>
          <w:lang w:val="en-GB"/>
        </w:rPr>
        <w:t xml:space="preserve">and used </w:t>
      </w:r>
      <w:r w:rsidR="00F479EF" w:rsidRPr="00575A3E">
        <w:rPr>
          <w:szCs w:val="22"/>
          <w:lang w:val="en-GB"/>
        </w:rPr>
        <w:t xml:space="preserve">vehicles of each technology in </w:t>
      </w:r>
      <w:r w:rsidR="00E30061" w:rsidRPr="00575A3E">
        <w:rPr>
          <w:szCs w:val="22"/>
          <w:lang w:val="en-GB"/>
        </w:rPr>
        <w:t xml:space="preserve">the </w:t>
      </w:r>
      <w:r w:rsidR="00F479EF" w:rsidRPr="00575A3E">
        <w:rPr>
          <w:szCs w:val="22"/>
          <w:lang w:val="en-GB"/>
        </w:rPr>
        <w:t>car fleet</w:t>
      </w:r>
      <w:r w:rsidRPr="00575A3E">
        <w:rPr>
          <w:szCs w:val="22"/>
          <w:lang w:val="en-GB"/>
        </w:rPr>
        <w:t xml:space="preserve">, </w:t>
      </w:r>
      <m:oMath>
        <m:sSup>
          <m:sSupPr>
            <m:ctrlPr>
              <w:rPr>
                <w:rFonts w:ascii="Cambria Math" w:hAnsi="Cambria Math"/>
                <w:szCs w:val="22"/>
                <w:lang w:val="en-GB"/>
              </w:rPr>
            </m:ctrlPr>
          </m:sSup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N,Y</m:t>
                </m:r>
              </m:sub>
            </m:sSub>
          </m:e>
          <m:sup>
            <m:r>
              <w:rPr>
                <w:rFonts w:ascii="Cambria Math" w:hAnsi="Cambria Math"/>
                <w:szCs w:val="22"/>
                <w:lang w:val="en-GB"/>
              </w:rPr>
              <m:t>Tech</m:t>
            </m:r>
          </m:sup>
        </m:sSup>
      </m:oMath>
      <w:r w:rsidRPr="00575A3E">
        <w:rPr>
          <w:szCs w:val="22"/>
          <w:lang w:val="en-GB"/>
        </w:rPr>
        <w:t xml:space="preserve"> and </w:t>
      </w:r>
      <m:oMath>
        <m:sSup>
          <m:sSupPr>
            <m:ctrlPr>
              <w:rPr>
                <w:rFonts w:ascii="Cambria Math" w:hAnsi="Cambria Math"/>
                <w:szCs w:val="22"/>
                <w:lang w:val="en-GB"/>
              </w:rPr>
            </m:ctrlPr>
          </m:sSup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U,Y</m:t>
                </m:r>
              </m:sub>
            </m:sSub>
          </m:e>
          <m:sup>
            <m:r>
              <w:rPr>
                <w:rFonts w:ascii="Cambria Math" w:hAnsi="Cambria Math"/>
                <w:szCs w:val="22"/>
                <w:lang w:val="en-GB"/>
              </w:rPr>
              <m:t>Tech</m:t>
            </m:r>
          </m:sup>
        </m:sSup>
      </m:oMath>
      <w:r w:rsidRPr="00575A3E">
        <w:rPr>
          <w:szCs w:val="22"/>
          <w:lang w:val="en-GB"/>
        </w:rPr>
        <w:t xml:space="preserve"> respectively,</w:t>
      </w:r>
      <w:r w:rsidR="00F479EF" w:rsidRPr="00575A3E">
        <w:rPr>
          <w:szCs w:val="22"/>
          <w:lang w:val="en-GB"/>
        </w:rPr>
        <w:t xml:space="preserve"> </w:t>
      </w:r>
      <w:r w:rsidRPr="00575A3E">
        <w:rPr>
          <w:szCs w:val="22"/>
          <w:lang w:val="en-GB"/>
        </w:rPr>
        <w:t>are</w:t>
      </w:r>
      <w:r w:rsidR="00F479EF" w:rsidRPr="00575A3E">
        <w:rPr>
          <w:szCs w:val="22"/>
          <w:lang w:val="en-GB"/>
        </w:rPr>
        <w:t xml:space="preserve"> multiplied with the </w:t>
      </w:r>
      <w:r w:rsidRPr="00575A3E">
        <w:rPr>
          <w:szCs w:val="22"/>
          <w:lang w:val="en-GB"/>
        </w:rPr>
        <w:t xml:space="preserve">estimated </w:t>
      </w:r>
      <w:r w:rsidR="00F479EF" w:rsidRPr="00575A3E">
        <w:rPr>
          <w:szCs w:val="22"/>
          <w:lang w:val="en-GB"/>
        </w:rPr>
        <w:t>TCO</w:t>
      </w:r>
      <w:r w:rsidRPr="00575A3E">
        <w:rPr>
          <w:szCs w:val="22"/>
          <w:lang w:val="en-GB"/>
        </w:rPr>
        <w:t>s</w:t>
      </w:r>
      <w:r w:rsidR="00F479EF" w:rsidRPr="00575A3E">
        <w:rPr>
          <w:szCs w:val="22"/>
          <w:lang w:val="en-GB"/>
        </w:rPr>
        <w:t xml:space="preserve"> </w:t>
      </w:r>
      <w:r w:rsidRPr="00575A3E">
        <w:rPr>
          <w:szCs w:val="22"/>
          <w:lang w:val="en-GB"/>
        </w:rPr>
        <w:t>for</w:t>
      </w:r>
      <w:r w:rsidR="00F479EF" w:rsidRPr="00575A3E">
        <w:rPr>
          <w:szCs w:val="22"/>
          <w:lang w:val="en-GB"/>
        </w:rPr>
        <w:t xml:space="preserve"> each technology and </w:t>
      </w:r>
      <w:r w:rsidRPr="00575A3E">
        <w:rPr>
          <w:szCs w:val="22"/>
          <w:lang w:val="en-GB"/>
        </w:rPr>
        <w:t xml:space="preserve">finally </w:t>
      </w:r>
      <w:r w:rsidR="00F479EF" w:rsidRPr="00575A3E">
        <w:rPr>
          <w:szCs w:val="22"/>
          <w:lang w:val="en-GB"/>
        </w:rPr>
        <w:t>added</w:t>
      </w:r>
      <w:r w:rsidR="00E30061" w:rsidRPr="00575A3E">
        <w:rPr>
          <w:szCs w:val="22"/>
          <w:lang w:val="en-GB"/>
        </w:rPr>
        <w:t xml:space="preserve"> up</w:t>
      </w:r>
      <w:r w:rsidR="00F479EF" w:rsidRPr="00575A3E">
        <w:rPr>
          <w:szCs w:val="22"/>
          <w:lang w:val="en-GB"/>
        </w:rPr>
        <w:t xml:space="preserve"> to find the total TCO of owning a car in the simulation year. This procedure is</w:t>
      </w:r>
      <w:r w:rsidR="002E5767" w:rsidRPr="00575A3E">
        <w:rPr>
          <w:szCs w:val="22"/>
          <w:lang w:val="en-GB"/>
        </w:rPr>
        <w:t xml:space="preserve"> </w:t>
      </w:r>
      <w:r w:rsidR="00F479EF" w:rsidRPr="00575A3E">
        <w:rPr>
          <w:szCs w:val="22"/>
          <w:lang w:val="en-GB"/>
        </w:rPr>
        <w:t xml:space="preserve">presented in </w:t>
      </w:r>
      <w:r w:rsidR="002E5767" w:rsidRPr="00575A3E">
        <w:rPr>
          <w:szCs w:val="22"/>
          <w:lang w:val="en-GB"/>
        </w:rPr>
        <w:t>equations</w:t>
      </w:r>
      <w:r w:rsidR="00F479EF" w:rsidRPr="00575A3E">
        <w:rPr>
          <w:szCs w:val="22"/>
          <w:lang w:val="en-GB"/>
        </w:rPr>
        <w:t xml:space="preserve"> (</w:t>
      </w:r>
      <w:r w:rsidRPr="00575A3E">
        <w:rPr>
          <w:szCs w:val="22"/>
          <w:lang w:val="en-GB"/>
        </w:rPr>
        <w:t>6</w:t>
      </w:r>
      <w:r w:rsidR="00F479EF" w:rsidRPr="00575A3E">
        <w:rPr>
          <w:szCs w:val="22"/>
          <w:lang w:val="en-GB"/>
        </w:rPr>
        <w:t>)</w:t>
      </w:r>
      <w:r w:rsidRPr="00575A3E">
        <w:rPr>
          <w:szCs w:val="22"/>
          <w:lang w:val="en-GB"/>
        </w:rPr>
        <w:t>, (7) and (8)</w:t>
      </w:r>
      <w:r w:rsidR="00044F80" w:rsidRPr="00575A3E">
        <w:rPr>
          <w:szCs w:val="22"/>
          <w:lang w:val="en-GB"/>
        </w:rPr>
        <w:t>. Consequently, for new vehicles</w:t>
      </w:r>
      <w:r w:rsidR="00F479EF" w:rsidRPr="00575A3E">
        <w:rPr>
          <w:szCs w:val="22"/>
          <w:lang w:val="en-GB"/>
        </w:rPr>
        <w:t>:</w:t>
      </w:r>
    </w:p>
    <w:tbl>
      <w:tblPr>
        <w:tblStyle w:val="TableGrid"/>
        <w:tblW w:w="9512" w:type="dxa"/>
        <w:jc w:val="center"/>
        <w:tblLayout w:type="fixed"/>
        <w:tblLook w:val="01E0" w:firstRow="1" w:lastRow="1" w:firstColumn="1" w:lastColumn="1" w:noHBand="0" w:noVBand="0"/>
      </w:tblPr>
      <w:tblGrid>
        <w:gridCol w:w="7938"/>
        <w:gridCol w:w="1574"/>
      </w:tblGrid>
      <w:tr w:rsidR="00575A3E" w:rsidRPr="00575A3E" w14:paraId="2DB3314B" w14:textId="77777777" w:rsidTr="00B85C25">
        <w:trPr>
          <w:jc w:val="center"/>
        </w:trPr>
        <w:tc>
          <w:tcPr>
            <w:tcW w:w="7938" w:type="dxa"/>
            <w:tcBorders>
              <w:top w:val="nil"/>
              <w:left w:val="nil"/>
              <w:bottom w:val="nil"/>
              <w:right w:val="nil"/>
            </w:tcBorders>
            <w:vAlign w:val="center"/>
          </w:tcPr>
          <w:p w14:paraId="152C6F1B" w14:textId="1682C096" w:rsidR="00F479EF" w:rsidRPr="00575A3E" w:rsidRDefault="00000000" w:rsidP="00A55356">
            <w:pPr>
              <w:spacing w:line="360" w:lineRule="auto"/>
              <w:rPr>
                <w:szCs w:val="22"/>
                <w:lang w:val="en-GB"/>
              </w:rPr>
            </w:pPr>
            <m:oMathPara>
              <m:oMathParaPr>
                <m:jc m:val="center"/>
              </m:oMathParaP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N,Y</m:t>
                    </m:r>
                  </m:sub>
                </m:sSub>
                <m:r>
                  <w:rPr>
                    <w:rFonts w:ascii="Cambria Math" w:hAnsi="Cambria Math"/>
                    <w:szCs w:val="22"/>
                    <w:lang w:val="en-GB"/>
                  </w:rPr>
                  <m:t>=</m:t>
                </m:r>
                <m:nary>
                  <m:naryPr>
                    <m:chr m:val="∑"/>
                    <m:ctrlPr>
                      <w:rPr>
                        <w:rFonts w:ascii="Cambria Math" w:hAnsi="Cambria Math"/>
                        <w:szCs w:val="22"/>
                        <w:lang w:val="en-GB"/>
                      </w:rPr>
                    </m:ctrlPr>
                  </m:naryPr>
                  <m:sub>
                    <m:r>
                      <w:rPr>
                        <w:rFonts w:ascii="Cambria Math" w:hAnsi="Cambria Math"/>
                        <w:szCs w:val="22"/>
                        <w:lang w:val="en-GB"/>
                      </w:rPr>
                      <m:t>Y</m:t>
                    </m:r>
                  </m:sub>
                  <m:sup>
                    <m:r>
                      <w:rPr>
                        <w:rFonts w:ascii="Cambria Math" w:hAnsi="Cambria Math"/>
                        <w:szCs w:val="22"/>
                        <w:lang w:val="en-GB"/>
                      </w:rPr>
                      <m:t>Tech</m:t>
                    </m:r>
                  </m:sup>
                  <m:e>
                    <m:d>
                      <m:dPr>
                        <m:ctrlPr>
                          <w:rPr>
                            <w:rFonts w:ascii="Cambria Math" w:hAnsi="Cambria Math"/>
                            <w:szCs w:val="22"/>
                            <w:lang w:val="en-GB"/>
                          </w:rPr>
                        </m:ctrlPr>
                      </m:dPr>
                      <m:e>
                        <m:sSup>
                          <m:sSupPr>
                            <m:ctrlPr>
                              <w:rPr>
                                <w:rFonts w:ascii="Cambria Math" w:hAnsi="Cambria Math"/>
                                <w:szCs w:val="22"/>
                                <w:lang w:val="en-GB"/>
                              </w:rPr>
                            </m:ctrlPr>
                          </m:sSup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N,Y</m:t>
                                </m:r>
                              </m:sub>
                            </m:sSub>
                          </m:e>
                          <m:sup>
                            <m:r>
                              <w:rPr>
                                <w:rFonts w:ascii="Cambria Math" w:hAnsi="Cambria Math"/>
                                <w:szCs w:val="22"/>
                                <w:lang w:val="en-GB"/>
                              </w:rPr>
                              <m:t>Tech</m:t>
                            </m:r>
                          </m:sup>
                        </m:sSup>
                        <m:r>
                          <w:rPr>
                            <w:rFonts w:ascii="Cambria Math" w:hAnsi="Cambria Math"/>
                            <w:szCs w:val="22"/>
                            <w:lang w:val="en-GB"/>
                          </w:rPr>
                          <m:t>*</m:t>
                        </m:r>
                        <m:sSubSup>
                          <m:sSubSupPr>
                            <m:ctrlPr>
                              <w:rPr>
                                <w:rFonts w:ascii="Cambria Math" w:hAnsi="Cambria Math"/>
                                <w:szCs w:val="22"/>
                                <w:lang w:val="en-GB"/>
                              </w:rPr>
                            </m:ctrlPr>
                          </m:sSubSupPr>
                          <m:e>
                            <m:r>
                              <w:rPr>
                                <w:rFonts w:ascii="Cambria Math" w:hAnsi="Cambria Math"/>
                                <w:szCs w:val="22"/>
                                <w:lang w:val="en-GB"/>
                              </w:rPr>
                              <m:t>TCO</m:t>
                            </m:r>
                          </m:e>
                          <m:sub>
                            <m:r>
                              <w:rPr>
                                <w:rFonts w:ascii="Cambria Math" w:hAnsi="Cambria Math"/>
                                <w:szCs w:val="22"/>
                                <w:lang w:val="en-GB"/>
                              </w:rPr>
                              <m:t>N,Y</m:t>
                            </m:r>
                          </m:sub>
                          <m:sup>
                            <m:r>
                              <w:rPr>
                                <w:rFonts w:ascii="Cambria Math" w:hAnsi="Cambria Math"/>
                                <w:szCs w:val="22"/>
                                <w:lang w:val="en-GB"/>
                              </w:rPr>
                              <m:t>Tech</m:t>
                            </m:r>
                          </m:sup>
                        </m:sSubSup>
                      </m:e>
                    </m:d>
                  </m:e>
                </m:nary>
              </m:oMath>
            </m:oMathPara>
          </w:p>
        </w:tc>
        <w:tc>
          <w:tcPr>
            <w:tcW w:w="1574" w:type="dxa"/>
            <w:tcBorders>
              <w:top w:val="nil"/>
              <w:left w:val="nil"/>
              <w:bottom w:val="nil"/>
              <w:right w:val="nil"/>
            </w:tcBorders>
            <w:vAlign w:val="center"/>
          </w:tcPr>
          <w:p w14:paraId="64AF21DE" w14:textId="620F3FF0" w:rsidR="00F479EF" w:rsidRPr="00575A3E" w:rsidRDefault="00F479EF" w:rsidP="00A55356">
            <w:pPr>
              <w:spacing w:line="360" w:lineRule="auto"/>
              <w:rPr>
                <w:szCs w:val="22"/>
                <w:lang w:val="en-GB"/>
              </w:rPr>
            </w:pPr>
            <w:bookmarkStart w:id="20" w:name="_Ref55150106"/>
            <w:r w:rsidRPr="00575A3E">
              <w:rPr>
                <w:bCs/>
                <w:iCs/>
                <w:szCs w:val="22"/>
                <w:lang w:val="en-GB"/>
              </w:rPr>
              <w:t>(</w:t>
            </w:r>
            <w:r w:rsidR="00A55D3E" w:rsidRPr="00575A3E">
              <w:rPr>
                <w:bCs/>
                <w:iCs/>
                <w:szCs w:val="22"/>
                <w:lang w:val="en-GB"/>
              </w:rPr>
              <w:t>6</w:t>
            </w:r>
            <w:r w:rsidRPr="00575A3E">
              <w:rPr>
                <w:iCs/>
                <w:szCs w:val="22"/>
                <w:lang w:val="en-GB"/>
              </w:rPr>
              <w:t>)</w:t>
            </w:r>
            <w:bookmarkEnd w:id="20"/>
          </w:p>
        </w:tc>
      </w:tr>
    </w:tbl>
    <w:p w14:paraId="4E76D673" w14:textId="6804AD29" w:rsidR="00F479EF" w:rsidRPr="00575A3E" w:rsidRDefault="00F479EF" w:rsidP="00A55356">
      <w:pPr>
        <w:spacing w:line="360" w:lineRule="auto"/>
        <w:rPr>
          <w:szCs w:val="22"/>
          <w:lang w:val="en-GB"/>
        </w:rPr>
      </w:pPr>
      <w:r w:rsidRPr="00575A3E">
        <w:rPr>
          <w:szCs w:val="22"/>
          <w:lang w:val="en-GB"/>
        </w:rPr>
        <w:t xml:space="preserve">where: </w:t>
      </w:r>
    </w:p>
    <w:p w14:paraId="6BEC980B" w14:textId="58B5B587" w:rsidR="00F479EF" w:rsidRPr="00575A3E" w:rsidRDefault="00000000" w:rsidP="00A55356">
      <w:pPr>
        <w:spacing w:line="360" w:lineRule="auto"/>
        <w:ind w:left="993" w:hanging="993"/>
        <w:rPr>
          <w:szCs w:val="22"/>
          <w:lang w:val="en-GB"/>
        </w:rPr>
      </w:pP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N,Y</m:t>
            </m:r>
          </m:sub>
        </m:sSub>
      </m:oMath>
      <w:r w:rsidR="00F479EF" w:rsidRPr="00575A3E">
        <w:rPr>
          <w:szCs w:val="22"/>
          <w:lang w:val="en-GB"/>
        </w:rPr>
        <w:t xml:space="preserve">: </w:t>
      </w:r>
      <w:r w:rsidR="00D85F27" w:rsidRPr="00575A3E">
        <w:rPr>
          <w:szCs w:val="22"/>
          <w:lang w:val="en-GB"/>
        </w:rPr>
        <w:tab/>
        <w:t>TCO</w:t>
      </w:r>
      <w:r w:rsidR="00F479EF" w:rsidRPr="00575A3E">
        <w:rPr>
          <w:szCs w:val="22"/>
          <w:lang w:val="en-GB"/>
        </w:rPr>
        <w:t xml:space="preserve"> of new vehicles for each simulation year </w:t>
      </w:r>
      <w:r w:rsidR="00F479EF" w:rsidRPr="00575A3E">
        <w:rPr>
          <w:i/>
          <w:szCs w:val="22"/>
          <w:lang w:val="en-GB"/>
        </w:rPr>
        <w:t>Y</w:t>
      </w:r>
    </w:p>
    <w:bookmarkStart w:id="21" w:name="_Hlk76977053"/>
    <w:p w14:paraId="6E91DB20" w14:textId="19081D24" w:rsidR="00F479EF" w:rsidRPr="00575A3E" w:rsidRDefault="00000000" w:rsidP="00A55356">
      <w:pPr>
        <w:spacing w:line="360" w:lineRule="auto"/>
        <w:ind w:left="993" w:hanging="993"/>
        <w:rPr>
          <w:szCs w:val="22"/>
          <w:lang w:val="en-GB"/>
        </w:rPr>
      </w:pPr>
      <m:oMath>
        <m:sSup>
          <m:sSupPr>
            <m:ctrlPr>
              <w:rPr>
                <w:rFonts w:ascii="Cambria Math" w:hAnsi="Cambria Math"/>
                <w:szCs w:val="22"/>
                <w:lang w:val="en-GB"/>
              </w:rPr>
            </m:ctrlPr>
          </m:sSup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N,Y</m:t>
                </m:r>
              </m:sub>
            </m:sSub>
          </m:e>
          <m:sup>
            <m:r>
              <w:rPr>
                <w:rFonts w:ascii="Cambria Math" w:hAnsi="Cambria Math"/>
                <w:szCs w:val="22"/>
                <w:lang w:val="en-GB"/>
              </w:rPr>
              <m:t>Tech</m:t>
            </m:r>
          </m:sup>
        </m:sSup>
      </m:oMath>
      <w:bookmarkEnd w:id="21"/>
      <w:r w:rsidR="00D85F27" w:rsidRPr="00575A3E">
        <w:rPr>
          <w:szCs w:val="22"/>
          <w:lang w:val="en-GB"/>
        </w:rPr>
        <w:t>:</w:t>
      </w:r>
      <w:r w:rsidR="00F479EF" w:rsidRPr="00575A3E">
        <w:rPr>
          <w:szCs w:val="22"/>
          <w:lang w:val="en-GB"/>
        </w:rPr>
        <w:t xml:space="preserve"> </w:t>
      </w:r>
      <w:r w:rsidR="00D85F27" w:rsidRPr="00575A3E">
        <w:rPr>
          <w:szCs w:val="22"/>
          <w:lang w:val="en-GB"/>
        </w:rPr>
        <w:tab/>
        <w:t>p</w:t>
      </w:r>
      <w:r w:rsidR="00F479EF" w:rsidRPr="00575A3E">
        <w:rPr>
          <w:szCs w:val="22"/>
          <w:lang w:val="en-GB"/>
        </w:rPr>
        <w:t xml:space="preserve">roportion </w:t>
      </w:r>
      <w:bookmarkStart w:id="22" w:name="_Hlk56973803"/>
      <w:r w:rsidR="00F479EF" w:rsidRPr="00575A3E">
        <w:rPr>
          <w:szCs w:val="22"/>
          <w:lang w:val="en-GB"/>
        </w:rPr>
        <w:t xml:space="preserve">of new vehicles of each technology in the fleet </w:t>
      </w:r>
      <w:bookmarkEnd w:id="22"/>
      <w:r w:rsidR="00F479EF" w:rsidRPr="00575A3E">
        <w:rPr>
          <w:szCs w:val="22"/>
          <w:lang w:val="en-GB"/>
        </w:rPr>
        <w:t xml:space="preserve">and for each simulation year </w:t>
      </w:r>
      <w:r w:rsidR="00F479EF" w:rsidRPr="00575A3E">
        <w:rPr>
          <w:i/>
          <w:szCs w:val="22"/>
          <w:lang w:val="en-GB"/>
        </w:rPr>
        <w:t>Y</w:t>
      </w:r>
    </w:p>
    <w:p w14:paraId="6C9041A6" w14:textId="6AD44702" w:rsidR="00F479EF" w:rsidRPr="00575A3E" w:rsidRDefault="00000000" w:rsidP="00A55356">
      <w:pPr>
        <w:spacing w:line="360" w:lineRule="auto"/>
        <w:ind w:left="993" w:hanging="993"/>
        <w:rPr>
          <w:szCs w:val="22"/>
          <w:lang w:val="en-GB"/>
        </w:rPr>
      </w:pPr>
      <m:oMath>
        <m:sSubSup>
          <m:sSubSupPr>
            <m:ctrlPr>
              <w:rPr>
                <w:rFonts w:ascii="Cambria Math" w:hAnsi="Cambria Math"/>
                <w:szCs w:val="22"/>
                <w:lang w:val="en-GB"/>
              </w:rPr>
            </m:ctrlPr>
          </m:sSubSupPr>
          <m:e>
            <m:r>
              <w:rPr>
                <w:rFonts w:ascii="Cambria Math" w:hAnsi="Cambria Math"/>
                <w:szCs w:val="22"/>
                <w:lang w:val="en-GB"/>
              </w:rPr>
              <m:t>TCO</m:t>
            </m:r>
          </m:e>
          <m:sub>
            <m:r>
              <w:rPr>
                <w:rFonts w:ascii="Cambria Math" w:hAnsi="Cambria Math"/>
                <w:szCs w:val="22"/>
                <w:lang w:val="en-GB"/>
              </w:rPr>
              <m:t>N,Y</m:t>
            </m:r>
          </m:sub>
          <m:sup>
            <m:r>
              <w:rPr>
                <w:rFonts w:ascii="Cambria Math" w:hAnsi="Cambria Math"/>
                <w:szCs w:val="22"/>
                <w:lang w:val="en-GB"/>
              </w:rPr>
              <m:t>Tech</m:t>
            </m:r>
          </m:sup>
        </m:sSubSup>
      </m:oMath>
      <w:r w:rsidR="00F479EF" w:rsidRPr="00575A3E">
        <w:rPr>
          <w:szCs w:val="22"/>
          <w:lang w:val="en-GB"/>
        </w:rPr>
        <w:t xml:space="preserve">: </w:t>
      </w:r>
      <w:r w:rsidR="00D85F27" w:rsidRPr="00575A3E">
        <w:rPr>
          <w:szCs w:val="22"/>
          <w:lang w:val="en-GB"/>
        </w:rPr>
        <w:tab/>
        <w:t>TCO</w:t>
      </w:r>
      <w:r w:rsidR="00F479EF" w:rsidRPr="00575A3E">
        <w:rPr>
          <w:szCs w:val="22"/>
          <w:lang w:val="en-GB"/>
        </w:rPr>
        <w:t xml:space="preserve"> of new vehicles for each vehicle technology for the specific simulation year </w:t>
      </w:r>
      <w:r w:rsidR="00F479EF" w:rsidRPr="00575A3E">
        <w:rPr>
          <w:i/>
          <w:szCs w:val="22"/>
          <w:lang w:val="en-GB"/>
        </w:rPr>
        <w:t>Y</w:t>
      </w:r>
    </w:p>
    <w:p w14:paraId="60C0A517" w14:textId="77777777" w:rsidR="00E30061" w:rsidRPr="00575A3E" w:rsidRDefault="00E30061" w:rsidP="00A55356">
      <w:pPr>
        <w:spacing w:line="360" w:lineRule="auto"/>
        <w:rPr>
          <w:szCs w:val="22"/>
          <w:lang w:val="en-GB"/>
        </w:rPr>
      </w:pPr>
    </w:p>
    <w:p w14:paraId="6326C241" w14:textId="18FDEED8" w:rsidR="00044F80" w:rsidRPr="00575A3E" w:rsidRDefault="00044F80" w:rsidP="00A55356">
      <w:pPr>
        <w:spacing w:line="360" w:lineRule="auto"/>
        <w:rPr>
          <w:szCs w:val="22"/>
          <w:lang w:val="en-GB"/>
        </w:rPr>
      </w:pPr>
      <w:r w:rsidRPr="00575A3E">
        <w:rPr>
          <w:szCs w:val="22"/>
          <w:lang w:val="en-GB"/>
        </w:rPr>
        <w:t>As concerns used vehicles:</w:t>
      </w:r>
    </w:p>
    <w:tbl>
      <w:tblPr>
        <w:tblStyle w:val="TableGrid"/>
        <w:tblW w:w="9512" w:type="dxa"/>
        <w:jc w:val="center"/>
        <w:tblLayout w:type="fixed"/>
        <w:tblLook w:val="01E0" w:firstRow="1" w:lastRow="1" w:firstColumn="1" w:lastColumn="1" w:noHBand="0" w:noVBand="0"/>
      </w:tblPr>
      <w:tblGrid>
        <w:gridCol w:w="7938"/>
        <w:gridCol w:w="1574"/>
      </w:tblGrid>
      <w:tr w:rsidR="00575A3E" w:rsidRPr="00575A3E" w14:paraId="76F35D87" w14:textId="77777777" w:rsidTr="00B85C25">
        <w:trPr>
          <w:jc w:val="center"/>
        </w:trPr>
        <w:tc>
          <w:tcPr>
            <w:tcW w:w="7938" w:type="dxa"/>
            <w:tcBorders>
              <w:top w:val="nil"/>
              <w:left w:val="nil"/>
              <w:bottom w:val="nil"/>
              <w:right w:val="nil"/>
            </w:tcBorders>
            <w:vAlign w:val="center"/>
          </w:tcPr>
          <w:p w14:paraId="39B4AFC2" w14:textId="424A9DB6" w:rsidR="00F479EF" w:rsidRPr="00575A3E" w:rsidRDefault="00000000" w:rsidP="004B2E97">
            <w:pPr>
              <w:spacing w:line="360" w:lineRule="auto"/>
              <w:ind w:firstLine="746"/>
              <w:rPr>
                <w:szCs w:val="22"/>
                <w:lang w:val="en-GB"/>
              </w:rPr>
            </w:pPr>
            <m:oMathPara>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U,Y</m:t>
                    </m:r>
                  </m:sub>
                </m:sSub>
                <m:r>
                  <w:rPr>
                    <w:rFonts w:ascii="Cambria Math" w:hAnsi="Cambria Math"/>
                    <w:szCs w:val="22"/>
                    <w:lang w:val="en-GB"/>
                  </w:rPr>
                  <m:t>=</m:t>
                </m:r>
                <m:nary>
                  <m:naryPr>
                    <m:chr m:val="∑"/>
                    <m:ctrlPr>
                      <w:rPr>
                        <w:rFonts w:ascii="Cambria Math" w:hAnsi="Cambria Math"/>
                        <w:szCs w:val="22"/>
                        <w:lang w:val="en-GB"/>
                      </w:rPr>
                    </m:ctrlPr>
                  </m:naryPr>
                  <m:sub>
                    <m:r>
                      <w:rPr>
                        <w:rFonts w:ascii="Cambria Math" w:hAnsi="Cambria Math"/>
                        <w:szCs w:val="22"/>
                        <w:lang w:val="en-GB"/>
                      </w:rPr>
                      <m:t>Y</m:t>
                    </m:r>
                  </m:sub>
                  <m:sup>
                    <m:r>
                      <w:rPr>
                        <w:rFonts w:ascii="Cambria Math" w:hAnsi="Cambria Math"/>
                        <w:szCs w:val="22"/>
                        <w:lang w:val="en-GB"/>
                      </w:rPr>
                      <m:t>Tech</m:t>
                    </m:r>
                  </m:sup>
                  <m:e>
                    <m:d>
                      <m:dPr>
                        <m:ctrlPr>
                          <w:rPr>
                            <w:rFonts w:ascii="Cambria Math" w:hAnsi="Cambria Math"/>
                            <w:szCs w:val="22"/>
                            <w:lang w:val="en-GB"/>
                          </w:rPr>
                        </m:ctrlPr>
                      </m:dPr>
                      <m:e>
                        <m:sSup>
                          <m:sSupPr>
                            <m:ctrlPr>
                              <w:rPr>
                                <w:rFonts w:ascii="Cambria Math" w:hAnsi="Cambria Math"/>
                                <w:szCs w:val="22"/>
                                <w:lang w:val="en-GB"/>
                              </w:rPr>
                            </m:ctrlPr>
                          </m:sSup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U,Y</m:t>
                                </m:r>
                              </m:sub>
                            </m:sSub>
                          </m:e>
                          <m:sup>
                            <m:r>
                              <w:rPr>
                                <w:rFonts w:ascii="Cambria Math" w:hAnsi="Cambria Math"/>
                                <w:szCs w:val="22"/>
                                <w:lang w:val="en-GB"/>
                              </w:rPr>
                              <m:t>Tech</m:t>
                            </m:r>
                          </m:sup>
                        </m:sSup>
                        <m:r>
                          <w:rPr>
                            <w:rFonts w:ascii="Cambria Math" w:hAnsi="Cambria Math"/>
                            <w:szCs w:val="22"/>
                            <w:lang w:val="en-GB"/>
                          </w:rPr>
                          <m:t>*</m:t>
                        </m:r>
                        <m:sSubSup>
                          <m:sSubSupPr>
                            <m:ctrlPr>
                              <w:rPr>
                                <w:rFonts w:ascii="Cambria Math" w:hAnsi="Cambria Math"/>
                                <w:szCs w:val="22"/>
                                <w:lang w:val="en-GB"/>
                              </w:rPr>
                            </m:ctrlPr>
                          </m:sSubSupPr>
                          <m:e>
                            <m:r>
                              <w:rPr>
                                <w:rFonts w:ascii="Cambria Math" w:hAnsi="Cambria Math"/>
                                <w:szCs w:val="22"/>
                                <w:lang w:val="en-GB"/>
                              </w:rPr>
                              <m:t>TCO</m:t>
                            </m:r>
                          </m:e>
                          <m:sub>
                            <m:r>
                              <w:rPr>
                                <w:rFonts w:ascii="Cambria Math" w:hAnsi="Cambria Math"/>
                                <w:szCs w:val="22"/>
                                <w:lang w:val="en-GB"/>
                              </w:rPr>
                              <m:t>U,Y</m:t>
                            </m:r>
                          </m:sub>
                          <m:sup>
                            <m:r>
                              <w:rPr>
                                <w:rFonts w:ascii="Cambria Math" w:hAnsi="Cambria Math"/>
                                <w:szCs w:val="22"/>
                                <w:lang w:val="en-GB"/>
                              </w:rPr>
                              <m:t>Tech</m:t>
                            </m:r>
                          </m:sup>
                        </m:sSubSup>
                      </m:e>
                    </m:d>
                  </m:e>
                </m:nary>
              </m:oMath>
            </m:oMathPara>
          </w:p>
        </w:tc>
        <w:tc>
          <w:tcPr>
            <w:tcW w:w="1574" w:type="dxa"/>
            <w:tcBorders>
              <w:top w:val="nil"/>
              <w:left w:val="nil"/>
              <w:bottom w:val="nil"/>
              <w:right w:val="nil"/>
            </w:tcBorders>
            <w:vAlign w:val="center"/>
          </w:tcPr>
          <w:p w14:paraId="63C77C2B" w14:textId="0939861D" w:rsidR="00F479EF" w:rsidRPr="00575A3E" w:rsidRDefault="00F479EF" w:rsidP="00A55356">
            <w:pPr>
              <w:spacing w:line="360" w:lineRule="auto"/>
              <w:rPr>
                <w:szCs w:val="22"/>
                <w:lang w:val="en-GB"/>
              </w:rPr>
            </w:pPr>
            <w:bookmarkStart w:id="23" w:name="_Ref55150411"/>
            <w:r w:rsidRPr="00575A3E">
              <w:rPr>
                <w:bCs/>
                <w:iCs/>
                <w:szCs w:val="22"/>
                <w:lang w:val="en-GB"/>
              </w:rPr>
              <w:t>(</w:t>
            </w:r>
            <w:r w:rsidR="00A55D3E" w:rsidRPr="00575A3E">
              <w:rPr>
                <w:iCs/>
                <w:szCs w:val="22"/>
                <w:lang w:val="en-GB"/>
              </w:rPr>
              <w:t>7</w:t>
            </w:r>
            <w:r w:rsidRPr="00575A3E">
              <w:rPr>
                <w:iCs/>
                <w:szCs w:val="22"/>
                <w:lang w:val="en-GB"/>
              </w:rPr>
              <w:t>)</w:t>
            </w:r>
            <w:bookmarkEnd w:id="23"/>
          </w:p>
        </w:tc>
      </w:tr>
    </w:tbl>
    <w:p w14:paraId="7157F110" w14:textId="573EF30A" w:rsidR="00F479EF" w:rsidRPr="00575A3E" w:rsidRDefault="00F479EF" w:rsidP="00A55356">
      <w:pPr>
        <w:spacing w:line="360" w:lineRule="auto"/>
        <w:rPr>
          <w:szCs w:val="22"/>
          <w:lang w:val="en-GB"/>
        </w:rPr>
      </w:pPr>
      <w:r w:rsidRPr="00575A3E">
        <w:rPr>
          <w:szCs w:val="22"/>
          <w:lang w:val="en-GB"/>
        </w:rPr>
        <w:t xml:space="preserve">where: </w:t>
      </w:r>
    </w:p>
    <w:p w14:paraId="6EAC6146" w14:textId="2C1C5AAB" w:rsidR="00F479EF" w:rsidRPr="00575A3E" w:rsidRDefault="00000000" w:rsidP="00A55356">
      <w:pPr>
        <w:spacing w:line="360" w:lineRule="auto"/>
        <w:ind w:left="993" w:hanging="993"/>
        <w:rPr>
          <w:szCs w:val="22"/>
          <w:lang w:val="en-GB"/>
        </w:rPr>
      </w:pP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U,Y</m:t>
            </m:r>
          </m:sub>
        </m:sSub>
      </m:oMath>
      <w:r w:rsidR="00F479EF" w:rsidRPr="00575A3E">
        <w:rPr>
          <w:szCs w:val="22"/>
          <w:lang w:val="en-GB"/>
        </w:rPr>
        <w:t xml:space="preserve">: </w:t>
      </w:r>
      <w:r w:rsidR="00044F80" w:rsidRPr="00575A3E">
        <w:rPr>
          <w:szCs w:val="22"/>
          <w:lang w:val="en-GB"/>
        </w:rPr>
        <w:tab/>
        <w:t>TCO</w:t>
      </w:r>
      <w:r w:rsidR="00F479EF" w:rsidRPr="00575A3E">
        <w:rPr>
          <w:szCs w:val="22"/>
          <w:lang w:val="en-GB"/>
        </w:rPr>
        <w:t xml:space="preserve"> of used vehicles for each simulation year </w:t>
      </w:r>
      <w:r w:rsidR="00F479EF" w:rsidRPr="00575A3E">
        <w:rPr>
          <w:i/>
          <w:szCs w:val="22"/>
          <w:lang w:val="en-GB"/>
        </w:rPr>
        <w:t>Y</w:t>
      </w:r>
    </w:p>
    <w:p w14:paraId="661C9EAF" w14:textId="548DB433" w:rsidR="00F479EF" w:rsidRPr="00575A3E" w:rsidRDefault="00000000" w:rsidP="00A55356">
      <w:pPr>
        <w:spacing w:line="360" w:lineRule="auto"/>
        <w:ind w:left="993" w:hanging="993"/>
        <w:rPr>
          <w:szCs w:val="22"/>
          <w:lang w:val="en-GB"/>
        </w:rPr>
      </w:pPr>
      <m:oMath>
        <m:sSup>
          <m:sSupPr>
            <m:ctrlPr>
              <w:rPr>
                <w:rFonts w:ascii="Cambria Math" w:hAnsi="Cambria Math"/>
                <w:szCs w:val="22"/>
                <w:lang w:val="en-GB"/>
              </w:rPr>
            </m:ctrlPr>
          </m:sSupPr>
          <m:e>
            <m:sSub>
              <m:sSubPr>
                <m:ctrlPr>
                  <w:rPr>
                    <w:rFonts w:ascii="Cambria Math" w:hAnsi="Cambria Math"/>
                    <w:szCs w:val="22"/>
                    <w:lang w:val="en-GB"/>
                  </w:rPr>
                </m:ctrlPr>
              </m:sSubPr>
              <m:e>
                <m:r>
                  <w:rPr>
                    <w:rFonts w:ascii="Cambria Math" w:hAnsi="Cambria Math"/>
                    <w:szCs w:val="22"/>
                    <w:lang w:val="en-GB"/>
                  </w:rPr>
                  <m:t>P</m:t>
                </m:r>
              </m:e>
              <m:sub>
                <m:r>
                  <w:rPr>
                    <w:rFonts w:ascii="Cambria Math" w:hAnsi="Cambria Math"/>
                    <w:szCs w:val="22"/>
                    <w:lang w:val="en-GB"/>
                  </w:rPr>
                  <m:t>U,Y</m:t>
                </m:r>
              </m:sub>
            </m:sSub>
          </m:e>
          <m:sup>
            <m:r>
              <w:rPr>
                <w:rFonts w:ascii="Cambria Math" w:hAnsi="Cambria Math"/>
                <w:szCs w:val="22"/>
                <w:lang w:val="en-GB"/>
              </w:rPr>
              <m:t>Tech</m:t>
            </m:r>
          </m:sup>
        </m:sSup>
      </m:oMath>
      <w:r w:rsidR="00F479EF" w:rsidRPr="00575A3E">
        <w:rPr>
          <w:szCs w:val="22"/>
          <w:lang w:val="en-GB"/>
        </w:rPr>
        <w:t xml:space="preserve">: </w:t>
      </w:r>
      <w:r w:rsidR="00044F80" w:rsidRPr="00575A3E">
        <w:rPr>
          <w:szCs w:val="22"/>
          <w:lang w:val="en-GB"/>
        </w:rPr>
        <w:tab/>
      </w:r>
      <w:r w:rsidR="00F479EF" w:rsidRPr="00575A3E">
        <w:rPr>
          <w:szCs w:val="22"/>
          <w:lang w:val="en-GB"/>
        </w:rPr>
        <w:t xml:space="preserve">Proportion of used vehicles of each technology in the fleet and for each simulation year </w:t>
      </w:r>
      <w:r w:rsidR="00F479EF" w:rsidRPr="00575A3E">
        <w:rPr>
          <w:i/>
          <w:szCs w:val="22"/>
          <w:lang w:val="en-GB"/>
        </w:rPr>
        <w:t>Y</w:t>
      </w:r>
    </w:p>
    <w:p w14:paraId="73007AE9" w14:textId="78A08B95" w:rsidR="00F479EF" w:rsidRPr="00575A3E" w:rsidRDefault="00000000" w:rsidP="00A55356">
      <w:pPr>
        <w:spacing w:line="360" w:lineRule="auto"/>
        <w:ind w:left="993" w:hanging="993"/>
        <w:rPr>
          <w:szCs w:val="22"/>
          <w:lang w:val="en-GB"/>
        </w:rPr>
      </w:pPr>
      <m:oMath>
        <m:sSubSup>
          <m:sSubSupPr>
            <m:ctrlPr>
              <w:rPr>
                <w:rFonts w:ascii="Cambria Math" w:hAnsi="Cambria Math"/>
                <w:szCs w:val="22"/>
                <w:lang w:val="en-GB"/>
              </w:rPr>
            </m:ctrlPr>
          </m:sSubSupPr>
          <m:e>
            <m:r>
              <w:rPr>
                <w:rFonts w:ascii="Cambria Math" w:hAnsi="Cambria Math"/>
                <w:szCs w:val="22"/>
                <w:lang w:val="en-GB"/>
              </w:rPr>
              <m:t>TCO</m:t>
            </m:r>
          </m:e>
          <m:sub>
            <m:r>
              <w:rPr>
                <w:rFonts w:ascii="Cambria Math" w:hAnsi="Cambria Math"/>
                <w:szCs w:val="22"/>
                <w:lang w:val="en-GB"/>
              </w:rPr>
              <m:t>U,Y</m:t>
            </m:r>
          </m:sub>
          <m:sup>
            <m:r>
              <w:rPr>
                <w:rFonts w:ascii="Cambria Math" w:hAnsi="Cambria Math"/>
                <w:szCs w:val="22"/>
                <w:lang w:val="en-GB"/>
              </w:rPr>
              <m:t>Tech</m:t>
            </m:r>
          </m:sup>
        </m:sSubSup>
      </m:oMath>
      <w:r w:rsidR="00F479EF" w:rsidRPr="00575A3E">
        <w:rPr>
          <w:szCs w:val="22"/>
          <w:lang w:val="en-GB"/>
        </w:rPr>
        <w:t xml:space="preserve">: </w:t>
      </w:r>
      <w:r w:rsidR="00044F80" w:rsidRPr="00575A3E">
        <w:rPr>
          <w:szCs w:val="22"/>
          <w:lang w:val="en-GB"/>
        </w:rPr>
        <w:tab/>
        <w:t xml:space="preserve">TCO </w:t>
      </w:r>
      <w:r w:rsidR="00F479EF" w:rsidRPr="00575A3E">
        <w:rPr>
          <w:szCs w:val="22"/>
          <w:lang w:val="en-GB"/>
        </w:rPr>
        <w:t xml:space="preserve">of used vehicles for each vehicle technology for the specific simulation year </w:t>
      </w:r>
      <w:r w:rsidR="00F479EF" w:rsidRPr="00575A3E">
        <w:rPr>
          <w:i/>
          <w:szCs w:val="22"/>
          <w:lang w:val="en-GB"/>
        </w:rPr>
        <w:t>Y</w:t>
      </w:r>
    </w:p>
    <w:p w14:paraId="65BB9F1F" w14:textId="77777777" w:rsidR="00E30061" w:rsidRPr="00575A3E" w:rsidRDefault="00E30061" w:rsidP="00A55356">
      <w:pPr>
        <w:spacing w:line="360" w:lineRule="auto"/>
        <w:rPr>
          <w:szCs w:val="22"/>
          <w:lang w:val="en-GB"/>
        </w:rPr>
      </w:pPr>
    </w:p>
    <w:p w14:paraId="406D6910" w14:textId="4421F4DD" w:rsidR="00F479EF" w:rsidRPr="00575A3E" w:rsidRDefault="00B85C25" w:rsidP="00A55356">
      <w:pPr>
        <w:spacing w:line="360" w:lineRule="auto"/>
        <w:rPr>
          <w:szCs w:val="22"/>
          <w:lang w:val="en-GB"/>
        </w:rPr>
      </w:pPr>
      <w:r w:rsidRPr="00575A3E">
        <w:rPr>
          <w:szCs w:val="22"/>
          <w:lang w:val="en-GB"/>
        </w:rPr>
        <w:t xml:space="preserve">The final </w:t>
      </w:r>
      <w:r w:rsidR="00F479EF" w:rsidRPr="00575A3E">
        <w:rPr>
          <w:szCs w:val="22"/>
          <w:lang w:val="en-GB"/>
        </w:rPr>
        <w:t>TCO of owning a car for the simulation year Y (</w:t>
      </w: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Y</m:t>
            </m:r>
          </m:sub>
        </m:sSub>
      </m:oMath>
      <w:r w:rsidR="00F479EF" w:rsidRPr="00575A3E">
        <w:rPr>
          <w:szCs w:val="22"/>
          <w:lang w:val="en-GB"/>
        </w:rPr>
        <w:t>) can</w:t>
      </w:r>
      <w:r w:rsidR="00044F80" w:rsidRPr="00575A3E">
        <w:rPr>
          <w:szCs w:val="22"/>
          <w:lang w:val="en-GB"/>
        </w:rPr>
        <w:t>, hence,</w:t>
      </w:r>
      <w:r w:rsidR="00F479EF" w:rsidRPr="00575A3E">
        <w:rPr>
          <w:szCs w:val="22"/>
          <w:lang w:val="en-GB"/>
        </w:rPr>
        <w:t xml:space="preserve"> be found by adding the two </w:t>
      </w:r>
      <w:r w:rsidRPr="00575A3E">
        <w:rPr>
          <w:szCs w:val="22"/>
          <w:lang w:val="en-GB"/>
        </w:rPr>
        <w:t>TCO</w:t>
      </w:r>
      <w:r w:rsidR="00044F80" w:rsidRPr="00575A3E">
        <w:rPr>
          <w:szCs w:val="22"/>
          <w:lang w:val="en-GB"/>
        </w:rPr>
        <w:t>s</w:t>
      </w:r>
      <w:r w:rsidRPr="00575A3E">
        <w:rPr>
          <w:szCs w:val="22"/>
          <w:lang w:val="en-GB"/>
        </w:rPr>
        <w:t xml:space="preserve"> of new and used vehicles</w:t>
      </w:r>
      <w:r w:rsidR="00F479EF" w:rsidRPr="00575A3E">
        <w:rPr>
          <w:szCs w:val="22"/>
          <w:lang w:val="en-GB"/>
        </w:rPr>
        <w:t>:</w:t>
      </w:r>
    </w:p>
    <w:p w14:paraId="5F6F7283" w14:textId="77777777" w:rsidR="00701376" w:rsidRPr="00575A3E" w:rsidRDefault="00701376" w:rsidP="00A55356">
      <w:pPr>
        <w:spacing w:line="360" w:lineRule="auto"/>
        <w:ind w:firstLine="851"/>
        <w:rPr>
          <w:szCs w:val="22"/>
          <w:lang w:val="en-GB"/>
        </w:rPr>
      </w:pPr>
    </w:p>
    <w:tbl>
      <w:tblPr>
        <w:tblStyle w:val="TableGrid"/>
        <w:tblW w:w="9512" w:type="dxa"/>
        <w:jc w:val="center"/>
        <w:tblLayout w:type="fixed"/>
        <w:tblLook w:val="01E0" w:firstRow="1" w:lastRow="1" w:firstColumn="1" w:lastColumn="1" w:noHBand="0" w:noVBand="0"/>
      </w:tblPr>
      <w:tblGrid>
        <w:gridCol w:w="7938"/>
        <w:gridCol w:w="1574"/>
      </w:tblGrid>
      <w:tr w:rsidR="00575A3E" w:rsidRPr="00575A3E" w14:paraId="3ADE7890" w14:textId="77777777" w:rsidTr="00A73F7E">
        <w:trPr>
          <w:jc w:val="center"/>
        </w:trPr>
        <w:tc>
          <w:tcPr>
            <w:tcW w:w="7937" w:type="dxa"/>
            <w:tcBorders>
              <w:top w:val="nil"/>
              <w:left w:val="nil"/>
              <w:bottom w:val="nil"/>
              <w:right w:val="nil"/>
            </w:tcBorders>
            <w:vAlign w:val="center"/>
          </w:tcPr>
          <w:p w14:paraId="40646E8B" w14:textId="602A1046" w:rsidR="00F479EF" w:rsidRPr="00575A3E" w:rsidRDefault="00000000" w:rsidP="00A55356">
            <w:pPr>
              <w:spacing w:line="360" w:lineRule="auto"/>
              <w:rPr>
                <w:szCs w:val="22"/>
                <w:lang w:val="en-GB"/>
              </w:rPr>
            </w:pPr>
            <m:oMathPara>
              <m:oMathParaPr>
                <m:jc m:val="center"/>
              </m:oMathParaPr>
              <m:oMath>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Y</m:t>
                    </m:r>
                  </m:sub>
                </m:sSub>
                <m: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TCO</m:t>
                    </m:r>
                  </m:e>
                  <m:sub>
                    <m:r>
                      <w:rPr>
                        <w:rFonts w:ascii="Cambria Math" w:hAnsi="Cambria Math"/>
                        <w:szCs w:val="22"/>
                        <w:lang w:val="en-GB"/>
                      </w:rPr>
                      <m:t>N,Y</m:t>
                    </m:r>
                  </m:sub>
                </m:sSub>
                <m:r>
                  <w:rPr>
                    <w:rFonts w:ascii="Cambria Math" w:hAnsi="Cambria Math"/>
                    <w:szCs w:val="22"/>
                    <w:lang w:val="en-GB"/>
                  </w:rPr>
                  <m:t>+</m:t>
                </m:r>
                <m:sSub>
                  <m:sSubPr>
                    <m:ctrlPr>
                      <w:rPr>
                        <w:rFonts w:ascii="Cambria Math" w:hAnsi="Cambria Math"/>
                        <w:szCs w:val="22"/>
                        <w:lang w:val="en-GB"/>
                      </w:rPr>
                    </m:ctrlPr>
                  </m:sSubPr>
                  <m:e>
                    <m:r>
                      <w:rPr>
                        <w:rFonts w:ascii="Cambria Math" w:hAnsi="Cambria Math"/>
                        <w:szCs w:val="22"/>
                        <w:lang w:val="en-GB"/>
                      </w:rPr>
                      <m:t>TCO</m:t>
                    </m:r>
                  </m:e>
                  <m:sub>
                    <m:eqArr>
                      <m:eqArrPr>
                        <m:ctrlPr>
                          <w:rPr>
                            <w:rFonts w:ascii="Cambria Math" w:hAnsi="Cambria Math"/>
                            <w:i/>
                            <w:szCs w:val="22"/>
                            <w:lang w:val="en-GB"/>
                          </w:rPr>
                        </m:ctrlPr>
                      </m:eqArrPr>
                      <m:e>
                        <m:r>
                          <w:rPr>
                            <w:rFonts w:ascii="Cambria Math" w:hAnsi="Cambria Math"/>
                            <w:szCs w:val="22"/>
                            <w:lang w:val="en-GB"/>
                          </w:rPr>
                          <m:t>U,Y</m:t>
                        </m:r>
                      </m:e>
                      <m:e/>
                    </m:eqArr>
                  </m:sub>
                </m:sSub>
              </m:oMath>
            </m:oMathPara>
          </w:p>
        </w:tc>
        <w:tc>
          <w:tcPr>
            <w:tcW w:w="1574" w:type="dxa"/>
            <w:tcBorders>
              <w:top w:val="nil"/>
              <w:left w:val="nil"/>
              <w:bottom w:val="nil"/>
              <w:right w:val="nil"/>
            </w:tcBorders>
            <w:vAlign w:val="center"/>
          </w:tcPr>
          <w:p w14:paraId="67F19B44" w14:textId="4403D2ED" w:rsidR="00F479EF" w:rsidRPr="00575A3E" w:rsidRDefault="00F479EF" w:rsidP="00A55356">
            <w:pPr>
              <w:spacing w:line="360" w:lineRule="auto"/>
              <w:rPr>
                <w:szCs w:val="22"/>
                <w:lang w:val="en-GB"/>
              </w:rPr>
            </w:pPr>
            <w:bookmarkStart w:id="24" w:name="_Ref55150156"/>
            <w:r w:rsidRPr="00575A3E">
              <w:rPr>
                <w:bCs/>
                <w:iCs/>
                <w:szCs w:val="22"/>
                <w:lang w:val="en-GB"/>
              </w:rPr>
              <w:t>(</w:t>
            </w:r>
            <w:r w:rsidR="00A55D3E" w:rsidRPr="00575A3E">
              <w:rPr>
                <w:iCs/>
                <w:szCs w:val="22"/>
                <w:lang w:val="en-GB"/>
              </w:rPr>
              <w:t>8</w:t>
            </w:r>
            <w:r w:rsidRPr="00575A3E">
              <w:rPr>
                <w:iCs/>
                <w:szCs w:val="22"/>
                <w:lang w:val="en-GB"/>
              </w:rPr>
              <w:t>)</w:t>
            </w:r>
            <w:bookmarkEnd w:id="24"/>
          </w:p>
        </w:tc>
      </w:tr>
    </w:tbl>
    <w:p w14:paraId="7622B549" w14:textId="449CD552" w:rsidR="00701376" w:rsidRPr="00575A3E" w:rsidRDefault="00E071F3" w:rsidP="00A55356">
      <w:pPr>
        <w:spacing w:line="360" w:lineRule="auto"/>
        <w:rPr>
          <w:szCs w:val="22"/>
          <w:lang w:val="en-GB"/>
        </w:rPr>
      </w:pPr>
      <w:r w:rsidRPr="00575A3E">
        <w:rPr>
          <w:szCs w:val="22"/>
          <w:lang w:val="en-GB"/>
        </w:rPr>
        <w:t>The</w:t>
      </w:r>
      <w:r w:rsidR="008429AE" w:rsidRPr="00575A3E">
        <w:rPr>
          <w:szCs w:val="22"/>
          <w:lang w:val="en-GB"/>
        </w:rPr>
        <w:t xml:space="preserve"> sources</w:t>
      </w:r>
      <w:r w:rsidR="00224F0B" w:rsidRPr="00575A3E">
        <w:rPr>
          <w:szCs w:val="22"/>
          <w:lang w:val="en-GB"/>
        </w:rPr>
        <w:t xml:space="preserve"> and values</w:t>
      </w:r>
      <w:r w:rsidRPr="00575A3E">
        <w:rPr>
          <w:szCs w:val="22"/>
          <w:lang w:val="en-GB"/>
        </w:rPr>
        <w:t xml:space="preserve"> for the </w:t>
      </w:r>
      <w:r w:rsidR="00E30061" w:rsidRPr="00575A3E">
        <w:rPr>
          <w:szCs w:val="22"/>
          <w:lang w:val="en-GB"/>
        </w:rPr>
        <w:t xml:space="preserve">calculation </w:t>
      </w:r>
      <w:r w:rsidRPr="00575A3E">
        <w:rPr>
          <w:szCs w:val="22"/>
          <w:lang w:val="en-GB"/>
        </w:rPr>
        <w:t xml:space="preserve">of equation </w:t>
      </w:r>
      <w:r w:rsidR="0076363E" w:rsidRPr="00575A3E">
        <w:rPr>
          <w:szCs w:val="22"/>
          <w:lang w:val="en-GB"/>
        </w:rPr>
        <w:t>(</w:t>
      </w:r>
      <w:r w:rsidRPr="00575A3E">
        <w:rPr>
          <w:szCs w:val="22"/>
          <w:lang w:val="en-GB"/>
        </w:rPr>
        <w:t>5</w:t>
      </w:r>
      <w:r w:rsidR="0076363E" w:rsidRPr="00575A3E">
        <w:rPr>
          <w:szCs w:val="22"/>
          <w:lang w:val="en-GB"/>
        </w:rPr>
        <w:t>)</w:t>
      </w:r>
      <w:r w:rsidRPr="00575A3E">
        <w:rPr>
          <w:szCs w:val="22"/>
          <w:lang w:val="en-GB"/>
        </w:rPr>
        <w:t xml:space="preserve"> are</w:t>
      </w:r>
      <w:r w:rsidR="00224F0B" w:rsidRPr="00575A3E">
        <w:rPr>
          <w:szCs w:val="22"/>
          <w:lang w:val="en-GB"/>
        </w:rPr>
        <w:t xml:space="preserve"> as follows</w:t>
      </w:r>
      <w:r w:rsidRPr="00575A3E">
        <w:rPr>
          <w:szCs w:val="22"/>
          <w:lang w:val="en-GB"/>
        </w:rPr>
        <w:t xml:space="preserve">: </w:t>
      </w:r>
    </w:p>
    <w:p w14:paraId="39B9D2FA" w14:textId="64B3B7F1" w:rsidR="00E071F3" w:rsidRPr="00575A3E" w:rsidRDefault="00E071F3" w:rsidP="00A55356">
      <w:pPr>
        <w:pStyle w:val="ListParagraph"/>
        <w:numPr>
          <w:ilvl w:val="0"/>
          <w:numId w:val="26"/>
        </w:numPr>
        <w:spacing w:after="0" w:line="360" w:lineRule="auto"/>
        <w:jc w:val="both"/>
        <w:rPr>
          <w:sz w:val="22"/>
          <w:szCs w:val="20"/>
          <w:lang w:val="en-GB"/>
        </w:rPr>
      </w:pPr>
      <w:r w:rsidRPr="00575A3E">
        <w:rPr>
          <w:i/>
          <w:iCs/>
          <w:sz w:val="22"/>
          <w:szCs w:val="20"/>
          <w:lang w:val="en-GB"/>
        </w:rPr>
        <w:t>Depreciation rate:</w:t>
      </w:r>
      <w:r w:rsidR="00936AE4" w:rsidRPr="00575A3E">
        <w:rPr>
          <w:sz w:val="22"/>
          <w:szCs w:val="20"/>
          <w:lang w:val="en-GB"/>
        </w:rPr>
        <w:t xml:space="preserve"> </w:t>
      </w:r>
      <w:r w:rsidR="00F222FD" w:rsidRPr="00575A3E">
        <w:rPr>
          <w:sz w:val="22"/>
          <w:szCs w:val="20"/>
          <w:lang w:val="en-GB"/>
        </w:rPr>
        <w:t>-</w:t>
      </w:r>
      <w:r w:rsidRPr="00575A3E">
        <w:rPr>
          <w:sz w:val="22"/>
          <w:szCs w:val="20"/>
          <w:lang w:val="en-GB"/>
        </w:rPr>
        <w:t xml:space="preserve">0.215 </w:t>
      </w:r>
      <w:r w:rsidR="00224F0B" w:rsidRPr="00575A3E">
        <w:rPr>
          <w:sz w:val="22"/>
          <w:szCs w:val="20"/>
          <w:lang w:val="en-GB"/>
        </w:rPr>
        <w:fldChar w:fldCharType="begin" w:fldLock="1"/>
      </w:r>
      <w:r w:rsidR="00893050" w:rsidRPr="00575A3E">
        <w:rPr>
          <w:sz w:val="22"/>
          <w:szCs w:val="20"/>
          <w:lang w:val="en-GB"/>
        </w:rPr>
        <w:instrText>ADDIN CSL_CITATION {"citationItems":[{"id":"ITEM-1","itemData":{"DOI":"10.1023/B:PORT.0000037087.10954.72","ISSN":"00494488","abstract":"Since older automobiles are less efficient and technologically obsolete, over-aged capital stocks are associated with higher environmental burden. Given the rapid growth of over-aged car stocks in many poor countries, the knowledge of depreciation data, depreciation patterns, and their determinants in developing countries becomes increasingly important for effective environmental policies. This paper refers to used automobile prices and generates depreciation data for a sample of 54 car models from 30 countries. We found the following results: (1) Overall, geometric depreciation appears to be a good approximation to real depreciation rates. (2) Depreciation rates are significantly lower in developing countries than in industrialized countries. (3) When using corrected prices the depreciation rates increase substantially. The average depreciation in OECD countries is 31%, whereas in non-OECD countries it is about 15%. Besides prices for new cars, the economic life of automobiles is particularly dependent on real income. In the long-run, an income increase by $1000 is likely to increase the annual depreciation rate by 2.7% in OECD countries and 3.6% in non-OECD countries. © 2004 Kluwer Academic Publishers.","author":[{"dropping-particle":"","family":"Storchmann","given":"Karl","non-dropping-particle":"","parse-names":false,"suffix":""}],"container-title":"Transportation","id":"ITEM-1","issued":{"date-parts":[["2004"]]},"title":"On the depreciation of automobiles: An international comparison","type":"article-journal"},"uris":["http://www.mendeley.com/documents/?uuid=1b4ad1d8-a4f9-45e1-84f5-04820356087f"]}],"mendeley":{"formattedCitation":"(Storchmann, 2004)","plainTextFormattedCitation":"(Storchmann, 2004)","previouslyFormattedCitation":"(Storchmann, 2004)"},"properties":{"noteIndex":0},"schema":"https://github.com/citation-style-language/schema/raw/master/csl-citation.json"}</w:instrText>
      </w:r>
      <w:r w:rsidR="00224F0B" w:rsidRPr="00575A3E">
        <w:rPr>
          <w:sz w:val="22"/>
          <w:szCs w:val="20"/>
          <w:lang w:val="en-GB"/>
        </w:rPr>
        <w:fldChar w:fldCharType="separate"/>
      </w:r>
      <w:r w:rsidR="00C41D0C" w:rsidRPr="00575A3E">
        <w:rPr>
          <w:noProof/>
          <w:sz w:val="22"/>
          <w:szCs w:val="20"/>
          <w:lang w:val="en-GB"/>
        </w:rPr>
        <w:t>(Storchmann, 2004)</w:t>
      </w:r>
      <w:r w:rsidR="00224F0B" w:rsidRPr="00575A3E">
        <w:rPr>
          <w:sz w:val="22"/>
          <w:szCs w:val="20"/>
          <w:lang w:val="en-GB"/>
        </w:rPr>
        <w:fldChar w:fldCharType="end"/>
      </w:r>
      <w:r w:rsidR="00114896" w:rsidRPr="00575A3E">
        <w:rPr>
          <w:sz w:val="22"/>
          <w:szCs w:val="20"/>
          <w:lang w:val="en-GB"/>
        </w:rPr>
        <w:t>.</w:t>
      </w:r>
    </w:p>
    <w:p w14:paraId="28DF8A54" w14:textId="7E363226" w:rsidR="00E071F3" w:rsidRPr="00575A3E" w:rsidRDefault="00E071F3" w:rsidP="00A55356">
      <w:pPr>
        <w:pStyle w:val="ListParagraph"/>
        <w:numPr>
          <w:ilvl w:val="0"/>
          <w:numId w:val="26"/>
        </w:numPr>
        <w:spacing w:after="0" w:line="360" w:lineRule="auto"/>
        <w:jc w:val="both"/>
        <w:rPr>
          <w:sz w:val="22"/>
          <w:szCs w:val="20"/>
          <w:lang w:val="en-GB"/>
        </w:rPr>
      </w:pPr>
      <w:r w:rsidRPr="00575A3E">
        <w:rPr>
          <w:i/>
          <w:iCs/>
          <w:sz w:val="22"/>
          <w:szCs w:val="20"/>
          <w:lang w:val="en-GB"/>
        </w:rPr>
        <w:t>Discount rate:</w:t>
      </w:r>
      <w:r w:rsidRPr="00575A3E">
        <w:rPr>
          <w:sz w:val="22"/>
          <w:szCs w:val="20"/>
          <w:lang w:val="en-GB"/>
        </w:rPr>
        <w:t xml:space="preserve"> 3.5%</w:t>
      </w:r>
      <w:r w:rsidRPr="00575A3E">
        <w:rPr>
          <w:sz w:val="22"/>
          <w:szCs w:val="20"/>
          <w:lang w:val="en-GB"/>
        </w:rPr>
        <w:tab/>
      </w:r>
      <w:r w:rsidR="00224F0B" w:rsidRPr="00575A3E">
        <w:rPr>
          <w:sz w:val="22"/>
          <w:szCs w:val="20"/>
          <w:lang w:val="en-GB"/>
        </w:rPr>
        <w:t xml:space="preserve"> </w:t>
      </w:r>
      <w:r w:rsidR="00D030CC" w:rsidRPr="00575A3E">
        <w:rPr>
          <w:sz w:val="22"/>
          <w:szCs w:val="20"/>
          <w:lang w:val="en-GB"/>
        </w:rPr>
        <w:fldChar w:fldCharType="begin" w:fldLock="1"/>
      </w:r>
      <w:r w:rsidR="00BF7603" w:rsidRPr="00575A3E">
        <w:rPr>
          <w:sz w:val="22"/>
          <w:szCs w:val="20"/>
          <w:lang w:val="en-GB"/>
        </w:rPr>
        <w:instrText>ADDIN CSL_CITATION {"citationItems":[{"id":"ITEM-1","itemData":{"DOI":"10.1016/j.apenergy.2017.10.089","ISSN":"0306-2619","author":[{"dropping-particle":"","family":"Palmer","given":"Kate","non-dropping-particle":"","parse-names":false,"suffix":""},{"dropping-particle":"","family":"Tate","given":"James E","non-dropping-particle":"","parse-names":false,"suffix":""},{"dropping-particle":"","family":"Wadud","given":"Zia","non-dropping-particle":"","parse-names":false,"suffix":""},{"dropping-particle":"","family":"Nellthorp","given":"John","non-dropping-particle":"","parse-names":false,"suffix":""}],"container-title":"Applied Energy","id":"ITEM-1","issue":"October 2017","issued":{"date-parts":[["2018"]]},"page":"108-119","publisher":"Elsevier","title":"Total cost of ownership and market share for hybrid and electric vehicles in the UK , US and Japan","type":"article-journal","volume":"209"},"uris":["http://www.mendeley.com/documents/?uuid=043dd010-f029-45a8-b13d-48e9c88f4b3b"]}],"mendeley":{"formattedCitation":"(Palmer et al., 2018)","plainTextFormattedCitation":"(Palmer et al., 2018)","previouslyFormattedCitation":"(Palmer et al., 2018)"},"properties":{"noteIndex":0},"schema":"https://github.com/citation-style-language/schema/raw/master/csl-citation.json"}</w:instrText>
      </w:r>
      <w:r w:rsidR="00D030CC" w:rsidRPr="00575A3E">
        <w:rPr>
          <w:sz w:val="22"/>
          <w:szCs w:val="20"/>
          <w:lang w:val="en-GB"/>
        </w:rPr>
        <w:fldChar w:fldCharType="separate"/>
      </w:r>
      <w:r w:rsidR="008119F3" w:rsidRPr="00575A3E">
        <w:rPr>
          <w:noProof/>
          <w:sz w:val="22"/>
          <w:szCs w:val="20"/>
          <w:lang w:val="en-GB"/>
        </w:rPr>
        <w:t>(Palmer et al., 2018)</w:t>
      </w:r>
      <w:r w:rsidR="00D030CC" w:rsidRPr="00575A3E">
        <w:rPr>
          <w:sz w:val="22"/>
          <w:szCs w:val="20"/>
          <w:lang w:val="en-GB"/>
        </w:rPr>
        <w:fldChar w:fldCharType="end"/>
      </w:r>
      <w:r w:rsidR="00114896" w:rsidRPr="00575A3E">
        <w:rPr>
          <w:sz w:val="22"/>
          <w:szCs w:val="20"/>
          <w:lang w:val="en-GB"/>
        </w:rPr>
        <w:t>.</w:t>
      </w:r>
      <w:r w:rsidR="00D030CC" w:rsidRPr="00575A3E">
        <w:rPr>
          <w:sz w:val="22"/>
          <w:szCs w:val="20"/>
          <w:lang w:val="en-GB"/>
        </w:rPr>
        <w:t xml:space="preserve"> </w:t>
      </w:r>
    </w:p>
    <w:p w14:paraId="22CA7343" w14:textId="2C1653BF" w:rsidR="00E071F3" w:rsidRPr="00575A3E" w:rsidRDefault="00E071F3" w:rsidP="00A55356">
      <w:pPr>
        <w:pStyle w:val="ListParagraph"/>
        <w:numPr>
          <w:ilvl w:val="0"/>
          <w:numId w:val="26"/>
        </w:numPr>
        <w:spacing w:after="0" w:line="360" w:lineRule="auto"/>
        <w:jc w:val="both"/>
        <w:rPr>
          <w:sz w:val="22"/>
          <w:szCs w:val="20"/>
          <w:lang w:val="en-GB"/>
        </w:rPr>
      </w:pPr>
      <w:r w:rsidRPr="00575A3E">
        <w:rPr>
          <w:i/>
          <w:iCs/>
          <w:sz w:val="22"/>
          <w:szCs w:val="20"/>
          <w:lang w:val="en-GB"/>
        </w:rPr>
        <w:t>Subsidies:</w:t>
      </w:r>
      <w:r w:rsidRPr="00575A3E">
        <w:rPr>
          <w:sz w:val="22"/>
          <w:szCs w:val="20"/>
          <w:lang w:val="en-GB"/>
        </w:rPr>
        <w:tab/>
        <w:t>£3,000 for</w:t>
      </w:r>
      <w:r w:rsidR="00C44277" w:rsidRPr="00575A3E">
        <w:rPr>
          <w:sz w:val="22"/>
          <w:szCs w:val="20"/>
          <w:lang w:val="en-GB"/>
        </w:rPr>
        <w:t xml:space="preserve"> purchasing an</w:t>
      </w:r>
      <w:r w:rsidRPr="00575A3E">
        <w:rPr>
          <w:sz w:val="22"/>
          <w:szCs w:val="20"/>
          <w:lang w:val="en-GB"/>
        </w:rPr>
        <w:t xml:space="preserve"> </w:t>
      </w:r>
      <w:r w:rsidR="00224F0B" w:rsidRPr="00575A3E">
        <w:rPr>
          <w:sz w:val="22"/>
          <w:szCs w:val="20"/>
          <w:lang w:val="en-GB"/>
        </w:rPr>
        <w:t xml:space="preserve">EV </w:t>
      </w:r>
      <w:r w:rsidR="00224F0B" w:rsidRPr="00575A3E">
        <w:rPr>
          <w:sz w:val="22"/>
          <w:szCs w:val="20"/>
          <w:lang w:val="en-GB"/>
        </w:rPr>
        <w:fldChar w:fldCharType="begin" w:fldLock="1"/>
      </w:r>
      <w:r w:rsidR="0002665A" w:rsidRPr="00575A3E">
        <w:rPr>
          <w:sz w:val="22"/>
          <w:szCs w:val="20"/>
          <w:lang w:val="en-GB"/>
        </w:rPr>
        <w:instrText>ADDIN CSL_CITATION {"citationItems":[{"id":"ITEM-1","itemData":{"author":[{"dropping-particle":"","family":"data.gov.uk","given":"","non-dropping-particle":"","parse-names":false,"suffix":""}],"id":"ITEM-1","issued":{"date-parts":[["2020"]]},"page":"1-5","title":"Low-emission vehicles eligible for a plug-in grant","type":"article"},"uris":["http://www.mendeley.com/documents/?uuid=fc88521e-3ff6-4447-a288-33505c49fb02"]}],"mendeley":{"formattedCitation":"(data.gov.uk, 2020a)","plainTextFormattedCitation":"(data.gov.uk, 2020a)","previouslyFormattedCitation":"(data.gov.uk, 2020a)"},"properties":{"noteIndex":0},"schema":"https://github.com/citation-style-language/schema/raw/master/csl-citation.json"}</w:instrText>
      </w:r>
      <w:r w:rsidR="00224F0B" w:rsidRPr="00575A3E">
        <w:rPr>
          <w:sz w:val="22"/>
          <w:szCs w:val="20"/>
          <w:lang w:val="en-GB"/>
        </w:rPr>
        <w:fldChar w:fldCharType="separate"/>
      </w:r>
      <w:r w:rsidR="00BF7603" w:rsidRPr="00575A3E">
        <w:rPr>
          <w:noProof/>
          <w:sz w:val="22"/>
          <w:szCs w:val="20"/>
          <w:lang w:val="en-GB"/>
        </w:rPr>
        <w:t>(data.gov.uk, 2020a)</w:t>
      </w:r>
      <w:r w:rsidR="00224F0B" w:rsidRPr="00575A3E">
        <w:rPr>
          <w:sz w:val="22"/>
          <w:szCs w:val="20"/>
          <w:lang w:val="en-GB"/>
        </w:rPr>
        <w:fldChar w:fldCharType="end"/>
      </w:r>
      <w:r w:rsidR="00114896" w:rsidRPr="00575A3E">
        <w:rPr>
          <w:sz w:val="22"/>
          <w:szCs w:val="20"/>
          <w:lang w:val="en-GB"/>
        </w:rPr>
        <w:t>.</w:t>
      </w:r>
    </w:p>
    <w:p w14:paraId="16987CF0" w14:textId="73D8810C" w:rsidR="00DC760D" w:rsidRPr="00575A3E" w:rsidRDefault="00E071F3" w:rsidP="008D5D05">
      <w:pPr>
        <w:pStyle w:val="ListParagraph"/>
        <w:numPr>
          <w:ilvl w:val="0"/>
          <w:numId w:val="26"/>
        </w:numPr>
        <w:spacing w:after="0" w:line="360" w:lineRule="auto"/>
        <w:jc w:val="both"/>
        <w:rPr>
          <w:sz w:val="22"/>
          <w:szCs w:val="20"/>
          <w:lang w:val="en-GB"/>
        </w:rPr>
      </w:pPr>
      <w:r w:rsidRPr="00575A3E">
        <w:rPr>
          <w:i/>
          <w:iCs/>
          <w:sz w:val="22"/>
          <w:szCs w:val="20"/>
          <w:lang w:val="en-GB"/>
        </w:rPr>
        <w:t>Annual Mileage:</w:t>
      </w:r>
      <w:r w:rsidRPr="00575A3E">
        <w:rPr>
          <w:sz w:val="22"/>
          <w:szCs w:val="20"/>
          <w:lang w:val="en-GB"/>
        </w:rPr>
        <w:t xml:space="preserve"> Table nts0901 in</w:t>
      </w:r>
      <w:r w:rsidR="00224F0B" w:rsidRPr="00575A3E">
        <w:rPr>
          <w:sz w:val="22"/>
          <w:szCs w:val="20"/>
          <w:lang w:val="en-GB"/>
        </w:rPr>
        <w:t xml:space="preserve"> </w:t>
      </w:r>
      <w:r w:rsidR="0075104A" w:rsidRPr="00575A3E">
        <w:rPr>
          <w:sz w:val="22"/>
          <w:szCs w:val="20"/>
          <w:lang w:val="en-GB"/>
        </w:rPr>
        <w:t>(</w:t>
      </w:r>
      <w:r w:rsidR="00224F0B" w:rsidRPr="00575A3E">
        <w:rPr>
          <w:sz w:val="22"/>
          <w:szCs w:val="20"/>
          <w:lang w:val="en-GB"/>
        </w:rPr>
        <w:fldChar w:fldCharType="begin" w:fldLock="1"/>
      </w:r>
      <w:r w:rsidR="0002665A" w:rsidRPr="00575A3E">
        <w:rPr>
          <w:sz w:val="22"/>
          <w:szCs w:val="20"/>
          <w:lang w:val="en-GB"/>
        </w:rPr>
        <w:instrText>ADDIN CSL_CITATION {"citationItems":[{"id":"ITEM-1","itemData":{"URL":"https://www.gov.uk/vehicle-registration/new-registrations","accessed":{"date-parts":[["2020","11","22"]]},"author":[{"dropping-particle":"","family":"data.gov.uk","given":"","non-dropping-particle":"","parse-names":false,"suffix":""}],"id":"ITEM-1","issued":{"date-parts":[["2020"]]},"page":"3-5","title":"New registrations","type":"webpage"},"uris":["http://www.mendeley.com/documents/?uuid=b989ee09-4cd1-4731-8bbd-971eaf36ff3d"]}],"mendeley":{"formattedCitation":"(data.gov.uk, 2020b)","manualFormatting":"data.gov.uk, 2020c","plainTextFormattedCitation":"(data.gov.uk, 2020b)","previouslyFormattedCitation":"(data.gov.uk, 2020b)"},"properties":{"noteIndex":0},"schema":"https://github.com/citation-style-language/schema/raw/master/csl-citation.json"}</w:instrText>
      </w:r>
      <w:r w:rsidR="00224F0B" w:rsidRPr="00575A3E">
        <w:rPr>
          <w:sz w:val="22"/>
          <w:szCs w:val="20"/>
          <w:lang w:val="en-GB"/>
        </w:rPr>
        <w:fldChar w:fldCharType="separate"/>
      </w:r>
      <w:r w:rsidR="00C41D0C" w:rsidRPr="00575A3E">
        <w:rPr>
          <w:noProof/>
          <w:sz w:val="22"/>
          <w:szCs w:val="20"/>
          <w:lang w:val="en-GB"/>
        </w:rPr>
        <w:t>data.gov.uk, 2020c</w:t>
      </w:r>
      <w:r w:rsidR="00224F0B" w:rsidRPr="00575A3E">
        <w:rPr>
          <w:sz w:val="22"/>
          <w:szCs w:val="20"/>
          <w:lang w:val="en-GB"/>
        </w:rPr>
        <w:fldChar w:fldCharType="end"/>
      </w:r>
      <w:r w:rsidR="0075104A" w:rsidRPr="00575A3E">
        <w:rPr>
          <w:sz w:val="22"/>
          <w:szCs w:val="20"/>
          <w:lang w:val="en-GB"/>
        </w:rPr>
        <w:t>)</w:t>
      </w:r>
      <w:r w:rsidR="00DC760D" w:rsidRPr="00575A3E">
        <w:rPr>
          <w:sz w:val="22"/>
          <w:szCs w:val="20"/>
          <w:lang w:val="en-GB"/>
        </w:rPr>
        <w:t>, which based on the included data, indicates an average of 8</w:t>
      </w:r>
      <w:r w:rsidR="00555D80" w:rsidRPr="00575A3E">
        <w:rPr>
          <w:sz w:val="22"/>
          <w:szCs w:val="20"/>
          <w:lang w:val="en-GB"/>
        </w:rPr>
        <w:t>,</w:t>
      </w:r>
      <w:r w:rsidR="00DC760D" w:rsidRPr="00575A3E">
        <w:rPr>
          <w:sz w:val="22"/>
          <w:szCs w:val="20"/>
          <w:lang w:val="en-GB"/>
        </w:rPr>
        <w:t xml:space="preserve">090 annual mileage for vehicles in the UK. </w:t>
      </w:r>
    </w:p>
    <w:p w14:paraId="69ADFCB2" w14:textId="18E6826B" w:rsidR="00E071F3" w:rsidRPr="00575A3E" w:rsidRDefault="00E071F3" w:rsidP="00CD244F">
      <w:pPr>
        <w:pStyle w:val="ListParagraph"/>
        <w:numPr>
          <w:ilvl w:val="0"/>
          <w:numId w:val="26"/>
        </w:numPr>
        <w:spacing w:after="0" w:line="360" w:lineRule="auto"/>
        <w:jc w:val="both"/>
        <w:rPr>
          <w:sz w:val="22"/>
          <w:szCs w:val="20"/>
          <w:lang w:val="en-GB"/>
        </w:rPr>
      </w:pPr>
      <w:r w:rsidRPr="00575A3E">
        <w:rPr>
          <w:i/>
          <w:iCs/>
          <w:sz w:val="22"/>
          <w:szCs w:val="20"/>
          <w:lang w:val="en-GB"/>
        </w:rPr>
        <w:t>Annual Fuel/ Electricity Costs</w:t>
      </w:r>
      <w:r w:rsidR="00224F0B" w:rsidRPr="00575A3E">
        <w:rPr>
          <w:i/>
          <w:iCs/>
          <w:sz w:val="22"/>
          <w:szCs w:val="20"/>
          <w:lang w:val="en-GB"/>
        </w:rPr>
        <w:t>:</w:t>
      </w:r>
      <w:r w:rsidR="00224F0B" w:rsidRPr="00575A3E">
        <w:rPr>
          <w:sz w:val="22"/>
          <w:szCs w:val="20"/>
          <w:lang w:val="en-GB"/>
        </w:rPr>
        <w:t xml:space="preserve"> </w:t>
      </w:r>
      <w:r w:rsidRPr="00575A3E">
        <w:rPr>
          <w:sz w:val="22"/>
          <w:szCs w:val="20"/>
          <w:lang w:val="en-GB"/>
        </w:rPr>
        <w:t>Table 4.1.2 of</w:t>
      </w:r>
      <w:r w:rsidR="00E30061" w:rsidRPr="00575A3E">
        <w:rPr>
          <w:sz w:val="22"/>
          <w:szCs w:val="20"/>
          <w:lang w:val="en-GB"/>
        </w:rPr>
        <w:t xml:space="preserve"> </w:t>
      </w:r>
      <w:r w:rsidR="00CD244F" w:rsidRPr="00575A3E">
        <w:rPr>
          <w:sz w:val="22"/>
          <w:szCs w:val="20"/>
          <w:lang w:val="en-GB"/>
        </w:rPr>
        <w:t xml:space="preserve">the “Monthly and annual prices of road fuels and petroleum products - Statistical data sets” </w:t>
      </w:r>
      <w:r w:rsidRPr="00575A3E">
        <w:rPr>
          <w:sz w:val="22"/>
          <w:szCs w:val="20"/>
          <w:lang w:val="en-GB"/>
        </w:rPr>
        <w:t xml:space="preserve"> </w:t>
      </w:r>
      <w:r w:rsidR="00CD244F" w:rsidRPr="00575A3E">
        <w:rPr>
          <w:sz w:val="22"/>
          <w:szCs w:val="20"/>
          <w:lang w:val="en-GB"/>
        </w:rPr>
        <w:t>(</w:t>
      </w:r>
      <w:r w:rsidR="00224F0B" w:rsidRPr="00575A3E">
        <w:rPr>
          <w:sz w:val="22"/>
          <w:szCs w:val="20"/>
          <w:lang w:val="en-GB"/>
        </w:rPr>
        <w:fldChar w:fldCharType="begin" w:fldLock="1"/>
      </w:r>
      <w:r w:rsidR="008119F3" w:rsidRPr="00575A3E">
        <w:rPr>
          <w:sz w:val="22"/>
          <w:szCs w:val="20"/>
          <w:lang w:val="en-GB"/>
        </w:rPr>
        <w:instrText>ADDIN CSL_CITATION {"citationItems":[{"id":"ITEM-1","itemData":{"author":[{"dropping-particle":"","family":"UK Department for Business Energy &amp; Industrial Strategy","given":"","non-dropping-particle":"","parse-names":false,"suffix":""}],"id":"ITEM-1","issue":"September","issued":{"date-parts":[["2020"]]},"page":"24-29","title":"Monthly and annual prices of road fuels and petroleum products - Statistical data sets","type":"article-journal"},"uris":["http://www.mendeley.com/documents/?uuid=3a9f8901-e30c-471f-a8fa-772db9ddba76"]}],"mendeley":{"formattedCitation":"(UK Department for Business Energy &amp; Industrial Strategy, 2020)","manualFormatting":"UK Department for Business Energy &amp; Industrial Strategy, 2020","plainTextFormattedCitation":"(UK Department for Business Energy &amp; Industrial Strategy, 2020)","previouslyFormattedCitation":"(UK Department for Business Energy &amp; Industrial Strategy, 2020)"},"properties":{"noteIndex":0},"schema":"https://github.com/citation-style-language/schema/raw/master/csl-citation.json"}</w:instrText>
      </w:r>
      <w:r w:rsidR="00224F0B" w:rsidRPr="00575A3E">
        <w:rPr>
          <w:sz w:val="22"/>
          <w:szCs w:val="20"/>
          <w:lang w:val="en-GB"/>
        </w:rPr>
        <w:fldChar w:fldCharType="separate"/>
      </w:r>
      <w:r w:rsidR="00C41D0C" w:rsidRPr="00575A3E">
        <w:rPr>
          <w:noProof/>
          <w:sz w:val="22"/>
          <w:szCs w:val="20"/>
          <w:lang w:val="en-GB"/>
        </w:rPr>
        <w:t>UK Department for Business Energy &amp; Industrial Strategy, 2020</w:t>
      </w:r>
      <w:r w:rsidR="00224F0B" w:rsidRPr="00575A3E">
        <w:rPr>
          <w:sz w:val="22"/>
          <w:szCs w:val="20"/>
          <w:lang w:val="en-GB"/>
        </w:rPr>
        <w:fldChar w:fldCharType="end"/>
      </w:r>
      <w:r w:rsidR="00CD244F" w:rsidRPr="00575A3E">
        <w:rPr>
          <w:rStyle w:val="CommentReference"/>
          <w:rFonts w:eastAsia="MS Mincho" w:cs="Times New Roman"/>
          <w:kern w:val="2"/>
          <w:sz w:val="22"/>
          <w:lang w:val="en-US" w:eastAsia="ja-JP"/>
        </w:rPr>
        <w:t>)</w:t>
      </w:r>
      <w:r w:rsidR="00114896" w:rsidRPr="00575A3E">
        <w:rPr>
          <w:sz w:val="22"/>
          <w:szCs w:val="20"/>
          <w:lang w:val="en-GB"/>
        </w:rPr>
        <w:t>.</w:t>
      </w:r>
      <w:r w:rsidR="00DC760D" w:rsidRPr="00575A3E">
        <w:rPr>
          <w:sz w:val="22"/>
          <w:szCs w:val="20"/>
          <w:lang w:val="en-GB"/>
        </w:rPr>
        <w:t xml:space="preserve"> Based on this </w:t>
      </w:r>
      <w:r w:rsidR="0021184D" w:rsidRPr="00575A3E">
        <w:rPr>
          <w:sz w:val="22"/>
          <w:szCs w:val="20"/>
          <w:lang w:val="en-GB"/>
        </w:rPr>
        <w:t>analysis, the average price of fuel in the UK until 2021 is 1.30 pence/litre and for electricity is 15.63 pence/kWh</w:t>
      </w:r>
      <w:r w:rsidR="002859DD" w:rsidRPr="00575A3E">
        <w:rPr>
          <w:sz w:val="22"/>
          <w:szCs w:val="20"/>
          <w:lang w:val="en-GB"/>
        </w:rPr>
        <w:t xml:space="preserve">, in </w:t>
      </w:r>
      <w:r w:rsidR="001D221C" w:rsidRPr="00575A3E">
        <w:rPr>
          <w:sz w:val="22"/>
          <w:szCs w:val="20"/>
          <w:lang w:val="en-GB"/>
        </w:rPr>
        <w:t>2011</w:t>
      </w:r>
      <w:r w:rsidR="002859DD" w:rsidRPr="00575A3E">
        <w:rPr>
          <w:sz w:val="22"/>
          <w:szCs w:val="20"/>
          <w:lang w:val="en-GB"/>
        </w:rPr>
        <w:t xml:space="preserve"> prices.</w:t>
      </w:r>
    </w:p>
    <w:p w14:paraId="2E72E42B" w14:textId="09E16146" w:rsidR="001D221C" w:rsidRPr="00575A3E" w:rsidRDefault="00E071F3" w:rsidP="001D221C">
      <w:pPr>
        <w:pStyle w:val="ListParagraph"/>
        <w:numPr>
          <w:ilvl w:val="0"/>
          <w:numId w:val="26"/>
        </w:numPr>
        <w:spacing w:after="0" w:line="360" w:lineRule="auto"/>
        <w:jc w:val="both"/>
        <w:rPr>
          <w:sz w:val="22"/>
          <w:szCs w:val="20"/>
          <w:lang w:val="en-GB"/>
        </w:rPr>
      </w:pPr>
      <w:r w:rsidRPr="00575A3E">
        <w:rPr>
          <w:i/>
          <w:iCs/>
          <w:sz w:val="22"/>
          <w:szCs w:val="20"/>
          <w:lang w:val="en-GB"/>
        </w:rPr>
        <w:t>Maintenance Data:</w:t>
      </w:r>
      <w:r w:rsidRPr="00575A3E">
        <w:rPr>
          <w:sz w:val="22"/>
          <w:szCs w:val="20"/>
          <w:lang w:val="en-GB"/>
        </w:rPr>
        <w:t xml:space="preserve"> £54.85/ year</w:t>
      </w:r>
      <w:r w:rsidR="00224F0B" w:rsidRPr="00575A3E">
        <w:rPr>
          <w:sz w:val="22"/>
          <w:szCs w:val="20"/>
          <w:lang w:val="en-GB"/>
        </w:rPr>
        <w:t xml:space="preserve"> </w:t>
      </w:r>
      <w:r w:rsidR="00224F0B" w:rsidRPr="00575A3E">
        <w:rPr>
          <w:sz w:val="22"/>
          <w:szCs w:val="20"/>
          <w:lang w:val="en-GB"/>
        </w:rPr>
        <w:fldChar w:fldCharType="begin" w:fldLock="1"/>
      </w:r>
      <w:r w:rsidR="0002665A" w:rsidRPr="00575A3E">
        <w:rPr>
          <w:sz w:val="22"/>
          <w:szCs w:val="20"/>
          <w:lang w:val="en-GB"/>
        </w:rPr>
        <w:instrText>ADDIN CSL_CITATION {"citationItems":[{"id":"ITEM-1","itemData":{"author":[{"dropping-particle":"","family":"data.gov.uk","given":"","non-dropping-particle":"","parse-names":false,"suffix":""}],"id":"ITEM-1","issued":{"date-parts":[["2020"]]},"page":"1-10","title":"Getting an MOT","type":"article-journal"},"uris":["http://www.mendeley.com/documents/?uuid=811af33f-b4c0-4d6b-adcf-76cf454f7d9f"]}],"mendeley":{"formattedCitation":"(data.gov.uk, 2020c)","plainTextFormattedCitation":"(data.gov.uk, 2020c)","previouslyFormattedCitation":"(data.gov.uk, 2020c)"},"properties":{"noteIndex":0},"schema":"https://github.com/citation-style-language/schema/raw/master/csl-citation.json"}</w:instrText>
      </w:r>
      <w:r w:rsidR="00224F0B" w:rsidRPr="00575A3E">
        <w:rPr>
          <w:sz w:val="22"/>
          <w:szCs w:val="20"/>
          <w:lang w:val="en-GB"/>
        </w:rPr>
        <w:fldChar w:fldCharType="separate"/>
      </w:r>
      <w:r w:rsidR="00BF7603" w:rsidRPr="00575A3E">
        <w:rPr>
          <w:noProof/>
          <w:sz w:val="22"/>
          <w:szCs w:val="20"/>
          <w:lang w:val="en-GB"/>
        </w:rPr>
        <w:t>(data.gov.uk, 2020c)</w:t>
      </w:r>
      <w:r w:rsidR="00224F0B" w:rsidRPr="00575A3E">
        <w:rPr>
          <w:sz w:val="22"/>
          <w:szCs w:val="20"/>
          <w:lang w:val="en-GB"/>
        </w:rPr>
        <w:fldChar w:fldCharType="end"/>
      </w:r>
      <w:r w:rsidR="00114896" w:rsidRPr="00575A3E">
        <w:rPr>
          <w:sz w:val="22"/>
          <w:szCs w:val="20"/>
          <w:lang w:val="en-GB"/>
        </w:rPr>
        <w:t>.</w:t>
      </w:r>
      <w:r w:rsidR="0021184D" w:rsidRPr="00575A3E">
        <w:rPr>
          <w:sz w:val="22"/>
          <w:szCs w:val="20"/>
          <w:lang w:val="en-GB"/>
        </w:rPr>
        <w:t xml:space="preserve"> This price changes depending on the type of vehicle, ranging from £29.65 for a Motorcycle (engine size up to 200cc) to £124.50 Class 5 vehicles (more than 16 passenger seats) with a seatbelt installation check</w:t>
      </w:r>
      <w:r w:rsidR="001D221C" w:rsidRPr="00575A3E">
        <w:rPr>
          <w:sz w:val="22"/>
          <w:szCs w:val="20"/>
          <w:lang w:val="en-GB"/>
        </w:rPr>
        <w:t xml:space="preserve"> in 2021 prices. However, for this analysis the </w:t>
      </w:r>
      <w:r w:rsidR="001D221C" w:rsidRPr="00575A3E">
        <w:rPr>
          <w:lang w:val="en-GB"/>
        </w:rPr>
        <w:t>GDP deflator is used to express these prices to in 2011 prices.</w:t>
      </w:r>
    </w:p>
    <w:p w14:paraId="4ABB45DB" w14:textId="1AFD5937" w:rsidR="00E071F3" w:rsidRPr="00575A3E" w:rsidRDefault="00E071F3" w:rsidP="008D5D05">
      <w:pPr>
        <w:pStyle w:val="ListParagraph"/>
        <w:numPr>
          <w:ilvl w:val="0"/>
          <w:numId w:val="26"/>
        </w:numPr>
        <w:spacing w:after="0" w:line="360" w:lineRule="auto"/>
        <w:jc w:val="both"/>
        <w:rPr>
          <w:sz w:val="22"/>
          <w:szCs w:val="20"/>
          <w:lang w:val="en-GB"/>
        </w:rPr>
      </w:pPr>
      <w:r w:rsidRPr="00575A3E">
        <w:rPr>
          <w:i/>
          <w:iCs/>
          <w:sz w:val="22"/>
          <w:szCs w:val="20"/>
          <w:lang w:val="en-GB"/>
        </w:rPr>
        <w:lastRenderedPageBreak/>
        <w:t>Insurance Data:</w:t>
      </w:r>
      <w:r w:rsidR="00C44277" w:rsidRPr="00575A3E">
        <w:rPr>
          <w:sz w:val="22"/>
          <w:szCs w:val="20"/>
          <w:lang w:val="en-GB"/>
        </w:rPr>
        <w:t xml:space="preserve"> The median expenditure of UK households on motor insurance is approximately</w:t>
      </w:r>
      <w:r w:rsidRPr="00575A3E">
        <w:rPr>
          <w:sz w:val="22"/>
          <w:szCs w:val="20"/>
          <w:lang w:val="en-GB"/>
        </w:rPr>
        <w:t xml:space="preserve"> £450/year </w:t>
      </w:r>
      <w:r w:rsidR="00224F0B" w:rsidRPr="00575A3E">
        <w:rPr>
          <w:sz w:val="22"/>
          <w:szCs w:val="20"/>
          <w:lang w:val="en-GB"/>
        </w:rPr>
        <w:fldChar w:fldCharType="begin" w:fldLock="1"/>
      </w:r>
      <w:r w:rsidR="00893050" w:rsidRPr="00575A3E">
        <w:rPr>
          <w:sz w:val="22"/>
          <w:szCs w:val="20"/>
          <w:lang w:val="en-GB"/>
        </w:rPr>
        <w:instrText>ADDIN CSL_CITATION {"citationItems":[{"id":"ITEM-1","itemData":{"abstract":"The UK is one of the most prosperous and developed countries in the world. Residents enjoy a relatively high standard of living compared to the rest of the world; businesses benefit from competitive tax rates, a mature legal system and a well-educated workforce. The UK Insurance and Long-Term Savings Industry plays a significant role in this, helping households safeguard their possessions and manage the risk of adverse life events, as well as safeguarding savings for their future. Businesses are better able to manage their risks and more efficiently deploy their resources with suitable insurance arrangements in place.","author":[{"dropping-particle":"","family":"Association of British Insurers","given":"","non-dropping-particle":"","parse-names":false,"suffix":""}],"id":"ITEM-1","issued":{"date-parts":[["2019"]]},"page":"15p.","title":"UK Insurance and Long-Term Savings: The state of the market","type":"article-journal"},"uris":["http://www.mendeley.com/documents/?uuid=76a93e29-95c1-4233-b7b4-5d2a234d3189"]}],"mendeley":{"formattedCitation":"(Association of British Insurers, 2019)","plainTextFormattedCitation":"(Association of British Insurers, 2019)","previouslyFormattedCitation":"(Association of British Insurers, 2019)"},"properties":{"noteIndex":0},"schema":"https://github.com/citation-style-language/schema/raw/master/csl-citation.json"}</w:instrText>
      </w:r>
      <w:r w:rsidR="00224F0B" w:rsidRPr="00575A3E">
        <w:rPr>
          <w:sz w:val="22"/>
          <w:szCs w:val="20"/>
          <w:lang w:val="en-GB"/>
        </w:rPr>
        <w:fldChar w:fldCharType="separate"/>
      </w:r>
      <w:r w:rsidR="00C41D0C" w:rsidRPr="00575A3E">
        <w:rPr>
          <w:noProof/>
          <w:sz w:val="22"/>
          <w:szCs w:val="20"/>
          <w:lang w:val="en-GB"/>
        </w:rPr>
        <w:t>(Association of British Insurers, 2019)</w:t>
      </w:r>
      <w:r w:rsidR="00224F0B" w:rsidRPr="00575A3E">
        <w:rPr>
          <w:sz w:val="22"/>
          <w:szCs w:val="20"/>
          <w:lang w:val="en-GB"/>
        </w:rPr>
        <w:fldChar w:fldCharType="end"/>
      </w:r>
      <w:r w:rsidR="00C44277" w:rsidRPr="00575A3E">
        <w:rPr>
          <w:sz w:val="22"/>
          <w:szCs w:val="20"/>
          <w:lang w:val="en-GB"/>
        </w:rPr>
        <w:t>.</w:t>
      </w:r>
    </w:p>
    <w:p w14:paraId="0D73D115" w14:textId="588E4510" w:rsidR="00E071F3" w:rsidRPr="00575A3E" w:rsidRDefault="00E071F3" w:rsidP="00A55356">
      <w:pPr>
        <w:pStyle w:val="ListParagraph"/>
        <w:numPr>
          <w:ilvl w:val="0"/>
          <w:numId w:val="26"/>
        </w:numPr>
        <w:spacing w:after="0" w:line="360" w:lineRule="auto"/>
        <w:jc w:val="both"/>
        <w:rPr>
          <w:sz w:val="22"/>
          <w:szCs w:val="20"/>
          <w:lang w:val="en-GB"/>
        </w:rPr>
      </w:pPr>
      <w:r w:rsidRPr="00575A3E">
        <w:rPr>
          <w:i/>
          <w:iCs/>
          <w:sz w:val="22"/>
          <w:szCs w:val="20"/>
          <w:lang w:val="en-GB"/>
        </w:rPr>
        <w:t>Vehicle tax Data:</w:t>
      </w:r>
      <w:r w:rsidRPr="00575A3E">
        <w:rPr>
          <w:sz w:val="22"/>
          <w:szCs w:val="20"/>
          <w:lang w:val="en-GB"/>
        </w:rPr>
        <w:t xml:space="preserve"> </w:t>
      </w:r>
      <w:r w:rsidR="000B22B9" w:rsidRPr="00575A3E">
        <w:rPr>
          <w:sz w:val="22"/>
          <w:szCs w:val="20"/>
          <w:lang w:val="en-GB"/>
        </w:rPr>
        <w:t>V</w:t>
      </w:r>
      <w:r w:rsidR="00C44277" w:rsidRPr="00575A3E">
        <w:rPr>
          <w:sz w:val="22"/>
          <w:szCs w:val="20"/>
          <w:lang w:val="en-GB"/>
        </w:rPr>
        <w:t>ehicle tax is changing depending on the CO</w:t>
      </w:r>
      <w:r w:rsidR="00C44277" w:rsidRPr="00575A3E">
        <w:rPr>
          <w:sz w:val="22"/>
          <w:szCs w:val="20"/>
          <w:vertAlign w:val="subscript"/>
          <w:lang w:val="en-GB"/>
        </w:rPr>
        <w:t>2</w:t>
      </w:r>
      <w:r w:rsidR="00C44277" w:rsidRPr="00575A3E">
        <w:rPr>
          <w:sz w:val="22"/>
          <w:szCs w:val="20"/>
          <w:lang w:val="en-GB"/>
        </w:rPr>
        <w:t xml:space="preserve"> emissions, thus for example a diesel vehicle that emits 91 to 100g/km of CO</w:t>
      </w:r>
      <w:r w:rsidR="00C44277" w:rsidRPr="00575A3E">
        <w:rPr>
          <w:sz w:val="22"/>
          <w:szCs w:val="20"/>
          <w:vertAlign w:val="subscript"/>
          <w:lang w:val="en-GB"/>
        </w:rPr>
        <w:t>2</w:t>
      </w:r>
      <w:r w:rsidR="00C44277" w:rsidRPr="00575A3E">
        <w:rPr>
          <w:sz w:val="22"/>
          <w:szCs w:val="20"/>
          <w:lang w:val="en-GB"/>
        </w:rPr>
        <w:t xml:space="preserve"> will be taxed £150/year and an alternative fuel vehicle </w:t>
      </w:r>
      <w:r w:rsidR="000B22B9" w:rsidRPr="00575A3E">
        <w:rPr>
          <w:sz w:val="22"/>
          <w:szCs w:val="20"/>
          <w:lang w:val="en-GB"/>
        </w:rPr>
        <w:t>that does not emit CO</w:t>
      </w:r>
      <w:r w:rsidR="000B22B9" w:rsidRPr="00575A3E">
        <w:rPr>
          <w:sz w:val="22"/>
          <w:szCs w:val="20"/>
          <w:vertAlign w:val="subscript"/>
          <w:lang w:val="en-GB"/>
        </w:rPr>
        <w:t>2</w:t>
      </w:r>
      <w:r w:rsidR="000B22B9" w:rsidRPr="00575A3E">
        <w:rPr>
          <w:sz w:val="22"/>
          <w:szCs w:val="20"/>
          <w:lang w:val="en-GB"/>
        </w:rPr>
        <w:t xml:space="preserve"> </w:t>
      </w:r>
      <w:r w:rsidR="00C44277" w:rsidRPr="00575A3E">
        <w:rPr>
          <w:sz w:val="22"/>
          <w:szCs w:val="20"/>
          <w:lang w:val="en-GB"/>
        </w:rPr>
        <w:t xml:space="preserve">will not be taxed </w:t>
      </w:r>
      <w:r w:rsidR="00C44277" w:rsidRPr="00575A3E">
        <w:rPr>
          <w:sz w:val="22"/>
          <w:szCs w:val="20"/>
          <w:lang w:val="en-GB"/>
        </w:rPr>
        <w:fldChar w:fldCharType="begin" w:fldLock="1"/>
      </w:r>
      <w:r w:rsidR="00C44277" w:rsidRPr="00575A3E">
        <w:rPr>
          <w:sz w:val="22"/>
          <w:szCs w:val="20"/>
          <w:lang w:val="en-GB"/>
        </w:rPr>
        <w:instrText>ADDIN CSL_CITATION {"citationItems":[{"id":"ITEM-1","itemData":{"author":[{"dropping-particle":"","family":"data.gov.uk","given":"","non-dropping-particle":"","parse-names":false,"suffix":""}],"id":"ITEM-1","issued":{"date-parts":[["2020"]]},"page":"1-8","title":"Vehicle tax rates","type":"article-journal"},"uris":["http://www.mendeley.com/documents/?uuid=4401b2b1-5a4c-4c22-8684-7a8acd05ad44"]}],"mendeley":{"formattedCitation":"(data.gov.uk, 2020d)","plainTextFormattedCitation":"(data.gov.uk, 2020d)","previouslyFormattedCitation":"(data.gov.uk, 2020d)"},"properties":{"noteIndex":0},"schema":"https://github.com/citation-style-language/schema/raw/master/csl-citation.json"}</w:instrText>
      </w:r>
      <w:r w:rsidR="00C44277" w:rsidRPr="00575A3E">
        <w:rPr>
          <w:sz w:val="22"/>
          <w:szCs w:val="20"/>
          <w:lang w:val="en-GB"/>
        </w:rPr>
        <w:fldChar w:fldCharType="separate"/>
      </w:r>
      <w:r w:rsidR="00C44277" w:rsidRPr="00575A3E">
        <w:rPr>
          <w:noProof/>
          <w:sz w:val="22"/>
          <w:szCs w:val="20"/>
          <w:lang w:val="en-GB"/>
        </w:rPr>
        <w:t>(data.gov.uk, 2020d)</w:t>
      </w:r>
      <w:r w:rsidR="00C44277" w:rsidRPr="00575A3E">
        <w:rPr>
          <w:sz w:val="22"/>
          <w:szCs w:val="20"/>
          <w:lang w:val="en-GB"/>
        </w:rPr>
        <w:fldChar w:fldCharType="end"/>
      </w:r>
      <w:r w:rsidR="00C44277" w:rsidRPr="00575A3E">
        <w:rPr>
          <w:sz w:val="22"/>
          <w:szCs w:val="20"/>
          <w:lang w:val="en-GB"/>
        </w:rPr>
        <w:t>.</w:t>
      </w:r>
    </w:p>
    <w:p w14:paraId="11787C51" w14:textId="77777777" w:rsidR="00F222FD" w:rsidRPr="00575A3E" w:rsidRDefault="00F222FD" w:rsidP="004B2E97">
      <w:pPr>
        <w:spacing w:line="360" w:lineRule="auto"/>
        <w:rPr>
          <w:szCs w:val="22"/>
          <w:lang w:val="en-GB"/>
        </w:rPr>
      </w:pPr>
    </w:p>
    <w:p w14:paraId="5610EC5C" w14:textId="2899C9AD" w:rsidR="00F479EF" w:rsidRPr="00575A3E" w:rsidRDefault="002C37D7" w:rsidP="004B2E97">
      <w:pPr>
        <w:spacing w:line="360" w:lineRule="auto"/>
        <w:rPr>
          <w:szCs w:val="22"/>
          <w:lang w:val="en-GB"/>
        </w:rPr>
      </w:pPr>
      <w:r w:rsidRPr="00575A3E">
        <w:rPr>
          <w:szCs w:val="22"/>
          <w:lang w:val="en-GB"/>
        </w:rPr>
        <w:t>T</w:t>
      </w:r>
      <w:r w:rsidR="00F479EF" w:rsidRPr="00575A3E">
        <w:rPr>
          <w:szCs w:val="22"/>
          <w:lang w:val="en-GB"/>
        </w:rPr>
        <w:t>he</w:t>
      </w:r>
      <w:r w:rsidRPr="00575A3E">
        <w:rPr>
          <w:szCs w:val="22"/>
          <w:lang w:val="en-GB"/>
        </w:rPr>
        <w:t xml:space="preserve"> two</w:t>
      </w:r>
      <w:r w:rsidR="00F479EF" w:rsidRPr="00575A3E">
        <w:rPr>
          <w:szCs w:val="22"/>
          <w:lang w:val="en-GB"/>
        </w:rPr>
        <w:t xml:space="preserve"> highest costs of vehicle ownership are the purchase price and fuel consumption. To estimate representative costs, </w:t>
      </w:r>
      <w:r w:rsidR="00044F80" w:rsidRPr="00575A3E">
        <w:rPr>
          <w:szCs w:val="22"/>
          <w:lang w:val="en-GB"/>
        </w:rPr>
        <w:t xml:space="preserve">example </w:t>
      </w:r>
      <w:r w:rsidR="00F479EF" w:rsidRPr="00575A3E">
        <w:rPr>
          <w:szCs w:val="22"/>
          <w:lang w:val="en-GB"/>
        </w:rPr>
        <w:t xml:space="preserve">models </w:t>
      </w:r>
      <w:r w:rsidR="00044F80" w:rsidRPr="00575A3E">
        <w:rPr>
          <w:szCs w:val="22"/>
          <w:lang w:val="en-GB"/>
        </w:rPr>
        <w:t xml:space="preserve">are </w:t>
      </w:r>
      <w:r w:rsidRPr="00575A3E">
        <w:rPr>
          <w:szCs w:val="22"/>
          <w:lang w:val="en-GB"/>
        </w:rPr>
        <w:t>selected, which</w:t>
      </w:r>
      <w:r w:rsidR="00F479EF" w:rsidRPr="00575A3E">
        <w:rPr>
          <w:szCs w:val="22"/>
          <w:lang w:val="en-GB"/>
        </w:rPr>
        <w:t xml:space="preserve"> include different technical characteristics and are selected on the basis of their high popularity (number of sales). For the initial purchase price of used cars, the information from the manufacturers is used. The only exception </w:t>
      </w:r>
      <w:r w:rsidR="00E30061" w:rsidRPr="00575A3E">
        <w:rPr>
          <w:szCs w:val="22"/>
          <w:lang w:val="en-GB"/>
        </w:rPr>
        <w:t>concerns</w:t>
      </w:r>
      <w:r w:rsidR="00F479EF" w:rsidRPr="00575A3E">
        <w:rPr>
          <w:szCs w:val="22"/>
          <w:lang w:val="en-GB"/>
        </w:rPr>
        <w:t xml:space="preserve"> the Mercedes model</w:t>
      </w:r>
      <w:r w:rsidR="00CD244F" w:rsidRPr="00575A3E">
        <w:rPr>
          <w:szCs w:val="22"/>
          <w:lang w:val="en-GB"/>
        </w:rPr>
        <w:t>s, which are not sold as used</w:t>
      </w:r>
      <w:r w:rsidR="00F479EF" w:rsidRPr="00575A3E">
        <w:rPr>
          <w:szCs w:val="22"/>
          <w:lang w:val="en-GB"/>
        </w:rPr>
        <w:t xml:space="preserve"> </w:t>
      </w:r>
      <w:r w:rsidR="00E30061" w:rsidRPr="00575A3E">
        <w:rPr>
          <w:szCs w:val="22"/>
          <w:lang w:val="en-GB"/>
        </w:rPr>
        <w:t xml:space="preserve">and </w:t>
      </w:r>
      <w:r w:rsidR="00F479EF" w:rsidRPr="00575A3E">
        <w:rPr>
          <w:szCs w:val="22"/>
          <w:lang w:val="en-GB"/>
        </w:rPr>
        <w:t>therefore the initial price is reduced by 48%</w:t>
      </w:r>
      <w:r w:rsidR="004B58D0" w:rsidRPr="00575A3E">
        <w:rPr>
          <w:szCs w:val="22"/>
          <w:lang w:val="en-GB"/>
        </w:rPr>
        <w:t xml:space="preserve"> (</w:t>
      </w:r>
      <w:r w:rsidR="00F479EF" w:rsidRPr="00575A3E">
        <w:rPr>
          <w:szCs w:val="22"/>
          <w:lang w:val="en-GB"/>
        </w:rPr>
        <w:t>same reduction rate as Nissan</w:t>
      </w:r>
      <w:r w:rsidR="004B58D0" w:rsidRPr="00575A3E">
        <w:rPr>
          <w:szCs w:val="22"/>
          <w:lang w:val="en-GB"/>
        </w:rPr>
        <w:t xml:space="preserve">) </w:t>
      </w:r>
      <w:r w:rsidR="006E3B97" w:rsidRPr="00575A3E">
        <w:rPr>
          <w:szCs w:val="22"/>
          <w:lang w:val="en-GB"/>
        </w:rPr>
        <w:fldChar w:fldCharType="begin" w:fldLock="1"/>
      </w:r>
      <w:r w:rsidR="00893050" w:rsidRPr="00575A3E">
        <w:rPr>
          <w:szCs w:val="22"/>
          <w:lang w:val="en-GB"/>
        </w:rPr>
        <w:instrText>ADDIN CSL_CITATION {"citationItems":[{"id":"ITEM-1","itemData":{"author":[{"dropping-particle":"","family":"Nissan UK","given":"","non-dropping-particle":"","parse-names":false,"suffix":""}],"id":"ITEM-1","issued":{"date-parts":[["2020"]]},"title":"Nissan Leaf. The Tech Advanced, 100% Electric Car","type":"article-journal"},"uris":["http://www.mendeley.com/documents/?uuid=0aa0d6be-eaa2-461f-b171-b9bfa6483c98"]}],"mendeley":{"formattedCitation":"(Nissan UK, 2020)","plainTextFormattedCitation":"(Nissan UK, 2020)","previouslyFormattedCitation":"(Nissan UK, 2020)"},"properties":{"noteIndex":0},"schema":"https://github.com/citation-style-language/schema/raw/master/csl-citation.json"}</w:instrText>
      </w:r>
      <w:r w:rsidR="006E3B97" w:rsidRPr="00575A3E">
        <w:rPr>
          <w:szCs w:val="22"/>
          <w:lang w:val="en-GB"/>
        </w:rPr>
        <w:fldChar w:fldCharType="separate"/>
      </w:r>
      <w:r w:rsidR="00C41D0C" w:rsidRPr="00575A3E">
        <w:rPr>
          <w:noProof/>
          <w:szCs w:val="22"/>
          <w:lang w:val="en-GB"/>
        </w:rPr>
        <w:t>(Nissan UK, 2020)</w:t>
      </w:r>
      <w:r w:rsidR="006E3B97" w:rsidRPr="00575A3E">
        <w:rPr>
          <w:szCs w:val="22"/>
          <w:lang w:val="en-GB"/>
        </w:rPr>
        <w:fldChar w:fldCharType="end"/>
      </w:r>
      <w:r w:rsidR="00F479EF" w:rsidRPr="00575A3E">
        <w:rPr>
          <w:szCs w:val="22"/>
          <w:lang w:val="en-GB"/>
        </w:rPr>
        <w:t>.</w:t>
      </w:r>
      <w:r w:rsidR="00256AD5" w:rsidRPr="00575A3E">
        <w:rPr>
          <w:szCs w:val="22"/>
          <w:lang w:val="en-GB"/>
        </w:rPr>
        <w:t xml:space="preserve"> These costs are presented in </w:t>
      </w:r>
      <w:r w:rsidR="00256AD5" w:rsidRPr="00575A3E">
        <w:rPr>
          <w:szCs w:val="22"/>
          <w:lang w:val="en-GB"/>
        </w:rPr>
        <w:fldChar w:fldCharType="begin"/>
      </w:r>
      <w:r w:rsidR="00256AD5" w:rsidRPr="00575A3E">
        <w:rPr>
          <w:szCs w:val="22"/>
          <w:lang w:val="en-GB"/>
        </w:rPr>
        <w:instrText xml:space="preserve"> REF _Ref78268217 \h </w:instrText>
      </w:r>
      <w:r w:rsidR="00203E5C" w:rsidRPr="00575A3E">
        <w:rPr>
          <w:szCs w:val="22"/>
          <w:lang w:val="en-GB"/>
        </w:rPr>
        <w:instrText xml:space="preserve"> \* MERGEFORMAT </w:instrText>
      </w:r>
      <w:r w:rsidR="00256AD5" w:rsidRPr="00575A3E">
        <w:rPr>
          <w:szCs w:val="22"/>
          <w:lang w:val="en-GB"/>
        </w:rPr>
      </w:r>
      <w:r w:rsidR="00256AD5" w:rsidRPr="00575A3E">
        <w:rPr>
          <w:szCs w:val="22"/>
          <w:lang w:val="en-GB"/>
        </w:rPr>
        <w:fldChar w:fldCharType="separate"/>
      </w:r>
      <w:r w:rsidR="004A1C59" w:rsidRPr="00575A3E">
        <w:rPr>
          <w:szCs w:val="22"/>
          <w:lang w:val="en-GB"/>
        </w:rPr>
        <w:t>Table 6</w:t>
      </w:r>
      <w:r w:rsidR="00256AD5" w:rsidRPr="00575A3E">
        <w:rPr>
          <w:szCs w:val="22"/>
          <w:lang w:val="en-GB"/>
        </w:rPr>
        <w:fldChar w:fldCharType="end"/>
      </w:r>
      <w:r w:rsidR="00256AD5" w:rsidRPr="00575A3E">
        <w:rPr>
          <w:szCs w:val="22"/>
          <w:lang w:val="en-GB"/>
        </w:rPr>
        <w:t xml:space="preserve">. </w:t>
      </w:r>
    </w:p>
    <w:p w14:paraId="4E7BD9D9" w14:textId="7A571B66" w:rsidR="00272413" w:rsidRPr="00575A3E" w:rsidRDefault="00624BF2" w:rsidP="004B2E97">
      <w:pPr>
        <w:pStyle w:val="Caption"/>
        <w:spacing w:before="0" w:after="0" w:line="360" w:lineRule="auto"/>
        <w:jc w:val="center"/>
        <w:rPr>
          <w:lang w:val="en-GB"/>
        </w:rPr>
      </w:pPr>
      <w:bookmarkStart w:id="25" w:name="_Ref78268217"/>
      <w:bookmarkStart w:id="26" w:name="_Toc57750471"/>
      <w:r w:rsidRPr="00575A3E">
        <w:rPr>
          <w:sz w:val="22"/>
          <w:szCs w:val="22"/>
          <w:lang w:val="en-GB"/>
        </w:rPr>
        <w:t>Table</w:t>
      </w:r>
      <w:r w:rsidR="00256AD5" w:rsidRPr="00575A3E">
        <w:rPr>
          <w:sz w:val="22"/>
          <w:szCs w:val="22"/>
          <w:lang w:val="en-GB"/>
        </w:rPr>
        <w:t xml:space="preserve"> </w:t>
      </w:r>
      <w:r w:rsidR="003B4E9E" w:rsidRPr="00575A3E">
        <w:rPr>
          <w:sz w:val="22"/>
          <w:szCs w:val="22"/>
          <w:lang w:val="en-GB"/>
        </w:rPr>
        <w:fldChar w:fldCharType="begin"/>
      </w:r>
      <w:r w:rsidR="003B4E9E" w:rsidRPr="00575A3E">
        <w:rPr>
          <w:sz w:val="22"/>
          <w:szCs w:val="22"/>
          <w:lang w:val="en-GB"/>
        </w:rPr>
        <w:instrText xml:space="preserve"> SEQ Table \* ARABIC </w:instrText>
      </w:r>
      <w:r w:rsidR="003B4E9E" w:rsidRPr="00575A3E">
        <w:rPr>
          <w:sz w:val="22"/>
          <w:szCs w:val="22"/>
          <w:lang w:val="en-GB"/>
        </w:rPr>
        <w:fldChar w:fldCharType="separate"/>
      </w:r>
      <w:r w:rsidR="006101B2" w:rsidRPr="00575A3E">
        <w:rPr>
          <w:noProof/>
          <w:sz w:val="22"/>
          <w:szCs w:val="22"/>
          <w:lang w:val="en-GB"/>
        </w:rPr>
        <w:t>6</w:t>
      </w:r>
      <w:r w:rsidR="003B4E9E" w:rsidRPr="00575A3E">
        <w:rPr>
          <w:sz w:val="22"/>
          <w:szCs w:val="22"/>
          <w:lang w:val="en-GB"/>
        </w:rPr>
        <w:fldChar w:fldCharType="end"/>
      </w:r>
      <w:bookmarkEnd w:id="25"/>
      <w:r w:rsidR="00256AD5" w:rsidRPr="00575A3E">
        <w:rPr>
          <w:sz w:val="22"/>
          <w:szCs w:val="22"/>
          <w:lang w:val="en-GB"/>
        </w:rPr>
        <w:t xml:space="preserve">: </w:t>
      </w:r>
      <w:r w:rsidR="004C243D" w:rsidRPr="00575A3E">
        <w:rPr>
          <w:sz w:val="22"/>
          <w:szCs w:val="22"/>
          <w:lang w:val="en-GB"/>
        </w:rPr>
        <w:t>Initial price and vehicle efficiency for different car models</w:t>
      </w:r>
      <w:bookmarkEnd w:id="26"/>
    </w:p>
    <w:tbl>
      <w:tblPr>
        <w:tblStyle w:val="TableGrid"/>
        <w:tblW w:w="7405" w:type="dxa"/>
        <w:jc w:val="center"/>
        <w:tblLayout w:type="fixed"/>
        <w:tblLook w:val="04A0" w:firstRow="1" w:lastRow="0" w:firstColumn="1" w:lastColumn="0" w:noHBand="0" w:noVBand="1"/>
      </w:tblPr>
      <w:tblGrid>
        <w:gridCol w:w="1643"/>
        <w:gridCol w:w="1803"/>
        <w:gridCol w:w="1486"/>
        <w:gridCol w:w="1299"/>
        <w:gridCol w:w="1174"/>
      </w:tblGrid>
      <w:tr w:rsidR="00575A3E" w:rsidRPr="00575A3E" w14:paraId="73B23663" w14:textId="77777777" w:rsidTr="00256AD5">
        <w:trPr>
          <w:trHeight w:val="300"/>
          <w:jc w:val="center"/>
        </w:trPr>
        <w:tc>
          <w:tcPr>
            <w:tcW w:w="1643" w:type="dxa"/>
          </w:tcPr>
          <w:p w14:paraId="7283BFC3" w14:textId="77777777" w:rsidR="00256AD5" w:rsidRPr="00575A3E" w:rsidRDefault="00256AD5" w:rsidP="00A55356">
            <w:pPr>
              <w:spacing w:line="360" w:lineRule="auto"/>
              <w:rPr>
                <w:b/>
                <w:bCs/>
                <w:szCs w:val="22"/>
                <w:lang w:val="en-GB"/>
              </w:rPr>
            </w:pPr>
            <w:r w:rsidRPr="00575A3E">
              <w:rPr>
                <w:b/>
                <w:bCs/>
                <w:szCs w:val="22"/>
                <w:lang w:val="en-GB"/>
              </w:rPr>
              <w:t>Models</w:t>
            </w:r>
          </w:p>
        </w:tc>
        <w:tc>
          <w:tcPr>
            <w:tcW w:w="1803" w:type="dxa"/>
          </w:tcPr>
          <w:p w14:paraId="436094D9" w14:textId="77777777" w:rsidR="00256AD5" w:rsidRPr="00575A3E" w:rsidRDefault="00256AD5" w:rsidP="00A55356">
            <w:pPr>
              <w:spacing w:line="360" w:lineRule="auto"/>
              <w:rPr>
                <w:b/>
                <w:bCs/>
                <w:szCs w:val="22"/>
                <w:lang w:val="en-GB"/>
              </w:rPr>
            </w:pPr>
            <w:r w:rsidRPr="00575A3E">
              <w:rPr>
                <w:b/>
                <w:bCs/>
                <w:szCs w:val="22"/>
                <w:lang w:val="en-GB"/>
              </w:rPr>
              <w:t>Initial Price (New)</w:t>
            </w:r>
          </w:p>
        </w:tc>
        <w:tc>
          <w:tcPr>
            <w:tcW w:w="1486" w:type="dxa"/>
          </w:tcPr>
          <w:p w14:paraId="6B3B3028" w14:textId="77777777" w:rsidR="00256AD5" w:rsidRPr="00575A3E" w:rsidRDefault="00256AD5" w:rsidP="00A55356">
            <w:pPr>
              <w:spacing w:line="360" w:lineRule="auto"/>
              <w:rPr>
                <w:b/>
                <w:bCs/>
                <w:szCs w:val="22"/>
                <w:lang w:val="en-GB"/>
              </w:rPr>
            </w:pPr>
            <w:r w:rsidRPr="00575A3E">
              <w:rPr>
                <w:b/>
                <w:bCs/>
                <w:szCs w:val="22"/>
                <w:lang w:val="en-GB"/>
              </w:rPr>
              <w:t>Initial Price (Used)</w:t>
            </w:r>
          </w:p>
        </w:tc>
        <w:tc>
          <w:tcPr>
            <w:tcW w:w="2473" w:type="dxa"/>
            <w:gridSpan w:val="2"/>
          </w:tcPr>
          <w:p w14:paraId="58B35AE0" w14:textId="77777777" w:rsidR="00256AD5" w:rsidRPr="00575A3E" w:rsidRDefault="00256AD5" w:rsidP="00A55356">
            <w:pPr>
              <w:spacing w:line="360" w:lineRule="auto"/>
              <w:rPr>
                <w:b/>
                <w:bCs/>
                <w:szCs w:val="22"/>
                <w:lang w:val="en-GB"/>
              </w:rPr>
            </w:pPr>
            <w:r w:rsidRPr="00575A3E">
              <w:rPr>
                <w:b/>
                <w:bCs/>
                <w:szCs w:val="22"/>
                <w:lang w:val="en-GB"/>
              </w:rPr>
              <w:t>Vehicle Efficiency</w:t>
            </w:r>
          </w:p>
        </w:tc>
      </w:tr>
      <w:tr w:rsidR="00575A3E" w:rsidRPr="00575A3E" w14:paraId="4E7007E5" w14:textId="77777777" w:rsidTr="00256AD5">
        <w:trPr>
          <w:trHeight w:val="300"/>
          <w:jc w:val="center"/>
        </w:trPr>
        <w:tc>
          <w:tcPr>
            <w:tcW w:w="1643" w:type="dxa"/>
          </w:tcPr>
          <w:p w14:paraId="47B31378" w14:textId="77777777" w:rsidR="00256AD5" w:rsidRPr="00575A3E" w:rsidRDefault="00256AD5" w:rsidP="00A55356">
            <w:pPr>
              <w:spacing w:line="360" w:lineRule="auto"/>
              <w:rPr>
                <w:szCs w:val="22"/>
                <w:lang w:val="en-GB"/>
              </w:rPr>
            </w:pPr>
            <w:r w:rsidRPr="00575A3E">
              <w:rPr>
                <w:szCs w:val="22"/>
                <w:lang w:val="en-GB"/>
              </w:rPr>
              <w:t>Nissan Leaf</w:t>
            </w:r>
          </w:p>
        </w:tc>
        <w:tc>
          <w:tcPr>
            <w:tcW w:w="1803" w:type="dxa"/>
          </w:tcPr>
          <w:p w14:paraId="3BFEC98C" w14:textId="77777777" w:rsidR="00256AD5" w:rsidRPr="00575A3E" w:rsidRDefault="00256AD5" w:rsidP="00A55356">
            <w:pPr>
              <w:spacing w:line="360" w:lineRule="auto"/>
              <w:rPr>
                <w:szCs w:val="22"/>
                <w:lang w:val="en-GB"/>
              </w:rPr>
            </w:pPr>
            <w:r w:rsidRPr="00575A3E">
              <w:rPr>
                <w:szCs w:val="22"/>
                <w:lang w:val="en-GB"/>
              </w:rPr>
              <w:t>£26,845</w:t>
            </w:r>
          </w:p>
        </w:tc>
        <w:tc>
          <w:tcPr>
            <w:tcW w:w="1486" w:type="dxa"/>
          </w:tcPr>
          <w:p w14:paraId="3886C95D" w14:textId="77777777" w:rsidR="00256AD5" w:rsidRPr="00575A3E" w:rsidRDefault="00256AD5" w:rsidP="00A55356">
            <w:pPr>
              <w:spacing w:line="360" w:lineRule="auto"/>
              <w:rPr>
                <w:szCs w:val="22"/>
                <w:lang w:val="en-GB"/>
              </w:rPr>
            </w:pPr>
            <w:r w:rsidRPr="00575A3E">
              <w:rPr>
                <w:szCs w:val="22"/>
                <w:lang w:val="en-GB"/>
              </w:rPr>
              <w:t>£13,995</w:t>
            </w:r>
          </w:p>
        </w:tc>
        <w:tc>
          <w:tcPr>
            <w:tcW w:w="1299" w:type="dxa"/>
            <w:tcBorders>
              <w:right w:val="single" w:sz="4" w:space="0" w:color="FFFFFF"/>
            </w:tcBorders>
          </w:tcPr>
          <w:p w14:paraId="25E7D5E5" w14:textId="77777777" w:rsidR="00256AD5" w:rsidRPr="00575A3E" w:rsidRDefault="00256AD5" w:rsidP="00A55356">
            <w:pPr>
              <w:spacing w:line="360" w:lineRule="auto"/>
              <w:rPr>
                <w:szCs w:val="22"/>
                <w:lang w:val="en-GB"/>
              </w:rPr>
            </w:pPr>
            <w:r w:rsidRPr="00575A3E">
              <w:rPr>
                <w:szCs w:val="22"/>
                <w:lang w:val="en-GB"/>
              </w:rPr>
              <w:t>0.238095</w:t>
            </w:r>
          </w:p>
        </w:tc>
        <w:tc>
          <w:tcPr>
            <w:tcW w:w="1174" w:type="dxa"/>
            <w:tcBorders>
              <w:left w:val="single" w:sz="4" w:space="0" w:color="FFFFFF"/>
            </w:tcBorders>
          </w:tcPr>
          <w:p w14:paraId="4A057540" w14:textId="77777777" w:rsidR="00256AD5" w:rsidRPr="00575A3E" w:rsidRDefault="00256AD5" w:rsidP="00A55356">
            <w:pPr>
              <w:spacing w:line="360" w:lineRule="auto"/>
              <w:rPr>
                <w:szCs w:val="22"/>
                <w:lang w:val="en-GB"/>
              </w:rPr>
            </w:pPr>
            <w:r w:rsidRPr="00575A3E">
              <w:rPr>
                <w:szCs w:val="22"/>
                <w:lang w:val="en-GB"/>
              </w:rPr>
              <w:t>kWh/mile</w:t>
            </w:r>
          </w:p>
        </w:tc>
      </w:tr>
      <w:tr w:rsidR="00575A3E" w:rsidRPr="00575A3E" w14:paraId="6572031E" w14:textId="77777777" w:rsidTr="00256AD5">
        <w:trPr>
          <w:trHeight w:val="300"/>
          <w:jc w:val="center"/>
        </w:trPr>
        <w:tc>
          <w:tcPr>
            <w:tcW w:w="1643" w:type="dxa"/>
          </w:tcPr>
          <w:p w14:paraId="7DA7FA1D" w14:textId="77777777" w:rsidR="00256AD5" w:rsidRPr="00575A3E" w:rsidRDefault="00256AD5" w:rsidP="00A55356">
            <w:pPr>
              <w:spacing w:line="360" w:lineRule="auto"/>
              <w:rPr>
                <w:szCs w:val="22"/>
                <w:lang w:val="en-GB"/>
              </w:rPr>
            </w:pPr>
            <w:r w:rsidRPr="00575A3E">
              <w:rPr>
                <w:szCs w:val="22"/>
                <w:lang w:val="en-GB"/>
              </w:rPr>
              <w:t>Nissan Tekna</w:t>
            </w:r>
          </w:p>
        </w:tc>
        <w:tc>
          <w:tcPr>
            <w:tcW w:w="1803" w:type="dxa"/>
          </w:tcPr>
          <w:p w14:paraId="3033190E" w14:textId="77777777" w:rsidR="00256AD5" w:rsidRPr="00575A3E" w:rsidRDefault="00256AD5" w:rsidP="00A55356">
            <w:pPr>
              <w:spacing w:line="360" w:lineRule="auto"/>
              <w:rPr>
                <w:szCs w:val="22"/>
                <w:lang w:val="en-GB"/>
              </w:rPr>
            </w:pPr>
            <w:r w:rsidRPr="00575A3E">
              <w:rPr>
                <w:szCs w:val="22"/>
                <w:lang w:val="en-GB"/>
              </w:rPr>
              <w:t>£29,845</w:t>
            </w:r>
          </w:p>
        </w:tc>
        <w:tc>
          <w:tcPr>
            <w:tcW w:w="1486" w:type="dxa"/>
          </w:tcPr>
          <w:p w14:paraId="335504EE" w14:textId="77777777" w:rsidR="00256AD5" w:rsidRPr="00575A3E" w:rsidRDefault="00256AD5" w:rsidP="00A55356">
            <w:pPr>
              <w:spacing w:line="360" w:lineRule="auto"/>
              <w:rPr>
                <w:szCs w:val="22"/>
                <w:lang w:val="en-GB"/>
              </w:rPr>
            </w:pPr>
            <w:r w:rsidRPr="00575A3E">
              <w:rPr>
                <w:szCs w:val="22"/>
                <w:lang w:val="en-GB"/>
              </w:rPr>
              <w:t>£15,559</w:t>
            </w:r>
          </w:p>
        </w:tc>
        <w:tc>
          <w:tcPr>
            <w:tcW w:w="1299" w:type="dxa"/>
            <w:tcBorders>
              <w:right w:val="single" w:sz="4" w:space="0" w:color="FFFFFF"/>
            </w:tcBorders>
          </w:tcPr>
          <w:p w14:paraId="5FAAE5F1" w14:textId="77777777" w:rsidR="00256AD5" w:rsidRPr="00575A3E" w:rsidRDefault="00256AD5" w:rsidP="00A55356">
            <w:pPr>
              <w:spacing w:line="360" w:lineRule="auto"/>
              <w:rPr>
                <w:szCs w:val="22"/>
                <w:lang w:val="en-GB"/>
              </w:rPr>
            </w:pPr>
            <w:r w:rsidRPr="00575A3E">
              <w:rPr>
                <w:szCs w:val="22"/>
                <w:lang w:val="en-GB"/>
              </w:rPr>
              <w:t>0.238095</w:t>
            </w:r>
          </w:p>
        </w:tc>
        <w:tc>
          <w:tcPr>
            <w:tcW w:w="1174" w:type="dxa"/>
            <w:tcBorders>
              <w:left w:val="single" w:sz="4" w:space="0" w:color="FFFFFF"/>
            </w:tcBorders>
          </w:tcPr>
          <w:p w14:paraId="3A443354" w14:textId="77777777" w:rsidR="00256AD5" w:rsidRPr="00575A3E" w:rsidRDefault="00256AD5" w:rsidP="00A55356">
            <w:pPr>
              <w:spacing w:line="360" w:lineRule="auto"/>
              <w:rPr>
                <w:szCs w:val="22"/>
                <w:lang w:val="en-GB"/>
              </w:rPr>
            </w:pPr>
            <w:r w:rsidRPr="00575A3E">
              <w:rPr>
                <w:szCs w:val="22"/>
                <w:lang w:val="en-GB"/>
              </w:rPr>
              <w:t>kWh/mile</w:t>
            </w:r>
          </w:p>
        </w:tc>
      </w:tr>
      <w:tr w:rsidR="00575A3E" w:rsidRPr="00575A3E" w14:paraId="20BE79AC" w14:textId="77777777" w:rsidTr="00256AD5">
        <w:trPr>
          <w:trHeight w:val="300"/>
          <w:jc w:val="center"/>
        </w:trPr>
        <w:tc>
          <w:tcPr>
            <w:tcW w:w="1643" w:type="dxa"/>
          </w:tcPr>
          <w:p w14:paraId="1501E329" w14:textId="77777777" w:rsidR="00256AD5" w:rsidRPr="00575A3E" w:rsidRDefault="00256AD5" w:rsidP="00A55356">
            <w:pPr>
              <w:spacing w:line="360" w:lineRule="auto"/>
              <w:rPr>
                <w:szCs w:val="22"/>
                <w:lang w:val="en-GB"/>
              </w:rPr>
            </w:pPr>
            <w:r w:rsidRPr="00575A3E">
              <w:rPr>
                <w:szCs w:val="22"/>
                <w:lang w:val="en-GB"/>
              </w:rPr>
              <w:t>Mercedes A250e</w:t>
            </w:r>
          </w:p>
        </w:tc>
        <w:tc>
          <w:tcPr>
            <w:tcW w:w="1803" w:type="dxa"/>
          </w:tcPr>
          <w:p w14:paraId="04745837" w14:textId="77777777" w:rsidR="00256AD5" w:rsidRPr="00575A3E" w:rsidRDefault="00256AD5" w:rsidP="00A55356">
            <w:pPr>
              <w:spacing w:line="360" w:lineRule="auto"/>
              <w:rPr>
                <w:szCs w:val="22"/>
                <w:lang w:val="en-GB"/>
              </w:rPr>
            </w:pPr>
            <w:r w:rsidRPr="00575A3E">
              <w:rPr>
                <w:szCs w:val="22"/>
                <w:lang w:val="en-GB"/>
              </w:rPr>
              <w:t>£32,980</w:t>
            </w:r>
          </w:p>
        </w:tc>
        <w:tc>
          <w:tcPr>
            <w:tcW w:w="1486" w:type="dxa"/>
          </w:tcPr>
          <w:p w14:paraId="7E68F1EB" w14:textId="77777777" w:rsidR="00256AD5" w:rsidRPr="00575A3E" w:rsidRDefault="00256AD5" w:rsidP="00A55356">
            <w:pPr>
              <w:spacing w:line="360" w:lineRule="auto"/>
              <w:rPr>
                <w:szCs w:val="22"/>
                <w:lang w:val="en-GB"/>
              </w:rPr>
            </w:pPr>
            <w:r w:rsidRPr="00575A3E">
              <w:rPr>
                <w:szCs w:val="22"/>
                <w:lang w:val="en-GB"/>
              </w:rPr>
              <w:t>£17,193</w:t>
            </w:r>
          </w:p>
        </w:tc>
        <w:tc>
          <w:tcPr>
            <w:tcW w:w="1299" w:type="dxa"/>
            <w:tcBorders>
              <w:right w:val="single" w:sz="4" w:space="0" w:color="FFFFFF"/>
            </w:tcBorders>
          </w:tcPr>
          <w:p w14:paraId="1B15D091" w14:textId="77777777" w:rsidR="00256AD5" w:rsidRPr="00575A3E" w:rsidRDefault="00256AD5" w:rsidP="00A55356">
            <w:pPr>
              <w:spacing w:line="360" w:lineRule="auto"/>
              <w:rPr>
                <w:szCs w:val="22"/>
                <w:lang w:val="en-GB"/>
              </w:rPr>
            </w:pPr>
            <w:r w:rsidRPr="00575A3E">
              <w:rPr>
                <w:szCs w:val="22"/>
                <w:lang w:val="en-GB"/>
              </w:rPr>
              <w:t>0.234964</w:t>
            </w:r>
          </w:p>
        </w:tc>
        <w:tc>
          <w:tcPr>
            <w:tcW w:w="1174" w:type="dxa"/>
            <w:tcBorders>
              <w:left w:val="single" w:sz="4" w:space="0" w:color="FFFFFF"/>
            </w:tcBorders>
          </w:tcPr>
          <w:p w14:paraId="2EEEF875" w14:textId="77777777" w:rsidR="00256AD5" w:rsidRPr="00575A3E" w:rsidRDefault="00256AD5" w:rsidP="00A55356">
            <w:pPr>
              <w:spacing w:line="360" w:lineRule="auto"/>
              <w:rPr>
                <w:szCs w:val="22"/>
                <w:lang w:val="en-GB"/>
              </w:rPr>
            </w:pPr>
            <w:r w:rsidRPr="00575A3E">
              <w:rPr>
                <w:szCs w:val="22"/>
                <w:lang w:val="en-GB"/>
              </w:rPr>
              <w:t>kWh/mile</w:t>
            </w:r>
          </w:p>
        </w:tc>
      </w:tr>
      <w:tr w:rsidR="00575A3E" w:rsidRPr="00575A3E" w14:paraId="71C72A2F" w14:textId="77777777" w:rsidTr="00256AD5">
        <w:trPr>
          <w:trHeight w:val="300"/>
          <w:jc w:val="center"/>
        </w:trPr>
        <w:tc>
          <w:tcPr>
            <w:tcW w:w="1643" w:type="dxa"/>
          </w:tcPr>
          <w:p w14:paraId="4AE3DAF4" w14:textId="77777777" w:rsidR="00256AD5" w:rsidRPr="00575A3E" w:rsidRDefault="00256AD5" w:rsidP="00A55356">
            <w:pPr>
              <w:spacing w:line="360" w:lineRule="auto"/>
              <w:rPr>
                <w:szCs w:val="22"/>
                <w:lang w:val="en-GB"/>
              </w:rPr>
            </w:pPr>
            <w:r w:rsidRPr="00575A3E">
              <w:rPr>
                <w:szCs w:val="22"/>
                <w:lang w:val="en-GB"/>
              </w:rPr>
              <w:t>Ford Fiesta</w:t>
            </w:r>
          </w:p>
        </w:tc>
        <w:tc>
          <w:tcPr>
            <w:tcW w:w="1803" w:type="dxa"/>
          </w:tcPr>
          <w:p w14:paraId="22538D7F" w14:textId="77777777" w:rsidR="00256AD5" w:rsidRPr="00575A3E" w:rsidRDefault="00256AD5" w:rsidP="00A55356">
            <w:pPr>
              <w:spacing w:line="360" w:lineRule="auto"/>
              <w:rPr>
                <w:szCs w:val="22"/>
                <w:lang w:val="en-GB"/>
              </w:rPr>
            </w:pPr>
            <w:r w:rsidRPr="00575A3E">
              <w:rPr>
                <w:szCs w:val="22"/>
                <w:lang w:val="en-GB"/>
              </w:rPr>
              <w:t>£16,640</w:t>
            </w:r>
          </w:p>
        </w:tc>
        <w:tc>
          <w:tcPr>
            <w:tcW w:w="1486" w:type="dxa"/>
          </w:tcPr>
          <w:p w14:paraId="7A680638" w14:textId="77777777" w:rsidR="00256AD5" w:rsidRPr="00575A3E" w:rsidRDefault="00256AD5" w:rsidP="00A55356">
            <w:pPr>
              <w:spacing w:line="360" w:lineRule="auto"/>
              <w:rPr>
                <w:szCs w:val="22"/>
                <w:lang w:val="en-GB"/>
              </w:rPr>
            </w:pPr>
            <w:r w:rsidRPr="00575A3E">
              <w:rPr>
                <w:szCs w:val="22"/>
                <w:lang w:val="en-GB"/>
              </w:rPr>
              <w:t>£9,474</w:t>
            </w:r>
          </w:p>
        </w:tc>
        <w:tc>
          <w:tcPr>
            <w:tcW w:w="1299" w:type="dxa"/>
            <w:tcBorders>
              <w:right w:val="single" w:sz="4" w:space="0" w:color="FFFFFF"/>
            </w:tcBorders>
          </w:tcPr>
          <w:p w14:paraId="03C37E52" w14:textId="77777777" w:rsidR="00256AD5" w:rsidRPr="00575A3E" w:rsidRDefault="00256AD5" w:rsidP="00A55356">
            <w:pPr>
              <w:spacing w:line="360" w:lineRule="auto"/>
              <w:rPr>
                <w:szCs w:val="22"/>
                <w:lang w:val="en-GB"/>
              </w:rPr>
            </w:pPr>
            <w:r w:rsidRPr="00575A3E">
              <w:rPr>
                <w:szCs w:val="22"/>
                <w:lang w:val="en-GB"/>
              </w:rPr>
              <w:t>53.3</w:t>
            </w:r>
          </w:p>
        </w:tc>
        <w:tc>
          <w:tcPr>
            <w:tcW w:w="1174" w:type="dxa"/>
            <w:tcBorders>
              <w:left w:val="single" w:sz="4" w:space="0" w:color="FFFFFF"/>
            </w:tcBorders>
          </w:tcPr>
          <w:p w14:paraId="7DD1B985" w14:textId="06776FDF" w:rsidR="00256AD5" w:rsidRPr="00575A3E" w:rsidRDefault="0006106A" w:rsidP="00A55356">
            <w:pPr>
              <w:spacing w:line="360" w:lineRule="auto"/>
              <w:rPr>
                <w:szCs w:val="22"/>
                <w:lang w:val="en-GB"/>
              </w:rPr>
            </w:pPr>
            <w:r w:rsidRPr="00575A3E">
              <w:rPr>
                <w:szCs w:val="22"/>
                <w:lang w:val="en-GB"/>
              </w:rPr>
              <w:t>M</w:t>
            </w:r>
            <w:r w:rsidR="00256AD5" w:rsidRPr="00575A3E">
              <w:rPr>
                <w:szCs w:val="22"/>
                <w:lang w:val="en-GB"/>
              </w:rPr>
              <w:t>pg</w:t>
            </w:r>
          </w:p>
        </w:tc>
      </w:tr>
      <w:tr w:rsidR="00575A3E" w:rsidRPr="00575A3E" w14:paraId="04FACF74" w14:textId="77777777" w:rsidTr="00256AD5">
        <w:trPr>
          <w:trHeight w:val="300"/>
          <w:jc w:val="center"/>
        </w:trPr>
        <w:tc>
          <w:tcPr>
            <w:tcW w:w="1643" w:type="dxa"/>
          </w:tcPr>
          <w:p w14:paraId="201E71A5" w14:textId="77777777" w:rsidR="00256AD5" w:rsidRPr="00575A3E" w:rsidRDefault="00256AD5" w:rsidP="00A55356">
            <w:pPr>
              <w:spacing w:line="360" w:lineRule="auto"/>
              <w:rPr>
                <w:szCs w:val="22"/>
                <w:lang w:val="en-GB"/>
              </w:rPr>
            </w:pPr>
            <w:r w:rsidRPr="00575A3E">
              <w:rPr>
                <w:szCs w:val="22"/>
                <w:lang w:val="en-GB"/>
              </w:rPr>
              <w:t>Toyota Corolla</w:t>
            </w:r>
          </w:p>
        </w:tc>
        <w:tc>
          <w:tcPr>
            <w:tcW w:w="1803" w:type="dxa"/>
          </w:tcPr>
          <w:p w14:paraId="4AFA971E" w14:textId="77777777" w:rsidR="00256AD5" w:rsidRPr="00575A3E" w:rsidRDefault="00256AD5" w:rsidP="00A55356">
            <w:pPr>
              <w:spacing w:line="360" w:lineRule="auto"/>
              <w:rPr>
                <w:szCs w:val="22"/>
                <w:lang w:val="en-GB"/>
              </w:rPr>
            </w:pPr>
            <w:r w:rsidRPr="00575A3E">
              <w:rPr>
                <w:szCs w:val="22"/>
                <w:lang w:val="en-GB"/>
              </w:rPr>
              <w:t>£27,455</w:t>
            </w:r>
          </w:p>
        </w:tc>
        <w:tc>
          <w:tcPr>
            <w:tcW w:w="1486" w:type="dxa"/>
          </w:tcPr>
          <w:p w14:paraId="0A842684" w14:textId="77777777" w:rsidR="00256AD5" w:rsidRPr="00575A3E" w:rsidRDefault="00256AD5" w:rsidP="00A55356">
            <w:pPr>
              <w:spacing w:line="360" w:lineRule="auto"/>
              <w:rPr>
                <w:szCs w:val="22"/>
                <w:lang w:val="en-GB"/>
              </w:rPr>
            </w:pPr>
            <w:r w:rsidRPr="00575A3E">
              <w:rPr>
                <w:szCs w:val="22"/>
                <w:lang w:val="en-GB"/>
              </w:rPr>
              <w:t>£14,995</w:t>
            </w:r>
          </w:p>
        </w:tc>
        <w:tc>
          <w:tcPr>
            <w:tcW w:w="1299" w:type="dxa"/>
            <w:tcBorders>
              <w:right w:val="single" w:sz="4" w:space="0" w:color="FFFFFF"/>
            </w:tcBorders>
          </w:tcPr>
          <w:p w14:paraId="0AC65233" w14:textId="77777777" w:rsidR="00256AD5" w:rsidRPr="00575A3E" w:rsidRDefault="00256AD5" w:rsidP="00A55356">
            <w:pPr>
              <w:spacing w:line="360" w:lineRule="auto"/>
              <w:rPr>
                <w:szCs w:val="22"/>
                <w:lang w:val="en-GB"/>
              </w:rPr>
            </w:pPr>
            <w:r w:rsidRPr="00575A3E">
              <w:rPr>
                <w:szCs w:val="22"/>
                <w:lang w:val="en-GB"/>
              </w:rPr>
              <w:t>57.6</w:t>
            </w:r>
          </w:p>
        </w:tc>
        <w:tc>
          <w:tcPr>
            <w:tcW w:w="1174" w:type="dxa"/>
            <w:tcBorders>
              <w:left w:val="single" w:sz="4" w:space="0" w:color="FFFFFF"/>
            </w:tcBorders>
          </w:tcPr>
          <w:p w14:paraId="754C2380" w14:textId="75EEC1EC" w:rsidR="00256AD5" w:rsidRPr="00575A3E" w:rsidRDefault="0006106A" w:rsidP="00A55356">
            <w:pPr>
              <w:spacing w:line="360" w:lineRule="auto"/>
              <w:rPr>
                <w:szCs w:val="22"/>
                <w:lang w:val="en-GB"/>
              </w:rPr>
            </w:pPr>
            <w:r w:rsidRPr="00575A3E">
              <w:rPr>
                <w:szCs w:val="22"/>
                <w:lang w:val="en-GB"/>
              </w:rPr>
              <w:t>M</w:t>
            </w:r>
            <w:r w:rsidR="00256AD5" w:rsidRPr="00575A3E">
              <w:rPr>
                <w:szCs w:val="22"/>
                <w:lang w:val="en-GB"/>
              </w:rPr>
              <w:t>pg</w:t>
            </w:r>
          </w:p>
        </w:tc>
      </w:tr>
      <w:tr w:rsidR="00575A3E" w:rsidRPr="00575A3E" w14:paraId="41ADC386" w14:textId="77777777" w:rsidTr="00256AD5">
        <w:trPr>
          <w:trHeight w:val="300"/>
          <w:jc w:val="center"/>
        </w:trPr>
        <w:tc>
          <w:tcPr>
            <w:tcW w:w="1643" w:type="dxa"/>
          </w:tcPr>
          <w:p w14:paraId="7009B16A" w14:textId="77777777" w:rsidR="00256AD5" w:rsidRPr="00575A3E" w:rsidRDefault="00256AD5" w:rsidP="00A55356">
            <w:pPr>
              <w:spacing w:line="360" w:lineRule="auto"/>
              <w:rPr>
                <w:szCs w:val="22"/>
                <w:lang w:val="en-GB"/>
              </w:rPr>
            </w:pPr>
            <w:r w:rsidRPr="00575A3E">
              <w:rPr>
                <w:szCs w:val="22"/>
                <w:lang w:val="en-GB"/>
              </w:rPr>
              <w:t>Mercedes A250</w:t>
            </w:r>
          </w:p>
        </w:tc>
        <w:tc>
          <w:tcPr>
            <w:tcW w:w="1803" w:type="dxa"/>
          </w:tcPr>
          <w:p w14:paraId="3EE81FAD" w14:textId="77777777" w:rsidR="00256AD5" w:rsidRPr="00575A3E" w:rsidRDefault="00256AD5" w:rsidP="00A55356">
            <w:pPr>
              <w:spacing w:line="360" w:lineRule="auto"/>
              <w:rPr>
                <w:szCs w:val="22"/>
                <w:lang w:val="en-GB"/>
              </w:rPr>
            </w:pPr>
            <w:r w:rsidRPr="00575A3E">
              <w:rPr>
                <w:szCs w:val="22"/>
                <w:lang w:val="en-GB"/>
              </w:rPr>
              <w:t>£31,135</w:t>
            </w:r>
          </w:p>
        </w:tc>
        <w:tc>
          <w:tcPr>
            <w:tcW w:w="1486" w:type="dxa"/>
          </w:tcPr>
          <w:p w14:paraId="6A14068A" w14:textId="77777777" w:rsidR="00256AD5" w:rsidRPr="00575A3E" w:rsidRDefault="00256AD5" w:rsidP="00A55356">
            <w:pPr>
              <w:spacing w:line="360" w:lineRule="auto"/>
              <w:rPr>
                <w:szCs w:val="22"/>
                <w:lang w:val="en-GB"/>
              </w:rPr>
            </w:pPr>
            <w:r w:rsidRPr="00575A3E">
              <w:rPr>
                <w:szCs w:val="22"/>
                <w:lang w:val="en-GB"/>
              </w:rPr>
              <w:t>£16,231</w:t>
            </w:r>
          </w:p>
        </w:tc>
        <w:tc>
          <w:tcPr>
            <w:tcW w:w="1299" w:type="dxa"/>
            <w:tcBorders>
              <w:right w:val="single" w:sz="4" w:space="0" w:color="FFFFFF"/>
            </w:tcBorders>
          </w:tcPr>
          <w:p w14:paraId="1D4BBC0B" w14:textId="77777777" w:rsidR="00256AD5" w:rsidRPr="00575A3E" w:rsidRDefault="00256AD5" w:rsidP="00A55356">
            <w:pPr>
              <w:spacing w:line="360" w:lineRule="auto"/>
              <w:rPr>
                <w:szCs w:val="22"/>
                <w:lang w:val="en-GB"/>
              </w:rPr>
            </w:pPr>
            <w:r w:rsidRPr="00575A3E">
              <w:rPr>
                <w:szCs w:val="22"/>
                <w:lang w:val="en-GB"/>
              </w:rPr>
              <w:t>41.5</w:t>
            </w:r>
          </w:p>
        </w:tc>
        <w:tc>
          <w:tcPr>
            <w:tcW w:w="1174" w:type="dxa"/>
            <w:tcBorders>
              <w:left w:val="single" w:sz="4" w:space="0" w:color="FFFFFF"/>
            </w:tcBorders>
          </w:tcPr>
          <w:p w14:paraId="7D79B8A6" w14:textId="52D42DE6" w:rsidR="00256AD5" w:rsidRPr="00575A3E" w:rsidRDefault="0006106A" w:rsidP="00A55356">
            <w:pPr>
              <w:spacing w:line="360" w:lineRule="auto"/>
              <w:rPr>
                <w:szCs w:val="22"/>
                <w:lang w:val="en-GB"/>
              </w:rPr>
            </w:pPr>
            <w:r w:rsidRPr="00575A3E">
              <w:rPr>
                <w:szCs w:val="22"/>
                <w:lang w:val="en-GB"/>
              </w:rPr>
              <w:t>M</w:t>
            </w:r>
            <w:r w:rsidR="00256AD5" w:rsidRPr="00575A3E">
              <w:rPr>
                <w:szCs w:val="22"/>
                <w:lang w:val="en-GB"/>
              </w:rPr>
              <w:t>pg</w:t>
            </w:r>
          </w:p>
        </w:tc>
      </w:tr>
    </w:tbl>
    <w:p w14:paraId="5A513DD1" w14:textId="7EBEA8CA" w:rsidR="004C243D" w:rsidRPr="00575A3E" w:rsidRDefault="00256AD5" w:rsidP="004B2E97">
      <w:pPr>
        <w:spacing w:line="360" w:lineRule="auto"/>
        <w:jc w:val="center"/>
        <w:rPr>
          <w:i/>
          <w:iCs/>
          <w:sz w:val="18"/>
          <w:szCs w:val="18"/>
          <w:lang w:val="en-GB"/>
        </w:rPr>
      </w:pPr>
      <w:r w:rsidRPr="00575A3E">
        <w:rPr>
          <w:i/>
          <w:iCs/>
          <w:sz w:val="18"/>
          <w:szCs w:val="18"/>
          <w:lang w:val="en-GB"/>
        </w:rPr>
        <w:t xml:space="preserve">Adapted from </w:t>
      </w:r>
      <w:r w:rsidRPr="00575A3E">
        <w:rPr>
          <w:i/>
          <w:iCs/>
          <w:sz w:val="18"/>
          <w:szCs w:val="18"/>
          <w:lang w:val="en-GB"/>
        </w:rPr>
        <w:fldChar w:fldCharType="begin" w:fldLock="1"/>
      </w:r>
      <w:r w:rsidR="00BF7603" w:rsidRPr="00575A3E">
        <w:rPr>
          <w:i/>
          <w:iCs/>
          <w:sz w:val="18"/>
          <w:szCs w:val="18"/>
          <w:lang w:val="en-GB"/>
        </w:rPr>
        <w:instrText>ADDIN CSL_CITATION {"citationItems":[{"id":"ITEM-1","itemData":{"author":[{"dropping-particle":"","family":"Nissan UK","given":"","non-dropping-particle":"","parse-names":false,"suffix":""}],"id":"ITEM-1","issued":{"date-parts":[["2020"]]},"title":"Nissan Leaf. The Tech Advanced, 100% Electric Car","type":"article-journal"},"uris":["http://www.mendeley.com/documents/?uuid=0aa0d6be-eaa2-461f-b171-b9bfa6483c98"]},{"id":"ITEM-2","itemData":{"author":[{"dropping-particle":"","family":"Ford","given":"","non-dropping-particle":"","parse-names":false,"suffix":""}],"id":"ITEM-2","issue":"November","issued":{"date-parts":[["2020"]]},"page":"1-18","title":"Ford Fiesta - Customer Ordering Guide and Price List","type":"article-journal"},"uris":["http://www.mendeley.com/documents/?uuid=2411267c-8ea8-439c-9818-3880bca48a0c"]},{"id":"ITEM-3","itemData":{"author":[{"dropping-particle":"","family":"Mercedes-Benz","given":"","non-dropping-particle":"","parse-names":false,"suffix":""}],"id":"ITEM-3","issue":"July","issued":{"date-parts":[["2020"]]},"title":"A ‑ Class Hatchback and Saloon","type":"article-journal"},"uris":["http://www.mendeley.com/documents/?uuid=ae90aef0-d0c9-4ac4-8289-54dcd8816e2d"]},{"id":"ITEM-4","itemData":{"author":[{"dropping-particle":"","family":"Toyota UK","given":"","non-dropping-particle":"","parse-names":false,"suffix":""}],"id":"ITEM-4","issue":"4","issued":{"date-parts":[["2020"]]},"page":"1-3","title":"Toyota Corolla Hatchback Prices &amp; Costs","type":"article-journal"},"uris":["http://www.mendeley.com/documents/?uuid=24b013d3-3c33-468c-8409-7c4a7941693a"]}],"mendeley":{"formattedCitation":"(Ford, 2020; Mercedes-Benz, 2020; Nissan UK, 2020; Toyota UK, 2020)","manualFormatting":"Ford, 2020; Mercedes-Benz, 2020; Nissan UK, 2020; Toyota UK, 2020","plainTextFormattedCitation":"(Ford, 2020; Mercedes-Benz, 2020; Nissan UK, 2020; Toyota UK, 2020)","previouslyFormattedCitation":"(Ford, 2020; Mercedes-Benz, 2020; Nissan UK, 2020; Toyota UK, 2020)"},"properties":{"noteIndex":0},"schema":"https://github.com/citation-style-language/schema/raw/master/csl-citation.json"}</w:instrText>
      </w:r>
      <w:r w:rsidRPr="00575A3E">
        <w:rPr>
          <w:i/>
          <w:iCs/>
          <w:sz w:val="18"/>
          <w:szCs w:val="18"/>
          <w:lang w:val="en-GB"/>
        </w:rPr>
        <w:fldChar w:fldCharType="separate"/>
      </w:r>
      <w:r w:rsidR="00C41D0C" w:rsidRPr="00575A3E">
        <w:rPr>
          <w:iCs/>
          <w:noProof/>
          <w:sz w:val="18"/>
          <w:szCs w:val="18"/>
          <w:lang w:val="en-GB"/>
        </w:rPr>
        <w:t>Ford, 2020; Mercedes-Benz, 2020; Nissan UK, 2020; Toyota UK, 2020</w:t>
      </w:r>
      <w:r w:rsidRPr="00575A3E">
        <w:rPr>
          <w:i/>
          <w:iCs/>
          <w:sz w:val="18"/>
          <w:szCs w:val="18"/>
          <w:lang w:val="en-GB"/>
        </w:rPr>
        <w:fldChar w:fldCharType="end"/>
      </w:r>
      <w:r w:rsidR="00981F20" w:rsidRPr="00575A3E">
        <w:rPr>
          <w:i/>
          <w:iCs/>
          <w:sz w:val="18"/>
          <w:szCs w:val="18"/>
          <w:lang w:val="en-GB"/>
        </w:rPr>
        <w:t>.</w:t>
      </w:r>
    </w:p>
    <w:p w14:paraId="1BB9C193" w14:textId="77777777" w:rsidR="004B2E97" w:rsidRPr="00575A3E" w:rsidRDefault="004B2E97" w:rsidP="00A55356">
      <w:pPr>
        <w:spacing w:line="360" w:lineRule="auto"/>
        <w:ind w:firstLine="709"/>
        <w:rPr>
          <w:lang w:val="en-GB"/>
        </w:rPr>
      </w:pPr>
    </w:p>
    <w:p w14:paraId="643AD00C" w14:textId="102FC43A" w:rsidR="00F479EF" w:rsidRPr="00575A3E" w:rsidRDefault="00DD7842" w:rsidP="00317850">
      <w:pPr>
        <w:spacing w:line="360" w:lineRule="auto"/>
        <w:rPr>
          <w:szCs w:val="22"/>
          <w:lang w:val="en-GB"/>
        </w:rPr>
      </w:pPr>
      <w:r w:rsidRPr="00575A3E">
        <w:rPr>
          <w:lang w:val="en-GB"/>
        </w:rPr>
        <w:t>Full automation requires technological equipment</w:t>
      </w:r>
      <w:r w:rsidR="00E30061" w:rsidRPr="00575A3E">
        <w:rPr>
          <w:lang w:val="en-GB"/>
        </w:rPr>
        <w:t xml:space="preserve"> (such as GPS, LiDAR and cameras),</w:t>
      </w:r>
      <w:r w:rsidRPr="00575A3E">
        <w:rPr>
          <w:lang w:val="en-GB"/>
        </w:rPr>
        <w:t xml:space="preserve"> which make</w:t>
      </w:r>
      <w:r w:rsidR="00E30061" w:rsidRPr="00575A3E">
        <w:rPr>
          <w:lang w:val="en-GB"/>
        </w:rPr>
        <w:t>s</w:t>
      </w:r>
      <w:r w:rsidR="009A7258" w:rsidRPr="00575A3E">
        <w:rPr>
          <w:lang w:val="en-GB"/>
        </w:rPr>
        <w:t xml:space="preserve"> the initial price higher.</w:t>
      </w:r>
      <w:r w:rsidRPr="00575A3E">
        <w:rPr>
          <w:lang w:val="en-GB"/>
        </w:rPr>
        <w:t xml:space="preserve"> </w:t>
      </w:r>
      <w:r w:rsidR="00E30061" w:rsidRPr="00575A3E">
        <w:rPr>
          <w:lang w:val="en-GB"/>
        </w:rPr>
        <w:t>Varying estimates of</w:t>
      </w:r>
      <w:r w:rsidRPr="00575A3E">
        <w:rPr>
          <w:lang w:val="en-GB"/>
        </w:rPr>
        <w:t xml:space="preserve"> the additional cost</w:t>
      </w:r>
      <w:r w:rsidR="00E30061" w:rsidRPr="00575A3E">
        <w:rPr>
          <w:lang w:val="en-GB"/>
        </w:rPr>
        <w:t xml:space="preserve"> are recommended in the literature, ranging from</w:t>
      </w:r>
      <w:r w:rsidRPr="00575A3E">
        <w:rPr>
          <w:lang w:val="en-GB"/>
        </w:rPr>
        <w:t xml:space="preserve"> £5</w:t>
      </w:r>
      <w:r w:rsidR="00114896" w:rsidRPr="00575A3E">
        <w:rPr>
          <w:lang w:val="en-GB"/>
        </w:rPr>
        <w:t>,</w:t>
      </w:r>
      <w:r w:rsidRPr="00575A3E">
        <w:rPr>
          <w:lang w:val="en-GB"/>
        </w:rPr>
        <w:t xml:space="preserve">000 </w:t>
      </w:r>
      <w:r w:rsidRPr="00575A3E">
        <w:rPr>
          <w:lang w:val="en-GB"/>
        </w:rPr>
        <w:fldChar w:fldCharType="begin" w:fldLock="1"/>
      </w:r>
      <w:r w:rsidRPr="00575A3E">
        <w:rPr>
          <w:lang w:val="en-GB"/>
        </w:rPr>
        <w:instrText>ADDIN CSL_CITATION {"citationItems":[{"id":"ITEM-1","itemData":{"URL":"https://www.bbc.co.uk/news/technology-21462360","accessed":{"date-parts":[["2020","11","21"]]},"author":[{"dropping-particle":"","family":"Lee","given":"","non-dropping-particle":"","parse-names":false,"suffix":""}],"container-title":"BBC","id":"ITEM-1","issued":{"date-parts":[["2013"]]},"title":"Self-driving car given UK test run at Oxford University","type":"webpage"},"uris":["http://www.mendeley.com/documents/?uuid=8f7abebb-1d59-40c8-87d7-49032ad7b3c0"]}],"mendeley":{"formattedCitation":"(Lee, 2013)","plainTextFormattedCitation":"(Lee, 2013)","previouslyFormattedCitation":"(Lee, 2013)"},"properties":{"noteIndex":0},"schema":"https://github.com/citation-style-language/schema/raw/master/csl-citation.json"}</w:instrText>
      </w:r>
      <w:r w:rsidRPr="00575A3E">
        <w:rPr>
          <w:lang w:val="en-GB"/>
        </w:rPr>
        <w:fldChar w:fldCharType="separate"/>
      </w:r>
      <w:r w:rsidRPr="00575A3E">
        <w:rPr>
          <w:noProof/>
          <w:lang w:val="en-GB"/>
        </w:rPr>
        <w:t>(Lee, 2013)</w:t>
      </w:r>
      <w:r w:rsidRPr="00575A3E">
        <w:rPr>
          <w:lang w:val="en-GB"/>
        </w:rPr>
        <w:fldChar w:fldCharType="end"/>
      </w:r>
      <w:r w:rsidR="00E30061" w:rsidRPr="00575A3E">
        <w:rPr>
          <w:lang w:val="en-GB"/>
        </w:rPr>
        <w:t xml:space="preserve"> to as much as</w:t>
      </w:r>
      <w:r w:rsidRPr="00575A3E">
        <w:rPr>
          <w:lang w:val="en-GB"/>
        </w:rPr>
        <w:t xml:space="preserve"> £16,400 (</w:t>
      </w:r>
      <w:r w:rsidR="00114896" w:rsidRPr="00575A3E">
        <w:rPr>
          <w:lang w:val="en-GB"/>
        </w:rPr>
        <w:t>$</w:t>
      </w:r>
      <w:r w:rsidRPr="00575A3E">
        <w:rPr>
          <w:lang w:val="en-GB"/>
        </w:rPr>
        <w:t>23</w:t>
      </w:r>
      <w:r w:rsidR="00114896" w:rsidRPr="00575A3E">
        <w:rPr>
          <w:lang w:val="en-GB"/>
        </w:rPr>
        <w:t>,</w:t>
      </w:r>
      <w:r w:rsidRPr="00575A3E">
        <w:rPr>
          <w:lang w:val="en-GB"/>
        </w:rPr>
        <w:t xml:space="preserve">950) </w:t>
      </w:r>
      <w:r w:rsidRPr="00575A3E">
        <w:rPr>
          <w:lang w:val="en-GB"/>
        </w:rPr>
        <w:fldChar w:fldCharType="begin" w:fldLock="1"/>
      </w:r>
      <w:r w:rsidR="0002665A" w:rsidRPr="00575A3E">
        <w:rPr>
          <w:lang w:val="en-GB"/>
        </w:rPr>
        <w:instrText>ADDIN CSL_CITATION {"citationItems":[{"id":"ITEM-1","itemData":{"DOI":"10.1016/j.tra.2016.10.013","ISSN":"09658564","abstract":"Automobile manufacturers, transportation researchers, and policymakers are interested in knowing the future of connected and autonomous vehicles (CAVs). To this end, this study proposes a new simulation-based fleet evolution framework to forecast Americans’ long-term (year 2015–2045) adoption levels of CAV technologies under eight different scenarios based on 5% and 10% annual drops in technology prices; 0%, 5%, and 10% annual increments in Americans’ willingness to pay (WTP); and changes in government regulations (e.g., mandatory adoption of connectivity on new vehicles). This simulation was calibrated with data obtained from a survey of 2167 Americans, regarding their preferences for CAV technologies (e.g., WTP) and their household's annual vehicle transaction decisions. Long-term fleet evolution suggests that the privately held light-duty-vehicle fleet will have 24.8% Level 4 AV penetration by 2045 if one assumes an annual 5% price drop and constant WTP values (from 2015 forward). This share jumps to 87.2% if one uses a 10% annual rate of decline in prices and a 10% annual rise in WTP values. Overall, simulations suggest that, without a rise in most people's WTP, or policies that promote or require technologies, or unusually rapid reductions in technology costs, it is unlikely that the U.S. light-duty vehicle fleet's technology mix will be anywhere near homogeneous by the year 2045.","author":[{"dropping-particle":"","family":"Bansal","given":"Prateek","non-dropping-particle":"","parse-names":false,"suffix":""},{"dropping-particle":"","family":"Kockelman","given":"Kara M.","non-dropping-particle":"","parse-names":false,"suffix":""}],"container-title":"Transportation Research Part A: Policy and Practice","id":"ITEM-1","issued":{"date-parts":[["2017"]]},"page":"49-63","title":"Forecasting Americans’ long-term adoption of connected and autonomous vehicle technologies","type":"article-journal","volume":"95"},"uris":["http://www.mendeley.com/documents/?uuid=e7f15f2a-5b35-431a-8684-bcff6574c296"]}],"mendeley":{"formattedCitation":"(Bansal and Kockelman, 2017)","plainTextFormattedCitation":"(Bansal and Kockelman, 2017)","previouslyFormattedCitation":"(Bansal and Kockelman, 2017)"},"properties":{"noteIndex":0},"schema":"https://github.com/citation-style-language/schema/raw/master/csl-citation.json"}</w:instrText>
      </w:r>
      <w:r w:rsidRPr="00575A3E">
        <w:rPr>
          <w:lang w:val="en-GB"/>
        </w:rPr>
        <w:fldChar w:fldCharType="separate"/>
      </w:r>
      <w:r w:rsidR="00BF7603" w:rsidRPr="00575A3E">
        <w:rPr>
          <w:noProof/>
          <w:lang w:val="en-GB"/>
        </w:rPr>
        <w:t>(Bansal and Kockelman, 2017)</w:t>
      </w:r>
      <w:r w:rsidRPr="00575A3E">
        <w:rPr>
          <w:lang w:val="en-GB"/>
        </w:rPr>
        <w:fldChar w:fldCharType="end"/>
      </w:r>
      <w:r w:rsidRPr="00575A3E">
        <w:rPr>
          <w:lang w:val="en-GB"/>
        </w:rPr>
        <w:t xml:space="preserve">. In the case of </w:t>
      </w:r>
      <w:r w:rsidRPr="00575A3E">
        <w:rPr>
          <w:lang w:val="en-GB"/>
        </w:rPr>
        <w:fldChar w:fldCharType="begin" w:fldLock="1"/>
      </w:r>
      <w:r w:rsidRPr="00575A3E">
        <w:rPr>
          <w:lang w:val="en-GB"/>
        </w:rPr>
        <w:instrText>ADDIN CSL_CITATION {"citationItems":[{"id":"ITEM-1","itemData":{"URL":"https://www.bbc.co.uk/news/technology-21462360","accessed":{"date-parts":[["2020","11","21"]]},"author":[{"dropping-particle":"","family":"Lee","given":"","non-dropping-particle":"","parse-names":false,"suffix":""}],"container-title":"BBC","id":"ITEM-1","issued":{"date-parts":[["2013"]]},"title":"Self-driving car given UK test run at Oxford University","type":"webpage"},"uris":["http://www.mendeley.com/documents/?uuid=8f7abebb-1d59-40c8-87d7-49032ad7b3c0"]}],"mendeley":{"formattedCitation":"(Lee, 2013)","manualFormatting":"Lee (2013)","plainTextFormattedCitation":"(Lee, 2013)","previouslyFormattedCitation":"(Lee, 2013)"},"properties":{"noteIndex":0},"schema":"https://github.com/citation-style-language/schema/raw/master/csl-citation.json"}</w:instrText>
      </w:r>
      <w:r w:rsidRPr="00575A3E">
        <w:rPr>
          <w:lang w:val="en-GB"/>
        </w:rPr>
        <w:fldChar w:fldCharType="separate"/>
      </w:r>
      <w:r w:rsidRPr="00575A3E">
        <w:rPr>
          <w:noProof/>
          <w:lang w:val="en-GB"/>
        </w:rPr>
        <w:t>Lee (2013)</w:t>
      </w:r>
      <w:r w:rsidRPr="00575A3E">
        <w:rPr>
          <w:lang w:val="en-GB"/>
        </w:rPr>
        <w:fldChar w:fldCharType="end"/>
      </w:r>
      <w:r w:rsidRPr="00575A3E">
        <w:rPr>
          <w:lang w:val="en-GB"/>
        </w:rPr>
        <w:t xml:space="preserve"> the </w:t>
      </w:r>
      <w:r w:rsidR="00E30061" w:rsidRPr="00575A3E">
        <w:rPr>
          <w:lang w:val="en-GB"/>
        </w:rPr>
        <w:t xml:space="preserve">estimate </w:t>
      </w:r>
      <w:r w:rsidRPr="00575A3E">
        <w:rPr>
          <w:lang w:val="en-GB"/>
        </w:rPr>
        <w:t xml:space="preserve">is </w:t>
      </w:r>
      <w:r w:rsidR="00E30061" w:rsidRPr="00575A3E">
        <w:rPr>
          <w:lang w:val="en-GB"/>
        </w:rPr>
        <w:t xml:space="preserve">rather </w:t>
      </w:r>
      <w:r w:rsidRPr="00575A3E">
        <w:rPr>
          <w:lang w:val="en-GB"/>
        </w:rPr>
        <w:t xml:space="preserve">optimistic, whereas in the </w:t>
      </w:r>
      <w:r w:rsidRPr="00575A3E">
        <w:rPr>
          <w:lang w:val="en-GB"/>
        </w:rPr>
        <w:fldChar w:fldCharType="begin" w:fldLock="1"/>
      </w:r>
      <w:r w:rsidR="0002665A" w:rsidRPr="00575A3E">
        <w:rPr>
          <w:lang w:val="en-GB"/>
        </w:rPr>
        <w:instrText>ADDIN CSL_CITATION {"citationItems":[{"id":"ITEM-1","itemData":{"DOI":"10.1016/j.tra.2016.10.013","ISSN":"09658564","abstract":"Automobile manufacturers, transportation researchers, and policymakers are interested in knowing the future of connected and autonomous vehicles (CAVs). To this end, this study proposes a new simulation-based fleet evolution framework to forecast Americans’ long-term (year 2015–2045) adoption levels of CAV technologies under eight different scenarios based on 5% and 10% annual drops in technology prices; 0%, 5%, and 10% annual increments in Americans’ willingness to pay (WTP); and changes in government regulations (e.g., mandatory adoption of connectivity on new vehicles). This simulation was calibrated with data obtained from a survey of 2167 Americans, regarding their preferences for CAV technologies (e.g., WTP) and their household's annual vehicle transaction decisions. Long-term fleet evolution suggests that the privately held light-duty-vehicle fleet will have 24.8% Level 4 AV penetration by 2045 if one assumes an annual 5% price drop and constant WTP values (from 2015 forward). This share jumps to 87.2% if one uses a 10% annual rate of decline in prices and a 10% annual rise in WTP values. Overall, simulations suggest that, without a rise in most people's WTP, or policies that promote or require technologies, or unusually rapid reductions in technology costs, it is unlikely that the U.S. light-duty vehicle fleet's technology mix will be anywhere near homogeneous by the year 2045.","author":[{"dropping-particle":"","family":"Bansal","given":"Prateek","non-dropping-particle":"","parse-names":false,"suffix":""},{"dropping-particle":"","family":"Kockelman","given":"Kara M.","non-dropping-particle":"","parse-names":false,"suffix":""}],"container-title":"Transportation Research Part A: Policy and Practice","id":"ITEM-1","issued":{"date-parts":[["2017"]]},"page":"49-63","title":"Forecasting Americans’ long-term adoption of connected and autonomous vehicle technologies","type":"article-journal","volume":"95"},"uris":["http://www.mendeley.com/documents/?uuid=e7f15f2a-5b35-431a-8684-bcff6574c296"]}],"mendeley":{"formattedCitation":"(Bansal and Kockelman, 2017)","manualFormatting":"Bansal &amp; Kockelman (2017)","plainTextFormattedCitation":"(Bansal and Kockelman, 2017)","previouslyFormattedCitation":"(Bansal and Kockelman, 2017)"},"properties":{"noteIndex":0},"schema":"https://github.com/citation-style-language/schema/raw/master/csl-citation.json"}</w:instrText>
      </w:r>
      <w:r w:rsidRPr="00575A3E">
        <w:rPr>
          <w:lang w:val="en-GB"/>
        </w:rPr>
        <w:fldChar w:fldCharType="separate"/>
      </w:r>
      <w:r w:rsidRPr="00575A3E">
        <w:rPr>
          <w:noProof/>
          <w:lang w:val="en-GB"/>
        </w:rPr>
        <w:t xml:space="preserve">Bansal </w:t>
      </w:r>
      <w:r w:rsidR="00B50E47" w:rsidRPr="00575A3E">
        <w:rPr>
          <w:noProof/>
          <w:lang w:val="en-GB"/>
        </w:rPr>
        <w:t>&amp;</w:t>
      </w:r>
      <w:r w:rsidRPr="00575A3E">
        <w:rPr>
          <w:noProof/>
          <w:lang w:val="en-GB"/>
        </w:rPr>
        <w:t xml:space="preserve"> Kockelman (2017)</w:t>
      </w:r>
      <w:r w:rsidRPr="00575A3E">
        <w:rPr>
          <w:lang w:val="en-GB"/>
        </w:rPr>
        <w:fldChar w:fldCharType="end"/>
      </w:r>
      <w:r w:rsidRPr="00575A3E">
        <w:rPr>
          <w:lang w:val="en-GB"/>
        </w:rPr>
        <w:t xml:space="preserve"> the cost is </w:t>
      </w:r>
      <w:r w:rsidR="00E30061" w:rsidRPr="00575A3E">
        <w:rPr>
          <w:lang w:val="en-GB"/>
        </w:rPr>
        <w:t xml:space="preserve">unrealistically </w:t>
      </w:r>
      <w:r w:rsidRPr="00575A3E">
        <w:rPr>
          <w:lang w:val="en-GB"/>
        </w:rPr>
        <w:t>high to</w:t>
      </w:r>
      <w:r w:rsidR="00E30061" w:rsidRPr="00575A3E">
        <w:rPr>
          <w:lang w:val="en-GB"/>
        </w:rPr>
        <w:t xml:space="preserve"> allow CAVs to</w:t>
      </w:r>
      <w:r w:rsidRPr="00575A3E">
        <w:rPr>
          <w:lang w:val="en-GB"/>
        </w:rPr>
        <w:t xml:space="preserve"> have</w:t>
      </w:r>
      <w:r w:rsidR="00E30061" w:rsidRPr="00575A3E">
        <w:rPr>
          <w:lang w:val="en-GB"/>
        </w:rPr>
        <w:t xml:space="preserve"> sufficient</w:t>
      </w:r>
      <w:r w:rsidRPr="00575A3E">
        <w:rPr>
          <w:lang w:val="en-GB"/>
        </w:rPr>
        <w:t xml:space="preserve"> commercial success</w:t>
      </w:r>
      <w:r w:rsidR="009A7258" w:rsidRPr="00575A3E">
        <w:rPr>
          <w:lang w:val="en-GB"/>
        </w:rPr>
        <w:t xml:space="preserve"> if privately owned</w:t>
      </w:r>
      <w:r w:rsidRPr="00575A3E">
        <w:rPr>
          <w:lang w:val="en-GB"/>
        </w:rPr>
        <w:t xml:space="preserve">.  </w:t>
      </w:r>
      <w:r w:rsidRPr="00575A3E">
        <w:rPr>
          <w:lang w:val="en-GB"/>
        </w:rPr>
        <w:fldChar w:fldCharType="begin" w:fldLock="1"/>
      </w:r>
      <w:r w:rsidRPr="00575A3E">
        <w:rPr>
          <w:lang w:val="en-GB"/>
        </w:rPr>
        <w:instrText>ADDIN CSL_CITATION {"citationItems":[{"id":"ITEM-1","itemData":{"DOI":"10.1016/j.tra.2017.05.005","ISSN":"09658564","abstract":"Vehicle automation and its adoption by the vehicle purchasers is an active area of research among transportation academics. So far, most of the interest in the adoption of fully automated, driverless vehicles has focussed on private vehicles alone, yet full automation could be beneficial for commercial vehicles too. This paper identifies the vehicle sectors that will likely be the earliest adopters of full automation. Total cost of ownership analysis is used to compare the costs (and benefits) of vehicle automation for private vehicles among different income groups and commercial vehicles in the taxi and freight sectors in the UK. Commercial operations clearly benefit more from automation because the driver costs can be reduced substantially through automation. Among private users, households with the highest income will benefit more from automation because of their higher driving distances and higher perceived value of time, which can be used more productively through full automation.","author":[{"dropping-particle":"","family":"Wadud","given":"Zia","non-dropping-particle":"","parse-names":false,"suffix":""}],"container-title":"Transportation Research Part A: Policy and Practice","id":"ITEM-1","issued":{"date-parts":[["2017"]]},"title":"Fully automated vehicles: A cost of ownership analysis to inform early adoption","type":"article-journal"},"uris":["http://www.mendeley.com/documents/?uuid=8d04d03a-b407-4472-98a8-eebd29cee35d"]}],"mendeley":{"formattedCitation":"(Wadud, 2017)","manualFormatting":"Wadud (2017)","plainTextFormattedCitation":"(Wadud, 2017)","previouslyFormattedCitation":"(Wadud, 2017)"},"properties":{"noteIndex":0},"schema":"https://github.com/citation-style-language/schema/raw/master/csl-citation.json"}</w:instrText>
      </w:r>
      <w:r w:rsidRPr="00575A3E">
        <w:rPr>
          <w:lang w:val="en-GB"/>
        </w:rPr>
        <w:fldChar w:fldCharType="separate"/>
      </w:r>
      <w:r w:rsidRPr="00575A3E">
        <w:rPr>
          <w:noProof/>
          <w:lang w:val="en-GB"/>
        </w:rPr>
        <w:t>Wadud (2017)</w:t>
      </w:r>
      <w:r w:rsidRPr="00575A3E">
        <w:rPr>
          <w:lang w:val="en-GB"/>
        </w:rPr>
        <w:fldChar w:fldCharType="end"/>
      </w:r>
      <w:r w:rsidRPr="00575A3E">
        <w:rPr>
          <w:lang w:val="en-GB"/>
        </w:rPr>
        <w:t xml:space="preserve"> </w:t>
      </w:r>
      <w:r w:rsidR="00E30061" w:rsidRPr="00575A3E">
        <w:rPr>
          <w:lang w:val="en-GB"/>
        </w:rPr>
        <w:t xml:space="preserve">provides an estimate </w:t>
      </w:r>
      <w:r w:rsidRPr="00575A3E">
        <w:rPr>
          <w:lang w:val="en-GB"/>
        </w:rPr>
        <w:t xml:space="preserve">based on the data of the study of </w:t>
      </w:r>
      <w:r w:rsidRPr="00575A3E">
        <w:rPr>
          <w:lang w:val="en-GB"/>
        </w:rPr>
        <w:fldChar w:fldCharType="begin" w:fldLock="1"/>
      </w:r>
      <w:r w:rsidR="00BF7603" w:rsidRPr="00575A3E">
        <w:rPr>
          <w:lang w:val="en-GB"/>
        </w:rPr>
        <w:instrText>ADDIN CSL_CITATION {"citationItems":[{"id":"ITEM-1","itemData":{"abstract":"There is strong evidence that the risk of breast cancer in populations is influenced by environmental factors. Plasma lipids and lipoproteins are known to be under environmental control and to have epidemiological and/or biological characteristics that suggest they may be relevant to breast cancer risk. The purpose of the study described here was to determine whether plasma lipids, lipoproteins, and the urinary excretion of the mutagen malondialdehyde (MDA) are associated with differences in breast cancer risk. We measured plasma lipids, lipoproteins, and urinary MDA in women without breast cancer but with different degrees of density of the breast parenchyma on mammography, a strong risk factor for breast cancer. Mammograms from 273 premenopausal women were digitized to high spatial resolution by a scanning densitometer, and images were analyzed to quantify the extent of density. The percentage of the breast occupied by mammographic densities was found, after controlling for the effects of age and the Quetelet index of obesity, to be significantly associated with plasma levels of high-density lipoprotein cholesterol, low-density lipoprotein cholesterol, triglyceride, apoprotein B, and urinary excretion of MDA. A multivariate model comprised of the Quetelet index of obesity, alcohol consumption, apoprotein B, parity, daily MDA excretion, and the skinfold thickness sum accounted for 36% of the variation in breast density. These results suggest that differences in lipid metabolism are associated with differences in breast cancer risk as defined by mammographic densities. These findings are consistent with several other observations that show a relationship between plasma lipids, lipoproteins, and risk factors for breast cancer","author":[{"dropping-particle":"","family":"Mosquet","given":"Xavier","non-dropping-particle":"","parse-names":false,"suffix":""},{"dropping-particle":"","family":"Dauner","given":"Thomas","non-dropping-particle":"","parse-names":false,"suffix":""},{"dropping-particle":"","family":"Lang","given":"Nikolaus","non-dropping-particle":"","parse-names":false,"suffix":""},{"dropping-particle":"","family":"Rübmann","given":"Michael","non-dropping-particle":"","parse-names":false,"suffix":""},{"dropping-particle":"","family":"Mei-Pochtler","given":"Antonella","non-dropping-particle":"","parse-names":false,"suffix":""},{"dropping-particle":"","family":"Agrawal","given":"Rakshita","non-dropping-particle":"","parse-names":false,"suffix":""},{"dropping-particle":"","family":"Schmieg","given":"Florian","non-dropping-particle":"","parse-names":false,"suffix":""}],"container-title":"The Boston Consulting Group","id":"ITEM-1","issued":{"date-parts":[["2015"]]},"title":"Revolution in the driver’s seat: The Road to autonomous vehicles","type":"article-journal"},"uris":["http://www.mendeley.com/documents/?uuid=3ccac8a0-f3af-4e09-bf32-b2ac181e547b"]}],"mendeley":{"formattedCitation":"(Mosquet et al., 2015)","manualFormatting":"Mosquet et al. (2015)","plainTextFormattedCitation":"(Mosquet et al., 2015)","previouslyFormattedCitation":"(Mosquet et al., 2015)"},"properties":{"noteIndex":0},"schema":"https://github.com/citation-style-language/schema/raw/master/csl-citation.json"}</w:instrText>
      </w:r>
      <w:r w:rsidRPr="00575A3E">
        <w:rPr>
          <w:lang w:val="en-GB"/>
        </w:rPr>
        <w:fldChar w:fldCharType="separate"/>
      </w:r>
      <w:r w:rsidRPr="00575A3E">
        <w:rPr>
          <w:noProof/>
          <w:lang w:val="en-GB"/>
        </w:rPr>
        <w:t xml:space="preserve">Mosquet </w:t>
      </w:r>
      <w:r w:rsidRPr="00575A3E">
        <w:rPr>
          <w:i/>
          <w:noProof/>
          <w:lang w:val="en-GB"/>
        </w:rPr>
        <w:t>et al.</w:t>
      </w:r>
      <w:r w:rsidRPr="00575A3E">
        <w:rPr>
          <w:noProof/>
          <w:lang w:val="en-GB"/>
        </w:rPr>
        <w:t xml:space="preserve"> (2015)</w:t>
      </w:r>
      <w:r w:rsidRPr="00575A3E">
        <w:rPr>
          <w:lang w:val="en-GB"/>
        </w:rPr>
        <w:fldChar w:fldCharType="end"/>
      </w:r>
      <w:r w:rsidRPr="00575A3E">
        <w:rPr>
          <w:lang w:val="en-GB"/>
        </w:rPr>
        <w:t xml:space="preserve"> </w:t>
      </w:r>
      <w:r w:rsidR="00E30061" w:rsidRPr="00575A3E">
        <w:rPr>
          <w:lang w:val="en-GB"/>
        </w:rPr>
        <w:t xml:space="preserve">at </w:t>
      </w:r>
      <w:r w:rsidRPr="00575A3E">
        <w:rPr>
          <w:lang w:val="en-GB"/>
        </w:rPr>
        <w:t xml:space="preserve">an intermediate </w:t>
      </w:r>
      <w:r w:rsidR="00E30061" w:rsidRPr="00575A3E">
        <w:rPr>
          <w:lang w:val="en-GB"/>
        </w:rPr>
        <w:t xml:space="preserve">value </w:t>
      </w:r>
      <w:r w:rsidRPr="00575A3E">
        <w:rPr>
          <w:lang w:val="en-GB"/>
        </w:rPr>
        <w:t>of £9400</w:t>
      </w:r>
      <w:r w:rsidR="00272413" w:rsidRPr="00575A3E">
        <w:rPr>
          <w:lang w:val="en-GB"/>
        </w:rPr>
        <w:t>,</w:t>
      </w:r>
      <w:r w:rsidR="00272413" w:rsidRPr="00575A3E">
        <w:rPr>
          <w:szCs w:val="22"/>
          <w:lang w:val="en-GB"/>
        </w:rPr>
        <w:t xml:space="preserve"> </w:t>
      </w:r>
      <w:r w:rsidR="00E30061" w:rsidRPr="00575A3E">
        <w:rPr>
          <w:szCs w:val="22"/>
          <w:lang w:val="en-GB"/>
        </w:rPr>
        <w:t xml:space="preserve">and this </w:t>
      </w:r>
      <w:r w:rsidR="00272413" w:rsidRPr="00575A3E">
        <w:rPr>
          <w:szCs w:val="22"/>
          <w:lang w:val="en-GB"/>
        </w:rPr>
        <w:t>is</w:t>
      </w:r>
      <w:r w:rsidR="00E30061" w:rsidRPr="00575A3E">
        <w:rPr>
          <w:szCs w:val="22"/>
          <w:lang w:val="en-GB"/>
        </w:rPr>
        <w:t xml:space="preserve"> the one</w:t>
      </w:r>
      <w:r w:rsidR="00272413" w:rsidRPr="00575A3E">
        <w:rPr>
          <w:szCs w:val="22"/>
          <w:lang w:val="en-GB"/>
        </w:rPr>
        <w:t xml:space="preserve"> used here in addition to the initial purchase price of  the Mercedes models to estimate costs from Level 4 and Level 5 CAVs. </w:t>
      </w:r>
      <w:r w:rsidR="00317850" w:rsidRPr="00575A3E">
        <w:rPr>
          <w:szCs w:val="22"/>
          <w:lang w:val="en-GB"/>
        </w:rPr>
        <w:t xml:space="preserve"> </w:t>
      </w:r>
      <w:r w:rsidR="00F479EF" w:rsidRPr="00575A3E">
        <w:rPr>
          <w:szCs w:val="22"/>
          <w:lang w:val="en-GB"/>
        </w:rPr>
        <w:t>Finally, it should be mentioned that the GDP deflator is used to express all costs in 2011 prices</w:t>
      </w:r>
      <w:r w:rsidR="009A7258" w:rsidRPr="00575A3E">
        <w:rPr>
          <w:szCs w:val="22"/>
          <w:lang w:val="en-GB"/>
        </w:rPr>
        <w:t xml:space="preserve"> </w:t>
      </w:r>
      <w:r w:rsidR="009A7258" w:rsidRPr="00575A3E">
        <w:rPr>
          <w:szCs w:val="22"/>
          <w:lang w:val="en-GB"/>
        </w:rPr>
        <w:fldChar w:fldCharType="begin" w:fldLock="1"/>
      </w:r>
      <w:r w:rsidR="002859DD" w:rsidRPr="00575A3E">
        <w:rPr>
          <w:szCs w:val="22"/>
          <w:lang w:val="en-GB"/>
        </w:rPr>
        <w:instrText>ADDIN CSL_CITATION {"citationItems":[{"id":"ITEM-1","itemData":{"abstract":"All appraisal and modelling values referred to in the transport analysis guidance (TAG).","author":[{"dropping-particle":"","family":"UK Department for Transport","given":"","non-dropping-particle":"","parse-names":false,"suffix":""}],"container-title":"Transport modelling and appraisal","id":"ITEM-1","issued":{"date-parts":[["2021"]]},"title":"WebTAG: TAG data book, 2021","type":"webpage"},"uris":["http://www.mendeley.com/documents/?uuid=bf26510d-fcd4-4ee6-8104-78ecb8acdebb"]}],"mendeley":{"formattedCitation":"(UK Department for Transport, 2021a)","plainTextFormattedCitation":"(UK Department for Transport, 2021a)","previouslyFormattedCitation":"(UK Department for Transport, 2021a)"},"properties":{"noteIndex":0},"schema":"https://github.com/citation-style-language/schema/raw/master/csl-citation.json"}</w:instrText>
      </w:r>
      <w:r w:rsidR="009A7258" w:rsidRPr="00575A3E">
        <w:rPr>
          <w:szCs w:val="22"/>
          <w:lang w:val="en-GB"/>
        </w:rPr>
        <w:fldChar w:fldCharType="separate"/>
      </w:r>
      <w:r w:rsidR="002859DD" w:rsidRPr="00575A3E">
        <w:rPr>
          <w:noProof/>
          <w:szCs w:val="22"/>
          <w:lang w:val="en-GB"/>
        </w:rPr>
        <w:t>(UK Department for Transport, 2021a)</w:t>
      </w:r>
      <w:r w:rsidR="009A7258" w:rsidRPr="00575A3E">
        <w:rPr>
          <w:szCs w:val="22"/>
          <w:lang w:val="en-GB"/>
        </w:rPr>
        <w:fldChar w:fldCharType="end"/>
      </w:r>
      <w:r w:rsidR="00F479EF" w:rsidRPr="00575A3E">
        <w:rPr>
          <w:szCs w:val="22"/>
          <w:lang w:val="en-GB"/>
        </w:rPr>
        <w:t xml:space="preserve">, which is the base year in the model. </w:t>
      </w:r>
    </w:p>
    <w:p w14:paraId="424081C8" w14:textId="77777777" w:rsidR="00F70F2B" w:rsidRPr="00575A3E" w:rsidRDefault="00F70F2B" w:rsidP="00317850">
      <w:pPr>
        <w:spacing w:line="360" w:lineRule="auto"/>
        <w:rPr>
          <w:szCs w:val="22"/>
          <w:lang w:val="en-GB"/>
        </w:rPr>
      </w:pPr>
    </w:p>
    <w:p w14:paraId="20E9933B" w14:textId="4DC1AEEF" w:rsidR="006F4DF9" w:rsidRPr="00575A3E" w:rsidRDefault="006F4DF9" w:rsidP="00A55356">
      <w:pPr>
        <w:spacing w:line="360" w:lineRule="auto"/>
        <w:rPr>
          <w:szCs w:val="22"/>
          <w:lang w:val="en-GB"/>
        </w:rPr>
      </w:pPr>
      <w:r w:rsidRPr="00575A3E">
        <w:rPr>
          <w:szCs w:val="22"/>
          <w:lang w:val="en-GB"/>
        </w:rPr>
        <w:lastRenderedPageBreak/>
        <w:fldChar w:fldCharType="begin"/>
      </w:r>
      <w:r w:rsidRPr="00575A3E">
        <w:rPr>
          <w:szCs w:val="22"/>
          <w:lang w:val="en-GB"/>
        </w:rPr>
        <w:instrText xml:space="preserve"> REF _Ref79674616 \h  \* MERGEFORMAT </w:instrText>
      </w:r>
      <w:r w:rsidRPr="00575A3E">
        <w:rPr>
          <w:szCs w:val="22"/>
          <w:lang w:val="en-GB"/>
        </w:rPr>
      </w:r>
      <w:r w:rsidRPr="00575A3E">
        <w:rPr>
          <w:szCs w:val="22"/>
          <w:lang w:val="en-GB"/>
        </w:rPr>
        <w:fldChar w:fldCharType="separate"/>
      </w:r>
      <w:r w:rsidR="004A1C59" w:rsidRPr="00575A3E">
        <w:rPr>
          <w:lang w:val="en-GB"/>
        </w:rPr>
        <w:t>Figure 4</w:t>
      </w:r>
      <w:r w:rsidRPr="00575A3E">
        <w:rPr>
          <w:szCs w:val="22"/>
          <w:lang w:val="en-GB"/>
        </w:rPr>
        <w:fldChar w:fldCharType="end"/>
      </w:r>
      <w:r w:rsidRPr="00575A3E">
        <w:rPr>
          <w:szCs w:val="22"/>
          <w:lang w:val="en-GB"/>
        </w:rPr>
        <w:t xml:space="preserve"> is a bar chart of the results from the calculation of the TCO for each vehicle category. Some important elements that should be noted </w:t>
      </w:r>
      <w:r w:rsidR="00A665C9" w:rsidRPr="00575A3E">
        <w:rPr>
          <w:szCs w:val="22"/>
          <w:lang w:val="en-GB"/>
        </w:rPr>
        <w:t>include</w:t>
      </w:r>
      <w:r w:rsidRPr="00575A3E">
        <w:rPr>
          <w:szCs w:val="22"/>
          <w:lang w:val="en-GB"/>
        </w:rPr>
        <w:t xml:space="preserve">: </w:t>
      </w:r>
    </w:p>
    <w:p w14:paraId="3E7F6BAF" w14:textId="77777777" w:rsidR="00E30061" w:rsidRPr="00575A3E" w:rsidRDefault="00E30061" w:rsidP="00A55356">
      <w:pPr>
        <w:spacing w:line="360" w:lineRule="auto"/>
        <w:rPr>
          <w:szCs w:val="22"/>
          <w:lang w:val="en-GB"/>
        </w:rPr>
      </w:pPr>
    </w:p>
    <w:p w14:paraId="1B673DF0" w14:textId="42D966E1" w:rsidR="006F4DF9" w:rsidRPr="00575A3E" w:rsidRDefault="006F4DF9" w:rsidP="00A55356">
      <w:pPr>
        <w:pStyle w:val="ListParagraph"/>
        <w:numPr>
          <w:ilvl w:val="1"/>
          <w:numId w:val="16"/>
        </w:numPr>
        <w:spacing w:line="360" w:lineRule="auto"/>
        <w:ind w:left="709" w:hanging="425"/>
        <w:jc w:val="both"/>
        <w:rPr>
          <w:sz w:val="22"/>
          <w:szCs w:val="20"/>
          <w:lang w:val="en-GB"/>
        </w:rPr>
      </w:pPr>
      <w:r w:rsidRPr="00575A3E">
        <w:rPr>
          <w:sz w:val="22"/>
          <w:szCs w:val="20"/>
          <w:lang w:val="en-GB"/>
        </w:rPr>
        <w:t>The TCO results indicate that as the level of automation increases</w:t>
      </w:r>
      <w:r w:rsidR="00A665C9" w:rsidRPr="00575A3E">
        <w:rPr>
          <w:sz w:val="22"/>
          <w:szCs w:val="20"/>
          <w:lang w:val="en-GB"/>
        </w:rPr>
        <w:t>,</w:t>
      </w:r>
      <w:r w:rsidRPr="00575A3E">
        <w:rPr>
          <w:sz w:val="22"/>
          <w:szCs w:val="20"/>
          <w:lang w:val="en-GB"/>
        </w:rPr>
        <w:t xml:space="preserve"> the TCO </w:t>
      </w:r>
      <w:r w:rsidR="00A665C9" w:rsidRPr="00575A3E">
        <w:rPr>
          <w:sz w:val="22"/>
          <w:szCs w:val="20"/>
          <w:lang w:val="en-GB"/>
        </w:rPr>
        <w:t xml:space="preserve">also </w:t>
      </w:r>
      <w:r w:rsidRPr="00575A3E">
        <w:rPr>
          <w:sz w:val="22"/>
          <w:szCs w:val="20"/>
          <w:lang w:val="en-GB"/>
        </w:rPr>
        <w:t>increas</w:t>
      </w:r>
      <w:r w:rsidR="00A665C9" w:rsidRPr="00575A3E">
        <w:rPr>
          <w:sz w:val="22"/>
          <w:szCs w:val="20"/>
          <w:lang w:val="en-GB"/>
        </w:rPr>
        <w:t>es</w:t>
      </w:r>
      <w:r w:rsidRPr="00575A3E">
        <w:rPr>
          <w:sz w:val="22"/>
          <w:szCs w:val="20"/>
          <w:lang w:val="en-GB"/>
        </w:rPr>
        <w:t xml:space="preserve"> due to the additional costs of full automation</w:t>
      </w:r>
      <w:r w:rsidR="00A665C9" w:rsidRPr="00575A3E">
        <w:rPr>
          <w:sz w:val="22"/>
          <w:szCs w:val="20"/>
          <w:lang w:val="en-GB"/>
        </w:rPr>
        <w:t>.</w:t>
      </w:r>
      <w:r w:rsidRPr="00575A3E">
        <w:rPr>
          <w:sz w:val="22"/>
          <w:szCs w:val="20"/>
          <w:lang w:val="en-GB"/>
        </w:rPr>
        <w:t xml:space="preserve"> </w:t>
      </w:r>
    </w:p>
    <w:p w14:paraId="62BFE831" w14:textId="7348D88C" w:rsidR="006F4DF9" w:rsidRPr="00575A3E" w:rsidRDefault="006F4DF9" w:rsidP="00A55356">
      <w:pPr>
        <w:pStyle w:val="ListParagraph"/>
        <w:numPr>
          <w:ilvl w:val="1"/>
          <w:numId w:val="16"/>
        </w:numPr>
        <w:spacing w:line="360" w:lineRule="auto"/>
        <w:ind w:left="709" w:hanging="425"/>
        <w:jc w:val="both"/>
        <w:rPr>
          <w:sz w:val="22"/>
          <w:szCs w:val="20"/>
          <w:lang w:val="en-GB"/>
        </w:rPr>
      </w:pPr>
      <w:r w:rsidRPr="00575A3E">
        <w:rPr>
          <w:sz w:val="22"/>
          <w:szCs w:val="20"/>
          <w:lang w:val="en-GB"/>
        </w:rPr>
        <w:t xml:space="preserve">The TCO results of the electric categories are lower than those of the non-electric categories due to the subsidies provided for </w:t>
      </w:r>
      <w:r w:rsidR="00A665C9" w:rsidRPr="00575A3E">
        <w:rPr>
          <w:sz w:val="22"/>
          <w:szCs w:val="20"/>
          <w:lang w:val="en-GB"/>
        </w:rPr>
        <w:t>EVs</w:t>
      </w:r>
      <w:r w:rsidRPr="00575A3E">
        <w:rPr>
          <w:sz w:val="22"/>
          <w:szCs w:val="20"/>
          <w:lang w:val="en-GB"/>
        </w:rPr>
        <w:t>. Here it should also be noted that the results were compared without the subsidies as well, and the electric vehicles were more expensive, but with the electrification gran</w:t>
      </w:r>
      <w:r w:rsidR="00114896" w:rsidRPr="00575A3E">
        <w:rPr>
          <w:sz w:val="22"/>
          <w:szCs w:val="20"/>
          <w:lang w:val="en-GB"/>
        </w:rPr>
        <w:t>t</w:t>
      </w:r>
      <w:r w:rsidRPr="00575A3E">
        <w:rPr>
          <w:sz w:val="22"/>
          <w:szCs w:val="20"/>
          <w:lang w:val="en-GB"/>
        </w:rPr>
        <w:t xml:space="preserve"> this result changed. </w:t>
      </w:r>
    </w:p>
    <w:p w14:paraId="773B8EFE" w14:textId="4CA8765C" w:rsidR="006F4DF9" w:rsidRPr="00575A3E" w:rsidRDefault="006F4DF9" w:rsidP="00A55356">
      <w:pPr>
        <w:pStyle w:val="ListParagraph"/>
        <w:numPr>
          <w:ilvl w:val="1"/>
          <w:numId w:val="16"/>
        </w:numPr>
        <w:spacing w:line="360" w:lineRule="auto"/>
        <w:ind w:left="709" w:hanging="425"/>
        <w:jc w:val="both"/>
        <w:rPr>
          <w:sz w:val="22"/>
          <w:szCs w:val="20"/>
          <w:lang w:val="en-GB"/>
        </w:rPr>
      </w:pPr>
      <w:r w:rsidRPr="00575A3E">
        <w:rPr>
          <w:sz w:val="22"/>
          <w:szCs w:val="20"/>
          <w:lang w:val="en-GB"/>
        </w:rPr>
        <w:t>The TCO results of the used vehicles are lower than those of new vehicles due to the lower initial purchase price.</w:t>
      </w:r>
    </w:p>
    <w:p w14:paraId="42E99564" w14:textId="77777777" w:rsidR="006F4DF9" w:rsidRPr="00575A3E" w:rsidRDefault="006F4DF9" w:rsidP="00A55356">
      <w:pPr>
        <w:keepNext/>
        <w:spacing w:line="360" w:lineRule="auto"/>
        <w:rPr>
          <w:lang w:val="en-GB"/>
        </w:rPr>
      </w:pPr>
      <w:r w:rsidRPr="00575A3E">
        <w:rPr>
          <w:noProof/>
          <w:lang w:val="en-GB" w:eastAsia="en-GB"/>
        </w:rPr>
        <w:drawing>
          <wp:inline distT="0" distB="0" distL="0" distR="0" wp14:anchorId="3F82E576" wp14:editId="7614E450">
            <wp:extent cx="5676405" cy="3954483"/>
            <wp:effectExtent l="0" t="0" r="635" b="8255"/>
            <wp:docPr id="2" name="Chart 2">
              <a:extLst xmlns:a="http://schemas.openxmlformats.org/drawingml/2006/main">
                <a:ext uri="{FF2B5EF4-FFF2-40B4-BE49-F238E27FC236}">
                  <a16:creationId xmlns:a16="http://schemas.microsoft.com/office/drawing/2014/main" id="{18EF7C22-2703-4364-A06D-BD975EE0F9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615058E" w14:textId="41A540D2" w:rsidR="006F4DF9" w:rsidRPr="00575A3E" w:rsidRDefault="006F4DF9" w:rsidP="00317850">
      <w:pPr>
        <w:pStyle w:val="Caption"/>
        <w:spacing w:after="0" w:line="360" w:lineRule="auto"/>
        <w:jc w:val="center"/>
        <w:rPr>
          <w:b w:val="0"/>
          <w:bCs w:val="0"/>
          <w:lang w:val="en-GB"/>
        </w:rPr>
      </w:pPr>
      <w:bookmarkStart w:id="27" w:name="_Ref79674616"/>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4</w:t>
      </w:r>
      <w:r w:rsidRPr="00575A3E">
        <w:rPr>
          <w:lang w:val="en-GB"/>
        </w:rPr>
        <w:fldChar w:fldCharType="end"/>
      </w:r>
      <w:bookmarkEnd w:id="27"/>
      <w:r w:rsidRPr="00575A3E">
        <w:rPr>
          <w:lang w:val="en-GB"/>
        </w:rPr>
        <w:t xml:space="preserve">: </w:t>
      </w:r>
      <w:bookmarkStart w:id="28" w:name="_Ref79674607"/>
      <w:r w:rsidRPr="00575A3E">
        <w:rPr>
          <w:b w:val="0"/>
          <w:bCs w:val="0"/>
          <w:lang w:val="en-GB"/>
        </w:rPr>
        <w:t>Total Cost of Ownership Results</w:t>
      </w:r>
      <w:bookmarkEnd w:id="28"/>
    </w:p>
    <w:p w14:paraId="2CCD25F4" w14:textId="461B62B3" w:rsidR="008E7E12" w:rsidRPr="00575A3E" w:rsidRDefault="008E7E12" w:rsidP="008E7E12">
      <w:pPr>
        <w:pStyle w:val="Heading3"/>
        <w:spacing w:before="0" w:after="0" w:line="360" w:lineRule="auto"/>
        <w:rPr>
          <w:i/>
          <w:iCs/>
          <w:szCs w:val="22"/>
          <w:lang w:val="en-GB"/>
        </w:rPr>
      </w:pPr>
      <w:r w:rsidRPr="00575A3E">
        <w:rPr>
          <w:i/>
          <w:iCs/>
          <w:szCs w:val="22"/>
          <w:lang w:val="en-GB"/>
        </w:rPr>
        <w:t xml:space="preserve">3.2.5. Summary of inputs and assumptions  </w:t>
      </w:r>
    </w:p>
    <w:p w14:paraId="7D66DC4F" w14:textId="39FF1AA0" w:rsidR="008071D8" w:rsidRPr="00575A3E" w:rsidRDefault="008071D8" w:rsidP="008071D8">
      <w:pPr>
        <w:spacing w:line="360" w:lineRule="auto"/>
        <w:rPr>
          <w:lang w:val="en-GB"/>
        </w:rPr>
      </w:pPr>
      <w:r w:rsidRPr="00575A3E">
        <w:rPr>
          <w:lang w:val="en-GB"/>
        </w:rPr>
        <w:fldChar w:fldCharType="begin"/>
      </w:r>
      <w:r w:rsidRPr="00575A3E">
        <w:rPr>
          <w:lang w:val="en-GB"/>
        </w:rPr>
        <w:instrText xml:space="preserve"> REF _Ref128846173 \h </w:instrText>
      </w:r>
      <w:r w:rsidRPr="00575A3E">
        <w:rPr>
          <w:lang w:val="en-GB"/>
        </w:rPr>
      </w:r>
      <w:r w:rsidRPr="00575A3E">
        <w:rPr>
          <w:lang w:val="en-GB"/>
        </w:rPr>
        <w:fldChar w:fldCharType="separate"/>
      </w:r>
      <w:r w:rsidR="004A1C59" w:rsidRPr="00575A3E">
        <w:t xml:space="preserve">Table </w:t>
      </w:r>
      <w:r w:rsidR="004A1C59" w:rsidRPr="00575A3E">
        <w:rPr>
          <w:noProof/>
        </w:rPr>
        <w:t>7</w:t>
      </w:r>
      <w:r w:rsidRPr="00575A3E">
        <w:rPr>
          <w:lang w:val="en-GB"/>
        </w:rPr>
        <w:fldChar w:fldCharType="end"/>
      </w:r>
      <w:r w:rsidRPr="00575A3E">
        <w:rPr>
          <w:lang w:val="en-GB"/>
        </w:rPr>
        <w:t xml:space="preserve"> is a summary table related to the assumptions used for the definition </w:t>
      </w:r>
      <w:r w:rsidR="008A6FC8" w:rsidRPr="00575A3E">
        <w:rPr>
          <w:lang w:val="en-GB"/>
        </w:rPr>
        <w:t xml:space="preserve">of </w:t>
      </w:r>
      <w:r w:rsidRPr="00575A3E">
        <w:rPr>
          <w:lang w:val="en-GB"/>
        </w:rPr>
        <w:t>the test scenarios</w:t>
      </w:r>
      <w:r w:rsidR="00D85310" w:rsidRPr="00575A3E">
        <w:rPr>
          <w:lang w:val="en-GB"/>
        </w:rPr>
        <w:t xml:space="preserve"> that differentiates them </w:t>
      </w:r>
      <w:r w:rsidR="008A6FC8" w:rsidRPr="00575A3E">
        <w:rPr>
          <w:lang w:val="en-GB"/>
        </w:rPr>
        <w:t>from</w:t>
      </w:r>
      <w:r w:rsidR="00D85310" w:rsidRPr="00575A3E">
        <w:rPr>
          <w:lang w:val="en-GB"/>
        </w:rPr>
        <w:t xml:space="preserve"> the BAU scenario, as the BAU scenario does not include th</w:t>
      </w:r>
      <w:r w:rsidR="008A6FC8" w:rsidRPr="00575A3E">
        <w:rPr>
          <w:lang w:val="en-GB"/>
        </w:rPr>
        <w:t>e</w:t>
      </w:r>
      <w:r w:rsidR="00D85310" w:rsidRPr="00575A3E">
        <w:rPr>
          <w:lang w:val="en-GB"/>
        </w:rPr>
        <w:t xml:space="preserve">se modelling assumptions. </w:t>
      </w:r>
    </w:p>
    <w:p w14:paraId="6E1ECDB0" w14:textId="376526FC" w:rsidR="008071D8" w:rsidRPr="00575A3E" w:rsidRDefault="008071D8" w:rsidP="008071D8">
      <w:pPr>
        <w:pStyle w:val="Caption"/>
        <w:keepNext/>
        <w:rPr>
          <w:lang w:val="en-GB"/>
        </w:rPr>
      </w:pPr>
      <w:bookmarkStart w:id="29" w:name="_Ref128846173"/>
      <w:r w:rsidRPr="00575A3E">
        <w:lastRenderedPageBreak/>
        <w:t xml:space="preserve">Table </w:t>
      </w:r>
      <w:r w:rsidRPr="00575A3E">
        <w:fldChar w:fldCharType="begin"/>
      </w:r>
      <w:r w:rsidRPr="00575A3E">
        <w:instrText xml:space="preserve"> SEQ Table \* ARABIC </w:instrText>
      </w:r>
      <w:r w:rsidRPr="00575A3E">
        <w:fldChar w:fldCharType="separate"/>
      </w:r>
      <w:r w:rsidR="006101B2" w:rsidRPr="00575A3E">
        <w:rPr>
          <w:noProof/>
        </w:rPr>
        <w:t>7</w:t>
      </w:r>
      <w:r w:rsidRPr="00575A3E">
        <w:fldChar w:fldCharType="end"/>
      </w:r>
      <w:bookmarkEnd w:id="29"/>
      <w:r w:rsidRPr="00575A3E">
        <w:t xml:space="preserve">: </w:t>
      </w:r>
      <w:r w:rsidR="00D85310" w:rsidRPr="00575A3E">
        <w:rPr>
          <w:lang w:val="en-GB"/>
        </w:rPr>
        <w:t>Summary</w:t>
      </w:r>
      <w:r w:rsidRPr="00575A3E">
        <w:t xml:space="preserve"> table of assumptions in each scenario</w:t>
      </w:r>
    </w:p>
    <w:tbl>
      <w:tblPr>
        <w:tblStyle w:val="TableGrid"/>
        <w:tblW w:w="9351" w:type="dxa"/>
        <w:jc w:val="center"/>
        <w:tblLook w:val="04A0" w:firstRow="1" w:lastRow="0" w:firstColumn="1" w:lastColumn="0" w:noHBand="0" w:noVBand="1"/>
      </w:tblPr>
      <w:tblGrid>
        <w:gridCol w:w="1052"/>
        <w:gridCol w:w="1265"/>
        <w:gridCol w:w="1789"/>
        <w:gridCol w:w="1537"/>
        <w:gridCol w:w="1245"/>
        <w:gridCol w:w="2463"/>
      </w:tblGrid>
      <w:tr w:rsidR="00575A3E" w:rsidRPr="00575A3E" w14:paraId="0C483DAB" w14:textId="1FA54CCC" w:rsidTr="00463B77">
        <w:trPr>
          <w:jc w:val="center"/>
        </w:trPr>
        <w:tc>
          <w:tcPr>
            <w:tcW w:w="1052" w:type="dxa"/>
            <w:vAlign w:val="center"/>
          </w:tcPr>
          <w:p w14:paraId="2EC5D70B" w14:textId="77777777" w:rsidR="004A1C59" w:rsidRPr="00575A3E" w:rsidRDefault="004A1C59" w:rsidP="00463B77">
            <w:pPr>
              <w:spacing w:line="360" w:lineRule="auto"/>
              <w:jc w:val="left"/>
              <w:rPr>
                <w:lang w:val="en-GB"/>
              </w:rPr>
            </w:pPr>
            <w:r w:rsidRPr="00575A3E">
              <w:rPr>
                <w:lang w:val="en-GB"/>
              </w:rPr>
              <w:t>Scenario name</w:t>
            </w:r>
          </w:p>
        </w:tc>
        <w:tc>
          <w:tcPr>
            <w:tcW w:w="1265" w:type="dxa"/>
            <w:vAlign w:val="center"/>
          </w:tcPr>
          <w:p w14:paraId="54C0CED4" w14:textId="57649A38" w:rsidR="004A1C59" w:rsidRPr="00575A3E" w:rsidRDefault="004A1C59" w:rsidP="00463B77">
            <w:pPr>
              <w:spacing w:line="360" w:lineRule="auto"/>
              <w:jc w:val="left"/>
              <w:rPr>
                <w:lang w:val="en-GB"/>
              </w:rPr>
            </w:pPr>
            <w:r w:rsidRPr="00575A3E">
              <w:rPr>
                <w:lang w:val="en-GB"/>
              </w:rPr>
              <w:t>Trip rates</w:t>
            </w:r>
          </w:p>
        </w:tc>
        <w:tc>
          <w:tcPr>
            <w:tcW w:w="1789" w:type="dxa"/>
            <w:vAlign w:val="center"/>
          </w:tcPr>
          <w:p w14:paraId="76D78F71" w14:textId="5948B125" w:rsidR="004A1C59" w:rsidRPr="00575A3E" w:rsidRDefault="004A1C59" w:rsidP="00463B77">
            <w:pPr>
              <w:spacing w:line="360" w:lineRule="auto"/>
              <w:jc w:val="left"/>
              <w:rPr>
                <w:lang w:val="en-GB"/>
              </w:rPr>
            </w:pPr>
            <w:r w:rsidRPr="00575A3E">
              <w:rPr>
                <w:lang w:val="en-GB"/>
              </w:rPr>
              <w:t>Proportions of new vehicle technologies in the fleet</w:t>
            </w:r>
          </w:p>
        </w:tc>
        <w:tc>
          <w:tcPr>
            <w:tcW w:w="1537" w:type="dxa"/>
            <w:vAlign w:val="center"/>
          </w:tcPr>
          <w:p w14:paraId="3927FE21" w14:textId="361BB45A" w:rsidR="004A1C59" w:rsidRPr="00575A3E" w:rsidRDefault="004A1C59" w:rsidP="00463B77">
            <w:pPr>
              <w:spacing w:line="360" w:lineRule="auto"/>
              <w:jc w:val="left"/>
              <w:rPr>
                <w:lang w:val="en-GB"/>
              </w:rPr>
            </w:pPr>
            <w:r w:rsidRPr="00575A3E">
              <w:rPr>
                <w:lang w:val="en-GB"/>
              </w:rPr>
              <w:t>Generalised costs</w:t>
            </w:r>
          </w:p>
        </w:tc>
        <w:tc>
          <w:tcPr>
            <w:tcW w:w="1245" w:type="dxa"/>
            <w:vAlign w:val="center"/>
          </w:tcPr>
          <w:p w14:paraId="6C9D5CF1" w14:textId="77777777" w:rsidR="004A1C59" w:rsidRPr="00575A3E" w:rsidRDefault="004A1C59" w:rsidP="00463B77">
            <w:pPr>
              <w:spacing w:line="360" w:lineRule="auto"/>
              <w:jc w:val="left"/>
              <w:rPr>
                <w:lang w:val="en-GB"/>
              </w:rPr>
            </w:pPr>
            <w:r w:rsidRPr="00575A3E">
              <w:rPr>
                <w:lang w:val="en-GB"/>
              </w:rPr>
              <w:t>Road Capacity</w:t>
            </w:r>
          </w:p>
          <w:p w14:paraId="46A6E912" w14:textId="2FD85B37" w:rsidR="004A1C59" w:rsidRPr="00575A3E" w:rsidRDefault="004A1C59" w:rsidP="00463B77">
            <w:pPr>
              <w:spacing w:line="360" w:lineRule="auto"/>
              <w:jc w:val="left"/>
              <w:rPr>
                <w:lang w:val="en-GB"/>
              </w:rPr>
            </w:pPr>
            <w:r w:rsidRPr="00575A3E">
              <w:rPr>
                <w:lang w:val="en-GB"/>
              </w:rPr>
              <w:t>(PCU value)</w:t>
            </w:r>
          </w:p>
        </w:tc>
        <w:tc>
          <w:tcPr>
            <w:tcW w:w="2463" w:type="dxa"/>
            <w:vAlign w:val="center"/>
          </w:tcPr>
          <w:p w14:paraId="38BB336E" w14:textId="46974DDC" w:rsidR="004A1C59" w:rsidRPr="00575A3E" w:rsidRDefault="004A1C59" w:rsidP="00463B77">
            <w:pPr>
              <w:spacing w:line="360" w:lineRule="auto"/>
              <w:jc w:val="left"/>
              <w:rPr>
                <w:lang w:val="en-GB"/>
              </w:rPr>
            </w:pPr>
            <w:r w:rsidRPr="00575A3E">
              <w:rPr>
                <w:lang w:val="en-GB"/>
              </w:rPr>
              <w:t>Total Cost of Ownership</w:t>
            </w:r>
          </w:p>
        </w:tc>
      </w:tr>
      <w:tr w:rsidR="00575A3E" w:rsidRPr="00575A3E" w14:paraId="1657E146" w14:textId="428E27E2" w:rsidTr="00463B77">
        <w:trPr>
          <w:jc w:val="center"/>
        </w:trPr>
        <w:tc>
          <w:tcPr>
            <w:tcW w:w="1052" w:type="dxa"/>
            <w:vAlign w:val="center"/>
          </w:tcPr>
          <w:p w14:paraId="52E5C476" w14:textId="77777777" w:rsidR="004A1C59" w:rsidRPr="00575A3E" w:rsidRDefault="004A1C59" w:rsidP="00463B77">
            <w:pPr>
              <w:spacing w:line="360" w:lineRule="auto"/>
              <w:jc w:val="center"/>
              <w:rPr>
                <w:lang w:val="en-GB"/>
              </w:rPr>
            </w:pPr>
            <w:r w:rsidRPr="00575A3E">
              <w:rPr>
                <w:lang w:val="en-GB"/>
              </w:rPr>
              <w:t>1N</w:t>
            </w:r>
          </w:p>
        </w:tc>
        <w:tc>
          <w:tcPr>
            <w:tcW w:w="1265" w:type="dxa"/>
            <w:vMerge w:val="restart"/>
            <w:vAlign w:val="center"/>
          </w:tcPr>
          <w:p w14:paraId="63C15B11" w14:textId="203251C4" w:rsidR="004A1C59" w:rsidRPr="00575A3E" w:rsidRDefault="004A1C59" w:rsidP="00463B77">
            <w:pPr>
              <w:spacing w:line="360" w:lineRule="auto"/>
              <w:jc w:val="center"/>
              <w:rPr>
                <w:lang w:val="en-GB"/>
              </w:rPr>
            </w:pPr>
            <w:r w:rsidRPr="00575A3E">
              <w:rPr>
                <w:lang w:val="en-GB"/>
              </w:rPr>
              <w:t>5% increase (work trips, student trips and trips of the elderly)</w:t>
            </w:r>
          </w:p>
        </w:tc>
        <w:tc>
          <w:tcPr>
            <w:tcW w:w="1789" w:type="dxa"/>
            <w:vAlign w:val="center"/>
          </w:tcPr>
          <w:p w14:paraId="53AEC40C" w14:textId="43245443" w:rsidR="004A1C59" w:rsidRPr="00575A3E" w:rsidRDefault="004A1C59" w:rsidP="00463B77">
            <w:pPr>
              <w:spacing w:line="360" w:lineRule="auto"/>
              <w:jc w:val="center"/>
              <w:rPr>
                <w:lang w:val="en-GB"/>
              </w:rPr>
            </w:pPr>
            <w:r w:rsidRPr="00575A3E">
              <w:rPr>
                <w:lang w:val="en-GB"/>
              </w:rPr>
              <w:t>Proportions Group 1</w:t>
            </w:r>
          </w:p>
        </w:tc>
        <w:tc>
          <w:tcPr>
            <w:tcW w:w="1537" w:type="dxa"/>
            <w:vMerge w:val="restart"/>
            <w:vAlign w:val="center"/>
          </w:tcPr>
          <w:p w14:paraId="6C54512F" w14:textId="08F18840" w:rsidR="004A1C59" w:rsidRPr="00575A3E" w:rsidRDefault="004A1C59" w:rsidP="00463B77">
            <w:pPr>
              <w:spacing w:line="360" w:lineRule="auto"/>
              <w:jc w:val="center"/>
              <w:rPr>
                <w:lang w:val="en-GB"/>
              </w:rPr>
            </w:pPr>
            <w:r w:rsidRPr="00575A3E">
              <w:rPr>
                <w:lang w:val="en-GB"/>
              </w:rPr>
              <w:t>Reduction of value of time for CAVs and reduction of vehicle operation costs for EVs</w:t>
            </w:r>
          </w:p>
        </w:tc>
        <w:tc>
          <w:tcPr>
            <w:tcW w:w="1245" w:type="dxa"/>
            <w:vAlign w:val="center"/>
          </w:tcPr>
          <w:p w14:paraId="72A3F0C0" w14:textId="2346E9A5" w:rsidR="004A1C59" w:rsidRPr="00575A3E" w:rsidRDefault="004A1C59" w:rsidP="00463B77">
            <w:pPr>
              <w:jc w:val="center"/>
              <w:rPr>
                <w:lang w:val="en-GB"/>
              </w:rPr>
            </w:pPr>
            <w:r w:rsidRPr="00575A3E">
              <w:rPr>
                <w:lang w:val="en-GB"/>
              </w:rPr>
              <w:t>1</w:t>
            </w:r>
          </w:p>
        </w:tc>
        <w:tc>
          <w:tcPr>
            <w:tcW w:w="2463" w:type="dxa"/>
            <w:vMerge w:val="restart"/>
            <w:vAlign w:val="center"/>
          </w:tcPr>
          <w:p w14:paraId="1C4733D2" w14:textId="1AB7EB62" w:rsidR="004A1C59" w:rsidRPr="00575A3E" w:rsidRDefault="004A1C59" w:rsidP="00463B77">
            <w:pPr>
              <w:spacing w:line="360" w:lineRule="auto"/>
              <w:jc w:val="center"/>
              <w:rPr>
                <w:lang w:val="en-GB"/>
              </w:rPr>
            </w:pPr>
            <w:r w:rsidRPr="00575A3E">
              <w:rPr>
                <w:lang w:val="en-GB"/>
              </w:rPr>
              <w:t>Increased TCO for Level 2 and 3 of CAVs</w:t>
            </w:r>
          </w:p>
        </w:tc>
      </w:tr>
      <w:tr w:rsidR="00575A3E" w:rsidRPr="00575A3E" w14:paraId="387D6543" w14:textId="3643EA23" w:rsidTr="00463B77">
        <w:trPr>
          <w:jc w:val="center"/>
        </w:trPr>
        <w:tc>
          <w:tcPr>
            <w:tcW w:w="1052" w:type="dxa"/>
            <w:vAlign w:val="center"/>
          </w:tcPr>
          <w:p w14:paraId="446A0715" w14:textId="77777777" w:rsidR="004A1C59" w:rsidRPr="00575A3E" w:rsidRDefault="004A1C59" w:rsidP="00463B77">
            <w:pPr>
              <w:spacing w:line="360" w:lineRule="auto"/>
              <w:jc w:val="center"/>
              <w:rPr>
                <w:lang w:val="en-GB"/>
              </w:rPr>
            </w:pPr>
            <w:r w:rsidRPr="00575A3E">
              <w:rPr>
                <w:lang w:val="en-GB"/>
              </w:rPr>
              <w:t>1P</w:t>
            </w:r>
          </w:p>
        </w:tc>
        <w:tc>
          <w:tcPr>
            <w:tcW w:w="1265" w:type="dxa"/>
            <w:vMerge/>
            <w:vAlign w:val="center"/>
          </w:tcPr>
          <w:p w14:paraId="30C8EC20" w14:textId="77777777" w:rsidR="004A1C59" w:rsidRPr="00575A3E" w:rsidRDefault="004A1C59" w:rsidP="00463B77">
            <w:pPr>
              <w:spacing w:line="360" w:lineRule="auto"/>
              <w:jc w:val="center"/>
              <w:rPr>
                <w:lang w:val="en-GB"/>
              </w:rPr>
            </w:pPr>
          </w:p>
        </w:tc>
        <w:tc>
          <w:tcPr>
            <w:tcW w:w="1789" w:type="dxa"/>
            <w:vAlign w:val="center"/>
          </w:tcPr>
          <w:p w14:paraId="329E8380" w14:textId="0BCF7505" w:rsidR="004A1C59" w:rsidRPr="00575A3E" w:rsidRDefault="004A1C59" w:rsidP="00463B77">
            <w:pPr>
              <w:spacing w:line="360" w:lineRule="auto"/>
              <w:jc w:val="center"/>
              <w:rPr>
                <w:lang w:val="en-GB"/>
              </w:rPr>
            </w:pPr>
            <w:r w:rsidRPr="00575A3E">
              <w:rPr>
                <w:lang w:val="en-GB"/>
              </w:rPr>
              <w:t>Proportions Group 1</w:t>
            </w:r>
          </w:p>
        </w:tc>
        <w:tc>
          <w:tcPr>
            <w:tcW w:w="1537" w:type="dxa"/>
            <w:vMerge/>
            <w:vAlign w:val="center"/>
          </w:tcPr>
          <w:p w14:paraId="24955510" w14:textId="77777777" w:rsidR="004A1C59" w:rsidRPr="00575A3E" w:rsidRDefault="004A1C59" w:rsidP="00463B77">
            <w:pPr>
              <w:spacing w:line="360" w:lineRule="auto"/>
              <w:jc w:val="center"/>
              <w:rPr>
                <w:lang w:val="en-GB"/>
              </w:rPr>
            </w:pPr>
          </w:p>
        </w:tc>
        <w:tc>
          <w:tcPr>
            <w:tcW w:w="1245" w:type="dxa"/>
            <w:vAlign w:val="center"/>
          </w:tcPr>
          <w:p w14:paraId="06279B4C" w14:textId="598DA060" w:rsidR="004A1C59" w:rsidRPr="00575A3E" w:rsidRDefault="004A1C59" w:rsidP="00463B77">
            <w:pPr>
              <w:spacing w:line="360" w:lineRule="auto"/>
              <w:jc w:val="center"/>
              <w:rPr>
                <w:lang w:val="en-GB"/>
              </w:rPr>
            </w:pPr>
            <w:r w:rsidRPr="00575A3E">
              <w:rPr>
                <w:lang w:val="en-GB"/>
              </w:rPr>
              <w:t>0.7</w:t>
            </w:r>
          </w:p>
        </w:tc>
        <w:tc>
          <w:tcPr>
            <w:tcW w:w="2463" w:type="dxa"/>
            <w:vMerge/>
            <w:vAlign w:val="center"/>
          </w:tcPr>
          <w:p w14:paraId="5A7662C1" w14:textId="3B35D041" w:rsidR="004A1C59" w:rsidRPr="00575A3E" w:rsidRDefault="004A1C59" w:rsidP="00463B77">
            <w:pPr>
              <w:spacing w:line="360" w:lineRule="auto"/>
              <w:jc w:val="center"/>
              <w:rPr>
                <w:lang w:val="en-GB"/>
              </w:rPr>
            </w:pPr>
          </w:p>
        </w:tc>
      </w:tr>
      <w:tr w:rsidR="00575A3E" w:rsidRPr="00575A3E" w14:paraId="479E3F9A" w14:textId="75E944CA" w:rsidTr="00463B77">
        <w:trPr>
          <w:jc w:val="center"/>
        </w:trPr>
        <w:tc>
          <w:tcPr>
            <w:tcW w:w="1052" w:type="dxa"/>
            <w:vAlign w:val="center"/>
          </w:tcPr>
          <w:p w14:paraId="3DA28D16" w14:textId="77777777" w:rsidR="004A1C59" w:rsidRPr="00575A3E" w:rsidRDefault="004A1C59" w:rsidP="00463B77">
            <w:pPr>
              <w:spacing w:line="360" w:lineRule="auto"/>
              <w:jc w:val="center"/>
              <w:rPr>
                <w:lang w:val="en-GB"/>
              </w:rPr>
            </w:pPr>
            <w:r w:rsidRPr="00575A3E">
              <w:rPr>
                <w:lang w:val="en-GB"/>
              </w:rPr>
              <w:t>2N</w:t>
            </w:r>
          </w:p>
        </w:tc>
        <w:tc>
          <w:tcPr>
            <w:tcW w:w="1265" w:type="dxa"/>
            <w:vMerge/>
            <w:vAlign w:val="center"/>
          </w:tcPr>
          <w:p w14:paraId="46F1A4AE" w14:textId="77777777" w:rsidR="004A1C59" w:rsidRPr="00575A3E" w:rsidRDefault="004A1C59" w:rsidP="00463B77">
            <w:pPr>
              <w:spacing w:line="360" w:lineRule="auto"/>
              <w:jc w:val="center"/>
              <w:rPr>
                <w:lang w:val="en-GB"/>
              </w:rPr>
            </w:pPr>
          </w:p>
        </w:tc>
        <w:tc>
          <w:tcPr>
            <w:tcW w:w="1789" w:type="dxa"/>
            <w:vAlign w:val="center"/>
          </w:tcPr>
          <w:p w14:paraId="200B655A" w14:textId="27176104" w:rsidR="004A1C59" w:rsidRPr="00575A3E" w:rsidRDefault="004A1C59" w:rsidP="00463B77">
            <w:pPr>
              <w:spacing w:line="360" w:lineRule="auto"/>
              <w:jc w:val="center"/>
              <w:rPr>
                <w:lang w:val="en-GB"/>
              </w:rPr>
            </w:pPr>
            <w:r w:rsidRPr="00575A3E">
              <w:rPr>
                <w:lang w:val="en-GB"/>
              </w:rPr>
              <w:t>Proportions Group 2</w:t>
            </w:r>
          </w:p>
        </w:tc>
        <w:tc>
          <w:tcPr>
            <w:tcW w:w="1537" w:type="dxa"/>
            <w:vMerge/>
            <w:vAlign w:val="center"/>
          </w:tcPr>
          <w:p w14:paraId="11F732CC" w14:textId="77777777" w:rsidR="004A1C59" w:rsidRPr="00575A3E" w:rsidRDefault="004A1C59" w:rsidP="00463B77">
            <w:pPr>
              <w:spacing w:line="360" w:lineRule="auto"/>
              <w:jc w:val="center"/>
              <w:rPr>
                <w:lang w:val="en-GB"/>
              </w:rPr>
            </w:pPr>
          </w:p>
        </w:tc>
        <w:tc>
          <w:tcPr>
            <w:tcW w:w="1245" w:type="dxa"/>
            <w:vAlign w:val="center"/>
          </w:tcPr>
          <w:p w14:paraId="703BF7CC" w14:textId="727E26DF" w:rsidR="004A1C59" w:rsidRPr="00575A3E" w:rsidRDefault="004A1C59" w:rsidP="00463B77">
            <w:pPr>
              <w:spacing w:line="360" w:lineRule="auto"/>
              <w:jc w:val="center"/>
              <w:rPr>
                <w:lang w:val="en-GB"/>
              </w:rPr>
            </w:pPr>
            <w:r w:rsidRPr="00575A3E">
              <w:rPr>
                <w:lang w:val="en-GB"/>
              </w:rPr>
              <w:t>1</w:t>
            </w:r>
          </w:p>
        </w:tc>
        <w:tc>
          <w:tcPr>
            <w:tcW w:w="2463" w:type="dxa"/>
            <w:vMerge/>
            <w:vAlign w:val="center"/>
          </w:tcPr>
          <w:p w14:paraId="39FF8D42" w14:textId="3225A9E2" w:rsidR="004A1C59" w:rsidRPr="00575A3E" w:rsidRDefault="004A1C59" w:rsidP="00463B77">
            <w:pPr>
              <w:spacing w:line="360" w:lineRule="auto"/>
              <w:jc w:val="center"/>
              <w:rPr>
                <w:lang w:val="en-GB"/>
              </w:rPr>
            </w:pPr>
          </w:p>
        </w:tc>
      </w:tr>
      <w:tr w:rsidR="00575A3E" w:rsidRPr="00575A3E" w14:paraId="5EB2A87C" w14:textId="6B405A96" w:rsidTr="00463B77">
        <w:trPr>
          <w:jc w:val="center"/>
        </w:trPr>
        <w:tc>
          <w:tcPr>
            <w:tcW w:w="1052" w:type="dxa"/>
            <w:vAlign w:val="center"/>
          </w:tcPr>
          <w:p w14:paraId="1CFABF67" w14:textId="77777777" w:rsidR="004A1C59" w:rsidRPr="00575A3E" w:rsidRDefault="004A1C59" w:rsidP="00463B77">
            <w:pPr>
              <w:spacing w:line="360" w:lineRule="auto"/>
              <w:jc w:val="center"/>
              <w:rPr>
                <w:lang w:val="en-GB"/>
              </w:rPr>
            </w:pPr>
            <w:r w:rsidRPr="00575A3E">
              <w:rPr>
                <w:lang w:val="en-GB"/>
              </w:rPr>
              <w:t>2P</w:t>
            </w:r>
          </w:p>
        </w:tc>
        <w:tc>
          <w:tcPr>
            <w:tcW w:w="1265" w:type="dxa"/>
            <w:vMerge/>
            <w:vAlign w:val="center"/>
          </w:tcPr>
          <w:p w14:paraId="331239B5" w14:textId="77777777" w:rsidR="004A1C59" w:rsidRPr="00575A3E" w:rsidRDefault="004A1C59" w:rsidP="00463B77">
            <w:pPr>
              <w:spacing w:line="360" w:lineRule="auto"/>
              <w:jc w:val="center"/>
              <w:rPr>
                <w:lang w:val="en-GB"/>
              </w:rPr>
            </w:pPr>
          </w:p>
        </w:tc>
        <w:tc>
          <w:tcPr>
            <w:tcW w:w="1789" w:type="dxa"/>
            <w:vAlign w:val="center"/>
          </w:tcPr>
          <w:p w14:paraId="5A8D9EB2" w14:textId="3F4772F7" w:rsidR="004A1C59" w:rsidRPr="00575A3E" w:rsidRDefault="004A1C59" w:rsidP="00463B77">
            <w:pPr>
              <w:spacing w:line="360" w:lineRule="auto"/>
              <w:jc w:val="center"/>
              <w:rPr>
                <w:lang w:val="en-GB"/>
              </w:rPr>
            </w:pPr>
            <w:r w:rsidRPr="00575A3E">
              <w:rPr>
                <w:lang w:val="en-GB"/>
              </w:rPr>
              <w:t>Proportions Group 2</w:t>
            </w:r>
          </w:p>
        </w:tc>
        <w:tc>
          <w:tcPr>
            <w:tcW w:w="1537" w:type="dxa"/>
            <w:vMerge/>
            <w:vAlign w:val="center"/>
          </w:tcPr>
          <w:p w14:paraId="5238BB36" w14:textId="77777777" w:rsidR="004A1C59" w:rsidRPr="00575A3E" w:rsidRDefault="004A1C59" w:rsidP="00463B77">
            <w:pPr>
              <w:spacing w:line="360" w:lineRule="auto"/>
              <w:jc w:val="center"/>
              <w:rPr>
                <w:lang w:val="en-GB"/>
              </w:rPr>
            </w:pPr>
          </w:p>
        </w:tc>
        <w:tc>
          <w:tcPr>
            <w:tcW w:w="1245" w:type="dxa"/>
            <w:vAlign w:val="center"/>
          </w:tcPr>
          <w:p w14:paraId="060DE90F" w14:textId="758E6F25" w:rsidR="004A1C59" w:rsidRPr="00575A3E" w:rsidRDefault="004A1C59" w:rsidP="00463B77">
            <w:pPr>
              <w:spacing w:line="360" w:lineRule="auto"/>
              <w:jc w:val="center"/>
              <w:rPr>
                <w:lang w:val="en-GB"/>
              </w:rPr>
            </w:pPr>
            <w:r w:rsidRPr="00575A3E">
              <w:rPr>
                <w:lang w:val="en-GB"/>
              </w:rPr>
              <w:t>0.7</w:t>
            </w:r>
          </w:p>
        </w:tc>
        <w:tc>
          <w:tcPr>
            <w:tcW w:w="2463" w:type="dxa"/>
            <w:vMerge/>
            <w:vAlign w:val="center"/>
          </w:tcPr>
          <w:p w14:paraId="3A470115" w14:textId="564CE4A9" w:rsidR="004A1C59" w:rsidRPr="00575A3E" w:rsidRDefault="004A1C59" w:rsidP="00463B77">
            <w:pPr>
              <w:spacing w:line="360" w:lineRule="auto"/>
              <w:jc w:val="center"/>
              <w:rPr>
                <w:lang w:val="en-GB"/>
              </w:rPr>
            </w:pPr>
          </w:p>
        </w:tc>
      </w:tr>
      <w:tr w:rsidR="00575A3E" w:rsidRPr="00575A3E" w14:paraId="303C9EBC" w14:textId="14AA4DD5" w:rsidTr="00463B77">
        <w:trPr>
          <w:jc w:val="center"/>
        </w:trPr>
        <w:tc>
          <w:tcPr>
            <w:tcW w:w="1052" w:type="dxa"/>
            <w:vAlign w:val="center"/>
          </w:tcPr>
          <w:p w14:paraId="06F67431" w14:textId="77777777" w:rsidR="004A1C59" w:rsidRPr="00575A3E" w:rsidRDefault="004A1C59" w:rsidP="00463B77">
            <w:pPr>
              <w:spacing w:line="360" w:lineRule="auto"/>
              <w:jc w:val="center"/>
              <w:rPr>
                <w:lang w:val="en-GB"/>
              </w:rPr>
            </w:pPr>
            <w:r w:rsidRPr="00575A3E">
              <w:rPr>
                <w:lang w:val="en-GB"/>
              </w:rPr>
              <w:t>3N</w:t>
            </w:r>
          </w:p>
        </w:tc>
        <w:tc>
          <w:tcPr>
            <w:tcW w:w="1265" w:type="dxa"/>
            <w:vMerge/>
            <w:vAlign w:val="center"/>
          </w:tcPr>
          <w:p w14:paraId="7D1102BB" w14:textId="77777777" w:rsidR="004A1C59" w:rsidRPr="00575A3E" w:rsidRDefault="004A1C59" w:rsidP="00463B77">
            <w:pPr>
              <w:spacing w:line="360" w:lineRule="auto"/>
              <w:jc w:val="center"/>
              <w:rPr>
                <w:lang w:val="en-GB"/>
              </w:rPr>
            </w:pPr>
          </w:p>
        </w:tc>
        <w:tc>
          <w:tcPr>
            <w:tcW w:w="1789" w:type="dxa"/>
            <w:vAlign w:val="center"/>
          </w:tcPr>
          <w:p w14:paraId="37D438CB" w14:textId="5D3CB5A2" w:rsidR="004A1C59" w:rsidRPr="00575A3E" w:rsidRDefault="004A1C59" w:rsidP="00463B77">
            <w:pPr>
              <w:spacing w:line="360" w:lineRule="auto"/>
              <w:jc w:val="center"/>
              <w:rPr>
                <w:lang w:val="en-GB"/>
              </w:rPr>
            </w:pPr>
            <w:r w:rsidRPr="00575A3E">
              <w:rPr>
                <w:lang w:val="en-GB"/>
              </w:rPr>
              <w:t>Proportions Group 3</w:t>
            </w:r>
          </w:p>
        </w:tc>
        <w:tc>
          <w:tcPr>
            <w:tcW w:w="1537" w:type="dxa"/>
            <w:vMerge/>
            <w:vAlign w:val="center"/>
          </w:tcPr>
          <w:p w14:paraId="03D1B1E7" w14:textId="77777777" w:rsidR="004A1C59" w:rsidRPr="00575A3E" w:rsidRDefault="004A1C59" w:rsidP="00463B77">
            <w:pPr>
              <w:spacing w:line="360" w:lineRule="auto"/>
              <w:jc w:val="center"/>
              <w:rPr>
                <w:lang w:val="en-GB"/>
              </w:rPr>
            </w:pPr>
          </w:p>
        </w:tc>
        <w:tc>
          <w:tcPr>
            <w:tcW w:w="1245" w:type="dxa"/>
            <w:vAlign w:val="center"/>
          </w:tcPr>
          <w:p w14:paraId="6393980A" w14:textId="6CA6213C" w:rsidR="004A1C59" w:rsidRPr="00575A3E" w:rsidRDefault="004A1C59" w:rsidP="00463B77">
            <w:pPr>
              <w:spacing w:line="360" w:lineRule="auto"/>
              <w:jc w:val="center"/>
              <w:rPr>
                <w:lang w:val="en-GB"/>
              </w:rPr>
            </w:pPr>
            <w:r w:rsidRPr="00575A3E">
              <w:rPr>
                <w:lang w:val="en-GB"/>
              </w:rPr>
              <w:t>1</w:t>
            </w:r>
          </w:p>
        </w:tc>
        <w:tc>
          <w:tcPr>
            <w:tcW w:w="2463" w:type="dxa"/>
            <w:vMerge w:val="restart"/>
            <w:vAlign w:val="center"/>
          </w:tcPr>
          <w:p w14:paraId="730A059C" w14:textId="5F7B0D34" w:rsidR="004A1C59" w:rsidRPr="00575A3E" w:rsidRDefault="004A1C59" w:rsidP="00463B77">
            <w:pPr>
              <w:spacing w:line="360" w:lineRule="auto"/>
              <w:jc w:val="center"/>
              <w:rPr>
                <w:lang w:val="en-GB"/>
              </w:rPr>
            </w:pPr>
            <w:r w:rsidRPr="00575A3E">
              <w:rPr>
                <w:lang w:val="en-GB"/>
              </w:rPr>
              <w:t>Increased TCO for Level 2 and 3 of CAVs</w:t>
            </w:r>
          </w:p>
          <w:p w14:paraId="39BB967E" w14:textId="323C45A1" w:rsidR="004A1C59" w:rsidRPr="00575A3E" w:rsidRDefault="004A1C59" w:rsidP="00463B77">
            <w:pPr>
              <w:spacing w:line="360" w:lineRule="auto"/>
              <w:jc w:val="center"/>
              <w:rPr>
                <w:lang w:val="en-GB"/>
              </w:rPr>
            </w:pPr>
            <w:r w:rsidRPr="00575A3E">
              <w:rPr>
                <w:lang w:val="en-GB"/>
              </w:rPr>
              <w:t xml:space="preserve">&amp; Increased TCO for </w:t>
            </w:r>
            <w:r w:rsidR="00090091" w:rsidRPr="00575A3E">
              <w:rPr>
                <w:lang w:val="en-GB"/>
              </w:rPr>
              <w:t xml:space="preserve">Level 4 and 5 of CAVs </w:t>
            </w:r>
            <w:r w:rsidRPr="00575A3E">
              <w:rPr>
                <w:lang w:val="en-GB"/>
              </w:rPr>
              <w:t>due to additional technological equipment</w:t>
            </w:r>
          </w:p>
        </w:tc>
      </w:tr>
      <w:tr w:rsidR="00575A3E" w:rsidRPr="00575A3E" w14:paraId="3923A9CC" w14:textId="01639E5D" w:rsidTr="00463B77">
        <w:trPr>
          <w:jc w:val="center"/>
        </w:trPr>
        <w:tc>
          <w:tcPr>
            <w:tcW w:w="1052" w:type="dxa"/>
            <w:vAlign w:val="center"/>
          </w:tcPr>
          <w:p w14:paraId="20A269BE" w14:textId="77777777" w:rsidR="004A1C59" w:rsidRPr="00575A3E" w:rsidRDefault="004A1C59" w:rsidP="00463B77">
            <w:pPr>
              <w:spacing w:line="360" w:lineRule="auto"/>
              <w:jc w:val="center"/>
              <w:rPr>
                <w:lang w:val="en-GB"/>
              </w:rPr>
            </w:pPr>
            <w:r w:rsidRPr="00575A3E">
              <w:rPr>
                <w:lang w:val="en-GB"/>
              </w:rPr>
              <w:t>3P</w:t>
            </w:r>
          </w:p>
        </w:tc>
        <w:tc>
          <w:tcPr>
            <w:tcW w:w="1265" w:type="dxa"/>
            <w:vMerge/>
            <w:vAlign w:val="center"/>
          </w:tcPr>
          <w:p w14:paraId="4E10D7B4" w14:textId="77777777" w:rsidR="004A1C59" w:rsidRPr="00575A3E" w:rsidRDefault="004A1C59" w:rsidP="00463B77">
            <w:pPr>
              <w:spacing w:line="360" w:lineRule="auto"/>
              <w:jc w:val="center"/>
              <w:rPr>
                <w:lang w:val="en-GB"/>
              </w:rPr>
            </w:pPr>
          </w:p>
        </w:tc>
        <w:tc>
          <w:tcPr>
            <w:tcW w:w="1789" w:type="dxa"/>
            <w:vAlign w:val="center"/>
          </w:tcPr>
          <w:p w14:paraId="11BF5087" w14:textId="10A2BBF1" w:rsidR="004A1C59" w:rsidRPr="00575A3E" w:rsidRDefault="004A1C59" w:rsidP="00463B77">
            <w:pPr>
              <w:spacing w:line="360" w:lineRule="auto"/>
              <w:jc w:val="center"/>
              <w:rPr>
                <w:lang w:val="en-GB"/>
              </w:rPr>
            </w:pPr>
            <w:r w:rsidRPr="00575A3E">
              <w:rPr>
                <w:lang w:val="en-GB"/>
              </w:rPr>
              <w:t>Proportions Group 3</w:t>
            </w:r>
          </w:p>
        </w:tc>
        <w:tc>
          <w:tcPr>
            <w:tcW w:w="1537" w:type="dxa"/>
            <w:vMerge/>
            <w:vAlign w:val="center"/>
          </w:tcPr>
          <w:p w14:paraId="604A12DC" w14:textId="77777777" w:rsidR="004A1C59" w:rsidRPr="00575A3E" w:rsidRDefault="004A1C59" w:rsidP="00463B77">
            <w:pPr>
              <w:spacing w:line="360" w:lineRule="auto"/>
              <w:jc w:val="center"/>
              <w:rPr>
                <w:lang w:val="en-GB"/>
              </w:rPr>
            </w:pPr>
          </w:p>
        </w:tc>
        <w:tc>
          <w:tcPr>
            <w:tcW w:w="1245" w:type="dxa"/>
            <w:vAlign w:val="center"/>
          </w:tcPr>
          <w:p w14:paraId="73810EDA" w14:textId="0F5283D1" w:rsidR="004A1C59" w:rsidRPr="00575A3E" w:rsidRDefault="004A1C59" w:rsidP="00463B77">
            <w:pPr>
              <w:spacing w:line="360" w:lineRule="auto"/>
              <w:jc w:val="center"/>
              <w:rPr>
                <w:lang w:val="en-GB"/>
              </w:rPr>
            </w:pPr>
            <w:r w:rsidRPr="00575A3E">
              <w:rPr>
                <w:lang w:val="en-GB"/>
              </w:rPr>
              <w:t>0.7</w:t>
            </w:r>
          </w:p>
        </w:tc>
        <w:tc>
          <w:tcPr>
            <w:tcW w:w="2463" w:type="dxa"/>
            <w:vMerge/>
            <w:vAlign w:val="center"/>
          </w:tcPr>
          <w:p w14:paraId="68FAFC1E" w14:textId="77777777" w:rsidR="004A1C59" w:rsidRPr="00575A3E" w:rsidRDefault="004A1C59" w:rsidP="00463B77">
            <w:pPr>
              <w:spacing w:line="360" w:lineRule="auto"/>
              <w:jc w:val="center"/>
              <w:rPr>
                <w:lang w:val="en-GB"/>
              </w:rPr>
            </w:pPr>
          </w:p>
        </w:tc>
      </w:tr>
      <w:tr w:rsidR="00575A3E" w:rsidRPr="00575A3E" w14:paraId="712C3BBC" w14:textId="6D5FFAAC" w:rsidTr="00463B77">
        <w:trPr>
          <w:jc w:val="center"/>
        </w:trPr>
        <w:tc>
          <w:tcPr>
            <w:tcW w:w="1052" w:type="dxa"/>
            <w:vAlign w:val="center"/>
          </w:tcPr>
          <w:p w14:paraId="2835C077" w14:textId="77777777" w:rsidR="004A1C59" w:rsidRPr="00575A3E" w:rsidRDefault="004A1C59" w:rsidP="00463B77">
            <w:pPr>
              <w:spacing w:line="360" w:lineRule="auto"/>
              <w:jc w:val="center"/>
              <w:rPr>
                <w:lang w:val="en-GB"/>
              </w:rPr>
            </w:pPr>
            <w:r w:rsidRPr="00575A3E">
              <w:rPr>
                <w:lang w:val="en-GB"/>
              </w:rPr>
              <w:t>4N</w:t>
            </w:r>
          </w:p>
        </w:tc>
        <w:tc>
          <w:tcPr>
            <w:tcW w:w="1265" w:type="dxa"/>
            <w:vMerge/>
            <w:vAlign w:val="center"/>
          </w:tcPr>
          <w:p w14:paraId="05E432D3" w14:textId="77777777" w:rsidR="004A1C59" w:rsidRPr="00575A3E" w:rsidRDefault="004A1C59" w:rsidP="00463B77">
            <w:pPr>
              <w:spacing w:line="360" w:lineRule="auto"/>
              <w:jc w:val="center"/>
              <w:rPr>
                <w:lang w:val="en-GB"/>
              </w:rPr>
            </w:pPr>
          </w:p>
        </w:tc>
        <w:tc>
          <w:tcPr>
            <w:tcW w:w="1789" w:type="dxa"/>
            <w:vAlign w:val="center"/>
          </w:tcPr>
          <w:p w14:paraId="31256867" w14:textId="772FF558" w:rsidR="004A1C59" w:rsidRPr="00575A3E" w:rsidRDefault="004A1C59" w:rsidP="00463B77">
            <w:pPr>
              <w:spacing w:line="360" w:lineRule="auto"/>
              <w:jc w:val="center"/>
              <w:rPr>
                <w:lang w:val="en-GB"/>
              </w:rPr>
            </w:pPr>
            <w:r w:rsidRPr="00575A3E">
              <w:rPr>
                <w:lang w:val="en-GB"/>
              </w:rPr>
              <w:t>Proportions Group 4</w:t>
            </w:r>
          </w:p>
        </w:tc>
        <w:tc>
          <w:tcPr>
            <w:tcW w:w="1537" w:type="dxa"/>
            <w:vMerge/>
            <w:vAlign w:val="center"/>
          </w:tcPr>
          <w:p w14:paraId="03A26756" w14:textId="77777777" w:rsidR="004A1C59" w:rsidRPr="00575A3E" w:rsidRDefault="004A1C59" w:rsidP="00463B77">
            <w:pPr>
              <w:spacing w:line="360" w:lineRule="auto"/>
              <w:jc w:val="center"/>
              <w:rPr>
                <w:lang w:val="en-GB"/>
              </w:rPr>
            </w:pPr>
          </w:p>
        </w:tc>
        <w:tc>
          <w:tcPr>
            <w:tcW w:w="1245" w:type="dxa"/>
            <w:vAlign w:val="center"/>
          </w:tcPr>
          <w:p w14:paraId="032302BA" w14:textId="3C55EE1D" w:rsidR="004A1C59" w:rsidRPr="00575A3E" w:rsidRDefault="004A1C59" w:rsidP="00463B77">
            <w:pPr>
              <w:spacing w:line="360" w:lineRule="auto"/>
              <w:jc w:val="center"/>
              <w:rPr>
                <w:lang w:val="en-GB"/>
              </w:rPr>
            </w:pPr>
            <w:r w:rsidRPr="00575A3E">
              <w:rPr>
                <w:lang w:val="en-GB"/>
              </w:rPr>
              <w:t>1</w:t>
            </w:r>
          </w:p>
        </w:tc>
        <w:tc>
          <w:tcPr>
            <w:tcW w:w="2463" w:type="dxa"/>
            <w:vMerge/>
            <w:vAlign w:val="center"/>
          </w:tcPr>
          <w:p w14:paraId="42D55EFC" w14:textId="77777777" w:rsidR="004A1C59" w:rsidRPr="00575A3E" w:rsidRDefault="004A1C59" w:rsidP="00463B77">
            <w:pPr>
              <w:spacing w:line="360" w:lineRule="auto"/>
              <w:jc w:val="center"/>
              <w:rPr>
                <w:lang w:val="en-GB"/>
              </w:rPr>
            </w:pPr>
          </w:p>
        </w:tc>
      </w:tr>
      <w:tr w:rsidR="004A1C59" w:rsidRPr="00575A3E" w14:paraId="634DAFB0" w14:textId="7BB0E821" w:rsidTr="00463B77">
        <w:trPr>
          <w:jc w:val="center"/>
        </w:trPr>
        <w:tc>
          <w:tcPr>
            <w:tcW w:w="1052" w:type="dxa"/>
            <w:vAlign w:val="center"/>
          </w:tcPr>
          <w:p w14:paraId="48FC94E8" w14:textId="77777777" w:rsidR="004A1C59" w:rsidRPr="00575A3E" w:rsidRDefault="004A1C59" w:rsidP="00463B77">
            <w:pPr>
              <w:spacing w:line="360" w:lineRule="auto"/>
              <w:jc w:val="center"/>
              <w:rPr>
                <w:lang w:val="en-GB"/>
              </w:rPr>
            </w:pPr>
            <w:r w:rsidRPr="00575A3E">
              <w:rPr>
                <w:lang w:val="en-GB"/>
              </w:rPr>
              <w:t>4P</w:t>
            </w:r>
          </w:p>
        </w:tc>
        <w:tc>
          <w:tcPr>
            <w:tcW w:w="1265" w:type="dxa"/>
            <w:vMerge/>
            <w:vAlign w:val="center"/>
          </w:tcPr>
          <w:p w14:paraId="74309DE2" w14:textId="77777777" w:rsidR="004A1C59" w:rsidRPr="00575A3E" w:rsidRDefault="004A1C59" w:rsidP="00463B77">
            <w:pPr>
              <w:spacing w:line="360" w:lineRule="auto"/>
              <w:jc w:val="center"/>
              <w:rPr>
                <w:lang w:val="en-GB"/>
              </w:rPr>
            </w:pPr>
          </w:p>
        </w:tc>
        <w:tc>
          <w:tcPr>
            <w:tcW w:w="1789" w:type="dxa"/>
            <w:vAlign w:val="center"/>
          </w:tcPr>
          <w:p w14:paraId="1CE9718F" w14:textId="1E7E73E3" w:rsidR="004A1C59" w:rsidRPr="00575A3E" w:rsidRDefault="004A1C59" w:rsidP="00463B77">
            <w:pPr>
              <w:spacing w:line="360" w:lineRule="auto"/>
              <w:jc w:val="center"/>
              <w:rPr>
                <w:lang w:val="en-GB"/>
              </w:rPr>
            </w:pPr>
            <w:r w:rsidRPr="00575A3E">
              <w:rPr>
                <w:lang w:val="en-GB"/>
              </w:rPr>
              <w:t>Proportions Group 4</w:t>
            </w:r>
          </w:p>
        </w:tc>
        <w:tc>
          <w:tcPr>
            <w:tcW w:w="1537" w:type="dxa"/>
            <w:vMerge/>
            <w:vAlign w:val="center"/>
          </w:tcPr>
          <w:p w14:paraId="5B0BED15" w14:textId="77777777" w:rsidR="004A1C59" w:rsidRPr="00575A3E" w:rsidRDefault="004A1C59" w:rsidP="00463B77">
            <w:pPr>
              <w:spacing w:line="360" w:lineRule="auto"/>
              <w:jc w:val="center"/>
              <w:rPr>
                <w:lang w:val="en-GB"/>
              </w:rPr>
            </w:pPr>
          </w:p>
        </w:tc>
        <w:tc>
          <w:tcPr>
            <w:tcW w:w="1245" w:type="dxa"/>
            <w:vAlign w:val="center"/>
          </w:tcPr>
          <w:p w14:paraId="42B6364B" w14:textId="29DDADFE" w:rsidR="004A1C59" w:rsidRPr="00575A3E" w:rsidRDefault="004A1C59" w:rsidP="00463B77">
            <w:pPr>
              <w:spacing w:line="360" w:lineRule="auto"/>
              <w:jc w:val="center"/>
              <w:rPr>
                <w:lang w:val="en-GB"/>
              </w:rPr>
            </w:pPr>
            <w:r w:rsidRPr="00575A3E">
              <w:rPr>
                <w:lang w:val="en-GB"/>
              </w:rPr>
              <w:t>0.7</w:t>
            </w:r>
          </w:p>
        </w:tc>
        <w:tc>
          <w:tcPr>
            <w:tcW w:w="2463" w:type="dxa"/>
            <w:vMerge/>
            <w:vAlign w:val="center"/>
          </w:tcPr>
          <w:p w14:paraId="215D82C7" w14:textId="77777777" w:rsidR="004A1C59" w:rsidRPr="00575A3E" w:rsidRDefault="004A1C59" w:rsidP="00463B77">
            <w:pPr>
              <w:spacing w:line="360" w:lineRule="auto"/>
              <w:jc w:val="center"/>
              <w:rPr>
                <w:lang w:val="en-GB"/>
              </w:rPr>
            </w:pPr>
          </w:p>
        </w:tc>
      </w:tr>
    </w:tbl>
    <w:p w14:paraId="717DF8F6" w14:textId="77777777" w:rsidR="00D0622F" w:rsidRPr="00575A3E" w:rsidRDefault="00D0622F" w:rsidP="008119F3">
      <w:pPr>
        <w:rPr>
          <w:lang w:val="en-GB"/>
        </w:rPr>
      </w:pPr>
    </w:p>
    <w:p w14:paraId="53461776" w14:textId="10DB36B5" w:rsidR="00151070" w:rsidRPr="00575A3E" w:rsidRDefault="00562D56" w:rsidP="00A55356">
      <w:pPr>
        <w:pStyle w:val="Heading1"/>
        <w:spacing w:before="0" w:after="0" w:line="360" w:lineRule="auto"/>
        <w:rPr>
          <w:lang w:val="en-GB"/>
        </w:rPr>
      </w:pPr>
      <w:r w:rsidRPr="00575A3E">
        <w:rPr>
          <w:lang w:val="en-GB"/>
        </w:rPr>
        <w:t>Results</w:t>
      </w:r>
      <w:r w:rsidR="008E5C02" w:rsidRPr="00575A3E">
        <w:rPr>
          <w:lang w:val="en-GB"/>
        </w:rPr>
        <w:t xml:space="preserve"> and Disscusion</w:t>
      </w:r>
    </w:p>
    <w:p w14:paraId="35BAFCEB" w14:textId="77777777" w:rsidR="006E0E1E" w:rsidRPr="00575A3E" w:rsidRDefault="006E0E1E" w:rsidP="00A55356">
      <w:pPr>
        <w:spacing w:line="360" w:lineRule="auto"/>
        <w:rPr>
          <w:szCs w:val="22"/>
          <w:lang w:val="en-GB"/>
        </w:rPr>
      </w:pPr>
    </w:p>
    <w:p w14:paraId="22842E00" w14:textId="1908DD8F" w:rsidR="00F35992" w:rsidRPr="00575A3E" w:rsidRDefault="00E6773C" w:rsidP="00A55356">
      <w:pPr>
        <w:spacing w:line="360" w:lineRule="auto"/>
        <w:rPr>
          <w:szCs w:val="22"/>
          <w:lang w:val="en-GB"/>
        </w:rPr>
      </w:pPr>
      <w:r w:rsidRPr="00575A3E">
        <w:rPr>
          <w:szCs w:val="22"/>
          <w:lang w:val="en-GB"/>
        </w:rPr>
        <w:t xml:space="preserve">To analyse </w:t>
      </w:r>
      <w:r w:rsidR="009E696E" w:rsidRPr="00575A3E">
        <w:rPr>
          <w:szCs w:val="22"/>
          <w:lang w:val="en-GB"/>
        </w:rPr>
        <w:t xml:space="preserve">the effects of </w:t>
      </w:r>
      <w:r w:rsidRPr="00575A3E">
        <w:rPr>
          <w:szCs w:val="22"/>
          <w:lang w:val="en-GB"/>
        </w:rPr>
        <w:t xml:space="preserve">the </w:t>
      </w:r>
      <w:r w:rsidR="002C1965" w:rsidRPr="00575A3E">
        <w:rPr>
          <w:szCs w:val="22"/>
          <w:lang w:val="en-GB"/>
        </w:rPr>
        <w:t>scenarios formulate</w:t>
      </w:r>
      <w:r w:rsidR="00E0423C" w:rsidRPr="00575A3E">
        <w:rPr>
          <w:szCs w:val="22"/>
          <w:lang w:val="en-GB"/>
        </w:rPr>
        <w:t>d</w:t>
      </w:r>
      <w:r w:rsidR="002C1965" w:rsidRPr="00575A3E">
        <w:rPr>
          <w:szCs w:val="22"/>
          <w:lang w:val="en-GB"/>
        </w:rPr>
        <w:t xml:space="preserve"> </w:t>
      </w:r>
      <w:r w:rsidRPr="00575A3E">
        <w:rPr>
          <w:szCs w:val="22"/>
          <w:lang w:val="en-GB"/>
        </w:rPr>
        <w:t xml:space="preserve">on </w:t>
      </w:r>
      <w:r w:rsidR="002C1965" w:rsidRPr="00575A3E">
        <w:rPr>
          <w:szCs w:val="22"/>
          <w:lang w:val="en-GB"/>
        </w:rPr>
        <w:t>the</w:t>
      </w:r>
      <w:r w:rsidRPr="00575A3E">
        <w:rPr>
          <w:szCs w:val="22"/>
          <w:lang w:val="en-GB"/>
        </w:rPr>
        <w:t xml:space="preserve"> regional structure</w:t>
      </w:r>
      <w:r w:rsidR="002C1965" w:rsidRPr="00575A3E">
        <w:rPr>
          <w:szCs w:val="22"/>
          <w:lang w:val="en-GB"/>
        </w:rPr>
        <w:t xml:space="preserve"> of land uses and urban cores</w:t>
      </w:r>
      <w:r w:rsidRPr="00575A3E">
        <w:rPr>
          <w:szCs w:val="22"/>
          <w:lang w:val="en-GB"/>
        </w:rPr>
        <w:t>, two factors need to be examined in depth</w:t>
      </w:r>
      <w:r w:rsidR="009E696E" w:rsidRPr="00575A3E">
        <w:rPr>
          <w:szCs w:val="22"/>
          <w:lang w:val="en-GB"/>
        </w:rPr>
        <w:t>:</w:t>
      </w:r>
      <w:r w:rsidRPr="00575A3E">
        <w:rPr>
          <w:szCs w:val="22"/>
          <w:lang w:val="en-GB"/>
        </w:rPr>
        <w:t xml:space="preserve"> population </w:t>
      </w:r>
      <w:r w:rsidR="002C1965" w:rsidRPr="00575A3E">
        <w:rPr>
          <w:szCs w:val="22"/>
          <w:lang w:val="en-GB"/>
        </w:rPr>
        <w:t>and</w:t>
      </w:r>
      <w:r w:rsidRPr="00575A3E">
        <w:rPr>
          <w:szCs w:val="22"/>
          <w:lang w:val="en-GB"/>
        </w:rPr>
        <w:t xml:space="preserve"> employment. Graph</w:t>
      </w:r>
      <w:r w:rsidR="00B76638" w:rsidRPr="00575A3E">
        <w:rPr>
          <w:szCs w:val="22"/>
          <w:lang w:val="en-GB"/>
        </w:rPr>
        <w:t>s</w:t>
      </w:r>
      <w:r w:rsidRPr="00575A3E">
        <w:rPr>
          <w:szCs w:val="22"/>
          <w:lang w:val="en-GB"/>
        </w:rPr>
        <w:t xml:space="preserve"> for </w:t>
      </w:r>
      <w:r w:rsidR="008C0B43" w:rsidRPr="00575A3E">
        <w:rPr>
          <w:szCs w:val="22"/>
          <w:lang w:val="en-GB"/>
        </w:rPr>
        <w:t>population and employment</w:t>
      </w:r>
      <w:r w:rsidRPr="00575A3E">
        <w:rPr>
          <w:szCs w:val="22"/>
          <w:lang w:val="en-GB"/>
        </w:rPr>
        <w:t xml:space="preserve"> </w:t>
      </w:r>
      <w:r w:rsidR="00B626B9" w:rsidRPr="00575A3E">
        <w:rPr>
          <w:szCs w:val="22"/>
          <w:lang w:val="en-GB"/>
        </w:rPr>
        <w:t xml:space="preserve">changes </w:t>
      </w:r>
      <w:r w:rsidRPr="00575A3E">
        <w:rPr>
          <w:szCs w:val="22"/>
          <w:lang w:val="en-GB"/>
        </w:rPr>
        <w:t>over the modelling period</w:t>
      </w:r>
      <w:r w:rsidR="008C0B43" w:rsidRPr="00575A3E">
        <w:rPr>
          <w:szCs w:val="22"/>
          <w:lang w:val="en-GB"/>
        </w:rPr>
        <w:t xml:space="preserve"> </w:t>
      </w:r>
      <w:r w:rsidRPr="00575A3E">
        <w:rPr>
          <w:szCs w:val="22"/>
          <w:lang w:val="en-GB"/>
        </w:rPr>
        <w:t xml:space="preserve">are provided for </w:t>
      </w:r>
      <w:r w:rsidR="008C0B43" w:rsidRPr="00575A3E">
        <w:rPr>
          <w:szCs w:val="22"/>
          <w:lang w:val="en-GB"/>
        </w:rPr>
        <w:t>all test scenarios</w:t>
      </w:r>
      <w:r w:rsidRPr="00575A3E">
        <w:rPr>
          <w:szCs w:val="22"/>
          <w:lang w:val="en-GB"/>
        </w:rPr>
        <w:t>,</w:t>
      </w:r>
      <w:r w:rsidR="00B626B9" w:rsidRPr="00575A3E">
        <w:rPr>
          <w:szCs w:val="22"/>
          <w:lang w:val="en-GB"/>
        </w:rPr>
        <w:t xml:space="preserve"> and</w:t>
      </w:r>
      <w:r w:rsidRPr="00575A3E">
        <w:rPr>
          <w:szCs w:val="22"/>
          <w:lang w:val="en-GB"/>
        </w:rPr>
        <w:t xml:space="preserve"> </w:t>
      </w:r>
      <w:bookmarkStart w:id="30" w:name="_Hlk76995009"/>
      <w:r w:rsidRPr="00575A3E">
        <w:rPr>
          <w:szCs w:val="22"/>
          <w:lang w:val="en-GB"/>
        </w:rPr>
        <w:t xml:space="preserve">cartographical representations </w:t>
      </w:r>
      <w:bookmarkEnd w:id="30"/>
      <w:r w:rsidR="00B76638" w:rsidRPr="00575A3E">
        <w:rPr>
          <w:szCs w:val="22"/>
          <w:lang w:val="en-GB"/>
        </w:rPr>
        <w:t>are</w:t>
      </w:r>
      <w:r w:rsidR="009E696E" w:rsidRPr="00575A3E">
        <w:rPr>
          <w:szCs w:val="22"/>
          <w:lang w:val="en-GB"/>
        </w:rPr>
        <w:t xml:space="preserve"> </w:t>
      </w:r>
      <w:r w:rsidR="00923F8D" w:rsidRPr="00575A3E">
        <w:rPr>
          <w:szCs w:val="22"/>
          <w:lang w:val="en-GB"/>
        </w:rPr>
        <w:t>created</w:t>
      </w:r>
      <w:r w:rsidR="00B626B9" w:rsidRPr="00575A3E">
        <w:rPr>
          <w:szCs w:val="22"/>
          <w:lang w:val="en-GB"/>
        </w:rPr>
        <w:t xml:space="preserve"> in order</w:t>
      </w:r>
      <w:r w:rsidRPr="00575A3E">
        <w:rPr>
          <w:szCs w:val="22"/>
          <w:lang w:val="en-GB"/>
        </w:rPr>
        <w:t xml:space="preserve"> to </w:t>
      </w:r>
      <w:r w:rsidR="008C0B43" w:rsidRPr="00575A3E">
        <w:rPr>
          <w:szCs w:val="22"/>
          <w:lang w:val="en-GB"/>
        </w:rPr>
        <w:t>visuali</w:t>
      </w:r>
      <w:r w:rsidR="009E696E" w:rsidRPr="00575A3E">
        <w:rPr>
          <w:szCs w:val="22"/>
          <w:lang w:val="en-GB"/>
        </w:rPr>
        <w:t>s</w:t>
      </w:r>
      <w:r w:rsidR="008C0B43" w:rsidRPr="00575A3E">
        <w:rPr>
          <w:szCs w:val="22"/>
          <w:lang w:val="en-GB"/>
        </w:rPr>
        <w:t>e</w:t>
      </w:r>
      <w:r w:rsidRPr="00575A3E">
        <w:rPr>
          <w:szCs w:val="22"/>
          <w:lang w:val="en-GB"/>
        </w:rPr>
        <w:t xml:space="preserve"> the spatial distribution of activities </w:t>
      </w:r>
      <w:r w:rsidR="00923F8D" w:rsidRPr="00575A3E">
        <w:rPr>
          <w:szCs w:val="22"/>
          <w:lang w:val="en-GB"/>
        </w:rPr>
        <w:t xml:space="preserve">and accessibilities </w:t>
      </w:r>
      <w:r w:rsidR="008C0B43" w:rsidRPr="00575A3E">
        <w:rPr>
          <w:szCs w:val="22"/>
          <w:lang w:val="en-GB"/>
        </w:rPr>
        <w:t xml:space="preserve">after the end of the simulation period, </w:t>
      </w:r>
      <w:r w:rsidR="00596BD5" w:rsidRPr="00575A3E">
        <w:rPr>
          <w:szCs w:val="22"/>
          <w:lang w:val="en-GB"/>
        </w:rPr>
        <w:t>i.e.</w:t>
      </w:r>
      <w:r w:rsidR="009E696E" w:rsidRPr="00575A3E">
        <w:rPr>
          <w:szCs w:val="22"/>
          <w:lang w:val="en-GB"/>
        </w:rPr>
        <w:t xml:space="preserve"> </w:t>
      </w:r>
      <w:r w:rsidR="008C0B43" w:rsidRPr="00575A3E">
        <w:rPr>
          <w:szCs w:val="22"/>
          <w:lang w:val="en-GB"/>
        </w:rPr>
        <w:t>in 2036</w:t>
      </w:r>
      <w:r w:rsidRPr="00575A3E">
        <w:rPr>
          <w:szCs w:val="22"/>
          <w:lang w:val="en-GB"/>
        </w:rPr>
        <w:t>.</w:t>
      </w:r>
    </w:p>
    <w:p w14:paraId="19D4DA65" w14:textId="77777777" w:rsidR="00162565" w:rsidRPr="00575A3E" w:rsidRDefault="00162565" w:rsidP="00A55356">
      <w:pPr>
        <w:spacing w:line="360" w:lineRule="auto"/>
        <w:ind w:firstLine="851"/>
        <w:rPr>
          <w:szCs w:val="22"/>
          <w:lang w:val="en-GB"/>
        </w:rPr>
      </w:pPr>
    </w:p>
    <w:p w14:paraId="42FED9F7" w14:textId="555F897E" w:rsidR="00151070" w:rsidRPr="00575A3E" w:rsidRDefault="008C0B43" w:rsidP="00A55356">
      <w:pPr>
        <w:pStyle w:val="Heading2"/>
        <w:spacing w:before="0" w:after="0" w:line="360" w:lineRule="auto"/>
        <w:rPr>
          <w:lang w:val="en-GB"/>
        </w:rPr>
      </w:pPr>
      <w:r w:rsidRPr="00575A3E">
        <w:rPr>
          <w:lang w:val="en-GB"/>
        </w:rPr>
        <w:t>Graphical representations</w:t>
      </w:r>
    </w:p>
    <w:p w14:paraId="5FC98E00" w14:textId="1994EF70" w:rsidR="007808C8" w:rsidRPr="00575A3E" w:rsidRDefault="007808C8" w:rsidP="007808C8">
      <w:pPr>
        <w:pStyle w:val="Heading3"/>
        <w:spacing w:before="0" w:after="0" w:line="360" w:lineRule="auto"/>
        <w:rPr>
          <w:i/>
          <w:iCs/>
          <w:szCs w:val="22"/>
          <w:lang w:val="en-GB"/>
        </w:rPr>
      </w:pPr>
      <w:bookmarkStart w:id="31" w:name="_Hlk118729031"/>
      <w:r w:rsidRPr="00575A3E">
        <w:rPr>
          <w:i/>
          <w:iCs/>
          <w:szCs w:val="22"/>
          <w:lang w:val="en-GB"/>
        </w:rPr>
        <w:t>4.1.1 Population and employment results in the region</w:t>
      </w:r>
    </w:p>
    <w:bookmarkEnd w:id="31"/>
    <w:p w14:paraId="4D2A802A" w14:textId="77777777" w:rsidR="00FB493F" w:rsidRPr="00575A3E" w:rsidRDefault="00FB493F" w:rsidP="00FB493F">
      <w:pPr>
        <w:rPr>
          <w:lang w:val="en-GB"/>
        </w:rPr>
      </w:pPr>
    </w:p>
    <w:p w14:paraId="369588CD" w14:textId="5B3F676B" w:rsidR="00B63BA2" w:rsidRPr="00575A3E" w:rsidRDefault="009E696E" w:rsidP="00A55356">
      <w:pPr>
        <w:spacing w:line="360" w:lineRule="auto"/>
        <w:rPr>
          <w:szCs w:val="22"/>
          <w:lang w:val="en-GB"/>
        </w:rPr>
      </w:pPr>
      <w:r w:rsidRPr="00575A3E">
        <w:rPr>
          <w:szCs w:val="22"/>
          <w:lang w:val="en-GB"/>
        </w:rPr>
        <w:t xml:space="preserve">As can be seen in Figures </w:t>
      </w:r>
      <w:r w:rsidR="00162565" w:rsidRPr="00575A3E">
        <w:rPr>
          <w:szCs w:val="22"/>
          <w:lang w:val="en-GB"/>
        </w:rPr>
        <w:t>7</w:t>
      </w:r>
      <w:r w:rsidR="00E16FB2" w:rsidRPr="00575A3E">
        <w:rPr>
          <w:szCs w:val="22"/>
          <w:lang w:val="en-GB"/>
        </w:rPr>
        <w:t>-</w:t>
      </w:r>
      <w:r w:rsidR="00162565" w:rsidRPr="00575A3E">
        <w:rPr>
          <w:szCs w:val="22"/>
          <w:lang w:val="en-GB"/>
        </w:rPr>
        <w:t>10</w:t>
      </w:r>
      <w:r w:rsidRPr="00575A3E">
        <w:rPr>
          <w:szCs w:val="22"/>
          <w:lang w:val="en-GB"/>
        </w:rPr>
        <w:t xml:space="preserve">, </w:t>
      </w:r>
      <w:r w:rsidR="00B626B9" w:rsidRPr="00575A3E">
        <w:rPr>
          <w:szCs w:val="22"/>
          <w:lang w:val="en-GB"/>
        </w:rPr>
        <w:t xml:space="preserve">both </w:t>
      </w:r>
      <w:r w:rsidR="005F6D1E" w:rsidRPr="00575A3E">
        <w:rPr>
          <w:szCs w:val="22"/>
          <w:lang w:val="en-GB"/>
        </w:rPr>
        <w:t xml:space="preserve">population and employment in the region increase in all scenarios, but at different </w:t>
      </w:r>
      <w:r w:rsidRPr="00575A3E">
        <w:rPr>
          <w:szCs w:val="22"/>
          <w:lang w:val="en-GB"/>
        </w:rPr>
        <w:t>rates</w:t>
      </w:r>
      <w:bookmarkStart w:id="32" w:name="_Hlk120199350"/>
      <w:r w:rsidR="005F6D1E" w:rsidRPr="00575A3E">
        <w:rPr>
          <w:szCs w:val="22"/>
          <w:lang w:val="en-GB"/>
        </w:rPr>
        <w:t xml:space="preserve">. </w:t>
      </w:r>
      <w:r w:rsidR="00186376" w:rsidRPr="00575A3E">
        <w:rPr>
          <w:szCs w:val="22"/>
          <w:lang w:val="en-GB"/>
        </w:rPr>
        <w:t xml:space="preserve">It is </w:t>
      </w:r>
      <w:r w:rsidR="00162565" w:rsidRPr="00575A3E">
        <w:rPr>
          <w:szCs w:val="22"/>
          <w:lang w:val="en-GB"/>
        </w:rPr>
        <w:t>essential</w:t>
      </w:r>
      <w:r w:rsidR="00186376" w:rsidRPr="00575A3E">
        <w:rPr>
          <w:szCs w:val="22"/>
          <w:lang w:val="en-GB"/>
        </w:rPr>
        <w:t xml:space="preserve"> to </w:t>
      </w:r>
      <w:r w:rsidR="00162565" w:rsidRPr="00575A3E">
        <w:rPr>
          <w:szCs w:val="22"/>
          <w:lang w:val="en-GB"/>
        </w:rPr>
        <w:t>note</w:t>
      </w:r>
      <w:r w:rsidR="00186376" w:rsidRPr="00575A3E">
        <w:rPr>
          <w:szCs w:val="22"/>
          <w:lang w:val="en-GB"/>
        </w:rPr>
        <w:t xml:space="preserve"> that population and employment increas</w:t>
      </w:r>
      <w:r w:rsidR="0075104A" w:rsidRPr="00575A3E">
        <w:rPr>
          <w:szCs w:val="22"/>
          <w:lang w:val="en-GB"/>
        </w:rPr>
        <w:t>e</w:t>
      </w:r>
      <w:r w:rsidR="00186376" w:rsidRPr="00575A3E">
        <w:rPr>
          <w:szCs w:val="22"/>
          <w:lang w:val="en-GB"/>
        </w:rPr>
        <w:t xml:space="preserve"> even if none of the </w:t>
      </w:r>
      <w:r w:rsidR="00186376" w:rsidRPr="00575A3E">
        <w:rPr>
          <w:szCs w:val="22"/>
          <w:lang w:val="en-GB"/>
        </w:rPr>
        <w:lastRenderedPageBreak/>
        <w:t>transportation changes are implemented, due to migration and comp</w:t>
      </w:r>
      <w:r w:rsidR="00E7057C" w:rsidRPr="00575A3E">
        <w:rPr>
          <w:szCs w:val="22"/>
          <w:lang w:val="en-GB"/>
        </w:rPr>
        <w:t>eti</w:t>
      </w:r>
      <w:r w:rsidR="00186376" w:rsidRPr="00575A3E">
        <w:rPr>
          <w:szCs w:val="22"/>
          <w:lang w:val="en-GB"/>
        </w:rPr>
        <w:t xml:space="preserve">tion with other regions </w:t>
      </w:r>
      <w:r w:rsidR="00E7057C" w:rsidRPr="00575A3E">
        <w:rPr>
          <w:szCs w:val="22"/>
          <w:lang w:val="en-GB"/>
        </w:rPr>
        <w:t>based on the results of</w:t>
      </w:r>
      <w:r w:rsidR="00186376" w:rsidRPr="00575A3E">
        <w:rPr>
          <w:szCs w:val="22"/>
          <w:lang w:val="en-GB"/>
        </w:rPr>
        <w:t xml:space="preserve"> the BAU scenario</w:t>
      </w:r>
      <w:r w:rsidR="00E7057C" w:rsidRPr="00575A3E">
        <w:rPr>
          <w:szCs w:val="22"/>
          <w:lang w:val="en-GB"/>
        </w:rPr>
        <w:t xml:space="preserve">, which can also be validated </w:t>
      </w:r>
      <w:r w:rsidR="00186376" w:rsidRPr="00575A3E">
        <w:rPr>
          <w:szCs w:val="22"/>
          <w:lang w:val="en-GB"/>
        </w:rPr>
        <w:t xml:space="preserve">based on estimated data from </w:t>
      </w:r>
      <w:r w:rsidR="00E7057C" w:rsidRPr="00575A3E">
        <w:rPr>
          <w:szCs w:val="22"/>
          <w:lang w:val="en-GB"/>
        </w:rPr>
        <w:fldChar w:fldCharType="begin" w:fldLock="1"/>
      </w:r>
      <w:r w:rsidR="00162565" w:rsidRPr="00575A3E">
        <w:rPr>
          <w:szCs w:val="22"/>
          <w:lang w:val="en-GB"/>
        </w:rPr>
        <w:instrText>ADDIN CSL_CITATION {"citationItems":[{"id":"ITEM-1","itemData":{"ISBN":"83,8003,227,6","author":[{"dropping-particle":"","family":"Birmingham City Council","given":"","non-dropping-particle":"","parse-names":false,"suffix":""}],"id":"ITEM-1","issue":"March 2020","issued":{"date-parts":[["2018"]]},"page":"1-11","title":"Birmingham Demographic Brief /2018 Projection","type":"article-journal"},"uris":["http://www.mendeley.com/documents/?uuid=05cafa29-f7de-4046-9517-9ccdc56f5ca0"]}],"mendeley":{"formattedCitation":"(Birmingham City Council, 2018)","manualFormatting":"Birmingham City Council (2018)","plainTextFormattedCitation":"(Birmingham City Council, 2018)","previouslyFormattedCitation":"(Birmingham City Council, 2018)"},"properties":{"noteIndex":0},"schema":"https://github.com/citation-style-language/schema/raw/master/csl-citation.json"}</w:instrText>
      </w:r>
      <w:r w:rsidR="00E7057C" w:rsidRPr="00575A3E">
        <w:rPr>
          <w:szCs w:val="22"/>
          <w:lang w:val="en-GB"/>
        </w:rPr>
        <w:fldChar w:fldCharType="separate"/>
      </w:r>
      <w:r w:rsidR="00E7057C" w:rsidRPr="00575A3E">
        <w:rPr>
          <w:noProof/>
          <w:szCs w:val="22"/>
          <w:lang w:val="en-GB"/>
        </w:rPr>
        <w:t>Birmingham City Council (2018)</w:t>
      </w:r>
      <w:r w:rsidR="00E7057C" w:rsidRPr="00575A3E">
        <w:rPr>
          <w:szCs w:val="22"/>
          <w:lang w:val="en-GB"/>
        </w:rPr>
        <w:fldChar w:fldCharType="end"/>
      </w:r>
      <w:r w:rsidR="00E7057C" w:rsidRPr="00575A3E">
        <w:rPr>
          <w:szCs w:val="22"/>
          <w:lang w:val="en-GB"/>
        </w:rPr>
        <w:t xml:space="preserve">. Based on the </w:t>
      </w:r>
      <w:r w:rsidR="00162565" w:rsidRPr="00575A3E">
        <w:rPr>
          <w:szCs w:val="22"/>
          <w:lang w:val="en-GB"/>
        </w:rPr>
        <w:t xml:space="preserve">produced results from this </w:t>
      </w:r>
      <w:r w:rsidR="00E7057C" w:rsidRPr="00575A3E">
        <w:rPr>
          <w:szCs w:val="22"/>
          <w:lang w:val="en-GB"/>
        </w:rPr>
        <w:t>analysis</w:t>
      </w:r>
      <w:r w:rsidR="0075104A" w:rsidRPr="00575A3E">
        <w:rPr>
          <w:szCs w:val="22"/>
          <w:lang w:val="en-GB"/>
        </w:rPr>
        <w:t>,</w:t>
      </w:r>
      <w:r w:rsidR="00E7057C" w:rsidRPr="00575A3E">
        <w:rPr>
          <w:szCs w:val="22"/>
          <w:lang w:val="en-GB"/>
        </w:rPr>
        <w:t xml:space="preserve"> the total population of the</w:t>
      </w:r>
      <w:r w:rsidR="00162565" w:rsidRPr="00575A3E">
        <w:rPr>
          <w:szCs w:val="22"/>
          <w:lang w:val="en-GB"/>
        </w:rPr>
        <w:t xml:space="preserve"> </w:t>
      </w:r>
      <w:r w:rsidR="00E7057C" w:rsidRPr="00575A3E">
        <w:rPr>
          <w:szCs w:val="22"/>
          <w:lang w:val="en-GB"/>
        </w:rPr>
        <w:t xml:space="preserve">region </w:t>
      </w:r>
      <w:r w:rsidR="00162565" w:rsidRPr="00575A3E">
        <w:rPr>
          <w:szCs w:val="22"/>
          <w:lang w:val="en-GB"/>
        </w:rPr>
        <w:t xml:space="preserve">is expected to increase to more than </w:t>
      </w:r>
      <w:r w:rsidR="00162565" w:rsidRPr="00575A3E">
        <w:t xml:space="preserve">6,560,000 by 2033 </w:t>
      </w:r>
      <w:r w:rsidR="00162565" w:rsidRPr="00575A3E">
        <w:fldChar w:fldCharType="begin" w:fldLock="1"/>
      </w:r>
      <w:r w:rsidR="00010723" w:rsidRPr="00575A3E">
        <w:instrText>ADDIN CSL_CITATION {"citationItems":[{"id":"ITEM-1","itemData":{"ISBN":"83,8003,227,6","author":[{"dropping-particle":"","family":"Birmingham City Council","given":"","non-dropping-particle":"","parse-names":false,"suffix":""}],"id":"ITEM-1","issue":"March 2020","issued":{"date-parts":[["2018"]]},"page":"1-11","title":"Birmingham Demographic Brief /2018 Projection","type":"article-journal"},"uris":["http://www.mendeley.com/documents/?uuid=05cafa29-f7de-4046-9517-9ccdc56f5ca0"]}],"mendeley":{"formattedCitation":"(Birmingham City Council, 2018)","plainTextFormattedCitation":"(Birmingham City Council, 2018)","previouslyFormattedCitation":"(Birmingham City Council, 2018)"},"properties":{"noteIndex":0},"schema":"https://github.com/citation-style-language/schema/raw/master/csl-citation.json"}</w:instrText>
      </w:r>
      <w:r w:rsidR="00162565" w:rsidRPr="00575A3E">
        <w:fldChar w:fldCharType="separate"/>
      </w:r>
      <w:r w:rsidR="00162565" w:rsidRPr="00575A3E">
        <w:rPr>
          <w:noProof/>
        </w:rPr>
        <w:t>(Birmingham City Council, 2018)</w:t>
      </w:r>
      <w:r w:rsidR="00162565" w:rsidRPr="00575A3E">
        <w:fldChar w:fldCharType="end"/>
      </w:r>
      <w:r w:rsidR="00186376" w:rsidRPr="00575A3E">
        <w:rPr>
          <w:szCs w:val="22"/>
          <w:lang w:val="en-GB"/>
        </w:rPr>
        <w:t xml:space="preserve">. However, with the existence </w:t>
      </w:r>
      <w:r w:rsidR="00E021DB" w:rsidRPr="00575A3E">
        <w:rPr>
          <w:szCs w:val="22"/>
          <w:lang w:val="en-GB"/>
        </w:rPr>
        <w:t xml:space="preserve">of new transportation interventions </w:t>
      </w:r>
      <w:r w:rsidR="00162565" w:rsidRPr="00575A3E">
        <w:rPr>
          <w:szCs w:val="22"/>
          <w:lang w:val="en-GB"/>
        </w:rPr>
        <w:t xml:space="preserve">these rates are different based on the alterations in each scenario. </w:t>
      </w:r>
      <w:bookmarkEnd w:id="32"/>
    </w:p>
    <w:p w14:paraId="3FD9D0B2" w14:textId="77777777" w:rsidR="00B63BA2" w:rsidRPr="00575A3E" w:rsidRDefault="00B63BA2" w:rsidP="00A55356">
      <w:pPr>
        <w:spacing w:line="360" w:lineRule="auto"/>
        <w:rPr>
          <w:szCs w:val="22"/>
          <w:lang w:val="en-GB"/>
        </w:rPr>
      </w:pPr>
    </w:p>
    <w:p w14:paraId="3870EFCE" w14:textId="67123074" w:rsidR="00B626B9" w:rsidRPr="00575A3E" w:rsidRDefault="00C972C8" w:rsidP="00A55356">
      <w:pPr>
        <w:spacing w:line="360" w:lineRule="auto"/>
        <w:rPr>
          <w:szCs w:val="22"/>
          <w:lang w:val="en-GB"/>
        </w:rPr>
      </w:pPr>
      <w:r w:rsidRPr="00575A3E">
        <w:rPr>
          <w:szCs w:val="22"/>
          <w:lang w:val="en-GB"/>
        </w:rPr>
        <w:t>The trends in both variables are similar, with employment changing slightly more rapidly</w:t>
      </w:r>
      <w:r w:rsidR="00C84E54" w:rsidRPr="00575A3E">
        <w:rPr>
          <w:szCs w:val="22"/>
          <w:lang w:val="en-GB"/>
        </w:rPr>
        <w:t xml:space="preserve"> </w:t>
      </w:r>
      <w:r w:rsidR="00B626B9" w:rsidRPr="00575A3E">
        <w:rPr>
          <w:szCs w:val="22"/>
          <w:lang w:val="en-GB"/>
        </w:rPr>
        <w:t xml:space="preserve">and </w:t>
      </w:r>
      <w:r w:rsidR="001C3CB2" w:rsidRPr="00575A3E">
        <w:rPr>
          <w:szCs w:val="22"/>
          <w:lang w:val="en-GB"/>
        </w:rPr>
        <w:t xml:space="preserve">resulting </w:t>
      </w:r>
      <w:r w:rsidR="009E696E" w:rsidRPr="00575A3E">
        <w:rPr>
          <w:szCs w:val="22"/>
          <w:lang w:val="en-GB"/>
        </w:rPr>
        <w:t xml:space="preserve">in </w:t>
      </w:r>
      <w:r w:rsidR="001C3CB2" w:rsidRPr="00575A3E">
        <w:rPr>
          <w:szCs w:val="22"/>
          <w:lang w:val="en-GB"/>
        </w:rPr>
        <w:t>higher percentage changes</w:t>
      </w:r>
      <w:r w:rsidRPr="00575A3E">
        <w:rPr>
          <w:szCs w:val="22"/>
          <w:lang w:val="en-GB"/>
        </w:rPr>
        <w:t xml:space="preserve">. </w:t>
      </w:r>
      <w:r w:rsidR="00181AAE" w:rsidRPr="00575A3E">
        <w:rPr>
          <w:szCs w:val="22"/>
          <w:lang w:val="en-GB"/>
        </w:rPr>
        <w:t xml:space="preserve">It is clear in all scenarios that each year </w:t>
      </w:r>
      <w:r w:rsidR="00B626B9" w:rsidRPr="00575A3E">
        <w:rPr>
          <w:szCs w:val="22"/>
          <w:lang w:val="en-GB"/>
        </w:rPr>
        <w:t>exhibits</w:t>
      </w:r>
      <w:r w:rsidR="00181AAE" w:rsidRPr="00575A3E">
        <w:rPr>
          <w:szCs w:val="22"/>
          <w:lang w:val="en-GB"/>
        </w:rPr>
        <w:t xml:space="preserve"> an upward trend, which means that increasing proportions of new vehicle technologies lead to higher percentage changes. </w:t>
      </w:r>
      <w:r w:rsidR="00D47149" w:rsidRPr="00575A3E">
        <w:rPr>
          <w:szCs w:val="22"/>
          <w:lang w:val="en-GB"/>
        </w:rPr>
        <w:t xml:space="preserve">The reduced generalised costs result in areas of the region becoming more accessible, and as a </w:t>
      </w:r>
      <w:r w:rsidR="00B626B9" w:rsidRPr="00575A3E">
        <w:rPr>
          <w:szCs w:val="22"/>
          <w:lang w:val="en-GB"/>
        </w:rPr>
        <w:t>consequence</w:t>
      </w:r>
      <w:r w:rsidR="00D47149" w:rsidRPr="00575A3E">
        <w:rPr>
          <w:szCs w:val="22"/>
          <w:lang w:val="en-GB"/>
        </w:rPr>
        <w:t xml:space="preserve">, </w:t>
      </w:r>
      <w:r w:rsidRPr="00575A3E">
        <w:rPr>
          <w:lang w:val="en-GB"/>
        </w:rPr>
        <w:t xml:space="preserve">financial and residential opportunities </w:t>
      </w:r>
      <w:r w:rsidR="00B626B9" w:rsidRPr="00575A3E">
        <w:rPr>
          <w:lang w:val="en-GB"/>
        </w:rPr>
        <w:t>increase</w:t>
      </w:r>
      <w:r w:rsidRPr="00575A3E">
        <w:rPr>
          <w:lang w:val="en-GB"/>
        </w:rPr>
        <w:t xml:space="preserve"> overall in the region</w:t>
      </w:r>
      <w:r w:rsidR="00DE62E1" w:rsidRPr="00575A3E">
        <w:rPr>
          <w:lang w:val="en-GB"/>
        </w:rPr>
        <w:t xml:space="preserve"> </w:t>
      </w:r>
      <w:r w:rsidR="00DE62E1" w:rsidRPr="00575A3E">
        <w:rPr>
          <w:lang w:val="en-GB"/>
        </w:rPr>
        <w:fldChar w:fldCharType="begin" w:fldLock="1"/>
      </w:r>
      <w:r w:rsidR="0002665A" w:rsidRPr="00575A3E">
        <w:rPr>
          <w:lang w:val="en-GB"/>
        </w:rPr>
        <w:instrText>ADDIN CSL_CITATION {"citationItems":[{"id":"ITEM-1","itemData":{"DOI":"10.1088/2632-072X/ab97a7","ISSN":"2632072X","abstract":"The coupling between population growth and transport accessibility has been an elusive problem for more than 60 years now. Due to the lack of theoretical foundations, most of the studies that considered how the evolution of transportation networks impacts the population growth are based on regression analysis in order to identify relevant variables. The recent availability of large amounts of data allows us to envision the construction of new approaches for understanding this coupling between transport and population growth. Here, we use a detailed dataset for about 36 000 municipalities in France from 1968 until now. In the case of large urban areas such as Paris, we show that growth rate statistical variations decay in time and display a trend towards homogenization where local aspects are less relevant. We also show that growth rate differences due to accessibility are very small and can mostly be observed for cities that experienced very large accessibility variations. This suggests that the relevant variable for explaining growth rate variations is not the accessibility but its temporal variation. We propose a model that integrates the stochastic internal variation of the municipalities population and an inter-urban migration term that we show to be proportional to the accessibility variation and has a limited time duration. This model provides a simple theoretical framework that allows to go beyond econometric studies and sheds a new light on the impact of transportation modes on city growth.","author":[{"dropping-particle":"","family":"Volpati","given":"Valerio","non-dropping-particle":"","parse-names":false,"suffix":""},{"dropping-particle":"","family":"Barthelemy","given":"Marc","non-dropping-particle":"","parse-names":false,"suffix":""}],"container-title":"JPhys Complexity","id":"ITEM-1","issue":"2","issued":{"date-parts":[["2020"]]},"title":"Revisiting the coupling between accessibility and population growth","type":"article-journal","volume":"1"},"uris":["http://www.mendeley.com/documents/?uuid=9582ab55-c012-3815-9df2-e60a4d11f1c9"]}],"mendeley":{"formattedCitation":"(Volpati and Barthelemy, 2020)","manualFormatting":"(Volpati &amp; Barthelemy, 2020)","plainTextFormattedCitation":"(Volpati and Barthelemy, 2020)","previouslyFormattedCitation":"(Volpati and Barthelemy, 2020)"},"properties":{"noteIndex":0},"schema":"https://github.com/citation-style-language/schema/raw/master/csl-citation.json"}</w:instrText>
      </w:r>
      <w:r w:rsidR="00DE62E1" w:rsidRPr="00575A3E">
        <w:rPr>
          <w:lang w:val="en-GB"/>
        </w:rPr>
        <w:fldChar w:fldCharType="separate"/>
      </w:r>
      <w:r w:rsidR="00C41D0C" w:rsidRPr="00575A3E">
        <w:rPr>
          <w:noProof/>
          <w:lang w:val="en-GB"/>
        </w:rPr>
        <w:t xml:space="preserve">(Volpati </w:t>
      </w:r>
      <w:r w:rsidR="00B50E47" w:rsidRPr="00575A3E">
        <w:rPr>
          <w:noProof/>
          <w:lang w:val="en-GB"/>
        </w:rPr>
        <w:t>&amp;</w:t>
      </w:r>
      <w:r w:rsidR="00C41D0C" w:rsidRPr="00575A3E">
        <w:rPr>
          <w:noProof/>
          <w:lang w:val="en-GB"/>
        </w:rPr>
        <w:t xml:space="preserve"> Barthelemy, 2020)</w:t>
      </w:r>
      <w:r w:rsidR="00DE62E1" w:rsidRPr="00575A3E">
        <w:rPr>
          <w:lang w:val="en-GB"/>
        </w:rPr>
        <w:fldChar w:fldCharType="end"/>
      </w:r>
      <w:r w:rsidRPr="00575A3E">
        <w:rPr>
          <w:lang w:val="en-GB"/>
        </w:rPr>
        <w:t>.</w:t>
      </w:r>
      <w:r w:rsidR="00F660F1" w:rsidRPr="00575A3E">
        <w:rPr>
          <w:lang w:val="en-GB"/>
        </w:rPr>
        <w:t xml:space="preserve"> These results are in line with the regional analysis presented in</w:t>
      </w:r>
      <w:r w:rsidR="008429AE" w:rsidRPr="00575A3E">
        <w:rPr>
          <w:lang w:val="en-GB"/>
        </w:rPr>
        <w:t xml:space="preserve"> the study of</w:t>
      </w:r>
      <w:r w:rsidR="0069599C" w:rsidRPr="00575A3E">
        <w:rPr>
          <w:lang w:val="en-GB"/>
        </w:rPr>
        <w:t xml:space="preserve"> </w:t>
      </w:r>
      <w:r w:rsidR="0069599C" w:rsidRPr="00575A3E">
        <w:rPr>
          <w:lang w:val="en-GB"/>
        </w:rPr>
        <w:fldChar w:fldCharType="begin" w:fldLock="1"/>
      </w:r>
      <w:r w:rsidR="00BF7603" w:rsidRPr="00575A3E">
        <w:rPr>
          <w:lang w:val="en-GB"/>
        </w:rPr>
        <w:instrText>ADDIN CSL_CITATION {"citationItems":[{"id":"ITEM-1","itemData":{"DOI":"10.1016/j.tra.2019.01.013","ISSN":"09658564","abstract":"This paper shows that automated driving can lead both, to growth and decline of cities. We simulate spatial effects of automated driving for the Netherlands using LUCA, the Dutch spatial general equilibrium model. Two components of automation are accounted for: (i) more productive time use during car trips; (ii) fast and comfortable door-to-door automated public transit. We find that the car component results in population flight from cities, while the public transit component leads to population clustering in urban areas. A combination of the two may result in the population concentrating in the largest, most attractive cities, at the expense of smaller cities and non-urban regions. The simulations suggest that welfare benefits of automation are considerable, with up 10% coming from population relocation and changes in land use. Our results are particularly relevant for countries where public transit claims a considerable share of urban mobility. Neglecting the impact of vehicle automation on public transit could result in biased policy recommendations.","author":[{"dropping-particle":"","family":"Gelauff","given":"George","non-dropping-particle":"","parse-names":false,"suffix":""},{"dropping-particle":"","family":"Ossokina","given":"Ioulia","non-dropping-particle":"","parse-names":false,"suffix":""},{"dropping-particle":"","family":"Teulings","given":"Coen","non-dropping-particle":"","parse-names":false,"suffix":""}],"container-title":"Transportation Research Part A: Policy and Practice","id":"ITEM-1","issued":{"date-parts":[["2019"]]},"title":"Spatial and welfare effects of automated driving: Will cities grow, decline or both?","type":"article-journal"},"uris":["http://www.mendeley.com/documents/?uuid=deefa09c-64ab-4724-8e50-7cf71a78da15"]}],"mendeley":{"formattedCitation":"(Gelauff et al., 2019)","manualFormatting":"Gelauff et al. (2019)","plainTextFormattedCitation":"(Gelauff et al., 2019)","previouslyFormattedCitation":"(Gelauff et al., 2019)"},"properties":{"noteIndex":0},"schema":"https://github.com/citation-style-language/schema/raw/master/csl-citation.json"}</w:instrText>
      </w:r>
      <w:r w:rsidR="0069599C" w:rsidRPr="00575A3E">
        <w:rPr>
          <w:lang w:val="en-GB"/>
        </w:rPr>
        <w:fldChar w:fldCharType="separate"/>
      </w:r>
      <w:r w:rsidR="00C41D0C" w:rsidRPr="00575A3E">
        <w:rPr>
          <w:noProof/>
          <w:lang w:val="en-GB"/>
        </w:rPr>
        <w:t>Gelauff et al.</w:t>
      </w:r>
      <w:r w:rsidR="008429AE" w:rsidRPr="00575A3E">
        <w:rPr>
          <w:noProof/>
          <w:lang w:val="en-GB"/>
        </w:rPr>
        <w:t xml:space="preserve"> (</w:t>
      </w:r>
      <w:r w:rsidR="00C41D0C" w:rsidRPr="00575A3E">
        <w:rPr>
          <w:noProof/>
          <w:lang w:val="en-GB"/>
        </w:rPr>
        <w:t>2019)</w:t>
      </w:r>
      <w:r w:rsidR="0069599C" w:rsidRPr="00575A3E">
        <w:rPr>
          <w:lang w:val="en-GB"/>
        </w:rPr>
        <w:fldChar w:fldCharType="end"/>
      </w:r>
      <w:r w:rsidR="00F660F1" w:rsidRPr="00575A3E">
        <w:rPr>
          <w:szCs w:val="22"/>
          <w:lang w:val="en-GB"/>
        </w:rPr>
        <w:t>, where automated vehicles w</w:t>
      </w:r>
      <w:r w:rsidR="00370A23" w:rsidRPr="00575A3E">
        <w:rPr>
          <w:szCs w:val="22"/>
          <w:lang w:val="en-GB"/>
        </w:rPr>
        <w:t>ere</w:t>
      </w:r>
      <w:r w:rsidR="00F660F1" w:rsidRPr="00575A3E">
        <w:rPr>
          <w:szCs w:val="22"/>
          <w:lang w:val="en-GB"/>
        </w:rPr>
        <w:t xml:space="preserve"> model</w:t>
      </w:r>
      <w:r w:rsidR="009E696E" w:rsidRPr="00575A3E">
        <w:rPr>
          <w:szCs w:val="22"/>
          <w:lang w:val="en-GB"/>
        </w:rPr>
        <w:t>l</w:t>
      </w:r>
      <w:r w:rsidR="00370A23" w:rsidRPr="00575A3E">
        <w:rPr>
          <w:szCs w:val="22"/>
          <w:lang w:val="en-GB"/>
        </w:rPr>
        <w:t>ed</w:t>
      </w:r>
      <w:r w:rsidR="00F660F1" w:rsidRPr="00575A3E">
        <w:rPr>
          <w:szCs w:val="22"/>
          <w:lang w:val="en-GB"/>
        </w:rPr>
        <w:t xml:space="preserve"> to conduct regional analysis.</w:t>
      </w:r>
    </w:p>
    <w:p w14:paraId="3934BA99" w14:textId="0FA14216" w:rsidR="0097342C" w:rsidRPr="00575A3E" w:rsidRDefault="00D47149" w:rsidP="00A55356">
      <w:pPr>
        <w:spacing w:line="360" w:lineRule="auto"/>
        <w:rPr>
          <w:szCs w:val="22"/>
          <w:lang w:val="en-GB"/>
        </w:rPr>
      </w:pPr>
      <w:r w:rsidRPr="00575A3E">
        <w:rPr>
          <w:szCs w:val="22"/>
          <w:lang w:val="en-GB"/>
        </w:rPr>
        <w:t xml:space="preserve"> </w:t>
      </w:r>
    </w:p>
    <w:p w14:paraId="143AB488" w14:textId="7B36C759" w:rsidR="0097342C" w:rsidRPr="00575A3E" w:rsidRDefault="005F6D1E" w:rsidP="00317850">
      <w:pPr>
        <w:spacing w:line="360" w:lineRule="auto"/>
        <w:rPr>
          <w:b/>
          <w:bCs/>
          <w:szCs w:val="22"/>
          <w:lang w:val="en-GB"/>
        </w:rPr>
      </w:pPr>
      <w:r w:rsidRPr="00575A3E">
        <w:rPr>
          <w:szCs w:val="22"/>
          <w:lang w:val="en-GB"/>
        </w:rPr>
        <w:t>It is evident</w:t>
      </w:r>
      <w:r w:rsidR="00C972C8" w:rsidRPr="00575A3E">
        <w:rPr>
          <w:szCs w:val="22"/>
          <w:lang w:val="en-GB"/>
        </w:rPr>
        <w:t>, however,</w:t>
      </w:r>
      <w:r w:rsidRPr="00575A3E">
        <w:rPr>
          <w:szCs w:val="22"/>
          <w:lang w:val="en-GB"/>
        </w:rPr>
        <w:t xml:space="preserve"> </w:t>
      </w:r>
      <w:r w:rsidR="00F660F1" w:rsidRPr="00575A3E">
        <w:rPr>
          <w:szCs w:val="22"/>
          <w:lang w:val="en-GB"/>
        </w:rPr>
        <w:t>from the time series presented</w:t>
      </w:r>
      <w:r w:rsidR="000A6BC2" w:rsidRPr="00575A3E">
        <w:rPr>
          <w:szCs w:val="22"/>
          <w:lang w:val="en-GB"/>
        </w:rPr>
        <w:t xml:space="preserve">, </w:t>
      </w:r>
      <w:r w:rsidRPr="00575A3E">
        <w:rPr>
          <w:szCs w:val="22"/>
          <w:lang w:val="en-GB"/>
        </w:rPr>
        <w:t xml:space="preserve">that scenarios for which the PCU value is 0.7 </w:t>
      </w:r>
      <w:r w:rsidR="001C3CB2" w:rsidRPr="00575A3E">
        <w:rPr>
          <w:szCs w:val="22"/>
          <w:lang w:val="en-GB"/>
        </w:rPr>
        <w:t>(</w:t>
      </w:r>
      <w:r w:rsidR="00596BD5" w:rsidRPr="00575A3E">
        <w:rPr>
          <w:szCs w:val="22"/>
          <w:lang w:val="en-GB"/>
        </w:rPr>
        <w:t>i.e.,</w:t>
      </w:r>
      <w:r w:rsidR="009E696E" w:rsidRPr="00575A3E">
        <w:rPr>
          <w:szCs w:val="22"/>
          <w:lang w:val="en-GB"/>
        </w:rPr>
        <w:t xml:space="preserve"> the ‘</w:t>
      </w:r>
      <w:r w:rsidR="001C3CB2" w:rsidRPr="00575A3E">
        <w:rPr>
          <w:szCs w:val="22"/>
          <w:lang w:val="en-GB"/>
        </w:rPr>
        <w:t>P</w:t>
      </w:r>
      <w:r w:rsidR="009E696E" w:rsidRPr="00575A3E">
        <w:rPr>
          <w:szCs w:val="22"/>
          <w:lang w:val="en-GB"/>
        </w:rPr>
        <w:t>’</w:t>
      </w:r>
      <w:r w:rsidR="001C3CB2" w:rsidRPr="00575A3E">
        <w:rPr>
          <w:szCs w:val="22"/>
          <w:lang w:val="en-GB"/>
        </w:rPr>
        <w:t xml:space="preserve"> </w:t>
      </w:r>
      <w:r w:rsidR="009E696E" w:rsidRPr="00575A3E">
        <w:rPr>
          <w:szCs w:val="22"/>
          <w:lang w:val="en-GB"/>
        </w:rPr>
        <w:t>s</w:t>
      </w:r>
      <w:r w:rsidR="001C3CB2" w:rsidRPr="00575A3E">
        <w:rPr>
          <w:szCs w:val="22"/>
          <w:lang w:val="en-GB"/>
        </w:rPr>
        <w:t xml:space="preserve">cenarios) </w:t>
      </w:r>
      <w:r w:rsidRPr="00575A3E">
        <w:rPr>
          <w:szCs w:val="22"/>
          <w:lang w:val="en-GB"/>
        </w:rPr>
        <w:t xml:space="preserve">have higher </w:t>
      </w:r>
      <w:r w:rsidR="00C972C8" w:rsidRPr="00575A3E">
        <w:rPr>
          <w:szCs w:val="22"/>
          <w:lang w:val="en-GB"/>
        </w:rPr>
        <w:t>percentage differences</w:t>
      </w:r>
      <w:r w:rsidRPr="00575A3E">
        <w:rPr>
          <w:szCs w:val="22"/>
          <w:lang w:val="en-GB"/>
        </w:rPr>
        <w:t xml:space="preserve"> in comparison </w:t>
      </w:r>
      <w:r w:rsidR="009E696E" w:rsidRPr="00575A3E">
        <w:rPr>
          <w:szCs w:val="22"/>
          <w:lang w:val="en-GB"/>
        </w:rPr>
        <w:t>to the</w:t>
      </w:r>
      <w:r w:rsidRPr="00575A3E">
        <w:rPr>
          <w:szCs w:val="22"/>
          <w:lang w:val="en-GB"/>
        </w:rPr>
        <w:t xml:space="preserve"> scenarios where the PCU value was </w:t>
      </w:r>
      <w:r w:rsidR="009E696E" w:rsidRPr="00575A3E">
        <w:rPr>
          <w:szCs w:val="22"/>
          <w:lang w:val="en-GB"/>
        </w:rPr>
        <w:t>set</w:t>
      </w:r>
      <w:r w:rsidRPr="00575A3E">
        <w:rPr>
          <w:szCs w:val="22"/>
          <w:lang w:val="en-GB"/>
        </w:rPr>
        <w:t xml:space="preserve"> to </w:t>
      </w:r>
      <w:r w:rsidR="00B626B9" w:rsidRPr="00575A3E">
        <w:rPr>
          <w:szCs w:val="22"/>
          <w:lang w:val="en-GB"/>
        </w:rPr>
        <w:t xml:space="preserve">1 </w:t>
      </w:r>
      <w:r w:rsidR="000C5569" w:rsidRPr="00575A3E">
        <w:rPr>
          <w:szCs w:val="22"/>
          <w:lang w:val="en-GB"/>
        </w:rPr>
        <w:t>(</w:t>
      </w:r>
      <w:r w:rsidR="00596BD5" w:rsidRPr="00575A3E">
        <w:rPr>
          <w:szCs w:val="22"/>
          <w:lang w:val="en-GB"/>
        </w:rPr>
        <w:t>i.e.,</w:t>
      </w:r>
      <w:r w:rsidR="009E696E" w:rsidRPr="00575A3E">
        <w:rPr>
          <w:szCs w:val="22"/>
          <w:lang w:val="en-GB"/>
        </w:rPr>
        <w:t xml:space="preserve"> the ‘</w:t>
      </w:r>
      <w:r w:rsidR="000C5569" w:rsidRPr="00575A3E">
        <w:rPr>
          <w:szCs w:val="22"/>
          <w:lang w:val="en-GB"/>
        </w:rPr>
        <w:t>N</w:t>
      </w:r>
      <w:r w:rsidR="009E696E" w:rsidRPr="00575A3E">
        <w:rPr>
          <w:szCs w:val="22"/>
          <w:lang w:val="en-GB"/>
        </w:rPr>
        <w:t>’</w:t>
      </w:r>
      <w:r w:rsidR="000C5569" w:rsidRPr="00575A3E">
        <w:rPr>
          <w:szCs w:val="22"/>
          <w:lang w:val="en-GB"/>
        </w:rPr>
        <w:t xml:space="preserve"> </w:t>
      </w:r>
      <w:r w:rsidR="009E696E" w:rsidRPr="00575A3E">
        <w:rPr>
          <w:szCs w:val="22"/>
          <w:lang w:val="en-GB"/>
        </w:rPr>
        <w:t>s</w:t>
      </w:r>
      <w:r w:rsidR="000C5569" w:rsidRPr="00575A3E">
        <w:rPr>
          <w:szCs w:val="22"/>
          <w:lang w:val="en-GB"/>
        </w:rPr>
        <w:t>cenarios)</w:t>
      </w:r>
      <w:r w:rsidRPr="00575A3E">
        <w:rPr>
          <w:szCs w:val="22"/>
          <w:lang w:val="en-GB"/>
        </w:rPr>
        <w:t>.</w:t>
      </w:r>
      <w:r w:rsidR="00370A23" w:rsidRPr="00575A3E">
        <w:rPr>
          <w:szCs w:val="22"/>
          <w:lang w:val="en-GB"/>
        </w:rPr>
        <w:t xml:space="preserve"> </w:t>
      </w:r>
      <w:r w:rsidR="000A6BC2" w:rsidRPr="00575A3E">
        <w:rPr>
          <w:szCs w:val="22"/>
          <w:lang w:val="en-GB"/>
        </w:rPr>
        <w:t xml:space="preserve">More specifically, </w:t>
      </w:r>
      <w:r w:rsidR="009E696E" w:rsidRPr="00575A3E">
        <w:rPr>
          <w:szCs w:val="22"/>
          <w:lang w:val="en-GB"/>
        </w:rPr>
        <w:t>both population and employment</w:t>
      </w:r>
      <w:r w:rsidR="000A6BC2" w:rsidRPr="00575A3E">
        <w:rPr>
          <w:szCs w:val="22"/>
          <w:lang w:val="en-GB"/>
        </w:rPr>
        <w:t xml:space="preserve"> are sensitive to the increase </w:t>
      </w:r>
      <w:r w:rsidR="009E696E" w:rsidRPr="00575A3E">
        <w:rPr>
          <w:szCs w:val="22"/>
          <w:lang w:val="en-GB"/>
        </w:rPr>
        <w:t xml:space="preserve">in </w:t>
      </w:r>
      <w:r w:rsidR="000A6BC2" w:rsidRPr="00575A3E">
        <w:rPr>
          <w:szCs w:val="22"/>
          <w:lang w:val="en-GB"/>
        </w:rPr>
        <w:t>road capacity</w:t>
      </w:r>
      <w:r w:rsidR="00C32150" w:rsidRPr="00575A3E">
        <w:rPr>
          <w:szCs w:val="22"/>
          <w:lang w:val="en-GB"/>
        </w:rPr>
        <w:t xml:space="preserve"> as a result of increased connectivity</w:t>
      </w:r>
      <w:r w:rsidR="000A6BC2" w:rsidRPr="00575A3E">
        <w:rPr>
          <w:szCs w:val="22"/>
          <w:lang w:val="en-GB"/>
        </w:rPr>
        <w:t xml:space="preserve">. </w:t>
      </w:r>
      <w:r w:rsidR="00B87BC2" w:rsidRPr="00575A3E">
        <w:rPr>
          <w:szCs w:val="22"/>
          <w:lang w:val="en-GB"/>
        </w:rPr>
        <w:t>Considering the literature</w:t>
      </w:r>
      <w:r w:rsidR="00B626B9" w:rsidRPr="00575A3E">
        <w:rPr>
          <w:szCs w:val="22"/>
          <w:lang w:val="en-GB"/>
        </w:rPr>
        <w:t>,</w:t>
      </w:r>
      <w:r w:rsidR="00B87BC2" w:rsidRPr="00575A3E">
        <w:rPr>
          <w:szCs w:val="22"/>
          <w:lang w:val="en-GB"/>
        </w:rPr>
        <w:t xml:space="preserve"> these results are not surprising</w:t>
      </w:r>
      <w:r w:rsidR="00B626B9" w:rsidRPr="00575A3E">
        <w:rPr>
          <w:szCs w:val="22"/>
          <w:lang w:val="en-GB"/>
        </w:rPr>
        <w:t>,</w:t>
      </w:r>
      <w:r w:rsidR="00B87BC2" w:rsidRPr="00575A3E">
        <w:rPr>
          <w:szCs w:val="22"/>
          <w:lang w:val="en-GB"/>
        </w:rPr>
        <w:t xml:space="preserve"> as increased road capacity</w:t>
      </w:r>
      <w:r w:rsidR="00B626B9" w:rsidRPr="00575A3E">
        <w:rPr>
          <w:szCs w:val="22"/>
          <w:lang w:val="en-GB"/>
        </w:rPr>
        <w:t xml:space="preserve"> typically</w:t>
      </w:r>
      <w:r w:rsidR="00B87BC2" w:rsidRPr="00575A3E">
        <w:rPr>
          <w:szCs w:val="22"/>
          <w:lang w:val="en-GB"/>
        </w:rPr>
        <w:t xml:space="preserve"> results in higher employment and population densities</w:t>
      </w:r>
      <w:r w:rsidR="008429AE" w:rsidRPr="00575A3E">
        <w:rPr>
          <w:szCs w:val="22"/>
          <w:lang w:val="en-GB"/>
        </w:rPr>
        <w:t xml:space="preserve"> </w:t>
      </w:r>
      <w:r w:rsidR="00616B48" w:rsidRPr="00575A3E">
        <w:rPr>
          <w:szCs w:val="22"/>
          <w:lang w:val="en-GB"/>
        </w:rPr>
        <w:fldChar w:fldCharType="begin" w:fldLock="1"/>
      </w:r>
      <w:r w:rsidR="0002665A" w:rsidRPr="00575A3E">
        <w:rPr>
          <w:szCs w:val="22"/>
          <w:lang w:val="en-GB"/>
        </w:rPr>
        <w:instrText>ADDIN CSL_CITATION {"citationItems":[{"id":"ITEM-1","itemData":{"DOI":"10.1016/j.jue.2008.11.002","ISSN":"00941190","abstract":"This paper examines the impact of traffic congestion on employment growth in large U.S. metropolitan areas. An historic highway plan and political variables serve as instruments for endogenous congestion. The results show that high initial levels of congestion dampen subsequent employment growth. This finding suggests that increasing the efficiency of public infrastructure can spur local economies. Counterfactual estimates show that the employment-growth returns from modest capacity expansion or congestion pricing are substantial. © 2008 Elsevier Inc. All rights reserved.","author":[{"dropping-particle":"","family":"Hymel","given":"Kent","non-dropping-particle":"","parse-names":false,"suffix":""}],"container-title":"Journal of Urban Economics","id":"ITEM-1","issue":"2","issued":{"date-parts":[["2009"]]},"title":"Does traffic congestion reduce employment growth?","type":"article-journal","volume":"65"},"uris":["http://www.mendeley.com/documents/?uuid=24ce2845-8468-33bf-83a0-7af5e9dcb2e3"]},{"id":"ITEM-2","itemData":{"DOI":"10.1016/j.trd.2019.01.024","ISSN":"13619209","abstract":"This article presents nuanced and context-related empirical research on the traffic-inducing effects of urban road capacity expansion two Norwegian cities. It focusses on the indirect and long-term land-use effects and on land-use planning and policies, that are not well covered in existing literature. Unsurprisingly, results show traffic-inducing land-use development in the period after the road capacity expansions. Differences in planning policy and practices affected how traffic-inducing the land-use development was. The traffic growth was stronger in the affected road corridors than expected, and as compared with Norway. No or only short-term congestion relief was found. It is concluded that the road capacity expansions were necessary conditions for the land-use sprawl, and consequently, contributing causes for the traffic growth. Ex-ante analyses seem not to have included the land-use effects, and this is understood as part of the explanation for the discrepancies between ex-ante expectations and actual development. In both cases, municipal and regional authorities currently attempt to steer land use development in directions contributing to stop traffic growth, in accordance with national policies. Meanwhile, road authorities plan for new capacity expansions in the investigated corridors. Land use effects of the capacity expansions seem, again, not to be included in the assessments.","author":[{"dropping-particle":"","family":"Tennøy","given":"Aud","non-dropping-particle":"","parse-names":false,"suffix":""},{"dropping-particle":"","family":"Tønnesen","given":"Anders","non-dropping-particle":"","parse-names":false,"suffix":""},{"dropping-particle":"","family":"Gundersen","given":"Frants","non-dropping-particle":"","parse-names":false,"suffix":""}],"container-title":"Transportation Research Part D: Transport and Environment","id":"ITEM-2","issued":{"date-parts":[["2019"]]},"title":"Effects of urban road capacity expansion – Experiences from two Norwegian cases","type":"article-journal","volume":"69"},"uris":["http://www.mendeley.com/documents/?uuid=25c76313-5e03-3d24-bbed-8e5440db4889"]}],"mendeley":{"formattedCitation":"(Hymel, 2009; Tennøy et al., 2019)","plainTextFormattedCitation":"(Hymel, 2009; Tennøy et al., 2019)","previouslyFormattedCitation":"(Hymel, 2009; Tennøy et al., 2019)"},"properties":{"noteIndex":0},"schema":"https://github.com/citation-style-language/schema/raw/master/csl-citation.json"}</w:instrText>
      </w:r>
      <w:r w:rsidR="00616B48" w:rsidRPr="00575A3E">
        <w:rPr>
          <w:szCs w:val="22"/>
          <w:lang w:val="en-GB"/>
        </w:rPr>
        <w:fldChar w:fldCharType="separate"/>
      </w:r>
      <w:r w:rsidR="00BF7603" w:rsidRPr="00575A3E">
        <w:rPr>
          <w:noProof/>
          <w:szCs w:val="22"/>
          <w:lang w:val="en-GB"/>
        </w:rPr>
        <w:t>(Hymel, 2009; Tennøy et al., 2019)</w:t>
      </w:r>
      <w:r w:rsidR="00616B48" w:rsidRPr="00575A3E">
        <w:rPr>
          <w:szCs w:val="22"/>
          <w:lang w:val="en-GB"/>
        </w:rPr>
        <w:fldChar w:fldCharType="end"/>
      </w:r>
      <w:r w:rsidR="00B87BC2" w:rsidRPr="00575A3E">
        <w:rPr>
          <w:szCs w:val="22"/>
          <w:lang w:val="en-GB"/>
        </w:rPr>
        <w:t xml:space="preserve">, whereas on the other hand reduced road capacities have the opposite effects </w:t>
      </w:r>
      <w:r w:rsidR="00B87BC2" w:rsidRPr="00575A3E">
        <w:rPr>
          <w:szCs w:val="22"/>
          <w:lang w:val="en-GB"/>
        </w:rPr>
        <w:fldChar w:fldCharType="begin" w:fldLock="1"/>
      </w:r>
      <w:r w:rsidR="0002665A" w:rsidRPr="00575A3E">
        <w:rPr>
          <w:szCs w:val="22"/>
          <w:lang w:val="en-GB"/>
        </w:rPr>
        <w:instrText>ADDIN CSL_CITATION {"citationItems":[{"id":"ITEM-1","itemData":{"DOI":"10.1016/j.tranpol.2016.12.003","ISSN":"1879310X","abstract":"Traffic congestion has long been among the biggest economic problems in US metropolitan areas. Scholars have argued the importance of research focusing on transportation planning that aims to mitigate traffic congestion and reduce economic costs. However, most existing work has overlooked the interrelationship between congestion and economic components. With this perspective, this study seeks to explore the interrelationship between congestion, income, and employment. To this end, we focus on 86 US metropolitan areas by utilizing a simultaneous equation model. The results show that there is an interrelationship between income growth, employment growth, and congestion growth, but their effects are somewhat different between periods of the economic boom in the 1990s and the economic recession in the 2000s. In addition, our findings clearly show that traffic congestion growth negatively affects income growth and employment growth. It is suggested that transportation policy that aims to reduce traffic congestion could provide economic benefits in terms of increasing employment growth as well as income growth.","author":[{"dropping-particle":"","family":"Jin","given":"Jangik","non-dropping-particle":"","parse-names":false,"suffix":""},{"dropping-particle":"","family":"Rafferty","given":"Peter","non-dropping-particle":"","parse-names":false,"suffix":""}],"container-title":"Transport Policy","id":"ITEM-1","issued":{"date-parts":[["2017"]]},"title":"Does congestion negatively affect income growth and employment growth? Empirical evidence from US metropolitan regions","type":"article-journal","volume":"55"},"uris":["http://www.mendeley.com/documents/?uuid=5f0d1d8a-aaa3-3472-81be-7879826dc2d1"]},{"id":"ITEM-2","itemData":{"author":[{"dropping-particle":"","family":"Lomax","given":"Nik","non-dropping-particle":"","parse-names":false,"suffix":""},{"dropping-particle":"","family":"Smith","given":"Andrew","non-dropping-particle":"","parse-names":false,"suffix":""}],"id":"ITEM-2","issue":"June","issued":{"date-parts":[["2018"]]},"page":"1-15","title":"Effect of capacity constraints on population and employment distribution","type":"article-journal"},"uris":["http://www.mendeley.com/documents/?uuid=2e48aca0-1581-45a1-884b-f50f0fa094c1"]}],"mendeley":{"formattedCitation":"(Jin and Rafferty, 2017; Lomax and Smith, 2018)","manualFormatting":"(Jin &amp; Rafferty, 2017; Lomax &amp; Smith, 2018)","plainTextFormattedCitation":"(Jin and Rafferty, 2017; Lomax and Smith, 2018)","previouslyFormattedCitation":"(Jin and Rafferty, 2017; Lomax and Smith, 2018)"},"properties":{"noteIndex":0},"schema":"https://github.com/citation-style-language/schema/raw/master/csl-citation.json"}</w:instrText>
      </w:r>
      <w:r w:rsidR="00B87BC2" w:rsidRPr="00575A3E">
        <w:rPr>
          <w:szCs w:val="22"/>
          <w:lang w:val="en-GB"/>
        </w:rPr>
        <w:fldChar w:fldCharType="separate"/>
      </w:r>
      <w:r w:rsidR="00C41D0C" w:rsidRPr="00575A3E">
        <w:rPr>
          <w:noProof/>
          <w:szCs w:val="22"/>
          <w:lang w:val="en-GB"/>
        </w:rPr>
        <w:t xml:space="preserve">(Jin </w:t>
      </w:r>
      <w:r w:rsidR="0094487D" w:rsidRPr="00575A3E">
        <w:rPr>
          <w:noProof/>
          <w:szCs w:val="22"/>
          <w:lang w:val="en-GB"/>
        </w:rPr>
        <w:t>&amp;</w:t>
      </w:r>
      <w:r w:rsidR="00C41D0C" w:rsidRPr="00575A3E">
        <w:rPr>
          <w:noProof/>
          <w:szCs w:val="22"/>
          <w:lang w:val="en-GB"/>
        </w:rPr>
        <w:t xml:space="preserve"> Rafferty, 2017; Lomax </w:t>
      </w:r>
      <w:r w:rsidR="0094487D" w:rsidRPr="00575A3E">
        <w:rPr>
          <w:noProof/>
          <w:szCs w:val="22"/>
          <w:lang w:val="en-GB"/>
        </w:rPr>
        <w:t>&amp;</w:t>
      </w:r>
      <w:r w:rsidR="00C41D0C" w:rsidRPr="00575A3E">
        <w:rPr>
          <w:noProof/>
          <w:szCs w:val="22"/>
          <w:lang w:val="en-GB"/>
        </w:rPr>
        <w:t xml:space="preserve"> Smith, 2018)</w:t>
      </w:r>
      <w:r w:rsidR="00B87BC2" w:rsidRPr="00575A3E">
        <w:rPr>
          <w:szCs w:val="22"/>
          <w:lang w:val="en-GB"/>
        </w:rPr>
        <w:fldChar w:fldCharType="end"/>
      </w:r>
      <w:r w:rsidR="00B87BC2" w:rsidRPr="00575A3E">
        <w:rPr>
          <w:szCs w:val="22"/>
          <w:lang w:val="en-GB"/>
        </w:rPr>
        <w:t xml:space="preserve">. </w:t>
      </w:r>
      <w:r w:rsidR="00616B48" w:rsidRPr="00575A3E">
        <w:rPr>
          <w:szCs w:val="22"/>
          <w:lang w:val="en-GB"/>
        </w:rPr>
        <w:t>As a result,</w:t>
      </w:r>
      <w:r w:rsidR="009E696E" w:rsidRPr="00575A3E">
        <w:rPr>
          <w:szCs w:val="22"/>
          <w:lang w:val="en-GB"/>
        </w:rPr>
        <w:t xml:space="preserve"> </w:t>
      </w:r>
      <w:r w:rsidR="000A6BC2" w:rsidRPr="00575A3E">
        <w:rPr>
          <w:szCs w:val="22"/>
          <w:lang w:val="en-GB"/>
        </w:rPr>
        <w:t>the combined effect</w:t>
      </w:r>
      <w:r w:rsidR="000C5569" w:rsidRPr="00575A3E">
        <w:rPr>
          <w:szCs w:val="22"/>
          <w:lang w:val="en-GB"/>
        </w:rPr>
        <w:t xml:space="preserve"> of</w:t>
      </w:r>
      <w:r w:rsidR="000A6BC2" w:rsidRPr="00575A3E">
        <w:rPr>
          <w:szCs w:val="22"/>
          <w:lang w:val="en-GB"/>
        </w:rPr>
        <w:t xml:space="preserve"> </w:t>
      </w:r>
      <w:r w:rsidR="009E696E" w:rsidRPr="00575A3E">
        <w:rPr>
          <w:szCs w:val="22"/>
          <w:lang w:val="en-GB"/>
        </w:rPr>
        <w:t xml:space="preserve">the </w:t>
      </w:r>
      <w:r w:rsidR="00370A23" w:rsidRPr="00575A3E">
        <w:rPr>
          <w:szCs w:val="22"/>
          <w:lang w:val="en-GB"/>
        </w:rPr>
        <w:t xml:space="preserve">increased road capacity from the </w:t>
      </w:r>
      <w:r w:rsidR="009E696E" w:rsidRPr="00575A3E">
        <w:rPr>
          <w:szCs w:val="22"/>
          <w:lang w:val="en-GB"/>
        </w:rPr>
        <w:t xml:space="preserve">shorter </w:t>
      </w:r>
      <w:r w:rsidR="00370A23" w:rsidRPr="00575A3E">
        <w:rPr>
          <w:szCs w:val="22"/>
          <w:lang w:val="en-GB"/>
        </w:rPr>
        <w:t>headways and the incorporation of new vehicle technologies le</w:t>
      </w:r>
      <w:r w:rsidR="009E696E" w:rsidRPr="00575A3E">
        <w:rPr>
          <w:szCs w:val="22"/>
          <w:lang w:val="en-GB"/>
        </w:rPr>
        <w:t>a</w:t>
      </w:r>
      <w:r w:rsidR="00370A23" w:rsidRPr="00575A3E">
        <w:rPr>
          <w:szCs w:val="22"/>
          <w:lang w:val="en-GB"/>
        </w:rPr>
        <w:t>d</w:t>
      </w:r>
      <w:r w:rsidR="009E696E" w:rsidRPr="00575A3E">
        <w:rPr>
          <w:szCs w:val="22"/>
          <w:lang w:val="en-GB"/>
        </w:rPr>
        <w:t>s</w:t>
      </w:r>
      <w:r w:rsidR="00370A23" w:rsidRPr="00575A3E">
        <w:rPr>
          <w:szCs w:val="22"/>
          <w:lang w:val="en-GB"/>
        </w:rPr>
        <w:t xml:space="preserve"> to more </w:t>
      </w:r>
      <w:r w:rsidR="009E696E" w:rsidRPr="00575A3E">
        <w:rPr>
          <w:szCs w:val="22"/>
          <w:lang w:val="en-GB"/>
        </w:rPr>
        <w:t xml:space="preserve">pronounced </w:t>
      </w:r>
      <w:r w:rsidR="00370A23" w:rsidRPr="00575A3E">
        <w:rPr>
          <w:szCs w:val="22"/>
          <w:lang w:val="en-GB"/>
        </w:rPr>
        <w:t>changes in the area</w:t>
      </w:r>
      <w:r w:rsidR="007E11F1" w:rsidRPr="00575A3E">
        <w:rPr>
          <w:szCs w:val="22"/>
          <w:lang w:val="en-GB"/>
        </w:rPr>
        <w:t xml:space="preserve"> for the respective scenarios.</w:t>
      </w:r>
      <w:r w:rsidR="0097342C" w:rsidRPr="00575A3E">
        <w:rPr>
          <w:b/>
          <w:bCs/>
          <w:szCs w:val="22"/>
          <w:lang w:val="en-GB"/>
        </w:rPr>
        <w:t xml:space="preserve"> </w:t>
      </w:r>
    </w:p>
    <w:p w14:paraId="1D83138C" w14:textId="77777777" w:rsidR="00B626B9" w:rsidRPr="00575A3E" w:rsidRDefault="00B626B9" w:rsidP="00317850">
      <w:pPr>
        <w:spacing w:line="360" w:lineRule="auto"/>
        <w:rPr>
          <w:szCs w:val="22"/>
          <w:lang w:val="en-GB"/>
        </w:rPr>
      </w:pPr>
    </w:p>
    <w:p w14:paraId="0D02B958" w14:textId="7C405F9E" w:rsidR="007E11F1" w:rsidRPr="00575A3E" w:rsidRDefault="000874E1" w:rsidP="00317850">
      <w:pPr>
        <w:spacing w:line="360" w:lineRule="auto"/>
        <w:rPr>
          <w:szCs w:val="22"/>
          <w:lang w:val="en-GB"/>
        </w:rPr>
      </w:pPr>
      <w:r w:rsidRPr="00575A3E">
        <w:rPr>
          <w:szCs w:val="22"/>
          <w:lang w:val="en-GB"/>
        </w:rPr>
        <w:t>At first glance</w:t>
      </w:r>
      <w:r w:rsidR="00616B48" w:rsidRPr="00575A3E">
        <w:rPr>
          <w:szCs w:val="22"/>
          <w:lang w:val="en-GB"/>
        </w:rPr>
        <w:t xml:space="preserve"> the results do not appear to be sensitive to the different proportions of new vehicle technologies in the fleet, as the increases for both variables are values of the same scale.</w:t>
      </w:r>
      <w:r w:rsidR="00181AAE" w:rsidRPr="00575A3E">
        <w:rPr>
          <w:szCs w:val="22"/>
          <w:lang w:val="en-GB"/>
        </w:rPr>
        <w:t xml:space="preserve"> In scenarios of groups 1 and 2, namely 1P, 1N, 2P and 2N, full automation is not assumed, whereas as in scenarios of group 3 and 4, it is assumed that 5% of CAVs will be fully autonomous by the end of the simulation period. </w:t>
      </w:r>
      <w:r w:rsidRPr="00575A3E">
        <w:rPr>
          <w:szCs w:val="22"/>
          <w:lang w:val="en-GB"/>
        </w:rPr>
        <w:t xml:space="preserve">Even though the percentages are at similar scales, it should be noted that </w:t>
      </w:r>
      <w:r w:rsidR="00B626B9" w:rsidRPr="00575A3E">
        <w:rPr>
          <w:szCs w:val="22"/>
          <w:lang w:val="en-GB"/>
        </w:rPr>
        <w:t xml:space="preserve">the </w:t>
      </w:r>
      <w:r w:rsidRPr="00575A3E">
        <w:rPr>
          <w:szCs w:val="22"/>
          <w:lang w:val="en-GB"/>
        </w:rPr>
        <w:t>results of scenarios of groups 3 and 4 are slightly higher in comparison with results from scenarios of groups 1 and 2. This indicates that since the burden of driving, or partially driving</w:t>
      </w:r>
      <w:r w:rsidR="00981F20" w:rsidRPr="00575A3E">
        <w:rPr>
          <w:szCs w:val="22"/>
          <w:lang w:val="en-GB"/>
        </w:rPr>
        <w:t>,</w:t>
      </w:r>
      <w:r w:rsidRPr="00575A3E">
        <w:rPr>
          <w:szCs w:val="22"/>
          <w:lang w:val="en-GB"/>
        </w:rPr>
        <w:t xml:space="preserve"> exists until the end of the simulation for most vehicles</w:t>
      </w:r>
      <w:r w:rsidR="00B626B9" w:rsidRPr="00575A3E">
        <w:rPr>
          <w:szCs w:val="22"/>
          <w:lang w:val="en-GB"/>
        </w:rPr>
        <w:t>,</w:t>
      </w:r>
      <w:r w:rsidRPr="00575A3E">
        <w:rPr>
          <w:szCs w:val="22"/>
          <w:lang w:val="en-GB"/>
        </w:rPr>
        <w:t xml:space="preserve"> in all scenarios the percentage changes remain at similar </w:t>
      </w:r>
      <w:r w:rsidR="00B626B9" w:rsidRPr="00575A3E">
        <w:rPr>
          <w:szCs w:val="22"/>
          <w:lang w:val="en-GB"/>
        </w:rPr>
        <w:t>levels</w:t>
      </w:r>
      <w:r w:rsidRPr="00575A3E">
        <w:rPr>
          <w:szCs w:val="22"/>
          <w:lang w:val="en-GB"/>
        </w:rPr>
        <w:t xml:space="preserve">. However, it would have been possible to see more pronounced results in </w:t>
      </w:r>
      <w:r w:rsidR="00B626B9" w:rsidRPr="00575A3E">
        <w:rPr>
          <w:szCs w:val="22"/>
          <w:lang w:val="en-GB"/>
        </w:rPr>
        <w:t xml:space="preserve">the </w:t>
      </w:r>
      <w:r w:rsidRPr="00575A3E">
        <w:rPr>
          <w:szCs w:val="22"/>
          <w:lang w:val="en-GB"/>
        </w:rPr>
        <w:t xml:space="preserve">years after the simulation period, as the existence of full automation would have been reflected </w:t>
      </w:r>
      <w:r w:rsidR="00B626B9" w:rsidRPr="00575A3E">
        <w:rPr>
          <w:szCs w:val="22"/>
          <w:lang w:val="en-GB"/>
        </w:rPr>
        <w:t xml:space="preserve">by </w:t>
      </w:r>
      <w:r w:rsidRPr="00575A3E">
        <w:rPr>
          <w:szCs w:val="22"/>
          <w:lang w:val="en-GB"/>
        </w:rPr>
        <w:t xml:space="preserve">higher proportions in the fleet. </w:t>
      </w:r>
    </w:p>
    <w:p w14:paraId="1E0313E6" w14:textId="77777777" w:rsidR="00B626B9" w:rsidRPr="00575A3E" w:rsidRDefault="00B626B9" w:rsidP="00317850">
      <w:pPr>
        <w:spacing w:line="360" w:lineRule="auto"/>
        <w:rPr>
          <w:szCs w:val="22"/>
          <w:lang w:val="en-GB"/>
        </w:rPr>
      </w:pPr>
    </w:p>
    <w:p w14:paraId="64C12ACB" w14:textId="2804CD1D" w:rsidR="0097342C" w:rsidRPr="00575A3E" w:rsidRDefault="00C84E54" w:rsidP="00317850">
      <w:pPr>
        <w:spacing w:line="360" w:lineRule="auto"/>
        <w:rPr>
          <w:szCs w:val="22"/>
          <w:lang w:val="en-GB"/>
        </w:rPr>
      </w:pPr>
      <w:r w:rsidRPr="00575A3E">
        <w:rPr>
          <w:szCs w:val="22"/>
          <w:lang w:val="en-GB"/>
        </w:rPr>
        <w:t xml:space="preserve">Interestingly </w:t>
      </w:r>
      <w:r w:rsidR="00CD244F" w:rsidRPr="00575A3E">
        <w:rPr>
          <w:szCs w:val="22"/>
          <w:lang w:val="en-GB"/>
        </w:rPr>
        <w:t>after 2030</w:t>
      </w:r>
      <w:r w:rsidRPr="00575A3E">
        <w:rPr>
          <w:szCs w:val="22"/>
          <w:lang w:val="en-GB"/>
        </w:rPr>
        <w:t xml:space="preserve">, it is evident that there is </w:t>
      </w:r>
      <w:r w:rsidR="00981F20" w:rsidRPr="00575A3E">
        <w:rPr>
          <w:szCs w:val="22"/>
          <w:lang w:val="en-GB"/>
        </w:rPr>
        <w:t xml:space="preserve">a </w:t>
      </w:r>
      <w:r w:rsidRPr="00575A3E">
        <w:rPr>
          <w:szCs w:val="22"/>
          <w:lang w:val="en-GB"/>
        </w:rPr>
        <w:t xml:space="preserve">higher slope in the presented time series and this is because the sales of </w:t>
      </w:r>
      <w:r w:rsidR="00B626B9" w:rsidRPr="00575A3E">
        <w:rPr>
          <w:szCs w:val="22"/>
          <w:lang w:val="en-GB"/>
        </w:rPr>
        <w:t xml:space="preserve">new </w:t>
      </w:r>
      <w:r w:rsidR="00981F20" w:rsidRPr="00575A3E">
        <w:rPr>
          <w:szCs w:val="22"/>
          <w:lang w:val="en-GB"/>
        </w:rPr>
        <w:t xml:space="preserve">diesel and petrol cars </w:t>
      </w:r>
      <w:r w:rsidRPr="00575A3E">
        <w:rPr>
          <w:szCs w:val="22"/>
          <w:lang w:val="en-GB"/>
        </w:rPr>
        <w:t>will be banned in the UK after 2030</w:t>
      </w:r>
      <w:r w:rsidR="00CD244F" w:rsidRPr="00575A3E">
        <w:rPr>
          <w:szCs w:val="22"/>
          <w:lang w:val="en-GB"/>
        </w:rPr>
        <w:t>. A</w:t>
      </w:r>
      <w:r w:rsidRPr="00575A3E">
        <w:rPr>
          <w:szCs w:val="22"/>
          <w:lang w:val="en-GB"/>
        </w:rPr>
        <w:t>s a result the proportions of electric vehicle</w:t>
      </w:r>
      <w:r w:rsidR="00B626B9" w:rsidRPr="00575A3E">
        <w:rPr>
          <w:szCs w:val="22"/>
          <w:lang w:val="en-GB"/>
        </w:rPr>
        <w:t>s</w:t>
      </w:r>
      <w:r w:rsidRPr="00575A3E">
        <w:rPr>
          <w:szCs w:val="22"/>
          <w:lang w:val="en-GB"/>
        </w:rPr>
        <w:t xml:space="preserve"> in the fleet </w:t>
      </w:r>
      <w:r w:rsidR="00B626B9" w:rsidRPr="00575A3E">
        <w:rPr>
          <w:szCs w:val="22"/>
          <w:lang w:val="en-GB"/>
        </w:rPr>
        <w:t xml:space="preserve">will </w:t>
      </w:r>
      <w:r w:rsidRPr="00575A3E">
        <w:rPr>
          <w:szCs w:val="22"/>
          <w:lang w:val="en-GB"/>
        </w:rPr>
        <w:t>increase significantly, which result</w:t>
      </w:r>
      <w:r w:rsidR="00B626B9" w:rsidRPr="00575A3E">
        <w:rPr>
          <w:szCs w:val="22"/>
          <w:lang w:val="en-GB"/>
        </w:rPr>
        <w:t>s</w:t>
      </w:r>
      <w:r w:rsidRPr="00575A3E">
        <w:rPr>
          <w:szCs w:val="22"/>
          <w:lang w:val="en-GB"/>
        </w:rPr>
        <w:t xml:space="preserve"> in higher rates of lower generalised costs. </w:t>
      </w:r>
    </w:p>
    <w:p w14:paraId="3868D9FA" w14:textId="77777777" w:rsidR="00B626B9" w:rsidRPr="00575A3E" w:rsidRDefault="00B626B9" w:rsidP="00317850">
      <w:pPr>
        <w:spacing w:line="360" w:lineRule="auto"/>
        <w:rPr>
          <w:szCs w:val="22"/>
          <w:lang w:val="en-GB"/>
        </w:rPr>
      </w:pPr>
    </w:p>
    <w:p w14:paraId="3239F6FD" w14:textId="210AFCF4" w:rsidR="00F479EF" w:rsidRPr="00575A3E" w:rsidRDefault="00370A23" w:rsidP="00317850">
      <w:pPr>
        <w:spacing w:line="360" w:lineRule="auto"/>
        <w:rPr>
          <w:szCs w:val="22"/>
          <w:lang w:val="en-GB"/>
        </w:rPr>
      </w:pPr>
      <w:r w:rsidRPr="00575A3E">
        <w:rPr>
          <w:szCs w:val="22"/>
          <w:lang w:val="en-GB"/>
        </w:rPr>
        <w:t xml:space="preserve">However, the spatial distribution of these results is important to be examined </w:t>
      </w:r>
      <w:r w:rsidR="001C3CB2" w:rsidRPr="00575A3E">
        <w:rPr>
          <w:szCs w:val="22"/>
          <w:lang w:val="en-GB"/>
        </w:rPr>
        <w:t xml:space="preserve">in order to </w:t>
      </w:r>
      <w:r w:rsidR="009E696E" w:rsidRPr="00575A3E">
        <w:rPr>
          <w:szCs w:val="22"/>
          <w:lang w:val="en-GB"/>
        </w:rPr>
        <w:t xml:space="preserve">draw more generic </w:t>
      </w:r>
      <w:r w:rsidR="001C3CB2" w:rsidRPr="00575A3E">
        <w:rPr>
          <w:szCs w:val="22"/>
          <w:lang w:val="en-GB"/>
        </w:rPr>
        <w:t>conclusions</w:t>
      </w:r>
      <w:r w:rsidR="000C5569" w:rsidRPr="00575A3E">
        <w:rPr>
          <w:szCs w:val="22"/>
          <w:lang w:val="en-GB"/>
        </w:rPr>
        <w:t xml:space="preserve">, </w:t>
      </w:r>
      <w:r w:rsidR="009E696E" w:rsidRPr="00575A3E">
        <w:rPr>
          <w:szCs w:val="22"/>
          <w:lang w:val="en-GB"/>
        </w:rPr>
        <w:t xml:space="preserve">and so </w:t>
      </w:r>
      <w:r w:rsidR="000C5569" w:rsidRPr="00575A3E">
        <w:rPr>
          <w:szCs w:val="22"/>
          <w:lang w:val="en-GB"/>
        </w:rPr>
        <w:t>the examination of the results continues with the cartographical representations.</w:t>
      </w:r>
    </w:p>
    <w:p w14:paraId="3D96E15A" w14:textId="0668479B" w:rsidR="00FC47FC" w:rsidRPr="00575A3E" w:rsidRDefault="00FC47FC" w:rsidP="00A55356">
      <w:pPr>
        <w:spacing w:line="360" w:lineRule="auto"/>
        <w:ind w:firstLine="709"/>
        <w:rPr>
          <w:szCs w:val="22"/>
          <w:lang w:val="en-GB"/>
        </w:rPr>
      </w:pPr>
    </w:p>
    <w:p w14:paraId="73244B40" w14:textId="5D0E70D4" w:rsidR="00FC47FC" w:rsidRPr="00575A3E" w:rsidRDefault="003820AD" w:rsidP="00575DEC">
      <w:pPr>
        <w:spacing w:line="360" w:lineRule="auto"/>
        <w:jc w:val="center"/>
        <w:rPr>
          <w:szCs w:val="22"/>
          <w:lang w:val="en-GB"/>
        </w:rPr>
      </w:pPr>
      <w:r w:rsidRPr="00575A3E">
        <w:rPr>
          <w:noProof/>
          <w:lang w:val="en-GB" w:eastAsia="en-GB"/>
        </w:rPr>
        <w:drawing>
          <wp:inline distT="0" distB="0" distL="0" distR="0" wp14:anchorId="0E0B6CE7" wp14:editId="3876F9C6">
            <wp:extent cx="5915771" cy="3617595"/>
            <wp:effectExtent l="0" t="0" r="8890" b="1905"/>
            <wp:docPr id="6" name="Chart 6">
              <a:extLst xmlns:a="http://schemas.openxmlformats.org/drawingml/2006/main">
                <a:ext uri="{FF2B5EF4-FFF2-40B4-BE49-F238E27FC236}">
                  <a16:creationId xmlns:a16="http://schemas.microsoft.com/office/drawing/2014/main" id="{31709794-CAF6-45BD-A975-F8AB64D4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67BF60" w14:textId="2CD372AD" w:rsidR="00FC47FC" w:rsidRPr="00575A3E" w:rsidRDefault="00FC47FC" w:rsidP="00575DEC">
      <w:pPr>
        <w:pStyle w:val="Caption"/>
        <w:spacing w:before="0" w:after="0" w:line="360" w:lineRule="auto"/>
        <w:jc w:val="center"/>
        <w:rPr>
          <w:b w:val="0"/>
          <w:bCs w:val="0"/>
          <w:szCs w:val="22"/>
          <w:lang w:val="en-GB"/>
        </w:rPr>
      </w:pPr>
      <w:bookmarkStart w:id="33" w:name="_Ref79682104"/>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5</w:t>
      </w:r>
      <w:r w:rsidRPr="00575A3E">
        <w:rPr>
          <w:lang w:val="en-GB"/>
        </w:rPr>
        <w:fldChar w:fldCharType="end"/>
      </w:r>
      <w:bookmarkEnd w:id="33"/>
      <w:r w:rsidRPr="00575A3E">
        <w:rPr>
          <w:szCs w:val="22"/>
          <w:lang w:val="en-GB"/>
        </w:rPr>
        <w:t xml:space="preserve">: </w:t>
      </w:r>
      <w:r w:rsidRPr="00575A3E">
        <w:rPr>
          <w:b w:val="0"/>
          <w:bCs w:val="0"/>
          <w:szCs w:val="22"/>
          <w:lang w:val="en-GB"/>
        </w:rPr>
        <w:t xml:space="preserve">Impact of </w:t>
      </w:r>
      <w:r w:rsidR="00B626B9" w:rsidRPr="00575A3E">
        <w:rPr>
          <w:b w:val="0"/>
          <w:bCs w:val="0"/>
          <w:szCs w:val="22"/>
          <w:lang w:val="en-GB"/>
        </w:rPr>
        <w:t>t</w:t>
      </w:r>
      <w:r w:rsidRPr="00575A3E">
        <w:rPr>
          <w:b w:val="0"/>
          <w:bCs w:val="0"/>
          <w:szCs w:val="22"/>
          <w:lang w:val="en-GB"/>
        </w:rPr>
        <w:t xml:space="preserve">est </w:t>
      </w:r>
      <w:r w:rsidR="00B626B9" w:rsidRPr="00575A3E">
        <w:rPr>
          <w:b w:val="0"/>
          <w:bCs w:val="0"/>
          <w:szCs w:val="22"/>
          <w:lang w:val="en-GB"/>
        </w:rPr>
        <w:t>s</w:t>
      </w:r>
      <w:r w:rsidRPr="00575A3E">
        <w:rPr>
          <w:b w:val="0"/>
          <w:bCs w:val="0"/>
          <w:szCs w:val="22"/>
          <w:lang w:val="en-GB"/>
        </w:rPr>
        <w:t xml:space="preserve">cenarios on </w:t>
      </w:r>
      <w:r w:rsidR="00B626B9" w:rsidRPr="00575A3E">
        <w:rPr>
          <w:b w:val="0"/>
          <w:bCs w:val="0"/>
          <w:szCs w:val="22"/>
          <w:lang w:val="en-GB"/>
        </w:rPr>
        <w:t>p</w:t>
      </w:r>
      <w:r w:rsidRPr="00575A3E">
        <w:rPr>
          <w:b w:val="0"/>
          <w:bCs w:val="0"/>
          <w:szCs w:val="22"/>
          <w:lang w:val="en-GB"/>
        </w:rPr>
        <w:t>opulation</w:t>
      </w:r>
    </w:p>
    <w:p w14:paraId="6C13C1F5" w14:textId="13BFD2A1" w:rsidR="003820AD" w:rsidRPr="00575A3E" w:rsidRDefault="003820AD" w:rsidP="00575DEC">
      <w:pPr>
        <w:jc w:val="center"/>
        <w:rPr>
          <w:lang w:val="en-GB"/>
        </w:rPr>
      </w:pPr>
      <w:r w:rsidRPr="00575A3E">
        <w:rPr>
          <w:noProof/>
          <w:lang w:val="en-GB" w:eastAsia="en-GB"/>
        </w:rPr>
        <w:lastRenderedPageBreak/>
        <w:drawing>
          <wp:inline distT="0" distB="0" distL="0" distR="0" wp14:anchorId="4CB48B9A" wp14:editId="0FC981DE">
            <wp:extent cx="5923721" cy="3490595"/>
            <wp:effectExtent l="0" t="0" r="1270" b="14605"/>
            <wp:docPr id="10" name="Chart 10">
              <a:extLst xmlns:a="http://schemas.openxmlformats.org/drawingml/2006/main">
                <a:ext uri="{FF2B5EF4-FFF2-40B4-BE49-F238E27FC236}">
                  <a16:creationId xmlns:a16="http://schemas.microsoft.com/office/drawing/2014/main" id="{31709794-CAF6-45BD-A975-F8AB64D4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02DC6" w14:textId="6C066C72" w:rsidR="003820AD" w:rsidRPr="00575A3E" w:rsidRDefault="003820AD" w:rsidP="00575DEC">
      <w:pPr>
        <w:pStyle w:val="Caption"/>
        <w:spacing w:before="0" w:after="0" w:line="360" w:lineRule="auto"/>
        <w:jc w:val="center"/>
        <w:rPr>
          <w:lang w:val="en-GB"/>
        </w:rPr>
      </w:pPr>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6</w:t>
      </w:r>
      <w:r w:rsidRPr="00575A3E">
        <w:rPr>
          <w:lang w:val="en-GB"/>
        </w:rPr>
        <w:fldChar w:fldCharType="end"/>
      </w:r>
      <w:r w:rsidRPr="00575A3E">
        <w:rPr>
          <w:szCs w:val="22"/>
          <w:lang w:val="en-GB"/>
        </w:rPr>
        <w:t xml:space="preserve">: </w:t>
      </w:r>
      <w:r w:rsidRPr="00575A3E">
        <w:rPr>
          <w:b w:val="0"/>
          <w:bCs w:val="0"/>
          <w:szCs w:val="22"/>
          <w:lang w:val="en-GB"/>
        </w:rPr>
        <w:t>Impact of test scenarios on population</w:t>
      </w:r>
    </w:p>
    <w:p w14:paraId="712599B8" w14:textId="15CD7277" w:rsidR="00FC47FC" w:rsidRPr="00575A3E" w:rsidRDefault="003820AD" w:rsidP="00575DEC">
      <w:pPr>
        <w:spacing w:line="360" w:lineRule="auto"/>
        <w:jc w:val="center"/>
        <w:rPr>
          <w:szCs w:val="22"/>
          <w:lang w:val="en-GB"/>
        </w:rPr>
      </w:pPr>
      <w:r w:rsidRPr="00575A3E">
        <w:rPr>
          <w:noProof/>
          <w:lang w:val="en-GB" w:eastAsia="en-GB"/>
        </w:rPr>
        <w:drawing>
          <wp:inline distT="0" distB="0" distL="0" distR="0" wp14:anchorId="05ACF8EE" wp14:editId="45254508">
            <wp:extent cx="5915771" cy="4094480"/>
            <wp:effectExtent l="0" t="0" r="8890" b="1270"/>
            <wp:docPr id="1" name="Chart 1">
              <a:extLst xmlns:a="http://schemas.openxmlformats.org/drawingml/2006/main">
                <a:ext uri="{FF2B5EF4-FFF2-40B4-BE49-F238E27FC236}">
                  <a16:creationId xmlns:a16="http://schemas.microsoft.com/office/drawing/2014/main" id="{31709794-CAF6-45BD-A975-F8AB64D4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A870B80" w14:textId="1598356D" w:rsidR="00FC47FC" w:rsidRPr="00575A3E" w:rsidRDefault="00FC47FC" w:rsidP="00575DEC">
      <w:pPr>
        <w:pStyle w:val="Caption"/>
        <w:spacing w:before="0" w:after="0" w:line="360" w:lineRule="auto"/>
        <w:jc w:val="center"/>
        <w:rPr>
          <w:b w:val="0"/>
          <w:bCs w:val="0"/>
          <w:szCs w:val="22"/>
          <w:lang w:val="en-GB"/>
        </w:rPr>
      </w:pPr>
      <w:bookmarkStart w:id="34" w:name="_Ref79682107"/>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7</w:t>
      </w:r>
      <w:r w:rsidRPr="00575A3E">
        <w:rPr>
          <w:lang w:val="en-GB"/>
        </w:rPr>
        <w:fldChar w:fldCharType="end"/>
      </w:r>
      <w:bookmarkEnd w:id="34"/>
      <w:r w:rsidRPr="00575A3E">
        <w:rPr>
          <w:szCs w:val="22"/>
          <w:lang w:val="en-GB"/>
        </w:rPr>
        <w:t xml:space="preserve">: </w:t>
      </w:r>
      <w:r w:rsidRPr="00575A3E">
        <w:rPr>
          <w:b w:val="0"/>
          <w:bCs w:val="0"/>
          <w:szCs w:val="22"/>
          <w:lang w:val="en-GB"/>
        </w:rPr>
        <w:t xml:space="preserve">Impact of </w:t>
      </w:r>
      <w:r w:rsidR="00B626B9" w:rsidRPr="00575A3E">
        <w:rPr>
          <w:b w:val="0"/>
          <w:bCs w:val="0"/>
          <w:szCs w:val="22"/>
          <w:lang w:val="en-GB"/>
        </w:rPr>
        <w:t>t</w:t>
      </w:r>
      <w:r w:rsidRPr="00575A3E">
        <w:rPr>
          <w:b w:val="0"/>
          <w:bCs w:val="0"/>
          <w:szCs w:val="22"/>
          <w:lang w:val="en-GB"/>
        </w:rPr>
        <w:t xml:space="preserve">est </w:t>
      </w:r>
      <w:r w:rsidR="00B626B9" w:rsidRPr="00575A3E">
        <w:rPr>
          <w:b w:val="0"/>
          <w:bCs w:val="0"/>
          <w:szCs w:val="22"/>
          <w:lang w:val="en-GB"/>
        </w:rPr>
        <w:t>s</w:t>
      </w:r>
      <w:r w:rsidRPr="00575A3E">
        <w:rPr>
          <w:b w:val="0"/>
          <w:bCs w:val="0"/>
          <w:szCs w:val="22"/>
          <w:lang w:val="en-GB"/>
        </w:rPr>
        <w:t xml:space="preserve">cenarios on </w:t>
      </w:r>
      <w:r w:rsidR="00B626B9" w:rsidRPr="00575A3E">
        <w:rPr>
          <w:b w:val="0"/>
          <w:bCs w:val="0"/>
          <w:szCs w:val="22"/>
          <w:lang w:val="en-GB"/>
        </w:rPr>
        <w:t>e</w:t>
      </w:r>
      <w:r w:rsidRPr="00575A3E">
        <w:rPr>
          <w:b w:val="0"/>
          <w:bCs w:val="0"/>
          <w:szCs w:val="22"/>
          <w:lang w:val="en-GB"/>
        </w:rPr>
        <w:t>mployment</w:t>
      </w:r>
    </w:p>
    <w:p w14:paraId="7DF98297" w14:textId="09CDFCCF" w:rsidR="003820AD" w:rsidRPr="00575A3E" w:rsidRDefault="003820AD" w:rsidP="00575DEC">
      <w:pPr>
        <w:jc w:val="center"/>
        <w:rPr>
          <w:lang w:val="en-GB"/>
        </w:rPr>
      </w:pPr>
      <w:r w:rsidRPr="00575A3E">
        <w:rPr>
          <w:noProof/>
          <w:lang w:val="en-GB" w:eastAsia="en-GB"/>
        </w:rPr>
        <w:lastRenderedPageBreak/>
        <w:drawing>
          <wp:inline distT="0" distB="0" distL="0" distR="0" wp14:anchorId="355B5658" wp14:editId="196B4E97">
            <wp:extent cx="5915770" cy="3554095"/>
            <wp:effectExtent l="0" t="0" r="8890" b="8255"/>
            <wp:docPr id="11" name="Chart 11">
              <a:extLst xmlns:a="http://schemas.openxmlformats.org/drawingml/2006/main">
                <a:ext uri="{FF2B5EF4-FFF2-40B4-BE49-F238E27FC236}">
                  <a16:creationId xmlns:a16="http://schemas.microsoft.com/office/drawing/2014/main" id="{31709794-CAF6-45BD-A975-F8AB64D48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A85FB4" w14:textId="5D7DA5F6" w:rsidR="003820AD" w:rsidRPr="00575A3E" w:rsidRDefault="003820AD" w:rsidP="00575DEC">
      <w:pPr>
        <w:pStyle w:val="Caption"/>
        <w:spacing w:line="360" w:lineRule="auto"/>
        <w:jc w:val="center"/>
        <w:rPr>
          <w:b w:val="0"/>
          <w:bCs w:val="0"/>
          <w:szCs w:val="22"/>
          <w:lang w:val="en-GB"/>
        </w:rPr>
      </w:pPr>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8</w:t>
      </w:r>
      <w:r w:rsidRPr="00575A3E">
        <w:rPr>
          <w:lang w:val="en-GB"/>
        </w:rPr>
        <w:fldChar w:fldCharType="end"/>
      </w:r>
      <w:r w:rsidRPr="00575A3E">
        <w:rPr>
          <w:szCs w:val="22"/>
          <w:lang w:val="en-GB"/>
        </w:rPr>
        <w:t xml:space="preserve">: </w:t>
      </w:r>
      <w:r w:rsidRPr="00575A3E">
        <w:rPr>
          <w:b w:val="0"/>
          <w:bCs w:val="0"/>
          <w:szCs w:val="22"/>
          <w:lang w:val="en-GB"/>
        </w:rPr>
        <w:t>Impact of test scenarios on employment</w:t>
      </w:r>
    </w:p>
    <w:p w14:paraId="79755CB9" w14:textId="6A6A917E" w:rsidR="007808C8" w:rsidRPr="00575A3E" w:rsidRDefault="007808C8" w:rsidP="007808C8">
      <w:pPr>
        <w:pStyle w:val="Heading3"/>
        <w:spacing w:before="0" w:after="0" w:line="360" w:lineRule="auto"/>
        <w:rPr>
          <w:i/>
          <w:iCs/>
          <w:szCs w:val="22"/>
          <w:lang w:val="en-GB"/>
        </w:rPr>
      </w:pPr>
      <w:r w:rsidRPr="00575A3E">
        <w:rPr>
          <w:i/>
          <w:iCs/>
          <w:szCs w:val="22"/>
          <w:lang w:val="en-GB"/>
        </w:rPr>
        <w:t>4.1.2 Population and employment results in the main regional CBDs</w:t>
      </w:r>
    </w:p>
    <w:p w14:paraId="675046CE" w14:textId="77777777" w:rsidR="007808C8" w:rsidRPr="00575A3E" w:rsidRDefault="007808C8" w:rsidP="00CE4E88">
      <w:pPr>
        <w:rPr>
          <w:lang w:val="en-GB"/>
        </w:rPr>
      </w:pPr>
    </w:p>
    <w:p w14:paraId="513A093F" w14:textId="748F3882" w:rsidR="00CE4E88" w:rsidRPr="00575A3E" w:rsidRDefault="002F6D24" w:rsidP="00941072">
      <w:pPr>
        <w:spacing w:line="360" w:lineRule="auto"/>
        <w:rPr>
          <w:lang w:val="en-GB"/>
        </w:rPr>
      </w:pPr>
      <w:r w:rsidRPr="00575A3E">
        <w:rPr>
          <w:lang w:val="en-GB"/>
        </w:rPr>
        <w:t>An important element of this analysis is to examine the effects of the test scenarios to the BAU scenario for the main CBDs of the region, namely for Birmingham, Coventry and Stoke-on-Trent. This investigation is conducted by examining the population and employment densities from these three CBDs</w:t>
      </w:r>
      <w:r w:rsidR="00971588" w:rsidRPr="00575A3E">
        <w:rPr>
          <w:lang w:val="en-GB"/>
        </w:rPr>
        <w:t xml:space="preserve">, as conducted in classical urban studies </w:t>
      </w:r>
      <w:r w:rsidR="00971588" w:rsidRPr="00575A3E">
        <w:rPr>
          <w:lang w:val="en-GB"/>
        </w:rPr>
        <w:fldChar w:fldCharType="begin" w:fldLock="1"/>
      </w:r>
      <w:r w:rsidR="005F1281" w:rsidRPr="00575A3E">
        <w:rPr>
          <w:lang w:val="en-GB"/>
        </w:rPr>
        <w:instrText>ADDIN CSL_CITATION {"citationItems":[{"id":"ITEM-1","itemData":{"DOI":"0094-1190/94","author":[{"dropping-particle":"","family":"Small","given":"Kenneth A.","non-dropping-particle":"","parse-names":false,"suffix":""},{"dropping-particle":"","family":"Song","given":"Shunfeng","non-dropping-particle":"","parse-names":false,"suffix":""}],"container-title":"Journal of Urban Economics","id":"ITEM-1","issue":"292--313","issued":{"date-parts":[["1994"]]},"title":"Population and Employment Densities: Structure and Change","type":"article-journal","volume":"36"},"uris":["http://www.mendeley.com/documents/?uuid=7f0c8515-7279-4d85-bbb8-381822f4716c"]}],"mendeley":{"formattedCitation":"(Small and Song, 1994)","plainTextFormattedCitation":"(Small and Song, 1994)","previouslyFormattedCitation":"(Small and Song, 1994)"},"properties":{"noteIndex":0},"schema":"https://github.com/citation-style-language/schema/raw/master/csl-citation.json"}</w:instrText>
      </w:r>
      <w:r w:rsidR="00971588" w:rsidRPr="00575A3E">
        <w:rPr>
          <w:lang w:val="en-GB"/>
        </w:rPr>
        <w:fldChar w:fldCharType="separate"/>
      </w:r>
      <w:r w:rsidR="00971588" w:rsidRPr="00575A3E">
        <w:rPr>
          <w:noProof/>
          <w:lang w:val="en-GB"/>
        </w:rPr>
        <w:t>(Small and Song, 1994)</w:t>
      </w:r>
      <w:r w:rsidR="00971588" w:rsidRPr="00575A3E">
        <w:rPr>
          <w:lang w:val="en-GB"/>
        </w:rPr>
        <w:fldChar w:fldCharType="end"/>
      </w:r>
      <w:r w:rsidR="00971588" w:rsidRPr="00575A3E">
        <w:rPr>
          <w:lang w:val="en-GB"/>
        </w:rPr>
        <w:t>.</w:t>
      </w:r>
    </w:p>
    <w:p w14:paraId="49BCEEAD" w14:textId="77777777" w:rsidR="002F6D24" w:rsidRPr="00575A3E" w:rsidRDefault="002F6D24" w:rsidP="00CE4E88">
      <w:pPr>
        <w:rPr>
          <w:lang w:val="en-GB"/>
        </w:rPr>
      </w:pPr>
    </w:p>
    <w:p w14:paraId="1024C671" w14:textId="76E0DA2E" w:rsidR="00CD63F6" w:rsidRPr="00575A3E" w:rsidRDefault="002F6D24" w:rsidP="00CD63F6">
      <w:pPr>
        <w:keepNext/>
      </w:pPr>
      <w:r w:rsidRPr="00575A3E">
        <w:rPr>
          <w:noProof/>
          <w:lang w:val="en-GB" w:eastAsia="en-GB"/>
        </w:rPr>
        <w:drawing>
          <wp:inline distT="0" distB="0" distL="0" distR="0" wp14:anchorId="2B1F1E1C" wp14:editId="30FBD5D0">
            <wp:extent cx="5061098" cy="2421890"/>
            <wp:effectExtent l="0" t="0" r="6350" b="16510"/>
            <wp:docPr id="23" name="Chart 23">
              <a:extLst xmlns:a="http://schemas.openxmlformats.org/drawingml/2006/main">
                <a:ext uri="{FF2B5EF4-FFF2-40B4-BE49-F238E27FC236}">
                  <a16:creationId xmlns:a16="http://schemas.microsoft.com/office/drawing/2014/main" id="{E0040551-3323-B3C7-B29F-9D5E68359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87909B" w14:textId="03F5193B" w:rsidR="003820AD" w:rsidRPr="00575A3E" w:rsidRDefault="00CD63F6" w:rsidP="00CD63F6">
      <w:pPr>
        <w:pStyle w:val="Caption"/>
        <w:rPr>
          <w:lang w:val="en-GB"/>
        </w:rPr>
      </w:pPr>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9</w:t>
      </w:r>
      <w:r w:rsidRPr="00575A3E">
        <w:fldChar w:fldCharType="end"/>
      </w:r>
      <w:r w:rsidRPr="00575A3E">
        <w:t>: Employment Density in Birmingham</w:t>
      </w:r>
    </w:p>
    <w:p w14:paraId="48FE711F" w14:textId="423EB9D5" w:rsidR="003F2698" w:rsidRPr="00575A3E" w:rsidRDefault="002F6D24" w:rsidP="003820AD">
      <w:pPr>
        <w:rPr>
          <w:lang w:val="en-GB"/>
        </w:rPr>
      </w:pPr>
      <w:r w:rsidRPr="00575A3E">
        <w:rPr>
          <w:noProof/>
          <w:lang w:val="en-GB" w:eastAsia="en-GB"/>
        </w:rPr>
        <w:lastRenderedPageBreak/>
        <w:drawing>
          <wp:inline distT="0" distB="0" distL="0" distR="0" wp14:anchorId="7B6BEF0D" wp14:editId="2282BCAC">
            <wp:extent cx="5076967" cy="2238233"/>
            <wp:effectExtent l="0" t="0" r="9525" b="10160"/>
            <wp:docPr id="24" name="Chart 24">
              <a:extLst xmlns:a="http://schemas.openxmlformats.org/drawingml/2006/main">
                <a:ext uri="{FF2B5EF4-FFF2-40B4-BE49-F238E27FC236}">
                  <a16:creationId xmlns:a16="http://schemas.microsoft.com/office/drawing/2014/main" id="{553A9DF5-A83D-E322-1162-38EF90C23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DBAF99" w14:textId="07EF72C9" w:rsidR="00CD63F6" w:rsidRPr="00575A3E" w:rsidRDefault="00CD63F6" w:rsidP="00CD63F6">
      <w:pPr>
        <w:pStyle w:val="Caption"/>
        <w:rPr>
          <w:lang w:val="en-GB"/>
        </w:rPr>
      </w:pPr>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10</w:t>
      </w:r>
      <w:r w:rsidRPr="00575A3E">
        <w:fldChar w:fldCharType="end"/>
      </w:r>
      <w:r w:rsidRPr="00575A3E">
        <w:t>: Population Density in Birmingham</w:t>
      </w:r>
    </w:p>
    <w:p w14:paraId="4023C51E" w14:textId="0E13AEB7" w:rsidR="003F2698" w:rsidRPr="00575A3E" w:rsidRDefault="003F2698" w:rsidP="003820AD">
      <w:pPr>
        <w:rPr>
          <w:lang w:val="en-GB"/>
        </w:rPr>
      </w:pPr>
    </w:p>
    <w:p w14:paraId="24226253" w14:textId="5F9403CE" w:rsidR="003F2698" w:rsidRPr="00575A3E" w:rsidRDefault="002F6D24" w:rsidP="003820AD">
      <w:pPr>
        <w:rPr>
          <w:lang w:val="en-GB"/>
        </w:rPr>
      </w:pPr>
      <w:r w:rsidRPr="00575A3E">
        <w:rPr>
          <w:noProof/>
          <w:lang w:val="en-GB" w:eastAsia="en-GB"/>
        </w:rPr>
        <w:drawing>
          <wp:inline distT="0" distB="0" distL="0" distR="0" wp14:anchorId="4C62DE23" wp14:editId="34B77AD2">
            <wp:extent cx="5186149" cy="2231409"/>
            <wp:effectExtent l="0" t="0" r="14605" b="16510"/>
            <wp:docPr id="25" name="Chart 25">
              <a:extLst xmlns:a="http://schemas.openxmlformats.org/drawingml/2006/main">
                <a:ext uri="{FF2B5EF4-FFF2-40B4-BE49-F238E27FC236}">
                  <a16:creationId xmlns:a16="http://schemas.microsoft.com/office/drawing/2014/main" id="{09F2E47E-3A85-4650-814E-4CCFF31D4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67B434" w14:textId="22F90EA7" w:rsidR="00CD63F6" w:rsidRPr="00575A3E" w:rsidRDefault="00CD63F6" w:rsidP="00CD63F6">
      <w:pPr>
        <w:pStyle w:val="Caption"/>
        <w:rPr>
          <w:lang w:val="en-GB"/>
        </w:rPr>
      </w:pPr>
      <w:bookmarkStart w:id="35" w:name="_Hlk118722171"/>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11</w:t>
      </w:r>
      <w:r w:rsidRPr="00575A3E">
        <w:fldChar w:fldCharType="end"/>
      </w:r>
      <w:r w:rsidRPr="00575A3E">
        <w:t>: Employment Density in Coventry</w:t>
      </w:r>
    </w:p>
    <w:bookmarkEnd w:id="35"/>
    <w:p w14:paraId="3A59C0D0" w14:textId="1638506E" w:rsidR="003F2698" w:rsidRPr="00575A3E" w:rsidRDefault="00FB493F" w:rsidP="003820AD">
      <w:pPr>
        <w:rPr>
          <w:lang w:val="en-GB"/>
        </w:rPr>
      </w:pPr>
      <w:r w:rsidRPr="00575A3E">
        <w:rPr>
          <w:noProof/>
          <w:lang w:val="en-GB" w:eastAsia="en-GB"/>
        </w:rPr>
        <w:drawing>
          <wp:inline distT="0" distB="0" distL="0" distR="0" wp14:anchorId="097244FC" wp14:editId="684EDD06">
            <wp:extent cx="5220269" cy="2510790"/>
            <wp:effectExtent l="0" t="0" r="0" b="3810"/>
            <wp:docPr id="31" name="Chart 31">
              <a:extLst xmlns:a="http://schemas.openxmlformats.org/drawingml/2006/main">
                <a:ext uri="{FF2B5EF4-FFF2-40B4-BE49-F238E27FC236}">
                  <a16:creationId xmlns:a16="http://schemas.microsoft.com/office/drawing/2014/main" id="{C0D0B567-6B46-4BC5-8081-F00A5CDA89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F762F3" w14:textId="7A5ECC29" w:rsidR="00CD63F6" w:rsidRPr="00575A3E" w:rsidRDefault="00CD63F6" w:rsidP="00CD63F6">
      <w:pPr>
        <w:pStyle w:val="Caption"/>
        <w:rPr>
          <w:lang w:val="en-GB"/>
        </w:rPr>
      </w:pPr>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12</w:t>
      </w:r>
      <w:r w:rsidRPr="00575A3E">
        <w:fldChar w:fldCharType="end"/>
      </w:r>
      <w:r w:rsidRPr="00575A3E">
        <w:t>: Population Density in Coventry</w:t>
      </w:r>
    </w:p>
    <w:p w14:paraId="1484AD6D" w14:textId="4F5E44C9" w:rsidR="003F2698" w:rsidRPr="00575A3E" w:rsidRDefault="003F2698" w:rsidP="003820AD">
      <w:pPr>
        <w:rPr>
          <w:lang w:val="en-GB"/>
        </w:rPr>
      </w:pPr>
    </w:p>
    <w:p w14:paraId="6E81A00B" w14:textId="75BBF1FA" w:rsidR="003F2698" w:rsidRPr="00575A3E" w:rsidRDefault="002F6D24" w:rsidP="003820AD">
      <w:pPr>
        <w:rPr>
          <w:lang w:val="en-GB"/>
        </w:rPr>
      </w:pPr>
      <w:r w:rsidRPr="00575A3E">
        <w:rPr>
          <w:noProof/>
          <w:lang w:val="en-GB" w:eastAsia="en-GB"/>
        </w:rPr>
        <w:drawing>
          <wp:inline distT="0" distB="0" distL="0" distR="0" wp14:anchorId="463F055F" wp14:editId="6119B8C7">
            <wp:extent cx="5209540" cy="2470150"/>
            <wp:effectExtent l="0" t="0" r="10160" b="6350"/>
            <wp:docPr id="29" name="Chart 29">
              <a:extLst xmlns:a="http://schemas.openxmlformats.org/drawingml/2006/main">
                <a:ext uri="{FF2B5EF4-FFF2-40B4-BE49-F238E27FC236}">
                  <a16:creationId xmlns:a16="http://schemas.microsoft.com/office/drawing/2014/main" id="{5478A121-42D9-4621-AA3B-1C115B5399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AAD5FB" w14:textId="30F555C8" w:rsidR="00CD63F6" w:rsidRPr="00575A3E" w:rsidRDefault="00CD63F6" w:rsidP="00CD63F6">
      <w:pPr>
        <w:pStyle w:val="Caption"/>
        <w:rPr>
          <w:lang w:val="en-GB"/>
        </w:rPr>
      </w:pPr>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13</w:t>
      </w:r>
      <w:r w:rsidRPr="00575A3E">
        <w:fldChar w:fldCharType="end"/>
      </w:r>
      <w:r w:rsidRPr="00575A3E">
        <w:t xml:space="preserve">: Employment Density in </w:t>
      </w:r>
      <w:bookmarkStart w:id="36" w:name="_Hlk118722436"/>
      <w:r w:rsidRPr="00575A3E">
        <w:t>Stoke-on-Trent</w:t>
      </w:r>
      <w:bookmarkEnd w:id="36"/>
    </w:p>
    <w:p w14:paraId="4B3F76C9" w14:textId="21140755" w:rsidR="003F2698" w:rsidRPr="00575A3E" w:rsidRDefault="003F2698" w:rsidP="003820AD">
      <w:pPr>
        <w:rPr>
          <w:lang w:val="en-GB"/>
        </w:rPr>
      </w:pPr>
    </w:p>
    <w:p w14:paraId="186A10F0" w14:textId="5DEF2E5E" w:rsidR="003F2698" w:rsidRPr="00575A3E" w:rsidRDefault="002F6D24" w:rsidP="003820AD">
      <w:pPr>
        <w:rPr>
          <w:lang w:val="en-GB"/>
        </w:rPr>
      </w:pPr>
      <w:r w:rsidRPr="00575A3E">
        <w:rPr>
          <w:noProof/>
          <w:lang w:val="en-GB" w:eastAsia="en-GB"/>
        </w:rPr>
        <w:drawing>
          <wp:inline distT="0" distB="0" distL="0" distR="0" wp14:anchorId="3BD2BEDD" wp14:editId="5E042AD7">
            <wp:extent cx="5308600" cy="2381534"/>
            <wp:effectExtent l="0" t="0" r="6350" b="0"/>
            <wp:docPr id="30" name="Chart 30">
              <a:extLst xmlns:a="http://schemas.openxmlformats.org/drawingml/2006/main">
                <a:ext uri="{FF2B5EF4-FFF2-40B4-BE49-F238E27FC236}">
                  <a16:creationId xmlns:a16="http://schemas.microsoft.com/office/drawing/2014/main" id="{93C0EC62-7177-4192-ACB1-AE410E9BA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76A508" w14:textId="2BC306E3" w:rsidR="003F2698" w:rsidRPr="00575A3E" w:rsidRDefault="00CD63F6" w:rsidP="003F1A1D">
      <w:pPr>
        <w:pStyle w:val="Caption"/>
        <w:rPr>
          <w:lang w:val="en-GB"/>
        </w:rPr>
      </w:pPr>
      <w:r w:rsidRPr="00575A3E">
        <w:t xml:space="preserve">Figure </w:t>
      </w:r>
      <w:r w:rsidRPr="00575A3E">
        <w:fldChar w:fldCharType="begin"/>
      </w:r>
      <w:r w:rsidRPr="00575A3E">
        <w:instrText xml:space="preserve"> SEQ Figure \* ARABIC </w:instrText>
      </w:r>
      <w:r w:rsidRPr="00575A3E">
        <w:fldChar w:fldCharType="separate"/>
      </w:r>
      <w:r w:rsidR="004A1C59" w:rsidRPr="00575A3E">
        <w:rPr>
          <w:noProof/>
        </w:rPr>
        <w:t>14</w:t>
      </w:r>
      <w:r w:rsidRPr="00575A3E">
        <w:fldChar w:fldCharType="end"/>
      </w:r>
      <w:r w:rsidRPr="00575A3E">
        <w:t xml:space="preserve">: </w:t>
      </w:r>
      <w:r w:rsidR="003F1A1D" w:rsidRPr="00575A3E">
        <w:t>Population</w:t>
      </w:r>
      <w:r w:rsidRPr="00575A3E">
        <w:t xml:space="preserve"> Density in </w:t>
      </w:r>
      <w:r w:rsidR="003F1A1D" w:rsidRPr="00575A3E">
        <w:t>Stoke-on-Trent</w:t>
      </w:r>
    </w:p>
    <w:p w14:paraId="3E990576" w14:textId="0F1A5E0A" w:rsidR="003F2698" w:rsidRPr="00575A3E" w:rsidRDefault="00971588" w:rsidP="00941072">
      <w:pPr>
        <w:spacing w:line="360" w:lineRule="auto"/>
        <w:rPr>
          <w:lang w:val="en-GB"/>
        </w:rPr>
      </w:pPr>
      <w:r w:rsidRPr="00575A3E">
        <w:rPr>
          <w:lang w:val="en-GB"/>
        </w:rPr>
        <w:t xml:space="preserve">In all </w:t>
      </w:r>
      <w:r w:rsidR="00FB493F" w:rsidRPr="00575A3E">
        <w:rPr>
          <w:lang w:val="en-GB"/>
        </w:rPr>
        <w:t xml:space="preserve">three </w:t>
      </w:r>
      <w:r w:rsidRPr="00575A3E">
        <w:rPr>
          <w:lang w:val="en-GB"/>
        </w:rPr>
        <w:t xml:space="preserve">urban areas it is evident from the </w:t>
      </w:r>
      <w:r w:rsidR="00FB493F" w:rsidRPr="00575A3E">
        <w:rPr>
          <w:lang w:val="en-GB"/>
        </w:rPr>
        <w:t>figures that population and employment have similar trends, as the densities initially</w:t>
      </w:r>
      <w:r w:rsidR="00941072" w:rsidRPr="00575A3E">
        <w:rPr>
          <w:lang w:val="en-GB"/>
        </w:rPr>
        <w:t xml:space="preserve"> decrease</w:t>
      </w:r>
      <w:r w:rsidR="00FB493F" w:rsidRPr="00575A3E">
        <w:rPr>
          <w:lang w:val="en-GB"/>
        </w:rPr>
        <w:t xml:space="preserve"> for population and </w:t>
      </w:r>
      <w:r w:rsidR="00941072" w:rsidRPr="00575A3E">
        <w:rPr>
          <w:lang w:val="en-GB"/>
        </w:rPr>
        <w:t>increase</w:t>
      </w:r>
      <w:r w:rsidR="00FB493F" w:rsidRPr="00575A3E">
        <w:rPr>
          <w:lang w:val="en-GB"/>
        </w:rPr>
        <w:t xml:space="preserve"> after 2031 and the opposite phenomenon can be observed for employment. </w:t>
      </w:r>
      <w:r w:rsidR="007808C8" w:rsidRPr="00575A3E">
        <w:rPr>
          <w:lang w:val="en-GB"/>
        </w:rPr>
        <w:t xml:space="preserve">Even though population </w:t>
      </w:r>
      <w:r w:rsidR="0009045B" w:rsidRPr="00575A3E">
        <w:rPr>
          <w:lang w:val="en-GB"/>
        </w:rPr>
        <w:t>increas</w:t>
      </w:r>
      <w:r w:rsidR="0075104A" w:rsidRPr="00575A3E">
        <w:rPr>
          <w:lang w:val="en-GB"/>
        </w:rPr>
        <w:t>es</w:t>
      </w:r>
      <w:r w:rsidR="0009045B" w:rsidRPr="00575A3E">
        <w:rPr>
          <w:lang w:val="en-GB"/>
        </w:rPr>
        <w:t xml:space="preserve"> </w:t>
      </w:r>
      <w:r w:rsidR="0075104A" w:rsidRPr="00575A3E">
        <w:rPr>
          <w:lang w:val="en-GB"/>
        </w:rPr>
        <w:t xml:space="preserve">across </w:t>
      </w:r>
      <w:r w:rsidR="0009045B" w:rsidRPr="00575A3E">
        <w:rPr>
          <w:lang w:val="en-GB"/>
        </w:rPr>
        <w:t xml:space="preserve">the whole region, as already mentioned, the population </w:t>
      </w:r>
      <w:r w:rsidR="00941072" w:rsidRPr="00575A3E">
        <w:rPr>
          <w:lang w:val="en-GB"/>
        </w:rPr>
        <w:t>density</w:t>
      </w:r>
      <w:r w:rsidR="0009045B" w:rsidRPr="00575A3E">
        <w:rPr>
          <w:lang w:val="en-GB"/>
        </w:rPr>
        <w:t xml:space="preserve"> </w:t>
      </w:r>
      <w:r w:rsidR="0075104A" w:rsidRPr="00575A3E">
        <w:rPr>
          <w:lang w:val="en-GB"/>
        </w:rPr>
        <w:t>decreases</w:t>
      </w:r>
      <w:r w:rsidR="0009045B" w:rsidRPr="00575A3E">
        <w:rPr>
          <w:lang w:val="en-GB"/>
        </w:rPr>
        <w:t xml:space="preserve"> for the main CBDs</w:t>
      </w:r>
      <w:r w:rsidR="00941072" w:rsidRPr="00575A3E">
        <w:rPr>
          <w:lang w:val="en-GB"/>
        </w:rPr>
        <w:t xml:space="preserve"> at relatively small rates, which indicates that even though population might remain the same in terms of density of the CBDs, this regional increase in population will be located in areas outside of the CBDs.</w:t>
      </w:r>
      <w:r w:rsidR="006B0E54" w:rsidRPr="00575A3E">
        <w:rPr>
          <w:lang w:val="en-GB"/>
        </w:rPr>
        <w:t xml:space="preserve"> Employment on the other hand </w:t>
      </w:r>
      <w:r w:rsidR="0075104A" w:rsidRPr="00575A3E">
        <w:rPr>
          <w:lang w:val="en-GB"/>
        </w:rPr>
        <w:t>does</w:t>
      </w:r>
      <w:r w:rsidR="006B0E54" w:rsidRPr="00575A3E">
        <w:rPr>
          <w:lang w:val="en-GB"/>
        </w:rPr>
        <w:t xml:space="preserve"> not significantly chang</w:t>
      </w:r>
      <w:r w:rsidR="0075104A" w:rsidRPr="00575A3E">
        <w:rPr>
          <w:lang w:val="en-GB"/>
        </w:rPr>
        <w:t>e</w:t>
      </w:r>
      <w:r w:rsidR="006B0E54" w:rsidRPr="00575A3E">
        <w:rPr>
          <w:lang w:val="en-GB"/>
        </w:rPr>
        <w:t xml:space="preserve"> across scenarios</w:t>
      </w:r>
      <w:r w:rsidR="00941072" w:rsidRPr="00575A3E">
        <w:rPr>
          <w:lang w:val="en-GB"/>
        </w:rPr>
        <w:t xml:space="preserve"> </w:t>
      </w:r>
      <w:r w:rsidR="006B0E54" w:rsidRPr="00575A3E">
        <w:rPr>
          <w:lang w:val="en-GB"/>
        </w:rPr>
        <w:t xml:space="preserve">for the CBDs, </w:t>
      </w:r>
      <w:r w:rsidR="00555D80" w:rsidRPr="00575A3E">
        <w:rPr>
          <w:lang w:val="en-GB"/>
        </w:rPr>
        <w:t xml:space="preserve">except </w:t>
      </w:r>
      <w:r w:rsidR="006B0E54" w:rsidRPr="00575A3E">
        <w:rPr>
          <w:lang w:val="en-GB"/>
        </w:rPr>
        <w:t xml:space="preserve"> </w:t>
      </w:r>
      <w:r w:rsidR="0075104A" w:rsidRPr="00575A3E">
        <w:rPr>
          <w:lang w:val="en-GB"/>
        </w:rPr>
        <w:t>for</w:t>
      </w:r>
      <w:r w:rsidR="006B0E54" w:rsidRPr="00575A3E">
        <w:rPr>
          <w:lang w:val="en-GB"/>
        </w:rPr>
        <w:t xml:space="preserve"> a notable reduction of employment density for Stoke-on-Trent for the simulation years after 2031. </w:t>
      </w:r>
      <w:r w:rsidR="00941072" w:rsidRPr="00575A3E">
        <w:rPr>
          <w:lang w:val="en-GB"/>
        </w:rPr>
        <w:t>As in the previous r</w:t>
      </w:r>
      <w:r w:rsidR="00FD4A52" w:rsidRPr="00575A3E">
        <w:rPr>
          <w:lang w:val="en-GB"/>
        </w:rPr>
        <w:t>esults</w:t>
      </w:r>
      <w:r w:rsidR="00941072" w:rsidRPr="00575A3E">
        <w:rPr>
          <w:lang w:val="en-GB"/>
        </w:rPr>
        <w:t xml:space="preserve"> for the regio</w:t>
      </w:r>
      <w:r w:rsidR="00FD4A52" w:rsidRPr="00575A3E">
        <w:rPr>
          <w:lang w:val="en-GB"/>
        </w:rPr>
        <w:t>n in respect to population,</w:t>
      </w:r>
      <w:r w:rsidR="00941072" w:rsidRPr="00575A3E">
        <w:rPr>
          <w:lang w:val="en-GB"/>
        </w:rPr>
        <w:t xml:space="preserve"> </w:t>
      </w:r>
      <w:r w:rsidR="00FD4A52" w:rsidRPr="00575A3E">
        <w:rPr>
          <w:lang w:val="en-GB"/>
        </w:rPr>
        <w:t>t</w:t>
      </w:r>
      <w:r w:rsidR="00941072" w:rsidRPr="00575A3E">
        <w:rPr>
          <w:lang w:val="en-GB"/>
        </w:rPr>
        <w:t>he results for the 'P' scenarios are more pronounced in comparison with the results for the 'N' scenarios</w:t>
      </w:r>
      <w:r w:rsidR="00FD4A52" w:rsidRPr="00575A3E">
        <w:rPr>
          <w:lang w:val="en-GB"/>
        </w:rPr>
        <w:t xml:space="preserve">, whereas this is not the case for employment. </w:t>
      </w:r>
      <w:r w:rsidR="006B0E54" w:rsidRPr="00575A3E">
        <w:rPr>
          <w:lang w:val="en-GB"/>
        </w:rPr>
        <w:t>All the above show that the</w:t>
      </w:r>
      <w:r w:rsidR="00FD4A52" w:rsidRPr="00575A3E">
        <w:rPr>
          <w:lang w:val="en-GB"/>
        </w:rPr>
        <w:t xml:space="preserve"> conclusions for the </w:t>
      </w:r>
      <w:r w:rsidR="00FD4A52" w:rsidRPr="00575A3E">
        <w:rPr>
          <w:lang w:val="en-GB"/>
        </w:rPr>
        <w:lastRenderedPageBreak/>
        <w:t xml:space="preserve">whole region are different in respect to the conclusions for the CBDs, </w:t>
      </w:r>
      <w:r w:rsidR="006B0E54" w:rsidRPr="00575A3E">
        <w:rPr>
          <w:lang w:val="en-GB"/>
        </w:rPr>
        <w:t>which is a main point for an analysis at a regional scale. This</w:t>
      </w:r>
      <w:r w:rsidR="00FD4A52" w:rsidRPr="00575A3E">
        <w:rPr>
          <w:lang w:val="en-GB"/>
        </w:rPr>
        <w:t xml:space="preserve"> highlights the importance of a spatial analysis of the redistribution of activities in the region, in order to understand the results further through an </w:t>
      </w:r>
      <w:r w:rsidR="006B0E54" w:rsidRPr="00575A3E">
        <w:rPr>
          <w:lang w:val="en-GB"/>
        </w:rPr>
        <w:t>examination</w:t>
      </w:r>
      <w:r w:rsidR="00FD4A52" w:rsidRPr="00575A3E">
        <w:rPr>
          <w:lang w:val="en-GB"/>
        </w:rPr>
        <w:t xml:space="preserve"> with cartographical representations. </w:t>
      </w:r>
    </w:p>
    <w:p w14:paraId="6E829700" w14:textId="77777777" w:rsidR="00057771" w:rsidRPr="00575A3E" w:rsidRDefault="00057771" w:rsidP="003820AD">
      <w:pPr>
        <w:rPr>
          <w:lang w:val="en-GB"/>
        </w:rPr>
      </w:pPr>
    </w:p>
    <w:p w14:paraId="5E9D2C20" w14:textId="1E371087" w:rsidR="00B51DDE" w:rsidRPr="00575A3E" w:rsidRDefault="008C0B43" w:rsidP="00A55356">
      <w:pPr>
        <w:pStyle w:val="Heading2"/>
        <w:spacing w:before="0" w:after="0" w:line="360" w:lineRule="auto"/>
        <w:rPr>
          <w:lang w:val="en-GB"/>
        </w:rPr>
      </w:pPr>
      <w:r w:rsidRPr="00575A3E">
        <w:rPr>
          <w:lang w:val="en-GB"/>
        </w:rPr>
        <w:t xml:space="preserve">Cartographical </w:t>
      </w:r>
      <w:r w:rsidR="009E696E" w:rsidRPr="00575A3E">
        <w:rPr>
          <w:lang w:val="en-GB"/>
        </w:rPr>
        <w:t>r</w:t>
      </w:r>
      <w:r w:rsidRPr="00575A3E">
        <w:rPr>
          <w:lang w:val="en-GB"/>
        </w:rPr>
        <w:t xml:space="preserve">epresentations </w:t>
      </w:r>
    </w:p>
    <w:p w14:paraId="5637F671" w14:textId="2C87F138" w:rsidR="008C0B43" w:rsidRPr="00575A3E" w:rsidRDefault="00923F8D" w:rsidP="005A39E6">
      <w:pPr>
        <w:spacing w:line="360" w:lineRule="auto"/>
        <w:rPr>
          <w:szCs w:val="22"/>
          <w:lang w:val="en-GB"/>
        </w:rPr>
      </w:pPr>
      <w:r w:rsidRPr="00575A3E">
        <w:rPr>
          <w:szCs w:val="22"/>
          <w:lang w:val="en-GB"/>
        </w:rPr>
        <w:t xml:space="preserve">The cartographical representations </w:t>
      </w:r>
      <w:r w:rsidR="007F65D9" w:rsidRPr="00575A3E">
        <w:rPr>
          <w:szCs w:val="22"/>
          <w:lang w:val="en-GB"/>
        </w:rPr>
        <w:t xml:space="preserve">of </w:t>
      </w:r>
      <w:r w:rsidR="004D45BB" w:rsidRPr="00575A3E">
        <w:rPr>
          <w:szCs w:val="22"/>
          <w:lang w:val="en-GB"/>
        </w:rPr>
        <w:t xml:space="preserve">activity and the region </w:t>
      </w:r>
      <w:r w:rsidR="00AC2700" w:rsidRPr="00575A3E">
        <w:rPr>
          <w:szCs w:val="22"/>
          <w:lang w:val="en-GB"/>
        </w:rPr>
        <w:t xml:space="preserve">and accessibilities </w:t>
      </w:r>
      <w:r w:rsidRPr="00575A3E">
        <w:rPr>
          <w:szCs w:val="22"/>
          <w:lang w:val="en-GB"/>
        </w:rPr>
        <w:t>are presented in</w:t>
      </w:r>
      <w:r w:rsidR="00E074EA" w:rsidRPr="00575A3E">
        <w:rPr>
          <w:szCs w:val="22"/>
          <w:lang w:val="en-GB"/>
        </w:rPr>
        <w:t xml:space="preserve"> Figure 9 – Figure 12</w:t>
      </w:r>
      <w:r w:rsidR="009107F6" w:rsidRPr="00575A3E">
        <w:rPr>
          <w:szCs w:val="22"/>
          <w:lang w:val="en-GB"/>
        </w:rPr>
        <w:t>.</w:t>
      </w:r>
      <w:r w:rsidRPr="00575A3E">
        <w:rPr>
          <w:szCs w:val="22"/>
          <w:lang w:val="en-GB"/>
        </w:rPr>
        <w:t xml:space="preserve"> </w:t>
      </w:r>
      <w:r w:rsidR="00F65C42" w:rsidRPr="00575A3E">
        <w:rPr>
          <w:szCs w:val="22"/>
          <w:lang w:val="en-GB"/>
        </w:rPr>
        <w:t xml:space="preserve">All the maps </w:t>
      </w:r>
      <w:r w:rsidR="005A39E6" w:rsidRPr="00575A3E">
        <w:rPr>
          <w:szCs w:val="22"/>
          <w:lang w:val="en-GB"/>
        </w:rPr>
        <w:t>use</w:t>
      </w:r>
      <w:r w:rsidR="00F65C42" w:rsidRPr="00575A3E">
        <w:rPr>
          <w:szCs w:val="22"/>
          <w:lang w:val="en-GB"/>
        </w:rPr>
        <w:t xml:space="preserve"> the projection system of </w:t>
      </w:r>
      <w:r w:rsidR="00B62B2B" w:rsidRPr="00575A3E">
        <w:rPr>
          <w:szCs w:val="22"/>
          <w:lang w:val="en-GB"/>
        </w:rPr>
        <w:t xml:space="preserve">OSGB 1936 / British National Grid, </w:t>
      </w:r>
      <w:r w:rsidR="005A39E6" w:rsidRPr="00575A3E">
        <w:rPr>
          <w:szCs w:val="22"/>
          <w:lang w:val="en-GB"/>
        </w:rPr>
        <w:t>with</w:t>
      </w:r>
      <w:r w:rsidR="00B62B2B" w:rsidRPr="00575A3E">
        <w:rPr>
          <w:szCs w:val="22"/>
          <w:lang w:val="en-GB"/>
        </w:rPr>
        <w:t xml:space="preserve"> Airy 1830</w:t>
      </w:r>
      <w:r w:rsidR="005A39E6" w:rsidRPr="00575A3E">
        <w:rPr>
          <w:szCs w:val="22"/>
          <w:lang w:val="en-GB"/>
        </w:rPr>
        <w:t xml:space="preserve"> ellipsoid</w:t>
      </w:r>
      <w:r w:rsidR="00B62B2B" w:rsidRPr="00575A3E">
        <w:rPr>
          <w:szCs w:val="22"/>
          <w:lang w:val="en-GB"/>
        </w:rPr>
        <w:t xml:space="preserve"> and </w:t>
      </w:r>
      <w:r w:rsidR="005A39E6" w:rsidRPr="00575A3E">
        <w:rPr>
          <w:szCs w:val="22"/>
          <w:lang w:val="en-GB"/>
        </w:rPr>
        <w:t xml:space="preserve">Greenwich as </w:t>
      </w:r>
      <w:r w:rsidR="00B62B2B" w:rsidRPr="00575A3E">
        <w:rPr>
          <w:szCs w:val="22"/>
          <w:lang w:val="en-GB"/>
        </w:rPr>
        <w:t xml:space="preserve">prime median </w:t>
      </w:r>
      <w:r w:rsidR="00B62B2B" w:rsidRPr="00575A3E">
        <w:rPr>
          <w:szCs w:val="22"/>
          <w:lang w:val="en-GB"/>
        </w:rPr>
        <w:fldChar w:fldCharType="begin" w:fldLock="1"/>
      </w:r>
      <w:r w:rsidR="004B2E97" w:rsidRPr="00575A3E">
        <w:rPr>
          <w:szCs w:val="22"/>
          <w:lang w:val="en-GB"/>
        </w:rPr>
        <w:instrText>ADDIN CSL_CITATION {"citationItems":[{"id":"ITEM-1","itemData":{"DOI":"10.1179/003962601791521738","ISSN":"00396265","abstract":"Over the years since its first appearance, Datums and Map Projections has become a key book for many students and professionals around the world. Its theme - a practical guide to coordinate reference systems - is as important now as when it was first published, probably more so when we consider the ever growing use of satellite navigation systems and the introduction of web mapping services such as Google Earth. While retaining the benefits of the first edition - clear presentation assuming no prior knowledge, a problem-solving approach, practical examples and the combination of GPS-derived data from other sources - the rewritten and expanded second edition offers very much more: This new edition, now with a co-author, will maintain the book's reputation as the ideal guide to the subject for years to come.","author":[{"dropping-particle":"","family":"Olliver","given":"J.G.","non-dropping-particle":"","parse-names":false,"suffix":""}],"container-title":"Survey Review","id":"ITEM-1","issue":"279","issued":{"date-parts":[["2012"]]},"title":"Datums and Map Projections for remote sensing, GIS and surveying","type":"article-journal","volume":"36"},"uris":["http://www.mendeley.com/documents/?uuid=5439aa05-2b9e-3e6f-9418-f6d70b006796"]}],"mendeley":{"formattedCitation":"(Olliver, 2012)","plainTextFormattedCitation":"(Olliver, 2012)","previouslyFormattedCitation":"(Olliver, 2012)"},"properties":{"noteIndex":0},"schema":"https://github.com/citation-style-language/schema/raw/master/csl-citation.json"}</w:instrText>
      </w:r>
      <w:r w:rsidR="00B62B2B" w:rsidRPr="00575A3E">
        <w:rPr>
          <w:szCs w:val="22"/>
          <w:lang w:val="en-GB"/>
        </w:rPr>
        <w:fldChar w:fldCharType="separate"/>
      </w:r>
      <w:r w:rsidR="00B62B2B" w:rsidRPr="00575A3E">
        <w:rPr>
          <w:noProof/>
          <w:szCs w:val="22"/>
          <w:lang w:val="en-GB"/>
        </w:rPr>
        <w:t>(Olliver, 2012)</w:t>
      </w:r>
      <w:r w:rsidR="00B62B2B" w:rsidRPr="00575A3E">
        <w:rPr>
          <w:szCs w:val="22"/>
          <w:lang w:val="en-GB"/>
        </w:rPr>
        <w:fldChar w:fldCharType="end"/>
      </w:r>
      <w:r w:rsidR="00B62B2B" w:rsidRPr="00575A3E">
        <w:rPr>
          <w:szCs w:val="22"/>
          <w:lang w:val="en-GB"/>
        </w:rPr>
        <w:t>.</w:t>
      </w:r>
    </w:p>
    <w:p w14:paraId="2E74C6C6" w14:textId="7861F44C" w:rsidR="00437251" w:rsidRPr="00575A3E" w:rsidRDefault="00FE3CE9" w:rsidP="00CD459C">
      <w:pPr>
        <w:pStyle w:val="Caption"/>
        <w:spacing w:after="0" w:line="360" w:lineRule="auto"/>
        <w:ind w:left="-142"/>
        <w:jc w:val="center"/>
        <w:rPr>
          <w:szCs w:val="22"/>
          <w:lang w:val="en-GB"/>
        </w:rPr>
      </w:pPr>
      <w:r w:rsidRPr="00575A3E">
        <w:rPr>
          <w:noProof/>
          <w:szCs w:val="22"/>
          <w:lang w:val="en-GB" w:eastAsia="en-GB"/>
        </w:rPr>
        <w:lastRenderedPageBreak/>
        <w:drawing>
          <wp:inline distT="0" distB="0" distL="0" distR="0" wp14:anchorId="60E612E6" wp14:editId="4A1BC274">
            <wp:extent cx="6587380" cy="78295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09304" cy="7855608"/>
                    </a:xfrm>
                    <a:prstGeom prst="rect">
                      <a:avLst/>
                    </a:prstGeom>
                  </pic:spPr>
                </pic:pic>
              </a:graphicData>
            </a:graphic>
          </wp:inline>
        </w:drawing>
      </w:r>
    </w:p>
    <w:p w14:paraId="6AECC4E2" w14:textId="32A1CF35" w:rsidR="009E41E1" w:rsidRPr="00575A3E" w:rsidRDefault="009E41E1" w:rsidP="00CD459C">
      <w:pPr>
        <w:pStyle w:val="Caption"/>
        <w:spacing w:line="360" w:lineRule="auto"/>
        <w:jc w:val="center"/>
        <w:rPr>
          <w:lang w:val="en-GB"/>
        </w:rPr>
      </w:pPr>
      <w:bookmarkStart w:id="37" w:name="_Ref79682896"/>
      <w:bookmarkStart w:id="38" w:name="_Ref79682897"/>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15</w:t>
      </w:r>
      <w:r w:rsidRPr="00575A3E">
        <w:rPr>
          <w:lang w:val="en-GB"/>
        </w:rPr>
        <w:fldChar w:fldCharType="end"/>
      </w:r>
      <w:bookmarkEnd w:id="37"/>
      <w:r w:rsidRPr="00575A3E">
        <w:rPr>
          <w:szCs w:val="22"/>
          <w:lang w:val="en-GB"/>
        </w:rPr>
        <w:t xml:space="preserve">: </w:t>
      </w:r>
      <w:r w:rsidRPr="00575A3E">
        <w:rPr>
          <w:b w:val="0"/>
          <w:bCs w:val="0"/>
          <w:szCs w:val="22"/>
          <w:lang w:val="en-GB"/>
        </w:rPr>
        <w:t xml:space="preserve">Spatial </w:t>
      </w:r>
      <w:r w:rsidR="005A39E6" w:rsidRPr="00575A3E">
        <w:rPr>
          <w:b w:val="0"/>
          <w:bCs w:val="0"/>
          <w:szCs w:val="22"/>
          <w:lang w:val="en-GB"/>
        </w:rPr>
        <w:t>d</w:t>
      </w:r>
      <w:r w:rsidRPr="00575A3E">
        <w:rPr>
          <w:b w:val="0"/>
          <w:bCs w:val="0"/>
          <w:szCs w:val="22"/>
          <w:lang w:val="en-GB"/>
        </w:rPr>
        <w:t xml:space="preserve">istribution of </w:t>
      </w:r>
      <w:r w:rsidR="005A39E6" w:rsidRPr="00575A3E">
        <w:rPr>
          <w:b w:val="0"/>
          <w:bCs w:val="0"/>
          <w:szCs w:val="22"/>
          <w:lang w:val="en-GB"/>
        </w:rPr>
        <w:t>e</w:t>
      </w:r>
      <w:r w:rsidRPr="00575A3E">
        <w:rPr>
          <w:b w:val="0"/>
          <w:bCs w:val="0"/>
          <w:szCs w:val="22"/>
          <w:lang w:val="en-GB"/>
        </w:rPr>
        <w:t xml:space="preserve">mployment and </w:t>
      </w:r>
      <w:r w:rsidR="005A39E6" w:rsidRPr="00575A3E">
        <w:rPr>
          <w:b w:val="0"/>
          <w:bCs w:val="0"/>
          <w:szCs w:val="22"/>
          <w:lang w:val="en-GB"/>
        </w:rPr>
        <w:t>w</w:t>
      </w:r>
      <w:r w:rsidRPr="00575A3E">
        <w:rPr>
          <w:b w:val="0"/>
          <w:bCs w:val="0"/>
          <w:szCs w:val="22"/>
          <w:lang w:val="en-GB"/>
        </w:rPr>
        <w:t xml:space="preserve">orking </w:t>
      </w:r>
      <w:r w:rsidR="005A39E6" w:rsidRPr="00575A3E">
        <w:rPr>
          <w:b w:val="0"/>
          <w:bCs w:val="0"/>
          <w:szCs w:val="22"/>
          <w:lang w:val="en-GB"/>
        </w:rPr>
        <w:t>a</w:t>
      </w:r>
      <w:r w:rsidRPr="00575A3E">
        <w:rPr>
          <w:b w:val="0"/>
          <w:bCs w:val="0"/>
          <w:szCs w:val="22"/>
          <w:lang w:val="en-GB"/>
        </w:rPr>
        <w:t>dults one year after the simulation period (2036)</w:t>
      </w:r>
    </w:p>
    <w:p w14:paraId="4917CD87" w14:textId="24EF8580" w:rsidR="00437251" w:rsidRPr="00575A3E" w:rsidRDefault="00FE3CE9" w:rsidP="00CD459C">
      <w:pPr>
        <w:pStyle w:val="Caption"/>
        <w:spacing w:line="360" w:lineRule="auto"/>
        <w:jc w:val="center"/>
        <w:rPr>
          <w:b w:val="0"/>
          <w:bCs w:val="0"/>
          <w:szCs w:val="22"/>
          <w:lang w:val="en-GB"/>
        </w:rPr>
      </w:pPr>
      <w:r w:rsidRPr="00575A3E">
        <w:rPr>
          <w:noProof/>
          <w:lang w:val="en-GB" w:eastAsia="en-GB"/>
        </w:rPr>
        <w:lastRenderedPageBreak/>
        <w:drawing>
          <wp:inline distT="0" distB="0" distL="0" distR="0" wp14:anchorId="3194472B" wp14:editId="4220A2F8">
            <wp:extent cx="6401121" cy="79672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7433" cy="7975063"/>
                    </a:xfrm>
                    <a:prstGeom prst="rect">
                      <a:avLst/>
                    </a:prstGeom>
                  </pic:spPr>
                </pic:pic>
              </a:graphicData>
            </a:graphic>
          </wp:inline>
        </w:drawing>
      </w:r>
      <w:r w:rsidR="00BE4380" w:rsidRPr="00575A3E">
        <w:rPr>
          <w:lang w:val="en-GB"/>
        </w:rPr>
        <w:t xml:space="preserve">Figure </w:t>
      </w:r>
      <w:r w:rsidR="00BE4380" w:rsidRPr="00575A3E">
        <w:rPr>
          <w:lang w:val="en-GB"/>
        </w:rPr>
        <w:fldChar w:fldCharType="begin"/>
      </w:r>
      <w:r w:rsidR="00BE4380" w:rsidRPr="00575A3E">
        <w:rPr>
          <w:lang w:val="en-GB"/>
        </w:rPr>
        <w:instrText xml:space="preserve"> SEQ Figure \* ARABIC </w:instrText>
      </w:r>
      <w:r w:rsidR="00BE4380" w:rsidRPr="00575A3E">
        <w:rPr>
          <w:lang w:val="en-GB"/>
        </w:rPr>
        <w:fldChar w:fldCharType="separate"/>
      </w:r>
      <w:r w:rsidR="004A1C59" w:rsidRPr="00575A3E">
        <w:rPr>
          <w:noProof/>
          <w:lang w:val="en-GB"/>
        </w:rPr>
        <w:t>16</w:t>
      </w:r>
      <w:r w:rsidR="00BE4380" w:rsidRPr="00575A3E">
        <w:rPr>
          <w:lang w:val="en-GB"/>
        </w:rPr>
        <w:fldChar w:fldCharType="end"/>
      </w:r>
      <w:bookmarkEnd w:id="38"/>
      <w:r w:rsidR="00BE4380" w:rsidRPr="00575A3E">
        <w:rPr>
          <w:lang w:val="en-GB"/>
        </w:rPr>
        <w:t xml:space="preserve">: </w:t>
      </w:r>
      <w:r w:rsidR="00437251" w:rsidRPr="00575A3E">
        <w:rPr>
          <w:b w:val="0"/>
          <w:bCs w:val="0"/>
          <w:szCs w:val="22"/>
          <w:lang w:val="en-GB"/>
        </w:rPr>
        <w:t xml:space="preserve">Spatial </w:t>
      </w:r>
      <w:r w:rsidR="005A39E6" w:rsidRPr="00575A3E">
        <w:rPr>
          <w:b w:val="0"/>
          <w:bCs w:val="0"/>
          <w:szCs w:val="22"/>
          <w:lang w:val="en-GB"/>
        </w:rPr>
        <w:t>d</w:t>
      </w:r>
      <w:r w:rsidR="00437251" w:rsidRPr="00575A3E">
        <w:rPr>
          <w:b w:val="0"/>
          <w:bCs w:val="0"/>
          <w:szCs w:val="22"/>
          <w:lang w:val="en-GB"/>
        </w:rPr>
        <w:t xml:space="preserve">istribution </w:t>
      </w:r>
      <w:r w:rsidR="005A39E6" w:rsidRPr="00575A3E">
        <w:rPr>
          <w:b w:val="0"/>
          <w:bCs w:val="0"/>
          <w:szCs w:val="22"/>
          <w:lang w:val="en-GB"/>
        </w:rPr>
        <w:t>of r</w:t>
      </w:r>
      <w:r w:rsidR="00437251" w:rsidRPr="00575A3E">
        <w:rPr>
          <w:b w:val="0"/>
          <w:bCs w:val="0"/>
          <w:szCs w:val="22"/>
          <w:lang w:val="en-GB"/>
        </w:rPr>
        <w:t xml:space="preserve">etired </w:t>
      </w:r>
      <w:r w:rsidR="005A39E6" w:rsidRPr="00575A3E">
        <w:rPr>
          <w:b w:val="0"/>
          <w:bCs w:val="0"/>
          <w:szCs w:val="22"/>
          <w:lang w:val="en-GB"/>
        </w:rPr>
        <w:t>p</w:t>
      </w:r>
      <w:r w:rsidR="00437251" w:rsidRPr="00575A3E">
        <w:rPr>
          <w:b w:val="0"/>
          <w:bCs w:val="0"/>
          <w:szCs w:val="22"/>
          <w:lang w:val="en-GB"/>
        </w:rPr>
        <w:t xml:space="preserve">opulation and </w:t>
      </w:r>
      <w:r w:rsidR="005A39E6" w:rsidRPr="00575A3E">
        <w:rPr>
          <w:b w:val="0"/>
          <w:bCs w:val="0"/>
          <w:szCs w:val="22"/>
          <w:lang w:val="en-GB"/>
        </w:rPr>
        <w:t>h</w:t>
      </w:r>
      <w:r w:rsidR="00437251" w:rsidRPr="00575A3E">
        <w:rPr>
          <w:b w:val="0"/>
          <w:bCs w:val="0"/>
          <w:szCs w:val="22"/>
          <w:lang w:val="en-GB"/>
        </w:rPr>
        <w:t xml:space="preserve">ousing </w:t>
      </w:r>
      <w:r w:rsidR="005A39E6" w:rsidRPr="00575A3E">
        <w:rPr>
          <w:b w:val="0"/>
          <w:bCs w:val="0"/>
          <w:szCs w:val="22"/>
          <w:lang w:val="en-GB"/>
        </w:rPr>
        <w:t>r</w:t>
      </w:r>
      <w:r w:rsidR="00437251" w:rsidRPr="00575A3E">
        <w:rPr>
          <w:b w:val="0"/>
          <w:bCs w:val="0"/>
          <w:szCs w:val="22"/>
          <w:lang w:val="en-GB"/>
        </w:rPr>
        <w:t>ent one year after the simulation period (2036)</w:t>
      </w:r>
    </w:p>
    <w:p w14:paraId="7A0266B2" w14:textId="2D4EA326" w:rsidR="005F6D1E" w:rsidRPr="00575A3E" w:rsidRDefault="009E41E1" w:rsidP="00CD459C">
      <w:pPr>
        <w:pStyle w:val="Caption"/>
        <w:spacing w:line="360" w:lineRule="auto"/>
        <w:jc w:val="center"/>
        <w:rPr>
          <w:szCs w:val="22"/>
          <w:lang w:val="en-GB"/>
        </w:rPr>
      </w:pPr>
      <w:bookmarkStart w:id="39" w:name="_Ref79682899"/>
      <w:r w:rsidRPr="00575A3E">
        <w:rPr>
          <w:b w:val="0"/>
          <w:noProof/>
          <w:szCs w:val="22"/>
          <w:lang w:val="en-GB" w:eastAsia="en-GB"/>
        </w:rPr>
        <w:lastRenderedPageBreak/>
        <w:drawing>
          <wp:inline distT="0" distB="0" distL="0" distR="0" wp14:anchorId="1AE0B4F9" wp14:editId="7D9DF8A8">
            <wp:extent cx="5767780" cy="7976430"/>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4" cstate="print">
                      <a:extLst>
                        <a:ext uri="{28A0092B-C50C-407E-A947-70E740481C1C}">
                          <a14:useLocalDpi xmlns:a14="http://schemas.microsoft.com/office/drawing/2010/main" val="0"/>
                        </a:ext>
                      </a:extLst>
                    </a:blip>
                    <a:srcRect t="1011" b="1587"/>
                    <a:stretch/>
                  </pic:blipFill>
                  <pic:spPr bwMode="auto">
                    <a:xfrm>
                      <a:off x="0" y="0"/>
                      <a:ext cx="5803317" cy="8025575"/>
                    </a:xfrm>
                    <a:prstGeom prst="rect">
                      <a:avLst/>
                    </a:prstGeom>
                    <a:ln>
                      <a:noFill/>
                    </a:ln>
                    <a:extLst>
                      <a:ext uri="{53640926-AAD7-44D8-BBD7-CCE9431645EC}">
                        <a14:shadowObscured xmlns:a14="http://schemas.microsoft.com/office/drawing/2010/main"/>
                      </a:ext>
                    </a:extLst>
                  </pic:spPr>
                </pic:pic>
              </a:graphicData>
            </a:graphic>
          </wp:inline>
        </w:drawing>
      </w:r>
      <w:r w:rsidR="00BE4380" w:rsidRPr="00575A3E">
        <w:rPr>
          <w:lang w:val="en-GB"/>
        </w:rPr>
        <w:t xml:space="preserve">Figure </w:t>
      </w:r>
      <w:r w:rsidR="00BE4380" w:rsidRPr="00575A3E">
        <w:rPr>
          <w:lang w:val="en-GB"/>
        </w:rPr>
        <w:fldChar w:fldCharType="begin"/>
      </w:r>
      <w:r w:rsidR="00BE4380" w:rsidRPr="00575A3E">
        <w:rPr>
          <w:lang w:val="en-GB"/>
        </w:rPr>
        <w:instrText xml:space="preserve"> SEQ Figure \* ARABIC </w:instrText>
      </w:r>
      <w:r w:rsidR="00BE4380" w:rsidRPr="00575A3E">
        <w:rPr>
          <w:lang w:val="en-GB"/>
        </w:rPr>
        <w:fldChar w:fldCharType="separate"/>
      </w:r>
      <w:r w:rsidR="004A1C59" w:rsidRPr="00575A3E">
        <w:rPr>
          <w:noProof/>
          <w:lang w:val="en-GB"/>
        </w:rPr>
        <w:t>17</w:t>
      </w:r>
      <w:r w:rsidR="00BE4380" w:rsidRPr="00575A3E">
        <w:rPr>
          <w:lang w:val="en-GB"/>
        </w:rPr>
        <w:fldChar w:fldCharType="end"/>
      </w:r>
      <w:bookmarkEnd w:id="39"/>
      <w:r w:rsidR="005F6D1E" w:rsidRPr="00575A3E">
        <w:rPr>
          <w:szCs w:val="22"/>
          <w:lang w:val="en-GB"/>
        </w:rPr>
        <w:t xml:space="preserve">: </w:t>
      </w:r>
      <w:r w:rsidR="0042191A" w:rsidRPr="00575A3E">
        <w:rPr>
          <w:b w:val="0"/>
          <w:bCs w:val="0"/>
          <w:szCs w:val="22"/>
          <w:lang w:val="en-GB"/>
        </w:rPr>
        <w:t xml:space="preserve">Spatial </w:t>
      </w:r>
      <w:r w:rsidR="005A39E6" w:rsidRPr="00575A3E">
        <w:rPr>
          <w:b w:val="0"/>
          <w:bCs w:val="0"/>
          <w:szCs w:val="22"/>
          <w:lang w:val="en-GB"/>
        </w:rPr>
        <w:t>d</w:t>
      </w:r>
      <w:r w:rsidR="0042191A" w:rsidRPr="00575A3E">
        <w:rPr>
          <w:b w:val="0"/>
          <w:bCs w:val="0"/>
          <w:szCs w:val="22"/>
          <w:lang w:val="en-GB"/>
        </w:rPr>
        <w:t>istribution</w:t>
      </w:r>
      <w:r w:rsidR="00437251" w:rsidRPr="00575A3E">
        <w:rPr>
          <w:b w:val="0"/>
          <w:bCs w:val="0"/>
          <w:szCs w:val="22"/>
          <w:lang w:val="en-GB"/>
        </w:rPr>
        <w:t xml:space="preserve"> of</w:t>
      </w:r>
      <w:r w:rsidR="0024331D" w:rsidRPr="00575A3E">
        <w:rPr>
          <w:b w:val="0"/>
          <w:bCs w:val="0"/>
          <w:szCs w:val="22"/>
          <w:lang w:val="en-GB"/>
        </w:rPr>
        <w:t xml:space="preserve"> </w:t>
      </w:r>
      <w:r w:rsidR="005A39E6" w:rsidRPr="00575A3E">
        <w:rPr>
          <w:b w:val="0"/>
          <w:bCs w:val="0"/>
          <w:szCs w:val="22"/>
          <w:lang w:val="en-GB"/>
        </w:rPr>
        <w:t>o</w:t>
      </w:r>
      <w:r w:rsidR="00437251" w:rsidRPr="00575A3E">
        <w:rPr>
          <w:b w:val="0"/>
          <w:bCs w:val="0"/>
          <w:szCs w:val="22"/>
          <w:lang w:val="en-GB"/>
        </w:rPr>
        <w:t>rigin</w:t>
      </w:r>
      <w:r w:rsidR="0024331D" w:rsidRPr="00575A3E">
        <w:rPr>
          <w:b w:val="0"/>
          <w:bCs w:val="0"/>
          <w:szCs w:val="22"/>
          <w:lang w:val="en-GB"/>
        </w:rPr>
        <w:t xml:space="preserve"> accessibilities one year after the simulation period</w:t>
      </w:r>
      <w:r w:rsidR="000C5569" w:rsidRPr="00575A3E">
        <w:rPr>
          <w:b w:val="0"/>
          <w:bCs w:val="0"/>
          <w:szCs w:val="22"/>
          <w:lang w:val="en-GB"/>
        </w:rPr>
        <w:t xml:space="preserve"> (2036)</w:t>
      </w:r>
    </w:p>
    <w:p w14:paraId="52DF89DA" w14:textId="117BF9C7" w:rsidR="00437251" w:rsidRPr="00575A3E" w:rsidRDefault="009E41E1" w:rsidP="00CD459C">
      <w:pPr>
        <w:pStyle w:val="Caption"/>
        <w:spacing w:line="360" w:lineRule="auto"/>
        <w:jc w:val="center"/>
        <w:rPr>
          <w:szCs w:val="22"/>
          <w:lang w:val="en-GB"/>
        </w:rPr>
      </w:pPr>
      <w:bookmarkStart w:id="40" w:name="_Ref79682901"/>
      <w:r w:rsidRPr="00575A3E">
        <w:rPr>
          <w:noProof/>
          <w:szCs w:val="22"/>
          <w:lang w:val="en-GB" w:eastAsia="en-GB"/>
        </w:rPr>
        <w:lastRenderedPageBreak/>
        <w:drawing>
          <wp:inline distT="0" distB="0" distL="0" distR="0" wp14:anchorId="4D78DD3B" wp14:editId="4C208718">
            <wp:extent cx="5793995" cy="79114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5" cstate="print">
                      <a:extLst>
                        <a:ext uri="{28A0092B-C50C-407E-A947-70E740481C1C}">
                          <a14:useLocalDpi xmlns:a14="http://schemas.microsoft.com/office/drawing/2010/main" val="0"/>
                        </a:ext>
                      </a:extLst>
                    </a:blip>
                    <a:srcRect l="606" t="1443" b="1722"/>
                    <a:stretch/>
                  </pic:blipFill>
                  <pic:spPr bwMode="auto">
                    <a:xfrm>
                      <a:off x="0" y="0"/>
                      <a:ext cx="5826731" cy="7956161"/>
                    </a:xfrm>
                    <a:prstGeom prst="rect">
                      <a:avLst/>
                    </a:prstGeom>
                    <a:ln>
                      <a:noFill/>
                    </a:ln>
                    <a:extLst>
                      <a:ext uri="{53640926-AAD7-44D8-BBD7-CCE9431645EC}">
                        <a14:shadowObscured xmlns:a14="http://schemas.microsoft.com/office/drawing/2010/main"/>
                      </a:ext>
                    </a:extLst>
                  </pic:spPr>
                </pic:pic>
              </a:graphicData>
            </a:graphic>
          </wp:inline>
        </w:drawing>
      </w:r>
      <w:r w:rsidR="00BE4380" w:rsidRPr="00575A3E">
        <w:rPr>
          <w:lang w:val="en-GB"/>
        </w:rPr>
        <w:t xml:space="preserve">Figure </w:t>
      </w:r>
      <w:r w:rsidR="00BE4380" w:rsidRPr="00575A3E">
        <w:rPr>
          <w:lang w:val="en-GB"/>
        </w:rPr>
        <w:fldChar w:fldCharType="begin"/>
      </w:r>
      <w:r w:rsidR="00BE4380" w:rsidRPr="00575A3E">
        <w:rPr>
          <w:lang w:val="en-GB"/>
        </w:rPr>
        <w:instrText xml:space="preserve"> SEQ Figure \* ARABIC </w:instrText>
      </w:r>
      <w:r w:rsidR="00BE4380" w:rsidRPr="00575A3E">
        <w:rPr>
          <w:lang w:val="en-GB"/>
        </w:rPr>
        <w:fldChar w:fldCharType="separate"/>
      </w:r>
      <w:r w:rsidR="004A1C59" w:rsidRPr="00575A3E">
        <w:rPr>
          <w:noProof/>
          <w:lang w:val="en-GB"/>
        </w:rPr>
        <w:t>18</w:t>
      </w:r>
      <w:r w:rsidR="00BE4380" w:rsidRPr="00575A3E">
        <w:rPr>
          <w:lang w:val="en-GB"/>
        </w:rPr>
        <w:fldChar w:fldCharType="end"/>
      </w:r>
      <w:bookmarkEnd w:id="40"/>
      <w:r w:rsidR="00BE4380" w:rsidRPr="00575A3E">
        <w:rPr>
          <w:lang w:val="en-GB"/>
        </w:rPr>
        <w:t xml:space="preserve">: </w:t>
      </w:r>
      <w:r w:rsidR="00437251" w:rsidRPr="00575A3E">
        <w:rPr>
          <w:b w:val="0"/>
          <w:bCs w:val="0"/>
          <w:szCs w:val="22"/>
          <w:lang w:val="en-GB"/>
        </w:rPr>
        <w:t xml:space="preserve">Spatial </w:t>
      </w:r>
      <w:r w:rsidR="005A39E6" w:rsidRPr="00575A3E">
        <w:rPr>
          <w:b w:val="0"/>
          <w:bCs w:val="0"/>
          <w:szCs w:val="22"/>
          <w:lang w:val="en-GB"/>
        </w:rPr>
        <w:t>d</w:t>
      </w:r>
      <w:r w:rsidR="00437251" w:rsidRPr="00575A3E">
        <w:rPr>
          <w:b w:val="0"/>
          <w:bCs w:val="0"/>
          <w:szCs w:val="22"/>
          <w:lang w:val="en-GB"/>
        </w:rPr>
        <w:t xml:space="preserve">istribution of </w:t>
      </w:r>
      <w:r w:rsidR="005A39E6" w:rsidRPr="00575A3E">
        <w:rPr>
          <w:b w:val="0"/>
          <w:bCs w:val="0"/>
          <w:szCs w:val="22"/>
          <w:lang w:val="en-GB"/>
        </w:rPr>
        <w:t>d</w:t>
      </w:r>
      <w:r w:rsidR="00437251" w:rsidRPr="00575A3E">
        <w:rPr>
          <w:b w:val="0"/>
          <w:bCs w:val="0"/>
          <w:szCs w:val="22"/>
          <w:lang w:val="en-GB"/>
        </w:rPr>
        <w:t>estination accessibilities one year after the simulation period (2036)</w:t>
      </w:r>
    </w:p>
    <w:p w14:paraId="76810CBF" w14:textId="701BF744" w:rsidR="00184F36" w:rsidRPr="00575A3E" w:rsidRDefault="00D44078" w:rsidP="00A55356">
      <w:pPr>
        <w:spacing w:line="360" w:lineRule="auto"/>
        <w:rPr>
          <w:szCs w:val="22"/>
          <w:lang w:val="en-GB"/>
        </w:rPr>
      </w:pPr>
      <w:r w:rsidRPr="00575A3E">
        <w:rPr>
          <w:szCs w:val="22"/>
          <w:lang w:val="en-GB"/>
        </w:rPr>
        <w:lastRenderedPageBreak/>
        <w:t xml:space="preserve">From all the maps it is evident that the scenarios </w:t>
      </w:r>
      <w:r w:rsidR="00DA5373" w:rsidRPr="00575A3E">
        <w:rPr>
          <w:szCs w:val="22"/>
          <w:lang w:val="en-GB"/>
        </w:rPr>
        <w:t>comprising a</w:t>
      </w:r>
      <w:r w:rsidRPr="00575A3E">
        <w:rPr>
          <w:szCs w:val="22"/>
          <w:lang w:val="en-GB"/>
        </w:rPr>
        <w:t xml:space="preserve"> </w:t>
      </w:r>
      <w:r w:rsidR="00DA5373" w:rsidRPr="00575A3E">
        <w:rPr>
          <w:szCs w:val="22"/>
          <w:lang w:val="en-GB"/>
        </w:rPr>
        <w:t xml:space="preserve">road capacity </w:t>
      </w:r>
      <w:r w:rsidRPr="00575A3E">
        <w:rPr>
          <w:szCs w:val="22"/>
          <w:lang w:val="en-GB"/>
        </w:rPr>
        <w:t xml:space="preserve">increase have more </w:t>
      </w:r>
      <w:r w:rsidR="009E696E" w:rsidRPr="00575A3E">
        <w:rPr>
          <w:szCs w:val="22"/>
          <w:lang w:val="en-GB"/>
        </w:rPr>
        <w:t xml:space="preserve">pronounced </w:t>
      </w:r>
      <w:r w:rsidRPr="00575A3E">
        <w:rPr>
          <w:szCs w:val="22"/>
          <w:lang w:val="en-GB"/>
        </w:rPr>
        <w:t xml:space="preserve">impacts than those where the PCU value remained </w:t>
      </w:r>
      <w:r w:rsidR="005A39E6" w:rsidRPr="00575A3E">
        <w:rPr>
          <w:szCs w:val="22"/>
          <w:lang w:val="en-GB"/>
        </w:rPr>
        <w:t>1</w:t>
      </w:r>
      <w:r w:rsidR="000C5569" w:rsidRPr="00575A3E">
        <w:rPr>
          <w:szCs w:val="22"/>
          <w:lang w:val="en-GB"/>
        </w:rPr>
        <w:t>, as was also concluded from the time</w:t>
      </w:r>
      <w:r w:rsidR="009E696E" w:rsidRPr="00575A3E">
        <w:rPr>
          <w:szCs w:val="22"/>
          <w:lang w:val="en-GB"/>
        </w:rPr>
        <w:t xml:space="preserve"> </w:t>
      </w:r>
      <w:r w:rsidR="000C5569" w:rsidRPr="00575A3E">
        <w:rPr>
          <w:szCs w:val="22"/>
          <w:lang w:val="en-GB"/>
        </w:rPr>
        <w:t>series analysed in the previous section.</w:t>
      </w:r>
    </w:p>
    <w:p w14:paraId="3FBB9808" w14:textId="77777777" w:rsidR="005A39E6" w:rsidRPr="00575A3E" w:rsidRDefault="005A39E6" w:rsidP="00A55356">
      <w:pPr>
        <w:spacing w:line="360" w:lineRule="auto"/>
        <w:rPr>
          <w:szCs w:val="22"/>
          <w:lang w:val="en-GB"/>
        </w:rPr>
      </w:pPr>
    </w:p>
    <w:p w14:paraId="68A98798" w14:textId="12B50BCE" w:rsidR="00511314" w:rsidRPr="00575A3E" w:rsidRDefault="00D44078" w:rsidP="00CD459C">
      <w:pPr>
        <w:spacing w:line="360" w:lineRule="auto"/>
        <w:rPr>
          <w:szCs w:val="22"/>
          <w:lang w:val="en-GB"/>
        </w:rPr>
      </w:pPr>
      <w:r w:rsidRPr="00575A3E">
        <w:rPr>
          <w:szCs w:val="22"/>
          <w:lang w:val="en-GB"/>
        </w:rPr>
        <w:t xml:space="preserve">For the three variables of employment, working adults and housing rent, it </w:t>
      </w:r>
      <w:r w:rsidR="00DA5373" w:rsidRPr="00575A3E">
        <w:rPr>
          <w:szCs w:val="22"/>
          <w:lang w:val="en-GB"/>
        </w:rPr>
        <w:t>can be observed</w:t>
      </w:r>
      <w:r w:rsidRPr="00575A3E">
        <w:rPr>
          <w:szCs w:val="22"/>
          <w:lang w:val="en-GB"/>
        </w:rPr>
        <w:t xml:space="preserve"> from the maps that in </w:t>
      </w:r>
      <w:bookmarkStart w:id="41" w:name="_Hlk96012442"/>
      <w:r w:rsidRPr="00575A3E">
        <w:rPr>
          <w:szCs w:val="22"/>
          <w:lang w:val="en-GB"/>
        </w:rPr>
        <w:t xml:space="preserve">the </w:t>
      </w:r>
      <w:r w:rsidR="005A39E6" w:rsidRPr="00575A3E">
        <w:rPr>
          <w:szCs w:val="22"/>
          <w:lang w:val="en-GB"/>
        </w:rPr>
        <w:t xml:space="preserve">‘N’ </w:t>
      </w:r>
      <w:r w:rsidRPr="00575A3E">
        <w:rPr>
          <w:szCs w:val="22"/>
          <w:lang w:val="en-GB"/>
        </w:rPr>
        <w:t>scenarios</w:t>
      </w:r>
      <w:r w:rsidR="005A39E6" w:rsidRPr="00575A3E">
        <w:rPr>
          <w:szCs w:val="22"/>
          <w:lang w:val="en-GB"/>
        </w:rPr>
        <w:t>, in which</w:t>
      </w:r>
      <w:r w:rsidRPr="00575A3E">
        <w:rPr>
          <w:szCs w:val="22"/>
          <w:lang w:val="en-GB"/>
        </w:rPr>
        <w:t xml:space="preserve"> the PCU remained </w:t>
      </w:r>
      <w:bookmarkEnd w:id="41"/>
      <w:r w:rsidR="005A39E6" w:rsidRPr="00575A3E">
        <w:rPr>
          <w:szCs w:val="22"/>
          <w:lang w:val="en-GB"/>
        </w:rPr>
        <w:t xml:space="preserve">1, </w:t>
      </w:r>
      <w:r w:rsidRPr="00575A3E">
        <w:rPr>
          <w:szCs w:val="22"/>
          <w:lang w:val="en-GB"/>
        </w:rPr>
        <w:t>the development was more balanced across</w:t>
      </w:r>
      <w:r w:rsidR="00B51054" w:rsidRPr="00575A3E">
        <w:rPr>
          <w:szCs w:val="22"/>
          <w:lang w:val="en-GB"/>
        </w:rPr>
        <w:t xml:space="preserve"> the</w:t>
      </w:r>
      <w:r w:rsidRPr="00575A3E">
        <w:rPr>
          <w:szCs w:val="22"/>
          <w:lang w:val="en-GB"/>
        </w:rPr>
        <w:t xml:space="preserve"> urban cores of the region and rural areas</w:t>
      </w:r>
      <w:r w:rsidR="00730B95" w:rsidRPr="00575A3E">
        <w:rPr>
          <w:szCs w:val="22"/>
          <w:lang w:val="en-GB"/>
        </w:rPr>
        <w:t>, because the percentage changes in the respective zones were between 0 to 1%. However,</w:t>
      </w:r>
      <w:r w:rsidR="00C34549" w:rsidRPr="00575A3E">
        <w:rPr>
          <w:szCs w:val="22"/>
          <w:lang w:val="en-GB"/>
        </w:rPr>
        <w:t xml:space="preserve"> in comparison with the </w:t>
      </w:r>
      <w:r w:rsidR="005A39E6" w:rsidRPr="00575A3E">
        <w:rPr>
          <w:szCs w:val="22"/>
          <w:lang w:val="en-GB"/>
        </w:rPr>
        <w:t xml:space="preserve">‘P’ </w:t>
      </w:r>
      <w:r w:rsidR="00C34549" w:rsidRPr="00575A3E">
        <w:rPr>
          <w:szCs w:val="22"/>
          <w:lang w:val="en-GB"/>
        </w:rPr>
        <w:t>scenarios</w:t>
      </w:r>
      <w:r w:rsidR="00730B95" w:rsidRPr="00575A3E">
        <w:rPr>
          <w:szCs w:val="22"/>
          <w:lang w:val="en-GB"/>
        </w:rPr>
        <w:t>,</w:t>
      </w:r>
      <w:r w:rsidR="00C34549" w:rsidRPr="00575A3E">
        <w:rPr>
          <w:szCs w:val="22"/>
          <w:lang w:val="en-GB"/>
        </w:rPr>
        <w:t xml:space="preserve"> </w:t>
      </w:r>
      <w:r w:rsidR="005A39E6" w:rsidRPr="00575A3E">
        <w:rPr>
          <w:szCs w:val="22"/>
          <w:lang w:val="en-GB"/>
        </w:rPr>
        <w:t xml:space="preserve">in which </w:t>
      </w:r>
      <w:r w:rsidR="00C34549" w:rsidRPr="00575A3E">
        <w:rPr>
          <w:szCs w:val="22"/>
          <w:lang w:val="en-GB"/>
        </w:rPr>
        <w:t xml:space="preserve">the PCU </w:t>
      </w:r>
      <w:r w:rsidR="005A39E6" w:rsidRPr="00575A3E">
        <w:rPr>
          <w:szCs w:val="22"/>
          <w:lang w:val="en-GB"/>
        </w:rPr>
        <w:t>value was reduced</w:t>
      </w:r>
      <w:r w:rsidR="00730B95" w:rsidRPr="00575A3E">
        <w:rPr>
          <w:szCs w:val="22"/>
          <w:lang w:val="en-GB"/>
        </w:rPr>
        <w:t>, employment, working adults and housing rent did not follow the same patterns</w:t>
      </w:r>
      <w:r w:rsidRPr="00575A3E">
        <w:rPr>
          <w:szCs w:val="22"/>
          <w:lang w:val="en-GB"/>
        </w:rPr>
        <w:t>.</w:t>
      </w:r>
      <w:r w:rsidR="002E6242" w:rsidRPr="00575A3E">
        <w:rPr>
          <w:szCs w:val="22"/>
          <w:lang w:val="en-GB"/>
        </w:rPr>
        <w:t xml:space="preserve"> More specifically, regarding employment</w:t>
      </w:r>
      <w:r w:rsidR="005A39E6" w:rsidRPr="00575A3E">
        <w:rPr>
          <w:szCs w:val="22"/>
          <w:lang w:val="en-GB"/>
        </w:rPr>
        <w:t>,</w:t>
      </w:r>
      <w:r w:rsidR="002E6242" w:rsidRPr="00575A3E">
        <w:rPr>
          <w:szCs w:val="22"/>
          <w:lang w:val="en-GB"/>
        </w:rPr>
        <w:t xml:space="preserve"> in </w:t>
      </w:r>
      <w:r w:rsidR="005A39E6" w:rsidRPr="00575A3E">
        <w:rPr>
          <w:szCs w:val="22"/>
          <w:lang w:val="en-GB"/>
        </w:rPr>
        <w:t xml:space="preserve">‘N’ </w:t>
      </w:r>
      <w:r w:rsidR="00190D70" w:rsidRPr="00575A3E">
        <w:rPr>
          <w:szCs w:val="22"/>
          <w:lang w:val="en-GB"/>
        </w:rPr>
        <w:t>scenarios</w:t>
      </w:r>
      <w:r w:rsidR="002E6242" w:rsidRPr="00575A3E">
        <w:rPr>
          <w:szCs w:val="22"/>
          <w:lang w:val="en-GB"/>
        </w:rPr>
        <w:t xml:space="preserve"> </w:t>
      </w:r>
      <w:r w:rsidR="00DA5373" w:rsidRPr="00575A3E">
        <w:rPr>
          <w:szCs w:val="22"/>
          <w:lang w:val="en-GB"/>
        </w:rPr>
        <w:t xml:space="preserve">it appears that </w:t>
      </w:r>
      <w:r w:rsidR="001D7D86" w:rsidRPr="00575A3E">
        <w:rPr>
          <w:szCs w:val="22"/>
          <w:lang w:val="en-GB"/>
        </w:rPr>
        <w:t>higher penetration of new vehicle technologies in the fleet</w:t>
      </w:r>
      <w:r w:rsidR="00DA5373" w:rsidRPr="00575A3E">
        <w:rPr>
          <w:szCs w:val="22"/>
          <w:lang w:val="en-GB"/>
        </w:rPr>
        <w:t xml:space="preserve"> results in fewer</w:t>
      </w:r>
      <w:r w:rsidR="001D7D86" w:rsidRPr="00575A3E">
        <w:rPr>
          <w:szCs w:val="22"/>
          <w:lang w:val="en-GB"/>
        </w:rPr>
        <w:t xml:space="preserve"> zones</w:t>
      </w:r>
      <w:r w:rsidR="00DA5373" w:rsidRPr="00575A3E">
        <w:rPr>
          <w:szCs w:val="22"/>
          <w:lang w:val="en-GB"/>
        </w:rPr>
        <w:t xml:space="preserve"> with low</w:t>
      </w:r>
      <w:r w:rsidR="001D7D86" w:rsidRPr="00575A3E">
        <w:rPr>
          <w:szCs w:val="22"/>
          <w:lang w:val="en-GB"/>
        </w:rPr>
        <w:t xml:space="preserve"> </w:t>
      </w:r>
      <w:r w:rsidR="00F04EB5" w:rsidRPr="00575A3E">
        <w:rPr>
          <w:szCs w:val="22"/>
          <w:lang w:val="en-GB"/>
        </w:rPr>
        <w:t>employment</w:t>
      </w:r>
      <w:r w:rsidR="001D7D86" w:rsidRPr="00575A3E">
        <w:rPr>
          <w:szCs w:val="22"/>
          <w:lang w:val="en-GB"/>
        </w:rPr>
        <w:t xml:space="preserve"> </w:t>
      </w:r>
      <w:r w:rsidR="00DA5373" w:rsidRPr="00575A3E">
        <w:rPr>
          <w:szCs w:val="22"/>
          <w:lang w:val="en-GB"/>
        </w:rPr>
        <w:t>levels</w:t>
      </w:r>
      <w:r w:rsidR="001D7D86" w:rsidRPr="00575A3E">
        <w:rPr>
          <w:szCs w:val="22"/>
          <w:lang w:val="en-GB"/>
        </w:rPr>
        <w:t>.</w:t>
      </w:r>
      <w:r w:rsidR="00730B95" w:rsidRPr="00575A3E">
        <w:rPr>
          <w:szCs w:val="22"/>
          <w:lang w:val="en-GB"/>
        </w:rPr>
        <w:t xml:space="preserve"> </w:t>
      </w:r>
      <w:r w:rsidR="00BF1A4C" w:rsidRPr="00575A3E">
        <w:rPr>
          <w:szCs w:val="22"/>
          <w:lang w:val="en-GB"/>
        </w:rPr>
        <w:t>Specifically</w:t>
      </w:r>
      <w:r w:rsidR="00730B95" w:rsidRPr="00575A3E">
        <w:rPr>
          <w:szCs w:val="22"/>
          <w:lang w:val="en-GB"/>
        </w:rPr>
        <w:t xml:space="preserve">, </w:t>
      </w:r>
      <w:r w:rsidR="00EF2D9C" w:rsidRPr="00575A3E">
        <w:rPr>
          <w:szCs w:val="22"/>
          <w:lang w:val="en-GB"/>
        </w:rPr>
        <w:t>16</w:t>
      </w:r>
      <w:r w:rsidR="00730B95" w:rsidRPr="00575A3E">
        <w:rPr>
          <w:szCs w:val="22"/>
          <w:lang w:val="en-GB"/>
        </w:rPr>
        <w:t xml:space="preserve"> zones </w:t>
      </w:r>
      <w:r w:rsidR="009B071A" w:rsidRPr="00575A3E">
        <w:rPr>
          <w:szCs w:val="22"/>
          <w:lang w:val="en-GB"/>
        </w:rPr>
        <w:t xml:space="preserve">exhibit a </w:t>
      </w:r>
      <w:r w:rsidR="00730B95" w:rsidRPr="00575A3E">
        <w:rPr>
          <w:szCs w:val="22"/>
          <w:lang w:val="en-GB"/>
        </w:rPr>
        <w:t xml:space="preserve">-0.5% to 0% change in employment in </w:t>
      </w:r>
      <w:r w:rsidR="00DA5373" w:rsidRPr="00575A3E">
        <w:rPr>
          <w:szCs w:val="22"/>
          <w:lang w:val="en-GB"/>
        </w:rPr>
        <w:t>s</w:t>
      </w:r>
      <w:r w:rsidR="001D7D86" w:rsidRPr="00575A3E">
        <w:rPr>
          <w:szCs w:val="22"/>
          <w:lang w:val="en-GB"/>
        </w:rPr>
        <w:t>cenario 1N</w:t>
      </w:r>
      <w:r w:rsidR="00730B95" w:rsidRPr="00575A3E">
        <w:rPr>
          <w:szCs w:val="22"/>
          <w:lang w:val="en-GB"/>
        </w:rPr>
        <w:t xml:space="preserve"> </w:t>
      </w:r>
      <w:r w:rsidR="00555D80" w:rsidRPr="00575A3E">
        <w:rPr>
          <w:szCs w:val="22"/>
          <w:lang w:val="en-GB"/>
        </w:rPr>
        <w:t>and</w:t>
      </w:r>
      <w:r w:rsidR="009B071A" w:rsidRPr="00575A3E">
        <w:rPr>
          <w:szCs w:val="22"/>
          <w:lang w:val="en-GB"/>
        </w:rPr>
        <w:t xml:space="preserve"> these are</w:t>
      </w:r>
      <w:r w:rsidR="00555D80" w:rsidRPr="00575A3E">
        <w:rPr>
          <w:szCs w:val="22"/>
          <w:lang w:val="en-GB"/>
        </w:rPr>
        <w:t xml:space="preserve"> </w:t>
      </w:r>
      <w:r w:rsidR="00730B95" w:rsidRPr="00575A3E">
        <w:rPr>
          <w:szCs w:val="22"/>
          <w:lang w:val="en-GB"/>
        </w:rPr>
        <w:t>mostly concentrated in</w:t>
      </w:r>
      <w:r w:rsidR="001D7D86" w:rsidRPr="00575A3E">
        <w:rPr>
          <w:szCs w:val="22"/>
          <w:lang w:val="en-GB"/>
        </w:rPr>
        <w:t xml:space="preserve"> </w:t>
      </w:r>
      <w:r w:rsidR="00555D80" w:rsidRPr="00575A3E">
        <w:rPr>
          <w:szCs w:val="22"/>
          <w:lang w:val="en-GB"/>
        </w:rPr>
        <w:t xml:space="preserve">the </w:t>
      </w:r>
      <w:r w:rsidR="00DA5373" w:rsidRPr="00575A3E">
        <w:rPr>
          <w:szCs w:val="22"/>
          <w:lang w:val="en-GB"/>
        </w:rPr>
        <w:t>S</w:t>
      </w:r>
      <w:r w:rsidR="001D7D86" w:rsidRPr="00575A3E">
        <w:rPr>
          <w:szCs w:val="22"/>
          <w:lang w:val="en-GB"/>
        </w:rPr>
        <w:t xml:space="preserve">outh and </w:t>
      </w:r>
      <w:r w:rsidR="00DA5373" w:rsidRPr="00575A3E">
        <w:rPr>
          <w:szCs w:val="22"/>
          <w:lang w:val="en-GB"/>
        </w:rPr>
        <w:t>N</w:t>
      </w:r>
      <w:r w:rsidR="001D7D86" w:rsidRPr="00575A3E">
        <w:rPr>
          <w:szCs w:val="22"/>
          <w:lang w:val="en-GB"/>
        </w:rPr>
        <w:t>orth</w:t>
      </w:r>
      <w:r w:rsidR="00DA5373" w:rsidRPr="00575A3E">
        <w:rPr>
          <w:szCs w:val="22"/>
          <w:lang w:val="en-GB"/>
        </w:rPr>
        <w:t>-W</w:t>
      </w:r>
      <w:r w:rsidR="001D7D86" w:rsidRPr="00575A3E">
        <w:rPr>
          <w:szCs w:val="22"/>
          <w:lang w:val="en-GB"/>
        </w:rPr>
        <w:t>est, but as penetration increases in scenarios 2N, 3N, and 4N</w:t>
      </w:r>
      <w:r w:rsidR="00DA5373" w:rsidRPr="00575A3E">
        <w:rPr>
          <w:szCs w:val="22"/>
          <w:lang w:val="en-GB"/>
        </w:rPr>
        <w:t>,</w:t>
      </w:r>
      <w:r w:rsidR="001D7D86" w:rsidRPr="00575A3E">
        <w:rPr>
          <w:szCs w:val="22"/>
          <w:lang w:val="en-GB"/>
        </w:rPr>
        <w:t xml:space="preserve"> </w:t>
      </w:r>
      <w:r w:rsidR="00BF1A4C" w:rsidRPr="00575A3E">
        <w:rPr>
          <w:szCs w:val="22"/>
          <w:lang w:val="en-GB"/>
        </w:rPr>
        <w:t xml:space="preserve">this pattern is observed in </w:t>
      </w:r>
      <w:r w:rsidR="00DA5373" w:rsidRPr="00575A3E">
        <w:rPr>
          <w:szCs w:val="22"/>
          <w:lang w:val="en-GB"/>
        </w:rPr>
        <w:t>considerably fewer such</w:t>
      </w:r>
      <w:r w:rsidR="001D7D86" w:rsidRPr="00575A3E">
        <w:rPr>
          <w:szCs w:val="22"/>
          <w:lang w:val="en-GB"/>
        </w:rPr>
        <w:t xml:space="preserve"> zones</w:t>
      </w:r>
      <w:r w:rsidR="00BF1A4C" w:rsidRPr="00575A3E">
        <w:rPr>
          <w:szCs w:val="22"/>
          <w:lang w:val="en-GB"/>
        </w:rPr>
        <w:t xml:space="preserve"> </w:t>
      </w:r>
      <w:r w:rsidR="00EF2D9C" w:rsidRPr="00575A3E">
        <w:rPr>
          <w:szCs w:val="22"/>
          <w:lang w:val="en-GB"/>
        </w:rPr>
        <w:t>(nine</w:t>
      </w:r>
      <w:r w:rsidR="00BF1A4C" w:rsidRPr="00575A3E">
        <w:rPr>
          <w:szCs w:val="22"/>
          <w:lang w:val="en-GB"/>
        </w:rPr>
        <w:t xml:space="preserve">, </w:t>
      </w:r>
      <w:r w:rsidR="00EF2D9C" w:rsidRPr="00575A3E">
        <w:rPr>
          <w:szCs w:val="22"/>
          <w:lang w:val="en-GB"/>
        </w:rPr>
        <w:t>six</w:t>
      </w:r>
      <w:r w:rsidR="00BF1A4C" w:rsidRPr="00575A3E">
        <w:rPr>
          <w:szCs w:val="22"/>
          <w:lang w:val="en-GB"/>
        </w:rPr>
        <w:t xml:space="preserve"> and three, respectively)</w:t>
      </w:r>
      <w:r w:rsidR="00DA5373" w:rsidRPr="00575A3E">
        <w:rPr>
          <w:szCs w:val="22"/>
          <w:lang w:val="en-GB"/>
        </w:rPr>
        <w:t xml:space="preserve"> </w:t>
      </w:r>
      <w:r w:rsidR="00BF1A4C" w:rsidRPr="00575A3E">
        <w:rPr>
          <w:szCs w:val="22"/>
          <w:lang w:val="en-GB"/>
        </w:rPr>
        <w:t>that</w:t>
      </w:r>
      <w:r w:rsidR="001D7D86" w:rsidRPr="00575A3E">
        <w:rPr>
          <w:szCs w:val="22"/>
          <w:lang w:val="en-GB"/>
        </w:rPr>
        <w:t xml:space="preserve"> are </w:t>
      </w:r>
      <w:r w:rsidR="00BF1A4C" w:rsidRPr="00575A3E">
        <w:rPr>
          <w:szCs w:val="22"/>
          <w:lang w:val="en-GB"/>
        </w:rPr>
        <w:t xml:space="preserve">predominantly </w:t>
      </w:r>
      <w:r w:rsidR="001D7D86" w:rsidRPr="00575A3E">
        <w:rPr>
          <w:szCs w:val="22"/>
          <w:lang w:val="en-GB"/>
        </w:rPr>
        <w:t xml:space="preserve">located only in the </w:t>
      </w:r>
      <w:r w:rsidR="00DA5373" w:rsidRPr="00575A3E">
        <w:rPr>
          <w:szCs w:val="22"/>
          <w:lang w:val="en-GB"/>
        </w:rPr>
        <w:t>S</w:t>
      </w:r>
      <w:r w:rsidR="001D7D86" w:rsidRPr="00575A3E">
        <w:rPr>
          <w:szCs w:val="22"/>
          <w:lang w:val="en-GB"/>
        </w:rPr>
        <w:t>outh</w:t>
      </w:r>
      <w:r w:rsidR="00F04EB5" w:rsidRPr="00575A3E">
        <w:rPr>
          <w:szCs w:val="22"/>
          <w:lang w:val="en-GB"/>
        </w:rPr>
        <w:t xml:space="preserve">. </w:t>
      </w:r>
      <w:r w:rsidR="00100C0A" w:rsidRPr="00575A3E">
        <w:rPr>
          <w:szCs w:val="22"/>
          <w:lang w:val="en-GB"/>
        </w:rPr>
        <w:t xml:space="preserve">This is expected, as current </w:t>
      </w:r>
      <w:r w:rsidR="00965866" w:rsidRPr="00575A3E">
        <w:rPr>
          <w:szCs w:val="22"/>
          <w:lang w:val="en-GB"/>
        </w:rPr>
        <w:t xml:space="preserve">road and rail </w:t>
      </w:r>
      <w:r w:rsidR="00100C0A" w:rsidRPr="00575A3E">
        <w:rPr>
          <w:szCs w:val="22"/>
          <w:lang w:val="en-GB"/>
        </w:rPr>
        <w:t>connectivity i</w:t>
      </w:r>
      <w:r w:rsidR="00965866" w:rsidRPr="00575A3E">
        <w:rPr>
          <w:szCs w:val="22"/>
          <w:lang w:val="en-GB"/>
        </w:rPr>
        <w:t>n</w:t>
      </w:r>
      <w:r w:rsidR="00100C0A" w:rsidRPr="00575A3E">
        <w:rPr>
          <w:szCs w:val="22"/>
          <w:lang w:val="en-GB"/>
        </w:rPr>
        <w:t xml:space="preserve"> these </w:t>
      </w:r>
      <w:r w:rsidR="004A10EC" w:rsidRPr="00575A3E">
        <w:rPr>
          <w:szCs w:val="22"/>
          <w:lang w:val="en-GB"/>
        </w:rPr>
        <w:t>zones, which are neighbouring with Wales,</w:t>
      </w:r>
      <w:r w:rsidR="00100C0A" w:rsidRPr="00575A3E">
        <w:rPr>
          <w:szCs w:val="22"/>
          <w:lang w:val="en-GB"/>
        </w:rPr>
        <w:t xml:space="preserve"> is lower in comparison with the rest of the region, </w:t>
      </w:r>
      <w:r w:rsidR="00BF1A4C" w:rsidRPr="00575A3E">
        <w:rPr>
          <w:szCs w:val="22"/>
          <w:lang w:val="en-GB"/>
        </w:rPr>
        <w:t xml:space="preserve">and so </w:t>
      </w:r>
      <w:r w:rsidR="00965866" w:rsidRPr="00575A3E">
        <w:rPr>
          <w:szCs w:val="22"/>
          <w:lang w:val="en-GB"/>
        </w:rPr>
        <w:t>lowering transportation costs</w:t>
      </w:r>
      <w:r w:rsidR="00100C0A" w:rsidRPr="00575A3E">
        <w:rPr>
          <w:szCs w:val="22"/>
          <w:lang w:val="en-GB"/>
        </w:rPr>
        <w:t xml:space="preserve"> </w:t>
      </w:r>
      <w:r w:rsidR="00965866" w:rsidRPr="00575A3E">
        <w:rPr>
          <w:szCs w:val="22"/>
          <w:lang w:val="en-GB"/>
        </w:rPr>
        <w:t>makes these areas more attractive for employers due to current</w:t>
      </w:r>
      <w:r w:rsidR="00BF1A4C" w:rsidRPr="00575A3E">
        <w:rPr>
          <w:szCs w:val="22"/>
          <w:lang w:val="en-GB"/>
        </w:rPr>
        <w:t>ly</w:t>
      </w:r>
      <w:r w:rsidR="00965866" w:rsidRPr="00575A3E">
        <w:rPr>
          <w:szCs w:val="22"/>
          <w:lang w:val="en-GB"/>
        </w:rPr>
        <w:t xml:space="preserve"> lower rents.</w:t>
      </w:r>
      <w:r w:rsidR="004A10EC" w:rsidRPr="00575A3E">
        <w:rPr>
          <w:szCs w:val="22"/>
          <w:lang w:val="en-GB"/>
        </w:rPr>
        <w:t xml:space="preserve"> Vehicle automation reduces transport costs but actual in vehicle time is of high importance to accessibility to employment.</w:t>
      </w:r>
      <w:r w:rsidR="00100C0A" w:rsidRPr="00575A3E">
        <w:rPr>
          <w:szCs w:val="22"/>
          <w:lang w:val="en-GB"/>
        </w:rPr>
        <w:t xml:space="preserve"> </w:t>
      </w:r>
      <w:r w:rsidR="00F04EB5" w:rsidRPr="00575A3E">
        <w:rPr>
          <w:szCs w:val="22"/>
          <w:lang w:val="en-GB"/>
        </w:rPr>
        <w:t>Rega</w:t>
      </w:r>
      <w:r w:rsidR="00DA5373" w:rsidRPr="00575A3E">
        <w:rPr>
          <w:szCs w:val="22"/>
          <w:lang w:val="en-GB"/>
        </w:rPr>
        <w:t>r</w:t>
      </w:r>
      <w:r w:rsidR="00F04EB5" w:rsidRPr="00575A3E">
        <w:rPr>
          <w:szCs w:val="22"/>
          <w:lang w:val="en-GB"/>
        </w:rPr>
        <w:t>ding</w:t>
      </w:r>
      <w:r w:rsidR="001D7D86" w:rsidRPr="00575A3E">
        <w:rPr>
          <w:szCs w:val="22"/>
          <w:lang w:val="en-GB"/>
        </w:rPr>
        <w:t xml:space="preserve"> working adults</w:t>
      </w:r>
      <w:r w:rsidR="00F04EB5" w:rsidRPr="00575A3E">
        <w:rPr>
          <w:szCs w:val="22"/>
          <w:lang w:val="en-GB"/>
        </w:rPr>
        <w:t xml:space="preserve"> and housing rent</w:t>
      </w:r>
      <w:r w:rsidR="00DA5373" w:rsidRPr="00575A3E">
        <w:rPr>
          <w:szCs w:val="22"/>
          <w:lang w:val="en-GB"/>
        </w:rPr>
        <w:t>,</w:t>
      </w:r>
      <w:r w:rsidR="001D7D86" w:rsidRPr="00575A3E">
        <w:rPr>
          <w:szCs w:val="22"/>
          <w:lang w:val="en-GB"/>
        </w:rPr>
        <w:t xml:space="preserve"> the </w:t>
      </w:r>
      <w:r w:rsidR="00F04EB5" w:rsidRPr="00575A3E">
        <w:rPr>
          <w:szCs w:val="22"/>
          <w:lang w:val="en-GB"/>
        </w:rPr>
        <w:t>results</w:t>
      </w:r>
      <w:r w:rsidR="001D7D86" w:rsidRPr="00575A3E">
        <w:rPr>
          <w:szCs w:val="22"/>
          <w:lang w:val="en-GB"/>
        </w:rPr>
        <w:t xml:space="preserve"> are not so sensitive </w:t>
      </w:r>
      <w:r w:rsidR="005A39E6" w:rsidRPr="00575A3E">
        <w:rPr>
          <w:szCs w:val="22"/>
          <w:lang w:val="en-GB"/>
        </w:rPr>
        <w:t xml:space="preserve">to varying </w:t>
      </w:r>
      <w:r w:rsidR="00F04EB5" w:rsidRPr="00575A3E">
        <w:rPr>
          <w:szCs w:val="22"/>
          <w:lang w:val="en-GB"/>
        </w:rPr>
        <w:t>proportions of vehicle technologies in the fleet, as scenarios 2N, 3N and 4N appear to have similar spatial distribution of working adults</w:t>
      </w:r>
      <w:r w:rsidR="00DA5373" w:rsidRPr="00575A3E">
        <w:rPr>
          <w:szCs w:val="22"/>
          <w:lang w:val="en-GB"/>
        </w:rPr>
        <w:t>;</w:t>
      </w:r>
      <w:r w:rsidR="00F04EB5" w:rsidRPr="00575A3E">
        <w:rPr>
          <w:szCs w:val="22"/>
          <w:lang w:val="en-GB"/>
        </w:rPr>
        <w:t xml:space="preserve"> </w:t>
      </w:r>
      <w:r w:rsidR="00BB17C4" w:rsidRPr="00575A3E">
        <w:rPr>
          <w:szCs w:val="22"/>
          <w:lang w:val="en-GB"/>
        </w:rPr>
        <w:t>with increases of up to 2% for both variables</w:t>
      </w:r>
      <w:r w:rsidR="00BF1A4C" w:rsidRPr="00575A3E">
        <w:rPr>
          <w:szCs w:val="22"/>
          <w:lang w:val="en-GB"/>
        </w:rPr>
        <w:t xml:space="preserve"> in scenario 1N</w:t>
      </w:r>
      <w:r w:rsidR="00BB17C4" w:rsidRPr="00575A3E">
        <w:rPr>
          <w:szCs w:val="22"/>
          <w:lang w:val="en-GB"/>
        </w:rPr>
        <w:t xml:space="preserve">, </w:t>
      </w:r>
      <w:r w:rsidR="00F04EB5" w:rsidRPr="00575A3E">
        <w:rPr>
          <w:szCs w:val="22"/>
          <w:lang w:val="en-GB"/>
        </w:rPr>
        <w:t>however, some zones in the periphery and especially</w:t>
      </w:r>
      <w:r w:rsidR="005A39E6" w:rsidRPr="00575A3E">
        <w:rPr>
          <w:szCs w:val="22"/>
          <w:lang w:val="en-GB"/>
        </w:rPr>
        <w:t xml:space="preserve"> in</w:t>
      </w:r>
      <w:r w:rsidR="00F04EB5" w:rsidRPr="00575A3E">
        <w:rPr>
          <w:szCs w:val="22"/>
          <w:lang w:val="en-GB"/>
        </w:rPr>
        <w:t xml:space="preserve"> the </w:t>
      </w:r>
      <w:r w:rsidR="00DA5373" w:rsidRPr="00575A3E">
        <w:rPr>
          <w:szCs w:val="22"/>
          <w:lang w:val="en-GB"/>
        </w:rPr>
        <w:t>S</w:t>
      </w:r>
      <w:r w:rsidR="00F04EB5" w:rsidRPr="00575A3E">
        <w:rPr>
          <w:szCs w:val="22"/>
          <w:lang w:val="en-GB"/>
        </w:rPr>
        <w:t xml:space="preserve">outh </w:t>
      </w:r>
      <w:r w:rsidR="00511314" w:rsidRPr="00575A3E">
        <w:rPr>
          <w:szCs w:val="22"/>
          <w:lang w:val="en-GB"/>
        </w:rPr>
        <w:t>experience reduction</w:t>
      </w:r>
      <w:r w:rsidR="00BF1A4C" w:rsidRPr="00575A3E">
        <w:rPr>
          <w:szCs w:val="22"/>
          <w:lang w:val="en-GB"/>
        </w:rPr>
        <w:t>s</w:t>
      </w:r>
      <w:r w:rsidR="00511314" w:rsidRPr="00575A3E">
        <w:rPr>
          <w:szCs w:val="22"/>
          <w:lang w:val="en-GB"/>
        </w:rPr>
        <w:t xml:space="preserve"> </w:t>
      </w:r>
      <w:r w:rsidR="00BF1A4C" w:rsidRPr="00575A3E">
        <w:rPr>
          <w:szCs w:val="22"/>
          <w:lang w:val="en-GB"/>
        </w:rPr>
        <w:t xml:space="preserve">of </w:t>
      </w:r>
      <w:r w:rsidR="004A10EC" w:rsidRPr="00575A3E">
        <w:rPr>
          <w:szCs w:val="22"/>
          <w:lang w:val="en-GB"/>
        </w:rPr>
        <w:t>1</w:t>
      </w:r>
      <w:r w:rsidR="00BF1A4C" w:rsidRPr="00575A3E">
        <w:rPr>
          <w:szCs w:val="22"/>
          <w:lang w:val="en-GB"/>
        </w:rPr>
        <w:t xml:space="preserve">% </w:t>
      </w:r>
      <w:r w:rsidR="00511314" w:rsidRPr="00575A3E">
        <w:rPr>
          <w:szCs w:val="22"/>
          <w:lang w:val="en-GB"/>
        </w:rPr>
        <w:t>in</w:t>
      </w:r>
      <w:r w:rsidR="005A39E6" w:rsidRPr="00575A3E">
        <w:rPr>
          <w:szCs w:val="22"/>
          <w:lang w:val="en-GB"/>
        </w:rPr>
        <w:t xml:space="preserve"> </w:t>
      </w:r>
      <w:r w:rsidR="00F04EB5" w:rsidRPr="00575A3E">
        <w:rPr>
          <w:szCs w:val="22"/>
          <w:lang w:val="en-GB"/>
        </w:rPr>
        <w:t>working adults</w:t>
      </w:r>
      <w:r w:rsidR="00BB17C4" w:rsidRPr="00575A3E">
        <w:rPr>
          <w:szCs w:val="22"/>
          <w:lang w:val="en-GB"/>
        </w:rPr>
        <w:t xml:space="preserve"> and </w:t>
      </w:r>
      <w:r w:rsidR="00BF1A4C" w:rsidRPr="00575A3E">
        <w:rPr>
          <w:szCs w:val="22"/>
          <w:lang w:val="en-GB"/>
        </w:rPr>
        <w:t xml:space="preserve">2% in </w:t>
      </w:r>
      <w:r w:rsidR="00BB17C4" w:rsidRPr="00575A3E">
        <w:rPr>
          <w:szCs w:val="22"/>
          <w:lang w:val="en-GB"/>
        </w:rPr>
        <w:t>housing rents</w:t>
      </w:r>
      <w:r w:rsidR="00DA5373" w:rsidRPr="00575A3E">
        <w:rPr>
          <w:szCs w:val="22"/>
          <w:lang w:val="en-GB"/>
        </w:rPr>
        <w:t>.</w:t>
      </w:r>
      <w:r w:rsidRPr="00575A3E">
        <w:rPr>
          <w:szCs w:val="22"/>
          <w:lang w:val="en-GB"/>
        </w:rPr>
        <w:t xml:space="preserve"> </w:t>
      </w:r>
    </w:p>
    <w:p w14:paraId="483BA403" w14:textId="77777777" w:rsidR="00511314" w:rsidRPr="00575A3E" w:rsidRDefault="00511314" w:rsidP="00CD459C">
      <w:pPr>
        <w:spacing w:line="360" w:lineRule="auto"/>
        <w:rPr>
          <w:szCs w:val="22"/>
          <w:lang w:val="en-GB"/>
        </w:rPr>
      </w:pPr>
    </w:p>
    <w:p w14:paraId="74D290C0" w14:textId="28C6C3FA" w:rsidR="00511314" w:rsidRPr="00575A3E" w:rsidRDefault="00D44078" w:rsidP="00CD459C">
      <w:pPr>
        <w:spacing w:line="360" w:lineRule="auto"/>
        <w:rPr>
          <w:szCs w:val="22"/>
          <w:lang w:val="en-GB"/>
        </w:rPr>
      </w:pPr>
      <w:r w:rsidRPr="00575A3E">
        <w:rPr>
          <w:szCs w:val="22"/>
          <w:lang w:val="en-GB"/>
        </w:rPr>
        <w:t xml:space="preserve">In the case </w:t>
      </w:r>
      <w:r w:rsidR="00DA5373" w:rsidRPr="00575A3E">
        <w:rPr>
          <w:szCs w:val="22"/>
          <w:lang w:val="en-GB"/>
        </w:rPr>
        <w:t xml:space="preserve">of </w:t>
      </w:r>
      <w:r w:rsidR="00190D70" w:rsidRPr="00575A3E">
        <w:rPr>
          <w:szCs w:val="22"/>
          <w:lang w:val="en-GB"/>
        </w:rPr>
        <w:t xml:space="preserve">increased road capacity and </w:t>
      </w:r>
      <w:r w:rsidR="00DA5373" w:rsidRPr="00575A3E">
        <w:rPr>
          <w:szCs w:val="22"/>
          <w:lang w:val="en-GB"/>
        </w:rPr>
        <w:t xml:space="preserve">lower </w:t>
      </w:r>
      <w:r w:rsidRPr="00575A3E">
        <w:rPr>
          <w:szCs w:val="22"/>
          <w:lang w:val="en-GB"/>
        </w:rPr>
        <w:t xml:space="preserve">PCU </w:t>
      </w:r>
      <w:r w:rsidR="00DA5373" w:rsidRPr="00575A3E">
        <w:rPr>
          <w:szCs w:val="22"/>
          <w:lang w:val="en-GB"/>
        </w:rPr>
        <w:t>values</w:t>
      </w:r>
      <w:r w:rsidR="00511314" w:rsidRPr="00575A3E">
        <w:rPr>
          <w:szCs w:val="22"/>
          <w:lang w:val="en-GB"/>
        </w:rPr>
        <w:t xml:space="preserve"> (‘P’ scenarios)</w:t>
      </w:r>
      <w:r w:rsidRPr="00575A3E">
        <w:rPr>
          <w:szCs w:val="22"/>
          <w:lang w:val="en-GB"/>
        </w:rPr>
        <w:t>,</w:t>
      </w:r>
      <w:r w:rsidR="00511314" w:rsidRPr="00575A3E">
        <w:rPr>
          <w:szCs w:val="22"/>
          <w:lang w:val="en-GB"/>
        </w:rPr>
        <w:t xml:space="preserve"> however,</w:t>
      </w:r>
      <w:r w:rsidRPr="00575A3E">
        <w:rPr>
          <w:szCs w:val="22"/>
          <w:lang w:val="en-GB"/>
        </w:rPr>
        <w:t xml:space="preserve"> the outskirts of the region </w:t>
      </w:r>
      <w:r w:rsidR="00DA5373" w:rsidRPr="00575A3E">
        <w:rPr>
          <w:szCs w:val="22"/>
          <w:lang w:val="en-GB"/>
        </w:rPr>
        <w:t>see</w:t>
      </w:r>
      <w:r w:rsidRPr="00575A3E">
        <w:rPr>
          <w:szCs w:val="22"/>
          <w:lang w:val="en-GB"/>
        </w:rPr>
        <w:t xml:space="preserve"> a decrease </w:t>
      </w:r>
      <w:r w:rsidR="00BB17C4" w:rsidRPr="00575A3E">
        <w:rPr>
          <w:szCs w:val="22"/>
          <w:lang w:val="en-GB"/>
        </w:rPr>
        <w:t xml:space="preserve">of </w:t>
      </w:r>
      <w:r w:rsidR="00BF1A4C" w:rsidRPr="00575A3E">
        <w:rPr>
          <w:szCs w:val="22"/>
          <w:lang w:val="en-GB"/>
        </w:rPr>
        <w:t xml:space="preserve">up to </w:t>
      </w:r>
      <w:r w:rsidR="00BB17C4" w:rsidRPr="00575A3E">
        <w:rPr>
          <w:szCs w:val="22"/>
          <w:lang w:val="en-GB"/>
        </w:rPr>
        <w:t xml:space="preserve">2% </w:t>
      </w:r>
      <w:r w:rsidRPr="00575A3E">
        <w:rPr>
          <w:szCs w:val="22"/>
          <w:lang w:val="en-GB"/>
        </w:rPr>
        <w:t>in all three variables, but the two main cities in the region, namely Birmingham and Coventry</w:t>
      </w:r>
      <w:r w:rsidR="00DA5373" w:rsidRPr="00575A3E">
        <w:rPr>
          <w:szCs w:val="22"/>
          <w:lang w:val="en-GB"/>
        </w:rPr>
        <w:t>,</w:t>
      </w:r>
      <w:r w:rsidRPr="00575A3E">
        <w:rPr>
          <w:szCs w:val="22"/>
          <w:lang w:val="en-GB"/>
        </w:rPr>
        <w:t xml:space="preserve"> </w:t>
      </w:r>
      <w:r w:rsidR="002E6242" w:rsidRPr="00575A3E">
        <w:rPr>
          <w:szCs w:val="22"/>
          <w:lang w:val="en-GB"/>
        </w:rPr>
        <w:t>and the areas surrounding them</w:t>
      </w:r>
      <w:r w:rsidR="00DA5373" w:rsidRPr="00575A3E">
        <w:rPr>
          <w:szCs w:val="22"/>
          <w:lang w:val="en-GB"/>
        </w:rPr>
        <w:t>,</w:t>
      </w:r>
      <w:r w:rsidR="002E6242" w:rsidRPr="00575A3E">
        <w:rPr>
          <w:szCs w:val="22"/>
          <w:lang w:val="en-GB"/>
        </w:rPr>
        <w:t xml:space="preserve"> </w:t>
      </w:r>
      <w:r w:rsidRPr="00575A3E">
        <w:rPr>
          <w:szCs w:val="22"/>
          <w:lang w:val="en-GB"/>
        </w:rPr>
        <w:t>develop</w:t>
      </w:r>
      <w:r w:rsidR="002E6242" w:rsidRPr="00575A3E">
        <w:rPr>
          <w:szCs w:val="22"/>
          <w:lang w:val="en-GB"/>
        </w:rPr>
        <w:t xml:space="preserve"> </w:t>
      </w:r>
      <w:r w:rsidR="00606E8D" w:rsidRPr="00575A3E">
        <w:rPr>
          <w:szCs w:val="22"/>
          <w:lang w:val="en-GB"/>
        </w:rPr>
        <w:t>economically</w:t>
      </w:r>
      <w:r w:rsidR="00BB17C4" w:rsidRPr="00575A3E">
        <w:rPr>
          <w:szCs w:val="22"/>
          <w:lang w:val="en-GB"/>
        </w:rPr>
        <w:t>, because the increase in these zones reaches 8% for employment, 6% for working adults and 6.5% for housing rent</w:t>
      </w:r>
      <w:r w:rsidR="00606E8D" w:rsidRPr="00575A3E">
        <w:rPr>
          <w:szCs w:val="22"/>
          <w:lang w:val="en-GB"/>
        </w:rPr>
        <w:t>.</w:t>
      </w:r>
      <w:r w:rsidR="002E6242" w:rsidRPr="00575A3E">
        <w:rPr>
          <w:szCs w:val="22"/>
          <w:lang w:val="en-GB"/>
        </w:rPr>
        <w:t xml:space="preserve"> </w:t>
      </w:r>
      <w:r w:rsidR="00A52161" w:rsidRPr="00575A3E">
        <w:rPr>
          <w:szCs w:val="22"/>
          <w:lang w:val="en-GB"/>
        </w:rPr>
        <w:t xml:space="preserve">The reason </w:t>
      </w:r>
      <w:r w:rsidR="00511314" w:rsidRPr="00575A3E">
        <w:rPr>
          <w:szCs w:val="22"/>
          <w:lang w:val="en-GB"/>
        </w:rPr>
        <w:t>for</w:t>
      </w:r>
      <w:r w:rsidR="00A52161" w:rsidRPr="00575A3E">
        <w:rPr>
          <w:szCs w:val="22"/>
          <w:lang w:val="en-GB"/>
        </w:rPr>
        <w:t xml:space="preserve"> this difference between ‘P’ and ‘N’ scenarios is </w:t>
      </w:r>
      <w:r w:rsidR="00511314" w:rsidRPr="00575A3E">
        <w:rPr>
          <w:szCs w:val="22"/>
          <w:lang w:val="en-GB"/>
        </w:rPr>
        <w:t xml:space="preserve">that </w:t>
      </w:r>
      <w:r w:rsidR="00A52161" w:rsidRPr="00575A3E">
        <w:rPr>
          <w:szCs w:val="22"/>
          <w:lang w:val="en-GB"/>
        </w:rPr>
        <w:t>urban cores in the region are already attractive due to the higher employment rates in comparison with other areas</w:t>
      </w:r>
      <w:r w:rsidR="00511314" w:rsidRPr="00575A3E">
        <w:rPr>
          <w:szCs w:val="22"/>
          <w:lang w:val="en-GB"/>
        </w:rPr>
        <w:t>,</w:t>
      </w:r>
      <w:r w:rsidR="00A52161" w:rsidRPr="00575A3E">
        <w:rPr>
          <w:szCs w:val="22"/>
          <w:lang w:val="en-GB"/>
        </w:rPr>
        <w:t xml:space="preserve"> and by reducing congestion with </w:t>
      </w:r>
      <w:r w:rsidR="00511314" w:rsidRPr="00575A3E">
        <w:rPr>
          <w:szCs w:val="22"/>
          <w:lang w:val="en-GB"/>
        </w:rPr>
        <w:t xml:space="preserve">shorter </w:t>
      </w:r>
      <w:r w:rsidR="00A52161" w:rsidRPr="00575A3E">
        <w:rPr>
          <w:szCs w:val="22"/>
          <w:lang w:val="en-GB"/>
        </w:rPr>
        <w:t>headways, these areas become even more attractive. At the same time, the reduced generalised costs provide higher freedom in mobility</w:t>
      </w:r>
      <w:r w:rsidR="00511314" w:rsidRPr="00575A3E">
        <w:rPr>
          <w:szCs w:val="22"/>
          <w:lang w:val="en-GB"/>
        </w:rPr>
        <w:t>, and</w:t>
      </w:r>
      <w:r w:rsidR="00A52161" w:rsidRPr="00575A3E">
        <w:rPr>
          <w:szCs w:val="22"/>
          <w:lang w:val="en-GB"/>
        </w:rPr>
        <w:t xml:space="preserve"> thus possible expansions of the exist</w:t>
      </w:r>
      <w:r w:rsidR="00511314" w:rsidRPr="00575A3E">
        <w:rPr>
          <w:szCs w:val="22"/>
          <w:lang w:val="en-GB"/>
        </w:rPr>
        <w:t>ing</w:t>
      </w:r>
      <w:r w:rsidR="00A52161" w:rsidRPr="00575A3E">
        <w:rPr>
          <w:szCs w:val="22"/>
          <w:lang w:val="en-GB"/>
        </w:rPr>
        <w:t xml:space="preserve"> cities are evident. </w:t>
      </w:r>
      <w:r w:rsidR="00246540" w:rsidRPr="00575A3E">
        <w:rPr>
          <w:szCs w:val="22"/>
          <w:lang w:val="en-GB"/>
        </w:rPr>
        <w:t xml:space="preserve">If these </w:t>
      </w:r>
      <w:r w:rsidR="002834B8" w:rsidRPr="00575A3E">
        <w:rPr>
          <w:szCs w:val="22"/>
          <w:lang w:val="en-GB"/>
        </w:rPr>
        <w:t>trends</w:t>
      </w:r>
      <w:r w:rsidR="00246540" w:rsidRPr="00575A3E">
        <w:rPr>
          <w:szCs w:val="22"/>
          <w:lang w:val="en-GB"/>
        </w:rPr>
        <w:t xml:space="preserve"> continue, this phenomenon could result </w:t>
      </w:r>
      <w:r w:rsidR="00606E8D" w:rsidRPr="00575A3E">
        <w:rPr>
          <w:szCs w:val="22"/>
          <w:lang w:val="en-GB"/>
        </w:rPr>
        <w:t>in</w:t>
      </w:r>
      <w:r w:rsidR="00246540" w:rsidRPr="00575A3E">
        <w:rPr>
          <w:szCs w:val="22"/>
          <w:lang w:val="en-GB"/>
        </w:rPr>
        <w:t xml:space="preserve"> new urban areas forming in the surrounding areas of the cities, as also supported </w:t>
      </w:r>
      <w:r w:rsidR="00A52161" w:rsidRPr="00575A3E">
        <w:rPr>
          <w:szCs w:val="22"/>
          <w:lang w:val="en-GB"/>
        </w:rPr>
        <w:t>by</w:t>
      </w:r>
      <w:r w:rsidR="00246540" w:rsidRPr="00575A3E">
        <w:rPr>
          <w:szCs w:val="22"/>
          <w:lang w:val="en-GB"/>
        </w:rPr>
        <w:t xml:space="preserve"> </w:t>
      </w:r>
      <w:r w:rsidR="00246540" w:rsidRPr="00575A3E">
        <w:rPr>
          <w:szCs w:val="22"/>
          <w:lang w:val="en-GB"/>
        </w:rPr>
        <w:fldChar w:fldCharType="begin" w:fldLock="1"/>
      </w:r>
      <w:r w:rsidR="0002665A" w:rsidRPr="00575A3E">
        <w:rPr>
          <w:szCs w:val="22"/>
          <w:lang w:val="en-GB"/>
        </w:rPr>
        <w:instrText>ADDIN CSL_CITATION {"citationItems":[{"id":"ITEM-1","itemData":{"abstract":"This paper aims to examine the existing studies to extract the expected effects of the autonomous vehicle system and quantify its impact on transport and land use through a spatial impact simulation based on South Korean data. The paper starts with a review of the literature with a specific focus on the expected effects of autonomous vehicle on traffic safety, travel demand, roadway capacity, and land use. Secondly, the development stage towards complete autonomous driving is examined with the reviews on projected timeframe as well as optimistic and pessimistic views. The third section specifies the expected effects by applying an analysis to the existing transportation network and the land use pattern in South Korea. Finally, the paper concludes with suggestions for further studies.","author":[{"dropping-particle":"","family":"Kim","given":"Kyung-hwan","non-dropping-particle":"","parse-names":false,"suffix":""},{"dropping-particle":"","family":"Yook","given":"Dong-hyung","non-dropping-particle":"","parse-names":false,"suffix":""},{"dropping-particle":"","family":"Ko","given":"Yong-seok","non-dropping-particle":"","parse-names":false,"suffix":""},{"dropping-particle":"","family":"Kim","given":"Dong-han","non-dropping-particle":"","parse-names":false,"suffix":""}],"container-title":"Working paper","id":"ITEM-1","issued":{"date-parts":[["2015"]]},"title":"An Analysis of Expected Effects of The Autonomous Vehicles on Transport and Land Use in Korea","type":"article-journal"},"uris":["http://www.mendeley.com/documents/?uuid=46205b05-2017-4708-a5a3-b769fb22b4a2"]}],"mendeley":{"formattedCitation":"(Kim et al., 2015)","manualFormatting":"Kim et al. (2015)","plainTextFormattedCitation":"(Kim et al., 2015)","previouslyFormattedCitation":"(Kim et al., 2015)"},"properties":{"noteIndex":0},"schema":"https://github.com/citation-style-language/schema/raw/master/csl-citation.json"}</w:instrText>
      </w:r>
      <w:r w:rsidR="00246540" w:rsidRPr="00575A3E">
        <w:rPr>
          <w:szCs w:val="22"/>
          <w:lang w:val="en-GB"/>
        </w:rPr>
        <w:fldChar w:fldCharType="separate"/>
      </w:r>
      <w:r w:rsidR="008E72C8" w:rsidRPr="00575A3E">
        <w:rPr>
          <w:noProof/>
          <w:szCs w:val="22"/>
          <w:lang w:val="en-GB"/>
        </w:rPr>
        <w:t>Kim et al.</w:t>
      </w:r>
      <w:r w:rsidR="00A52161" w:rsidRPr="00575A3E">
        <w:rPr>
          <w:noProof/>
          <w:szCs w:val="22"/>
          <w:lang w:val="en-GB"/>
        </w:rPr>
        <w:t xml:space="preserve"> (</w:t>
      </w:r>
      <w:r w:rsidR="008E72C8" w:rsidRPr="00575A3E">
        <w:rPr>
          <w:noProof/>
          <w:szCs w:val="22"/>
          <w:lang w:val="en-GB"/>
        </w:rPr>
        <w:t>2015)</w:t>
      </w:r>
      <w:r w:rsidR="00246540" w:rsidRPr="00575A3E">
        <w:rPr>
          <w:szCs w:val="22"/>
          <w:lang w:val="en-GB"/>
        </w:rPr>
        <w:fldChar w:fldCharType="end"/>
      </w:r>
      <w:r w:rsidR="00ED6E9E" w:rsidRPr="00575A3E">
        <w:rPr>
          <w:szCs w:val="22"/>
          <w:lang w:val="en-GB"/>
        </w:rPr>
        <w:t>, which will of course form their boundaries based on the existing planning restrictions.</w:t>
      </w:r>
    </w:p>
    <w:p w14:paraId="41B8DD38" w14:textId="77777777" w:rsidR="00511314" w:rsidRPr="00575A3E" w:rsidRDefault="00511314" w:rsidP="00CD459C">
      <w:pPr>
        <w:spacing w:line="360" w:lineRule="auto"/>
        <w:rPr>
          <w:szCs w:val="22"/>
          <w:lang w:val="en-GB"/>
        </w:rPr>
      </w:pPr>
    </w:p>
    <w:p w14:paraId="699AA474" w14:textId="5A38B5BC" w:rsidR="00D44078" w:rsidRPr="00575A3E" w:rsidRDefault="00511314" w:rsidP="00CD459C">
      <w:pPr>
        <w:spacing w:line="360" w:lineRule="auto"/>
        <w:rPr>
          <w:szCs w:val="22"/>
          <w:lang w:val="en-GB"/>
        </w:rPr>
      </w:pPr>
      <w:r w:rsidRPr="00575A3E">
        <w:rPr>
          <w:szCs w:val="22"/>
          <w:lang w:val="en-GB"/>
        </w:rPr>
        <w:lastRenderedPageBreak/>
        <w:t xml:space="preserve">Moreover, in ‘P’ </w:t>
      </w:r>
      <w:r w:rsidR="006C7E0D" w:rsidRPr="00575A3E">
        <w:rPr>
          <w:szCs w:val="22"/>
          <w:lang w:val="en-GB"/>
        </w:rPr>
        <w:t xml:space="preserve">scenarios </w:t>
      </w:r>
      <w:r w:rsidR="00743BC1" w:rsidRPr="00575A3E">
        <w:rPr>
          <w:szCs w:val="22"/>
          <w:lang w:val="en-GB"/>
        </w:rPr>
        <w:t xml:space="preserve">the zones in the two cities and </w:t>
      </w:r>
      <w:r w:rsidRPr="00575A3E">
        <w:rPr>
          <w:szCs w:val="22"/>
          <w:lang w:val="en-GB"/>
        </w:rPr>
        <w:t xml:space="preserve">in the ones </w:t>
      </w:r>
      <w:r w:rsidR="00743BC1" w:rsidRPr="00575A3E">
        <w:rPr>
          <w:szCs w:val="22"/>
          <w:lang w:val="en-GB"/>
        </w:rPr>
        <w:t xml:space="preserve">surrounding them </w:t>
      </w:r>
      <w:r w:rsidR="00DA5373" w:rsidRPr="00575A3E">
        <w:rPr>
          <w:szCs w:val="22"/>
          <w:lang w:val="en-GB"/>
        </w:rPr>
        <w:t xml:space="preserve">see </w:t>
      </w:r>
      <w:r w:rsidR="00743BC1" w:rsidRPr="00575A3E">
        <w:rPr>
          <w:szCs w:val="22"/>
          <w:lang w:val="en-GB"/>
        </w:rPr>
        <w:t>increased</w:t>
      </w:r>
      <w:r w:rsidR="00DA5373" w:rsidRPr="00575A3E">
        <w:rPr>
          <w:szCs w:val="22"/>
          <w:lang w:val="en-GB"/>
        </w:rPr>
        <w:t xml:space="preserve"> employment</w:t>
      </w:r>
      <w:r w:rsidR="00743BC1" w:rsidRPr="00575A3E">
        <w:rPr>
          <w:szCs w:val="22"/>
          <w:lang w:val="en-GB"/>
        </w:rPr>
        <w:t xml:space="preserve"> with percentage changes of the same scale</w:t>
      </w:r>
      <w:r w:rsidR="00DA5373" w:rsidRPr="00575A3E">
        <w:rPr>
          <w:szCs w:val="22"/>
          <w:lang w:val="en-GB"/>
        </w:rPr>
        <w:t>;</w:t>
      </w:r>
      <w:r w:rsidR="00743BC1" w:rsidRPr="00575A3E">
        <w:rPr>
          <w:szCs w:val="22"/>
          <w:lang w:val="en-GB"/>
        </w:rPr>
        <w:t xml:space="preserve"> </w:t>
      </w:r>
      <w:r w:rsidR="00DA5373" w:rsidRPr="00575A3E">
        <w:rPr>
          <w:szCs w:val="22"/>
          <w:lang w:val="en-GB"/>
        </w:rPr>
        <w:t>at the same time</w:t>
      </w:r>
      <w:r w:rsidR="00743BC1" w:rsidRPr="00575A3E">
        <w:rPr>
          <w:szCs w:val="22"/>
          <w:lang w:val="en-GB"/>
        </w:rPr>
        <w:t xml:space="preserve">, </w:t>
      </w:r>
      <w:r w:rsidR="000A2046" w:rsidRPr="00575A3E">
        <w:rPr>
          <w:szCs w:val="22"/>
          <w:lang w:val="en-GB"/>
        </w:rPr>
        <w:t xml:space="preserve">fewer </w:t>
      </w:r>
      <w:r w:rsidR="00743BC1" w:rsidRPr="00575A3E">
        <w:rPr>
          <w:szCs w:val="22"/>
          <w:lang w:val="en-GB"/>
        </w:rPr>
        <w:t xml:space="preserve">zones in scenario 1P appear </w:t>
      </w:r>
      <w:r w:rsidR="00DA5373" w:rsidRPr="00575A3E">
        <w:rPr>
          <w:szCs w:val="22"/>
          <w:lang w:val="en-GB"/>
        </w:rPr>
        <w:t>to</w:t>
      </w:r>
      <w:r w:rsidR="00743BC1" w:rsidRPr="00575A3E">
        <w:rPr>
          <w:szCs w:val="22"/>
          <w:lang w:val="en-GB"/>
        </w:rPr>
        <w:t xml:space="preserve"> have reduced employment similarly to the </w:t>
      </w:r>
      <w:r w:rsidR="000A2046" w:rsidRPr="00575A3E">
        <w:rPr>
          <w:szCs w:val="22"/>
          <w:lang w:val="en-GB"/>
        </w:rPr>
        <w:t>‘</w:t>
      </w:r>
      <w:r w:rsidR="00743BC1" w:rsidRPr="00575A3E">
        <w:rPr>
          <w:szCs w:val="22"/>
          <w:lang w:val="en-GB"/>
        </w:rPr>
        <w:t>N</w:t>
      </w:r>
      <w:r w:rsidR="000A2046" w:rsidRPr="00575A3E">
        <w:rPr>
          <w:szCs w:val="22"/>
          <w:lang w:val="en-GB"/>
        </w:rPr>
        <w:t>’</w:t>
      </w:r>
      <w:r w:rsidR="00743BC1" w:rsidRPr="00575A3E">
        <w:rPr>
          <w:szCs w:val="22"/>
          <w:lang w:val="en-GB"/>
        </w:rPr>
        <w:t xml:space="preserve"> scenarios as the penetration of new vehicle technologies increases. This is also a pattern that is similar </w:t>
      </w:r>
      <w:r w:rsidRPr="00575A3E">
        <w:rPr>
          <w:szCs w:val="22"/>
          <w:lang w:val="en-GB"/>
        </w:rPr>
        <w:t xml:space="preserve">for </w:t>
      </w:r>
      <w:r w:rsidR="00743BC1" w:rsidRPr="00575A3E">
        <w:rPr>
          <w:szCs w:val="22"/>
          <w:lang w:val="en-GB"/>
        </w:rPr>
        <w:t xml:space="preserve">housing rent and working adults. </w:t>
      </w:r>
      <w:r w:rsidR="00CD0615" w:rsidRPr="00575A3E">
        <w:rPr>
          <w:szCs w:val="22"/>
          <w:lang w:val="en-GB"/>
        </w:rPr>
        <w:t xml:space="preserve">This effect of </w:t>
      </w:r>
      <w:r w:rsidR="006F410C" w:rsidRPr="00575A3E">
        <w:rPr>
          <w:szCs w:val="22"/>
          <w:lang w:val="en-GB"/>
        </w:rPr>
        <w:t xml:space="preserve">increasing penetration that results </w:t>
      </w:r>
      <w:r w:rsidR="00B51054" w:rsidRPr="00575A3E">
        <w:rPr>
          <w:szCs w:val="22"/>
          <w:lang w:val="en-GB"/>
        </w:rPr>
        <w:t>in</w:t>
      </w:r>
      <w:r w:rsidR="006F410C" w:rsidRPr="00575A3E">
        <w:rPr>
          <w:szCs w:val="22"/>
          <w:lang w:val="en-GB"/>
        </w:rPr>
        <w:t xml:space="preserve"> </w:t>
      </w:r>
      <w:r w:rsidRPr="00575A3E">
        <w:rPr>
          <w:szCs w:val="22"/>
          <w:lang w:val="en-GB"/>
        </w:rPr>
        <w:t>more</w:t>
      </w:r>
      <w:r w:rsidR="006F410C" w:rsidRPr="00575A3E">
        <w:rPr>
          <w:szCs w:val="22"/>
          <w:lang w:val="en-GB"/>
        </w:rPr>
        <w:t xml:space="preserve"> zones in the region benefiting financially is also shown in other papers in the literature, such as</w:t>
      </w:r>
      <w:r w:rsidR="0069599C" w:rsidRPr="00575A3E">
        <w:rPr>
          <w:szCs w:val="22"/>
          <w:lang w:val="en-GB"/>
        </w:rPr>
        <w:t xml:space="preserve"> </w:t>
      </w:r>
      <w:r w:rsidR="0069599C" w:rsidRPr="00575A3E">
        <w:rPr>
          <w:szCs w:val="22"/>
          <w:lang w:val="en-GB"/>
        </w:rPr>
        <w:fldChar w:fldCharType="begin" w:fldLock="1"/>
      </w:r>
      <w:r w:rsidR="00BF7603" w:rsidRPr="00575A3E">
        <w:rPr>
          <w:szCs w:val="22"/>
          <w:lang w:val="en-GB"/>
        </w:rPr>
        <w:instrText>ADDIN CSL_CITATION {"citationItems":[{"id":"ITEM-1","itemData":{"DOI":"10.1016/j.tra.2019.01.013","ISSN":"09658564","abstract":"This paper shows that automated driving can lead both, to growth and decline of cities. We simulate spatial effects of automated driving for the Netherlands using LUCA, the Dutch spatial general equilibrium model. Two components of automation are accounted for: (i) more productive time use during car trips; (ii) fast and comfortable door-to-door automated public transit. We find that the car component results in population flight from cities, while the public transit component leads to population clustering in urban areas. A combination of the two may result in the population concentrating in the largest, most attractive cities, at the expense of smaller cities and non-urban regions. The simulations suggest that welfare benefits of automation are considerable, with up 10% coming from population relocation and changes in land use. Our results are particularly relevant for countries where public transit claims a considerable share of urban mobility. Neglecting the impact of vehicle automation on public transit could result in biased policy recommendations.","author":[{"dropping-particle":"","family":"Gelauff","given":"George","non-dropping-particle":"","parse-names":false,"suffix":""},{"dropping-particle":"","family":"Ossokina","given":"Ioulia","non-dropping-particle":"","parse-names":false,"suffix":""},{"dropping-particle":"","family":"Teulings","given":"Coen","non-dropping-particle":"","parse-names":false,"suffix":""}],"container-title":"Transportation Research Part A: Policy and Practice","id":"ITEM-1","issued":{"date-parts":[["2019"]]},"title":"Spatial and welfare effects of automated driving: Will cities grow, decline or both?","type":"article-journal"},"uris":["http://www.mendeley.com/documents/?uuid=deefa09c-64ab-4724-8e50-7cf71a78da15"]}],"mendeley":{"formattedCitation":"(Gelauff et al., 2019)","manualFormatting":"Gelauff et al. (2019)","plainTextFormattedCitation":"(Gelauff et al., 2019)","previouslyFormattedCitation":"(Gelauff et al., 2019)"},"properties":{"noteIndex":0},"schema":"https://github.com/citation-style-language/schema/raw/master/csl-citation.json"}</w:instrText>
      </w:r>
      <w:r w:rsidR="0069599C" w:rsidRPr="00575A3E">
        <w:rPr>
          <w:szCs w:val="22"/>
          <w:lang w:val="en-GB"/>
        </w:rPr>
        <w:fldChar w:fldCharType="separate"/>
      </w:r>
      <w:r w:rsidR="00C41D0C" w:rsidRPr="00575A3E">
        <w:rPr>
          <w:noProof/>
          <w:szCs w:val="22"/>
          <w:lang w:val="en-GB"/>
        </w:rPr>
        <w:t>Gelauff et al.</w:t>
      </w:r>
      <w:r w:rsidR="003C378F" w:rsidRPr="00575A3E">
        <w:rPr>
          <w:noProof/>
          <w:szCs w:val="22"/>
          <w:lang w:val="en-GB"/>
        </w:rPr>
        <w:t xml:space="preserve"> (</w:t>
      </w:r>
      <w:r w:rsidR="00C41D0C" w:rsidRPr="00575A3E">
        <w:rPr>
          <w:noProof/>
          <w:szCs w:val="22"/>
          <w:lang w:val="en-GB"/>
        </w:rPr>
        <w:t>2019)</w:t>
      </w:r>
      <w:r w:rsidR="0069599C" w:rsidRPr="00575A3E">
        <w:rPr>
          <w:szCs w:val="22"/>
          <w:lang w:val="en-GB"/>
        </w:rPr>
        <w:fldChar w:fldCharType="end"/>
      </w:r>
      <w:r w:rsidR="00333900" w:rsidRPr="00575A3E">
        <w:rPr>
          <w:szCs w:val="22"/>
          <w:lang w:val="en-GB"/>
        </w:rPr>
        <w:t>.</w:t>
      </w:r>
      <w:r w:rsidR="00CD0615" w:rsidRPr="00575A3E">
        <w:rPr>
          <w:szCs w:val="22"/>
          <w:lang w:val="en-GB"/>
        </w:rPr>
        <w:t xml:space="preserve"> </w:t>
      </w:r>
      <w:r w:rsidR="00743BC1" w:rsidRPr="00575A3E">
        <w:rPr>
          <w:szCs w:val="22"/>
          <w:lang w:val="en-GB"/>
        </w:rPr>
        <w:t xml:space="preserve">As a result, </w:t>
      </w:r>
      <w:r w:rsidR="000A2046" w:rsidRPr="00575A3E">
        <w:rPr>
          <w:szCs w:val="22"/>
          <w:lang w:val="en-GB"/>
        </w:rPr>
        <w:t>it appears</w:t>
      </w:r>
      <w:r w:rsidR="00743BC1" w:rsidRPr="00575A3E">
        <w:rPr>
          <w:szCs w:val="22"/>
          <w:lang w:val="en-GB"/>
        </w:rPr>
        <w:t xml:space="preserve"> that if the mixture of conventional vehicles and </w:t>
      </w:r>
      <w:r w:rsidR="000A2046" w:rsidRPr="00575A3E">
        <w:rPr>
          <w:szCs w:val="22"/>
          <w:lang w:val="en-GB"/>
        </w:rPr>
        <w:t>CAVs</w:t>
      </w:r>
      <w:r w:rsidR="00743BC1" w:rsidRPr="00575A3E">
        <w:rPr>
          <w:szCs w:val="22"/>
          <w:lang w:val="en-GB"/>
        </w:rPr>
        <w:t xml:space="preserve"> does not </w:t>
      </w:r>
      <w:r w:rsidR="003E5DBD" w:rsidRPr="00575A3E">
        <w:rPr>
          <w:szCs w:val="22"/>
          <w:lang w:val="en-GB"/>
        </w:rPr>
        <w:t>result</w:t>
      </w:r>
      <w:r w:rsidR="00743BC1" w:rsidRPr="00575A3E">
        <w:rPr>
          <w:szCs w:val="22"/>
          <w:lang w:val="en-GB"/>
        </w:rPr>
        <w:t xml:space="preserve"> </w:t>
      </w:r>
      <w:r w:rsidR="000A2046" w:rsidRPr="00575A3E">
        <w:rPr>
          <w:szCs w:val="22"/>
          <w:lang w:val="en-GB"/>
        </w:rPr>
        <w:t xml:space="preserve">in </w:t>
      </w:r>
      <w:r w:rsidR="00743BC1" w:rsidRPr="00575A3E">
        <w:rPr>
          <w:szCs w:val="22"/>
          <w:lang w:val="en-GB"/>
        </w:rPr>
        <w:t>higher network capacities</w:t>
      </w:r>
      <w:r w:rsidRPr="00575A3E">
        <w:rPr>
          <w:szCs w:val="22"/>
          <w:lang w:val="en-GB"/>
        </w:rPr>
        <w:t>,</w:t>
      </w:r>
      <w:r w:rsidR="00743BC1" w:rsidRPr="00575A3E">
        <w:rPr>
          <w:szCs w:val="22"/>
          <w:lang w:val="en-GB"/>
        </w:rPr>
        <w:t xml:space="preserve"> and </w:t>
      </w:r>
      <w:r w:rsidRPr="00575A3E">
        <w:rPr>
          <w:szCs w:val="22"/>
          <w:lang w:val="en-GB"/>
        </w:rPr>
        <w:t xml:space="preserve">with </w:t>
      </w:r>
      <w:r w:rsidR="00743BC1" w:rsidRPr="00575A3E">
        <w:rPr>
          <w:szCs w:val="22"/>
          <w:lang w:val="en-GB"/>
        </w:rPr>
        <w:t xml:space="preserve">higher penetrations of new vehicles in the fleet </w:t>
      </w:r>
      <w:r w:rsidR="003E5DBD" w:rsidRPr="00575A3E">
        <w:rPr>
          <w:szCs w:val="22"/>
          <w:lang w:val="en-GB"/>
        </w:rPr>
        <w:t>occur</w:t>
      </w:r>
      <w:r w:rsidRPr="00575A3E">
        <w:rPr>
          <w:szCs w:val="22"/>
          <w:lang w:val="en-GB"/>
        </w:rPr>
        <w:t>ring</w:t>
      </w:r>
      <w:r w:rsidR="003E5DBD" w:rsidRPr="00575A3E">
        <w:rPr>
          <w:szCs w:val="22"/>
          <w:lang w:val="en-GB"/>
        </w:rPr>
        <w:t xml:space="preserve"> in the future</w:t>
      </w:r>
      <w:r w:rsidR="000A2046" w:rsidRPr="00575A3E">
        <w:rPr>
          <w:szCs w:val="22"/>
          <w:lang w:val="en-GB"/>
        </w:rPr>
        <w:t>,</w:t>
      </w:r>
      <w:r w:rsidR="003E5DBD" w:rsidRPr="00575A3E">
        <w:rPr>
          <w:szCs w:val="22"/>
          <w:lang w:val="en-GB"/>
        </w:rPr>
        <w:t xml:space="preserve"> a more </w:t>
      </w:r>
      <w:r w:rsidR="00743BC1" w:rsidRPr="00575A3E">
        <w:rPr>
          <w:szCs w:val="22"/>
          <w:lang w:val="en-GB"/>
        </w:rPr>
        <w:t xml:space="preserve">balanced development </w:t>
      </w:r>
      <w:r w:rsidR="003740C6" w:rsidRPr="00575A3E">
        <w:rPr>
          <w:szCs w:val="22"/>
          <w:lang w:val="en-GB"/>
        </w:rPr>
        <w:t>in terms of employment, residential</w:t>
      </w:r>
      <w:r w:rsidR="00CB4FC8" w:rsidRPr="00575A3E">
        <w:rPr>
          <w:szCs w:val="22"/>
          <w:lang w:val="en-GB"/>
        </w:rPr>
        <w:t xml:space="preserve"> location of working adults and housing rent will</w:t>
      </w:r>
      <w:r w:rsidRPr="00575A3E">
        <w:rPr>
          <w:szCs w:val="22"/>
          <w:lang w:val="en-GB"/>
        </w:rPr>
        <w:t xml:space="preserve"> likely</w:t>
      </w:r>
      <w:r w:rsidR="00CB4FC8" w:rsidRPr="00575A3E">
        <w:rPr>
          <w:szCs w:val="22"/>
          <w:lang w:val="en-GB"/>
        </w:rPr>
        <w:t xml:space="preserve"> occur </w:t>
      </w:r>
      <w:r w:rsidR="003E5DBD" w:rsidRPr="00575A3E">
        <w:rPr>
          <w:szCs w:val="22"/>
          <w:lang w:val="en-GB"/>
        </w:rPr>
        <w:t>across the region</w:t>
      </w:r>
      <w:r w:rsidR="00CB4FC8" w:rsidRPr="00575A3E">
        <w:rPr>
          <w:szCs w:val="22"/>
          <w:lang w:val="en-GB"/>
        </w:rPr>
        <w:t xml:space="preserve">. </w:t>
      </w:r>
      <w:r w:rsidR="00F41DBC" w:rsidRPr="00575A3E">
        <w:rPr>
          <w:szCs w:val="22"/>
          <w:lang w:val="en-GB"/>
        </w:rPr>
        <w:t xml:space="preserve">On the other hand, increased road capacities could lead to the geographical expansion of the cities, while at the same time city centres </w:t>
      </w:r>
      <w:r w:rsidRPr="00575A3E">
        <w:rPr>
          <w:szCs w:val="22"/>
          <w:lang w:val="en-GB"/>
        </w:rPr>
        <w:t xml:space="preserve">will </w:t>
      </w:r>
      <w:r w:rsidR="00F41DBC" w:rsidRPr="00575A3E">
        <w:rPr>
          <w:szCs w:val="22"/>
          <w:lang w:val="en-GB"/>
        </w:rPr>
        <w:t xml:space="preserve">not lose </w:t>
      </w:r>
      <w:r w:rsidRPr="00575A3E">
        <w:rPr>
          <w:szCs w:val="22"/>
          <w:lang w:val="en-GB"/>
        </w:rPr>
        <w:t xml:space="preserve">their </w:t>
      </w:r>
      <w:r w:rsidR="00F41DBC" w:rsidRPr="00575A3E">
        <w:rPr>
          <w:szCs w:val="22"/>
          <w:lang w:val="en-GB"/>
        </w:rPr>
        <w:t xml:space="preserve">financial power. </w:t>
      </w:r>
    </w:p>
    <w:p w14:paraId="2F7120F5" w14:textId="77777777" w:rsidR="00511314" w:rsidRPr="00575A3E" w:rsidRDefault="00511314" w:rsidP="00CD459C">
      <w:pPr>
        <w:spacing w:line="360" w:lineRule="auto"/>
        <w:rPr>
          <w:szCs w:val="22"/>
          <w:lang w:val="en-GB"/>
        </w:rPr>
      </w:pPr>
    </w:p>
    <w:p w14:paraId="5E391473" w14:textId="51B5EDBD" w:rsidR="00CB4FC8" w:rsidRPr="00575A3E" w:rsidRDefault="00CB4FC8" w:rsidP="00CD459C">
      <w:pPr>
        <w:spacing w:line="360" w:lineRule="auto"/>
        <w:rPr>
          <w:szCs w:val="22"/>
          <w:lang w:val="en-GB"/>
        </w:rPr>
      </w:pPr>
      <w:r w:rsidRPr="00575A3E">
        <w:rPr>
          <w:szCs w:val="22"/>
          <w:lang w:val="en-GB"/>
        </w:rPr>
        <w:t xml:space="preserve">Retired population is a variable that appears to have some similarities with the previous three, but </w:t>
      </w:r>
      <w:r w:rsidR="000A2046" w:rsidRPr="00575A3E">
        <w:rPr>
          <w:szCs w:val="22"/>
          <w:lang w:val="en-GB"/>
        </w:rPr>
        <w:t xml:space="preserve">there are also </w:t>
      </w:r>
      <w:r w:rsidRPr="00575A3E">
        <w:rPr>
          <w:szCs w:val="22"/>
          <w:lang w:val="en-GB"/>
        </w:rPr>
        <w:t xml:space="preserve">some </w:t>
      </w:r>
      <w:r w:rsidR="000A2046" w:rsidRPr="00575A3E">
        <w:rPr>
          <w:szCs w:val="22"/>
          <w:lang w:val="en-GB"/>
        </w:rPr>
        <w:t xml:space="preserve">key </w:t>
      </w:r>
      <w:r w:rsidRPr="00575A3E">
        <w:rPr>
          <w:szCs w:val="22"/>
          <w:lang w:val="en-GB"/>
        </w:rPr>
        <w:t xml:space="preserve">differences. </w:t>
      </w:r>
      <w:r w:rsidR="000A2046" w:rsidRPr="00575A3E">
        <w:rPr>
          <w:szCs w:val="22"/>
          <w:lang w:val="en-GB"/>
        </w:rPr>
        <w:t>F</w:t>
      </w:r>
      <w:r w:rsidRPr="00575A3E">
        <w:rPr>
          <w:szCs w:val="22"/>
          <w:lang w:val="en-GB"/>
        </w:rPr>
        <w:t xml:space="preserve">rom the maps </w:t>
      </w:r>
      <w:r w:rsidR="000A2046" w:rsidRPr="00575A3E">
        <w:rPr>
          <w:szCs w:val="22"/>
          <w:lang w:val="en-GB"/>
        </w:rPr>
        <w:t xml:space="preserve">it can be, again, observed </w:t>
      </w:r>
      <w:r w:rsidRPr="00575A3E">
        <w:rPr>
          <w:szCs w:val="22"/>
          <w:lang w:val="en-GB"/>
        </w:rPr>
        <w:t xml:space="preserve">that a more balanced development is achieved if network capacity </w:t>
      </w:r>
      <w:r w:rsidR="00BF1A4C" w:rsidRPr="00575A3E">
        <w:rPr>
          <w:szCs w:val="22"/>
          <w:lang w:val="en-GB"/>
        </w:rPr>
        <w:t xml:space="preserve">does </w:t>
      </w:r>
      <w:r w:rsidRPr="00575A3E">
        <w:rPr>
          <w:szCs w:val="22"/>
          <w:lang w:val="en-GB"/>
        </w:rPr>
        <w:t>not increase</w:t>
      </w:r>
      <w:r w:rsidR="005A0DBE" w:rsidRPr="00575A3E">
        <w:rPr>
          <w:szCs w:val="22"/>
          <w:lang w:val="en-GB"/>
        </w:rPr>
        <w:t>,</w:t>
      </w:r>
      <w:r w:rsidR="00606E8D" w:rsidRPr="00575A3E">
        <w:rPr>
          <w:szCs w:val="22"/>
          <w:lang w:val="en-GB"/>
        </w:rPr>
        <w:t xml:space="preserve"> as</w:t>
      </w:r>
      <w:r w:rsidRPr="00575A3E">
        <w:rPr>
          <w:szCs w:val="22"/>
          <w:lang w:val="en-GB"/>
        </w:rPr>
        <w:t xml:space="preserve"> </w:t>
      </w:r>
      <w:r w:rsidR="00B51054" w:rsidRPr="00575A3E">
        <w:rPr>
          <w:szCs w:val="22"/>
          <w:lang w:val="en-GB"/>
        </w:rPr>
        <w:t xml:space="preserve">in </w:t>
      </w:r>
      <w:r w:rsidRPr="00575A3E">
        <w:rPr>
          <w:szCs w:val="22"/>
          <w:lang w:val="en-GB"/>
        </w:rPr>
        <w:t xml:space="preserve">the </w:t>
      </w:r>
      <w:r w:rsidR="000A2046" w:rsidRPr="00575A3E">
        <w:rPr>
          <w:szCs w:val="22"/>
          <w:lang w:val="en-GB"/>
        </w:rPr>
        <w:t>‘</w:t>
      </w:r>
      <w:r w:rsidRPr="00575A3E">
        <w:rPr>
          <w:szCs w:val="22"/>
          <w:lang w:val="en-GB"/>
        </w:rPr>
        <w:t>N</w:t>
      </w:r>
      <w:r w:rsidR="000A2046" w:rsidRPr="00575A3E">
        <w:rPr>
          <w:szCs w:val="22"/>
          <w:lang w:val="en-GB"/>
        </w:rPr>
        <w:t>’</w:t>
      </w:r>
      <w:r w:rsidRPr="00575A3E">
        <w:rPr>
          <w:szCs w:val="22"/>
          <w:lang w:val="en-GB"/>
        </w:rPr>
        <w:t xml:space="preserve"> scenarios</w:t>
      </w:r>
      <w:r w:rsidR="00BF1A4C" w:rsidRPr="00575A3E">
        <w:rPr>
          <w:szCs w:val="22"/>
          <w:lang w:val="en-GB"/>
        </w:rPr>
        <w:t>,</w:t>
      </w:r>
      <w:r w:rsidR="00680F25" w:rsidRPr="00575A3E">
        <w:rPr>
          <w:szCs w:val="22"/>
          <w:lang w:val="en-GB"/>
        </w:rPr>
        <w:t xml:space="preserve"> with most of the zones increasing </w:t>
      </w:r>
      <w:r w:rsidR="00BF1A4C" w:rsidRPr="00575A3E">
        <w:rPr>
          <w:szCs w:val="22"/>
          <w:lang w:val="en-GB"/>
        </w:rPr>
        <w:t xml:space="preserve">by </w:t>
      </w:r>
      <w:r w:rsidR="00680F25" w:rsidRPr="00575A3E">
        <w:rPr>
          <w:szCs w:val="22"/>
          <w:lang w:val="en-GB"/>
        </w:rPr>
        <w:t xml:space="preserve">up to 1% and a small number of zones decreasing </w:t>
      </w:r>
      <w:r w:rsidR="00DA283E" w:rsidRPr="00575A3E">
        <w:rPr>
          <w:szCs w:val="22"/>
          <w:lang w:val="en-GB"/>
        </w:rPr>
        <w:t xml:space="preserve">by </w:t>
      </w:r>
      <w:r w:rsidR="00680F25" w:rsidRPr="00575A3E">
        <w:rPr>
          <w:szCs w:val="22"/>
          <w:lang w:val="en-GB"/>
        </w:rPr>
        <w:t>1%. I</w:t>
      </w:r>
      <w:r w:rsidRPr="00575A3E">
        <w:rPr>
          <w:szCs w:val="22"/>
          <w:lang w:val="en-GB"/>
        </w:rPr>
        <w:t>n</w:t>
      </w:r>
      <w:r w:rsidR="00606E8D" w:rsidRPr="00575A3E">
        <w:rPr>
          <w:szCs w:val="22"/>
          <w:lang w:val="en-GB"/>
        </w:rPr>
        <w:t xml:space="preserve"> the</w:t>
      </w:r>
      <w:r w:rsidRPr="00575A3E">
        <w:rPr>
          <w:szCs w:val="22"/>
          <w:lang w:val="en-GB"/>
        </w:rPr>
        <w:t xml:space="preserve"> </w:t>
      </w:r>
      <w:r w:rsidR="000A2046" w:rsidRPr="00575A3E">
        <w:rPr>
          <w:szCs w:val="22"/>
          <w:lang w:val="en-GB"/>
        </w:rPr>
        <w:t>‘</w:t>
      </w:r>
      <w:r w:rsidRPr="00575A3E">
        <w:rPr>
          <w:szCs w:val="22"/>
          <w:lang w:val="en-GB"/>
        </w:rPr>
        <w:t>P</w:t>
      </w:r>
      <w:r w:rsidR="000A2046" w:rsidRPr="00575A3E">
        <w:rPr>
          <w:szCs w:val="22"/>
          <w:lang w:val="en-GB"/>
        </w:rPr>
        <w:t>’</w:t>
      </w:r>
      <w:r w:rsidRPr="00575A3E">
        <w:rPr>
          <w:szCs w:val="22"/>
          <w:lang w:val="en-GB"/>
        </w:rPr>
        <w:t xml:space="preserve"> </w:t>
      </w:r>
      <w:r w:rsidR="000A2046" w:rsidRPr="00575A3E">
        <w:rPr>
          <w:szCs w:val="22"/>
          <w:lang w:val="en-GB"/>
        </w:rPr>
        <w:t>s</w:t>
      </w:r>
      <w:r w:rsidRPr="00575A3E">
        <w:rPr>
          <w:szCs w:val="22"/>
          <w:lang w:val="en-GB"/>
        </w:rPr>
        <w:t xml:space="preserve">cenarios the outskirts of the region </w:t>
      </w:r>
      <w:r w:rsidR="000A2046" w:rsidRPr="00575A3E">
        <w:rPr>
          <w:szCs w:val="22"/>
          <w:lang w:val="en-GB"/>
        </w:rPr>
        <w:t>see</w:t>
      </w:r>
      <w:r w:rsidRPr="00575A3E">
        <w:rPr>
          <w:szCs w:val="22"/>
          <w:lang w:val="en-GB"/>
        </w:rPr>
        <w:t xml:space="preserve"> retired population</w:t>
      </w:r>
      <w:r w:rsidR="000A2046" w:rsidRPr="00575A3E">
        <w:rPr>
          <w:szCs w:val="22"/>
          <w:lang w:val="en-GB"/>
        </w:rPr>
        <w:t xml:space="preserve"> declines</w:t>
      </w:r>
      <w:r w:rsidR="00680F25" w:rsidRPr="00575A3E">
        <w:rPr>
          <w:szCs w:val="22"/>
          <w:lang w:val="en-GB"/>
        </w:rPr>
        <w:t xml:space="preserve"> </w:t>
      </w:r>
      <w:r w:rsidR="00DA283E" w:rsidRPr="00575A3E">
        <w:rPr>
          <w:szCs w:val="22"/>
          <w:lang w:val="en-GB"/>
        </w:rPr>
        <w:t>of up to</w:t>
      </w:r>
      <w:r w:rsidR="00680F25" w:rsidRPr="00575A3E">
        <w:rPr>
          <w:szCs w:val="22"/>
          <w:lang w:val="en-GB"/>
        </w:rPr>
        <w:t xml:space="preserve"> 1%</w:t>
      </w:r>
      <w:r w:rsidR="00F80DE2" w:rsidRPr="00575A3E">
        <w:rPr>
          <w:szCs w:val="22"/>
          <w:lang w:val="en-GB"/>
        </w:rPr>
        <w:t xml:space="preserve"> </w:t>
      </w:r>
      <w:r w:rsidR="00DA283E" w:rsidRPr="00575A3E">
        <w:rPr>
          <w:szCs w:val="22"/>
          <w:lang w:val="en-GB"/>
        </w:rPr>
        <w:t>accompanied by</w:t>
      </w:r>
      <w:r w:rsidR="00F80DE2" w:rsidRPr="00575A3E">
        <w:rPr>
          <w:szCs w:val="22"/>
          <w:lang w:val="en-GB"/>
        </w:rPr>
        <w:t xml:space="preserve"> an increase of up to 3.5% in the peripheral zones of Birmingham and Coventry.</w:t>
      </w:r>
      <w:r w:rsidRPr="00575A3E">
        <w:rPr>
          <w:szCs w:val="22"/>
          <w:lang w:val="en-GB"/>
        </w:rPr>
        <w:t xml:space="preserve"> </w:t>
      </w:r>
      <w:r w:rsidR="00F80DE2" w:rsidRPr="00575A3E">
        <w:rPr>
          <w:szCs w:val="22"/>
          <w:lang w:val="en-GB"/>
        </w:rPr>
        <w:t xml:space="preserve">It is important to mention that in all scenarios the </w:t>
      </w:r>
      <w:r w:rsidR="00DA2549" w:rsidRPr="00575A3E">
        <w:rPr>
          <w:szCs w:val="22"/>
          <w:lang w:val="en-GB"/>
        </w:rPr>
        <w:t xml:space="preserve">cores of </w:t>
      </w:r>
      <w:r w:rsidR="00F80DE2" w:rsidRPr="00575A3E">
        <w:rPr>
          <w:szCs w:val="22"/>
          <w:lang w:val="en-GB"/>
        </w:rPr>
        <w:t xml:space="preserve">Birmingham and Coventry have zones with </w:t>
      </w:r>
      <w:r w:rsidR="00DA283E" w:rsidRPr="00575A3E">
        <w:rPr>
          <w:szCs w:val="22"/>
          <w:lang w:val="en-GB"/>
        </w:rPr>
        <w:t xml:space="preserve">1% lower </w:t>
      </w:r>
      <w:r w:rsidR="00F80DE2" w:rsidRPr="00575A3E">
        <w:rPr>
          <w:szCs w:val="22"/>
          <w:lang w:val="en-GB"/>
        </w:rPr>
        <w:t xml:space="preserve">retired population, which is a difference from the patterns </w:t>
      </w:r>
      <w:r w:rsidR="00DA283E" w:rsidRPr="00575A3E">
        <w:rPr>
          <w:szCs w:val="22"/>
          <w:lang w:val="en-GB"/>
        </w:rPr>
        <w:t xml:space="preserve">observed </w:t>
      </w:r>
      <w:r w:rsidR="00F80DE2" w:rsidRPr="00575A3E">
        <w:rPr>
          <w:szCs w:val="22"/>
          <w:lang w:val="en-GB"/>
        </w:rPr>
        <w:t>in the previous three variables.</w:t>
      </w:r>
      <w:r w:rsidR="0071614D" w:rsidRPr="00575A3E">
        <w:rPr>
          <w:szCs w:val="22"/>
          <w:lang w:val="en-GB"/>
        </w:rPr>
        <w:t xml:space="preserve"> </w:t>
      </w:r>
      <w:r w:rsidR="003618DD" w:rsidRPr="00575A3E">
        <w:rPr>
          <w:szCs w:val="22"/>
          <w:lang w:val="en-GB"/>
        </w:rPr>
        <w:t xml:space="preserve">Moreover, in both groups of scenarios, namely </w:t>
      </w:r>
      <w:r w:rsidR="000A2046" w:rsidRPr="00575A3E">
        <w:rPr>
          <w:szCs w:val="22"/>
          <w:lang w:val="en-GB"/>
        </w:rPr>
        <w:t>‘</w:t>
      </w:r>
      <w:r w:rsidR="003618DD" w:rsidRPr="00575A3E">
        <w:rPr>
          <w:szCs w:val="22"/>
          <w:lang w:val="en-GB"/>
        </w:rPr>
        <w:t>N</w:t>
      </w:r>
      <w:r w:rsidR="000A2046" w:rsidRPr="00575A3E">
        <w:rPr>
          <w:szCs w:val="22"/>
          <w:lang w:val="en-GB"/>
        </w:rPr>
        <w:t>’</w:t>
      </w:r>
      <w:r w:rsidR="003618DD" w:rsidRPr="00575A3E">
        <w:rPr>
          <w:szCs w:val="22"/>
          <w:lang w:val="en-GB"/>
        </w:rPr>
        <w:t xml:space="preserve"> and </w:t>
      </w:r>
      <w:r w:rsidR="000A2046" w:rsidRPr="00575A3E">
        <w:rPr>
          <w:szCs w:val="22"/>
          <w:lang w:val="en-GB"/>
        </w:rPr>
        <w:t>‘</w:t>
      </w:r>
      <w:r w:rsidR="003618DD" w:rsidRPr="00575A3E">
        <w:rPr>
          <w:szCs w:val="22"/>
          <w:lang w:val="en-GB"/>
        </w:rPr>
        <w:t>P</w:t>
      </w:r>
      <w:r w:rsidR="000A2046" w:rsidRPr="00575A3E">
        <w:rPr>
          <w:szCs w:val="22"/>
          <w:lang w:val="en-GB"/>
        </w:rPr>
        <w:t>’</w:t>
      </w:r>
      <w:r w:rsidR="003618DD" w:rsidRPr="00575A3E">
        <w:rPr>
          <w:szCs w:val="22"/>
          <w:lang w:val="en-GB"/>
        </w:rPr>
        <w:t>, as the penetration of new vehicle technologies increase</w:t>
      </w:r>
      <w:r w:rsidR="000A2046" w:rsidRPr="00575A3E">
        <w:rPr>
          <w:szCs w:val="22"/>
          <w:lang w:val="en-GB"/>
        </w:rPr>
        <w:t xml:space="preserve">s, </w:t>
      </w:r>
      <w:r w:rsidR="003618DD" w:rsidRPr="00575A3E">
        <w:rPr>
          <w:szCs w:val="22"/>
          <w:lang w:val="en-GB"/>
        </w:rPr>
        <w:t>th</w:t>
      </w:r>
      <w:r w:rsidR="000A2046" w:rsidRPr="00575A3E">
        <w:rPr>
          <w:szCs w:val="22"/>
          <w:lang w:val="en-GB"/>
        </w:rPr>
        <w:t>e</w:t>
      </w:r>
      <w:r w:rsidR="003618DD" w:rsidRPr="00575A3E">
        <w:rPr>
          <w:szCs w:val="22"/>
          <w:lang w:val="en-GB"/>
        </w:rPr>
        <w:t xml:space="preserve"> number of zones with reductions in residential location of retired population</w:t>
      </w:r>
      <w:r w:rsidR="00F25CE3" w:rsidRPr="00575A3E">
        <w:rPr>
          <w:szCs w:val="22"/>
          <w:lang w:val="en-GB"/>
        </w:rPr>
        <w:t xml:space="preserve"> </w:t>
      </w:r>
      <w:r w:rsidR="000A2046" w:rsidRPr="00575A3E">
        <w:rPr>
          <w:szCs w:val="22"/>
          <w:lang w:val="en-GB"/>
        </w:rPr>
        <w:t xml:space="preserve">also </w:t>
      </w:r>
      <w:r w:rsidR="00F25CE3" w:rsidRPr="00575A3E">
        <w:rPr>
          <w:szCs w:val="22"/>
          <w:lang w:val="en-GB"/>
        </w:rPr>
        <w:t>decrease</w:t>
      </w:r>
      <w:r w:rsidR="000A2046" w:rsidRPr="00575A3E">
        <w:rPr>
          <w:szCs w:val="22"/>
          <w:lang w:val="en-GB"/>
        </w:rPr>
        <w:t>s</w:t>
      </w:r>
      <w:r w:rsidR="00F25CE3" w:rsidRPr="00575A3E">
        <w:rPr>
          <w:szCs w:val="22"/>
          <w:lang w:val="en-GB"/>
        </w:rPr>
        <w:t>.</w:t>
      </w:r>
      <w:r w:rsidR="00680F25" w:rsidRPr="00575A3E">
        <w:rPr>
          <w:szCs w:val="22"/>
          <w:lang w:val="en-GB"/>
        </w:rPr>
        <w:t xml:space="preserve"> </w:t>
      </w:r>
      <w:r w:rsidR="00F41DBC" w:rsidRPr="00575A3E">
        <w:rPr>
          <w:szCs w:val="22"/>
          <w:lang w:val="en-GB"/>
        </w:rPr>
        <w:t xml:space="preserve">This is happening because </w:t>
      </w:r>
      <w:r w:rsidR="00F41DBC" w:rsidRPr="00575A3E">
        <w:rPr>
          <w:lang w:val="en-GB"/>
        </w:rPr>
        <w:t xml:space="preserve">according to the </w:t>
      </w:r>
      <w:r w:rsidR="00F41DBC" w:rsidRPr="00575A3E">
        <w:rPr>
          <w:lang w:val="en-GB"/>
        </w:rPr>
        <w:fldChar w:fldCharType="begin" w:fldLock="1"/>
      </w:r>
      <w:r w:rsidR="009714CE" w:rsidRPr="00575A3E">
        <w:rPr>
          <w:lang w:val="en-GB"/>
        </w:rPr>
        <w:instrText>ADDIN CSL_CITATION {"citationItems":[{"id":"ITEM-1","itemData":{"author":[{"dropping-particle":"","family":"UK Office for National Statistics","given":"","non-dropping-particle":"","parse-names":false,"suffix":""}],"id":"ITEM-1","issue":"March","issued":{"date-parts":[["2019"]]},"page":"1-7","title":"Private Rental Market Summary Statistics – April 2018 to March 2019","type":"article-journal","volume":"44"},"uris":["http://www.mendeley.com/documents/?uuid=7d651865-82ca-43be-bb40-a435a29bb8fa"]}],"mendeley":{"formattedCitation":"(UK Office for National Statistics, 2019)","manualFormatting":"UK Office for National Statistics (2019)","plainTextFormattedCitation":"(UK Office for National Statistics, 2019)","previouslyFormattedCitation":"(UK Office for National Statistics, 2019)"},"properties":{"noteIndex":0},"schema":"https://github.com/citation-style-language/schema/raw/master/csl-citation.json"}</w:instrText>
      </w:r>
      <w:r w:rsidR="00F41DBC" w:rsidRPr="00575A3E">
        <w:rPr>
          <w:lang w:val="en-GB"/>
        </w:rPr>
        <w:fldChar w:fldCharType="separate"/>
      </w:r>
      <w:r w:rsidR="00C634AE" w:rsidRPr="00575A3E">
        <w:rPr>
          <w:noProof/>
          <w:lang w:val="en-GB"/>
        </w:rPr>
        <w:t>UK Office for</w:t>
      </w:r>
      <w:r w:rsidR="00F41DBC" w:rsidRPr="00575A3E">
        <w:rPr>
          <w:noProof/>
          <w:lang w:val="en-GB"/>
        </w:rPr>
        <w:t xml:space="preserve"> National Statistics (2019)</w:t>
      </w:r>
      <w:r w:rsidR="00F41DBC" w:rsidRPr="00575A3E">
        <w:rPr>
          <w:lang w:val="en-GB"/>
        </w:rPr>
        <w:fldChar w:fldCharType="end"/>
      </w:r>
      <w:r w:rsidR="005A0DBE" w:rsidRPr="00575A3E">
        <w:rPr>
          <w:lang w:val="en-GB"/>
        </w:rPr>
        <w:t>,</w:t>
      </w:r>
      <w:r w:rsidR="00F41DBC" w:rsidRPr="00575A3E">
        <w:rPr>
          <w:lang w:val="en-GB"/>
        </w:rPr>
        <w:t xml:space="preserve"> housing rent in the cities is the highest in the whole region. Knowing that people are willing to make longer journeys </w:t>
      </w:r>
      <w:r w:rsidR="005A0DBE" w:rsidRPr="00575A3E">
        <w:rPr>
          <w:lang w:val="en-GB"/>
        </w:rPr>
        <w:t>with lower</w:t>
      </w:r>
      <w:r w:rsidR="00F41DBC" w:rsidRPr="00575A3E">
        <w:rPr>
          <w:lang w:val="en-GB"/>
        </w:rPr>
        <w:t xml:space="preserve"> generalised cost </w:t>
      </w:r>
      <w:r w:rsidR="005A0DBE" w:rsidRPr="00575A3E">
        <w:rPr>
          <w:lang w:val="en-GB"/>
        </w:rPr>
        <w:t>as a result</w:t>
      </w:r>
      <w:r w:rsidR="00F41DBC" w:rsidRPr="00575A3E">
        <w:rPr>
          <w:lang w:val="en-GB"/>
        </w:rPr>
        <w:t xml:space="preserve"> of </w:t>
      </w:r>
      <w:r w:rsidR="005A0DBE" w:rsidRPr="00575A3E">
        <w:rPr>
          <w:lang w:val="en-GB"/>
        </w:rPr>
        <w:t xml:space="preserve">the introduction of </w:t>
      </w:r>
      <w:r w:rsidR="00F41DBC" w:rsidRPr="00575A3E">
        <w:rPr>
          <w:lang w:val="en-GB"/>
        </w:rPr>
        <w:t xml:space="preserve">new vehicle technologies, it is possible that retired people relocate out of the cities of Birmingham and Coventry </w:t>
      </w:r>
      <w:r w:rsidR="00911DA3" w:rsidRPr="00575A3E">
        <w:rPr>
          <w:lang w:val="en-GB"/>
        </w:rPr>
        <w:t>to other areas of the region</w:t>
      </w:r>
      <w:r w:rsidR="005A0DBE" w:rsidRPr="00575A3E">
        <w:rPr>
          <w:lang w:val="en-GB"/>
        </w:rPr>
        <w:t>,</w:t>
      </w:r>
      <w:r w:rsidR="00911DA3" w:rsidRPr="00575A3E">
        <w:rPr>
          <w:lang w:val="en-GB"/>
        </w:rPr>
        <w:t xml:space="preserve"> where housing</w:t>
      </w:r>
      <w:r w:rsidR="00F41DBC" w:rsidRPr="00575A3E">
        <w:rPr>
          <w:lang w:val="en-GB"/>
        </w:rPr>
        <w:t xml:space="preserve"> rent was </w:t>
      </w:r>
      <w:r w:rsidR="005A0DBE" w:rsidRPr="00575A3E">
        <w:rPr>
          <w:lang w:val="en-GB"/>
        </w:rPr>
        <w:t>lower</w:t>
      </w:r>
      <w:r w:rsidR="00F41DBC" w:rsidRPr="00575A3E">
        <w:rPr>
          <w:lang w:val="en-GB"/>
        </w:rPr>
        <w:t>.</w:t>
      </w:r>
      <w:r w:rsidR="009E1067" w:rsidRPr="00575A3E">
        <w:rPr>
          <w:szCs w:val="22"/>
          <w:lang w:val="en-GB"/>
        </w:rPr>
        <w:t xml:space="preserve"> </w:t>
      </w:r>
      <w:r w:rsidR="00F25CE3" w:rsidRPr="00575A3E">
        <w:rPr>
          <w:szCs w:val="22"/>
          <w:lang w:val="en-GB"/>
        </w:rPr>
        <w:t>Thus,</w:t>
      </w:r>
      <w:r w:rsidR="009E1067" w:rsidRPr="00575A3E">
        <w:rPr>
          <w:szCs w:val="22"/>
          <w:lang w:val="en-GB"/>
        </w:rPr>
        <w:t xml:space="preserve"> in terms of this </w:t>
      </w:r>
      <w:r w:rsidR="003618DD" w:rsidRPr="00575A3E">
        <w:rPr>
          <w:szCs w:val="22"/>
          <w:lang w:val="en-GB"/>
        </w:rPr>
        <w:t>section of population</w:t>
      </w:r>
      <w:r w:rsidR="000A2046" w:rsidRPr="00575A3E">
        <w:rPr>
          <w:szCs w:val="22"/>
          <w:lang w:val="en-GB"/>
        </w:rPr>
        <w:t>,</w:t>
      </w:r>
      <w:r w:rsidR="003618DD" w:rsidRPr="00575A3E">
        <w:rPr>
          <w:szCs w:val="22"/>
          <w:lang w:val="en-GB"/>
        </w:rPr>
        <w:t xml:space="preserve"> urban sprawl is evident, </w:t>
      </w:r>
      <w:r w:rsidR="005A0DBE" w:rsidRPr="00575A3E">
        <w:rPr>
          <w:szCs w:val="22"/>
          <w:lang w:val="en-GB"/>
        </w:rPr>
        <w:t>in contrast</w:t>
      </w:r>
      <w:r w:rsidR="003618DD" w:rsidRPr="00575A3E">
        <w:rPr>
          <w:szCs w:val="22"/>
          <w:lang w:val="en-GB"/>
        </w:rPr>
        <w:t xml:space="preserve"> with working adults. </w:t>
      </w:r>
      <w:r w:rsidR="00333900" w:rsidRPr="00575A3E">
        <w:rPr>
          <w:szCs w:val="22"/>
          <w:lang w:val="en-GB"/>
        </w:rPr>
        <w:t>The fact that housing rent increase</w:t>
      </w:r>
      <w:r w:rsidR="000A2046" w:rsidRPr="00575A3E">
        <w:rPr>
          <w:szCs w:val="22"/>
          <w:lang w:val="en-GB"/>
        </w:rPr>
        <w:t>s</w:t>
      </w:r>
      <w:r w:rsidR="00333900" w:rsidRPr="00575A3E">
        <w:rPr>
          <w:szCs w:val="22"/>
          <w:lang w:val="en-GB"/>
        </w:rPr>
        <w:t xml:space="preserve"> in the urban areas, </w:t>
      </w:r>
      <w:r w:rsidR="005A0DBE" w:rsidRPr="00575A3E">
        <w:rPr>
          <w:szCs w:val="22"/>
          <w:lang w:val="en-GB"/>
        </w:rPr>
        <w:t>having been</w:t>
      </w:r>
      <w:r w:rsidR="00333900" w:rsidRPr="00575A3E">
        <w:rPr>
          <w:szCs w:val="22"/>
          <w:lang w:val="en-GB"/>
        </w:rPr>
        <w:t xml:space="preserve"> already higher than in</w:t>
      </w:r>
      <w:r w:rsidR="005A0DBE" w:rsidRPr="00575A3E">
        <w:rPr>
          <w:szCs w:val="22"/>
          <w:lang w:val="en-GB"/>
        </w:rPr>
        <w:t xml:space="preserve"> the</w:t>
      </w:r>
      <w:r w:rsidR="00333900" w:rsidRPr="00575A3E">
        <w:rPr>
          <w:szCs w:val="22"/>
          <w:lang w:val="en-GB"/>
        </w:rPr>
        <w:t xml:space="preserve"> rural</w:t>
      </w:r>
      <w:r w:rsidR="005A0DBE" w:rsidRPr="00575A3E">
        <w:rPr>
          <w:szCs w:val="22"/>
          <w:lang w:val="en-GB"/>
        </w:rPr>
        <w:t xml:space="preserve"> ones</w:t>
      </w:r>
      <w:r w:rsidR="00333900" w:rsidRPr="00575A3E">
        <w:rPr>
          <w:szCs w:val="22"/>
          <w:lang w:val="en-GB"/>
        </w:rPr>
        <w:t xml:space="preserve">, </w:t>
      </w:r>
      <w:r w:rsidR="005A0DBE" w:rsidRPr="00575A3E">
        <w:rPr>
          <w:szCs w:val="22"/>
          <w:lang w:val="en-GB"/>
        </w:rPr>
        <w:t>also means that</w:t>
      </w:r>
      <w:r w:rsidR="00333900" w:rsidRPr="00575A3E">
        <w:rPr>
          <w:szCs w:val="22"/>
          <w:lang w:val="en-GB"/>
        </w:rPr>
        <w:t xml:space="preserve"> working adults of higher income mov</w:t>
      </w:r>
      <w:r w:rsidR="005A0DBE" w:rsidRPr="00575A3E">
        <w:rPr>
          <w:szCs w:val="22"/>
          <w:lang w:val="en-GB"/>
        </w:rPr>
        <w:t>e</w:t>
      </w:r>
      <w:r w:rsidR="00333900" w:rsidRPr="00575A3E">
        <w:rPr>
          <w:szCs w:val="22"/>
          <w:lang w:val="en-GB"/>
        </w:rPr>
        <w:t xml:space="preserve"> </w:t>
      </w:r>
      <w:r w:rsidR="000A2046" w:rsidRPr="00575A3E">
        <w:rPr>
          <w:szCs w:val="22"/>
          <w:lang w:val="en-GB"/>
        </w:rPr>
        <w:t>to</w:t>
      </w:r>
      <w:r w:rsidR="00333900" w:rsidRPr="00575A3E">
        <w:rPr>
          <w:szCs w:val="22"/>
          <w:lang w:val="en-GB"/>
        </w:rPr>
        <w:t xml:space="preserve"> the </w:t>
      </w:r>
      <w:r w:rsidR="00606E8D" w:rsidRPr="00575A3E">
        <w:rPr>
          <w:szCs w:val="22"/>
          <w:lang w:val="en-GB"/>
        </w:rPr>
        <w:t xml:space="preserve">economic </w:t>
      </w:r>
      <w:r w:rsidR="00333900" w:rsidRPr="00575A3E">
        <w:rPr>
          <w:szCs w:val="22"/>
          <w:lang w:val="en-GB"/>
        </w:rPr>
        <w:t>cent</w:t>
      </w:r>
      <w:r w:rsidR="000A2046" w:rsidRPr="00575A3E">
        <w:rPr>
          <w:szCs w:val="22"/>
          <w:lang w:val="en-GB"/>
        </w:rPr>
        <w:t>r</w:t>
      </w:r>
      <w:r w:rsidR="00333900" w:rsidRPr="00575A3E">
        <w:rPr>
          <w:szCs w:val="22"/>
          <w:lang w:val="en-GB"/>
        </w:rPr>
        <w:t>es and</w:t>
      </w:r>
      <w:r w:rsidR="005A0DBE" w:rsidRPr="00575A3E">
        <w:rPr>
          <w:szCs w:val="22"/>
          <w:lang w:val="en-GB"/>
        </w:rPr>
        <w:t xml:space="preserve"> the</w:t>
      </w:r>
      <w:r w:rsidR="00333900" w:rsidRPr="00575A3E">
        <w:rPr>
          <w:szCs w:val="22"/>
          <w:lang w:val="en-GB"/>
        </w:rPr>
        <w:t xml:space="preserve"> retired population relocat</w:t>
      </w:r>
      <w:r w:rsidR="005A0DBE" w:rsidRPr="00575A3E">
        <w:rPr>
          <w:szCs w:val="22"/>
          <w:lang w:val="en-GB"/>
        </w:rPr>
        <w:t>es</w:t>
      </w:r>
      <w:r w:rsidR="00333900" w:rsidRPr="00575A3E">
        <w:rPr>
          <w:szCs w:val="22"/>
          <w:lang w:val="en-GB"/>
        </w:rPr>
        <w:t xml:space="preserve"> to the outskirts as a result of higher accessibility from automation. </w:t>
      </w:r>
    </w:p>
    <w:p w14:paraId="5F9FE976" w14:textId="77777777" w:rsidR="005A0DBE" w:rsidRPr="00575A3E" w:rsidRDefault="005A0DBE" w:rsidP="00CD459C">
      <w:pPr>
        <w:spacing w:line="360" w:lineRule="auto"/>
        <w:rPr>
          <w:szCs w:val="22"/>
          <w:lang w:val="en-GB"/>
        </w:rPr>
      </w:pPr>
    </w:p>
    <w:p w14:paraId="1DF55EE6" w14:textId="09D09B98" w:rsidR="00E256B7" w:rsidRPr="00575A3E" w:rsidRDefault="00A010CF" w:rsidP="00CD459C">
      <w:pPr>
        <w:spacing w:line="360" w:lineRule="auto"/>
        <w:rPr>
          <w:szCs w:val="22"/>
          <w:lang w:val="en-GB"/>
        </w:rPr>
      </w:pPr>
      <w:r w:rsidRPr="00575A3E">
        <w:rPr>
          <w:szCs w:val="22"/>
          <w:lang w:val="en-GB"/>
        </w:rPr>
        <w:t xml:space="preserve">The </w:t>
      </w:r>
      <w:r w:rsidR="00037F33" w:rsidRPr="00575A3E">
        <w:rPr>
          <w:szCs w:val="22"/>
          <w:lang w:val="en-GB"/>
        </w:rPr>
        <w:t>evaluation</w:t>
      </w:r>
      <w:r w:rsidRPr="00575A3E">
        <w:rPr>
          <w:szCs w:val="22"/>
          <w:lang w:val="en-GB"/>
        </w:rPr>
        <w:t xml:space="preserve"> of accessibility is also an important factor of this </w:t>
      </w:r>
      <w:r w:rsidR="005A0DBE" w:rsidRPr="00575A3E">
        <w:rPr>
          <w:szCs w:val="22"/>
          <w:lang w:val="en-GB"/>
        </w:rPr>
        <w:t xml:space="preserve">process </w:t>
      </w:r>
      <w:r w:rsidR="00C41D0C" w:rsidRPr="00575A3E">
        <w:rPr>
          <w:szCs w:val="22"/>
          <w:lang w:val="en-GB"/>
        </w:rPr>
        <w:fldChar w:fldCharType="begin" w:fldLock="1"/>
      </w:r>
      <w:r w:rsidR="0002665A" w:rsidRPr="00575A3E">
        <w:rPr>
          <w:szCs w:val="22"/>
          <w:lang w:val="en-GB"/>
        </w:rPr>
        <w:instrText>ADDIN CSL_CITATION {"citationItems":[{"id":"ITEM-1","itemData":{"DOI":"10.5198/jtlu.2020.1692","ISSN":"19387849","abstract":"Most of the existing research on shared autonomous vehicles (SAVs) and road congestion pricing have studied the short-term impact on traffic flow. These types of studies focused on the influences on mobility and ignored the long-term impacts on regional job accessibility. Given this, from the perspective of land use and transportation integration, this study explored the long-term effects of SAVs and cordon-based congestion pricing on regional land use, transportation, and job accessibility. The contributions of this study have been summarized by the following three purposes. First, to the best of the authors’ knowledge, this study was the first attempt to identify the long-term impact of the combination of these two technologies on regional job accessibility. Second, compared to the previous research methodology, this study adopted the land use and transportation integrated model (TRANUS model) and scenario planning to ensure the comprehensiveness and validity of the results. Third, this study analyzed the spatial heterogeneity of the impact of the combination of the two technologies on regional job accessibility in different areas with different built-environment attributes. To realize this purpose, this study quantitatively classified traffic analysis zones (TAZs) using data mining technology, i.e., factor analysis and clustering analysis. Results showed that the introduction of SAVs will contribute to job and population development in the charging zone and reduce the negative effect of road congestion pricing. From the perspective of reducing the average travel time between TAZs, the best strategy will be to implement SAVs alone, followed by integrated use of SAVs and road congestion pricing, while the worst strategy will be to implement the cordon-based congestion pricing policy alone. By comparison, from the perspective of improving regional job accessibility, the effect of introducing SAVs was better than that of road congestion pricing, while the combination of these two technologies was not superior to implementing SAVs alone.","author":[{"dropping-particle":"","family":"Zhong","given":"Shaopeng","non-dropping-particle":"","parse-names":false,"suffix":""},{"dropping-particle":"","family":"Li","given":"Xufeng","non-dropping-particle":"","parse-names":false,"suffix":""},{"dropping-particle":"","family":"Jiang","given":"Yu","non-dropping-particle":"","parse-names":false,"suffix":""},{"dropping-particle":"","family":"Cheng","given":"Rong","non-dropping-particle":"","parse-names":false,"suffix":""},{"dropping-particle":"","family":"Wang","given":"Zhong","non-dropping-particle":"","parse-names":false,"suffix":""}],"container-title":"Journal of Transport and Land Use","id":"ITEM-1","issue":"1","issued":{"date-parts":[["2020"]]},"title":"Identifying the combined effect of shared autonomous vehicles and congestion pricing on regional job accessibility","type":"article-journal","volume":"13"},"uris":["http://www.mendeley.com/documents/?uuid=c78d32c3-aaa7-34f8-b1fb-14c236ddc7e7"]}],"mendeley":{"formattedCitation":"(Zhong et al., 2020)","plainTextFormattedCitation":"(Zhong et al., 2020)","previouslyFormattedCitation":"(Zhong et al., 2020)"},"properties":{"noteIndex":0},"schema":"https://github.com/citation-style-language/schema/raw/master/csl-citation.json"}</w:instrText>
      </w:r>
      <w:r w:rsidR="00C41D0C" w:rsidRPr="00575A3E">
        <w:rPr>
          <w:szCs w:val="22"/>
          <w:lang w:val="en-GB"/>
        </w:rPr>
        <w:fldChar w:fldCharType="separate"/>
      </w:r>
      <w:r w:rsidR="00BF7603" w:rsidRPr="00575A3E">
        <w:rPr>
          <w:noProof/>
          <w:szCs w:val="22"/>
          <w:lang w:val="en-GB"/>
        </w:rPr>
        <w:t>(Zhong et al., 2020)</w:t>
      </w:r>
      <w:r w:rsidR="00C41D0C" w:rsidRPr="00575A3E">
        <w:rPr>
          <w:szCs w:val="22"/>
          <w:lang w:val="en-GB"/>
        </w:rPr>
        <w:fldChar w:fldCharType="end"/>
      </w:r>
      <w:r w:rsidR="00D66B70" w:rsidRPr="00575A3E">
        <w:rPr>
          <w:szCs w:val="22"/>
          <w:lang w:val="en-GB"/>
        </w:rPr>
        <w:t>.</w:t>
      </w:r>
      <w:r w:rsidRPr="00575A3E">
        <w:rPr>
          <w:szCs w:val="22"/>
          <w:lang w:val="en-GB"/>
        </w:rPr>
        <w:t xml:space="preserve"> Four </w:t>
      </w:r>
      <w:r w:rsidR="000A2046" w:rsidRPr="00575A3E">
        <w:rPr>
          <w:szCs w:val="22"/>
          <w:lang w:val="en-GB"/>
        </w:rPr>
        <w:t xml:space="preserve">types </w:t>
      </w:r>
      <w:r w:rsidR="00037F33" w:rsidRPr="00575A3E">
        <w:rPr>
          <w:szCs w:val="22"/>
          <w:lang w:val="en-GB"/>
        </w:rPr>
        <w:t>of accessibilit</w:t>
      </w:r>
      <w:r w:rsidR="000A2046" w:rsidRPr="00575A3E">
        <w:rPr>
          <w:szCs w:val="22"/>
          <w:lang w:val="en-GB"/>
        </w:rPr>
        <w:t>y</w:t>
      </w:r>
      <w:r w:rsidRPr="00575A3E">
        <w:rPr>
          <w:szCs w:val="22"/>
          <w:lang w:val="en-GB"/>
        </w:rPr>
        <w:t xml:space="preserve"> are </w:t>
      </w:r>
      <w:r w:rsidR="005A0DBE" w:rsidRPr="00575A3E">
        <w:rPr>
          <w:szCs w:val="22"/>
          <w:lang w:val="en-GB"/>
        </w:rPr>
        <w:t>considered</w:t>
      </w:r>
      <w:r w:rsidR="000A2046" w:rsidRPr="00575A3E">
        <w:rPr>
          <w:szCs w:val="22"/>
          <w:lang w:val="en-GB"/>
        </w:rPr>
        <w:t>:</w:t>
      </w:r>
      <w:r w:rsidRPr="00575A3E">
        <w:rPr>
          <w:szCs w:val="22"/>
          <w:lang w:val="en-GB"/>
        </w:rPr>
        <w:t xml:space="preserve"> </w:t>
      </w:r>
      <w:r w:rsidR="000A2046" w:rsidRPr="00575A3E">
        <w:rPr>
          <w:szCs w:val="22"/>
          <w:lang w:val="en-GB"/>
        </w:rPr>
        <w:t>o</w:t>
      </w:r>
      <w:r w:rsidRPr="00575A3E">
        <w:rPr>
          <w:szCs w:val="22"/>
          <w:lang w:val="en-GB"/>
        </w:rPr>
        <w:t xml:space="preserve">rigin </w:t>
      </w:r>
      <w:r w:rsidR="000A2046" w:rsidRPr="00575A3E">
        <w:rPr>
          <w:szCs w:val="22"/>
          <w:lang w:val="en-GB"/>
        </w:rPr>
        <w:t>a</w:t>
      </w:r>
      <w:r w:rsidRPr="00575A3E">
        <w:rPr>
          <w:szCs w:val="22"/>
          <w:lang w:val="en-GB"/>
        </w:rPr>
        <w:t>c</w:t>
      </w:r>
      <w:r w:rsidR="00037F33" w:rsidRPr="00575A3E">
        <w:rPr>
          <w:szCs w:val="22"/>
          <w:lang w:val="en-GB"/>
        </w:rPr>
        <w:t>c</w:t>
      </w:r>
      <w:r w:rsidRPr="00575A3E">
        <w:rPr>
          <w:szCs w:val="22"/>
          <w:lang w:val="en-GB"/>
        </w:rPr>
        <w:t>essibilit</w:t>
      </w:r>
      <w:r w:rsidR="000A2046" w:rsidRPr="00575A3E">
        <w:rPr>
          <w:szCs w:val="22"/>
          <w:lang w:val="en-GB"/>
        </w:rPr>
        <w:t>y</w:t>
      </w:r>
      <w:r w:rsidRPr="00575A3E">
        <w:rPr>
          <w:szCs w:val="22"/>
          <w:lang w:val="en-GB"/>
        </w:rPr>
        <w:t xml:space="preserve"> to work and </w:t>
      </w:r>
      <w:r w:rsidR="003F497D" w:rsidRPr="00575A3E">
        <w:rPr>
          <w:szCs w:val="22"/>
          <w:lang w:val="en-GB"/>
        </w:rPr>
        <w:t xml:space="preserve">to </w:t>
      </w:r>
      <w:r w:rsidRPr="00575A3E">
        <w:rPr>
          <w:szCs w:val="22"/>
          <w:lang w:val="en-GB"/>
        </w:rPr>
        <w:t>services</w:t>
      </w:r>
      <w:r w:rsidR="000A2046" w:rsidRPr="00575A3E">
        <w:rPr>
          <w:szCs w:val="22"/>
          <w:lang w:val="en-GB"/>
        </w:rPr>
        <w:t>,</w:t>
      </w:r>
      <w:r w:rsidRPr="00575A3E">
        <w:rPr>
          <w:szCs w:val="22"/>
          <w:lang w:val="en-GB"/>
        </w:rPr>
        <w:t xml:space="preserve"> and </w:t>
      </w:r>
      <w:r w:rsidR="000A2046" w:rsidRPr="00575A3E">
        <w:rPr>
          <w:szCs w:val="22"/>
          <w:lang w:val="en-GB"/>
        </w:rPr>
        <w:t>d</w:t>
      </w:r>
      <w:r w:rsidRPr="00575A3E">
        <w:rPr>
          <w:szCs w:val="22"/>
          <w:lang w:val="en-GB"/>
        </w:rPr>
        <w:t xml:space="preserve">estination </w:t>
      </w:r>
      <w:r w:rsidR="000A2046" w:rsidRPr="00575A3E">
        <w:rPr>
          <w:szCs w:val="22"/>
          <w:lang w:val="en-GB"/>
        </w:rPr>
        <w:t>a</w:t>
      </w:r>
      <w:r w:rsidR="00037F33" w:rsidRPr="00575A3E">
        <w:rPr>
          <w:szCs w:val="22"/>
          <w:lang w:val="en-GB"/>
        </w:rPr>
        <w:t>ccessibilit</w:t>
      </w:r>
      <w:r w:rsidR="000A2046" w:rsidRPr="00575A3E">
        <w:rPr>
          <w:szCs w:val="22"/>
          <w:lang w:val="en-GB"/>
        </w:rPr>
        <w:t>y</w:t>
      </w:r>
      <w:r w:rsidRPr="00575A3E">
        <w:rPr>
          <w:szCs w:val="22"/>
          <w:lang w:val="en-GB"/>
        </w:rPr>
        <w:t xml:space="preserve"> to employees and</w:t>
      </w:r>
      <w:r w:rsidR="003F497D" w:rsidRPr="00575A3E">
        <w:rPr>
          <w:szCs w:val="22"/>
          <w:lang w:val="en-GB"/>
        </w:rPr>
        <w:t xml:space="preserve"> to</w:t>
      </w:r>
      <w:r w:rsidRPr="00575A3E">
        <w:rPr>
          <w:szCs w:val="22"/>
          <w:lang w:val="en-GB"/>
        </w:rPr>
        <w:t xml:space="preserve"> clients. </w:t>
      </w:r>
      <w:r w:rsidR="00530AA2" w:rsidRPr="00575A3E">
        <w:rPr>
          <w:szCs w:val="22"/>
          <w:lang w:val="en-GB"/>
        </w:rPr>
        <w:t>O</w:t>
      </w:r>
      <w:r w:rsidR="00B5417B" w:rsidRPr="00575A3E">
        <w:rPr>
          <w:szCs w:val="22"/>
          <w:lang w:val="en-GB"/>
        </w:rPr>
        <w:t xml:space="preserve">rigin accessibility </w:t>
      </w:r>
      <w:r w:rsidR="00530AA2" w:rsidRPr="00575A3E">
        <w:rPr>
          <w:szCs w:val="22"/>
          <w:lang w:val="en-GB"/>
        </w:rPr>
        <w:t>is the</w:t>
      </w:r>
      <w:r w:rsidR="00B5417B" w:rsidRPr="00575A3E">
        <w:rPr>
          <w:szCs w:val="22"/>
          <w:lang w:val="en-GB"/>
        </w:rPr>
        <w:t xml:space="preserve"> measure of how easily</w:t>
      </w:r>
      <w:r w:rsidR="00530AA2" w:rsidRPr="00575A3E">
        <w:rPr>
          <w:szCs w:val="22"/>
          <w:lang w:val="en-GB"/>
        </w:rPr>
        <w:t xml:space="preserve"> people</w:t>
      </w:r>
      <w:r w:rsidR="00DD4784" w:rsidRPr="00575A3E">
        <w:rPr>
          <w:szCs w:val="22"/>
          <w:lang w:val="en-GB"/>
        </w:rPr>
        <w:t xml:space="preserve"> can</w:t>
      </w:r>
      <w:r w:rsidR="00530AA2" w:rsidRPr="00575A3E">
        <w:rPr>
          <w:szCs w:val="22"/>
          <w:lang w:val="en-GB"/>
        </w:rPr>
        <w:t xml:space="preserve"> reach a</w:t>
      </w:r>
      <w:r w:rsidR="00B5417B" w:rsidRPr="00575A3E">
        <w:rPr>
          <w:szCs w:val="22"/>
          <w:lang w:val="en-GB"/>
        </w:rPr>
        <w:t xml:space="preserve"> destination </w:t>
      </w:r>
      <w:r w:rsidR="00DD4784" w:rsidRPr="00575A3E">
        <w:rPr>
          <w:szCs w:val="22"/>
          <w:lang w:val="en-GB"/>
        </w:rPr>
        <w:t xml:space="preserve">based on </w:t>
      </w:r>
      <w:r w:rsidR="00530AA2" w:rsidRPr="00575A3E">
        <w:rPr>
          <w:szCs w:val="22"/>
          <w:lang w:val="en-GB"/>
        </w:rPr>
        <w:t>the characteristics of their origin</w:t>
      </w:r>
      <w:r w:rsidR="00B5417B" w:rsidRPr="00575A3E">
        <w:rPr>
          <w:szCs w:val="22"/>
          <w:lang w:val="en-GB"/>
        </w:rPr>
        <w:t xml:space="preserve">, and destination accessibility </w:t>
      </w:r>
      <w:r w:rsidR="00530AA2" w:rsidRPr="00575A3E">
        <w:rPr>
          <w:szCs w:val="22"/>
          <w:lang w:val="en-GB"/>
        </w:rPr>
        <w:t>is the</w:t>
      </w:r>
      <w:r w:rsidR="00B5417B" w:rsidRPr="00575A3E">
        <w:rPr>
          <w:szCs w:val="22"/>
          <w:lang w:val="en-GB"/>
        </w:rPr>
        <w:t xml:space="preserve"> measure </w:t>
      </w:r>
      <w:r w:rsidR="00530AA2" w:rsidRPr="00575A3E">
        <w:rPr>
          <w:szCs w:val="22"/>
          <w:lang w:val="en-GB"/>
        </w:rPr>
        <w:t xml:space="preserve">that describes </w:t>
      </w:r>
      <w:r w:rsidR="00B5417B" w:rsidRPr="00575A3E">
        <w:rPr>
          <w:szCs w:val="22"/>
          <w:lang w:val="en-GB"/>
        </w:rPr>
        <w:t>how easily destinations can be reached. Accessibilit</w:t>
      </w:r>
      <w:r w:rsidR="000A2046" w:rsidRPr="00575A3E">
        <w:rPr>
          <w:szCs w:val="22"/>
          <w:lang w:val="en-GB"/>
        </w:rPr>
        <w:t>y</w:t>
      </w:r>
      <w:r w:rsidR="00B5417B" w:rsidRPr="00575A3E">
        <w:rPr>
          <w:szCs w:val="22"/>
          <w:lang w:val="en-GB"/>
        </w:rPr>
        <w:t xml:space="preserve"> </w:t>
      </w:r>
      <w:r w:rsidR="000A2046" w:rsidRPr="00575A3E">
        <w:rPr>
          <w:szCs w:val="22"/>
          <w:lang w:val="en-GB"/>
        </w:rPr>
        <w:t>is</w:t>
      </w:r>
      <w:r w:rsidR="00B5417B" w:rsidRPr="00575A3E">
        <w:rPr>
          <w:szCs w:val="22"/>
          <w:lang w:val="en-GB"/>
        </w:rPr>
        <w:t xml:space="preserve"> measured in</w:t>
      </w:r>
      <w:r w:rsidR="00530AA2" w:rsidRPr="00575A3E">
        <w:rPr>
          <w:szCs w:val="22"/>
          <w:lang w:val="en-GB"/>
        </w:rPr>
        <w:t xml:space="preserve"> </w:t>
      </w:r>
      <w:r w:rsidR="000A2046" w:rsidRPr="00575A3E">
        <w:rPr>
          <w:szCs w:val="22"/>
          <w:lang w:val="en-GB"/>
        </w:rPr>
        <w:t>‘</w:t>
      </w:r>
      <w:r w:rsidR="00B5417B" w:rsidRPr="00575A3E">
        <w:rPr>
          <w:szCs w:val="22"/>
          <w:lang w:val="en-GB"/>
        </w:rPr>
        <w:t>generalised minutes</w:t>
      </w:r>
      <w:r w:rsidR="000A2046" w:rsidRPr="00575A3E">
        <w:rPr>
          <w:szCs w:val="22"/>
          <w:lang w:val="en-GB"/>
        </w:rPr>
        <w:t>’</w:t>
      </w:r>
      <w:r w:rsidR="00530AA2" w:rsidRPr="00575A3E">
        <w:rPr>
          <w:szCs w:val="22"/>
          <w:lang w:val="en-GB"/>
        </w:rPr>
        <w:t xml:space="preserve">, which means that </w:t>
      </w:r>
      <w:r w:rsidR="00B5417B" w:rsidRPr="00575A3E">
        <w:rPr>
          <w:szCs w:val="22"/>
          <w:lang w:val="en-GB"/>
        </w:rPr>
        <w:lastRenderedPageBreak/>
        <w:t xml:space="preserve">negative </w:t>
      </w:r>
      <w:r w:rsidR="00530AA2" w:rsidRPr="00575A3E">
        <w:rPr>
          <w:szCs w:val="22"/>
          <w:lang w:val="en-GB"/>
        </w:rPr>
        <w:t xml:space="preserve">differences from the </w:t>
      </w:r>
      <w:r w:rsidR="000A2046" w:rsidRPr="00575A3E">
        <w:rPr>
          <w:szCs w:val="22"/>
          <w:lang w:val="en-GB"/>
        </w:rPr>
        <w:t>b</w:t>
      </w:r>
      <w:r w:rsidR="00530AA2" w:rsidRPr="00575A3E">
        <w:rPr>
          <w:szCs w:val="22"/>
          <w:lang w:val="en-GB"/>
        </w:rPr>
        <w:t xml:space="preserve">ase </w:t>
      </w:r>
      <w:r w:rsidR="000A2046" w:rsidRPr="00575A3E">
        <w:rPr>
          <w:szCs w:val="22"/>
          <w:lang w:val="en-GB"/>
        </w:rPr>
        <w:t>s</w:t>
      </w:r>
      <w:r w:rsidR="00530AA2" w:rsidRPr="00575A3E">
        <w:rPr>
          <w:szCs w:val="22"/>
          <w:lang w:val="en-GB"/>
        </w:rPr>
        <w:t xml:space="preserve">cenario </w:t>
      </w:r>
      <w:r w:rsidR="000A2046" w:rsidRPr="00575A3E">
        <w:rPr>
          <w:szCs w:val="22"/>
          <w:lang w:val="en-GB"/>
        </w:rPr>
        <w:t xml:space="preserve">represent </w:t>
      </w:r>
      <w:r w:rsidR="00530AA2" w:rsidRPr="00575A3E">
        <w:rPr>
          <w:szCs w:val="22"/>
          <w:lang w:val="en-GB"/>
        </w:rPr>
        <w:t>benefit</w:t>
      </w:r>
      <w:r w:rsidR="000A2046" w:rsidRPr="00575A3E">
        <w:rPr>
          <w:szCs w:val="22"/>
          <w:lang w:val="en-GB"/>
        </w:rPr>
        <w:t>s</w:t>
      </w:r>
      <w:r w:rsidR="00B5417B" w:rsidRPr="00575A3E">
        <w:rPr>
          <w:szCs w:val="22"/>
          <w:lang w:val="en-GB"/>
        </w:rPr>
        <w:t xml:space="preserve"> in accessibility </w:t>
      </w:r>
      <w:r w:rsidR="00530AA2" w:rsidRPr="00575A3E">
        <w:rPr>
          <w:szCs w:val="22"/>
          <w:lang w:val="en-GB"/>
        </w:rPr>
        <w:t>and vice versa</w:t>
      </w:r>
      <w:r w:rsidR="00E0423C" w:rsidRPr="00575A3E">
        <w:rPr>
          <w:szCs w:val="22"/>
          <w:lang w:val="en-GB"/>
        </w:rPr>
        <w:t xml:space="preserve"> </w:t>
      </w:r>
      <w:r w:rsidR="00E0423C" w:rsidRPr="00575A3E">
        <w:rPr>
          <w:szCs w:val="22"/>
          <w:lang w:val="en-GB"/>
        </w:rPr>
        <w:fldChar w:fldCharType="begin" w:fldLock="1"/>
      </w:r>
      <w:r w:rsidR="00BF7603" w:rsidRPr="00575A3E">
        <w:rPr>
          <w:szCs w:val="22"/>
          <w:lang w:val="en-GB"/>
        </w:rPr>
        <w:instrText>ADDIN CSL_CITATION {"citationItems":[{"id":"ITEM-1","itemData":{"ISBN":"9783642127878\r9783642127885","abstract":"The effective planning of residential location choices is one of the great challenges of contemporary societies and requires forecasting capabilities and the consideration of complex interdependencies which can only be handled by complex computer models. This book presents a range of approaches used to model residential locations within the context of developing land-use and transport models. These approaches illustrate the range of choices that modellers have to make in order to represent residential choice behaviour. The models presented in this book represent the state-of-the-art and are valuable both as key building blocks for general urban models, and as representative examples of complexity science.","author":[{"dropping-particle":"","family":"Simmonds","given":"David","non-dropping-particle":"","parse-names":false,"suffix":""},{"dropping-particle":"","family":"Preston","given":"John","non-dropping-particle":"","parse-names":false,"suffix":""},{"dropping-particle":"","family":"Pagliara","given":"Francesca","non-dropping-particle":"","parse-names":false,"suffix":""}],"container-title":"Advances in Spatial Science","id":"ITEM-1","issued":{"date-parts":[["2010"]]},"title":"Residential Location Choice : Models and Applications","type":"book"},"uris":["http://www.mendeley.com/documents/?uuid=ca7413e7-b3ce-41fc-b654-50bd3da928d7"]}],"mendeley":{"formattedCitation":"(Simmonds et al., 2010)","plainTextFormattedCitation":"(Simmonds et al., 2010)","previouslyFormattedCitation":"(Simmonds et al., 2010)"},"properties":{"noteIndex":0},"schema":"https://github.com/citation-style-language/schema/raw/master/csl-citation.json"}</w:instrText>
      </w:r>
      <w:r w:rsidR="00E0423C" w:rsidRPr="00575A3E">
        <w:rPr>
          <w:szCs w:val="22"/>
          <w:lang w:val="en-GB"/>
        </w:rPr>
        <w:fldChar w:fldCharType="separate"/>
      </w:r>
      <w:r w:rsidR="001B3826" w:rsidRPr="00575A3E">
        <w:rPr>
          <w:noProof/>
          <w:szCs w:val="22"/>
          <w:lang w:val="en-GB"/>
        </w:rPr>
        <w:t>(Simmonds et al., 2010)</w:t>
      </w:r>
      <w:r w:rsidR="00E0423C" w:rsidRPr="00575A3E">
        <w:rPr>
          <w:szCs w:val="22"/>
          <w:lang w:val="en-GB"/>
        </w:rPr>
        <w:fldChar w:fldCharType="end"/>
      </w:r>
      <w:r w:rsidR="003F497D" w:rsidRPr="00575A3E">
        <w:rPr>
          <w:szCs w:val="22"/>
          <w:lang w:val="en-GB"/>
        </w:rPr>
        <w:t>;</w:t>
      </w:r>
      <w:r w:rsidR="00C32150" w:rsidRPr="00575A3E">
        <w:rPr>
          <w:szCs w:val="22"/>
          <w:lang w:val="en-GB"/>
        </w:rPr>
        <w:t xml:space="preserve"> </w:t>
      </w:r>
      <w:r w:rsidR="00E256B7" w:rsidRPr="00575A3E">
        <w:rPr>
          <w:szCs w:val="22"/>
          <w:lang w:val="en-GB"/>
        </w:rPr>
        <w:t>as such,</w:t>
      </w:r>
      <w:r w:rsidR="00C32150" w:rsidRPr="00575A3E">
        <w:rPr>
          <w:szCs w:val="22"/>
          <w:lang w:val="en-GB"/>
        </w:rPr>
        <w:t xml:space="preserve"> in </w:t>
      </w:r>
      <w:r w:rsidR="00E256B7" w:rsidRPr="00575A3E">
        <w:rPr>
          <w:szCs w:val="22"/>
          <w:lang w:val="en-GB"/>
        </w:rPr>
        <w:t>F</w:t>
      </w:r>
      <w:r w:rsidR="00C32150" w:rsidRPr="00575A3E">
        <w:rPr>
          <w:szCs w:val="22"/>
          <w:lang w:val="en-GB"/>
        </w:rPr>
        <w:t xml:space="preserve">igures </w:t>
      </w:r>
      <w:r w:rsidR="000F0E6B" w:rsidRPr="00575A3E">
        <w:rPr>
          <w:szCs w:val="22"/>
          <w:lang w:val="en-GB"/>
        </w:rPr>
        <w:t>8</w:t>
      </w:r>
      <w:r w:rsidR="00C32150" w:rsidRPr="00575A3E">
        <w:rPr>
          <w:szCs w:val="22"/>
          <w:lang w:val="en-GB"/>
        </w:rPr>
        <w:t xml:space="preserve"> and </w:t>
      </w:r>
      <w:r w:rsidR="000F0E6B" w:rsidRPr="00575A3E">
        <w:rPr>
          <w:szCs w:val="22"/>
          <w:lang w:val="en-GB"/>
        </w:rPr>
        <w:t xml:space="preserve">9 </w:t>
      </w:r>
      <w:r w:rsidR="00C32150" w:rsidRPr="00575A3E">
        <w:rPr>
          <w:szCs w:val="22"/>
          <w:lang w:val="en-GB"/>
        </w:rPr>
        <w:t xml:space="preserve">negative values </w:t>
      </w:r>
      <w:r w:rsidR="00E256B7" w:rsidRPr="00575A3E">
        <w:rPr>
          <w:szCs w:val="22"/>
          <w:lang w:val="en-GB"/>
        </w:rPr>
        <w:t>are</w:t>
      </w:r>
      <w:r w:rsidR="00C32150" w:rsidRPr="00575A3E">
        <w:rPr>
          <w:szCs w:val="22"/>
          <w:lang w:val="en-GB"/>
        </w:rPr>
        <w:t xml:space="preserve"> represented </w:t>
      </w:r>
      <w:r w:rsidR="00E256B7" w:rsidRPr="00575A3E">
        <w:rPr>
          <w:szCs w:val="22"/>
          <w:lang w:val="en-GB"/>
        </w:rPr>
        <w:t xml:space="preserve">with </w:t>
      </w:r>
      <w:r w:rsidR="00C32150" w:rsidRPr="00575A3E">
        <w:rPr>
          <w:szCs w:val="22"/>
          <w:lang w:val="en-GB"/>
        </w:rPr>
        <w:t>blue, which indicates that generalised travel time has been reduced</w:t>
      </w:r>
      <w:r w:rsidR="005E0248" w:rsidRPr="00575A3E">
        <w:rPr>
          <w:szCs w:val="22"/>
          <w:lang w:val="en-GB"/>
        </w:rPr>
        <w:t xml:space="preserve">, and thus </w:t>
      </w:r>
      <w:r w:rsidR="00E256B7" w:rsidRPr="00575A3E">
        <w:rPr>
          <w:szCs w:val="22"/>
          <w:lang w:val="en-GB"/>
        </w:rPr>
        <w:t xml:space="preserve">that </w:t>
      </w:r>
      <w:r w:rsidR="005E0248" w:rsidRPr="00575A3E">
        <w:rPr>
          <w:szCs w:val="22"/>
          <w:lang w:val="en-GB"/>
        </w:rPr>
        <w:t>locations have become more accessible</w:t>
      </w:r>
      <w:r w:rsidR="00530AA2" w:rsidRPr="00575A3E">
        <w:rPr>
          <w:szCs w:val="22"/>
          <w:lang w:val="en-GB"/>
        </w:rPr>
        <w:t xml:space="preserve">. </w:t>
      </w:r>
    </w:p>
    <w:p w14:paraId="5F71623E" w14:textId="77777777" w:rsidR="00E256B7" w:rsidRPr="00575A3E" w:rsidRDefault="00E256B7" w:rsidP="00CD459C">
      <w:pPr>
        <w:spacing w:line="360" w:lineRule="auto"/>
        <w:rPr>
          <w:szCs w:val="22"/>
          <w:lang w:val="en-GB"/>
        </w:rPr>
      </w:pPr>
    </w:p>
    <w:p w14:paraId="23DA0169" w14:textId="6356121C" w:rsidR="000E1AED" w:rsidRPr="00575A3E" w:rsidRDefault="00A010CF" w:rsidP="00CD459C">
      <w:pPr>
        <w:spacing w:line="360" w:lineRule="auto"/>
        <w:rPr>
          <w:szCs w:val="22"/>
          <w:lang w:val="en-GB"/>
        </w:rPr>
      </w:pPr>
      <w:r w:rsidRPr="00575A3E">
        <w:rPr>
          <w:szCs w:val="22"/>
          <w:lang w:val="en-GB"/>
        </w:rPr>
        <w:t xml:space="preserve">From the results presented in </w:t>
      </w:r>
      <w:r w:rsidR="000A2046" w:rsidRPr="00575A3E">
        <w:rPr>
          <w:szCs w:val="22"/>
          <w:lang w:val="en-GB"/>
        </w:rPr>
        <w:t>F</w:t>
      </w:r>
      <w:r w:rsidRPr="00575A3E">
        <w:rPr>
          <w:szCs w:val="22"/>
          <w:lang w:val="en-GB"/>
        </w:rPr>
        <w:t>igure</w:t>
      </w:r>
      <w:r w:rsidR="008E5C02" w:rsidRPr="00575A3E">
        <w:rPr>
          <w:szCs w:val="22"/>
          <w:lang w:val="en-GB"/>
        </w:rPr>
        <w:t xml:space="preserve">s </w:t>
      </w:r>
      <w:r w:rsidR="00965866" w:rsidRPr="00575A3E">
        <w:rPr>
          <w:szCs w:val="22"/>
          <w:lang w:val="en-GB"/>
        </w:rPr>
        <w:t>1</w:t>
      </w:r>
      <w:r w:rsidR="008B1CD3" w:rsidRPr="00575A3E">
        <w:rPr>
          <w:szCs w:val="22"/>
          <w:lang w:val="en-GB"/>
        </w:rPr>
        <w:t>7</w:t>
      </w:r>
      <w:r w:rsidR="008E5C02" w:rsidRPr="00575A3E">
        <w:rPr>
          <w:szCs w:val="22"/>
          <w:lang w:val="en-GB"/>
        </w:rPr>
        <w:t xml:space="preserve"> and </w:t>
      </w:r>
      <w:r w:rsidR="00965866" w:rsidRPr="00575A3E">
        <w:rPr>
          <w:szCs w:val="22"/>
          <w:lang w:val="en-GB"/>
        </w:rPr>
        <w:t>1</w:t>
      </w:r>
      <w:r w:rsidR="008B1CD3" w:rsidRPr="00575A3E">
        <w:rPr>
          <w:szCs w:val="22"/>
          <w:lang w:val="en-GB"/>
        </w:rPr>
        <w:t>8</w:t>
      </w:r>
      <w:r w:rsidRPr="00575A3E">
        <w:rPr>
          <w:szCs w:val="22"/>
          <w:lang w:val="en-GB"/>
        </w:rPr>
        <w:t xml:space="preserve"> it is evident that all </w:t>
      </w:r>
      <w:r w:rsidR="000A2046" w:rsidRPr="00575A3E">
        <w:rPr>
          <w:szCs w:val="22"/>
          <w:lang w:val="en-GB"/>
        </w:rPr>
        <w:t xml:space="preserve">types </w:t>
      </w:r>
      <w:r w:rsidRPr="00575A3E">
        <w:rPr>
          <w:szCs w:val="22"/>
          <w:lang w:val="en-GB"/>
        </w:rPr>
        <w:t>of accessibilit</w:t>
      </w:r>
      <w:r w:rsidR="000A2046" w:rsidRPr="00575A3E">
        <w:rPr>
          <w:szCs w:val="22"/>
          <w:lang w:val="en-GB"/>
        </w:rPr>
        <w:t>y</w:t>
      </w:r>
      <w:r w:rsidRPr="00575A3E">
        <w:rPr>
          <w:szCs w:val="22"/>
          <w:lang w:val="en-GB"/>
        </w:rPr>
        <w:t xml:space="preserve"> have increased in the r</w:t>
      </w:r>
      <w:r w:rsidR="00037F33" w:rsidRPr="00575A3E">
        <w:rPr>
          <w:szCs w:val="22"/>
          <w:lang w:val="en-GB"/>
        </w:rPr>
        <w:t>egi</w:t>
      </w:r>
      <w:r w:rsidRPr="00575A3E">
        <w:rPr>
          <w:szCs w:val="22"/>
          <w:lang w:val="en-GB"/>
        </w:rPr>
        <w:t>on, especially for work</w:t>
      </w:r>
      <w:r w:rsidR="00965866" w:rsidRPr="00575A3E">
        <w:rPr>
          <w:szCs w:val="22"/>
          <w:lang w:val="en-GB"/>
        </w:rPr>
        <w:t xml:space="preserve">, because there is a generalised time reduction of up to </w:t>
      </w:r>
      <w:r w:rsidR="00F80DE2" w:rsidRPr="00575A3E">
        <w:rPr>
          <w:szCs w:val="22"/>
          <w:lang w:val="en-GB"/>
        </w:rPr>
        <w:t>5</w:t>
      </w:r>
      <w:r w:rsidR="00965866" w:rsidRPr="00575A3E">
        <w:rPr>
          <w:szCs w:val="22"/>
          <w:lang w:val="en-GB"/>
        </w:rPr>
        <w:t xml:space="preserve"> minutes in the region</w:t>
      </w:r>
      <w:r w:rsidR="00DA283E" w:rsidRPr="00575A3E">
        <w:rPr>
          <w:szCs w:val="22"/>
          <w:lang w:val="en-GB"/>
        </w:rPr>
        <w:t>, which enables</w:t>
      </w:r>
      <w:r w:rsidR="00CD63F6" w:rsidRPr="00575A3E">
        <w:rPr>
          <w:szCs w:val="22"/>
          <w:lang w:val="en-GB"/>
        </w:rPr>
        <w:t xml:space="preserve"> </w:t>
      </w:r>
      <w:r w:rsidR="00DA283E" w:rsidRPr="00575A3E">
        <w:rPr>
          <w:szCs w:val="22"/>
          <w:lang w:val="en-GB"/>
        </w:rPr>
        <w:t>the</w:t>
      </w:r>
      <w:r w:rsidR="00CD63F6" w:rsidRPr="00575A3E">
        <w:rPr>
          <w:szCs w:val="22"/>
          <w:lang w:val="en-GB"/>
        </w:rPr>
        <w:t xml:space="preserve"> population to </w:t>
      </w:r>
      <w:r w:rsidR="00DA283E" w:rsidRPr="00575A3E">
        <w:rPr>
          <w:szCs w:val="22"/>
          <w:lang w:val="en-GB"/>
        </w:rPr>
        <w:t>travel</w:t>
      </w:r>
      <w:r w:rsidR="00CD63F6" w:rsidRPr="00575A3E">
        <w:rPr>
          <w:szCs w:val="22"/>
          <w:lang w:val="en-GB"/>
        </w:rPr>
        <w:t xml:space="preserve"> </w:t>
      </w:r>
      <w:r w:rsidR="00B905F4" w:rsidRPr="00575A3E">
        <w:rPr>
          <w:szCs w:val="22"/>
          <w:lang w:val="en-GB"/>
        </w:rPr>
        <w:t>quickly</w:t>
      </w:r>
      <w:r w:rsidR="00CD63F6" w:rsidRPr="00575A3E">
        <w:rPr>
          <w:szCs w:val="22"/>
          <w:lang w:val="en-GB"/>
        </w:rPr>
        <w:t xml:space="preserve"> to different parts of the region.</w:t>
      </w:r>
      <w:r w:rsidR="00D66B70" w:rsidRPr="00575A3E">
        <w:rPr>
          <w:szCs w:val="22"/>
          <w:lang w:val="en-GB"/>
        </w:rPr>
        <w:t xml:space="preserve"> Similar results in both origin and destination accessibilities have occurred, because the spatial distribution of</w:t>
      </w:r>
      <w:r w:rsidR="00E256B7" w:rsidRPr="00575A3E">
        <w:rPr>
          <w:szCs w:val="22"/>
          <w:lang w:val="en-GB"/>
        </w:rPr>
        <w:t xml:space="preserve"> the</w:t>
      </w:r>
      <w:r w:rsidR="00D66B70" w:rsidRPr="00575A3E">
        <w:rPr>
          <w:szCs w:val="22"/>
          <w:lang w:val="en-GB"/>
        </w:rPr>
        <w:t xml:space="preserve"> adoption of new vehicle technologies in the fleet was considered </w:t>
      </w:r>
      <w:r w:rsidR="001B2FEA" w:rsidRPr="00575A3E">
        <w:rPr>
          <w:szCs w:val="22"/>
          <w:lang w:val="en-GB"/>
        </w:rPr>
        <w:t>uniform</w:t>
      </w:r>
      <w:r w:rsidR="00D66B70" w:rsidRPr="00575A3E">
        <w:rPr>
          <w:szCs w:val="22"/>
          <w:lang w:val="en-GB"/>
        </w:rPr>
        <w:t xml:space="preserve"> in the study area. Thus, the changes </w:t>
      </w:r>
      <w:r w:rsidR="00E14906" w:rsidRPr="00575A3E">
        <w:rPr>
          <w:szCs w:val="22"/>
          <w:lang w:val="en-GB"/>
        </w:rPr>
        <w:t xml:space="preserve">have been </w:t>
      </w:r>
      <w:r w:rsidR="00D66B70" w:rsidRPr="00575A3E">
        <w:rPr>
          <w:szCs w:val="22"/>
          <w:lang w:val="en-GB"/>
        </w:rPr>
        <w:t xml:space="preserve">modelled evenly in the region and as a result the </w:t>
      </w:r>
      <w:r w:rsidR="00E14906" w:rsidRPr="00575A3E">
        <w:rPr>
          <w:szCs w:val="22"/>
          <w:lang w:val="en-GB"/>
        </w:rPr>
        <w:t xml:space="preserve">entire </w:t>
      </w:r>
      <w:r w:rsidR="00D66B70" w:rsidRPr="00575A3E">
        <w:rPr>
          <w:szCs w:val="22"/>
          <w:lang w:val="en-GB"/>
        </w:rPr>
        <w:t xml:space="preserve">region </w:t>
      </w:r>
      <w:r w:rsidR="00E14906" w:rsidRPr="00575A3E">
        <w:rPr>
          <w:szCs w:val="22"/>
          <w:lang w:val="en-GB"/>
        </w:rPr>
        <w:t xml:space="preserve">has </w:t>
      </w:r>
      <w:r w:rsidR="00D66B70" w:rsidRPr="00575A3E">
        <w:rPr>
          <w:szCs w:val="22"/>
          <w:lang w:val="en-GB"/>
        </w:rPr>
        <w:t>bec</w:t>
      </w:r>
      <w:r w:rsidR="00E14906" w:rsidRPr="00575A3E">
        <w:rPr>
          <w:szCs w:val="22"/>
          <w:lang w:val="en-GB"/>
        </w:rPr>
        <w:t>o</w:t>
      </w:r>
      <w:r w:rsidR="00D66B70" w:rsidRPr="00575A3E">
        <w:rPr>
          <w:szCs w:val="22"/>
          <w:lang w:val="en-GB"/>
        </w:rPr>
        <w:t>me more accessible</w:t>
      </w:r>
      <w:r w:rsidR="008C03A6" w:rsidRPr="00575A3E">
        <w:rPr>
          <w:szCs w:val="22"/>
          <w:lang w:val="en-GB"/>
        </w:rPr>
        <w:t xml:space="preserve">. </w:t>
      </w:r>
      <w:r w:rsidR="000A2046" w:rsidRPr="00575A3E">
        <w:rPr>
          <w:szCs w:val="22"/>
          <w:lang w:val="en-GB"/>
        </w:rPr>
        <w:t>T</w:t>
      </w:r>
      <w:r w:rsidR="00037F33" w:rsidRPr="00575A3E">
        <w:rPr>
          <w:szCs w:val="22"/>
          <w:lang w:val="en-GB"/>
        </w:rPr>
        <w:t xml:space="preserve">he scenario with the highest accessibilities </w:t>
      </w:r>
      <w:r w:rsidR="000A2046" w:rsidRPr="00575A3E">
        <w:rPr>
          <w:szCs w:val="22"/>
          <w:lang w:val="en-GB"/>
        </w:rPr>
        <w:t>is</w:t>
      </w:r>
      <w:r w:rsidR="00037F33" w:rsidRPr="00575A3E">
        <w:rPr>
          <w:szCs w:val="22"/>
          <w:lang w:val="en-GB"/>
        </w:rPr>
        <w:t xml:space="preserve"> 4P</w:t>
      </w:r>
      <w:r w:rsidR="00F80DE2" w:rsidRPr="00575A3E">
        <w:rPr>
          <w:szCs w:val="22"/>
          <w:lang w:val="en-GB"/>
        </w:rPr>
        <w:t xml:space="preserve">, </w:t>
      </w:r>
      <w:r w:rsidR="00DA283E" w:rsidRPr="00575A3E">
        <w:rPr>
          <w:szCs w:val="22"/>
          <w:lang w:val="en-GB"/>
        </w:rPr>
        <w:t>exhibiting</w:t>
      </w:r>
      <w:r w:rsidR="00F80DE2" w:rsidRPr="00575A3E">
        <w:rPr>
          <w:szCs w:val="22"/>
          <w:lang w:val="en-GB"/>
        </w:rPr>
        <w:t xml:space="preserve"> a</w:t>
      </w:r>
      <w:r w:rsidR="00DA283E" w:rsidRPr="00575A3E">
        <w:rPr>
          <w:szCs w:val="22"/>
          <w:lang w:val="en-GB"/>
        </w:rPr>
        <w:t xml:space="preserve"> reduction of </w:t>
      </w:r>
      <w:r w:rsidR="004A10EC" w:rsidRPr="00575A3E">
        <w:rPr>
          <w:szCs w:val="22"/>
          <w:lang w:val="en-GB"/>
        </w:rPr>
        <w:t>3</w:t>
      </w:r>
      <w:r w:rsidR="00DA283E" w:rsidRPr="00575A3E">
        <w:rPr>
          <w:szCs w:val="22"/>
          <w:lang w:val="en-GB"/>
        </w:rPr>
        <w:t xml:space="preserve"> to 5 generalised minutes in</w:t>
      </w:r>
      <w:r w:rsidR="004A10EC" w:rsidRPr="00575A3E">
        <w:rPr>
          <w:szCs w:val="22"/>
          <w:lang w:val="en-GB"/>
        </w:rPr>
        <w:t xml:space="preserve"> </w:t>
      </w:r>
      <w:r w:rsidR="00862922" w:rsidRPr="00575A3E">
        <w:rPr>
          <w:szCs w:val="22"/>
          <w:lang w:val="en-GB"/>
        </w:rPr>
        <w:t xml:space="preserve">all the zones of Birmingham and seven zones outside of the </w:t>
      </w:r>
      <w:r w:rsidR="00ED0B4A" w:rsidRPr="00575A3E">
        <w:rPr>
          <w:szCs w:val="22"/>
          <w:lang w:val="en-GB"/>
        </w:rPr>
        <w:t>West Midlands County</w:t>
      </w:r>
      <w:r w:rsidR="00F80DE2" w:rsidRPr="00575A3E">
        <w:rPr>
          <w:szCs w:val="22"/>
          <w:lang w:val="en-GB"/>
        </w:rPr>
        <w:t>.</w:t>
      </w:r>
      <w:r w:rsidR="00037F33" w:rsidRPr="00575A3E">
        <w:rPr>
          <w:szCs w:val="22"/>
          <w:lang w:val="en-GB"/>
        </w:rPr>
        <w:t xml:space="preserve"> </w:t>
      </w:r>
      <w:r w:rsidR="00530AA2" w:rsidRPr="00575A3E">
        <w:rPr>
          <w:szCs w:val="22"/>
          <w:lang w:val="en-GB"/>
        </w:rPr>
        <w:t xml:space="preserve">These results are in line with various sources from the literature that </w:t>
      </w:r>
      <w:r w:rsidR="000A2046" w:rsidRPr="00575A3E">
        <w:rPr>
          <w:szCs w:val="22"/>
          <w:lang w:val="en-GB"/>
        </w:rPr>
        <w:t xml:space="preserve">suggest </w:t>
      </w:r>
      <w:r w:rsidR="00530AA2" w:rsidRPr="00575A3E">
        <w:rPr>
          <w:szCs w:val="22"/>
          <w:lang w:val="en-GB"/>
        </w:rPr>
        <w:t>that automation increases accessibility (</w:t>
      </w:r>
      <w:r w:rsidR="000A2046" w:rsidRPr="00575A3E">
        <w:rPr>
          <w:szCs w:val="22"/>
          <w:lang w:val="en-GB"/>
        </w:rPr>
        <w:t>e.g.</w:t>
      </w:r>
      <w:r w:rsidR="008E72C8" w:rsidRPr="00575A3E">
        <w:rPr>
          <w:szCs w:val="22"/>
          <w:lang w:val="en-GB"/>
        </w:rPr>
        <w:fldChar w:fldCharType="begin" w:fldLock="1"/>
      </w:r>
      <w:r w:rsidR="00BF7603" w:rsidRPr="00575A3E">
        <w:rPr>
          <w:szCs w:val="22"/>
          <w:lang w:val="en-GB"/>
        </w:rPr>
        <w:instrText>ADDIN CSL_CITATION {"citationItems":[{"id":"ITEM-1","itemData":{"DOI":"10.1080/01441647.2018.1523253","ISSN":"14645327","abstract":"Automated vehicles (AVs) could completely change mobility in the coming years and decades. As AVs are still under development and gathering empirical data for further analysis is not yet possible, existing studies mainly applied models and simulations to assess their impact. This paper provides a comprehensive review of modelling studies investigating the impacts of AVs on travel behaviour and land use. It shows that AVs are mostly found to increase vehicle miles travelled and reduce public transport and slow modes share. This particularly applies to private AVs, which are also leading to a more dispersed urban growth pattern. Shared automated vehicle fleets, conversely, could have positive impacts, including reducing the overall number of vehicles and parking spaces. Moreover, if it is assumed that automation would make the public transport system more efficient, AVs could lead to a favouring of urbanisation processes. However, results are very sensitive to model assumptions which are still very uncertain (e.g. the perception of time in AVs) and more research to gain further insight should have priority in future research as well as the development of the models and their further adaptation to AVs. ARTICLE HISTORY","author":[{"dropping-particle":"","family":"Soteropoulos","given":"Aggelos","non-dropping-particle":"","parse-names":false,"suffix":""},{"dropping-particle":"","family":"Berger","given":"Martin","non-dropping-particle":"","parse-names":false,"suffix":""},{"dropping-particle":"","family":"Ciari","given":"Francesco","non-dropping-particle":"","parse-names":false,"suffix":""}],"container-title":"Transport Reviews","id":"ITEM-1","issue":"1","issued":{"date-parts":[["2018"]]},"page":"29-49","title":"Impacts of automated vehicles on travel behaviour and land use: an international review of modelling studies","type":"article-journal","volume":"39"},"uris":["http://www.mendeley.com/documents/?uuid=6d44355c-8959-4167-a02e-7275c5c2c02b"]},{"id":"ITEM-2","itemData":{"DOI":"10.1007/s11116-020-10106-y","ISSN":"15729435","abstract":"Autonomous vehicle (AV) technologies are under constant improvement with pilot programs now underway in several urban areas worldwide. Modeling and field-testing efforts are demonstrating that shared mobility coupled with AV technology for automated mobility on-demand (AMoD) service may significantly impact levels of service and environmental outcomes in future cities. Given these rapidly emerging developments, there is an urgent need for methods to adequately quantify the economic impacts of new vehicle technologies and future urban mobility policy. In this paper, we show how broader user-centric impacts can be captured by the activity-based accessibility (ABA) measure, which takes advantage of the rich data and outcomes of utility-maximization activity-based models and its interaction with mesoscale agent-based traffic simulation frameworks. Using the SimMobility simulator, we evaluate shared AMoD strategies applied to a Singapore micromodel city testbed. A near-future strategy of exclusive availability of AMoD service in the central business district (CBD), and a further-horizon strategy of the full operation of AMoD city-wide in the absence of other on-demand services, were tested and evaluated. Our results provide insights into the income and accessibility effects on the population under the implementation of shared and automated mobility policies. The outcomes indicate that the city-wide deployment of AMoD results in greater accessibility and network performance. Moreover, the accessibility of low-income individuals is improved relative to that of mid- and high-income individuals. The restriction of AMoD to the CBD along with the operation of other on-demand services, however, provides a certain level of disbenefit to segments of the population in two exceptional cases. The first is to high-income individuals who live in a suburban zone and rely heavily on on-demand services; the second is to mid-income residents that have excellent public transportation coverage with close proximity to the CBD. We further establish the efficacy of the ABA measure, as these findings motivate the need for measuring socioeconomic impacts at the individual level. The work presented here serves as a foundation for policy evaluation in real-world urban models for future mobility paradigms.","author":[{"dropping-particle":"","family":"Nahmias-Biran","given":"Bat hen","non-dropping-particle":"","parse-names":false,"suffix":""},{"dropping-particle":"","family":"Oke","given":"Jimi B.","non-dropping-particle":"","parse-names":false,"suffix":""},{"dropping-particle":"","family":"Kumar","given":"Nishant","non-dropping-particle":"","parse-names":false,"suffix":""},{"dropping-particle":"","family":"Lima Azevedo","given":"Carlos","non-dropping-particle":"","parse-names":false,"suffix":""},{"dropping-particle":"","family":"Ben-Akiva","given":"Moshe","non-dropping-particle":"","parse-names":false,"suffix":""}],"container-title":"Transportation","id":"ITEM-2","issued":{"date-parts":[["2020"]]},"title":"Evaluating the impacts of shared automated mobility on-demand services: an activity-based accessibility approach","type":"article-journal"},"uris":["http://www.mendeley.com/documents/?uuid=442ff931-04f5-44a0-b908-5a15c448120e"]},{"id":"ITEM-3","itemData":{"DOI":"10.2208/journalofjsce.7.1_100","ISSN":"2187-5103","author":[{"dropping-particle":"","family":"Luo","given":"Lichen","non-dropping-particle":"","parse-names":false,"suffix":""},{"dropping-particle":"","family":"Troncoso Parady","given":"Giancarlos","non-dropping-particle":"","parse-names":false,"suffix":""},{"dropping-particle":"","family":"Takami","given":"Kiyoshi","non-dropping-particle":"","parse-names":false,"suffix":""},{"dropping-particle":"","family":"Harata","given":"Noboru","non-dropping-particle":"","parse-names":false,"suffix":""}],"container-title":"Journal of JSCE","id":"ITEM-3","issued":{"date-parts":[["2019"]]},"title":"Evaluating the Impact of Autonomous Vehicles on Accessibility Using Agent-Based Simulation —A Case Study of Gunma Prefecture","type":"article-journal"},"uris":["http://www.mendeley.com/documents/?uuid=a3da3ce1-5370-4fcf-b4f8-ac17abc381b7"]},{"id":"ITEM-4","itemData":{"abstract":"A new era in transport is imminent. A step change in transport technologies will change citizens’ decisions about where to live, work and play, and how they move around. The ‘autonomous era’ will be shaped by two competing dynamics. Reduced perceived costs of travel are likely to encourage citizens to accept longer travel times, exacerbating the existing problems of congestion and urban sprawl. On the other hand, new autonomous ride-sourcing services may catalyse a move away from private vehicle ownership. This would increase the marginal cost of travel, encouraging urban consolidation and regeneration. The transport policy and infrastructure decisions we make now will affect the trajectory our cities take with respect to these dynamics. This paper uses a bespoke strategic Land Use and Transport Interaction (LUTI) model for Melbourne to explore the potential impacts of the autonomous era on transport infrastructure demand and urban form. Policy implications of the autonomous era are also considered.","author":[{"dropping-particle":"","family":"Thakur","given":"Praveen","non-dropping-particle":"","parse-names":false,"suffix":""},{"dropping-particle":"","family":"Kinghorn","given":"Robert","non-dropping-particle":"","parse-names":false,"suffix":""},{"dropping-particle":"","family":"Grace","given":"Renan","non-dropping-particle":"","parse-names":false,"suffix":""}],"container-title":"ATRF 2016 - Australasian Transport Research Forum 2016, Proceedings","id":"ITEM-4","issued":{"date-parts":[["2016"]]},"title":"Urban form and function in the autonomous era","type":"paper-conference"},"uris":["http://www.mendeley.com/documents/?uuid=fa48b530-d0e5-4de6-96e7-6b58e7c73aed"]}],"mendeley":{"formattedCitation":"(Luo et al., 2019; Nahmias-Biran et al., 2020; Soteropoulos et al., 2018; Thakur et al., 2016)","manualFormatting":" Luo et al., 2019; Nahmias-Biran et al., 2020; Soteropoulos et al., 2018; Thakur et al., 2016","plainTextFormattedCitation":"(Luo et al., 2019; Nahmias-Biran et al., 2020; Soteropoulos et al., 2018; Thakur et al., 2016)","previouslyFormattedCitation":"(Luo et al., 2019; Nahmias-Biran et al., 2020; Soteropoulos et al., 2018; Thakur et al., 2016)"},"properties":{"noteIndex":0},"schema":"https://github.com/citation-style-language/schema/raw/master/csl-citation.json"}</w:instrText>
      </w:r>
      <w:r w:rsidR="008E72C8" w:rsidRPr="00575A3E">
        <w:rPr>
          <w:szCs w:val="22"/>
          <w:lang w:val="en-GB"/>
        </w:rPr>
        <w:fldChar w:fldCharType="separate"/>
      </w:r>
      <w:r w:rsidR="00B51054" w:rsidRPr="00575A3E">
        <w:rPr>
          <w:noProof/>
          <w:szCs w:val="22"/>
          <w:lang w:val="en-GB"/>
        </w:rPr>
        <w:t xml:space="preserve"> </w:t>
      </w:r>
      <w:r w:rsidR="00C41D0C" w:rsidRPr="00575A3E">
        <w:rPr>
          <w:noProof/>
          <w:szCs w:val="22"/>
          <w:lang w:val="en-GB"/>
        </w:rPr>
        <w:t>Luo et al., 2019; Nahmias-Biran et al., 2020; Soteropoulos et al., 2018; Thakur et al., 2016</w:t>
      </w:r>
      <w:r w:rsidR="008E72C8" w:rsidRPr="00575A3E">
        <w:rPr>
          <w:szCs w:val="22"/>
          <w:lang w:val="en-GB"/>
        </w:rPr>
        <w:fldChar w:fldCharType="end"/>
      </w:r>
      <w:r w:rsidR="00530AA2" w:rsidRPr="00575A3E">
        <w:rPr>
          <w:szCs w:val="22"/>
          <w:lang w:val="en-GB"/>
        </w:rPr>
        <w:t xml:space="preserve">). </w:t>
      </w:r>
    </w:p>
    <w:p w14:paraId="1E05292D" w14:textId="77777777" w:rsidR="000E1AED" w:rsidRPr="00575A3E" w:rsidRDefault="000E1AED" w:rsidP="00CD459C">
      <w:pPr>
        <w:spacing w:line="360" w:lineRule="auto"/>
        <w:rPr>
          <w:szCs w:val="22"/>
          <w:lang w:val="en-GB"/>
        </w:rPr>
      </w:pPr>
    </w:p>
    <w:p w14:paraId="25645D42" w14:textId="2867E3E7" w:rsidR="000E1AED" w:rsidRPr="00575A3E" w:rsidRDefault="00037F33" w:rsidP="00CD459C">
      <w:pPr>
        <w:spacing w:line="360" w:lineRule="auto"/>
        <w:rPr>
          <w:szCs w:val="22"/>
          <w:lang w:val="en-GB"/>
        </w:rPr>
      </w:pPr>
      <w:r w:rsidRPr="00575A3E">
        <w:rPr>
          <w:szCs w:val="22"/>
          <w:lang w:val="en-GB"/>
        </w:rPr>
        <w:t xml:space="preserve">Also, the results of </w:t>
      </w:r>
      <w:r w:rsidR="000E1AED" w:rsidRPr="00575A3E">
        <w:rPr>
          <w:szCs w:val="22"/>
          <w:lang w:val="en-GB"/>
        </w:rPr>
        <w:t xml:space="preserve">the </w:t>
      </w:r>
      <w:r w:rsidRPr="00575A3E">
        <w:rPr>
          <w:szCs w:val="22"/>
          <w:lang w:val="en-GB"/>
        </w:rPr>
        <w:t>accessibility are more sensitive to different vehicle penetration</w:t>
      </w:r>
      <w:r w:rsidR="000A2046" w:rsidRPr="00575A3E">
        <w:rPr>
          <w:szCs w:val="22"/>
          <w:lang w:val="en-GB"/>
        </w:rPr>
        <w:t xml:space="preserve"> rates</w:t>
      </w:r>
      <w:r w:rsidRPr="00575A3E">
        <w:rPr>
          <w:szCs w:val="22"/>
          <w:lang w:val="en-GB"/>
        </w:rPr>
        <w:t xml:space="preserve"> in the fleet in comparison </w:t>
      </w:r>
      <w:r w:rsidR="000A2046" w:rsidRPr="00575A3E">
        <w:rPr>
          <w:szCs w:val="22"/>
          <w:lang w:val="en-GB"/>
        </w:rPr>
        <w:t xml:space="preserve">to </w:t>
      </w:r>
      <w:r w:rsidRPr="00575A3E">
        <w:rPr>
          <w:szCs w:val="22"/>
          <w:lang w:val="en-GB"/>
        </w:rPr>
        <w:t xml:space="preserve">the results presented in </w:t>
      </w:r>
      <w:r w:rsidR="000A2046" w:rsidRPr="00575A3E">
        <w:rPr>
          <w:szCs w:val="22"/>
          <w:lang w:val="en-GB"/>
        </w:rPr>
        <w:t>F</w:t>
      </w:r>
      <w:r w:rsidRPr="00575A3E">
        <w:rPr>
          <w:szCs w:val="22"/>
          <w:lang w:val="en-GB"/>
        </w:rPr>
        <w:t>igure</w:t>
      </w:r>
      <w:r w:rsidR="000A2046" w:rsidRPr="00575A3E">
        <w:rPr>
          <w:szCs w:val="22"/>
          <w:lang w:val="en-GB"/>
        </w:rPr>
        <w:t>s</w:t>
      </w:r>
      <w:r w:rsidRPr="00575A3E">
        <w:rPr>
          <w:szCs w:val="22"/>
          <w:lang w:val="en-GB"/>
        </w:rPr>
        <w:t xml:space="preserve"> </w:t>
      </w:r>
      <w:r w:rsidR="008B1CD3" w:rsidRPr="00575A3E">
        <w:rPr>
          <w:szCs w:val="22"/>
          <w:lang w:val="en-GB"/>
        </w:rPr>
        <w:t>15</w:t>
      </w:r>
      <w:r w:rsidR="008E5C02" w:rsidRPr="00575A3E">
        <w:rPr>
          <w:szCs w:val="22"/>
          <w:lang w:val="en-GB"/>
        </w:rPr>
        <w:t xml:space="preserve"> and </w:t>
      </w:r>
      <w:r w:rsidR="008B1CD3" w:rsidRPr="00575A3E">
        <w:rPr>
          <w:szCs w:val="22"/>
          <w:lang w:val="en-GB"/>
        </w:rPr>
        <w:t>16</w:t>
      </w:r>
      <w:r w:rsidRPr="00575A3E">
        <w:rPr>
          <w:szCs w:val="22"/>
          <w:lang w:val="en-GB"/>
        </w:rPr>
        <w:t>.</w:t>
      </w:r>
      <w:r w:rsidR="008C03A6" w:rsidRPr="00575A3E">
        <w:rPr>
          <w:szCs w:val="22"/>
          <w:lang w:val="en-GB"/>
        </w:rPr>
        <w:t xml:space="preserve"> Work accessibility in the literature has more pronounced effects</w:t>
      </w:r>
      <w:r w:rsidR="002B59FD" w:rsidRPr="00575A3E">
        <w:rPr>
          <w:szCs w:val="22"/>
          <w:lang w:val="en-GB"/>
        </w:rPr>
        <w:t xml:space="preserve"> in comparison </w:t>
      </w:r>
      <w:r w:rsidR="000E1AED" w:rsidRPr="00575A3E">
        <w:rPr>
          <w:szCs w:val="22"/>
          <w:lang w:val="en-GB"/>
        </w:rPr>
        <w:t xml:space="preserve">to </w:t>
      </w:r>
      <w:r w:rsidR="002B59FD" w:rsidRPr="00575A3E">
        <w:rPr>
          <w:szCs w:val="22"/>
          <w:lang w:val="en-GB"/>
        </w:rPr>
        <w:t>other types of accessibilities</w:t>
      </w:r>
      <w:r w:rsidR="000E1AED" w:rsidRPr="00575A3E">
        <w:rPr>
          <w:szCs w:val="22"/>
          <w:lang w:val="en-GB"/>
        </w:rPr>
        <w:t>, such as residential (e.g.</w:t>
      </w:r>
      <w:r w:rsidR="008C03A6" w:rsidRPr="00575A3E">
        <w:rPr>
          <w:szCs w:val="22"/>
          <w:lang w:val="en-GB"/>
        </w:rPr>
        <w:t xml:space="preserve"> </w:t>
      </w:r>
      <w:r w:rsidR="008C03A6" w:rsidRPr="00575A3E">
        <w:rPr>
          <w:szCs w:val="22"/>
          <w:lang w:val="en-GB"/>
        </w:rPr>
        <w:fldChar w:fldCharType="begin" w:fldLock="1"/>
      </w:r>
      <w:r w:rsidR="0002665A" w:rsidRPr="00575A3E">
        <w:rPr>
          <w:szCs w:val="22"/>
          <w:lang w:val="en-GB"/>
        </w:rPr>
        <w:instrText>ADDIN CSL_CITATION {"citationItems":[{"id":"ITEM-1","itemData":{"DOI":"10.3390/su13041608","ISSN":"20711050","abstract":"Autonomous vehicles (AVs) can generate major changes in urban systems due to their ability to use road infrastructures more efficiently and shorten trip times. However, there is great uncertainty about these effects and about whether the use of these vehicles will continue to be private, in continuity with the current paradigm, or whether they will become shared (carsharing/ridesharing). In order to try to shed light on these matters, the use of a scenario-based methodology and the evaluation of the scenarios using a land use–transport interaction model (LUTI model TRANSPACE) is proposed. This model allows simulating the impacts that changes in the transport system can generate on the location of households and companies oriented to local demand and accessibility conditions. The obtained results allow us to state that, if AVs would generate a significant increase in the capacity of urban and interurban road infrastructures, the impacts on mobility and on the location of activities could be positive, with a decrease in the distances traveled, trip times, and no evidence of significant urban sprawl processes. However, if these increases in capacity are accompanied by a large augment in the demand for shared journeys by new users (young, elderly) or empty journeys, the positive effects could disappear. Thus, this scenario would imply an increase in trip times, reduced accessibilities, and longer average distances traveled, all of which could cause the unwanted effect of expelling activities from the consolidated urban center.","author":[{"dropping-particle":"","family":"Cordera","given":"Rubén","non-dropping-particle":"","parse-names":false,"suffix":""},{"dropping-particle":"","family":"Nogués","given":"Soledad","non-dropping-particle":"","parse-names":false,"suffix":""},{"dropping-particle":"","family":"González-González","given":"Esther","non-dropping-particle":"","parse-names":false,"suffix":""},{"dropping-particle":"","family":"Moura","given":"José Luis","non-dropping-particle":"","parse-names":false,"suffix":""}],"container-title":"Sustainability (Switzerland)","id":"ITEM-1","issue":"4","issued":{"date-parts":[["2021"]]},"title":"Modeling the impacts of autonomous vehicles on land use using a luti model","type":"article-journal","volume":"13"},"uris":["http://www.mendeley.com/documents/?uuid=37dd8037-15f4-3bcc-a222-e9311a189b6d"]}],"mendeley":{"formattedCitation":"(Cordera et al., 2021)","manualFormatting":"Cordera et al., 2021)","plainTextFormattedCitation":"(Cordera et al., 2021)","previouslyFormattedCitation":"(Cordera et al., 2021)"},"properties":{"noteIndex":0},"schema":"https://github.com/citation-style-language/schema/raw/master/csl-citation.json"}</w:instrText>
      </w:r>
      <w:r w:rsidR="008C03A6" w:rsidRPr="00575A3E">
        <w:rPr>
          <w:szCs w:val="22"/>
          <w:lang w:val="en-GB"/>
        </w:rPr>
        <w:fldChar w:fldCharType="separate"/>
      </w:r>
      <w:r w:rsidR="008C03A6" w:rsidRPr="00575A3E">
        <w:rPr>
          <w:noProof/>
          <w:szCs w:val="22"/>
          <w:lang w:val="en-GB"/>
        </w:rPr>
        <w:t>Cordera et al.</w:t>
      </w:r>
      <w:r w:rsidR="000E1AED" w:rsidRPr="00575A3E">
        <w:rPr>
          <w:noProof/>
          <w:szCs w:val="22"/>
          <w:lang w:val="en-GB"/>
        </w:rPr>
        <w:t>,</w:t>
      </w:r>
      <w:r w:rsidR="008C03A6" w:rsidRPr="00575A3E">
        <w:rPr>
          <w:noProof/>
          <w:szCs w:val="22"/>
          <w:lang w:val="en-GB"/>
        </w:rPr>
        <w:t xml:space="preserve"> 2021)</w:t>
      </w:r>
      <w:r w:rsidR="008C03A6" w:rsidRPr="00575A3E">
        <w:rPr>
          <w:szCs w:val="22"/>
          <w:lang w:val="en-GB"/>
        </w:rPr>
        <w:fldChar w:fldCharType="end"/>
      </w:r>
      <w:r w:rsidR="00713C68" w:rsidRPr="00575A3E">
        <w:rPr>
          <w:szCs w:val="22"/>
          <w:lang w:val="en-GB"/>
        </w:rPr>
        <w:t xml:space="preserve">. </w:t>
      </w:r>
      <w:r w:rsidR="00DA283E" w:rsidRPr="00575A3E">
        <w:rPr>
          <w:szCs w:val="22"/>
          <w:lang w:val="en-GB"/>
        </w:rPr>
        <w:t>As can be observed,</w:t>
      </w:r>
      <w:r w:rsidR="008B1CD3" w:rsidRPr="00575A3E">
        <w:rPr>
          <w:szCs w:val="22"/>
          <w:lang w:val="en-GB"/>
        </w:rPr>
        <w:t xml:space="preserve"> most zones in origin accessibility to services and destination accessibility to clients have </w:t>
      </w:r>
      <w:r w:rsidR="00ED0B4A" w:rsidRPr="00575A3E">
        <w:rPr>
          <w:szCs w:val="22"/>
          <w:lang w:val="en-GB"/>
        </w:rPr>
        <w:t>1-minute</w:t>
      </w:r>
      <w:r w:rsidR="00DA283E" w:rsidRPr="00575A3E">
        <w:rPr>
          <w:szCs w:val="22"/>
          <w:lang w:val="en-GB"/>
        </w:rPr>
        <w:t xml:space="preserve"> </w:t>
      </w:r>
      <w:r w:rsidR="008B1CD3" w:rsidRPr="00575A3E">
        <w:rPr>
          <w:szCs w:val="22"/>
          <w:lang w:val="en-GB"/>
        </w:rPr>
        <w:t>decreases in generalised time. However, for the other two types of accessibilities, which are related to work</w:t>
      </w:r>
      <w:r w:rsidR="00DA283E" w:rsidRPr="00575A3E">
        <w:rPr>
          <w:szCs w:val="22"/>
          <w:lang w:val="en-GB"/>
        </w:rPr>
        <w:t>,</w:t>
      </w:r>
      <w:r w:rsidR="008B1CD3" w:rsidRPr="00575A3E">
        <w:rPr>
          <w:szCs w:val="22"/>
          <w:lang w:val="en-GB"/>
        </w:rPr>
        <w:t xml:space="preserve"> a larger number of zones</w:t>
      </w:r>
      <w:r w:rsidR="00DA283E" w:rsidRPr="00575A3E">
        <w:rPr>
          <w:szCs w:val="22"/>
          <w:lang w:val="en-GB"/>
        </w:rPr>
        <w:t xml:space="preserve"> exhibit</w:t>
      </w:r>
      <w:r w:rsidR="008B1CD3" w:rsidRPr="00575A3E">
        <w:rPr>
          <w:szCs w:val="22"/>
          <w:lang w:val="en-GB"/>
        </w:rPr>
        <w:t xml:space="preserve"> generalised time </w:t>
      </w:r>
      <w:r w:rsidR="00DA283E" w:rsidRPr="00575A3E">
        <w:rPr>
          <w:szCs w:val="22"/>
          <w:lang w:val="en-GB"/>
        </w:rPr>
        <w:t>decreases</w:t>
      </w:r>
      <w:r w:rsidR="00DB7A3C" w:rsidRPr="00575A3E">
        <w:rPr>
          <w:szCs w:val="22"/>
          <w:lang w:val="en-GB"/>
        </w:rPr>
        <w:t xml:space="preserve"> of </w:t>
      </w:r>
      <w:r w:rsidR="008B1CD3" w:rsidRPr="00575A3E">
        <w:rPr>
          <w:szCs w:val="22"/>
          <w:lang w:val="en-GB"/>
        </w:rPr>
        <w:t xml:space="preserve">4 to 5 minutes. </w:t>
      </w:r>
      <w:r w:rsidR="00713C68" w:rsidRPr="00575A3E">
        <w:rPr>
          <w:szCs w:val="22"/>
          <w:lang w:val="en-GB"/>
        </w:rPr>
        <w:t>The reason why in this case origin and destination accessibilit</w:t>
      </w:r>
      <w:r w:rsidR="00540BEB" w:rsidRPr="00575A3E">
        <w:rPr>
          <w:szCs w:val="22"/>
          <w:lang w:val="en-GB"/>
        </w:rPr>
        <w:t>ies</w:t>
      </w:r>
      <w:r w:rsidR="00713C68" w:rsidRPr="00575A3E">
        <w:rPr>
          <w:szCs w:val="22"/>
          <w:lang w:val="en-GB"/>
        </w:rPr>
        <w:t xml:space="preserve"> to services are lower than </w:t>
      </w:r>
      <w:r w:rsidR="000D13A1" w:rsidRPr="00575A3E">
        <w:rPr>
          <w:szCs w:val="22"/>
          <w:lang w:val="en-GB"/>
        </w:rPr>
        <w:t xml:space="preserve">the ones </w:t>
      </w:r>
      <w:r w:rsidR="00713C68" w:rsidRPr="00575A3E">
        <w:rPr>
          <w:szCs w:val="22"/>
          <w:lang w:val="en-GB"/>
        </w:rPr>
        <w:t>to work, is because non-work trips ha</w:t>
      </w:r>
      <w:r w:rsidR="000E1AED" w:rsidRPr="00575A3E">
        <w:rPr>
          <w:szCs w:val="22"/>
          <w:lang w:val="en-GB"/>
        </w:rPr>
        <w:t>ve</w:t>
      </w:r>
      <w:r w:rsidR="00713C68" w:rsidRPr="00575A3E">
        <w:rPr>
          <w:szCs w:val="22"/>
          <w:lang w:val="en-GB"/>
        </w:rPr>
        <w:t xml:space="preserve"> increased trip rates, which increases the number of trips and as a result congestion for non-work purposes. As a result, the benefit for accessibility to services is lower than the benefit for accessibility to </w:t>
      </w:r>
      <w:r w:rsidR="0057598A" w:rsidRPr="00575A3E">
        <w:rPr>
          <w:szCs w:val="22"/>
          <w:lang w:val="en-GB"/>
        </w:rPr>
        <w:t xml:space="preserve">work. </w:t>
      </w:r>
    </w:p>
    <w:p w14:paraId="351A0679" w14:textId="77777777" w:rsidR="000E1AED" w:rsidRPr="00575A3E" w:rsidRDefault="000E1AED" w:rsidP="00CD459C">
      <w:pPr>
        <w:spacing w:line="360" w:lineRule="auto"/>
        <w:rPr>
          <w:szCs w:val="22"/>
          <w:lang w:val="en-GB"/>
        </w:rPr>
      </w:pPr>
    </w:p>
    <w:p w14:paraId="319E18E4" w14:textId="3FCD8D81" w:rsidR="000E1AED" w:rsidRPr="00575A3E" w:rsidRDefault="0057598A" w:rsidP="00CD459C">
      <w:pPr>
        <w:spacing w:line="360" w:lineRule="auto"/>
        <w:rPr>
          <w:szCs w:val="22"/>
          <w:lang w:val="en-GB"/>
        </w:rPr>
      </w:pPr>
      <w:r w:rsidRPr="00575A3E">
        <w:rPr>
          <w:szCs w:val="22"/>
          <w:lang w:val="en-GB"/>
        </w:rPr>
        <w:t>Moreover</w:t>
      </w:r>
      <w:r w:rsidR="002B59FD" w:rsidRPr="00575A3E">
        <w:rPr>
          <w:szCs w:val="22"/>
          <w:lang w:val="en-GB"/>
        </w:rPr>
        <w:t>, it should be noted that work accessibility has increased more i</w:t>
      </w:r>
      <w:r w:rsidRPr="00575A3E">
        <w:rPr>
          <w:szCs w:val="22"/>
          <w:lang w:val="en-GB"/>
        </w:rPr>
        <w:t>n rural areas of the region, indicating that accessibility benefits are higher for residents of lower densit</w:t>
      </w:r>
      <w:r w:rsidR="000E1AED" w:rsidRPr="00575A3E">
        <w:rPr>
          <w:szCs w:val="22"/>
          <w:lang w:val="en-GB"/>
        </w:rPr>
        <w:t>y</w:t>
      </w:r>
      <w:r w:rsidRPr="00575A3E">
        <w:rPr>
          <w:szCs w:val="22"/>
          <w:lang w:val="en-GB"/>
        </w:rPr>
        <w:t xml:space="preserve"> areas, rather than higher density </w:t>
      </w:r>
      <w:r w:rsidR="000E1AED" w:rsidRPr="00575A3E">
        <w:rPr>
          <w:szCs w:val="22"/>
          <w:lang w:val="en-GB"/>
        </w:rPr>
        <w:t>ones</w:t>
      </w:r>
      <w:r w:rsidRPr="00575A3E">
        <w:rPr>
          <w:szCs w:val="22"/>
          <w:lang w:val="en-GB"/>
        </w:rPr>
        <w:t xml:space="preserve">, such as Birmingham and Coventry, due to the increase of financial activity in these zones. Similar </w:t>
      </w:r>
      <w:r w:rsidR="000E1AED" w:rsidRPr="00575A3E">
        <w:rPr>
          <w:szCs w:val="22"/>
          <w:lang w:val="en-GB"/>
        </w:rPr>
        <w:t xml:space="preserve">findings </w:t>
      </w:r>
      <w:r w:rsidRPr="00575A3E">
        <w:rPr>
          <w:szCs w:val="22"/>
          <w:lang w:val="en-GB"/>
        </w:rPr>
        <w:t xml:space="preserve">regarding accessibilities in rural areas were also </w:t>
      </w:r>
      <w:r w:rsidR="000E1AED" w:rsidRPr="00575A3E">
        <w:rPr>
          <w:szCs w:val="22"/>
          <w:lang w:val="en-GB"/>
        </w:rPr>
        <w:t xml:space="preserve">obtained </w:t>
      </w:r>
      <w:r w:rsidRPr="00575A3E">
        <w:rPr>
          <w:szCs w:val="22"/>
          <w:lang w:val="en-GB"/>
        </w:rPr>
        <w:t xml:space="preserve">by </w:t>
      </w:r>
      <w:r w:rsidRPr="00575A3E">
        <w:rPr>
          <w:szCs w:val="22"/>
          <w:lang w:val="en-GB"/>
        </w:rPr>
        <w:fldChar w:fldCharType="begin" w:fldLock="1"/>
      </w:r>
      <w:r w:rsidR="0002665A" w:rsidRPr="00575A3E">
        <w:rPr>
          <w:szCs w:val="22"/>
          <w:lang w:val="en-GB"/>
        </w:rPr>
        <w:instrText>ADDIN CSL_CITATION {"citationItems":[{"id":"ITEM-1","itemData":{"DOI":"10.1016/j.tra.2020.09.002","ISSN":"09658564","abstract":"The goal of this study is to assess and quantify the potential employment accessibility benefits of shared-use automated vehicle (AV) mobility service (SAMS) modes across a large diverse metropolitan region considering heterogeneity in the working population. To meet this goal, this study proposes employing a welfare-based (i.e. logsum-based) measure of accessibility, obtained via estimating a hierarchical work destination-commute mode choice model. The employment accessibility logsum measure incorporates the spatial distribution of worker residences and employment opportunities, the attributes of the available commute modes, and the characteristics of individual workers. The study further captures heterogeneity of workers using a latent class analysis (LCA) approach to account for different worker clusters valuing different types of employment opportunities differently, in which the socio-demographic characteristics of workers are the LCA model inputs. The accessibility analysis results in Southern California indicate: (i) the accessibility benefit differences across latent classes are modest but young workers and low-income workers do see higher benefits than high- and middle-income workers; (ii) there are substantial spatial differences in accessibility benefits with workers living in lower density areas benefiting more than workers living in high-density areas; (iii) nearly all the accessibility benefits come from the SAMS-only mode as opposed to the SAMS+Transit mode; and (iv) the SAMS cost per mile assumption significantly impacts the magnitude of the overall employment accessibility benefits.","author":[{"dropping-particle":"","family":"Ahmed","given":"Tanjeeb","non-dropping-particle":"","parse-names":false,"suffix":""},{"dropping-particle":"","family":"Hyland","given":"Michael","non-dropping-particle":"","parse-names":false,"suffix":""},{"dropping-particle":"","family":"Sarma","given":"Navjyoth J.S.","non-dropping-particle":"","parse-names":false,"suffix":""},{"dropping-particle":"","family":"Mitra","given":"Suman","non-dropping-particle":"","parse-names":false,"suffix":""},{"dropping-particle":"","family":"Ghaffar","given":"Arash","non-dropping-particle":"","parse-names":false,"suffix":""}],"container-title":"Transportation Research Part A: Policy and Practice","id":"ITEM-1","issued":{"date-parts":[["2020"]]},"title":"Quantifying the employment accessibility benefits of shared automated vehicle mobility services: Consumer welfare approach using logsums","type":"article-journal","volume":"141"},"uris":["http://www.mendeley.com/documents/?uuid=c5468203-5423-3595-b178-ac5636bc4dac"]}],"mendeley":{"formattedCitation":"(Ahmed et al., 2020)","manualFormatting":"Ahmed et al. (2020)","plainTextFormattedCitation":"(Ahmed et al., 2020)","previouslyFormattedCitation":"(Ahmed et al., 2020)"},"properties":{"noteIndex":0},"schema":"https://github.com/citation-style-language/schema/raw/master/csl-citation.json"}</w:instrText>
      </w:r>
      <w:r w:rsidRPr="00575A3E">
        <w:rPr>
          <w:szCs w:val="22"/>
          <w:lang w:val="en-GB"/>
        </w:rPr>
        <w:fldChar w:fldCharType="separate"/>
      </w:r>
      <w:r w:rsidRPr="00575A3E">
        <w:rPr>
          <w:noProof/>
          <w:szCs w:val="22"/>
          <w:lang w:val="en-GB"/>
        </w:rPr>
        <w:t>Ahmed et al. (2020)</w:t>
      </w:r>
      <w:r w:rsidRPr="00575A3E">
        <w:rPr>
          <w:szCs w:val="22"/>
          <w:lang w:val="en-GB"/>
        </w:rPr>
        <w:fldChar w:fldCharType="end"/>
      </w:r>
      <w:r w:rsidRPr="00575A3E">
        <w:rPr>
          <w:szCs w:val="22"/>
          <w:lang w:val="en-GB"/>
        </w:rPr>
        <w:t xml:space="preserve">. </w:t>
      </w:r>
    </w:p>
    <w:p w14:paraId="4B2FF467" w14:textId="77777777" w:rsidR="000E1AED" w:rsidRPr="00575A3E" w:rsidRDefault="000E1AED" w:rsidP="00CD459C">
      <w:pPr>
        <w:spacing w:line="360" w:lineRule="auto"/>
        <w:rPr>
          <w:szCs w:val="22"/>
          <w:lang w:val="en-GB"/>
        </w:rPr>
      </w:pPr>
    </w:p>
    <w:p w14:paraId="1AA1BA58" w14:textId="6DB00D10" w:rsidR="002E6242" w:rsidRPr="00575A3E" w:rsidRDefault="0057598A" w:rsidP="00CD459C">
      <w:pPr>
        <w:spacing w:line="360" w:lineRule="auto"/>
        <w:rPr>
          <w:szCs w:val="22"/>
          <w:lang w:val="en-GB"/>
        </w:rPr>
      </w:pPr>
      <w:r w:rsidRPr="00575A3E">
        <w:rPr>
          <w:szCs w:val="22"/>
          <w:lang w:val="en-GB"/>
        </w:rPr>
        <w:t>Overall, t</w:t>
      </w:r>
      <w:r w:rsidR="00530AA2" w:rsidRPr="00575A3E">
        <w:rPr>
          <w:szCs w:val="22"/>
          <w:lang w:val="en-GB"/>
        </w:rPr>
        <w:t xml:space="preserve">his increase in accessibility explains why there is a general increase in population and employment in the region, </w:t>
      </w:r>
      <w:r w:rsidR="000A2046" w:rsidRPr="00575A3E">
        <w:rPr>
          <w:szCs w:val="22"/>
          <w:lang w:val="en-GB"/>
        </w:rPr>
        <w:t xml:space="preserve">but </w:t>
      </w:r>
      <w:r w:rsidR="00530AA2" w:rsidRPr="00575A3E">
        <w:rPr>
          <w:szCs w:val="22"/>
          <w:lang w:val="en-GB"/>
        </w:rPr>
        <w:t>it should also be mentioned that</w:t>
      </w:r>
      <w:r w:rsidR="000A2046" w:rsidRPr="00575A3E">
        <w:rPr>
          <w:szCs w:val="22"/>
          <w:lang w:val="en-GB"/>
        </w:rPr>
        <w:t>,</w:t>
      </w:r>
      <w:r w:rsidR="00530AA2" w:rsidRPr="00575A3E">
        <w:rPr>
          <w:szCs w:val="22"/>
          <w:lang w:val="en-GB"/>
        </w:rPr>
        <w:t xml:space="preserve"> again</w:t>
      </w:r>
      <w:r w:rsidR="000A2046" w:rsidRPr="00575A3E">
        <w:rPr>
          <w:szCs w:val="22"/>
          <w:lang w:val="en-GB"/>
        </w:rPr>
        <w:t>,</w:t>
      </w:r>
      <w:r w:rsidR="00530AA2" w:rsidRPr="00575A3E">
        <w:rPr>
          <w:szCs w:val="22"/>
          <w:lang w:val="en-GB"/>
        </w:rPr>
        <w:t xml:space="preserve"> the combined effect with the increase in road capacity </w:t>
      </w:r>
      <w:r w:rsidR="00246540" w:rsidRPr="00575A3E">
        <w:rPr>
          <w:szCs w:val="22"/>
          <w:lang w:val="en-GB"/>
        </w:rPr>
        <w:t xml:space="preserve">in the </w:t>
      </w:r>
      <w:r w:rsidR="00320D14" w:rsidRPr="00575A3E">
        <w:rPr>
          <w:szCs w:val="22"/>
          <w:lang w:val="en-GB"/>
        </w:rPr>
        <w:t>‘</w:t>
      </w:r>
      <w:r w:rsidR="00246540" w:rsidRPr="00575A3E">
        <w:rPr>
          <w:szCs w:val="22"/>
          <w:lang w:val="en-GB"/>
        </w:rPr>
        <w:t>P</w:t>
      </w:r>
      <w:r w:rsidR="00320D14" w:rsidRPr="00575A3E">
        <w:rPr>
          <w:szCs w:val="22"/>
          <w:lang w:val="en-GB"/>
        </w:rPr>
        <w:t>’</w:t>
      </w:r>
      <w:r w:rsidR="00246540" w:rsidRPr="00575A3E">
        <w:rPr>
          <w:szCs w:val="22"/>
          <w:lang w:val="en-GB"/>
        </w:rPr>
        <w:t xml:space="preserve"> scenarios </w:t>
      </w:r>
      <w:r w:rsidR="005C6D8F" w:rsidRPr="00575A3E">
        <w:rPr>
          <w:szCs w:val="22"/>
          <w:lang w:val="en-GB"/>
        </w:rPr>
        <w:t>results to more pronounced effects</w:t>
      </w:r>
      <w:r w:rsidRPr="00575A3E">
        <w:rPr>
          <w:szCs w:val="22"/>
          <w:lang w:val="en-GB"/>
        </w:rPr>
        <w:t xml:space="preserve"> because the reduced travel times from </w:t>
      </w:r>
      <w:r w:rsidR="00320D14" w:rsidRPr="00575A3E">
        <w:rPr>
          <w:szCs w:val="22"/>
          <w:lang w:val="en-GB"/>
        </w:rPr>
        <w:t xml:space="preserve">shorted </w:t>
      </w:r>
      <w:r w:rsidRPr="00575A3E">
        <w:rPr>
          <w:szCs w:val="22"/>
          <w:lang w:val="en-GB"/>
        </w:rPr>
        <w:t>headways, increase accessibility even more.</w:t>
      </w:r>
      <w:r w:rsidR="005C6D8F" w:rsidRPr="00575A3E">
        <w:rPr>
          <w:szCs w:val="22"/>
          <w:lang w:val="en-GB"/>
        </w:rPr>
        <w:t xml:space="preserve"> </w:t>
      </w:r>
    </w:p>
    <w:p w14:paraId="043250C5" w14:textId="77777777" w:rsidR="00320D14" w:rsidRPr="00575A3E" w:rsidRDefault="00320D14" w:rsidP="00CD459C">
      <w:pPr>
        <w:spacing w:line="360" w:lineRule="auto"/>
        <w:rPr>
          <w:szCs w:val="22"/>
          <w:lang w:val="en-GB"/>
        </w:rPr>
      </w:pPr>
    </w:p>
    <w:p w14:paraId="3FDEF4AF" w14:textId="3C02C227" w:rsidR="002C4749" w:rsidRPr="00575A3E" w:rsidRDefault="00DD4784" w:rsidP="00CD459C">
      <w:pPr>
        <w:spacing w:line="360" w:lineRule="auto"/>
        <w:rPr>
          <w:szCs w:val="22"/>
          <w:lang w:val="en-GB"/>
        </w:rPr>
      </w:pPr>
      <w:r w:rsidRPr="00575A3E">
        <w:rPr>
          <w:szCs w:val="22"/>
          <w:lang w:val="en-GB"/>
        </w:rPr>
        <w:t>Finally, until the end of the simulation period, the percentages do not indicate a change of form</w:t>
      </w:r>
      <w:r w:rsidR="000A2046" w:rsidRPr="00575A3E">
        <w:rPr>
          <w:szCs w:val="22"/>
          <w:lang w:val="en-GB"/>
        </w:rPr>
        <w:t>.</w:t>
      </w:r>
      <w:r w:rsidRPr="00575A3E">
        <w:rPr>
          <w:szCs w:val="22"/>
          <w:lang w:val="en-GB"/>
        </w:rPr>
        <w:t xml:space="preserve"> </w:t>
      </w:r>
      <w:r w:rsidR="000A2046" w:rsidRPr="00575A3E">
        <w:rPr>
          <w:szCs w:val="22"/>
          <w:lang w:val="en-GB"/>
        </w:rPr>
        <w:t>H</w:t>
      </w:r>
      <w:r w:rsidRPr="00575A3E">
        <w:rPr>
          <w:szCs w:val="22"/>
          <w:lang w:val="en-GB"/>
        </w:rPr>
        <w:t>owever</w:t>
      </w:r>
      <w:r w:rsidR="000A2046" w:rsidRPr="00575A3E">
        <w:rPr>
          <w:szCs w:val="22"/>
          <w:lang w:val="en-GB"/>
        </w:rPr>
        <w:t>,</w:t>
      </w:r>
      <w:r w:rsidR="0057598A" w:rsidRPr="00575A3E">
        <w:rPr>
          <w:szCs w:val="22"/>
          <w:lang w:val="en-GB"/>
        </w:rPr>
        <w:t xml:space="preserve"> considering</w:t>
      </w:r>
      <w:r w:rsidRPr="00575A3E">
        <w:rPr>
          <w:szCs w:val="22"/>
          <w:lang w:val="en-GB"/>
        </w:rPr>
        <w:t xml:space="preserve"> </w:t>
      </w:r>
      <w:r w:rsidR="002B59FD" w:rsidRPr="00575A3E">
        <w:rPr>
          <w:szCs w:val="22"/>
          <w:lang w:val="en-GB"/>
        </w:rPr>
        <w:t>the increase of employment accessibility in rural areas</w:t>
      </w:r>
      <w:r w:rsidR="0057598A" w:rsidRPr="00575A3E">
        <w:rPr>
          <w:szCs w:val="22"/>
          <w:lang w:val="en-GB"/>
        </w:rPr>
        <w:t xml:space="preserve"> and supposing that these trends of population and employment continue unchanged in the following years, </w:t>
      </w:r>
      <w:r w:rsidRPr="00575A3E">
        <w:rPr>
          <w:szCs w:val="22"/>
          <w:lang w:val="en-GB"/>
        </w:rPr>
        <w:t xml:space="preserve">a polycentric </w:t>
      </w:r>
      <w:r w:rsidR="00B07A4D" w:rsidRPr="00575A3E">
        <w:rPr>
          <w:szCs w:val="22"/>
          <w:lang w:val="en-GB"/>
        </w:rPr>
        <w:t xml:space="preserve">regional </w:t>
      </w:r>
      <w:r w:rsidRPr="00575A3E">
        <w:rPr>
          <w:szCs w:val="22"/>
          <w:lang w:val="en-GB"/>
        </w:rPr>
        <w:t xml:space="preserve">form with possible expansions may occur, </w:t>
      </w:r>
      <w:r w:rsidR="00B07A4D" w:rsidRPr="00575A3E">
        <w:rPr>
          <w:szCs w:val="22"/>
          <w:lang w:val="en-GB"/>
        </w:rPr>
        <w:t>similar</w:t>
      </w:r>
      <w:r w:rsidR="00320D14" w:rsidRPr="00575A3E">
        <w:rPr>
          <w:szCs w:val="22"/>
          <w:lang w:val="en-GB"/>
        </w:rPr>
        <w:t>,</w:t>
      </w:r>
      <w:r w:rsidR="00B07A4D" w:rsidRPr="00575A3E">
        <w:rPr>
          <w:szCs w:val="22"/>
          <w:lang w:val="en-GB"/>
        </w:rPr>
        <w:t xml:space="preserve"> theoretically</w:t>
      </w:r>
      <w:r w:rsidR="00320D14" w:rsidRPr="00575A3E">
        <w:rPr>
          <w:szCs w:val="22"/>
          <w:lang w:val="en-GB"/>
        </w:rPr>
        <w:t>,</w:t>
      </w:r>
      <w:r w:rsidR="00B07A4D" w:rsidRPr="00575A3E">
        <w:rPr>
          <w:szCs w:val="22"/>
          <w:lang w:val="en-GB"/>
        </w:rPr>
        <w:t xml:space="preserve"> to the</w:t>
      </w:r>
      <w:r w:rsidRPr="00575A3E">
        <w:rPr>
          <w:szCs w:val="22"/>
          <w:lang w:val="en-GB"/>
        </w:rPr>
        <w:t xml:space="preserve"> polycentric </w:t>
      </w:r>
      <w:r w:rsidR="00B07A4D" w:rsidRPr="00575A3E">
        <w:rPr>
          <w:szCs w:val="22"/>
          <w:lang w:val="en-GB"/>
        </w:rPr>
        <w:t xml:space="preserve">urban </w:t>
      </w:r>
      <w:r w:rsidRPr="00575A3E">
        <w:rPr>
          <w:szCs w:val="22"/>
          <w:lang w:val="en-GB"/>
        </w:rPr>
        <w:t>model of Harris and Ullman</w:t>
      </w:r>
      <w:r w:rsidR="008E72C8" w:rsidRPr="00575A3E">
        <w:rPr>
          <w:szCs w:val="22"/>
          <w:lang w:val="en-GB"/>
        </w:rPr>
        <w:t xml:space="preserve"> </w:t>
      </w:r>
      <w:r w:rsidR="008E72C8" w:rsidRPr="00575A3E">
        <w:rPr>
          <w:szCs w:val="22"/>
          <w:lang w:val="en-GB"/>
        </w:rPr>
        <w:fldChar w:fldCharType="begin" w:fldLock="1"/>
      </w:r>
      <w:r w:rsidR="0002665A" w:rsidRPr="00575A3E">
        <w:rPr>
          <w:szCs w:val="22"/>
          <w:lang w:val="en-GB"/>
        </w:rPr>
        <w:instrText>ADDIN CSL_CITATION {"citationItems":[{"id":"ITEM-1","itemData":{"DOI":"10.4324/9781315618159","ISBN":"9781317210108","ISSN":"1063-0732","PMID":"14140886","abstract":"This second edition offers new topics and approaches that have emerged as critical issues in contemporary transport systems, including security, energy, supply chain management and GIS-T.","author":[{"dropping-particle":"","family":"Rodrigue","given":"Jean Paul","non-dropping-particle":"","parse-names":false,"suffix":""},{"dropping-particle":"","family":"Comtois","given":"Claude","non-dropping-particle":"","parse-names":false,"suffix":""},{"dropping-particle":"","family":"Slack","given":"Brian","non-dropping-particle":"","parse-names":false,"suffix":""}],"container-title":"The Geography of Transport Systems","id":"ITEM-1","issued":{"date-parts":[["2016"]]},"number-of-pages":"1-440","title":"The geography of transport systems","type":"book"},"uris":["http://www.mendeley.com/documents/?uuid=9a2f7c88-c65f-462c-a4d0-aa887111e2ce"]}],"mendeley":{"formattedCitation":"(Rodrigue et al., 2016)","plainTextFormattedCitation":"(Rodrigue et al., 2016)","previouslyFormattedCitation":"(Rodrigue et al., 2016)"},"properties":{"noteIndex":0},"schema":"https://github.com/citation-style-language/schema/raw/master/csl-citation.json"}</w:instrText>
      </w:r>
      <w:r w:rsidR="008E72C8" w:rsidRPr="00575A3E">
        <w:rPr>
          <w:szCs w:val="22"/>
          <w:lang w:val="en-GB"/>
        </w:rPr>
        <w:fldChar w:fldCharType="separate"/>
      </w:r>
      <w:r w:rsidR="00BF7603" w:rsidRPr="00575A3E">
        <w:rPr>
          <w:noProof/>
          <w:szCs w:val="22"/>
          <w:lang w:val="en-GB"/>
        </w:rPr>
        <w:t>(Rodrigue et al., 2016)</w:t>
      </w:r>
      <w:r w:rsidR="008E72C8" w:rsidRPr="00575A3E">
        <w:rPr>
          <w:szCs w:val="22"/>
          <w:lang w:val="en-GB"/>
        </w:rPr>
        <w:fldChar w:fldCharType="end"/>
      </w:r>
      <w:r w:rsidR="00B07A4D" w:rsidRPr="00575A3E">
        <w:rPr>
          <w:szCs w:val="22"/>
          <w:lang w:val="en-GB"/>
        </w:rPr>
        <w:t>, at a larger spatial scale of analysis</w:t>
      </w:r>
      <w:r w:rsidR="002C4749" w:rsidRPr="00575A3E">
        <w:rPr>
          <w:szCs w:val="22"/>
          <w:lang w:val="en-GB"/>
        </w:rPr>
        <w:t>.</w:t>
      </w:r>
    </w:p>
    <w:p w14:paraId="6EC600B0" w14:textId="5CE8C43D" w:rsidR="002C4749" w:rsidRPr="00575A3E" w:rsidRDefault="002C4749" w:rsidP="00A55356">
      <w:pPr>
        <w:spacing w:line="360" w:lineRule="auto"/>
        <w:rPr>
          <w:szCs w:val="22"/>
          <w:lang w:val="en-GB"/>
        </w:rPr>
      </w:pPr>
    </w:p>
    <w:p w14:paraId="7C33611D" w14:textId="290FA665" w:rsidR="00DD4784" w:rsidRPr="00575A3E" w:rsidRDefault="002C4749" w:rsidP="00814700">
      <w:pPr>
        <w:spacing w:line="360" w:lineRule="auto"/>
        <w:rPr>
          <w:szCs w:val="22"/>
          <w:lang w:val="en-GB"/>
        </w:rPr>
      </w:pPr>
      <w:r w:rsidRPr="00575A3E">
        <w:rPr>
          <w:lang w:val="en-GB"/>
        </w:rPr>
        <w:t>Analy</w:t>
      </w:r>
      <w:r w:rsidR="00320D14" w:rsidRPr="00575A3E">
        <w:rPr>
          <w:lang w:val="en-GB"/>
        </w:rPr>
        <w:t>s</w:t>
      </w:r>
      <w:r w:rsidRPr="00575A3E">
        <w:rPr>
          <w:lang w:val="en-GB"/>
        </w:rPr>
        <w:t xml:space="preserve">ing the peripheral zones of Birmingham and Coventry assisted </w:t>
      </w:r>
      <w:r w:rsidR="00B51054" w:rsidRPr="00575A3E">
        <w:rPr>
          <w:lang w:val="en-GB"/>
        </w:rPr>
        <w:t xml:space="preserve">the </w:t>
      </w:r>
      <w:r w:rsidRPr="00575A3E">
        <w:rPr>
          <w:lang w:val="en-GB"/>
        </w:rPr>
        <w:t xml:space="preserve">understanding </w:t>
      </w:r>
      <w:r w:rsidR="00B51054" w:rsidRPr="00575A3E">
        <w:rPr>
          <w:lang w:val="en-GB"/>
        </w:rPr>
        <w:t xml:space="preserve">of </w:t>
      </w:r>
      <w:r w:rsidRPr="00575A3E">
        <w:rPr>
          <w:lang w:val="en-GB"/>
        </w:rPr>
        <w:t xml:space="preserve">the effects of new vehicle technologies in both urban cores. </w:t>
      </w:r>
      <w:r w:rsidR="00FC5D87" w:rsidRPr="00575A3E">
        <w:rPr>
          <w:lang w:val="en-GB"/>
        </w:rPr>
        <w:t>Thus, it was deemed appropriate to follow the same procedure</w:t>
      </w:r>
      <w:r w:rsidRPr="00575A3E">
        <w:rPr>
          <w:lang w:val="en-GB"/>
        </w:rPr>
        <w:t xml:space="preserve"> in the more macroscopic scale of analysis for the region by investigating the adjoin</w:t>
      </w:r>
      <w:r w:rsidR="00B51054" w:rsidRPr="00575A3E">
        <w:rPr>
          <w:lang w:val="en-GB"/>
        </w:rPr>
        <w:t>ing</w:t>
      </w:r>
      <w:r w:rsidRPr="00575A3E">
        <w:rPr>
          <w:lang w:val="en-GB"/>
        </w:rPr>
        <w:t xml:space="preserve"> zones of the peripheral zones of </w:t>
      </w:r>
      <w:r w:rsidR="00320D14" w:rsidRPr="00575A3E">
        <w:rPr>
          <w:lang w:val="en-GB"/>
        </w:rPr>
        <w:t xml:space="preserve">the </w:t>
      </w:r>
      <w:r w:rsidRPr="00575A3E">
        <w:rPr>
          <w:lang w:val="en-GB"/>
        </w:rPr>
        <w:t xml:space="preserve">West Midlands. </w:t>
      </w:r>
      <w:r w:rsidR="00FC5D87" w:rsidRPr="00575A3E">
        <w:rPr>
          <w:lang w:val="en-GB"/>
        </w:rPr>
        <w:t xml:space="preserve">The cartographical representations are presented in </w:t>
      </w:r>
      <w:r w:rsidR="008B603B" w:rsidRPr="00575A3E">
        <w:rPr>
          <w:lang w:val="en-GB"/>
        </w:rPr>
        <w:fldChar w:fldCharType="begin"/>
      </w:r>
      <w:r w:rsidR="008B603B" w:rsidRPr="00575A3E">
        <w:rPr>
          <w:lang w:val="en-GB"/>
        </w:rPr>
        <w:instrText xml:space="preserve"> REF _Ref79761451 \h </w:instrText>
      </w:r>
      <w:r w:rsidR="00A55356" w:rsidRPr="00575A3E">
        <w:rPr>
          <w:lang w:val="en-GB"/>
        </w:rPr>
        <w:instrText xml:space="preserve"> \* MERGEFORMAT </w:instrText>
      </w:r>
      <w:r w:rsidR="008B603B" w:rsidRPr="00575A3E">
        <w:rPr>
          <w:lang w:val="en-GB"/>
        </w:rPr>
      </w:r>
      <w:r w:rsidR="008B603B" w:rsidRPr="00575A3E">
        <w:rPr>
          <w:lang w:val="en-GB"/>
        </w:rPr>
        <w:fldChar w:fldCharType="separate"/>
      </w:r>
      <w:r w:rsidR="004A1C59" w:rsidRPr="00575A3E">
        <w:rPr>
          <w:lang w:val="en-GB"/>
        </w:rPr>
        <w:t>Figure 19</w:t>
      </w:r>
      <w:r w:rsidR="008B603B" w:rsidRPr="00575A3E">
        <w:rPr>
          <w:lang w:val="en-GB"/>
        </w:rPr>
        <w:fldChar w:fldCharType="end"/>
      </w:r>
      <w:r w:rsidR="008B603B" w:rsidRPr="00575A3E">
        <w:rPr>
          <w:lang w:val="en-GB"/>
        </w:rPr>
        <w:t xml:space="preserve"> and </w:t>
      </w:r>
      <w:r w:rsidR="008B603B" w:rsidRPr="00575A3E">
        <w:rPr>
          <w:lang w:val="en-GB"/>
        </w:rPr>
        <w:fldChar w:fldCharType="begin"/>
      </w:r>
      <w:r w:rsidR="008B603B" w:rsidRPr="00575A3E">
        <w:rPr>
          <w:lang w:val="en-GB"/>
        </w:rPr>
        <w:instrText xml:space="preserve"> REF _Ref79761453 \h </w:instrText>
      </w:r>
      <w:r w:rsidR="00A55356" w:rsidRPr="00575A3E">
        <w:rPr>
          <w:lang w:val="en-GB"/>
        </w:rPr>
        <w:instrText xml:space="preserve"> \* MERGEFORMAT </w:instrText>
      </w:r>
      <w:r w:rsidR="008B603B" w:rsidRPr="00575A3E">
        <w:rPr>
          <w:lang w:val="en-GB"/>
        </w:rPr>
      </w:r>
      <w:r w:rsidR="008B603B" w:rsidRPr="00575A3E">
        <w:rPr>
          <w:lang w:val="en-GB"/>
        </w:rPr>
        <w:fldChar w:fldCharType="separate"/>
      </w:r>
      <w:r w:rsidR="004A1C59" w:rsidRPr="00575A3E">
        <w:rPr>
          <w:lang w:val="en-GB"/>
        </w:rPr>
        <w:t>Figure 20</w:t>
      </w:r>
      <w:r w:rsidR="008B603B" w:rsidRPr="00575A3E">
        <w:rPr>
          <w:lang w:val="en-GB"/>
        </w:rPr>
        <w:fldChar w:fldCharType="end"/>
      </w:r>
      <w:r w:rsidRPr="00575A3E">
        <w:rPr>
          <w:lang w:val="en-GB"/>
        </w:rPr>
        <w:t xml:space="preserve">, </w:t>
      </w:r>
      <w:r w:rsidR="00320D14" w:rsidRPr="00575A3E">
        <w:rPr>
          <w:lang w:val="en-GB"/>
        </w:rPr>
        <w:t>showing</w:t>
      </w:r>
      <w:r w:rsidR="00FC5D87" w:rsidRPr="00575A3E">
        <w:rPr>
          <w:lang w:val="en-GB"/>
        </w:rPr>
        <w:t xml:space="preserve"> the</w:t>
      </w:r>
      <w:r w:rsidRPr="00575A3E">
        <w:rPr>
          <w:lang w:val="en-GB"/>
        </w:rPr>
        <w:t xml:space="preserve"> </w:t>
      </w:r>
      <w:r w:rsidR="00FC5D87" w:rsidRPr="00575A3E">
        <w:rPr>
          <w:lang w:val="en-GB"/>
        </w:rPr>
        <w:t xml:space="preserve">percentage changes of the </w:t>
      </w:r>
      <w:r w:rsidRPr="00575A3E">
        <w:rPr>
          <w:lang w:val="en-GB"/>
        </w:rPr>
        <w:t>peripheral adjoin</w:t>
      </w:r>
      <w:r w:rsidR="00B51054" w:rsidRPr="00575A3E">
        <w:rPr>
          <w:lang w:val="en-GB"/>
        </w:rPr>
        <w:t>ing</w:t>
      </w:r>
      <w:r w:rsidRPr="00575A3E">
        <w:rPr>
          <w:lang w:val="en-GB"/>
        </w:rPr>
        <w:t xml:space="preserve"> zones of the region in terms of </w:t>
      </w:r>
      <w:r w:rsidR="008B603B" w:rsidRPr="00575A3E">
        <w:rPr>
          <w:lang w:val="en-GB"/>
        </w:rPr>
        <w:t>employment</w:t>
      </w:r>
      <w:r w:rsidRPr="00575A3E">
        <w:rPr>
          <w:lang w:val="en-GB"/>
        </w:rPr>
        <w:t xml:space="preserve"> and </w:t>
      </w:r>
      <w:r w:rsidR="008B603B" w:rsidRPr="00575A3E">
        <w:rPr>
          <w:lang w:val="en-GB"/>
        </w:rPr>
        <w:t>working adults, respectively</w:t>
      </w:r>
      <w:r w:rsidR="00FC5D87" w:rsidRPr="00575A3E">
        <w:rPr>
          <w:lang w:val="en-GB"/>
        </w:rPr>
        <w:t>, one year after the end of the simulation period.</w:t>
      </w:r>
    </w:p>
    <w:p w14:paraId="6B0FC8C0" w14:textId="1AFEA8F1" w:rsidR="00E81319" w:rsidRPr="00575A3E" w:rsidRDefault="00FE3CE9" w:rsidP="00CD459C">
      <w:pPr>
        <w:keepNext/>
        <w:spacing w:line="360" w:lineRule="auto"/>
        <w:jc w:val="center"/>
        <w:rPr>
          <w:lang w:val="en-GB"/>
        </w:rPr>
      </w:pPr>
      <w:r w:rsidRPr="00575A3E">
        <w:rPr>
          <w:noProof/>
          <w:lang w:val="en-GB" w:eastAsia="en-GB"/>
        </w:rPr>
        <w:lastRenderedPageBreak/>
        <w:drawing>
          <wp:inline distT="0" distB="0" distL="0" distR="0" wp14:anchorId="36A3EF35" wp14:editId="033E5510">
            <wp:extent cx="4950373" cy="70002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5619" cy="7021759"/>
                    </a:xfrm>
                    <a:prstGeom prst="rect">
                      <a:avLst/>
                    </a:prstGeom>
                  </pic:spPr>
                </pic:pic>
              </a:graphicData>
            </a:graphic>
          </wp:inline>
        </w:drawing>
      </w:r>
    </w:p>
    <w:p w14:paraId="57954EB5" w14:textId="0892B8B9" w:rsidR="00E81319" w:rsidRPr="00575A3E" w:rsidRDefault="00E81319" w:rsidP="00CD459C">
      <w:pPr>
        <w:pStyle w:val="Caption"/>
        <w:jc w:val="center"/>
        <w:rPr>
          <w:lang w:val="en-GB"/>
        </w:rPr>
      </w:pPr>
      <w:bookmarkStart w:id="42" w:name="_Ref79761451"/>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19</w:t>
      </w:r>
      <w:r w:rsidRPr="00575A3E">
        <w:rPr>
          <w:lang w:val="en-GB"/>
        </w:rPr>
        <w:fldChar w:fldCharType="end"/>
      </w:r>
      <w:bookmarkEnd w:id="42"/>
      <w:r w:rsidRPr="00575A3E">
        <w:rPr>
          <w:lang w:val="en-GB"/>
        </w:rPr>
        <w:t xml:space="preserve">: </w:t>
      </w:r>
      <w:r w:rsidR="002C4749" w:rsidRPr="00575A3E">
        <w:rPr>
          <w:b w:val="0"/>
          <w:bCs w:val="0"/>
          <w:lang w:val="en-GB"/>
        </w:rPr>
        <w:t>Buffer Zone Examination- Employment</w:t>
      </w:r>
    </w:p>
    <w:p w14:paraId="370D35B4" w14:textId="2466745A" w:rsidR="002C4749" w:rsidRPr="00575A3E" w:rsidRDefault="00FE3CE9" w:rsidP="00CD459C">
      <w:pPr>
        <w:keepNext/>
        <w:spacing w:line="360" w:lineRule="auto"/>
        <w:jc w:val="center"/>
        <w:rPr>
          <w:lang w:val="en-GB"/>
        </w:rPr>
      </w:pPr>
      <w:r w:rsidRPr="00575A3E">
        <w:rPr>
          <w:noProof/>
          <w:lang w:val="en-GB" w:eastAsia="en-GB"/>
        </w:rPr>
        <w:lastRenderedPageBreak/>
        <w:drawing>
          <wp:inline distT="0" distB="0" distL="0" distR="0" wp14:anchorId="098A6CC0" wp14:editId="2302731B">
            <wp:extent cx="4939003" cy="698412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65317" cy="7021334"/>
                    </a:xfrm>
                    <a:prstGeom prst="rect">
                      <a:avLst/>
                    </a:prstGeom>
                  </pic:spPr>
                </pic:pic>
              </a:graphicData>
            </a:graphic>
          </wp:inline>
        </w:drawing>
      </w:r>
    </w:p>
    <w:p w14:paraId="5F0286D6" w14:textId="0F644CAF" w:rsidR="00DD4784" w:rsidRPr="00575A3E" w:rsidRDefault="002C4749" w:rsidP="00CD459C">
      <w:pPr>
        <w:pStyle w:val="Caption"/>
        <w:jc w:val="center"/>
        <w:rPr>
          <w:b w:val="0"/>
          <w:bCs w:val="0"/>
          <w:lang w:val="en-GB"/>
        </w:rPr>
      </w:pPr>
      <w:bookmarkStart w:id="43" w:name="_Ref79761453"/>
      <w:r w:rsidRPr="00575A3E">
        <w:rPr>
          <w:lang w:val="en-GB"/>
        </w:rPr>
        <w:t xml:space="preserve">Figure </w:t>
      </w:r>
      <w:r w:rsidRPr="00575A3E">
        <w:rPr>
          <w:lang w:val="en-GB"/>
        </w:rPr>
        <w:fldChar w:fldCharType="begin"/>
      </w:r>
      <w:r w:rsidRPr="00575A3E">
        <w:rPr>
          <w:lang w:val="en-GB"/>
        </w:rPr>
        <w:instrText xml:space="preserve"> SEQ Figure \* ARABIC </w:instrText>
      </w:r>
      <w:r w:rsidRPr="00575A3E">
        <w:rPr>
          <w:lang w:val="en-GB"/>
        </w:rPr>
        <w:fldChar w:fldCharType="separate"/>
      </w:r>
      <w:r w:rsidR="004A1C59" w:rsidRPr="00575A3E">
        <w:rPr>
          <w:noProof/>
          <w:lang w:val="en-GB"/>
        </w:rPr>
        <w:t>20</w:t>
      </w:r>
      <w:r w:rsidRPr="00575A3E">
        <w:rPr>
          <w:lang w:val="en-GB"/>
        </w:rPr>
        <w:fldChar w:fldCharType="end"/>
      </w:r>
      <w:bookmarkEnd w:id="43"/>
      <w:r w:rsidRPr="00575A3E">
        <w:rPr>
          <w:lang w:val="en-GB"/>
        </w:rPr>
        <w:t xml:space="preserve">: </w:t>
      </w:r>
      <w:r w:rsidRPr="00575A3E">
        <w:rPr>
          <w:b w:val="0"/>
          <w:bCs w:val="0"/>
          <w:lang w:val="en-GB"/>
        </w:rPr>
        <w:t>Buffer Zone Examination- Working Adults</w:t>
      </w:r>
    </w:p>
    <w:p w14:paraId="7E3E95AC" w14:textId="5B427414" w:rsidR="008B603B" w:rsidRPr="00575A3E" w:rsidRDefault="00B970F0" w:rsidP="00A55356">
      <w:pPr>
        <w:spacing w:line="360" w:lineRule="auto"/>
        <w:rPr>
          <w:lang w:val="en-GB"/>
        </w:rPr>
      </w:pPr>
      <w:r w:rsidRPr="00575A3E">
        <w:rPr>
          <w:lang w:val="en-GB"/>
        </w:rPr>
        <w:t>The adjoin</w:t>
      </w:r>
      <w:r w:rsidR="00B51054" w:rsidRPr="00575A3E">
        <w:rPr>
          <w:lang w:val="en-GB"/>
        </w:rPr>
        <w:t>ing</w:t>
      </w:r>
      <w:r w:rsidRPr="00575A3E">
        <w:rPr>
          <w:lang w:val="en-GB"/>
        </w:rPr>
        <w:t xml:space="preserve"> spatial units of analysis in the two maps have been also affected by the incorporation of new vehicle technologies in the region. </w:t>
      </w:r>
      <w:r w:rsidR="00466A76" w:rsidRPr="00575A3E">
        <w:rPr>
          <w:lang w:val="en-GB"/>
        </w:rPr>
        <w:t xml:space="preserve">More specifically, minor </w:t>
      </w:r>
      <w:r w:rsidR="00E57143" w:rsidRPr="00575A3E">
        <w:rPr>
          <w:lang w:val="en-GB"/>
        </w:rPr>
        <w:t>percentage changes are</w:t>
      </w:r>
      <w:r w:rsidR="00466A76" w:rsidRPr="00575A3E">
        <w:rPr>
          <w:lang w:val="en-GB"/>
        </w:rPr>
        <w:t xml:space="preserve"> evident in most zones of all scenarios for both variables</w:t>
      </w:r>
      <w:r w:rsidR="008B1CD3" w:rsidRPr="00575A3E">
        <w:rPr>
          <w:lang w:val="en-GB"/>
        </w:rPr>
        <w:t xml:space="preserve"> ranging from -1.5% to 0.5%</w:t>
      </w:r>
      <w:r w:rsidR="000762D9" w:rsidRPr="00575A3E">
        <w:rPr>
          <w:lang w:val="en-GB"/>
        </w:rPr>
        <w:t xml:space="preserve">. </w:t>
      </w:r>
      <w:r w:rsidR="00567D18" w:rsidRPr="00575A3E">
        <w:rPr>
          <w:lang w:val="en-GB"/>
        </w:rPr>
        <w:t>Regarding this analysis</w:t>
      </w:r>
      <w:r w:rsidR="00E57143" w:rsidRPr="00575A3E">
        <w:rPr>
          <w:lang w:val="en-GB"/>
        </w:rPr>
        <w:t>,</w:t>
      </w:r>
      <w:r w:rsidR="00567D18" w:rsidRPr="00575A3E">
        <w:rPr>
          <w:lang w:val="en-GB"/>
        </w:rPr>
        <w:t xml:space="preserve"> the results of employment </w:t>
      </w:r>
      <w:r w:rsidR="00E57143" w:rsidRPr="00575A3E">
        <w:rPr>
          <w:lang w:val="en-GB"/>
        </w:rPr>
        <w:t xml:space="preserve">and working adults </w:t>
      </w:r>
      <w:r w:rsidR="00567D18" w:rsidRPr="00575A3E">
        <w:rPr>
          <w:lang w:val="en-GB"/>
        </w:rPr>
        <w:t xml:space="preserve">are </w:t>
      </w:r>
      <w:r w:rsidR="00E57143" w:rsidRPr="00575A3E">
        <w:rPr>
          <w:lang w:val="en-GB"/>
        </w:rPr>
        <w:t xml:space="preserve">sensitive to the increased capacity from connectivity, but not to the </w:t>
      </w:r>
      <w:r w:rsidR="00E57143" w:rsidRPr="00575A3E">
        <w:rPr>
          <w:lang w:val="en-GB"/>
        </w:rPr>
        <w:lastRenderedPageBreak/>
        <w:t xml:space="preserve">different scenarios of proportion of new vehicle technologies in the fleet. More Specifically, in the ‘N’ </w:t>
      </w:r>
      <w:r w:rsidR="00D92B2A" w:rsidRPr="00575A3E">
        <w:rPr>
          <w:lang w:val="en-GB"/>
        </w:rPr>
        <w:t>s</w:t>
      </w:r>
      <w:r w:rsidR="00E57143" w:rsidRPr="00575A3E">
        <w:rPr>
          <w:lang w:val="en-GB"/>
        </w:rPr>
        <w:t xml:space="preserve">cenarios the increase of the two variables is evenly distributed, but in the ‘P’ </w:t>
      </w:r>
      <w:r w:rsidR="00D92B2A" w:rsidRPr="00575A3E">
        <w:rPr>
          <w:lang w:val="en-GB"/>
        </w:rPr>
        <w:t>s</w:t>
      </w:r>
      <w:r w:rsidR="00E57143" w:rsidRPr="00575A3E">
        <w:rPr>
          <w:lang w:val="en-GB"/>
        </w:rPr>
        <w:t>cenarios the adjoin</w:t>
      </w:r>
      <w:r w:rsidR="004F7FAB" w:rsidRPr="00575A3E">
        <w:rPr>
          <w:lang w:val="en-GB"/>
        </w:rPr>
        <w:t>ing</w:t>
      </w:r>
      <w:r w:rsidR="00E57143" w:rsidRPr="00575A3E">
        <w:rPr>
          <w:lang w:val="en-GB"/>
        </w:rPr>
        <w:t xml:space="preserve"> zones los</w:t>
      </w:r>
      <w:r w:rsidR="00D92B2A" w:rsidRPr="00575A3E">
        <w:rPr>
          <w:lang w:val="en-GB"/>
        </w:rPr>
        <w:t>e</w:t>
      </w:r>
      <w:r w:rsidR="00E57143" w:rsidRPr="00575A3E">
        <w:rPr>
          <w:lang w:val="en-GB"/>
        </w:rPr>
        <w:t xml:space="preserve"> their financial power as people are </w:t>
      </w:r>
      <w:r w:rsidR="007805AF" w:rsidRPr="00575A3E">
        <w:rPr>
          <w:lang w:val="en-GB"/>
        </w:rPr>
        <w:t xml:space="preserve">attracted to </w:t>
      </w:r>
      <w:r w:rsidR="006F1402" w:rsidRPr="00575A3E">
        <w:rPr>
          <w:lang w:val="en-GB"/>
        </w:rPr>
        <w:t xml:space="preserve">work and reside </w:t>
      </w:r>
      <w:r w:rsidR="00D92B2A" w:rsidRPr="00575A3E">
        <w:rPr>
          <w:lang w:val="en-GB"/>
        </w:rPr>
        <w:t xml:space="preserve">in the </w:t>
      </w:r>
      <w:r w:rsidR="007805AF" w:rsidRPr="00575A3E">
        <w:rPr>
          <w:lang w:val="en-GB"/>
        </w:rPr>
        <w:t xml:space="preserve">West Midlands. </w:t>
      </w:r>
      <w:r w:rsidR="008B603B" w:rsidRPr="00575A3E">
        <w:rPr>
          <w:lang w:val="en-GB"/>
        </w:rPr>
        <w:t xml:space="preserve">In other words, the incorporation of electrification and automation, </w:t>
      </w:r>
      <w:r w:rsidR="00D92B2A" w:rsidRPr="00575A3E">
        <w:rPr>
          <w:lang w:val="en-GB"/>
        </w:rPr>
        <w:t xml:space="preserve">leads </w:t>
      </w:r>
      <w:r w:rsidR="008B603B" w:rsidRPr="00575A3E">
        <w:rPr>
          <w:lang w:val="en-GB"/>
        </w:rPr>
        <w:t>to the redistribution of activities</w:t>
      </w:r>
      <w:r w:rsidR="006F1402" w:rsidRPr="00575A3E">
        <w:rPr>
          <w:lang w:val="en-GB"/>
        </w:rPr>
        <w:t xml:space="preserve"> in the adjoin</w:t>
      </w:r>
      <w:r w:rsidR="004F7FAB" w:rsidRPr="00575A3E">
        <w:rPr>
          <w:lang w:val="en-GB"/>
        </w:rPr>
        <w:t>ing</w:t>
      </w:r>
      <w:r w:rsidR="006F1402" w:rsidRPr="00575A3E">
        <w:rPr>
          <w:lang w:val="en-GB"/>
        </w:rPr>
        <w:t xml:space="preserve"> regions as well, with increased population and employment in the ‘N’ </w:t>
      </w:r>
      <w:r w:rsidR="00D92B2A" w:rsidRPr="00575A3E">
        <w:rPr>
          <w:lang w:val="en-GB"/>
        </w:rPr>
        <w:t>s</w:t>
      </w:r>
      <w:r w:rsidR="006F1402" w:rsidRPr="00575A3E">
        <w:rPr>
          <w:lang w:val="en-GB"/>
        </w:rPr>
        <w:t xml:space="preserve">cenarios and the opposite effects in the ‘P’ scenarios. </w:t>
      </w:r>
    </w:p>
    <w:p w14:paraId="1F6C0520" w14:textId="77777777" w:rsidR="00F71126" w:rsidRPr="00575A3E" w:rsidRDefault="00F71126" w:rsidP="00A55356">
      <w:pPr>
        <w:spacing w:line="360" w:lineRule="auto"/>
        <w:rPr>
          <w:lang w:val="en-GB"/>
        </w:rPr>
      </w:pPr>
    </w:p>
    <w:p w14:paraId="085FB7F0" w14:textId="3E1BBDC7" w:rsidR="00F71126" w:rsidRPr="00575A3E" w:rsidRDefault="00F71126" w:rsidP="00F71126">
      <w:pPr>
        <w:pStyle w:val="Heading2"/>
        <w:spacing w:before="0" w:after="0" w:line="360" w:lineRule="auto"/>
        <w:rPr>
          <w:lang w:val="en-GB"/>
        </w:rPr>
      </w:pPr>
      <w:r w:rsidRPr="00575A3E">
        <w:rPr>
          <w:lang w:val="en-GB"/>
        </w:rPr>
        <w:t xml:space="preserve"> Key Findings </w:t>
      </w:r>
    </w:p>
    <w:p w14:paraId="494C5C66" w14:textId="529EDD9B" w:rsidR="006101B2" w:rsidRPr="00575A3E" w:rsidRDefault="006101B2" w:rsidP="007467C4">
      <w:pPr>
        <w:spacing w:line="360" w:lineRule="auto"/>
        <w:rPr>
          <w:lang w:val="en-GB"/>
        </w:rPr>
      </w:pPr>
      <w:r w:rsidRPr="00575A3E">
        <w:rPr>
          <w:lang w:val="en-GB"/>
        </w:rPr>
        <w:fldChar w:fldCharType="begin"/>
      </w:r>
      <w:r w:rsidRPr="00575A3E">
        <w:rPr>
          <w:lang w:val="en-GB"/>
        </w:rPr>
        <w:instrText xml:space="preserve"> REF _Ref128854185 \h </w:instrText>
      </w:r>
      <w:r w:rsidR="007467C4" w:rsidRPr="00575A3E">
        <w:rPr>
          <w:lang w:val="en-GB"/>
        </w:rPr>
        <w:instrText xml:space="preserve"> \* MERGEFORMAT </w:instrText>
      </w:r>
      <w:r w:rsidRPr="00575A3E">
        <w:rPr>
          <w:lang w:val="en-GB"/>
        </w:rPr>
      </w:r>
      <w:r w:rsidRPr="00575A3E">
        <w:rPr>
          <w:lang w:val="en-GB"/>
        </w:rPr>
        <w:fldChar w:fldCharType="separate"/>
      </w:r>
      <w:r w:rsidRPr="00575A3E">
        <w:t xml:space="preserve">Table </w:t>
      </w:r>
      <w:r w:rsidRPr="00575A3E">
        <w:rPr>
          <w:noProof/>
        </w:rPr>
        <w:t>8</w:t>
      </w:r>
      <w:r w:rsidRPr="00575A3E">
        <w:rPr>
          <w:lang w:val="en-GB"/>
        </w:rPr>
        <w:fldChar w:fldCharType="end"/>
      </w:r>
      <w:r w:rsidRPr="00575A3E">
        <w:rPr>
          <w:lang w:val="en-GB"/>
        </w:rPr>
        <w:t xml:space="preserve"> </w:t>
      </w:r>
      <w:r w:rsidR="007467C4" w:rsidRPr="00575A3E">
        <w:rPr>
          <w:lang w:val="en-GB"/>
        </w:rPr>
        <w:t xml:space="preserve">summarises the key findings as discussed from the analysis of this section. </w:t>
      </w:r>
    </w:p>
    <w:p w14:paraId="0DF950D6" w14:textId="46419AA8" w:rsidR="006101B2" w:rsidRPr="00575A3E" w:rsidRDefault="006101B2" w:rsidP="006101B2">
      <w:pPr>
        <w:pStyle w:val="Caption"/>
        <w:keepNext/>
      </w:pPr>
      <w:bookmarkStart w:id="44" w:name="_Ref128854185"/>
      <w:r w:rsidRPr="00575A3E">
        <w:t xml:space="preserve">Table </w:t>
      </w:r>
      <w:r w:rsidRPr="00575A3E">
        <w:fldChar w:fldCharType="begin"/>
      </w:r>
      <w:r w:rsidRPr="00575A3E">
        <w:instrText xml:space="preserve"> SEQ Table \* ARABIC </w:instrText>
      </w:r>
      <w:r w:rsidRPr="00575A3E">
        <w:fldChar w:fldCharType="separate"/>
      </w:r>
      <w:r w:rsidRPr="00575A3E">
        <w:rPr>
          <w:noProof/>
        </w:rPr>
        <w:t>8</w:t>
      </w:r>
      <w:r w:rsidRPr="00575A3E">
        <w:fldChar w:fldCharType="end"/>
      </w:r>
      <w:bookmarkEnd w:id="44"/>
      <w:r w:rsidRPr="00575A3E">
        <w:t>: Summary table of Key Findings</w:t>
      </w:r>
    </w:p>
    <w:tbl>
      <w:tblPr>
        <w:tblStyle w:val="TableGrid"/>
        <w:tblW w:w="9068" w:type="dxa"/>
        <w:tblLook w:val="04A0" w:firstRow="1" w:lastRow="0" w:firstColumn="1" w:lastColumn="0" w:noHBand="0" w:noVBand="1"/>
      </w:tblPr>
      <w:tblGrid>
        <w:gridCol w:w="436"/>
        <w:gridCol w:w="8789"/>
      </w:tblGrid>
      <w:tr w:rsidR="00575A3E" w:rsidRPr="00575A3E" w14:paraId="3DB89555" w14:textId="77777777" w:rsidTr="00E70412">
        <w:trPr>
          <w:trHeight w:val="300"/>
        </w:trPr>
        <w:tc>
          <w:tcPr>
            <w:tcW w:w="279" w:type="dxa"/>
          </w:tcPr>
          <w:p w14:paraId="043E9823" w14:textId="77777777" w:rsidR="00F71126" w:rsidRPr="00575A3E" w:rsidRDefault="00F71126" w:rsidP="00F71126">
            <w:pPr>
              <w:widowControl/>
              <w:suppressAutoHyphens w:val="0"/>
              <w:spacing w:line="360" w:lineRule="auto"/>
              <w:jc w:val="left"/>
              <w:rPr>
                <w:rFonts w:eastAsia="Times New Roman"/>
                <w:kern w:val="0"/>
                <w:szCs w:val="22"/>
                <w:lang w:val="en-GB" w:eastAsia="en-GB"/>
              </w:rPr>
            </w:pPr>
          </w:p>
        </w:tc>
        <w:tc>
          <w:tcPr>
            <w:tcW w:w="8789" w:type="dxa"/>
            <w:noWrap/>
            <w:hideMark/>
          </w:tcPr>
          <w:p w14:paraId="5ABA721C" w14:textId="0A309130"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Key Findings</w:t>
            </w:r>
          </w:p>
        </w:tc>
      </w:tr>
      <w:tr w:rsidR="00575A3E" w:rsidRPr="00575A3E" w14:paraId="24FF5287" w14:textId="77777777" w:rsidTr="00E70412">
        <w:trPr>
          <w:trHeight w:val="300"/>
        </w:trPr>
        <w:tc>
          <w:tcPr>
            <w:tcW w:w="279" w:type="dxa"/>
          </w:tcPr>
          <w:p w14:paraId="0D193487" w14:textId="3B8DBDFE"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1</w:t>
            </w:r>
          </w:p>
        </w:tc>
        <w:tc>
          <w:tcPr>
            <w:tcW w:w="8789" w:type="dxa"/>
            <w:noWrap/>
            <w:hideMark/>
          </w:tcPr>
          <w:p w14:paraId="6D45ACB3" w14:textId="0AAD4B4A"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Regional </w:t>
            </w:r>
            <w:r w:rsidR="007467C4" w:rsidRPr="00575A3E">
              <w:rPr>
                <w:rFonts w:eastAsia="Times New Roman"/>
                <w:kern w:val="0"/>
                <w:szCs w:val="22"/>
                <w:lang w:val="en-GB" w:eastAsia="en-GB"/>
              </w:rPr>
              <w:t>p</w:t>
            </w:r>
            <w:r w:rsidRPr="00575A3E">
              <w:rPr>
                <w:rFonts w:eastAsia="Times New Roman"/>
                <w:kern w:val="0"/>
                <w:szCs w:val="22"/>
                <w:lang w:val="en-GB" w:eastAsia="en-GB"/>
              </w:rPr>
              <w:t xml:space="preserve">opulation and </w:t>
            </w:r>
            <w:r w:rsidR="007467C4" w:rsidRPr="00575A3E">
              <w:rPr>
                <w:rFonts w:eastAsia="Times New Roman"/>
                <w:kern w:val="0"/>
                <w:szCs w:val="22"/>
                <w:lang w:val="en-GB" w:eastAsia="en-GB"/>
              </w:rPr>
              <w:t>e</w:t>
            </w:r>
            <w:r w:rsidRPr="00575A3E">
              <w:rPr>
                <w:rFonts w:eastAsia="Times New Roman"/>
                <w:kern w:val="0"/>
                <w:szCs w:val="22"/>
                <w:lang w:val="en-GB" w:eastAsia="en-GB"/>
              </w:rPr>
              <w:t>mployment increased in all test scenarios compar</w:t>
            </w:r>
            <w:r w:rsidR="008A6FC8" w:rsidRPr="00575A3E">
              <w:rPr>
                <w:rFonts w:eastAsia="Times New Roman"/>
                <w:kern w:val="0"/>
                <w:szCs w:val="22"/>
                <w:lang w:val="en-GB" w:eastAsia="en-GB"/>
              </w:rPr>
              <w:t>ed</w:t>
            </w:r>
            <w:r w:rsidRPr="00575A3E">
              <w:rPr>
                <w:rFonts w:eastAsia="Times New Roman"/>
                <w:kern w:val="0"/>
                <w:szCs w:val="22"/>
                <w:lang w:val="en-GB" w:eastAsia="en-GB"/>
              </w:rPr>
              <w:t xml:space="preserve"> to BAU scenario</w:t>
            </w:r>
            <w:r w:rsidR="007467C4" w:rsidRPr="00575A3E">
              <w:rPr>
                <w:rFonts w:eastAsia="Times New Roman"/>
                <w:kern w:val="0"/>
                <w:szCs w:val="22"/>
                <w:lang w:val="en-GB" w:eastAsia="en-GB"/>
              </w:rPr>
              <w:t>.</w:t>
            </w:r>
          </w:p>
        </w:tc>
      </w:tr>
      <w:tr w:rsidR="00575A3E" w:rsidRPr="00575A3E" w14:paraId="17EA6443" w14:textId="77777777" w:rsidTr="00E70412">
        <w:trPr>
          <w:trHeight w:val="300"/>
        </w:trPr>
        <w:tc>
          <w:tcPr>
            <w:tcW w:w="279" w:type="dxa"/>
          </w:tcPr>
          <w:p w14:paraId="0C84685E" w14:textId="47BE8EB1"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2</w:t>
            </w:r>
          </w:p>
        </w:tc>
        <w:tc>
          <w:tcPr>
            <w:tcW w:w="8789" w:type="dxa"/>
            <w:noWrap/>
            <w:hideMark/>
          </w:tcPr>
          <w:p w14:paraId="720DD67D" w14:textId="352DFD39"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Regional </w:t>
            </w:r>
            <w:r w:rsidR="007467C4" w:rsidRPr="00575A3E">
              <w:rPr>
                <w:rFonts w:eastAsia="Times New Roman"/>
                <w:kern w:val="0"/>
                <w:szCs w:val="22"/>
                <w:lang w:val="en-GB" w:eastAsia="en-GB"/>
              </w:rPr>
              <w:t>e</w:t>
            </w:r>
            <w:r w:rsidRPr="00575A3E">
              <w:rPr>
                <w:rFonts w:eastAsia="Times New Roman"/>
                <w:kern w:val="0"/>
                <w:szCs w:val="22"/>
                <w:lang w:val="en-GB" w:eastAsia="en-GB"/>
              </w:rPr>
              <w:t>mployment results in higher percentage changes</w:t>
            </w:r>
            <w:r w:rsidR="007467C4" w:rsidRPr="00575A3E">
              <w:rPr>
                <w:rFonts w:eastAsia="Times New Roman"/>
                <w:kern w:val="0"/>
                <w:szCs w:val="22"/>
                <w:lang w:val="en-GB" w:eastAsia="en-GB"/>
              </w:rPr>
              <w:t xml:space="preserve"> compar</w:t>
            </w:r>
            <w:r w:rsidR="008A6FC8" w:rsidRPr="00575A3E">
              <w:rPr>
                <w:rFonts w:eastAsia="Times New Roman"/>
                <w:kern w:val="0"/>
                <w:szCs w:val="22"/>
                <w:lang w:val="en-GB" w:eastAsia="en-GB"/>
              </w:rPr>
              <w:t>ed</w:t>
            </w:r>
            <w:r w:rsidR="007467C4" w:rsidRPr="00575A3E">
              <w:rPr>
                <w:rFonts w:eastAsia="Times New Roman"/>
                <w:kern w:val="0"/>
                <w:szCs w:val="22"/>
                <w:lang w:val="en-GB" w:eastAsia="en-GB"/>
              </w:rPr>
              <w:t xml:space="preserve"> to population.</w:t>
            </w:r>
          </w:p>
        </w:tc>
      </w:tr>
      <w:tr w:rsidR="00575A3E" w:rsidRPr="00575A3E" w14:paraId="417BCF0C" w14:textId="77777777" w:rsidTr="00E70412">
        <w:trPr>
          <w:trHeight w:val="300"/>
        </w:trPr>
        <w:tc>
          <w:tcPr>
            <w:tcW w:w="279" w:type="dxa"/>
          </w:tcPr>
          <w:p w14:paraId="1AC9B4EB" w14:textId="7474F8D6"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3</w:t>
            </w:r>
          </w:p>
        </w:tc>
        <w:tc>
          <w:tcPr>
            <w:tcW w:w="8789" w:type="dxa"/>
            <w:noWrap/>
            <w:hideMark/>
          </w:tcPr>
          <w:p w14:paraId="161512B8" w14:textId="5E977F5C"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Scenarios 1P, 2P,</w:t>
            </w:r>
            <w:r w:rsidR="00E70412" w:rsidRPr="00575A3E">
              <w:rPr>
                <w:rFonts w:eastAsia="Times New Roman"/>
                <w:kern w:val="0"/>
                <w:szCs w:val="22"/>
                <w:lang w:val="en-GB" w:eastAsia="en-GB"/>
              </w:rPr>
              <w:t xml:space="preserve"> </w:t>
            </w:r>
            <w:r w:rsidRPr="00575A3E">
              <w:rPr>
                <w:rFonts w:eastAsia="Times New Roman"/>
                <w:kern w:val="0"/>
                <w:szCs w:val="22"/>
                <w:lang w:val="en-GB" w:eastAsia="en-GB"/>
              </w:rPr>
              <w:t xml:space="preserve">3P, and 4P have more pronounced results </w:t>
            </w:r>
            <w:r w:rsidR="007467C4" w:rsidRPr="00575A3E">
              <w:rPr>
                <w:rFonts w:eastAsia="Times New Roman"/>
                <w:kern w:val="0"/>
                <w:szCs w:val="22"/>
                <w:lang w:val="en-GB" w:eastAsia="en-GB"/>
              </w:rPr>
              <w:t xml:space="preserve">of population and employment </w:t>
            </w:r>
            <w:r w:rsidRPr="00575A3E">
              <w:rPr>
                <w:rFonts w:eastAsia="Times New Roman"/>
                <w:kern w:val="0"/>
                <w:szCs w:val="22"/>
                <w:lang w:val="en-GB" w:eastAsia="en-GB"/>
              </w:rPr>
              <w:t>compar</w:t>
            </w:r>
            <w:r w:rsidR="008A6FC8" w:rsidRPr="00575A3E">
              <w:rPr>
                <w:rFonts w:eastAsia="Times New Roman"/>
                <w:kern w:val="0"/>
                <w:szCs w:val="22"/>
                <w:lang w:val="en-GB" w:eastAsia="en-GB"/>
              </w:rPr>
              <w:t>ed</w:t>
            </w:r>
            <w:r w:rsidRPr="00575A3E">
              <w:rPr>
                <w:rFonts w:eastAsia="Times New Roman"/>
                <w:kern w:val="0"/>
                <w:szCs w:val="22"/>
                <w:lang w:val="en-GB" w:eastAsia="en-GB"/>
              </w:rPr>
              <w:t xml:space="preserve"> to 1N, 2N,3N, and 4N</w:t>
            </w:r>
            <w:r w:rsidR="007467C4" w:rsidRPr="00575A3E">
              <w:rPr>
                <w:rFonts w:eastAsia="Times New Roman"/>
                <w:kern w:val="0"/>
                <w:szCs w:val="22"/>
                <w:lang w:val="en-GB" w:eastAsia="en-GB"/>
              </w:rPr>
              <w:t>.</w:t>
            </w:r>
          </w:p>
        </w:tc>
      </w:tr>
      <w:tr w:rsidR="00575A3E" w:rsidRPr="00575A3E" w14:paraId="5D589F1D" w14:textId="77777777" w:rsidTr="00E70412">
        <w:trPr>
          <w:trHeight w:val="300"/>
        </w:trPr>
        <w:tc>
          <w:tcPr>
            <w:tcW w:w="279" w:type="dxa"/>
          </w:tcPr>
          <w:p w14:paraId="5AFA79CF" w14:textId="467B1018"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4</w:t>
            </w:r>
          </w:p>
        </w:tc>
        <w:tc>
          <w:tcPr>
            <w:tcW w:w="8789" w:type="dxa"/>
            <w:noWrap/>
            <w:hideMark/>
          </w:tcPr>
          <w:p w14:paraId="45C2CDA9" w14:textId="1C216FA0"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All three urban areas have similar trends in urban population and employment</w:t>
            </w:r>
            <w:r w:rsidR="007467C4" w:rsidRPr="00575A3E">
              <w:rPr>
                <w:rFonts w:eastAsia="Times New Roman"/>
                <w:kern w:val="0"/>
                <w:szCs w:val="22"/>
                <w:lang w:val="en-GB" w:eastAsia="en-GB"/>
              </w:rPr>
              <w:t>.</w:t>
            </w:r>
          </w:p>
        </w:tc>
      </w:tr>
      <w:tr w:rsidR="00575A3E" w:rsidRPr="00575A3E" w14:paraId="59CC125E" w14:textId="77777777" w:rsidTr="00E70412">
        <w:trPr>
          <w:trHeight w:val="300"/>
        </w:trPr>
        <w:tc>
          <w:tcPr>
            <w:tcW w:w="279" w:type="dxa"/>
          </w:tcPr>
          <w:p w14:paraId="1D641D53" w14:textId="7A25475A"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5</w:t>
            </w:r>
          </w:p>
        </w:tc>
        <w:tc>
          <w:tcPr>
            <w:tcW w:w="8789" w:type="dxa"/>
            <w:noWrap/>
            <w:hideMark/>
          </w:tcPr>
          <w:p w14:paraId="2BDD09C2" w14:textId="608FBF54"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Total </w:t>
            </w:r>
            <w:r w:rsidR="007467C4" w:rsidRPr="00575A3E">
              <w:rPr>
                <w:rFonts w:eastAsia="Times New Roman"/>
                <w:kern w:val="0"/>
                <w:szCs w:val="22"/>
                <w:lang w:val="en-GB" w:eastAsia="en-GB"/>
              </w:rPr>
              <w:t>r</w:t>
            </w:r>
            <w:r w:rsidRPr="00575A3E">
              <w:rPr>
                <w:rFonts w:eastAsia="Times New Roman"/>
                <w:kern w:val="0"/>
                <w:szCs w:val="22"/>
                <w:lang w:val="en-GB" w:eastAsia="en-GB"/>
              </w:rPr>
              <w:t xml:space="preserve">egional results </w:t>
            </w:r>
            <w:r w:rsidR="007467C4" w:rsidRPr="00575A3E">
              <w:rPr>
                <w:rFonts w:eastAsia="Times New Roman"/>
                <w:kern w:val="0"/>
                <w:szCs w:val="22"/>
                <w:lang w:val="en-GB" w:eastAsia="en-GB"/>
              </w:rPr>
              <w:t>have different trends</w:t>
            </w:r>
            <w:r w:rsidRPr="00575A3E">
              <w:rPr>
                <w:rFonts w:eastAsia="Times New Roman"/>
                <w:kern w:val="0"/>
                <w:szCs w:val="22"/>
                <w:lang w:val="en-GB" w:eastAsia="en-GB"/>
              </w:rPr>
              <w:t xml:space="preserve"> from urban results</w:t>
            </w:r>
            <w:r w:rsidR="007467C4" w:rsidRPr="00575A3E">
              <w:rPr>
                <w:rFonts w:eastAsia="Times New Roman"/>
                <w:kern w:val="0"/>
                <w:szCs w:val="22"/>
                <w:lang w:val="en-GB" w:eastAsia="en-GB"/>
              </w:rPr>
              <w:t xml:space="preserve"> of population and employment.</w:t>
            </w:r>
          </w:p>
        </w:tc>
      </w:tr>
      <w:tr w:rsidR="00575A3E" w:rsidRPr="00575A3E" w14:paraId="10663DA1" w14:textId="77777777" w:rsidTr="00E70412">
        <w:trPr>
          <w:trHeight w:val="300"/>
        </w:trPr>
        <w:tc>
          <w:tcPr>
            <w:tcW w:w="279" w:type="dxa"/>
          </w:tcPr>
          <w:p w14:paraId="5236C339" w14:textId="032F3159"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6</w:t>
            </w:r>
          </w:p>
        </w:tc>
        <w:tc>
          <w:tcPr>
            <w:tcW w:w="8789" w:type="dxa"/>
            <w:noWrap/>
            <w:hideMark/>
          </w:tcPr>
          <w:p w14:paraId="412C7072" w14:textId="12F7CFD3"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Scenarios 1N, 2N, 3N, and 4N have a more balanced development of </w:t>
            </w:r>
            <w:r w:rsidRPr="00575A3E">
              <w:rPr>
                <w:szCs w:val="22"/>
                <w:lang w:val="en-GB"/>
              </w:rPr>
              <w:t>employment, working adults and housing rent</w:t>
            </w:r>
            <w:r w:rsidR="008A6FC8" w:rsidRPr="00575A3E">
              <w:rPr>
                <w:szCs w:val="22"/>
                <w:lang w:val="en-GB"/>
              </w:rPr>
              <w:t>s</w:t>
            </w:r>
            <w:r w:rsidRPr="00575A3E">
              <w:rPr>
                <w:rFonts w:eastAsia="Times New Roman"/>
                <w:kern w:val="0"/>
                <w:szCs w:val="22"/>
                <w:lang w:val="en-GB" w:eastAsia="en-GB"/>
              </w:rPr>
              <w:t xml:space="preserve"> across the urban cores of the region and rural areas compar</w:t>
            </w:r>
            <w:r w:rsidR="008A6FC8" w:rsidRPr="00575A3E">
              <w:rPr>
                <w:rFonts w:eastAsia="Times New Roman"/>
                <w:kern w:val="0"/>
                <w:szCs w:val="22"/>
                <w:lang w:val="en-GB" w:eastAsia="en-GB"/>
              </w:rPr>
              <w:t>ed</w:t>
            </w:r>
            <w:r w:rsidRPr="00575A3E">
              <w:rPr>
                <w:rFonts w:eastAsia="Times New Roman"/>
                <w:kern w:val="0"/>
                <w:szCs w:val="22"/>
                <w:lang w:val="en-GB" w:eastAsia="en-GB"/>
              </w:rPr>
              <w:t xml:space="preserve"> to 1P, 2P,3P, and 4P</w:t>
            </w:r>
            <w:r w:rsidR="007467C4" w:rsidRPr="00575A3E">
              <w:rPr>
                <w:rFonts w:eastAsia="Times New Roman"/>
                <w:kern w:val="0"/>
                <w:szCs w:val="22"/>
                <w:lang w:val="en-GB" w:eastAsia="en-GB"/>
              </w:rPr>
              <w:t>.</w:t>
            </w:r>
          </w:p>
          <w:p w14:paraId="04E99783" w14:textId="0F080174" w:rsidR="00F71126" w:rsidRPr="00575A3E" w:rsidRDefault="00F71126" w:rsidP="007467C4">
            <w:pPr>
              <w:widowControl/>
              <w:suppressAutoHyphens w:val="0"/>
              <w:spacing w:line="360" w:lineRule="auto"/>
              <w:jc w:val="left"/>
              <w:rPr>
                <w:rFonts w:eastAsia="Times New Roman"/>
                <w:kern w:val="0"/>
                <w:szCs w:val="22"/>
                <w:lang w:val="en-GB" w:eastAsia="en-GB"/>
              </w:rPr>
            </w:pPr>
          </w:p>
        </w:tc>
      </w:tr>
      <w:tr w:rsidR="00575A3E" w:rsidRPr="00575A3E" w14:paraId="5104B56E" w14:textId="77777777" w:rsidTr="00E70412">
        <w:trPr>
          <w:trHeight w:val="300"/>
        </w:trPr>
        <w:tc>
          <w:tcPr>
            <w:tcW w:w="279" w:type="dxa"/>
          </w:tcPr>
          <w:p w14:paraId="18926611" w14:textId="4484DB4E"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7</w:t>
            </w:r>
          </w:p>
        </w:tc>
        <w:tc>
          <w:tcPr>
            <w:tcW w:w="8789" w:type="dxa"/>
            <w:noWrap/>
            <w:hideMark/>
          </w:tcPr>
          <w:p w14:paraId="3D571671" w14:textId="47EC898C"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In </w:t>
            </w:r>
            <w:r w:rsidR="007467C4" w:rsidRPr="00575A3E">
              <w:rPr>
                <w:rFonts w:eastAsia="Times New Roman"/>
                <w:kern w:val="0"/>
                <w:szCs w:val="22"/>
                <w:lang w:val="en-GB" w:eastAsia="en-GB"/>
              </w:rPr>
              <w:t>s</w:t>
            </w:r>
            <w:r w:rsidRPr="00575A3E">
              <w:rPr>
                <w:rFonts w:eastAsia="Times New Roman"/>
                <w:kern w:val="0"/>
                <w:szCs w:val="22"/>
                <w:lang w:val="en-GB" w:eastAsia="en-GB"/>
              </w:rPr>
              <w:t>cenarios 1P, 2P, 3P, and 4P</w:t>
            </w:r>
            <w:r w:rsidR="008A6FC8" w:rsidRPr="00575A3E">
              <w:rPr>
                <w:rFonts w:eastAsia="Times New Roman"/>
                <w:kern w:val="0"/>
                <w:szCs w:val="22"/>
                <w:lang w:val="en-GB" w:eastAsia="en-GB"/>
              </w:rPr>
              <w:t>,</w:t>
            </w:r>
            <w:r w:rsidRPr="00575A3E">
              <w:rPr>
                <w:rFonts w:eastAsia="Times New Roman"/>
                <w:kern w:val="0"/>
                <w:szCs w:val="22"/>
                <w:lang w:val="en-GB" w:eastAsia="en-GB"/>
              </w:rPr>
              <w:t xml:space="preserve"> the two main cities in the region and the areas surrounding them have the highest increases in percentages in employment, working adults and housing rent</w:t>
            </w:r>
            <w:r w:rsidR="007467C4" w:rsidRPr="00575A3E">
              <w:rPr>
                <w:rFonts w:eastAsia="Times New Roman"/>
                <w:kern w:val="0"/>
                <w:szCs w:val="22"/>
                <w:lang w:val="en-GB" w:eastAsia="en-GB"/>
              </w:rPr>
              <w:t>.</w:t>
            </w:r>
          </w:p>
        </w:tc>
      </w:tr>
      <w:tr w:rsidR="00575A3E" w:rsidRPr="00575A3E" w14:paraId="7370A95D" w14:textId="77777777" w:rsidTr="00E70412">
        <w:trPr>
          <w:trHeight w:val="300"/>
        </w:trPr>
        <w:tc>
          <w:tcPr>
            <w:tcW w:w="279" w:type="dxa"/>
          </w:tcPr>
          <w:p w14:paraId="2E2FC6FF" w14:textId="37DE0D1D"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8</w:t>
            </w:r>
          </w:p>
        </w:tc>
        <w:tc>
          <w:tcPr>
            <w:tcW w:w="8789" w:type="dxa"/>
            <w:noWrap/>
            <w:hideMark/>
          </w:tcPr>
          <w:p w14:paraId="3CB128A2" w14:textId="15EDFF13" w:rsidR="00F71126" w:rsidRPr="00575A3E" w:rsidRDefault="007467C4"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Regionally</w:t>
            </w:r>
            <w:r w:rsidR="008A6FC8" w:rsidRPr="00575A3E">
              <w:rPr>
                <w:rFonts w:eastAsia="Times New Roman"/>
                <w:kern w:val="0"/>
                <w:szCs w:val="22"/>
                <w:lang w:val="en-GB" w:eastAsia="en-GB"/>
              </w:rPr>
              <w:t>,</w:t>
            </w:r>
            <w:r w:rsidRPr="00575A3E">
              <w:rPr>
                <w:rFonts w:eastAsia="Times New Roman"/>
                <w:kern w:val="0"/>
                <w:szCs w:val="22"/>
                <w:lang w:val="en-GB" w:eastAsia="en-GB"/>
              </w:rPr>
              <w:t xml:space="preserve"> the percentage c</w:t>
            </w:r>
            <w:r w:rsidR="00F71126" w:rsidRPr="00575A3E">
              <w:rPr>
                <w:rFonts w:eastAsia="Times New Roman"/>
                <w:kern w:val="0"/>
                <w:szCs w:val="22"/>
                <w:lang w:val="en-GB" w:eastAsia="en-GB"/>
              </w:rPr>
              <w:t>hanges in retired population in scenarios 1N, 2N, 3N, and 4N are between -1% and 1%</w:t>
            </w:r>
            <w:r w:rsidRPr="00575A3E">
              <w:rPr>
                <w:rFonts w:eastAsia="Times New Roman"/>
                <w:kern w:val="0"/>
                <w:szCs w:val="22"/>
                <w:lang w:val="en-GB" w:eastAsia="en-GB"/>
              </w:rPr>
              <w:t>.</w:t>
            </w:r>
          </w:p>
        </w:tc>
      </w:tr>
      <w:tr w:rsidR="00575A3E" w:rsidRPr="00575A3E" w14:paraId="575C65F0" w14:textId="77777777" w:rsidTr="00E70412">
        <w:trPr>
          <w:trHeight w:val="300"/>
        </w:trPr>
        <w:tc>
          <w:tcPr>
            <w:tcW w:w="279" w:type="dxa"/>
          </w:tcPr>
          <w:p w14:paraId="50414815" w14:textId="5CA9F0D8"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9</w:t>
            </w:r>
          </w:p>
        </w:tc>
        <w:tc>
          <w:tcPr>
            <w:tcW w:w="8789" w:type="dxa"/>
            <w:noWrap/>
            <w:hideMark/>
          </w:tcPr>
          <w:p w14:paraId="441E3ECF" w14:textId="1CAE83F0" w:rsidR="00F71126" w:rsidRPr="00575A3E" w:rsidRDefault="00F71126"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In scenarios 1P, 2P, 3P, and 4P</w:t>
            </w:r>
            <w:r w:rsidR="008A6FC8" w:rsidRPr="00575A3E">
              <w:rPr>
                <w:rFonts w:eastAsia="Times New Roman"/>
                <w:kern w:val="0"/>
                <w:szCs w:val="22"/>
                <w:lang w:val="en-GB" w:eastAsia="en-GB"/>
              </w:rPr>
              <w:t>, the</w:t>
            </w:r>
            <w:r w:rsidRPr="00575A3E">
              <w:rPr>
                <w:rFonts w:eastAsia="Times New Roman"/>
                <w:kern w:val="0"/>
                <w:szCs w:val="22"/>
                <w:lang w:val="en-GB" w:eastAsia="en-GB"/>
              </w:rPr>
              <w:t xml:space="preserve"> retired population was reduced by 1%, but in the peripheral zones </w:t>
            </w:r>
            <w:r w:rsidR="00473004" w:rsidRPr="00575A3E">
              <w:rPr>
                <w:rFonts w:eastAsia="Times New Roman"/>
                <w:kern w:val="0"/>
                <w:szCs w:val="22"/>
                <w:lang w:val="en-GB" w:eastAsia="en-GB"/>
              </w:rPr>
              <w:t xml:space="preserve">of Birmingham and Coventry there was an </w:t>
            </w:r>
            <w:r w:rsidRPr="00575A3E">
              <w:rPr>
                <w:rFonts w:eastAsia="Times New Roman"/>
                <w:kern w:val="0"/>
                <w:szCs w:val="22"/>
                <w:lang w:val="en-GB" w:eastAsia="en-GB"/>
              </w:rPr>
              <w:t>increase of up to 3.5%</w:t>
            </w:r>
            <w:r w:rsidR="00473004" w:rsidRPr="00575A3E">
              <w:rPr>
                <w:rFonts w:eastAsia="Times New Roman"/>
                <w:kern w:val="0"/>
                <w:szCs w:val="22"/>
                <w:lang w:val="en-GB" w:eastAsia="en-GB"/>
              </w:rPr>
              <w:t>.</w:t>
            </w:r>
          </w:p>
        </w:tc>
      </w:tr>
      <w:tr w:rsidR="00575A3E" w:rsidRPr="00575A3E" w14:paraId="63BB3A69" w14:textId="77777777" w:rsidTr="00E70412">
        <w:trPr>
          <w:trHeight w:val="300"/>
        </w:trPr>
        <w:tc>
          <w:tcPr>
            <w:tcW w:w="279" w:type="dxa"/>
          </w:tcPr>
          <w:p w14:paraId="3EDB6520" w14:textId="78B86D44"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10</w:t>
            </w:r>
          </w:p>
        </w:tc>
        <w:tc>
          <w:tcPr>
            <w:tcW w:w="8789" w:type="dxa"/>
            <w:noWrap/>
            <w:hideMark/>
          </w:tcPr>
          <w:p w14:paraId="0EBF80C2" w14:textId="17B27293" w:rsidR="00F71126" w:rsidRPr="00575A3E" w:rsidRDefault="00473004"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As</w:t>
            </w:r>
            <w:r w:rsidR="00F71126" w:rsidRPr="00575A3E">
              <w:rPr>
                <w:rFonts w:eastAsia="Times New Roman"/>
                <w:kern w:val="0"/>
                <w:szCs w:val="22"/>
                <w:lang w:val="en-GB" w:eastAsia="en-GB"/>
              </w:rPr>
              <w:t xml:space="preserve"> the penetration of new vehicle technologies increase</w:t>
            </w:r>
            <w:r w:rsidRPr="00575A3E">
              <w:rPr>
                <w:rFonts w:eastAsia="Times New Roman"/>
                <w:kern w:val="0"/>
                <w:szCs w:val="22"/>
                <w:lang w:val="en-GB" w:eastAsia="en-GB"/>
              </w:rPr>
              <w:t>d</w:t>
            </w:r>
            <w:r w:rsidR="00F71126" w:rsidRPr="00575A3E">
              <w:rPr>
                <w:rFonts w:eastAsia="Times New Roman"/>
                <w:kern w:val="0"/>
                <w:szCs w:val="22"/>
                <w:lang w:val="en-GB" w:eastAsia="en-GB"/>
              </w:rPr>
              <w:t xml:space="preserve">, </w:t>
            </w:r>
            <w:r w:rsidRPr="00575A3E">
              <w:rPr>
                <w:rFonts w:eastAsia="Times New Roman"/>
                <w:kern w:val="0"/>
                <w:szCs w:val="22"/>
                <w:lang w:val="en-GB" w:eastAsia="en-GB"/>
              </w:rPr>
              <w:t>the reduction of</w:t>
            </w:r>
            <w:r w:rsidR="00F71126" w:rsidRPr="00575A3E">
              <w:rPr>
                <w:rFonts w:eastAsia="Times New Roman"/>
                <w:kern w:val="0"/>
                <w:szCs w:val="22"/>
                <w:lang w:val="en-GB" w:eastAsia="en-GB"/>
              </w:rPr>
              <w:t xml:space="preserve"> retired population decrease</w:t>
            </w:r>
            <w:r w:rsidRPr="00575A3E">
              <w:rPr>
                <w:rFonts w:eastAsia="Times New Roman"/>
                <w:kern w:val="0"/>
                <w:szCs w:val="22"/>
                <w:lang w:val="en-GB" w:eastAsia="en-GB"/>
              </w:rPr>
              <w:t>d</w:t>
            </w:r>
            <w:r w:rsidR="007467C4" w:rsidRPr="00575A3E">
              <w:rPr>
                <w:rFonts w:eastAsia="Times New Roman"/>
                <w:kern w:val="0"/>
                <w:szCs w:val="22"/>
                <w:lang w:val="en-GB" w:eastAsia="en-GB"/>
              </w:rPr>
              <w:t xml:space="preserve"> in all test scenarios.</w:t>
            </w:r>
          </w:p>
        </w:tc>
      </w:tr>
      <w:tr w:rsidR="00575A3E" w:rsidRPr="00575A3E" w14:paraId="0533EA4B" w14:textId="77777777" w:rsidTr="00E70412">
        <w:trPr>
          <w:trHeight w:val="300"/>
        </w:trPr>
        <w:tc>
          <w:tcPr>
            <w:tcW w:w="279" w:type="dxa"/>
          </w:tcPr>
          <w:p w14:paraId="3E62DEB2" w14:textId="24A441D4"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11</w:t>
            </w:r>
          </w:p>
        </w:tc>
        <w:tc>
          <w:tcPr>
            <w:tcW w:w="8789" w:type="dxa"/>
            <w:noWrap/>
            <w:hideMark/>
          </w:tcPr>
          <w:p w14:paraId="20BCC73B" w14:textId="18D54F99" w:rsidR="00F71126" w:rsidRPr="00575A3E" w:rsidRDefault="00473004"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All types of a</w:t>
            </w:r>
            <w:r w:rsidR="00F71126" w:rsidRPr="00575A3E">
              <w:rPr>
                <w:rFonts w:eastAsia="Times New Roman"/>
                <w:kern w:val="0"/>
                <w:szCs w:val="22"/>
                <w:lang w:val="en-GB" w:eastAsia="en-GB"/>
              </w:rPr>
              <w:t xml:space="preserve">ccessibility </w:t>
            </w:r>
            <w:r w:rsidRPr="00575A3E">
              <w:rPr>
                <w:rFonts w:eastAsia="Times New Roman"/>
                <w:kern w:val="0"/>
                <w:szCs w:val="22"/>
                <w:lang w:val="en-GB" w:eastAsia="en-GB"/>
              </w:rPr>
              <w:t>improved in all scenarios</w:t>
            </w:r>
            <w:r w:rsidR="007467C4" w:rsidRPr="00575A3E">
              <w:rPr>
                <w:rFonts w:eastAsia="Times New Roman"/>
                <w:kern w:val="0"/>
                <w:szCs w:val="22"/>
                <w:lang w:val="en-GB" w:eastAsia="en-GB"/>
              </w:rPr>
              <w:t>.</w:t>
            </w:r>
          </w:p>
        </w:tc>
      </w:tr>
      <w:tr w:rsidR="00575A3E" w:rsidRPr="00575A3E" w14:paraId="011C0814" w14:textId="77777777" w:rsidTr="00E70412">
        <w:trPr>
          <w:trHeight w:val="300"/>
        </w:trPr>
        <w:tc>
          <w:tcPr>
            <w:tcW w:w="279" w:type="dxa"/>
          </w:tcPr>
          <w:p w14:paraId="70EF04A8" w14:textId="1E52DA32"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12</w:t>
            </w:r>
          </w:p>
        </w:tc>
        <w:tc>
          <w:tcPr>
            <w:tcW w:w="8789" w:type="dxa"/>
            <w:noWrap/>
            <w:hideMark/>
          </w:tcPr>
          <w:p w14:paraId="33AFFA24" w14:textId="5865AD07" w:rsidR="00F71126" w:rsidRPr="00575A3E" w:rsidRDefault="00473004"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Work </w:t>
            </w:r>
            <w:r w:rsidR="008A6FC8" w:rsidRPr="00575A3E">
              <w:rPr>
                <w:rFonts w:eastAsia="Times New Roman"/>
                <w:kern w:val="0"/>
                <w:szCs w:val="22"/>
                <w:lang w:val="en-GB" w:eastAsia="en-GB"/>
              </w:rPr>
              <w:t>a</w:t>
            </w:r>
            <w:r w:rsidR="00F71126" w:rsidRPr="00575A3E">
              <w:rPr>
                <w:rFonts w:eastAsia="Times New Roman"/>
                <w:kern w:val="0"/>
                <w:szCs w:val="22"/>
                <w:lang w:val="en-GB" w:eastAsia="en-GB"/>
              </w:rPr>
              <w:t xml:space="preserve">ccessibility </w:t>
            </w:r>
            <w:r w:rsidRPr="00575A3E">
              <w:rPr>
                <w:rFonts w:eastAsia="Times New Roman"/>
                <w:kern w:val="0"/>
                <w:szCs w:val="22"/>
                <w:lang w:val="en-GB" w:eastAsia="en-GB"/>
              </w:rPr>
              <w:t xml:space="preserve">had more pronounced results as the </w:t>
            </w:r>
            <w:r w:rsidR="00F71126" w:rsidRPr="00575A3E">
              <w:rPr>
                <w:rFonts w:eastAsia="Times New Roman"/>
                <w:kern w:val="0"/>
                <w:szCs w:val="22"/>
                <w:lang w:val="en-GB" w:eastAsia="en-GB"/>
              </w:rPr>
              <w:t>penetration rates in the fleet in</w:t>
            </w:r>
            <w:r w:rsidRPr="00575A3E">
              <w:rPr>
                <w:rFonts w:eastAsia="Times New Roman"/>
                <w:kern w:val="0"/>
                <w:szCs w:val="22"/>
                <w:lang w:val="en-GB" w:eastAsia="en-GB"/>
              </w:rPr>
              <w:t>creased, especially in the rural areas of the region</w:t>
            </w:r>
            <w:r w:rsidR="007467C4" w:rsidRPr="00575A3E">
              <w:rPr>
                <w:rFonts w:eastAsia="Times New Roman"/>
                <w:kern w:val="0"/>
                <w:szCs w:val="22"/>
                <w:lang w:val="en-GB" w:eastAsia="en-GB"/>
              </w:rPr>
              <w:t>.</w:t>
            </w:r>
          </w:p>
        </w:tc>
      </w:tr>
      <w:tr w:rsidR="007467C4" w:rsidRPr="00575A3E" w14:paraId="4F3B854A" w14:textId="77777777" w:rsidTr="00E70412">
        <w:trPr>
          <w:trHeight w:val="300"/>
        </w:trPr>
        <w:tc>
          <w:tcPr>
            <w:tcW w:w="279" w:type="dxa"/>
          </w:tcPr>
          <w:p w14:paraId="4034CD10" w14:textId="11CBB03A" w:rsidR="00F71126" w:rsidRPr="00575A3E" w:rsidRDefault="00F71126" w:rsidP="00F71126">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13</w:t>
            </w:r>
          </w:p>
        </w:tc>
        <w:tc>
          <w:tcPr>
            <w:tcW w:w="8789" w:type="dxa"/>
            <w:noWrap/>
            <w:hideMark/>
          </w:tcPr>
          <w:p w14:paraId="2B6EA84E" w14:textId="56380692" w:rsidR="00F71126" w:rsidRPr="00575A3E" w:rsidRDefault="00473004" w:rsidP="007467C4">
            <w:pPr>
              <w:widowControl/>
              <w:suppressAutoHyphens w:val="0"/>
              <w:spacing w:line="360" w:lineRule="auto"/>
              <w:jc w:val="left"/>
              <w:rPr>
                <w:rFonts w:eastAsia="Times New Roman"/>
                <w:kern w:val="0"/>
                <w:szCs w:val="22"/>
                <w:lang w:val="en-GB" w:eastAsia="en-GB"/>
              </w:rPr>
            </w:pPr>
            <w:r w:rsidRPr="00575A3E">
              <w:rPr>
                <w:rFonts w:eastAsia="Times New Roman"/>
                <w:kern w:val="0"/>
                <w:szCs w:val="22"/>
                <w:lang w:val="en-GB" w:eastAsia="en-GB"/>
              </w:rPr>
              <w:t xml:space="preserve">Zones </w:t>
            </w:r>
            <w:r w:rsidR="006101B2" w:rsidRPr="00575A3E">
              <w:rPr>
                <w:rFonts w:eastAsia="Times New Roman"/>
                <w:kern w:val="0"/>
                <w:szCs w:val="22"/>
                <w:lang w:val="en-GB" w:eastAsia="en-GB"/>
              </w:rPr>
              <w:t>outside of the modelling area were also slightly affected from the incorporation of new vehicle technologies in the fleet in all test scenarios.</w:t>
            </w:r>
          </w:p>
        </w:tc>
      </w:tr>
    </w:tbl>
    <w:p w14:paraId="0F75014E" w14:textId="5B2027AF" w:rsidR="00F71126" w:rsidRPr="00575A3E" w:rsidRDefault="00F71126" w:rsidP="00A55356">
      <w:pPr>
        <w:spacing w:line="360" w:lineRule="auto"/>
        <w:rPr>
          <w:lang w:val="en-GB"/>
        </w:rPr>
      </w:pPr>
    </w:p>
    <w:p w14:paraId="45FCB93D" w14:textId="6ECA9898" w:rsidR="00151070" w:rsidRPr="00575A3E" w:rsidRDefault="00562D56" w:rsidP="00A55356">
      <w:pPr>
        <w:pStyle w:val="Heading1"/>
        <w:spacing w:before="0" w:after="0" w:line="360" w:lineRule="auto"/>
        <w:rPr>
          <w:lang w:val="en-GB"/>
        </w:rPr>
      </w:pPr>
      <w:r w:rsidRPr="00575A3E">
        <w:rPr>
          <w:lang w:val="en-GB"/>
        </w:rPr>
        <w:lastRenderedPageBreak/>
        <w:t>Conclusions</w:t>
      </w:r>
    </w:p>
    <w:p w14:paraId="6D4CFC32" w14:textId="77777777" w:rsidR="00DD58F5" w:rsidRPr="00575A3E" w:rsidRDefault="00DD58F5" w:rsidP="00DD58F5">
      <w:pPr>
        <w:rPr>
          <w:lang w:val="en-GB"/>
        </w:rPr>
      </w:pPr>
    </w:p>
    <w:p w14:paraId="4610F32C" w14:textId="200CA68E" w:rsidR="00410B65" w:rsidRPr="00575A3E" w:rsidRDefault="00DD4784" w:rsidP="00A55356">
      <w:pPr>
        <w:spacing w:line="360" w:lineRule="auto"/>
        <w:rPr>
          <w:szCs w:val="22"/>
          <w:lang w:val="en-GB"/>
        </w:rPr>
      </w:pPr>
      <w:r w:rsidRPr="00575A3E">
        <w:rPr>
          <w:szCs w:val="22"/>
          <w:lang w:val="en-GB"/>
        </w:rPr>
        <w:t>In conclusion</w:t>
      </w:r>
      <w:r w:rsidR="00A111F7" w:rsidRPr="00575A3E">
        <w:rPr>
          <w:szCs w:val="22"/>
          <w:lang w:val="en-GB"/>
        </w:rPr>
        <w:t xml:space="preserve">, modelling new vehicle technologies using LUTI models can </w:t>
      </w:r>
      <w:r w:rsidR="0082777D" w:rsidRPr="00575A3E">
        <w:rPr>
          <w:szCs w:val="22"/>
          <w:lang w:val="en-GB"/>
        </w:rPr>
        <w:t>provide</w:t>
      </w:r>
      <w:r w:rsidR="00A111F7" w:rsidRPr="00575A3E">
        <w:rPr>
          <w:szCs w:val="22"/>
          <w:lang w:val="en-GB"/>
        </w:rPr>
        <w:t xml:space="preserve"> very useful results for </w:t>
      </w:r>
      <w:r w:rsidR="001231DF" w:rsidRPr="00575A3E">
        <w:rPr>
          <w:szCs w:val="22"/>
          <w:lang w:val="en-GB"/>
        </w:rPr>
        <w:t>transportation and urban planners and decision makers. The methodology developed to incorporate new vehicle technologies is a multidimensional approach that can be adopted by a number of LUTI models, considering</w:t>
      </w:r>
      <w:r w:rsidR="00410B65" w:rsidRPr="00575A3E">
        <w:rPr>
          <w:szCs w:val="22"/>
          <w:lang w:val="en-GB"/>
        </w:rPr>
        <w:t>,</w:t>
      </w:r>
      <w:r w:rsidR="001231DF" w:rsidRPr="00575A3E">
        <w:rPr>
          <w:szCs w:val="22"/>
          <w:lang w:val="en-GB"/>
        </w:rPr>
        <w:t xml:space="preserve"> of course</w:t>
      </w:r>
      <w:r w:rsidR="00410B65" w:rsidRPr="00575A3E">
        <w:rPr>
          <w:szCs w:val="22"/>
          <w:lang w:val="en-GB"/>
        </w:rPr>
        <w:t>,</w:t>
      </w:r>
      <w:r w:rsidR="001231DF" w:rsidRPr="00575A3E">
        <w:rPr>
          <w:szCs w:val="22"/>
          <w:lang w:val="en-GB"/>
        </w:rPr>
        <w:t xml:space="preserve"> modifications that are important to be included based on the mathematical structure of the model used. </w:t>
      </w:r>
    </w:p>
    <w:p w14:paraId="08E536E4" w14:textId="77777777" w:rsidR="00410B65" w:rsidRPr="00575A3E" w:rsidRDefault="00410B65" w:rsidP="00A55356">
      <w:pPr>
        <w:spacing w:line="360" w:lineRule="auto"/>
        <w:rPr>
          <w:szCs w:val="22"/>
          <w:lang w:val="en-GB"/>
        </w:rPr>
      </w:pPr>
    </w:p>
    <w:p w14:paraId="4B80FBEB" w14:textId="2EC7C547" w:rsidR="00847F1D" w:rsidRPr="00575A3E" w:rsidRDefault="001231DF" w:rsidP="00A55356">
      <w:pPr>
        <w:spacing w:line="360" w:lineRule="auto"/>
        <w:rPr>
          <w:szCs w:val="22"/>
          <w:lang w:val="en-GB"/>
        </w:rPr>
      </w:pPr>
      <w:r w:rsidRPr="00575A3E">
        <w:rPr>
          <w:szCs w:val="22"/>
          <w:lang w:val="en-GB"/>
        </w:rPr>
        <w:t xml:space="preserve">Considering the results, </w:t>
      </w:r>
      <w:r w:rsidR="00DD4784" w:rsidRPr="00575A3E">
        <w:rPr>
          <w:szCs w:val="22"/>
          <w:lang w:val="en-GB"/>
        </w:rPr>
        <w:t xml:space="preserve">the incorporation of new vehicle technologies could lead to increased accessibility, population and employment in the region, </w:t>
      </w:r>
      <w:r w:rsidR="0082777D" w:rsidRPr="00575A3E">
        <w:rPr>
          <w:szCs w:val="22"/>
          <w:lang w:val="en-GB"/>
        </w:rPr>
        <w:t>as</w:t>
      </w:r>
      <w:r w:rsidR="006A67C3" w:rsidRPr="00575A3E">
        <w:rPr>
          <w:szCs w:val="22"/>
          <w:lang w:val="en-GB"/>
        </w:rPr>
        <w:t xml:space="preserve"> a result of higher </w:t>
      </w:r>
      <w:r w:rsidR="0082777D" w:rsidRPr="00575A3E">
        <w:rPr>
          <w:szCs w:val="22"/>
          <w:lang w:val="en-GB"/>
        </w:rPr>
        <w:t xml:space="preserve">mobility </w:t>
      </w:r>
      <w:r w:rsidR="006A67C3" w:rsidRPr="00575A3E">
        <w:rPr>
          <w:szCs w:val="22"/>
          <w:lang w:val="en-GB"/>
        </w:rPr>
        <w:t>freedom. The influence</w:t>
      </w:r>
      <w:r w:rsidR="0082777D" w:rsidRPr="00575A3E">
        <w:rPr>
          <w:szCs w:val="22"/>
          <w:lang w:val="en-GB"/>
        </w:rPr>
        <w:t>,</w:t>
      </w:r>
      <w:r w:rsidR="006A67C3" w:rsidRPr="00575A3E">
        <w:rPr>
          <w:szCs w:val="22"/>
          <w:lang w:val="en-GB"/>
        </w:rPr>
        <w:t xml:space="preserve"> however</w:t>
      </w:r>
      <w:r w:rsidR="0082777D" w:rsidRPr="00575A3E">
        <w:rPr>
          <w:szCs w:val="22"/>
          <w:lang w:val="en-GB"/>
        </w:rPr>
        <w:t>,</w:t>
      </w:r>
      <w:r w:rsidR="006A67C3" w:rsidRPr="00575A3E">
        <w:rPr>
          <w:szCs w:val="22"/>
          <w:lang w:val="en-GB"/>
        </w:rPr>
        <w:t xml:space="preserve"> of </w:t>
      </w:r>
      <w:r w:rsidR="00B51054" w:rsidRPr="00575A3E">
        <w:rPr>
          <w:szCs w:val="22"/>
          <w:lang w:val="en-GB"/>
        </w:rPr>
        <w:t xml:space="preserve">the </w:t>
      </w:r>
      <w:r w:rsidR="00C32150" w:rsidRPr="00575A3E">
        <w:rPr>
          <w:szCs w:val="22"/>
          <w:lang w:val="en-GB"/>
        </w:rPr>
        <w:t xml:space="preserve">effective increase </w:t>
      </w:r>
      <w:r w:rsidR="00BD74C6" w:rsidRPr="00575A3E">
        <w:rPr>
          <w:szCs w:val="22"/>
          <w:lang w:val="en-GB"/>
        </w:rPr>
        <w:t>of road</w:t>
      </w:r>
      <w:r w:rsidR="006A67C3" w:rsidRPr="00575A3E">
        <w:rPr>
          <w:szCs w:val="22"/>
          <w:lang w:val="en-GB"/>
        </w:rPr>
        <w:t xml:space="preserve"> capacity is high, as the </w:t>
      </w:r>
      <w:r w:rsidR="0082777D" w:rsidRPr="00575A3E">
        <w:rPr>
          <w:szCs w:val="22"/>
          <w:lang w:val="en-GB"/>
        </w:rPr>
        <w:t xml:space="preserve">effects </w:t>
      </w:r>
      <w:r w:rsidR="006A67C3" w:rsidRPr="00575A3E">
        <w:rPr>
          <w:szCs w:val="22"/>
          <w:lang w:val="en-GB"/>
        </w:rPr>
        <w:t xml:space="preserve">are more </w:t>
      </w:r>
      <w:r w:rsidR="0082777D" w:rsidRPr="00575A3E">
        <w:rPr>
          <w:szCs w:val="22"/>
          <w:lang w:val="en-GB"/>
        </w:rPr>
        <w:t xml:space="preserve">pronounced </w:t>
      </w:r>
      <w:r w:rsidR="00E57468" w:rsidRPr="00575A3E">
        <w:rPr>
          <w:szCs w:val="22"/>
          <w:lang w:val="en-GB"/>
        </w:rPr>
        <w:t>in the respective scenarios</w:t>
      </w:r>
      <w:r w:rsidR="006A67C3" w:rsidRPr="00575A3E">
        <w:rPr>
          <w:szCs w:val="22"/>
          <w:lang w:val="en-GB"/>
        </w:rPr>
        <w:t xml:space="preserve">. Moreover, the level of penetration of new vehicle technologies in the fleet affects the spatial distribution of activities, which is important especially for the rural areas, as in all scenarios the two main urban cores of the region, namely Birmingham and Coventry, do not lose their </w:t>
      </w:r>
      <w:r w:rsidR="00606E8D" w:rsidRPr="00575A3E">
        <w:rPr>
          <w:szCs w:val="22"/>
          <w:lang w:val="en-GB"/>
        </w:rPr>
        <w:t>economic</w:t>
      </w:r>
      <w:r w:rsidR="006A67C3" w:rsidRPr="00575A3E">
        <w:rPr>
          <w:szCs w:val="22"/>
          <w:lang w:val="en-GB"/>
        </w:rPr>
        <w:t xml:space="preserve"> power</w:t>
      </w:r>
      <w:r w:rsidR="00190D70" w:rsidRPr="00575A3E">
        <w:rPr>
          <w:szCs w:val="22"/>
          <w:lang w:val="en-GB"/>
        </w:rPr>
        <w:t>.</w:t>
      </w:r>
      <w:r w:rsidR="00DF75C4" w:rsidRPr="00575A3E">
        <w:rPr>
          <w:szCs w:val="22"/>
          <w:lang w:val="en-GB"/>
        </w:rPr>
        <w:t xml:space="preserve"> </w:t>
      </w:r>
      <w:r w:rsidR="009A420D" w:rsidRPr="00575A3E">
        <w:rPr>
          <w:szCs w:val="22"/>
          <w:lang w:val="en-GB"/>
        </w:rPr>
        <w:t xml:space="preserve">It is essential to mention that the increase of population and employment was mainly concentrated in the peripheral zones of the two </w:t>
      </w:r>
      <w:r w:rsidR="00B6285F" w:rsidRPr="00575A3E">
        <w:rPr>
          <w:szCs w:val="22"/>
          <w:lang w:val="en-GB"/>
        </w:rPr>
        <w:t>cities</w:t>
      </w:r>
      <w:r w:rsidR="009A420D" w:rsidRPr="00575A3E">
        <w:rPr>
          <w:szCs w:val="22"/>
          <w:lang w:val="en-GB"/>
        </w:rPr>
        <w:t>, which was found in the analysis of employment and population densities, as well as the examination of the cartographical representations. As a result, this indicates urban sprawl for both of the</w:t>
      </w:r>
      <w:r w:rsidR="00B6285F" w:rsidRPr="00575A3E">
        <w:rPr>
          <w:szCs w:val="22"/>
          <w:lang w:val="en-GB"/>
        </w:rPr>
        <w:t xml:space="preserve"> cities.</w:t>
      </w:r>
      <w:r w:rsidR="009A420D" w:rsidRPr="00575A3E">
        <w:rPr>
          <w:szCs w:val="22"/>
          <w:lang w:val="en-GB"/>
        </w:rPr>
        <w:t xml:space="preserve"> Moreover, the reduced percentages for employment, working adults, retired population and housing rent are mainly concentrated across all scenarios in the west of the region, where transportation infrastructure is not as advanced and population and employment rates are naturally lower, which shows how these areas</w:t>
      </w:r>
      <w:r w:rsidR="007C6C80" w:rsidRPr="00575A3E">
        <w:rPr>
          <w:szCs w:val="22"/>
          <w:lang w:val="en-GB"/>
        </w:rPr>
        <w:t xml:space="preserve"> might even lose more financial power in the future with the existence of n</w:t>
      </w:r>
      <w:r w:rsidR="000D13A1" w:rsidRPr="00575A3E">
        <w:rPr>
          <w:szCs w:val="22"/>
          <w:lang w:val="en-GB"/>
        </w:rPr>
        <w:t>e</w:t>
      </w:r>
      <w:r w:rsidR="007C6C80" w:rsidRPr="00575A3E">
        <w:rPr>
          <w:szCs w:val="22"/>
          <w:lang w:val="en-GB"/>
        </w:rPr>
        <w:t>w transportation technologies.</w:t>
      </w:r>
      <w:r w:rsidR="009A420D" w:rsidRPr="00575A3E">
        <w:rPr>
          <w:szCs w:val="22"/>
          <w:lang w:val="en-GB"/>
        </w:rPr>
        <w:t xml:space="preserve"> </w:t>
      </w:r>
      <w:r w:rsidR="000762D9" w:rsidRPr="00575A3E">
        <w:rPr>
          <w:szCs w:val="22"/>
          <w:lang w:val="en-GB"/>
        </w:rPr>
        <w:t>Additionally</w:t>
      </w:r>
      <w:r w:rsidR="006F1402" w:rsidRPr="00575A3E">
        <w:rPr>
          <w:szCs w:val="22"/>
          <w:lang w:val="en-GB"/>
        </w:rPr>
        <w:t>,</w:t>
      </w:r>
      <w:r w:rsidR="00DF75C4" w:rsidRPr="00575A3E">
        <w:rPr>
          <w:szCs w:val="22"/>
          <w:lang w:val="en-GB"/>
        </w:rPr>
        <w:t xml:space="preserve"> work accessibility in the tested scenarios has increased </w:t>
      </w:r>
      <w:r w:rsidR="00410B65" w:rsidRPr="00575A3E">
        <w:rPr>
          <w:szCs w:val="22"/>
          <w:lang w:val="en-GB"/>
        </w:rPr>
        <w:t>further</w:t>
      </w:r>
      <w:r w:rsidR="00DF75C4" w:rsidRPr="00575A3E">
        <w:rPr>
          <w:szCs w:val="22"/>
          <w:lang w:val="en-GB"/>
        </w:rPr>
        <w:t>, especially in lower densit</w:t>
      </w:r>
      <w:r w:rsidR="00410B65" w:rsidRPr="00575A3E">
        <w:rPr>
          <w:szCs w:val="22"/>
          <w:lang w:val="en-GB"/>
        </w:rPr>
        <w:t>y</w:t>
      </w:r>
      <w:r w:rsidR="00DF75C4" w:rsidRPr="00575A3E">
        <w:rPr>
          <w:szCs w:val="22"/>
          <w:lang w:val="en-GB"/>
        </w:rPr>
        <w:t xml:space="preserve"> areas, indicating their potential development after the end of the simulation period</w:t>
      </w:r>
      <w:r w:rsidR="006F1402" w:rsidRPr="00575A3E">
        <w:rPr>
          <w:szCs w:val="22"/>
          <w:lang w:val="en-GB"/>
        </w:rPr>
        <w:t>. Finally, the analysis of the peripheral zones of the region indicate</w:t>
      </w:r>
      <w:r w:rsidR="00410B65" w:rsidRPr="00575A3E">
        <w:rPr>
          <w:szCs w:val="22"/>
          <w:lang w:val="en-GB"/>
        </w:rPr>
        <w:t>s</w:t>
      </w:r>
      <w:r w:rsidR="006F1402" w:rsidRPr="00575A3E">
        <w:rPr>
          <w:szCs w:val="22"/>
          <w:lang w:val="en-GB"/>
        </w:rPr>
        <w:t xml:space="preserve"> that </w:t>
      </w:r>
      <w:r w:rsidR="00421D05" w:rsidRPr="00575A3E">
        <w:rPr>
          <w:szCs w:val="22"/>
          <w:lang w:val="en-GB"/>
        </w:rPr>
        <w:t xml:space="preserve">the areas surrounding the region will also be affected by new vehicle technologies, by benefiting if road capacity </w:t>
      </w:r>
      <w:r w:rsidR="000762D9" w:rsidRPr="00575A3E">
        <w:rPr>
          <w:szCs w:val="22"/>
          <w:lang w:val="en-GB"/>
        </w:rPr>
        <w:t>is not increased</w:t>
      </w:r>
      <w:r w:rsidR="00421D05" w:rsidRPr="00575A3E">
        <w:rPr>
          <w:szCs w:val="22"/>
          <w:lang w:val="en-GB"/>
        </w:rPr>
        <w:t xml:space="preserve"> and </w:t>
      </w:r>
      <w:r w:rsidR="00410B65" w:rsidRPr="00575A3E">
        <w:rPr>
          <w:szCs w:val="22"/>
          <w:lang w:val="en-GB"/>
        </w:rPr>
        <w:t xml:space="preserve">by </w:t>
      </w:r>
      <w:r w:rsidR="00421D05" w:rsidRPr="00575A3E">
        <w:rPr>
          <w:szCs w:val="22"/>
          <w:lang w:val="en-GB"/>
        </w:rPr>
        <w:t>losing financial power if road capacity</w:t>
      </w:r>
      <w:r w:rsidR="00410B65" w:rsidRPr="00575A3E">
        <w:rPr>
          <w:szCs w:val="22"/>
          <w:lang w:val="en-GB"/>
        </w:rPr>
        <w:t xml:space="preserve"> does</w:t>
      </w:r>
      <w:r w:rsidR="00421D05" w:rsidRPr="00575A3E">
        <w:rPr>
          <w:szCs w:val="22"/>
          <w:lang w:val="en-GB"/>
        </w:rPr>
        <w:t xml:space="preserve"> increase</w:t>
      </w:r>
      <w:r w:rsidR="00410B65" w:rsidRPr="00575A3E">
        <w:rPr>
          <w:szCs w:val="22"/>
          <w:lang w:val="en-GB"/>
        </w:rPr>
        <w:t>; this is</w:t>
      </w:r>
      <w:r w:rsidR="00421D05" w:rsidRPr="00575A3E">
        <w:rPr>
          <w:szCs w:val="22"/>
          <w:lang w:val="en-GB"/>
        </w:rPr>
        <w:t xml:space="preserve"> </w:t>
      </w:r>
      <w:r w:rsidR="000762D9" w:rsidRPr="00575A3E">
        <w:rPr>
          <w:szCs w:val="22"/>
          <w:lang w:val="en-GB"/>
        </w:rPr>
        <w:t xml:space="preserve">because this phenomenon </w:t>
      </w:r>
      <w:r w:rsidR="00421D05" w:rsidRPr="00575A3E">
        <w:rPr>
          <w:szCs w:val="22"/>
          <w:lang w:val="en-GB"/>
        </w:rPr>
        <w:t>ma</w:t>
      </w:r>
      <w:r w:rsidR="00410B65" w:rsidRPr="00575A3E">
        <w:rPr>
          <w:szCs w:val="22"/>
          <w:lang w:val="en-GB"/>
        </w:rPr>
        <w:t>k</w:t>
      </w:r>
      <w:r w:rsidR="00421D05" w:rsidRPr="00575A3E">
        <w:rPr>
          <w:szCs w:val="22"/>
          <w:lang w:val="en-GB"/>
        </w:rPr>
        <w:t>e</w:t>
      </w:r>
      <w:r w:rsidR="00410B65" w:rsidRPr="00575A3E">
        <w:rPr>
          <w:szCs w:val="22"/>
          <w:lang w:val="en-GB"/>
        </w:rPr>
        <w:t>s</w:t>
      </w:r>
      <w:r w:rsidR="00421D05" w:rsidRPr="00575A3E">
        <w:rPr>
          <w:szCs w:val="22"/>
          <w:lang w:val="en-GB"/>
        </w:rPr>
        <w:t xml:space="preserve"> high density areas in the West Midlands more attractive to population groups in the</w:t>
      </w:r>
      <w:r w:rsidR="000762D9" w:rsidRPr="00575A3E">
        <w:rPr>
          <w:szCs w:val="22"/>
          <w:lang w:val="en-GB"/>
        </w:rPr>
        <w:t xml:space="preserve"> adjoin</w:t>
      </w:r>
      <w:r w:rsidR="003B36F6" w:rsidRPr="00575A3E">
        <w:rPr>
          <w:szCs w:val="22"/>
          <w:lang w:val="en-GB"/>
        </w:rPr>
        <w:t>ing</w:t>
      </w:r>
      <w:r w:rsidR="000762D9" w:rsidRPr="00575A3E">
        <w:rPr>
          <w:szCs w:val="22"/>
          <w:lang w:val="en-GB"/>
        </w:rPr>
        <w:t xml:space="preserve"> </w:t>
      </w:r>
      <w:r w:rsidR="00421D05" w:rsidRPr="00575A3E">
        <w:rPr>
          <w:szCs w:val="22"/>
          <w:lang w:val="en-GB"/>
        </w:rPr>
        <w:t>zones as well.</w:t>
      </w:r>
      <w:r w:rsidR="00E57468" w:rsidRPr="00575A3E">
        <w:rPr>
          <w:szCs w:val="22"/>
          <w:lang w:val="en-GB"/>
        </w:rPr>
        <w:t xml:space="preserve"> </w:t>
      </w:r>
      <w:r w:rsidR="00A918B2" w:rsidRPr="00575A3E">
        <w:rPr>
          <w:szCs w:val="22"/>
          <w:lang w:val="en-GB"/>
        </w:rPr>
        <w:t>The co-existence of new transportation technologies in the study area</w:t>
      </w:r>
      <w:r w:rsidR="0082777D" w:rsidRPr="00575A3E">
        <w:rPr>
          <w:szCs w:val="22"/>
          <w:lang w:val="en-GB"/>
        </w:rPr>
        <w:t xml:space="preserve"> also</w:t>
      </w:r>
      <w:r w:rsidR="00A918B2" w:rsidRPr="00575A3E">
        <w:rPr>
          <w:szCs w:val="22"/>
          <w:lang w:val="en-GB"/>
        </w:rPr>
        <w:t xml:space="preserve"> le</w:t>
      </w:r>
      <w:r w:rsidR="0082777D" w:rsidRPr="00575A3E">
        <w:rPr>
          <w:szCs w:val="22"/>
          <w:lang w:val="en-GB"/>
        </w:rPr>
        <w:t>a</w:t>
      </w:r>
      <w:r w:rsidR="00A918B2" w:rsidRPr="00575A3E">
        <w:rPr>
          <w:szCs w:val="22"/>
          <w:lang w:val="en-GB"/>
        </w:rPr>
        <w:t>d</w:t>
      </w:r>
      <w:r w:rsidR="0082777D" w:rsidRPr="00575A3E">
        <w:rPr>
          <w:szCs w:val="22"/>
          <w:lang w:val="en-GB"/>
        </w:rPr>
        <w:t>s</w:t>
      </w:r>
      <w:r w:rsidR="00A918B2" w:rsidRPr="00575A3E">
        <w:rPr>
          <w:szCs w:val="22"/>
          <w:lang w:val="en-GB"/>
        </w:rPr>
        <w:t xml:space="preserve"> to the acceptance of longer trips and more </w:t>
      </w:r>
      <w:r w:rsidR="0082777D" w:rsidRPr="00575A3E">
        <w:rPr>
          <w:szCs w:val="22"/>
          <w:lang w:val="en-GB"/>
        </w:rPr>
        <w:t xml:space="preserve">mobility </w:t>
      </w:r>
      <w:r w:rsidR="00F56BB0" w:rsidRPr="00575A3E">
        <w:rPr>
          <w:szCs w:val="22"/>
          <w:lang w:val="en-GB"/>
        </w:rPr>
        <w:t>freedom,</w:t>
      </w:r>
      <w:r w:rsidR="00A918B2" w:rsidRPr="00575A3E">
        <w:rPr>
          <w:szCs w:val="22"/>
          <w:lang w:val="en-GB"/>
        </w:rPr>
        <w:t xml:space="preserve"> which </w:t>
      </w:r>
      <w:r w:rsidR="0082777D" w:rsidRPr="00575A3E">
        <w:rPr>
          <w:szCs w:val="22"/>
          <w:lang w:val="en-GB"/>
        </w:rPr>
        <w:t>ultimately</w:t>
      </w:r>
      <w:r w:rsidR="00A918B2" w:rsidRPr="00575A3E">
        <w:rPr>
          <w:szCs w:val="22"/>
          <w:lang w:val="en-GB"/>
        </w:rPr>
        <w:t xml:space="preserve"> affect</w:t>
      </w:r>
      <w:r w:rsidR="0082777D" w:rsidRPr="00575A3E">
        <w:rPr>
          <w:szCs w:val="22"/>
          <w:lang w:val="en-GB"/>
        </w:rPr>
        <w:t>s</w:t>
      </w:r>
      <w:r w:rsidR="00A918B2" w:rsidRPr="00575A3E">
        <w:rPr>
          <w:szCs w:val="22"/>
          <w:lang w:val="en-GB"/>
        </w:rPr>
        <w:t xml:space="preserve"> cities</w:t>
      </w:r>
      <w:r w:rsidR="0082777D" w:rsidRPr="00575A3E">
        <w:rPr>
          <w:szCs w:val="22"/>
          <w:lang w:val="en-GB"/>
        </w:rPr>
        <w:t xml:space="preserve"> and regions</w:t>
      </w:r>
      <w:r w:rsidR="00A918B2" w:rsidRPr="00575A3E">
        <w:rPr>
          <w:szCs w:val="22"/>
          <w:lang w:val="en-GB"/>
        </w:rPr>
        <w:t xml:space="preserve"> </w:t>
      </w:r>
      <w:r w:rsidR="0082777D" w:rsidRPr="00575A3E">
        <w:rPr>
          <w:szCs w:val="22"/>
          <w:lang w:val="en-GB"/>
        </w:rPr>
        <w:t>spatially and financially</w:t>
      </w:r>
      <w:r w:rsidR="00A918B2" w:rsidRPr="00575A3E">
        <w:rPr>
          <w:szCs w:val="22"/>
          <w:lang w:val="en-GB"/>
        </w:rPr>
        <w:t xml:space="preserve">. </w:t>
      </w:r>
    </w:p>
    <w:p w14:paraId="726C0D46" w14:textId="77777777" w:rsidR="00847F1D" w:rsidRPr="00575A3E" w:rsidRDefault="00847F1D" w:rsidP="00A55356">
      <w:pPr>
        <w:spacing w:line="360" w:lineRule="auto"/>
        <w:rPr>
          <w:szCs w:val="22"/>
          <w:lang w:val="en-GB"/>
        </w:rPr>
      </w:pPr>
    </w:p>
    <w:p w14:paraId="61DDD091" w14:textId="371E2CC3" w:rsidR="004469C4" w:rsidRPr="00575A3E" w:rsidRDefault="00A918B2" w:rsidP="004469C4">
      <w:pPr>
        <w:spacing w:line="360" w:lineRule="auto"/>
        <w:rPr>
          <w:sz w:val="16"/>
          <w:szCs w:val="16"/>
        </w:rPr>
      </w:pPr>
      <w:r w:rsidRPr="00575A3E">
        <w:rPr>
          <w:szCs w:val="22"/>
          <w:lang w:val="en-GB"/>
        </w:rPr>
        <w:t xml:space="preserve">These </w:t>
      </w:r>
      <w:r w:rsidR="009F4080" w:rsidRPr="00575A3E">
        <w:rPr>
          <w:szCs w:val="22"/>
          <w:lang w:val="en-GB"/>
        </w:rPr>
        <w:t>conclusions</w:t>
      </w:r>
      <w:r w:rsidRPr="00575A3E">
        <w:rPr>
          <w:szCs w:val="22"/>
          <w:lang w:val="en-GB"/>
        </w:rPr>
        <w:t xml:space="preserve"> could be useful for policy</w:t>
      </w:r>
      <w:r w:rsidR="0082777D" w:rsidRPr="00575A3E">
        <w:rPr>
          <w:szCs w:val="22"/>
          <w:lang w:val="en-GB"/>
        </w:rPr>
        <w:t>-</w:t>
      </w:r>
      <w:r w:rsidRPr="00575A3E">
        <w:rPr>
          <w:szCs w:val="22"/>
          <w:lang w:val="en-GB"/>
        </w:rPr>
        <w:t>makers form</w:t>
      </w:r>
      <w:r w:rsidR="0082777D" w:rsidRPr="00575A3E">
        <w:rPr>
          <w:szCs w:val="22"/>
          <w:lang w:val="en-GB"/>
        </w:rPr>
        <w:t>ulating</w:t>
      </w:r>
      <w:r w:rsidRPr="00575A3E">
        <w:rPr>
          <w:szCs w:val="22"/>
          <w:lang w:val="en-GB"/>
        </w:rPr>
        <w:t xml:space="preserve"> sustainable transport and land use policies and plans for different scales of analysis</w:t>
      </w:r>
      <w:r w:rsidR="009F4080" w:rsidRPr="00575A3E">
        <w:rPr>
          <w:szCs w:val="22"/>
          <w:lang w:val="en-GB"/>
        </w:rPr>
        <w:t>, as well as for regions and cities that have similar spatial and financial characteristics. The analysis indicates that a</w:t>
      </w:r>
      <w:r w:rsidR="004469C4" w:rsidRPr="00575A3E">
        <w:rPr>
          <w:szCs w:val="22"/>
        </w:rPr>
        <w:t xml:space="preserve"> </w:t>
      </w:r>
      <w:r w:rsidR="007C6C80" w:rsidRPr="00575A3E">
        <w:rPr>
          <w:szCs w:val="22"/>
        </w:rPr>
        <w:t>change</w:t>
      </w:r>
      <w:r w:rsidR="004469C4" w:rsidRPr="00575A3E">
        <w:rPr>
          <w:szCs w:val="22"/>
        </w:rPr>
        <w:t xml:space="preserve"> </w:t>
      </w:r>
      <w:r w:rsidR="00B905F4" w:rsidRPr="00575A3E">
        <w:rPr>
          <w:szCs w:val="22"/>
        </w:rPr>
        <w:t xml:space="preserve">in </w:t>
      </w:r>
      <w:r w:rsidR="004469C4" w:rsidRPr="00575A3E">
        <w:rPr>
          <w:szCs w:val="22"/>
        </w:rPr>
        <w:t>the</w:t>
      </w:r>
      <w:r w:rsidR="007C6C80" w:rsidRPr="00575A3E">
        <w:rPr>
          <w:szCs w:val="22"/>
        </w:rPr>
        <w:t xml:space="preserve"> current</w:t>
      </w:r>
      <w:r w:rsidR="004469C4" w:rsidRPr="00575A3E">
        <w:rPr>
          <w:szCs w:val="22"/>
        </w:rPr>
        <w:t xml:space="preserve"> legal framework </w:t>
      </w:r>
      <w:r w:rsidR="009F4080" w:rsidRPr="00575A3E">
        <w:rPr>
          <w:szCs w:val="22"/>
        </w:rPr>
        <w:t xml:space="preserve">is of high importance </w:t>
      </w:r>
      <w:r w:rsidR="007C6C80" w:rsidRPr="00575A3E">
        <w:rPr>
          <w:szCs w:val="22"/>
        </w:rPr>
        <w:t xml:space="preserve">to </w:t>
      </w:r>
      <w:r w:rsidR="004469C4" w:rsidRPr="00575A3E">
        <w:rPr>
          <w:szCs w:val="22"/>
        </w:rPr>
        <w:t xml:space="preserve">enable </w:t>
      </w:r>
      <w:r w:rsidR="007C6C80" w:rsidRPr="00575A3E">
        <w:rPr>
          <w:szCs w:val="22"/>
        </w:rPr>
        <w:t xml:space="preserve">a gradual, controlled and sustainable </w:t>
      </w:r>
      <w:r w:rsidR="004469C4" w:rsidRPr="00575A3E">
        <w:rPr>
          <w:szCs w:val="22"/>
        </w:rPr>
        <w:t xml:space="preserve">introduction of </w:t>
      </w:r>
      <w:r w:rsidR="007C6C80" w:rsidRPr="00575A3E">
        <w:rPr>
          <w:szCs w:val="22"/>
        </w:rPr>
        <w:t>new vehicle technologies in order to</w:t>
      </w:r>
      <w:r w:rsidR="004469C4" w:rsidRPr="00575A3E">
        <w:rPr>
          <w:szCs w:val="22"/>
        </w:rPr>
        <w:t xml:space="preserve"> avoid </w:t>
      </w:r>
      <w:r w:rsidR="007C6C80" w:rsidRPr="00575A3E">
        <w:rPr>
          <w:szCs w:val="22"/>
        </w:rPr>
        <w:t>the negative consequences like urban sprawl</w:t>
      </w:r>
      <w:r w:rsidR="004469C4" w:rsidRPr="00575A3E">
        <w:rPr>
          <w:szCs w:val="22"/>
        </w:rPr>
        <w:t>.</w:t>
      </w:r>
      <w:r w:rsidR="007C6C80" w:rsidRPr="00575A3E">
        <w:rPr>
          <w:szCs w:val="22"/>
        </w:rPr>
        <w:t xml:space="preserve"> Policies could include</w:t>
      </w:r>
      <w:r w:rsidR="004469C4" w:rsidRPr="00575A3E">
        <w:rPr>
          <w:szCs w:val="22"/>
        </w:rPr>
        <w:t xml:space="preserve"> road pricing,</w:t>
      </w:r>
      <w:r w:rsidR="007C6C80" w:rsidRPr="00575A3E">
        <w:rPr>
          <w:szCs w:val="22"/>
        </w:rPr>
        <w:t xml:space="preserve"> incorporation of </w:t>
      </w:r>
      <w:r w:rsidR="007C6C80" w:rsidRPr="00575A3E">
        <w:rPr>
          <w:szCs w:val="22"/>
        </w:rPr>
        <w:lastRenderedPageBreak/>
        <w:t>traffic calming measures</w:t>
      </w:r>
      <w:r w:rsidR="00565241" w:rsidRPr="00575A3E">
        <w:rPr>
          <w:szCs w:val="22"/>
        </w:rPr>
        <w:t xml:space="preserve"> </w:t>
      </w:r>
      <w:r w:rsidR="007C6C80" w:rsidRPr="00575A3E">
        <w:rPr>
          <w:szCs w:val="22"/>
        </w:rPr>
        <w:t xml:space="preserve">, improvement of </w:t>
      </w:r>
      <w:r w:rsidR="004469C4" w:rsidRPr="00575A3E">
        <w:rPr>
          <w:szCs w:val="22"/>
        </w:rPr>
        <w:t xml:space="preserve">public transport </w:t>
      </w:r>
      <w:r w:rsidR="007C6C80" w:rsidRPr="00575A3E">
        <w:rPr>
          <w:szCs w:val="22"/>
        </w:rPr>
        <w:t xml:space="preserve">services and </w:t>
      </w:r>
      <w:r w:rsidR="004469C4" w:rsidRPr="00575A3E">
        <w:rPr>
          <w:szCs w:val="22"/>
        </w:rPr>
        <w:t>frequenc</w:t>
      </w:r>
      <w:r w:rsidR="007C6C80" w:rsidRPr="00575A3E">
        <w:rPr>
          <w:szCs w:val="22"/>
        </w:rPr>
        <w:t>ies as well as combinations of such measures</w:t>
      </w:r>
      <w:r w:rsidR="008361E4" w:rsidRPr="00575A3E">
        <w:rPr>
          <w:szCs w:val="22"/>
        </w:rPr>
        <w:t xml:space="preserve"> </w:t>
      </w:r>
      <w:r w:rsidR="008361E4" w:rsidRPr="00575A3E">
        <w:rPr>
          <w:szCs w:val="22"/>
        </w:rPr>
        <w:fldChar w:fldCharType="begin" w:fldLock="1"/>
      </w:r>
      <w:r w:rsidR="008361E4" w:rsidRPr="00575A3E">
        <w:rPr>
          <w:szCs w:val="22"/>
        </w:rPr>
        <w:instrText>ADDIN CSL_CITATION {"citationItems":[{"id":"ITEM-1","itemData":{"ISBN":"0000000256","author":[{"dropping-particle":"","family":"Sarri","given":"Paraskevi","non-dropping-particle":"","parse-names":false,"suffix":""},{"dropping-particle":"","family":"Tzouras","given":"Panagiotis","non-dropping-particle":"","parse-names":false,"suffix":""},{"dropping-particle":"","family":"Tsigdinos","given":"Stefanos","non-dropping-particle":"","parse-names":false,"suffix":""},{"dropping-particle":"","family":"Kaparias","given":"Ioannis","non-dropping-particle":"","parse-names":false,"suffix":""},{"dropping-particle":"","family":"Kepaptsoglou","given":"Konstantinos L.","non-dropping-particle":"","parse-names":false,"suffix":""}],"container-title":"TRB Annual Meeting","id":"ITEM-1","issued":{"date-parts":[["2022"]]},"title":"Exploring The Land Use And Transport Interaction Effects Of City-Wide Active Travel Schemes","type":"article-journal"},"uris":["http://www.mendeley.com/documents/?uuid=deab632d-d297-41e1-b950-9016e22b75c4"]}],"mendeley":{"formattedCitation":"(Sarri et al., 2022)","plainTextFormattedCitation":"(Sarri et al., 2022)","previouslyFormattedCitation":"(Sarri et al., 2022)"},"properties":{"noteIndex":0},"schema":"https://github.com/citation-style-language/schema/raw/master/csl-citation.json"}</w:instrText>
      </w:r>
      <w:r w:rsidR="008361E4" w:rsidRPr="00575A3E">
        <w:rPr>
          <w:szCs w:val="22"/>
        </w:rPr>
        <w:fldChar w:fldCharType="separate"/>
      </w:r>
      <w:r w:rsidR="008361E4" w:rsidRPr="00575A3E">
        <w:rPr>
          <w:noProof/>
          <w:szCs w:val="22"/>
        </w:rPr>
        <w:t>(Sarri et al., 2022)</w:t>
      </w:r>
      <w:r w:rsidR="008361E4" w:rsidRPr="00575A3E">
        <w:rPr>
          <w:szCs w:val="22"/>
        </w:rPr>
        <w:fldChar w:fldCharType="end"/>
      </w:r>
      <w:r w:rsidR="007C6C80" w:rsidRPr="00575A3E">
        <w:rPr>
          <w:szCs w:val="22"/>
        </w:rPr>
        <w:t>. Urban and regional planners could also conduct proposals that promote incentives to reduce urban sprawl</w:t>
      </w:r>
      <w:r w:rsidR="00B6285F" w:rsidRPr="00575A3E">
        <w:rPr>
          <w:szCs w:val="22"/>
        </w:rPr>
        <w:t>, such as relaxing density restrictions or reform property taxation</w:t>
      </w:r>
    </w:p>
    <w:p w14:paraId="036D37F6" w14:textId="77777777" w:rsidR="004469C4" w:rsidRPr="00575A3E" w:rsidRDefault="004469C4" w:rsidP="00A55356">
      <w:pPr>
        <w:spacing w:line="360" w:lineRule="auto"/>
        <w:rPr>
          <w:szCs w:val="22"/>
          <w:lang w:val="en-GB"/>
        </w:rPr>
      </w:pPr>
    </w:p>
    <w:p w14:paraId="3314CA60" w14:textId="0E971936" w:rsidR="00DF75C4" w:rsidRPr="00575A3E" w:rsidRDefault="00DF75C4" w:rsidP="00CD459C">
      <w:pPr>
        <w:spacing w:line="360" w:lineRule="auto"/>
        <w:rPr>
          <w:szCs w:val="22"/>
          <w:lang w:val="en-GB"/>
        </w:rPr>
      </w:pPr>
      <w:r w:rsidRPr="00575A3E">
        <w:rPr>
          <w:szCs w:val="22"/>
          <w:lang w:val="en-GB"/>
        </w:rPr>
        <w:t>Limitations regarding</w:t>
      </w:r>
      <w:r w:rsidR="009C60FD" w:rsidRPr="00575A3E">
        <w:rPr>
          <w:szCs w:val="22"/>
          <w:lang w:val="en-GB"/>
        </w:rPr>
        <w:t xml:space="preserve"> the technical aspects of</w:t>
      </w:r>
      <w:r w:rsidRPr="00575A3E">
        <w:rPr>
          <w:szCs w:val="22"/>
          <w:lang w:val="en-GB"/>
        </w:rPr>
        <w:t xml:space="preserve"> this research work are</w:t>
      </w:r>
      <w:r w:rsidR="00CA532D" w:rsidRPr="00575A3E">
        <w:rPr>
          <w:szCs w:val="22"/>
          <w:lang w:val="en-GB"/>
        </w:rPr>
        <w:t xml:space="preserve"> related to data availability</w:t>
      </w:r>
      <w:r w:rsidR="00410B65" w:rsidRPr="00575A3E">
        <w:rPr>
          <w:szCs w:val="22"/>
          <w:lang w:val="en-GB"/>
        </w:rPr>
        <w:t>.</w:t>
      </w:r>
      <w:r w:rsidR="00CA532D" w:rsidRPr="00575A3E">
        <w:rPr>
          <w:szCs w:val="22"/>
          <w:lang w:val="en-GB"/>
        </w:rPr>
        <w:t xml:space="preserve"> </w:t>
      </w:r>
      <w:r w:rsidR="00410B65" w:rsidRPr="00575A3E">
        <w:rPr>
          <w:szCs w:val="22"/>
          <w:lang w:val="en-GB"/>
        </w:rPr>
        <w:t xml:space="preserve">For </w:t>
      </w:r>
      <w:r w:rsidR="00CA532D" w:rsidRPr="00575A3E">
        <w:rPr>
          <w:szCs w:val="22"/>
          <w:lang w:val="en-GB"/>
        </w:rPr>
        <w:t>example</w:t>
      </w:r>
      <w:r w:rsidR="00410B65" w:rsidRPr="00575A3E">
        <w:rPr>
          <w:szCs w:val="22"/>
          <w:lang w:val="en-GB"/>
        </w:rPr>
        <w:t>,</w:t>
      </w:r>
      <w:r w:rsidR="00B03797" w:rsidRPr="00575A3E">
        <w:rPr>
          <w:szCs w:val="22"/>
          <w:lang w:val="en-GB"/>
        </w:rPr>
        <w:t xml:space="preserve"> </w:t>
      </w:r>
      <w:r w:rsidR="00410B65" w:rsidRPr="00575A3E">
        <w:rPr>
          <w:szCs w:val="22"/>
          <w:lang w:val="en-GB"/>
        </w:rPr>
        <w:t xml:space="preserve">informed assumptions based on the literature had to be made with respect to </w:t>
      </w:r>
      <w:r w:rsidR="00B03797" w:rsidRPr="00575A3E">
        <w:rPr>
          <w:szCs w:val="22"/>
          <w:lang w:val="en-GB"/>
        </w:rPr>
        <w:t>values for</w:t>
      </w:r>
      <w:r w:rsidR="00CA532D" w:rsidRPr="00575A3E">
        <w:rPr>
          <w:szCs w:val="22"/>
          <w:lang w:val="en-GB"/>
        </w:rPr>
        <w:t xml:space="preserve"> the proportions of new vehicle technologies </w:t>
      </w:r>
      <w:r w:rsidR="00B03797" w:rsidRPr="00575A3E">
        <w:rPr>
          <w:szCs w:val="22"/>
          <w:lang w:val="en-GB"/>
        </w:rPr>
        <w:t xml:space="preserve">in the fleet and </w:t>
      </w:r>
      <w:r w:rsidR="00CA532D" w:rsidRPr="00575A3E">
        <w:rPr>
          <w:szCs w:val="22"/>
          <w:lang w:val="en-GB"/>
        </w:rPr>
        <w:t>reductions in values of time</w:t>
      </w:r>
      <w:r w:rsidR="00B03797" w:rsidRPr="00575A3E">
        <w:rPr>
          <w:szCs w:val="22"/>
          <w:lang w:val="en-GB"/>
        </w:rPr>
        <w:t xml:space="preserve"> for automated vehicles. </w:t>
      </w:r>
      <w:r w:rsidR="00410B65" w:rsidRPr="00575A3E">
        <w:rPr>
          <w:szCs w:val="22"/>
          <w:lang w:val="en-GB"/>
        </w:rPr>
        <w:t>The accuracy of the study</w:t>
      </w:r>
      <w:r w:rsidR="00B03797" w:rsidRPr="00575A3E">
        <w:rPr>
          <w:szCs w:val="22"/>
          <w:lang w:val="en-GB"/>
        </w:rPr>
        <w:t xml:space="preserve"> would</w:t>
      </w:r>
      <w:r w:rsidR="00410B65" w:rsidRPr="00575A3E">
        <w:rPr>
          <w:szCs w:val="22"/>
          <w:lang w:val="en-GB"/>
        </w:rPr>
        <w:t xml:space="preserve"> increase greatly</w:t>
      </w:r>
      <w:r w:rsidR="00B03797" w:rsidRPr="00575A3E">
        <w:rPr>
          <w:szCs w:val="22"/>
          <w:lang w:val="en-GB"/>
        </w:rPr>
        <w:t xml:space="preserve"> if such parameters </w:t>
      </w:r>
      <w:r w:rsidR="00410B65" w:rsidRPr="00575A3E">
        <w:rPr>
          <w:szCs w:val="22"/>
          <w:lang w:val="en-GB"/>
        </w:rPr>
        <w:t>can be obtained</w:t>
      </w:r>
      <w:r w:rsidR="00B03797" w:rsidRPr="00575A3E">
        <w:rPr>
          <w:szCs w:val="22"/>
          <w:lang w:val="en-GB"/>
        </w:rPr>
        <w:t xml:space="preserve"> from </w:t>
      </w:r>
      <w:r w:rsidR="00410B65" w:rsidRPr="00575A3E">
        <w:rPr>
          <w:szCs w:val="22"/>
          <w:lang w:val="en-GB"/>
        </w:rPr>
        <w:t xml:space="preserve">official </w:t>
      </w:r>
      <w:r w:rsidR="00B03797" w:rsidRPr="00575A3E">
        <w:rPr>
          <w:szCs w:val="22"/>
          <w:lang w:val="en-GB"/>
        </w:rPr>
        <w:t>sources</w:t>
      </w:r>
      <w:r w:rsidR="00410B65" w:rsidRPr="00575A3E">
        <w:rPr>
          <w:szCs w:val="22"/>
          <w:lang w:val="en-GB"/>
        </w:rPr>
        <w:t>, such as</w:t>
      </w:r>
      <w:r w:rsidR="00B03797" w:rsidRPr="00575A3E">
        <w:rPr>
          <w:szCs w:val="22"/>
          <w:lang w:val="en-GB"/>
        </w:rPr>
        <w:t xml:space="preserve"> the UK </w:t>
      </w:r>
      <w:r w:rsidR="00410B65" w:rsidRPr="00575A3E">
        <w:rPr>
          <w:szCs w:val="22"/>
          <w:lang w:val="en-GB"/>
        </w:rPr>
        <w:t>G</w:t>
      </w:r>
      <w:r w:rsidR="00B03797" w:rsidRPr="00575A3E">
        <w:rPr>
          <w:szCs w:val="22"/>
          <w:lang w:val="en-GB"/>
        </w:rPr>
        <w:t xml:space="preserve">overnment. </w:t>
      </w:r>
      <w:r w:rsidR="004335AD" w:rsidRPr="00575A3E">
        <w:rPr>
          <w:szCs w:val="22"/>
          <w:lang w:val="en-GB"/>
        </w:rPr>
        <w:t>Moreover</w:t>
      </w:r>
      <w:r w:rsidR="00F902B6" w:rsidRPr="00575A3E">
        <w:rPr>
          <w:szCs w:val="22"/>
          <w:lang w:val="en-GB"/>
        </w:rPr>
        <w:t xml:space="preserve">, the scenarios </w:t>
      </w:r>
      <w:r w:rsidR="00410B65" w:rsidRPr="00575A3E">
        <w:rPr>
          <w:szCs w:val="22"/>
          <w:lang w:val="en-GB"/>
        </w:rPr>
        <w:t xml:space="preserve">have </w:t>
      </w:r>
      <w:r w:rsidR="00F902B6" w:rsidRPr="00575A3E">
        <w:rPr>
          <w:szCs w:val="22"/>
          <w:lang w:val="en-GB"/>
        </w:rPr>
        <w:t>assumed uniform distribution of adoption of CAVs and EVs in the fleet</w:t>
      </w:r>
      <w:r w:rsidR="00410B65" w:rsidRPr="00575A3E">
        <w:rPr>
          <w:szCs w:val="22"/>
          <w:lang w:val="en-GB"/>
        </w:rPr>
        <w:t>, which is another limitation</w:t>
      </w:r>
      <w:r w:rsidR="00693617" w:rsidRPr="00575A3E">
        <w:rPr>
          <w:szCs w:val="22"/>
          <w:lang w:val="en-GB"/>
        </w:rPr>
        <w:t xml:space="preserve">. </w:t>
      </w:r>
      <w:r w:rsidR="004335AD" w:rsidRPr="00575A3E">
        <w:rPr>
          <w:szCs w:val="22"/>
          <w:lang w:val="en-GB"/>
        </w:rPr>
        <w:t xml:space="preserve">Finally, </w:t>
      </w:r>
      <w:r w:rsidR="008A6FC8" w:rsidRPr="00575A3E">
        <w:rPr>
          <w:szCs w:val="22"/>
          <w:lang w:val="en-GB"/>
        </w:rPr>
        <w:t>i</w:t>
      </w:r>
      <w:r w:rsidR="004335AD" w:rsidRPr="00575A3E">
        <w:rPr>
          <w:szCs w:val="22"/>
          <w:lang w:val="en-GB"/>
        </w:rPr>
        <w:t xml:space="preserve">t should be mentioned that the performance of EVs, the allocation of new charging points in the network and the technological advancements of batteries and charging points are important for the rollout of EVs in the UK </w:t>
      </w:r>
      <w:r w:rsidR="004335AD" w:rsidRPr="00575A3E">
        <w:rPr>
          <w:szCs w:val="22"/>
          <w:lang w:val="en-GB"/>
        </w:rPr>
        <w:fldChar w:fldCharType="begin" w:fldLock="1"/>
      </w:r>
      <w:r w:rsidR="0033239E" w:rsidRPr="00575A3E">
        <w:rPr>
          <w:szCs w:val="22"/>
          <w:lang w:val="en-GB"/>
        </w:rPr>
        <w:instrText>ADDIN CSL_CITATION {"citationItems":[{"id":"ITEM-1","itemData":{"DOI":"10.1016/j.esr.2020.100497","ISSN":"2211467X","abstract":"Electrifying transport to meet local pollution and overall net zero carbon ambitions is now a key UK policy focus, but this will have important impacts on the energy system, the economy, and the environment. Understanding the changes that the electrification of transport will bring is crucial for developing sustainable policies for net zero goals and a just transition. A literature is emerging to analyse the impact of a large-scale penetration of electric vehicles (EVs), but generally limiting focus to the implications for the electricity network. In this paper, we aim to provide insight on the wider energy system impacts of the expected EV rollout in the UK, in terms of fuel changes, energy costs, CO2 emission reduction and network investments; and how different EV charging strategies increase or mitigate the impacts of the expected large-scale penetration of EVs. Results show that non-smart and/or decentralised charging will require considerably larger investments on the network to accommodate new EV demand. Network reinforcement costs are passed to the consumer via increased electricity prices and, albeit reduced, emissions shift from the transport to the power sector. These results show the importance of considering the whole energy system and the wider economy, to avoid carbon leakage and to maximise the effectiveness of policies.","author":[{"dropping-particle":"","family":"Calvillo","given":"Christian F.","non-dropping-particle":"","parse-names":false,"suffix":""},{"dropping-particle":"","family":"Turner","given":"Karen","non-dropping-particle":"","parse-names":false,"suffix":""}],"container-title":"Energy Strategy Reviews","id":"ITEM-1","issued":{"date-parts":[["2020"]]},"title":"Analysing the impacts of a large-scale EV rollout in the UK – How can we better inform environmental and climate policy?","type":"article-journal","volume":"30"},"uris":["http://www.mendeley.com/documents/?uuid=9b06d1a0-81c1-3c42-b30d-c1b17f0779e4"]}],"mendeley":{"formattedCitation":"(Calvillo and Turner, 2020)","plainTextFormattedCitation":"(Calvillo and Turner, 2020)","previouslyFormattedCitation":"(Calvillo and Turner, 2020)"},"properties":{"noteIndex":0},"schema":"https://github.com/citation-style-language/schema/raw/master/csl-citation.json"}</w:instrText>
      </w:r>
      <w:r w:rsidR="004335AD" w:rsidRPr="00575A3E">
        <w:rPr>
          <w:szCs w:val="22"/>
          <w:lang w:val="en-GB"/>
        </w:rPr>
        <w:fldChar w:fldCharType="separate"/>
      </w:r>
      <w:r w:rsidR="004335AD" w:rsidRPr="00575A3E">
        <w:rPr>
          <w:noProof/>
          <w:szCs w:val="22"/>
          <w:lang w:val="en-GB"/>
        </w:rPr>
        <w:t>(Calvillo and Turner, 2020)</w:t>
      </w:r>
      <w:r w:rsidR="004335AD" w:rsidRPr="00575A3E">
        <w:rPr>
          <w:szCs w:val="22"/>
          <w:lang w:val="en-GB"/>
        </w:rPr>
        <w:fldChar w:fldCharType="end"/>
      </w:r>
      <w:r w:rsidR="004335AD" w:rsidRPr="00575A3E">
        <w:rPr>
          <w:szCs w:val="22"/>
          <w:lang w:val="en-GB"/>
        </w:rPr>
        <w:t xml:space="preserve">, which are indeed factors that need to be considered in future analyses and may also affect land use. </w:t>
      </w:r>
    </w:p>
    <w:p w14:paraId="7DA0358B" w14:textId="77777777" w:rsidR="00410B65" w:rsidRPr="00575A3E" w:rsidRDefault="00410B65" w:rsidP="00CD459C">
      <w:pPr>
        <w:spacing w:line="360" w:lineRule="auto"/>
        <w:rPr>
          <w:szCs w:val="22"/>
          <w:lang w:val="en-GB"/>
        </w:rPr>
      </w:pPr>
    </w:p>
    <w:p w14:paraId="6246452B" w14:textId="6CA5D825" w:rsidR="003A70AC" w:rsidRPr="00575A3E" w:rsidRDefault="004B3D01" w:rsidP="00CD459C">
      <w:pPr>
        <w:spacing w:line="360" w:lineRule="auto"/>
        <w:rPr>
          <w:szCs w:val="20"/>
          <w:lang w:val="en-GB"/>
        </w:rPr>
      </w:pPr>
      <w:r w:rsidRPr="00575A3E">
        <w:rPr>
          <w:szCs w:val="20"/>
          <w:lang w:val="en-GB"/>
        </w:rPr>
        <w:t>In general, it would be importan</w:t>
      </w:r>
      <w:r w:rsidR="000D13A1" w:rsidRPr="00575A3E">
        <w:rPr>
          <w:szCs w:val="20"/>
          <w:lang w:val="en-GB"/>
        </w:rPr>
        <w:t>t</w:t>
      </w:r>
      <w:r w:rsidRPr="00575A3E">
        <w:rPr>
          <w:szCs w:val="20"/>
          <w:lang w:val="en-GB"/>
        </w:rPr>
        <w:t xml:space="preserve"> </w:t>
      </w:r>
      <w:r w:rsidR="000D13A1" w:rsidRPr="00575A3E">
        <w:rPr>
          <w:szCs w:val="20"/>
          <w:lang w:val="en-GB"/>
        </w:rPr>
        <w:t>for</w:t>
      </w:r>
      <w:r w:rsidRPr="00575A3E">
        <w:rPr>
          <w:szCs w:val="20"/>
          <w:lang w:val="en-GB"/>
        </w:rPr>
        <w:t xml:space="preserve"> simulation scenarios of </w:t>
      </w:r>
      <w:r w:rsidR="00A126C9" w:rsidRPr="00575A3E">
        <w:rPr>
          <w:szCs w:val="20"/>
          <w:lang w:val="en-GB"/>
        </w:rPr>
        <w:t>f</w:t>
      </w:r>
      <w:r w:rsidRPr="00575A3E">
        <w:rPr>
          <w:szCs w:val="20"/>
          <w:lang w:val="en-GB"/>
        </w:rPr>
        <w:t xml:space="preserve">uture research </w:t>
      </w:r>
      <w:r w:rsidR="000D13A1" w:rsidRPr="00575A3E">
        <w:rPr>
          <w:szCs w:val="20"/>
          <w:lang w:val="en-GB"/>
        </w:rPr>
        <w:t>to</w:t>
      </w:r>
      <w:r w:rsidRPr="00575A3E">
        <w:rPr>
          <w:szCs w:val="20"/>
          <w:lang w:val="en-GB"/>
        </w:rPr>
        <w:t xml:space="preserve"> be created in order to provide answers to </w:t>
      </w:r>
      <w:r w:rsidR="00A126C9" w:rsidRPr="00575A3E">
        <w:rPr>
          <w:szCs w:val="20"/>
          <w:lang w:val="en-GB"/>
        </w:rPr>
        <w:t xml:space="preserve">the </w:t>
      </w:r>
      <w:r w:rsidRPr="00575A3E">
        <w:rPr>
          <w:szCs w:val="20"/>
          <w:lang w:val="en-GB"/>
        </w:rPr>
        <w:t xml:space="preserve">main research questions and become a tool for policy makers, in order to overcome technological obstacles. Important future research questions include the </w:t>
      </w:r>
      <w:r w:rsidRPr="00575A3E">
        <w:t>GHG emissions of new vehicle transportation technologies as well as the environmental impacts of required infrastructure related to vehicle autonomy and electrification</w:t>
      </w:r>
      <w:r w:rsidR="008361E4" w:rsidRPr="00575A3E">
        <w:t xml:space="preserve"> </w:t>
      </w:r>
      <w:r w:rsidR="008361E4" w:rsidRPr="00575A3E">
        <w:fldChar w:fldCharType="begin" w:fldLock="1"/>
      </w:r>
      <w:r w:rsidR="008361E4" w:rsidRPr="00575A3E">
        <w:instrText>ADDIN CSL_CITATION {"citationItems":[{"id":"ITEM-1","itemData":{"author":[{"dropping-particle":"","family":"Gouge","given":"Victoria","non-dropping-particle":"","parse-names":false,"suffix":""},{"dropping-particle":"","family":"Sarri","given":"Paraskevi","non-dropping-particle":"","parse-names":false,"suffix":""},{"dropping-particle":"","family":"Kaparias","given":"Ioannis","non-dropping-particle":"","parse-names":false,"suffix":""}],"container-title":"hEART | European Association for Research in Transportation 2022","id":"ITEM-1","issued":{"date-parts":[["2022"]]},"title":"The uptake of electrification and its transport and land use impacts; The case of Southampton (UK)","type":"paper-conference"},"uris":["http://www.mendeley.com/documents/?uuid=8d19bebb-a63e-4066-b2b3-11322569ec7f"]}],"mendeley":{"formattedCitation":"(Gouge et al., 2022)","plainTextFormattedCitation":"(Gouge et al., 2022)","previouslyFormattedCitation":"(Gouge et al., 2022)"},"properties":{"noteIndex":0},"schema":"https://github.com/citation-style-language/schema/raw/master/csl-citation.json"}</w:instrText>
      </w:r>
      <w:r w:rsidR="008361E4" w:rsidRPr="00575A3E">
        <w:fldChar w:fldCharType="separate"/>
      </w:r>
      <w:r w:rsidR="008361E4" w:rsidRPr="00575A3E">
        <w:rPr>
          <w:noProof/>
        </w:rPr>
        <w:t>(Gouge et al., 2022)</w:t>
      </w:r>
      <w:r w:rsidR="008361E4" w:rsidRPr="00575A3E">
        <w:fldChar w:fldCharType="end"/>
      </w:r>
      <w:r w:rsidRPr="00575A3E">
        <w:t xml:space="preserve">. Moreover, scenarios could be created to examine the affordability of these new technologies to social groups of different income levels, in order to examine impacts on social equity. Questions could also arise regarding the data security of the people that use these technologies, as well as the possible impact that these technologies might have on cases </w:t>
      </w:r>
      <w:r w:rsidR="00A126C9" w:rsidRPr="00575A3E">
        <w:t xml:space="preserve">in low- and medium-income countries </w:t>
      </w:r>
      <w:r w:rsidRPr="00575A3E">
        <w:t xml:space="preserve">where the case studies have different spatial and financial characteristics. More specifically, for this analysis future </w:t>
      </w:r>
      <w:r w:rsidR="00A126C9" w:rsidRPr="00575A3E">
        <w:t xml:space="preserve">work </w:t>
      </w:r>
      <w:r w:rsidR="00A111F7" w:rsidRPr="00575A3E">
        <w:rPr>
          <w:szCs w:val="22"/>
          <w:lang w:val="en-GB"/>
        </w:rPr>
        <w:t>could include</w:t>
      </w:r>
      <w:r w:rsidR="00410B65" w:rsidRPr="00575A3E">
        <w:rPr>
          <w:szCs w:val="22"/>
          <w:lang w:val="en-GB"/>
        </w:rPr>
        <w:t xml:space="preserve"> additional</w:t>
      </w:r>
      <w:r w:rsidR="006C2236" w:rsidRPr="00575A3E">
        <w:rPr>
          <w:szCs w:val="22"/>
          <w:lang w:val="en-GB"/>
        </w:rPr>
        <w:t xml:space="preserve"> </w:t>
      </w:r>
      <w:r w:rsidR="00693617" w:rsidRPr="00575A3E">
        <w:rPr>
          <w:szCs w:val="22"/>
          <w:lang w:val="en-GB"/>
        </w:rPr>
        <w:t>scenarios</w:t>
      </w:r>
      <w:r w:rsidR="00410B65" w:rsidRPr="00575A3E">
        <w:rPr>
          <w:szCs w:val="22"/>
          <w:lang w:val="en-GB"/>
        </w:rPr>
        <w:t>,</w:t>
      </w:r>
      <w:r w:rsidR="00693617" w:rsidRPr="00575A3E">
        <w:rPr>
          <w:szCs w:val="22"/>
          <w:lang w:val="en-GB"/>
        </w:rPr>
        <w:t xml:space="preserve"> </w:t>
      </w:r>
      <w:r w:rsidR="003B36F6" w:rsidRPr="00575A3E">
        <w:rPr>
          <w:szCs w:val="22"/>
          <w:lang w:val="en-GB"/>
        </w:rPr>
        <w:t xml:space="preserve">in which </w:t>
      </w:r>
      <w:r w:rsidR="00693617" w:rsidRPr="00575A3E">
        <w:rPr>
          <w:szCs w:val="22"/>
          <w:lang w:val="en-GB"/>
        </w:rPr>
        <w:t xml:space="preserve">the reduction of the PCU value could vary with the proportion of connected vehicles in the fleet. Moreover, </w:t>
      </w:r>
      <w:r w:rsidR="006C2236" w:rsidRPr="00575A3E">
        <w:rPr>
          <w:szCs w:val="22"/>
          <w:lang w:val="en-GB"/>
        </w:rPr>
        <w:t>the incorporation</w:t>
      </w:r>
      <w:r w:rsidR="00A111F7" w:rsidRPr="00575A3E">
        <w:rPr>
          <w:szCs w:val="20"/>
          <w:lang w:val="en-GB"/>
        </w:rPr>
        <w:t xml:space="preserve"> of </w:t>
      </w:r>
      <w:r w:rsidR="001231DF" w:rsidRPr="00575A3E">
        <w:rPr>
          <w:szCs w:val="20"/>
          <w:lang w:val="en-GB"/>
        </w:rPr>
        <w:t xml:space="preserve">new transportation business models, that include new vehicle technologies, </w:t>
      </w:r>
      <w:r w:rsidR="003B36F6" w:rsidRPr="00575A3E">
        <w:rPr>
          <w:szCs w:val="20"/>
          <w:lang w:val="en-GB"/>
        </w:rPr>
        <w:t xml:space="preserve">could be </w:t>
      </w:r>
      <w:r w:rsidR="00BB00BB" w:rsidRPr="00575A3E">
        <w:rPr>
          <w:szCs w:val="20"/>
          <w:lang w:val="en-GB"/>
        </w:rPr>
        <w:t>explored so as</w:t>
      </w:r>
      <w:r w:rsidR="003B36F6" w:rsidRPr="00575A3E">
        <w:rPr>
          <w:szCs w:val="20"/>
          <w:lang w:val="en-GB"/>
        </w:rPr>
        <w:t xml:space="preserve"> </w:t>
      </w:r>
      <w:r w:rsidR="001231DF" w:rsidRPr="00575A3E">
        <w:rPr>
          <w:szCs w:val="20"/>
          <w:lang w:val="en-GB"/>
        </w:rPr>
        <w:t>to</w:t>
      </w:r>
      <w:r w:rsidR="00BB00BB" w:rsidRPr="00575A3E">
        <w:rPr>
          <w:szCs w:val="20"/>
          <w:lang w:val="en-GB"/>
        </w:rPr>
        <w:t xml:space="preserve"> enable a more comprehensive</w:t>
      </w:r>
      <w:r w:rsidR="001231DF" w:rsidRPr="00575A3E">
        <w:rPr>
          <w:szCs w:val="20"/>
          <w:lang w:val="en-GB"/>
        </w:rPr>
        <w:t xml:space="preserve"> examin</w:t>
      </w:r>
      <w:r w:rsidR="00BB00BB" w:rsidRPr="00575A3E">
        <w:rPr>
          <w:szCs w:val="20"/>
          <w:lang w:val="en-GB"/>
        </w:rPr>
        <w:t>ation</w:t>
      </w:r>
      <w:r w:rsidR="001231DF" w:rsidRPr="00575A3E">
        <w:rPr>
          <w:szCs w:val="20"/>
          <w:lang w:val="en-GB"/>
        </w:rPr>
        <w:t xml:space="preserve"> </w:t>
      </w:r>
      <w:r w:rsidR="00BB00BB" w:rsidRPr="00575A3E">
        <w:rPr>
          <w:szCs w:val="20"/>
          <w:lang w:val="en-GB"/>
        </w:rPr>
        <w:t xml:space="preserve">of </w:t>
      </w:r>
      <w:r w:rsidR="001231DF" w:rsidRPr="00575A3E">
        <w:rPr>
          <w:szCs w:val="20"/>
          <w:lang w:val="en-GB"/>
        </w:rPr>
        <w:t>the holistic effect</w:t>
      </w:r>
      <w:r w:rsidR="00BB00BB" w:rsidRPr="00575A3E">
        <w:rPr>
          <w:szCs w:val="20"/>
          <w:lang w:val="en-GB"/>
        </w:rPr>
        <w:t>s</w:t>
      </w:r>
      <w:r w:rsidR="001231DF" w:rsidRPr="00575A3E">
        <w:rPr>
          <w:szCs w:val="20"/>
          <w:lang w:val="en-GB"/>
        </w:rPr>
        <w:t xml:space="preserve"> </w:t>
      </w:r>
      <w:r w:rsidR="00BB00BB" w:rsidRPr="00575A3E">
        <w:rPr>
          <w:szCs w:val="20"/>
          <w:lang w:val="en-GB"/>
        </w:rPr>
        <w:t xml:space="preserve">of </w:t>
      </w:r>
      <w:r w:rsidR="001231DF" w:rsidRPr="00575A3E">
        <w:rPr>
          <w:szCs w:val="20"/>
          <w:lang w:val="en-GB"/>
        </w:rPr>
        <w:t>new options in the future.</w:t>
      </w:r>
      <w:r w:rsidR="009F4080" w:rsidRPr="00575A3E">
        <w:rPr>
          <w:szCs w:val="20"/>
          <w:lang w:val="en-GB"/>
        </w:rPr>
        <w:t xml:space="preserve"> </w:t>
      </w:r>
      <w:r w:rsidR="004E7E8E" w:rsidRPr="00575A3E">
        <w:rPr>
          <w:szCs w:val="20"/>
          <w:lang w:val="en-GB"/>
        </w:rPr>
        <w:t xml:space="preserve">For </w:t>
      </w:r>
      <w:r w:rsidR="00B05BD8" w:rsidRPr="00575A3E">
        <w:rPr>
          <w:szCs w:val="20"/>
          <w:lang w:val="en-GB"/>
        </w:rPr>
        <w:t>example,</w:t>
      </w:r>
      <w:r w:rsidR="004E7E8E" w:rsidRPr="00575A3E">
        <w:rPr>
          <w:szCs w:val="20"/>
          <w:lang w:val="en-GB"/>
        </w:rPr>
        <w:t xml:space="preserve"> the effect</w:t>
      </w:r>
      <w:r w:rsidR="003B36F6" w:rsidRPr="00575A3E">
        <w:rPr>
          <w:szCs w:val="20"/>
          <w:lang w:val="en-GB"/>
        </w:rPr>
        <w:t>s</w:t>
      </w:r>
      <w:r w:rsidR="004E7E8E" w:rsidRPr="00575A3E">
        <w:rPr>
          <w:szCs w:val="20"/>
          <w:lang w:val="en-GB"/>
        </w:rPr>
        <w:t xml:space="preserve"> that Mobility as a Service, </w:t>
      </w:r>
      <w:r w:rsidR="00B412D8" w:rsidRPr="00575A3E">
        <w:rPr>
          <w:szCs w:val="20"/>
          <w:lang w:val="en-GB"/>
        </w:rPr>
        <w:t>o</w:t>
      </w:r>
      <w:r w:rsidR="004E7E8E" w:rsidRPr="00575A3E">
        <w:rPr>
          <w:szCs w:val="20"/>
          <w:lang w:val="en-GB"/>
        </w:rPr>
        <w:t xml:space="preserve">n-demand transport and </w:t>
      </w:r>
      <w:r w:rsidR="00B412D8" w:rsidRPr="00575A3E">
        <w:rPr>
          <w:szCs w:val="20"/>
          <w:lang w:val="en-GB"/>
        </w:rPr>
        <w:t>c</w:t>
      </w:r>
      <w:r w:rsidR="004E7E8E" w:rsidRPr="00575A3E">
        <w:rPr>
          <w:szCs w:val="20"/>
          <w:lang w:val="en-GB"/>
        </w:rPr>
        <w:t xml:space="preserve">ar sharing may have on land use, if </w:t>
      </w:r>
      <w:r w:rsidR="003B36F6" w:rsidRPr="00575A3E">
        <w:rPr>
          <w:szCs w:val="20"/>
          <w:lang w:val="en-GB"/>
        </w:rPr>
        <w:t xml:space="preserve">they </w:t>
      </w:r>
      <w:r w:rsidR="004E7E8E" w:rsidRPr="00575A3E">
        <w:rPr>
          <w:szCs w:val="20"/>
          <w:lang w:val="en-GB"/>
        </w:rPr>
        <w:t xml:space="preserve">are combined </w:t>
      </w:r>
      <w:r w:rsidR="003B36F6" w:rsidRPr="00575A3E">
        <w:rPr>
          <w:szCs w:val="20"/>
          <w:lang w:val="en-GB"/>
        </w:rPr>
        <w:t xml:space="preserve">with </w:t>
      </w:r>
      <w:r w:rsidR="004E7E8E" w:rsidRPr="00575A3E">
        <w:rPr>
          <w:szCs w:val="20"/>
          <w:lang w:val="en-GB"/>
        </w:rPr>
        <w:t xml:space="preserve">the examined </w:t>
      </w:r>
      <w:r w:rsidR="00B412D8" w:rsidRPr="00575A3E">
        <w:rPr>
          <w:szCs w:val="20"/>
          <w:lang w:val="en-GB"/>
        </w:rPr>
        <w:t xml:space="preserve">vehicle </w:t>
      </w:r>
      <w:r w:rsidR="004E7E8E" w:rsidRPr="00575A3E">
        <w:rPr>
          <w:szCs w:val="20"/>
          <w:lang w:val="en-GB"/>
        </w:rPr>
        <w:t>technologies</w:t>
      </w:r>
      <w:r w:rsidR="003B36F6" w:rsidRPr="00575A3E">
        <w:rPr>
          <w:szCs w:val="20"/>
          <w:lang w:val="en-GB"/>
        </w:rPr>
        <w:t>, could be examined</w:t>
      </w:r>
      <w:r w:rsidR="004E7E8E" w:rsidRPr="00575A3E">
        <w:rPr>
          <w:szCs w:val="20"/>
          <w:lang w:val="en-GB"/>
        </w:rPr>
        <w:t xml:space="preserve">. </w:t>
      </w:r>
      <w:r w:rsidR="009F4080" w:rsidRPr="00575A3E">
        <w:rPr>
          <w:szCs w:val="20"/>
          <w:lang w:val="en-GB"/>
        </w:rPr>
        <w:t xml:space="preserve">Another important element regarding future work is the examination of freight transportation scenarios that include new transportation technologies, which was not tested in this analysis. </w:t>
      </w:r>
      <w:r w:rsidR="006C2236" w:rsidRPr="00575A3E">
        <w:rPr>
          <w:szCs w:val="20"/>
          <w:lang w:val="en-GB"/>
        </w:rPr>
        <w:t>Finally, it would be important that the developed methodology is applied</w:t>
      </w:r>
      <w:r w:rsidR="001231DF" w:rsidRPr="00575A3E">
        <w:rPr>
          <w:szCs w:val="20"/>
          <w:lang w:val="en-GB"/>
        </w:rPr>
        <w:t xml:space="preserve"> and expa</w:t>
      </w:r>
      <w:r w:rsidR="006C2236" w:rsidRPr="00575A3E">
        <w:rPr>
          <w:szCs w:val="20"/>
          <w:lang w:val="en-GB"/>
        </w:rPr>
        <w:t>nded</w:t>
      </w:r>
      <w:r w:rsidR="001231DF" w:rsidRPr="00575A3E">
        <w:rPr>
          <w:szCs w:val="20"/>
          <w:lang w:val="en-GB"/>
        </w:rPr>
        <w:t xml:space="preserve"> </w:t>
      </w:r>
      <w:r w:rsidR="003B36F6" w:rsidRPr="00575A3E">
        <w:rPr>
          <w:szCs w:val="20"/>
          <w:lang w:val="en-GB"/>
        </w:rPr>
        <w:t xml:space="preserve">with </w:t>
      </w:r>
      <w:r w:rsidR="001231DF" w:rsidRPr="00575A3E">
        <w:rPr>
          <w:szCs w:val="20"/>
          <w:lang w:val="en-GB"/>
        </w:rPr>
        <w:t xml:space="preserve">other </w:t>
      </w:r>
      <w:r w:rsidR="00372DC4" w:rsidRPr="00575A3E">
        <w:rPr>
          <w:szCs w:val="20"/>
          <w:lang w:val="en-GB"/>
        </w:rPr>
        <w:t>modelling frameworks,</w:t>
      </w:r>
      <w:r w:rsidR="001B2FEA" w:rsidRPr="00575A3E">
        <w:rPr>
          <w:szCs w:val="20"/>
          <w:lang w:val="en-GB"/>
        </w:rPr>
        <w:t xml:space="preserve"> such as UrbanSim or TRANUS,</w:t>
      </w:r>
      <w:r w:rsidR="0069599C" w:rsidRPr="00575A3E">
        <w:rPr>
          <w:szCs w:val="20"/>
          <w:lang w:val="en-GB"/>
        </w:rPr>
        <w:t xml:space="preserve"> </w:t>
      </w:r>
      <w:r w:rsidR="00BB00BB" w:rsidRPr="00575A3E">
        <w:rPr>
          <w:szCs w:val="20"/>
          <w:lang w:val="en-GB"/>
        </w:rPr>
        <w:t xml:space="preserve">in order </w:t>
      </w:r>
      <w:r w:rsidR="00372DC4" w:rsidRPr="00575A3E">
        <w:rPr>
          <w:szCs w:val="20"/>
          <w:lang w:val="en-GB"/>
        </w:rPr>
        <w:t>to</w:t>
      </w:r>
      <w:r w:rsidR="00BB00BB" w:rsidRPr="00575A3E">
        <w:rPr>
          <w:szCs w:val="20"/>
          <w:lang w:val="en-GB"/>
        </w:rPr>
        <w:t xml:space="preserve"> be able to</w:t>
      </w:r>
      <w:r w:rsidR="00372DC4" w:rsidRPr="00575A3E">
        <w:rPr>
          <w:szCs w:val="20"/>
          <w:lang w:val="en-GB"/>
        </w:rPr>
        <w:t xml:space="preserve"> examine multi</w:t>
      </w:r>
      <w:r w:rsidR="00985653" w:rsidRPr="00575A3E">
        <w:rPr>
          <w:szCs w:val="20"/>
          <w:lang w:val="en-GB"/>
        </w:rPr>
        <w:t>-</w:t>
      </w:r>
      <w:r w:rsidR="00372DC4" w:rsidRPr="00575A3E">
        <w:rPr>
          <w:szCs w:val="20"/>
          <w:lang w:val="en-GB"/>
        </w:rPr>
        <w:t xml:space="preserve">dimensional research questions </w:t>
      </w:r>
      <w:r w:rsidR="0069599C" w:rsidRPr="00575A3E">
        <w:rPr>
          <w:szCs w:val="20"/>
          <w:lang w:val="en-GB"/>
        </w:rPr>
        <w:t>regarding</w:t>
      </w:r>
      <w:r w:rsidR="00372DC4" w:rsidRPr="00575A3E">
        <w:rPr>
          <w:szCs w:val="20"/>
          <w:lang w:val="en-GB"/>
        </w:rPr>
        <w:t xml:space="preserve"> new </w:t>
      </w:r>
      <w:r w:rsidR="00693617" w:rsidRPr="00575A3E">
        <w:rPr>
          <w:szCs w:val="20"/>
          <w:lang w:val="en-GB"/>
        </w:rPr>
        <w:t xml:space="preserve">vehicle </w:t>
      </w:r>
      <w:r w:rsidR="00372DC4" w:rsidRPr="00575A3E">
        <w:rPr>
          <w:szCs w:val="20"/>
          <w:lang w:val="en-GB"/>
        </w:rPr>
        <w:t xml:space="preserve">technologies. </w:t>
      </w:r>
    </w:p>
    <w:p w14:paraId="52F24DCB" w14:textId="25C5C007" w:rsidR="00F348B4" w:rsidRPr="00575A3E" w:rsidRDefault="00F348B4" w:rsidP="00F70F2B">
      <w:pPr>
        <w:spacing w:line="360" w:lineRule="auto"/>
        <w:ind w:firstLine="709"/>
        <w:rPr>
          <w:szCs w:val="20"/>
          <w:lang w:val="en-GB"/>
        </w:rPr>
      </w:pPr>
    </w:p>
    <w:p w14:paraId="20684560" w14:textId="77777777" w:rsidR="00695B63" w:rsidRPr="00575A3E" w:rsidRDefault="00695B63" w:rsidP="009107F6">
      <w:pPr>
        <w:spacing w:line="360" w:lineRule="auto"/>
        <w:jc w:val="left"/>
        <w:rPr>
          <w:rFonts w:eastAsia="Calibri"/>
          <w:szCs w:val="22"/>
          <w:lang w:val="en-GB"/>
        </w:rPr>
        <w:sectPr w:rsidR="00695B63" w:rsidRPr="00575A3E" w:rsidSect="009714CE">
          <w:footerReference w:type="default" r:id="rId28"/>
          <w:type w:val="continuous"/>
          <w:pgSz w:w="12240" w:h="15840"/>
          <w:pgMar w:top="1440" w:right="1440" w:bottom="1135" w:left="1440" w:header="720" w:footer="0" w:gutter="0"/>
          <w:lnNumType w:countBy="1" w:distance="283"/>
          <w:cols w:space="720"/>
          <w:formProt w:val="0"/>
          <w:docGrid w:linePitch="360"/>
        </w:sectPr>
      </w:pPr>
    </w:p>
    <w:p w14:paraId="477FCB5A" w14:textId="77777777" w:rsidR="00B54B0F" w:rsidRPr="00575A3E" w:rsidRDefault="00B54B0F" w:rsidP="009107F6">
      <w:pPr>
        <w:pStyle w:val="Heading1"/>
        <w:numPr>
          <w:ilvl w:val="0"/>
          <w:numId w:val="0"/>
        </w:numPr>
        <w:spacing w:line="360" w:lineRule="auto"/>
        <w:jc w:val="left"/>
        <w:rPr>
          <w:lang w:val="en-GB" w:eastAsia="en-US"/>
        </w:rPr>
      </w:pPr>
      <w:r w:rsidRPr="00575A3E">
        <w:rPr>
          <w:lang w:val="en-GB" w:eastAsia="en-US"/>
        </w:rPr>
        <w:lastRenderedPageBreak/>
        <w:t>REFERENCES</w:t>
      </w:r>
    </w:p>
    <w:p w14:paraId="408DFEDB" w14:textId="2061AE62" w:rsidR="008361E4" w:rsidRPr="00575A3E" w:rsidRDefault="00B54B0F" w:rsidP="008361E4">
      <w:pPr>
        <w:autoSpaceDE w:val="0"/>
        <w:autoSpaceDN w:val="0"/>
        <w:adjustRightInd w:val="0"/>
        <w:spacing w:line="360" w:lineRule="auto"/>
        <w:ind w:left="480" w:hanging="480"/>
        <w:rPr>
          <w:noProof/>
        </w:rPr>
      </w:pPr>
      <w:r w:rsidRPr="00575A3E">
        <w:rPr>
          <w:rFonts w:eastAsia="Times New Roman"/>
          <w:b/>
          <w:kern w:val="0"/>
          <w:szCs w:val="22"/>
          <w:lang w:val="en-GB" w:eastAsia="en-US"/>
        </w:rPr>
        <w:fldChar w:fldCharType="begin" w:fldLock="1"/>
      </w:r>
      <w:r w:rsidRPr="00575A3E">
        <w:rPr>
          <w:rFonts w:eastAsia="Times New Roman"/>
          <w:b/>
          <w:kern w:val="0"/>
          <w:szCs w:val="22"/>
          <w:lang w:val="en-GB" w:eastAsia="en-US"/>
        </w:rPr>
        <w:instrText xml:space="preserve">ADDIN Mendeley Bibliography CSL_BIBLIOGRAPHY </w:instrText>
      </w:r>
      <w:r w:rsidRPr="00575A3E">
        <w:rPr>
          <w:rFonts w:eastAsia="Times New Roman"/>
          <w:b/>
          <w:kern w:val="0"/>
          <w:szCs w:val="22"/>
          <w:lang w:val="en-GB" w:eastAsia="en-US"/>
        </w:rPr>
        <w:fldChar w:fldCharType="separate"/>
      </w:r>
      <w:r w:rsidR="008361E4" w:rsidRPr="00575A3E">
        <w:rPr>
          <w:noProof/>
        </w:rPr>
        <w:t>Acheampong, R.A., Silva, E., 2015. Land use–transport interaction modeling: A review of the literature and future research directions. J. Transp. Land Use. https://doi.org/10.5198/jtlu.2015.806</w:t>
      </w:r>
    </w:p>
    <w:p w14:paraId="2276FB97" w14:textId="77777777" w:rsidR="008361E4" w:rsidRPr="00575A3E" w:rsidRDefault="008361E4" w:rsidP="008361E4">
      <w:pPr>
        <w:autoSpaceDE w:val="0"/>
        <w:autoSpaceDN w:val="0"/>
        <w:adjustRightInd w:val="0"/>
        <w:spacing w:line="360" w:lineRule="auto"/>
        <w:ind w:left="480" w:hanging="480"/>
        <w:rPr>
          <w:noProof/>
        </w:rPr>
      </w:pPr>
      <w:r w:rsidRPr="00575A3E">
        <w:rPr>
          <w:noProof/>
        </w:rPr>
        <w:t>Ahmed, T., Hyland, M., Sarma, N.J.S., Mitra, S., Ghaffar, A., 2020. Quantifying the employment accessibility benefits of shared automated vehicle mobility services: Consumer welfare approach using logsums. Transp. Res. Part A Policy Pract. 141. https://doi.org/10.1016/j.tra.2020.09.002</w:t>
      </w:r>
    </w:p>
    <w:p w14:paraId="499E9623" w14:textId="77777777" w:rsidR="008361E4" w:rsidRPr="00575A3E" w:rsidRDefault="008361E4" w:rsidP="008361E4">
      <w:pPr>
        <w:autoSpaceDE w:val="0"/>
        <w:autoSpaceDN w:val="0"/>
        <w:adjustRightInd w:val="0"/>
        <w:spacing w:line="360" w:lineRule="auto"/>
        <w:ind w:left="480" w:hanging="480"/>
        <w:rPr>
          <w:noProof/>
        </w:rPr>
      </w:pPr>
      <w:r w:rsidRPr="00575A3E">
        <w:rPr>
          <w:noProof/>
        </w:rPr>
        <w:t>Association of British Insurers, 2019. UK Insurance and Long-Term Savings: The state of the market 15p.</w:t>
      </w:r>
    </w:p>
    <w:p w14:paraId="63F2A517" w14:textId="77777777" w:rsidR="008361E4" w:rsidRPr="00575A3E" w:rsidRDefault="008361E4" w:rsidP="008361E4">
      <w:pPr>
        <w:autoSpaceDE w:val="0"/>
        <w:autoSpaceDN w:val="0"/>
        <w:adjustRightInd w:val="0"/>
        <w:spacing w:line="360" w:lineRule="auto"/>
        <w:ind w:left="480" w:hanging="480"/>
        <w:rPr>
          <w:noProof/>
        </w:rPr>
      </w:pPr>
      <w:r w:rsidRPr="00575A3E">
        <w:rPr>
          <w:noProof/>
        </w:rPr>
        <w:t>Atkins, 2016. Research on the Impacts of Connected and Autonomouse Vehicles (CAVs) on Traffic Flow 58.</w:t>
      </w:r>
    </w:p>
    <w:p w14:paraId="6EB43E2B" w14:textId="77777777" w:rsidR="008361E4" w:rsidRPr="00575A3E" w:rsidRDefault="008361E4" w:rsidP="008361E4">
      <w:pPr>
        <w:autoSpaceDE w:val="0"/>
        <w:autoSpaceDN w:val="0"/>
        <w:adjustRightInd w:val="0"/>
        <w:spacing w:line="360" w:lineRule="auto"/>
        <w:ind w:left="480" w:hanging="480"/>
        <w:rPr>
          <w:noProof/>
        </w:rPr>
      </w:pPr>
      <w:r w:rsidRPr="00575A3E">
        <w:rPr>
          <w:noProof/>
        </w:rPr>
        <w:t>Baek, K.H., Kim, G.P., Nam, D.H., Kim, J.S., Jang, C.H., Suh, M.W., 2021. Analysis of Regional Characteristics of Total Cost of Ownership in California, the UK, and Republic of Korea. Int. J. Automot. Technol. https://doi.org/10.1007/s12239-021-0118-z</w:t>
      </w:r>
    </w:p>
    <w:p w14:paraId="13C1D728" w14:textId="77777777" w:rsidR="008361E4" w:rsidRPr="00575A3E" w:rsidRDefault="008361E4" w:rsidP="008361E4">
      <w:pPr>
        <w:autoSpaceDE w:val="0"/>
        <w:autoSpaceDN w:val="0"/>
        <w:adjustRightInd w:val="0"/>
        <w:spacing w:line="360" w:lineRule="auto"/>
        <w:ind w:left="480" w:hanging="480"/>
        <w:rPr>
          <w:noProof/>
        </w:rPr>
      </w:pPr>
      <w:r w:rsidRPr="00575A3E">
        <w:rPr>
          <w:noProof/>
        </w:rPr>
        <w:t>Bansal, P., Kockelman, K.M., 2017. Forecasting Americans’ long-term adoption of connected and autonomous vehicle technologies. Transp. Res. Part A Policy Pract. 95, 49–63. https://doi.org/10.1016/j.tra.2016.10.013</w:t>
      </w:r>
    </w:p>
    <w:p w14:paraId="0E67E3CA" w14:textId="77777777" w:rsidR="008361E4" w:rsidRPr="00575A3E" w:rsidRDefault="008361E4" w:rsidP="008361E4">
      <w:pPr>
        <w:autoSpaceDE w:val="0"/>
        <w:autoSpaceDN w:val="0"/>
        <w:adjustRightInd w:val="0"/>
        <w:spacing w:line="360" w:lineRule="auto"/>
        <w:ind w:left="480" w:hanging="480"/>
        <w:rPr>
          <w:noProof/>
        </w:rPr>
      </w:pPr>
      <w:r w:rsidRPr="00575A3E">
        <w:rPr>
          <w:noProof/>
        </w:rPr>
        <w:t>Bates, J., Oosterhaven, J., 1999. Review of Land-Use / Transport Interaction Models, Department of the Environment, Transport and the Regions.</w:t>
      </w:r>
    </w:p>
    <w:p w14:paraId="429A7015" w14:textId="77777777" w:rsidR="008361E4" w:rsidRPr="00575A3E" w:rsidRDefault="008361E4" w:rsidP="008361E4">
      <w:pPr>
        <w:autoSpaceDE w:val="0"/>
        <w:autoSpaceDN w:val="0"/>
        <w:adjustRightInd w:val="0"/>
        <w:spacing w:line="360" w:lineRule="auto"/>
        <w:ind w:left="480" w:hanging="480"/>
        <w:rPr>
          <w:noProof/>
        </w:rPr>
      </w:pPr>
      <w:r w:rsidRPr="00575A3E">
        <w:rPr>
          <w:noProof/>
        </w:rPr>
        <w:t>Becker, Axhausen, K.W., 2018. Predicting the use of automated vehicles for Zurich, Switzerland.</w:t>
      </w:r>
    </w:p>
    <w:p w14:paraId="39CABC35" w14:textId="77777777" w:rsidR="008361E4" w:rsidRPr="00575A3E" w:rsidRDefault="008361E4" w:rsidP="008361E4">
      <w:pPr>
        <w:autoSpaceDE w:val="0"/>
        <w:autoSpaceDN w:val="0"/>
        <w:adjustRightInd w:val="0"/>
        <w:spacing w:line="360" w:lineRule="auto"/>
        <w:ind w:left="480" w:hanging="480"/>
        <w:rPr>
          <w:noProof/>
        </w:rPr>
      </w:pPr>
      <w:r w:rsidRPr="00575A3E">
        <w:rPr>
          <w:noProof/>
        </w:rPr>
        <w:t>Bernardin, V.L., Mansfield, T., Swanson, B., Sadrsadat, H., Bindra, S., 2019. Scenario Modeling of Autonomous Vehicles with Trip-Based Models. Transp. Res. Rec. https://doi.org/10.1177/0361198119846478</w:t>
      </w:r>
    </w:p>
    <w:p w14:paraId="31A30A48" w14:textId="77777777" w:rsidR="008361E4" w:rsidRPr="00575A3E" w:rsidRDefault="008361E4" w:rsidP="008361E4">
      <w:pPr>
        <w:autoSpaceDE w:val="0"/>
        <w:autoSpaceDN w:val="0"/>
        <w:adjustRightInd w:val="0"/>
        <w:spacing w:line="360" w:lineRule="auto"/>
        <w:ind w:left="480" w:hanging="480"/>
        <w:rPr>
          <w:noProof/>
        </w:rPr>
      </w:pPr>
      <w:r w:rsidRPr="00575A3E">
        <w:rPr>
          <w:noProof/>
        </w:rPr>
        <w:t>Birmingham City Council, 2018. Birmingham Demographic Brief /2018 Projection 1–11.</w:t>
      </w:r>
    </w:p>
    <w:p w14:paraId="56CE3B81" w14:textId="77777777" w:rsidR="008361E4" w:rsidRPr="00575A3E" w:rsidRDefault="008361E4" w:rsidP="008361E4">
      <w:pPr>
        <w:autoSpaceDE w:val="0"/>
        <w:autoSpaceDN w:val="0"/>
        <w:adjustRightInd w:val="0"/>
        <w:spacing w:line="360" w:lineRule="auto"/>
        <w:ind w:left="480" w:hanging="480"/>
        <w:rPr>
          <w:noProof/>
        </w:rPr>
      </w:pPr>
      <w:r w:rsidRPr="00575A3E">
        <w:rPr>
          <w:noProof/>
        </w:rPr>
        <w:t>Brand, S., Hill, S., Munday, M., 2000. Assessing the impacts of foreign manufacturing on regional economies: The cases of Wales, Scotland and the West Midlands. Reg. Stud. https://doi.org/10.1080/00343400050078123</w:t>
      </w:r>
    </w:p>
    <w:p w14:paraId="40CDAB6A" w14:textId="77777777" w:rsidR="008361E4" w:rsidRPr="00575A3E" w:rsidRDefault="008361E4" w:rsidP="008361E4">
      <w:pPr>
        <w:autoSpaceDE w:val="0"/>
        <w:autoSpaceDN w:val="0"/>
        <w:adjustRightInd w:val="0"/>
        <w:spacing w:line="360" w:lineRule="auto"/>
        <w:ind w:left="480" w:hanging="480"/>
        <w:rPr>
          <w:noProof/>
        </w:rPr>
      </w:pPr>
      <w:r w:rsidRPr="00575A3E">
        <w:rPr>
          <w:noProof/>
        </w:rPr>
        <w:t>Bridgelall, R., Stubbing, E., 2021. Forecasting the effects of autonomous vehicles on land use. Technol. Forecast. Soc. Change 163. https://doi.org/10.1016/j.techfore.2020.120444</w:t>
      </w:r>
    </w:p>
    <w:p w14:paraId="2D35DC66" w14:textId="77777777" w:rsidR="008361E4" w:rsidRPr="00575A3E" w:rsidRDefault="008361E4" w:rsidP="008361E4">
      <w:pPr>
        <w:autoSpaceDE w:val="0"/>
        <w:autoSpaceDN w:val="0"/>
        <w:adjustRightInd w:val="0"/>
        <w:spacing w:line="360" w:lineRule="auto"/>
        <w:ind w:left="480" w:hanging="480"/>
        <w:rPr>
          <w:noProof/>
        </w:rPr>
      </w:pPr>
      <w:r w:rsidRPr="00575A3E">
        <w:rPr>
          <w:noProof/>
        </w:rPr>
        <w:t>Brost, W., Funke, T., Lembach, M., 2018. Spatial analysis of the public transport accessibility for modelling the modal split in the context of site identification for charging infrastructure. Infrastructures. https://doi.org/10.3390/infrastructures3030021</w:t>
      </w:r>
    </w:p>
    <w:p w14:paraId="0654F532" w14:textId="77777777" w:rsidR="008361E4" w:rsidRPr="00575A3E" w:rsidRDefault="008361E4" w:rsidP="008361E4">
      <w:pPr>
        <w:autoSpaceDE w:val="0"/>
        <w:autoSpaceDN w:val="0"/>
        <w:adjustRightInd w:val="0"/>
        <w:spacing w:line="360" w:lineRule="auto"/>
        <w:ind w:left="480" w:hanging="480"/>
        <w:rPr>
          <w:noProof/>
        </w:rPr>
      </w:pPr>
      <w:r w:rsidRPr="00575A3E">
        <w:rPr>
          <w:noProof/>
        </w:rPr>
        <w:t>California State Transportation Agency, 2021. California Transportation Plan (CTP) 2050. Sacramento,ΨΑ.</w:t>
      </w:r>
    </w:p>
    <w:p w14:paraId="044F453A" w14:textId="77777777" w:rsidR="008361E4" w:rsidRPr="00575A3E" w:rsidRDefault="008361E4" w:rsidP="008361E4">
      <w:pPr>
        <w:autoSpaceDE w:val="0"/>
        <w:autoSpaceDN w:val="0"/>
        <w:adjustRightInd w:val="0"/>
        <w:spacing w:line="360" w:lineRule="auto"/>
        <w:ind w:left="480" w:hanging="480"/>
        <w:rPr>
          <w:noProof/>
        </w:rPr>
      </w:pPr>
      <w:r w:rsidRPr="00575A3E">
        <w:rPr>
          <w:noProof/>
        </w:rPr>
        <w:t xml:space="preserve">Calvillo, C.F., Turner, K., 2020. Analysing the impacts of a large-scale EV rollout in the UK – How can we better inform environmental and climate policy? Energy Strateg. Rev. 30. </w:t>
      </w:r>
      <w:r w:rsidRPr="00575A3E">
        <w:rPr>
          <w:noProof/>
        </w:rPr>
        <w:lastRenderedPageBreak/>
        <w:t>https://doi.org/10.1016/j.esr.2020.100497</w:t>
      </w:r>
    </w:p>
    <w:p w14:paraId="701F6F2D" w14:textId="77777777" w:rsidR="008361E4" w:rsidRPr="00575A3E" w:rsidRDefault="008361E4" w:rsidP="008361E4">
      <w:pPr>
        <w:autoSpaceDE w:val="0"/>
        <w:autoSpaceDN w:val="0"/>
        <w:adjustRightInd w:val="0"/>
        <w:spacing w:line="360" w:lineRule="auto"/>
        <w:ind w:left="480" w:hanging="480"/>
        <w:rPr>
          <w:noProof/>
        </w:rPr>
      </w:pPr>
      <w:r w:rsidRPr="00575A3E">
        <w:rPr>
          <w:noProof/>
        </w:rPr>
        <w:t>Clement-Nyns, K., Haesen, E., Driesen, J., 2010. The impact of Charging plug-in hybrid electric vehicles on a residential distribution grid. IEEE Trans. Power Syst. 25, 371–380. https://doi.org/10.1109/TPWRS.2009.2036481</w:t>
      </w:r>
    </w:p>
    <w:p w14:paraId="00F8F887" w14:textId="77777777" w:rsidR="008361E4" w:rsidRPr="00575A3E" w:rsidRDefault="008361E4" w:rsidP="008361E4">
      <w:pPr>
        <w:autoSpaceDE w:val="0"/>
        <w:autoSpaceDN w:val="0"/>
        <w:adjustRightInd w:val="0"/>
        <w:spacing w:line="360" w:lineRule="auto"/>
        <w:ind w:left="480" w:hanging="480"/>
        <w:rPr>
          <w:noProof/>
        </w:rPr>
      </w:pPr>
      <w:r w:rsidRPr="00575A3E">
        <w:rPr>
          <w:noProof/>
        </w:rPr>
        <w:t>Cohen, T., Cavoli, C., 2019. Automated vehicles: exploring possible consequences of government (non)intervention for congestion and accessibility. Transp. Rev. 39, 129–151. https://doi.org/10.1080/01441647.2018.1524401</w:t>
      </w:r>
    </w:p>
    <w:p w14:paraId="6A630B29" w14:textId="77777777" w:rsidR="008361E4" w:rsidRPr="00575A3E" w:rsidRDefault="008361E4" w:rsidP="008361E4">
      <w:pPr>
        <w:autoSpaceDE w:val="0"/>
        <w:autoSpaceDN w:val="0"/>
        <w:adjustRightInd w:val="0"/>
        <w:spacing w:line="360" w:lineRule="auto"/>
        <w:ind w:left="480" w:hanging="480"/>
        <w:rPr>
          <w:noProof/>
        </w:rPr>
      </w:pPr>
      <w:r w:rsidRPr="00575A3E">
        <w:rPr>
          <w:noProof/>
        </w:rPr>
        <w:t>Coppola, P., Silvestri, F., 2019. Future mobility and land use scenarios: Impact assessment with an urban case study. https://doi.org/10.1016/j.trpro.2019.12.006</w:t>
      </w:r>
    </w:p>
    <w:p w14:paraId="74B025F8" w14:textId="77777777" w:rsidR="008361E4" w:rsidRPr="00575A3E" w:rsidRDefault="008361E4" w:rsidP="008361E4">
      <w:pPr>
        <w:autoSpaceDE w:val="0"/>
        <w:autoSpaceDN w:val="0"/>
        <w:adjustRightInd w:val="0"/>
        <w:spacing w:line="360" w:lineRule="auto"/>
        <w:ind w:left="480" w:hanging="480"/>
        <w:rPr>
          <w:noProof/>
        </w:rPr>
      </w:pPr>
      <w:r w:rsidRPr="00575A3E">
        <w:rPr>
          <w:noProof/>
        </w:rPr>
        <w:t>Cordera, R., Nogués, S., González-González, E., Moura, J.L., 2021. Modeling the impacts of autonomous vehicles on land use using a luti model. Sustain. 13. https://doi.org/10.3390/su13041608</w:t>
      </w:r>
    </w:p>
    <w:p w14:paraId="24AD8CFD" w14:textId="77777777" w:rsidR="008361E4" w:rsidRPr="00575A3E" w:rsidRDefault="008361E4" w:rsidP="008361E4">
      <w:pPr>
        <w:autoSpaceDE w:val="0"/>
        <w:autoSpaceDN w:val="0"/>
        <w:adjustRightInd w:val="0"/>
        <w:spacing w:line="360" w:lineRule="auto"/>
        <w:ind w:left="480" w:hanging="480"/>
        <w:rPr>
          <w:noProof/>
        </w:rPr>
      </w:pPr>
      <w:r w:rsidRPr="00575A3E">
        <w:rPr>
          <w:noProof/>
        </w:rPr>
        <w:t>Craig Benjamin Rafter, 2020. Integrating Connected Vehicles into Urban Traffic Management Systems. UNIVERSITY OF SOUTHAMPTON.</w:t>
      </w:r>
    </w:p>
    <w:p w14:paraId="31067CFC" w14:textId="77777777" w:rsidR="008361E4" w:rsidRPr="00575A3E" w:rsidRDefault="008361E4" w:rsidP="008361E4">
      <w:pPr>
        <w:autoSpaceDE w:val="0"/>
        <w:autoSpaceDN w:val="0"/>
        <w:adjustRightInd w:val="0"/>
        <w:spacing w:line="360" w:lineRule="auto"/>
        <w:ind w:left="480" w:hanging="480"/>
        <w:rPr>
          <w:noProof/>
        </w:rPr>
      </w:pPr>
      <w:r w:rsidRPr="00575A3E">
        <w:rPr>
          <w:noProof/>
        </w:rPr>
        <w:t>data.gov.uk, 2020a. Low-emission vehicles eligible for a plug-in grant.</w:t>
      </w:r>
    </w:p>
    <w:p w14:paraId="60F5966D" w14:textId="77777777" w:rsidR="008361E4" w:rsidRPr="00575A3E" w:rsidRDefault="008361E4" w:rsidP="008361E4">
      <w:pPr>
        <w:autoSpaceDE w:val="0"/>
        <w:autoSpaceDN w:val="0"/>
        <w:adjustRightInd w:val="0"/>
        <w:spacing w:line="360" w:lineRule="auto"/>
        <w:ind w:left="480" w:hanging="480"/>
        <w:rPr>
          <w:noProof/>
        </w:rPr>
      </w:pPr>
      <w:r w:rsidRPr="00575A3E">
        <w:rPr>
          <w:noProof/>
        </w:rPr>
        <w:t>data.gov.uk, 2020b. New registrations [WWW Document]. URL https://www.gov.uk/vehicle-registration/new-registrations (accessed 11.22.20).</w:t>
      </w:r>
    </w:p>
    <w:p w14:paraId="4898CD5B" w14:textId="77777777" w:rsidR="008361E4" w:rsidRPr="00575A3E" w:rsidRDefault="008361E4" w:rsidP="008361E4">
      <w:pPr>
        <w:autoSpaceDE w:val="0"/>
        <w:autoSpaceDN w:val="0"/>
        <w:adjustRightInd w:val="0"/>
        <w:spacing w:line="360" w:lineRule="auto"/>
        <w:ind w:left="480" w:hanging="480"/>
        <w:rPr>
          <w:noProof/>
        </w:rPr>
      </w:pPr>
      <w:r w:rsidRPr="00575A3E">
        <w:rPr>
          <w:noProof/>
        </w:rPr>
        <w:t>data.gov.uk, 2020c. Getting an MOT 1–10.</w:t>
      </w:r>
    </w:p>
    <w:p w14:paraId="290AFC45" w14:textId="77777777" w:rsidR="008361E4" w:rsidRPr="00575A3E" w:rsidRDefault="008361E4" w:rsidP="008361E4">
      <w:pPr>
        <w:autoSpaceDE w:val="0"/>
        <w:autoSpaceDN w:val="0"/>
        <w:adjustRightInd w:val="0"/>
        <w:spacing w:line="360" w:lineRule="auto"/>
        <w:ind w:left="480" w:hanging="480"/>
        <w:rPr>
          <w:noProof/>
        </w:rPr>
      </w:pPr>
      <w:r w:rsidRPr="00575A3E">
        <w:rPr>
          <w:noProof/>
        </w:rPr>
        <w:t>data.gov.uk, 2020d. Vehicle tax rates 1–8.</w:t>
      </w:r>
    </w:p>
    <w:p w14:paraId="257C9F3C" w14:textId="77777777" w:rsidR="008361E4" w:rsidRPr="00575A3E" w:rsidRDefault="008361E4" w:rsidP="008361E4">
      <w:pPr>
        <w:autoSpaceDE w:val="0"/>
        <w:autoSpaceDN w:val="0"/>
        <w:adjustRightInd w:val="0"/>
        <w:spacing w:line="360" w:lineRule="auto"/>
        <w:ind w:left="480" w:hanging="480"/>
        <w:rPr>
          <w:noProof/>
        </w:rPr>
      </w:pPr>
      <w:r w:rsidRPr="00575A3E">
        <w:rPr>
          <w:noProof/>
        </w:rPr>
        <w:t>David Simmonds Consultancy Ltd, 2017. DELTA User Reference Manual.</w:t>
      </w:r>
    </w:p>
    <w:p w14:paraId="38F5952B" w14:textId="77777777" w:rsidR="008361E4" w:rsidRPr="00575A3E" w:rsidRDefault="008361E4" w:rsidP="008361E4">
      <w:pPr>
        <w:autoSpaceDE w:val="0"/>
        <w:autoSpaceDN w:val="0"/>
        <w:adjustRightInd w:val="0"/>
        <w:spacing w:line="360" w:lineRule="auto"/>
        <w:ind w:left="480" w:hanging="480"/>
        <w:rPr>
          <w:noProof/>
        </w:rPr>
      </w:pPr>
      <w:r w:rsidRPr="00575A3E">
        <w:rPr>
          <w:noProof/>
        </w:rPr>
        <w:t>Davidson, P., Spinoulas, A., 2015. AUTONOMOUS VEHICLES-WHAT COULD THIS MEAN FOR THE FUTURE OF TRANSPORT?, in: Australian Institute of Traffic Planning and Management (AITPM) National Conference.</w:t>
      </w:r>
    </w:p>
    <w:p w14:paraId="40685A54" w14:textId="77777777" w:rsidR="008361E4" w:rsidRPr="00575A3E" w:rsidRDefault="008361E4" w:rsidP="008361E4">
      <w:pPr>
        <w:autoSpaceDE w:val="0"/>
        <w:autoSpaceDN w:val="0"/>
        <w:adjustRightInd w:val="0"/>
        <w:spacing w:line="360" w:lineRule="auto"/>
        <w:ind w:left="480" w:hanging="480"/>
        <w:rPr>
          <w:noProof/>
        </w:rPr>
      </w:pPr>
      <w:r w:rsidRPr="00575A3E">
        <w:rPr>
          <w:noProof/>
        </w:rPr>
        <w:t>de la Barra, T., 1989. Integrated Land Use and Transport Modelling: Decision chains and hierarchies. Cambridge Univ. Press 194. https://doi.org/doi.org/10.1017/CBO9780511552359</w:t>
      </w:r>
    </w:p>
    <w:p w14:paraId="7E5E1BD5" w14:textId="77777777" w:rsidR="008361E4" w:rsidRPr="00575A3E" w:rsidRDefault="008361E4" w:rsidP="008361E4">
      <w:pPr>
        <w:autoSpaceDE w:val="0"/>
        <w:autoSpaceDN w:val="0"/>
        <w:adjustRightInd w:val="0"/>
        <w:spacing w:line="360" w:lineRule="auto"/>
        <w:ind w:left="480" w:hanging="480"/>
        <w:rPr>
          <w:noProof/>
        </w:rPr>
      </w:pPr>
      <w:r w:rsidRPr="00575A3E">
        <w:rPr>
          <w:noProof/>
        </w:rPr>
        <w:t>de Looff, E., Correia Homem de Almeida, G., van Cranenburgh, S., Snelder, M., van Arem, B., 2018. Potential changes in value of travel time as a result of vehicle automation: a casestudy in the Netherlands. TRB 97th Annu. Meet. Compend. Pap.</w:t>
      </w:r>
    </w:p>
    <w:p w14:paraId="7B5EB9FA" w14:textId="77777777" w:rsidR="008361E4" w:rsidRPr="00575A3E" w:rsidRDefault="008361E4" w:rsidP="008361E4">
      <w:pPr>
        <w:autoSpaceDE w:val="0"/>
        <w:autoSpaceDN w:val="0"/>
        <w:adjustRightInd w:val="0"/>
        <w:spacing w:line="360" w:lineRule="auto"/>
        <w:ind w:left="480" w:hanging="480"/>
        <w:rPr>
          <w:noProof/>
        </w:rPr>
      </w:pPr>
      <w:r w:rsidRPr="00575A3E">
        <w:rPr>
          <w:noProof/>
        </w:rPr>
        <w:t>De Ridder, K., Lefebre, F., Adriaensen, S., Arnold, U., Beckroege, W., Bronner, C., Damsgaard, O., Dostal, I., Dufek, J., Hirsch, J., IntPanis, L., Kotek, Z., Ramadier, T., Thierry, A., Vermoote, S., Wania, A., Weber, C., 2008. Simulating the impact of urban sprawl on air quality and population exposure in the German Ruhr area. Part I: Reproducing the base state. Atmos. Environ. 42. https://doi.org/10.1016/j.atmosenv.2008.06.045</w:t>
      </w:r>
    </w:p>
    <w:p w14:paraId="7C11B8E8" w14:textId="77777777" w:rsidR="008361E4" w:rsidRPr="00575A3E" w:rsidRDefault="008361E4" w:rsidP="008361E4">
      <w:pPr>
        <w:autoSpaceDE w:val="0"/>
        <w:autoSpaceDN w:val="0"/>
        <w:adjustRightInd w:val="0"/>
        <w:spacing w:line="360" w:lineRule="auto"/>
        <w:ind w:left="480" w:hanging="480"/>
        <w:rPr>
          <w:noProof/>
        </w:rPr>
      </w:pPr>
      <w:r w:rsidRPr="00575A3E">
        <w:rPr>
          <w:noProof/>
        </w:rPr>
        <w:t>DfT, 2019. WebTAG: TAG data book, November 2019 [WWW Document]. Transp. Model. Apprais.</w:t>
      </w:r>
    </w:p>
    <w:p w14:paraId="4EEF9DAF" w14:textId="77777777" w:rsidR="008361E4" w:rsidRPr="00575A3E" w:rsidRDefault="008361E4" w:rsidP="008361E4">
      <w:pPr>
        <w:autoSpaceDE w:val="0"/>
        <w:autoSpaceDN w:val="0"/>
        <w:adjustRightInd w:val="0"/>
        <w:spacing w:line="360" w:lineRule="auto"/>
        <w:ind w:left="480" w:hanging="480"/>
        <w:rPr>
          <w:noProof/>
        </w:rPr>
      </w:pPr>
      <w:r w:rsidRPr="00575A3E">
        <w:rPr>
          <w:noProof/>
        </w:rPr>
        <w:t xml:space="preserve">Dias, F.F., Nair, G.S., Ruíz-Juri, N., Bhat, C.R., Mirzaei, A., 2020. Incorporating Autonomous Vehicles in </w:t>
      </w:r>
      <w:r w:rsidRPr="00575A3E">
        <w:rPr>
          <w:noProof/>
        </w:rPr>
        <w:lastRenderedPageBreak/>
        <w:t>the Traditional Four-Step Model. Transp. Res. Rec. J. Transp. Res. Board. https://doi.org/10.1177/0361198120922544</w:t>
      </w:r>
    </w:p>
    <w:p w14:paraId="598110B9" w14:textId="77777777" w:rsidR="008361E4" w:rsidRPr="00575A3E" w:rsidRDefault="008361E4" w:rsidP="008361E4">
      <w:pPr>
        <w:autoSpaceDE w:val="0"/>
        <w:autoSpaceDN w:val="0"/>
        <w:adjustRightInd w:val="0"/>
        <w:spacing w:line="360" w:lineRule="auto"/>
        <w:ind w:left="480" w:hanging="480"/>
        <w:rPr>
          <w:noProof/>
        </w:rPr>
      </w:pPr>
      <w:r w:rsidRPr="00575A3E">
        <w:rPr>
          <w:noProof/>
        </w:rPr>
        <w:t>DSC, 2019. West Midlands Dynamic Economic Impact Model WMDEIM. Cambridge, UK.</w:t>
      </w:r>
    </w:p>
    <w:p w14:paraId="476B745B" w14:textId="77777777" w:rsidR="008361E4" w:rsidRPr="00575A3E" w:rsidRDefault="008361E4" w:rsidP="008361E4">
      <w:pPr>
        <w:autoSpaceDE w:val="0"/>
        <w:autoSpaceDN w:val="0"/>
        <w:adjustRightInd w:val="0"/>
        <w:spacing w:line="360" w:lineRule="auto"/>
        <w:ind w:left="480" w:hanging="480"/>
        <w:rPr>
          <w:noProof/>
        </w:rPr>
      </w:pPr>
      <w:r w:rsidRPr="00575A3E">
        <w:rPr>
          <w:noProof/>
        </w:rPr>
        <w:t>Emberger, G., Pfaffenbichler, P., 2020. A quantitative analysis of potential impacts of automated vehicles in Austria using a dynamic integrated land use and transport interaction model. Transp. Policy. https://doi.org/10.1016/j.tranpol.2020.06.014</w:t>
      </w:r>
    </w:p>
    <w:p w14:paraId="005B9729" w14:textId="77777777" w:rsidR="008361E4" w:rsidRPr="00575A3E" w:rsidRDefault="008361E4" w:rsidP="008361E4">
      <w:pPr>
        <w:autoSpaceDE w:val="0"/>
        <w:autoSpaceDN w:val="0"/>
        <w:adjustRightInd w:val="0"/>
        <w:spacing w:line="360" w:lineRule="auto"/>
        <w:ind w:left="480" w:hanging="480"/>
        <w:rPr>
          <w:noProof/>
        </w:rPr>
      </w:pPr>
      <w:r w:rsidRPr="00575A3E">
        <w:rPr>
          <w:noProof/>
        </w:rPr>
        <w:t>Feldman, O., Simmonds, D., Zachariadis, V., Mackett, R., Bosredon, M., Richmond, E., Nicoll, J., 2007. SIMDELTA -A MICROSIMULATION APPROACH TO HOUSEHOLD LOCATION MODELLING. Pap. Present. to World Conf. Transp. Res. 2007, June 24-28, Univ. California, Berkeley. 1–22.</w:t>
      </w:r>
    </w:p>
    <w:p w14:paraId="54C2BA0A" w14:textId="77777777" w:rsidR="008361E4" w:rsidRPr="00575A3E" w:rsidRDefault="008361E4" w:rsidP="008361E4">
      <w:pPr>
        <w:autoSpaceDE w:val="0"/>
        <w:autoSpaceDN w:val="0"/>
        <w:adjustRightInd w:val="0"/>
        <w:spacing w:line="360" w:lineRule="auto"/>
        <w:ind w:left="480" w:hanging="480"/>
        <w:rPr>
          <w:noProof/>
        </w:rPr>
      </w:pPr>
      <w:r w:rsidRPr="00575A3E">
        <w:rPr>
          <w:noProof/>
        </w:rPr>
        <w:t>Ford, 2020. Ford Fiesta - Customer Ordering Guide and Price List 1–18.</w:t>
      </w:r>
    </w:p>
    <w:p w14:paraId="4D67E9AD" w14:textId="77777777" w:rsidR="008361E4" w:rsidRPr="00575A3E" w:rsidRDefault="008361E4" w:rsidP="008361E4">
      <w:pPr>
        <w:autoSpaceDE w:val="0"/>
        <w:autoSpaceDN w:val="0"/>
        <w:adjustRightInd w:val="0"/>
        <w:spacing w:line="360" w:lineRule="auto"/>
        <w:ind w:left="480" w:hanging="480"/>
        <w:rPr>
          <w:noProof/>
        </w:rPr>
      </w:pPr>
      <w:r w:rsidRPr="00575A3E">
        <w:rPr>
          <w:noProof/>
        </w:rPr>
        <w:t>Fotheringham, A.S., 2001. Spatial Interaction Models. Int. Encycl. Soc. Behav. Sci. 14794–14800. https://doi.org/10.1016/b0-08-043076-7/02519-5</w:t>
      </w:r>
    </w:p>
    <w:p w14:paraId="267C641F" w14:textId="77777777" w:rsidR="008361E4" w:rsidRPr="00575A3E" w:rsidRDefault="008361E4" w:rsidP="008361E4">
      <w:pPr>
        <w:autoSpaceDE w:val="0"/>
        <w:autoSpaceDN w:val="0"/>
        <w:adjustRightInd w:val="0"/>
        <w:spacing w:line="360" w:lineRule="auto"/>
        <w:ind w:left="480" w:hanging="480"/>
        <w:rPr>
          <w:noProof/>
        </w:rPr>
      </w:pPr>
      <w:r w:rsidRPr="00575A3E">
        <w:rPr>
          <w:noProof/>
        </w:rPr>
        <w:t>Gelauff, G., Ossokina, I., Teulings, C., 2019. Spatial and welfare effects of automated driving: Will cities grow, decline or both? Transp. Res. Part A Policy Pract. https://doi.org/10.1016/j.tra.2019.01.013</w:t>
      </w:r>
    </w:p>
    <w:p w14:paraId="0D19BDAD" w14:textId="77777777" w:rsidR="008361E4" w:rsidRPr="00575A3E" w:rsidRDefault="008361E4" w:rsidP="008361E4">
      <w:pPr>
        <w:autoSpaceDE w:val="0"/>
        <w:autoSpaceDN w:val="0"/>
        <w:adjustRightInd w:val="0"/>
        <w:spacing w:line="360" w:lineRule="auto"/>
        <w:ind w:left="480" w:hanging="480"/>
        <w:rPr>
          <w:noProof/>
        </w:rPr>
      </w:pPr>
      <w:r w:rsidRPr="00575A3E">
        <w:rPr>
          <w:noProof/>
        </w:rPr>
        <w:t>Geurs, K.T., van Wee, B., 2004. Land-use/transport Interaction Models as Tools for Sustainability Impact Assessment of Transport Investments: Review and Research Perspectives. Eur. J. Transp. Infrastruct. Res.</w:t>
      </w:r>
    </w:p>
    <w:p w14:paraId="2F8E431B" w14:textId="77777777" w:rsidR="008361E4" w:rsidRPr="00575A3E" w:rsidRDefault="008361E4" w:rsidP="008361E4">
      <w:pPr>
        <w:autoSpaceDE w:val="0"/>
        <w:autoSpaceDN w:val="0"/>
        <w:adjustRightInd w:val="0"/>
        <w:spacing w:line="360" w:lineRule="auto"/>
        <w:ind w:left="480" w:hanging="480"/>
        <w:rPr>
          <w:noProof/>
        </w:rPr>
      </w:pPr>
      <w:r w:rsidRPr="00575A3E">
        <w:rPr>
          <w:noProof/>
        </w:rPr>
        <w:t>Gouge, V., Sarri, P., Kaparias, I., 2022. The uptake of electrification and its transport and land use impacts; The case of Southampton (UK), in: HEART | European Association for Research in Transportation 2022.</w:t>
      </w:r>
    </w:p>
    <w:p w14:paraId="7FB1318E" w14:textId="77777777" w:rsidR="008361E4" w:rsidRPr="00575A3E" w:rsidRDefault="008361E4" w:rsidP="008361E4">
      <w:pPr>
        <w:autoSpaceDE w:val="0"/>
        <w:autoSpaceDN w:val="0"/>
        <w:adjustRightInd w:val="0"/>
        <w:spacing w:line="360" w:lineRule="auto"/>
        <w:ind w:left="480" w:hanging="480"/>
        <w:rPr>
          <w:noProof/>
        </w:rPr>
      </w:pPr>
      <w:r w:rsidRPr="00575A3E">
        <w:rPr>
          <w:noProof/>
        </w:rPr>
        <w:t>Guler, D., Yomralioglu, T., 2020. Suitable location selection for the electric vehicle fast charging station with AHP and fuzzy AHP methods using GIS. Ann. GIS. https://doi.org/10.1080/19475683.2020.1737226</w:t>
      </w:r>
    </w:p>
    <w:p w14:paraId="4BC7111E" w14:textId="77777777" w:rsidR="008361E4" w:rsidRPr="00575A3E" w:rsidRDefault="008361E4" w:rsidP="008361E4">
      <w:pPr>
        <w:autoSpaceDE w:val="0"/>
        <w:autoSpaceDN w:val="0"/>
        <w:adjustRightInd w:val="0"/>
        <w:spacing w:line="360" w:lineRule="auto"/>
        <w:ind w:left="480" w:hanging="480"/>
        <w:rPr>
          <w:noProof/>
        </w:rPr>
      </w:pPr>
      <w:r w:rsidRPr="00575A3E">
        <w:rPr>
          <w:noProof/>
        </w:rPr>
        <w:t>Harney, D., 2019. Potential impacts of electric vehicles, maas and automated vehicles in australia. EUROPEAN TRANSPORT CONFERENCE, pp. 1–35.</w:t>
      </w:r>
    </w:p>
    <w:p w14:paraId="2EE8818B" w14:textId="77777777" w:rsidR="008361E4" w:rsidRPr="00575A3E" w:rsidRDefault="008361E4" w:rsidP="008361E4">
      <w:pPr>
        <w:autoSpaceDE w:val="0"/>
        <w:autoSpaceDN w:val="0"/>
        <w:adjustRightInd w:val="0"/>
        <w:spacing w:line="360" w:lineRule="auto"/>
        <w:ind w:left="480" w:hanging="480"/>
        <w:rPr>
          <w:noProof/>
        </w:rPr>
      </w:pPr>
      <w:r w:rsidRPr="00575A3E">
        <w:rPr>
          <w:noProof/>
        </w:rPr>
        <w:t>He, S.Y., Luo, S., Sun, K.K., 2020. Factors Affecting the Adoption Intention of Electric Vehicles: The Roles of Objective, Perceived and Prospective Accessibility. SSRN Electron. J. https://doi.org/10.2139/ssrn.3660754</w:t>
      </w:r>
    </w:p>
    <w:p w14:paraId="28BE7C93" w14:textId="77777777" w:rsidR="008361E4" w:rsidRPr="00575A3E" w:rsidRDefault="008361E4" w:rsidP="008361E4">
      <w:pPr>
        <w:autoSpaceDE w:val="0"/>
        <w:autoSpaceDN w:val="0"/>
        <w:adjustRightInd w:val="0"/>
        <w:spacing w:line="360" w:lineRule="auto"/>
        <w:ind w:left="480" w:hanging="480"/>
        <w:rPr>
          <w:noProof/>
        </w:rPr>
      </w:pPr>
      <w:r w:rsidRPr="00575A3E">
        <w:rPr>
          <w:noProof/>
        </w:rPr>
        <w:t>Heinrichs, D., 2016. Autonomous driving and urban land use, in: Autonomous Driving: Technical, Legal and Social Aspects. https://doi.org/10.1007/978-3-662-48847-8_11</w:t>
      </w:r>
    </w:p>
    <w:p w14:paraId="2EBDED65" w14:textId="77777777" w:rsidR="008361E4" w:rsidRPr="00575A3E" w:rsidRDefault="008361E4" w:rsidP="008361E4">
      <w:pPr>
        <w:autoSpaceDE w:val="0"/>
        <w:autoSpaceDN w:val="0"/>
        <w:adjustRightInd w:val="0"/>
        <w:spacing w:line="360" w:lineRule="auto"/>
        <w:ind w:left="480" w:hanging="480"/>
        <w:rPr>
          <w:noProof/>
        </w:rPr>
      </w:pPr>
      <w:r w:rsidRPr="00575A3E">
        <w:rPr>
          <w:noProof/>
        </w:rPr>
        <w:t>Hines, A., Bishop, P.C., 2013. Framework foresight: Exploring futures the Houston way. Futures 51. https://doi.org/10.1016/j.futures.2013.05.002</w:t>
      </w:r>
    </w:p>
    <w:p w14:paraId="4748F4F0" w14:textId="77777777" w:rsidR="008361E4" w:rsidRPr="00575A3E" w:rsidRDefault="008361E4" w:rsidP="008361E4">
      <w:pPr>
        <w:autoSpaceDE w:val="0"/>
        <w:autoSpaceDN w:val="0"/>
        <w:adjustRightInd w:val="0"/>
        <w:spacing w:line="360" w:lineRule="auto"/>
        <w:ind w:left="480" w:hanging="480"/>
        <w:rPr>
          <w:noProof/>
        </w:rPr>
      </w:pPr>
      <w:r w:rsidRPr="00575A3E">
        <w:rPr>
          <w:noProof/>
        </w:rPr>
        <w:t>Hunt, J.D., Abraham, J.E., 2003. Design and Application of the PECAS Land Use Modeling System. 8th Comput. Urban Plan. Urban Manag. Conf. 1–16.</w:t>
      </w:r>
    </w:p>
    <w:p w14:paraId="54E96C55" w14:textId="77777777" w:rsidR="008361E4" w:rsidRPr="00575A3E" w:rsidRDefault="008361E4" w:rsidP="008361E4">
      <w:pPr>
        <w:autoSpaceDE w:val="0"/>
        <w:autoSpaceDN w:val="0"/>
        <w:adjustRightInd w:val="0"/>
        <w:spacing w:line="360" w:lineRule="auto"/>
        <w:ind w:left="480" w:hanging="480"/>
        <w:rPr>
          <w:noProof/>
        </w:rPr>
      </w:pPr>
      <w:r w:rsidRPr="00575A3E">
        <w:rPr>
          <w:noProof/>
        </w:rPr>
        <w:lastRenderedPageBreak/>
        <w:t>Hymel, K., 2009. Does traffic congestion reduce employment growth? J. Urban Econ. 65. https://doi.org/10.1016/j.jue.2008.11.002</w:t>
      </w:r>
    </w:p>
    <w:p w14:paraId="19EDEE38" w14:textId="77777777" w:rsidR="008361E4" w:rsidRPr="00575A3E" w:rsidRDefault="008361E4" w:rsidP="008361E4">
      <w:pPr>
        <w:autoSpaceDE w:val="0"/>
        <w:autoSpaceDN w:val="0"/>
        <w:adjustRightInd w:val="0"/>
        <w:spacing w:line="360" w:lineRule="auto"/>
        <w:ind w:left="480" w:hanging="480"/>
        <w:rPr>
          <w:noProof/>
        </w:rPr>
      </w:pPr>
      <w:r w:rsidRPr="00575A3E">
        <w:rPr>
          <w:noProof/>
        </w:rPr>
        <w:t>Jadaan, K., Zeater, S., Abukhalil, Y., 2017. Connected Vehicles: An Innovative Transport Technology, in: Procedia Engineering. https://doi.org/10.1016/j.proeng.2017.04.425</w:t>
      </w:r>
    </w:p>
    <w:p w14:paraId="57D89F0D" w14:textId="77777777" w:rsidR="008361E4" w:rsidRPr="00575A3E" w:rsidRDefault="008361E4" w:rsidP="008361E4">
      <w:pPr>
        <w:autoSpaceDE w:val="0"/>
        <w:autoSpaceDN w:val="0"/>
        <w:adjustRightInd w:val="0"/>
        <w:spacing w:line="360" w:lineRule="auto"/>
        <w:ind w:left="480" w:hanging="480"/>
        <w:rPr>
          <w:noProof/>
        </w:rPr>
      </w:pPr>
      <w:r w:rsidRPr="00575A3E">
        <w:rPr>
          <w:noProof/>
        </w:rPr>
        <w:t>Jin, J., Rafferty, P., 2017. Does congestion negatively affect income growth and employment growth? Empirical evidence from US metropolitan regions. Transp. Policy 55. https://doi.org/10.1016/j.tranpol.2016.12.003</w:t>
      </w:r>
    </w:p>
    <w:p w14:paraId="2C5AA538" w14:textId="77777777" w:rsidR="008361E4" w:rsidRPr="00575A3E" w:rsidRDefault="008361E4" w:rsidP="008361E4">
      <w:pPr>
        <w:autoSpaceDE w:val="0"/>
        <w:autoSpaceDN w:val="0"/>
        <w:adjustRightInd w:val="0"/>
        <w:spacing w:line="360" w:lineRule="auto"/>
        <w:ind w:left="480" w:hanging="480"/>
        <w:rPr>
          <w:noProof/>
        </w:rPr>
      </w:pPr>
      <w:r w:rsidRPr="00575A3E">
        <w:rPr>
          <w:noProof/>
        </w:rPr>
        <w:t>Jones, J., 2016. Spatial bias in LUTI models. Université catholique de Louvain, Louvain.</w:t>
      </w:r>
    </w:p>
    <w:p w14:paraId="2C81139C" w14:textId="77777777" w:rsidR="008361E4" w:rsidRPr="00575A3E" w:rsidRDefault="008361E4" w:rsidP="008361E4">
      <w:pPr>
        <w:autoSpaceDE w:val="0"/>
        <w:autoSpaceDN w:val="0"/>
        <w:adjustRightInd w:val="0"/>
        <w:spacing w:line="360" w:lineRule="auto"/>
        <w:ind w:left="480" w:hanging="480"/>
        <w:rPr>
          <w:noProof/>
        </w:rPr>
      </w:pPr>
      <w:r w:rsidRPr="00575A3E">
        <w:rPr>
          <w:noProof/>
        </w:rPr>
        <w:t>Kim, K., Yook, D., Ko, Y., Kim, D., 2015. An Analysis of Expected Effects of The Autonomous Vehicles on Transport and Land Use in Korea. Work. Pap.</w:t>
      </w:r>
    </w:p>
    <w:p w14:paraId="6EDA1F56" w14:textId="77777777" w:rsidR="008361E4" w:rsidRPr="00575A3E" w:rsidRDefault="008361E4" w:rsidP="008361E4">
      <w:pPr>
        <w:autoSpaceDE w:val="0"/>
        <w:autoSpaceDN w:val="0"/>
        <w:adjustRightInd w:val="0"/>
        <w:spacing w:line="360" w:lineRule="auto"/>
        <w:ind w:left="480" w:hanging="480"/>
        <w:rPr>
          <w:noProof/>
        </w:rPr>
      </w:pPr>
      <w:r w:rsidRPr="00575A3E">
        <w:rPr>
          <w:noProof/>
        </w:rPr>
        <w:t>Kolarova, V., Steck, F., Cyganski, R., Trommer, S., 2018. Estimation of the value of time for automated driving using revealed and stated preference methods, in: Transportation Research Procedia. https://doi.org/10.1016/j.trpro.2018.09.044</w:t>
      </w:r>
    </w:p>
    <w:p w14:paraId="40F11403" w14:textId="77777777" w:rsidR="008361E4" w:rsidRPr="00575A3E" w:rsidRDefault="008361E4" w:rsidP="008361E4">
      <w:pPr>
        <w:autoSpaceDE w:val="0"/>
        <w:autoSpaceDN w:val="0"/>
        <w:adjustRightInd w:val="0"/>
        <w:spacing w:line="360" w:lineRule="auto"/>
        <w:ind w:left="480" w:hanging="480"/>
        <w:rPr>
          <w:noProof/>
        </w:rPr>
      </w:pPr>
      <w:r w:rsidRPr="00575A3E">
        <w:rPr>
          <w:noProof/>
        </w:rPr>
        <w:t>KPMG, 2019. The rise of electric, shared and autonomous fleets 1–20.</w:t>
      </w:r>
    </w:p>
    <w:p w14:paraId="7B9994F9" w14:textId="77777777" w:rsidR="008361E4" w:rsidRPr="00575A3E" w:rsidRDefault="008361E4" w:rsidP="008361E4">
      <w:pPr>
        <w:autoSpaceDE w:val="0"/>
        <w:autoSpaceDN w:val="0"/>
        <w:adjustRightInd w:val="0"/>
        <w:spacing w:line="360" w:lineRule="auto"/>
        <w:ind w:left="480" w:hanging="480"/>
        <w:rPr>
          <w:noProof/>
        </w:rPr>
      </w:pPr>
      <w:r w:rsidRPr="00575A3E">
        <w:rPr>
          <w:noProof/>
        </w:rPr>
        <w:t>Lee, 2013. Self-driving car given UK test run at Oxford University [WWW Document]. BBC. URL https://www.bbc.co.uk/news/technology-21462360 (accessed 11.21.20).</w:t>
      </w:r>
    </w:p>
    <w:p w14:paraId="4DF50526" w14:textId="77777777" w:rsidR="008361E4" w:rsidRPr="00575A3E" w:rsidRDefault="008361E4" w:rsidP="008361E4">
      <w:pPr>
        <w:autoSpaceDE w:val="0"/>
        <w:autoSpaceDN w:val="0"/>
        <w:adjustRightInd w:val="0"/>
        <w:spacing w:line="360" w:lineRule="auto"/>
        <w:ind w:left="480" w:hanging="480"/>
        <w:rPr>
          <w:noProof/>
        </w:rPr>
      </w:pPr>
      <w:r w:rsidRPr="00575A3E">
        <w:rPr>
          <w:noProof/>
        </w:rPr>
        <w:t>Litman, T., 2016. Autonomous Vehicle Implementation Predictions. Victoria Transp. Policy Inst. 28.</w:t>
      </w:r>
    </w:p>
    <w:p w14:paraId="4BD363D6" w14:textId="77777777" w:rsidR="008361E4" w:rsidRPr="00575A3E" w:rsidRDefault="008361E4" w:rsidP="008361E4">
      <w:pPr>
        <w:autoSpaceDE w:val="0"/>
        <w:autoSpaceDN w:val="0"/>
        <w:adjustRightInd w:val="0"/>
        <w:spacing w:line="360" w:lineRule="auto"/>
        <w:ind w:left="480" w:hanging="480"/>
        <w:rPr>
          <w:noProof/>
        </w:rPr>
      </w:pPr>
      <w:r w:rsidRPr="00575A3E">
        <w:rPr>
          <w:noProof/>
        </w:rPr>
        <w:t>Litman, T.A., 2019. Autonomous Vehicle Implementation Predictions Implications for Transport Planning. Traffic Technol. Int. 36–42.</w:t>
      </w:r>
    </w:p>
    <w:p w14:paraId="07A9EB34" w14:textId="77777777" w:rsidR="008361E4" w:rsidRPr="00575A3E" w:rsidRDefault="008361E4" w:rsidP="008361E4">
      <w:pPr>
        <w:autoSpaceDE w:val="0"/>
        <w:autoSpaceDN w:val="0"/>
        <w:adjustRightInd w:val="0"/>
        <w:spacing w:line="360" w:lineRule="auto"/>
        <w:ind w:left="480" w:hanging="480"/>
        <w:rPr>
          <w:noProof/>
        </w:rPr>
      </w:pPr>
      <w:r w:rsidRPr="00575A3E">
        <w:rPr>
          <w:noProof/>
        </w:rPr>
        <w:t>Lomax, N., Smith, A., 2018. Effect of capacity constraints on population and employment distribution 1–15.</w:t>
      </w:r>
    </w:p>
    <w:p w14:paraId="1CB0D0EE" w14:textId="77777777" w:rsidR="008361E4" w:rsidRPr="00575A3E" w:rsidRDefault="008361E4" w:rsidP="008361E4">
      <w:pPr>
        <w:autoSpaceDE w:val="0"/>
        <w:autoSpaceDN w:val="0"/>
        <w:adjustRightInd w:val="0"/>
        <w:spacing w:line="360" w:lineRule="auto"/>
        <w:ind w:left="480" w:hanging="480"/>
        <w:rPr>
          <w:noProof/>
        </w:rPr>
      </w:pPr>
      <w:r w:rsidRPr="00575A3E">
        <w:rPr>
          <w:noProof/>
        </w:rPr>
        <w:t>Lu, N., Cheng, N., Zhang, N., Shen, X., Mark, J.W., 2014. Connected vehicles: Solutions and challenges. IEEE Internet Things J. https://doi.org/10.1109/JIOT.2014.2327587</w:t>
      </w:r>
    </w:p>
    <w:p w14:paraId="464C064A" w14:textId="77777777" w:rsidR="008361E4" w:rsidRPr="00575A3E" w:rsidRDefault="008361E4" w:rsidP="008361E4">
      <w:pPr>
        <w:autoSpaceDE w:val="0"/>
        <w:autoSpaceDN w:val="0"/>
        <w:adjustRightInd w:val="0"/>
        <w:spacing w:line="360" w:lineRule="auto"/>
        <w:ind w:left="480" w:hanging="480"/>
        <w:rPr>
          <w:noProof/>
        </w:rPr>
      </w:pPr>
      <w:r w:rsidRPr="00575A3E">
        <w:rPr>
          <w:noProof/>
        </w:rPr>
        <w:t>Luo, L., Troncoso Parady, G., Takami, K., Harata, N., 2019. Evaluating the Impact of Autonomous Vehicles on Accessibility Using Agent-Based Simulation —A Case Study of Gunma Prefecture. J. JSCE. https://doi.org/10.2208/journalofjsce.7.1_100</w:t>
      </w:r>
    </w:p>
    <w:p w14:paraId="6D9A17D3" w14:textId="77777777" w:rsidR="008361E4" w:rsidRPr="00575A3E" w:rsidRDefault="008361E4" w:rsidP="008361E4">
      <w:pPr>
        <w:autoSpaceDE w:val="0"/>
        <w:autoSpaceDN w:val="0"/>
        <w:adjustRightInd w:val="0"/>
        <w:spacing w:line="360" w:lineRule="auto"/>
        <w:ind w:left="480" w:hanging="480"/>
        <w:rPr>
          <w:noProof/>
        </w:rPr>
      </w:pPr>
      <w:r w:rsidRPr="00575A3E">
        <w:rPr>
          <w:noProof/>
        </w:rPr>
        <w:t>Lyons, G., Rohr, C., Smith, A., Rothnie, A., Curry, A., 2021. Scenario planning for transport practitioners. Transp. Res. Interdiscip. Perspect. 11. https://doi.org/10.1016/j.trip.2021.100438</w:t>
      </w:r>
    </w:p>
    <w:p w14:paraId="4B90FCC7" w14:textId="77777777" w:rsidR="008361E4" w:rsidRPr="00575A3E" w:rsidRDefault="008361E4" w:rsidP="008361E4">
      <w:pPr>
        <w:autoSpaceDE w:val="0"/>
        <w:autoSpaceDN w:val="0"/>
        <w:adjustRightInd w:val="0"/>
        <w:spacing w:line="360" w:lineRule="auto"/>
        <w:ind w:left="480" w:hanging="480"/>
        <w:rPr>
          <w:noProof/>
        </w:rPr>
      </w:pPr>
      <w:r w:rsidRPr="00575A3E">
        <w:rPr>
          <w:noProof/>
        </w:rPr>
        <w:t>May, A.D., Shepherd, S., Pfaffenbichler, P., Emberger, G., 2020. The potential impacts of automated cars on urban transport: An exploratory analysis. Transp. Policy 98. https://doi.org/10.1016/j.tranpol.2020.05.007</w:t>
      </w:r>
    </w:p>
    <w:p w14:paraId="143E3357" w14:textId="77777777" w:rsidR="008361E4" w:rsidRPr="00575A3E" w:rsidRDefault="008361E4" w:rsidP="008361E4">
      <w:pPr>
        <w:autoSpaceDE w:val="0"/>
        <w:autoSpaceDN w:val="0"/>
        <w:adjustRightInd w:val="0"/>
        <w:spacing w:line="360" w:lineRule="auto"/>
        <w:ind w:left="480" w:hanging="480"/>
        <w:rPr>
          <w:noProof/>
        </w:rPr>
      </w:pPr>
      <w:r w:rsidRPr="00575A3E">
        <w:rPr>
          <w:noProof/>
        </w:rPr>
        <w:t>Medina-Tapia, M., Robusté, F., 2019. Implementation of connected and autonomous vehicles in cities could have neutral effects on the total travel time costs: Modeling and analysis for a circular city. Sustain. 11. https://doi.org/10.3390/su11020482</w:t>
      </w:r>
    </w:p>
    <w:p w14:paraId="31444A4D" w14:textId="77777777" w:rsidR="008361E4" w:rsidRPr="00575A3E" w:rsidRDefault="008361E4" w:rsidP="008361E4">
      <w:pPr>
        <w:autoSpaceDE w:val="0"/>
        <w:autoSpaceDN w:val="0"/>
        <w:adjustRightInd w:val="0"/>
        <w:spacing w:line="360" w:lineRule="auto"/>
        <w:ind w:left="480" w:hanging="480"/>
        <w:rPr>
          <w:noProof/>
        </w:rPr>
      </w:pPr>
      <w:r w:rsidRPr="00575A3E">
        <w:rPr>
          <w:noProof/>
        </w:rPr>
        <w:lastRenderedPageBreak/>
        <w:t>Medland, A., 2012. Portrait of the West Midlands. Off. Natl. Stat. URL www. ons. gov. uk. … 1–36.</w:t>
      </w:r>
    </w:p>
    <w:p w14:paraId="23E34092" w14:textId="77777777" w:rsidR="008361E4" w:rsidRPr="00575A3E" w:rsidRDefault="008361E4" w:rsidP="008361E4">
      <w:pPr>
        <w:autoSpaceDE w:val="0"/>
        <w:autoSpaceDN w:val="0"/>
        <w:adjustRightInd w:val="0"/>
        <w:spacing w:line="360" w:lineRule="auto"/>
        <w:ind w:left="480" w:hanging="480"/>
        <w:rPr>
          <w:noProof/>
        </w:rPr>
      </w:pPr>
      <w:r w:rsidRPr="00575A3E">
        <w:rPr>
          <w:noProof/>
        </w:rPr>
        <w:t>Mercedes-Benz, 2020. A ‑ Class Hatchback and Saloon.</w:t>
      </w:r>
    </w:p>
    <w:p w14:paraId="6030D749" w14:textId="77777777" w:rsidR="008361E4" w:rsidRPr="00575A3E" w:rsidRDefault="008361E4" w:rsidP="008361E4">
      <w:pPr>
        <w:autoSpaceDE w:val="0"/>
        <w:autoSpaceDN w:val="0"/>
        <w:adjustRightInd w:val="0"/>
        <w:spacing w:line="360" w:lineRule="auto"/>
        <w:ind w:left="480" w:hanging="480"/>
        <w:rPr>
          <w:noProof/>
        </w:rPr>
      </w:pPr>
      <w:r w:rsidRPr="00575A3E">
        <w:rPr>
          <w:noProof/>
        </w:rPr>
        <w:t>Meyer, J., Becker, H., Bösch, P.M., Axhausen, K.W., 2017. Autonomous vehicles: The next jump in accessibilities? Res. Transp. Econ. https://doi.org/10.1016/j.retrec.2017.03.005</w:t>
      </w:r>
    </w:p>
    <w:p w14:paraId="4CBFF8D7" w14:textId="77777777" w:rsidR="008361E4" w:rsidRPr="00575A3E" w:rsidRDefault="008361E4" w:rsidP="008361E4">
      <w:pPr>
        <w:autoSpaceDE w:val="0"/>
        <w:autoSpaceDN w:val="0"/>
        <w:adjustRightInd w:val="0"/>
        <w:spacing w:line="360" w:lineRule="auto"/>
        <w:ind w:left="480" w:hanging="480"/>
        <w:rPr>
          <w:noProof/>
        </w:rPr>
      </w:pPr>
      <w:r w:rsidRPr="00575A3E">
        <w:rPr>
          <w:noProof/>
        </w:rPr>
        <w:t>Milakis, D., Van Arem, B., Van Wee, B., 2017. Policy and society related implications of automated driving: A review of literature and directions for future research. J. Intell. Transp. Syst. Technol. Planning, Oper. https://doi.org/10.1080/15472450.2017.1291351</w:t>
      </w:r>
    </w:p>
    <w:p w14:paraId="7BBA2A77" w14:textId="77777777" w:rsidR="008361E4" w:rsidRPr="00575A3E" w:rsidRDefault="008361E4" w:rsidP="008361E4">
      <w:pPr>
        <w:autoSpaceDE w:val="0"/>
        <w:autoSpaceDN w:val="0"/>
        <w:adjustRightInd w:val="0"/>
        <w:spacing w:line="360" w:lineRule="auto"/>
        <w:ind w:left="480" w:hanging="480"/>
        <w:rPr>
          <w:noProof/>
        </w:rPr>
      </w:pPr>
      <w:r w:rsidRPr="00575A3E">
        <w:rPr>
          <w:noProof/>
        </w:rPr>
        <w:t>Morris, J., Cobbing, P., Leach, K., Conaty, 2013. Mainstreaming community economic development in Manitoba. Localise West Midlands Barrow Cadbury Trust 229–259.</w:t>
      </w:r>
    </w:p>
    <w:p w14:paraId="2FFC19AF" w14:textId="77777777" w:rsidR="008361E4" w:rsidRPr="00575A3E" w:rsidRDefault="008361E4" w:rsidP="008361E4">
      <w:pPr>
        <w:autoSpaceDE w:val="0"/>
        <w:autoSpaceDN w:val="0"/>
        <w:adjustRightInd w:val="0"/>
        <w:spacing w:line="360" w:lineRule="auto"/>
        <w:ind w:left="480" w:hanging="480"/>
        <w:rPr>
          <w:noProof/>
        </w:rPr>
      </w:pPr>
      <w:r w:rsidRPr="00575A3E">
        <w:rPr>
          <w:noProof/>
        </w:rPr>
        <w:t>Mosquet, X., Dauner, T., Lang, N., Rübmann, M., Mei-Pochtler, A., Agrawal, R., Schmieg, F., 2015. Revolution in the driver’s seat: The Road to autonomous vehicles. Bost. Consult. Gr.</w:t>
      </w:r>
    </w:p>
    <w:p w14:paraId="75720B30" w14:textId="77777777" w:rsidR="008361E4" w:rsidRPr="00575A3E" w:rsidRDefault="008361E4" w:rsidP="008361E4">
      <w:pPr>
        <w:autoSpaceDE w:val="0"/>
        <w:autoSpaceDN w:val="0"/>
        <w:adjustRightInd w:val="0"/>
        <w:spacing w:line="360" w:lineRule="auto"/>
        <w:ind w:left="480" w:hanging="480"/>
        <w:rPr>
          <w:noProof/>
        </w:rPr>
      </w:pPr>
      <w:r w:rsidRPr="00575A3E">
        <w:rPr>
          <w:noProof/>
        </w:rPr>
        <w:t>Muto, S., Toyama, H., Takai, A., 2022. Evaluation of Transport and Location Policies to Realize the Carbon-Free Urban Society. Sustainability. https://doi.org/https://doi.org/10.3390/su14010014</w:t>
      </w:r>
    </w:p>
    <w:p w14:paraId="33242E9E" w14:textId="77777777" w:rsidR="008361E4" w:rsidRPr="00575A3E" w:rsidRDefault="008361E4" w:rsidP="008361E4">
      <w:pPr>
        <w:autoSpaceDE w:val="0"/>
        <w:autoSpaceDN w:val="0"/>
        <w:adjustRightInd w:val="0"/>
        <w:spacing w:line="360" w:lineRule="auto"/>
        <w:ind w:left="480" w:hanging="480"/>
        <w:rPr>
          <w:noProof/>
        </w:rPr>
      </w:pPr>
      <w:r w:rsidRPr="00575A3E">
        <w:rPr>
          <w:noProof/>
        </w:rPr>
        <w:t>Nahmias-Biran, B. hen, Oke, J.B., Kumar, N., Lima Azevedo, C., Ben-Akiva, M., 2020. Evaluating the impacts of shared automated mobility on-demand services: an activity-based accessibility approach. Transportation (Amst). https://doi.org/10.1007/s11116-020-10106-y</w:t>
      </w:r>
    </w:p>
    <w:p w14:paraId="0E1D38BF" w14:textId="77777777" w:rsidR="008361E4" w:rsidRPr="00575A3E" w:rsidRDefault="008361E4" w:rsidP="008361E4">
      <w:pPr>
        <w:autoSpaceDE w:val="0"/>
        <w:autoSpaceDN w:val="0"/>
        <w:adjustRightInd w:val="0"/>
        <w:spacing w:line="360" w:lineRule="auto"/>
        <w:ind w:left="480" w:hanging="480"/>
        <w:rPr>
          <w:noProof/>
        </w:rPr>
      </w:pPr>
      <w:r w:rsidRPr="00575A3E">
        <w:rPr>
          <w:noProof/>
        </w:rPr>
        <w:t>National Atmospheric Emissions Inventory, 2019. UK Fleet Composition Projections (Base 2019r/2017 NAEI). For the UK outside London.</w:t>
      </w:r>
    </w:p>
    <w:p w14:paraId="1216A698" w14:textId="77777777" w:rsidR="008361E4" w:rsidRPr="00575A3E" w:rsidRDefault="008361E4" w:rsidP="008361E4">
      <w:pPr>
        <w:autoSpaceDE w:val="0"/>
        <w:autoSpaceDN w:val="0"/>
        <w:adjustRightInd w:val="0"/>
        <w:spacing w:line="360" w:lineRule="auto"/>
        <w:ind w:left="480" w:hanging="480"/>
        <w:rPr>
          <w:noProof/>
        </w:rPr>
      </w:pPr>
      <w:r w:rsidRPr="00575A3E">
        <w:rPr>
          <w:noProof/>
        </w:rPr>
        <w:t>NetworkRail, 2022. West Coast South route [WWW Document]. URL https://www.networkrail.co.uk/running-the-railway/our-routes/west-coast-mainline-south/ (accessed 1.3.22).</w:t>
      </w:r>
    </w:p>
    <w:p w14:paraId="0A01D955" w14:textId="77777777" w:rsidR="008361E4" w:rsidRPr="00575A3E" w:rsidRDefault="008361E4" w:rsidP="008361E4">
      <w:pPr>
        <w:autoSpaceDE w:val="0"/>
        <w:autoSpaceDN w:val="0"/>
        <w:adjustRightInd w:val="0"/>
        <w:spacing w:line="360" w:lineRule="auto"/>
        <w:ind w:left="480" w:hanging="480"/>
        <w:rPr>
          <w:noProof/>
        </w:rPr>
      </w:pPr>
      <w:r w:rsidRPr="00575A3E">
        <w:rPr>
          <w:noProof/>
        </w:rPr>
        <w:t>Nissan UK, 2020. Nissan Leaf. The Tech Advanced, 100% Electric Car.</w:t>
      </w:r>
    </w:p>
    <w:p w14:paraId="03FB49A1" w14:textId="77777777" w:rsidR="008361E4" w:rsidRPr="00575A3E" w:rsidRDefault="008361E4" w:rsidP="008361E4">
      <w:pPr>
        <w:autoSpaceDE w:val="0"/>
        <w:autoSpaceDN w:val="0"/>
        <w:adjustRightInd w:val="0"/>
        <w:spacing w:line="360" w:lineRule="auto"/>
        <w:ind w:left="480" w:hanging="480"/>
        <w:rPr>
          <w:noProof/>
        </w:rPr>
      </w:pPr>
      <w:r w:rsidRPr="00575A3E">
        <w:rPr>
          <w:noProof/>
        </w:rPr>
        <w:t>Olliver, J.G., 2012. Datums and Map Projections for remote sensing, GIS and surveying. Surv. Rev. 36. https://doi.org/10.1179/003962601791521738</w:t>
      </w:r>
    </w:p>
    <w:p w14:paraId="5A445E5C" w14:textId="77777777" w:rsidR="008361E4" w:rsidRPr="00575A3E" w:rsidRDefault="008361E4" w:rsidP="008361E4">
      <w:pPr>
        <w:autoSpaceDE w:val="0"/>
        <w:autoSpaceDN w:val="0"/>
        <w:adjustRightInd w:val="0"/>
        <w:spacing w:line="360" w:lineRule="auto"/>
        <w:ind w:left="480" w:hanging="480"/>
        <w:rPr>
          <w:noProof/>
        </w:rPr>
      </w:pPr>
      <w:r w:rsidRPr="00575A3E">
        <w:rPr>
          <w:noProof/>
        </w:rPr>
        <w:t>Owen, S.M., MacKenzie, A.R., Bunce, R.G.H., Stewart, H.E., Donovan, R.G., Stark, G., Hewitt, C.N., 2006. Urban land classification and its uncertainties using principal component and cluster analyses: A case study for the UK West Midlands. Landsc. Urban Plan. https://doi.org/10.1016/j.landurbplan.2005.11.002</w:t>
      </w:r>
    </w:p>
    <w:p w14:paraId="0BE4C418" w14:textId="77777777" w:rsidR="008361E4" w:rsidRPr="00575A3E" w:rsidRDefault="008361E4" w:rsidP="008361E4">
      <w:pPr>
        <w:autoSpaceDE w:val="0"/>
        <w:autoSpaceDN w:val="0"/>
        <w:adjustRightInd w:val="0"/>
        <w:spacing w:line="360" w:lineRule="auto"/>
        <w:ind w:left="480" w:hanging="480"/>
        <w:rPr>
          <w:noProof/>
        </w:rPr>
      </w:pPr>
      <w:r w:rsidRPr="00575A3E">
        <w:rPr>
          <w:noProof/>
        </w:rPr>
        <w:t>Palmer, K., Tate, J.E., Wadud, Z., Nellthorp, J., 2018. Total cost of ownership and market share for hybrid and electric vehicles in the UK , US and Japan. Appl. Energy 209, 108–119. https://doi.org/10.1016/j.apenergy.2017.10.089</w:t>
      </w:r>
    </w:p>
    <w:p w14:paraId="624389EF" w14:textId="77777777" w:rsidR="008361E4" w:rsidRPr="00575A3E" w:rsidRDefault="008361E4" w:rsidP="008361E4">
      <w:pPr>
        <w:autoSpaceDE w:val="0"/>
        <w:autoSpaceDN w:val="0"/>
        <w:adjustRightInd w:val="0"/>
        <w:spacing w:line="360" w:lineRule="auto"/>
        <w:ind w:left="480" w:hanging="480"/>
        <w:rPr>
          <w:noProof/>
        </w:rPr>
      </w:pPr>
      <w:r w:rsidRPr="00575A3E">
        <w:rPr>
          <w:noProof/>
        </w:rPr>
        <w:t>Papa, E., Ferreira, A., 2018. Sustainable Accessibility and the Implementation of Automated Vehicles: Identifying Critical Decisions. Urban Sci. https://doi.org/10.3390/urbansci2010005</w:t>
      </w:r>
    </w:p>
    <w:p w14:paraId="540F7F06" w14:textId="77777777" w:rsidR="008361E4" w:rsidRPr="00575A3E" w:rsidRDefault="008361E4" w:rsidP="008361E4">
      <w:pPr>
        <w:autoSpaceDE w:val="0"/>
        <w:autoSpaceDN w:val="0"/>
        <w:adjustRightInd w:val="0"/>
        <w:spacing w:line="360" w:lineRule="auto"/>
        <w:ind w:left="480" w:hanging="480"/>
        <w:rPr>
          <w:noProof/>
        </w:rPr>
      </w:pPr>
      <w:r w:rsidRPr="00575A3E">
        <w:rPr>
          <w:noProof/>
        </w:rPr>
        <w:t>Perrine, K.A., Kockelman, K.M., Huang, Y., 2020. Anticipating long-distance travel shifts due to self-</w:t>
      </w:r>
      <w:r w:rsidRPr="00575A3E">
        <w:rPr>
          <w:noProof/>
        </w:rPr>
        <w:lastRenderedPageBreak/>
        <w:t>driving vehicles. J. Transp. Geogr. https://doi.org/10.1016/j.jtrangeo.2019.102547</w:t>
      </w:r>
    </w:p>
    <w:p w14:paraId="7188E3EA" w14:textId="77777777" w:rsidR="008361E4" w:rsidRPr="00575A3E" w:rsidRDefault="008361E4" w:rsidP="008361E4">
      <w:pPr>
        <w:autoSpaceDE w:val="0"/>
        <w:autoSpaceDN w:val="0"/>
        <w:adjustRightInd w:val="0"/>
        <w:spacing w:line="360" w:lineRule="auto"/>
        <w:ind w:left="480" w:hanging="480"/>
        <w:rPr>
          <w:noProof/>
        </w:rPr>
      </w:pPr>
      <w:r w:rsidRPr="00575A3E">
        <w:rPr>
          <w:noProof/>
        </w:rPr>
        <w:t>Pichery, C., 2014. Sensitivity Analysis. Encycl. Toxicol. Third Ed. 236–237. https://doi.org/10.1016/B978-0-12-386454-3.00431-0</w:t>
      </w:r>
    </w:p>
    <w:p w14:paraId="2B9C86F0" w14:textId="77777777" w:rsidR="008361E4" w:rsidRPr="00575A3E" w:rsidRDefault="008361E4" w:rsidP="008361E4">
      <w:pPr>
        <w:autoSpaceDE w:val="0"/>
        <w:autoSpaceDN w:val="0"/>
        <w:adjustRightInd w:val="0"/>
        <w:spacing w:line="360" w:lineRule="auto"/>
        <w:ind w:left="480" w:hanging="480"/>
        <w:rPr>
          <w:noProof/>
        </w:rPr>
      </w:pPr>
      <w:r w:rsidRPr="00575A3E">
        <w:rPr>
          <w:noProof/>
        </w:rPr>
        <w:t>PLUSBUS, 2022. PLUSBUS | HOME [WWW Document]. URL https://plusbus.info/ (accessed 6.26.22).</w:t>
      </w:r>
    </w:p>
    <w:p w14:paraId="2EF173A4" w14:textId="77777777" w:rsidR="008361E4" w:rsidRPr="00575A3E" w:rsidRDefault="008361E4" w:rsidP="008361E4">
      <w:pPr>
        <w:autoSpaceDE w:val="0"/>
        <w:autoSpaceDN w:val="0"/>
        <w:adjustRightInd w:val="0"/>
        <w:spacing w:line="360" w:lineRule="auto"/>
        <w:ind w:left="480" w:hanging="480"/>
        <w:rPr>
          <w:noProof/>
        </w:rPr>
      </w:pPr>
      <w:r w:rsidRPr="00575A3E">
        <w:rPr>
          <w:noProof/>
        </w:rPr>
        <w:t>Rodrigue, J.P., Comtois, C., Slack, B., 2016. The geography of transport systems, The Geography of Transport Systems. https://doi.org/10.4324/9781315618159</w:t>
      </w:r>
    </w:p>
    <w:p w14:paraId="7FEE14DE" w14:textId="77777777" w:rsidR="008361E4" w:rsidRPr="00575A3E" w:rsidRDefault="008361E4" w:rsidP="008361E4">
      <w:pPr>
        <w:autoSpaceDE w:val="0"/>
        <w:autoSpaceDN w:val="0"/>
        <w:adjustRightInd w:val="0"/>
        <w:spacing w:line="360" w:lineRule="auto"/>
        <w:ind w:left="480" w:hanging="480"/>
        <w:rPr>
          <w:noProof/>
        </w:rPr>
      </w:pPr>
      <w:r w:rsidRPr="00575A3E">
        <w:rPr>
          <w:noProof/>
        </w:rPr>
        <w:t>Sarri, P., Tzouras, P., Tsigdinos, S., Kaparias, I., Kepaptsoglou, K.L., 2022. Exploring The Land Use And Transport Interaction Effects Of City-Wide Active Travel Schemes. TRB Annu. Meet.</w:t>
      </w:r>
    </w:p>
    <w:p w14:paraId="6BA394FD" w14:textId="77777777" w:rsidR="008361E4" w:rsidRPr="00575A3E" w:rsidRDefault="008361E4" w:rsidP="008361E4">
      <w:pPr>
        <w:autoSpaceDE w:val="0"/>
        <w:autoSpaceDN w:val="0"/>
        <w:adjustRightInd w:val="0"/>
        <w:spacing w:line="360" w:lineRule="auto"/>
        <w:ind w:left="480" w:hanging="480"/>
        <w:rPr>
          <w:noProof/>
        </w:rPr>
      </w:pPr>
      <w:r w:rsidRPr="00575A3E">
        <w:rPr>
          <w:noProof/>
        </w:rPr>
        <w:t>Scottish-Executive, n.d. Scoping Study Investigating the Development of a Land Use and Transport Model for Scotland REVIEW OF MODELS. Rev. Lit. Arts Am.</w:t>
      </w:r>
    </w:p>
    <w:p w14:paraId="7D978FFD" w14:textId="77777777" w:rsidR="008361E4" w:rsidRPr="00575A3E" w:rsidRDefault="008361E4" w:rsidP="008361E4">
      <w:pPr>
        <w:autoSpaceDE w:val="0"/>
        <w:autoSpaceDN w:val="0"/>
        <w:adjustRightInd w:val="0"/>
        <w:spacing w:line="360" w:lineRule="auto"/>
        <w:ind w:left="480" w:hanging="480"/>
        <w:rPr>
          <w:noProof/>
        </w:rPr>
      </w:pPr>
      <w:r w:rsidRPr="00575A3E">
        <w:rPr>
          <w:noProof/>
        </w:rPr>
        <w:t>Simmonds, D., 2019a. The DELTA models and their applications. M Echenique, M Batty, M Wegener Y Jin Appl. Urban Model. Br. Acad. Proceedings. (Preprint available from author; Provid. an Updat. previous Pap. Publ. from 1999 onwards.).</w:t>
      </w:r>
    </w:p>
    <w:p w14:paraId="3A7BD446" w14:textId="77777777" w:rsidR="008361E4" w:rsidRPr="00575A3E" w:rsidRDefault="008361E4" w:rsidP="008361E4">
      <w:pPr>
        <w:autoSpaceDE w:val="0"/>
        <w:autoSpaceDN w:val="0"/>
        <w:adjustRightInd w:val="0"/>
        <w:spacing w:line="360" w:lineRule="auto"/>
        <w:ind w:left="480" w:hanging="480"/>
        <w:rPr>
          <w:noProof/>
        </w:rPr>
      </w:pPr>
      <w:r w:rsidRPr="00575A3E">
        <w:rPr>
          <w:noProof/>
        </w:rPr>
        <w:t>Simmonds, D., 2019b. Integrated modeling in the UK : Practical usability of integrated models. J. Transp. Land Use 327–334.</w:t>
      </w:r>
    </w:p>
    <w:p w14:paraId="3B8B428B" w14:textId="77777777" w:rsidR="008361E4" w:rsidRPr="00575A3E" w:rsidRDefault="008361E4" w:rsidP="008361E4">
      <w:pPr>
        <w:autoSpaceDE w:val="0"/>
        <w:autoSpaceDN w:val="0"/>
        <w:adjustRightInd w:val="0"/>
        <w:spacing w:line="360" w:lineRule="auto"/>
        <w:ind w:left="480" w:hanging="480"/>
        <w:rPr>
          <w:noProof/>
        </w:rPr>
      </w:pPr>
      <w:r w:rsidRPr="00575A3E">
        <w:rPr>
          <w:noProof/>
        </w:rPr>
        <w:t>Simmonds, D., 1999. The design of the DELTA land-use modelling package. Environ. Plan. B Plan. Des. 26, 665–684. https://doi.org/10.1068/b260665</w:t>
      </w:r>
    </w:p>
    <w:p w14:paraId="6884A26A" w14:textId="77777777" w:rsidR="008361E4" w:rsidRPr="00575A3E" w:rsidRDefault="008361E4" w:rsidP="008361E4">
      <w:pPr>
        <w:autoSpaceDE w:val="0"/>
        <w:autoSpaceDN w:val="0"/>
        <w:adjustRightInd w:val="0"/>
        <w:spacing w:line="360" w:lineRule="auto"/>
        <w:ind w:left="480" w:hanging="480"/>
        <w:rPr>
          <w:noProof/>
        </w:rPr>
      </w:pPr>
      <w:r w:rsidRPr="00575A3E">
        <w:rPr>
          <w:noProof/>
        </w:rPr>
        <w:t>Simmonds, D., Feldman, O., 2005. Land-use modelling with DELTA: update and experience. Proc. Ninth Int. Conf. Comput. Urban Plan. Urban Manag. 1–16.</w:t>
      </w:r>
    </w:p>
    <w:p w14:paraId="4357A722" w14:textId="77777777" w:rsidR="008361E4" w:rsidRPr="00575A3E" w:rsidRDefault="008361E4" w:rsidP="008361E4">
      <w:pPr>
        <w:autoSpaceDE w:val="0"/>
        <w:autoSpaceDN w:val="0"/>
        <w:adjustRightInd w:val="0"/>
        <w:spacing w:line="360" w:lineRule="auto"/>
        <w:ind w:left="480" w:hanging="480"/>
        <w:rPr>
          <w:noProof/>
        </w:rPr>
      </w:pPr>
      <w:r w:rsidRPr="00575A3E">
        <w:rPr>
          <w:noProof/>
        </w:rPr>
        <w:t>Simmonds, D., Preston, J., Pagliara, F., 2010. Residential Location Choice : Models and Applications, Advances in Spatial Science.</w:t>
      </w:r>
    </w:p>
    <w:p w14:paraId="14B3890A" w14:textId="77777777" w:rsidR="008361E4" w:rsidRPr="00575A3E" w:rsidRDefault="008361E4" w:rsidP="008361E4">
      <w:pPr>
        <w:autoSpaceDE w:val="0"/>
        <w:autoSpaceDN w:val="0"/>
        <w:adjustRightInd w:val="0"/>
        <w:spacing w:line="360" w:lineRule="auto"/>
        <w:ind w:left="480" w:hanging="480"/>
        <w:rPr>
          <w:noProof/>
        </w:rPr>
      </w:pPr>
      <w:r w:rsidRPr="00575A3E">
        <w:rPr>
          <w:noProof/>
        </w:rPr>
        <w:t>Small, K.A., Song, S., 1994. Population and Employment Densities: Structure and Change. J. Urban Econ. 36. https://doi.org/0094-1190/94</w:t>
      </w:r>
    </w:p>
    <w:p w14:paraId="469CF543" w14:textId="77777777" w:rsidR="008361E4" w:rsidRPr="00575A3E" w:rsidRDefault="008361E4" w:rsidP="008361E4">
      <w:pPr>
        <w:autoSpaceDE w:val="0"/>
        <w:autoSpaceDN w:val="0"/>
        <w:adjustRightInd w:val="0"/>
        <w:spacing w:line="360" w:lineRule="auto"/>
        <w:ind w:left="480" w:hanging="480"/>
        <w:rPr>
          <w:noProof/>
        </w:rPr>
      </w:pPr>
      <w:r w:rsidRPr="00575A3E">
        <w:rPr>
          <w:noProof/>
        </w:rPr>
        <w:t>Solignac, M., 2018. Véhicule électrique et forme urbaine : une évaluation prospective To cite this version : HAL Id : tel-01882700. Université Paris-Est.</w:t>
      </w:r>
    </w:p>
    <w:p w14:paraId="0E79E0C3" w14:textId="77777777" w:rsidR="008361E4" w:rsidRPr="00575A3E" w:rsidRDefault="008361E4" w:rsidP="008361E4">
      <w:pPr>
        <w:autoSpaceDE w:val="0"/>
        <w:autoSpaceDN w:val="0"/>
        <w:adjustRightInd w:val="0"/>
        <w:spacing w:line="360" w:lineRule="auto"/>
        <w:ind w:left="480" w:hanging="480"/>
        <w:rPr>
          <w:noProof/>
        </w:rPr>
      </w:pPr>
      <w:r w:rsidRPr="00575A3E">
        <w:rPr>
          <w:noProof/>
        </w:rPr>
        <w:t>Soteropoulos, A., Berger, M., Ciari, F., 2018. Impacts of automated vehicles on travel behaviour and land use: an international review of modelling studies. Transp. Rev. 39, 29–49. https://doi.org/10.1080/01441647.2018.1523253</w:t>
      </w:r>
    </w:p>
    <w:p w14:paraId="74B04F03" w14:textId="77777777" w:rsidR="008361E4" w:rsidRPr="00575A3E" w:rsidRDefault="008361E4" w:rsidP="008361E4">
      <w:pPr>
        <w:autoSpaceDE w:val="0"/>
        <w:autoSpaceDN w:val="0"/>
        <w:adjustRightInd w:val="0"/>
        <w:spacing w:line="360" w:lineRule="auto"/>
        <w:ind w:left="480" w:hanging="480"/>
        <w:rPr>
          <w:noProof/>
        </w:rPr>
      </w:pPr>
      <w:r w:rsidRPr="00575A3E">
        <w:rPr>
          <w:noProof/>
        </w:rPr>
        <w:t>Sperling, D., 2018. Three revolutions: Steering automated, shared, and electric vehicles to a better future, Three Revolutions: Steering Automated, Shared, and Electric Vehicles to a Better Future. https://doi.org/10.5822/978-1-61091-906-7</w:t>
      </w:r>
    </w:p>
    <w:p w14:paraId="2AD40C72" w14:textId="77777777" w:rsidR="008361E4" w:rsidRPr="00575A3E" w:rsidRDefault="008361E4" w:rsidP="008361E4">
      <w:pPr>
        <w:autoSpaceDE w:val="0"/>
        <w:autoSpaceDN w:val="0"/>
        <w:adjustRightInd w:val="0"/>
        <w:spacing w:line="360" w:lineRule="auto"/>
        <w:ind w:left="480" w:hanging="480"/>
        <w:rPr>
          <w:noProof/>
        </w:rPr>
      </w:pPr>
      <w:r w:rsidRPr="00575A3E">
        <w:rPr>
          <w:noProof/>
        </w:rPr>
        <w:t>Storchmann, K., 2004. On the depreciation of automobiles: An international comparison. Transportation (Amst). https://doi.org/10.1023/B:PORT.0000037087.10954.72</w:t>
      </w:r>
    </w:p>
    <w:p w14:paraId="23EE29B0" w14:textId="77777777" w:rsidR="008361E4" w:rsidRPr="00575A3E" w:rsidRDefault="008361E4" w:rsidP="008361E4">
      <w:pPr>
        <w:autoSpaceDE w:val="0"/>
        <w:autoSpaceDN w:val="0"/>
        <w:adjustRightInd w:val="0"/>
        <w:spacing w:line="360" w:lineRule="auto"/>
        <w:ind w:left="480" w:hanging="480"/>
        <w:rPr>
          <w:noProof/>
        </w:rPr>
      </w:pPr>
      <w:r w:rsidRPr="00575A3E">
        <w:rPr>
          <w:noProof/>
        </w:rPr>
        <w:t xml:space="preserve">Sweda, T.M., Klabjan, D., 2012. Finding minimum-cost paths for electric vehicles, in: 2012 IEEE </w:t>
      </w:r>
      <w:r w:rsidRPr="00575A3E">
        <w:rPr>
          <w:noProof/>
        </w:rPr>
        <w:lastRenderedPageBreak/>
        <w:t>International Electric Vehicle Conference, IEVC 2012. https://doi.org/10.1109/IEVC.2012.6183286</w:t>
      </w:r>
    </w:p>
    <w:p w14:paraId="02C2083A" w14:textId="77777777" w:rsidR="008361E4" w:rsidRPr="00575A3E" w:rsidRDefault="008361E4" w:rsidP="008361E4">
      <w:pPr>
        <w:autoSpaceDE w:val="0"/>
        <w:autoSpaceDN w:val="0"/>
        <w:adjustRightInd w:val="0"/>
        <w:spacing w:line="360" w:lineRule="auto"/>
        <w:ind w:left="480" w:hanging="480"/>
        <w:rPr>
          <w:noProof/>
        </w:rPr>
      </w:pPr>
      <w:r w:rsidRPr="00575A3E">
        <w:rPr>
          <w:noProof/>
        </w:rPr>
        <w:t>Tennøy, A., Tønnesen, A., Gundersen, F., 2019. Effects of urban road capacity expansion – Experiences from two Norwegian cases. Transp. Res. Part D Transp. Environ. 69. https://doi.org/10.1016/j.trd.2019.01.024</w:t>
      </w:r>
    </w:p>
    <w:p w14:paraId="68C250E4" w14:textId="77777777" w:rsidR="008361E4" w:rsidRPr="00575A3E" w:rsidRDefault="008361E4" w:rsidP="008361E4">
      <w:pPr>
        <w:autoSpaceDE w:val="0"/>
        <w:autoSpaceDN w:val="0"/>
        <w:adjustRightInd w:val="0"/>
        <w:spacing w:line="360" w:lineRule="auto"/>
        <w:ind w:left="480" w:hanging="480"/>
        <w:rPr>
          <w:noProof/>
        </w:rPr>
      </w:pPr>
      <w:r w:rsidRPr="00575A3E">
        <w:rPr>
          <w:noProof/>
        </w:rPr>
        <w:t>Thakur, P., Kinghorn, R., Grace, R., 2016. Urban form and function in the autonomous era, in: ATRF 2016 - Australasian Transport Research Forum 2016, Proceedings.</w:t>
      </w:r>
    </w:p>
    <w:p w14:paraId="01A62109" w14:textId="77777777" w:rsidR="008361E4" w:rsidRPr="00575A3E" w:rsidRDefault="008361E4" w:rsidP="008361E4">
      <w:pPr>
        <w:autoSpaceDE w:val="0"/>
        <w:autoSpaceDN w:val="0"/>
        <w:adjustRightInd w:val="0"/>
        <w:spacing w:line="360" w:lineRule="auto"/>
        <w:ind w:left="480" w:hanging="480"/>
        <w:rPr>
          <w:noProof/>
        </w:rPr>
      </w:pPr>
      <w:r w:rsidRPr="00575A3E">
        <w:rPr>
          <w:noProof/>
        </w:rPr>
        <w:t>Timmermans, H., 2003. The Saga of Integrated Land Use-Transport Modeling: How Many More Dreams Before We Wake Up? Moving through nets: The physical and social dimensions of travel. Pap. Present. 10th Int. Conf. Travel Behav. Res. Aug. 10-15 10–15.</w:t>
      </w:r>
    </w:p>
    <w:p w14:paraId="5D4E1775" w14:textId="77777777" w:rsidR="008361E4" w:rsidRPr="00575A3E" w:rsidRDefault="008361E4" w:rsidP="008361E4">
      <w:pPr>
        <w:autoSpaceDE w:val="0"/>
        <w:autoSpaceDN w:val="0"/>
        <w:adjustRightInd w:val="0"/>
        <w:spacing w:line="360" w:lineRule="auto"/>
        <w:ind w:left="480" w:hanging="480"/>
        <w:rPr>
          <w:noProof/>
        </w:rPr>
      </w:pPr>
      <w:r w:rsidRPr="00575A3E">
        <w:rPr>
          <w:noProof/>
        </w:rPr>
        <w:t>Toyota UK, 2020. Toyota Corolla Hatchback Prices &amp; Costs 1–3.</w:t>
      </w:r>
    </w:p>
    <w:p w14:paraId="17E6BE65" w14:textId="77777777" w:rsidR="008361E4" w:rsidRPr="00575A3E" w:rsidRDefault="008361E4" w:rsidP="008361E4">
      <w:pPr>
        <w:autoSpaceDE w:val="0"/>
        <w:autoSpaceDN w:val="0"/>
        <w:adjustRightInd w:val="0"/>
        <w:spacing w:line="360" w:lineRule="auto"/>
        <w:ind w:left="480" w:hanging="480"/>
        <w:rPr>
          <w:noProof/>
        </w:rPr>
      </w:pPr>
      <w:r w:rsidRPr="00575A3E">
        <w:rPr>
          <w:noProof/>
        </w:rPr>
        <w:t>Transport for West Midlands Combined Authority, 2021. Modal Share [WWW Document]. URL https://community-engagement-tfwm.hub.arcgis.com/pages/modal-split (accessed 10.3.22).</w:t>
      </w:r>
    </w:p>
    <w:p w14:paraId="0A22F44C" w14:textId="77777777" w:rsidR="008361E4" w:rsidRPr="00575A3E" w:rsidRDefault="008361E4" w:rsidP="008361E4">
      <w:pPr>
        <w:autoSpaceDE w:val="0"/>
        <w:autoSpaceDN w:val="0"/>
        <w:adjustRightInd w:val="0"/>
        <w:spacing w:line="360" w:lineRule="auto"/>
        <w:ind w:left="480" w:hanging="480"/>
        <w:rPr>
          <w:noProof/>
        </w:rPr>
      </w:pPr>
      <w:r w:rsidRPr="00575A3E">
        <w:rPr>
          <w:noProof/>
        </w:rPr>
        <w:t>Truong, L.T., De Gruyter, C., Currie, G., Delbosc, A., 2017. Estimating the trip generation impacts of autonomous vehicles on car travel in Victoria, Australia. Transportation (Amst). 44, 1279–1292. https://doi.org/10.1007/s11116-017-9802-2</w:t>
      </w:r>
    </w:p>
    <w:p w14:paraId="7A02C5A6" w14:textId="77777777" w:rsidR="008361E4" w:rsidRPr="00575A3E" w:rsidRDefault="008361E4" w:rsidP="008361E4">
      <w:pPr>
        <w:autoSpaceDE w:val="0"/>
        <w:autoSpaceDN w:val="0"/>
        <w:adjustRightInd w:val="0"/>
        <w:spacing w:line="360" w:lineRule="auto"/>
        <w:ind w:left="480" w:hanging="480"/>
        <w:rPr>
          <w:noProof/>
        </w:rPr>
      </w:pPr>
      <w:r w:rsidRPr="00575A3E">
        <w:rPr>
          <w:noProof/>
        </w:rPr>
        <w:t>UK Department for Business Energy &amp; Industrial Strategy, 2020. Monthly and annual prices of road fuels and petroleum products - Statistical data sets 24–29.</w:t>
      </w:r>
    </w:p>
    <w:p w14:paraId="57655A6E" w14:textId="77777777" w:rsidR="008361E4" w:rsidRPr="00575A3E" w:rsidRDefault="008361E4" w:rsidP="008361E4">
      <w:pPr>
        <w:autoSpaceDE w:val="0"/>
        <w:autoSpaceDN w:val="0"/>
        <w:adjustRightInd w:val="0"/>
        <w:spacing w:line="360" w:lineRule="auto"/>
        <w:ind w:left="480" w:hanging="480"/>
        <w:rPr>
          <w:noProof/>
        </w:rPr>
      </w:pPr>
      <w:r w:rsidRPr="00575A3E">
        <w:rPr>
          <w:noProof/>
        </w:rPr>
        <w:t>UK Department for Transport, 2021a. WebTAG: TAG data book, 2021 [WWW Document]. Transp. Model. Apprais.</w:t>
      </w:r>
    </w:p>
    <w:p w14:paraId="664B01CE" w14:textId="77777777" w:rsidR="008361E4" w:rsidRPr="00575A3E" w:rsidRDefault="008361E4" w:rsidP="008361E4">
      <w:pPr>
        <w:autoSpaceDE w:val="0"/>
        <w:autoSpaceDN w:val="0"/>
        <w:adjustRightInd w:val="0"/>
        <w:spacing w:line="360" w:lineRule="auto"/>
        <w:ind w:left="480" w:hanging="480"/>
        <w:rPr>
          <w:noProof/>
        </w:rPr>
      </w:pPr>
      <w:r w:rsidRPr="00575A3E">
        <w:rPr>
          <w:noProof/>
        </w:rPr>
        <w:t>UK Department for Transport, 2021b. Appraisal and Modelling Strategy A route map for updating TAG during uncertain times.</w:t>
      </w:r>
    </w:p>
    <w:p w14:paraId="66911F7D" w14:textId="77777777" w:rsidR="008361E4" w:rsidRPr="00575A3E" w:rsidRDefault="008361E4" w:rsidP="008361E4">
      <w:pPr>
        <w:autoSpaceDE w:val="0"/>
        <w:autoSpaceDN w:val="0"/>
        <w:adjustRightInd w:val="0"/>
        <w:spacing w:line="360" w:lineRule="auto"/>
        <w:ind w:left="480" w:hanging="480"/>
        <w:rPr>
          <w:noProof/>
        </w:rPr>
      </w:pPr>
      <w:r w:rsidRPr="00575A3E">
        <w:rPr>
          <w:noProof/>
        </w:rPr>
        <w:t>UK Department for Transport, 2016. High Speed Rail (London - West Midlands).</w:t>
      </w:r>
    </w:p>
    <w:p w14:paraId="6871EE93" w14:textId="77777777" w:rsidR="008361E4" w:rsidRPr="00575A3E" w:rsidRDefault="008361E4" w:rsidP="008361E4">
      <w:pPr>
        <w:autoSpaceDE w:val="0"/>
        <w:autoSpaceDN w:val="0"/>
        <w:adjustRightInd w:val="0"/>
        <w:spacing w:line="360" w:lineRule="auto"/>
        <w:ind w:left="480" w:hanging="480"/>
        <w:rPr>
          <w:noProof/>
        </w:rPr>
      </w:pPr>
      <w:r w:rsidRPr="00575A3E">
        <w:rPr>
          <w:noProof/>
        </w:rPr>
        <w:t>UK Department for Transport, 2015. Taxi and Private Hire Vehicle Statistics : 2015 4.</w:t>
      </w:r>
    </w:p>
    <w:p w14:paraId="75DA7A61" w14:textId="77777777" w:rsidR="008361E4" w:rsidRPr="00575A3E" w:rsidRDefault="008361E4" w:rsidP="008361E4">
      <w:pPr>
        <w:autoSpaceDE w:val="0"/>
        <w:autoSpaceDN w:val="0"/>
        <w:adjustRightInd w:val="0"/>
        <w:spacing w:line="360" w:lineRule="auto"/>
        <w:ind w:left="480" w:hanging="480"/>
        <w:rPr>
          <w:noProof/>
        </w:rPr>
      </w:pPr>
      <w:r w:rsidRPr="00575A3E">
        <w:rPr>
          <w:noProof/>
        </w:rPr>
        <w:t>UK National Highways, 2022. West Midlands [WWW Document]. URL https://nationalhighways.co.uk/our-roads/west-midlands/ (accessed 10.3.22).</w:t>
      </w:r>
    </w:p>
    <w:p w14:paraId="5995DA8A" w14:textId="77777777" w:rsidR="008361E4" w:rsidRPr="00575A3E" w:rsidRDefault="008361E4" w:rsidP="008361E4">
      <w:pPr>
        <w:autoSpaceDE w:val="0"/>
        <w:autoSpaceDN w:val="0"/>
        <w:adjustRightInd w:val="0"/>
        <w:spacing w:line="360" w:lineRule="auto"/>
        <w:ind w:left="480" w:hanging="480"/>
        <w:rPr>
          <w:noProof/>
        </w:rPr>
      </w:pPr>
      <w:r w:rsidRPr="00575A3E">
        <w:rPr>
          <w:noProof/>
        </w:rPr>
        <w:t>UK Office for National Statistics, 2022. Families and the Labour Market: main reference tables, England: 8 March 2021.</w:t>
      </w:r>
    </w:p>
    <w:p w14:paraId="64EDD159" w14:textId="77777777" w:rsidR="008361E4" w:rsidRPr="00575A3E" w:rsidRDefault="008361E4" w:rsidP="008361E4">
      <w:pPr>
        <w:autoSpaceDE w:val="0"/>
        <w:autoSpaceDN w:val="0"/>
        <w:adjustRightInd w:val="0"/>
        <w:spacing w:line="360" w:lineRule="auto"/>
        <w:ind w:left="480" w:hanging="480"/>
        <w:rPr>
          <w:noProof/>
        </w:rPr>
      </w:pPr>
      <w:r w:rsidRPr="00575A3E">
        <w:rPr>
          <w:noProof/>
        </w:rPr>
        <w:t>UK Office for National Statistics, 2021. UK Census [WWW Document]. URL https://www.ons.gov.uk/ (accessed 9.29.22).</w:t>
      </w:r>
    </w:p>
    <w:p w14:paraId="12852EC8" w14:textId="77777777" w:rsidR="008361E4" w:rsidRPr="00575A3E" w:rsidRDefault="008361E4" w:rsidP="008361E4">
      <w:pPr>
        <w:autoSpaceDE w:val="0"/>
        <w:autoSpaceDN w:val="0"/>
        <w:adjustRightInd w:val="0"/>
        <w:spacing w:line="360" w:lineRule="auto"/>
        <w:ind w:left="480" w:hanging="480"/>
        <w:rPr>
          <w:noProof/>
        </w:rPr>
      </w:pPr>
      <w:r w:rsidRPr="00575A3E">
        <w:rPr>
          <w:noProof/>
        </w:rPr>
        <w:t>UK Office for National Statistics, 2019. Private Rental Market Summary Statistics – April 2018 to March 2019 44, 1–7.</w:t>
      </w:r>
    </w:p>
    <w:p w14:paraId="1A607444" w14:textId="77777777" w:rsidR="008361E4" w:rsidRPr="00575A3E" w:rsidRDefault="008361E4" w:rsidP="008361E4">
      <w:pPr>
        <w:autoSpaceDE w:val="0"/>
        <w:autoSpaceDN w:val="0"/>
        <w:adjustRightInd w:val="0"/>
        <w:spacing w:line="360" w:lineRule="auto"/>
        <w:ind w:left="480" w:hanging="480"/>
        <w:rPr>
          <w:noProof/>
        </w:rPr>
      </w:pPr>
      <w:r w:rsidRPr="00575A3E">
        <w:rPr>
          <w:noProof/>
        </w:rPr>
        <w:t>US Governor’s Office of Planning and Research, 2022. Automated Vehicle Principles for Healthy and Sustainable Communities [WWW Document]. URL https://opr.ca.gov/planning/transportation/automated-vehicles.html (accessed 11.25.22).</w:t>
      </w:r>
    </w:p>
    <w:p w14:paraId="015924BB" w14:textId="77777777" w:rsidR="008361E4" w:rsidRPr="00575A3E" w:rsidRDefault="008361E4" w:rsidP="008361E4">
      <w:pPr>
        <w:autoSpaceDE w:val="0"/>
        <w:autoSpaceDN w:val="0"/>
        <w:adjustRightInd w:val="0"/>
        <w:spacing w:line="360" w:lineRule="auto"/>
        <w:ind w:left="480" w:hanging="480"/>
        <w:rPr>
          <w:noProof/>
        </w:rPr>
      </w:pPr>
      <w:r w:rsidRPr="00575A3E">
        <w:rPr>
          <w:noProof/>
        </w:rPr>
        <w:lastRenderedPageBreak/>
        <w:t>US National Cooperative Highway Research Program, 2019. Foreseeing the Impact of Transformational Technologies on Land Use and Transportation, Foreseeing the Impact of Transformational Technologies on Land Use and Transportation. https://doi.org/10.17226/25580</w:t>
      </w:r>
    </w:p>
    <w:p w14:paraId="53E2CD1C" w14:textId="77777777" w:rsidR="008361E4" w:rsidRPr="00575A3E" w:rsidRDefault="008361E4" w:rsidP="008361E4">
      <w:pPr>
        <w:autoSpaceDE w:val="0"/>
        <w:autoSpaceDN w:val="0"/>
        <w:adjustRightInd w:val="0"/>
        <w:spacing w:line="360" w:lineRule="auto"/>
        <w:ind w:left="480" w:hanging="480"/>
        <w:rPr>
          <w:noProof/>
        </w:rPr>
      </w:pPr>
      <w:r w:rsidRPr="00575A3E">
        <w:rPr>
          <w:noProof/>
        </w:rPr>
        <w:t>van den Berg, V.A.C., Verhoef, E.T., 2016. Autonomous cars and dynamic bottleneck congestion: The effects on capacity, value of time and preference heterogeneity. Transp. Res. Part B Methodol. 94, 43–60. https://doi.org/10.1016/j.trb.2016.08.018</w:t>
      </w:r>
    </w:p>
    <w:p w14:paraId="3EE38756" w14:textId="77777777" w:rsidR="008361E4" w:rsidRPr="00575A3E" w:rsidRDefault="008361E4" w:rsidP="008361E4">
      <w:pPr>
        <w:autoSpaceDE w:val="0"/>
        <w:autoSpaceDN w:val="0"/>
        <w:adjustRightInd w:val="0"/>
        <w:spacing w:line="360" w:lineRule="auto"/>
        <w:ind w:left="480" w:hanging="480"/>
        <w:rPr>
          <w:noProof/>
        </w:rPr>
      </w:pPr>
      <w:r w:rsidRPr="00575A3E">
        <w:rPr>
          <w:noProof/>
        </w:rPr>
        <w:t>van Wee, B., Milakis, D., Thomopoulos, N., 2020. Overall synthesis and conclusions, in: Advances in Transport Policy and Planning. https://doi.org/10.1016/bs.atpp.2020.06.001</w:t>
      </w:r>
    </w:p>
    <w:p w14:paraId="39CBBD38" w14:textId="77777777" w:rsidR="008361E4" w:rsidRPr="00575A3E" w:rsidRDefault="008361E4" w:rsidP="008361E4">
      <w:pPr>
        <w:autoSpaceDE w:val="0"/>
        <w:autoSpaceDN w:val="0"/>
        <w:adjustRightInd w:val="0"/>
        <w:spacing w:line="360" w:lineRule="auto"/>
        <w:ind w:left="480" w:hanging="480"/>
        <w:rPr>
          <w:noProof/>
        </w:rPr>
      </w:pPr>
      <w:r w:rsidRPr="00575A3E">
        <w:rPr>
          <w:noProof/>
        </w:rPr>
        <w:t>Volpati, V., Barthelemy, M., 2020. Revisiting the coupling between accessibility and population growth. JPhys Complex. 1. https://doi.org/10.1088/2632-072X/ab97a7</w:t>
      </w:r>
    </w:p>
    <w:p w14:paraId="5826D20D" w14:textId="77777777" w:rsidR="008361E4" w:rsidRPr="00575A3E" w:rsidRDefault="008361E4" w:rsidP="008361E4">
      <w:pPr>
        <w:autoSpaceDE w:val="0"/>
        <w:autoSpaceDN w:val="0"/>
        <w:adjustRightInd w:val="0"/>
        <w:spacing w:line="360" w:lineRule="auto"/>
        <w:ind w:left="480" w:hanging="480"/>
        <w:rPr>
          <w:noProof/>
        </w:rPr>
      </w:pPr>
      <w:r w:rsidRPr="00575A3E">
        <w:rPr>
          <w:noProof/>
        </w:rPr>
        <w:t>Wadud, Z., 2017. Fully automated vehicles: A cost of ownership analysis to inform early adoption. Transp. Res. Part A Policy Pract. https://doi.org/10.1016/j.tra.2017.05.005</w:t>
      </w:r>
    </w:p>
    <w:p w14:paraId="64552C37" w14:textId="77777777" w:rsidR="008361E4" w:rsidRPr="00575A3E" w:rsidRDefault="008361E4" w:rsidP="008361E4">
      <w:pPr>
        <w:autoSpaceDE w:val="0"/>
        <w:autoSpaceDN w:val="0"/>
        <w:adjustRightInd w:val="0"/>
        <w:spacing w:line="360" w:lineRule="auto"/>
        <w:ind w:left="480" w:hanging="480"/>
        <w:rPr>
          <w:noProof/>
        </w:rPr>
      </w:pPr>
      <w:r w:rsidRPr="00575A3E">
        <w:rPr>
          <w:noProof/>
        </w:rPr>
        <w:t>Wegener, M., 2014. Land-use transport interactions models, in: Handbook of Regional Science. pp. 1–1732. https://doi.org/10.1007/978-3-642-23430-9</w:t>
      </w:r>
    </w:p>
    <w:p w14:paraId="328E1E9C" w14:textId="77777777" w:rsidR="008361E4" w:rsidRPr="00575A3E" w:rsidRDefault="008361E4" w:rsidP="008361E4">
      <w:pPr>
        <w:autoSpaceDE w:val="0"/>
        <w:autoSpaceDN w:val="0"/>
        <w:adjustRightInd w:val="0"/>
        <w:spacing w:line="360" w:lineRule="auto"/>
        <w:ind w:left="480" w:hanging="480"/>
        <w:rPr>
          <w:noProof/>
        </w:rPr>
      </w:pPr>
      <w:r w:rsidRPr="00575A3E">
        <w:rPr>
          <w:noProof/>
        </w:rPr>
        <w:t>Wegener, M., 2006. Overview of Land Use Transport Models. pp. 127–146. https://doi.org/10.1108/9781615832538-009</w:t>
      </w:r>
    </w:p>
    <w:p w14:paraId="11391E57" w14:textId="77777777" w:rsidR="008361E4" w:rsidRPr="00575A3E" w:rsidRDefault="008361E4" w:rsidP="008361E4">
      <w:pPr>
        <w:autoSpaceDE w:val="0"/>
        <w:autoSpaceDN w:val="0"/>
        <w:adjustRightInd w:val="0"/>
        <w:spacing w:line="360" w:lineRule="auto"/>
        <w:ind w:left="480" w:hanging="480"/>
        <w:rPr>
          <w:noProof/>
        </w:rPr>
      </w:pPr>
      <w:r w:rsidRPr="00575A3E">
        <w:rPr>
          <w:noProof/>
        </w:rPr>
        <w:t>West Midlands Combined Authority, 2017. The West Midlands Strategic Transport Plan.</w:t>
      </w:r>
    </w:p>
    <w:p w14:paraId="574DB703" w14:textId="77777777" w:rsidR="008361E4" w:rsidRPr="00575A3E" w:rsidRDefault="008361E4" w:rsidP="008361E4">
      <w:pPr>
        <w:autoSpaceDE w:val="0"/>
        <w:autoSpaceDN w:val="0"/>
        <w:adjustRightInd w:val="0"/>
        <w:spacing w:line="360" w:lineRule="auto"/>
        <w:ind w:left="480" w:hanging="480"/>
        <w:rPr>
          <w:noProof/>
        </w:rPr>
      </w:pPr>
      <w:r w:rsidRPr="00575A3E">
        <w:rPr>
          <w:noProof/>
        </w:rPr>
        <w:t>wikiwand.com, 2021. West Midlands (region) [WWW Document]. URL https://www.wikiwand.com/en/West_Midlands_(region) (accessed 7.29.21).</w:t>
      </w:r>
    </w:p>
    <w:p w14:paraId="5B72CBE6" w14:textId="77777777" w:rsidR="008361E4" w:rsidRPr="00575A3E" w:rsidRDefault="008361E4" w:rsidP="008361E4">
      <w:pPr>
        <w:autoSpaceDE w:val="0"/>
        <w:autoSpaceDN w:val="0"/>
        <w:adjustRightInd w:val="0"/>
        <w:spacing w:line="360" w:lineRule="auto"/>
        <w:ind w:left="480" w:hanging="480"/>
        <w:rPr>
          <w:noProof/>
        </w:rPr>
      </w:pPr>
      <w:r w:rsidRPr="00575A3E">
        <w:rPr>
          <w:noProof/>
        </w:rPr>
        <w:t>Williams, N., 2019. Integrating Position Uncertainty in Connected and Automated Vehicle Applications. UNIVERSITY OF CALIFORNIA.</w:t>
      </w:r>
    </w:p>
    <w:p w14:paraId="5E052047" w14:textId="77777777" w:rsidR="008361E4" w:rsidRPr="00575A3E" w:rsidRDefault="008361E4" w:rsidP="008361E4">
      <w:pPr>
        <w:autoSpaceDE w:val="0"/>
        <w:autoSpaceDN w:val="0"/>
        <w:adjustRightInd w:val="0"/>
        <w:spacing w:line="360" w:lineRule="auto"/>
        <w:ind w:left="480" w:hanging="480"/>
        <w:rPr>
          <w:noProof/>
        </w:rPr>
      </w:pPr>
      <w:r w:rsidRPr="00575A3E">
        <w:rPr>
          <w:noProof/>
        </w:rPr>
        <w:t>Zhang, R., Zhang, J., Long, Y., Wu, W., Liu, J., Jiang, Y., 2021. Long-term implications of electric vehicle penetration in urban decarbonization scenarios: An integrated land use–transport–energy model. Sustain. Cities Soc. https://doi.org/10.1016/j.scs.2021.102800</w:t>
      </w:r>
    </w:p>
    <w:p w14:paraId="05B428F3" w14:textId="77777777" w:rsidR="008361E4" w:rsidRPr="00575A3E" w:rsidRDefault="008361E4" w:rsidP="008361E4">
      <w:pPr>
        <w:autoSpaceDE w:val="0"/>
        <w:autoSpaceDN w:val="0"/>
        <w:adjustRightInd w:val="0"/>
        <w:spacing w:line="360" w:lineRule="auto"/>
        <w:ind w:left="480" w:hanging="480"/>
        <w:rPr>
          <w:noProof/>
        </w:rPr>
      </w:pPr>
      <w:r w:rsidRPr="00575A3E">
        <w:rPr>
          <w:noProof/>
        </w:rPr>
        <w:t>Zhang, W., 2017. The interaction between land use and transportation in the era of shared autonomous vehicles: A simulation model. Georgia Institute of Technology.</w:t>
      </w:r>
    </w:p>
    <w:p w14:paraId="6B93ADFE" w14:textId="77777777" w:rsidR="008361E4" w:rsidRPr="00575A3E" w:rsidRDefault="008361E4" w:rsidP="008361E4">
      <w:pPr>
        <w:autoSpaceDE w:val="0"/>
        <w:autoSpaceDN w:val="0"/>
        <w:adjustRightInd w:val="0"/>
        <w:spacing w:line="360" w:lineRule="auto"/>
        <w:ind w:left="480" w:hanging="480"/>
        <w:rPr>
          <w:noProof/>
        </w:rPr>
      </w:pPr>
      <w:r w:rsidRPr="00575A3E">
        <w:rPr>
          <w:noProof/>
        </w:rPr>
        <w:t>Zhong, S., Li, X., Jiang, Y., Cheng, R., Wang, Z., 2020. Identifying the combined effect of shared autonomous vehicles and congestion pricing on regional job accessibility. J. Transp. Land Use 13. https://doi.org/10.5198/jtlu.2020.1692</w:t>
      </w:r>
    </w:p>
    <w:p w14:paraId="57F23042" w14:textId="3CD056E4" w:rsidR="00151070" w:rsidRPr="00575A3E" w:rsidRDefault="00B54B0F" w:rsidP="009714CE">
      <w:pPr>
        <w:autoSpaceDE w:val="0"/>
        <w:autoSpaceDN w:val="0"/>
        <w:adjustRightInd w:val="0"/>
        <w:spacing w:line="360" w:lineRule="auto"/>
        <w:ind w:left="426" w:hanging="426"/>
        <w:jc w:val="left"/>
        <w:rPr>
          <w:rFonts w:ascii="Symbol" w:hAnsi="Symbol" w:hint="eastAsia"/>
          <w:kern w:val="0"/>
          <w:szCs w:val="22"/>
          <w:lang w:val="en-GB" w:eastAsia="en-CA"/>
        </w:rPr>
      </w:pPr>
      <w:r w:rsidRPr="00575A3E">
        <w:rPr>
          <w:rFonts w:eastAsia="Times New Roman"/>
          <w:b/>
          <w:kern w:val="0"/>
          <w:szCs w:val="22"/>
          <w:lang w:val="en-GB" w:eastAsia="en-US"/>
        </w:rPr>
        <w:fldChar w:fldCharType="end"/>
      </w:r>
    </w:p>
    <w:sectPr w:rsidR="00151070" w:rsidRPr="00575A3E" w:rsidSect="006C2236">
      <w:headerReference w:type="default" r:id="rId29"/>
      <w:type w:val="continuous"/>
      <w:pgSz w:w="12240" w:h="15840"/>
      <w:pgMar w:top="1440" w:right="1440" w:bottom="1440" w:left="1440" w:header="72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DBF0B" w14:textId="77777777" w:rsidR="00241CB6" w:rsidRDefault="00241CB6">
      <w:r>
        <w:separator/>
      </w:r>
    </w:p>
  </w:endnote>
  <w:endnote w:type="continuationSeparator" w:id="0">
    <w:p w14:paraId="271042D9" w14:textId="77777777" w:rsidR="00241CB6" w:rsidRDefault="00241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158616"/>
      <w:docPartObj>
        <w:docPartGallery w:val="Page Numbers (Bottom of Page)"/>
        <w:docPartUnique/>
      </w:docPartObj>
    </w:sdtPr>
    <w:sdtEndPr>
      <w:rPr>
        <w:noProof/>
      </w:rPr>
    </w:sdtEndPr>
    <w:sdtContent>
      <w:p w14:paraId="045812BA" w14:textId="4C5B2881" w:rsidR="008D5D05" w:rsidRDefault="008D5D05">
        <w:pPr>
          <w:pStyle w:val="Footer"/>
          <w:jc w:val="right"/>
        </w:pPr>
        <w:r>
          <w:fldChar w:fldCharType="begin"/>
        </w:r>
        <w:r>
          <w:instrText xml:space="preserve"> PAGE   \* MERGEFORMAT </w:instrText>
        </w:r>
        <w:r>
          <w:fldChar w:fldCharType="separate"/>
        </w:r>
        <w:r w:rsidR="00250A1C">
          <w:rPr>
            <w:noProof/>
          </w:rPr>
          <w:t>46</w:t>
        </w:r>
        <w:r>
          <w:rPr>
            <w:noProof/>
          </w:rPr>
          <w:fldChar w:fldCharType="end"/>
        </w:r>
      </w:p>
    </w:sdtContent>
  </w:sdt>
  <w:p w14:paraId="4F79C71D" w14:textId="77777777" w:rsidR="008D5D05" w:rsidRDefault="008D5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7388F" w14:textId="77777777" w:rsidR="00241CB6" w:rsidRDefault="00241CB6">
      <w:r>
        <w:separator/>
      </w:r>
    </w:p>
  </w:footnote>
  <w:footnote w:type="continuationSeparator" w:id="0">
    <w:p w14:paraId="2D07CB84" w14:textId="77777777" w:rsidR="00241CB6" w:rsidRDefault="00241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088A" w14:textId="77777777" w:rsidR="008D5D05" w:rsidRDefault="008D5D05">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E3BBC5"/>
    <w:multiLevelType w:val="hybridMultilevel"/>
    <w:tmpl w:val="C0690D9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AC6315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C3564"/>
    <w:multiLevelType w:val="hybridMultilevel"/>
    <w:tmpl w:val="0F46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E1A51"/>
    <w:multiLevelType w:val="hybridMultilevel"/>
    <w:tmpl w:val="B1A45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87EB3"/>
    <w:multiLevelType w:val="multilevel"/>
    <w:tmpl w:val="CE4AA50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0CDD2BA5"/>
    <w:multiLevelType w:val="hybridMultilevel"/>
    <w:tmpl w:val="15A2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F3611"/>
    <w:multiLevelType w:val="multilevel"/>
    <w:tmpl w:val="232EFAF8"/>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95F81"/>
    <w:multiLevelType w:val="multilevel"/>
    <w:tmpl w:val="595450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A322288"/>
    <w:multiLevelType w:val="multilevel"/>
    <w:tmpl w:val="FF308A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C1E57DB"/>
    <w:multiLevelType w:val="hybridMultilevel"/>
    <w:tmpl w:val="CE1A423A"/>
    <w:lvl w:ilvl="0" w:tplc="08090001">
      <w:start w:val="1"/>
      <w:numFmt w:val="bullet"/>
      <w:lvlText w:val=""/>
      <w:lvlJc w:val="left"/>
      <w:pPr>
        <w:ind w:left="720" w:hanging="360"/>
      </w:pPr>
      <w:rPr>
        <w:rFonts w:ascii="Symbol" w:hAnsi="Symbol" w:hint="default"/>
      </w:rPr>
    </w:lvl>
    <w:lvl w:ilvl="1" w:tplc="7E0C1E3A">
      <w:numFmt w:val="bullet"/>
      <w:lvlText w:val="•"/>
      <w:lvlJc w:val="left"/>
      <w:pPr>
        <w:ind w:left="1440" w:hanging="360"/>
      </w:pPr>
      <w:rPr>
        <w:rFonts w:ascii="Cambria" w:eastAsia="MS Mincho" w:hAnsi="Cambria" w:cs="Cambri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83D12"/>
    <w:multiLevelType w:val="hybridMultilevel"/>
    <w:tmpl w:val="EE5E4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9708D8"/>
    <w:multiLevelType w:val="multilevel"/>
    <w:tmpl w:val="E6D62298"/>
    <w:lvl w:ilvl="0">
      <w:start w:val="1"/>
      <w:numFmt w:val="decimal"/>
      <w:pStyle w:val="SIDTfirstheading"/>
      <w:lvlText w:val="%1."/>
      <w:lvlJc w:val="left"/>
      <w:pPr>
        <w:tabs>
          <w:tab w:val="num" w:pos="360"/>
        </w:tabs>
        <w:ind w:left="284" w:hanging="284"/>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DF5434B"/>
    <w:multiLevelType w:val="hybridMultilevel"/>
    <w:tmpl w:val="BC9AEF34"/>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 w15:restartNumberingAfterBreak="0">
    <w:nsid w:val="3769032B"/>
    <w:multiLevelType w:val="multilevel"/>
    <w:tmpl w:val="862CD40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9775628"/>
    <w:multiLevelType w:val="multilevel"/>
    <w:tmpl w:val="E7E2639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 w15:restartNumberingAfterBreak="0">
    <w:nsid w:val="3A4A7ACC"/>
    <w:multiLevelType w:val="hybridMultilevel"/>
    <w:tmpl w:val="5846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F2650"/>
    <w:multiLevelType w:val="hybridMultilevel"/>
    <w:tmpl w:val="E9A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F0023"/>
    <w:multiLevelType w:val="multilevel"/>
    <w:tmpl w:val="02D8572E"/>
    <w:lvl w:ilvl="0">
      <w:start w:val="1"/>
      <w:numFmt w:val="decimal"/>
      <w:lvlText w:val="Chapter %1"/>
      <w:lvlJc w:val="left"/>
      <w:pPr>
        <w:tabs>
          <w:tab w:val="num" w:pos="1985"/>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18" w15:restartNumberingAfterBreak="0">
    <w:nsid w:val="43A974A0"/>
    <w:multiLevelType w:val="multilevel"/>
    <w:tmpl w:val="BD248FA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46A448FD"/>
    <w:multiLevelType w:val="hybridMultilevel"/>
    <w:tmpl w:val="C6B81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6C75E1"/>
    <w:multiLevelType w:val="hybridMultilevel"/>
    <w:tmpl w:val="0526F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2D0170"/>
    <w:multiLevelType w:val="multilevel"/>
    <w:tmpl w:val="C4B2681A"/>
    <w:lvl w:ilvl="0">
      <w:start w:val="1"/>
      <w:numFmt w:val="bullet"/>
      <w:pStyle w:val="List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1E2153"/>
    <w:multiLevelType w:val="hybridMultilevel"/>
    <w:tmpl w:val="400677B0"/>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25225FC"/>
    <w:multiLevelType w:val="multilevel"/>
    <w:tmpl w:val="F3A827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6B613A73"/>
    <w:multiLevelType w:val="hybridMultilevel"/>
    <w:tmpl w:val="405EC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BC2C4C"/>
    <w:multiLevelType w:val="multilevel"/>
    <w:tmpl w:val="3D4CE0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71046EE3"/>
    <w:multiLevelType w:val="hybridMultilevel"/>
    <w:tmpl w:val="B1688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7C4957"/>
    <w:multiLevelType w:val="hybridMultilevel"/>
    <w:tmpl w:val="972CEE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2A04611"/>
    <w:multiLevelType w:val="hybridMultilevel"/>
    <w:tmpl w:val="8032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F60C9"/>
    <w:multiLevelType w:val="hybridMultilevel"/>
    <w:tmpl w:val="72B4D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675A97"/>
    <w:multiLevelType w:val="hybridMultilevel"/>
    <w:tmpl w:val="3B908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76571">
    <w:abstractNumId w:val="4"/>
  </w:num>
  <w:num w:numId="2" w16cid:durableId="255334406">
    <w:abstractNumId w:val="21"/>
  </w:num>
  <w:num w:numId="3" w16cid:durableId="2096128672">
    <w:abstractNumId w:val="11"/>
  </w:num>
  <w:num w:numId="4" w16cid:durableId="1993867781">
    <w:abstractNumId w:val="18"/>
  </w:num>
  <w:num w:numId="5" w16cid:durableId="1184518045">
    <w:abstractNumId w:val="26"/>
  </w:num>
  <w:num w:numId="6" w16cid:durableId="1810780707">
    <w:abstractNumId w:val="13"/>
  </w:num>
  <w:num w:numId="7" w16cid:durableId="1000040305">
    <w:abstractNumId w:val="28"/>
  </w:num>
  <w:num w:numId="8" w16cid:durableId="39869676">
    <w:abstractNumId w:val="23"/>
  </w:num>
  <w:num w:numId="9" w16cid:durableId="1952975009">
    <w:abstractNumId w:val="25"/>
  </w:num>
  <w:num w:numId="10" w16cid:durableId="700322536">
    <w:abstractNumId w:val="1"/>
  </w:num>
  <w:num w:numId="11" w16cid:durableId="1249578531">
    <w:abstractNumId w:val="22"/>
  </w:num>
  <w:num w:numId="12" w16cid:durableId="1715037931">
    <w:abstractNumId w:val="7"/>
  </w:num>
  <w:num w:numId="13" w16cid:durableId="682631638">
    <w:abstractNumId w:val="8"/>
  </w:num>
  <w:num w:numId="14" w16cid:durableId="495924389">
    <w:abstractNumId w:val="14"/>
  </w:num>
  <w:num w:numId="15" w16cid:durableId="2072538615">
    <w:abstractNumId w:val="24"/>
  </w:num>
  <w:num w:numId="16" w16cid:durableId="1987777113">
    <w:abstractNumId w:val="9"/>
  </w:num>
  <w:num w:numId="17" w16cid:durableId="1552115544">
    <w:abstractNumId w:val="0"/>
  </w:num>
  <w:num w:numId="18" w16cid:durableId="756441672">
    <w:abstractNumId w:val="19"/>
  </w:num>
  <w:num w:numId="19" w16cid:durableId="367730678">
    <w:abstractNumId w:val="5"/>
  </w:num>
  <w:num w:numId="20" w16cid:durableId="1151219069">
    <w:abstractNumId w:val="20"/>
  </w:num>
  <w:num w:numId="21" w16cid:durableId="1121343005">
    <w:abstractNumId w:val="27"/>
  </w:num>
  <w:num w:numId="22" w16cid:durableId="73860492">
    <w:abstractNumId w:val="12"/>
  </w:num>
  <w:num w:numId="23" w16cid:durableId="1163013056">
    <w:abstractNumId w:val="15"/>
  </w:num>
  <w:num w:numId="24" w16cid:durableId="1829901807">
    <w:abstractNumId w:val="29"/>
  </w:num>
  <w:num w:numId="25" w16cid:durableId="534540706">
    <w:abstractNumId w:val="10"/>
  </w:num>
  <w:num w:numId="26" w16cid:durableId="1124807734">
    <w:abstractNumId w:val="3"/>
  </w:num>
  <w:num w:numId="27" w16cid:durableId="2114089957">
    <w:abstractNumId w:val="31"/>
  </w:num>
  <w:num w:numId="28" w16cid:durableId="1846480771">
    <w:abstractNumId w:val="6"/>
  </w:num>
  <w:num w:numId="29" w16cid:durableId="2136832261">
    <w:abstractNumId w:val="16"/>
  </w:num>
  <w:num w:numId="30" w16cid:durableId="55858460">
    <w:abstractNumId w:val="30"/>
  </w:num>
  <w:num w:numId="31" w16cid:durableId="1134910989">
    <w:abstractNumId w:val="2"/>
  </w:num>
  <w:num w:numId="32" w16cid:durableId="671179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defaultTabStop w:val="839"/>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070"/>
    <w:rsid w:val="000037B0"/>
    <w:rsid w:val="000039CF"/>
    <w:rsid w:val="00005F61"/>
    <w:rsid w:val="00010723"/>
    <w:rsid w:val="000120E8"/>
    <w:rsid w:val="000138E5"/>
    <w:rsid w:val="00014641"/>
    <w:rsid w:val="00014E48"/>
    <w:rsid w:val="00016994"/>
    <w:rsid w:val="0001789C"/>
    <w:rsid w:val="0002143A"/>
    <w:rsid w:val="00023FD8"/>
    <w:rsid w:val="0002665A"/>
    <w:rsid w:val="00031634"/>
    <w:rsid w:val="000318F3"/>
    <w:rsid w:val="00036DDA"/>
    <w:rsid w:val="00037822"/>
    <w:rsid w:val="00037F33"/>
    <w:rsid w:val="0004129A"/>
    <w:rsid w:val="00041D20"/>
    <w:rsid w:val="00044F80"/>
    <w:rsid w:val="00046D58"/>
    <w:rsid w:val="0005023D"/>
    <w:rsid w:val="000546E6"/>
    <w:rsid w:val="00057771"/>
    <w:rsid w:val="0006106A"/>
    <w:rsid w:val="00061872"/>
    <w:rsid w:val="00064F03"/>
    <w:rsid w:val="00065A7B"/>
    <w:rsid w:val="00072399"/>
    <w:rsid w:val="000762D9"/>
    <w:rsid w:val="00076A62"/>
    <w:rsid w:val="0008241E"/>
    <w:rsid w:val="000870E5"/>
    <w:rsid w:val="000874E1"/>
    <w:rsid w:val="00087A11"/>
    <w:rsid w:val="00090091"/>
    <w:rsid w:val="0009045B"/>
    <w:rsid w:val="000928D6"/>
    <w:rsid w:val="00094C01"/>
    <w:rsid w:val="000A2046"/>
    <w:rsid w:val="000A3560"/>
    <w:rsid w:val="000A6BC2"/>
    <w:rsid w:val="000A79A7"/>
    <w:rsid w:val="000B132F"/>
    <w:rsid w:val="000B22B9"/>
    <w:rsid w:val="000B6336"/>
    <w:rsid w:val="000C1112"/>
    <w:rsid w:val="000C1674"/>
    <w:rsid w:val="000C2F0E"/>
    <w:rsid w:val="000C5569"/>
    <w:rsid w:val="000C6100"/>
    <w:rsid w:val="000D00BF"/>
    <w:rsid w:val="000D046D"/>
    <w:rsid w:val="000D13A1"/>
    <w:rsid w:val="000D1DC7"/>
    <w:rsid w:val="000D33AC"/>
    <w:rsid w:val="000D66EC"/>
    <w:rsid w:val="000D7EE1"/>
    <w:rsid w:val="000E1004"/>
    <w:rsid w:val="000E1070"/>
    <w:rsid w:val="000E1AED"/>
    <w:rsid w:val="000E753F"/>
    <w:rsid w:val="000F02D1"/>
    <w:rsid w:val="000F0E6B"/>
    <w:rsid w:val="000F545B"/>
    <w:rsid w:val="000F559E"/>
    <w:rsid w:val="000F664C"/>
    <w:rsid w:val="00100C0A"/>
    <w:rsid w:val="0010300D"/>
    <w:rsid w:val="001038F2"/>
    <w:rsid w:val="001039DF"/>
    <w:rsid w:val="00111095"/>
    <w:rsid w:val="00114896"/>
    <w:rsid w:val="001161F9"/>
    <w:rsid w:val="00120855"/>
    <w:rsid w:val="00122452"/>
    <w:rsid w:val="001231DF"/>
    <w:rsid w:val="00123FD9"/>
    <w:rsid w:val="00124FC9"/>
    <w:rsid w:val="00125149"/>
    <w:rsid w:val="00125AE0"/>
    <w:rsid w:val="00135F52"/>
    <w:rsid w:val="00137815"/>
    <w:rsid w:val="001453CD"/>
    <w:rsid w:val="00150598"/>
    <w:rsid w:val="00151070"/>
    <w:rsid w:val="00154F0D"/>
    <w:rsid w:val="00156953"/>
    <w:rsid w:val="00157F12"/>
    <w:rsid w:val="00162565"/>
    <w:rsid w:val="00162F00"/>
    <w:rsid w:val="001630F9"/>
    <w:rsid w:val="00163223"/>
    <w:rsid w:val="00163FC7"/>
    <w:rsid w:val="00166C9D"/>
    <w:rsid w:val="00171FC8"/>
    <w:rsid w:val="001763AC"/>
    <w:rsid w:val="00177683"/>
    <w:rsid w:val="00181AAE"/>
    <w:rsid w:val="00181BC6"/>
    <w:rsid w:val="00183433"/>
    <w:rsid w:val="00184F36"/>
    <w:rsid w:val="00185C7C"/>
    <w:rsid w:val="00186376"/>
    <w:rsid w:val="0019006A"/>
    <w:rsid w:val="00190D70"/>
    <w:rsid w:val="00197D9D"/>
    <w:rsid w:val="001A3287"/>
    <w:rsid w:val="001A343D"/>
    <w:rsid w:val="001A3B4B"/>
    <w:rsid w:val="001A3E72"/>
    <w:rsid w:val="001A4CB1"/>
    <w:rsid w:val="001A56FA"/>
    <w:rsid w:val="001B19C1"/>
    <w:rsid w:val="001B2FEA"/>
    <w:rsid w:val="001B3826"/>
    <w:rsid w:val="001B62B9"/>
    <w:rsid w:val="001B6304"/>
    <w:rsid w:val="001B71F7"/>
    <w:rsid w:val="001B7744"/>
    <w:rsid w:val="001C0E5D"/>
    <w:rsid w:val="001C26F8"/>
    <w:rsid w:val="001C3CB2"/>
    <w:rsid w:val="001C557E"/>
    <w:rsid w:val="001C5589"/>
    <w:rsid w:val="001C6884"/>
    <w:rsid w:val="001C6ECE"/>
    <w:rsid w:val="001D221C"/>
    <w:rsid w:val="001D2556"/>
    <w:rsid w:val="001D6BC6"/>
    <w:rsid w:val="001D6C45"/>
    <w:rsid w:val="001D7D86"/>
    <w:rsid w:val="001E15B7"/>
    <w:rsid w:val="001E2051"/>
    <w:rsid w:val="001E3838"/>
    <w:rsid w:val="001E54E5"/>
    <w:rsid w:val="001E5639"/>
    <w:rsid w:val="001E7CF1"/>
    <w:rsid w:val="001F21E1"/>
    <w:rsid w:val="001F3F15"/>
    <w:rsid w:val="001F710B"/>
    <w:rsid w:val="00202FE8"/>
    <w:rsid w:val="00203353"/>
    <w:rsid w:val="00203E5C"/>
    <w:rsid w:val="00205243"/>
    <w:rsid w:val="0021184D"/>
    <w:rsid w:val="002119BD"/>
    <w:rsid w:val="00220306"/>
    <w:rsid w:val="0022241D"/>
    <w:rsid w:val="002226A4"/>
    <w:rsid w:val="00224F0B"/>
    <w:rsid w:val="00234A37"/>
    <w:rsid w:val="0024167F"/>
    <w:rsid w:val="00241CB6"/>
    <w:rsid w:val="0024255E"/>
    <w:rsid w:val="0024331D"/>
    <w:rsid w:val="00244597"/>
    <w:rsid w:val="0024499A"/>
    <w:rsid w:val="00244AE0"/>
    <w:rsid w:val="00246540"/>
    <w:rsid w:val="002508C3"/>
    <w:rsid w:val="00250A1C"/>
    <w:rsid w:val="00250EF4"/>
    <w:rsid w:val="002520D9"/>
    <w:rsid w:val="002527DF"/>
    <w:rsid w:val="00256AD5"/>
    <w:rsid w:val="00260519"/>
    <w:rsid w:val="0026155D"/>
    <w:rsid w:val="002654EA"/>
    <w:rsid w:val="002659BE"/>
    <w:rsid w:val="002659CA"/>
    <w:rsid w:val="00271E0B"/>
    <w:rsid w:val="00272413"/>
    <w:rsid w:val="00272A60"/>
    <w:rsid w:val="002746C5"/>
    <w:rsid w:val="00274C68"/>
    <w:rsid w:val="002762C7"/>
    <w:rsid w:val="00277BF9"/>
    <w:rsid w:val="0028166E"/>
    <w:rsid w:val="002834B8"/>
    <w:rsid w:val="002859DD"/>
    <w:rsid w:val="002866FC"/>
    <w:rsid w:val="0029131F"/>
    <w:rsid w:val="00291D11"/>
    <w:rsid w:val="002938FE"/>
    <w:rsid w:val="002A0119"/>
    <w:rsid w:val="002A23D5"/>
    <w:rsid w:val="002A5DC3"/>
    <w:rsid w:val="002A6C91"/>
    <w:rsid w:val="002B1EAF"/>
    <w:rsid w:val="002B1FC4"/>
    <w:rsid w:val="002B21C8"/>
    <w:rsid w:val="002B4AAE"/>
    <w:rsid w:val="002B59FD"/>
    <w:rsid w:val="002B6E72"/>
    <w:rsid w:val="002B7815"/>
    <w:rsid w:val="002C1965"/>
    <w:rsid w:val="002C37D7"/>
    <w:rsid w:val="002C4749"/>
    <w:rsid w:val="002D1780"/>
    <w:rsid w:val="002D4137"/>
    <w:rsid w:val="002D56BC"/>
    <w:rsid w:val="002E3D72"/>
    <w:rsid w:val="002E5767"/>
    <w:rsid w:val="002E6242"/>
    <w:rsid w:val="002E6C13"/>
    <w:rsid w:val="002E77DD"/>
    <w:rsid w:val="002F21AF"/>
    <w:rsid w:val="002F4621"/>
    <w:rsid w:val="002F6D24"/>
    <w:rsid w:val="00303B74"/>
    <w:rsid w:val="003068C2"/>
    <w:rsid w:val="00310213"/>
    <w:rsid w:val="003102BD"/>
    <w:rsid w:val="00312156"/>
    <w:rsid w:val="00314CFA"/>
    <w:rsid w:val="00314F80"/>
    <w:rsid w:val="00317850"/>
    <w:rsid w:val="00320D14"/>
    <w:rsid w:val="00320EB9"/>
    <w:rsid w:val="00321C2F"/>
    <w:rsid w:val="00325CDC"/>
    <w:rsid w:val="003260FD"/>
    <w:rsid w:val="00330436"/>
    <w:rsid w:val="0033239E"/>
    <w:rsid w:val="003332F8"/>
    <w:rsid w:val="00333900"/>
    <w:rsid w:val="003369B2"/>
    <w:rsid w:val="00337B80"/>
    <w:rsid w:val="003428BA"/>
    <w:rsid w:val="0034521E"/>
    <w:rsid w:val="00351367"/>
    <w:rsid w:val="00355A56"/>
    <w:rsid w:val="00355C74"/>
    <w:rsid w:val="00357E56"/>
    <w:rsid w:val="003618DD"/>
    <w:rsid w:val="00361C6B"/>
    <w:rsid w:val="0036359F"/>
    <w:rsid w:val="00365502"/>
    <w:rsid w:val="003705E2"/>
    <w:rsid w:val="00370A23"/>
    <w:rsid w:val="00372DC4"/>
    <w:rsid w:val="003740C6"/>
    <w:rsid w:val="003751FF"/>
    <w:rsid w:val="0037704E"/>
    <w:rsid w:val="003819C8"/>
    <w:rsid w:val="003820AD"/>
    <w:rsid w:val="00383E02"/>
    <w:rsid w:val="00385184"/>
    <w:rsid w:val="00387813"/>
    <w:rsid w:val="003920B3"/>
    <w:rsid w:val="003927EA"/>
    <w:rsid w:val="00392C97"/>
    <w:rsid w:val="00394DA6"/>
    <w:rsid w:val="00395190"/>
    <w:rsid w:val="003A5FB1"/>
    <w:rsid w:val="003A6815"/>
    <w:rsid w:val="003A6E17"/>
    <w:rsid w:val="003A70AC"/>
    <w:rsid w:val="003B04A7"/>
    <w:rsid w:val="003B06F7"/>
    <w:rsid w:val="003B080C"/>
    <w:rsid w:val="003B36F6"/>
    <w:rsid w:val="003B4E9E"/>
    <w:rsid w:val="003B7837"/>
    <w:rsid w:val="003C0558"/>
    <w:rsid w:val="003C378F"/>
    <w:rsid w:val="003C75EF"/>
    <w:rsid w:val="003D1392"/>
    <w:rsid w:val="003E0A3A"/>
    <w:rsid w:val="003E365B"/>
    <w:rsid w:val="003E5DBD"/>
    <w:rsid w:val="003F1A1D"/>
    <w:rsid w:val="003F2698"/>
    <w:rsid w:val="003F27E3"/>
    <w:rsid w:val="003F497D"/>
    <w:rsid w:val="00407343"/>
    <w:rsid w:val="004104BB"/>
    <w:rsid w:val="00410B65"/>
    <w:rsid w:val="00414BD8"/>
    <w:rsid w:val="004167B1"/>
    <w:rsid w:val="0042191A"/>
    <w:rsid w:val="00421D05"/>
    <w:rsid w:val="00422745"/>
    <w:rsid w:val="0042602B"/>
    <w:rsid w:val="004278A3"/>
    <w:rsid w:val="00431B4A"/>
    <w:rsid w:val="004335AD"/>
    <w:rsid w:val="004338F5"/>
    <w:rsid w:val="00434455"/>
    <w:rsid w:val="0043655E"/>
    <w:rsid w:val="00437251"/>
    <w:rsid w:val="004428E6"/>
    <w:rsid w:val="00445AC5"/>
    <w:rsid w:val="00445E05"/>
    <w:rsid w:val="004469C4"/>
    <w:rsid w:val="00450A64"/>
    <w:rsid w:val="00450C48"/>
    <w:rsid w:val="00454144"/>
    <w:rsid w:val="00455577"/>
    <w:rsid w:val="00456DCC"/>
    <w:rsid w:val="004572BF"/>
    <w:rsid w:val="00460A33"/>
    <w:rsid w:val="00462BE4"/>
    <w:rsid w:val="00463B77"/>
    <w:rsid w:val="00464C7D"/>
    <w:rsid w:val="00466A76"/>
    <w:rsid w:val="004679D5"/>
    <w:rsid w:val="00467B4F"/>
    <w:rsid w:val="004719A5"/>
    <w:rsid w:val="00473004"/>
    <w:rsid w:val="0047448A"/>
    <w:rsid w:val="00475539"/>
    <w:rsid w:val="00476175"/>
    <w:rsid w:val="0047752B"/>
    <w:rsid w:val="00480117"/>
    <w:rsid w:val="004803AD"/>
    <w:rsid w:val="00483BE1"/>
    <w:rsid w:val="00487515"/>
    <w:rsid w:val="00487F2D"/>
    <w:rsid w:val="0049122D"/>
    <w:rsid w:val="00491B8F"/>
    <w:rsid w:val="004947FB"/>
    <w:rsid w:val="00496655"/>
    <w:rsid w:val="004A10EC"/>
    <w:rsid w:val="004A1B9A"/>
    <w:rsid w:val="004A1C59"/>
    <w:rsid w:val="004A2C33"/>
    <w:rsid w:val="004A6A9D"/>
    <w:rsid w:val="004B2C48"/>
    <w:rsid w:val="004B2E97"/>
    <w:rsid w:val="004B3D01"/>
    <w:rsid w:val="004B58D0"/>
    <w:rsid w:val="004C0FDD"/>
    <w:rsid w:val="004C243D"/>
    <w:rsid w:val="004C5C53"/>
    <w:rsid w:val="004D125E"/>
    <w:rsid w:val="004D45BB"/>
    <w:rsid w:val="004D7918"/>
    <w:rsid w:val="004D7BC7"/>
    <w:rsid w:val="004E0A67"/>
    <w:rsid w:val="004E13A4"/>
    <w:rsid w:val="004E1F7B"/>
    <w:rsid w:val="004E3536"/>
    <w:rsid w:val="004E7348"/>
    <w:rsid w:val="004E7E8E"/>
    <w:rsid w:val="004F1159"/>
    <w:rsid w:val="004F6648"/>
    <w:rsid w:val="004F7F5E"/>
    <w:rsid w:val="004F7FAB"/>
    <w:rsid w:val="005033DC"/>
    <w:rsid w:val="00505A48"/>
    <w:rsid w:val="00506289"/>
    <w:rsid w:val="005074BA"/>
    <w:rsid w:val="00511314"/>
    <w:rsid w:val="005175FF"/>
    <w:rsid w:val="0052402C"/>
    <w:rsid w:val="005270FA"/>
    <w:rsid w:val="00530AA2"/>
    <w:rsid w:val="0053170C"/>
    <w:rsid w:val="00537285"/>
    <w:rsid w:val="00537320"/>
    <w:rsid w:val="00540BEB"/>
    <w:rsid w:val="0054142B"/>
    <w:rsid w:val="00541AB2"/>
    <w:rsid w:val="00547475"/>
    <w:rsid w:val="00547AE0"/>
    <w:rsid w:val="00551D0B"/>
    <w:rsid w:val="00554E12"/>
    <w:rsid w:val="0055584A"/>
    <w:rsid w:val="00555CBB"/>
    <w:rsid w:val="00555CE0"/>
    <w:rsid w:val="00555D80"/>
    <w:rsid w:val="005600F4"/>
    <w:rsid w:val="00561627"/>
    <w:rsid w:val="00562D56"/>
    <w:rsid w:val="005641D1"/>
    <w:rsid w:val="00564EC5"/>
    <w:rsid w:val="00565241"/>
    <w:rsid w:val="00567D18"/>
    <w:rsid w:val="00570936"/>
    <w:rsid w:val="00572F42"/>
    <w:rsid w:val="0057358B"/>
    <w:rsid w:val="0057598A"/>
    <w:rsid w:val="00575A3E"/>
    <w:rsid w:val="00575DEC"/>
    <w:rsid w:val="005836F2"/>
    <w:rsid w:val="0059184E"/>
    <w:rsid w:val="005919B9"/>
    <w:rsid w:val="00595A39"/>
    <w:rsid w:val="00596BD5"/>
    <w:rsid w:val="005A03A0"/>
    <w:rsid w:val="005A0DBE"/>
    <w:rsid w:val="005A2F9A"/>
    <w:rsid w:val="005A39E6"/>
    <w:rsid w:val="005A523C"/>
    <w:rsid w:val="005A61CA"/>
    <w:rsid w:val="005B22CC"/>
    <w:rsid w:val="005C34C0"/>
    <w:rsid w:val="005C6372"/>
    <w:rsid w:val="005C6D8F"/>
    <w:rsid w:val="005C7407"/>
    <w:rsid w:val="005D1439"/>
    <w:rsid w:val="005D642F"/>
    <w:rsid w:val="005D710F"/>
    <w:rsid w:val="005D74EF"/>
    <w:rsid w:val="005E0248"/>
    <w:rsid w:val="005E6B43"/>
    <w:rsid w:val="005F1281"/>
    <w:rsid w:val="005F2774"/>
    <w:rsid w:val="005F2E51"/>
    <w:rsid w:val="005F6D1E"/>
    <w:rsid w:val="006024DA"/>
    <w:rsid w:val="006033C8"/>
    <w:rsid w:val="006044EC"/>
    <w:rsid w:val="00604C54"/>
    <w:rsid w:val="00606D4D"/>
    <w:rsid w:val="00606E8D"/>
    <w:rsid w:val="006101B2"/>
    <w:rsid w:val="00614F54"/>
    <w:rsid w:val="00616B48"/>
    <w:rsid w:val="00616E68"/>
    <w:rsid w:val="00621F5E"/>
    <w:rsid w:val="00624BF2"/>
    <w:rsid w:val="00625568"/>
    <w:rsid w:val="0062663C"/>
    <w:rsid w:val="006324B2"/>
    <w:rsid w:val="0063379E"/>
    <w:rsid w:val="00635902"/>
    <w:rsid w:val="00636D0D"/>
    <w:rsid w:val="00641902"/>
    <w:rsid w:val="00642DB1"/>
    <w:rsid w:val="00645246"/>
    <w:rsid w:val="00647AE2"/>
    <w:rsid w:val="00651D13"/>
    <w:rsid w:val="00652C68"/>
    <w:rsid w:val="00654801"/>
    <w:rsid w:val="006552F4"/>
    <w:rsid w:val="006556DF"/>
    <w:rsid w:val="00655D5F"/>
    <w:rsid w:val="00656E19"/>
    <w:rsid w:val="00661200"/>
    <w:rsid w:val="00661AEF"/>
    <w:rsid w:val="006650C8"/>
    <w:rsid w:val="00672C72"/>
    <w:rsid w:val="00675BA5"/>
    <w:rsid w:val="00677F34"/>
    <w:rsid w:val="00680F25"/>
    <w:rsid w:val="006824AC"/>
    <w:rsid w:val="00693617"/>
    <w:rsid w:val="006942EF"/>
    <w:rsid w:val="00694B21"/>
    <w:rsid w:val="0069599C"/>
    <w:rsid w:val="00695B63"/>
    <w:rsid w:val="006A31FE"/>
    <w:rsid w:val="006A3D27"/>
    <w:rsid w:val="006A5068"/>
    <w:rsid w:val="006A67C3"/>
    <w:rsid w:val="006A7362"/>
    <w:rsid w:val="006A7EE5"/>
    <w:rsid w:val="006B0E54"/>
    <w:rsid w:val="006B1DD6"/>
    <w:rsid w:val="006B45F4"/>
    <w:rsid w:val="006B7685"/>
    <w:rsid w:val="006C07D7"/>
    <w:rsid w:val="006C21E1"/>
    <w:rsid w:val="006C2236"/>
    <w:rsid w:val="006C3199"/>
    <w:rsid w:val="006C3B49"/>
    <w:rsid w:val="006C50A3"/>
    <w:rsid w:val="006C63E2"/>
    <w:rsid w:val="006C7E0D"/>
    <w:rsid w:val="006D052A"/>
    <w:rsid w:val="006D3189"/>
    <w:rsid w:val="006D4137"/>
    <w:rsid w:val="006D4144"/>
    <w:rsid w:val="006D6CA4"/>
    <w:rsid w:val="006D70DE"/>
    <w:rsid w:val="006E0E1E"/>
    <w:rsid w:val="006E3B97"/>
    <w:rsid w:val="006E429D"/>
    <w:rsid w:val="006F1402"/>
    <w:rsid w:val="006F410A"/>
    <w:rsid w:val="006F410C"/>
    <w:rsid w:val="006F4A10"/>
    <w:rsid w:val="006F4DF9"/>
    <w:rsid w:val="006F667A"/>
    <w:rsid w:val="006F7956"/>
    <w:rsid w:val="00700326"/>
    <w:rsid w:val="00701376"/>
    <w:rsid w:val="00701798"/>
    <w:rsid w:val="007038DD"/>
    <w:rsid w:val="00712F09"/>
    <w:rsid w:val="00713C68"/>
    <w:rsid w:val="007151CA"/>
    <w:rsid w:val="0071614D"/>
    <w:rsid w:val="00717F8C"/>
    <w:rsid w:val="00720B81"/>
    <w:rsid w:val="00721A2F"/>
    <w:rsid w:val="00722DEB"/>
    <w:rsid w:val="00723E00"/>
    <w:rsid w:val="00726C58"/>
    <w:rsid w:val="00730242"/>
    <w:rsid w:val="00730B95"/>
    <w:rsid w:val="007320CA"/>
    <w:rsid w:val="007329F1"/>
    <w:rsid w:val="007358E4"/>
    <w:rsid w:val="00743BC1"/>
    <w:rsid w:val="00744ABD"/>
    <w:rsid w:val="007467C4"/>
    <w:rsid w:val="0075104A"/>
    <w:rsid w:val="007521D4"/>
    <w:rsid w:val="00754D0D"/>
    <w:rsid w:val="007563F1"/>
    <w:rsid w:val="00756D96"/>
    <w:rsid w:val="0076363E"/>
    <w:rsid w:val="00766C77"/>
    <w:rsid w:val="00767346"/>
    <w:rsid w:val="0077055A"/>
    <w:rsid w:val="00771894"/>
    <w:rsid w:val="007734E8"/>
    <w:rsid w:val="00773DCB"/>
    <w:rsid w:val="0077622D"/>
    <w:rsid w:val="007805AF"/>
    <w:rsid w:val="007808C8"/>
    <w:rsid w:val="0078268A"/>
    <w:rsid w:val="00783BAD"/>
    <w:rsid w:val="007869A2"/>
    <w:rsid w:val="00791C84"/>
    <w:rsid w:val="00793493"/>
    <w:rsid w:val="00793ACF"/>
    <w:rsid w:val="007A06AC"/>
    <w:rsid w:val="007A1AFB"/>
    <w:rsid w:val="007A1CF6"/>
    <w:rsid w:val="007A43A1"/>
    <w:rsid w:val="007A5658"/>
    <w:rsid w:val="007A690C"/>
    <w:rsid w:val="007A6A0A"/>
    <w:rsid w:val="007A7BD1"/>
    <w:rsid w:val="007B02C0"/>
    <w:rsid w:val="007B04FA"/>
    <w:rsid w:val="007B1755"/>
    <w:rsid w:val="007B2E51"/>
    <w:rsid w:val="007B36A8"/>
    <w:rsid w:val="007B3F08"/>
    <w:rsid w:val="007B4822"/>
    <w:rsid w:val="007C25FA"/>
    <w:rsid w:val="007C5359"/>
    <w:rsid w:val="007C6C80"/>
    <w:rsid w:val="007D0277"/>
    <w:rsid w:val="007D3682"/>
    <w:rsid w:val="007E11EC"/>
    <w:rsid w:val="007E11F1"/>
    <w:rsid w:val="007E7228"/>
    <w:rsid w:val="007E7974"/>
    <w:rsid w:val="007F04D3"/>
    <w:rsid w:val="007F53AB"/>
    <w:rsid w:val="007F59E0"/>
    <w:rsid w:val="007F65D9"/>
    <w:rsid w:val="00800303"/>
    <w:rsid w:val="00802277"/>
    <w:rsid w:val="0080533F"/>
    <w:rsid w:val="0080713F"/>
    <w:rsid w:val="008071D8"/>
    <w:rsid w:val="008119F3"/>
    <w:rsid w:val="00811A40"/>
    <w:rsid w:val="00812B39"/>
    <w:rsid w:val="00814700"/>
    <w:rsid w:val="00816FD5"/>
    <w:rsid w:val="00820828"/>
    <w:rsid w:val="0082777D"/>
    <w:rsid w:val="00831E91"/>
    <w:rsid w:val="008361E4"/>
    <w:rsid w:val="008402EE"/>
    <w:rsid w:val="00841AEF"/>
    <w:rsid w:val="008429AE"/>
    <w:rsid w:val="00847F1D"/>
    <w:rsid w:val="00850F8F"/>
    <w:rsid w:val="0085176D"/>
    <w:rsid w:val="00860577"/>
    <w:rsid w:val="00862922"/>
    <w:rsid w:val="008647C7"/>
    <w:rsid w:val="008662AB"/>
    <w:rsid w:val="008711A2"/>
    <w:rsid w:val="00873E87"/>
    <w:rsid w:val="008741E6"/>
    <w:rsid w:val="00874995"/>
    <w:rsid w:val="00876B46"/>
    <w:rsid w:val="008771FF"/>
    <w:rsid w:val="008817F6"/>
    <w:rsid w:val="00884040"/>
    <w:rsid w:val="00885ED4"/>
    <w:rsid w:val="00893050"/>
    <w:rsid w:val="008940EC"/>
    <w:rsid w:val="00896318"/>
    <w:rsid w:val="0089641B"/>
    <w:rsid w:val="008A2061"/>
    <w:rsid w:val="008A2E62"/>
    <w:rsid w:val="008A6FC8"/>
    <w:rsid w:val="008B1CD3"/>
    <w:rsid w:val="008B23CF"/>
    <w:rsid w:val="008B4C82"/>
    <w:rsid w:val="008B603B"/>
    <w:rsid w:val="008C03A6"/>
    <w:rsid w:val="008C062C"/>
    <w:rsid w:val="008C0B43"/>
    <w:rsid w:val="008C388B"/>
    <w:rsid w:val="008C3D89"/>
    <w:rsid w:val="008C7AE0"/>
    <w:rsid w:val="008D3756"/>
    <w:rsid w:val="008D5D05"/>
    <w:rsid w:val="008E028C"/>
    <w:rsid w:val="008E5C02"/>
    <w:rsid w:val="008E67A8"/>
    <w:rsid w:val="008E6C73"/>
    <w:rsid w:val="008E72C8"/>
    <w:rsid w:val="008E7E12"/>
    <w:rsid w:val="008F4488"/>
    <w:rsid w:val="008F46CE"/>
    <w:rsid w:val="008F4AAE"/>
    <w:rsid w:val="008F50B6"/>
    <w:rsid w:val="0090391E"/>
    <w:rsid w:val="00903BF3"/>
    <w:rsid w:val="009047B5"/>
    <w:rsid w:val="00905B83"/>
    <w:rsid w:val="00907A0D"/>
    <w:rsid w:val="009107F6"/>
    <w:rsid w:val="00911DA3"/>
    <w:rsid w:val="0091210B"/>
    <w:rsid w:val="00916A57"/>
    <w:rsid w:val="0091737E"/>
    <w:rsid w:val="00917DD5"/>
    <w:rsid w:val="00920110"/>
    <w:rsid w:val="00921538"/>
    <w:rsid w:val="009226F6"/>
    <w:rsid w:val="00923F8D"/>
    <w:rsid w:val="009262C5"/>
    <w:rsid w:val="00936A6E"/>
    <w:rsid w:val="00936AE4"/>
    <w:rsid w:val="00937498"/>
    <w:rsid w:val="00941072"/>
    <w:rsid w:val="00942060"/>
    <w:rsid w:val="00942865"/>
    <w:rsid w:val="0094487D"/>
    <w:rsid w:val="00953C9B"/>
    <w:rsid w:val="00954C24"/>
    <w:rsid w:val="0095612A"/>
    <w:rsid w:val="00965866"/>
    <w:rsid w:val="00965AD6"/>
    <w:rsid w:val="009663EF"/>
    <w:rsid w:val="00966A03"/>
    <w:rsid w:val="00967169"/>
    <w:rsid w:val="00971245"/>
    <w:rsid w:val="009714CE"/>
    <w:rsid w:val="00971588"/>
    <w:rsid w:val="0097342C"/>
    <w:rsid w:val="00975F98"/>
    <w:rsid w:val="00976FA2"/>
    <w:rsid w:val="00980BEA"/>
    <w:rsid w:val="00981F20"/>
    <w:rsid w:val="00985653"/>
    <w:rsid w:val="00994B64"/>
    <w:rsid w:val="009A067C"/>
    <w:rsid w:val="009A4025"/>
    <w:rsid w:val="009A420D"/>
    <w:rsid w:val="009A4C1E"/>
    <w:rsid w:val="009A6A08"/>
    <w:rsid w:val="009A7258"/>
    <w:rsid w:val="009B071A"/>
    <w:rsid w:val="009B0A28"/>
    <w:rsid w:val="009C02E0"/>
    <w:rsid w:val="009C60FD"/>
    <w:rsid w:val="009D11C8"/>
    <w:rsid w:val="009D48A1"/>
    <w:rsid w:val="009D4F24"/>
    <w:rsid w:val="009D72A6"/>
    <w:rsid w:val="009E1067"/>
    <w:rsid w:val="009E41E1"/>
    <w:rsid w:val="009E5459"/>
    <w:rsid w:val="009E696E"/>
    <w:rsid w:val="009F4080"/>
    <w:rsid w:val="00A010CF"/>
    <w:rsid w:val="00A111F7"/>
    <w:rsid w:val="00A126C9"/>
    <w:rsid w:val="00A12D73"/>
    <w:rsid w:val="00A14173"/>
    <w:rsid w:val="00A25B70"/>
    <w:rsid w:val="00A2681B"/>
    <w:rsid w:val="00A26AE3"/>
    <w:rsid w:val="00A31EB5"/>
    <w:rsid w:val="00A320A0"/>
    <w:rsid w:val="00A3308F"/>
    <w:rsid w:val="00A34160"/>
    <w:rsid w:val="00A358EB"/>
    <w:rsid w:val="00A3737F"/>
    <w:rsid w:val="00A40FF0"/>
    <w:rsid w:val="00A52161"/>
    <w:rsid w:val="00A53DCD"/>
    <w:rsid w:val="00A54B36"/>
    <w:rsid w:val="00A55356"/>
    <w:rsid w:val="00A55D3E"/>
    <w:rsid w:val="00A57D41"/>
    <w:rsid w:val="00A60A42"/>
    <w:rsid w:val="00A61B6B"/>
    <w:rsid w:val="00A61FE4"/>
    <w:rsid w:val="00A630ED"/>
    <w:rsid w:val="00A64037"/>
    <w:rsid w:val="00A65392"/>
    <w:rsid w:val="00A6591C"/>
    <w:rsid w:val="00A665C9"/>
    <w:rsid w:val="00A67BAB"/>
    <w:rsid w:val="00A73F7E"/>
    <w:rsid w:val="00A75EB7"/>
    <w:rsid w:val="00A77F46"/>
    <w:rsid w:val="00A836A2"/>
    <w:rsid w:val="00A838FE"/>
    <w:rsid w:val="00A87615"/>
    <w:rsid w:val="00A9070B"/>
    <w:rsid w:val="00A9174D"/>
    <w:rsid w:val="00A918B2"/>
    <w:rsid w:val="00A92162"/>
    <w:rsid w:val="00A9462E"/>
    <w:rsid w:val="00A94C27"/>
    <w:rsid w:val="00AA342B"/>
    <w:rsid w:val="00AA5217"/>
    <w:rsid w:val="00AA78E9"/>
    <w:rsid w:val="00AB361B"/>
    <w:rsid w:val="00AB6F68"/>
    <w:rsid w:val="00AC2700"/>
    <w:rsid w:val="00AC5913"/>
    <w:rsid w:val="00AD1C34"/>
    <w:rsid w:val="00AD4845"/>
    <w:rsid w:val="00AD5C0B"/>
    <w:rsid w:val="00AE537C"/>
    <w:rsid w:val="00AE59F7"/>
    <w:rsid w:val="00AF0596"/>
    <w:rsid w:val="00AF71CB"/>
    <w:rsid w:val="00B03022"/>
    <w:rsid w:val="00B03797"/>
    <w:rsid w:val="00B039FD"/>
    <w:rsid w:val="00B0558E"/>
    <w:rsid w:val="00B05BD8"/>
    <w:rsid w:val="00B071D2"/>
    <w:rsid w:val="00B07A4D"/>
    <w:rsid w:val="00B11739"/>
    <w:rsid w:val="00B11D45"/>
    <w:rsid w:val="00B165EE"/>
    <w:rsid w:val="00B214E9"/>
    <w:rsid w:val="00B25952"/>
    <w:rsid w:val="00B272C9"/>
    <w:rsid w:val="00B27C95"/>
    <w:rsid w:val="00B33166"/>
    <w:rsid w:val="00B371C7"/>
    <w:rsid w:val="00B37B08"/>
    <w:rsid w:val="00B412D8"/>
    <w:rsid w:val="00B45AD0"/>
    <w:rsid w:val="00B5075D"/>
    <w:rsid w:val="00B50E47"/>
    <w:rsid w:val="00B51054"/>
    <w:rsid w:val="00B51DDE"/>
    <w:rsid w:val="00B5417B"/>
    <w:rsid w:val="00B54B0F"/>
    <w:rsid w:val="00B56C8B"/>
    <w:rsid w:val="00B572C0"/>
    <w:rsid w:val="00B621A2"/>
    <w:rsid w:val="00B626B9"/>
    <w:rsid w:val="00B62836"/>
    <w:rsid w:val="00B6285F"/>
    <w:rsid w:val="00B62B2B"/>
    <w:rsid w:val="00B6335C"/>
    <w:rsid w:val="00B63BA2"/>
    <w:rsid w:val="00B64F0B"/>
    <w:rsid w:val="00B65FC5"/>
    <w:rsid w:val="00B72980"/>
    <w:rsid w:val="00B76638"/>
    <w:rsid w:val="00B85C25"/>
    <w:rsid w:val="00B87BC2"/>
    <w:rsid w:val="00B905F4"/>
    <w:rsid w:val="00B90EE8"/>
    <w:rsid w:val="00B95297"/>
    <w:rsid w:val="00B96E86"/>
    <w:rsid w:val="00B970F0"/>
    <w:rsid w:val="00BA3399"/>
    <w:rsid w:val="00BA4DE7"/>
    <w:rsid w:val="00BA4E14"/>
    <w:rsid w:val="00BA6D58"/>
    <w:rsid w:val="00BB00BB"/>
    <w:rsid w:val="00BB17C4"/>
    <w:rsid w:val="00BC1A03"/>
    <w:rsid w:val="00BC219F"/>
    <w:rsid w:val="00BC3DC8"/>
    <w:rsid w:val="00BD2654"/>
    <w:rsid w:val="00BD40A7"/>
    <w:rsid w:val="00BD5225"/>
    <w:rsid w:val="00BD5405"/>
    <w:rsid w:val="00BD5452"/>
    <w:rsid w:val="00BD7388"/>
    <w:rsid w:val="00BD74C6"/>
    <w:rsid w:val="00BE1490"/>
    <w:rsid w:val="00BE4380"/>
    <w:rsid w:val="00BE5BCD"/>
    <w:rsid w:val="00BE73DF"/>
    <w:rsid w:val="00BF1A4C"/>
    <w:rsid w:val="00BF252A"/>
    <w:rsid w:val="00BF33C6"/>
    <w:rsid w:val="00BF728A"/>
    <w:rsid w:val="00BF7603"/>
    <w:rsid w:val="00C01583"/>
    <w:rsid w:val="00C02AA4"/>
    <w:rsid w:val="00C033A8"/>
    <w:rsid w:val="00C212DE"/>
    <w:rsid w:val="00C231D4"/>
    <w:rsid w:val="00C25721"/>
    <w:rsid w:val="00C32150"/>
    <w:rsid w:val="00C343DF"/>
    <w:rsid w:val="00C34549"/>
    <w:rsid w:val="00C351B3"/>
    <w:rsid w:val="00C362FE"/>
    <w:rsid w:val="00C36409"/>
    <w:rsid w:val="00C37DDC"/>
    <w:rsid w:val="00C37E51"/>
    <w:rsid w:val="00C40A83"/>
    <w:rsid w:val="00C413DF"/>
    <w:rsid w:val="00C41D0C"/>
    <w:rsid w:val="00C43C88"/>
    <w:rsid w:val="00C44277"/>
    <w:rsid w:val="00C5097A"/>
    <w:rsid w:val="00C5607E"/>
    <w:rsid w:val="00C56464"/>
    <w:rsid w:val="00C619D0"/>
    <w:rsid w:val="00C62D3B"/>
    <w:rsid w:val="00C634AE"/>
    <w:rsid w:val="00C64D79"/>
    <w:rsid w:val="00C64E24"/>
    <w:rsid w:val="00C65D1C"/>
    <w:rsid w:val="00C71134"/>
    <w:rsid w:val="00C739CB"/>
    <w:rsid w:val="00C73C18"/>
    <w:rsid w:val="00C830B6"/>
    <w:rsid w:val="00C846A3"/>
    <w:rsid w:val="00C84E54"/>
    <w:rsid w:val="00C852E8"/>
    <w:rsid w:val="00C9198A"/>
    <w:rsid w:val="00C948B8"/>
    <w:rsid w:val="00C972C8"/>
    <w:rsid w:val="00C978A0"/>
    <w:rsid w:val="00CA1798"/>
    <w:rsid w:val="00CA1F09"/>
    <w:rsid w:val="00CA34E0"/>
    <w:rsid w:val="00CA3E74"/>
    <w:rsid w:val="00CA532D"/>
    <w:rsid w:val="00CB161A"/>
    <w:rsid w:val="00CB3942"/>
    <w:rsid w:val="00CB3DF1"/>
    <w:rsid w:val="00CB4FC8"/>
    <w:rsid w:val="00CB6DEF"/>
    <w:rsid w:val="00CC2886"/>
    <w:rsid w:val="00CC32CD"/>
    <w:rsid w:val="00CC6843"/>
    <w:rsid w:val="00CD0502"/>
    <w:rsid w:val="00CD0615"/>
    <w:rsid w:val="00CD244F"/>
    <w:rsid w:val="00CD459C"/>
    <w:rsid w:val="00CD63F6"/>
    <w:rsid w:val="00CD736B"/>
    <w:rsid w:val="00CE1AA9"/>
    <w:rsid w:val="00CE1B29"/>
    <w:rsid w:val="00CE4E88"/>
    <w:rsid w:val="00CE666E"/>
    <w:rsid w:val="00CE6B92"/>
    <w:rsid w:val="00CE7A69"/>
    <w:rsid w:val="00CF2F14"/>
    <w:rsid w:val="00CF4D41"/>
    <w:rsid w:val="00CF5C4D"/>
    <w:rsid w:val="00CF7232"/>
    <w:rsid w:val="00CF7512"/>
    <w:rsid w:val="00D023BB"/>
    <w:rsid w:val="00D030CC"/>
    <w:rsid w:val="00D0352A"/>
    <w:rsid w:val="00D05ED0"/>
    <w:rsid w:val="00D0622F"/>
    <w:rsid w:val="00D06FC0"/>
    <w:rsid w:val="00D11AC4"/>
    <w:rsid w:val="00D1422D"/>
    <w:rsid w:val="00D146EC"/>
    <w:rsid w:val="00D15F1A"/>
    <w:rsid w:val="00D20E4B"/>
    <w:rsid w:val="00D22E59"/>
    <w:rsid w:val="00D23024"/>
    <w:rsid w:val="00D25A26"/>
    <w:rsid w:val="00D307E7"/>
    <w:rsid w:val="00D33987"/>
    <w:rsid w:val="00D351B9"/>
    <w:rsid w:val="00D4190A"/>
    <w:rsid w:val="00D41960"/>
    <w:rsid w:val="00D44078"/>
    <w:rsid w:val="00D47149"/>
    <w:rsid w:val="00D47C38"/>
    <w:rsid w:val="00D51915"/>
    <w:rsid w:val="00D52070"/>
    <w:rsid w:val="00D55A12"/>
    <w:rsid w:val="00D55E5B"/>
    <w:rsid w:val="00D55F14"/>
    <w:rsid w:val="00D5617E"/>
    <w:rsid w:val="00D650FF"/>
    <w:rsid w:val="00D65195"/>
    <w:rsid w:val="00D656AA"/>
    <w:rsid w:val="00D65A75"/>
    <w:rsid w:val="00D66571"/>
    <w:rsid w:val="00D66B70"/>
    <w:rsid w:val="00D673D0"/>
    <w:rsid w:val="00D72DD9"/>
    <w:rsid w:val="00D749C3"/>
    <w:rsid w:val="00D75C24"/>
    <w:rsid w:val="00D838B9"/>
    <w:rsid w:val="00D85310"/>
    <w:rsid w:val="00D85F27"/>
    <w:rsid w:val="00D87002"/>
    <w:rsid w:val="00D91FC4"/>
    <w:rsid w:val="00D92B2A"/>
    <w:rsid w:val="00D935BE"/>
    <w:rsid w:val="00D9627A"/>
    <w:rsid w:val="00DA2549"/>
    <w:rsid w:val="00DA283E"/>
    <w:rsid w:val="00DA4DD8"/>
    <w:rsid w:val="00DA5373"/>
    <w:rsid w:val="00DA622D"/>
    <w:rsid w:val="00DA7C56"/>
    <w:rsid w:val="00DB17DE"/>
    <w:rsid w:val="00DB1E53"/>
    <w:rsid w:val="00DB79CB"/>
    <w:rsid w:val="00DB7A3C"/>
    <w:rsid w:val="00DC672A"/>
    <w:rsid w:val="00DC760D"/>
    <w:rsid w:val="00DD4784"/>
    <w:rsid w:val="00DD58F5"/>
    <w:rsid w:val="00DD7842"/>
    <w:rsid w:val="00DE1FE1"/>
    <w:rsid w:val="00DE2856"/>
    <w:rsid w:val="00DE2FCC"/>
    <w:rsid w:val="00DE49F4"/>
    <w:rsid w:val="00DE5786"/>
    <w:rsid w:val="00DE5B73"/>
    <w:rsid w:val="00DE62E1"/>
    <w:rsid w:val="00DE6ED9"/>
    <w:rsid w:val="00DF4A05"/>
    <w:rsid w:val="00DF717B"/>
    <w:rsid w:val="00DF733F"/>
    <w:rsid w:val="00DF75C4"/>
    <w:rsid w:val="00E001C8"/>
    <w:rsid w:val="00E021DB"/>
    <w:rsid w:val="00E0231D"/>
    <w:rsid w:val="00E03CD0"/>
    <w:rsid w:val="00E0423C"/>
    <w:rsid w:val="00E0502F"/>
    <w:rsid w:val="00E05143"/>
    <w:rsid w:val="00E066BD"/>
    <w:rsid w:val="00E071F3"/>
    <w:rsid w:val="00E074EA"/>
    <w:rsid w:val="00E11601"/>
    <w:rsid w:val="00E12BAC"/>
    <w:rsid w:val="00E14906"/>
    <w:rsid w:val="00E15510"/>
    <w:rsid w:val="00E16FB2"/>
    <w:rsid w:val="00E201B4"/>
    <w:rsid w:val="00E20612"/>
    <w:rsid w:val="00E212EB"/>
    <w:rsid w:val="00E2161E"/>
    <w:rsid w:val="00E256B7"/>
    <w:rsid w:val="00E268A1"/>
    <w:rsid w:val="00E30061"/>
    <w:rsid w:val="00E32F37"/>
    <w:rsid w:val="00E333D5"/>
    <w:rsid w:val="00E33500"/>
    <w:rsid w:val="00E33528"/>
    <w:rsid w:val="00E3356D"/>
    <w:rsid w:val="00E343CB"/>
    <w:rsid w:val="00E35A89"/>
    <w:rsid w:val="00E37C5A"/>
    <w:rsid w:val="00E421FF"/>
    <w:rsid w:val="00E42A92"/>
    <w:rsid w:val="00E42C30"/>
    <w:rsid w:val="00E52929"/>
    <w:rsid w:val="00E532E9"/>
    <w:rsid w:val="00E567D7"/>
    <w:rsid w:val="00E57143"/>
    <w:rsid w:val="00E57468"/>
    <w:rsid w:val="00E60E9F"/>
    <w:rsid w:val="00E63CD9"/>
    <w:rsid w:val="00E652C3"/>
    <w:rsid w:val="00E6591C"/>
    <w:rsid w:val="00E6773C"/>
    <w:rsid w:val="00E70412"/>
    <w:rsid w:val="00E7057C"/>
    <w:rsid w:val="00E710FE"/>
    <w:rsid w:val="00E72CA5"/>
    <w:rsid w:val="00E77DAE"/>
    <w:rsid w:val="00E80D25"/>
    <w:rsid w:val="00E81319"/>
    <w:rsid w:val="00E86389"/>
    <w:rsid w:val="00E86DFB"/>
    <w:rsid w:val="00E932C0"/>
    <w:rsid w:val="00E93CCA"/>
    <w:rsid w:val="00E9475C"/>
    <w:rsid w:val="00E96854"/>
    <w:rsid w:val="00E97957"/>
    <w:rsid w:val="00EA021C"/>
    <w:rsid w:val="00EA0BDE"/>
    <w:rsid w:val="00EA130A"/>
    <w:rsid w:val="00EA4218"/>
    <w:rsid w:val="00EB15BB"/>
    <w:rsid w:val="00EB397B"/>
    <w:rsid w:val="00EB3D22"/>
    <w:rsid w:val="00EB4BF5"/>
    <w:rsid w:val="00EB66E6"/>
    <w:rsid w:val="00EC0342"/>
    <w:rsid w:val="00EC132A"/>
    <w:rsid w:val="00ED0B4A"/>
    <w:rsid w:val="00ED4969"/>
    <w:rsid w:val="00ED6E9E"/>
    <w:rsid w:val="00EE726A"/>
    <w:rsid w:val="00EF0968"/>
    <w:rsid w:val="00EF2D9C"/>
    <w:rsid w:val="00EF4798"/>
    <w:rsid w:val="00EF4B52"/>
    <w:rsid w:val="00EF6583"/>
    <w:rsid w:val="00EF73D1"/>
    <w:rsid w:val="00F04EB5"/>
    <w:rsid w:val="00F06032"/>
    <w:rsid w:val="00F13E49"/>
    <w:rsid w:val="00F13EEE"/>
    <w:rsid w:val="00F17925"/>
    <w:rsid w:val="00F201A0"/>
    <w:rsid w:val="00F21F19"/>
    <w:rsid w:val="00F222FD"/>
    <w:rsid w:val="00F25CE3"/>
    <w:rsid w:val="00F2790E"/>
    <w:rsid w:val="00F30593"/>
    <w:rsid w:val="00F31BFE"/>
    <w:rsid w:val="00F32B94"/>
    <w:rsid w:val="00F33411"/>
    <w:rsid w:val="00F33891"/>
    <w:rsid w:val="00F348B4"/>
    <w:rsid w:val="00F35992"/>
    <w:rsid w:val="00F37E56"/>
    <w:rsid w:val="00F40A6B"/>
    <w:rsid w:val="00F41DBC"/>
    <w:rsid w:val="00F458B7"/>
    <w:rsid w:val="00F46DE6"/>
    <w:rsid w:val="00F479EF"/>
    <w:rsid w:val="00F47BA7"/>
    <w:rsid w:val="00F50D84"/>
    <w:rsid w:val="00F52CE8"/>
    <w:rsid w:val="00F54982"/>
    <w:rsid w:val="00F56BB0"/>
    <w:rsid w:val="00F63A78"/>
    <w:rsid w:val="00F64D50"/>
    <w:rsid w:val="00F65C42"/>
    <w:rsid w:val="00F660F1"/>
    <w:rsid w:val="00F70603"/>
    <w:rsid w:val="00F70C51"/>
    <w:rsid w:val="00F70F2B"/>
    <w:rsid w:val="00F71126"/>
    <w:rsid w:val="00F718D8"/>
    <w:rsid w:val="00F739C4"/>
    <w:rsid w:val="00F7580D"/>
    <w:rsid w:val="00F766E5"/>
    <w:rsid w:val="00F80DE2"/>
    <w:rsid w:val="00F87CD5"/>
    <w:rsid w:val="00F902B6"/>
    <w:rsid w:val="00FA0EEE"/>
    <w:rsid w:val="00FA4F61"/>
    <w:rsid w:val="00FA59EB"/>
    <w:rsid w:val="00FA7C6E"/>
    <w:rsid w:val="00FB16BE"/>
    <w:rsid w:val="00FB2C92"/>
    <w:rsid w:val="00FB356C"/>
    <w:rsid w:val="00FB493F"/>
    <w:rsid w:val="00FC3B34"/>
    <w:rsid w:val="00FC4096"/>
    <w:rsid w:val="00FC47FC"/>
    <w:rsid w:val="00FC5D87"/>
    <w:rsid w:val="00FC7716"/>
    <w:rsid w:val="00FD4587"/>
    <w:rsid w:val="00FD4A52"/>
    <w:rsid w:val="00FD4E93"/>
    <w:rsid w:val="00FD7586"/>
    <w:rsid w:val="00FE2983"/>
    <w:rsid w:val="00FE3CE9"/>
    <w:rsid w:val="00FE680F"/>
    <w:rsid w:val="00FF152D"/>
    <w:rsid w:val="00FF3C20"/>
    <w:rsid w:val="00FF5BF7"/>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726CDE"/>
  <w15:docId w15:val="{127375A3-6301-41D6-9E19-0F5F2A164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CA" w:eastAsia="en-CA"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imes New Roman" w:hAnsi="Times New Roman"/>
      <w:kern w:val="2"/>
      <w:sz w:val="22"/>
      <w:szCs w:val="24"/>
      <w:lang w:val="en-US" w:eastAsia="ja-JP"/>
    </w:rPr>
  </w:style>
  <w:style w:type="paragraph" w:styleId="Heading1">
    <w:name w:val="heading 1"/>
    <w:basedOn w:val="Normal"/>
    <w:next w:val="Normal"/>
    <w:uiPriority w:val="9"/>
    <w:qFormat/>
    <w:rsid w:val="00F54982"/>
    <w:pPr>
      <w:keepNext/>
      <w:numPr>
        <w:numId w:val="1"/>
      </w:numPr>
      <w:spacing w:before="120" w:after="120"/>
      <w:outlineLvl w:val="0"/>
    </w:pPr>
    <w:rPr>
      <w:rFonts w:eastAsia="MS Gothic"/>
      <w:b/>
      <w:caps/>
      <w:sz w:val="24"/>
    </w:rPr>
  </w:style>
  <w:style w:type="paragraph" w:styleId="Heading2">
    <w:name w:val="heading 2"/>
    <w:basedOn w:val="Normal"/>
    <w:next w:val="Normal"/>
    <w:uiPriority w:val="9"/>
    <w:qFormat/>
    <w:rsid w:val="005B5CEC"/>
    <w:pPr>
      <w:keepNext/>
      <w:numPr>
        <w:ilvl w:val="1"/>
        <w:numId w:val="1"/>
      </w:numPr>
      <w:spacing w:before="120" w:after="120"/>
      <w:outlineLvl w:val="1"/>
    </w:pPr>
    <w:rPr>
      <w:rFonts w:eastAsia="MS Gothic"/>
      <w:b/>
      <w:sz w:val="24"/>
    </w:rPr>
  </w:style>
  <w:style w:type="paragraph" w:styleId="Heading3">
    <w:name w:val="heading 3"/>
    <w:basedOn w:val="Normal"/>
    <w:next w:val="Normal"/>
    <w:link w:val="Heading3Char"/>
    <w:uiPriority w:val="9"/>
    <w:qFormat/>
    <w:rsid w:val="007D4D85"/>
    <w:pPr>
      <w:keepNext/>
      <w:numPr>
        <w:ilvl w:val="2"/>
        <w:numId w:val="1"/>
      </w:numPr>
      <w:spacing w:before="120" w:after="120"/>
      <w:outlineLvl w:val="2"/>
    </w:pPr>
    <w:rPr>
      <w:rFonts w:eastAsia="MS Gothic"/>
    </w:rPr>
  </w:style>
  <w:style w:type="paragraph" w:styleId="Heading4">
    <w:name w:val="heading 4"/>
    <w:basedOn w:val="Normal"/>
    <w:next w:val="Normal"/>
    <w:uiPriority w:val="9"/>
    <w:qFormat/>
    <w:pPr>
      <w:keepNext/>
      <w:numPr>
        <w:ilvl w:val="3"/>
        <w:numId w:val="1"/>
      </w:numPr>
      <w:outlineLvl w:val="3"/>
    </w:pPr>
    <w:rPr>
      <w:b/>
      <w:bCs/>
    </w:rPr>
  </w:style>
  <w:style w:type="paragraph" w:styleId="Heading5">
    <w:name w:val="heading 5"/>
    <w:basedOn w:val="Normal"/>
    <w:next w:val="Normal"/>
    <w:uiPriority w:val="9"/>
    <w:qFormat/>
    <w:pPr>
      <w:keepNext/>
      <w:numPr>
        <w:ilvl w:val="4"/>
        <w:numId w:val="1"/>
      </w:numPr>
      <w:outlineLvl w:val="4"/>
    </w:pPr>
    <w:rPr>
      <w:rFonts w:ascii="Arial" w:eastAsia="MS Gothic" w:hAnsi="Arial"/>
    </w:rPr>
  </w:style>
  <w:style w:type="paragraph" w:styleId="Heading6">
    <w:name w:val="heading 6"/>
    <w:basedOn w:val="Normal"/>
    <w:next w:val="Normal"/>
    <w:uiPriority w:val="9"/>
    <w:qFormat/>
    <w:pPr>
      <w:keepNext/>
      <w:numPr>
        <w:ilvl w:val="5"/>
        <w:numId w:val="1"/>
      </w:numPr>
      <w:outlineLvl w:val="5"/>
    </w:pPr>
    <w:rPr>
      <w:b/>
      <w:bCs/>
    </w:rPr>
  </w:style>
  <w:style w:type="paragraph" w:styleId="Heading7">
    <w:name w:val="heading 7"/>
    <w:basedOn w:val="Normal"/>
    <w:next w:val="Normal"/>
    <w:uiPriority w:val="9"/>
    <w:qFormat/>
    <w:pPr>
      <w:keepNext/>
      <w:numPr>
        <w:ilvl w:val="6"/>
        <w:numId w:val="1"/>
      </w:numPr>
      <w:outlineLvl w:val="6"/>
    </w:pPr>
  </w:style>
  <w:style w:type="paragraph" w:styleId="Heading8">
    <w:name w:val="heading 8"/>
    <w:basedOn w:val="Normal"/>
    <w:next w:val="Normal"/>
    <w:uiPriority w:val="9"/>
    <w:qFormat/>
    <w:pPr>
      <w:keepNext/>
      <w:numPr>
        <w:ilvl w:val="7"/>
        <w:numId w:val="1"/>
      </w:numPr>
      <w:outlineLvl w:val="7"/>
    </w:pPr>
  </w:style>
  <w:style w:type="paragraph" w:styleId="Heading9">
    <w:name w:val="heading 9"/>
    <w:basedOn w:val="Normal"/>
    <w:next w:val="Normal"/>
    <w:uiPriority w:val="9"/>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4D85"/>
    <w:rPr>
      <w:color w:val="0000FF"/>
      <w:u w:val="single"/>
    </w:rPr>
  </w:style>
  <w:style w:type="character" w:customStyle="1" w:styleId="titoloscheda">
    <w:name w:val="titolo_scheda"/>
    <w:basedOn w:val="DefaultParagraphFont"/>
    <w:qFormat/>
    <w:rsid w:val="005D2F38"/>
  </w:style>
  <w:style w:type="character" w:customStyle="1" w:styleId="sottotitoloscheda">
    <w:name w:val="sottotitolo_scheda"/>
    <w:basedOn w:val="DefaultParagraphFont"/>
    <w:qFormat/>
    <w:rsid w:val="005D2F38"/>
  </w:style>
  <w:style w:type="character" w:customStyle="1" w:styleId="BodyTextChar">
    <w:name w:val="Body Text Char"/>
    <w:basedOn w:val="DefaultParagraphFont"/>
    <w:link w:val="BodyText"/>
    <w:qFormat/>
    <w:locked/>
    <w:rsid w:val="00C719DC"/>
    <w:rPr>
      <w:lang w:val="en-US" w:eastAsia="en-US" w:bidi="ar-SA"/>
    </w:rPr>
  </w:style>
  <w:style w:type="character" w:customStyle="1" w:styleId="FootnoteCharacters">
    <w:name w:val="Footnote Characters"/>
    <w:basedOn w:val="DefaultParagraphFont"/>
    <w:uiPriority w:val="99"/>
    <w:semiHidden/>
    <w:qFormat/>
    <w:rsid w:val="00123F87"/>
    <w:rPr>
      <w:vertAlign w:val="superscript"/>
    </w:rPr>
  </w:style>
  <w:style w:type="character" w:customStyle="1" w:styleId="FootnoteAnchor">
    <w:name w:val="Footnote Anchor"/>
    <w:rPr>
      <w:vertAlign w:val="superscript"/>
    </w:rPr>
  </w:style>
  <w:style w:type="character" w:styleId="PageNumber">
    <w:name w:val="page number"/>
    <w:basedOn w:val="DefaultParagraphFont"/>
    <w:qFormat/>
    <w:rsid w:val="00B50ECC"/>
  </w:style>
  <w:style w:type="character" w:customStyle="1" w:styleId="DefaultChar">
    <w:name w:val="Default Char"/>
    <w:basedOn w:val="DefaultParagraphFont"/>
    <w:link w:val="Default"/>
    <w:qFormat/>
    <w:locked/>
    <w:rsid w:val="00230C75"/>
    <w:rPr>
      <w:rFonts w:ascii="Times New Roman" w:eastAsia="Times New Roman" w:hAnsi="Times New Roman"/>
      <w:color w:val="000000"/>
      <w:sz w:val="24"/>
      <w:szCs w:val="24"/>
      <w:lang w:val="en-US" w:eastAsia="en-US" w:bidi="ar-SA"/>
    </w:rPr>
  </w:style>
  <w:style w:type="character" w:customStyle="1" w:styleId="bea-portal-theme-alibrisinvisible">
    <w:name w:val="bea-portal-theme-alibrisinvisible"/>
    <w:basedOn w:val="DefaultParagraphFont"/>
    <w:qFormat/>
    <w:rsid w:val="00FC2409"/>
  </w:style>
  <w:style w:type="character" w:customStyle="1" w:styleId="journalhead">
    <w:name w:val="journalhead"/>
    <w:basedOn w:val="DefaultParagraphFont"/>
    <w:qFormat/>
    <w:rsid w:val="00FC2409"/>
  </w:style>
  <w:style w:type="character" w:customStyle="1" w:styleId="booktitle">
    <w:name w:val="book_title"/>
    <w:basedOn w:val="DefaultParagraphFont"/>
    <w:qFormat/>
    <w:rsid w:val="00FC2409"/>
  </w:style>
  <w:style w:type="character" w:customStyle="1" w:styleId="cmti-10x-x-109">
    <w:name w:val="cmti-10x-x-109"/>
    <w:basedOn w:val="DefaultParagraphFont"/>
    <w:qFormat/>
    <w:rsid w:val="00FC2409"/>
  </w:style>
  <w:style w:type="character" w:customStyle="1" w:styleId="cmbx-10x-x-109">
    <w:name w:val="cmbx-10x-x-109"/>
    <w:basedOn w:val="DefaultParagraphFont"/>
    <w:qFormat/>
    <w:rsid w:val="00FC2409"/>
  </w:style>
  <w:style w:type="character" w:customStyle="1" w:styleId="FootnoteTextChar">
    <w:name w:val="Footnote Text Char"/>
    <w:basedOn w:val="DefaultParagraphFont"/>
    <w:link w:val="FootnoteText"/>
    <w:uiPriority w:val="99"/>
    <w:semiHidden/>
    <w:qFormat/>
    <w:rsid w:val="00D958C7"/>
    <w:rPr>
      <w:rFonts w:ascii="Times New Roman" w:hAnsi="Times New Roman"/>
      <w:kern w:val="2"/>
      <w:sz w:val="22"/>
      <w:szCs w:val="24"/>
      <w:lang w:val="en-US" w:eastAsia="ja-JP"/>
    </w:rPr>
  </w:style>
  <w:style w:type="character" w:styleId="LineNumber">
    <w:name w:val="line number"/>
    <w:basedOn w:val="DefaultParagraphFont"/>
    <w:qFormat/>
    <w:rsid w:val="003B03B8"/>
  </w:style>
  <w:style w:type="character" w:customStyle="1" w:styleId="HeaderChar">
    <w:name w:val="Header Char"/>
    <w:basedOn w:val="DefaultParagraphFont"/>
    <w:link w:val="Header"/>
    <w:uiPriority w:val="99"/>
    <w:qFormat/>
    <w:rsid w:val="00754BB7"/>
    <w:rPr>
      <w:rFonts w:ascii="Times New Roman" w:hAnsi="Times New Roman"/>
      <w:kern w:val="2"/>
      <w:sz w:val="22"/>
      <w:szCs w:val="24"/>
      <w:lang w:val="en-US" w:eastAsia="ja-JP"/>
    </w:rPr>
  </w:style>
  <w:style w:type="character" w:styleId="CommentReference">
    <w:name w:val="annotation reference"/>
    <w:basedOn w:val="DefaultParagraphFont"/>
    <w:qFormat/>
    <w:rsid w:val="00D649C2"/>
    <w:rPr>
      <w:sz w:val="16"/>
      <w:szCs w:val="16"/>
    </w:rPr>
  </w:style>
  <w:style w:type="character" w:customStyle="1" w:styleId="CommentTextChar">
    <w:name w:val="Comment Text Char"/>
    <w:basedOn w:val="DefaultParagraphFont"/>
    <w:link w:val="CommentText"/>
    <w:semiHidden/>
    <w:qFormat/>
    <w:rsid w:val="00D649C2"/>
    <w:rPr>
      <w:rFonts w:ascii="Times New Roman" w:hAnsi="Times New Roman"/>
      <w:kern w:val="2"/>
      <w:sz w:val="22"/>
      <w:szCs w:val="24"/>
      <w:lang w:val="en-US" w:eastAsia="ja-JP"/>
    </w:rPr>
  </w:style>
  <w:style w:type="character" w:customStyle="1" w:styleId="CommentSubjectChar">
    <w:name w:val="Comment Subject Char"/>
    <w:basedOn w:val="CommentTextChar"/>
    <w:link w:val="CommentSubject"/>
    <w:qFormat/>
    <w:rsid w:val="00D649C2"/>
    <w:rPr>
      <w:rFonts w:ascii="Times New Roman" w:hAnsi="Times New Roman"/>
      <w:b/>
      <w:bCs/>
      <w:kern w:val="2"/>
      <w:sz w:val="22"/>
      <w:szCs w:val="24"/>
      <w:lang w:val="en-US" w:eastAsia="ja-JP"/>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next w:val="Normal"/>
    <w:link w:val="BodyTextChar"/>
    <w:rsid w:val="00C719DC"/>
    <w:pPr>
      <w:widowControl/>
      <w:jc w:val="left"/>
    </w:pPr>
    <w:rPr>
      <w:rFonts w:eastAsia="Times New Roman"/>
      <w:kern w:val="0"/>
      <w:sz w:val="20"/>
      <w:szCs w:val="20"/>
      <w:lang w:eastAsia="en-US"/>
    </w:rPr>
  </w:style>
  <w:style w:type="paragraph" w:styleId="List">
    <w:name w:val="List"/>
    <w:basedOn w:val="BodyText"/>
    <w:rPr>
      <w:rFonts w:cs="Arial"/>
    </w:rPr>
  </w:style>
  <w:style w:type="paragraph" w:styleId="Caption">
    <w:name w:val="caption"/>
    <w:basedOn w:val="Normal"/>
    <w:next w:val="Normal"/>
    <w:uiPriority w:val="35"/>
    <w:qFormat/>
    <w:pPr>
      <w:spacing w:before="120" w:after="240"/>
    </w:pPr>
    <w:rPr>
      <w:b/>
      <w:bCs/>
      <w:sz w:val="20"/>
      <w:szCs w:val="20"/>
    </w:rPr>
  </w:style>
  <w:style w:type="paragraph" w:customStyle="1" w:styleId="Index">
    <w:name w:val="Index"/>
    <w:basedOn w:val="Normal"/>
    <w:qFormat/>
    <w:pPr>
      <w:suppressLineNumbers/>
    </w:pPr>
    <w:rPr>
      <w:rFonts w:cs="Arial"/>
    </w:rPr>
  </w:style>
  <w:style w:type="paragraph" w:customStyle="1" w:styleId="SIDTtitle">
    <w:name w:val="SIDT title"/>
    <w:basedOn w:val="SIDTNormalNoindent"/>
    <w:next w:val="SIDTauthor"/>
    <w:qFormat/>
    <w:pPr>
      <w:spacing w:before="120" w:after="120"/>
      <w:contextualSpacing/>
      <w:jc w:val="center"/>
      <w:outlineLvl w:val="0"/>
    </w:pPr>
    <w:rPr>
      <w:rFonts w:eastAsia="MS Gothic" w:cs="Arial"/>
      <w:b/>
      <w:sz w:val="32"/>
      <w:szCs w:val="32"/>
    </w:rPr>
  </w:style>
  <w:style w:type="paragraph" w:customStyle="1" w:styleId="SIDTNormalNoindent">
    <w:name w:val="SIDT Normal Noindent"/>
    <w:basedOn w:val="Normal"/>
    <w:qFormat/>
  </w:style>
  <w:style w:type="paragraph" w:customStyle="1" w:styleId="SIDTauthor">
    <w:name w:val="SIDT author"/>
    <w:basedOn w:val="SIDTNormalNoindent"/>
    <w:qFormat/>
    <w:pPr>
      <w:jc w:val="center"/>
    </w:pPr>
  </w:style>
  <w:style w:type="paragraph" w:customStyle="1" w:styleId="SIDTaffiliation">
    <w:name w:val="SIDT affiliation"/>
    <w:basedOn w:val="SIDTNormalNoindent"/>
    <w:qFormat/>
    <w:rsid w:val="006E2C95"/>
    <w:pPr>
      <w:spacing w:before="120"/>
      <w:jc w:val="center"/>
    </w:pPr>
  </w:style>
  <w:style w:type="paragraph" w:customStyle="1" w:styleId="SIDTSection">
    <w:name w:val="SIDT Section"/>
    <w:basedOn w:val="SIDTNormalNoindent"/>
    <w:next w:val="Normal"/>
    <w:qFormat/>
    <w:rsid w:val="00890478"/>
    <w:pPr>
      <w:spacing w:before="567" w:after="397"/>
    </w:pPr>
    <w:rPr>
      <w:b/>
      <w:sz w:val="28"/>
    </w:rPr>
  </w:style>
  <w:style w:type="paragraph" w:customStyle="1" w:styleId="HeaderandFooter">
    <w:name w:val="Header and Footer"/>
    <w:basedOn w:val="Normal"/>
    <w:qFormat/>
  </w:style>
  <w:style w:type="paragraph" w:styleId="Header">
    <w:name w:val="header"/>
    <w:basedOn w:val="Normal"/>
    <w:link w:val="HeaderChar"/>
    <w:uiPriority w:val="99"/>
    <w:rsid w:val="00304EA8"/>
    <w:pPr>
      <w:tabs>
        <w:tab w:val="center" w:pos="4819"/>
        <w:tab w:val="right" w:pos="9638"/>
      </w:tabs>
    </w:pPr>
  </w:style>
  <w:style w:type="paragraph" w:styleId="Footer">
    <w:name w:val="footer"/>
    <w:basedOn w:val="Normal"/>
    <w:link w:val="FooterChar"/>
    <w:uiPriority w:val="99"/>
    <w:rsid w:val="00304EA8"/>
    <w:pPr>
      <w:tabs>
        <w:tab w:val="center" w:pos="4819"/>
        <w:tab w:val="right" w:pos="9638"/>
      </w:tabs>
    </w:pPr>
  </w:style>
  <w:style w:type="paragraph" w:styleId="HTMLAddress">
    <w:name w:val="HTML Address"/>
    <w:basedOn w:val="Normal"/>
    <w:semiHidden/>
    <w:qFormat/>
    <w:rPr>
      <w:i/>
      <w:iCs/>
    </w:rPr>
  </w:style>
  <w:style w:type="paragraph" w:customStyle="1" w:styleId="SIDTsubsection">
    <w:name w:val="SIDT subsection"/>
    <w:basedOn w:val="SIDTSection"/>
    <w:qFormat/>
    <w:rPr>
      <w:sz w:val="24"/>
    </w:rPr>
  </w:style>
  <w:style w:type="paragraph" w:styleId="HTMLPreformatted">
    <w:name w:val="HTML Preformatted"/>
    <w:basedOn w:val="Normal"/>
    <w:semiHidden/>
    <w:qFormat/>
    <w:rPr>
      <w:rFonts w:ascii="Courier New" w:hAnsi="Courier New" w:cs="Courier New"/>
      <w:sz w:val="20"/>
      <w:szCs w:val="20"/>
    </w:rPr>
  </w:style>
  <w:style w:type="paragraph" w:styleId="CommentText">
    <w:name w:val="annotation text"/>
    <w:basedOn w:val="Normal"/>
    <w:link w:val="CommentTextChar"/>
    <w:semiHidden/>
    <w:qFormat/>
    <w:pPr>
      <w:jc w:val="left"/>
    </w:pPr>
  </w:style>
  <w:style w:type="paragraph" w:styleId="MacroText">
    <w:name w:val="macro"/>
    <w:semiHidden/>
    <w:qFormat/>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snapToGrid w:val="0"/>
    </w:pPr>
    <w:rPr>
      <w:rFonts w:ascii="Courier New" w:hAnsi="Courier New" w:cs="Courier New"/>
      <w:kern w:val="2"/>
      <w:sz w:val="18"/>
      <w:szCs w:val="18"/>
      <w:lang w:val="en-US" w:eastAsia="ja-JP"/>
    </w:rPr>
  </w:style>
  <w:style w:type="paragraph" w:styleId="TableofAuthorities">
    <w:name w:val="table of authorities"/>
    <w:basedOn w:val="Normal"/>
    <w:next w:val="Normal"/>
    <w:semiHidden/>
    <w:qFormat/>
    <w:pPr>
      <w:ind w:left="220" w:hanging="220"/>
    </w:pPr>
  </w:style>
  <w:style w:type="paragraph" w:styleId="TOAHeading">
    <w:name w:val="toa heading"/>
    <w:basedOn w:val="Normal"/>
    <w:next w:val="Normal"/>
    <w:semiHidden/>
    <w:qFormat/>
    <w:pPr>
      <w:spacing w:before="180"/>
    </w:pPr>
    <w:rPr>
      <w:rFonts w:ascii="Arial" w:eastAsia="MS Gothic" w:hAnsi="Arial" w:cs="Arial"/>
      <w:sz w:val="24"/>
    </w:rPr>
  </w:style>
  <w:style w:type="paragraph" w:styleId="NoteHeading">
    <w:name w:val="Note Heading"/>
    <w:basedOn w:val="Normal"/>
    <w:next w:val="Normal"/>
    <w:qFormat/>
    <w:pPr>
      <w:jc w:val="center"/>
    </w:pPr>
  </w:style>
  <w:style w:type="paragraph" w:styleId="FootnoteText">
    <w:name w:val="footnote text"/>
    <w:basedOn w:val="Normal"/>
    <w:link w:val="FootnoteTextChar"/>
    <w:uiPriority w:val="99"/>
    <w:semiHidden/>
    <w:pPr>
      <w:snapToGrid w:val="0"/>
      <w:jc w:val="left"/>
    </w:pPr>
  </w:style>
  <w:style w:type="paragraph" w:styleId="DocumentMap">
    <w:name w:val="Document Map"/>
    <w:basedOn w:val="Normal"/>
    <w:semiHidden/>
    <w:qFormat/>
    <w:pPr>
      <w:shd w:val="clear" w:color="auto" w:fill="000080"/>
    </w:pPr>
    <w:rPr>
      <w:rFonts w:ascii="Arial" w:eastAsia="MS Gothic" w:hAnsi="Arial"/>
    </w:rPr>
  </w:style>
  <w:style w:type="paragraph" w:styleId="Index1">
    <w:name w:val="index 1"/>
    <w:basedOn w:val="Normal"/>
    <w:next w:val="Normal"/>
    <w:autoRedefine/>
    <w:semiHidden/>
    <w:qFormat/>
    <w:pPr>
      <w:ind w:left="220" w:hanging="220"/>
    </w:pPr>
  </w:style>
  <w:style w:type="paragraph" w:styleId="Index2">
    <w:name w:val="index 2"/>
    <w:basedOn w:val="Normal"/>
    <w:next w:val="Normal"/>
    <w:autoRedefine/>
    <w:semiHidden/>
    <w:qFormat/>
    <w:pPr>
      <w:ind w:left="100" w:hanging="220"/>
    </w:pPr>
  </w:style>
  <w:style w:type="paragraph" w:styleId="Index3">
    <w:name w:val="index 3"/>
    <w:basedOn w:val="Normal"/>
    <w:next w:val="Normal"/>
    <w:autoRedefine/>
    <w:semiHidden/>
    <w:qFormat/>
    <w:pPr>
      <w:ind w:left="200" w:hanging="220"/>
    </w:pPr>
  </w:style>
  <w:style w:type="paragraph" w:styleId="Index4">
    <w:name w:val="index 4"/>
    <w:basedOn w:val="Normal"/>
    <w:next w:val="Normal"/>
    <w:autoRedefine/>
    <w:semiHidden/>
    <w:qFormat/>
    <w:pPr>
      <w:ind w:left="300" w:hanging="220"/>
    </w:pPr>
  </w:style>
  <w:style w:type="paragraph" w:styleId="Index5">
    <w:name w:val="index 5"/>
    <w:basedOn w:val="Normal"/>
    <w:next w:val="Normal"/>
    <w:autoRedefine/>
    <w:semiHidden/>
    <w:qFormat/>
    <w:pPr>
      <w:ind w:left="400" w:hanging="220"/>
    </w:pPr>
  </w:style>
  <w:style w:type="paragraph" w:styleId="Index6">
    <w:name w:val="index 6"/>
    <w:basedOn w:val="Normal"/>
    <w:next w:val="Normal"/>
    <w:autoRedefine/>
    <w:semiHidden/>
    <w:qFormat/>
    <w:pPr>
      <w:ind w:left="500" w:hanging="220"/>
    </w:pPr>
  </w:style>
  <w:style w:type="paragraph" w:styleId="Index7">
    <w:name w:val="index 7"/>
    <w:basedOn w:val="Normal"/>
    <w:next w:val="Normal"/>
    <w:autoRedefine/>
    <w:semiHidden/>
    <w:qFormat/>
    <w:pPr>
      <w:ind w:left="600" w:hanging="220"/>
    </w:pPr>
  </w:style>
  <w:style w:type="paragraph" w:styleId="Index8">
    <w:name w:val="index 8"/>
    <w:basedOn w:val="Normal"/>
    <w:next w:val="Normal"/>
    <w:autoRedefine/>
    <w:semiHidden/>
    <w:qFormat/>
    <w:pPr>
      <w:ind w:left="700" w:hanging="220"/>
    </w:pPr>
  </w:style>
  <w:style w:type="paragraph" w:styleId="Index9">
    <w:name w:val="index 9"/>
    <w:basedOn w:val="Normal"/>
    <w:next w:val="Normal"/>
    <w:autoRedefine/>
    <w:semiHidden/>
    <w:qFormat/>
    <w:pPr>
      <w:ind w:left="800" w:hanging="220"/>
    </w:pPr>
  </w:style>
  <w:style w:type="paragraph" w:styleId="IndexHeading">
    <w:name w:val="index heading"/>
    <w:basedOn w:val="Normal"/>
    <w:next w:val="Index1"/>
    <w:semiHidden/>
    <w:qFormat/>
    <w:rPr>
      <w:rFonts w:ascii="Arial" w:hAnsi="Arial" w:cs="Arial"/>
      <w:b/>
      <w:bCs/>
    </w:rPr>
  </w:style>
  <w:style w:type="paragraph" w:styleId="TableofFigures">
    <w:name w:val="table of figures"/>
    <w:basedOn w:val="Normal"/>
    <w:next w:val="Normal"/>
    <w:semiHidden/>
    <w:qFormat/>
    <w:pPr>
      <w:ind w:left="850" w:hanging="425"/>
    </w:pPr>
  </w:style>
  <w:style w:type="paragraph" w:styleId="E-mailSignature">
    <w:name w:val="E-mail Signature"/>
    <w:basedOn w:val="Normal"/>
    <w:semiHidden/>
    <w:qFormat/>
  </w:style>
  <w:style w:type="paragraph" w:styleId="NormalWeb">
    <w:name w:val="Normal (Web)"/>
    <w:basedOn w:val="Normal"/>
    <w:semiHidden/>
    <w:qFormat/>
    <w:rPr>
      <w:sz w:val="24"/>
    </w:rPr>
  </w:style>
  <w:style w:type="paragraph" w:styleId="EndnoteText">
    <w:name w:val="endnote text"/>
    <w:basedOn w:val="Normal"/>
    <w:semiHidden/>
    <w:pPr>
      <w:snapToGrid w:val="0"/>
      <w:jc w:val="left"/>
    </w:p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SIDTE-mail">
    <w:name w:val="SIDT E-mail"/>
    <w:basedOn w:val="SIDTaffiliation"/>
    <w:next w:val="SIDTaffiliation"/>
    <w:qFormat/>
    <w:rPr>
      <w:rFonts w:ascii="Arial" w:hAnsi="Arial"/>
      <w:sz w:val="20"/>
      <w:lang w:val="fr-FR"/>
    </w:rPr>
  </w:style>
  <w:style w:type="paragraph" w:customStyle="1" w:styleId="Figure">
    <w:name w:val="Figure"/>
    <w:basedOn w:val="Normal"/>
    <w:qFormat/>
    <w:rsid w:val="006E2C95"/>
    <w:pPr>
      <w:spacing w:before="240"/>
      <w:jc w:val="center"/>
    </w:pPr>
    <w:rPr>
      <w:lang w:val="en-GB"/>
    </w:rPr>
  </w:style>
  <w:style w:type="paragraph" w:customStyle="1" w:styleId="Table">
    <w:name w:val="Table"/>
    <w:basedOn w:val="Normal"/>
    <w:qFormat/>
    <w:rsid w:val="007943B9"/>
    <w:pPr>
      <w:jc w:val="center"/>
    </w:pPr>
    <w:rPr>
      <w:sz w:val="20"/>
      <w:lang w:val="en-GB"/>
    </w:rPr>
  </w:style>
  <w:style w:type="paragraph" w:customStyle="1" w:styleId="tableCaption">
    <w:name w:val="tableCaption"/>
    <w:basedOn w:val="Caption"/>
    <w:qFormat/>
    <w:rsid w:val="007943B9"/>
    <w:pPr>
      <w:spacing w:before="240" w:after="120"/>
      <w:jc w:val="center"/>
    </w:pPr>
    <w:rPr>
      <w:b w:val="0"/>
      <w:lang w:val="en-GB"/>
    </w:rPr>
  </w:style>
  <w:style w:type="paragraph" w:customStyle="1" w:styleId="Figurecaption">
    <w:name w:val="Figurecaption"/>
    <w:basedOn w:val="Caption"/>
    <w:qFormat/>
    <w:rsid w:val="007943B9"/>
    <w:pPr>
      <w:spacing w:before="60"/>
      <w:jc w:val="center"/>
    </w:pPr>
    <w:rPr>
      <w:b w:val="0"/>
      <w:lang w:val="en-GB"/>
    </w:rPr>
  </w:style>
  <w:style w:type="paragraph" w:customStyle="1" w:styleId="References">
    <w:name w:val="References"/>
    <w:basedOn w:val="Normal"/>
    <w:qFormat/>
    <w:rsid w:val="007943B9"/>
    <w:pPr>
      <w:spacing w:after="60"/>
    </w:pPr>
    <w:rPr>
      <w:sz w:val="18"/>
      <w:lang w:val="en-GB"/>
    </w:rPr>
  </w:style>
  <w:style w:type="paragraph" w:customStyle="1" w:styleId="List1">
    <w:name w:val="List1"/>
    <w:basedOn w:val="Normal"/>
    <w:qFormat/>
    <w:rsid w:val="00B41587"/>
    <w:pPr>
      <w:numPr>
        <w:numId w:val="2"/>
      </w:numPr>
    </w:pPr>
    <w:rPr>
      <w:lang w:val="en-GB"/>
    </w:rPr>
  </w:style>
  <w:style w:type="paragraph" w:customStyle="1" w:styleId="SIDTfirstheading">
    <w:name w:val="SIDT first heading"/>
    <w:basedOn w:val="SIDTSection"/>
    <w:qFormat/>
    <w:rsid w:val="00890478"/>
    <w:pPr>
      <w:numPr>
        <w:numId w:val="3"/>
      </w:numPr>
      <w:spacing w:before="120" w:after="120"/>
    </w:pPr>
    <w:rPr>
      <w:sz w:val="24"/>
      <w:lang w:val="en-GB"/>
    </w:rPr>
  </w:style>
  <w:style w:type="paragraph" w:customStyle="1" w:styleId="Authore-mail">
    <w:name w:val="Author e-mail"/>
    <w:basedOn w:val="SIDTaffiliation"/>
    <w:qFormat/>
    <w:rsid w:val="006E2C95"/>
    <w:pPr>
      <w:spacing w:before="0" w:after="120"/>
    </w:pPr>
    <w:rPr>
      <w:lang w:val="en-GB"/>
    </w:rPr>
  </w:style>
  <w:style w:type="paragraph" w:customStyle="1" w:styleId="Authoraffiliation">
    <w:name w:val="Author affiliation"/>
    <w:basedOn w:val="SIDTaffiliation"/>
    <w:qFormat/>
    <w:rsid w:val="006E2C95"/>
    <w:rPr>
      <w:szCs w:val="22"/>
      <w:lang w:val="en-GB"/>
    </w:rPr>
  </w:style>
  <w:style w:type="paragraph" w:styleId="Signature">
    <w:name w:val="Signature"/>
    <w:basedOn w:val="Normal"/>
    <w:rsid w:val="009F2562"/>
    <w:pPr>
      <w:jc w:val="right"/>
    </w:pPr>
  </w:style>
  <w:style w:type="paragraph" w:styleId="BalloonText">
    <w:name w:val="Balloon Text"/>
    <w:basedOn w:val="Normal"/>
    <w:semiHidden/>
    <w:qFormat/>
    <w:rsid w:val="006B0BE6"/>
    <w:rPr>
      <w:rFonts w:ascii="Tahoma" w:hAnsi="Tahoma" w:cs="Tahoma"/>
      <w:sz w:val="16"/>
      <w:szCs w:val="16"/>
    </w:rPr>
  </w:style>
  <w:style w:type="paragraph" w:customStyle="1" w:styleId="StileCorpodeltestoGiustificatoDopo005cmInterlineado">
    <w:name w:val="Stile Corpo del testo + Giustificato Dopo:  0.05 cm Interlinea do..."/>
    <w:basedOn w:val="BodyText"/>
    <w:qFormat/>
    <w:rsid w:val="003F510A"/>
    <w:pPr>
      <w:ind w:right="26"/>
      <w:jc w:val="both"/>
    </w:pPr>
    <w:rPr>
      <w:sz w:val="22"/>
    </w:rPr>
  </w:style>
  <w:style w:type="paragraph" w:customStyle="1" w:styleId="Default">
    <w:name w:val="Default"/>
    <w:link w:val="DefaultChar"/>
    <w:qFormat/>
    <w:rsid w:val="00230C75"/>
    <w:rPr>
      <w:rFonts w:ascii="Times New Roman" w:eastAsia="Times New Roman" w:hAnsi="Times New Roman"/>
      <w:color w:val="000000"/>
      <w:sz w:val="24"/>
      <w:szCs w:val="24"/>
      <w:lang w:val="en-US" w:eastAsia="en-US"/>
    </w:rPr>
  </w:style>
  <w:style w:type="paragraph" w:styleId="ListParagraph">
    <w:name w:val="List Paragraph"/>
    <w:basedOn w:val="Normal"/>
    <w:uiPriority w:val="34"/>
    <w:qFormat/>
    <w:rsid w:val="00D334AF"/>
    <w:pPr>
      <w:widowControl/>
      <w:spacing w:after="200" w:line="276" w:lineRule="auto"/>
      <w:ind w:left="720"/>
      <w:contextualSpacing/>
      <w:jc w:val="left"/>
    </w:pPr>
    <w:rPr>
      <w:rFonts w:eastAsiaTheme="minorHAnsi" w:cstheme="minorBidi"/>
      <w:kern w:val="0"/>
      <w:sz w:val="24"/>
      <w:szCs w:val="22"/>
      <w:lang w:val="en-CA" w:eastAsia="en-US"/>
    </w:rPr>
  </w:style>
  <w:style w:type="paragraph" w:customStyle="1" w:styleId="CM41">
    <w:name w:val="CM41"/>
    <w:basedOn w:val="Default"/>
    <w:next w:val="Default"/>
    <w:uiPriority w:val="99"/>
    <w:qFormat/>
    <w:rsid w:val="00754BB7"/>
    <w:pPr>
      <w:widowControl w:val="0"/>
    </w:pPr>
    <w:rPr>
      <w:rFonts w:ascii="Myriad Pro" w:eastAsiaTheme="minorEastAsia" w:hAnsi="Myriad Pro"/>
      <w:color w:val="auto"/>
    </w:rPr>
  </w:style>
  <w:style w:type="paragraph" w:customStyle="1" w:styleId="CM11">
    <w:name w:val="CM11"/>
    <w:basedOn w:val="Default"/>
    <w:next w:val="Default"/>
    <w:uiPriority w:val="99"/>
    <w:qFormat/>
    <w:rsid w:val="00754BB7"/>
    <w:pPr>
      <w:widowControl w:val="0"/>
      <w:spacing w:line="258" w:lineRule="atLeast"/>
    </w:pPr>
    <w:rPr>
      <w:rFonts w:ascii="Myriad Pro" w:eastAsiaTheme="minorEastAsia" w:hAnsi="Myriad Pro"/>
      <w:color w:val="auto"/>
    </w:rPr>
  </w:style>
  <w:style w:type="paragraph" w:styleId="CommentSubject">
    <w:name w:val="annotation subject"/>
    <w:basedOn w:val="CommentText"/>
    <w:next w:val="CommentText"/>
    <w:link w:val="CommentSubjectChar"/>
    <w:qFormat/>
    <w:rsid w:val="00D649C2"/>
    <w:pPr>
      <w:jc w:val="both"/>
    </w:pPr>
    <w:rPr>
      <w:b/>
      <w:bCs/>
      <w:sz w:val="20"/>
      <w:szCs w:val="20"/>
    </w:rPr>
  </w:style>
  <w:style w:type="paragraph" w:customStyle="1" w:styleId="Paragraph">
    <w:name w:val="Paragraph"/>
    <w:basedOn w:val="Normal"/>
    <w:next w:val="Normal"/>
    <w:qFormat/>
    <w:rsid w:val="00076A62"/>
    <w:pPr>
      <w:suppressAutoHyphens w:val="0"/>
      <w:spacing w:before="240" w:line="480" w:lineRule="auto"/>
      <w:jc w:val="left"/>
    </w:pPr>
    <w:rPr>
      <w:rFonts w:eastAsia="Times New Roman"/>
      <w:kern w:val="0"/>
      <w:sz w:val="24"/>
      <w:lang w:val="en-GB" w:eastAsia="en-GB"/>
    </w:rPr>
  </w:style>
  <w:style w:type="paragraph" w:customStyle="1" w:styleId="Bulletedlist">
    <w:name w:val="Bulleted list"/>
    <w:basedOn w:val="Paragraph"/>
    <w:next w:val="Paragraph"/>
    <w:qFormat/>
    <w:rsid w:val="00076A62"/>
    <w:pPr>
      <w:widowControl/>
      <w:numPr>
        <w:numId w:val="11"/>
      </w:numPr>
      <w:spacing w:after="240"/>
      <w:contextualSpacing/>
    </w:pPr>
  </w:style>
  <w:style w:type="table" w:styleId="TableGrid">
    <w:name w:val="Table Grid"/>
    <w:basedOn w:val="TableNormal"/>
    <w:uiPriority w:val="39"/>
    <w:rsid w:val="00F47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9641B"/>
    <w:rPr>
      <w:rFonts w:ascii="Times New Roman" w:eastAsia="MS Gothic" w:hAnsi="Times New Roman"/>
      <w:kern w:val="2"/>
      <w:sz w:val="22"/>
      <w:szCs w:val="24"/>
      <w:lang w:val="en-US" w:eastAsia="ja-JP"/>
    </w:rPr>
  </w:style>
  <w:style w:type="character" w:styleId="EndnoteReference">
    <w:name w:val="endnote reference"/>
    <w:basedOn w:val="DefaultParagraphFont"/>
    <w:semiHidden/>
    <w:unhideWhenUsed/>
    <w:rsid w:val="00AB6F68"/>
    <w:rPr>
      <w:vertAlign w:val="superscript"/>
    </w:rPr>
  </w:style>
  <w:style w:type="character" w:styleId="PlaceholderText">
    <w:name w:val="Placeholder Text"/>
    <w:basedOn w:val="DefaultParagraphFont"/>
    <w:uiPriority w:val="99"/>
    <w:semiHidden/>
    <w:rsid w:val="009714CE"/>
    <w:rPr>
      <w:color w:val="808080"/>
    </w:rPr>
  </w:style>
  <w:style w:type="character" w:customStyle="1" w:styleId="FooterChar">
    <w:name w:val="Footer Char"/>
    <w:basedOn w:val="DefaultParagraphFont"/>
    <w:link w:val="Footer"/>
    <w:uiPriority w:val="99"/>
    <w:rsid w:val="00E567D7"/>
    <w:rPr>
      <w:rFonts w:ascii="Times New Roman" w:hAnsi="Times New Roman"/>
      <w:kern w:val="2"/>
      <w:sz w:val="22"/>
      <w:szCs w:val="24"/>
      <w:lang w:val="en-US" w:eastAsia="ja-JP"/>
    </w:rPr>
  </w:style>
  <w:style w:type="paragraph" w:styleId="Revision">
    <w:name w:val="Revision"/>
    <w:hidden/>
    <w:uiPriority w:val="99"/>
    <w:semiHidden/>
    <w:rsid w:val="00DB7A3C"/>
    <w:pPr>
      <w:suppressAutoHyphens w:val="0"/>
    </w:pPr>
    <w:rPr>
      <w:rFonts w:ascii="Times New Roman" w:hAnsi="Times New Roman"/>
      <w:kern w:val="2"/>
      <w:sz w:val="22"/>
      <w:szCs w:val="24"/>
      <w:lang w:val="en-US" w:eastAsia="ja-JP"/>
    </w:rPr>
  </w:style>
  <w:style w:type="table" w:customStyle="1" w:styleId="TableGrid1">
    <w:name w:val="Table Grid1"/>
    <w:basedOn w:val="TableNormal"/>
    <w:next w:val="TableGrid"/>
    <w:uiPriority w:val="39"/>
    <w:rsid w:val="0033239E"/>
    <w:pPr>
      <w:suppressAutoHyphens w:val="0"/>
      <w:adjustRightInd w:val="0"/>
      <w:spacing w:before="40" w:after="40" w:line="360" w:lineRule="auto"/>
    </w:pPr>
    <w:rPr>
      <w:rFonts w:ascii="Calibri" w:eastAsia="Times New Roman" w:hAnsi="Calibri"/>
      <w:sz w:val="22"/>
      <w:szCs w:val="22"/>
      <w:lang w:val="en-GB"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627825">
      <w:bodyDiv w:val="1"/>
      <w:marLeft w:val="0"/>
      <w:marRight w:val="0"/>
      <w:marTop w:val="0"/>
      <w:marBottom w:val="0"/>
      <w:divBdr>
        <w:top w:val="none" w:sz="0" w:space="0" w:color="auto"/>
        <w:left w:val="none" w:sz="0" w:space="0" w:color="auto"/>
        <w:bottom w:val="none" w:sz="0" w:space="0" w:color="auto"/>
        <w:right w:val="none" w:sz="0" w:space="0" w:color="auto"/>
      </w:divBdr>
    </w:div>
    <w:div w:id="767433874">
      <w:bodyDiv w:val="1"/>
      <w:marLeft w:val="0"/>
      <w:marRight w:val="0"/>
      <w:marTop w:val="0"/>
      <w:marBottom w:val="0"/>
      <w:divBdr>
        <w:top w:val="none" w:sz="0" w:space="0" w:color="auto"/>
        <w:left w:val="none" w:sz="0" w:space="0" w:color="auto"/>
        <w:bottom w:val="none" w:sz="0" w:space="0" w:color="auto"/>
        <w:right w:val="none" w:sz="0" w:space="0" w:color="auto"/>
      </w:divBdr>
    </w:div>
    <w:div w:id="1146817747">
      <w:bodyDiv w:val="1"/>
      <w:marLeft w:val="0"/>
      <w:marRight w:val="0"/>
      <w:marTop w:val="0"/>
      <w:marBottom w:val="0"/>
      <w:divBdr>
        <w:top w:val="none" w:sz="0" w:space="0" w:color="auto"/>
        <w:left w:val="none" w:sz="0" w:space="0" w:color="auto"/>
        <w:bottom w:val="none" w:sz="0" w:space="0" w:color="auto"/>
        <w:right w:val="none" w:sz="0" w:space="0" w:color="auto"/>
      </w:divBdr>
    </w:div>
    <w:div w:id="1256203547">
      <w:bodyDiv w:val="1"/>
      <w:marLeft w:val="0"/>
      <w:marRight w:val="0"/>
      <w:marTop w:val="0"/>
      <w:marBottom w:val="0"/>
      <w:divBdr>
        <w:top w:val="none" w:sz="0" w:space="0" w:color="auto"/>
        <w:left w:val="none" w:sz="0" w:space="0" w:color="auto"/>
        <w:bottom w:val="none" w:sz="0" w:space="0" w:color="auto"/>
        <w:right w:val="none" w:sz="0" w:space="0" w:color="auto"/>
      </w:divBdr>
    </w:div>
    <w:div w:id="1501701681">
      <w:bodyDiv w:val="1"/>
      <w:marLeft w:val="0"/>
      <w:marRight w:val="0"/>
      <w:marTop w:val="0"/>
      <w:marBottom w:val="0"/>
      <w:divBdr>
        <w:top w:val="none" w:sz="0" w:space="0" w:color="auto"/>
        <w:left w:val="none" w:sz="0" w:space="0" w:color="auto"/>
        <w:bottom w:val="none" w:sz="0" w:space="0" w:color="auto"/>
        <w:right w:val="none" w:sz="0" w:space="0" w:color="auto"/>
      </w:divBdr>
    </w:div>
    <w:div w:id="1547528781">
      <w:bodyDiv w:val="1"/>
      <w:marLeft w:val="0"/>
      <w:marRight w:val="0"/>
      <w:marTop w:val="0"/>
      <w:marBottom w:val="0"/>
      <w:divBdr>
        <w:top w:val="none" w:sz="0" w:space="0" w:color="auto"/>
        <w:left w:val="none" w:sz="0" w:space="0" w:color="auto"/>
        <w:bottom w:val="none" w:sz="0" w:space="0" w:color="auto"/>
        <w:right w:val="none" w:sz="0" w:space="0" w:color="auto"/>
      </w:divBdr>
    </w:div>
    <w:div w:id="1939554616">
      <w:bodyDiv w:val="1"/>
      <w:marLeft w:val="0"/>
      <w:marRight w:val="0"/>
      <w:marTop w:val="0"/>
      <w:marBottom w:val="0"/>
      <w:divBdr>
        <w:top w:val="none" w:sz="0" w:space="0" w:color="auto"/>
        <w:left w:val="none" w:sz="0" w:space="0" w:color="auto"/>
        <w:bottom w:val="none" w:sz="0" w:space="0" w:color="auto"/>
        <w:right w:val="none" w:sz="0" w:space="0" w:color="auto"/>
      </w:divBdr>
    </w:div>
    <w:div w:id="2089961585">
      <w:bodyDiv w:val="1"/>
      <w:marLeft w:val="0"/>
      <w:marRight w:val="0"/>
      <w:marTop w:val="0"/>
      <w:marBottom w:val="0"/>
      <w:divBdr>
        <w:top w:val="none" w:sz="0" w:space="0" w:color="auto"/>
        <w:left w:val="none" w:sz="0" w:space="0" w:color="auto"/>
        <w:bottom w:val="none" w:sz="0" w:space="0" w:color="auto"/>
        <w:right w:val="none" w:sz="0" w:space="0" w:color="auto"/>
      </w:divBdr>
    </w:div>
    <w:div w:id="2120947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3.png"/><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G:\Transport%20Policy\West%20Midlands\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1" Type="http://schemas.openxmlformats.org/officeDocument/2006/relationships/oleObject" Target="file:///G:\Transport%20Policy\transort%20policy%20new%20graphs\graphs_reviewer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Transport%20Policy\transort%20policy%20new%20graphs\graphs_reviewer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Transport%20Policy\transort%20policy%20new%20graphs\graphs_reviewer2.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DELTA%20TRB\Scenario25\models.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Sheet3!$B$1</c:f>
              <c:strCache>
                <c:ptCount val="1"/>
                <c:pt idx="0">
                  <c:v>GDHI per head (£)</c:v>
                </c:pt>
              </c:strCache>
            </c:strRef>
          </c:tx>
          <c:spPr>
            <a:solidFill>
              <a:schemeClr val="accent1"/>
            </a:solidFill>
            <a:ln>
              <a:noFill/>
            </a:ln>
            <a:effectLst/>
          </c:spPr>
          <c:invertIfNegative val="0"/>
          <c:cat>
            <c:strRef>
              <c:f>Sheet3!$A$2:$A$13</c:f>
              <c:strCache>
                <c:ptCount val="12"/>
                <c:pt idx="0">
                  <c:v>North East</c:v>
                </c:pt>
                <c:pt idx="1">
                  <c:v>North West</c:v>
                </c:pt>
                <c:pt idx="2">
                  <c:v>Yorkshire and The Humber</c:v>
                </c:pt>
                <c:pt idx="3">
                  <c:v>East Midlands</c:v>
                </c:pt>
                <c:pt idx="4">
                  <c:v>West Midlands</c:v>
                </c:pt>
                <c:pt idx="5">
                  <c:v>East of England</c:v>
                </c:pt>
                <c:pt idx="6">
                  <c:v>London</c:v>
                </c:pt>
                <c:pt idx="7">
                  <c:v>South East</c:v>
                </c:pt>
                <c:pt idx="8">
                  <c:v>South West</c:v>
                </c:pt>
                <c:pt idx="9">
                  <c:v>Wales</c:v>
                </c:pt>
                <c:pt idx="10">
                  <c:v>Scotland</c:v>
                </c:pt>
                <c:pt idx="11">
                  <c:v>Northern Ireland</c:v>
                </c:pt>
              </c:strCache>
            </c:strRef>
          </c:cat>
          <c:val>
            <c:numRef>
              <c:f>Sheet3!$B$2:$B$13</c:f>
              <c:numCache>
                <c:formatCode>#,##0</c:formatCode>
                <c:ptCount val="12"/>
                <c:pt idx="0">
                  <c:v>14927</c:v>
                </c:pt>
                <c:pt idx="1">
                  <c:v>15412</c:v>
                </c:pt>
                <c:pt idx="2">
                  <c:v>15252</c:v>
                </c:pt>
                <c:pt idx="3">
                  <c:v>15893</c:v>
                </c:pt>
                <c:pt idx="4">
                  <c:v>15551</c:v>
                </c:pt>
                <c:pt idx="5">
                  <c:v>18523</c:v>
                </c:pt>
                <c:pt idx="6">
                  <c:v>22516</c:v>
                </c:pt>
                <c:pt idx="7">
                  <c:v>19898</c:v>
                </c:pt>
                <c:pt idx="8">
                  <c:v>17693</c:v>
                </c:pt>
                <c:pt idx="9">
                  <c:v>15413</c:v>
                </c:pt>
                <c:pt idx="10">
                  <c:v>17039</c:v>
                </c:pt>
                <c:pt idx="11">
                  <c:v>14347</c:v>
                </c:pt>
              </c:numCache>
            </c:numRef>
          </c:val>
          <c:extLst>
            <c:ext xmlns:c16="http://schemas.microsoft.com/office/drawing/2014/chart" uri="{C3380CC4-5D6E-409C-BE32-E72D297353CC}">
              <c16:uniqueId val="{00000000-19EB-4407-81DB-34EC80DAB669}"/>
            </c:ext>
          </c:extLst>
        </c:ser>
        <c:dLbls>
          <c:showLegendKey val="0"/>
          <c:showVal val="0"/>
          <c:showCatName val="0"/>
          <c:showSerName val="0"/>
          <c:showPercent val="0"/>
          <c:showBubbleSize val="0"/>
        </c:dLbls>
        <c:gapWidth val="219"/>
        <c:overlap val="-27"/>
        <c:axId val="645985000"/>
        <c:axId val="645985656"/>
      </c:barChart>
      <c:catAx>
        <c:axId val="645985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Regions of the UK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5985656"/>
        <c:crosses val="autoZero"/>
        <c:auto val="1"/>
        <c:lblAlgn val="ctr"/>
        <c:lblOffset val="100"/>
        <c:noMultiLvlLbl val="0"/>
      </c:catAx>
      <c:valAx>
        <c:axId val="645985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GDHI per head (£)</a:t>
                </a:r>
              </a:p>
            </c:rich>
          </c:tx>
          <c:layout>
            <c:manualLayout>
              <c:xMode val="edge"/>
              <c:yMode val="edge"/>
              <c:x val="2.3328149300155521E-2"/>
              <c:y val="0.2323296225902796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5985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Employment Density in Coventry</a:t>
            </a:r>
          </a:p>
        </c:rich>
      </c:tx>
      <c:overlay val="0"/>
      <c:spPr>
        <a:noFill/>
        <a:ln>
          <a:noFill/>
        </a:ln>
        <a:effectLst/>
      </c:spPr>
    </c:title>
    <c:autoTitleDeleted val="0"/>
    <c:plotArea>
      <c:layout/>
      <c:lineChart>
        <c:grouping val="standard"/>
        <c:varyColors val="0"/>
        <c:ser>
          <c:idx val="0"/>
          <c:order val="0"/>
          <c:tx>
            <c:strRef>
              <c:f>'EMPLOYMENT DEN'!$A$14</c:f>
              <c:strCache>
                <c:ptCount val="1"/>
                <c:pt idx="0">
                  <c:v>BAU</c:v>
                </c:pt>
              </c:strCache>
            </c:strRef>
          </c:tx>
          <c:spPr>
            <a:ln w="12700" cap="rnd">
              <a:solidFill>
                <a:schemeClr val="accent1">
                  <a:alpha val="30000"/>
                </a:schemeClr>
              </a:solidFill>
              <a:round/>
            </a:ln>
            <a:effectLst/>
          </c:spPr>
          <c:marker>
            <c:symbol val="square"/>
            <c:size val="5"/>
            <c:spPr>
              <a:solidFill>
                <a:schemeClr val="accent1"/>
              </a:solidFill>
              <a:ln w="9525">
                <a:solidFill>
                  <a:schemeClr val="accent1"/>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DEN'!$L$14:$AB$14</c:f>
              <c:numCache>
                <c:formatCode>General</c:formatCode>
                <c:ptCount val="17"/>
                <c:pt idx="0">
                  <c:v>3.5015603347130724</c:v>
                </c:pt>
                <c:pt idx="1">
                  <c:v>3.5319231631895676</c:v>
                </c:pt>
                <c:pt idx="2">
                  <c:v>3.560406660077247</c:v>
                </c:pt>
                <c:pt idx="3">
                  <c:v>3.5918483904509637</c:v>
                </c:pt>
                <c:pt idx="4">
                  <c:v>3.622812229472316</c:v>
                </c:pt>
                <c:pt idx="5">
                  <c:v>3.6576707056227185</c:v>
                </c:pt>
                <c:pt idx="6">
                  <c:v>3.6911944872439282</c:v>
                </c:pt>
                <c:pt idx="7">
                  <c:v>3.7250928269633858</c:v>
                </c:pt>
                <c:pt idx="8">
                  <c:v>3.7577775381714384</c:v>
                </c:pt>
                <c:pt idx="9">
                  <c:v>3.7898416993096427</c:v>
                </c:pt>
                <c:pt idx="10">
                  <c:v>3.8217558429746186</c:v>
                </c:pt>
                <c:pt idx="11">
                  <c:v>3.8531998543878974</c:v>
                </c:pt>
                <c:pt idx="12">
                  <c:v>3.8629419671344873</c:v>
                </c:pt>
                <c:pt idx="13">
                  <c:v>3.8655271933344078</c:v>
                </c:pt>
                <c:pt idx="14">
                  <c:v>3.8658113161681835</c:v>
                </c:pt>
                <c:pt idx="15">
                  <c:v>3.8650177415978146</c:v>
                </c:pt>
                <c:pt idx="16">
                  <c:v>3.8650466526154044</c:v>
                </c:pt>
              </c:numCache>
            </c:numRef>
          </c:val>
          <c:smooth val="0"/>
          <c:extLst>
            <c:ext xmlns:c16="http://schemas.microsoft.com/office/drawing/2014/chart" uri="{C3380CC4-5D6E-409C-BE32-E72D297353CC}">
              <c16:uniqueId val="{00000000-A09D-430F-8080-1BB1B4DAEFAA}"/>
            </c:ext>
          </c:extLst>
        </c:ser>
        <c:ser>
          <c:idx val="1"/>
          <c:order val="1"/>
          <c:tx>
            <c:strRef>
              <c:f>'EMPLOYMENT DEN'!$A$15</c:f>
              <c:strCache>
                <c:ptCount val="1"/>
                <c:pt idx="0">
                  <c:v>1N</c:v>
                </c:pt>
              </c:strCache>
            </c:strRef>
          </c:tx>
          <c:spPr>
            <a:ln w="12700" cap="rnd">
              <a:solidFill>
                <a:schemeClr val="accent2">
                  <a:alpha val="20000"/>
                </a:schemeClr>
              </a:solidFill>
              <a:round/>
            </a:ln>
            <a:effectLst/>
          </c:spPr>
          <c:marker>
            <c:symbol val="square"/>
            <c:size val="5"/>
            <c:spPr>
              <a:solidFill>
                <a:schemeClr val="accent2"/>
              </a:solidFill>
              <a:ln w="9525">
                <a:solidFill>
                  <a:schemeClr val="accent2"/>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DEN'!$L$15:$AB$15</c:f>
              <c:numCache>
                <c:formatCode>General</c:formatCode>
                <c:ptCount val="17"/>
                <c:pt idx="0">
                  <c:v>3.5015603347130724</c:v>
                </c:pt>
                <c:pt idx="1">
                  <c:v>3.5319231631895676</c:v>
                </c:pt>
                <c:pt idx="2">
                  <c:v>3.5603830802662872</c:v>
                </c:pt>
                <c:pt idx="3">
                  <c:v>3.5918144999947441</c:v>
                </c:pt>
                <c:pt idx="4">
                  <c:v>3.6228226653108448</c:v>
                </c:pt>
                <c:pt idx="5">
                  <c:v>3.657685374359104</c:v>
                </c:pt>
                <c:pt idx="6">
                  <c:v>3.6912724051230055</c:v>
                </c:pt>
                <c:pt idx="7">
                  <c:v>3.7251653194602903</c:v>
                </c:pt>
                <c:pt idx="8">
                  <c:v>3.7578801935912307</c:v>
                </c:pt>
                <c:pt idx="9">
                  <c:v>3.7899427336303688</c:v>
                </c:pt>
                <c:pt idx="10">
                  <c:v>3.8219099075819614</c:v>
                </c:pt>
                <c:pt idx="11">
                  <c:v>3.8533684148344842</c:v>
                </c:pt>
                <c:pt idx="12">
                  <c:v>3.8625331968870769</c:v>
                </c:pt>
                <c:pt idx="13">
                  <c:v>3.8649944166725185</c:v>
                </c:pt>
                <c:pt idx="14">
                  <c:v>3.8651999108360817</c:v>
                </c:pt>
                <c:pt idx="15">
                  <c:v>3.8643483947609312</c:v>
                </c:pt>
                <c:pt idx="16">
                  <c:v>3.8643945518085863</c:v>
                </c:pt>
              </c:numCache>
            </c:numRef>
          </c:val>
          <c:smooth val="0"/>
          <c:extLst>
            <c:ext xmlns:c16="http://schemas.microsoft.com/office/drawing/2014/chart" uri="{C3380CC4-5D6E-409C-BE32-E72D297353CC}">
              <c16:uniqueId val="{00000001-A09D-430F-8080-1BB1B4DAEFAA}"/>
            </c:ext>
          </c:extLst>
        </c:ser>
        <c:ser>
          <c:idx val="2"/>
          <c:order val="2"/>
          <c:tx>
            <c:strRef>
              <c:f>'EMPLOYMENT DEN'!$A$16</c:f>
              <c:strCache>
                <c:ptCount val="1"/>
                <c:pt idx="0">
                  <c:v>1P</c:v>
                </c:pt>
              </c:strCache>
            </c:strRef>
          </c:tx>
          <c:spPr>
            <a:ln w="12700" cap="rnd">
              <a:solidFill>
                <a:schemeClr val="tx2">
                  <a:alpha val="20000"/>
                </a:schemeClr>
              </a:solidFill>
              <a:round/>
            </a:ln>
            <a:effectLst/>
          </c:spPr>
          <c:marker>
            <c:symbol val="square"/>
            <c:size val="5"/>
            <c:spPr>
              <a:solidFill>
                <a:schemeClr val="accent3"/>
              </a:solidFill>
              <a:ln w="9525">
                <a:solidFill>
                  <a:schemeClr val="accent3"/>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DEN'!$L$16:$AB$16</c:f>
              <c:numCache>
                <c:formatCode>General</c:formatCode>
                <c:ptCount val="17"/>
                <c:pt idx="0">
                  <c:v>3.5015603347130724</c:v>
                </c:pt>
                <c:pt idx="1">
                  <c:v>3.5319231631895676</c:v>
                </c:pt>
                <c:pt idx="2">
                  <c:v>3.560406660077247</c:v>
                </c:pt>
                <c:pt idx="3">
                  <c:v>3.5918483904509637</c:v>
                </c:pt>
                <c:pt idx="4">
                  <c:v>3.622812229472316</c:v>
                </c:pt>
                <c:pt idx="5">
                  <c:v>3.6576707056227185</c:v>
                </c:pt>
                <c:pt idx="6">
                  <c:v>3.6911944872439282</c:v>
                </c:pt>
                <c:pt idx="7">
                  <c:v>3.7250928269633858</c:v>
                </c:pt>
                <c:pt idx="8">
                  <c:v>3.7577775381714384</c:v>
                </c:pt>
                <c:pt idx="9">
                  <c:v>3.7898416993096427</c:v>
                </c:pt>
                <c:pt idx="10">
                  <c:v>3.8217558429746186</c:v>
                </c:pt>
                <c:pt idx="11">
                  <c:v>3.8531998543878974</c:v>
                </c:pt>
                <c:pt idx="12">
                  <c:v>3.8629419671344873</c:v>
                </c:pt>
                <c:pt idx="13">
                  <c:v>3.8655271933344078</c:v>
                </c:pt>
                <c:pt idx="14">
                  <c:v>3.8658113161681835</c:v>
                </c:pt>
                <c:pt idx="15">
                  <c:v>3.8650177415978146</c:v>
                </c:pt>
                <c:pt idx="16">
                  <c:v>3.8650466526154044</c:v>
                </c:pt>
              </c:numCache>
            </c:numRef>
          </c:val>
          <c:smooth val="0"/>
          <c:extLst>
            <c:ext xmlns:c16="http://schemas.microsoft.com/office/drawing/2014/chart" uri="{C3380CC4-5D6E-409C-BE32-E72D297353CC}">
              <c16:uniqueId val="{00000002-A09D-430F-8080-1BB1B4DAEFAA}"/>
            </c:ext>
          </c:extLst>
        </c:ser>
        <c:ser>
          <c:idx val="3"/>
          <c:order val="3"/>
          <c:tx>
            <c:strRef>
              <c:f>'EMPLOYMENT DEN'!$A$17</c:f>
              <c:strCache>
                <c:ptCount val="1"/>
                <c:pt idx="0">
                  <c:v>2N</c:v>
                </c:pt>
              </c:strCache>
            </c:strRef>
          </c:tx>
          <c:spPr>
            <a:ln w="12700" cap="rnd">
              <a:solidFill>
                <a:schemeClr val="accent4">
                  <a:alpha val="20000"/>
                </a:schemeClr>
              </a:solidFill>
              <a:round/>
            </a:ln>
            <a:effectLst/>
          </c:spPr>
          <c:marker>
            <c:symbol val="square"/>
            <c:size val="5"/>
            <c:spPr>
              <a:solidFill>
                <a:schemeClr val="accent4"/>
              </a:solidFill>
              <a:ln w="9525">
                <a:solidFill>
                  <a:schemeClr val="accent4"/>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DEN'!$L$17:$AB$17</c:f>
              <c:numCache>
                <c:formatCode>General</c:formatCode>
                <c:ptCount val="17"/>
                <c:pt idx="0">
                  <c:v>3.5015603347130724</c:v>
                </c:pt>
                <c:pt idx="1">
                  <c:v>3.5319231631895676</c:v>
                </c:pt>
                <c:pt idx="2">
                  <c:v>3.560406660077247</c:v>
                </c:pt>
                <c:pt idx="3">
                  <c:v>3.5918483904509637</c:v>
                </c:pt>
                <c:pt idx="4">
                  <c:v>3.622812229472316</c:v>
                </c:pt>
                <c:pt idx="5">
                  <c:v>3.6576707056227185</c:v>
                </c:pt>
                <c:pt idx="6">
                  <c:v>3.6911944872439282</c:v>
                </c:pt>
                <c:pt idx="7">
                  <c:v>3.7250928269633858</c:v>
                </c:pt>
                <c:pt idx="8">
                  <c:v>3.7577775381714384</c:v>
                </c:pt>
                <c:pt idx="9">
                  <c:v>3.7898416993096427</c:v>
                </c:pt>
                <c:pt idx="10">
                  <c:v>3.8217558429746186</c:v>
                </c:pt>
                <c:pt idx="11">
                  <c:v>3.8531998543878974</c:v>
                </c:pt>
                <c:pt idx="12">
                  <c:v>3.8629419671344873</c:v>
                </c:pt>
                <c:pt idx="13">
                  <c:v>3.8655271933344078</c:v>
                </c:pt>
                <c:pt idx="14">
                  <c:v>3.8658113161681835</c:v>
                </c:pt>
                <c:pt idx="15">
                  <c:v>3.8650177415978146</c:v>
                </c:pt>
                <c:pt idx="16">
                  <c:v>3.8650466526154044</c:v>
                </c:pt>
              </c:numCache>
            </c:numRef>
          </c:val>
          <c:smooth val="0"/>
          <c:extLst>
            <c:ext xmlns:c16="http://schemas.microsoft.com/office/drawing/2014/chart" uri="{C3380CC4-5D6E-409C-BE32-E72D297353CC}">
              <c16:uniqueId val="{00000003-A09D-430F-8080-1BB1B4DAEFAA}"/>
            </c:ext>
          </c:extLst>
        </c:ser>
        <c:ser>
          <c:idx val="4"/>
          <c:order val="4"/>
          <c:tx>
            <c:strRef>
              <c:f>'EMPLOYMENT DEN'!$A$18</c:f>
              <c:strCache>
                <c:ptCount val="1"/>
                <c:pt idx="0">
                  <c:v>2P</c:v>
                </c:pt>
              </c:strCache>
            </c:strRef>
          </c:tx>
          <c:spPr>
            <a:ln w="12700" cap="rnd">
              <a:solidFill>
                <a:schemeClr val="accent1">
                  <a:alpha val="20000"/>
                </a:schemeClr>
              </a:solidFill>
              <a:round/>
            </a:ln>
            <a:effectLst/>
          </c:spPr>
          <c:marker>
            <c:symbol val="square"/>
            <c:size val="5"/>
            <c:spPr>
              <a:solidFill>
                <a:schemeClr val="accent5"/>
              </a:solidFill>
              <a:ln w="9525">
                <a:solidFill>
                  <a:schemeClr val="accent5"/>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DEN'!$L$18:$AB$18</c:f>
              <c:numCache>
                <c:formatCode>General</c:formatCode>
                <c:ptCount val="17"/>
                <c:pt idx="0">
                  <c:v>3.5015603347130724</c:v>
                </c:pt>
                <c:pt idx="1">
                  <c:v>3.5319231631895676</c:v>
                </c:pt>
                <c:pt idx="2">
                  <c:v>3.5583476466247017</c:v>
                </c:pt>
                <c:pt idx="3">
                  <c:v>3.5893476412501815</c:v>
                </c:pt>
                <c:pt idx="4">
                  <c:v>3.6198429992078416</c:v>
                </c:pt>
                <c:pt idx="5">
                  <c:v>3.6543560726660558</c:v>
                </c:pt>
                <c:pt idx="6">
                  <c:v>3.6874971462059927</c:v>
                </c:pt>
                <c:pt idx="7">
                  <c:v>3.7209757057322115</c:v>
                </c:pt>
                <c:pt idx="8">
                  <c:v>3.7531997062399123</c:v>
                </c:pt>
                <c:pt idx="9">
                  <c:v>3.7849611458767018</c:v>
                </c:pt>
                <c:pt idx="10">
                  <c:v>3.8165276956222791</c:v>
                </c:pt>
                <c:pt idx="11">
                  <c:v>3.8476042457010573</c:v>
                </c:pt>
                <c:pt idx="12">
                  <c:v>3.8571943028357003</c:v>
                </c:pt>
                <c:pt idx="13">
                  <c:v>3.8598085876872665</c:v>
                </c:pt>
                <c:pt idx="14">
                  <c:v>3.8600631743934932</c:v>
                </c:pt>
                <c:pt idx="15">
                  <c:v>3.8591398945170967</c:v>
                </c:pt>
                <c:pt idx="16">
                  <c:v>3.8590329866521174</c:v>
                </c:pt>
              </c:numCache>
            </c:numRef>
          </c:val>
          <c:smooth val="0"/>
          <c:extLst>
            <c:ext xmlns:c16="http://schemas.microsoft.com/office/drawing/2014/chart" uri="{C3380CC4-5D6E-409C-BE32-E72D297353CC}">
              <c16:uniqueId val="{00000004-A09D-430F-8080-1BB1B4DAEFAA}"/>
            </c:ext>
          </c:extLst>
        </c:ser>
        <c:ser>
          <c:idx val="5"/>
          <c:order val="5"/>
          <c:tx>
            <c:strRef>
              <c:f>'EMPLOYMENT DEN'!$A$19</c:f>
              <c:strCache>
                <c:ptCount val="1"/>
                <c:pt idx="0">
                  <c:v>3N</c:v>
                </c:pt>
              </c:strCache>
            </c:strRef>
          </c:tx>
          <c:spPr>
            <a:ln w="12700" cap="rnd">
              <a:solidFill>
                <a:schemeClr val="accent1">
                  <a:alpha val="20000"/>
                </a:schemeClr>
              </a:solidFill>
              <a:round/>
            </a:ln>
            <a:effectLst/>
          </c:spPr>
          <c:marker>
            <c:symbol val="square"/>
            <c:size val="5"/>
            <c:spPr>
              <a:solidFill>
                <a:schemeClr val="accent6"/>
              </a:solidFill>
              <a:ln w="9525">
                <a:solidFill>
                  <a:schemeClr val="accent6"/>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DEN'!$L$19:$AB$19</c:f>
              <c:numCache>
                <c:formatCode>General</c:formatCode>
                <c:ptCount val="17"/>
                <c:pt idx="0">
                  <c:v>3.5015603347130724</c:v>
                </c:pt>
                <c:pt idx="1">
                  <c:v>3.5319231631895676</c:v>
                </c:pt>
                <c:pt idx="2">
                  <c:v>3.560406660077247</c:v>
                </c:pt>
                <c:pt idx="3">
                  <c:v>3.5918483904509637</c:v>
                </c:pt>
                <c:pt idx="4">
                  <c:v>3.622812229472316</c:v>
                </c:pt>
                <c:pt idx="5">
                  <c:v>3.6576707056227185</c:v>
                </c:pt>
                <c:pt idx="6">
                  <c:v>3.6911944872439282</c:v>
                </c:pt>
                <c:pt idx="7">
                  <c:v>3.7250928269633858</c:v>
                </c:pt>
                <c:pt idx="8">
                  <c:v>3.7577775381714384</c:v>
                </c:pt>
                <c:pt idx="9">
                  <c:v>3.7898416993096427</c:v>
                </c:pt>
                <c:pt idx="10">
                  <c:v>3.8217558429746186</c:v>
                </c:pt>
                <c:pt idx="11">
                  <c:v>3.8531998543878974</c:v>
                </c:pt>
                <c:pt idx="12">
                  <c:v>3.8629419671344873</c:v>
                </c:pt>
                <c:pt idx="13">
                  <c:v>3.8655271933344078</c:v>
                </c:pt>
                <c:pt idx="14">
                  <c:v>3.8658113161681835</c:v>
                </c:pt>
                <c:pt idx="15">
                  <c:v>3.8650177415978146</c:v>
                </c:pt>
                <c:pt idx="16">
                  <c:v>3.8650466526154044</c:v>
                </c:pt>
              </c:numCache>
            </c:numRef>
          </c:val>
          <c:smooth val="0"/>
          <c:extLst>
            <c:ext xmlns:c16="http://schemas.microsoft.com/office/drawing/2014/chart" uri="{C3380CC4-5D6E-409C-BE32-E72D297353CC}">
              <c16:uniqueId val="{00000005-A09D-430F-8080-1BB1B4DAEFAA}"/>
            </c:ext>
          </c:extLst>
        </c:ser>
        <c:ser>
          <c:idx val="6"/>
          <c:order val="6"/>
          <c:tx>
            <c:strRef>
              <c:f>'EMPLOYMENT DEN'!$A$20</c:f>
              <c:strCache>
                <c:ptCount val="1"/>
                <c:pt idx="0">
                  <c:v>3P</c:v>
                </c:pt>
              </c:strCache>
            </c:strRef>
          </c:tx>
          <c:spPr>
            <a:ln w="12700" cap="rnd">
              <a:solidFill>
                <a:schemeClr val="accent1">
                  <a:alpha val="2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DEN'!$L$20:$AB$20</c:f>
              <c:numCache>
                <c:formatCode>General</c:formatCode>
                <c:ptCount val="17"/>
                <c:pt idx="0">
                  <c:v>3.5015603347130724</c:v>
                </c:pt>
                <c:pt idx="1">
                  <c:v>3.5319231631895676</c:v>
                </c:pt>
                <c:pt idx="2">
                  <c:v>3.5583491186691876</c:v>
                </c:pt>
                <c:pt idx="3">
                  <c:v>3.5893494297340487</c:v>
                </c:pt>
                <c:pt idx="4">
                  <c:v>3.6198361492923268</c:v>
                </c:pt>
                <c:pt idx="5">
                  <c:v>3.6543506047132892</c:v>
                </c:pt>
                <c:pt idx="6">
                  <c:v>3.6874819146622939</c:v>
                </c:pt>
                <c:pt idx="7">
                  <c:v>3.7209544115046684</c:v>
                </c:pt>
                <c:pt idx="8">
                  <c:v>3.7531678452169031</c:v>
                </c:pt>
                <c:pt idx="9">
                  <c:v>3.7849198359643714</c:v>
                </c:pt>
                <c:pt idx="10">
                  <c:v>3.8164861209021286</c:v>
                </c:pt>
                <c:pt idx="11">
                  <c:v>3.8475469274987146</c:v>
                </c:pt>
                <c:pt idx="12">
                  <c:v>3.8571232837300053</c:v>
                </c:pt>
                <c:pt idx="13">
                  <c:v>3.8597337061255699</c:v>
                </c:pt>
                <c:pt idx="14">
                  <c:v>3.8599756694591707</c:v>
                </c:pt>
                <c:pt idx="15">
                  <c:v>3.8590543174420646</c:v>
                </c:pt>
                <c:pt idx="16">
                  <c:v>3.8589270195673362</c:v>
                </c:pt>
              </c:numCache>
            </c:numRef>
          </c:val>
          <c:smooth val="0"/>
          <c:extLst>
            <c:ext xmlns:c16="http://schemas.microsoft.com/office/drawing/2014/chart" uri="{C3380CC4-5D6E-409C-BE32-E72D297353CC}">
              <c16:uniqueId val="{00000006-A09D-430F-8080-1BB1B4DAEFAA}"/>
            </c:ext>
          </c:extLst>
        </c:ser>
        <c:ser>
          <c:idx val="7"/>
          <c:order val="7"/>
          <c:tx>
            <c:strRef>
              <c:f>'EMPLOYMENT DEN'!$A$21</c:f>
              <c:strCache>
                <c:ptCount val="1"/>
                <c:pt idx="0">
                  <c:v>4N</c:v>
                </c:pt>
              </c:strCache>
            </c:strRef>
          </c:tx>
          <c:spPr>
            <a:ln w="12700" cap="rnd">
              <a:solidFill>
                <a:schemeClr val="accent2">
                  <a:lumMod val="50000"/>
                  <a:alpha val="2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DEN'!$L$21:$AB$21</c:f>
              <c:numCache>
                <c:formatCode>General</c:formatCode>
                <c:ptCount val="17"/>
                <c:pt idx="0">
                  <c:v>3.5015603347130724</c:v>
                </c:pt>
                <c:pt idx="1">
                  <c:v>3.5319231631895676</c:v>
                </c:pt>
                <c:pt idx="2">
                  <c:v>3.5603821749761995</c:v>
                </c:pt>
                <c:pt idx="3">
                  <c:v>3.591812052022203</c:v>
                </c:pt>
                <c:pt idx="4">
                  <c:v>3.6228241805398427</c:v>
                </c:pt>
                <c:pt idx="5">
                  <c:v>3.6576900236089842</c:v>
                </c:pt>
                <c:pt idx="6">
                  <c:v>3.6912786968396789</c:v>
                </c:pt>
                <c:pt idx="7">
                  <c:v>3.7251752413177468</c:v>
                </c:pt>
                <c:pt idx="8">
                  <c:v>3.7579050782594954</c:v>
                </c:pt>
                <c:pt idx="9">
                  <c:v>3.7899755537232487</c:v>
                </c:pt>
                <c:pt idx="10">
                  <c:v>3.821970840325541</c:v>
                </c:pt>
                <c:pt idx="11">
                  <c:v>3.8534469106213742</c:v>
                </c:pt>
                <c:pt idx="12">
                  <c:v>3.8626399407716723</c:v>
                </c:pt>
                <c:pt idx="13">
                  <c:v>3.8651285780961517</c:v>
                </c:pt>
                <c:pt idx="14">
                  <c:v>3.8653868618564036</c:v>
                </c:pt>
                <c:pt idx="15">
                  <c:v>3.8645682646686361</c:v>
                </c:pt>
                <c:pt idx="16">
                  <c:v>3.8646414942573339</c:v>
                </c:pt>
              </c:numCache>
            </c:numRef>
          </c:val>
          <c:smooth val="0"/>
          <c:extLst>
            <c:ext xmlns:c16="http://schemas.microsoft.com/office/drawing/2014/chart" uri="{C3380CC4-5D6E-409C-BE32-E72D297353CC}">
              <c16:uniqueId val="{00000007-A09D-430F-8080-1BB1B4DAEFAA}"/>
            </c:ext>
          </c:extLst>
        </c:ser>
        <c:ser>
          <c:idx val="8"/>
          <c:order val="8"/>
          <c:tx>
            <c:strRef>
              <c:f>'EMPLOYMENT DEN'!$A$22</c:f>
              <c:strCache>
                <c:ptCount val="1"/>
                <c:pt idx="0">
                  <c:v>4P</c:v>
                </c:pt>
              </c:strCache>
            </c:strRef>
          </c:tx>
          <c:spPr>
            <a:ln w="12700" cap="rnd">
              <a:solidFill>
                <a:schemeClr val="accent1">
                  <a:alpha val="20000"/>
                </a:schemeClr>
              </a:solidFill>
              <a:round/>
            </a:ln>
            <a:effectLst/>
          </c:spPr>
          <c:marker>
            <c:symbol val="square"/>
            <c:size val="5"/>
            <c:spPr>
              <a:solidFill>
                <a:schemeClr val="accent3">
                  <a:lumMod val="60000"/>
                </a:schemeClr>
              </a:solidFill>
              <a:ln w="9525">
                <a:solidFill>
                  <a:schemeClr val="accent3">
                    <a:lumMod val="60000"/>
                  </a:schemeClr>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DEN'!$L$22:$AB$22</c:f>
              <c:numCache>
                <c:formatCode>General</c:formatCode>
                <c:ptCount val="17"/>
                <c:pt idx="0">
                  <c:v>3.5015603347130724</c:v>
                </c:pt>
                <c:pt idx="1">
                  <c:v>3.5319231631895676</c:v>
                </c:pt>
                <c:pt idx="2">
                  <c:v>3.560406660077247</c:v>
                </c:pt>
                <c:pt idx="3">
                  <c:v>3.5918483904509637</c:v>
                </c:pt>
                <c:pt idx="4">
                  <c:v>3.622812229472316</c:v>
                </c:pt>
                <c:pt idx="5">
                  <c:v>3.6576707056227185</c:v>
                </c:pt>
                <c:pt idx="6">
                  <c:v>3.6911944872439282</c:v>
                </c:pt>
                <c:pt idx="7">
                  <c:v>3.7250928269633858</c:v>
                </c:pt>
                <c:pt idx="8">
                  <c:v>3.7577775381714384</c:v>
                </c:pt>
                <c:pt idx="9">
                  <c:v>3.7898416993096427</c:v>
                </c:pt>
                <c:pt idx="10">
                  <c:v>3.8217558429746186</c:v>
                </c:pt>
                <c:pt idx="11">
                  <c:v>3.8531998543878974</c:v>
                </c:pt>
                <c:pt idx="12">
                  <c:v>3.8629419671344873</c:v>
                </c:pt>
                <c:pt idx="13">
                  <c:v>3.8655271933344078</c:v>
                </c:pt>
                <c:pt idx="14">
                  <c:v>3.8658113161681835</c:v>
                </c:pt>
                <c:pt idx="15">
                  <c:v>3.8650177415978146</c:v>
                </c:pt>
                <c:pt idx="16">
                  <c:v>3.8650466526154044</c:v>
                </c:pt>
              </c:numCache>
            </c:numRef>
          </c:val>
          <c:smooth val="0"/>
          <c:extLst>
            <c:ext xmlns:c16="http://schemas.microsoft.com/office/drawing/2014/chart" uri="{C3380CC4-5D6E-409C-BE32-E72D297353CC}">
              <c16:uniqueId val="{00000008-A09D-430F-8080-1BB1B4DAEFAA}"/>
            </c:ext>
          </c:extLst>
        </c:ser>
        <c:dLbls>
          <c:showLegendKey val="0"/>
          <c:showVal val="0"/>
          <c:showCatName val="0"/>
          <c:showSerName val="0"/>
          <c:showPercent val="0"/>
          <c:showBubbleSize val="0"/>
        </c:dLbls>
        <c:marker val="1"/>
        <c:smooth val="0"/>
        <c:axId val="686317264"/>
        <c:axId val="686315296"/>
      </c:lineChart>
      <c:catAx>
        <c:axId val="68631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5296"/>
        <c:crosses val="autoZero"/>
        <c:auto val="1"/>
        <c:lblAlgn val="ctr"/>
        <c:lblOffset val="100"/>
        <c:noMultiLvlLbl val="0"/>
      </c:catAx>
      <c:valAx>
        <c:axId val="6863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Employees/m2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7264"/>
        <c:crosses val="autoZero"/>
        <c:crossBetween val="between"/>
      </c:valAx>
    </c:plotArea>
    <c:legend>
      <c:legendPos val="b"/>
      <c:legendEntry>
        <c:idx val="0"/>
        <c:delete val="1"/>
      </c:legendEntry>
      <c:layout>
        <c:manualLayout>
          <c:xMode val="edge"/>
          <c:yMode val="edge"/>
          <c:x val="5.3835410595444999E-2"/>
          <c:y val="0.94048253846106056"/>
          <c:w val="0.86482376532894567"/>
          <c:h val="4.3166195099890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Population Density in Coventry</a:t>
            </a:r>
          </a:p>
        </c:rich>
      </c:tx>
      <c:overlay val="0"/>
      <c:spPr>
        <a:noFill/>
        <a:ln>
          <a:noFill/>
        </a:ln>
        <a:effectLst/>
      </c:spPr>
    </c:title>
    <c:autoTitleDeleted val="0"/>
    <c:plotArea>
      <c:layout/>
      <c:lineChart>
        <c:grouping val="standard"/>
        <c:varyColors val="0"/>
        <c:ser>
          <c:idx val="0"/>
          <c:order val="0"/>
          <c:tx>
            <c:strRef>
              <c:f>'POPULATION DEN'!$A$14</c:f>
              <c:strCache>
                <c:ptCount val="1"/>
                <c:pt idx="0">
                  <c:v>BAU</c:v>
                </c:pt>
              </c:strCache>
            </c:strRef>
          </c:tx>
          <c:spPr>
            <a:ln w="12700" cap="rnd">
              <a:solidFill>
                <a:schemeClr val="accent1">
                  <a:alpha val="30000"/>
                </a:schemeClr>
              </a:solidFill>
              <a:round/>
            </a:ln>
            <a:effectLst/>
          </c:spPr>
          <c:marker>
            <c:symbol val="square"/>
            <c:size val="5"/>
            <c:spPr>
              <a:solidFill>
                <a:schemeClr val="accent1"/>
              </a:solidFill>
              <a:ln w="9525">
                <a:solidFill>
                  <a:schemeClr val="accent1"/>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DEN'!$L$14:$AB$14</c:f>
              <c:numCache>
                <c:formatCode>General</c:formatCode>
                <c:ptCount val="17"/>
                <c:pt idx="0">
                  <c:v>2.720693384121245E-2</c:v>
                </c:pt>
                <c:pt idx="1">
                  <c:v>2.7077961723315794E-2</c:v>
                </c:pt>
                <c:pt idx="2">
                  <c:v>2.6922991326299703E-2</c:v>
                </c:pt>
                <c:pt idx="3">
                  <c:v>2.6812573363375523E-2</c:v>
                </c:pt>
                <c:pt idx="4">
                  <c:v>2.6722767028889472E-2</c:v>
                </c:pt>
                <c:pt idx="5">
                  <c:v>2.660749579888716E-2</c:v>
                </c:pt>
                <c:pt idx="6">
                  <c:v>2.6506117522674004E-2</c:v>
                </c:pt>
                <c:pt idx="7">
                  <c:v>2.6414519919246194E-2</c:v>
                </c:pt>
                <c:pt idx="8">
                  <c:v>2.6309796607020024E-2</c:v>
                </c:pt>
                <c:pt idx="9">
                  <c:v>2.6205132171794328E-2</c:v>
                </c:pt>
                <c:pt idx="10">
                  <c:v>2.6089224175933696E-2</c:v>
                </c:pt>
                <c:pt idx="11">
                  <c:v>2.5964704925546363E-2</c:v>
                </c:pt>
                <c:pt idx="12">
                  <c:v>2.5957931654853446E-2</c:v>
                </c:pt>
                <c:pt idx="13">
                  <c:v>2.6013666494832485E-2</c:v>
                </c:pt>
                <c:pt idx="14">
                  <c:v>2.6086749930579779E-2</c:v>
                </c:pt>
                <c:pt idx="15">
                  <c:v>2.6164901910203566E-2</c:v>
                </c:pt>
                <c:pt idx="16">
                  <c:v>2.6244991418182258E-2</c:v>
                </c:pt>
              </c:numCache>
            </c:numRef>
          </c:val>
          <c:smooth val="0"/>
          <c:extLst>
            <c:ext xmlns:c16="http://schemas.microsoft.com/office/drawing/2014/chart" uri="{C3380CC4-5D6E-409C-BE32-E72D297353CC}">
              <c16:uniqueId val="{00000000-2D38-423C-9FAD-0574520E325C}"/>
            </c:ext>
          </c:extLst>
        </c:ser>
        <c:ser>
          <c:idx val="1"/>
          <c:order val="1"/>
          <c:tx>
            <c:strRef>
              <c:f>'POPULATION DEN'!$A$15</c:f>
              <c:strCache>
                <c:ptCount val="1"/>
                <c:pt idx="0">
                  <c:v>1N</c:v>
                </c:pt>
              </c:strCache>
            </c:strRef>
          </c:tx>
          <c:spPr>
            <a:ln w="12700" cap="rnd">
              <a:solidFill>
                <a:schemeClr val="accent2">
                  <a:alpha val="20000"/>
                </a:schemeClr>
              </a:solidFill>
              <a:round/>
            </a:ln>
            <a:effectLst/>
          </c:spPr>
          <c:marker>
            <c:symbol val="square"/>
            <c:size val="5"/>
            <c:spPr>
              <a:solidFill>
                <a:schemeClr val="accent2"/>
              </a:solidFill>
              <a:ln w="9525">
                <a:solidFill>
                  <a:schemeClr val="accent2"/>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DEN'!$L$15:$AB$15</c:f>
              <c:numCache>
                <c:formatCode>General</c:formatCode>
                <c:ptCount val="17"/>
                <c:pt idx="0">
                  <c:v>2.720693384121245E-2</c:v>
                </c:pt>
                <c:pt idx="1">
                  <c:v>2.7077877742701879E-2</c:v>
                </c:pt>
                <c:pt idx="2">
                  <c:v>2.6923032847124478E-2</c:v>
                </c:pt>
                <c:pt idx="3">
                  <c:v>2.6814273709769763E-2</c:v>
                </c:pt>
                <c:pt idx="4">
                  <c:v>2.6725360529041512E-2</c:v>
                </c:pt>
                <c:pt idx="5">
                  <c:v>2.6610488262223446E-2</c:v>
                </c:pt>
                <c:pt idx="6">
                  <c:v>2.6509763833690001E-2</c:v>
                </c:pt>
                <c:pt idx="7">
                  <c:v>2.6418035752715504E-2</c:v>
                </c:pt>
                <c:pt idx="8">
                  <c:v>2.6311256608066234E-2</c:v>
                </c:pt>
                <c:pt idx="9">
                  <c:v>2.6206679171581614E-2</c:v>
                </c:pt>
                <c:pt idx="10">
                  <c:v>2.6086617523603622E-2</c:v>
                </c:pt>
                <c:pt idx="11">
                  <c:v>2.5960311663199433E-2</c:v>
                </c:pt>
                <c:pt idx="12">
                  <c:v>2.5956120454664298E-2</c:v>
                </c:pt>
                <c:pt idx="13">
                  <c:v>2.6024339895582345E-2</c:v>
                </c:pt>
                <c:pt idx="14">
                  <c:v>2.6109441074526674E-2</c:v>
                </c:pt>
                <c:pt idx="15">
                  <c:v>2.6198905969509065E-2</c:v>
                </c:pt>
                <c:pt idx="16">
                  <c:v>2.6287405038347755E-2</c:v>
                </c:pt>
              </c:numCache>
            </c:numRef>
          </c:val>
          <c:smooth val="0"/>
          <c:extLst>
            <c:ext xmlns:c16="http://schemas.microsoft.com/office/drawing/2014/chart" uri="{C3380CC4-5D6E-409C-BE32-E72D297353CC}">
              <c16:uniqueId val="{00000001-2D38-423C-9FAD-0574520E325C}"/>
            </c:ext>
          </c:extLst>
        </c:ser>
        <c:ser>
          <c:idx val="2"/>
          <c:order val="2"/>
          <c:tx>
            <c:strRef>
              <c:f>'POPULATION DEN'!$A$16</c:f>
              <c:strCache>
                <c:ptCount val="1"/>
                <c:pt idx="0">
                  <c:v>1P</c:v>
                </c:pt>
              </c:strCache>
            </c:strRef>
          </c:tx>
          <c:spPr>
            <a:ln w="12700" cap="rnd">
              <a:solidFill>
                <a:schemeClr val="tx2">
                  <a:alpha val="20000"/>
                </a:schemeClr>
              </a:solidFill>
              <a:round/>
            </a:ln>
            <a:effectLst/>
          </c:spPr>
          <c:marker>
            <c:symbol val="square"/>
            <c:size val="5"/>
            <c:spPr>
              <a:solidFill>
                <a:schemeClr val="accent3"/>
              </a:solidFill>
              <a:ln w="9525">
                <a:solidFill>
                  <a:schemeClr val="accent3"/>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DEN'!$L$16:$AB$16</c:f>
              <c:numCache>
                <c:formatCode>General</c:formatCode>
                <c:ptCount val="17"/>
                <c:pt idx="0">
                  <c:v>2.720693384121245E-2</c:v>
                </c:pt>
                <c:pt idx="1">
                  <c:v>2.7077877742701879E-2</c:v>
                </c:pt>
                <c:pt idx="2">
                  <c:v>2.6926097083992476E-2</c:v>
                </c:pt>
                <c:pt idx="3">
                  <c:v>2.6856954868535295E-2</c:v>
                </c:pt>
                <c:pt idx="4">
                  <c:v>2.6805189927138092E-2</c:v>
                </c:pt>
                <c:pt idx="5">
                  <c:v>2.6735882129121574E-2</c:v>
                </c:pt>
                <c:pt idx="6">
                  <c:v>2.6676323817894625E-2</c:v>
                </c:pt>
                <c:pt idx="7">
                  <c:v>2.6625044243532167E-2</c:v>
                </c:pt>
                <c:pt idx="8">
                  <c:v>2.6558426196947118E-2</c:v>
                </c:pt>
                <c:pt idx="9">
                  <c:v>2.6492139307330846E-2</c:v>
                </c:pt>
                <c:pt idx="10">
                  <c:v>2.6413238727186997E-2</c:v>
                </c:pt>
                <c:pt idx="11">
                  <c:v>2.63253476795898E-2</c:v>
                </c:pt>
                <c:pt idx="12">
                  <c:v>2.6361215459313546E-2</c:v>
                </c:pt>
                <c:pt idx="13">
                  <c:v>2.6446189028198216E-2</c:v>
                </c:pt>
                <c:pt idx="14">
                  <c:v>2.6548403864531073E-2</c:v>
                </c:pt>
                <c:pt idx="15">
                  <c:v>2.6656693655576328E-2</c:v>
                </c:pt>
                <c:pt idx="16">
                  <c:v>2.67609746282284E-2</c:v>
                </c:pt>
              </c:numCache>
            </c:numRef>
          </c:val>
          <c:smooth val="0"/>
          <c:extLst>
            <c:ext xmlns:c16="http://schemas.microsoft.com/office/drawing/2014/chart" uri="{C3380CC4-5D6E-409C-BE32-E72D297353CC}">
              <c16:uniqueId val="{00000002-2D38-423C-9FAD-0574520E325C}"/>
            </c:ext>
          </c:extLst>
        </c:ser>
        <c:ser>
          <c:idx val="3"/>
          <c:order val="3"/>
          <c:tx>
            <c:strRef>
              <c:f>'POPULATION DEN'!$A$17</c:f>
              <c:strCache>
                <c:ptCount val="1"/>
                <c:pt idx="0">
                  <c:v>2N</c:v>
                </c:pt>
              </c:strCache>
            </c:strRef>
          </c:tx>
          <c:spPr>
            <a:ln w="12700" cap="rnd">
              <a:solidFill>
                <a:schemeClr val="accent4">
                  <a:alpha val="20000"/>
                </a:schemeClr>
              </a:solidFill>
              <a:round/>
            </a:ln>
            <a:effectLst/>
          </c:spPr>
          <c:marker>
            <c:symbol val="square"/>
            <c:size val="5"/>
            <c:spPr>
              <a:solidFill>
                <a:schemeClr val="accent4"/>
              </a:solidFill>
              <a:ln w="9525">
                <a:solidFill>
                  <a:schemeClr val="accent4"/>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DEN'!$L$17:$AB$17</c:f>
              <c:numCache>
                <c:formatCode>General</c:formatCode>
                <c:ptCount val="17"/>
                <c:pt idx="0">
                  <c:v>2.720693384121245E-2</c:v>
                </c:pt>
                <c:pt idx="1">
                  <c:v>2.7077894538824657E-2</c:v>
                </c:pt>
                <c:pt idx="2">
                  <c:v>2.6922052955659914E-2</c:v>
                </c:pt>
                <c:pt idx="3">
                  <c:v>2.6814684421459189E-2</c:v>
                </c:pt>
                <c:pt idx="4">
                  <c:v>2.6721580035089489E-2</c:v>
                </c:pt>
                <c:pt idx="5">
                  <c:v>2.6607656684012767E-2</c:v>
                </c:pt>
                <c:pt idx="6">
                  <c:v>2.6505552264852746E-2</c:v>
                </c:pt>
                <c:pt idx="7">
                  <c:v>2.6413282282800713E-2</c:v>
                </c:pt>
                <c:pt idx="8">
                  <c:v>2.6305838208461604E-2</c:v>
                </c:pt>
                <c:pt idx="9">
                  <c:v>2.6198882292653682E-2</c:v>
                </c:pt>
                <c:pt idx="10">
                  <c:v>2.6077762572305849E-2</c:v>
                </c:pt>
                <c:pt idx="11">
                  <c:v>2.5949792156126507E-2</c:v>
                </c:pt>
                <c:pt idx="12">
                  <c:v>2.5943343536175122E-2</c:v>
                </c:pt>
                <c:pt idx="13">
                  <c:v>2.6010736986967098E-2</c:v>
                </c:pt>
                <c:pt idx="14">
                  <c:v>2.6092886148566089E-2</c:v>
                </c:pt>
                <c:pt idx="15">
                  <c:v>2.6179615568790702E-2</c:v>
                </c:pt>
                <c:pt idx="16">
                  <c:v>2.6265415312322946E-2</c:v>
                </c:pt>
              </c:numCache>
            </c:numRef>
          </c:val>
          <c:smooth val="0"/>
          <c:extLst>
            <c:ext xmlns:c16="http://schemas.microsoft.com/office/drawing/2014/chart" uri="{C3380CC4-5D6E-409C-BE32-E72D297353CC}">
              <c16:uniqueId val="{00000003-2D38-423C-9FAD-0574520E325C}"/>
            </c:ext>
          </c:extLst>
        </c:ser>
        <c:ser>
          <c:idx val="4"/>
          <c:order val="4"/>
          <c:tx>
            <c:strRef>
              <c:f>'POPULATION DEN'!$A$18</c:f>
              <c:strCache>
                <c:ptCount val="1"/>
                <c:pt idx="0">
                  <c:v>2P</c:v>
                </c:pt>
              </c:strCache>
            </c:strRef>
          </c:tx>
          <c:spPr>
            <a:ln w="12700" cap="rnd">
              <a:solidFill>
                <a:schemeClr val="accent1">
                  <a:alpha val="20000"/>
                </a:schemeClr>
              </a:solidFill>
              <a:round/>
            </a:ln>
            <a:effectLst/>
          </c:spPr>
          <c:marker>
            <c:symbol val="square"/>
            <c:size val="5"/>
            <c:spPr>
              <a:solidFill>
                <a:schemeClr val="accent5"/>
              </a:solidFill>
              <a:ln w="9525">
                <a:solidFill>
                  <a:schemeClr val="accent5"/>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DEN'!$L$18:$AB$18</c:f>
              <c:numCache>
                <c:formatCode>General</c:formatCode>
                <c:ptCount val="17"/>
                <c:pt idx="0">
                  <c:v>2.720693384121245E-2</c:v>
                </c:pt>
                <c:pt idx="1">
                  <c:v>2.7077894538824657E-2</c:v>
                </c:pt>
                <c:pt idx="2">
                  <c:v>2.6923747005310514E-2</c:v>
                </c:pt>
                <c:pt idx="3">
                  <c:v>2.6857102724743492E-2</c:v>
                </c:pt>
                <c:pt idx="4">
                  <c:v>2.6804157405133991E-2</c:v>
                </c:pt>
                <c:pt idx="5">
                  <c:v>2.6733846932282649E-2</c:v>
                </c:pt>
                <c:pt idx="6">
                  <c:v>2.6672183901457251E-2</c:v>
                </c:pt>
                <c:pt idx="7">
                  <c:v>2.6621008129773669E-2</c:v>
                </c:pt>
                <c:pt idx="8">
                  <c:v>2.6551297956545056E-2</c:v>
                </c:pt>
                <c:pt idx="9">
                  <c:v>2.6486446348113628E-2</c:v>
                </c:pt>
                <c:pt idx="10">
                  <c:v>2.6404636774497742E-2</c:v>
                </c:pt>
                <c:pt idx="11">
                  <c:v>2.6316340731698605E-2</c:v>
                </c:pt>
                <c:pt idx="12">
                  <c:v>2.6348377914876622E-2</c:v>
                </c:pt>
                <c:pt idx="13">
                  <c:v>2.6434508845675494E-2</c:v>
                </c:pt>
                <c:pt idx="14">
                  <c:v>2.6536918317178158E-2</c:v>
                </c:pt>
                <c:pt idx="15">
                  <c:v>2.6640081216369453E-2</c:v>
                </c:pt>
                <c:pt idx="16">
                  <c:v>2.6744635512915844E-2</c:v>
                </c:pt>
              </c:numCache>
            </c:numRef>
          </c:val>
          <c:smooth val="0"/>
          <c:extLst>
            <c:ext xmlns:c16="http://schemas.microsoft.com/office/drawing/2014/chart" uri="{C3380CC4-5D6E-409C-BE32-E72D297353CC}">
              <c16:uniqueId val="{00000004-2D38-423C-9FAD-0574520E325C}"/>
            </c:ext>
          </c:extLst>
        </c:ser>
        <c:ser>
          <c:idx val="5"/>
          <c:order val="5"/>
          <c:tx>
            <c:strRef>
              <c:f>'POPULATION DEN'!$A$19</c:f>
              <c:strCache>
                <c:ptCount val="1"/>
                <c:pt idx="0">
                  <c:v>3N</c:v>
                </c:pt>
              </c:strCache>
            </c:strRef>
          </c:tx>
          <c:spPr>
            <a:ln w="12700" cap="rnd">
              <a:solidFill>
                <a:schemeClr val="accent1">
                  <a:alpha val="20000"/>
                </a:schemeClr>
              </a:solidFill>
              <a:round/>
            </a:ln>
            <a:effectLst/>
          </c:spPr>
          <c:marker>
            <c:symbol val="square"/>
            <c:size val="5"/>
            <c:spPr>
              <a:solidFill>
                <a:schemeClr val="accent6"/>
              </a:solidFill>
              <a:ln w="9525">
                <a:solidFill>
                  <a:schemeClr val="accent6"/>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DEN'!$L$19:$AB$19</c:f>
              <c:numCache>
                <c:formatCode>General</c:formatCode>
                <c:ptCount val="17"/>
                <c:pt idx="0">
                  <c:v>2.720693384121245E-2</c:v>
                </c:pt>
                <c:pt idx="1">
                  <c:v>2.7077886140763268E-2</c:v>
                </c:pt>
                <c:pt idx="2">
                  <c:v>2.6923140801268876E-2</c:v>
                </c:pt>
                <c:pt idx="3">
                  <c:v>2.6815308703227125E-2</c:v>
                </c:pt>
                <c:pt idx="4">
                  <c:v>2.6725401179514118E-2</c:v>
                </c:pt>
                <c:pt idx="5">
                  <c:v>2.6612547591831216E-2</c:v>
                </c:pt>
                <c:pt idx="6">
                  <c:v>2.6512176131152556E-2</c:v>
                </c:pt>
                <c:pt idx="7">
                  <c:v>2.6422347772687968E-2</c:v>
                </c:pt>
                <c:pt idx="8">
                  <c:v>2.6315285274054689E-2</c:v>
                </c:pt>
                <c:pt idx="9">
                  <c:v>2.6211451665925398E-2</c:v>
                </c:pt>
                <c:pt idx="10">
                  <c:v>2.6091669829149271E-2</c:v>
                </c:pt>
                <c:pt idx="11">
                  <c:v>2.5966620327123224E-2</c:v>
                </c:pt>
                <c:pt idx="12">
                  <c:v>2.5962849934864998E-2</c:v>
                </c:pt>
                <c:pt idx="13">
                  <c:v>2.6032840767243413E-2</c:v>
                </c:pt>
                <c:pt idx="14">
                  <c:v>2.6116734926732343E-2</c:v>
                </c:pt>
                <c:pt idx="15">
                  <c:v>2.6207643386305025E-2</c:v>
                </c:pt>
                <c:pt idx="16">
                  <c:v>2.6295703190893062E-2</c:v>
                </c:pt>
              </c:numCache>
            </c:numRef>
          </c:val>
          <c:smooth val="0"/>
          <c:extLst>
            <c:ext xmlns:c16="http://schemas.microsoft.com/office/drawing/2014/chart" uri="{C3380CC4-5D6E-409C-BE32-E72D297353CC}">
              <c16:uniqueId val="{00000005-2D38-423C-9FAD-0574520E325C}"/>
            </c:ext>
          </c:extLst>
        </c:ser>
        <c:ser>
          <c:idx val="6"/>
          <c:order val="6"/>
          <c:tx>
            <c:strRef>
              <c:f>'POPULATION DEN'!$A$20</c:f>
              <c:strCache>
                <c:ptCount val="1"/>
                <c:pt idx="0">
                  <c:v>3P</c:v>
                </c:pt>
              </c:strCache>
            </c:strRef>
          </c:tx>
          <c:spPr>
            <a:ln w="12700" cap="rnd">
              <a:solidFill>
                <a:schemeClr val="accent1">
                  <a:alpha val="2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DEN'!$L$20:$AB$20</c:f>
              <c:numCache>
                <c:formatCode>General</c:formatCode>
                <c:ptCount val="17"/>
                <c:pt idx="0">
                  <c:v>2.720693384121245E-2</c:v>
                </c:pt>
                <c:pt idx="1">
                  <c:v>2.7077886140763268E-2</c:v>
                </c:pt>
                <c:pt idx="2">
                  <c:v>2.6926097083992479E-2</c:v>
                </c:pt>
                <c:pt idx="3">
                  <c:v>2.6858655214929535E-2</c:v>
                </c:pt>
                <c:pt idx="4">
                  <c:v>2.6806222449142193E-2</c:v>
                </c:pt>
                <c:pt idx="5">
                  <c:v>2.6738206919186602E-2</c:v>
                </c:pt>
                <c:pt idx="6">
                  <c:v>2.6678250471313562E-2</c:v>
                </c:pt>
                <c:pt idx="7">
                  <c:v>2.662850489575869E-2</c:v>
                </c:pt>
                <c:pt idx="8">
                  <c:v>2.6561611653775196E-2</c:v>
                </c:pt>
                <c:pt idx="9">
                  <c:v>2.649679577669058E-2</c:v>
                </c:pt>
                <c:pt idx="10">
                  <c:v>2.6416658041714104E-2</c:v>
                </c:pt>
                <c:pt idx="11">
                  <c:v>2.6332218802706794E-2</c:v>
                </c:pt>
                <c:pt idx="12">
                  <c:v>2.6366391399603051E-2</c:v>
                </c:pt>
                <c:pt idx="13">
                  <c:v>2.6454916993492252E-2</c:v>
                </c:pt>
                <c:pt idx="14">
                  <c:v>2.655990454435744E-2</c:v>
                </c:pt>
                <c:pt idx="15">
                  <c:v>2.6669818692927835E-2</c:v>
                </c:pt>
                <c:pt idx="16">
                  <c:v>2.6775475593068285E-2</c:v>
                </c:pt>
              </c:numCache>
            </c:numRef>
          </c:val>
          <c:smooth val="0"/>
          <c:extLst>
            <c:ext xmlns:c16="http://schemas.microsoft.com/office/drawing/2014/chart" uri="{C3380CC4-5D6E-409C-BE32-E72D297353CC}">
              <c16:uniqueId val="{00000006-2D38-423C-9FAD-0574520E325C}"/>
            </c:ext>
          </c:extLst>
        </c:ser>
        <c:ser>
          <c:idx val="7"/>
          <c:order val="7"/>
          <c:tx>
            <c:strRef>
              <c:f>'POPULATION DEN'!$A$21</c:f>
              <c:strCache>
                <c:ptCount val="1"/>
                <c:pt idx="0">
                  <c:v>4N</c:v>
                </c:pt>
              </c:strCache>
            </c:strRef>
          </c:tx>
          <c:spPr>
            <a:ln w="12700" cap="rnd">
              <a:solidFill>
                <a:schemeClr val="accent2">
                  <a:lumMod val="50000"/>
                  <a:alpha val="2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DEN'!$L$21:$AB$21</c:f>
              <c:numCache>
                <c:formatCode>General</c:formatCode>
                <c:ptCount val="17"/>
                <c:pt idx="0">
                  <c:v>2.720693384121245E-2</c:v>
                </c:pt>
                <c:pt idx="1">
                  <c:v>2.7077894538824657E-2</c:v>
                </c:pt>
                <c:pt idx="2">
                  <c:v>2.6922111084814588E-2</c:v>
                </c:pt>
                <c:pt idx="3">
                  <c:v>2.6814626921822671E-2</c:v>
                </c:pt>
                <c:pt idx="4">
                  <c:v>2.672331987531687E-2</c:v>
                </c:pt>
                <c:pt idx="5">
                  <c:v>2.6609152915680907E-2</c:v>
                </c:pt>
                <c:pt idx="6">
                  <c:v>2.6507232115560993E-2</c:v>
                </c:pt>
                <c:pt idx="7">
                  <c:v>2.6416837531443461E-2</c:v>
                </c:pt>
                <c:pt idx="8">
                  <c:v>2.6307829118979154E-2</c:v>
                </c:pt>
                <c:pt idx="9">
                  <c:v>2.6202865817105955E-2</c:v>
                </c:pt>
                <c:pt idx="10">
                  <c:v>2.6081089887338958E-2</c:v>
                </c:pt>
                <c:pt idx="11">
                  <c:v>2.5954253825672617E-2</c:v>
                </c:pt>
                <c:pt idx="12">
                  <c:v>2.5947329692239951E-2</c:v>
                </c:pt>
                <c:pt idx="13">
                  <c:v>2.6014226659127157E-2</c:v>
                </c:pt>
                <c:pt idx="14">
                  <c:v>2.6097161072317333E-2</c:v>
                </c:pt>
                <c:pt idx="15">
                  <c:v>2.6184215005511005E-2</c:v>
                </c:pt>
                <c:pt idx="16">
                  <c:v>2.6268365430365488E-2</c:v>
                </c:pt>
              </c:numCache>
            </c:numRef>
          </c:val>
          <c:smooth val="0"/>
          <c:extLst>
            <c:ext xmlns:c16="http://schemas.microsoft.com/office/drawing/2014/chart" uri="{C3380CC4-5D6E-409C-BE32-E72D297353CC}">
              <c16:uniqueId val="{00000007-2D38-423C-9FAD-0574520E325C}"/>
            </c:ext>
          </c:extLst>
        </c:ser>
        <c:ser>
          <c:idx val="8"/>
          <c:order val="8"/>
          <c:tx>
            <c:strRef>
              <c:f>'POPULATION DEN'!$A$22</c:f>
              <c:strCache>
                <c:ptCount val="1"/>
                <c:pt idx="0">
                  <c:v>4P</c:v>
                </c:pt>
              </c:strCache>
            </c:strRef>
          </c:tx>
          <c:spPr>
            <a:ln w="12700" cap="rnd">
              <a:solidFill>
                <a:schemeClr val="accent1">
                  <a:alpha val="20000"/>
                </a:schemeClr>
              </a:solidFill>
              <a:round/>
            </a:ln>
            <a:effectLst/>
          </c:spPr>
          <c:marker>
            <c:symbol val="square"/>
            <c:size val="5"/>
            <c:spPr>
              <a:solidFill>
                <a:schemeClr val="accent3">
                  <a:lumMod val="60000"/>
                </a:schemeClr>
              </a:solidFill>
              <a:ln w="9525">
                <a:solidFill>
                  <a:schemeClr val="accent3">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DEN'!$L$22:$AB$22</c:f>
              <c:numCache>
                <c:formatCode>General</c:formatCode>
                <c:ptCount val="17"/>
                <c:pt idx="0">
                  <c:v>2.720693384121245E-2</c:v>
                </c:pt>
                <c:pt idx="1">
                  <c:v>2.7077894538824657E-2</c:v>
                </c:pt>
                <c:pt idx="2">
                  <c:v>2.692480993842462E-2</c:v>
                </c:pt>
                <c:pt idx="3">
                  <c:v>2.6857620221472173E-2</c:v>
                </c:pt>
                <c:pt idx="4">
                  <c:v>2.680469399137235E-2</c:v>
                </c:pt>
                <c:pt idx="5">
                  <c:v>2.6735793642302497E-2</c:v>
                </c:pt>
                <c:pt idx="6">
                  <c:v>2.6673999095587486E-2</c:v>
                </c:pt>
                <c:pt idx="7">
                  <c:v>2.6624161343647496E-2</c:v>
                </c:pt>
                <c:pt idx="8">
                  <c:v>2.6554865980492205E-2</c:v>
                </c:pt>
                <c:pt idx="9">
                  <c:v>2.6490398932570148E-2</c:v>
                </c:pt>
                <c:pt idx="10">
                  <c:v>2.6408316754257852E-2</c:v>
                </c:pt>
                <c:pt idx="11">
                  <c:v>2.6321121634840849E-2</c:v>
                </c:pt>
                <c:pt idx="12">
                  <c:v>2.6354190427617545E-2</c:v>
                </c:pt>
                <c:pt idx="13">
                  <c:v>2.6442260308347738E-2</c:v>
                </c:pt>
                <c:pt idx="14">
                  <c:v>2.6545460598443926E-2</c:v>
                </c:pt>
                <c:pt idx="15">
                  <c:v>2.6651995875636679E-2</c:v>
                </c:pt>
                <c:pt idx="16">
                  <c:v>2.6756519193543628E-2</c:v>
                </c:pt>
              </c:numCache>
            </c:numRef>
          </c:val>
          <c:smooth val="0"/>
          <c:extLst>
            <c:ext xmlns:c16="http://schemas.microsoft.com/office/drawing/2014/chart" uri="{C3380CC4-5D6E-409C-BE32-E72D297353CC}">
              <c16:uniqueId val="{00000008-2D38-423C-9FAD-0574520E325C}"/>
            </c:ext>
          </c:extLst>
        </c:ser>
        <c:dLbls>
          <c:showLegendKey val="0"/>
          <c:showVal val="0"/>
          <c:showCatName val="0"/>
          <c:showSerName val="0"/>
          <c:showPercent val="0"/>
          <c:showBubbleSize val="0"/>
        </c:dLbls>
        <c:marker val="1"/>
        <c:smooth val="0"/>
        <c:axId val="686317264"/>
        <c:axId val="686315296"/>
      </c:lineChart>
      <c:catAx>
        <c:axId val="68631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5296"/>
        <c:crosses val="autoZero"/>
        <c:auto val="1"/>
        <c:lblAlgn val="ctr"/>
        <c:lblOffset val="100"/>
        <c:noMultiLvlLbl val="0"/>
      </c:catAx>
      <c:valAx>
        <c:axId val="6863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Population/m2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7264"/>
        <c:crosses val="autoZero"/>
        <c:crossBetween val="between"/>
      </c:valAx>
    </c:plotArea>
    <c:legend>
      <c:legendPos val="b"/>
      <c:legendEntry>
        <c:idx val="0"/>
        <c:delete val="1"/>
      </c:legendEntry>
      <c:layout>
        <c:manualLayout>
          <c:xMode val="edge"/>
          <c:yMode val="edge"/>
          <c:x val="8.3015487814549246E-2"/>
          <c:y val="0.9065793109359378"/>
          <c:w val="0.86980291655208042"/>
          <c:h val="4.3166195099890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Employment Density in Stoke-on-Trent</a:t>
            </a:r>
          </a:p>
        </c:rich>
      </c:tx>
      <c:overlay val="0"/>
      <c:spPr>
        <a:noFill/>
        <a:ln>
          <a:noFill/>
        </a:ln>
        <a:effectLst/>
      </c:spPr>
    </c:title>
    <c:autoTitleDeleted val="0"/>
    <c:plotArea>
      <c:layout/>
      <c:lineChart>
        <c:grouping val="standard"/>
        <c:varyColors val="0"/>
        <c:ser>
          <c:idx val="0"/>
          <c:order val="0"/>
          <c:tx>
            <c:strRef>
              <c:f>'EMPLOYMENT DEN'!$A$26</c:f>
              <c:strCache>
                <c:ptCount val="1"/>
                <c:pt idx="0">
                  <c:v>BAU</c:v>
                </c:pt>
              </c:strCache>
            </c:strRef>
          </c:tx>
          <c:spPr>
            <a:ln w="12700" cap="rnd">
              <a:solidFill>
                <a:schemeClr val="accent1">
                  <a:alpha val="30000"/>
                </a:schemeClr>
              </a:solidFill>
              <a:round/>
            </a:ln>
            <a:effectLst/>
          </c:spPr>
          <c:marker>
            <c:symbol val="square"/>
            <c:size val="5"/>
            <c:spPr>
              <a:solidFill>
                <a:schemeClr val="accent1"/>
              </a:solidFill>
              <a:ln w="9525">
                <a:solidFill>
                  <a:schemeClr val="accent1"/>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DEN'!$M$26:$AC$26</c:f>
              <c:numCache>
                <c:formatCode>General</c:formatCode>
                <c:ptCount val="17"/>
                <c:pt idx="0">
                  <c:v>3.9997997985838438</c:v>
                </c:pt>
                <c:pt idx="1">
                  <c:v>4.0027620601329126</c:v>
                </c:pt>
                <c:pt idx="2">
                  <c:v>4.0219231626218122</c:v>
                </c:pt>
                <c:pt idx="3">
                  <c:v>4.041502305293541</c:v>
                </c:pt>
                <c:pt idx="4">
                  <c:v>4.0626461470469932</c:v>
                </c:pt>
                <c:pt idx="5">
                  <c:v>4.0865090295908102</c:v>
                </c:pt>
                <c:pt idx="6">
                  <c:v>4.0992385160439575</c:v>
                </c:pt>
                <c:pt idx="7">
                  <c:v>4.0989610920688477</c:v>
                </c:pt>
                <c:pt idx="8">
                  <c:v>4.1174497874391758</c:v>
                </c:pt>
                <c:pt idx="9">
                  <c:v>4.1442948391656182</c:v>
                </c:pt>
                <c:pt idx="10">
                  <c:v>4.171447008218097</c:v>
                </c:pt>
                <c:pt idx="11">
                  <c:v>4.1761267876672452</c:v>
                </c:pt>
                <c:pt idx="12">
                  <c:v>4.1705552755583186</c:v>
                </c:pt>
                <c:pt idx="13">
                  <c:v>4.1555289442390437</c:v>
                </c:pt>
                <c:pt idx="14">
                  <c:v>4.1019970802048569</c:v>
                </c:pt>
                <c:pt idx="15">
                  <c:v>4.0248243921287017</c:v>
                </c:pt>
              </c:numCache>
            </c:numRef>
          </c:val>
          <c:smooth val="0"/>
          <c:extLst>
            <c:ext xmlns:c16="http://schemas.microsoft.com/office/drawing/2014/chart" uri="{C3380CC4-5D6E-409C-BE32-E72D297353CC}">
              <c16:uniqueId val="{00000000-0664-44AC-8B90-5C6197AABF21}"/>
            </c:ext>
          </c:extLst>
        </c:ser>
        <c:ser>
          <c:idx val="1"/>
          <c:order val="1"/>
          <c:tx>
            <c:strRef>
              <c:f>'EMPLOYMENT DEN'!$A$27</c:f>
              <c:strCache>
                <c:ptCount val="1"/>
                <c:pt idx="0">
                  <c:v>1N</c:v>
                </c:pt>
              </c:strCache>
            </c:strRef>
          </c:tx>
          <c:spPr>
            <a:ln w="12700" cap="rnd">
              <a:solidFill>
                <a:schemeClr val="accent2">
                  <a:alpha val="20000"/>
                </a:schemeClr>
              </a:solidFill>
              <a:round/>
            </a:ln>
            <a:effectLst/>
          </c:spPr>
          <c:marker>
            <c:symbol val="square"/>
            <c:size val="5"/>
            <c:spPr>
              <a:solidFill>
                <a:schemeClr val="accent2"/>
              </a:solidFill>
              <a:ln w="9525">
                <a:solidFill>
                  <a:schemeClr val="accent2"/>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DEN'!$M$27:$AC$27</c:f>
              <c:numCache>
                <c:formatCode>General</c:formatCode>
                <c:ptCount val="17"/>
                <c:pt idx="0">
                  <c:v>3.9997997985838438</c:v>
                </c:pt>
                <c:pt idx="1">
                  <c:v>4.0027675505573486</c:v>
                </c:pt>
                <c:pt idx="2">
                  <c:v>4.0219410033931835</c:v>
                </c:pt>
                <c:pt idx="3">
                  <c:v>4.0414966602980851</c:v>
                </c:pt>
                <c:pt idx="4">
                  <c:v>4.0626392813155476</c:v>
                </c:pt>
                <c:pt idx="5">
                  <c:v>4.0865247511183984</c:v>
                </c:pt>
                <c:pt idx="6">
                  <c:v>4.0992808704731756</c:v>
                </c:pt>
                <c:pt idx="7">
                  <c:v>4.0989897386579361</c:v>
                </c:pt>
                <c:pt idx="8">
                  <c:v>4.1174982540550378</c:v>
                </c:pt>
                <c:pt idx="9">
                  <c:v>4.1443032298904967</c:v>
                </c:pt>
                <c:pt idx="10">
                  <c:v>4.171485586997485</c:v>
                </c:pt>
                <c:pt idx="11">
                  <c:v>4.1764344613952469</c:v>
                </c:pt>
                <c:pt idx="12">
                  <c:v>4.1708969205886595</c:v>
                </c:pt>
                <c:pt idx="13">
                  <c:v>4.15581553167178</c:v>
                </c:pt>
                <c:pt idx="14">
                  <c:v>4.1023750061918198</c:v>
                </c:pt>
                <c:pt idx="15">
                  <c:v>4.0252690974465013</c:v>
                </c:pt>
              </c:numCache>
            </c:numRef>
          </c:val>
          <c:smooth val="0"/>
          <c:extLst>
            <c:ext xmlns:c16="http://schemas.microsoft.com/office/drawing/2014/chart" uri="{C3380CC4-5D6E-409C-BE32-E72D297353CC}">
              <c16:uniqueId val="{00000001-0664-44AC-8B90-5C6197AABF21}"/>
            </c:ext>
          </c:extLst>
        </c:ser>
        <c:ser>
          <c:idx val="2"/>
          <c:order val="2"/>
          <c:tx>
            <c:strRef>
              <c:f>'EMPLOYMENT DEN'!$A$28</c:f>
              <c:strCache>
                <c:ptCount val="1"/>
                <c:pt idx="0">
                  <c:v>1P</c:v>
                </c:pt>
              </c:strCache>
            </c:strRef>
          </c:tx>
          <c:spPr>
            <a:ln w="12700" cap="rnd">
              <a:solidFill>
                <a:schemeClr val="tx2">
                  <a:alpha val="20000"/>
                </a:schemeClr>
              </a:solidFill>
              <a:round/>
            </a:ln>
            <a:effectLst/>
          </c:spPr>
          <c:marker>
            <c:symbol val="square"/>
            <c:size val="5"/>
            <c:spPr>
              <a:solidFill>
                <a:schemeClr val="accent3"/>
              </a:solidFill>
              <a:ln w="9525">
                <a:solidFill>
                  <a:schemeClr val="accent3"/>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DEN'!$M$28:$AC$28</c:f>
              <c:numCache>
                <c:formatCode>General</c:formatCode>
                <c:ptCount val="17"/>
                <c:pt idx="0">
                  <c:v>3.9997997985838438</c:v>
                </c:pt>
                <c:pt idx="1">
                  <c:v>4.0027620601329126</c:v>
                </c:pt>
                <c:pt idx="2">
                  <c:v>4.0219231626218122</c:v>
                </c:pt>
                <c:pt idx="3">
                  <c:v>4.041502305293541</c:v>
                </c:pt>
                <c:pt idx="4">
                  <c:v>4.0626461470469932</c:v>
                </c:pt>
                <c:pt idx="5">
                  <c:v>4.0865090295908102</c:v>
                </c:pt>
                <c:pt idx="6">
                  <c:v>4.0992385160439575</c:v>
                </c:pt>
                <c:pt idx="7">
                  <c:v>4.0989610920688477</c:v>
                </c:pt>
                <c:pt idx="8">
                  <c:v>4.1174497874391758</c:v>
                </c:pt>
                <c:pt idx="9">
                  <c:v>4.1442948391656182</c:v>
                </c:pt>
                <c:pt idx="10">
                  <c:v>4.171447008218097</c:v>
                </c:pt>
                <c:pt idx="11">
                  <c:v>4.1761267876672452</c:v>
                </c:pt>
                <c:pt idx="12">
                  <c:v>4.1705552755583186</c:v>
                </c:pt>
                <c:pt idx="13">
                  <c:v>4.1555289442390437</c:v>
                </c:pt>
                <c:pt idx="14">
                  <c:v>4.1019970802048569</c:v>
                </c:pt>
                <c:pt idx="15">
                  <c:v>4.0248243921287017</c:v>
                </c:pt>
              </c:numCache>
            </c:numRef>
          </c:val>
          <c:smooth val="0"/>
          <c:extLst>
            <c:ext xmlns:c16="http://schemas.microsoft.com/office/drawing/2014/chart" uri="{C3380CC4-5D6E-409C-BE32-E72D297353CC}">
              <c16:uniqueId val="{00000002-0664-44AC-8B90-5C6197AABF21}"/>
            </c:ext>
          </c:extLst>
        </c:ser>
        <c:ser>
          <c:idx val="3"/>
          <c:order val="3"/>
          <c:tx>
            <c:strRef>
              <c:f>'EMPLOYMENT DEN'!$A$29</c:f>
              <c:strCache>
                <c:ptCount val="1"/>
                <c:pt idx="0">
                  <c:v>2N</c:v>
                </c:pt>
              </c:strCache>
            </c:strRef>
          </c:tx>
          <c:spPr>
            <a:ln w="12700" cap="rnd">
              <a:solidFill>
                <a:schemeClr val="accent4">
                  <a:alpha val="20000"/>
                </a:schemeClr>
              </a:solidFill>
              <a:round/>
            </a:ln>
            <a:effectLst/>
          </c:spPr>
          <c:marker>
            <c:symbol val="square"/>
            <c:size val="5"/>
            <c:spPr>
              <a:solidFill>
                <a:schemeClr val="accent4"/>
              </a:solidFill>
              <a:ln w="9525">
                <a:solidFill>
                  <a:schemeClr val="accent4"/>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DEN'!$M$29:$AC$29</c:f>
              <c:numCache>
                <c:formatCode>General</c:formatCode>
                <c:ptCount val="17"/>
                <c:pt idx="0">
                  <c:v>3.9997997985838438</c:v>
                </c:pt>
                <c:pt idx="1">
                  <c:v>4.0027620601329126</c:v>
                </c:pt>
                <c:pt idx="2">
                  <c:v>4.0219231626218122</c:v>
                </c:pt>
                <c:pt idx="3">
                  <c:v>4.041502305293541</c:v>
                </c:pt>
                <c:pt idx="4">
                  <c:v>4.0626461470469932</c:v>
                </c:pt>
                <c:pt idx="5">
                  <c:v>4.0865090295908102</c:v>
                </c:pt>
                <c:pt idx="6">
                  <c:v>4.0992385160439575</c:v>
                </c:pt>
                <c:pt idx="7">
                  <c:v>4.0989610920688477</c:v>
                </c:pt>
                <c:pt idx="8">
                  <c:v>4.1174497874391758</c:v>
                </c:pt>
                <c:pt idx="9">
                  <c:v>4.1442948391656182</c:v>
                </c:pt>
                <c:pt idx="10">
                  <c:v>4.171447008218097</c:v>
                </c:pt>
                <c:pt idx="11">
                  <c:v>4.1761267876672452</c:v>
                </c:pt>
                <c:pt idx="12">
                  <c:v>4.1705552755583186</c:v>
                </c:pt>
                <c:pt idx="13">
                  <c:v>4.1555289442390437</c:v>
                </c:pt>
                <c:pt idx="14">
                  <c:v>4.1019970802048569</c:v>
                </c:pt>
                <c:pt idx="15">
                  <c:v>4.0248243921287017</c:v>
                </c:pt>
              </c:numCache>
            </c:numRef>
          </c:val>
          <c:smooth val="0"/>
          <c:extLst>
            <c:ext xmlns:c16="http://schemas.microsoft.com/office/drawing/2014/chart" uri="{C3380CC4-5D6E-409C-BE32-E72D297353CC}">
              <c16:uniqueId val="{00000003-0664-44AC-8B90-5C6197AABF21}"/>
            </c:ext>
          </c:extLst>
        </c:ser>
        <c:ser>
          <c:idx val="4"/>
          <c:order val="4"/>
          <c:tx>
            <c:strRef>
              <c:f>'EMPLOYMENT DEN'!$A$30</c:f>
              <c:strCache>
                <c:ptCount val="1"/>
                <c:pt idx="0">
                  <c:v>2P</c:v>
                </c:pt>
              </c:strCache>
            </c:strRef>
          </c:tx>
          <c:spPr>
            <a:ln w="12700" cap="rnd">
              <a:solidFill>
                <a:schemeClr val="accent1">
                  <a:alpha val="20000"/>
                </a:schemeClr>
              </a:solidFill>
              <a:round/>
            </a:ln>
            <a:effectLst/>
          </c:spPr>
          <c:marker>
            <c:symbol val="square"/>
            <c:size val="5"/>
            <c:spPr>
              <a:solidFill>
                <a:schemeClr val="accent5"/>
              </a:solidFill>
              <a:ln w="9525">
                <a:solidFill>
                  <a:schemeClr val="accent5"/>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DEN'!$M$30:$AC$30</c:f>
              <c:numCache>
                <c:formatCode>General</c:formatCode>
                <c:ptCount val="17"/>
                <c:pt idx="0">
                  <c:v>3.9997997985838438</c:v>
                </c:pt>
                <c:pt idx="1">
                  <c:v>4.0037878107937672</c:v>
                </c:pt>
                <c:pt idx="2">
                  <c:v>4.0230047213287436</c:v>
                </c:pt>
                <c:pt idx="3">
                  <c:v>4.042588115820287</c:v>
                </c:pt>
                <c:pt idx="4">
                  <c:v>4.0637249653934067</c:v>
                </c:pt>
                <c:pt idx="5">
                  <c:v>4.0876990179031116</c:v>
                </c:pt>
                <c:pt idx="6">
                  <c:v>4.1006152552874902</c:v>
                </c:pt>
                <c:pt idx="7">
                  <c:v>4.1005941366452792</c:v>
                </c:pt>
                <c:pt idx="8">
                  <c:v>4.1193577502007797</c:v>
                </c:pt>
                <c:pt idx="9">
                  <c:v>4.1463748302879395</c:v>
                </c:pt>
                <c:pt idx="10">
                  <c:v>4.1737264816304149</c:v>
                </c:pt>
                <c:pt idx="11">
                  <c:v>4.1788442216236721</c:v>
                </c:pt>
                <c:pt idx="12">
                  <c:v>4.1733418641980942</c:v>
                </c:pt>
                <c:pt idx="13">
                  <c:v>4.1581098021106193</c:v>
                </c:pt>
                <c:pt idx="14">
                  <c:v>4.1045073095002547</c:v>
                </c:pt>
                <c:pt idx="15">
                  <c:v>4.0271191243726436</c:v>
                </c:pt>
              </c:numCache>
            </c:numRef>
          </c:val>
          <c:smooth val="0"/>
          <c:extLst>
            <c:ext xmlns:c16="http://schemas.microsoft.com/office/drawing/2014/chart" uri="{C3380CC4-5D6E-409C-BE32-E72D297353CC}">
              <c16:uniqueId val="{00000004-0664-44AC-8B90-5C6197AABF21}"/>
            </c:ext>
          </c:extLst>
        </c:ser>
        <c:ser>
          <c:idx val="5"/>
          <c:order val="5"/>
          <c:tx>
            <c:strRef>
              <c:f>'EMPLOYMENT DEN'!$A$31</c:f>
              <c:strCache>
                <c:ptCount val="1"/>
                <c:pt idx="0">
                  <c:v>3N</c:v>
                </c:pt>
              </c:strCache>
            </c:strRef>
          </c:tx>
          <c:spPr>
            <a:ln w="12700" cap="rnd">
              <a:solidFill>
                <a:schemeClr val="accent1">
                  <a:alpha val="20000"/>
                </a:schemeClr>
              </a:solidFill>
              <a:round/>
            </a:ln>
            <a:effectLst/>
          </c:spPr>
          <c:marker>
            <c:symbol val="square"/>
            <c:size val="5"/>
            <c:spPr>
              <a:solidFill>
                <a:schemeClr val="accent6"/>
              </a:solidFill>
              <a:ln w="9525">
                <a:solidFill>
                  <a:schemeClr val="accent6"/>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DEN'!$M$31:$AC$31</c:f>
              <c:numCache>
                <c:formatCode>General</c:formatCode>
                <c:ptCount val="17"/>
                <c:pt idx="0">
                  <c:v>3.9997997985838438</c:v>
                </c:pt>
                <c:pt idx="1">
                  <c:v>4.0027620601329126</c:v>
                </c:pt>
                <c:pt idx="2">
                  <c:v>4.0219231626218122</c:v>
                </c:pt>
                <c:pt idx="3">
                  <c:v>4.041502305293541</c:v>
                </c:pt>
                <c:pt idx="4">
                  <c:v>4.0626461470469932</c:v>
                </c:pt>
                <c:pt idx="5">
                  <c:v>4.0865090295908102</c:v>
                </c:pt>
                <c:pt idx="6">
                  <c:v>4.0992385160439575</c:v>
                </c:pt>
                <c:pt idx="7">
                  <c:v>4.0989610920688477</c:v>
                </c:pt>
                <c:pt idx="8">
                  <c:v>4.1174497874391758</c:v>
                </c:pt>
                <c:pt idx="9">
                  <c:v>4.1442948391656182</c:v>
                </c:pt>
                <c:pt idx="10">
                  <c:v>4.171447008218097</c:v>
                </c:pt>
                <c:pt idx="11">
                  <c:v>4.1761267876672452</c:v>
                </c:pt>
                <c:pt idx="12">
                  <c:v>4.1705552755583186</c:v>
                </c:pt>
                <c:pt idx="13">
                  <c:v>4.1555289442390437</c:v>
                </c:pt>
                <c:pt idx="14">
                  <c:v>4.1019970802048569</c:v>
                </c:pt>
                <c:pt idx="15">
                  <c:v>4.0248243921287017</c:v>
                </c:pt>
              </c:numCache>
            </c:numRef>
          </c:val>
          <c:smooth val="0"/>
          <c:extLst>
            <c:ext xmlns:c16="http://schemas.microsoft.com/office/drawing/2014/chart" uri="{C3380CC4-5D6E-409C-BE32-E72D297353CC}">
              <c16:uniqueId val="{00000005-0664-44AC-8B90-5C6197AABF21}"/>
            </c:ext>
          </c:extLst>
        </c:ser>
        <c:ser>
          <c:idx val="6"/>
          <c:order val="6"/>
          <c:tx>
            <c:strRef>
              <c:f>'EMPLOYMENT DEN'!$A$32</c:f>
              <c:strCache>
                <c:ptCount val="1"/>
                <c:pt idx="0">
                  <c:v>3P</c:v>
                </c:pt>
              </c:strCache>
            </c:strRef>
          </c:tx>
          <c:spPr>
            <a:ln w="12700" cap="rnd">
              <a:solidFill>
                <a:schemeClr val="accent1">
                  <a:alpha val="2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DEN'!$M$32:$AC$32</c:f>
              <c:numCache>
                <c:formatCode>General</c:formatCode>
                <c:ptCount val="17"/>
                <c:pt idx="0">
                  <c:v>3.9997997985838438</c:v>
                </c:pt>
                <c:pt idx="1">
                  <c:v>4.0038004757835912</c:v>
                </c:pt>
                <c:pt idx="2">
                  <c:v>4.0230051790285088</c:v>
                </c:pt>
                <c:pt idx="3">
                  <c:v>4.0425713244287431</c:v>
                </c:pt>
                <c:pt idx="4">
                  <c:v>4.0637093948360281</c:v>
                </c:pt>
                <c:pt idx="5">
                  <c:v>4.0876686259514576</c:v>
                </c:pt>
                <c:pt idx="6">
                  <c:v>4.1005964187314552</c:v>
                </c:pt>
                <c:pt idx="7">
                  <c:v>4.1005591634982297</c:v>
                </c:pt>
                <c:pt idx="8">
                  <c:v>4.1193418793881706</c:v>
                </c:pt>
                <c:pt idx="9">
                  <c:v>4.1463583320576571</c:v>
                </c:pt>
                <c:pt idx="10">
                  <c:v>4.1737111536679716</c:v>
                </c:pt>
                <c:pt idx="11">
                  <c:v>4.1788105591439715</c:v>
                </c:pt>
                <c:pt idx="12">
                  <c:v>4.1732938674403179</c:v>
                </c:pt>
                <c:pt idx="13">
                  <c:v>4.1580385873879013</c:v>
                </c:pt>
                <c:pt idx="14">
                  <c:v>4.104467942757382</c:v>
                </c:pt>
                <c:pt idx="15">
                  <c:v>4.027060192379559</c:v>
                </c:pt>
              </c:numCache>
            </c:numRef>
          </c:val>
          <c:smooth val="0"/>
          <c:extLst>
            <c:ext xmlns:c16="http://schemas.microsoft.com/office/drawing/2014/chart" uri="{C3380CC4-5D6E-409C-BE32-E72D297353CC}">
              <c16:uniqueId val="{00000006-0664-44AC-8B90-5C6197AABF21}"/>
            </c:ext>
          </c:extLst>
        </c:ser>
        <c:ser>
          <c:idx val="7"/>
          <c:order val="7"/>
          <c:tx>
            <c:strRef>
              <c:f>'EMPLOYMENT DEN'!$A$33</c:f>
              <c:strCache>
                <c:ptCount val="1"/>
                <c:pt idx="0">
                  <c:v>4N</c:v>
                </c:pt>
              </c:strCache>
            </c:strRef>
          </c:tx>
          <c:spPr>
            <a:ln w="12700" cap="rnd">
              <a:solidFill>
                <a:schemeClr val="accent2">
                  <a:lumMod val="50000"/>
                  <a:alpha val="2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DEN'!$M$33:$AC$33</c:f>
              <c:numCache>
                <c:formatCode>General</c:formatCode>
                <c:ptCount val="17"/>
                <c:pt idx="0">
                  <c:v>3.9997997985838438</c:v>
                </c:pt>
                <c:pt idx="1">
                  <c:v>4.0027527569481132</c:v>
                </c:pt>
                <c:pt idx="2">
                  <c:v>4.0219303294083852</c:v>
                </c:pt>
                <c:pt idx="3">
                  <c:v>4.0414553150012775</c:v>
                </c:pt>
                <c:pt idx="4">
                  <c:v>4.0626212779521857</c:v>
                </c:pt>
                <c:pt idx="5">
                  <c:v>4.0864585078308409</c:v>
                </c:pt>
                <c:pt idx="6">
                  <c:v>4.099237301592944</c:v>
                </c:pt>
                <c:pt idx="7">
                  <c:v>4.0989115989055618</c:v>
                </c:pt>
                <c:pt idx="8">
                  <c:v>4.1174855389373866</c:v>
                </c:pt>
                <c:pt idx="9">
                  <c:v>4.1442666705520219</c:v>
                </c:pt>
                <c:pt idx="10">
                  <c:v>4.1714618692198249</c:v>
                </c:pt>
                <c:pt idx="11">
                  <c:v>4.1763331437190301</c:v>
                </c:pt>
                <c:pt idx="12">
                  <c:v>4.170807422583211</c:v>
                </c:pt>
                <c:pt idx="13">
                  <c:v>4.1556090377724155</c:v>
                </c:pt>
                <c:pt idx="14">
                  <c:v>4.1022440182826543</c:v>
                </c:pt>
                <c:pt idx="15">
                  <c:v>4.0251165413080319</c:v>
                </c:pt>
              </c:numCache>
            </c:numRef>
          </c:val>
          <c:smooth val="0"/>
          <c:extLst>
            <c:ext xmlns:c16="http://schemas.microsoft.com/office/drawing/2014/chart" uri="{C3380CC4-5D6E-409C-BE32-E72D297353CC}">
              <c16:uniqueId val="{00000007-0664-44AC-8B90-5C6197AABF21}"/>
            </c:ext>
          </c:extLst>
        </c:ser>
        <c:ser>
          <c:idx val="8"/>
          <c:order val="8"/>
          <c:tx>
            <c:strRef>
              <c:f>'EMPLOYMENT DEN'!$A$34</c:f>
              <c:strCache>
                <c:ptCount val="1"/>
                <c:pt idx="0">
                  <c:v>4P</c:v>
                </c:pt>
              </c:strCache>
            </c:strRef>
          </c:tx>
          <c:spPr>
            <a:ln w="12700" cap="rnd">
              <a:solidFill>
                <a:schemeClr val="accent1">
                  <a:alpha val="20000"/>
                </a:schemeClr>
              </a:solidFill>
              <a:round/>
            </a:ln>
            <a:effectLst/>
          </c:spPr>
          <c:marker>
            <c:symbol val="square"/>
            <c:size val="5"/>
            <c:spPr>
              <a:solidFill>
                <a:schemeClr val="accent3">
                  <a:lumMod val="60000"/>
                </a:schemeClr>
              </a:solidFill>
              <a:ln w="9525">
                <a:solidFill>
                  <a:schemeClr val="accent3">
                    <a:lumMod val="60000"/>
                  </a:schemeClr>
                </a:solidFill>
              </a:ln>
              <a:effectLst/>
            </c:spPr>
          </c:marker>
          <c:cat>
            <c:numRef>
              <c:f>'EMPLOYMENT DEN'!$M$1:$AC$1</c:f>
              <c:numCache>
                <c:formatCode>General</c:formatCode>
                <c:ptCount val="17"/>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'EMPLOYMENT DEN'!$M$34:$AC$34</c:f>
              <c:numCache>
                <c:formatCode>General</c:formatCode>
                <c:ptCount val="17"/>
                <c:pt idx="0">
                  <c:v>3.9997997985838438</c:v>
                </c:pt>
                <c:pt idx="1">
                  <c:v>4.0027620601329126</c:v>
                </c:pt>
                <c:pt idx="2">
                  <c:v>4.0219231626218122</c:v>
                </c:pt>
                <c:pt idx="3">
                  <c:v>4.041502305293541</c:v>
                </c:pt>
                <c:pt idx="4">
                  <c:v>4.0626461470469932</c:v>
                </c:pt>
                <c:pt idx="5">
                  <c:v>4.0865090295908102</c:v>
                </c:pt>
                <c:pt idx="6">
                  <c:v>4.0992385160439575</c:v>
                </c:pt>
                <c:pt idx="7">
                  <c:v>4.0989610920688477</c:v>
                </c:pt>
                <c:pt idx="8">
                  <c:v>4.1174497874391758</c:v>
                </c:pt>
                <c:pt idx="9">
                  <c:v>4.1442948391656182</c:v>
                </c:pt>
                <c:pt idx="10">
                  <c:v>4.171447008218097</c:v>
                </c:pt>
                <c:pt idx="11">
                  <c:v>4.1761267876672452</c:v>
                </c:pt>
                <c:pt idx="12">
                  <c:v>4.1705552755583186</c:v>
                </c:pt>
                <c:pt idx="13">
                  <c:v>4.1555289442390437</c:v>
                </c:pt>
                <c:pt idx="14">
                  <c:v>4.1019970802048569</c:v>
                </c:pt>
                <c:pt idx="15">
                  <c:v>4.0248243921287017</c:v>
                </c:pt>
              </c:numCache>
            </c:numRef>
          </c:val>
          <c:smooth val="0"/>
          <c:extLst>
            <c:ext xmlns:c16="http://schemas.microsoft.com/office/drawing/2014/chart" uri="{C3380CC4-5D6E-409C-BE32-E72D297353CC}">
              <c16:uniqueId val="{00000008-0664-44AC-8B90-5C6197AABF21}"/>
            </c:ext>
          </c:extLst>
        </c:ser>
        <c:dLbls>
          <c:showLegendKey val="0"/>
          <c:showVal val="0"/>
          <c:showCatName val="0"/>
          <c:showSerName val="0"/>
          <c:showPercent val="0"/>
          <c:showBubbleSize val="0"/>
        </c:dLbls>
        <c:marker val="1"/>
        <c:smooth val="0"/>
        <c:axId val="686317264"/>
        <c:axId val="686315296"/>
      </c:lineChart>
      <c:catAx>
        <c:axId val="68631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5296"/>
        <c:crosses val="autoZero"/>
        <c:auto val="1"/>
        <c:lblAlgn val="ctr"/>
        <c:lblOffset val="100"/>
        <c:noMultiLvlLbl val="0"/>
      </c:catAx>
      <c:valAx>
        <c:axId val="6863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Employees/m2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7264"/>
        <c:crosses val="autoZero"/>
        <c:crossBetween val="between"/>
      </c:valAx>
      <c:spPr>
        <a:noFill/>
        <a:ln>
          <a:noFill/>
        </a:ln>
        <a:effectLst/>
      </c:spPr>
    </c:plotArea>
    <c:legend>
      <c:legendPos val="b"/>
      <c:legendEntry>
        <c:idx val="0"/>
        <c:delete val="1"/>
      </c:legendEntry>
      <c:layout>
        <c:manualLayout>
          <c:xMode val="edge"/>
          <c:yMode val="edge"/>
          <c:x val="5.3835410595444999E-2"/>
          <c:y val="0.94048253846106056"/>
          <c:w val="0.88159346491216573"/>
          <c:h val="4.3166195099890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Population Density in  Stoke-on-Trent </a:t>
            </a:r>
          </a:p>
        </c:rich>
      </c:tx>
      <c:overlay val="0"/>
      <c:spPr>
        <a:noFill/>
        <a:ln>
          <a:noFill/>
        </a:ln>
        <a:effectLst/>
      </c:spPr>
    </c:title>
    <c:autoTitleDeleted val="0"/>
    <c:plotArea>
      <c:layout/>
      <c:lineChart>
        <c:grouping val="standard"/>
        <c:varyColors val="0"/>
        <c:ser>
          <c:idx val="0"/>
          <c:order val="0"/>
          <c:tx>
            <c:strRef>
              <c:f>'POPULATION DEN'!$A$26</c:f>
              <c:strCache>
                <c:ptCount val="1"/>
                <c:pt idx="0">
                  <c:v>BAU</c:v>
                </c:pt>
              </c:strCache>
            </c:strRef>
          </c:tx>
          <c:spPr>
            <a:ln w="12700" cap="rnd">
              <a:solidFill>
                <a:schemeClr val="accent1">
                  <a:alpha val="30000"/>
                </a:schemeClr>
              </a:solidFill>
              <a:round/>
            </a:ln>
            <a:effectLst/>
          </c:spPr>
          <c:marker>
            <c:symbol val="square"/>
            <c:size val="5"/>
            <c:spPr>
              <a:solidFill>
                <a:schemeClr val="accent1"/>
              </a:solidFill>
              <a:ln w="9525">
                <a:solidFill>
                  <a:schemeClr val="accent1"/>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DEN'!$L$26:$AB$26</c:f>
              <c:numCache>
                <c:formatCode>General</c:formatCode>
                <c:ptCount val="17"/>
                <c:pt idx="0">
                  <c:v>2.5531105767366096E-2</c:v>
                </c:pt>
                <c:pt idx="1">
                  <c:v>2.5416136472849595E-2</c:v>
                </c:pt>
                <c:pt idx="2">
                  <c:v>2.5233173099804863E-2</c:v>
                </c:pt>
                <c:pt idx="3">
                  <c:v>2.5092739578816387E-2</c:v>
                </c:pt>
                <c:pt idx="4">
                  <c:v>2.4980104428399295E-2</c:v>
                </c:pt>
                <c:pt idx="5">
                  <c:v>2.4844193420164726E-2</c:v>
                </c:pt>
                <c:pt idx="6">
                  <c:v>2.4686330067271132E-2</c:v>
                </c:pt>
                <c:pt idx="7">
                  <c:v>2.4515746395403461E-2</c:v>
                </c:pt>
                <c:pt idx="8">
                  <c:v>2.4349603656359353E-2</c:v>
                </c:pt>
                <c:pt idx="9">
                  <c:v>2.4205152865399038E-2</c:v>
                </c:pt>
                <c:pt idx="10">
                  <c:v>2.407225983180375E-2</c:v>
                </c:pt>
                <c:pt idx="11">
                  <c:v>2.3952795438272619E-2</c:v>
                </c:pt>
                <c:pt idx="12">
                  <c:v>2.3924545921864288E-2</c:v>
                </c:pt>
                <c:pt idx="13">
                  <c:v>2.400731184997483E-2</c:v>
                </c:pt>
                <c:pt idx="14">
                  <c:v>2.4119083280853746E-2</c:v>
                </c:pt>
                <c:pt idx="15">
                  <c:v>2.4244823044568129E-2</c:v>
                </c:pt>
                <c:pt idx="16">
                  <c:v>2.4389808203360473E-2</c:v>
                </c:pt>
              </c:numCache>
            </c:numRef>
          </c:val>
          <c:smooth val="0"/>
          <c:extLst>
            <c:ext xmlns:c16="http://schemas.microsoft.com/office/drawing/2014/chart" uri="{C3380CC4-5D6E-409C-BE32-E72D297353CC}">
              <c16:uniqueId val="{00000000-182B-4BB2-8BCC-493A4A167487}"/>
            </c:ext>
          </c:extLst>
        </c:ser>
        <c:ser>
          <c:idx val="1"/>
          <c:order val="1"/>
          <c:tx>
            <c:strRef>
              <c:f>'POPULATION DEN'!$A$27</c:f>
              <c:strCache>
                <c:ptCount val="1"/>
                <c:pt idx="0">
                  <c:v>1N</c:v>
                </c:pt>
              </c:strCache>
            </c:strRef>
          </c:tx>
          <c:spPr>
            <a:ln w="12700" cap="rnd">
              <a:solidFill>
                <a:schemeClr val="accent2">
                  <a:alpha val="20000"/>
                </a:schemeClr>
              </a:solidFill>
              <a:round/>
            </a:ln>
            <a:effectLst/>
          </c:spPr>
          <c:marker>
            <c:symbol val="square"/>
            <c:size val="5"/>
            <c:spPr>
              <a:solidFill>
                <a:schemeClr val="accent2"/>
              </a:solidFill>
              <a:ln w="9525">
                <a:solidFill>
                  <a:schemeClr val="accent2"/>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DEN'!$L$27:$AB$27</c:f>
              <c:numCache>
                <c:formatCode>General</c:formatCode>
                <c:ptCount val="17"/>
                <c:pt idx="0">
                  <c:v>2.5531105767366096E-2</c:v>
                </c:pt>
                <c:pt idx="1">
                  <c:v>2.541616530514176E-2</c:v>
                </c:pt>
                <c:pt idx="2">
                  <c:v>2.5232621008043406E-2</c:v>
                </c:pt>
                <c:pt idx="3">
                  <c:v>2.5092296525329461E-2</c:v>
                </c:pt>
                <c:pt idx="4">
                  <c:v>2.4980029703247742E-2</c:v>
                </c:pt>
                <c:pt idx="5">
                  <c:v>2.4844258127732742E-2</c:v>
                </c:pt>
                <c:pt idx="6">
                  <c:v>2.4685452617724479E-2</c:v>
                </c:pt>
                <c:pt idx="7">
                  <c:v>2.4515439236801214E-2</c:v>
                </c:pt>
                <c:pt idx="8">
                  <c:v>2.4347380918374632E-2</c:v>
                </c:pt>
                <c:pt idx="9">
                  <c:v>2.4205752856575641E-2</c:v>
                </c:pt>
                <c:pt idx="10">
                  <c:v>2.4070968698747253E-2</c:v>
                </c:pt>
                <c:pt idx="11">
                  <c:v>2.3950241975138238E-2</c:v>
                </c:pt>
                <c:pt idx="12">
                  <c:v>2.3921495887594242E-2</c:v>
                </c:pt>
                <c:pt idx="13">
                  <c:v>2.3999667255368708E-2</c:v>
                </c:pt>
                <c:pt idx="14">
                  <c:v>2.410518611815567E-2</c:v>
                </c:pt>
                <c:pt idx="15">
                  <c:v>2.4226859837702341E-2</c:v>
                </c:pt>
                <c:pt idx="16">
                  <c:v>2.4368149361951419E-2</c:v>
                </c:pt>
              </c:numCache>
            </c:numRef>
          </c:val>
          <c:smooth val="0"/>
          <c:extLst>
            <c:ext xmlns:c16="http://schemas.microsoft.com/office/drawing/2014/chart" uri="{C3380CC4-5D6E-409C-BE32-E72D297353CC}">
              <c16:uniqueId val="{00000001-182B-4BB2-8BCC-493A4A167487}"/>
            </c:ext>
          </c:extLst>
        </c:ser>
        <c:ser>
          <c:idx val="2"/>
          <c:order val="2"/>
          <c:tx>
            <c:strRef>
              <c:f>'POPULATION DEN'!$A$28</c:f>
              <c:strCache>
                <c:ptCount val="1"/>
                <c:pt idx="0">
                  <c:v>1P</c:v>
                </c:pt>
              </c:strCache>
            </c:strRef>
          </c:tx>
          <c:spPr>
            <a:ln w="12700" cap="rnd">
              <a:solidFill>
                <a:schemeClr val="tx2">
                  <a:alpha val="20000"/>
                </a:schemeClr>
              </a:solidFill>
              <a:round/>
            </a:ln>
            <a:effectLst/>
          </c:spPr>
          <c:marker>
            <c:symbol val="square"/>
            <c:size val="5"/>
            <c:spPr>
              <a:solidFill>
                <a:schemeClr val="accent3"/>
              </a:solidFill>
              <a:ln w="9525">
                <a:solidFill>
                  <a:schemeClr val="accent3"/>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DEN'!$L$28:$AB$28</c:f>
              <c:numCache>
                <c:formatCode>General</c:formatCode>
                <c:ptCount val="17"/>
                <c:pt idx="0">
                  <c:v>2.5531105767366096E-2</c:v>
                </c:pt>
                <c:pt idx="1">
                  <c:v>2.541616530514176E-2</c:v>
                </c:pt>
                <c:pt idx="2">
                  <c:v>2.5230926657465139E-2</c:v>
                </c:pt>
                <c:pt idx="3">
                  <c:v>2.5068164250296936E-2</c:v>
                </c:pt>
                <c:pt idx="4">
                  <c:v>2.4938118233871043E-2</c:v>
                </c:pt>
                <c:pt idx="5">
                  <c:v>2.4788628107118758E-2</c:v>
                </c:pt>
                <c:pt idx="6">
                  <c:v>2.4621398800818952E-2</c:v>
                </c:pt>
                <c:pt idx="7">
                  <c:v>2.4442046399017096E-2</c:v>
                </c:pt>
                <c:pt idx="8">
                  <c:v>2.4267192744411911E-2</c:v>
                </c:pt>
                <c:pt idx="9">
                  <c:v>2.4115118895310365E-2</c:v>
                </c:pt>
                <c:pt idx="10">
                  <c:v>2.3972842586453574E-2</c:v>
                </c:pt>
                <c:pt idx="11">
                  <c:v>2.384670594629101E-2</c:v>
                </c:pt>
                <c:pt idx="12">
                  <c:v>2.3808319054146678E-2</c:v>
                </c:pt>
                <c:pt idx="13">
                  <c:v>2.3880604400761049E-2</c:v>
                </c:pt>
                <c:pt idx="14">
                  <c:v>2.3981115857913637E-2</c:v>
                </c:pt>
                <c:pt idx="15">
                  <c:v>2.410007222670689E-2</c:v>
                </c:pt>
                <c:pt idx="16">
                  <c:v>2.4237364260789089E-2</c:v>
                </c:pt>
              </c:numCache>
            </c:numRef>
          </c:val>
          <c:smooth val="0"/>
          <c:extLst>
            <c:ext xmlns:c16="http://schemas.microsoft.com/office/drawing/2014/chart" uri="{C3380CC4-5D6E-409C-BE32-E72D297353CC}">
              <c16:uniqueId val="{00000002-182B-4BB2-8BCC-493A4A167487}"/>
            </c:ext>
          </c:extLst>
        </c:ser>
        <c:ser>
          <c:idx val="3"/>
          <c:order val="3"/>
          <c:tx>
            <c:strRef>
              <c:f>'POPULATION DEN'!$A$29</c:f>
              <c:strCache>
                <c:ptCount val="1"/>
                <c:pt idx="0">
                  <c:v>2N</c:v>
                </c:pt>
              </c:strCache>
            </c:strRef>
          </c:tx>
          <c:spPr>
            <a:ln w="12700" cap="rnd">
              <a:solidFill>
                <a:schemeClr val="accent4">
                  <a:alpha val="20000"/>
                </a:schemeClr>
              </a:solidFill>
              <a:round/>
            </a:ln>
            <a:effectLst/>
          </c:spPr>
          <c:marker>
            <c:symbol val="square"/>
            <c:size val="5"/>
            <c:spPr>
              <a:solidFill>
                <a:schemeClr val="accent4"/>
              </a:solidFill>
              <a:ln w="9525">
                <a:solidFill>
                  <a:schemeClr val="accent4"/>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DEN'!$L$29:$AB$29</c:f>
              <c:numCache>
                <c:formatCode>General</c:formatCode>
                <c:ptCount val="17"/>
                <c:pt idx="0">
                  <c:v>2.5531105767366096E-2</c:v>
                </c:pt>
                <c:pt idx="1">
                  <c:v>2.5416059586737143E-2</c:v>
                </c:pt>
                <c:pt idx="2">
                  <c:v>2.5231945171576793E-2</c:v>
                </c:pt>
                <c:pt idx="3">
                  <c:v>2.5091448125035349E-2</c:v>
                </c:pt>
                <c:pt idx="4">
                  <c:v>2.4978096189951334E-2</c:v>
                </c:pt>
                <c:pt idx="5">
                  <c:v>2.4841660581073958E-2</c:v>
                </c:pt>
                <c:pt idx="6">
                  <c:v>2.468129387247733E-2</c:v>
                </c:pt>
                <c:pt idx="7">
                  <c:v>2.4511699129115026E-2</c:v>
                </c:pt>
                <c:pt idx="8">
                  <c:v>2.4342364136256518E-2</c:v>
                </c:pt>
                <c:pt idx="9">
                  <c:v>2.419941765562271E-2</c:v>
                </c:pt>
                <c:pt idx="10">
                  <c:v>2.4062567610008027E-2</c:v>
                </c:pt>
                <c:pt idx="11">
                  <c:v>2.3941934593386876E-2</c:v>
                </c:pt>
                <c:pt idx="12">
                  <c:v>2.3911206305688826E-2</c:v>
                </c:pt>
                <c:pt idx="13">
                  <c:v>2.3988550171918057E-2</c:v>
                </c:pt>
                <c:pt idx="14">
                  <c:v>2.4092786751314828E-2</c:v>
                </c:pt>
                <c:pt idx="15">
                  <c:v>2.4214530313973744E-2</c:v>
                </c:pt>
                <c:pt idx="16">
                  <c:v>2.4352934683862421E-2</c:v>
                </c:pt>
              </c:numCache>
            </c:numRef>
          </c:val>
          <c:smooth val="0"/>
          <c:extLst>
            <c:ext xmlns:c16="http://schemas.microsoft.com/office/drawing/2014/chart" uri="{C3380CC4-5D6E-409C-BE32-E72D297353CC}">
              <c16:uniqueId val="{00000003-182B-4BB2-8BCC-493A4A167487}"/>
            </c:ext>
          </c:extLst>
        </c:ser>
        <c:ser>
          <c:idx val="4"/>
          <c:order val="4"/>
          <c:tx>
            <c:strRef>
              <c:f>'POPULATION DEN'!$A$30</c:f>
              <c:strCache>
                <c:ptCount val="1"/>
                <c:pt idx="0">
                  <c:v>2P</c:v>
                </c:pt>
              </c:strCache>
            </c:strRef>
          </c:tx>
          <c:spPr>
            <a:ln w="12700" cap="rnd">
              <a:solidFill>
                <a:schemeClr val="accent1">
                  <a:alpha val="20000"/>
                </a:schemeClr>
              </a:solidFill>
              <a:round/>
            </a:ln>
            <a:effectLst/>
          </c:spPr>
          <c:marker>
            <c:symbol val="square"/>
            <c:size val="5"/>
            <c:spPr>
              <a:solidFill>
                <a:schemeClr val="accent5"/>
              </a:solidFill>
              <a:ln w="9525">
                <a:solidFill>
                  <a:schemeClr val="accent5"/>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DEN'!$L$30:$AB$30</c:f>
              <c:numCache>
                <c:formatCode>General</c:formatCode>
                <c:ptCount val="17"/>
                <c:pt idx="0">
                  <c:v>2.5531105767366096E-2</c:v>
                </c:pt>
                <c:pt idx="1">
                  <c:v>2.5416059586737143E-2</c:v>
                </c:pt>
                <c:pt idx="2">
                  <c:v>2.5230212745704632E-2</c:v>
                </c:pt>
                <c:pt idx="3">
                  <c:v>2.5066910503195639E-2</c:v>
                </c:pt>
                <c:pt idx="4">
                  <c:v>2.4936053951559421E-2</c:v>
                </c:pt>
                <c:pt idx="5">
                  <c:v>2.4786511245250928E-2</c:v>
                </c:pt>
                <c:pt idx="6">
                  <c:v>2.4616161523837381E-2</c:v>
                </c:pt>
                <c:pt idx="7">
                  <c:v>2.4435261807538033E-2</c:v>
                </c:pt>
                <c:pt idx="8">
                  <c:v>2.426049775048204E-2</c:v>
                </c:pt>
                <c:pt idx="9">
                  <c:v>2.4107742533198039E-2</c:v>
                </c:pt>
                <c:pt idx="10">
                  <c:v>2.3963734864082074E-2</c:v>
                </c:pt>
                <c:pt idx="11">
                  <c:v>2.3834119788476636E-2</c:v>
                </c:pt>
                <c:pt idx="12">
                  <c:v>2.3797652501713503E-2</c:v>
                </c:pt>
                <c:pt idx="13">
                  <c:v>2.3869000998233896E-2</c:v>
                </c:pt>
                <c:pt idx="14">
                  <c:v>2.3966920838084865E-2</c:v>
                </c:pt>
                <c:pt idx="15">
                  <c:v>2.4083383608786167E-2</c:v>
                </c:pt>
                <c:pt idx="16">
                  <c:v>2.4220383593279049E-2</c:v>
                </c:pt>
              </c:numCache>
            </c:numRef>
          </c:val>
          <c:smooth val="0"/>
          <c:extLst>
            <c:ext xmlns:c16="http://schemas.microsoft.com/office/drawing/2014/chart" uri="{C3380CC4-5D6E-409C-BE32-E72D297353CC}">
              <c16:uniqueId val="{00000004-182B-4BB2-8BCC-493A4A167487}"/>
            </c:ext>
          </c:extLst>
        </c:ser>
        <c:ser>
          <c:idx val="5"/>
          <c:order val="5"/>
          <c:tx>
            <c:strRef>
              <c:f>'POPULATION DEN'!$A$31</c:f>
              <c:strCache>
                <c:ptCount val="1"/>
                <c:pt idx="0">
                  <c:v>3N</c:v>
                </c:pt>
              </c:strCache>
            </c:strRef>
          </c:tx>
          <c:spPr>
            <a:ln w="12700" cap="rnd">
              <a:solidFill>
                <a:schemeClr val="accent1">
                  <a:alpha val="20000"/>
                </a:schemeClr>
              </a:solidFill>
              <a:round/>
            </a:ln>
            <a:effectLst/>
          </c:spPr>
          <c:marker>
            <c:symbol val="square"/>
            <c:size val="5"/>
            <c:spPr>
              <a:solidFill>
                <a:schemeClr val="accent6"/>
              </a:solidFill>
              <a:ln w="9525">
                <a:solidFill>
                  <a:schemeClr val="accent6"/>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DEN'!$L$31:$AB$31</c:f>
              <c:numCache>
                <c:formatCode>General</c:formatCode>
                <c:ptCount val="17"/>
                <c:pt idx="0">
                  <c:v>2.5531105767366096E-2</c:v>
                </c:pt>
                <c:pt idx="1">
                  <c:v>2.541616530514176E-2</c:v>
                </c:pt>
                <c:pt idx="2">
                  <c:v>2.5232906572747606E-2</c:v>
                </c:pt>
                <c:pt idx="3">
                  <c:v>2.5093041232254292E-2</c:v>
                </c:pt>
                <c:pt idx="4">
                  <c:v>2.4977059378473554E-2</c:v>
                </c:pt>
                <c:pt idx="5">
                  <c:v>2.484492369128944E-2</c:v>
                </c:pt>
                <c:pt idx="6">
                  <c:v>2.4687180096519452E-2</c:v>
                </c:pt>
                <c:pt idx="7">
                  <c:v>2.4517471904021971E-2</c:v>
                </c:pt>
                <c:pt idx="8">
                  <c:v>2.4350951581803896E-2</c:v>
                </c:pt>
                <c:pt idx="9">
                  <c:v>2.4206864604932279E-2</c:v>
                </c:pt>
                <c:pt idx="10">
                  <c:v>2.40726611299159E-2</c:v>
                </c:pt>
                <c:pt idx="11">
                  <c:v>2.3953382044668351E-2</c:v>
                </c:pt>
                <c:pt idx="12">
                  <c:v>2.3925394105551751E-2</c:v>
                </c:pt>
                <c:pt idx="13">
                  <c:v>2.4004675488665351E-2</c:v>
                </c:pt>
                <c:pt idx="14">
                  <c:v>2.4111721954623595E-2</c:v>
                </c:pt>
                <c:pt idx="15">
                  <c:v>2.4237481412244549E-2</c:v>
                </c:pt>
                <c:pt idx="16">
                  <c:v>2.4379433015511841E-2</c:v>
                </c:pt>
              </c:numCache>
            </c:numRef>
          </c:val>
          <c:smooth val="0"/>
          <c:extLst>
            <c:ext xmlns:c16="http://schemas.microsoft.com/office/drawing/2014/chart" uri="{C3380CC4-5D6E-409C-BE32-E72D297353CC}">
              <c16:uniqueId val="{00000005-182B-4BB2-8BCC-493A4A167487}"/>
            </c:ext>
          </c:extLst>
        </c:ser>
        <c:ser>
          <c:idx val="6"/>
          <c:order val="6"/>
          <c:tx>
            <c:strRef>
              <c:f>'POPULATION DEN'!$A$32</c:f>
              <c:strCache>
                <c:ptCount val="1"/>
                <c:pt idx="0">
                  <c:v>3P</c:v>
                </c:pt>
              </c:strCache>
            </c:strRef>
          </c:tx>
          <c:spPr>
            <a:ln w="12700" cap="rnd">
              <a:solidFill>
                <a:schemeClr val="accent1">
                  <a:alpha val="2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DEN'!$L$32:$AB$32</c:f>
              <c:numCache>
                <c:formatCode>General</c:formatCode>
                <c:ptCount val="17"/>
                <c:pt idx="0">
                  <c:v>2.5531105767366096E-2</c:v>
                </c:pt>
                <c:pt idx="1">
                  <c:v>2.541616530514176E-2</c:v>
                </c:pt>
                <c:pt idx="2">
                  <c:v>2.5230917138641666E-2</c:v>
                </c:pt>
                <c:pt idx="3">
                  <c:v>2.506906921061066E-2</c:v>
                </c:pt>
                <c:pt idx="4">
                  <c:v>2.493871603508346E-2</c:v>
                </c:pt>
                <c:pt idx="5">
                  <c:v>2.4789977722108728E-2</c:v>
                </c:pt>
                <c:pt idx="6">
                  <c:v>2.4622495612752267E-2</c:v>
                </c:pt>
                <c:pt idx="7">
                  <c:v>2.4442940772594225E-2</c:v>
                </c:pt>
                <c:pt idx="8">
                  <c:v>2.4267781903877742E-2</c:v>
                </c:pt>
                <c:pt idx="9">
                  <c:v>2.4117289451625709E-2</c:v>
                </c:pt>
                <c:pt idx="10">
                  <c:v>2.3974369264054159E-2</c:v>
                </c:pt>
                <c:pt idx="11">
                  <c:v>2.3848129329457131E-2</c:v>
                </c:pt>
                <c:pt idx="12">
                  <c:v>2.3814102124742977E-2</c:v>
                </c:pt>
                <c:pt idx="13">
                  <c:v>2.3886636463692438E-2</c:v>
                </c:pt>
                <c:pt idx="14">
                  <c:v>2.3987787857641316E-2</c:v>
                </c:pt>
                <c:pt idx="15">
                  <c:v>2.4108348557590174E-2</c:v>
                </c:pt>
                <c:pt idx="16">
                  <c:v>2.4247832842309032E-2</c:v>
                </c:pt>
              </c:numCache>
            </c:numRef>
          </c:val>
          <c:smooth val="0"/>
          <c:extLst>
            <c:ext xmlns:c16="http://schemas.microsoft.com/office/drawing/2014/chart" uri="{C3380CC4-5D6E-409C-BE32-E72D297353CC}">
              <c16:uniqueId val="{00000006-182B-4BB2-8BCC-493A4A167487}"/>
            </c:ext>
          </c:extLst>
        </c:ser>
        <c:ser>
          <c:idx val="7"/>
          <c:order val="7"/>
          <c:tx>
            <c:strRef>
              <c:f>'POPULATION DEN'!$A$33</c:f>
              <c:strCache>
                <c:ptCount val="1"/>
                <c:pt idx="0">
                  <c:v>4N</c:v>
                </c:pt>
              </c:strCache>
            </c:strRef>
          </c:tx>
          <c:spPr>
            <a:ln w="12700" cap="rnd">
              <a:solidFill>
                <a:schemeClr val="accent2">
                  <a:lumMod val="50000"/>
                  <a:alpha val="2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DEN'!$L$33:$AB$33</c:f>
              <c:numCache>
                <c:formatCode>General</c:formatCode>
                <c:ptCount val="17"/>
                <c:pt idx="0">
                  <c:v>2.5531105767366096E-2</c:v>
                </c:pt>
                <c:pt idx="1">
                  <c:v>2.5416059586737143E-2</c:v>
                </c:pt>
                <c:pt idx="2">
                  <c:v>2.5232040359811529E-2</c:v>
                </c:pt>
                <c:pt idx="3">
                  <c:v>2.508910088422164E-2</c:v>
                </c:pt>
                <c:pt idx="4">
                  <c:v>2.4975891797980553E-2</c:v>
                </c:pt>
                <c:pt idx="5">
                  <c:v>2.4843111879385094E-2</c:v>
                </c:pt>
                <c:pt idx="6">
                  <c:v>2.4683103612167301E-2</c:v>
                </c:pt>
                <c:pt idx="7">
                  <c:v>2.4513867307483832E-2</c:v>
                </c:pt>
                <c:pt idx="8">
                  <c:v>2.4344113761336855E-2</c:v>
                </c:pt>
                <c:pt idx="9">
                  <c:v>2.4202047028720169E-2</c:v>
                </c:pt>
                <c:pt idx="10">
                  <c:v>2.4065036465784975E-2</c:v>
                </c:pt>
                <c:pt idx="11">
                  <c:v>2.3944764106589831E-2</c:v>
                </c:pt>
                <c:pt idx="12">
                  <c:v>2.3914479095270731E-2</c:v>
                </c:pt>
                <c:pt idx="13">
                  <c:v>2.399301236274284E-2</c:v>
                </c:pt>
                <c:pt idx="14">
                  <c:v>2.4098131159259954E-2</c:v>
                </c:pt>
                <c:pt idx="15">
                  <c:v>2.422176148192208E-2</c:v>
                </c:pt>
                <c:pt idx="16">
                  <c:v>2.4362970258360855E-2</c:v>
                </c:pt>
              </c:numCache>
            </c:numRef>
          </c:val>
          <c:smooth val="0"/>
          <c:extLst>
            <c:ext xmlns:c16="http://schemas.microsoft.com/office/drawing/2014/chart" uri="{C3380CC4-5D6E-409C-BE32-E72D297353CC}">
              <c16:uniqueId val="{00000007-182B-4BB2-8BCC-493A4A167487}"/>
            </c:ext>
          </c:extLst>
        </c:ser>
        <c:ser>
          <c:idx val="8"/>
          <c:order val="8"/>
          <c:tx>
            <c:strRef>
              <c:f>'POPULATION DEN'!$A$34</c:f>
              <c:strCache>
                <c:ptCount val="1"/>
                <c:pt idx="0">
                  <c:v>4P</c:v>
                </c:pt>
              </c:strCache>
            </c:strRef>
          </c:tx>
          <c:spPr>
            <a:ln w="12700" cap="rnd">
              <a:solidFill>
                <a:schemeClr val="accent1">
                  <a:alpha val="20000"/>
                </a:schemeClr>
              </a:solidFill>
              <a:round/>
            </a:ln>
            <a:effectLst/>
          </c:spPr>
          <c:marker>
            <c:symbol val="square"/>
            <c:size val="5"/>
            <c:spPr>
              <a:solidFill>
                <a:schemeClr val="accent3">
                  <a:lumMod val="60000"/>
                </a:schemeClr>
              </a:solidFill>
              <a:ln w="9525">
                <a:solidFill>
                  <a:schemeClr val="accent3">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DEN'!$L$34:$AB$34</c:f>
              <c:numCache>
                <c:formatCode>General</c:formatCode>
                <c:ptCount val="17"/>
                <c:pt idx="0">
                  <c:v>2.5531105767366096E-2</c:v>
                </c:pt>
                <c:pt idx="1">
                  <c:v>2.5416059586737143E-2</c:v>
                </c:pt>
                <c:pt idx="2">
                  <c:v>2.5230222264528101E-2</c:v>
                </c:pt>
                <c:pt idx="3">
                  <c:v>2.5067636356780602E-2</c:v>
                </c:pt>
                <c:pt idx="4">
                  <c:v>2.4936661093415781E-2</c:v>
                </c:pt>
                <c:pt idx="5">
                  <c:v>2.478744488301796E-2</c:v>
                </c:pt>
                <c:pt idx="6">
                  <c:v>2.4616810470897921E-2</c:v>
                </c:pt>
                <c:pt idx="7">
                  <c:v>2.4437917826039823E-2</c:v>
                </c:pt>
                <c:pt idx="8">
                  <c:v>2.4261131543240735E-2</c:v>
                </c:pt>
                <c:pt idx="9">
                  <c:v>2.4109374862134377E-2</c:v>
                </c:pt>
                <c:pt idx="10">
                  <c:v>2.3965165579090626E-2</c:v>
                </c:pt>
                <c:pt idx="11">
                  <c:v>2.3836276429637426E-2</c:v>
                </c:pt>
                <c:pt idx="12">
                  <c:v>2.3799785812200134E-2</c:v>
                </c:pt>
                <c:pt idx="13">
                  <c:v>2.3872072487138143E-2</c:v>
                </c:pt>
                <c:pt idx="14">
                  <c:v>2.3971039776692252E-2</c:v>
                </c:pt>
                <c:pt idx="15">
                  <c:v>2.4090045460339042E-2</c:v>
                </c:pt>
                <c:pt idx="16">
                  <c:v>2.4228016403324816E-2</c:v>
                </c:pt>
              </c:numCache>
            </c:numRef>
          </c:val>
          <c:smooth val="0"/>
          <c:extLst>
            <c:ext xmlns:c16="http://schemas.microsoft.com/office/drawing/2014/chart" uri="{C3380CC4-5D6E-409C-BE32-E72D297353CC}">
              <c16:uniqueId val="{00000008-182B-4BB2-8BCC-493A4A167487}"/>
            </c:ext>
          </c:extLst>
        </c:ser>
        <c:dLbls>
          <c:showLegendKey val="0"/>
          <c:showVal val="0"/>
          <c:showCatName val="0"/>
          <c:showSerName val="0"/>
          <c:showPercent val="0"/>
          <c:showBubbleSize val="0"/>
        </c:dLbls>
        <c:marker val="1"/>
        <c:smooth val="0"/>
        <c:axId val="686317264"/>
        <c:axId val="686315296"/>
      </c:lineChart>
      <c:catAx>
        <c:axId val="68631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5296"/>
        <c:crosses val="autoZero"/>
        <c:auto val="1"/>
        <c:lblAlgn val="ctr"/>
        <c:lblOffset val="100"/>
        <c:noMultiLvlLbl val="0"/>
      </c:catAx>
      <c:valAx>
        <c:axId val="6863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Population/m2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7264"/>
        <c:crosses val="autoZero"/>
        <c:crossBetween val="between"/>
      </c:valAx>
    </c:plotArea>
    <c:legend>
      <c:legendPos val="b"/>
      <c:legendEntry>
        <c:idx val="0"/>
        <c:delete val="1"/>
      </c:legendEntry>
      <c:layout>
        <c:manualLayout>
          <c:xMode val="edge"/>
          <c:yMode val="edge"/>
          <c:x val="8.3015487814549246E-2"/>
          <c:y val="0.9065793109359378"/>
          <c:w val="0.86980291655208042"/>
          <c:h val="4.3166195099890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Employment in West Midlands Region (UK)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Sheet2!$A$1:$A$31</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Sheet2!$B$1:$B$31</c:f>
              <c:numCache>
                <c:formatCode>General</c:formatCode>
                <c:ptCount val="31"/>
                <c:pt idx="0">
                  <c:v>4083227</c:v>
                </c:pt>
                <c:pt idx="1">
                  <c:v>4080908</c:v>
                </c:pt>
                <c:pt idx="2">
                  <c:v>4076444.0000000005</c:v>
                </c:pt>
                <c:pt idx="3">
                  <c:v>4081482</c:v>
                </c:pt>
                <c:pt idx="4">
                  <c:v>4089598</c:v>
                </c:pt>
                <c:pt idx="5">
                  <c:v>4091536.9999999995</c:v>
                </c:pt>
                <c:pt idx="6">
                  <c:v>4100490.9999999995</c:v>
                </c:pt>
                <c:pt idx="7">
                  <c:v>4105230</c:v>
                </c:pt>
                <c:pt idx="8">
                  <c:v>4108275</c:v>
                </c:pt>
                <c:pt idx="9">
                  <c:v>4126513</c:v>
                </c:pt>
                <c:pt idx="10">
                  <c:v>4151393</c:v>
                </c:pt>
                <c:pt idx="11">
                  <c:v>4178854.9999999995</c:v>
                </c:pt>
                <c:pt idx="12">
                  <c:v>4204076</c:v>
                </c:pt>
                <c:pt idx="13">
                  <c:v>4237529</c:v>
                </c:pt>
                <c:pt idx="14">
                  <c:v>4273198</c:v>
                </c:pt>
                <c:pt idx="15">
                  <c:v>4309850</c:v>
                </c:pt>
                <c:pt idx="16">
                  <c:v>4350373</c:v>
                </c:pt>
                <c:pt idx="17">
                  <c:v>4378513</c:v>
                </c:pt>
                <c:pt idx="18">
                  <c:v>4412747</c:v>
                </c:pt>
                <c:pt idx="19">
                  <c:v>4449286.0000000009</c:v>
                </c:pt>
                <c:pt idx="20">
                  <c:v>4476904</c:v>
                </c:pt>
                <c:pt idx="21">
                  <c:v>4502727</c:v>
                </c:pt>
                <c:pt idx="22">
                  <c:v>4533074</c:v>
                </c:pt>
                <c:pt idx="23">
                  <c:v>4565494</c:v>
                </c:pt>
                <c:pt idx="24">
                  <c:v>4607131</c:v>
                </c:pt>
                <c:pt idx="25">
                  <c:v>4643821</c:v>
                </c:pt>
                <c:pt idx="26">
                  <c:v>4656327</c:v>
                </c:pt>
                <c:pt idx="27">
                  <c:v>4677799</c:v>
                </c:pt>
                <c:pt idx="28">
                  <c:v>4691383</c:v>
                </c:pt>
                <c:pt idx="29">
                  <c:v>4708231</c:v>
                </c:pt>
                <c:pt idx="30">
                  <c:v>4725149</c:v>
                </c:pt>
              </c:numCache>
            </c:numRef>
          </c:val>
          <c:smooth val="0"/>
          <c:extLst>
            <c:ext xmlns:c16="http://schemas.microsoft.com/office/drawing/2014/chart" uri="{C3380CC4-5D6E-409C-BE32-E72D297353CC}">
              <c16:uniqueId val="{00000000-5795-40C2-B93C-EA7C93F02CFF}"/>
            </c:ext>
          </c:extLst>
        </c:ser>
        <c:dLbls>
          <c:showLegendKey val="0"/>
          <c:showVal val="0"/>
          <c:showCatName val="0"/>
          <c:showSerName val="0"/>
          <c:showPercent val="0"/>
          <c:showBubbleSize val="0"/>
        </c:dLbls>
        <c:smooth val="0"/>
        <c:axId val="513935024"/>
        <c:axId val="513935352"/>
      </c:lineChart>
      <c:catAx>
        <c:axId val="513935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935352"/>
        <c:crosses val="autoZero"/>
        <c:auto val="1"/>
        <c:lblAlgn val="ctr"/>
        <c:lblOffset val="100"/>
        <c:noMultiLvlLbl val="0"/>
      </c:catAx>
      <c:valAx>
        <c:axId val="513935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Total number of people in labour maket </a:t>
                </a:r>
              </a:p>
            </c:rich>
          </c:tx>
          <c:layout>
            <c:manualLayout>
              <c:xMode val="edge"/>
              <c:yMode val="edge"/>
              <c:x val="1.5479209377434786E-2"/>
              <c:y val="0.117111913357400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9350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a:t>Total Cost of Ownership Results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'Incorporation 25 NA'!$K$7</c:f>
              <c:strCache>
                <c:ptCount val="1"/>
                <c:pt idx="0">
                  <c:v>NEW</c:v>
                </c:pt>
              </c:strCache>
            </c:strRef>
          </c:tx>
          <c:spPr>
            <a:solidFill>
              <a:schemeClr val="accent6">
                <a:lumMod val="60000"/>
                <a:lumOff val="40000"/>
              </a:schemeClr>
            </a:solidFill>
            <a:ln w="9525" cap="flat" cmpd="sng" algn="ctr">
              <a:solidFill>
                <a:schemeClr val="accent6">
                  <a:lumMod val="60000"/>
                  <a:lumOff val="40000"/>
                </a:schemeClr>
              </a:solidFill>
              <a:round/>
            </a:ln>
            <a:effectLst>
              <a:outerShdw blurRad="40000" dist="20000" dir="5400000" rotWithShape="0">
                <a:srgbClr val="000000">
                  <a:alpha val="38000"/>
                </a:srgbClr>
              </a:outerShdw>
            </a:effectLst>
            <a:sp3d contourW="9525">
              <a:contourClr>
                <a:schemeClr val="accent6">
                  <a:lumMod val="60000"/>
                  <a:lumOff val="40000"/>
                </a:schemeClr>
              </a:contourClr>
            </a:sp3d>
          </c:spPr>
          <c:invertIfNegative val="0"/>
          <c:cat>
            <c:strRef>
              <c:f>'Incorporation 25 NA'!$V$1:$AA$1</c:f>
              <c:strCache>
                <c:ptCount val="6"/>
                <c:pt idx="0">
                  <c:v>Level 0-1 (Electric)</c:v>
                </c:pt>
                <c:pt idx="1">
                  <c:v>Level 0-1 (Non- electric)</c:v>
                </c:pt>
                <c:pt idx="2">
                  <c:v>Level 2-3 (Electric)</c:v>
                </c:pt>
                <c:pt idx="3">
                  <c:v>Level 2-3 (Non- Electric)</c:v>
                </c:pt>
                <c:pt idx="4">
                  <c:v>Level 4-5 (Electric)</c:v>
                </c:pt>
                <c:pt idx="5">
                  <c:v>Level 4-5 (Non-Electric)</c:v>
                </c:pt>
              </c:strCache>
            </c:strRef>
          </c:cat>
          <c:val>
            <c:numRef>
              <c:f>'Incorporation 25 NA'!$V$2:$AA$2</c:f>
              <c:numCache>
                <c:formatCode>General</c:formatCode>
                <c:ptCount val="6"/>
                <c:pt idx="0">
                  <c:v>3984.7771244503292</c:v>
                </c:pt>
                <c:pt idx="1">
                  <c:v>4230.3196824128563</c:v>
                </c:pt>
                <c:pt idx="2">
                  <c:v>4858.0170804862346</c:v>
                </c:pt>
                <c:pt idx="3">
                  <c:v>5689.7600213565138</c:v>
                </c:pt>
                <c:pt idx="4">
                  <c:v>6200.5290461456116</c:v>
                </c:pt>
                <c:pt idx="5">
                  <c:v>7032.2719870158935</c:v>
                </c:pt>
              </c:numCache>
            </c:numRef>
          </c:val>
          <c:extLst>
            <c:ext xmlns:c16="http://schemas.microsoft.com/office/drawing/2014/chart" uri="{C3380CC4-5D6E-409C-BE32-E72D297353CC}">
              <c16:uniqueId val="{00000000-3D8D-49E4-986E-A03D24BC81E5}"/>
            </c:ext>
          </c:extLst>
        </c:ser>
        <c:ser>
          <c:idx val="1"/>
          <c:order val="1"/>
          <c:tx>
            <c:strRef>
              <c:f>'Incorporation 25 NA'!$U$7</c:f>
              <c:strCache>
                <c:ptCount val="1"/>
                <c:pt idx="0">
                  <c:v>USED</c:v>
                </c:pt>
              </c:strCache>
            </c:strRef>
          </c:tx>
          <c:spPr>
            <a:solidFill>
              <a:schemeClr val="accent2">
                <a:lumMod val="75000"/>
              </a:schemeClr>
            </a:solidFill>
            <a:ln w="9525" cap="flat" cmpd="sng" algn="ctr">
              <a:solidFill>
                <a:srgbClr val="C198E0"/>
              </a:solidFill>
              <a:round/>
            </a:ln>
            <a:effectLst>
              <a:outerShdw blurRad="40000" dist="20000" dir="5400000" rotWithShape="0">
                <a:srgbClr val="000000">
                  <a:alpha val="38000"/>
                </a:srgbClr>
              </a:outerShdw>
            </a:effectLst>
            <a:sp3d contourW="9525">
              <a:contourClr>
                <a:srgbClr val="C198E0"/>
              </a:contourClr>
            </a:sp3d>
          </c:spPr>
          <c:invertIfNegative val="0"/>
          <c:cat>
            <c:strRef>
              <c:f>'Incorporation 25 NA'!$V$1:$AA$1</c:f>
              <c:strCache>
                <c:ptCount val="6"/>
                <c:pt idx="0">
                  <c:v>Level 0-1 (Electric)</c:v>
                </c:pt>
                <c:pt idx="1">
                  <c:v>Level 0-1 (Non- electric)</c:v>
                </c:pt>
                <c:pt idx="2">
                  <c:v>Level 2-3 (Electric)</c:v>
                </c:pt>
                <c:pt idx="3">
                  <c:v>Level 2-3 (Non- Electric)</c:v>
                </c:pt>
                <c:pt idx="4">
                  <c:v>Level 4-5 (Electric)</c:v>
                </c:pt>
                <c:pt idx="5">
                  <c:v>Level 4-5 (Non-Electric)</c:v>
                </c:pt>
              </c:strCache>
            </c:strRef>
          </c:cat>
          <c:val>
            <c:numRef>
              <c:f>'Incorporation 25 NA'!$V$4:$AA$4</c:f>
              <c:numCache>
                <c:formatCode>General</c:formatCode>
                <c:ptCount val="6"/>
                <c:pt idx="0">
                  <c:v>2149.5347033095823</c:v>
                </c:pt>
                <c:pt idx="1">
                  <c:v>2828.8228825175916</c:v>
                </c:pt>
                <c:pt idx="2">
                  <c:v>2603.3590417743017</c:v>
                </c:pt>
                <c:pt idx="3">
                  <c:v>3561.2343077332266</c:v>
                </c:pt>
                <c:pt idx="4">
                  <c:v>3303.2456113180897</c:v>
                </c:pt>
                <c:pt idx="5">
                  <c:v>4261.120877277016</c:v>
                </c:pt>
              </c:numCache>
            </c:numRef>
          </c:val>
          <c:extLst>
            <c:ext xmlns:c16="http://schemas.microsoft.com/office/drawing/2014/chart" uri="{C3380CC4-5D6E-409C-BE32-E72D297353CC}">
              <c16:uniqueId val="{00000001-3D8D-49E4-986E-A03D24BC81E5}"/>
            </c:ext>
          </c:extLst>
        </c:ser>
        <c:dLbls>
          <c:showLegendKey val="0"/>
          <c:showVal val="0"/>
          <c:showCatName val="0"/>
          <c:showSerName val="0"/>
          <c:showPercent val="0"/>
          <c:showBubbleSize val="0"/>
        </c:dLbls>
        <c:gapWidth val="150"/>
        <c:shape val="box"/>
        <c:axId val="483713000"/>
        <c:axId val="483709392"/>
        <c:axId val="0"/>
      </c:bar3DChart>
      <c:catAx>
        <c:axId val="48371300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GB"/>
                  <a:t>Vehicle</a:t>
                </a:r>
                <a:r>
                  <a:rPr lang="en-GB" baseline="0"/>
                  <a:t> TECHNOLOGY category</a:t>
                </a:r>
                <a:endParaRPr lang="en-GB"/>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83709392"/>
        <c:crosses val="autoZero"/>
        <c:auto val="1"/>
        <c:lblAlgn val="ctr"/>
        <c:lblOffset val="100"/>
        <c:noMultiLvlLbl val="0"/>
      </c:catAx>
      <c:valAx>
        <c:axId val="48370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GB"/>
                  <a:t>TCO £/year</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83713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Percentage Change of POPULATION of 'n' Scenarios from BAU Scenario</a:t>
            </a:r>
          </a:p>
        </c:rich>
      </c:tx>
      <c:layout>
        <c:manualLayout>
          <c:xMode val="edge"/>
          <c:yMode val="edge"/>
          <c:x val="0.13899935708756173"/>
          <c:y val="2.420445487044194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4999710992444"/>
          <c:y val="0.15271906846210273"/>
          <c:w val="0.77530756086541952"/>
          <c:h val="0.71547535902627191"/>
        </c:manualLayout>
      </c:layout>
      <c:lineChart>
        <c:grouping val="standard"/>
        <c:varyColors val="0"/>
        <c:ser>
          <c:idx val="0"/>
          <c:order val="0"/>
          <c:tx>
            <c:strRef>
              <c:f>Sheet1!$A$3</c:f>
              <c:strCache>
                <c:ptCount val="1"/>
                <c:pt idx="0">
                  <c:v>1N</c:v>
                </c:pt>
              </c:strCache>
            </c:strRef>
          </c:tx>
          <c:spPr>
            <a:ln w="6350" cap="rnd">
              <a:solidFill>
                <a:schemeClr val="accent6"/>
              </a:solidFill>
              <a:round/>
            </a:ln>
            <a:effectLst/>
          </c:spPr>
          <c:marker>
            <c:symbol val="diamond"/>
            <c:size val="6"/>
            <c:spPr>
              <a:solidFill>
                <a:schemeClr val="accent6"/>
              </a:solidFill>
              <a:ln w="9525">
                <a:solidFill>
                  <a:schemeClr val="accent6"/>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Sheet1!$B$3:$Q$3</c:f>
              <c:numCache>
                <c:formatCode>General</c:formatCode>
                <c:ptCount val="16"/>
                <c:pt idx="0">
                  <c:v>0</c:v>
                </c:pt>
                <c:pt idx="1">
                  <c:v>1.6271930215627961E-3</c:v>
                </c:pt>
                <c:pt idx="2">
                  <c:v>8.7921693290693888E-3</c:v>
                </c:pt>
                <c:pt idx="3">
                  <c:v>1.5833721967584421E-2</c:v>
                </c:pt>
                <c:pt idx="4">
                  <c:v>2.1476943710772863E-2</c:v>
                </c:pt>
                <c:pt idx="5">
                  <c:v>2.5387338734829314E-2</c:v>
                </c:pt>
                <c:pt idx="6">
                  <c:v>3.1655821584329294E-2</c:v>
                </c:pt>
                <c:pt idx="7">
                  <c:v>3.6895162097117566E-2</c:v>
                </c:pt>
                <c:pt idx="8">
                  <c:v>4.0911987208815052E-2</c:v>
                </c:pt>
                <c:pt idx="9">
                  <c:v>4.3107967534808653E-2</c:v>
                </c:pt>
                <c:pt idx="10">
                  <c:v>4.5606659347425624E-2</c:v>
                </c:pt>
                <c:pt idx="11">
                  <c:v>4.8621813035647138E-2</c:v>
                </c:pt>
                <c:pt idx="12">
                  <c:v>8.6127718418113897E-2</c:v>
                </c:pt>
                <c:pt idx="13">
                  <c:v>0.12081978788119958</c:v>
                </c:pt>
                <c:pt idx="14">
                  <c:v>0.15434546818689229</c:v>
                </c:pt>
                <c:pt idx="15">
                  <c:v>0.18780504820291155</c:v>
                </c:pt>
              </c:numCache>
            </c:numRef>
          </c:val>
          <c:smooth val="0"/>
          <c:extLst>
            <c:ext xmlns:c16="http://schemas.microsoft.com/office/drawing/2014/chart" uri="{C3380CC4-5D6E-409C-BE32-E72D297353CC}">
              <c16:uniqueId val="{00000000-1C42-43CD-B755-8B6B886AAABD}"/>
            </c:ext>
          </c:extLst>
        </c:ser>
        <c:ser>
          <c:idx val="2"/>
          <c:order val="1"/>
          <c:tx>
            <c:strRef>
              <c:f>Sheet1!$A$5</c:f>
              <c:strCache>
                <c:ptCount val="1"/>
                <c:pt idx="0">
                  <c:v>2N</c:v>
                </c:pt>
              </c:strCache>
            </c:strRef>
          </c:tx>
          <c:spPr>
            <a:ln w="6350" cap="rnd">
              <a:solidFill>
                <a:schemeClr val="accent4"/>
              </a:solidFill>
              <a:round/>
            </a:ln>
            <a:effectLst/>
          </c:spPr>
          <c:marker>
            <c:symbol val="triangle"/>
            <c:size val="6"/>
            <c:spPr>
              <a:solidFill>
                <a:schemeClr val="accent4"/>
              </a:solidFill>
              <a:ln w="9525">
                <a:solidFill>
                  <a:schemeClr val="accent4"/>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Sheet1!$B$5:$Q$5</c:f>
              <c:numCache>
                <c:formatCode>General</c:formatCode>
                <c:ptCount val="16"/>
                <c:pt idx="0">
                  <c:v>0</c:v>
                </c:pt>
                <c:pt idx="1">
                  <c:v>1.2668715352714172E-3</c:v>
                </c:pt>
                <c:pt idx="2">
                  <c:v>8.0668404040177347E-3</c:v>
                </c:pt>
                <c:pt idx="3">
                  <c:v>1.4885559616167285E-2</c:v>
                </c:pt>
                <c:pt idx="4">
                  <c:v>2.032268175423119E-2</c:v>
                </c:pt>
                <c:pt idx="5">
                  <c:v>2.3207109692038132E-2</c:v>
                </c:pt>
                <c:pt idx="6">
                  <c:v>2.8545943735393622E-2</c:v>
                </c:pt>
                <c:pt idx="7">
                  <c:v>3.296068936199012E-2</c:v>
                </c:pt>
                <c:pt idx="8">
                  <c:v>3.5381829767277113E-2</c:v>
                </c:pt>
                <c:pt idx="9">
                  <c:v>3.6192192055909157E-2</c:v>
                </c:pt>
                <c:pt idx="10">
                  <c:v>3.6095610762283334E-2</c:v>
                </c:pt>
                <c:pt idx="11">
                  <c:v>3.7470726385862171E-2</c:v>
                </c:pt>
                <c:pt idx="12">
                  <c:v>7.2038223398246073E-2</c:v>
                </c:pt>
                <c:pt idx="13">
                  <c:v>0.10397201429699277</c:v>
                </c:pt>
                <c:pt idx="14">
                  <c:v>0.1342505884617001</c:v>
                </c:pt>
                <c:pt idx="15">
                  <c:v>0.16460874623614158</c:v>
                </c:pt>
              </c:numCache>
            </c:numRef>
          </c:val>
          <c:smooth val="0"/>
          <c:extLst>
            <c:ext xmlns:c16="http://schemas.microsoft.com/office/drawing/2014/chart" uri="{C3380CC4-5D6E-409C-BE32-E72D297353CC}">
              <c16:uniqueId val="{00000001-1C42-43CD-B755-8B6B886AAABD}"/>
            </c:ext>
          </c:extLst>
        </c:ser>
        <c:ser>
          <c:idx val="4"/>
          <c:order val="2"/>
          <c:tx>
            <c:strRef>
              <c:f>Sheet1!$A$7</c:f>
              <c:strCache>
                <c:ptCount val="1"/>
                <c:pt idx="0">
                  <c:v>3N</c:v>
                </c:pt>
              </c:strCache>
            </c:strRef>
          </c:tx>
          <c:spPr>
            <a:ln w="6350" cap="rnd">
              <a:solidFill>
                <a:schemeClr val="accent5">
                  <a:lumMod val="60000"/>
                </a:schemeClr>
              </a:solidFill>
              <a:round/>
            </a:ln>
            <a:effectLst/>
          </c:spPr>
          <c:marker>
            <c:symbol val="star"/>
            <c:size val="6"/>
            <c:spPr>
              <a:noFill/>
              <a:ln w="9525">
                <a:solidFill>
                  <a:schemeClr val="accent5">
                    <a:lumMod val="6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Sheet1!$B$7:$Q$7</c:f>
              <c:numCache>
                <c:formatCode>General</c:formatCode>
                <c:ptCount val="16"/>
                <c:pt idx="0">
                  <c:v>0</c:v>
                </c:pt>
                <c:pt idx="1">
                  <c:v>1.8497388986605332E-3</c:v>
                </c:pt>
                <c:pt idx="2">
                  <c:v>8.9106506950143889E-3</c:v>
                </c:pt>
                <c:pt idx="3">
                  <c:v>1.5339489163369621E-2</c:v>
                </c:pt>
                <c:pt idx="4">
                  <c:v>2.2393724334332118E-2</c:v>
                </c:pt>
                <c:pt idx="5">
                  <c:v>2.6627722321130701E-2</c:v>
                </c:pt>
                <c:pt idx="6">
                  <c:v>3.4006768151946573E-2</c:v>
                </c:pt>
                <c:pt idx="7">
                  <c:v>3.9940542743656438E-2</c:v>
                </c:pt>
                <c:pt idx="8">
                  <c:v>4.5077263540612665E-2</c:v>
                </c:pt>
                <c:pt idx="9">
                  <c:v>4.8084397474971056E-2</c:v>
                </c:pt>
                <c:pt idx="10">
                  <c:v>5.0900637391902724E-2</c:v>
                </c:pt>
                <c:pt idx="11">
                  <c:v>5.549424684477873E-2</c:v>
                </c:pt>
                <c:pt idx="12">
                  <c:v>9.3931515417935416E-2</c:v>
                </c:pt>
                <c:pt idx="13">
                  <c:v>0.12932086044051125</c:v>
                </c:pt>
                <c:pt idx="14">
                  <c:v>0.16287886078711003</c:v>
                </c:pt>
                <c:pt idx="15">
                  <c:v>0.19654702066652335</c:v>
                </c:pt>
              </c:numCache>
            </c:numRef>
          </c:val>
          <c:smooth val="0"/>
          <c:extLst>
            <c:ext xmlns:c16="http://schemas.microsoft.com/office/drawing/2014/chart" uri="{C3380CC4-5D6E-409C-BE32-E72D297353CC}">
              <c16:uniqueId val="{00000002-1C42-43CD-B755-8B6B886AAABD}"/>
            </c:ext>
          </c:extLst>
        </c:ser>
        <c:ser>
          <c:idx val="6"/>
          <c:order val="3"/>
          <c:tx>
            <c:strRef>
              <c:f>Sheet1!$A$9</c:f>
              <c:strCache>
                <c:ptCount val="1"/>
                <c:pt idx="0">
                  <c:v>4N</c:v>
                </c:pt>
              </c:strCache>
            </c:strRef>
          </c:tx>
          <c:spPr>
            <a:ln w="6350" cap="rnd">
              <a:solidFill>
                <a:schemeClr val="accent6">
                  <a:lumMod val="80000"/>
                  <a:lumOff val="20000"/>
                </a:schemeClr>
              </a:solidFill>
              <a:round/>
            </a:ln>
            <a:effectLst/>
          </c:spPr>
          <c:marker>
            <c:symbol val="plus"/>
            <c:size val="6"/>
            <c:spPr>
              <a:noFill/>
              <a:ln w="9525">
                <a:solidFill>
                  <a:schemeClr val="accent6">
                    <a:lumMod val="80000"/>
                    <a:lumOff val="2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Sheet1!$B$9:$Q$9</c:f>
              <c:numCache>
                <c:formatCode>General</c:formatCode>
                <c:ptCount val="16"/>
                <c:pt idx="0">
                  <c:v>0</c:v>
                </c:pt>
                <c:pt idx="1">
                  <c:v>1.2959739124166153E-3</c:v>
                </c:pt>
                <c:pt idx="2">
                  <c:v>8.7090797654324967E-3</c:v>
                </c:pt>
                <c:pt idx="3">
                  <c:v>1.4916703714144995E-2</c:v>
                </c:pt>
                <c:pt idx="4">
                  <c:v>2.1214481120098695E-2</c:v>
                </c:pt>
                <c:pt idx="5">
                  <c:v>2.4478267963561354E-2</c:v>
                </c:pt>
                <c:pt idx="6">
                  <c:v>3.095224166502613E-2</c:v>
                </c:pt>
                <c:pt idx="7">
                  <c:v>3.6064833894565607E-2</c:v>
                </c:pt>
                <c:pt idx="8">
                  <c:v>3.9145113506203831E-2</c:v>
                </c:pt>
                <c:pt idx="9">
                  <c:v>4.0564203144906975E-2</c:v>
                </c:pt>
                <c:pt idx="10">
                  <c:v>4.1131455756979428E-2</c:v>
                </c:pt>
                <c:pt idx="11">
                  <c:v>4.3289717578138216E-2</c:v>
                </c:pt>
                <c:pt idx="12">
                  <c:v>7.8778081131078426E-2</c:v>
                </c:pt>
                <c:pt idx="13">
                  <c:v>0.11093640532842304</c:v>
                </c:pt>
                <c:pt idx="14">
                  <c:v>0.14022779759210441</c:v>
                </c:pt>
                <c:pt idx="15">
                  <c:v>0.16898894287067356</c:v>
                </c:pt>
              </c:numCache>
            </c:numRef>
          </c:val>
          <c:smooth val="0"/>
          <c:extLst>
            <c:ext xmlns:c16="http://schemas.microsoft.com/office/drawing/2014/chart" uri="{C3380CC4-5D6E-409C-BE32-E72D297353CC}">
              <c16:uniqueId val="{00000003-1C42-43CD-B755-8B6B886AAABD}"/>
            </c:ext>
          </c:extLst>
        </c:ser>
        <c:dLbls>
          <c:showLegendKey val="0"/>
          <c:showVal val="0"/>
          <c:showCatName val="0"/>
          <c:showSerName val="0"/>
          <c:showPercent val="0"/>
          <c:showBubbleSize val="0"/>
        </c:dLbls>
        <c:marker val="1"/>
        <c:smooth val="0"/>
        <c:axId val="368859448"/>
        <c:axId val="368859120"/>
      </c:lineChart>
      <c:catAx>
        <c:axId val="368859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Year</a:t>
                </a:r>
              </a:p>
            </c:rich>
          </c:tx>
          <c:layout>
            <c:manualLayout>
              <c:xMode val="edge"/>
              <c:yMode val="edge"/>
              <c:x val="0.50022698634147977"/>
              <c:y val="0.9392652148948117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859120"/>
        <c:crosses val="autoZero"/>
        <c:auto val="1"/>
        <c:lblAlgn val="ctr"/>
        <c:lblOffset val="100"/>
        <c:noMultiLvlLbl val="0"/>
      </c:catAx>
      <c:valAx>
        <c:axId val="3688591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Percentage Difference (%)</a:t>
                </a:r>
              </a:p>
            </c:rich>
          </c:tx>
          <c:layout>
            <c:manualLayout>
              <c:xMode val="edge"/>
              <c:yMode val="edge"/>
              <c:x val="4.1690409482771799E-2"/>
              <c:y val="0.3313217409590407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859448"/>
        <c:crosses val="autoZero"/>
        <c:crossBetween val="between"/>
        <c:majorUnit val="0.5"/>
        <c:min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Percentage Change of POPULATION of 'p' Scenarios from BAU Scenario</a:t>
            </a:r>
          </a:p>
        </c:rich>
      </c:tx>
      <c:layout>
        <c:manualLayout>
          <c:xMode val="edge"/>
          <c:yMode val="edge"/>
          <c:x val="0.13899935708756173"/>
          <c:y val="2.420445487044194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4999710992444"/>
          <c:y val="0.15271906846210273"/>
          <c:w val="0.77530756086541952"/>
          <c:h val="0.71547535902627191"/>
        </c:manualLayout>
      </c:layout>
      <c:lineChart>
        <c:grouping val="standard"/>
        <c:varyColors val="0"/>
        <c:ser>
          <c:idx val="1"/>
          <c:order val="0"/>
          <c:tx>
            <c:strRef>
              <c:f>Sheet1!$A$4</c:f>
              <c:strCache>
                <c:ptCount val="1"/>
                <c:pt idx="0">
                  <c:v>1P</c:v>
                </c:pt>
              </c:strCache>
            </c:strRef>
          </c:tx>
          <c:spPr>
            <a:ln w="6350" cap="rnd">
              <a:solidFill>
                <a:schemeClr val="accent5"/>
              </a:solidFill>
              <a:round/>
            </a:ln>
            <a:effectLst/>
          </c:spPr>
          <c:marker>
            <c:symbol val="square"/>
            <c:size val="6"/>
            <c:spPr>
              <a:solidFill>
                <a:schemeClr val="accent5"/>
              </a:solidFill>
              <a:ln w="9525">
                <a:solidFill>
                  <a:schemeClr val="accent5"/>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Sheet1!$B$4:$Q$4</c:f>
              <c:numCache>
                <c:formatCode>General</c:formatCode>
                <c:ptCount val="16"/>
                <c:pt idx="0">
                  <c:v>0</c:v>
                </c:pt>
                <c:pt idx="1">
                  <c:v>5.9176592318448519E-3</c:v>
                </c:pt>
                <c:pt idx="2">
                  <c:v>0.14895852652081312</c:v>
                </c:pt>
                <c:pt idx="3">
                  <c:v>0.29177327638819767</c:v>
                </c:pt>
                <c:pt idx="4">
                  <c:v>0.42670968731939829</c:v>
                </c:pt>
                <c:pt idx="5">
                  <c:v>0.55757781861692612</c:v>
                </c:pt>
                <c:pt idx="6">
                  <c:v>0.68868373082545253</c:v>
                </c:pt>
                <c:pt idx="7">
                  <c:v>0.81477213233461399</c:v>
                </c:pt>
                <c:pt idx="8">
                  <c:v>0.9440365911877604</c:v>
                </c:pt>
                <c:pt idx="9">
                  <c:v>1.071613991540971</c:v>
                </c:pt>
                <c:pt idx="10">
                  <c:v>1.2066097568087641</c:v>
                </c:pt>
                <c:pt idx="11">
                  <c:v>1.3404507360081337</c:v>
                </c:pt>
                <c:pt idx="12">
                  <c:v>1.4515946440270964</c:v>
                </c:pt>
                <c:pt idx="13">
                  <c:v>1.5512038896476612</c:v>
                </c:pt>
                <c:pt idx="14">
                  <c:v>1.6465014725959828</c:v>
                </c:pt>
                <c:pt idx="15">
                  <c:v>1.7395957570882581</c:v>
                </c:pt>
              </c:numCache>
            </c:numRef>
          </c:val>
          <c:smooth val="0"/>
          <c:extLst>
            <c:ext xmlns:c16="http://schemas.microsoft.com/office/drawing/2014/chart" uri="{C3380CC4-5D6E-409C-BE32-E72D297353CC}">
              <c16:uniqueId val="{00000000-4B03-439B-BA1F-188B7A1F099A}"/>
            </c:ext>
          </c:extLst>
        </c:ser>
        <c:ser>
          <c:idx val="3"/>
          <c:order val="1"/>
          <c:tx>
            <c:strRef>
              <c:f>Sheet1!$A$6</c:f>
              <c:strCache>
                <c:ptCount val="1"/>
                <c:pt idx="0">
                  <c:v>2P</c:v>
                </c:pt>
              </c:strCache>
            </c:strRef>
          </c:tx>
          <c:spPr>
            <a:ln w="6350" cap="rnd">
              <a:solidFill>
                <a:schemeClr val="accent6">
                  <a:lumMod val="60000"/>
                </a:schemeClr>
              </a:solidFill>
              <a:round/>
            </a:ln>
            <a:effectLst/>
          </c:spPr>
          <c:marker>
            <c:symbol val="x"/>
            <c:size val="6"/>
            <c:spPr>
              <a:noFill/>
              <a:ln w="9525">
                <a:solidFill>
                  <a:schemeClr val="accent6">
                    <a:lumMod val="6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Sheet1!$B$6:$Q$6</c:f>
              <c:numCache>
                <c:formatCode>General</c:formatCode>
                <c:ptCount val="16"/>
                <c:pt idx="0">
                  <c:v>0</c:v>
                </c:pt>
                <c:pt idx="1">
                  <c:v>5.5954678527174962E-3</c:v>
                </c:pt>
                <c:pt idx="2">
                  <c:v>0.1480902616263291</c:v>
                </c:pt>
                <c:pt idx="3">
                  <c:v>0.29034812184300263</c:v>
                </c:pt>
                <c:pt idx="4">
                  <c:v>0.42565898878366459</c:v>
                </c:pt>
                <c:pt idx="5">
                  <c:v>0.55565590822063593</c:v>
                </c:pt>
                <c:pt idx="6">
                  <c:v>0.68697874733628417</c:v>
                </c:pt>
                <c:pt idx="7">
                  <c:v>0.81240399772383198</c:v>
                </c:pt>
                <c:pt idx="8">
                  <c:v>0.94113867693626108</c:v>
                </c:pt>
                <c:pt idx="9">
                  <c:v>1.0684838845111</c:v>
                </c:pt>
                <c:pt idx="10">
                  <c:v>1.2022209549987417</c:v>
                </c:pt>
                <c:pt idx="11">
                  <c:v>1.3353379484379946</c:v>
                </c:pt>
                <c:pt idx="12">
                  <c:v>1.4456116453036048</c:v>
                </c:pt>
                <c:pt idx="13">
                  <c:v>1.5443993139652712</c:v>
                </c:pt>
                <c:pt idx="14">
                  <c:v>1.6382612923016424</c:v>
                </c:pt>
                <c:pt idx="15">
                  <c:v>1.7305446077916249</c:v>
                </c:pt>
              </c:numCache>
            </c:numRef>
          </c:val>
          <c:smooth val="0"/>
          <c:extLst>
            <c:ext xmlns:c16="http://schemas.microsoft.com/office/drawing/2014/chart" uri="{C3380CC4-5D6E-409C-BE32-E72D297353CC}">
              <c16:uniqueId val="{00000001-4B03-439B-BA1F-188B7A1F099A}"/>
            </c:ext>
          </c:extLst>
        </c:ser>
        <c:ser>
          <c:idx val="5"/>
          <c:order val="2"/>
          <c:tx>
            <c:strRef>
              <c:f>Sheet1!$A$8</c:f>
              <c:strCache>
                <c:ptCount val="1"/>
                <c:pt idx="0">
                  <c:v>3P</c:v>
                </c:pt>
              </c:strCache>
            </c:strRef>
          </c:tx>
          <c:spPr>
            <a:ln w="6350" cap="rnd">
              <a:solidFill>
                <a:schemeClr val="accent4">
                  <a:lumMod val="60000"/>
                </a:schemeClr>
              </a:solidFill>
              <a:round/>
            </a:ln>
            <a:effectLst/>
          </c:spPr>
          <c:marker>
            <c:symbol val="circle"/>
            <c:size val="6"/>
            <c:spPr>
              <a:solidFill>
                <a:schemeClr val="accent4">
                  <a:lumMod val="60000"/>
                </a:schemeClr>
              </a:solidFill>
              <a:ln w="9525">
                <a:solidFill>
                  <a:schemeClr val="accent4">
                    <a:lumMod val="6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Sheet1!$B$8:$Q$8</c:f>
              <c:numCache>
                <c:formatCode>General</c:formatCode>
                <c:ptCount val="16"/>
                <c:pt idx="0">
                  <c:v>0</c:v>
                </c:pt>
                <c:pt idx="1">
                  <c:v>5.8646397042145023E-3</c:v>
                </c:pt>
                <c:pt idx="2">
                  <c:v>0.14878455202571972</c:v>
                </c:pt>
                <c:pt idx="3">
                  <c:v>0.29123188272550798</c:v>
                </c:pt>
                <c:pt idx="4">
                  <c:v>0.42700728643962971</c:v>
                </c:pt>
                <c:pt idx="5">
                  <c:v>0.55835145744693826</c:v>
                </c:pt>
                <c:pt idx="6">
                  <c:v>0.69091370873995039</c:v>
                </c:pt>
                <c:pt idx="7">
                  <c:v>0.81835408530610609</c:v>
                </c:pt>
                <c:pt idx="8">
                  <c:v>0.94953193431990635</c:v>
                </c:pt>
                <c:pt idx="9">
                  <c:v>1.0789017952663442</c:v>
                </c:pt>
                <c:pt idx="10">
                  <c:v>1.2162666546877459</c:v>
                </c:pt>
                <c:pt idx="11">
                  <c:v>1.352569925779193</c:v>
                </c:pt>
                <c:pt idx="12">
                  <c:v>1.4671781953406611</c:v>
                </c:pt>
                <c:pt idx="13">
                  <c:v>1.5701094952508436</c:v>
                </c:pt>
                <c:pt idx="14">
                  <c:v>1.6689965938003679</c:v>
                </c:pt>
                <c:pt idx="15">
                  <c:v>1.7654074996408107</c:v>
                </c:pt>
              </c:numCache>
            </c:numRef>
          </c:val>
          <c:smooth val="0"/>
          <c:extLst>
            <c:ext xmlns:c16="http://schemas.microsoft.com/office/drawing/2014/chart" uri="{C3380CC4-5D6E-409C-BE32-E72D297353CC}">
              <c16:uniqueId val="{00000002-4B03-439B-BA1F-188B7A1F099A}"/>
            </c:ext>
          </c:extLst>
        </c:ser>
        <c:ser>
          <c:idx val="7"/>
          <c:order val="3"/>
          <c:tx>
            <c:strRef>
              <c:f>Sheet1!$A$10</c:f>
              <c:strCache>
                <c:ptCount val="1"/>
                <c:pt idx="0">
                  <c:v>4P</c:v>
                </c:pt>
              </c:strCache>
            </c:strRef>
          </c:tx>
          <c:spPr>
            <a:ln w="9525" cap="rnd">
              <a:solidFill>
                <a:schemeClr val="accent5">
                  <a:lumMod val="80000"/>
                  <a:lumOff val="20000"/>
                </a:schemeClr>
              </a:solidFill>
              <a:round/>
            </a:ln>
            <a:effectLst/>
          </c:spPr>
          <c:marker>
            <c:symbol val="dot"/>
            <c:size val="6"/>
            <c:spPr>
              <a:solidFill>
                <a:schemeClr val="accent5">
                  <a:lumMod val="80000"/>
                  <a:lumOff val="20000"/>
                </a:schemeClr>
              </a:solidFill>
              <a:ln w="9525">
                <a:solidFill>
                  <a:schemeClr val="accent5">
                    <a:lumMod val="80000"/>
                    <a:lumOff val="2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Sheet1!$B$10:$Q$10</c:f>
              <c:numCache>
                <c:formatCode>General</c:formatCode>
                <c:ptCount val="16"/>
                <c:pt idx="0">
                  <c:v>0</c:v>
                </c:pt>
                <c:pt idx="1">
                  <c:v>5.6073612206356911E-3</c:v>
                </c:pt>
                <c:pt idx="2">
                  <c:v>0.14824772453843024</c:v>
                </c:pt>
                <c:pt idx="3">
                  <c:v>0.29042360721281124</c:v>
                </c:pt>
                <c:pt idx="4">
                  <c:v>0.4263324849916787</c:v>
                </c:pt>
                <c:pt idx="5">
                  <c:v>0.55718764823432576</c:v>
                </c:pt>
                <c:pt idx="6">
                  <c:v>0.68993291060955808</c:v>
                </c:pt>
                <c:pt idx="7">
                  <c:v>0.81713599152551142</c:v>
                </c:pt>
                <c:pt idx="8">
                  <c:v>0.94749067431359768</c:v>
                </c:pt>
                <c:pt idx="9">
                  <c:v>1.0763807165478212</c:v>
                </c:pt>
                <c:pt idx="10">
                  <c:v>1.2131425555026538</c:v>
                </c:pt>
                <c:pt idx="11">
                  <c:v>1.3481695736825061</c:v>
                </c:pt>
                <c:pt idx="12">
                  <c:v>1.4618458913626116</c:v>
                </c:pt>
                <c:pt idx="13">
                  <c:v>1.5640938127032382</c:v>
                </c:pt>
                <c:pt idx="14">
                  <c:v>1.6607037991881841</c:v>
                </c:pt>
                <c:pt idx="15">
                  <c:v>1.7546134417151971</c:v>
                </c:pt>
              </c:numCache>
            </c:numRef>
          </c:val>
          <c:smooth val="0"/>
          <c:extLst>
            <c:ext xmlns:c16="http://schemas.microsoft.com/office/drawing/2014/chart" uri="{C3380CC4-5D6E-409C-BE32-E72D297353CC}">
              <c16:uniqueId val="{00000003-4B03-439B-BA1F-188B7A1F099A}"/>
            </c:ext>
          </c:extLst>
        </c:ser>
        <c:dLbls>
          <c:showLegendKey val="0"/>
          <c:showVal val="0"/>
          <c:showCatName val="0"/>
          <c:showSerName val="0"/>
          <c:showPercent val="0"/>
          <c:showBubbleSize val="0"/>
        </c:dLbls>
        <c:marker val="1"/>
        <c:smooth val="0"/>
        <c:axId val="368859448"/>
        <c:axId val="368859120"/>
      </c:lineChart>
      <c:catAx>
        <c:axId val="368859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Year</a:t>
                </a:r>
              </a:p>
            </c:rich>
          </c:tx>
          <c:layout>
            <c:manualLayout>
              <c:xMode val="edge"/>
              <c:yMode val="edge"/>
              <c:x val="0.50022698634147977"/>
              <c:y val="0.9392652148948117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859120"/>
        <c:crosses val="autoZero"/>
        <c:auto val="1"/>
        <c:lblAlgn val="ctr"/>
        <c:lblOffset val="100"/>
        <c:noMultiLvlLbl val="0"/>
      </c:catAx>
      <c:valAx>
        <c:axId val="3688591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Percentage Difference (%)</a:t>
                </a:r>
              </a:p>
            </c:rich>
          </c:tx>
          <c:layout>
            <c:manualLayout>
              <c:xMode val="edge"/>
              <c:yMode val="edge"/>
              <c:x val="4.1690409482771799E-2"/>
              <c:y val="0.3313217409590407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859448"/>
        <c:crosses val="autoZero"/>
        <c:crossBetween val="between"/>
        <c:majorUnit val="0.5"/>
        <c:min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Percentage Change of Employemnt of 'n' Scenarios from BAU Scenario</a:t>
            </a:r>
          </a:p>
        </c:rich>
      </c:tx>
      <c:layout>
        <c:manualLayout>
          <c:xMode val="edge"/>
          <c:yMode val="edge"/>
          <c:x val="0.13899935708756173"/>
          <c:y val="2.420445487044194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4999710992444"/>
          <c:y val="0.15271906846210273"/>
          <c:w val="0.77530756086541952"/>
          <c:h val="0.71547535902627191"/>
        </c:manualLayout>
      </c:layout>
      <c:lineChart>
        <c:grouping val="standard"/>
        <c:varyColors val="0"/>
        <c:ser>
          <c:idx val="0"/>
          <c:order val="0"/>
          <c:tx>
            <c:strRef>
              <c:f>Sheet1!$A$3</c:f>
              <c:strCache>
                <c:ptCount val="1"/>
                <c:pt idx="0">
                  <c:v>1N</c:v>
                </c:pt>
              </c:strCache>
            </c:strRef>
          </c:tx>
          <c:spPr>
            <a:ln w="3175" cap="rnd">
              <a:solidFill>
                <a:schemeClr val="accent6"/>
              </a:solidFill>
              <a:round/>
            </a:ln>
            <a:effectLst/>
          </c:spPr>
          <c:marker>
            <c:symbol val="diamond"/>
            <c:size val="6"/>
            <c:spPr>
              <a:solidFill>
                <a:schemeClr val="accent6"/>
              </a:solidFill>
              <a:ln w="3175">
                <a:solidFill>
                  <a:schemeClr val="accent6"/>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Sheet1!$B$15:$Q$15</c:f>
              <c:numCache>
                <c:formatCode>General</c:formatCode>
                <c:ptCount val="16"/>
                <c:pt idx="0">
                  <c:v>0</c:v>
                </c:pt>
                <c:pt idx="1">
                  <c:v>3.9718081077401962E-2</c:v>
                </c:pt>
                <c:pt idx="2">
                  <c:v>4.996250526237421E-2</c:v>
                </c:pt>
                <c:pt idx="3">
                  <c:v>5.6467788403011018E-2</c:v>
                </c:pt>
                <c:pt idx="4">
                  <c:v>6.3722850798924965E-2</c:v>
                </c:pt>
                <c:pt idx="5">
                  <c:v>9.4080512081519338E-2</c:v>
                </c:pt>
                <c:pt idx="6">
                  <c:v>0.10527489974779085</c:v>
                </c:pt>
                <c:pt idx="7">
                  <c:v>9.244344475254189E-2</c:v>
                </c:pt>
                <c:pt idx="8">
                  <c:v>9.5440338978593442E-2</c:v>
                </c:pt>
                <c:pt idx="9">
                  <c:v>9.3315521807283142E-2</c:v>
                </c:pt>
                <c:pt idx="10">
                  <c:v>9.7836388681891762E-2</c:v>
                </c:pt>
                <c:pt idx="11">
                  <c:v>0.38731635909661111</c:v>
                </c:pt>
                <c:pt idx="12">
                  <c:v>0.44664283664680693</c:v>
                </c:pt>
                <c:pt idx="13">
                  <c:v>0.48946257567505291</c:v>
                </c:pt>
                <c:pt idx="14">
                  <c:v>0.53020448691341893</c:v>
                </c:pt>
                <c:pt idx="15">
                  <c:v>0.56498417191443628</c:v>
                </c:pt>
              </c:numCache>
            </c:numRef>
          </c:val>
          <c:smooth val="0"/>
          <c:extLst>
            <c:ext xmlns:c16="http://schemas.microsoft.com/office/drawing/2014/chart" uri="{C3380CC4-5D6E-409C-BE32-E72D297353CC}">
              <c16:uniqueId val="{00000000-634B-4854-8FFF-9DB63AB03001}"/>
            </c:ext>
          </c:extLst>
        </c:ser>
        <c:ser>
          <c:idx val="2"/>
          <c:order val="1"/>
          <c:tx>
            <c:strRef>
              <c:f>Sheet1!$A$5</c:f>
              <c:strCache>
                <c:ptCount val="1"/>
                <c:pt idx="0">
                  <c:v>2N</c:v>
                </c:pt>
              </c:strCache>
            </c:strRef>
          </c:tx>
          <c:spPr>
            <a:ln w="3175" cap="rnd">
              <a:solidFill>
                <a:schemeClr val="accent4"/>
              </a:solidFill>
              <a:round/>
            </a:ln>
            <a:effectLst/>
          </c:spPr>
          <c:marker>
            <c:symbol val="triangle"/>
            <c:size val="6"/>
            <c:spPr>
              <a:solidFill>
                <a:schemeClr val="accent4"/>
              </a:solidFill>
              <a:ln w="3175">
                <a:solidFill>
                  <a:schemeClr val="accent4"/>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Sheet1!$B$17:$Q$17</c:f>
              <c:numCache>
                <c:formatCode>General</c:formatCode>
                <c:ptCount val="16"/>
                <c:pt idx="0">
                  <c:v>0</c:v>
                </c:pt>
                <c:pt idx="1">
                  <c:v>4.095915351770494E-2</c:v>
                </c:pt>
                <c:pt idx="2">
                  <c:v>5.2018234864681649E-2</c:v>
                </c:pt>
                <c:pt idx="3">
                  <c:v>5.5197605223497925E-2</c:v>
                </c:pt>
                <c:pt idx="4">
                  <c:v>6.2144107047436704E-2</c:v>
                </c:pt>
                <c:pt idx="5">
                  <c:v>9.3565297404058057E-2</c:v>
                </c:pt>
                <c:pt idx="6">
                  <c:v>0.10498674901169046</c:v>
                </c:pt>
                <c:pt idx="7">
                  <c:v>8.9472919439084184E-2</c:v>
                </c:pt>
                <c:pt idx="8">
                  <c:v>9.1834849765335208E-2</c:v>
                </c:pt>
                <c:pt idx="9">
                  <c:v>8.5181453408506635E-2</c:v>
                </c:pt>
                <c:pt idx="10">
                  <c:v>8.825515189102634E-2</c:v>
                </c:pt>
                <c:pt idx="11">
                  <c:v>0.37478894218405429</c:v>
                </c:pt>
                <c:pt idx="12">
                  <c:v>0.43161747866086003</c:v>
                </c:pt>
                <c:pt idx="13">
                  <c:v>0.46612466825096743</c:v>
                </c:pt>
                <c:pt idx="14">
                  <c:v>0.50348675499625239</c:v>
                </c:pt>
                <c:pt idx="15">
                  <c:v>0.52992924883551884</c:v>
                </c:pt>
              </c:numCache>
            </c:numRef>
          </c:val>
          <c:smooth val="0"/>
          <c:extLst>
            <c:ext xmlns:c16="http://schemas.microsoft.com/office/drawing/2014/chart" uri="{C3380CC4-5D6E-409C-BE32-E72D297353CC}">
              <c16:uniqueId val="{00000001-634B-4854-8FFF-9DB63AB03001}"/>
            </c:ext>
          </c:extLst>
        </c:ser>
        <c:ser>
          <c:idx val="4"/>
          <c:order val="2"/>
          <c:tx>
            <c:strRef>
              <c:f>Sheet1!$A$7</c:f>
              <c:strCache>
                <c:ptCount val="1"/>
                <c:pt idx="0">
                  <c:v>3N</c:v>
                </c:pt>
              </c:strCache>
            </c:strRef>
          </c:tx>
          <c:spPr>
            <a:ln w="3175" cap="rnd">
              <a:solidFill>
                <a:schemeClr val="accent5">
                  <a:lumMod val="60000"/>
                </a:schemeClr>
              </a:solidFill>
              <a:round/>
            </a:ln>
            <a:effectLst/>
          </c:spPr>
          <c:marker>
            <c:symbol val="star"/>
            <c:size val="6"/>
            <c:spPr>
              <a:noFill/>
              <a:ln w="3175">
                <a:solidFill>
                  <a:schemeClr val="accent5">
                    <a:lumMod val="6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Sheet1!$B$19:$Q$19</c:f>
              <c:numCache>
                <c:formatCode>General</c:formatCode>
                <c:ptCount val="16"/>
                <c:pt idx="0">
                  <c:v>0</c:v>
                </c:pt>
                <c:pt idx="1">
                  <c:v>3.9728743213144631E-2</c:v>
                </c:pt>
                <c:pt idx="2">
                  <c:v>4.9961973378873356E-2</c:v>
                </c:pt>
                <c:pt idx="3">
                  <c:v>6.402957867798896E-2</c:v>
                </c:pt>
                <c:pt idx="4">
                  <c:v>7.3632000082499621E-2</c:v>
                </c:pt>
                <c:pt idx="5">
                  <c:v>0.11236189968073972</c:v>
                </c:pt>
                <c:pt idx="6">
                  <c:v>0.12714389330273487</c:v>
                </c:pt>
                <c:pt idx="7">
                  <c:v>0.11884535810616106</c:v>
                </c:pt>
                <c:pt idx="8">
                  <c:v>0.12478650776267199</c:v>
                </c:pt>
                <c:pt idx="9">
                  <c:v>0.12599669275983741</c:v>
                </c:pt>
                <c:pt idx="10">
                  <c:v>0.13430466720196296</c:v>
                </c:pt>
                <c:pt idx="11">
                  <c:v>0.42797292046541696</c:v>
                </c:pt>
                <c:pt idx="12">
                  <c:v>0.49019953769234631</c:v>
                </c:pt>
                <c:pt idx="13">
                  <c:v>0.52721191293541825</c:v>
                </c:pt>
                <c:pt idx="14">
                  <c:v>0.56715789925910221</c:v>
                </c:pt>
                <c:pt idx="15">
                  <c:v>0.59676251796735624</c:v>
                </c:pt>
              </c:numCache>
            </c:numRef>
          </c:val>
          <c:smooth val="0"/>
          <c:extLst>
            <c:ext xmlns:c16="http://schemas.microsoft.com/office/drawing/2014/chart" uri="{C3380CC4-5D6E-409C-BE32-E72D297353CC}">
              <c16:uniqueId val="{00000002-634B-4854-8FFF-9DB63AB03001}"/>
            </c:ext>
          </c:extLst>
        </c:ser>
        <c:ser>
          <c:idx val="6"/>
          <c:order val="3"/>
          <c:tx>
            <c:strRef>
              <c:f>Sheet1!$A$9</c:f>
              <c:strCache>
                <c:ptCount val="1"/>
                <c:pt idx="0">
                  <c:v>4N</c:v>
                </c:pt>
              </c:strCache>
            </c:strRef>
          </c:tx>
          <c:spPr>
            <a:ln w="3175" cap="rnd">
              <a:solidFill>
                <a:schemeClr val="accent6">
                  <a:lumMod val="80000"/>
                  <a:lumOff val="20000"/>
                </a:schemeClr>
              </a:solidFill>
              <a:round/>
            </a:ln>
            <a:effectLst/>
          </c:spPr>
          <c:marker>
            <c:symbol val="plus"/>
            <c:size val="6"/>
            <c:spPr>
              <a:noFill/>
              <a:ln w="3175">
                <a:solidFill>
                  <a:schemeClr val="accent6">
                    <a:lumMod val="80000"/>
                    <a:lumOff val="2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Sheet1!$B$21:$Q$21</c:f>
              <c:numCache>
                <c:formatCode>General</c:formatCode>
                <c:ptCount val="16"/>
                <c:pt idx="0">
                  <c:v>0</c:v>
                </c:pt>
                <c:pt idx="1">
                  <c:v>4.0967150119510291E-2</c:v>
                </c:pt>
                <c:pt idx="2">
                  <c:v>5.1921432068568148E-2</c:v>
                </c:pt>
                <c:pt idx="3">
                  <c:v>6.5183277830373296E-2</c:v>
                </c:pt>
                <c:pt idx="4">
                  <c:v>7.5167018733761748E-2</c:v>
                </c:pt>
                <c:pt idx="5">
                  <c:v>0.11229114059576856</c:v>
                </c:pt>
                <c:pt idx="6">
                  <c:v>0.12677430872990114</c:v>
                </c:pt>
                <c:pt idx="7">
                  <c:v>0.11485566838955431</c:v>
                </c:pt>
                <c:pt idx="8">
                  <c:v>0.12050557500196155</c:v>
                </c:pt>
                <c:pt idx="9">
                  <c:v>0.11678424651447744</c:v>
                </c:pt>
                <c:pt idx="10">
                  <c:v>0.1239169170074834</c:v>
                </c:pt>
                <c:pt idx="11">
                  <c:v>0.41218712485483999</c:v>
                </c:pt>
                <c:pt idx="12">
                  <c:v>0.47135752047733026</c:v>
                </c:pt>
                <c:pt idx="13">
                  <c:v>0.49662223142231787</c:v>
                </c:pt>
                <c:pt idx="14">
                  <c:v>0.5334343596026988</c:v>
                </c:pt>
                <c:pt idx="15">
                  <c:v>0.55105817495539922</c:v>
                </c:pt>
              </c:numCache>
            </c:numRef>
          </c:val>
          <c:smooth val="0"/>
          <c:extLst>
            <c:ext xmlns:c16="http://schemas.microsoft.com/office/drawing/2014/chart" uri="{C3380CC4-5D6E-409C-BE32-E72D297353CC}">
              <c16:uniqueId val="{00000003-634B-4854-8FFF-9DB63AB03001}"/>
            </c:ext>
          </c:extLst>
        </c:ser>
        <c:dLbls>
          <c:showLegendKey val="0"/>
          <c:showVal val="0"/>
          <c:showCatName val="0"/>
          <c:showSerName val="0"/>
          <c:showPercent val="0"/>
          <c:showBubbleSize val="0"/>
        </c:dLbls>
        <c:marker val="1"/>
        <c:smooth val="0"/>
        <c:axId val="368859448"/>
        <c:axId val="368859120"/>
      </c:lineChart>
      <c:catAx>
        <c:axId val="368859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Year</a:t>
                </a:r>
              </a:p>
            </c:rich>
          </c:tx>
          <c:layout>
            <c:manualLayout>
              <c:xMode val="edge"/>
              <c:yMode val="edge"/>
              <c:x val="0.50022698634147977"/>
              <c:y val="0.9392652148948117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859120"/>
        <c:crosses val="autoZero"/>
        <c:auto val="1"/>
        <c:lblAlgn val="ctr"/>
        <c:lblOffset val="100"/>
        <c:noMultiLvlLbl val="0"/>
      </c:catAx>
      <c:valAx>
        <c:axId val="3688591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Percentage Difference (%)</a:t>
                </a:r>
              </a:p>
            </c:rich>
          </c:tx>
          <c:layout>
            <c:manualLayout>
              <c:xMode val="edge"/>
              <c:yMode val="edge"/>
              <c:x val="4.1690409482771799E-2"/>
              <c:y val="0.3313217409590407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859448"/>
        <c:crosses val="autoZero"/>
        <c:crossBetween val="between"/>
        <c:majorUnit val="0.5"/>
        <c:min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Percentage Change of employment of 'p' Scenarios from BAU Scenario</a:t>
            </a:r>
          </a:p>
        </c:rich>
      </c:tx>
      <c:layout>
        <c:manualLayout>
          <c:xMode val="edge"/>
          <c:yMode val="edge"/>
          <c:x val="0.13899935708756173"/>
          <c:y val="2.4204454870441948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4999710992444"/>
          <c:y val="0.15271906846210273"/>
          <c:w val="0.77530756086541952"/>
          <c:h val="0.71547535902627191"/>
        </c:manualLayout>
      </c:layout>
      <c:lineChart>
        <c:grouping val="standard"/>
        <c:varyColors val="0"/>
        <c:ser>
          <c:idx val="1"/>
          <c:order val="0"/>
          <c:tx>
            <c:strRef>
              <c:f>Sheet1!$A$4</c:f>
              <c:strCache>
                <c:ptCount val="1"/>
                <c:pt idx="0">
                  <c:v>1P</c:v>
                </c:pt>
              </c:strCache>
            </c:strRef>
          </c:tx>
          <c:spPr>
            <a:ln w="3175" cap="rnd">
              <a:solidFill>
                <a:schemeClr val="accent5"/>
              </a:solidFill>
              <a:round/>
            </a:ln>
            <a:effectLst/>
          </c:spPr>
          <c:marker>
            <c:symbol val="square"/>
            <c:size val="6"/>
            <c:spPr>
              <a:solidFill>
                <a:schemeClr val="accent5"/>
              </a:solidFill>
              <a:ln w="3175">
                <a:solidFill>
                  <a:schemeClr val="accent5"/>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Sheet1!$B$16:$Q$16</c:f>
              <c:numCache>
                <c:formatCode>General</c:formatCode>
                <c:ptCount val="16"/>
                <c:pt idx="0">
                  <c:v>0</c:v>
                </c:pt>
                <c:pt idx="1">
                  <c:v>1.1167107223365396</c:v>
                </c:pt>
                <c:pt idx="2">
                  <c:v>1.3446543879407684</c:v>
                </c:pt>
                <c:pt idx="3">
                  <c:v>1.4999567594694709</c:v>
                </c:pt>
                <c:pt idx="4">
                  <c:v>1.6620976676265757</c:v>
                </c:pt>
                <c:pt idx="5">
                  <c:v>1.8912015013194303</c:v>
                </c:pt>
                <c:pt idx="6">
                  <c:v>2.066713666451693</c:v>
                </c:pt>
                <c:pt idx="7">
                  <c:v>2.25134622453997</c:v>
                </c:pt>
                <c:pt idx="8">
                  <c:v>2.4259658829517425</c:v>
                </c:pt>
                <c:pt idx="9">
                  <c:v>2.643616787885736</c:v>
                </c:pt>
                <c:pt idx="10">
                  <c:v>2.8313236372668427</c:v>
                </c:pt>
                <c:pt idx="11">
                  <c:v>2.9556913735061898</c:v>
                </c:pt>
                <c:pt idx="12">
                  <c:v>3.0430378838076995</c:v>
                </c:pt>
                <c:pt idx="13">
                  <c:v>3.1389971120026172</c:v>
                </c:pt>
                <c:pt idx="14">
                  <c:v>3.2362581496026768</c:v>
                </c:pt>
                <c:pt idx="15">
                  <c:v>3.3288289023039646</c:v>
                </c:pt>
              </c:numCache>
            </c:numRef>
          </c:val>
          <c:smooth val="0"/>
          <c:extLst>
            <c:ext xmlns:c16="http://schemas.microsoft.com/office/drawing/2014/chart" uri="{C3380CC4-5D6E-409C-BE32-E72D297353CC}">
              <c16:uniqueId val="{00000000-939A-49C6-83AC-3340F7AEFA95}"/>
            </c:ext>
          </c:extLst>
        </c:ser>
        <c:ser>
          <c:idx val="3"/>
          <c:order val="1"/>
          <c:tx>
            <c:strRef>
              <c:f>Sheet1!$A$6</c:f>
              <c:strCache>
                <c:ptCount val="1"/>
                <c:pt idx="0">
                  <c:v>2P</c:v>
                </c:pt>
              </c:strCache>
            </c:strRef>
          </c:tx>
          <c:spPr>
            <a:ln w="3175" cap="rnd">
              <a:solidFill>
                <a:schemeClr val="accent6">
                  <a:lumMod val="60000"/>
                </a:schemeClr>
              </a:solidFill>
              <a:round/>
            </a:ln>
            <a:effectLst/>
          </c:spPr>
          <c:marker>
            <c:symbol val="x"/>
            <c:size val="6"/>
            <c:spPr>
              <a:noFill/>
              <a:ln w="3175">
                <a:solidFill>
                  <a:schemeClr val="accent6">
                    <a:lumMod val="6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Sheet1!$B$18:$Q$18</c:f>
              <c:numCache>
                <c:formatCode>General</c:formatCode>
                <c:ptCount val="16"/>
                <c:pt idx="0">
                  <c:v>0</c:v>
                </c:pt>
                <c:pt idx="1">
                  <c:v>1.1186448343463469</c:v>
                </c:pt>
                <c:pt idx="2">
                  <c:v>1.3470983930263949</c:v>
                </c:pt>
                <c:pt idx="3">
                  <c:v>1.50350892588339</c:v>
                </c:pt>
                <c:pt idx="4">
                  <c:v>1.6651692874640376</c:v>
                </c:pt>
                <c:pt idx="5">
                  <c:v>1.897218425122188</c:v>
                </c:pt>
                <c:pt idx="6">
                  <c:v>2.0740771077881321</c:v>
                </c:pt>
                <c:pt idx="7">
                  <c:v>2.2596458726752222</c:v>
                </c:pt>
                <c:pt idx="8">
                  <c:v>2.43447158142938</c:v>
                </c:pt>
                <c:pt idx="9">
                  <c:v>2.6541377186057336</c:v>
                </c:pt>
                <c:pt idx="10">
                  <c:v>2.8422281476303932</c:v>
                </c:pt>
                <c:pt idx="11">
                  <c:v>2.96767080510058</c:v>
                </c:pt>
                <c:pt idx="12">
                  <c:v>3.0546889188493425</c:v>
                </c:pt>
                <c:pt idx="13">
                  <c:v>3.1479750017986792</c:v>
                </c:pt>
                <c:pt idx="14">
                  <c:v>3.2453366470698084</c:v>
                </c:pt>
                <c:pt idx="15">
                  <c:v>3.3370420108621541</c:v>
                </c:pt>
              </c:numCache>
            </c:numRef>
          </c:val>
          <c:smooth val="0"/>
          <c:extLst>
            <c:ext xmlns:c16="http://schemas.microsoft.com/office/drawing/2014/chart" uri="{C3380CC4-5D6E-409C-BE32-E72D297353CC}">
              <c16:uniqueId val="{00000001-939A-49C6-83AC-3340F7AEFA95}"/>
            </c:ext>
          </c:extLst>
        </c:ser>
        <c:ser>
          <c:idx val="5"/>
          <c:order val="2"/>
          <c:tx>
            <c:strRef>
              <c:f>Sheet1!$A$8</c:f>
              <c:strCache>
                <c:ptCount val="1"/>
                <c:pt idx="0">
                  <c:v>3P</c:v>
                </c:pt>
              </c:strCache>
            </c:strRef>
          </c:tx>
          <c:spPr>
            <a:ln w="3175" cap="rnd">
              <a:solidFill>
                <a:schemeClr val="accent4">
                  <a:lumMod val="60000"/>
                </a:schemeClr>
              </a:solidFill>
              <a:round/>
            </a:ln>
            <a:effectLst/>
          </c:spPr>
          <c:marker>
            <c:symbol val="circle"/>
            <c:size val="6"/>
            <c:spPr>
              <a:solidFill>
                <a:schemeClr val="accent4">
                  <a:lumMod val="60000"/>
                </a:schemeClr>
              </a:solidFill>
              <a:ln w="3175">
                <a:solidFill>
                  <a:schemeClr val="accent4">
                    <a:lumMod val="6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Sheet1!$B$20:$Q$20</c:f>
              <c:numCache>
                <c:formatCode>General</c:formatCode>
                <c:ptCount val="16"/>
                <c:pt idx="0">
                  <c:v>0</c:v>
                </c:pt>
                <c:pt idx="1">
                  <c:v>1.1167107223365396</c:v>
                </c:pt>
                <c:pt idx="2">
                  <c:v>1.3445097155768986</c:v>
                </c:pt>
                <c:pt idx="3">
                  <c:v>1.5094929173681497</c:v>
                </c:pt>
                <c:pt idx="4">
                  <c:v>1.6734164647851972</c:v>
                </c:pt>
                <c:pt idx="5">
                  <c:v>1.9132508050957775</c:v>
                </c:pt>
                <c:pt idx="6">
                  <c:v>2.0938904363040853</c:v>
                </c:pt>
                <c:pt idx="7">
                  <c:v>2.2882642231054056</c:v>
                </c:pt>
                <c:pt idx="8">
                  <c:v>2.4675376323946976</c:v>
                </c:pt>
                <c:pt idx="9">
                  <c:v>2.6954521490511114</c:v>
                </c:pt>
                <c:pt idx="10">
                  <c:v>2.8893060191081026</c:v>
                </c:pt>
                <c:pt idx="11">
                  <c:v>3.0254655193860538</c:v>
                </c:pt>
                <c:pt idx="12">
                  <c:v>3.1201943733592592</c:v>
                </c:pt>
                <c:pt idx="13">
                  <c:v>3.2222234821400941</c:v>
                </c:pt>
                <c:pt idx="14">
                  <c:v>3.3250951832606832</c:v>
                </c:pt>
                <c:pt idx="15">
                  <c:v>3.4238006597929513</c:v>
                </c:pt>
              </c:numCache>
            </c:numRef>
          </c:val>
          <c:smooth val="0"/>
          <c:extLst>
            <c:ext xmlns:c16="http://schemas.microsoft.com/office/drawing/2014/chart" uri="{C3380CC4-5D6E-409C-BE32-E72D297353CC}">
              <c16:uniqueId val="{00000002-939A-49C6-83AC-3340F7AEFA95}"/>
            </c:ext>
          </c:extLst>
        </c:ser>
        <c:ser>
          <c:idx val="7"/>
          <c:order val="3"/>
          <c:tx>
            <c:strRef>
              <c:f>Sheet1!$A$10</c:f>
              <c:strCache>
                <c:ptCount val="1"/>
                <c:pt idx="0">
                  <c:v>4P</c:v>
                </c:pt>
              </c:strCache>
            </c:strRef>
          </c:tx>
          <c:spPr>
            <a:ln w="3175" cap="rnd">
              <a:solidFill>
                <a:schemeClr val="accent5">
                  <a:lumMod val="80000"/>
                  <a:lumOff val="20000"/>
                </a:schemeClr>
              </a:solidFill>
              <a:round/>
            </a:ln>
            <a:effectLst/>
          </c:spPr>
          <c:marker>
            <c:symbol val="dot"/>
            <c:size val="6"/>
            <c:spPr>
              <a:solidFill>
                <a:schemeClr val="accent5">
                  <a:lumMod val="80000"/>
                  <a:lumOff val="20000"/>
                </a:schemeClr>
              </a:solidFill>
              <a:ln w="3175">
                <a:solidFill>
                  <a:schemeClr val="accent5">
                    <a:lumMod val="80000"/>
                    <a:lumOff val="20000"/>
                  </a:schemeClr>
                </a:solidFill>
                <a:round/>
              </a:ln>
              <a:effectLst/>
            </c:spPr>
          </c:marker>
          <c:cat>
            <c:numRef>
              <c:f>Sheet1!$B$2:$Q$2</c:f>
              <c:numCache>
                <c:formatCode>General</c:formatCode>
                <c:ptCount val="16"/>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numCache>
            </c:numRef>
          </c:cat>
          <c:val>
            <c:numRef>
              <c:f>Sheet1!$B$22:$Q$22</c:f>
              <c:numCache>
                <c:formatCode>General</c:formatCode>
                <c:ptCount val="16"/>
                <c:pt idx="0">
                  <c:v>0</c:v>
                </c:pt>
                <c:pt idx="1">
                  <c:v>1.1186485660938559</c:v>
                </c:pt>
                <c:pt idx="2">
                  <c:v>1.3471031799778572</c:v>
                </c:pt>
                <c:pt idx="3">
                  <c:v>1.5138795181850451</c:v>
                </c:pt>
                <c:pt idx="4">
                  <c:v>1.6786641884857432</c:v>
                </c:pt>
                <c:pt idx="5">
                  <c:v>1.9208846461274929</c:v>
                </c:pt>
                <c:pt idx="6">
                  <c:v>2.1023208601937955</c:v>
                </c:pt>
                <c:pt idx="7">
                  <c:v>2.2976778155837376</c:v>
                </c:pt>
                <c:pt idx="8">
                  <c:v>2.4777966742824638</c:v>
                </c:pt>
                <c:pt idx="9">
                  <c:v>2.7067932896973383</c:v>
                </c:pt>
                <c:pt idx="10">
                  <c:v>2.901721962899602</c:v>
                </c:pt>
                <c:pt idx="11">
                  <c:v>3.0370272485355709</c:v>
                </c:pt>
                <c:pt idx="12">
                  <c:v>3.1313267580483695</c:v>
                </c:pt>
                <c:pt idx="13">
                  <c:v>3.2287925153978039</c:v>
                </c:pt>
                <c:pt idx="14">
                  <c:v>3.3308657794094518</c:v>
                </c:pt>
                <c:pt idx="15">
                  <c:v>3.4258071059286714</c:v>
                </c:pt>
              </c:numCache>
            </c:numRef>
          </c:val>
          <c:smooth val="0"/>
          <c:extLst>
            <c:ext xmlns:c16="http://schemas.microsoft.com/office/drawing/2014/chart" uri="{C3380CC4-5D6E-409C-BE32-E72D297353CC}">
              <c16:uniqueId val="{00000003-939A-49C6-83AC-3340F7AEFA95}"/>
            </c:ext>
          </c:extLst>
        </c:ser>
        <c:dLbls>
          <c:showLegendKey val="0"/>
          <c:showVal val="0"/>
          <c:showCatName val="0"/>
          <c:showSerName val="0"/>
          <c:showPercent val="0"/>
          <c:showBubbleSize val="0"/>
        </c:dLbls>
        <c:marker val="1"/>
        <c:smooth val="0"/>
        <c:axId val="368859448"/>
        <c:axId val="368859120"/>
      </c:lineChart>
      <c:catAx>
        <c:axId val="3688594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Year</a:t>
                </a:r>
              </a:p>
            </c:rich>
          </c:tx>
          <c:layout>
            <c:manualLayout>
              <c:xMode val="edge"/>
              <c:yMode val="edge"/>
              <c:x val="0.50022698634147977"/>
              <c:y val="0.93926521489481174"/>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859120"/>
        <c:crosses val="autoZero"/>
        <c:auto val="1"/>
        <c:lblAlgn val="ctr"/>
        <c:lblOffset val="100"/>
        <c:noMultiLvlLbl val="0"/>
      </c:catAx>
      <c:valAx>
        <c:axId val="3688591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Percentage Difference (%)</a:t>
                </a:r>
              </a:p>
            </c:rich>
          </c:tx>
          <c:layout>
            <c:manualLayout>
              <c:xMode val="edge"/>
              <c:yMode val="edge"/>
              <c:x val="4.1690409482771799E-2"/>
              <c:y val="0.3313217409590407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859448"/>
        <c:crosses val="autoZero"/>
        <c:crossBetween val="between"/>
        <c:majorUnit val="0.5"/>
        <c:min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Employment Density in Birmingham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'EMPLOYMENT DEN'!$A$2</c:f>
              <c:strCache>
                <c:ptCount val="1"/>
                <c:pt idx="0">
                  <c:v>BAU</c:v>
                </c:pt>
              </c:strCache>
            </c:strRef>
          </c:tx>
          <c:spPr>
            <a:ln w="12700" cap="rnd">
              <a:solidFill>
                <a:schemeClr val="accent1">
                  <a:alpha val="30000"/>
                </a:schemeClr>
              </a:solidFill>
              <a:round/>
            </a:ln>
            <a:effectLst/>
          </c:spPr>
          <c:marker>
            <c:symbol val="square"/>
            <c:size val="5"/>
            <c:spPr>
              <a:solidFill>
                <a:schemeClr val="accent1"/>
              </a:solidFill>
              <a:ln w="9525">
                <a:solidFill>
                  <a:schemeClr val="accent1"/>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DEN'!$L$2:$AB$2</c:f>
              <c:numCache>
                <c:formatCode>General</c:formatCode>
                <c:ptCount val="17"/>
                <c:pt idx="0">
                  <c:v>3.7503842665615146</c:v>
                </c:pt>
                <c:pt idx="1">
                  <c:v>3.761360797240394</c:v>
                </c:pt>
                <c:pt idx="2">
                  <c:v>3.7694319183735669</c:v>
                </c:pt>
                <c:pt idx="3">
                  <c:v>3.7777953284090704</c:v>
                </c:pt>
                <c:pt idx="4">
                  <c:v>3.7846443353645713</c:v>
                </c:pt>
                <c:pt idx="5">
                  <c:v>3.7922734056029297</c:v>
                </c:pt>
                <c:pt idx="6">
                  <c:v>3.8008605812598399</c:v>
                </c:pt>
                <c:pt idx="7">
                  <c:v>3.8097404069291421</c:v>
                </c:pt>
                <c:pt idx="8">
                  <c:v>3.8191052208614162</c:v>
                </c:pt>
                <c:pt idx="9">
                  <c:v>3.8285411630096413</c:v>
                </c:pt>
                <c:pt idx="10">
                  <c:v>3.8359955817999638</c:v>
                </c:pt>
                <c:pt idx="11">
                  <c:v>3.844318403186211</c:v>
                </c:pt>
                <c:pt idx="12">
                  <c:v>3.8365254157439099</c:v>
                </c:pt>
                <c:pt idx="13">
                  <c:v>3.8305093437230795</c:v>
                </c:pt>
                <c:pt idx="14">
                  <c:v>3.8236703068284332</c:v>
                </c:pt>
                <c:pt idx="15">
                  <c:v>3.8130729674269945</c:v>
                </c:pt>
                <c:pt idx="16">
                  <c:v>3.8042087666044542</c:v>
                </c:pt>
              </c:numCache>
            </c:numRef>
          </c:val>
          <c:smooth val="0"/>
          <c:extLst>
            <c:ext xmlns:c16="http://schemas.microsoft.com/office/drawing/2014/chart" uri="{C3380CC4-5D6E-409C-BE32-E72D297353CC}">
              <c16:uniqueId val="{00000000-FBCB-4ADC-8A8E-C0954B267CAE}"/>
            </c:ext>
          </c:extLst>
        </c:ser>
        <c:ser>
          <c:idx val="1"/>
          <c:order val="1"/>
          <c:tx>
            <c:strRef>
              <c:f>'EMPLOYMENT DEN'!$A$3</c:f>
              <c:strCache>
                <c:ptCount val="1"/>
                <c:pt idx="0">
                  <c:v>1N</c:v>
                </c:pt>
              </c:strCache>
            </c:strRef>
          </c:tx>
          <c:spPr>
            <a:ln w="12700" cap="rnd">
              <a:solidFill>
                <a:schemeClr val="accent2">
                  <a:alpha val="20000"/>
                </a:schemeClr>
              </a:solidFill>
              <a:round/>
            </a:ln>
            <a:effectLst/>
          </c:spPr>
          <c:marker>
            <c:symbol val="square"/>
            <c:size val="5"/>
            <c:spPr>
              <a:solidFill>
                <a:schemeClr val="accent2"/>
              </a:solidFill>
              <a:ln w="9525">
                <a:solidFill>
                  <a:schemeClr val="accent2"/>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DEN'!$L$3:$AB$3</c:f>
              <c:numCache>
                <c:formatCode>General</c:formatCode>
                <c:ptCount val="17"/>
                <c:pt idx="0">
                  <c:v>3.7503842665615146</c:v>
                </c:pt>
                <c:pt idx="1">
                  <c:v>3.761360797240394</c:v>
                </c:pt>
                <c:pt idx="2">
                  <c:v>3.7691954893183488</c:v>
                </c:pt>
                <c:pt idx="3">
                  <c:v>3.7775256424185462</c:v>
                </c:pt>
                <c:pt idx="4">
                  <c:v>3.7843531897117693</c:v>
                </c:pt>
                <c:pt idx="5">
                  <c:v>3.7919728051874122</c:v>
                </c:pt>
                <c:pt idx="6">
                  <c:v>3.800580213949285</c:v>
                </c:pt>
                <c:pt idx="7">
                  <c:v>3.8094301407257998</c:v>
                </c:pt>
                <c:pt idx="8">
                  <c:v>3.8187991586821615</c:v>
                </c:pt>
                <c:pt idx="9">
                  <c:v>3.8282251530637965</c:v>
                </c:pt>
                <c:pt idx="10">
                  <c:v>3.835698200231267</c:v>
                </c:pt>
                <c:pt idx="11">
                  <c:v>3.8440241317359036</c:v>
                </c:pt>
                <c:pt idx="12">
                  <c:v>3.8353580987311209</c:v>
                </c:pt>
                <c:pt idx="13">
                  <c:v>3.8291624428133022</c:v>
                </c:pt>
                <c:pt idx="14">
                  <c:v>3.8222160526178146</c:v>
                </c:pt>
                <c:pt idx="15">
                  <c:v>3.8114996654826419</c:v>
                </c:pt>
                <c:pt idx="16">
                  <c:v>3.802548960221396</c:v>
                </c:pt>
              </c:numCache>
            </c:numRef>
          </c:val>
          <c:smooth val="0"/>
          <c:extLst>
            <c:ext xmlns:c16="http://schemas.microsoft.com/office/drawing/2014/chart" uri="{C3380CC4-5D6E-409C-BE32-E72D297353CC}">
              <c16:uniqueId val="{00000001-FBCB-4ADC-8A8E-C0954B267CAE}"/>
            </c:ext>
          </c:extLst>
        </c:ser>
        <c:ser>
          <c:idx val="2"/>
          <c:order val="2"/>
          <c:tx>
            <c:strRef>
              <c:f>'EMPLOYMENT DEN'!$A$4</c:f>
              <c:strCache>
                <c:ptCount val="1"/>
                <c:pt idx="0">
                  <c:v>1P</c:v>
                </c:pt>
              </c:strCache>
            </c:strRef>
          </c:tx>
          <c:spPr>
            <a:ln w="12700" cap="rnd">
              <a:solidFill>
                <a:schemeClr val="tx2">
                  <a:alpha val="20000"/>
                </a:schemeClr>
              </a:solidFill>
              <a:round/>
            </a:ln>
            <a:effectLst/>
          </c:spPr>
          <c:marker>
            <c:symbol val="square"/>
            <c:size val="5"/>
            <c:spPr>
              <a:solidFill>
                <a:schemeClr val="accent3"/>
              </a:solidFill>
              <a:ln w="9525">
                <a:solidFill>
                  <a:schemeClr val="accent3"/>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DEN'!$L$4:$AB$4</c:f>
              <c:numCache>
                <c:formatCode>General</c:formatCode>
                <c:ptCount val="17"/>
                <c:pt idx="0">
                  <c:v>3.7503842665615146</c:v>
                </c:pt>
                <c:pt idx="1">
                  <c:v>3.761360797240394</c:v>
                </c:pt>
                <c:pt idx="2">
                  <c:v>3.7694319183735669</c:v>
                </c:pt>
                <c:pt idx="3">
                  <c:v>3.7777953284090704</c:v>
                </c:pt>
                <c:pt idx="4">
                  <c:v>3.7846443353645713</c:v>
                </c:pt>
                <c:pt idx="5">
                  <c:v>3.7922734056029297</c:v>
                </c:pt>
                <c:pt idx="6">
                  <c:v>3.8008605812598399</c:v>
                </c:pt>
                <c:pt idx="7">
                  <c:v>3.8097404069291421</c:v>
                </c:pt>
                <c:pt idx="8">
                  <c:v>3.8191052208614162</c:v>
                </c:pt>
                <c:pt idx="9">
                  <c:v>3.8285411630096413</c:v>
                </c:pt>
                <c:pt idx="10">
                  <c:v>3.8359955817999638</c:v>
                </c:pt>
                <c:pt idx="11">
                  <c:v>3.844318403186211</c:v>
                </c:pt>
                <c:pt idx="12">
                  <c:v>3.8365254157439099</c:v>
                </c:pt>
                <c:pt idx="13">
                  <c:v>3.8305093437230795</c:v>
                </c:pt>
                <c:pt idx="14">
                  <c:v>3.8236703068284332</c:v>
                </c:pt>
                <c:pt idx="15">
                  <c:v>3.8130729674269945</c:v>
                </c:pt>
                <c:pt idx="16">
                  <c:v>3.8042087666044542</c:v>
                </c:pt>
              </c:numCache>
            </c:numRef>
          </c:val>
          <c:smooth val="0"/>
          <c:extLst>
            <c:ext xmlns:c16="http://schemas.microsoft.com/office/drawing/2014/chart" uri="{C3380CC4-5D6E-409C-BE32-E72D297353CC}">
              <c16:uniqueId val="{00000002-FBCB-4ADC-8A8E-C0954B267CAE}"/>
            </c:ext>
          </c:extLst>
        </c:ser>
        <c:ser>
          <c:idx val="3"/>
          <c:order val="3"/>
          <c:tx>
            <c:strRef>
              <c:f>'EMPLOYMENT DEN'!$A$5</c:f>
              <c:strCache>
                <c:ptCount val="1"/>
                <c:pt idx="0">
                  <c:v>2N</c:v>
                </c:pt>
              </c:strCache>
            </c:strRef>
          </c:tx>
          <c:spPr>
            <a:ln w="12700" cap="rnd">
              <a:solidFill>
                <a:schemeClr val="accent4">
                  <a:alpha val="20000"/>
                </a:schemeClr>
              </a:solidFill>
              <a:round/>
            </a:ln>
            <a:effectLst/>
          </c:spPr>
          <c:marker>
            <c:symbol val="square"/>
            <c:size val="5"/>
            <c:spPr>
              <a:solidFill>
                <a:schemeClr val="accent4"/>
              </a:solidFill>
              <a:ln w="9525">
                <a:solidFill>
                  <a:schemeClr val="accent4"/>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DEN'!$L$5:$AB$5</c:f>
              <c:numCache>
                <c:formatCode>General</c:formatCode>
                <c:ptCount val="17"/>
                <c:pt idx="0">
                  <c:v>3.7503842665615146</c:v>
                </c:pt>
                <c:pt idx="1">
                  <c:v>3.761360797240394</c:v>
                </c:pt>
                <c:pt idx="2">
                  <c:v>3.7694319183735669</c:v>
                </c:pt>
                <c:pt idx="3">
                  <c:v>3.7777953284090704</c:v>
                </c:pt>
                <c:pt idx="4">
                  <c:v>3.7846443353645713</c:v>
                </c:pt>
                <c:pt idx="5">
                  <c:v>3.7922734056029297</c:v>
                </c:pt>
                <c:pt idx="6">
                  <c:v>3.8008605812598399</c:v>
                </c:pt>
                <c:pt idx="7">
                  <c:v>3.8097404069291421</c:v>
                </c:pt>
                <c:pt idx="8">
                  <c:v>3.8191052208614162</c:v>
                </c:pt>
                <c:pt idx="9">
                  <c:v>3.8285411630096413</c:v>
                </c:pt>
                <c:pt idx="10">
                  <c:v>3.8359955817999638</c:v>
                </c:pt>
                <c:pt idx="11">
                  <c:v>3.844318403186211</c:v>
                </c:pt>
                <c:pt idx="12">
                  <c:v>3.8365254157439099</c:v>
                </c:pt>
                <c:pt idx="13">
                  <c:v>3.8305093437230795</c:v>
                </c:pt>
                <c:pt idx="14">
                  <c:v>3.8236703068284332</c:v>
                </c:pt>
                <c:pt idx="15">
                  <c:v>3.8130729674269945</c:v>
                </c:pt>
                <c:pt idx="16">
                  <c:v>3.8042087666044542</c:v>
                </c:pt>
              </c:numCache>
            </c:numRef>
          </c:val>
          <c:smooth val="0"/>
          <c:extLst>
            <c:ext xmlns:c16="http://schemas.microsoft.com/office/drawing/2014/chart" uri="{C3380CC4-5D6E-409C-BE32-E72D297353CC}">
              <c16:uniqueId val="{00000003-FBCB-4ADC-8A8E-C0954B267CAE}"/>
            </c:ext>
          </c:extLst>
        </c:ser>
        <c:ser>
          <c:idx val="4"/>
          <c:order val="4"/>
          <c:tx>
            <c:strRef>
              <c:f>'EMPLOYMENT DEN'!$A$6</c:f>
              <c:strCache>
                <c:ptCount val="1"/>
                <c:pt idx="0">
                  <c:v>2P</c:v>
                </c:pt>
              </c:strCache>
            </c:strRef>
          </c:tx>
          <c:spPr>
            <a:ln w="12700" cap="rnd">
              <a:solidFill>
                <a:schemeClr val="accent1">
                  <a:alpha val="20000"/>
                </a:schemeClr>
              </a:solidFill>
              <a:round/>
            </a:ln>
            <a:effectLst/>
          </c:spPr>
          <c:marker>
            <c:symbol val="square"/>
            <c:size val="5"/>
            <c:spPr>
              <a:solidFill>
                <a:schemeClr val="accent5"/>
              </a:solidFill>
              <a:ln w="9525">
                <a:solidFill>
                  <a:schemeClr val="accent5"/>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DEN'!$L$6:$AB$6</c:f>
              <c:numCache>
                <c:formatCode>General</c:formatCode>
                <c:ptCount val="17"/>
                <c:pt idx="0">
                  <c:v>3.7503842665615146</c:v>
                </c:pt>
                <c:pt idx="1">
                  <c:v>3.761360797240394</c:v>
                </c:pt>
                <c:pt idx="2">
                  <c:v>3.7668322952878079</c:v>
                </c:pt>
                <c:pt idx="3">
                  <c:v>3.7745802099032248</c:v>
                </c:pt>
                <c:pt idx="4">
                  <c:v>3.7809437770229097</c:v>
                </c:pt>
                <c:pt idx="5">
                  <c:v>3.7882903790594544</c:v>
                </c:pt>
                <c:pt idx="6">
                  <c:v>3.7964978276984316</c:v>
                </c:pt>
                <c:pt idx="7">
                  <c:v>3.8049969442506306</c:v>
                </c:pt>
                <c:pt idx="8">
                  <c:v>3.8138848740153359</c:v>
                </c:pt>
                <c:pt idx="9">
                  <c:v>3.8229040115516342</c:v>
                </c:pt>
                <c:pt idx="10">
                  <c:v>3.8299174021992224</c:v>
                </c:pt>
                <c:pt idx="11">
                  <c:v>3.8378680257832984</c:v>
                </c:pt>
                <c:pt idx="12">
                  <c:v>3.8295432094929649</c:v>
                </c:pt>
                <c:pt idx="13">
                  <c:v>3.8232573164731893</c:v>
                </c:pt>
                <c:pt idx="14">
                  <c:v>3.8163772322474374</c:v>
                </c:pt>
                <c:pt idx="15">
                  <c:v>3.8056012550577942</c:v>
                </c:pt>
                <c:pt idx="16">
                  <c:v>3.7966013704551784</c:v>
                </c:pt>
              </c:numCache>
            </c:numRef>
          </c:val>
          <c:smooth val="0"/>
          <c:extLst>
            <c:ext xmlns:c16="http://schemas.microsoft.com/office/drawing/2014/chart" uri="{C3380CC4-5D6E-409C-BE32-E72D297353CC}">
              <c16:uniqueId val="{00000004-FBCB-4ADC-8A8E-C0954B267CAE}"/>
            </c:ext>
          </c:extLst>
        </c:ser>
        <c:ser>
          <c:idx val="5"/>
          <c:order val="5"/>
          <c:tx>
            <c:strRef>
              <c:f>'EMPLOYMENT DEN'!$A$7</c:f>
              <c:strCache>
                <c:ptCount val="1"/>
                <c:pt idx="0">
                  <c:v>3N</c:v>
                </c:pt>
              </c:strCache>
            </c:strRef>
          </c:tx>
          <c:spPr>
            <a:ln w="12700" cap="rnd">
              <a:solidFill>
                <a:schemeClr val="accent1">
                  <a:alpha val="20000"/>
                </a:schemeClr>
              </a:solidFill>
              <a:round/>
            </a:ln>
            <a:effectLst/>
          </c:spPr>
          <c:marker>
            <c:symbol val="square"/>
            <c:size val="5"/>
            <c:spPr>
              <a:solidFill>
                <a:schemeClr val="accent6"/>
              </a:solidFill>
              <a:ln w="9525">
                <a:solidFill>
                  <a:schemeClr val="accent6"/>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DEN'!$L$7:$AB$7</c:f>
              <c:numCache>
                <c:formatCode>General</c:formatCode>
                <c:ptCount val="17"/>
                <c:pt idx="0">
                  <c:v>3.7503842665615146</c:v>
                </c:pt>
                <c:pt idx="1">
                  <c:v>3.761360797240394</c:v>
                </c:pt>
                <c:pt idx="2">
                  <c:v>3.7694319183735669</c:v>
                </c:pt>
                <c:pt idx="3">
                  <c:v>3.7777953284090704</c:v>
                </c:pt>
                <c:pt idx="4">
                  <c:v>3.7846443353645713</c:v>
                </c:pt>
                <c:pt idx="5">
                  <c:v>3.7922734056029297</c:v>
                </c:pt>
                <c:pt idx="6">
                  <c:v>3.8008605812598399</c:v>
                </c:pt>
                <c:pt idx="7">
                  <c:v>3.8097404069291421</c:v>
                </c:pt>
                <c:pt idx="8">
                  <c:v>3.8191052208614162</c:v>
                </c:pt>
                <c:pt idx="9">
                  <c:v>3.8285411630096413</c:v>
                </c:pt>
                <c:pt idx="10">
                  <c:v>3.8359955817999638</c:v>
                </c:pt>
                <c:pt idx="11">
                  <c:v>3.844318403186211</c:v>
                </c:pt>
                <c:pt idx="12">
                  <c:v>3.8365254157439099</c:v>
                </c:pt>
                <c:pt idx="13">
                  <c:v>3.8305093437230795</c:v>
                </c:pt>
                <c:pt idx="14">
                  <c:v>3.8236703068284332</c:v>
                </c:pt>
                <c:pt idx="15">
                  <c:v>3.8130729674269945</c:v>
                </c:pt>
                <c:pt idx="16">
                  <c:v>3.8042087666044542</c:v>
                </c:pt>
              </c:numCache>
            </c:numRef>
          </c:val>
          <c:smooth val="0"/>
          <c:extLst>
            <c:ext xmlns:c16="http://schemas.microsoft.com/office/drawing/2014/chart" uri="{C3380CC4-5D6E-409C-BE32-E72D297353CC}">
              <c16:uniqueId val="{00000005-FBCB-4ADC-8A8E-C0954B267CAE}"/>
            </c:ext>
          </c:extLst>
        </c:ser>
        <c:ser>
          <c:idx val="6"/>
          <c:order val="6"/>
          <c:tx>
            <c:strRef>
              <c:f>'EMPLOYMENT DEN'!$A$8</c:f>
              <c:strCache>
                <c:ptCount val="1"/>
                <c:pt idx="0">
                  <c:v>3P</c:v>
                </c:pt>
              </c:strCache>
            </c:strRef>
          </c:tx>
          <c:spPr>
            <a:ln w="12700" cap="rnd">
              <a:solidFill>
                <a:schemeClr val="accent1">
                  <a:alpha val="2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DEN'!$L$8:$AB$8</c:f>
              <c:numCache>
                <c:formatCode>General</c:formatCode>
                <c:ptCount val="17"/>
                <c:pt idx="0">
                  <c:v>3.7503842665615146</c:v>
                </c:pt>
                <c:pt idx="1">
                  <c:v>3.761360797240394</c:v>
                </c:pt>
                <c:pt idx="2">
                  <c:v>3.7668324429064288</c:v>
                </c:pt>
                <c:pt idx="3">
                  <c:v>3.7745807237538771</c:v>
                </c:pt>
                <c:pt idx="4">
                  <c:v>3.7809262025171577</c:v>
                </c:pt>
                <c:pt idx="5">
                  <c:v>3.7882678887484427</c:v>
                </c:pt>
                <c:pt idx="6">
                  <c:v>3.7964691436792508</c:v>
                </c:pt>
                <c:pt idx="7">
                  <c:v>3.8049624569604483</c:v>
                </c:pt>
                <c:pt idx="8">
                  <c:v>3.8138428246844951</c:v>
                </c:pt>
                <c:pt idx="9">
                  <c:v>3.8228528008222162</c:v>
                </c:pt>
                <c:pt idx="10">
                  <c:v>3.829856371009928</c:v>
                </c:pt>
                <c:pt idx="11">
                  <c:v>3.8377972461781185</c:v>
                </c:pt>
                <c:pt idx="12">
                  <c:v>3.8294630695022289</c:v>
                </c:pt>
                <c:pt idx="13">
                  <c:v>3.8231635438901268</c:v>
                </c:pt>
                <c:pt idx="14">
                  <c:v>3.8162879614346736</c:v>
                </c:pt>
                <c:pt idx="15">
                  <c:v>3.8055051062987242</c:v>
                </c:pt>
                <c:pt idx="16">
                  <c:v>3.7964988506014321</c:v>
                </c:pt>
              </c:numCache>
            </c:numRef>
          </c:val>
          <c:smooth val="0"/>
          <c:extLst>
            <c:ext xmlns:c16="http://schemas.microsoft.com/office/drawing/2014/chart" uri="{C3380CC4-5D6E-409C-BE32-E72D297353CC}">
              <c16:uniqueId val="{00000006-FBCB-4ADC-8A8E-C0954B267CAE}"/>
            </c:ext>
          </c:extLst>
        </c:ser>
        <c:ser>
          <c:idx val="7"/>
          <c:order val="7"/>
          <c:tx>
            <c:strRef>
              <c:f>'EMPLOYMENT DEN'!$A$9</c:f>
              <c:strCache>
                <c:ptCount val="1"/>
                <c:pt idx="0">
                  <c:v>4N</c:v>
                </c:pt>
              </c:strCache>
            </c:strRef>
          </c:tx>
          <c:spPr>
            <a:ln w="12700" cap="rnd">
              <a:solidFill>
                <a:schemeClr val="accent2">
                  <a:lumMod val="50000"/>
                  <a:alpha val="2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DEN'!$L$9:$AB$9</c:f>
              <c:numCache>
                <c:formatCode>General</c:formatCode>
                <c:ptCount val="17"/>
                <c:pt idx="0">
                  <c:v>3.7503842665615146</c:v>
                </c:pt>
                <c:pt idx="1">
                  <c:v>3.761360797240394</c:v>
                </c:pt>
                <c:pt idx="2">
                  <c:v>3.7692009125921633</c:v>
                </c:pt>
                <c:pt idx="3">
                  <c:v>3.7775311749447389</c:v>
                </c:pt>
                <c:pt idx="4">
                  <c:v>3.7843671667915371</c:v>
                </c:pt>
                <c:pt idx="5">
                  <c:v>3.7919901633460102</c:v>
                </c:pt>
                <c:pt idx="6">
                  <c:v>3.800619969172105</c:v>
                </c:pt>
                <c:pt idx="7">
                  <c:v>3.8094728967760094</c:v>
                </c:pt>
                <c:pt idx="8">
                  <c:v>3.8188723125710067</c:v>
                </c:pt>
                <c:pt idx="9">
                  <c:v>3.828303072874244</c:v>
                </c:pt>
                <c:pt idx="10">
                  <c:v>3.8358178560219729</c:v>
                </c:pt>
                <c:pt idx="11">
                  <c:v>3.8441528149889814</c:v>
                </c:pt>
                <c:pt idx="12">
                  <c:v>3.8355630805752257</c:v>
                </c:pt>
                <c:pt idx="13">
                  <c:v>3.829392921201606</c:v>
                </c:pt>
                <c:pt idx="14">
                  <c:v>3.8225760758178424</c:v>
                </c:pt>
                <c:pt idx="15">
                  <c:v>3.8118952235088832</c:v>
                </c:pt>
                <c:pt idx="16">
                  <c:v>3.8030390048352141</c:v>
                </c:pt>
              </c:numCache>
            </c:numRef>
          </c:val>
          <c:smooth val="0"/>
          <c:extLst>
            <c:ext xmlns:c16="http://schemas.microsoft.com/office/drawing/2014/chart" uri="{C3380CC4-5D6E-409C-BE32-E72D297353CC}">
              <c16:uniqueId val="{00000007-FBCB-4ADC-8A8E-C0954B267CAE}"/>
            </c:ext>
          </c:extLst>
        </c:ser>
        <c:ser>
          <c:idx val="8"/>
          <c:order val="8"/>
          <c:tx>
            <c:strRef>
              <c:f>'EMPLOYMENT DEN'!$A$10</c:f>
              <c:strCache>
                <c:ptCount val="1"/>
                <c:pt idx="0">
                  <c:v>4P</c:v>
                </c:pt>
              </c:strCache>
            </c:strRef>
          </c:tx>
          <c:spPr>
            <a:ln w="12700" cap="rnd">
              <a:solidFill>
                <a:schemeClr val="accent1">
                  <a:alpha val="20000"/>
                </a:schemeClr>
              </a:solidFill>
              <a:round/>
            </a:ln>
            <a:effectLst/>
          </c:spPr>
          <c:marker>
            <c:symbol val="square"/>
            <c:size val="5"/>
            <c:spPr>
              <a:solidFill>
                <a:schemeClr val="accent3">
                  <a:lumMod val="60000"/>
                </a:schemeClr>
              </a:solidFill>
              <a:ln w="9525">
                <a:solidFill>
                  <a:schemeClr val="accent3">
                    <a:lumMod val="60000"/>
                  </a:schemeClr>
                </a:solidFill>
              </a:ln>
              <a:effectLst/>
            </c:spPr>
          </c:marker>
          <c:cat>
            <c:numRef>
              <c:f>'EMPLOYMENT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'EMPLOYMENT DEN'!$L$10:$AB$10</c:f>
              <c:numCache>
                <c:formatCode>General</c:formatCode>
                <c:ptCount val="17"/>
                <c:pt idx="0">
                  <c:v>3.7503842665615146</c:v>
                </c:pt>
                <c:pt idx="1">
                  <c:v>3.761360797240394</c:v>
                </c:pt>
                <c:pt idx="2">
                  <c:v>3.7694319183735669</c:v>
                </c:pt>
                <c:pt idx="3">
                  <c:v>3.7777953284090704</c:v>
                </c:pt>
                <c:pt idx="4">
                  <c:v>3.7846443353645713</c:v>
                </c:pt>
                <c:pt idx="5">
                  <c:v>3.7922734056029297</c:v>
                </c:pt>
                <c:pt idx="6">
                  <c:v>3.8008605812598399</c:v>
                </c:pt>
                <c:pt idx="7">
                  <c:v>3.8097404069291421</c:v>
                </c:pt>
                <c:pt idx="8">
                  <c:v>3.8191052208614162</c:v>
                </c:pt>
                <c:pt idx="9">
                  <c:v>3.8285411630096413</c:v>
                </c:pt>
                <c:pt idx="10">
                  <c:v>3.8359955817999638</c:v>
                </c:pt>
                <c:pt idx="11">
                  <c:v>3.844318403186211</c:v>
                </c:pt>
                <c:pt idx="12">
                  <c:v>3.8365254157439099</c:v>
                </c:pt>
                <c:pt idx="13">
                  <c:v>3.8305093437230795</c:v>
                </c:pt>
                <c:pt idx="14">
                  <c:v>3.8236703068284332</c:v>
                </c:pt>
                <c:pt idx="15">
                  <c:v>3.8130729674269945</c:v>
                </c:pt>
                <c:pt idx="16">
                  <c:v>3.8042087666044542</c:v>
                </c:pt>
              </c:numCache>
            </c:numRef>
          </c:val>
          <c:smooth val="0"/>
          <c:extLst>
            <c:ext xmlns:c16="http://schemas.microsoft.com/office/drawing/2014/chart" uri="{C3380CC4-5D6E-409C-BE32-E72D297353CC}">
              <c16:uniqueId val="{00000008-FBCB-4ADC-8A8E-C0954B267CAE}"/>
            </c:ext>
          </c:extLst>
        </c:ser>
        <c:dLbls>
          <c:showLegendKey val="0"/>
          <c:showVal val="0"/>
          <c:showCatName val="0"/>
          <c:showSerName val="0"/>
          <c:showPercent val="0"/>
          <c:showBubbleSize val="0"/>
        </c:dLbls>
        <c:marker val="1"/>
        <c:smooth val="0"/>
        <c:axId val="686317264"/>
        <c:axId val="686315296"/>
      </c:lineChart>
      <c:catAx>
        <c:axId val="68631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5296"/>
        <c:crosses val="autoZero"/>
        <c:auto val="1"/>
        <c:lblAlgn val="ctr"/>
        <c:lblOffset val="100"/>
        <c:noMultiLvlLbl val="0"/>
      </c:catAx>
      <c:valAx>
        <c:axId val="6863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Employees/m2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7264"/>
        <c:crosses val="autoZero"/>
        <c:crossBetween val="between"/>
      </c:valAx>
      <c:spPr>
        <a:noFill/>
        <a:ln>
          <a:noFill/>
        </a:ln>
        <a:effectLst/>
      </c:spPr>
    </c:plotArea>
    <c:legend>
      <c:legendPos val="b"/>
      <c:layout>
        <c:manualLayout>
          <c:xMode val="edge"/>
          <c:yMode val="edge"/>
          <c:x val="5.3835410595444999E-2"/>
          <c:y val="0.94048253846106056"/>
          <c:w val="0.88159346491216573"/>
          <c:h val="4.3166195099890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Population</a:t>
            </a:r>
            <a:r>
              <a:rPr lang="en-GB" baseline="0"/>
              <a:t> Density in Birmingham</a:t>
            </a:r>
            <a:endParaRPr lang="en-GB"/>
          </a:p>
        </c:rich>
      </c:tx>
      <c:overlay val="0"/>
      <c:spPr>
        <a:noFill/>
        <a:ln>
          <a:noFill/>
        </a:ln>
        <a:effectLst/>
      </c:spPr>
    </c:title>
    <c:autoTitleDeleted val="0"/>
    <c:plotArea>
      <c:layout/>
      <c:lineChart>
        <c:grouping val="standard"/>
        <c:varyColors val="0"/>
        <c:ser>
          <c:idx val="0"/>
          <c:order val="0"/>
          <c:tx>
            <c:strRef>
              <c:f>'POPULATION DEN'!$A$2</c:f>
              <c:strCache>
                <c:ptCount val="1"/>
                <c:pt idx="0">
                  <c:v>BAU</c:v>
                </c:pt>
              </c:strCache>
            </c:strRef>
          </c:tx>
          <c:spPr>
            <a:ln w="12700" cap="rnd">
              <a:solidFill>
                <a:schemeClr val="accent1">
                  <a:alpha val="30000"/>
                </a:schemeClr>
              </a:solidFill>
              <a:round/>
            </a:ln>
            <a:effectLst/>
          </c:spPr>
          <c:marker>
            <c:symbol val="square"/>
            <c:size val="5"/>
            <c:spPr>
              <a:solidFill>
                <a:schemeClr val="accent1"/>
              </a:solidFill>
              <a:ln w="9525">
                <a:solidFill>
                  <a:schemeClr val="accent1"/>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DEN'!$L$2:$AB$2</c:f>
              <c:numCache>
                <c:formatCode>General</c:formatCode>
                <c:ptCount val="17"/>
                <c:pt idx="0">
                  <c:v>2.8160947197292521E-2</c:v>
                </c:pt>
                <c:pt idx="1">
                  <c:v>2.8032011163632631E-2</c:v>
                </c:pt>
                <c:pt idx="2">
                  <c:v>2.7879524950248889E-2</c:v>
                </c:pt>
                <c:pt idx="3">
                  <c:v>2.7723540654350971E-2</c:v>
                </c:pt>
                <c:pt idx="4">
                  <c:v>2.759779049873318E-2</c:v>
                </c:pt>
                <c:pt idx="5">
                  <c:v>2.7481460860913763E-2</c:v>
                </c:pt>
                <c:pt idx="6">
                  <c:v>2.735555282850384E-2</c:v>
                </c:pt>
                <c:pt idx="7">
                  <c:v>2.7235196723420344E-2</c:v>
                </c:pt>
                <c:pt idx="8">
                  <c:v>2.7143614509823503E-2</c:v>
                </c:pt>
                <c:pt idx="9">
                  <c:v>2.7050319168282124E-2</c:v>
                </c:pt>
                <c:pt idx="10">
                  <c:v>2.6956170867164814E-2</c:v>
                </c:pt>
                <c:pt idx="11">
                  <c:v>2.6855000909246942E-2</c:v>
                </c:pt>
                <c:pt idx="12">
                  <c:v>2.6839319481796284E-2</c:v>
                </c:pt>
                <c:pt idx="13">
                  <c:v>2.6889290334763158E-2</c:v>
                </c:pt>
                <c:pt idx="14">
                  <c:v>2.6956221652030855E-2</c:v>
                </c:pt>
                <c:pt idx="15">
                  <c:v>2.7020041763454732E-2</c:v>
                </c:pt>
                <c:pt idx="16">
                  <c:v>2.710274237541558E-2</c:v>
                </c:pt>
              </c:numCache>
            </c:numRef>
          </c:val>
          <c:smooth val="0"/>
          <c:extLst>
            <c:ext xmlns:c16="http://schemas.microsoft.com/office/drawing/2014/chart" uri="{C3380CC4-5D6E-409C-BE32-E72D297353CC}">
              <c16:uniqueId val="{00000000-7882-403E-9EAA-A55CD944FC15}"/>
            </c:ext>
          </c:extLst>
        </c:ser>
        <c:ser>
          <c:idx val="1"/>
          <c:order val="1"/>
          <c:tx>
            <c:strRef>
              <c:f>'POPULATION DEN'!$A$3</c:f>
              <c:strCache>
                <c:ptCount val="1"/>
                <c:pt idx="0">
                  <c:v>1N</c:v>
                </c:pt>
              </c:strCache>
            </c:strRef>
          </c:tx>
          <c:spPr>
            <a:ln w="12700" cap="rnd">
              <a:solidFill>
                <a:schemeClr val="accent2">
                  <a:alpha val="20000"/>
                </a:schemeClr>
              </a:solidFill>
              <a:round/>
            </a:ln>
            <a:effectLst/>
          </c:spPr>
          <c:marker>
            <c:symbol val="square"/>
            <c:size val="5"/>
            <c:spPr>
              <a:solidFill>
                <a:schemeClr val="accent2"/>
              </a:solidFill>
              <a:ln w="9525">
                <a:solidFill>
                  <a:schemeClr val="accent2"/>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DEN'!$L$3:$AB$3</c:f>
              <c:numCache>
                <c:formatCode>General</c:formatCode>
                <c:ptCount val="17"/>
                <c:pt idx="0">
                  <c:v>2.8160947197292521E-2</c:v>
                </c:pt>
                <c:pt idx="1">
                  <c:v>2.8032108595798501E-2</c:v>
                </c:pt>
                <c:pt idx="2">
                  <c:v>2.7880806741608997E-2</c:v>
                </c:pt>
                <c:pt idx="3">
                  <c:v>2.7729817752014069E-2</c:v>
                </c:pt>
                <c:pt idx="4">
                  <c:v>2.7608980140120375E-2</c:v>
                </c:pt>
                <c:pt idx="5">
                  <c:v>2.7496047483200916E-2</c:v>
                </c:pt>
                <c:pt idx="6">
                  <c:v>2.737185073395406E-2</c:v>
                </c:pt>
                <c:pt idx="7">
                  <c:v>2.7254212995869189E-2</c:v>
                </c:pt>
                <c:pt idx="8">
                  <c:v>2.7165156337033036E-2</c:v>
                </c:pt>
                <c:pt idx="9">
                  <c:v>2.707424841806795E-2</c:v>
                </c:pt>
                <c:pt idx="10">
                  <c:v>2.6980874238455063E-2</c:v>
                </c:pt>
                <c:pt idx="11">
                  <c:v>2.6882065563855709E-2</c:v>
                </c:pt>
                <c:pt idx="12">
                  <c:v>2.6864359852407042E-2</c:v>
                </c:pt>
                <c:pt idx="13">
                  <c:v>2.6926540678610524E-2</c:v>
                </c:pt>
                <c:pt idx="14">
                  <c:v>2.700314302685887E-2</c:v>
                </c:pt>
                <c:pt idx="15">
                  <c:v>2.707777575923348E-2</c:v>
                </c:pt>
                <c:pt idx="16">
                  <c:v>2.7168725744597794E-2</c:v>
                </c:pt>
              </c:numCache>
            </c:numRef>
          </c:val>
          <c:smooth val="0"/>
          <c:extLst>
            <c:ext xmlns:c16="http://schemas.microsoft.com/office/drawing/2014/chart" uri="{C3380CC4-5D6E-409C-BE32-E72D297353CC}">
              <c16:uniqueId val="{00000001-7882-403E-9EAA-A55CD944FC15}"/>
            </c:ext>
          </c:extLst>
        </c:ser>
        <c:ser>
          <c:idx val="2"/>
          <c:order val="2"/>
          <c:tx>
            <c:strRef>
              <c:f>'POPULATION DEN'!$A$4</c:f>
              <c:strCache>
                <c:ptCount val="1"/>
                <c:pt idx="0">
                  <c:v>1P</c:v>
                </c:pt>
              </c:strCache>
            </c:strRef>
          </c:tx>
          <c:spPr>
            <a:ln w="12700" cap="rnd">
              <a:solidFill>
                <a:schemeClr val="tx2">
                  <a:alpha val="20000"/>
                </a:schemeClr>
              </a:solidFill>
              <a:round/>
            </a:ln>
            <a:effectLst/>
          </c:spPr>
          <c:marker>
            <c:symbol val="square"/>
            <c:size val="5"/>
            <c:spPr>
              <a:solidFill>
                <a:schemeClr val="accent3"/>
              </a:solidFill>
              <a:ln w="9525">
                <a:solidFill>
                  <a:schemeClr val="accent3"/>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DEN'!$L$4:$AB$4</c:f>
              <c:numCache>
                <c:formatCode>General</c:formatCode>
                <c:ptCount val="17"/>
                <c:pt idx="0">
                  <c:v>2.8160947197292521E-2</c:v>
                </c:pt>
                <c:pt idx="1">
                  <c:v>2.8032108595798501E-2</c:v>
                </c:pt>
                <c:pt idx="2">
                  <c:v>2.7874367640703609E-2</c:v>
                </c:pt>
                <c:pt idx="3">
                  <c:v>2.7764975333154245E-2</c:v>
                </c:pt>
                <c:pt idx="4">
                  <c:v>2.7681013077479683E-2</c:v>
                </c:pt>
                <c:pt idx="5">
                  <c:v>2.7602996718501936E-2</c:v>
                </c:pt>
                <c:pt idx="6">
                  <c:v>2.7510239063797341E-2</c:v>
                </c:pt>
                <c:pt idx="7">
                  <c:v>2.7425219372049534E-2</c:v>
                </c:pt>
                <c:pt idx="8">
                  <c:v>2.7368586833885641E-2</c:v>
                </c:pt>
                <c:pt idx="9">
                  <c:v>2.7310984427184253E-2</c:v>
                </c:pt>
                <c:pt idx="10">
                  <c:v>2.7250615417049883E-2</c:v>
                </c:pt>
                <c:pt idx="11">
                  <c:v>2.7189890093499189E-2</c:v>
                </c:pt>
                <c:pt idx="12">
                  <c:v>2.7216321390642794E-2</c:v>
                </c:pt>
                <c:pt idx="13">
                  <c:v>2.7305955002564504E-2</c:v>
                </c:pt>
                <c:pt idx="14">
                  <c:v>2.7406608623498138E-2</c:v>
                </c:pt>
                <c:pt idx="15">
                  <c:v>2.7501555668276514E-2</c:v>
                </c:pt>
                <c:pt idx="16">
                  <c:v>2.7612965301857764E-2</c:v>
                </c:pt>
              </c:numCache>
            </c:numRef>
          </c:val>
          <c:smooth val="0"/>
          <c:extLst>
            <c:ext xmlns:c16="http://schemas.microsoft.com/office/drawing/2014/chart" uri="{C3380CC4-5D6E-409C-BE32-E72D297353CC}">
              <c16:uniqueId val="{00000002-7882-403E-9EAA-A55CD944FC15}"/>
            </c:ext>
          </c:extLst>
        </c:ser>
        <c:ser>
          <c:idx val="3"/>
          <c:order val="3"/>
          <c:tx>
            <c:strRef>
              <c:f>'POPULATION DEN'!$A$5</c:f>
              <c:strCache>
                <c:ptCount val="1"/>
                <c:pt idx="0">
                  <c:v>2N</c:v>
                </c:pt>
              </c:strCache>
            </c:strRef>
          </c:tx>
          <c:spPr>
            <a:ln w="12700" cap="rnd">
              <a:solidFill>
                <a:schemeClr val="accent4">
                  <a:alpha val="20000"/>
                </a:schemeClr>
              </a:solidFill>
              <a:round/>
            </a:ln>
            <a:effectLst/>
          </c:spPr>
          <c:marker>
            <c:symbol val="square"/>
            <c:size val="5"/>
            <c:spPr>
              <a:solidFill>
                <a:schemeClr val="accent4"/>
              </a:solidFill>
              <a:ln w="9525">
                <a:solidFill>
                  <a:schemeClr val="accent4"/>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DEN'!$L$5:$AB$5</c:f>
              <c:numCache>
                <c:formatCode>General</c:formatCode>
                <c:ptCount val="17"/>
                <c:pt idx="0">
                  <c:v>2.8160947197292521E-2</c:v>
                </c:pt>
                <c:pt idx="1">
                  <c:v>2.8032075581593534E-2</c:v>
                </c:pt>
                <c:pt idx="2">
                  <c:v>2.7880012324403923E-2</c:v>
                </c:pt>
                <c:pt idx="3">
                  <c:v>2.7727755883221059E-2</c:v>
                </c:pt>
                <c:pt idx="4">
                  <c:v>2.7605632187181588E-2</c:v>
                </c:pt>
                <c:pt idx="5">
                  <c:v>2.7492819246837552E-2</c:v>
                </c:pt>
                <c:pt idx="6">
                  <c:v>2.736701253805543E-2</c:v>
                </c:pt>
                <c:pt idx="7">
                  <c:v>2.7247462586881467E-2</c:v>
                </c:pt>
                <c:pt idx="8">
                  <c:v>2.7155474739028646E-2</c:v>
                </c:pt>
                <c:pt idx="9">
                  <c:v>2.7062640542485628E-2</c:v>
                </c:pt>
                <c:pt idx="10">
                  <c:v>2.6966388662476515E-2</c:v>
                </c:pt>
                <c:pt idx="11">
                  <c:v>2.6864214952106179E-2</c:v>
                </c:pt>
                <c:pt idx="12">
                  <c:v>2.6843900560300941E-2</c:v>
                </c:pt>
                <c:pt idx="13">
                  <c:v>2.6901792344260746E-2</c:v>
                </c:pt>
                <c:pt idx="14">
                  <c:v>2.6974664927514928E-2</c:v>
                </c:pt>
                <c:pt idx="15">
                  <c:v>2.7045448630542437E-2</c:v>
                </c:pt>
                <c:pt idx="16">
                  <c:v>2.7133670899641006E-2</c:v>
                </c:pt>
              </c:numCache>
            </c:numRef>
          </c:val>
          <c:smooth val="0"/>
          <c:extLst>
            <c:ext xmlns:c16="http://schemas.microsoft.com/office/drawing/2014/chart" uri="{C3380CC4-5D6E-409C-BE32-E72D297353CC}">
              <c16:uniqueId val="{00000003-7882-403E-9EAA-A55CD944FC15}"/>
            </c:ext>
          </c:extLst>
        </c:ser>
        <c:ser>
          <c:idx val="4"/>
          <c:order val="4"/>
          <c:tx>
            <c:strRef>
              <c:f>'POPULATION DEN'!$A$6</c:f>
              <c:strCache>
                <c:ptCount val="1"/>
                <c:pt idx="0">
                  <c:v>2P</c:v>
                </c:pt>
              </c:strCache>
            </c:strRef>
          </c:tx>
          <c:spPr>
            <a:ln w="12700" cap="rnd">
              <a:solidFill>
                <a:schemeClr val="accent1">
                  <a:alpha val="20000"/>
                </a:schemeClr>
              </a:solidFill>
              <a:round/>
            </a:ln>
            <a:effectLst/>
          </c:spPr>
          <c:marker>
            <c:symbol val="square"/>
            <c:size val="5"/>
            <c:spPr>
              <a:solidFill>
                <a:schemeClr val="accent5"/>
              </a:solidFill>
              <a:ln w="9525">
                <a:solidFill>
                  <a:schemeClr val="accent5"/>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DEN'!$L$6:$AB$6</c:f>
              <c:numCache>
                <c:formatCode>General</c:formatCode>
                <c:ptCount val="17"/>
                <c:pt idx="0">
                  <c:v>2.8160947197292521E-2</c:v>
                </c:pt>
                <c:pt idx="1">
                  <c:v>2.8032075581593534E-2</c:v>
                </c:pt>
                <c:pt idx="2">
                  <c:v>2.7873408631350936E-2</c:v>
                </c:pt>
                <c:pt idx="3">
                  <c:v>2.7763448356882839E-2</c:v>
                </c:pt>
                <c:pt idx="4">
                  <c:v>2.7677973391474216E-2</c:v>
                </c:pt>
                <c:pt idx="5">
                  <c:v>2.7598805835908301E-2</c:v>
                </c:pt>
                <c:pt idx="6">
                  <c:v>2.7504916787208157E-2</c:v>
                </c:pt>
                <c:pt idx="7">
                  <c:v>2.7418436218055744E-2</c:v>
                </c:pt>
                <c:pt idx="8">
                  <c:v>2.7359589534601842E-2</c:v>
                </c:pt>
                <c:pt idx="9">
                  <c:v>2.7300537983111977E-2</c:v>
                </c:pt>
                <c:pt idx="10">
                  <c:v>2.7236682805922157E-2</c:v>
                </c:pt>
                <c:pt idx="11">
                  <c:v>2.7173084860323323E-2</c:v>
                </c:pt>
                <c:pt idx="12">
                  <c:v>2.719592845768826E-2</c:v>
                </c:pt>
                <c:pt idx="13">
                  <c:v>2.7283271538624462E-2</c:v>
                </c:pt>
                <c:pt idx="14">
                  <c:v>2.7380832894462883E-2</c:v>
                </c:pt>
                <c:pt idx="15">
                  <c:v>2.7472362839914916E-2</c:v>
                </c:pt>
                <c:pt idx="16">
                  <c:v>2.7581587709830761E-2</c:v>
                </c:pt>
              </c:numCache>
            </c:numRef>
          </c:val>
          <c:smooth val="0"/>
          <c:extLst>
            <c:ext xmlns:c16="http://schemas.microsoft.com/office/drawing/2014/chart" uri="{C3380CC4-5D6E-409C-BE32-E72D297353CC}">
              <c16:uniqueId val="{00000004-7882-403E-9EAA-A55CD944FC15}"/>
            </c:ext>
          </c:extLst>
        </c:ser>
        <c:ser>
          <c:idx val="5"/>
          <c:order val="5"/>
          <c:tx>
            <c:strRef>
              <c:f>'POPULATION DEN'!$A$7</c:f>
              <c:strCache>
                <c:ptCount val="1"/>
                <c:pt idx="0">
                  <c:v>3N</c:v>
                </c:pt>
              </c:strCache>
            </c:strRef>
          </c:tx>
          <c:spPr>
            <a:ln w="12700" cap="rnd">
              <a:solidFill>
                <a:schemeClr val="accent1">
                  <a:alpha val="20000"/>
                </a:schemeClr>
              </a:solidFill>
              <a:round/>
            </a:ln>
            <a:effectLst/>
          </c:spPr>
          <c:marker>
            <c:symbol val="square"/>
            <c:size val="5"/>
            <c:spPr>
              <a:solidFill>
                <a:schemeClr val="accent6"/>
              </a:solidFill>
              <a:ln w="9525">
                <a:solidFill>
                  <a:schemeClr val="accent6"/>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DEN'!$L$7:$AB$7</c:f>
              <c:numCache>
                <c:formatCode>General</c:formatCode>
                <c:ptCount val="17"/>
                <c:pt idx="0">
                  <c:v>2.8160947197292521E-2</c:v>
                </c:pt>
                <c:pt idx="1">
                  <c:v>2.803210027514522E-2</c:v>
                </c:pt>
                <c:pt idx="2">
                  <c:v>2.7880349511558794E-2</c:v>
                </c:pt>
                <c:pt idx="3">
                  <c:v>2.7730282368621829E-2</c:v>
                </c:pt>
                <c:pt idx="4">
                  <c:v>2.7609176070258489E-2</c:v>
                </c:pt>
                <c:pt idx="5">
                  <c:v>2.7497963854982294E-2</c:v>
                </c:pt>
                <c:pt idx="6">
                  <c:v>2.737431630782727E-2</c:v>
                </c:pt>
                <c:pt idx="7">
                  <c:v>2.7257328449303068E-2</c:v>
                </c:pt>
                <c:pt idx="8">
                  <c:v>2.7167954071008211E-2</c:v>
                </c:pt>
                <c:pt idx="9">
                  <c:v>2.7078176524195332E-2</c:v>
                </c:pt>
                <c:pt idx="10">
                  <c:v>2.6984855534085563E-2</c:v>
                </c:pt>
                <c:pt idx="11">
                  <c:v>2.688718825089494E-2</c:v>
                </c:pt>
                <c:pt idx="12">
                  <c:v>2.6870887806327244E-2</c:v>
                </c:pt>
                <c:pt idx="13">
                  <c:v>2.6932939684451464E-2</c:v>
                </c:pt>
                <c:pt idx="14">
                  <c:v>2.7009086659563086E-2</c:v>
                </c:pt>
                <c:pt idx="15">
                  <c:v>2.7084182908010176E-2</c:v>
                </c:pt>
                <c:pt idx="16">
                  <c:v>2.7175394401451305E-2</c:v>
                </c:pt>
              </c:numCache>
            </c:numRef>
          </c:val>
          <c:smooth val="0"/>
          <c:extLst>
            <c:ext xmlns:c16="http://schemas.microsoft.com/office/drawing/2014/chart" uri="{C3380CC4-5D6E-409C-BE32-E72D297353CC}">
              <c16:uniqueId val="{00000005-7882-403E-9EAA-A55CD944FC15}"/>
            </c:ext>
          </c:extLst>
        </c:ser>
        <c:ser>
          <c:idx val="6"/>
          <c:order val="6"/>
          <c:tx>
            <c:strRef>
              <c:f>'POPULATION DEN'!$A$8</c:f>
              <c:strCache>
                <c:ptCount val="1"/>
                <c:pt idx="0">
                  <c:v>3P</c:v>
                </c:pt>
              </c:strCache>
            </c:strRef>
          </c:tx>
          <c:spPr>
            <a:ln w="12700" cap="rnd">
              <a:solidFill>
                <a:schemeClr val="accent1">
                  <a:alpha val="20000"/>
                </a:schemeClr>
              </a:solidFill>
              <a:round/>
            </a:ln>
            <a:effectLst/>
          </c:spPr>
          <c:marker>
            <c:symbol val="square"/>
            <c:size val="5"/>
            <c:spPr>
              <a:solidFill>
                <a:schemeClr val="accent1">
                  <a:lumMod val="60000"/>
                </a:schemeClr>
              </a:solidFill>
              <a:ln w="9525">
                <a:solidFill>
                  <a:schemeClr val="accent1">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DEN'!$L$8:$AB$8</c:f>
              <c:numCache>
                <c:formatCode>General</c:formatCode>
                <c:ptCount val="17"/>
                <c:pt idx="0">
                  <c:v>2.8160947197292521E-2</c:v>
                </c:pt>
                <c:pt idx="1">
                  <c:v>2.803210027514522E-2</c:v>
                </c:pt>
                <c:pt idx="2">
                  <c:v>2.7874366573655652E-2</c:v>
                </c:pt>
                <c:pt idx="3">
                  <c:v>2.7765194647043863E-2</c:v>
                </c:pt>
                <c:pt idx="4">
                  <c:v>2.7681193712936765E-2</c:v>
                </c:pt>
                <c:pt idx="5">
                  <c:v>2.7604904694349976E-2</c:v>
                </c:pt>
                <c:pt idx="6">
                  <c:v>2.7512370950980962E-2</c:v>
                </c:pt>
                <c:pt idx="7">
                  <c:v>2.7428658897091014E-2</c:v>
                </c:pt>
                <c:pt idx="8">
                  <c:v>2.737243417085115E-2</c:v>
                </c:pt>
                <c:pt idx="9">
                  <c:v>2.7315893400730189E-2</c:v>
                </c:pt>
                <c:pt idx="10">
                  <c:v>2.7256247656439556E-2</c:v>
                </c:pt>
                <c:pt idx="11">
                  <c:v>2.7196652489906339E-2</c:v>
                </c:pt>
                <c:pt idx="12">
                  <c:v>2.7222813357484665E-2</c:v>
                </c:pt>
                <c:pt idx="13">
                  <c:v>2.7313846012518853E-2</c:v>
                </c:pt>
                <c:pt idx="14">
                  <c:v>2.741568941444476E-2</c:v>
                </c:pt>
                <c:pt idx="15">
                  <c:v>2.7512768625153602E-2</c:v>
                </c:pt>
                <c:pt idx="16">
                  <c:v>2.7624351211845182E-2</c:v>
                </c:pt>
              </c:numCache>
            </c:numRef>
          </c:val>
          <c:smooth val="0"/>
          <c:extLst>
            <c:ext xmlns:c16="http://schemas.microsoft.com/office/drawing/2014/chart" uri="{C3380CC4-5D6E-409C-BE32-E72D297353CC}">
              <c16:uniqueId val="{00000006-7882-403E-9EAA-A55CD944FC15}"/>
            </c:ext>
          </c:extLst>
        </c:ser>
        <c:ser>
          <c:idx val="7"/>
          <c:order val="7"/>
          <c:tx>
            <c:strRef>
              <c:f>'POPULATION DEN'!$A$9</c:f>
              <c:strCache>
                <c:ptCount val="1"/>
                <c:pt idx="0">
                  <c:v>4N</c:v>
                </c:pt>
              </c:strCache>
            </c:strRef>
          </c:tx>
          <c:spPr>
            <a:ln w="12700" cap="rnd">
              <a:solidFill>
                <a:schemeClr val="accent2">
                  <a:lumMod val="50000"/>
                  <a:alpha val="20000"/>
                </a:schemeClr>
              </a:solidFill>
              <a:round/>
            </a:ln>
            <a:effectLst/>
          </c:spPr>
          <c:marker>
            <c:symbol val="square"/>
            <c:size val="5"/>
            <c:spPr>
              <a:solidFill>
                <a:schemeClr val="accent2">
                  <a:lumMod val="60000"/>
                </a:schemeClr>
              </a:solidFill>
              <a:ln w="9525">
                <a:solidFill>
                  <a:schemeClr val="accent2">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DEN'!$L$9:$AB$9</c:f>
              <c:numCache>
                <c:formatCode>General</c:formatCode>
                <c:ptCount val="17"/>
                <c:pt idx="0">
                  <c:v>2.8160947197292521E-2</c:v>
                </c:pt>
                <c:pt idx="1">
                  <c:v>2.8032072629103663E-2</c:v>
                </c:pt>
                <c:pt idx="2">
                  <c:v>2.7879857602449942E-2</c:v>
                </c:pt>
                <c:pt idx="3">
                  <c:v>2.7729099346540071E-2</c:v>
                </c:pt>
                <c:pt idx="4">
                  <c:v>2.7607014509905676E-2</c:v>
                </c:pt>
                <c:pt idx="5">
                  <c:v>2.7494625946739876E-2</c:v>
                </c:pt>
                <c:pt idx="6">
                  <c:v>2.7369196384277563E-2</c:v>
                </c:pt>
                <c:pt idx="7">
                  <c:v>2.7249930936624121E-2</c:v>
                </c:pt>
                <c:pt idx="8">
                  <c:v>2.7157763841138174E-2</c:v>
                </c:pt>
                <c:pt idx="9">
                  <c:v>2.7065837119340758E-2</c:v>
                </c:pt>
                <c:pt idx="10">
                  <c:v>2.6968785698420764E-2</c:v>
                </c:pt>
                <c:pt idx="11">
                  <c:v>2.6868636803864199E-2</c:v>
                </c:pt>
                <c:pt idx="12">
                  <c:v>2.6847405089185421E-2</c:v>
                </c:pt>
                <c:pt idx="13">
                  <c:v>2.6906051203274398E-2</c:v>
                </c:pt>
                <c:pt idx="14">
                  <c:v>2.6978165174507133E-2</c:v>
                </c:pt>
                <c:pt idx="15">
                  <c:v>2.7047536803279027E-2</c:v>
                </c:pt>
                <c:pt idx="16">
                  <c:v>2.7133920693605634E-2</c:v>
                </c:pt>
              </c:numCache>
            </c:numRef>
          </c:val>
          <c:smooth val="0"/>
          <c:extLst>
            <c:ext xmlns:c16="http://schemas.microsoft.com/office/drawing/2014/chart" uri="{C3380CC4-5D6E-409C-BE32-E72D297353CC}">
              <c16:uniqueId val="{00000007-7882-403E-9EAA-A55CD944FC15}"/>
            </c:ext>
          </c:extLst>
        </c:ser>
        <c:ser>
          <c:idx val="8"/>
          <c:order val="8"/>
          <c:tx>
            <c:strRef>
              <c:f>'POPULATION DEN'!$A$10</c:f>
              <c:strCache>
                <c:ptCount val="1"/>
                <c:pt idx="0">
                  <c:v>4P</c:v>
                </c:pt>
              </c:strCache>
            </c:strRef>
          </c:tx>
          <c:spPr>
            <a:ln w="12700" cap="rnd">
              <a:solidFill>
                <a:schemeClr val="accent1">
                  <a:alpha val="20000"/>
                </a:schemeClr>
              </a:solidFill>
              <a:round/>
            </a:ln>
            <a:effectLst/>
          </c:spPr>
          <c:marker>
            <c:symbol val="square"/>
            <c:size val="5"/>
            <c:spPr>
              <a:solidFill>
                <a:schemeClr val="accent3">
                  <a:lumMod val="60000"/>
                </a:schemeClr>
              </a:solidFill>
              <a:ln w="9525">
                <a:solidFill>
                  <a:schemeClr val="accent3">
                    <a:lumMod val="60000"/>
                  </a:schemeClr>
                </a:solidFill>
              </a:ln>
              <a:effectLst/>
            </c:spPr>
          </c:marker>
          <c:cat>
            <c:numRef>
              <c:f>'POPULATION DEN'!$L$1:$AB$1</c:f>
              <c:numCache>
                <c:formatCode>General</c:formatCode>
                <c:ptCount val="17"/>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numCache>
            </c:numRef>
          </c:cat>
          <c:val>
            <c:numRef>
              <c:f>'POPULATION DEN'!$L$10:$AB$10</c:f>
              <c:numCache>
                <c:formatCode>General</c:formatCode>
                <c:ptCount val="17"/>
                <c:pt idx="0">
                  <c:v>2.8160947197292521E-2</c:v>
                </c:pt>
                <c:pt idx="1">
                  <c:v>2.8032072629103663E-2</c:v>
                </c:pt>
                <c:pt idx="2">
                  <c:v>2.7873431572882044E-2</c:v>
                </c:pt>
                <c:pt idx="3">
                  <c:v>2.7764532992685203E-2</c:v>
                </c:pt>
                <c:pt idx="4">
                  <c:v>2.7678949086643839E-2</c:v>
                </c:pt>
                <c:pt idx="5">
                  <c:v>2.7601360823368191E-2</c:v>
                </c:pt>
                <c:pt idx="6">
                  <c:v>2.7506798017723513E-2</c:v>
                </c:pt>
                <c:pt idx="7">
                  <c:v>2.7421669397582848E-2</c:v>
                </c:pt>
                <c:pt idx="8">
                  <c:v>2.7362412622556093E-2</c:v>
                </c:pt>
                <c:pt idx="9">
                  <c:v>2.730446402859352E-2</c:v>
                </c:pt>
                <c:pt idx="10">
                  <c:v>2.7240337349595353E-2</c:v>
                </c:pt>
                <c:pt idx="11">
                  <c:v>2.7178481343070108E-2</c:v>
                </c:pt>
                <c:pt idx="12">
                  <c:v>2.7201823702621156E-2</c:v>
                </c:pt>
                <c:pt idx="13">
                  <c:v>2.7289721579324751E-2</c:v>
                </c:pt>
                <c:pt idx="14">
                  <c:v>2.7386347607849863E-2</c:v>
                </c:pt>
                <c:pt idx="15">
                  <c:v>2.7479196604627054E-2</c:v>
                </c:pt>
                <c:pt idx="16">
                  <c:v>2.7587945591353403E-2</c:v>
                </c:pt>
              </c:numCache>
            </c:numRef>
          </c:val>
          <c:smooth val="0"/>
          <c:extLst>
            <c:ext xmlns:c16="http://schemas.microsoft.com/office/drawing/2014/chart" uri="{C3380CC4-5D6E-409C-BE32-E72D297353CC}">
              <c16:uniqueId val="{00000008-7882-403E-9EAA-A55CD944FC15}"/>
            </c:ext>
          </c:extLst>
        </c:ser>
        <c:dLbls>
          <c:showLegendKey val="0"/>
          <c:showVal val="0"/>
          <c:showCatName val="0"/>
          <c:showSerName val="0"/>
          <c:showPercent val="0"/>
          <c:showBubbleSize val="0"/>
        </c:dLbls>
        <c:marker val="1"/>
        <c:smooth val="0"/>
        <c:axId val="686317264"/>
        <c:axId val="686315296"/>
      </c:lineChart>
      <c:catAx>
        <c:axId val="68631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5296"/>
        <c:crosses val="autoZero"/>
        <c:auto val="1"/>
        <c:lblAlgn val="ctr"/>
        <c:lblOffset val="100"/>
        <c:noMultiLvlLbl val="0"/>
      </c:catAx>
      <c:valAx>
        <c:axId val="68631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Population/m2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86317264"/>
        <c:crosses val="autoZero"/>
        <c:crossBetween val="between"/>
      </c:valAx>
    </c:plotArea>
    <c:legend>
      <c:legendPos val="b"/>
      <c:layout>
        <c:manualLayout>
          <c:xMode val="edge"/>
          <c:yMode val="edge"/>
          <c:x val="8.3015487814549246E-2"/>
          <c:y val="0.9065793109359378"/>
          <c:w val="0.86980291655208042"/>
          <c:h val="4.3166195099890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94981-B9F5-404C-99DD-0B62DAC9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68657</Words>
  <Characters>391350</Characters>
  <Application>Microsoft Office Word</Application>
  <DocSecurity>0</DocSecurity>
  <Lines>3261</Lines>
  <Paragraphs>918</Paragraphs>
  <ScaleCrop>false</ScaleCrop>
  <HeadingPairs>
    <vt:vector size="2" baseType="variant">
      <vt:variant>
        <vt:lpstr>Title</vt:lpstr>
      </vt:variant>
      <vt:variant>
        <vt:i4>1</vt:i4>
      </vt:variant>
    </vt:vector>
  </HeadingPairs>
  <TitlesOfParts>
    <vt:vector size="1" baseType="lpstr">
      <vt:lpstr>Author Instructions for Extended Abstract</vt:lpstr>
    </vt:vector>
  </TitlesOfParts>
  <Company>Civil Engineering, McGill Univ.</Company>
  <LinksUpToDate>false</LinksUpToDate>
  <CharactersWithSpaces>459089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Instructions for Extended Abstract</dc:title>
  <dc:subject/>
  <dc:creator>SIDT</dc:creator>
  <dc:description/>
  <cp:lastModifiedBy>Vivi Sarri</cp:lastModifiedBy>
  <cp:revision>3</cp:revision>
  <cp:lastPrinted>2022-03-24T14:04:00Z</cp:lastPrinted>
  <dcterms:created xsi:type="dcterms:W3CDTF">2023-03-08T15:56:00Z</dcterms:created>
  <dcterms:modified xsi:type="dcterms:W3CDTF">2023-03-08T15:58:00Z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http://www.zotero.org/styles/elsevier-harvard</vt:lpwstr>
  </property>
  <property fmtid="{D5CDD505-2E9C-101B-9397-08002B2CF9AE}" pid="4" name="Mendeley Unique User Id_1">
    <vt:lpwstr>1f4e87ec-ba8b-3453-9900-051133c04f20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http://www.zotero.org/styles/harvard-imperial-college-london</vt:lpwstr>
  </property>
  <property fmtid="{D5CDD505-2E9C-101B-9397-08002B2CF9AE}" pid="22" name="Mendeley Recent Style Name 8_1">
    <vt:lpwstr>Imperial College London - Harvard</vt:lpwstr>
  </property>
  <property fmtid="{D5CDD505-2E9C-101B-9397-08002B2CF9AE}" pid="23" name="Mendeley Recent Style Id 9_1">
    <vt:lpwstr>http://www.zotero.org/styles/transportation-research-record</vt:lpwstr>
  </property>
  <property fmtid="{D5CDD505-2E9C-101B-9397-08002B2CF9AE}" pid="24" name="Mendeley Recent Style Name 9_1">
    <vt:lpwstr>Transportation Research Record: Journal of the Transportation Research Board</vt:lpwstr>
  </property>
</Properties>
</file>