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8413A" w14:textId="77777777" w:rsidR="00D60F3B" w:rsidRDefault="00D60F3B" w:rsidP="00D60F3B">
      <w:pPr>
        <w:rPr>
          <w:rFonts w:ascii="Arial" w:hAnsi="Arial" w:cs="Arial"/>
          <w:b/>
          <w:bCs/>
          <w:sz w:val="24"/>
          <w:szCs w:val="24"/>
        </w:rPr>
      </w:pPr>
      <w:r w:rsidRPr="00C310FD">
        <w:rPr>
          <w:rFonts w:ascii="Arial" w:hAnsi="Arial" w:cs="Arial"/>
          <w:b/>
          <w:bCs/>
          <w:sz w:val="24"/>
          <w:szCs w:val="24"/>
        </w:rPr>
        <w:t>All Things Must Pass? Recent Changes to Competition and Ownership in Public Transport in Great Britain.</w:t>
      </w:r>
    </w:p>
    <w:p w14:paraId="272C1741" w14:textId="77777777" w:rsidR="00D60F3B" w:rsidRDefault="00D60F3B" w:rsidP="00D60F3B">
      <w:pPr>
        <w:spacing w:after="0" w:line="276" w:lineRule="auto"/>
        <w:rPr>
          <w:rFonts w:ascii="Arial" w:hAnsi="Arial" w:cs="Arial"/>
          <w:b/>
          <w:bCs/>
          <w:sz w:val="18"/>
          <w:szCs w:val="18"/>
        </w:rPr>
      </w:pPr>
    </w:p>
    <w:p w14:paraId="58A772E6" w14:textId="76EAC247" w:rsidR="00D60F3B" w:rsidRDefault="00D60F3B" w:rsidP="00D60F3B">
      <w:pPr>
        <w:spacing w:after="0" w:line="276" w:lineRule="auto"/>
        <w:rPr>
          <w:rFonts w:ascii="Arial" w:hAnsi="Arial" w:cs="Arial"/>
          <w:b/>
          <w:bCs/>
          <w:sz w:val="18"/>
          <w:szCs w:val="18"/>
        </w:rPr>
      </w:pPr>
      <w:r>
        <w:rPr>
          <w:rFonts w:ascii="Arial" w:hAnsi="Arial" w:cs="Arial"/>
          <w:b/>
          <w:bCs/>
          <w:sz w:val="18"/>
          <w:szCs w:val="18"/>
        </w:rPr>
        <w:t>Keywords</w:t>
      </w:r>
    </w:p>
    <w:p w14:paraId="2AEFC5A9" w14:textId="77777777" w:rsidR="00D60F3B" w:rsidRDefault="00D60F3B" w:rsidP="00D60F3B">
      <w:pPr>
        <w:spacing w:after="0" w:line="276" w:lineRule="auto"/>
        <w:rPr>
          <w:rFonts w:ascii="Arial" w:hAnsi="Arial" w:cs="Arial"/>
          <w:sz w:val="18"/>
          <w:szCs w:val="18"/>
        </w:rPr>
      </w:pPr>
      <w:r>
        <w:rPr>
          <w:rFonts w:ascii="Arial" w:hAnsi="Arial" w:cs="Arial"/>
          <w:sz w:val="18"/>
          <w:szCs w:val="18"/>
        </w:rPr>
        <w:t>Bus, Competition, Ownership, Rail, Regulation</w:t>
      </w:r>
    </w:p>
    <w:p w14:paraId="4B7EB1A5" w14:textId="77777777" w:rsidR="00D60F3B" w:rsidRDefault="00D60F3B" w:rsidP="00D60F3B">
      <w:pPr>
        <w:spacing w:after="0" w:line="276" w:lineRule="auto"/>
        <w:rPr>
          <w:rFonts w:ascii="Arial" w:hAnsi="Arial" w:cs="Arial"/>
          <w:sz w:val="18"/>
          <w:szCs w:val="18"/>
        </w:rPr>
      </w:pPr>
    </w:p>
    <w:p w14:paraId="5671EB32" w14:textId="77777777" w:rsidR="00D60F3B" w:rsidRDefault="00D60F3B" w:rsidP="00D60F3B">
      <w:pPr>
        <w:spacing w:after="0" w:line="276" w:lineRule="auto"/>
        <w:rPr>
          <w:rFonts w:ascii="Arial" w:hAnsi="Arial" w:cs="Arial"/>
          <w:b/>
          <w:bCs/>
          <w:sz w:val="18"/>
          <w:szCs w:val="18"/>
        </w:rPr>
      </w:pPr>
      <w:r>
        <w:rPr>
          <w:rFonts w:ascii="Arial" w:hAnsi="Arial" w:cs="Arial"/>
          <w:b/>
          <w:bCs/>
          <w:sz w:val="18"/>
          <w:szCs w:val="18"/>
        </w:rPr>
        <w:t>Classification codes</w:t>
      </w:r>
    </w:p>
    <w:p w14:paraId="6B58B859" w14:textId="755F9B55" w:rsidR="00D60F3B" w:rsidRDefault="00D60F3B" w:rsidP="00D60F3B">
      <w:pPr>
        <w:spacing w:after="0" w:line="276" w:lineRule="auto"/>
        <w:rPr>
          <w:rFonts w:ascii="Arial" w:hAnsi="Arial" w:cs="Arial"/>
          <w:sz w:val="18"/>
          <w:szCs w:val="18"/>
        </w:rPr>
      </w:pPr>
      <w:r>
        <w:rPr>
          <w:rFonts w:ascii="Arial" w:hAnsi="Arial" w:cs="Arial"/>
          <w:sz w:val="18"/>
          <w:szCs w:val="18"/>
        </w:rPr>
        <w:t>L51 Economics of regulation, L92 Railroads and other surface transportation</w:t>
      </w:r>
    </w:p>
    <w:p w14:paraId="347E762A" w14:textId="77777777" w:rsidR="00263E2D" w:rsidRDefault="00263E2D" w:rsidP="00D60F3B">
      <w:pPr>
        <w:spacing w:after="0" w:line="276" w:lineRule="auto"/>
        <w:rPr>
          <w:rFonts w:ascii="Arial" w:hAnsi="Arial" w:cs="Arial"/>
          <w:sz w:val="18"/>
          <w:szCs w:val="18"/>
        </w:rPr>
      </w:pPr>
    </w:p>
    <w:p w14:paraId="5DE191DD" w14:textId="77777777" w:rsidR="00263E2D" w:rsidRPr="00263E2D" w:rsidRDefault="00263E2D" w:rsidP="00263E2D">
      <w:pPr>
        <w:rPr>
          <w:rFonts w:ascii="Arial" w:hAnsi="Arial" w:cs="Arial"/>
          <w:b/>
          <w:bCs/>
          <w:vertAlign w:val="superscript"/>
        </w:rPr>
      </w:pPr>
      <w:r w:rsidRPr="00263E2D">
        <w:rPr>
          <w:rFonts w:ascii="Arial" w:hAnsi="Arial" w:cs="Arial"/>
          <w:b/>
          <w:bCs/>
        </w:rPr>
        <w:t xml:space="preserve">John </w:t>
      </w:r>
      <w:proofErr w:type="spellStart"/>
      <w:r w:rsidRPr="00263E2D">
        <w:rPr>
          <w:rFonts w:ascii="Arial" w:hAnsi="Arial" w:cs="Arial"/>
          <w:b/>
          <w:bCs/>
        </w:rPr>
        <w:t>Preston</w:t>
      </w:r>
      <w:r w:rsidRPr="00263E2D">
        <w:rPr>
          <w:rFonts w:ascii="Arial" w:hAnsi="Arial" w:cs="Arial"/>
          <w:b/>
          <w:bCs/>
          <w:vertAlign w:val="superscript"/>
        </w:rPr>
        <w:t>a</w:t>
      </w:r>
      <w:proofErr w:type="spellEnd"/>
    </w:p>
    <w:p w14:paraId="31A5B4A3" w14:textId="77777777" w:rsidR="00263E2D" w:rsidRPr="00B20C98" w:rsidRDefault="00263E2D" w:rsidP="00263E2D">
      <w:pPr>
        <w:spacing w:after="0" w:line="276" w:lineRule="auto"/>
        <w:rPr>
          <w:rFonts w:ascii="Arial" w:hAnsi="Arial" w:cs="Arial"/>
          <w:sz w:val="18"/>
          <w:szCs w:val="18"/>
        </w:rPr>
      </w:pPr>
      <w:proofErr w:type="spellStart"/>
      <w:r>
        <w:rPr>
          <w:rFonts w:ascii="Arial" w:hAnsi="Arial" w:cs="Arial"/>
          <w:sz w:val="18"/>
          <w:szCs w:val="18"/>
          <w:vertAlign w:val="superscript"/>
        </w:rPr>
        <w:t>a</w:t>
      </w:r>
      <w:r>
        <w:rPr>
          <w:rFonts w:ascii="Arial" w:hAnsi="Arial" w:cs="Arial"/>
          <w:sz w:val="18"/>
          <w:szCs w:val="18"/>
        </w:rPr>
        <w:t>School</w:t>
      </w:r>
      <w:proofErr w:type="spellEnd"/>
      <w:r>
        <w:rPr>
          <w:rFonts w:ascii="Arial" w:hAnsi="Arial" w:cs="Arial"/>
          <w:sz w:val="18"/>
          <w:szCs w:val="18"/>
        </w:rPr>
        <w:t xml:space="preserve"> of Engineering, </w:t>
      </w:r>
      <w:proofErr w:type="spellStart"/>
      <w:r>
        <w:rPr>
          <w:rFonts w:ascii="Arial" w:hAnsi="Arial" w:cs="Arial"/>
          <w:sz w:val="18"/>
          <w:szCs w:val="18"/>
        </w:rPr>
        <w:t>Boldrewood</w:t>
      </w:r>
      <w:proofErr w:type="spellEnd"/>
      <w:r>
        <w:rPr>
          <w:rFonts w:ascii="Arial" w:hAnsi="Arial" w:cs="Arial"/>
          <w:sz w:val="18"/>
          <w:szCs w:val="18"/>
        </w:rPr>
        <w:t>, University of Southampton, SO16 7QF, UK. Tel: +44 23 8059 4660</w:t>
      </w:r>
    </w:p>
    <w:p w14:paraId="72F165C6" w14:textId="77777777" w:rsidR="00D60F3B" w:rsidRDefault="00D60F3B" w:rsidP="00F43BE9">
      <w:pPr>
        <w:rPr>
          <w:rFonts w:ascii="Arial" w:hAnsi="Arial" w:cs="Arial"/>
          <w:b/>
          <w:bCs/>
        </w:rPr>
      </w:pPr>
    </w:p>
    <w:p w14:paraId="55F970A6" w14:textId="58A5FD40" w:rsidR="00470CA3" w:rsidRPr="00C310FD" w:rsidRDefault="00470CA3" w:rsidP="00F43BE9">
      <w:pPr>
        <w:rPr>
          <w:rFonts w:ascii="Arial" w:hAnsi="Arial" w:cs="Arial"/>
          <w:b/>
          <w:bCs/>
        </w:rPr>
      </w:pPr>
      <w:r w:rsidRPr="00C310FD">
        <w:rPr>
          <w:rFonts w:ascii="Arial" w:hAnsi="Arial" w:cs="Arial"/>
          <w:b/>
          <w:bCs/>
        </w:rPr>
        <w:t>Abstract</w:t>
      </w:r>
    </w:p>
    <w:p w14:paraId="111241E8" w14:textId="60AD8661" w:rsidR="00D0564E" w:rsidRPr="00C310FD" w:rsidRDefault="00D0564E" w:rsidP="001C0E4B">
      <w:pPr>
        <w:spacing w:line="276" w:lineRule="auto"/>
        <w:rPr>
          <w:rFonts w:ascii="Arial" w:hAnsi="Arial" w:cs="Arial"/>
        </w:rPr>
      </w:pPr>
      <w:r w:rsidRPr="00C310FD">
        <w:rPr>
          <w:rFonts w:ascii="Arial" w:hAnsi="Arial" w:cs="Arial"/>
        </w:rPr>
        <w:t xml:space="preserve">The publication of </w:t>
      </w:r>
      <w:r w:rsidR="00D671E2">
        <w:rPr>
          <w:rFonts w:ascii="Arial" w:hAnsi="Arial" w:cs="Arial"/>
        </w:rPr>
        <w:t>the National Bus Strategy</w:t>
      </w:r>
      <w:r w:rsidRPr="00C310FD">
        <w:rPr>
          <w:rFonts w:ascii="Arial" w:hAnsi="Arial" w:cs="Arial"/>
        </w:rPr>
        <w:t xml:space="preserve"> in March and the Williams-</w:t>
      </w:r>
      <w:proofErr w:type="spellStart"/>
      <w:r w:rsidRPr="00C310FD">
        <w:rPr>
          <w:rFonts w:ascii="Arial" w:hAnsi="Arial" w:cs="Arial"/>
        </w:rPr>
        <w:t>Shapps</w:t>
      </w:r>
      <w:proofErr w:type="spellEnd"/>
      <w:r w:rsidRPr="00C310FD">
        <w:rPr>
          <w:rFonts w:ascii="Arial" w:hAnsi="Arial" w:cs="Arial"/>
        </w:rPr>
        <w:t xml:space="preserve"> Plan for Rail in May 2021 suggest</w:t>
      </w:r>
      <w:r w:rsidR="00EF74C2">
        <w:rPr>
          <w:rFonts w:ascii="Arial" w:hAnsi="Arial" w:cs="Arial"/>
        </w:rPr>
        <w:t>s</w:t>
      </w:r>
      <w:r w:rsidRPr="00C310FD">
        <w:rPr>
          <w:rFonts w:ascii="Arial" w:hAnsi="Arial" w:cs="Arial"/>
        </w:rPr>
        <w:t xml:space="preserve"> an end to the period of deregulation and privatisation that has dominated local buses in Great Britain since the mid-1980s and national rail since the mid-1990s. </w:t>
      </w:r>
    </w:p>
    <w:p w14:paraId="2F45C017" w14:textId="410C4938" w:rsidR="00E26779" w:rsidRPr="00C310FD" w:rsidRDefault="00E26779" w:rsidP="001C0E4B">
      <w:pPr>
        <w:spacing w:line="276" w:lineRule="auto"/>
        <w:rPr>
          <w:rFonts w:ascii="Arial" w:hAnsi="Arial" w:cs="Arial"/>
        </w:rPr>
      </w:pPr>
      <w:r w:rsidRPr="00C310FD">
        <w:rPr>
          <w:rFonts w:ascii="Arial" w:hAnsi="Arial" w:cs="Arial"/>
        </w:rPr>
        <w:t xml:space="preserve">This paper reviews the recent trends </w:t>
      </w:r>
      <w:r w:rsidR="00C310FD">
        <w:rPr>
          <w:rFonts w:ascii="Arial" w:hAnsi="Arial" w:cs="Arial"/>
        </w:rPr>
        <w:t xml:space="preserve">in the </w:t>
      </w:r>
      <w:r w:rsidRPr="00C310FD">
        <w:rPr>
          <w:rFonts w:ascii="Arial" w:hAnsi="Arial" w:cs="Arial"/>
        </w:rPr>
        <w:t>local bus</w:t>
      </w:r>
      <w:r w:rsidR="00C310FD">
        <w:rPr>
          <w:rFonts w:ascii="Arial" w:hAnsi="Arial" w:cs="Arial"/>
        </w:rPr>
        <w:t xml:space="preserve"> and national rail industr</w:t>
      </w:r>
      <w:r w:rsidR="000E7D90">
        <w:rPr>
          <w:rFonts w:ascii="Arial" w:hAnsi="Arial" w:cs="Arial"/>
        </w:rPr>
        <w:t>i</w:t>
      </w:r>
      <w:r w:rsidR="00C310FD">
        <w:rPr>
          <w:rFonts w:ascii="Arial" w:hAnsi="Arial" w:cs="Arial"/>
        </w:rPr>
        <w:t>es</w:t>
      </w:r>
      <w:r w:rsidRPr="00C310FD">
        <w:rPr>
          <w:rFonts w:ascii="Arial" w:hAnsi="Arial" w:cs="Arial"/>
        </w:rPr>
        <w:t xml:space="preserve"> </w:t>
      </w:r>
      <w:r w:rsidR="0077636D" w:rsidRPr="00C310FD">
        <w:rPr>
          <w:rFonts w:ascii="Arial" w:hAnsi="Arial" w:cs="Arial"/>
        </w:rPr>
        <w:t>in Great Britain</w:t>
      </w:r>
      <w:r w:rsidRPr="00C310FD">
        <w:rPr>
          <w:rFonts w:ascii="Arial" w:hAnsi="Arial" w:cs="Arial"/>
        </w:rPr>
        <w:t xml:space="preserve">, both pre- and post-Covid. </w:t>
      </w:r>
      <w:r w:rsidR="001B78F0" w:rsidRPr="00C310FD">
        <w:rPr>
          <w:rFonts w:ascii="Arial" w:hAnsi="Arial" w:cs="Arial"/>
        </w:rPr>
        <w:t xml:space="preserve">The policy response in the two sectors seems to be searching for solutions that do not involve full blooded public control and ownership, at least in England. For local buses, emphasis is being placed on the development of Enhanced Partnerships </w:t>
      </w:r>
      <w:r w:rsidR="0077636D" w:rsidRPr="00C310FD">
        <w:rPr>
          <w:rFonts w:ascii="Arial" w:hAnsi="Arial" w:cs="Arial"/>
        </w:rPr>
        <w:t>between operators and Local Authorities</w:t>
      </w:r>
      <w:r w:rsidR="000E7D90">
        <w:rPr>
          <w:rFonts w:ascii="Arial" w:hAnsi="Arial" w:cs="Arial"/>
        </w:rPr>
        <w:t>.</w:t>
      </w:r>
      <w:r w:rsidR="0077636D" w:rsidRPr="00C310FD">
        <w:rPr>
          <w:rFonts w:ascii="Arial" w:hAnsi="Arial" w:cs="Arial"/>
        </w:rPr>
        <w:t xml:space="preserve"> </w:t>
      </w:r>
      <w:r w:rsidR="001B78F0" w:rsidRPr="00C310FD">
        <w:rPr>
          <w:rFonts w:ascii="Arial" w:hAnsi="Arial" w:cs="Arial"/>
        </w:rPr>
        <w:t>For national rail, the key organisation</w:t>
      </w:r>
      <w:r w:rsidR="00EF6406" w:rsidRPr="00C310FD">
        <w:rPr>
          <w:rFonts w:ascii="Arial" w:hAnsi="Arial" w:cs="Arial"/>
        </w:rPr>
        <w:t>al</w:t>
      </w:r>
      <w:r w:rsidR="001B78F0" w:rsidRPr="00C310FD">
        <w:rPr>
          <w:rFonts w:ascii="Arial" w:hAnsi="Arial" w:cs="Arial"/>
        </w:rPr>
        <w:t xml:space="preserve"> change is the establishment of Great British Railways to vertically integrate the planning of infrastructure </w:t>
      </w:r>
      <w:r w:rsidR="00EF6406" w:rsidRPr="00C310FD">
        <w:rPr>
          <w:rFonts w:ascii="Arial" w:hAnsi="Arial" w:cs="Arial"/>
        </w:rPr>
        <w:t>and train services</w:t>
      </w:r>
      <w:r w:rsidR="000E7D90">
        <w:rPr>
          <w:rFonts w:ascii="Arial" w:hAnsi="Arial" w:cs="Arial"/>
        </w:rPr>
        <w:t xml:space="preserve">. </w:t>
      </w:r>
      <w:r w:rsidR="00F43BE9">
        <w:rPr>
          <w:rFonts w:ascii="Arial" w:hAnsi="Arial" w:cs="Arial"/>
        </w:rPr>
        <w:t>O</w:t>
      </w:r>
      <w:r w:rsidR="0077636D" w:rsidRPr="00C310FD">
        <w:rPr>
          <w:rFonts w:ascii="Arial" w:hAnsi="Arial" w:cs="Arial"/>
        </w:rPr>
        <w:t>perations will remain vertically and horizontally separated but with f</w:t>
      </w:r>
      <w:r w:rsidR="00EF6406" w:rsidRPr="00C310FD">
        <w:rPr>
          <w:rFonts w:ascii="Arial" w:hAnsi="Arial" w:cs="Arial"/>
        </w:rPr>
        <w:t>ranchising replaced by Passenger Service Contracts</w:t>
      </w:r>
      <w:r w:rsidR="00BB240D" w:rsidRPr="00C310FD">
        <w:rPr>
          <w:rFonts w:ascii="Arial" w:hAnsi="Arial" w:cs="Arial"/>
        </w:rPr>
        <w:t xml:space="preserve">. </w:t>
      </w:r>
    </w:p>
    <w:p w14:paraId="0DE07C58" w14:textId="40A13BDB" w:rsidR="00BB240D" w:rsidRPr="00C310FD" w:rsidRDefault="00BB240D" w:rsidP="001C0E4B">
      <w:pPr>
        <w:spacing w:line="276" w:lineRule="auto"/>
        <w:rPr>
          <w:rFonts w:ascii="Arial" w:hAnsi="Arial" w:cs="Arial"/>
        </w:rPr>
      </w:pPr>
      <w:r w:rsidRPr="00C310FD">
        <w:rPr>
          <w:rFonts w:ascii="Arial" w:hAnsi="Arial" w:cs="Arial"/>
        </w:rPr>
        <w:t>For both sectors, post-Covid, there will be an emphasis on demand and service recovery</w:t>
      </w:r>
      <w:r w:rsidR="00B4566E" w:rsidRPr="00C310FD">
        <w:rPr>
          <w:rFonts w:ascii="Arial" w:hAnsi="Arial" w:cs="Arial"/>
        </w:rPr>
        <w:t xml:space="preserve">, </w:t>
      </w:r>
      <w:r w:rsidR="0077636D" w:rsidRPr="00C310FD">
        <w:rPr>
          <w:rFonts w:ascii="Arial" w:hAnsi="Arial" w:cs="Arial"/>
        </w:rPr>
        <w:t xml:space="preserve">with funding </w:t>
      </w:r>
      <w:r w:rsidR="0087726D" w:rsidRPr="00C310FD">
        <w:rPr>
          <w:rFonts w:ascii="Arial" w:hAnsi="Arial" w:cs="Arial"/>
        </w:rPr>
        <w:t xml:space="preserve">likely to be </w:t>
      </w:r>
      <w:r w:rsidR="0077636D" w:rsidRPr="00C310FD">
        <w:rPr>
          <w:rFonts w:ascii="Arial" w:hAnsi="Arial" w:cs="Arial"/>
        </w:rPr>
        <w:t>problematic</w:t>
      </w:r>
      <w:r w:rsidR="00B4566E" w:rsidRPr="00C310FD">
        <w:rPr>
          <w:rFonts w:ascii="Arial" w:hAnsi="Arial" w:cs="Arial"/>
        </w:rPr>
        <w:t xml:space="preserve">. </w:t>
      </w:r>
      <w:r w:rsidR="00F43BE9">
        <w:rPr>
          <w:rFonts w:ascii="Arial" w:hAnsi="Arial" w:cs="Arial"/>
        </w:rPr>
        <w:t>Fut</w:t>
      </w:r>
      <w:r w:rsidR="00B4566E" w:rsidRPr="00C310FD">
        <w:rPr>
          <w:rFonts w:ascii="Arial" w:hAnsi="Arial" w:cs="Arial"/>
        </w:rPr>
        <w:t xml:space="preserve">ure prospects will be considered, alongside the </w:t>
      </w:r>
      <w:r w:rsidR="0087726D" w:rsidRPr="00C310FD">
        <w:rPr>
          <w:rFonts w:ascii="Arial" w:hAnsi="Arial" w:cs="Arial"/>
        </w:rPr>
        <w:t>potential</w:t>
      </w:r>
      <w:r w:rsidR="00B4566E" w:rsidRPr="00C310FD">
        <w:rPr>
          <w:rFonts w:ascii="Arial" w:hAnsi="Arial" w:cs="Arial"/>
        </w:rPr>
        <w:t xml:space="preserve"> for further turns of the regulatory cycle, with respect to both </w:t>
      </w:r>
      <w:r w:rsidR="0077636D" w:rsidRPr="00C310FD">
        <w:rPr>
          <w:rFonts w:ascii="Arial" w:hAnsi="Arial" w:cs="Arial"/>
        </w:rPr>
        <w:t>competition and ownership.</w:t>
      </w:r>
    </w:p>
    <w:p w14:paraId="3191C030" w14:textId="6DBA5D2D" w:rsidR="00470CA3" w:rsidRPr="00C310FD" w:rsidRDefault="00470CA3" w:rsidP="00F43BE9">
      <w:pPr>
        <w:rPr>
          <w:rFonts w:ascii="Arial" w:hAnsi="Arial" w:cs="Arial"/>
          <w:b/>
          <w:bCs/>
        </w:rPr>
      </w:pPr>
      <w:r w:rsidRPr="00C310FD">
        <w:rPr>
          <w:rFonts w:ascii="Arial" w:hAnsi="Arial" w:cs="Arial"/>
          <w:b/>
          <w:bCs/>
        </w:rPr>
        <w:t>1. Introduction</w:t>
      </w:r>
    </w:p>
    <w:p w14:paraId="219583BB" w14:textId="6C9D2ED6" w:rsidR="00470CA3" w:rsidRPr="00C310FD" w:rsidRDefault="00470CA3" w:rsidP="001C0E4B">
      <w:pPr>
        <w:spacing w:line="276" w:lineRule="auto"/>
        <w:rPr>
          <w:rFonts w:ascii="Arial" w:hAnsi="Arial" w:cs="Arial"/>
        </w:rPr>
      </w:pPr>
      <w:r w:rsidRPr="00C310FD">
        <w:rPr>
          <w:rFonts w:ascii="Arial" w:hAnsi="Arial" w:cs="Arial"/>
        </w:rPr>
        <w:t xml:space="preserve">The origins of the International Conference on Competition and Ownership in Land Passenger Transport can be traced back to the deregulation of local buses in Great Britain outside London </w:t>
      </w:r>
      <w:r w:rsidR="00BA5236" w:rsidRPr="00C310FD">
        <w:rPr>
          <w:rFonts w:ascii="Arial" w:hAnsi="Arial" w:cs="Arial"/>
        </w:rPr>
        <w:t>as a result of the 1985 Transport Act</w:t>
      </w:r>
      <w:r w:rsidR="007C4398" w:rsidRPr="00C310FD">
        <w:rPr>
          <w:rFonts w:ascii="Arial" w:hAnsi="Arial" w:cs="Arial"/>
        </w:rPr>
        <w:t xml:space="preserve"> (Preston, 2005 ). This built on the earlier 1980 Transport Act which, amongst other things, deregulated express coaches in Great Britain. These reforms contributed to </w:t>
      </w:r>
      <w:r w:rsidR="00D332B9">
        <w:rPr>
          <w:rFonts w:ascii="Arial" w:hAnsi="Arial" w:cs="Arial"/>
        </w:rPr>
        <w:t>the g</w:t>
      </w:r>
      <w:r w:rsidR="007C4398" w:rsidRPr="00C310FD">
        <w:rPr>
          <w:rFonts w:ascii="Arial" w:hAnsi="Arial" w:cs="Arial"/>
        </w:rPr>
        <w:t xml:space="preserve">lobal interest in the </w:t>
      </w:r>
      <w:r w:rsidR="00D332B9">
        <w:rPr>
          <w:rFonts w:ascii="Arial" w:hAnsi="Arial" w:cs="Arial"/>
        </w:rPr>
        <w:t xml:space="preserve">privatisation and </w:t>
      </w:r>
      <w:r w:rsidR="007C4398" w:rsidRPr="00C310FD">
        <w:rPr>
          <w:rFonts w:ascii="Arial" w:hAnsi="Arial" w:cs="Arial"/>
        </w:rPr>
        <w:t>deregulation of transport</w:t>
      </w:r>
      <w:r w:rsidR="00D332B9">
        <w:rPr>
          <w:rFonts w:ascii="Arial" w:hAnsi="Arial" w:cs="Arial"/>
        </w:rPr>
        <w:t xml:space="preserve"> (see, for example, Gomez-Ibanez and Meyer, 1993)</w:t>
      </w:r>
      <w:r w:rsidR="007C4398" w:rsidRPr="00C310FD">
        <w:rPr>
          <w:rFonts w:ascii="Arial" w:hAnsi="Arial" w:cs="Arial"/>
        </w:rPr>
        <w:t>. This interest was further stimulated by the 1993 Railways Act that led to the ‘privatisation’ of national railways in Great Britain. This</w:t>
      </w:r>
      <w:r w:rsidR="00C2581A">
        <w:rPr>
          <w:rFonts w:ascii="Arial" w:hAnsi="Arial" w:cs="Arial"/>
        </w:rPr>
        <w:t>, in turn,</w:t>
      </w:r>
      <w:r w:rsidR="007C4398" w:rsidRPr="00C310FD">
        <w:rPr>
          <w:rFonts w:ascii="Arial" w:hAnsi="Arial" w:cs="Arial"/>
        </w:rPr>
        <w:t xml:space="preserve"> led to the focus of this conference series to be extended from bus and coach to land passenger transport. It also established Great Britain as something of a living laboratory for public transport reform given </w:t>
      </w:r>
      <w:r w:rsidR="00B524AA" w:rsidRPr="00C310FD">
        <w:rPr>
          <w:rFonts w:ascii="Arial" w:hAnsi="Arial" w:cs="Arial"/>
        </w:rPr>
        <w:t>these natural experiments in industrial reorganisation (Preston, 2001</w:t>
      </w:r>
      <w:r w:rsidR="00D11BCF" w:rsidRPr="00C310FD">
        <w:rPr>
          <w:rFonts w:ascii="Arial" w:hAnsi="Arial" w:cs="Arial"/>
        </w:rPr>
        <w:t>a</w:t>
      </w:r>
      <w:r w:rsidR="00B524AA" w:rsidRPr="00C310FD">
        <w:rPr>
          <w:rFonts w:ascii="Arial" w:hAnsi="Arial" w:cs="Arial"/>
        </w:rPr>
        <w:t>).</w:t>
      </w:r>
      <w:r w:rsidR="007C4398" w:rsidRPr="00C310FD">
        <w:rPr>
          <w:rFonts w:ascii="Arial" w:hAnsi="Arial" w:cs="Arial"/>
        </w:rPr>
        <w:t xml:space="preserve"> </w:t>
      </w:r>
      <w:r w:rsidR="0034611B" w:rsidRPr="00C310FD">
        <w:rPr>
          <w:rFonts w:ascii="Arial" w:hAnsi="Arial" w:cs="Arial"/>
        </w:rPr>
        <w:t xml:space="preserve">This was against the background of an international movement of neoliberal reforms in a range of economic sectors (Saal and Parker, 2003, and Crew and Parker, 2006). </w:t>
      </w:r>
      <w:r w:rsidR="00B524AA" w:rsidRPr="00C310FD">
        <w:rPr>
          <w:rFonts w:ascii="Arial" w:hAnsi="Arial" w:cs="Arial"/>
        </w:rPr>
        <w:t>A remarkable feature of the</w:t>
      </w:r>
      <w:r w:rsidR="0034611B" w:rsidRPr="00C310FD">
        <w:rPr>
          <w:rFonts w:ascii="Arial" w:hAnsi="Arial" w:cs="Arial"/>
        </w:rPr>
        <w:t xml:space="preserve"> public transport</w:t>
      </w:r>
      <w:r w:rsidR="00B524AA" w:rsidRPr="00C310FD">
        <w:rPr>
          <w:rFonts w:ascii="Arial" w:hAnsi="Arial" w:cs="Arial"/>
        </w:rPr>
        <w:t xml:space="preserve"> reforms</w:t>
      </w:r>
      <w:r w:rsidR="0034611B" w:rsidRPr="00C310FD">
        <w:rPr>
          <w:rFonts w:ascii="Arial" w:hAnsi="Arial" w:cs="Arial"/>
        </w:rPr>
        <w:t xml:space="preserve"> in Great Britain</w:t>
      </w:r>
      <w:r w:rsidR="00B524AA" w:rsidRPr="00C310FD">
        <w:rPr>
          <w:rFonts w:ascii="Arial" w:hAnsi="Arial" w:cs="Arial"/>
        </w:rPr>
        <w:t xml:space="preserve"> has been their longevity. The regimes established for local buses in </w:t>
      </w:r>
      <w:r w:rsidR="00B524AA" w:rsidRPr="00C310FD">
        <w:rPr>
          <w:rFonts w:ascii="Arial" w:hAnsi="Arial" w:cs="Arial"/>
        </w:rPr>
        <w:lastRenderedPageBreak/>
        <w:t>the mid-1980s and for national rail in the mid-1990 were largely intact in 2020, although there had been some changes in emphasis in the intervening period.</w:t>
      </w:r>
      <w:r w:rsidR="00683BC7" w:rsidRPr="00C310FD">
        <w:rPr>
          <w:rFonts w:ascii="Arial" w:hAnsi="Arial" w:cs="Arial"/>
        </w:rPr>
        <w:t xml:space="preserve"> This stability is particularly remarkable as the reforms have spanned </w:t>
      </w:r>
      <w:r w:rsidR="00EF74C2">
        <w:rPr>
          <w:rFonts w:ascii="Arial" w:hAnsi="Arial" w:cs="Arial"/>
        </w:rPr>
        <w:t xml:space="preserve">three </w:t>
      </w:r>
      <w:r w:rsidR="00683BC7" w:rsidRPr="00C310FD">
        <w:rPr>
          <w:rFonts w:ascii="Arial" w:hAnsi="Arial" w:cs="Arial"/>
        </w:rPr>
        <w:t>changes in political control at the national level: in 1997 (Labour), 2010 (Conservative – Liberal Democrat Coalition) and 2015 (Conservative).</w:t>
      </w:r>
    </w:p>
    <w:p w14:paraId="410862EB" w14:textId="65184A4C" w:rsidR="00A31C6F" w:rsidRPr="00C310FD" w:rsidRDefault="00A31C6F" w:rsidP="001C0E4B">
      <w:pPr>
        <w:spacing w:line="276" w:lineRule="auto"/>
        <w:rPr>
          <w:rFonts w:ascii="Arial" w:hAnsi="Arial" w:cs="Arial"/>
        </w:rPr>
      </w:pPr>
      <w:r w:rsidRPr="00C310FD">
        <w:rPr>
          <w:rFonts w:ascii="Arial" w:hAnsi="Arial" w:cs="Arial"/>
        </w:rPr>
        <w:t>The possibility of a new regime was indicated by two policy documents published in 2021. A National Bus Strategy for England (local buses being a devolved responsibility) was produced in March</w:t>
      </w:r>
      <w:r w:rsidR="0034611B" w:rsidRPr="00C310FD">
        <w:rPr>
          <w:rFonts w:ascii="Arial" w:hAnsi="Arial" w:cs="Arial"/>
        </w:rPr>
        <w:t xml:space="preserve"> (DfT, 2021)</w:t>
      </w:r>
      <w:r w:rsidRPr="00C310FD">
        <w:rPr>
          <w:rFonts w:ascii="Arial" w:hAnsi="Arial" w:cs="Arial"/>
        </w:rPr>
        <w:t>, whilst the Williams-</w:t>
      </w:r>
      <w:proofErr w:type="spellStart"/>
      <w:r w:rsidRPr="00C310FD">
        <w:rPr>
          <w:rFonts w:ascii="Arial" w:hAnsi="Arial" w:cs="Arial"/>
        </w:rPr>
        <w:t>Shapps</w:t>
      </w:r>
      <w:proofErr w:type="spellEnd"/>
      <w:r w:rsidRPr="00C310FD">
        <w:rPr>
          <w:rFonts w:ascii="Arial" w:hAnsi="Arial" w:cs="Arial"/>
        </w:rPr>
        <w:t xml:space="preserve"> Plan for rail was published in May</w:t>
      </w:r>
      <w:r w:rsidR="00B97A92">
        <w:rPr>
          <w:rFonts w:ascii="Arial" w:hAnsi="Arial" w:cs="Arial"/>
        </w:rPr>
        <w:t xml:space="preserve"> (CP 423, 2021)</w:t>
      </w:r>
      <w:r w:rsidRPr="00C310FD">
        <w:rPr>
          <w:rFonts w:ascii="Arial" w:hAnsi="Arial" w:cs="Arial"/>
        </w:rPr>
        <w:t xml:space="preserve">. These policy documents will be discussed in turn and then related to recent trends in the two industries. Some </w:t>
      </w:r>
      <w:r w:rsidR="001E4BDE">
        <w:rPr>
          <w:rFonts w:ascii="Arial" w:hAnsi="Arial" w:cs="Arial"/>
        </w:rPr>
        <w:t xml:space="preserve">likely </w:t>
      </w:r>
      <w:r w:rsidRPr="00C310FD">
        <w:rPr>
          <w:rFonts w:ascii="Arial" w:hAnsi="Arial" w:cs="Arial"/>
        </w:rPr>
        <w:t xml:space="preserve">future directions </w:t>
      </w:r>
      <w:r w:rsidR="001E4BDE">
        <w:rPr>
          <w:rFonts w:ascii="Arial" w:hAnsi="Arial" w:cs="Arial"/>
        </w:rPr>
        <w:t>will be discussed and</w:t>
      </w:r>
      <w:r w:rsidRPr="00C310FD">
        <w:rPr>
          <w:rFonts w:ascii="Arial" w:hAnsi="Arial" w:cs="Arial"/>
        </w:rPr>
        <w:t xml:space="preserve"> then </w:t>
      </w:r>
      <w:r w:rsidR="001E4BDE">
        <w:rPr>
          <w:rFonts w:ascii="Arial" w:hAnsi="Arial" w:cs="Arial"/>
        </w:rPr>
        <w:t xml:space="preserve">some conclusions </w:t>
      </w:r>
      <w:r w:rsidRPr="00C310FD">
        <w:rPr>
          <w:rFonts w:ascii="Arial" w:hAnsi="Arial" w:cs="Arial"/>
        </w:rPr>
        <w:t>d</w:t>
      </w:r>
      <w:r w:rsidR="009D2692">
        <w:rPr>
          <w:rFonts w:ascii="Arial" w:hAnsi="Arial" w:cs="Arial"/>
        </w:rPr>
        <w:t>rawn</w:t>
      </w:r>
      <w:r w:rsidRPr="00C310FD">
        <w:rPr>
          <w:rFonts w:ascii="Arial" w:hAnsi="Arial" w:cs="Arial"/>
        </w:rPr>
        <w:t>.</w:t>
      </w:r>
      <w:r w:rsidR="001C76D7">
        <w:rPr>
          <w:rFonts w:ascii="Arial" w:hAnsi="Arial" w:cs="Arial"/>
        </w:rPr>
        <w:t xml:space="preserve"> The objective of this paper is to provide a critical review of these two policy documents, with reference to their historical and contemporary contexts</w:t>
      </w:r>
      <w:r w:rsidR="00F60F1C">
        <w:rPr>
          <w:rFonts w:ascii="Arial" w:hAnsi="Arial" w:cs="Arial"/>
        </w:rPr>
        <w:t xml:space="preserve">, </w:t>
      </w:r>
      <w:r w:rsidR="001E4BDE">
        <w:rPr>
          <w:rFonts w:ascii="Arial" w:hAnsi="Arial" w:cs="Arial"/>
        </w:rPr>
        <w:t xml:space="preserve">including </w:t>
      </w:r>
      <w:r w:rsidR="00F60F1C">
        <w:rPr>
          <w:rFonts w:ascii="Arial" w:hAnsi="Arial" w:cs="Arial"/>
        </w:rPr>
        <w:t>data on key trends in the two industries</w:t>
      </w:r>
      <w:r w:rsidR="001E4BDE">
        <w:rPr>
          <w:rFonts w:ascii="Arial" w:hAnsi="Arial" w:cs="Arial"/>
        </w:rPr>
        <w:t>,</w:t>
      </w:r>
      <w:r w:rsidR="001C76D7">
        <w:rPr>
          <w:rFonts w:ascii="Arial" w:hAnsi="Arial" w:cs="Arial"/>
        </w:rPr>
        <w:t xml:space="preserve"> and to the literature on regulatory cycles in transport.</w:t>
      </w:r>
      <w:r w:rsidR="00A621E6">
        <w:rPr>
          <w:rFonts w:ascii="Arial" w:hAnsi="Arial" w:cs="Arial"/>
        </w:rPr>
        <w:t xml:space="preserve"> It is not the intention to provide a review of the international experience of reforms in bus and rail markets – such reviews are provided, for example, by </w:t>
      </w:r>
      <w:r w:rsidR="001456AF">
        <w:rPr>
          <w:rFonts w:ascii="Arial" w:hAnsi="Arial" w:cs="Arial"/>
        </w:rPr>
        <w:t xml:space="preserve">Sheng and Meng (2020) </w:t>
      </w:r>
      <w:r w:rsidR="00A621E6">
        <w:rPr>
          <w:rFonts w:ascii="Arial" w:hAnsi="Arial" w:cs="Arial"/>
        </w:rPr>
        <w:t>and Ait Ali and Eliasson (2021) respectively</w:t>
      </w:r>
    </w:p>
    <w:p w14:paraId="4F9D0144" w14:textId="7872A782" w:rsidR="00470CA3" w:rsidRPr="00C310FD" w:rsidRDefault="00470CA3" w:rsidP="00F43BE9">
      <w:pPr>
        <w:rPr>
          <w:rFonts w:ascii="Arial" w:hAnsi="Arial" w:cs="Arial"/>
          <w:b/>
          <w:bCs/>
        </w:rPr>
      </w:pPr>
      <w:r w:rsidRPr="00C310FD">
        <w:rPr>
          <w:rFonts w:ascii="Arial" w:hAnsi="Arial" w:cs="Arial"/>
          <w:b/>
          <w:bCs/>
        </w:rPr>
        <w:t xml:space="preserve">2. The Bus Industry and </w:t>
      </w:r>
      <w:r w:rsidR="00D671E2">
        <w:rPr>
          <w:rFonts w:ascii="Arial" w:hAnsi="Arial" w:cs="Arial"/>
          <w:b/>
          <w:bCs/>
        </w:rPr>
        <w:t xml:space="preserve">the National </w:t>
      </w:r>
      <w:r w:rsidRPr="00C310FD">
        <w:rPr>
          <w:rFonts w:ascii="Arial" w:hAnsi="Arial" w:cs="Arial"/>
          <w:b/>
          <w:bCs/>
        </w:rPr>
        <w:t xml:space="preserve">Bus </w:t>
      </w:r>
      <w:r w:rsidR="00D671E2">
        <w:rPr>
          <w:rFonts w:ascii="Arial" w:hAnsi="Arial" w:cs="Arial"/>
          <w:b/>
          <w:bCs/>
        </w:rPr>
        <w:t>Strategy</w:t>
      </w:r>
    </w:p>
    <w:p w14:paraId="66BFD1C4" w14:textId="4B42994D" w:rsidR="006E1ECF" w:rsidRPr="00C310FD" w:rsidRDefault="00D66DCC" w:rsidP="001C0E4B">
      <w:pPr>
        <w:tabs>
          <w:tab w:val="num" w:pos="720"/>
        </w:tabs>
        <w:spacing w:line="276" w:lineRule="auto"/>
        <w:rPr>
          <w:rFonts w:ascii="Arial" w:hAnsi="Arial" w:cs="Arial"/>
          <w:lang w:val="en-US"/>
        </w:rPr>
      </w:pPr>
      <w:r w:rsidRPr="00C310FD">
        <w:rPr>
          <w:rFonts w:ascii="Arial" w:hAnsi="Arial" w:cs="Arial"/>
        </w:rPr>
        <w:t xml:space="preserve">The </w:t>
      </w:r>
      <w:r w:rsidR="006259FB" w:rsidRPr="00C310FD">
        <w:rPr>
          <w:rFonts w:ascii="Arial" w:hAnsi="Arial" w:cs="Arial"/>
        </w:rPr>
        <w:t>1985 Transport Act</w:t>
      </w:r>
      <w:r w:rsidRPr="00C310FD">
        <w:rPr>
          <w:rFonts w:ascii="Arial" w:hAnsi="Arial" w:cs="Arial"/>
        </w:rPr>
        <w:t xml:space="preserve"> was a package of reform</w:t>
      </w:r>
      <w:r w:rsidR="00B97A92">
        <w:rPr>
          <w:rFonts w:ascii="Arial" w:hAnsi="Arial" w:cs="Arial"/>
        </w:rPr>
        <w:t>s</w:t>
      </w:r>
      <w:r w:rsidRPr="00C310FD">
        <w:rPr>
          <w:rFonts w:ascii="Arial" w:hAnsi="Arial" w:cs="Arial"/>
        </w:rPr>
        <w:t>. In addition, to the q</w:t>
      </w:r>
      <w:r w:rsidR="006259FB" w:rsidRPr="00C310FD">
        <w:rPr>
          <w:rFonts w:ascii="Arial" w:hAnsi="Arial" w:cs="Arial"/>
        </w:rPr>
        <w:t>uantity deregulation of local buses outside London</w:t>
      </w:r>
      <w:r w:rsidRPr="00C310FD">
        <w:rPr>
          <w:rFonts w:ascii="Arial" w:hAnsi="Arial" w:cs="Arial"/>
        </w:rPr>
        <w:t xml:space="preserve"> (fares having been deregulated by the 1980 Act), it also introduced c</w:t>
      </w:r>
      <w:r w:rsidR="006259FB" w:rsidRPr="00C310FD">
        <w:rPr>
          <w:rFonts w:ascii="Arial" w:hAnsi="Arial" w:cs="Arial"/>
        </w:rPr>
        <w:t>ompetitive tendering of socially necessary services</w:t>
      </w:r>
      <w:r w:rsidRPr="00C310FD">
        <w:rPr>
          <w:rFonts w:ascii="Arial" w:hAnsi="Arial" w:cs="Arial"/>
        </w:rPr>
        <w:t>, the c</w:t>
      </w:r>
      <w:r w:rsidR="006259FB" w:rsidRPr="00C310FD">
        <w:rPr>
          <w:rFonts w:ascii="Arial" w:hAnsi="Arial" w:cs="Arial"/>
        </w:rPr>
        <w:t xml:space="preserve">ommercialisation and privatisation of </w:t>
      </w:r>
      <w:r w:rsidRPr="00C310FD">
        <w:rPr>
          <w:rFonts w:ascii="Arial" w:hAnsi="Arial" w:cs="Arial"/>
        </w:rPr>
        <w:t>nationally and municipally owned bus fleets and the t</w:t>
      </w:r>
      <w:r w:rsidR="006259FB" w:rsidRPr="00C310FD">
        <w:rPr>
          <w:rFonts w:ascii="Arial" w:hAnsi="Arial" w:cs="Arial"/>
        </w:rPr>
        <w:t xml:space="preserve">ightening of regulations concerning safety </w:t>
      </w:r>
      <w:r w:rsidRPr="00C310FD">
        <w:rPr>
          <w:rFonts w:ascii="Arial" w:hAnsi="Arial" w:cs="Arial"/>
        </w:rPr>
        <w:t xml:space="preserve">(enforced by the Traffic Commissioners) </w:t>
      </w:r>
      <w:r w:rsidR="006259FB" w:rsidRPr="00C310FD">
        <w:rPr>
          <w:rFonts w:ascii="Arial" w:hAnsi="Arial" w:cs="Arial"/>
        </w:rPr>
        <w:t>and competitive behaviour</w:t>
      </w:r>
      <w:r w:rsidRPr="00C310FD">
        <w:rPr>
          <w:rFonts w:ascii="Arial" w:hAnsi="Arial" w:cs="Arial"/>
        </w:rPr>
        <w:t xml:space="preserve"> (enforced by the Office of Fair Trading)</w:t>
      </w:r>
      <w:r w:rsidR="006259FB" w:rsidRPr="00C310FD">
        <w:rPr>
          <w:rFonts w:ascii="Arial" w:hAnsi="Arial" w:cs="Arial"/>
        </w:rPr>
        <w:t>.</w:t>
      </w:r>
      <w:r w:rsidR="006E1ECF" w:rsidRPr="00C310FD">
        <w:rPr>
          <w:rFonts w:ascii="Arial" w:hAnsi="Arial" w:cs="Arial"/>
        </w:rPr>
        <w:t xml:space="preserve"> </w:t>
      </w:r>
      <w:r w:rsidR="001C76D7">
        <w:rPr>
          <w:rFonts w:ascii="Arial" w:hAnsi="Arial" w:cs="Arial"/>
        </w:rPr>
        <w:t xml:space="preserve">The rationale behind the reforms was articulated by </w:t>
      </w:r>
      <w:proofErr w:type="spellStart"/>
      <w:r w:rsidR="001C76D7">
        <w:rPr>
          <w:rFonts w:ascii="Arial" w:hAnsi="Arial" w:cs="Arial"/>
        </w:rPr>
        <w:t>Beesley</w:t>
      </w:r>
      <w:proofErr w:type="spellEnd"/>
      <w:r w:rsidR="001C76D7">
        <w:rPr>
          <w:rFonts w:ascii="Arial" w:hAnsi="Arial" w:cs="Arial"/>
        </w:rPr>
        <w:t xml:space="preserve"> and </w:t>
      </w:r>
      <w:proofErr w:type="spellStart"/>
      <w:r w:rsidR="001C76D7">
        <w:rPr>
          <w:rFonts w:ascii="Arial" w:hAnsi="Arial" w:cs="Arial"/>
        </w:rPr>
        <w:t>Glaister</w:t>
      </w:r>
      <w:proofErr w:type="spellEnd"/>
      <w:r w:rsidR="001C76D7">
        <w:rPr>
          <w:rFonts w:ascii="Arial" w:hAnsi="Arial" w:cs="Arial"/>
        </w:rPr>
        <w:t xml:space="preserve"> </w:t>
      </w:r>
      <w:r w:rsidR="00875867">
        <w:rPr>
          <w:rFonts w:ascii="Arial" w:hAnsi="Arial" w:cs="Arial"/>
        </w:rPr>
        <w:t xml:space="preserve">(1985). It was believed that the reforms would reverse the long-run decline of the local bus industry by introducing competition, reducing costs and achieving a better mix of services and fares, whilst not having any undesirable spin-offs. Some counterarguments were provided by </w:t>
      </w:r>
      <w:proofErr w:type="spellStart"/>
      <w:r w:rsidR="00875867">
        <w:rPr>
          <w:rFonts w:ascii="Arial" w:hAnsi="Arial" w:cs="Arial"/>
        </w:rPr>
        <w:t>Gwilliam</w:t>
      </w:r>
      <w:proofErr w:type="spellEnd"/>
      <w:r w:rsidR="00875867">
        <w:rPr>
          <w:rFonts w:ascii="Arial" w:hAnsi="Arial" w:cs="Arial"/>
        </w:rPr>
        <w:t xml:space="preserve"> et al. (1985). </w:t>
      </w:r>
      <w:r w:rsidR="006E1ECF" w:rsidRPr="00C310FD">
        <w:rPr>
          <w:rFonts w:ascii="Arial" w:hAnsi="Arial" w:cs="Arial"/>
        </w:rPr>
        <w:t>The long</w:t>
      </w:r>
      <w:r w:rsidR="00FA2052" w:rsidRPr="00C310FD">
        <w:rPr>
          <w:rFonts w:ascii="Arial" w:hAnsi="Arial" w:cs="Arial"/>
        </w:rPr>
        <w:t>-</w:t>
      </w:r>
      <w:r w:rsidR="006E1ECF" w:rsidRPr="00C310FD">
        <w:rPr>
          <w:rFonts w:ascii="Arial" w:hAnsi="Arial" w:cs="Arial"/>
        </w:rPr>
        <w:t xml:space="preserve">term impacts of this package of reforms were assessed by </w:t>
      </w:r>
      <w:r w:rsidR="006E1ECF" w:rsidRPr="00C310FD">
        <w:rPr>
          <w:rFonts w:ascii="Arial" w:hAnsi="Arial" w:cs="Arial"/>
          <w:lang w:val="en-US"/>
        </w:rPr>
        <w:t>Preston and Almutairi (2013, 2014)</w:t>
      </w:r>
      <w:r w:rsidR="009D2692">
        <w:rPr>
          <w:rFonts w:ascii="Arial" w:hAnsi="Arial" w:cs="Arial"/>
          <w:lang w:val="en-US"/>
        </w:rPr>
        <w:t xml:space="preserve"> who argued that the main effects had worked their way th</w:t>
      </w:r>
      <w:r w:rsidR="001C76D7">
        <w:rPr>
          <w:rFonts w:ascii="Arial" w:hAnsi="Arial" w:cs="Arial"/>
          <w:lang w:val="en-US"/>
        </w:rPr>
        <w:t>r</w:t>
      </w:r>
      <w:r w:rsidR="009D2692">
        <w:rPr>
          <w:rFonts w:ascii="Arial" w:hAnsi="Arial" w:cs="Arial"/>
          <w:lang w:val="en-US"/>
        </w:rPr>
        <w:t>ough the system by around 2000, a period of some 15 years</w:t>
      </w:r>
      <w:r w:rsidR="00C06355">
        <w:rPr>
          <w:rFonts w:ascii="Arial" w:hAnsi="Arial" w:cs="Arial"/>
          <w:lang w:val="en-US"/>
        </w:rPr>
        <w:t xml:space="preserve"> and the reforms had not, in the main, reversed the long-run decline of local buses in Great Britain outside London, although there has been some success in London with a regulatory regime of comprehensive tendering</w:t>
      </w:r>
      <w:r w:rsidR="009D2692">
        <w:rPr>
          <w:rFonts w:ascii="Arial" w:hAnsi="Arial" w:cs="Arial"/>
          <w:lang w:val="en-US"/>
        </w:rPr>
        <w:t>.</w:t>
      </w:r>
      <w:r w:rsidR="006E1ECF" w:rsidRPr="00C310FD">
        <w:rPr>
          <w:rFonts w:ascii="Arial" w:hAnsi="Arial" w:cs="Arial"/>
          <w:lang w:val="en-US"/>
        </w:rPr>
        <w:t xml:space="preserve"> </w:t>
      </w:r>
    </w:p>
    <w:p w14:paraId="450460DC" w14:textId="149F430F" w:rsidR="007C49AF" w:rsidRPr="00C310FD" w:rsidRDefault="00C06355" w:rsidP="001C0E4B">
      <w:pPr>
        <w:tabs>
          <w:tab w:val="num" w:pos="720"/>
        </w:tabs>
        <w:spacing w:line="276" w:lineRule="auto"/>
        <w:rPr>
          <w:rFonts w:ascii="Arial" w:hAnsi="Arial" w:cs="Arial"/>
        </w:rPr>
      </w:pPr>
      <w:r>
        <w:rPr>
          <w:rFonts w:ascii="Arial" w:hAnsi="Arial" w:cs="Arial"/>
          <w:lang w:val="en-US"/>
        </w:rPr>
        <w:t>Given concerns that bus deregulation has not worked out in the manner intended, t</w:t>
      </w:r>
      <w:r w:rsidR="006E1ECF" w:rsidRPr="00C310FD">
        <w:rPr>
          <w:rFonts w:ascii="Arial" w:hAnsi="Arial" w:cs="Arial"/>
          <w:lang w:val="en-US"/>
        </w:rPr>
        <w:t xml:space="preserve">here has been </w:t>
      </w:r>
      <w:r>
        <w:rPr>
          <w:rFonts w:ascii="Arial" w:hAnsi="Arial" w:cs="Arial"/>
          <w:lang w:val="en-US"/>
        </w:rPr>
        <w:t>a raft of</w:t>
      </w:r>
      <w:r w:rsidR="006E1ECF" w:rsidRPr="00C310FD">
        <w:rPr>
          <w:rFonts w:ascii="Arial" w:hAnsi="Arial" w:cs="Arial"/>
          <w:lang w:val="en-US"/>
        </w:rPr>
        <w:t xml:space="preserve"> subsequent legislation and policy documents</w:t>
      </w:r>
      <w:r w:rsidR="00B97A92">
        <w:rPr>
          <w:rFonts w:ascii="Arial" w:hAnsi="Arial" w:cs="Arial"/>
          <w:lang w:val="en-US"/>
        </w:rPr>
        <w:t xml:space="preserve"> affecting buses</w:t>
      </w:r>
      <w:r w:rsidR="006E1ECF" w:rsidRPr="00C310FD">
        <w:rPr>
          <w:rFonts w:ascii="Arial" w:hAnsi="Arial" w:cs="Arial"/>
          <w:lang w:val="en-US"/>
        </w:rPr>
        <w:t xml:space="preserve">. New </w:t>
      </w:r>
      <w:r w:rsidR="006E1ECF" w:rsidRPr="00D73561">
        <w:rPr>
          <w:rFonts w:ascii="Arial" w:hAnsi="Arial" w:cs="Arial"/>
        </w:rPr>
        <w:t>Labour</w:t>
      </w:r>
      <w:r w:rsidR="006E1ECF" w:rsidRPr="00C310FD">
        <w:rPr>
          <w:rFonts w:ascii="Arial" w:hAnsi="Arial" w:cs="Arial"/>
          <w:lang w:val="en-US"/>
        </w:rPr>
        <w:t xml:space="preserve"> developed an Integrated Transport White Paper (that led to the </w:t>
      </w:r>
      <w:r w:rsidR="006259FB" w:rsidRPr="00C310FD">
        <w:rPr>
          <w:rFonts w:ascii="Arial" w:hAnsi="Arial" w:cs="Arial"/>
        </w:rPr>
        <w:t>2000 Transport Act</w:t>
      </w:r>
      <w:proofErr w:type="gramStart"/>
      <w:r w:rsidR="006E1ECF" w:rsidRPr="00C310FD">
        <w:rPr>
          <w:rFonts w:ascii="Arial" w:hAnsi="Arial" w:cs="Arial"/>
        </w:rPr>
        <w:t>)</w:t>
      </w:r>
      <w:proofErr w:type="gramEnd"/>
      <w:r w:rsidR="006E1ECF" w:rsidRPr="00C310FD">
        <w:rPr>
          <w:rFonts w:ascii="Arial" w:hAnsi="Arial" w:cs="Arial"/>
        </w:rPr>
        <w:t xml:space="preserve"> and this was accompanied by a series of daughter documents, includ</w:t>
      </w:r>
      <w:r w:rsidR="00B97A92">
        <w:rPr>
          <w:rFonts w:ascii="Arial" w:hAnsi="Arial" w:cs="Arial"/>
        </w:rPr>
        <w:t>ing</w:t>
      </w:r>
      <w:r w:rsidR="006E1ECF" w:rsidRPr="00C310FD">
        <w:rPr>
          <w:rFonts w:ascii="Arial" w:hAnsi="Arial" w:cs="Arial"/>
        </w:rPr>
        <w:t xml:space="preserve"> one on bus entitled From Workhorse to Thoroughbred</w:t>
      </w:r>
      <w:r w:rsidR="00B97A92">
        <w:rPr>
          <w:rFonts w:ascii="Arial" w:hAnsi="Arial" w:cs="Arial"/>
        </w:rPr>
        <w:t xml:space="preserve"> (DETR, 1999)</w:t>
      </w:r>
      <w:r w:rsidR="006E1ECF" w:rsidRPr="00C310FD">
        <w:rPr>
          <w:rFonts w:ascii="Arial" w:hAnsi="Arial" w:cs="Arial"/>
        </w:rPr>
        <w:t>. This was modest in both ambition and outcome. As was noted around that time “</w:t>
      </w:r>
      <w:r w:rsidR="006E1ECF" w:rsidRPr="00C310FD">
        <w:rPr>
          <w:rFonts w:ascii="Arial" w:hAnsi="Arial" w:cs="Arial"/>
          <w:i/>
          <w:iCs/>
        </w:rPr>
        <w:t xml:space="preserve">policy makers need to work towards re-establishing the bus as a workhorse before they can think of it becoming a thoroughbred. By the 1990s, it had become something of a semi-retired pit pony in large parts of the country” </w:t>
      </w:r>
      <w:r w:rsidR="006E1ECF" w:rsidRPr="00C310FD">
        <w:rPr>
          <w:rFonts w:ascii="Arial" w:hAnsi="Arial" w:cs="Arial"/>
        </w:rPr>
        <w:t xml:space="preserve">(Preston, 2003, </w:t>
      </w:r>
      <w:r w:rsidR="00A30ECD" w:rsidRPr="00C310FD">
        <w:rPr>
          <w:rFonts w:ascii="Arial" w:hAnsi="Arial" w:cs="Arial"/>
        </w:rPr>
        <w:t xml:space="preserve">173). </w:t>
      </w:r>
      <w:r w:rsidR="004E0DA8" w:rsidRPr="00C310FD">
        <w:rPr>
          <w:rFonts w:ascii="Arial" w:hAnsi="Arial" w:cs="Arial"/>
        </w:rPr>
        <w:t>The 2000 Transport Act made p</w:t>
      </w:r>
      <w:r w:rsidR="006259FB" w:rsidRPr="00C310FD">
        <w:rPr>
          <w:rFonts w:ascii="Arial" w:hAnsi="Arial" w:cs="Arial"/>
        </w:rPr>
        <w:t>rovision for Statutory Quality Partnerships (SQPs) and for Quality Contracts (QCs)</w:t>
      </w:r>
      <w:r w:rsidR="004E0DA8" w:rsidRPr="00C310FD">
        <w:rPr>
          <w:rFonts w:ascii="Arial" w:hAnsi="Arial" w:cs="Arial"/>
        </w:rPr>
        <w:t xml:space="preserve">, with the latter being based on the comprehensive competitive tendering model in existence in London, but in the event no QCs were established, whilst there were  only two SQPs. </w:t>
      </w:r>
      <w:r w:rsidR="00B97A92">
        <w:rPr>
          <w:rFonts w:ascii="Arial" w:hAnsi="Arial" w:cs="Arial"/>
        </w:rPr>
        <w:t xml:space="preserve">Voluntary </w:t>
      </w:r>
      <w:r w:rsidR="004E0DA8" w:rsidRPr="00C310FD">
        <w:rPr>
          <w:rFonts w:ascii="Arial" w:hAnsi="Arial" w:cs="Arial"/>
        </w:rPr>
        <w:t xml:space="preserve">Quality Partnerships between bus operators and </w:t>
      </w:r>
      <w:r w:rsidR="00B91874" w:rsidRPr="00C310FD">
        <w:rPr>
          <w:rFonts w:ascii="Arial" w:hAnsi="Arial" w:cs="Arial"/>
        </w:rPr>
        <w:t>authorities emerged in the 1990s and were seen as a form of light touch regulation (</w:t>
      </w:r>
      <w:proofErr w:type="spellStart"/>
      <w:r w:rsidR="00B91874" w:rsidRPr="00C310FD">
        <w:rPr>
          <w:rFonts w:ascii="Arial" w:hAnsi="Arial" w:cs="Arial"/>
        </w:rPr>
        <w:t>Carr</w:t>
      </w:r>
      <w:proofErr w:type="spellEnd"/>
      <w:r w:rsidR="00B91874" w:rsidRPr="00C310FD">
        <w:rPr>
          <w:rFonts w:ascii="Arial" w:hAnsi="Arial" w:cs="Arial"/>
        </w:rPr>
        <w:t xml:space="preserve">, </w:t>
      </w:r>
      <w:r w:rsidR="00B91874" w:rsidRPr="00C310FD">
        <w:rPr>
          <w:rFonts w:ascii="Arial" w:hAnsi="Arial" w:cs="Arial"/>
        </w:rPr>
        <w:lastRenderedPageBreak/>
        <w:t xml:space="preserve">1997). </w:t>
      </w:r>
      <w:r w:rsidR="004E0DA8" w:rsidRPr="00C310FD">
        <w:rPr>
          <w:rFonts w:ascii="Arial" w:hAnsi="Arial" w:cs="Arial"/>
        </w:rPr>
        <w:t xml:space="preserve"> </w:t>
      </w:r>
      <w:r w:rsidR="00B91874" w:rsidRPr="00C310FD">
        <w:rPr>
          <w:rFonts w:ascii="Arial" w:hAnsi="Arial" w:cs="Arial"/>
        </w:rPr>
        <w:t xml:space="preserve">By the beginning of the next decade, Preston et al. (2005) </w:t>
      </w:r>
      <w:proofErr w:type="gramStart"/>
      <w:r w:rsidR="00B91874" w:rsidRPr="00C310FD">
        <w:rPr>
          <w:rFonts w:ascii="Arial" w:hAnsi="Arial" w:cs="Arial"/>
        </w:rPr>
        <w:t>were</w:t>
      </w:r>
      <w:proofErr w:type="gramEnd"/>
      <w:r w:rsidR="00B91874" w:rsidRPr="00C310FD">
        <w:rPr>
          <w:rFonts w:ascii="Arial" w:hAnsi="Arial" w:cs="Arial"/>
        </w:rPr>
        <w:t xml:space="preserve"> reporting on 30 Voluntary Quality Partnerships. The </w:t>
      </w:r>
      <w:r w:rsidR="006259FB" w:rsidRPr="00C310FD">
        <w:rPr>
          <w:rFonts w:ascii="Arial" w:hAnsi="Arial" w:cs="Arial"/>
          <w:lang w:val="en-US"/>
        </w:rPr>
        <w:t xml:space="preserve">2008 Local Transport Act  </w:t>
      </w:r>
      <w:r w:rsidR="00B91874" w:rsidRPr="00C310FD">
        <w:rPr>
          <w:rFonts w:ascii="Arial" w:hAnsi="Arial" w:cs="Arial"/>
          <w:lang w:val="en-US"/>
        </w:rPr>
        <w:t xml:space="preserve">introduced some measure to overcome the barriers to the establishment of SQPs and QCs, including the development of </w:t>
      </w:r>
      <w:r w:rsidR="006259FB" w:rsidRPr="00C310FD">
        <w:rPr>
          <w:rFonts w:ascii="Arial" w:hAnsi="Arial" w:cs="Arial"/>
          <w:lang w:val="en-US"/>
        </w:rPr>
        <w:t>Integrated Transport Authorities (ITAs).</w:t>
      </w:r>
      <w:r w:rsidR="00A35A95" w:rsidRPr="00C310FD">
        <w:rPr>
          <w:rFonts w:ascii="Arial" w:hAnsi="Arial" w:cs="Arial"/>
          <w:lang w:val="en-US"/>
        </w:rPr>
        <w:t xml:space="preserve"> This had some limited success, with </w:t>
      </w:r>
      <w:r w:rsidR="00A35A95" w:rsidRPr="00C310FD">
        <w:rPr>
          <w:rFonts w:ascii="Arial" w:hAnsi="Arial" w:cs="Arial"/>
        </w:rPr>
        <w:t xml:space="preserve">Rye and </w:t>
      </w:r>
      <w:proofErr w:type="spellStart"/>
      <w:r w:rsidR="00A35A95" w:rsidRPr="00C310FD">
        <w:rPr>
          <w:rFonts w:ascii="Arial" w:hAnsi="Arial" w:cs="Arial"/>
        </w:rPr>
        <w:t>Wretstrand</w:t>
      </w:r>
      <w:proofErr w:type="spellEnd"/>
      <w:r w:rsidR="00A35A95" w:rsidRPr="00C310FD">
        <w:rPr>
          <w:rFonts w:ascii="Arial" w:hAnsi="Arial" w:cs="Arial"/>
        </w:rPr>
        <w:t xml:space="preserve"> (2014) reporting six more SQPs</w:t>
      </w:r>
      <w:r w:rsidR="00C2581A">
        <w:rPr>
          <w:rFonts w:ascii="Arial" w:hAnsi="Arial" w:cs="Arial"/>
        </w:rPr>
        <w:t xml:space="preserve"> and Villa i Aguilar et al. (2022) reporting around 14 in total in England and </w:t>
      </w:r>
      <w:r w:rsidR="005D21A7">
        <w:rPr>
          <w:rFonts w:ascii="Arial" w:hAnsi="Arial" w:cs="Arial"/>
        </w:rPr>
        <w:t>Scotland</w:t>
      </w:r>
      <w:r w:rsidR="00A35A95" w:rsidRPr="00C310FD">
        <w:rPr>
          <w:rFonts w:ascii="Arial" w:hAnsi="Arial" w:cs="Arial"/>
        </w:rPr>
        <w:t xml:space="preserve">. </w:t>
      </w:r>
      <w:r w:rsidR="00713EB8">
        <w:rPr>
          <w:rFonts w:ascii="Arial" w:hAnsi="Arial" w:cs="Arial"/>
        </w:rPr>
        <w:t xml:space="preserve">However, the only QC scheme that was progressed (in Tyne and Wear) ultimately failed to gain approval (McTigue et al., 2020). </w:t>
      </w:r>
      <w:r w:rsidR="00A35A95" w:rsidRPr="00C310FD">
        <w:rPr>
          <w:rFonts w:ascii="Arial" w:hAnsi="Arial" w:cs="Arial"/>
        </w:rPr>
        <w:t xml:space="preserve">With the onset of the Coalition Government the focus was on competition for discretionary funds with the </w:t>
      </w:r>
      <w:r w:rsidR="006259FB" w:rsidRPr="00C310FD">
        <w:rPr>
          <w:rFonts w:ascii="Arial" w:hAnsi="Arial" w:cs="Arial"/>
          <w:lang w:val="en-US"/>
        </w:rPr>
        <w:t>2012 Green Light for Better Buse</w:t>
      </w:r>
      <w:r w:rsidR="00A35A95" w:rsidRPr="00C310FD">
        <w:rPr>
          <w:rFonts w:ascii="Arial" w:hAnsi="Arial" w:cs="Arial"/>
          <w:lang w:val="en-US"/>
        </w:rPr>
        <w:t>s policy document launching the</w:t>
      </w:r>
      <w:r w:rsidR="006259FB" w:rsidRPr="00C310FD">
        <w:rPr>
          <w:rFonts w:ascii="Arial" w:hAnsi="Arial" w:cs="Arial"/>
          <w:b/>
          <w:bCs/>
          <w:lang w:val="en-US"/>
        </w:rPr>
        <w:t xml:space="preserve"> </w:t>
      </w:r>
      <w:r w:rsidR="006259FB" w:rsidRPr="00C310FD">
        <w:rPr>
          <w:rFonts w:ascii="Arial" w:hAnsi="Arial" w:cs="Arial"/>
          <w:lang w:val="en-US"/>
        </w:rPr>
        <w:t>Better Bus Area and Greener Bus Funds</w:t>
      </w:r>
      <w:r w:rsidR="00A35A95" w:rsidRPr="00C310FD">
        <w:rPr>
          <w:rFonts w:ascii="Arial" w:hAnsi="Arial" w:cs="Arial"/>
          <w:lang w:val="en-US"/>
        </w:rPr>
        <w:t xml:space="preserve"> (Preston et al</w:t>
      </w:r>
      <w:r w:rsidR="006259FB" w:rsidRPr="00C310FD">
        <w:rPr>
          <w:rFonts w:ascii="Arial" w:hAnsi="Arial" w:cs="Arial"/>
          <w:lang w:val="en-US"/>
        </w:rPr>
        <w:t>.</w:t>
      </w:r>
      <w:r w:rsidR="00A35A95" w:rsidRPr="00C310FD">
        <w:rPr>
          <w:rFonts w:ascii="Arial" w:hAnsi="Arial" w:cs="Arial"/>
          <w:lang w:val="en-US"/>
        </w:rPr>
        <w:t>, 2014).</w:t>
      </w:r>
      <w:r w:rsidR="003A28F5" w:rsidRPr="00C310FD">
        <w:rPr>
          <w:rFonts w:ascii="Arial" w:hAnsi="Arial" w:cs="Arial"/>
          <w:lang w:val="en-US"/>
        </w:rPr>
        <w:t xml:space="preserve"> </w:t>
      </w:r>
      <w:r w:rsidR="00E05D5E" w:rsidRPr="00C310FD">
        <w:rPr>
          <w:rFonts w:ascii="Arial" w:hAnsi="Arial" w:cs="Arial"/>
          <w:lang w:val="en-US"/>
        </w:rPr>
        <w:t xml:space="preserve">Subsequently, the Conservative administration implemented the </w:t>
      </w:r>
      <w:r w:rsidR="006259FB" w:rsidRPr="00C310FD">
        <w:rPr>
          <w:rFonts w:ascii="Arial" w:hAnsi="Arial" w:cs="Arial"/>
          <w:lang w:val="en-US"/>
        </w:rPr>
        <w:t>2017 Bus Services Act</w:t>
      </w:r>
      <w:r w:rsidR="00E05D5E" w:rsidRPr="00C310FD">
        <w:rPr>
          <w:rFonts w:ascii="Arial" w:hAnsi="Arial" w:cs="Arial"/>
          <w:lang w:val="en-US"/>
        </w:rPr>
        <w:t xml:space="preserve">, the third attempt to </w:t>
      </w:r>
      <w:r w:rsidR="00EF74C2">
        <w:rPr>
          <w:rFonts w:ascii="Arial" w:hAnsi="Arial" w:cs="Arial"/>
          <w:lang w:val="en-US"/>
        </w:rPr>
        <w:t>enact</w:t>
      </w:r>
      <w:r w:rsidR="00E05D5E" w:rsidRPr="00C310FD">
        <w:rPr>
          <w:rFonts w:ascii="Arial" w:hAnsi="Arial" w:cs="Arial"/>
          <w:lang w:val="en-US"/>
        </w:rPr>
        <w:t xml:space="preserve"> Quality Partnerships</w:t>
      </w:r>
      <w:r w:rsidR="006259FB" w:rsidRPr="00C310FD">
        <w:rPr>
          <w:rFonts w:ascii="Arial" w:hAnsi="Arial" w:cs="Arial"/>
          <w:lang w:val="en-US"/>
        </w:rPr>
        <w:t>. SQPs</w:t>
      </w:r>
      <w:r w:rsidR="006259FB" w:rsidRPr="00C310FD">
        <w:rPr>
          <w:rFonts w:ascii="Arial" w:hAnsi="Arial" w:cs="Arial"/>
          <w:b/>
          <w:bCs/>
          <w:lang w:val="en-US"/>
        </w:rPr>
        <w:t xml:space="preserve"> </w:t>
      </w:r>
      <w:r w:rsidR="006259FB" w:rsidRPr="00C310FD">
        <w:rPr>
          <w:rFonts w:ascii="Arial" w:hAnsi="Arial" w:cs="Arial"/>
          <w:lang w:val="en-US"/>
        </w:rPr>
        <w:t>bec</w:t>
      </w:r>
      <w:r w:rsidR="00E05D5E" w:rsidRPr="00C310FD">
        <w:rPr>
          <w:rFonts w:ascii="Arial" w:hAnsi="Arial" w:cs="Arial"/>
          <w:lang w:val="en-US"/>
        </w:rPr>
        <w:t>a</w:t>
      </w:r>
      <w:r w:rsidR="006259FB" w:rsidRPr="00C310FD">
        <w:rPr>
          <w:rFonts w:ascii="Arial" w:hAnsi="Arial" w:cs="Arial"/>
          <w:lang w:val="en-US"/>
        </w:rPr>
        <w:t>me Advanced Quality Partnerships</w:t>
      </w:r>
      <w:r w:rsidR="00E05D5E" w:rsidRPr="00C310FD">
        <w:rPr>
          <w:rFonts w:ascii="Arial" w:hAnsi="Arial" w:cs="Arial"/>
          <w:lang w:val="en-US"/>
        </w:rPr>
        <w:t xml:space="preserve"> and QCs became franchising, whilst there were </w:t>
      </w:r>
      <w:r w:rsidR="006259FB" w:rsidRPr="00C310FD">
        <w:rPr>
          <w:rFonts w:ascii="Arial" w:hAnsi="Arial" w:cs="Arial"/>
          <w:lang w:val="en-US"/>
        </w:rPr>
        <w:t>provisions for Enhanced Partnerships</w:t>
      </w:r>
      <w:r w:rsidR="00E05D5E" w:rsidRPr="00C310FD">
        <w:rPr>
          <w:rFonts w:ascii="Arial" w:hAnsi="Arial" w:cs="Arial"/>
          <w:lang w:val="en-US"/>
        </w:rPr>
        <w:t xml:space="preserve"> that permitted shared ticketing and coordinated services as had been successfully developed in Oxford </w:t>
      </w:r>
      <w:r w:rsidR="00B97A92">
        <w:rPr>
          <w:rFonts w:ascii="Arial" w:hAnsi="Arial" w:cs="Arial"/>
          <w:lang w:val="en-US"/>
        </w:rPr>
        <w:t xml:space="preserve">but had been </w:t>
      </w:r>
      <w:r w:rsidR="001E6174">
        <w:rPr>
          <w:rFonts w:ascii="Arial" w:hAnsi="Arial" w:cs="Arial"/>
          <w:lang w:val="en-US"/>
        </w:rPr>
        <w:t xml:space="preserve">previously prohibited on pro-competition grounds </w:t>
      </w:r>
      <w:r w:rsidR="006259FB" w:rsidRPr="00C310FD">
        <w:rPr>
          <w:rFonts w:ascii="Arial" w:hAnsi="Arial" w:cs="Arial"/>
          <w:lang w:val="en-US"/>
        </w:rPr>
        <w:t>(White, 2017).</w:t>
      </w:r>
      <w:r w:rsidR="007C49AF" w:rsidRPr="00C310FD">
        <w:rPr>
          <w:rFonts w:ascii="Arial" w:hAnsi="Arial" w:cs="Arial"/>
          <w:lang w:val="en-US"/>
        </w:rPr>
        <w:t xml:space="preserve"> The Department for Transport </w:t>
      </w:r>
      <w:r w:rsidR="00BA769A" w:rsidRPr="00C310FD">
        <w:rPr>
          <w:rFonts w:ascii="Arial" w:hAnsi="Arial" w:cs="Arial"/>
          <w:lang w:val="en-US"/>
        </w:rPr>
        <w:t xml:space="preserve">(DfT) </w:t>
      </w:r>
      <w:r w:rsidR="007C49AF" w:rsidRPr="00C310FD">
        <w:rPr>
          <w:rFonts w:ascii="Arial" w:hAnsi="Arial" w:cs="Arial"/>
          <w:lang w:val="en-US"/>
        </w:rPr>
        <w:t xml:space="preserve">reported that </w:t>
      </w:r>
      <w:r w:rsidR="007C49AF" w:rsidRPr="00C310FD">
        <w:rPr>
          <w:rFonts w:ascii="Arial" w:hAnsi="Arial" w:cs="Arial"/>
        </w:rPr>
        <w:t>20% of bus operators in England were involved in at least one partnership scheme in 2017/18</w:t>
      </w:r>
      <w:r w:rsidR="00EF74C2" w:rsidRPr="00C310FD">
        <w:rPr>
          <w:rStyle w:val="FootnoteReference"/>
          <w:rFonts w:ascii="Arial" w:hAnsi="Arial" w:cs="Arial"/>
          <w:lang w:val="en-US"/>
        </w:rPr>
        <w:footnoteReference w:id="1"/>
      </w:r>
      <w:r w:rsidR="007C49AF" w:rsidRPr="00C310FD">
        <w:rPr>
          <w:rFonts w:ascii="Arial" w:hAnsi="Arial" w:cs="Arial"/>
        </w:rPr>
        <w:t xml:space="preserve">, although Preston and Darivakis </w:t>
      </w:r>
      <w:r w:rsidR="003A4D1E" w:rsidRPr="00C310FD">
        <w:rPr>
          <w:rFonts w:ascii="Arial" w:hAnsi="Arial" w:cs="Arial"/>
        </w:rPr>
        <w:t xml:space="preserve">(2019) </w:t>
      </w:r>
      <w:r w:rsidR="007C49AF" w:rsidRPr="00C310FD">
        <w:rPr>
          <w:rFonts w:ascii="Arial" w:hAnsi="Arial" w:cs="Arial"/>
        </w:rPr>
        <w:t xml:space="preserve">were only able to </w:t>
      </w:r>
      <w:r w:rsidR="003A4D1E" w:rsidRPr="00C310FD">
        <w:rPr>
          <w:rFonts w:ascii="Arial" w:hAnsi="Arial" w:cs="Arial"/>
        </w:rPr>
        <w:t>identify 15 quality partnerships in England, of which 11 were voluntary (73%). If this is representative, then only around 5% of bus operators were involved in statutory schemes.</w:t>
      </w:r>
    </w:p>
    <w:p w14:paraId="76EE5168" w14:textId="22DEEFB1" w:rsidR="00C2581A" w:rsidRDefault="00434498" w:rsidP="001C0E4B">
      <w:pPr>
        <w:tabs>
          <w:tab w:val="num" w:pos="720"/>
        </w:tabs>
        <w:spacing w:line="276" w:lineRule="auto"/>
        <w:rPr>
          <w:rFonts w:ascii="Arial" w:hAnsi="Arial" w:cs="Arial"/>
        </w:rPr>
      </w:pPr>
      <w:r w:rsidRPr="00C310FD">
        <w:rPr>
          <w:rFonts w:ascii="Arial" w:hAnsi="Arial" w:cs="Arial"/>
        </w:rPr>
        <w:t xml:space="preserve">Bus policy reform gained impetus with </w:t>
      </w:r>
      <w:r w:rsidR="001E6174">
        <w:rPr>
          <w:rFonts w:ascii="Arial" w:hAnsi="Arial" w:cs="Arial"/>
        </w:rPr>
        <w:t xml:space="preserve">the </w:t>
      </w:r>
      <w:r w:rsidRPr="00C310FD">
        <w:rPr>
          <w:rFonts w:ascii="Arial" w:hAnsi="Arial" w:cs="Arial"/>
        </w:rPr>
        <w:t>premiership of Boris Johnson. As Mayor of London (2008 to 2016)</w:t>
      </w:r>
      <w:r w:rsidR="009F338E" w:rsidRPr="00C310FD">
        <w:rPr>
          <w:rFonts w:ascii="Arial" w:hAnsi="Arial" w:cs="Arial"/>
        </w:rPr>
        <w:t xml:space="preserve">, </w:t>
      </w:r>
      <w:r w:rsidR="009D2692">
        <w:rPr>
          <w:rFonts w:ascii="Arial" w:hAnsi="Arial" w:cs="Arial"/>
        </w:rPr>
        <w:t xml:space="preserve">he </w:t>
      </w:r>
      <w:r w:rsidR="009F338E" w:rsidRPr="00C310FD">
        <w:rPr>
          <w:rFonts w:ascii="Arial" w:hAnsi="Arial" w:cs="Arial"/>
        </w:rPr>
        <w:t xml:space="preserve">used </w:t>
      </w:r>
      <w:r w:rsidR="009D2692" w:rsidRPr="009D2692">
        <w:rPr>
          <w:rFonts w:ascii="Arial" w:hAnsi="Arial" w:cs="Arial"/>
        </w:rPr>
        <w:t xml:space="preserve">bus services </w:t>
      </w:r>
      <w:r w:rsidR="009F338E" w:rsidRPr="00C310FD">
        <w:rPr>
          <w:rFonts w:ascii="Arial" w:hAnsi="Arial" w:cs="Arial"/>
        </w:rPr>
        <w:t>as a key policy instrument and at a conference in Manchester in July 201</w:t>
      </w:r>
      <w:r w:rsidR="00193B24" w:rsidRPr="00C310FD">
        <w:rPr>
          <w:rFonts w:ascii="Arial" w:hAnsi="Arial" w:cs="Arial"/>
        </w:rPr>
        <w:t>9</w:t>
      </w:r>
      <w:r w:rsidR="00F359A1" w:rsidRPr="00C310FD">
        <w:rPr>
          <w:rFonts w:ascii="Arial" w:hAnsi="Arial" w:cs="Arial"/>
        </w:rPr>
        <w:t xml:space="preserve">, in one of his first speeches </w:t>
      </w:r>
      <w:r w:rsidR="009D2692">
        <w:rPr>
          <w:rFonts w:ascii="Arial" w:hAnsi="Arial" w:cs="Arial"/>
        </w:rPr>
        <w:t xml:space="preserve">after </w:t>
      </w:r>
      <w:r w:rsidR="00F359A1" w:rsidRPr="00C310FD">
        <w:rPr>
          <w:rFonts w:ascii="Arial" w:hAnsi="Arial" w:cs="Arial"/>
        </w:rPr>
        <w:t>taking office as Prime Minister</w:t>
      </w:r>
      <w:r w:rsidR="009F338E" w:rsidRPr="00C310FD">
        <w:rPr>
          <w:rFonts w:ascii="Arial" w:hAnsi="Arial" w:cs="Arial"/>
        </w:rPr>
        <w:t xml:space="preserve"> he was quoted as saying: “</w:t>
      </w:r>
      <w:r w:rsidR="009F338E" w:rsidRPr="00C310FD">
        <w:rPr>
          <w:rFonts w:ascii="Arial" w:hAnsi="Arial" w:cs="Arial"/>
          <w:i/>
          <w:iCs/>
        </w:rPr>
        <w:t>I know a lot about buses, believe me. I love buses, I helped to invent a new type of bus. I will begin in urgency, the transformation of local bus services here today in Manchester</w:t>
      </w:r>
      <w:r w:rsidR="009F338E" w:rsidRPr="00C310FD">
        <w:rPr>
          <w:rFonts w:ascii="Arial" w:hAnsi="Arial" w:cs="Arial"/>
        </w:rPr>
        <w:t>”</w:t>
      </w:r>
      <w:r w:rsidR="007D307E">
        <w:rPr>
          <w:rStyle w:val="FootnoteReference"/>
          <w:rFonts w:ascii="Arial" w:hAnsi="Arial" w:cs="Arial"/>
        </w:rPr>
        <w:footnoteReference w:id="2"/>
      </w:r>
      <w:r w:rsidR="00F359A1" w:rsidRPr="00C310FD">
        <w:rPr>
          <w:rFonts w:ascii="Arial" w:hAnsi="Arial" w:cs="Arial"/>
        </w:rPr>
        <w:t>.</w:t>
      </w:r>
      <w:r w:rsidR="009F338E" w:rsidRPr="00C310FD">
        <w:rPr>
          <w:rFonts w:ascii="Arial" w:hAnsi="Arial" w:cs="Arial"/>
        </w:rPr>
        <w:t xml:space="preserve"> It was perhaps no coincidence that Transport for Greater Manchester was the authority that was pushing most for London style bus franchising. It is fair to say that the subsequent bus strategy ha</w:t>
      </w:r>
      <w:r w:rsidR="00713EB8">
        <w:rPr>
          <w:rFonts w:ascii="Arial" w:hAnsi="Arial" w:cs="Arial"/>
        </w:rPr>
        <w:t>d</w:t>
      </w:r>
      <w:r w:rsidR="009F338E" w:rsidRPr="00C310FD">
        <w:rPr>
          <w:rFonts w:ascii="Arial" w:hAnsi="Arial" w:cs="Arial"/>
        </w:rPr>
        <w:t xml:space="preserve"> the </w:t>
      </w:r>
      <w:r w:rsidR="00713EB8">
        <w:rPr>
          <w:rFonts w:ascii="Arial" w:hAnsi="Arial" w:cs="Arial"/>
        </w:rPr>
        <w:t xml:space="preserve">then </w:t>
      </w:r>
      <w:r w:rsidR="009F338E" w:rsidRPr="00C310FD">
        <w:rPr>
          <w:rFonts w:ascii="Arial" w:hAnsi="Arial" w:cs="Arial"/>
        </w:rPr>
        <w:t>Prime Minister’s imprint, with the strap line Bus Back Better alluding to both</w:t>
      </w:r>
      <w:r w:rsidR="00EF74C2">
        <w:rPr>
          <w:rFonts w:ascii="Arial" w:hAnsi="Arial" w:cs="Arial"/>
        </w:rPr>
        <w:t xml:space="preserve"> the</w:t>
      </w:r>
      <w:r w:rsidR="009F338E" w:rsidRPr="00C310FD">
        <w:rPr>
          <w:rFonts w:ascii="Arial" w:hAnsi="Arial" w:cs="Arial"/>
        </w:rPr>
        <w:t xml:space="preserve"> post-Covid 19 recovery and the levelling-up agenda. The key  provision was that by July 2021, all Local Transport Authorities (LTAs) </w:t>
      </w:r>
      <w:r w:rsidR="00721726" w:rsidRPr="00C310FD">
        <w:rPr>
          <w:rFonts w:ascii="Arial" w:hAnsi="Arial" w:cs="Arial"/>
        </w:rPr>
        <w:t xml:space="preserve">should </w:t>
      </w:r>
      <w:r w:rsidR="009F338E" w:rsidRPr="00C310FD">
        <w:rPr>
          <w:rFonts w:ascii="Arial" w:hAnsi="Arial" w:cs="Arial"/>
        </w:rPr>
        <w:t>establish Enhanced Partnerships, except Combined Mayor</w:t>
      </w:r>
      <w:r w:rsidR="00721726" w:rsidRPr="00C310FD">
        <w:rPr>
          <w:rFonts w:ascii="Arial" w:hAnsi="Arial" w:cs="Arial"/>
        </w:rPr>
        <w:t>al Authorities (</w:t>
      </w:r>
      <w:r w:rsidR="00BA769A" w:rsidRPr="00C310FD">
        <w:rPr>
          <w:rFonts w:ascii="Arial" w:hAnsi="Arial" w:cs="Arial"/>
        </w:rPr>
        <w:t xml:space="preserve">CMAs), </w:t>
      </w:r>
      <w:r w:rsidR="00721726" w:rsidRPr="00C310FD">
        <w:rPr>
          <w:rFonts w:ascii="Arial" w:hAnsi="Arial" w:cs="Arial"/>
        </w:rPr>
        <w:t>such as Greater Manchester</w:t>
      </w:r>
      <w:r w:rsidR="00BA769A" w:rsidRPr="00C310FD">
        <w:rPr>
          <w:rFonts w:ascii="Arial" w:hAnsi="Arial" w:cs="Arial"/>
        </w:rPr>
        <w:t>,</w:t>
      </w:r>
      <w:r w:rsidR="009F338E" w:rsidRPr="00C310FD">
        <w:rPr>
          <w:rFonts w:ascii="Arial" w:hAnsi="Arial" w:cs="Arial"/>
        </w:rPr>
        <w:t xml:space="preserve"> that are planning franchising.</w:t>
      </w:r>
      <w:r w:rsidR="00721726" w:rsidRPr="00C310FD">
        <w:rPr>
          <w:rFonts w:ascii="Arial" w:hAnsi="Arial" w:cs="Arial"/>
        </w:rPr>
        <w:t xml:space="preserve"> </w:t>
      </w:r>
      <w:r w:rsidR="00587A4B">
        <w:rPr>
          <w:rFonts w:ascii="Arial" w:hAnsi="Arial" w:cs="Arial"/>
        </w:rPr>
        <w:t>Quality partnerships in their initial incarnation were often light touch in nature. A typical agreement would be at a route or network level and involve private operators increasing the quality of vehicles (newer vehicles with low-floor access and low emissions) and in return Local Authorities would improve the provision of infrastructure</w:t>
      </w:r>
      <w:r w:rsidR="005D21A7">
        <w:rPr>
          <w:rFonts w:ascii="Arial" w:hAnsi="Arial" w:cs="Arial"/>
        </w:rPr>
        <w:t>,</w:t>
      </w:r>
      <w:r w:rsidR="00587A4B">
        <w:rPr>
          <w:rFonts w:ascii="Arial" w:hAnsi="Arial" w:cs="Arial"/>
        </w:rPr>
        <w:t xml:space="preserve"> such as at bus stops and stations. Where Local Authorities provided bus priority measures (dedicated bus lanes, priority at traffic signals etc.), the private operators might agree to minimum service levels and joint marketing. Enhanced </w:t>
      </w:r>
      <w:r w:rsidR="001E4BDE">
        <w:rPr>
          <w:rFonts w:ascii="Arial" w:hAnsi="Arial" w:cs="Arial"/>
        </w:rPr>
        <w:t>P</w:t>
      </w:r>
      <w:r w:rsidR="00587A4B">
        <w:rPr>
          <w:rFonts w:ascii="Arial" w:hAnsi="Arial" w:cs="Arial"/>
        </w:rPr>
        <w:t xml:space="preserve">artnerships provide local authorities with the </w:t>
      </w:r>
      <w:r w:rsidR="00587A4B" w:rsidRPr="00587A4B">
        <w:rPr>
          <w:rFonts w:ascii="Arial" w:hAnsi="Arial" w:cs="Arial"/>
        </w:rPr>
        <w:t>potential to specify requirements with regards to a wide</w:t>
      </w:r>
      <w:r w:rsidR="00587A4B">
        <w:rPr>
          <w:rFonts w:ascii="Arial" w:hAnsi="Arial" w:cs="Arial"/>
        </w:rPr>
        <w:t>r</w:t>
      </w:r>
      <w:r w:rsidR="00587A4B" w:rsidRPr="00587A4B">
        <w:rPr>
          <w:rFonts w:ascii="Arial" w:hAnsi="Arial" w:cs="Arial"/>
        </w:rPr>
        <w:t xml:space="preserve"> range of service options, including timetabling requirements, bus frequencies, ticketing and marketing arrangements, appearance of vehicles and public transport information provision.</w:t>
      </w:r>
    </w:p>
    <w:p w14:paraId="1DEFDC1D" w14:textId="5D9E2A99" w:rsidR="00434498" w:rsidRPr="00C310FD" w:rsidRDefault="009F338E" w:rsidP="001C0E4B">
      <w:pPr>
        <w:tabs>
          <w:tab w:val="num" w:pos="720"/>
        </w:tabs>
        <w:spacing w:line="276" w:lineRule="auto"/>
        <w:rPr>
          <w:rFonts w:ascii="Arial" w:hAnsi="Arial" w:cs="Arial"/>
        </w:rPr>
      </w:pPr>
      <w:r w:rsidRPr="00C310FD">
        <w:rPr>
          <w:rFonts w:ascii="Arial" w:hAnsi="Arial" w:cs="Arial"/>
        </w:rPr>
        <w:t xml:space="preserve">By October 2021, </w:t>
      </w:r>
      <w:r w:rsidR="004B5DB1">
        <w:rPr>
          <w:rFonts w:ascii="Arial" w:hAnsi="Arial" w:cs="Arial"/>
        </w:rPr>
        <w:t xml:space="preserve">it was decreed that </w:t>
      </w:r>
      <w:r w:rsidRPr="00C310FD">
        <w:rPr>
          <w:rFonts w:ascii="Arial" w:hAnsi="Arial" w:cs="Arial"/>
        </w:rPr>
        <w:t xml:space="preserve">all LTAs </w:t>
      </w:r>
      <w:r w:rsidR="00721726" w:rsidRPr="00C310FD">
        <w:rPr>
          <w:rFonts w:ascii="Arial" w:hAnsi="Arial" w:cs="Arial"/>
        </w:rPr>
        <w:t xml:space="preserve">should </w:t>
      </w:r>
      <w:r w:rsidRPr="00C310FD">
        <w:rPr>
          <w:rFonts w:ascii="Arial" w:hAnsi="Arial" w:cs="Arial"/>
        </w:rPr>
        <w:t xml:space="preserve">publish Bus Service Improvement Plans (BSIPs). </w:t>
      </w:r>
      <w:r w:rsidR="00721726" w:rsidRPr="00C310FD">
        <w:rPr>
          <w:rFonts w:ascii="Arial" w:hAnsi="Arial" w:cs="Arial"/>
        </w:rPr>
        <w:t xml:space="preserve">The reforms will </w:t>
      </w:r>
      <w:r w:rsidRPr="00C310FD">
        <w:rPr>
          <w:rFonts w:ascii="Arial" w:hAnsi="Arial" w:cs="Arial"/>
        </w:rPr>
        <w:t xml:space="preserve">involve common routing and numbering, low flat fares and </w:t>
      </w:r>
      <w:r w:rsidRPr="00C310FD">
        <w:rPr>
          <w:rFonts w:ascii="Arial" w:hAnsi="Arial" w:cs="Arial"/>
        </w:rPr>
        <w:lastRenderedPageBreak/>
        <w:t xml:space="preserve">daily caps, </w:t>
      </w:r>
      <w:r w:rsidR="00721726" w:rsidRPr="00C310FD">
        <w:rPr>
          <w:rFonts w:ascii="Arial" w:hAnsi="Arial" w:cs="Arial"/>
        </w:rPr>
        <w:t>the promotion of bus priority and on demand service and investment in 4,000</w:t>
      </w:r>
      <w:r w:rsidRPr="00C310FD">
        <w:rPr>
          <w:rFonts w:ascii="Arial" w:hAnsi="Arial" w:cs="Arial"/>
        </w:rPr>
        <w:t xml:space="preserve"> zero emission vehicles.</w:t>
      </w:r>
      <w:r w:rsidR="00A91172" w:rsidRPr="00C310FD">
        <w:rPr>
          <w:rFonts w:ascii="Arial" w:hAnsi="Arial" w:cs="Arial"/>
        </w:rPr>
        <w:t xml:space="preserve"> </w:t>
      </w:r>
      <w:r w:rsidR="009D2692">
        <w:rPr>
          <w:rFonts w:ascii="Arial" w:hAnsi="Arial" w:cs="Arial"/>
        </w:rPr>
        <w:t xml:space="preserve">At the time of writing, the DfT </w:t>
      </w:r>
      <w:r w:rsidR="00C2581A">
        <w:rPr>
          <w:rFonts w:ascii="Arial" w:hAnsi="Arial" w:cs="Arial"/>
        </w:rPr>
        <w:t xml:space="preserve">was </w:t>
      </w:r>
      <w:r w:rsidR="009D2692">
        <w:rPr>
          <w:rFonts w:ascii="Arial" w:hAnsi="Arial" w:cs="Arial"/>
        </w:rPr>
        <w:t xml:space="preserve">consulting on ending the sale of non-zero emission buses sometime between 2025 and 2032. </w:t>
      </w:r>
      <w:r w:rsidR="00A91172" w:rsidRPr="00C310FD">
        <w:rPr>
          <w:rFonts w:ascii="Arial" w:hAnsi="Arial" w:cs="Arial"/>
        </w:rPr>
        <w:t xml:space="preserve">Initial investment of £170 million in the </w:t>
      </w:r>
      <w:r w:rsidR="00D73561" w:rsidRPr="00C310FD">
        <w:rPr>
          <w:rFonts w:ascii="Arial" w:hAnsi="Arial" w:cs="Arial"/>
        </w:rPr>
        <w:t>All-Electric</w:t>
      </w:r>
      <w:r w:rsidR="00A91172" w:rsidRPr="00C310FD">
        <w:rPr>
          <w:rFonts w:ascii="Arial" w:hAnsi="Arial" w:cs="Arial"/>
        </w:rPr>
        <w:t xml:space="preserve"> Bus Town or City and the Zero Emission Bus Regional Area (ZEBRA) scheme will result in 1,278 </w:t>
      </w:r>
      <w:r w:rsidR="009D2692">
        <w:rPr>
          <w:rFonts w:ascii="Arial" w:hAnsi="Arial" w:cs="Arial"/>
        </w:rPr>
        <w:t xml:space="preserve">zero emission </w:t>
      </w:r>
      <w:r w:rsidR="00A91172" w:rsidRPr="00C310FD">
        <w:rPr>
          <w:rFonts w:ascii="Arial" w:hAnsi="Arial" w:cs="Arial"/>
        </w:rPr>
        <w:t>buses in 17 LTAs.</w:t>
      </w:r>
      <w:r w:rsidR="00BA769A" w:rsidRPr="00C310FD">
        <w:rPr>
          <w:rFonts w:ascii="Arial" w:hAnsi="Arial" w:cs="Arial"/>
        </w:rPr>
        <w:t xml:space="preserve"> In April 2022, the DfT announced that 31 LTAs </w:t>
      </w:r>
      <w:r w:rsidR="001E6174">
        <w:rPr>
          <w:rFonts w:ascii="Arial" w:hAnsi="Arial" w:cs="Arial"/>
        </w:rPr>
        <w:t xml:space="preserve">(out of a total of 79) </w:t>
      </w:r>
      <w:r w:rsidR="00BA769A" w:rsidRPr="00C310FD">
        <w:rPr>
          <w:rFonts w:ascii="Arial" w:hAnsi="Arial" w:cs="Arial"/>
        </w:rPr>
        <w:t xml:space="preserve">were successful in their BSIP investment bids, </w:t>
      </w:r>
      <w:r w:rsidR="00193B24" w:rsidRPr="00C310FD">
        <w:rPr>
          <w:rFonts w:ascii="Arial" w:hAnsi="Arial" w:cs="Arial"/>
        </w:rPr>
        <w:t xml:space="preserve">whilst </w:t>
      </w:r>
      <w:r w:rsidR="00BA769A" w:rsidRPr="00C310FD">
        <w:rPr>
          <w:rFonts w:ascii="Arial" w:hAnsi="Arial" w:cs="Arial"/>
        </w:rPr>
        <w:t>a low fare experiment would commence in Cornwall</w:t>
      </w:r>
      <w:r w:rsidR="00193B24" w:rsidRPr="00C310FD">
        <w:rPr>
          <w:rFonts w:ascii="Arial" w:hAnsi="Arial" w:cs="Arial"/>
        </w:rPr>
        <w:t>.</w:t>
      </w:r>
      <w:r w:rsidR="00BA769A" w:rsidRPr="00C310FD">
        <w:rPr>
          <w:rFonts w:ascii="Arial" w:hAnsi="Arial" w:cs="Arial"/>
        </w:rPr>
        <w:t xml:space="preserve"> </w:t>
      </w:r>
      <w:r w:rsidR="00193B24" w:rsidRPr="00C310FD">
        <w:rPr>
          <w:rFonts w:ascii="Arial" w:hAnsi="Arial" w:cs="Arial"/>
        </w:rPr>
        <w:t>I</w:t>
      </w:r>
      <w:r w:rsidR="00BA769A" w:rsidRPr="00C310FD">
        <w:rPr>
          <w:rFonts w:ascii="Arial" w:hAnsi="Arial" w:cs="Arial"/>
        </w:rPr>
        <w:t>ncluding earlier awards</w:t>
      </w:r>
      <w:r w:rsidR="00193B24" w:rsidRPr="00C310FD">
        <w:rPr>
          <w:rFonts w:ascii="Arial" w:hAnsi="Arial" w:cs="Arial"/>
        </w:rPr>
        <w:t>,</w:t>
      </w:r>
      <w:r w:rsidR="00BA769A" w:rsidRPr="00C310FD">
        <w:rPr>
          <w:rFonts w:ascii="Arial" w:hAnsi="Arial" w:cs="Arial"/>
        </w:rPr>
        <w:t xml:space="preserve"> just under two-thirds of England’s population will benefit from the commitment to invest £3 billion to transform bus services announced in 2020.</w:t>
      </w:r>
      <w:r w:rsidR="00BA769A" w:rsidRPr="00C310FD">
        <w:rPr>
          <w:rStyle w:val="FootnoteReference"/>
          <w:rFonts w:ascii="Arial" w:hAnsi="Arial" w:cs="Arial"/>
        </w:rPr>
        <w:footnoteReference w:id="3"/>
      </w:r>
      <w:r w:rsidR="00EF74C2">
        <w:rPr>
          <w:rFonts w:ascii="Arial" w:hAnsi="Arial" w:cs="Arial"/>
        </w:rPr>
        <w:t xml:space="preserve"> This does beg the question of what will happen to buses serving the other third of the population</w:t>
      </w:r>
      <w:r w:rsidR="001E6174">
        <w:rPr>
          <w:rFonts w:ascii="Arial" w:hAnsi="Arial" w:cs="Arial"/>
        </w:rPr>
        <w:t>, particularly given concerns over the clarity of the assessment criteria.</w:t>
      </w:r>
      <w:r w:rsidR="003D1E25">
        <w:rPr>
          <w:rStyle w:val="FootnoteReference"/>
          <w:rFonts w:ascii="Arial" w:hAnsi="Arial" w:cs="Arial"/>
        </w:rPr>
        <w:footnoteReference w:id="4"/>
      </w:r>
    </w:p>
    <w:p w14:paraId="6C1477D2" w14:textId="1C0834D5" w:rsidR="00470CA3" w:rsidRPr="00C310FD" w:rsidRDefault="00470CA3" w:rsidP="00F43BE9">
      <w:pPr>
        <w:rPr>
          <w:rFonts w:ascii="Arial" w:hAnsi="Arial" w:cs="Arial"/>
          <w:b/>
          <w:bCs/>
        </w:rPr>
      </w:pPr>
      <w:r w:rsidRPr="00C310FD">
        <w:rPr>
          <w:rFonts w:ascii="Arial" w:hAnsi="Arial" w:cs="Arial"/>
          <w:b/>
          <w:bCs/>
        </w:rPr>
        <w:t>3. The Rail Industry and the Williams-</w:t>
      </w:r>
      <w:proofErr w:type="spellStart"/>
      <w:r w:rsidRPr="00C310FD">
        <w:rPr>
          <w:rFonts w:ascii="Arial" w:hAnsi="Arial" w:cs="Arial"/>
          <w:b/>
          <w:bCs/>
        </w:rPr>
        <w:t>Shapps</w:t>
      </w:r>
      <w:proofErr w:type="spellEnd"/>
      <w:r w:rsidRPr="00C310FD">
        <w:rPr>
          <w:rFonts w:ascii="Arial" w:hAnsi="Arial" w:cs="Arial"/>
          <w:b/>
          <w:bCs/>
        </w:rPr>
        <w:t xml:space="preserve"> Plan</w:t>
      </w:r>
    </w:p>
    <w:p w14:paraId="7476F327" w14:textId="634D209A" w:rsidR="003D77D4" w:rsidRPr="00C310FD" w:rsidRDefault="00D37039" w:rsidP="001C0E4B">
      <w:pPr>
        <w:spacing w:line="276" w:lineRule="auto"/>
        <w:rPr>
          <w:rFonts w:ascii="Arial" w:hAnsi="Arial" w:cs="Arial"/>
        </w:rPr>
      </w:pPr>
      <w:r w:rsidRPr="00C310FD">
        <w:rPr>
          <w:rFonts w:ascii="Arial" w:hAnsi="Arial" w:cs="Arial"/>
        </w:rPr>
        <w:t>Just as the 1985 Transport Act was not solely about bus deregulation, the 1993 Railway Act was not solely about rail privatisation.</w:t>
      </w:r>
      <w:r w:rsidR="003D77D4" w:rsidRPr="00C310FD">
        <w:rPr>
          <w:rFonts w:ascii="Arial" w:hAnsi="Arial" w:cs="Arial"/>
        </w:rPr>
        <w:t xml:space="preserve"> It was also a policy package that included a range of measures. Firstly, it involved horizontal separation</w:t>
      </w:r>
      <w:r w:rsidR="003D77D4" w:rsidRPr="00C310FD">
        <w:rPr>
          <w:rFonts w:ascii="Arial" w:hAnsi="Arial" w:cs="Arial"/>
          <w:b/>
          <w:bCs/>
        </w:rPr>
        <w:t xml:space="preserve"> </w:t>
      </w:r>
      <w:r w:rsidR="003D77D4" w:rsidRPr="00C310FD">
        <w:rPr>
          <w:rFonts w:ascii="Arial" w:hAnsi="Arial" w:cs="Arial"/>
        </w:rPr>
        <w:t xml:space="preserve">of the industry and introduced off track competition through a series of franchise competitions. The passenger business was split into 25 geographically based Train Operating Companies (TOCs), with franchising administered by the Office of Passenger Rail Franchising (OPRAF). For the freight business, seven TOCs were created and </w:t>
      </w:r>
      <w:r w:rsidR="003D1E25">
        <w:rPr>
          <w:rFonts w:ascii="Arial" w:hAnsi="Arial" w:cs="Arial"/>
        </w:rPr>
        <w:t xml:space="preserve">privatised </w:t>
      </w:r>
      <w:r w:rsidR="003D77D4" w:rsidRPr="00C310FD">
        <w:rPr>
          <w:rFonts w:ascii="Arial" w:hAnsi="Arial" w:cs="Arial"/>
        </w:rPr>
        <w:t xml:space="preserve">by direct sale –  with six being sold to one bidder (EWS). Secondly, open access competition was permitted but for the passenger sector this competition was moderated by the Office of the Rail Regulator (ORR) in three phases (to 1999, 1999 </w:t>
      </w:r>
      <w:r w:rsidR="005D21A7">
        <w:rPr>
          <w:rFonts w:ascii="Arial" w:hAnsi="Arial" w:cs="Arial"/>
        </w:rPr>
        <w:t>to</w:t>
      </w:r>
      <w:r w:rsidR="003D77D4" w:rsidRPr="00C310FD">
        <w:rPr>
          <w:rFonts w:ascii="Arial" w:hAnsi="Arial" w:cs="Arial"/>
        </w:rPr>
        <w:t xml:space="preserve"> 2002, 2002</w:t>
      </w:r>
      <w:r w:rsidR="005D21A7">
        <w:rPr>
          <w:rFonts w:ascii="Arial" w:hAnsi="Arial" w:cs="Arial"/>
        </w:rPr>
        <w:t xml:space="preserve"> onwards</w:t>
      </w:r>
      <w:r w:rsidR="003D77D4" w:rsidRPr="00C310FD">
        <w:rPr>
          <w:rFonts w:ascii="Arial" w:hAnsi="Arial" w:cs="Arial"/>
        </w:rPr>
        <w:t>). Thirdly, vertical separation involved the infrastructure authority (Railtrack) being floated on the stock exchange</w:t>
      </w:r>
      <w:r w:rsidR="00486AC1" w:rsidRPr="00C310FD">
        <w:rPr>
          <w:rFonts w:ascii="Arial" w:hAnsi="Arial" w:cs="Arial"/>
        </w:rPr>
        <w:t xml:space="preserve"> and</w:t>
      </w:r>
      <w:r w:rsidR="003D77D4" w:rsidRPr="00C310FD">
        <w:rPr>
          <w:rFonts w:ascii="Arial" w:hAnsi="Arial" w:cs="Arial"/>
        </w:rPr>
        <w:t xml:space="preserve"> three rolling stock leasing companies (ROSCOs) being set up and sold by direct sale</w:t>
      </w:r>
      <w:r w:rsidR="00486AC1" w:rsidRPr="00C310FD">
        <w:rPr>
          <w:rFonts w:ascii="Arial" w:hAnsi="Arial" w:cs="Arial"/>
        </w:rPr>
        <w:t xml:space="preserve">. Similarly, some </w:t>
      </w:r>
      <w:r w:rsidR="003D77D4" w:rsidRPr="00C310FD">
        <w:rPr>
          <w:rFonts w:ascii="Arial" w:hAnsi="Arial" w:cs="Arial"/>
        </w:rPr>
        <w:t>80 ancillary business</w:t>
      </w:r>
      <w:r w:rsidR="00EF74C2">
        <w:rPr>
          <w:rFonts w:ascii="Arial" w:hAnsi="Arial" w:cs="Arial"/>
        </w:rPr>
        <w:t>es</w:t>
      </w:r>
      <w:r w:rsidR="003D77D4" w:rsidRPr="00C310FD">
        <w:rPr>
          <w:rFonts w:ascii="Arial" w:hAnsi="Arial" w:cs="Arial"/>
        </w:rPr>
        <w:t xml:space="preserve"> </w:t>
      </w:r>
      <w:r w:rsidR="00486AC1" w:rsidRPr="00C310FD">
        <w:rPr>
          <w:rFonts w:ascii="Arial" w:hAnsi="Arial" w:cs="Arial"/>
        </w:rPr>
        <w:t>(including infrastructure and rolling stock maintenance) were set-up and privatised by direct sales. Lastly, regulations were strengthened in a number of areas, including with respect to track access charges, fares and health and safety.</w:t>
      </w:r>
      <w:r w:rsidR="00193B24" w:rsidRPr="00C310FD">
        <w:rPr>
          <w:rFonts w:ascii="Arial" w:hAnsi="Arial" w:cs="Arial"/>
        </w:rPr>
        <w:t xml:space="preserve"> These detailed changes and the events that led up them are well documented by </w:t>
      </w:r>
      <w:proofErr w:type="spellStart"/>
      <w:r w:rsidR="00193B24" w:rsidRPr="00C310FD">
        <w:rPr>
          <w:rFonts w:ascii="Arial" w:hAnsi="Arial" w:cs="Arial"/>
        </w:rPr>
        <w:t>Gourvish</w:t>
      </w:r>
      <w:proofErr w:type="spellEnd"/>
      <w:r w:rsidR="00193B24" w:rsidRPr="00C310FD">
        <w:rPr>
          <w:rFonts w:ascii="Arial" w:hAnsi="Arial" w:cs="Arial"/>
        </w:rPr>
        <w:t xml:space="preserve"> (2002, 2008) and Parker (2012).</w:t>
      </w:r>
      <w:r w:rsidR="002E3AAB">
        <w:rPr>
          <w:rFonts w:ascii="Arial" w:hAnsi="Arial" w:cs="Arial"/>
        </w:rPr>
        <w:t xml:space="preserve"> The rationale for the reforms was similar to that for buses, albeit for an industry that was perceived as stagnating rather than declining, and that required greater structural reform in order to permit competition (Preston, 1996). </w:t>
      </w:r>
    </w:p>
    <w:p w14:paraId="14960C38" w14:textId="78809157" w:rsidR="006F010C" w:rsidRPr="00C310FD" w:rsidRDefault="00F359A1" w:rsidP="001C0E4B">
      <w:pPr>
        <w:spacing w:line="276" w:lineRule="auto"/>
        <w:rPr>
          <w:rFonts w:ascii="Arial" w:hAnsi="Arial" w:cs="Arial"/>
        </w:rPr>
      </w:pPr>
      <w:r w:rsidRPr="00C310FD">
        <w:rPr>
          <w:rFonts w:ascii="Arial" w:hAnsi="Arial" w:cs="Arial"/>
        </w:rPr>
        <w:t>The impacts of these reforms, particularly with respect to passenger rail franchising, have been presented at previous conferences in this series and subsequently published in Research in Transportation Economics (Preston, 2008, 2017, 2018</w:t>
      </w:r>
      <w:r w:rsidR="00FA2052" w:rsidRPr="00C310FD">
        <w:rPr>
          <w:rFonts w:ascii="Arial" w:hAnsi="Arial" w:cs="Arial"/>
        </w:rPr>
        <w:t>a</w:t>
      </w:r>
      <w:r w:rsidRPr="00C310FD">
        <w:rPr>
          <w:rFonts w:ascii="Arial" w:hAnsi="Arial" w:cs="Arial"/>
        </w:rPr>
        <w:t>, Preston and Robins, 2013, Preston and Bickel, 202</w:t>
      </w:r>
      <w:r w:rsidR="002B37A1" w:rsidRPr="00C310FD">
        <w:rPr>
          <w:rFonts w:ascii="Arial" w:hAnsi="Arial" w:cs="Arial"/>
        </w:rPr>
        <w:t>0</w:t>
      </w:r>
      <w:r w:rsidRPr="00C310FD">
        <w:rPr>
          <w:rFonts w:ascii="Arial" w:hAnsi="Arial" w:cs="Arial"/>
        </w:rPr>
        <w:t>)</w:t>
      </w:r>
      <w:r w:rsidR="002B37A1" w:rsidRPr="00C310FD">
        <w:rPr>
          <w:rFonts w:ascii="Arial" w:hAnsi="Arial" w:cs="Arial"/>
        </w:rPr>
        <w:t>.</w:t>
      </w:r>
      <w:r w:rsidR="006F010C" w:rsidRPr="00C310FD">
        <w:rPr>
          <w:rFonts w:ascii="Arial" w:hAnsi="Arial" w:cs="Arial"/>
        </w:rPr>
        <w:t xml:space="preserve"> </w:t>
      </w:r>
      <w:r w:rsidR="009D2692">
        <w:rPr>
          <w:rFonts w:ascii="Arial" w:hAnsi="Arial" w:cs="Arial"/>
        </w:rPr>
        <w:t xml:space="preserve">The initial impacts seemed to take around 10 years to work through the system. </w:t>
      </w:r>
      <w:r w:rsidR="005D21A7">
        <w:rPr>
          <w:rFonts w:ascii="Arial" w:hAnsi="Arial" w:cs="Arial"/>
        </w:rPr>
        <w:t xml:space="preserve">The key finding was that the benefits from increased passenger use was more than offset by increases in costs. </w:t>
      </w:r>
      <w:r w:rsidR="006F010C" w:rsidRPr="00C310FD">
        <w:rPr>
          <w:rFonts w:ascii="Arial" w:hAnsi="Arial" w:cs="Arial"/>
        </w:rPr>
        <w:t>However, these reforms may be seen to have had a number of phases</w:t>
      </w:r>
      <w:r w:rsidR="00EF74C2">
        <w:rPr>
          <w:rFonts w:ascii="Arial" w:hAnsi="Arial" w:cs="Arial"/>
        </w:rPr>
        <w:t xml:space="preserve"> related </w:t>
      </w:r>
      <w:r w:rsidR="001E61F4">
        <w:rPr>
          <w:rFonts w:ascii="Arial" w:hAnsi="Arial" w:cs="Arial"/>
        </w:rPr>
        <w:t xml:space="preserve">particularly </w:t>
      </w:r>
      <w:r w:rsidR="00EF74C2">
        <w:rPr>
          <w:rFonts w:ascii="Arial" w:hAnsi="Arial" w:cs="Arial"/>
        </w:rPr>
        <w:t>to the evolution of passenger rail franchising</w:t>
      </w:r>
      <w:r w:rsidR="009D2692">
        <w:rPr>
          <w:rFonts w:ascii="Arial" w:hAnsi="Arial" w:cs="Arial"/>
        </w:rPr>
        <w:t xml:space="preserve"> that </w:t>
      </w:r>
      <w:r w:rsidR="001E61F4">
        <w:rPr>
          <w:rFonts w:ascii="Arial" w:hAnsi="Arial" w:cs="Arial"/>
        </w:rPr>
        <w:t xml:space="preserve">in turn </w:t>
      </w:r>
      <w:r w:rsidR="009D2692">
        <w:rPr>
          <w:rFonts w:ascii="Arial" w:hAnsi="Arial" w:cs="Arial"/>
        </w:rPr>
        <w:t>can be associated with further impacts</w:t>
      </w:r>
      <w:r w:rsidR="001E61F4">
        <w:rPr>
          <w:rFonts w:ascii="Arial" w:hAnsi="Arial" w:cs="Arial"/>
        </w:rPr>
        <w:t xml:space="preserve"> (see also Table 3)</w:t>
      </w:r>
      <w:r w:rsidR="006F010C" w:rsidRPr="00C310FD">
        <w:rPr>
          <w:rFonts w:ascii="Arial" w:hAnsi="Arial" w:cs="Arial"/>
        </w:rPr>
        <w:t xml:space="preserve">. </w:t>
      </w:r>
      <w:r w:rsidR="001E61F4">
        <w:rPr>
          <w:rFonts w:ascii="Arial" w:hAnsi="Arial" w:cs="Arial"/>
        </w:rPr>
        <w:t xml:space="preserve">In essence, this evolution was responding to </w:t>
      </w:r>
      <w:r w:rsidR="005D21A7">
        <w:rPr>
          <w:rFonts w:ascii="Arial" w:hAnsi="Arial" w:cs="Arial"/>
        </w:rPr>
        <w:t xml:space="preserve">both </w:t>
      </w:r>
      <w:r w:rsidR="001E61F4">
        <w:rPr>
          <w:rFonts w:ascii="Arial" w:hAnsi="Arial" w:cs="Arial"/>
        </w:rPr>
        <w:t xml:space="preserve">the success of the reforms (such as the growth in passenger demand and the resultant need for investment in capacity) and the failures (such as escalating costs, </w:t>
      </w:r>
      <w:r w:rsidR="001E61F4">
        <w:rPr>
          <w:rFonts w:ascii="Arial" w:hAnsi="Arial" w:cs="Arial"/>
        </w:rPr>
        <w:lastRenderedPageBreak/>
        <w:t xml:space="preserve">periodically poor punctuality and reliability, accidents and financial failures). </w:t>
      </w:r>
      <w:r w:rsidR="006F010C" w:rsidRPr="00C310FD">
        <w:rPr>
          <w:rFonts w:ascii="Arial" w:hAnsi="Arial" w:cs="Arial"/>
        </w:rPr>
        <w:t xml:space="preserve">The second phase was associated with the new Labour administration, the 2000 Transport Act and the </w:t>
      </w:r>
      <w:r w:rsidR="00D73561" w:rsidRPr="00C310FD">
        <w:rPr>
          <w:rFonts w:ascii="Arial" w:hAnsi="Arial" w:cs="Arial"/>
        </w:rPr>
        <w:t>Ten-Year</w:t>
      </w:r>
      <w:r w:rsidR="006F010C" w:rsidRPr="00C310FD">
        <w:rPr>
          <w:rFonts w:ascii="Arial" w:hAnsi="Arial" w:cs="Arial"/>
        </w:rPr>
        <w:t xml:space="preserve"> Plan for Transport. This led to the creation of the Strategic Rail Authority (SRA) to replace OPRAF and provide greater overall direction of the industry.  However, these changes were overtaken by events triggered by the Hatfield accident in October 2000. This led to Railtrack going into receivership a year later (October 2001) and its replacement by Network Rail the following year. Network Rail was a hybrid organisation set up as a company limited by guarantee but re-classified by the Office for National Statistics as a public body in 2014. The failure of Railtrack led to the Future of Rail White Paper in 2004 </w:t>
      </w:r>
      <w:r w:rsidR="00AD5793">
        <w:rPr>
          <w:rFonts w:ascii="Arial" w:hAnsi="Arial" w:cs="Arial"/>
        </w:rPr>
        <w:t xml:space="preserve">(Cm 6233, 2004) </w:t>
      </w:r>
      <w:r w:rsidR="006F010C" w:rsidRPr="00C310FD">
        <w:rPr>
          <w:rFonts w:ascii="Arial" w:hAnsi="Arial" w:cs="Arial"/>
        </w:rPr>
        <w:t>and the 2005 Railways Act which ushered in a third phase of the reforms in which the SRA’s role was taken over by the DfT</w:t>
      </w:r>
      <w:r w:rsidR="00AD5793">
        <w:rPr>
          <w:rFonts w:ascii="Arial" w:hAnsi="Arial" w:cs="Arial"/>
        </w:rPr>
        <w:t xml:space="preserve"> to ensure more direct governmental control of funding</w:t>
      </w:r>
      <w:r w:rsidR="006F010C" w:rsidRPr="00C310FD">
        <w:rPr>
          <w:rFonts w:ascii="Arial" w:hAnsi="Arial" w:cs="Arial"/>
        </w:rPr>
        <w:t>.</w:t>
      </w:r>
      <w:r w:rsidR="00BA1E0A" w:rsidRPr="00C310FD">
        <w:rPr>
          <w:rFonts w:ascii="Arial" w:hAnsi="Arial" w:cs="Arial"/>
        </w:rPr>
        <w:t xml:space="preserve"> These reforms were consolidated by a further White Paper in </w:t>
      </w:r>
      <w:r w:rsidR="006F010C" w:rsidRPr="00C310FD">
        <w:rPr>
          <w:rFonts w:ascii="Arial" w:hAnsi="Arial" w:cs="Arial"/>
        </w:rPr>
        <w:t>2007</w:t>
      </w:r>
      <w:r w:rsidR="00AD5793">
        <w:rPr>
          <w:rFonts w:ascii="Arial" w:hAnsi="Arial" w:cs="Arial"/>
        </w:rPr>
        <w:t xml:space="preserve"> (Cm 7176, 2007)</w:t>
      </w:r>
      <w:r w:rsidR="00BA1E0A" w:rsidRPr="00C310FD">
        <w:rPr>
          <w:rFonts w:ascii="Arial" w:hAnsi="Arial" w:cs="Arial"/>
        </w:rPr>
        <w:t>. However, the e</w:t>
      </w:r>
      <w:r w:rsidR="006F010C" w:rsidRPr="00C310FD">
        <w:rPr>
          <w:rFonts w:ascii="Arial" w:hAnsi="Arial" w:cs="Arial"/>
        </w:rPr>
        <w:t xml:space="preserve">lection of </w:t>
      </w:r>
      <w:r w:rsidR="00BA1E0A" w:rsidRPr="00C310FD">
        <w:rPr>
          <w:rFonts w:ascii="Arial" w:hAnsi="Arial" w:cs="Arial"/>
        </w:rPr>
        <w:t xml:space="preserve">the </w:t>
      </w:r>
      <w:r w:rsidR="006F010C" w:rsidRPr="00C310FD">
        <w:rPr>
          <w:rFonts w:ascii="Arial" w:hAnsi="Arial" w:cs="Arial"/>
        </w:rPr>
        <w:t>Coalition</w:t>
      </w:r>
      <w:r w:rsidR="00BA1E0A" w:rsidRPr="00C310FD">
        <w:rPr>
          <w:rFonts w:ascii="Arial" w:hAnsi="Arial" w:cs="Arial"/>
        </w:rPr>
        <w:t xml:space="preserve"> government stimulated further reforms, </w:t>
      </w:r>
      <w:r w:rsidR="00F30843" w:rsidRPr="00C310FD">
        <w:rPr>
          <w:rFonts w:ascii="Arial" w:hAnsi="Arial" w:cs="Arial"/>
        </w:rPr>
        <w:t>designed to increase financial sustainability in an era of austerity (Cm</w:t>
      </w:r>
      <w:r w:rsidR="00882906">
        <w:rPr>
          <w:rFonts w:ascii="Arial" w:hAnsi="Arial" w:cs="Arial"/>
        </w:rPr>
        <w:t xml:space="preserve"> </w:t>
      </w:r>
      <w:r w:rsidR="00F30843" w:rsidRPr="00C310FD">
        <w:rPr>
          <w:rFonts w:ascii="Arial" w:hAnsi="Arial" w:cs="Arial"/>
        </w:rPr>
        <w:t>8313, 2012).  I</w:t>
      </w:r>
      <w:r w:rsidR="00BA1E0A" w:rsidRPr="00C310FD">
        <w:rPr>
          <w:rFonts w:ascii="Arial" w:hAnsi="Arial" w:cs="Arial"/>
        </w:rPr>
        <w:t>n particular</w:t>
      </w:r>
      <w:r w:rsidR="00F30843" w:rsidRPr="00C310FD">
        <w:rPr>
          <w:rFonts w:ascii="Arial" w:hAnsi="Arial" w:cs="Arial"/>
        </w:rPr>
        <w:t>,</w:t>
      </w:r>
      <w:r w:rsidR="00BA1E0A" w:rsidRPr="00C310FD">
        <w:rPr>
          <w:rFonts w:ascii="Arial" w:hAnsi="Arial" w:cs="Arial"/>
        </w:rPr>
        <w:t xml:space="preserve"> a series of measures </w:t>
      </w:r>
      <w:r w:rsidR="00F30843" w:rsidRPr="00C310FD">
        <w:rPr>
          <w:rFonts w:ascii="Arial" w:hAnsi="Arial" w:cs="Arial"/>
        </w:rPr>
        <w:t xml:space="preserve">were </w:t>
      </w:r>
      <w:r w:rsidR="00BA1E0A" w:rsidRPr="00C310FD">
        <w:rPr>
          <w:rFonts w:ascii="Arial" w:hAnsi="Arial" w:cs="Arial"/>
        </w:rPr>
        <w:t xml:space="preserve">designed to reduce overoptimistic bidding by replacing the cap and collar incentive regime with a </w:t>
      </w:r>
      <w:r w:rsidR="007840CD" w:rsidRPr="00C310FD">
        <w:rPr>
          <w:rFonts w:ascii="Arial" w:hAnsi="Arial" w:cs="Arial"/>
        </w:rPr>
        <w:t>S</w:t>
      </w:r>
      <w:r w:rsidR="00BA1E0A" w:rsidRPr="00C310FD">
        <w:rPr>
          <w:rFonts w:ascii="Arial" w:hAnsi="Arial" w:cs="Arial"/>
        </w:rPr>
        <w:t xml:space="preserve">ubordinated </w:t>
      </w:r>
      <w:r w:rsidR="007840CD" w:rsidRPr="00C310FD">
        <w:rPr>
          <w:rFonts w:ascii="Arial" w:hAnsi="Arial" w:cs="Arial"/>
        </w:rPr>
        <w:t>L</w:t>
      </w:r>
      <w:r w:rsidR="00BA1E0A" w:rsidRPr="00C310FD">
        <w:rPr>
          <w:rFonts w:ascii="Arial" w:hAnsi="Arial" w:cs="Arial"/>
        </w:rPr>
        <w:t xml:space="preserve">oan </w:t>
      </w:r>
      <w:r w:rsidR="007840CD" w:rsidRPr="00C310FD">
        <w:rPr>
          <w:rFonts w:ascii="Arial" w:hAnsi="Arial" w:cs="Arial"/>
        </w:rPr>
        <w:t>F</w:t>
      </w:r>
      <w:r w:rsidR="00BA1E0A" w:rsidRPr="00C310FD">
        <w:rPr>
          <w:rFonts w:ascii="Arial" w:hAnsi="Arial" w:cs="Arial"/>
        </w:rPr>
        <w:t>acility</w:t>
      </w:r>
      <w:r w:rsidR="007840CD" w:rsidRPr="00C310FD">
        <w:rPr>
          <w:rFonts w:ascii="Arial" w:hAnsi="Arial" w:cs="Arial"/>
        </w:rPr>
        <w:t xml:space="preserve"> (SLF)</w:t>
      </w:r>
      <w:r w:rsidR="00BA1E0A" w:rsidRPr="00C310FD">
        <w:rPr>
          <w:rFonts w:ascii="Arial" w:hAnsi="Arial" w:cs="Arial"/>
        </w:rPr>
        <w:t xml:space="preserve">. However, this reform </w:t>
      </w:r>
      <w:r w:rsidR="00F30843" w:rsidRPr="00C310FD">
        <w:rPr>
          <w:rFonts w:ascii="Arial" w:hAnsi="Arial" w:cs="Arial"/>
        </w:rPr>
        <w:t>failed in its first application to the West Coast Main Line franchise and this fourth phase of reforms was in essence stillborn. This led to the instigation of the Laidlaw Enquiry (HC 809, 2012) and the Brown Review (Cm8526, 2013). The recommendations of these reports led to the fifth phase of reforms.</w:t>
      </w:r>
      <w:r w:rsidR="00D4650C" w:rsidRPr="00C310FD">
        <w:rPr>
          <w:rFonts w:ascii="Arial" w:hAnsi="Arial" w:cs="Arial"/>
        </w:rPr>
        <w:t xml:space="preserve"> The Conservative administration produced a strategic vision paper in 2017 (Cm 9719, 2017) and commissioned a review led by Keith Williams in </w:t>
      </w:r>
      <w:r w:rsidR="00033A9F" w:rsidRPr="00C310FD">
        <w:rPr>
          <w:rFonts w:ascii="Arial" w:hAnsi="Arial" w:cs="Arial"/>
        </w:rPr>
        <w:t>September 2018</w:t>
      </w:r>
      <w:r w:rsidR="008C3E60">
        <w:rPr>
          <w:rFonts w:ascii="Arial" w:hAnsi="Arial" w:cs="Arial"/>
        </w:rPr>
        <w:t xml:space="preserve">, in the aftermath of the failed introduction of new cross city timetables in London and Manchester that led to an independent inquiry chaired by Stephen </w:t>
      </w:r>
      <w:proofErr w:type="spellStart"/>
      <w:r w:rsidR="008C3E60">
        <w:rPr>
          <w:rFonts w:ascii="Arial" w:hAnsi="Arial" w:cs="Arial"/>
        </w:rPr>
        <w:t>Glaister</w:t>
      </w:r>
      <w:proofErr w:type="spellEnd"/>
      <w:r w:rsidR="008C3E60">
        <w:rPr>
          <w:rFonts w:ascii="Arial" w:hAnsi="Arial" w:cs="Arial"/>
        </w:rPr>
        <w:t xml:space="preserve"> (ORR, 2018)</w:t>
      </w:r>
      <w:r w:rsidR="00033A9F" w:rsidRPr="00C310FD">
        <w:rPr>
          <w:rFonts w:ascii="Arial" w:hAnsi="Arial" w:cs="Arial"/>
        </w:rPr>
        <w:t>.  A White Paper was scheduled for autumn 2019 but this was delayed by the General Election (December 2019) and then by Covid. As a result of the pandemic, franchising was suspended on 23 March 2020, being replaced for six-months by Emergency Measure Agreements (EMAs) and subsequently Emergency Measure Recovery Agreements (EMRAs) and direct awards.</w:t>
      </w:r>
      <w:r w:rsidR="007840CD" w:rsidRPr="00C310FD">
        <w:rPr>
          <w:rFonts w:ascii="Arial" w:hAnsi="Arial" w:cs="Arial"/>
        </w:rPr>
        <w:t xml:space="preserve"> This constituted a sixth phase of reforms.</w:t>
      </w:r>
    </w:p>
    <w:p w14:paraId="4081550D" w14:textId="720FB6D0" w:rsidR="00020E20" w:rsidRPr="00C310FD" w:rsidRDefault="001E1BFE" w:rsidP="001C0E4B">
      <w:pPr>
        <w:spacing w:line="276" w:lineRule="auto"/>
        <w:rPr>
          <w:rFonts w:ascii="Arial" w:hAnsi="Arial" w:cs="Arial"/>
        </w:rPr>
      </w:pPr>
      <w:r w:rsidRPr="00C310FD">
        <w:rPr>
          <w:rFonts w:ascii="Arial" w:hAnsi="Arial" w:cs="Arial"/>
        </w:rPr>
        <w:t>In May 2021</w:t>
      </w:r>
      <w:r w:rsidR="004F351C" w:rsidRPr="00C310FD">
        <w:rPr>
          <w:rFonts w:ascii="Arial" w:hAnsi="Arial" w:cs="Arial"/>
        </w:rPr>
        <w:t xml:space="preserve"> the much</w:t>
      </w:r>
      <w:r w:rsidR="00020E20" w:rsidRPr="00C310FD">
        <w:rPr>
          <w:rFonts w:ascii="Arial" w:hAnsi="Arial" w:cs="Arial"/>
        </w:rPr>
        <w:t>-</w:t>
      </w:r>
      <w:r w:rsidR="004F351C" w:rsidRPr="00C310FD">
        <w:rPr>
          <w:rFonts w:ascii="Arial" w:hAnsi="Arial" w:cs="Arial"/>
        </w:rPr>
        <w:t xml:space="preserve">awaited William Reviews </w:t>
      </w:r>
      <w:r w:rsidR="009D6BE6" w:rsidRPr="00C310FD">
        <w:rPr>
          <w:rFonts w:ascii="Arial" w:hAnsi="Arial" w:cs="Arial"/>
        </w:rPr>
        <w:t>w</w:t>
      </w:r>
      <w:r w:rsidR="004F351C" w:rsidRPr="00C310FD">
        <w:rPr>
          <w:rFonts w:ascii="Arial" w:hAnsi="Arial" w:cs="Arial"/>
        </w:rPr>
        <w:t>as finally published, although now rebranded the Williams-</w:t>
      </w:r>
      <w:proofErr w:type="spellStart"/>
      <w:r w:rsidR="004F351C" w:rsidRPr="00C310FD">
        <w:rPr>
          <w:rFonts w:ascii="Arial" w:hAnsi="Arial" w:cs="Arial"/>
        </w:rPr>
        <w:t>Shapps</w:t>
      </w:r>
      <w:proofErr w:type="spellEnd"/>
      <w:r w:rsidR="004F351C" w:rsidRPr="00C310FD">
        <w:rPr>
          <w:rFonts w:ascii="Arial" w:hAnsi="Arial" w:cs="Arial"/>
        </w:rPr>
        <w:t xml:space="preserve"> Plan for Rail to acknowledge the role of the Secretary of State for Transport</w:t>
      </w:r>
      <w:r w:rsidR="002E3AAB">
        <w:rPr>
          <w:rFonts w:ascii="Arial" w:hAnsi="Arial" w:cs="Arial"/>
        </w:rPr>
        <w:t xml:space="preserve"> at the time</w:t>
      </w:r>
      <w:r w:rsidR="004F351C" w:rsidRPr="00C310FD">
        <w:rPr>
          <w:rFonts w:ascii="Arial" w:hAnsi="Arial" w:cs="Arial"/>
        </w:rPr>
        <w:t xml:space="preserve">, Grant </w:t>
      </w:r>
      <w:proofErr w:type="spellStart"/>
      <w:r w:rsidR="004F351C" w:rsidRPr="00C310FD">
        <w:rPr>
          <w:rFonts w:ascii="Arial" w:hAnsi="Arial" w:cs="Arial"/>
        </w:rPr>
        <w:t>Shapps</w:t>
      </w:r>
      <w:proofErr w:type="spellEnd"/>
      <w:r w:rsidR="004F351C" w:rsidRPr="00C310FD">
        <w:rPr>
          <w:rFonts w:ascii="Arial" w:hAnsi="Arial" w:cs="Arial"/>
        </w:rPr>
        <w:t xml:space="preserve"> (CP</w:t>
      </w:r>
      <w:r w:rsidR="00882906">
        <w:rPr>
          <w:rFonts w:ascii="Arial" w:hAnsi="Arial" w:cs="Arial"/>
        </w:rPr>
        <w:t xml:space="preserve"> </w:t>
      </w:r>
      <w:r w:rsidR="004F351C" w:rsidRPr="00C310FD">
        <w:rPr>
          <w:rFonts w:ascii="Arial" w:hAnsi="Arial" w:cs="Arial"/>
        </w:rPr>
        <w:t>423, 2021).</w:t>
      </w:r>
      <w:r w:rsidR="009D6BE6" w:rsidRPr="00C310FD">
        <w:rPr>
          <w:rFonts w:ascii="Arial" w:hAnsi="Arial" w:cs="Arial"/>
        </w:rPr>
        <w:t xml:space="preserve"> The Plan involves a series of promises, outcomes and commitments</w:t>
      </w:r>
      <w:r w:rsidR="00AD5793">
        <w:rPr>
          <w:rFonts w:ascii="Arial" w:hAnsi="Arial" w:cs="Arial"/>
        </w:rPr>
        <w:t xml:space="preserve"> that will constitute a seventh phase of reforms</w:t>
      </w:r>
      <w:r w:rsidR="009D6BE6" w:rsidRPr="00C310FD">
        <w:rPr>
          <w:rFonts w:ascii="Arial" w:hAnsi="Arial" w:cs="Arial"/>
        </w:rPr>
        <w:t>. Seven promises consist of: bringing the railways back together, deliver</w:t>
      </w:r>
      <w:r w:rsidR="009D2692">
        <w:rPr>
          <w:rFonts w:ascii="Arial" w:hAnsi="Arial" w:cs="Arial"/>
        </w:rPr>
        <w:t>ing</w:t>
      </w:r>
      <w:r w:rsidR="009D6BE6" w:rsidRPr="00C310FD">
        <w:rPr>
          <w:rFonts w:ascii="Arial" w:hAnsi="Arial" w:cs="Arial"/>
        </w:rPr>
        <w:t xml:space="preserve"> more punctual and reliable services; making the railways easier to use; rebuilding public transport use after the pandemic; maintain</w:t>
      </w:r>
      <w:r w:rsidR="009D2692">
        <w:rPr>
          <w:rFonts w:ascii="Arial" w:hAnsi="Arial" w:cs="Arial"/>
        </w:rPr>
        <w:t>ing</w:t>
      </w:r>
      <w:r w:rsidR="009D6BE6" w:rsidRPr="00C310FD">
        <w:rPr>
          <w:rFonts w:ascii="Arial" w:hAnsi="Arial" w:cs="Arial"/>
        </w:rPr>
        <w:t xml:space="preserve"> safe and secure railways for all; keeping the best elements of the private sector that have helped to drive growth; making the railways more efficient; and growing, not shrinking, the network. The 10 outcomes consist of: modern passenger experience; retail revolution; new ways of working with the private sector; financial sustainability; greater control for local people and places; cleaner, greener railway; new offers for freight; </w:t>
      </w:r>
      <w:r w:rsidR="00020E20" w:rsidRPr="00C310FD">
        <w:rPr>
          <w:rFonts w:ascii="Arial" w:hAnsi="Arial" w:cs="Arial"/>
        </w:rPr>
        <w:t>increased speed of delivery and efficient enhancements; skilled, innovative workforce; and simpler industry structure.</w:t>
      </w:r>
    </w:p>
    <w:p w14:paraId="1EB66DC6" w14:textId="329998F0" w:rsidR="00020E20" w:rsidRPr="00C310FD" w:rsidRDefault="003C4362" w:rsidP="001C0E4B">
      <w:pPr>
        <w:spacing w:line="276" w:lineRule="auto"/>
        <w:rPr>
          <w:rFonts w:ascii="Arial" w:hAnsi="Arial" w:cs="Arial"/>
        </w:rPr>
      </w:pPr>
      <w:r w:rsidRPr="00C310FD">
        <w:rPr>
          <w:rFonts w:ascii="Arial" w:hAnsi="Arial" w:cs="Arial"/>
        </w:rPr>
        <w:t xml:space="preserve">As shown by Figure 1, the main change is the vertical integration of the planning of infrastructure and train services by the creation of Great British Railways which brings together the planning functions of  the DfT and Network Rail, as well as the Rail Delivery </w:t>
      </w:r>
      <w:r w:rsidRPr="00C310FD">
        <w:rPr>
          <w:rFonts w:ascii="Arial" w:hAnsi="Arial" w:cs="Arial"/>
        </w:rPr>
        <w:lastRenderedPageBreak/>
        <w:t>Group (RDG – previously the Association of Train Operating Companies, ATOC)</w:t>
      </w:r>
      <w:r w:rsidR="006E7A18">
        <w:rPr>
          <w:rStyle w:val="FootnoteReference"/>
          <w:rFonts w:ascii="Arial" w:hAnsi="Arial" w:cs="Arial"/>
        </w:rPr>
        <w:footnoteReference w:id="5"/>
      </w:r>
      <w:r w:rsidRPr="00C310FD">
        <w:rPr>
          <w:rFonts w:ascii="Arial" w:hAnsi="Arial" w:cs="Arial"/>
        </w:rPr>
        <w:t xml:space="preserve">. However, operations would remain horizontally and vertically separated, with the likelihood of a residuary RDG representing private sector interests. These reforms are, at least in England, </w:t>
      </w:r>
      <w:r w:rsidR="008C3E60">
        <w:rPr>
          <w:rFonts w:ascii="Arial" w:hAnsi="Arial" w:cs="Arial"/>
        </w:rPr>
        <w:t xml:space="preserve">a </w:t>
      </w:r>
      <w:r w:rsidRPr="00C310FD">
        <w:rPr>
          <w:rFonts w:ascii="Arial" w:hAnsi="Arial" w:cs="Arial"/>
        </w:rPr>
        <w:t xml:space="preserve">simplification rather than nationalisation, although in Scotland and Wales the respective TOCs have been taken into governmental control. Railways in Northern Ireland have always been under public control and ownership. </w:t>
      </w:r>
    </w:p>
    <w:p w14:paraId="33E64BF8" w14:textId="20D87A9C" w:rsidR="001E1BFE" w:rsidRPr="00C310FD" w:rsidRDefault="00020E20" w:rsidP="00F43BE9">
      <w:pPr>
        <w:jc w:val="both"/>
        <w:rPr>
          <w:rFonts w:ascii="Arial" w:hAnsi="Arial" w:cs="Arial"/>
        </w:rPr>
      </w:pPr>
      <w:r w:rsidRPr="00C310FD">
        <w:rPr>
          <w:rFonts w:ascii="Arial" w:hAnsi="Arial" w:cs="Arial"/>
          <w:noProof/>
        </w:rPr>
        <w:drawing>
          <wp:inline distT="0" distB="0" distL="0" distR="0" wp14:anchorId="120CF77C" wp14:editId="3767E610">
            <wp:extent cx="2419350" cy="199391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2347" cy="2021111"/>
                    </a:xfrm>
                    <a:prstGeom prst="rect">
                      <a:avLst/>
                    </a:prstGeom>
                    <a:noFill/>
                  </pic:spPr>
                </pic:pic>
              </a:graphicData>
            </a:graphic>
          </wp:inline>
        </w:drawing>
      </w:r>
      <w:r w:rsidRPr="00C310FD">
        <w:rPr>
          <w:rFonts w:ascii="Arial" w:hAnsi="Arial" w:cs="Arial"/>
          <w:noProof/>
        </w:rPr>
        <w:drawing>
          <wp:inline distT="0" distB="0" distL="0" distR="0" wp14:anchorId="0733D726" wp14:editId="7732FC47">
            <wp:extent cx="2640169" cy="1992226"/>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8522" cy="2043804"/>
                    </a:xfrm>
                    <a:prstGeom prst="rect">
                      <a:avLst/>
                    </a:prstGeom>
                    <a:noFill/>
                  </pic:spPr>
                </pic:pic>
              </a:graphicData>
            </a:graphic>
          </wp:inline>
        </w:drawing>
      </w:r>
    </w:p>
    <w:p w14:paraId="6F671A4B" w14:textId="5276C6AE" w:rsidR="00020E20" w:rsidRPr="001C0E4B" w:rsidRDefault="00020E20" w:rsidP="00F43BE9">
      <w:pPr>
        <w:jc w:val="both"/>
        <w:rPr>
          <w:rFonts w:ascii="Arial" w:hAnsi="Arial" w:cs="Arial"/>
          <w:b/>
          <w:bCs/>
          <w:sz w:val="20"/>
          <w:szCs w:val="20"/>
        </w:rPr>
      </w:pPr>
      <w:r w:rsidRPr="001C0E4B">
        <w:rPr>
          <w:rFonts w:ascii="Arial" w:hAnsi="Arial" w:cs="Arial"/>
          <w:b/>
          <w:bCs/>
          <w:sz w:val="20"/>
          <w:szCs w:val="20"/>
        </w:rPr>
        <w:t xml:space="preserve">Figure 1: National Rail Industry </w:t>
      </w:r>
      <w:r w:rsidR="003C4362" w:rsidRPr="001C0E4B">
        <w:rPr>
          <w:rFonts w:ascii="Arial" w:hAnsi="Arial" w:cs="Arial"/>
          <w:b/>
          <w:bCs/>
          <w:sz w:val="20"/>
          <w:szCs w:val="20"/>
        </w:rPr>
        <w:t>Structure</w:t>
      </w:r>
      <w:r w:rsidRPr="001C0E4B">
        <w:rPr>
          <w:rFonts w:ascii="Arial" w:hAnsi="Arial" w:cs="Arial"/>
          <w:b/>
          <w:bCs/>
          <w:sz w:val="20"/>
          <w:szCs w:val="20"/>
        </w:rPr>
        <w:t xml:space="preserve"> Before (Left) and After (Right) the </w:t>
      </w:r>
      <w:r w:rsidR="00D73561" w:rsidRPr="001C0E4B">
        <w:rPr>
          <w:rFonts w:ascii="Arial" w:hAnsi="Arial" w:cs="Arial"/>
          <w:b/>
          <w:bCs/>
          <w:sz w:val="20"/>
          <w:szCs w:val="20"/>
        </w:rPr>
        <w:t>Williams</w:t>
      </w:r>
      <w:r w:rsidRPr="001C0E4B">
        <w:rPr>
          <w:rFonts w:ascii="Arial" w:hAnsi="Arial" w:cs="Arial"/>
          <w:b/>
          <w:bCs/>
          <w:sz w:val="20"/>
          <w:szCs w:val="20"/>
        </w:rPr>
        <w:t>-</w:t>
      </w:r>
      <w:proofErr w:type="spellStart"/>
      <w:r w:rsidRPr="001C0E4B">
        <w:rPr>
          <w:rFonts w:ascii="Arial" w:hAnsi="Arial" w:cs="Arial"/>
          <w:b/>
          <w:bCs/>
          <w:sz w:val="20"/>
          <w:szCs w:val="20"/>
        </w:rPr>
        <w:t>Shapps</w:t>
      </w:r>
      <w:proofErr w:type="spellEnd"/>
      <w:r w:rsidRPr="001C0E4B">
        <w:rPr>
          <w:rFonts w:ascii="Arial" w:hAnsi="Arial" w:cs="Arial"/>
          <w:b/>
          <w:bCs/>
          <w:sz w:val="20"/>
          <w:szCs w:val="20"/>
        </w:rPr>
        <w:t xml:space="preserve"> Plan for Rail.</w:t>
      </w:r>
    </w:p>
    <w:p w14:paraId="28D638A8" w14:textId="568DB45F" w:rsidR="00A96789" w:rsidRPr="00C310FD" w:rsidRDefault="003C4362" w:rsidP="001C0E4B">
      <w:pPr>
        <w:spacing w:line="276" w:lineRule="auto"/>
        <w:rPr>
          <w:rFonts w:ascii="Arial" w:hAnsi="Arial" w:cs="Arial"/>
        </w:rPr>
      </w:pPr>
      <w:r w:rsidRPr="00C310FD">
        <w:rPr>
          <w:rFonts w:ascii="Arial" w:hAnsi="Arial" w:cs="Arial"/>
        </w:rPr>
        <w:t xml:space="preserve">The Plan includes some 62 commitments. </w:t>
      </w:r>
      <w:r w:rsidR="002F469B">
        <w:rPr>
          <w:rFonts w:ascii="Arial" w:hAnsi="Arial" w:cs="Arial"/>
        </w:rPr>
        <w:t>These cover the integrated organisation (1-20), replacing franchising (21-29), passenger experience (30-44), the role of the private sector (45-51), innovation (52-58) and people (59-62). As an example, t</w:t>
      </w:r>
      <w:r w:rsidR="00A96789" w:rsidRPr="00C310FD">
        <w:rPr>
          <w:rFonts w:ascii="Arial" w:hAnsi="Arial" w:cs="Arial"/>
        </w:rPr>
        <w:t>hose relevant to passenger rail franchising</w:t>
      </w:r>
      <w:r w:rsidR="009D2692">
        <w:rPr>
          <w:rFonts w:ascii="Arial" w:hAnsi="Arial" w:cs="Arial"/>
        </w:rPr>
        <w:t xml:space="preserve"> are</w:t>
      </w:r>
      <w:r w:rsidR="00A96789" w:rsidRPr="00C310FD">
        <w:rPr>
          <w:rFonts w:ascii="Arial" w:hAnsi="Arial" w:cs="Arial"/>
        </w:rPr>
        <w:t xml:space="preserve">: </w:t>
      </w:r>
    </w:p>
    <w:p w14:paraId="29E150DB" w14:textId="1FDE5306" w:rsidR="00A96789" w:rsidRPr="00C310FD" w:rsidRDefault="00A96789" w:rsidP="002F469B">
      <w:pPr>
        <w:spacing w:after="0" w:line="240" w:lineRule="auto"/>
        <w:jc w:val="both"/>
        <w:rPr>
          <w:rFonts w:ascii="Arial" w:hAnsi="Arial" w:cs="Arial"/>
        </w:rPr>
      </w:pPr>
      <w:r w:rsidRPr="00C310FD">
        <w:rPr>
          <w:rFonts w:ascii="Arial" w:hAnsi="Arial" w:cs="Arial"/>
        </w:rPr>
        <w:t>21. Franchising will be replaced by Passenger Service Contracts (PSCs)</w:t>
      </w:r>
      <w:r w:rsidR="00EE7FDD" w:rsidRPr="00C310FD">
        <w:rPr>
          <w:rFonts w:ascii="Arial" w:hAnsi="Arial" w:cs="Arial"/>
        </w:rPr>
        <w:t>;</w:t>
      </w:r>
    </w:p>
    <w:p w14:paraId="43E79E40" w14:textId="0BA267B0" w:rsidR="00A96789" w:rsidRPr="00C310FD" w:rsidRDefault="00A96789" w:rsidP="002F469B">
      <w:pPr>
        <w:spacing w:after="0" w:line="240" w:lineRule="auto"/>
        <w:jc w:val="both"/>
        <w:rPr>
          <w:rFonts w:ascii="Arial" w:hAnsi="Arial" w:cs="Arial"/>
        </w:rPr>
      </w:pPr>
      <w:r w:rsidRPr="00C310FD">
        <w:rPr>
          <w:rFonts w:ascii="Arial" w:hAnsi="Arial" w:cs="Arial"/>
        </w:rPr>
        <w:t>22</w:t>
      </w:r>
      <w:r w:rsidR="00EE7FDD" w:rsidRPr="00C310FD">
        <w:rPr>
          <w:rFonts w:ascii="Arial" w:hAnsi="Arial" w:cs="Arial"/>
        </w:rPr>
        <w:t>.</w:t>
      </w:r>
      <w:r w:rsidRPr="00C310FD">
        <w:rPr>
          <w:rFonts w:ascii="Arial" w:hAnsi="Arial" w:cs="Arial"/>
        </w:rPr>
        <w:t xml:space="preserve"> PSCs will focus operators on meeting passengers’ priorities and will incentivise them to grow usage</w:t>
      </w:r>
      <w:r w:rsidR="00EE7FDD" w:rsidRPr="00C310FD">
        <w:rPr>
          <w:rFonts w:ascii="Arial" w:hAnsi="Arial" w:cs="Arial"/>
        </w:rPr>
        <w:t>;</w:t>
      </w:r>
    </w:p>
    <w:p w14:paraId="27AEDC09" w14:textId="25EB02FA" w:rsidR="00A96789" w:rsidRPr="00C310FD" w:rsidRDefault="00A96789" w:rsidP="002F469B">
      <w:pPr>
        <w:spacing w:after="0" w:line="240" w:lineRule="auto"/>
        <w:jc w:val="both"/>
        <w:rPr>
          <w:rFonts w:ascii="Arial" w:hAnsi="Arial" w:cs="Arial"/>
        </w:rPr>
      </w:pPr>
      <w:r w:rsidRPr="00C310FD">
        <w:rPr>
          <w:rFonts w:ascii="Arial" w:hAnsi="Arial" w:cs="Arial"/>
        </w:rPr>
        <w:t>23</w:t>
      </w:r>
      <w:r w:rsidR="00EE7FDD" w:rsidRPr="00C310FD">
        <w:rPr>
          <w:rFonts w:ascii="Arial" w:hAnsi="Arial" w:cs="Arial"/>
        </w:rPr>
        <w:t>.</w:t>
      </w:r>
      <w:r w:rsidRPr="00C310FD">
        <w:rPr>
          <w:rFonts w:ascii="Arial" w:hAnsi="Arial" w:cs="Arial"/>
        </w:rPr>
        <w:t xml:space="preserve"> Each PSC will be designed to support the needs of passengers and the whole network as part of an integrated system</w:t>
      </w:r>
      <w:r w:rsidR="00EE7FDD" w:rsidRPr="00C310FD">
        <w:rPr>
          <w:rFonts w:ascii="Arial" w:hAnsi="Arial" w:cs="Arial"/>
        </w:rPr>
        <w:t>;</w:t>
      </w:r>
    </w:p>
    <w:p w14:paraId="7A3C167D" w14:textId="43DDEFAF" w:rsidR="00A96789" w:rsidRPr="00C310FD" w:rsidRDefault="00A96789" w:rsidP="002F469B">
      <w:pPr>
        <w:spacing w:after="0" w:line="240" w:lineRule="auto"/>
        <w:jc w:val="both"/>
        <w:rPr>
          <w:rFonts w:ascii="Arial" w:hAnsi="Arial" w:cs="Arial"/>
        </w:rPr>
      </w:pPr>
      <w:r w:rsidRPr="00C310FD">
        <w:rPr>
          <w:rFonts w:ascii="Arial" w:hAnsi="Arial" w:cs="Arial"/>
        </w:rPr>
        <w:t>24</w:t>
      </w:r>
      <w:r w:rsidR="00EE7FDD" w:rsidRPr="00C310FD">
        <w:rPr>
          <w:rFonts w:ascii="Arial" w:hAnsi="Arial" w:cs="Arial"/>
        </w:rPr>
        <w:t>.</w:t>
      </w:r>
      <w:r w:rsidRPr="00C310FD">
        <w:rPr>
          <w:rFonts w:ascii="Arial" w:hAnsi="Arial" w:cs="Arial"/>
        </w:rPr>
        <w:t xml:space="preserve"> PSCs will be different across the network and will not take a one-size-fits-all approach</w:t>
      </w:r>
      <w:r w:rsidR="00EE7FDD" w:rsidRPr="00C310FD">
        <w:rPr>
          <w:rFonts w:ascii="Arial" w:hAnsi="Arial" w:cs="Arial"/>
        </w:rPr>
        <w:t>;</w:t>
      </w:r>
    </w:p>
    <w:p w14:paraId="6E37B5B7" w14:textId="3B1BC7ED" w:rsidR="00A96789" w:rsidRPr="00C310FD" w:rsidRDefault="00A96789" w:rsidP="002F469B">
      <w:pPr>
        <w:spacing w:after="0" w:line="240" w:lineRule="auto"/>
        <w:jc w:val="both"/>
        <w:rPr>
          <w:rFonts w:ascii="Arial" w:hAnsi="Arial" w:cs="Arial"/>
        </w:rPr>
      </w:pPr>
      <w:r w:rsidRPr="00C310FD">
        <w:rPr>
          <w:rFonts w:ascii="Arial" w:hAnsi="Arial" w:cs="Arial"/>
        </w:rPr>
        <w:t>25</w:t>
      </w:r>
      <w:r w:rsidR="00EE7FDD" w:rsidRPr="00C310FD">
        <w:rPr>
          <w:rFonts w:ascii="Arial" w:hAnsi="Arial" w:cs="Arial"/>
        </w:rPr>
        <w:t>.</w:t>
      </w:r>
      <w:r w:rsidRPr="00C310FD">
        <w:rPr>
          <w:rFonts w:ascii="Arial" w:hAnsi="Arial" w:cs="Arial"/>
        </w:rPr>
        <w:t xml:space="preserve"> Operators will have greater commercial freedom on some parts of the network with revenue sharing arrangements where appropriate. New open access services will be explored where spare capacity exists</w:t>
      </w:r>
      <w:r w:rsidR="00EE7FDD" w:rsidRPr="00C310FD">
        <w:rPr>
          <w:rFonts w:ascii="Arial" w:hAnsi="Arial" w:cs="Arial"/>
        </w:rPr>
        <w:t>;</w:t>
      </w:r>
    </w:p>
    <w:p w14:paraId="701E1ACA" w14:textId="19CFD925" w:rsidR="00EE7FDD" w:rsidRPr="00C310FD" w:rsidRDefault="00A96789" w:rsidP="002F469B">
      <w:pPr>
        <w:spacing w:after="0" w:line="240" w:lineRule="auto"/>
        <w:jc w:val="both"/>
        <w:rPr>
          <w:rFonts w:ascii="Arial" w:hAnsi="Arial" w:cs="Arial"/>
        </w:rPr>
      </w:pPr>
      <w:r w:rsidRPr="00C310FD">
        <w:rPr>
          <w:rFonts w:ascii="Arial" w:hAnsi="Arial" w:cs="Arial"/>
        </w:rPr>
        <w:t>26. The geographic and financial size of PSCs will reflect local markets and needs</w:t>
      </w:r>
      <w:r w:rsidR="00EE7FDD" w:rsidRPr="00C310FD">
        <w:rPr>
          <w:rFonts w:ascii="Arial" w:hAnsi="Arial" w:cs="Arial"/>
        </w:rPr>
        <w:t>;</w:t>
      </w:r>
    </w:p>
    <w:p w14:paraId="42EC7FFB" w14:textId="47E607F4" w:rsidR="00EE7FDD" w:rsidRPr="00C310FD" w:rsidRDefault="00EE7FDD" w:rsidP="002F469B">
      <w:pPr>
        <w:spacing w:after="0" w:line="240" w:lineRule="auto"/>
        <w:jc w:val="both"/>
        <w:rPr>
          <w:rFonts w:ascii="Arial" w:hAnsi="Arial" w:cs="Arial"/>
        </w:rPr>
      </w:pPr>
      <w:r w:rsidRPr="00C310FD">
        <w:rPr>
          <w:rFonts w:ascii="Arial" w:hAnsi="Arial" w:cs="Arial"/>
        </w:rPr>
        <w:t>27. Competition for PSCs will be greater than for franchises and Great British Railways will aim to complete all contracts;</w:t>
      </w:r>
    </w:p>
    <w:p w14:paraId="05F6918F" w14:textId="080C8753" w:rsidR="00EE7FDD" w:rsidRPr="00C310FD" w:rsidRDefault="00EE7FDD" w:rsidP="002F469B">
      <w:pPr>
        <w:spacing w:after="0" w:line="240" w:lineRule="auto"/>
        <w:jc w:val="both"/>
        <w:rPr>
          <w:rFonts w:ascii="Arial" w:hAnsi="Arial" w:cs="Arial"/>
        </w:rPr>
      </w:pPr>
      <w:r w:rsidRPr="00C310FD">
        <w:rPr>
          <w:rFonts w:ascii="Arial" w:hAnsi="Arial" w:cs="Arial"/>
        </w:rPr>
        <w:t>28. If operators fail, the government will be ready to step in and take control where needed; and</w:t>
      </w:r>
    </w:p>
    <w:p w14:paraId="01DF81F6" w14:textId="13005328" w:rsidR="00D37039" w:rsidRDefault="00EE7FDD" w:rsidP="002F469B">
      <w:pPr>
        <w:spacing w:after="0" w:line="240" w:lineRule="auto"/>
        <w:jc w:val="both"/>
        <w:rPr>
          <w:rFonts w:ascii="Arial" w:hAnsi="Arial" w:cs="Arial"/>
        </w:rPr>
      </w:pPr>
      <w:r w:rsidRPr="00C310FD">
        <w:rPr>
          <w:rFonts w:ascii="Arial" w:hAnsi="Arial" w:cs="Arial"/>
        </w:rPr>
        <w:t>29. The government will work with the private sector and potential new market entrants to develop and implement these changes.</w:t>
      </w:r>
    </w:p>
    <w:p w14:paraId="0E82D5CA" w14:textId="77777777" w:rsidR="002F469B" w:rsidRPr="00C310FD" w:rsidRDefault="002F469B" w:rsidP="002F469B">
      <w:pPr>
        <w:spacing w:after="0" w:line="240" w:lineRule="auto"/>
        <w:jc w:val="both"/>
        <w:rPr>
          <w:rFonts w:ascii="Arial" w:hAnsi="Arial" w:cs="Arial"/>
        </w:rPr>
      </w:pPr>
    </w:p>
    <w:p w14:paraId="46309C3B" w14:textId="20E8A431" w:rsidR="00EE7FDD" w:rsidRPr="00C310FD" w:rsidRDefault="00EE7FDD" w:rsidP="001C0E4B">
      <w:pPr>
        <w:spacing w:line="276" w:lineRule="auto"/>
        <w:rPr>
          <w:rFonts w:ascii="Arial" w:hAnsi="Arial" w:cs="Arial"/>
        </w:rPr>
      </w:pPr>
      <w:r w:rsidRPr="00C310FD">
        <w:rPr>
          <w:rFonts w:ascii="Arial" w:hAnsi="Arial" w:cs="Arial"/>
        </w:rPr>
        <w:t>Exemplars for PSCs given in the Plan and supporting documents include London Overground plus contracting-</w:t>
      </w:r>
      <w:r w:rsidR="008C3E60">
        <w:rPr>
          <w:rFonts w:ascii="Arial" w:hAnsi="Arial" w:cs="Arial"/>
        </w:rPr>
        <w:t>o</w:t>
      </w:r>
      <w:r w:rsidRPr="00C310FD">
        <w:rPr>
          <w:rFonts w:ascii="Arial" w:hAnsi="Arial" w:cs="Arial"/>
        </w:rPr>
        <w:t>ut in Germany, Sweden, Massachusetts Bay Transit Authority (MBTA – Boston), Sydney</w:t>
      </w:r>
      <w:r w:rsidR="00D11BCF" w:rsidRPr="00C310FD">
        <w:rPr>
          <w:rFonts w:ascii="Arial" w:hAnsi="Arial" w:cs="Arial"/>
        </w:rPr>
        <w:t xml:space="preserve"> and </w:t>
      </w:r>
      <w:r w:rsidRPr="00C310FD">
        <w:rPr>
          <w:rFonts w:ascii="Arial" w:hAnsi="Arial" w:cs="Arial"/>
        </w:rPr>
        <w:t>Melbourne</w:t>
      </w:r>
      <w:r w:rsidR="00D11BCF" w:rsidRPr="00C310FD">
        <w:rPr>
          <w:rFonts w:ascii="Arial" w:hAnsi="Arial" w:cs="Arial"/>
        </w:rPr>
        <w:t>. The f</w:t>
      </w:r>
      <w:r w:rsidRPr="00C310FD">
        <w:rPr>
          <w:rFonts w:ascii="Arial" w:hAnsi="Arial" w:cs="Arial"/>
        </w:rPr>
        <w:t xml:space="preserve">ocus </w:t>
      </w:r>
      <w:r w:rsidR="00D11BCF" w:rsidRPr="00C310FD">
        <w:rPr>
          <w:rFonts w:ascii="Arial" w:hAnsi="Arial" w:cs="Arial"/>
        </w:rPr>
        <w:t xml:space="preserve">is likely to </w:t>
      </w:r>
      <w:r w:rsidR="008C3E60">
        <w:rPr>
          <w:rFonts w:ascii="Arial" w:hAnsi="Arial" w:cs="Arial"/>
        </w:rPr>
        <w:t xml:space="preserve">be </w:t>
      </w:r>
      <w:r w:rsidRPr="00C310FD">
        <w:rPr>
          <w:rFonts w:ascii="Arial" w:hAnsi="Arial" w:cs="Arial"/>
        </w:rPr>
        <w:t xml:space="preserve">on gross cost, smallish contracts, </w:t>
      </w:r>
      <w:r w:rsidR="00D11BCF" w:rsidRPr="00C310FD">
        <w:rPr>
          <w:rFonts w:ascii="Arial" w:hAnsi="Arial" w:cs="Arial"/>
        </w:rPr>
        <w:t xml:space="preserve">of </w:t>
      </w:r>
      <w:r w:rsidRPr="00C310FD">
        <w:rPr>
          <w:rFonts w:ascii="Arial" w:hAnsi="Arial" w:cs="Arial"/>
        </w:rPr>
        <w:t>medium length with extension options</w:t>
      </w:r>
      <w:r w:rsidR="00D11BCF" w:rsidRPr="00C310FD">
        <w:rPr>
          <w:rFonts w:ascii="Arial" w:hAnsi="Arial" w:cs="Arial"/>
        </w:rPr>
        <w:t xml:space="preserve"> and with </w:t>
      </w:r>
      <w:r w:rsidRPr="00C310FD">
        <w:rPr>
          <w:rFonts w:ascii="Arial" w:hAnsi="Arial" w:cs="Arial"/>
        </w:rPr>
        <w:t>punctuality penalties.</w:t>
      </w:r>
      <w:r w:rsidR="00D11BCF" w:rsidRPr="00C310FD">
        <w:rPr>
          <w:rFonts w:ascii="Arial" w:hAnsi="Arial" w:cs="Arial"/>
        </w:rPr>
        <w:t xml:space="preserve">  Other </w:t>
      </w:r>
      <w:r w:rsidR="00D11BCF" w:rsidRPr="00C310FD">
        <w:rPr>
          <w:rFonts w:ascii="Arial" w:hAnsi="Arial" w:cs="Arial"/>
        </w:rPr>
        <w:lastRenderedPageBreak/>
        <w:t xml:space="preserve">incentives are being considered with respect to </w:t>
      </w:r>
      <w:r w:rsidR="00045894" w:rsidRPr="00C310FD">
        <w:rPr>
          <w:rFonts w:ascii="Arial" w:hAnsi="Arial" w:cs="Arial"/>
        </w:rPr>
        <w:t xml:space="preserve">quality of services, passenger experience, revenue protection and train capacity, whilst there would be scorecard linked incentives related to collaboration and innovation. For some contracts, revenue incentives and risk sharing would be considered. </w:t>
      </w:r>
      <w:r w:rsidRPr="00C310FD">
        <w:rPr>
          <w:rFonts w:ascii="Arial" w:hAnsi="Arial" w:cs="Arial"/>
        </w:rPr>
        <w:t xml:space="preserve">Simpler contracts </w:t>
      </w:r>
      <w:r w:rsidR="00D11BCF" w:rsidRPr="00C310FD">
        <w:rPr>
          <w:rFonts w:ascii="Arial" w:hAnsi="Arial" w:cs="Arial"/>
        </w:rPr>
        <w:t xml:space="preserve"> are believed to be desirable given that the </w:t>
      </w:r>
      <w:r w:rsidRPr="00C310FD">
        <w:rPr>
          <w:rFonts w:ascii="Arial" w:hAnsi="Arial" w:cs="Arial"/>
        </w:rPr>
        <w:t xml:space="preserve">Franchise Agreements </w:t>
      </w:r>
      <w:r w:rsidR="00D11BCF" w:rsidRPr="00C310FD">
        <w:rPr>
          <w:rFonts w:ascii="Arial" w:hAnsi="Arial" w:cs="Arial"/>
        </w:rPr>
        <w:t>they would replace</w:t>
      </w:r>
      <w:r w:rsidRPr="00C310FD">
        <w:rPr>
          <w:rFonts w:ascii="Arial" w:hAnsi="Arial" w:cs="Arial"/>
        </w:rPr>
        <w:t xml:space="preserve"> </w:t>
      </w:r>
      <w:r w:rsidR="00D11BCF" w:rsidRPr="00C310FD">
        <w:rPr>
          <w:rFonts w:ascii="Arial" w:hAnsi="Arial" w:cs="Arial"/>
        </w:rPr>
        <w:t xml:space="preserve">were typically over </w:t>
      </w:r>
      <w:r w:rsidRPr="00C310FD">
        <w:rPr>
          <w:rFonts w:ascii="Arial" w:hAnsi="Arial" w:cs="Arial"/>
        </w:rPr>
        <w:t>1,000 pages</w:t>
      </w:r>
      <w:r w:rsidR="00D11BCF" w:rsidRPr="00C310FD">
        <w:rPr>
          <w:rFonts w:ascii="Arial" w:hAnsi="Arial" w:cs="Arial"/>
        </w:rPr>
        <w:t xml:space="preserve"> long</w:t>
      </w:r>
      <w:r w:rsidRPr="00C310FD">
        <w:rPr>
          <w:rFonts w:ascii="Arial" w:hAnsi="Arial" w:cs="Arial"/>
        </w:rPr>
        <w:t>.</w:t>
      </w:r>
      <w:r w:rsidR="00D11BCF" w:rsidRPr="00C310FD">
        <w:rPr>
          <w:rFonts w:ascii="Arial" w:hAnsi="Arial" w:cs="Arial"/>
        </w:rPr>
        <w:t xml:space="preserve"> It is also believed </w:t>
      </w:r>
      <w:r w:rsidR="005D21A7">
        <w:rPr>
          <w:rFonts w:ascii="Arial" w:hAnsi="Arial" w:cs="Arial"/>
        </w:rPr>
        <w:t xml:space="preserve">PSCs </w:t>
      </w:r>
      <w:r w:rsidR="00D11BCF" w:rsidRPr="00C310FD">
        <w:rPr>
          <w:rFonts w:ascii="Arial" w:hAnsi="Arial" w:cs="Arial"/>
        </w:rPr>
        <w:t xml:space="preserve">would </w:t>
      </w:r>
      <w:r w:rsidRPr="00C310FD">
        <w:rPr>
          <w:rFonts w:ascii="Arial" w:hAnsi="Arial" w:cs="Arial"/>
        </w:rPr>
        <w:t xml:space="preserve">encourage more competition. Over 5 bids per franchise </w:t>
      </w:r>
      <w:r w:rsidR="00D11BCF" w:rsidRPr="00C310FD">
        <w:rPr>
          <w:rFonts w:ascii="Arial" w:hAnsi="Arial" w:cs="Arial"/>
        </w:rPr>
        <w:t xml:space="preserve">were received </w:t>
      </w:r>
      <w:r w:rsidRPr="00C310FD">
        <w:rPr>
          <w:rFonts w:ascii="Arial" w:hAnsi="Arial" w:cs="Arial"/>
        </w:rPr>
        <w:t>in Phase 1</w:t>
      </w:r>
      <w:r w:rsidR="00D11BCF" w:rsidRPr="00C310FD">
        <w:rPr>
          <w:rFonts w:ascii="Arial" w:hAnsi="Arial" w:cs="Arial"/>
        </w:rPr>
        <w:t xml:space="preserve"> (Preston, 2001b)</w:t>
      </w:r>
      <w:r w:rsidRPr="00C310FD">
        <w:rPr>
          <w:rFonts w:ascii="Arial" w:hAnsi="Arial" w:cs="Arial"/>
        </w:rPr>
        <w:t xml:space="preserve">, </w:t>
      </w:r>
      <w:r w:rsidR="00D11BCF" w:rsidRPr="00C310FD">
        <w:rPr>
          <w:rFonts w:ascii="Arial" w:hAnsi="Arial" w:cs="Arial"/>
        </w:rPr>
        <w:t xml:space="preserve">but this was </w:t>
      </w:r>
      <w:r w:rsidRPr="00C310FD">
        <w:rPr>
          <w:rFonts w:ascii="Arial" w:hAnsi="Arial" w:cs="Arial"/>
        </w:rPr>
        <w:t>down to around 2 by Phase 5</w:t>
      </w:r>
      <w:r w:rsidR="00D11BCF" w:rsidRPr="00C310FD">
        <w:rPr>
          <w:rFonts w:ascii="Arial" w:hAnsi="Arial" w:cs="Arial"/>
        </w:rPr>
        <w:t xml:space="preserve"> (Preston and Bickel, 2020)</w:t>
      </w:r>
      <w:r w:rsidRPr="00C310FD">
        <w:rPr>
          <w:rFonts w:ascii="Arial" w:hAnsi="Arial" w:cs="Arial"/>
        </w:rPr>
        <w:t xml:space="preserve">. </w:t>
      </w:r>
      <w:r w:rsidR="00D11BCF" w:rsidRPr="00C310FD">
        <w:rPr>
          <w:rFonts w:ascii="Arial" w:hAnsi="Arial" w:cs="Arial"/>
        </w:rPr>
        <w:t xml:space="preserve"> The Plan notes that </w:t>
      </w:r>
      <w:r w:rsidRPr="00C310FD">
        <w:rPr>
          <w:rFonts w:ascii="Arial" w:hAnsi="Arial" w:cs="Arial"/>
          <w:i/>
          <w:iCs/>
        </w:rPr>
        <w:t>“Since 2012, around two-thirds of contracts have been awarded without a competition”</w:t>
      </w:r>
      <w:r w:rsidR="002F469B">
        <w:rPr>
          <w:rFonts w:ascii="Arial" w:hAnsi="Arial" w:cs="Arial"/>
          <w:i/>
          <w:iCs/>
        </w:rPr>
        <w:t xml:space="preserve"> </w:t>
      </w:r>
      <w:r w:rsidR="002F469B">
        <w:rPr>
          <w:rFonts w:ascii="Arial" w:hAnsi="Arial" w:cs="Arial"/>
        </w:rPr>
        <w:t>(CP</w:t>
      </w:r>
      <w:r w:rsidR="00882906">
        <w:rPr>
          <w:rFonts w:ascii="Arial" w:hAnsi="Arial" w:cs="Arial"/>
        </w:rPr>
        <w:t xml:space="preserve"> </w:t>
      </w:r>
      <w:r w:rsidR="002F469B">
        <w:rPr>
          <w:rFonts w:ascii="Arial" w:hAnsi="Arial" w:cs="Arial"/>
        </w:rPr>
        <w:t>423, 2021, 59)</w:t>
      </w:r>
      <w:r w:rsidRPr="00C310FD">
        <w:rPr>
          <w:rFonts w:ascii="Arial" w:hAnsi="Arial" w:cs="Arial"/>
        </w:rPr>
        <w:t>.</w:t>
      </w:r>
      <w:r w:rsidR="00D11BCF" w:rsidRPr="00C310FD">
        <w:rPr>
          <w:rFonts w:ascii="Arial" w:hAnsi="Arial" w:cs="Arial"/>
        </w:rPr>
        <w:t xml:space="preserve"> </w:t>
      </w:r>
      <w:r w:rsidR="00AD5793">
        <w:rPr>
          <w:rFonts w:ascii="Arial" w:hAnsi="Arial" w:cs="Arial"/>
        </w:rPr>
        <w:t xml:space="preserve">However, it is not yet clear to what extent these PSCs </w:t>
      </w:r>
      <w:r w:rsidR="000A4E7F">
        <w:rPr>
          <w:rFonts w:ascii="Arial" w:hAnsi="Arial" w:cs="Arial"/>
        </w:rPr>
        <w:t>will be different from the franchises they replace.</w:t>
      </w:r>
    </w:p>
    <w:p w14:paraId="62735EDF" w14:textId="04B8D6B0" w:rsidR="00E41ABB" w:rsidRPr="00C310FD" w:rsidRDefault="00045894" w:rsidP="001C0E4B">
      <w:pPr>
        <w:spacing w:line="276" w:lineRule="auto"/>
        <w:rPr>
          <w:rFonts w:ascii="Arial" w:hAnsi="Arial" w:cs="Arial"/>
        </w:rPr>
      </w:pPr>
      <w:r w:rsidRPr="00C310FD">
        <w:rPr>
          <w:rFonts w:ascii="Arial" w:hAnsi="Arial" w:cs="Arial"/>
        </w:rPr>
        <w:t>Another important feature of the Plan is to reduce costs. There are aspiration</w:t>
      </w:r>
      <w:r w:rsidR="008C3E60">
        <w:rPr>
          <w:rFonts w:ascii="Arial" w:hAnsi="Arial" w:cs="Arial"/>
        </w:rPr>
        <w:t>s</w:t>
      </w:r>
      <w:r w:rsidRPr="00C310FD">
        <w:rPr>
          <w:rFonts w:ascii="Arial" w:hAnsi="Arial" w:cs="Arial"/>
        </w:rPr>
        <w:t xml:space="preserve"> for cost reductions of around 15% of pre-COVID revenue (£1.5</w:t>
      </w:r>
      <w:r w:rsidR="008C3E60">
        <w:rPr>
          <w:rFonts w:ascii="Arial" w:hAnsi="Arial" w:cs="Arial"/>
        </w:rPr>
        <w:t xml:space="preserve"> billion</w:t>
      </w:r>
      <w:r w:rsidRPr="00C310FD">
        <w:rPr>
          <w:rFonts w:ascii="Arial" w:hAnsi="Arial" w:cs="Arial"/>
        </w:rPr>
        <w:t xml:space="preserve"> pa) by 2027 over and above those already planned whilst continuing to grow the rail network. In 2019/20, UK rail income </w:t>
      </w:r>
      <w:r w:rsidR="000A4E7F">
        <w:rPr>
          <w:rFonts w:ascii="Arial" w:hAnsi="Arial" w:cs="Arial"/>
        </w:rPr>
        <w:t xml:space="preserve">was </w:t>
      </w:r>
      <w:r w:rsidRPr="00C310FD">
        <w:rPr>
          <w:rFonts w:ascii="Arial" w:hAnsi="Arial" w:cs="Arial"/>
        </w:rPr>
        <w:t>£20.</w:t>
      </w:r>
      <w:r w:rsidR="008C3E60">
        <w:rPr>
          <w:rFonts w:ascii="Arial" w:hAnsi="Arial" w:cs="Arial"/>
        </w:rPr>
        <w:t>2 billion</w:t>
      </w:r>
      <w:r w:rsidRPr="00C310FD">
        <w:rPr>
          <w:rFonts w:ascii="Arial" w:hAnsi="Arial" w:cs="Arial"/>
        </w:rPr>
        <w:t xml:space="preserve"> and expenditure </w:t>
      </w:r>
      <w:r w:rsidR="008C3E60">
        <w:rPr>
          <w:rFonts w:ascii="Arial" w:hAnsi="Arial" w:cs="Arial"/>
        </w:rPr>
        <w:t>of a similar magnitude</w:t>
      </w:r>
      <w:r w:rsidRPr="00C310FD">
        <w:rPr>
          <w:rFonts w:ascii="Arial" w:hAnsi="Arial" w:cs="Arial"/>
        </w:rPr>
        <w:t xml:space="preserve"> (ORR, 2020), so a cost reduction of around 7% is planned. This could be achieved through reductions in transaction costs and exploitation of economies of scale and scope. In addition, Network Rail aims to save £0.7</w:t>
      </w:r>
      <w:r w:rsidR="008F5BF6">
        <w:rPr>
          <w:rFonts w:ascii="Arial" w:hAnsi="Arial" w:cs="Arial"/>
        </w:rPr>
        <w:t xml:space="preserve"> billion</w:t>
      </w:r>
      <w:r w:rsidRPr="00C310FD">
        <w:rPr>
          <w:rFonts w:ascii="Arial" w:hAnsi="Arial" w:cs="Arial"/>
        </w:rPr>
        <w:t xml:space="preserve"> p</w:t>
      </w:r>
      <w:r w:rsidR="001E61F4">
        <w:rPr>
          <w:rFonts w:ascii="Arial" w:hAnsi="Arial" w:cs="Arial"/>
        </w:rPr>
        <w:t xml:space="preserve">er </w:t>
      </w:r>
      <w:r w:rsidRPr="00C310FD">
        <w:rPr>
          <w:rFonts w:ascii="Arial" w:hAnsi="Arial" w:cs="Arial"/>
        </w:rPr>
        <w:t>a</w:t>
      </w:r>
      <w:r w:rsidR="001E61F4">
        <w:rPr>
          <w:rFonts w:ascii="Arial" w:hAnsi="Arial" w:cs="Arial"/>
        </w:rPr>
        <w:t>nnum</w:t>
      </w:r>
      <w:r w:rsidRPr="00C310FD">
        <w:rPr>
          <w:rFonts w:ascii="Arial" w:hAnsi="Arial" w:cs="Arial"/>
        </w:rPr>
        <w:t xml:space="preserve"> in C</w:t>
      </w:r>
      <w:r w:rsidR="008F5BF6">
        <w:rPr>
          <w:rFonts w:ascii="Arial" w:hAnsi="Arial" w:cs="Arial"/>
        </w:rPr>
        <w:t xml:space="preserve">ontrol </w:t>
      </w:r>
      <w:r w:rsidRPr="00C310FD">
        <w:rPr>
          <w:rFonts w:ascii="Arial" w:hAnsi="Arial" w:cs="Arial"/>
        </w:rPr>
        <w:t>P</w:t>
      </w:r>
      <w:r w:rsidR="008F5BF6">
        <w:rPr>
          <w:rFonts w:ascii="Arial" w:hAnsi="Arial" w:cs="Arial"/>
        </w:rPr>
        <w:t xml:space="preserve">eriod </w:t>
      </w:r>
      <w:r w:rsidRPr="00C310FD">
        <w:rPr>
          <w:rFonts w:ascii="Arial" w:hAnsi="Arial" w:cs="Arial"/>
        </w:rPr>
        <w:t>6 (2019-24) –</w:t>
      </w:r>
      <w:r w:rsidR="008C3E60">
        <w:rPr>
          <w:rFonts w:ascii="Arial" w:hAnsi="Arial" w:cs="Arial"/>
        </w:rPr>
        <w:t xml:space="preserve"> </w:t>
      </w:r>
      <w:r w:rsidRPr="00C310FD">
        <w:rPr>
          <w:rFonts w:ascii="Arial" w:hAnsi="Arial" w:cs="Arial"/>
        </w:rPr>
        <w:t xml:space="preserve">so total cost reductions are of the order of 11%.  However, </w:t>
      </w:r>
      <w:r w:rsidR="00304A2D" w:rsidRPr="00C310FD">
        <w:rPr>
          <w:rFonts w:ascii="Arial" w:hAnsi="Arial" w:cs="Arial"/>
        </w:rPr>
        <w:t xml:space="preserve">the </w:t>
      </w:r>
      <w:r w:rsidRPr="00C310FD">
        <w:rPr>
          <w:rFonts w:ascii="Arial" w:hAnsi="Arial" w:cs="Arial"/>
        </w:rPr>
        <w:t xml:space="preserve">McNulty </w:t>
      </w:r>
      <w:r w:rsidR="00304A2D" w:rsidRPr="00C310FD">
        <w:rPr>
          <w:rFonts w:ascii="Arial" w:hAnsi="Arial" w:cs="Arial"/>
        </w:rPr>
        <w:t xml:space="preserve">Review </w:t>
      </w:r>
      <w:r w:rsidRPr="00C310FD">
        <w:rPr>
          <w:rFonts w:ascii="Arial" w:hAnsi="Arial" w:cs="Arial"/>
        </w:rPr>
        <w:t>saw scope for 30% reductions in costs through adopting European best practice, so these</w:t>
      </w:r>
      <w:r w:rsidR="008C3E60">
        <w:rPr>
          <w:rFonts w:ascii="Arial" w:hAnsi="Arial" w:cs="Arial"/>
        </w:rPr>
        <w:t xml:space="preserve"> reductions</w:t>
      </w:r>
      <w:r w:rsidRPr="00C310FD">
        <w:rPr>
          <w:rFonts w:ascii="Arial" w:hAnsi="Arial" w:cs="Arial"/>
        </w:rPr>
        <w:t xml:space="preserve"> should be achievable</w:t>
      </w:r>
      <w:r w:rsidR="00304A2D" w:rsidRPr="00C310FD">
        <w:rPr>
          <w:rFonts w:ascii="Arial" w:hAnsi="Arial" w:cs="Arial"/>
        </w:rPr>
        <w:t xml:space="preserve"> (DfT and ORR, 2011)</w:t>
      </w:r>
      <w:r w:rsidRPr="00C310FD">
        <w:rPr>
          <w:rFonts w:ascii="Arial" w:hAnsi="Arial" w:cs="Arial"/>
        </w:rPr>
        <w:t>. Similarly, Preston and Bickel (2020) estimated total industry costs in 2017/18 as £18.2</w:t>
      </w:r>
      <w:r w:rsidR="008C3E60">
        <w:rPr>
          <w:rFonts w:ascii="Arial" w:hAnsi="Arial" w:cs="Arial"/>
        </w:rPr>
        <w:t xml:space="preserve"> billion</w:t>
      </w:r>
      <w:r w:rsidRPr="00C310FD">
        <w:rPr>
          <w:rFonts w:ascii="Arial" w:hAnsi="Arial" w:cs="Arial"/>
        </w:rPr>
        <w:t xml:space="preserve"> and a counterfactual as 26% lower, which again suggest</w:t>
      </w:r>
      <w:r w:rsidR="000A4E7F">
        <w:rPr>
          <w:rFonts w:ascii="Arial" w:hAnsi="Arial" w:cs="Arial"/>
        </w:rPr>
        <w:t>s</w:t>
      </w:r>
      <w:r w:rsidRPr="00C310FD">
        <w:rPr>
          <w:rFonts w:ascii="Arial" w:hAnsi="Arial" w:cs="Arial"/>
        </w:rPr>
        <w:t xml:space="preserve"> a cost reduction of 11% could be achievable.</w:t>
      </w:r>
      <w:r w:rsidR="00E41ABB" w:rsidRPr="00C310FD">
        <w:rPr>
          <w:rFonts w:ascii="Arial" w:hAnsi="Arial" w:cs="Arial"/>
        </w:rPr>
        <w:t xml:space="preserve"> The expected cost reductions </w:t>
      </w:r>
      <w:r w:rsidR="008C3E60">
        <w:rPr>
          <w:rFonts w:ascii="Arial" w:hAnsi="Arial" w:cs="Arial"/>
        </w:rPr>
        <w:t xml:space="preserve">are </w:t>
      </w:r>
      <w:r w:rsidR="00E41ABB" w:rsidRPr="00C310FD">
        <w:rPr>
          <w:rFonts w:ascii="Arial" w:hAnsi="Arial" w:cs="Arial"/>
        </w:rPr>
        <w:t xml:space="preserve">similar to those postulated </w:t>
      </w:r>
      <w:r w:rsidR="000A4E7F">
        <w:rPr>
          <w:rFonts w:ascii="Arial" w:hAnsi="Arial" w:cs="Arial"/>
        </w:rPr>
        <w:t xml:space="preserve">as a result of nationalisation </w:t>
      </w:r>
      <w:r w:rsidR="00E41ABB" w:rsidRPr="00C310FD">
        <w:rPr>
          <w:rFonts w:ascii="Arial" w:hAnsi="Arial" w:cs="Arial"/>
        </w:rPr>
        <w:t xml:space="preserve">by Taylor and </w:t>
      </w:r>
      <w:proofErr w:type="spellStart"/>
      <w:r w:rsidR="00E41ABB" w:rsidRPr="00C310FD">
        <w:rPr>
          <w:rFonts w:ascii="Arial" w:hAnsi="Arial" w:cs="Arial"/>
        </w:rPr>
        <w:t>Sloman</w:t>
      </w:r>
      <w:proofErr w:type="spellEnd"/>
      <w:r w:rsidR="00E41ABB" w:rsidRPr="00C310FD">
        <w:rPr>
          <w:rFonts w:ascii="Arial" w:hAnsi="Arial" w:cs="Arial"/>
        </w:rPr>
        <w:t xml:space="preserve"> (2013). Reductions in transaction costs </w:t>
      </w:r>
      <w:r w:rsidR="008C3E60">
        <w:rPr>
          <w:rFonts w:ascii="Arial" w:hAnsi="Arial" w:cs="Arial"/>
        </w:rPr>
        <w:t xml:space="preserve">are also </w:t>
      </w:r>
      <w:r w:rsidR="00E41ABB" w:rsidRPr="00C310FD">
        <w:rPr>
          <w:rFonts w:ascii="Arial" w:hAnsi="Arial" w:cs="Arial"/>
        </w:rPr>
        <w:t>possible but empirical evidence suggests that, where these can be measured, the</w:t>
      </w:r>
      <w:r w:rsidR="008C3E60">
        <w:rPr>
          <w:rFonts w:ascii="Arial" w:hAnsi="Arial" w:cs="Arial"/>
        </w:rPr>
        <w:t>y</w:t>
      </w:r>
      <w:r w:rsidR="00E41ABB" w:rsidRPr="00C310FD">
        <w:rPr>
          <w:rFonts w:ascii="Arial" w:hAnsi="Arial" w:cs="Arial"/>
        </w:rPr>
        <w:t xml:space="preserve"> are a small percentage of costs (Merkert, 2010), whilst any economies of scale and scope in planning may be offset by diseconomies in operations.</w:t>
      </w:r>
    </w:p>
    <w:p w14:paraId="77F4D861" w14:textId="17EFA307" w:rsidR="00FA76B1" w:rsidRPr="00C310FD" w:rsidRDefault="00FA76B1" w:rsidP="001C0E4B">
      <w:pPr>
        <w:spacing w:line="276" w:lineRule="auto"/>
        <w:rPr>
          <w:rFonts w:ascii="Arial" w:hAnsi="Arial" w:cs="Arial"/>
        </w:rPr>
      </w:pPr>
      <w:r w:rsidRPr="00C310FD">
        <w:rPr>
          <w:rFonts w:ascii="Arial" w:hAnsi="Arial" w:cs="Arial"/>
        </w:rPr>
        <w:t>The Government announced a Transport Bill in the Queen’s Speech to Parliament in May 2022</w:t>
      </w:r>
      <w:r w:rsidR="009D2692">
        <w:rPr>
          <w:rFonts w:ascii="Arial" w:hAnsi="Arial" w:cs="Arial"/>
        </w:rPr>
        <w:t xml:space="preserve">, although the precise </w:t>
      </w:r>
      <w:r w:rsidR="00206FAF">
        <w:rPr>
          <w:rFonts w:ascii="Arial" w:hAnsi="Arial" w:cs="Arial"/>
        </w:rPr>
        <w:t xml:space="preserve">timings </w:t>
      </w:r>
      <w:r w:rsidR="004B5DB1">
        <w:rPr>
          <w:rFonts w:ascii="Arial" w:hAnsi="Arial" w:cs="Arial"/>
        </w:rPr>
        <w:t>and content remain</w:t>
      </w:r>
      <w:r w:rsidR="00206FAF">
        <w:rPr>
          <w:rFonts w:ascii="Arial" w:hAnsi="Arial" w:cs="Arial"/>
        </w:rPr>
        <w:t xml:space="preserve"> </w:t>
      </w:r>
      <w:r w:rsidR="004B5DB1">
        <w:rPr>
          <w:rFonts w:ascii="Arial" w:hAnsi="Arial" w:cs="Arial"/>
        </w:rPr>
        <w:t>un</w:t>
      </w:r>
      <w:r w:rsidR="00206FAF">
        <w:rPr>
          <w:rFonts w:ascii="Arial" w:hAnsi="Arial" w:cs="Arial"/>
        </w:rPr>
        <w:t>clear</w:t>
      </w:r>
      <w:r w:rsidR="0011545F">
        <w:rPr>
          <w:rStyle w:val="FootnoteReference"/>
          <w:rFonts w:ascii="Arial" w:hAnsi="Arial" w:cs="Arial"/>
        </w:rPr>
        <w:footnoteReference w:id="6"/>
      </w:r>
      <w:r w:rsidRPr="00C310FD">
        <w:rPr>
          <w:rFonts w:ascii="Arial" w:hAnsi="Arial" w:cs="Arial"/>
        </w:rPr>
        <w:t xml:space="preserve">. The main elements </w:t>
      </w:r>
      <w:r w:rsidR="00206FAF">
        <w:rPr>
          <w:rFonts w:ascii="Arial" w:hAnsi="Arial" w:cs="Arial"/>
        </w:rPr>
        <w:t xml:space="preserve">of </w:t>
      </w:r>
      <w:r w:rsidRPr="00C310FD">
        <w:rPr>
          <w:rFonts w:ascii="Arial" w:hAnsi="Arial" w:cs="Arial"/>
        </w:rPr>
        <w:t xml:space="preserve">the Bill with respect to rail involve providing </w:t>
      </w:r>
      <w:r w:rsidR="00206FAF">
        <w:rPr>
          <w:rFonts w:ascii="Arial" w:hAnsi="Arial" w:cs="Arial"/>
        </w:rPr>
        <w:t>the</w:t>
      </w:r>
      <w:r w:rsidRPr="00C310FD">
        <w:rPr>
          <w:rFonts w:ascii="Arial" w:hAnsi="Arial" w:cs="Arial"/>
        </w:rPr>
        <w:t xml:space="preserve"> new body, Great British Railways, with the powers it needs to act as the single national leader of the railways, with clear lines of accountability for decision-making and joined-up leadership to deliver a customer-focused railway, including improving accessibility and promoting open data. Great British Railways will work within a clear mandate, goals and budgets set by the Government, who will reserve powers of direction. It will also involve the transfer of contracting powers for passenger services to Great British Railways and </w:t>
      </w:r>
      <w:r w:rsidR="00206FAF">
        <w:rPr>
          <w:rFonts w:ascii="Arial" w:hAnsi="Arial" w:cs="Arial"/>
        </w:rPr>
        <w:t xml:space="preserve">will </w:t>
      </w:r>
      <w:r w:rsidRPr="00C310FD">
        <w:rPr>
          <w:rFonts w:ascii="Arial" w:hAnsi="Arial" w:cs="Arial"/>
        </w:rPr>
        <w:t>ensur</w:t>
      </w:r>
      <w:r w:rsidR="00206FAF">
        <w:rPr>
          <w:rFonts w:ascii="Arial" w:hAnsi="Arial" w:cs="Arial"/>
        </w:rPr>
        <w:t>e</w:t>
      </w:r>
      <w:r w:rsidRPr="00C310FD">
        <w:rPr>
          <w:rFonts w:ascii="Arial" w:hAnsi="Arial" w:cs="Arial"/>
        </w:rPr>
        <w:t xml:space="preserve"> the best of the private sector is retained by expanding its role under the new model, introducing new passenger service contracts focussed on getting the trains running punctually and reliably.</w:t>
      </w:r>
      <w:r w:rsidR="006018E0" w:rsidRPr="00C310FD">
        <w:rPr>
          <w:rFonts w:ascii="Arial" w:hAnsi="Arial" w:cs="Arial"/>
        </w:rPr>
        <w:t xml:space="preserve"> In the meantime, a Great British Railways Transition Team has been developed that has consulted on a </w:t>
      </w:r>
      <w:r w:rsidR="00D73561">
        <w:rPr>
          <w:rFonts w:ascii="Arial" w:hAnsi="Arial" w:cs="Arial"/>
        </w:rPr>
        <w:t>30-year</w:t>
      </w:r>
      <w:r w:rsidR="000A4E7F">
        <w:rPr>
          <w:rFonts w:ascii="Arial" w:hAnsi="Arial" w:cs="Arial"/>
        </w:rPr>
        <w:t xml:space="preserve"> </w:t>
      </w:r>
      <w:r w:rsidR="006018E0" w:rsidRPr="00C310FD">
        <w:rPr>
          <w:rFonts w:ascii="Arial" w:hAnsi="Arial" w:cs="Arial"/>
        </w:rPr>
        <w:t>Whole Industry Strategic Plan linked to five key strategic objective of meeting customer needs, financial sustainability, contributing to economic growth, supporting levelling up and connectivity; and delivering environmental sustainability.</w:t>
      </w:r>
      <w:r w:rsidR="006018E0" w:rsidRPr="00C310FD">
        <w:rPr>
          <w:rStyle w:val="FootnoteReference"/>
          <w:rFonts w:ascii="Arial" w:hAnsi="Arial" w:cs="Arial"/>
        </w:rPr>
        <w:footnoteReference w:id="7"/>
      </w:r>
      <w:r w:rsidR="006018E0" w:rsidRPr="00C310FD">
        <w:rPr>
          <w:rFonts w:ascii="Arial" w:hAnsi="Arial" w:cs="Arial"/>
        </w:rPr>
        <w:t xml:space="preserve"> </w:t>
      </w:r>
    </w:p>
    <w:p w14:paraId="6639AB61" w14:textId="5E182535" w:rsidR="00470CA3" w:rsidRPr="00C310FD" w:rsidRDefault="00FA2052" w:rsidP="00F43BE9">
      <w:pPr>
        <w:rPr>
          <w:rFonts w:ascii="Arial" w:hAnsi="Arial" w:cs="Arial"/>
          <w:b/>
          <w:bCs/>
        </w:rPr>
      </w:pPr>
      <w:r w:rsidRPr="00C310FD">
        <w:rPr>
          <w:rFonts w:ascii="Arial" w:hAnsi="Arial" w:cs="Arial"/>
          <w:b/>
          <w:bCs/>
        </w:rPr>
        <w:lastRenderedPageBreak/>
        <w:t>4</w:t>
      </w:r>
      <w:r w:rsidR="00470CA3" w:rsidRPr="00C310FD">
        <w:rPr>
          <w:rFonts w:ascii="Arial" w:hAnsi="Arial" w:cs="Arial"/>
          <w:b/>
          <w:bCs/>
        </w:rPr>
        <w:t>. Some Key Trends in the Bus Industry</w:t>
      </w:r>
    </w:p>
    <w:p w14:paraId="5F584E99" w14:textId="63585D9E" w:rsidR="00982A94" w:rsidRDefault="00FA2052" w:rsidP="001C0E4B">
      <w:pPr>
        <w:spacing w:line="276" w:lineRule="auto"/>
        <w:rPr>
          <w:rFonts w:ascii="Arial" w:hAnsi="Arial" w:cs="Arial"/>
        </w:rPr>
      </w:pPr>
      <w:r w:rsidRPr="00C310FD">
        <w:rPr>
          <w:rFonts w:ascii="Arial" w:hAnsi="Arial" w:cs="Arial"/>
        </w:rPr>
        <w:t xml:space="preserve">The </w:t>
      </w:r>
      <w:r w:rsidR="008C3E60">
        <w:rPr>
          <w:rFonts w:ascii="Arial" w:hAnsi="Arial" w:cs="Arial"/>
        </w:rPr>
        <w:t xml:space="preserve">key </w:t>
      </w:r>
      <w:r w:rsidRPr="00C310FD">
        <w:rPr>
          <w:rFonts w:ascii="Arial" w:hAnsi="Arial" w:cs="Arial"/>
        </w:rPr>
        <w:t xml:space="preserve">trends in </w:t>
      </w:r>
      <w:r w:rsidR="008C3E60">
        <w:rPr>
          <w:rFonts w:ascii="Arial" w:hAnsi="Arial" w:cs="Arial"/>
        </w:rPr>
        <w:t xml:space="preserve">the </w:t>
      </w:r>
      <w:r w:rsidRPr="00C310FD">
        <w:rPr>
          <w:rFonts w:ascii="Arial" w:hAnsi="Arial" w:cs="Arial"/>
        </w:rPr>
        <w:t>British bus industry are well documented (see, for example, Preston, 2018b).</w:t>
      </w:r>
      <w:r w:rsidR="00E432AE" w:rsidRPr="00C310FD">
        <w:rPr>
          <w:rFonts w:ascii="Arial" w:hAnsi="Arial" w:cs="Arial"/>
        </w:rPr>
        <w:t xml:space="preserve"> Some estimates of broad indicators are given in Table 1.</w:t>
      </w:r>
    </w:p>
    <w:p w14:paraId="500C6285" w14:textId="77777777" w:rsidR="00982A94" w:rsidRDefault="00982A94">
      <w:pPr>
        <w:rPr>
          <w:rFonts w:ascii="Arial" w:hAnsi="Arial" w:cs="Arial"/>
        </w:rPr>
      </w:pPr>
      <w:r>
        <w:rPr>
          <w:rFonts w:ascii="Arial" w:hAnsi="Arial" w:cs="Arial"/>
        </w:rPr>
        <w:br w:type="page"/>
      </w:r>
    </w:p>
    <w:p w14:paraId="40F3F4A6" w14:textId="6454A8F9" w:rsidR="00E432AE" w:rsidRPr="001C0E4B" w:rsidRDefault="00E432AE" w:rsidP="00F43BE9">
      <w:pPr>
        <w:rPr>
          <w:rFonts w:ascii="Arial" w:hAnsi="Arial" w:cs="Arial"/>
          <w:b/>
          <w:bCs/>
          <w:sz w:val="20"/>
          <w:szCs w:val="20"/>
        </w:rPr>
      </w:pPr>
      <w:r w:rsidRPr="001C0E4B">
        <w:rPr>
          <w:rFonts w:ascii="Arial" w:hAnsi="Arial" w:cs="Arial"/>
          <w:b/>
          <w:bCs/>
          <w:sz w:val="20"/>
          <w:szCs w:val="20"/>
        </w:rPr>
        <w:lastRenderedPageBreak/>
        <w:t>Table 1: Trends in the British Bus Industry 1985/6 to 2019/20 (to 2008/9 in brackets)</w:t>
      </w:r>
      <w:r w:rsidR="00261EEA">
        <w:rPr>
          <w:rFonts w:ascii="Arial" w:hAnsi="Arial" w:cs="Arial"/>
          <w:b/>
          <w:bCs/>
          <w:sz w:val="20"/>
          <w:szCs w:val="20"/>
        </w:rPr>
        <w:t xml:space="preserve"> (% change)</w:t>
      </w:r>
    </w:p>
    <w:tbl>
      <w:tblPr>
        <w:tblStyle w:val="TableGrid"/>
        <w:tblW w:w="0" w:type="auto"/>
        <w:tblLook w:val="04A0" w:firstRow="1" w:lastRow="0" w:firstColumn="1" w:lastColumn="0" w:noHBand="0" w:noVBand="1"/>
      </w:tblPr>
      <w:tblGrid>
        <w:gridCol w:w="1413"/>
        <w:gridCol w:w="1559"/>
        <w:gridCol w:w="1559"/>
        <w:gridCol w:w="1430"/>
        <w:gridCol w:w="1500"/>
        <w:gridCol w:w="1555"/>
      </w:tblGrid>
      <w:tr w:rsidR="00F112F2" w:rsidRPr="00C310FD" w14:paraId="1AD6FAD2" w14:textId="77777777" w:rsidTr="0029319D">
        <w:tc>
          <w:tcPr>
            <w:tcW w:w="1413" w:type="dxa"/>
          </w:tcPr>
          <w:p w14:paraId="2AFA7946" w14:textId="77777777" w:rsidR="00F112F2" w:rsidRPr="00C310FD" w:rsidRDefault="00F112F2" w:rsidP="00F43BE9">
            <w:pPr>
              <w:rPr>
                <w:rFonts w:ascii="Arial" w:hAnsi="Arial" w:cs="Arial"/>
              </w:rPr>
            </w:pPr>
          </w:p>
        </w:tc>
        <w:tc>
          <w:tcPr>
            <w:tcW w:w="1559" w:type="dxa"/>
          </w:tcPr>
          <w:p w14:paraId="52815515" w14:textId="77777777" w:rsidR="00F112F2" w:rsidRPr="00C310FD" w:rsidRDefault="00F112F2" w:rsidP="00F43BE9">
            <w:pPr>
              <w:rPr>
                <w:rFonts w:ascii="Arial" w:hAnsi="Arial" w:cs="Arial"/>
              </w:rPr>
            </w:pPr>
            <w:r w:rsidRPr="00C310FD">
              <w:rPr>
                <w:rFonts w:ascii="Arial" w:hAnsi="Arial" w:cs="Arial"/>
              </w:rPr>
              <w:t>Passenger</w:t>
            </w:r>
          </w:p>
          <w:p w14:paraId="660B2980" w14:textId="2F5EFF9B" w:rsidR="00F112F2" w:rsidRPr="00C310FD" w:rsidRDefault="00F112F2" w:rsidP="00F43BE9">
            <w:pPr>
              <w:rPr>
                <w:rFonts w:ascii="Arial" w:hAnsi="Arial" w:cs="Arial"/>
              </w:rPr>
            </w:pPr>
            <w:r w:rsidRPr="00C310FD">
              <w:rPr>
                <w:rFonts w:ascii="Arial" w:hAnsi="Arial" w:cs="Arial"/>
              </w:rPr>
              <w:t>Journeys</w:t>
            </w:r>
          </w:p>
        </w:tc>
        <w:tc>
          <w:tcPr>
            <w:tcW w:w="1559" w:type="dxa"/>
          </w:tcPr>
          <w:p w14:paraId="554400BF" w14:textId="512FC05C" w:rsidR="00F112F2" w:rsidRPr="00C310FD" w:rsidRDefault="00F112F2" w:rsidP="00F43BE9">
            <w:pPr>
              <w:rPr>
                <w:rFonts w:ascii="Arial" w:hAnsi="Arial" w:cs="Arial"/>
              </w:rPr>
            </w:pPr>
            <w:r w:rsidRPr="00C310FD">
              <w:rPr>
                <w:rFonts w:ascii="Arial" w:hAnsi="Arial" w:cs="Arial"/>
              </w:rPr>
              <w:t>Real Receipts per Passenger</w:t>
            </w:r>
          </w:p>
        </w:tc>
        <w:tc>
          <w:tcPr>
            <w:tcW w:w="1430" w:type="dxa"/>
          </w:tcPr>
          <w:p w14:paraId="434C7CD7" w14:textId="6AA0B7B2" w:rsidR="00F112F2" w:rsidRPr="00C310FD" w:rsidRDefault="0029319D" w:rsidP="00F43BE9">
            <w:pPr>
              <w:rPr>
                <w:rFonts w:ascii="Arial" w:hAnsi="Arial" w:cs="Arial"/>
              </w:rPr>
            </w:pPr>
            <w:r w:rsidRPr="00C310FD">
              <w:rPr>
                <w:rFonts w:ascii="Arial" w:hAnsi="Arial" w:cs="Arial"/>
              </w:rPr>
              <w:t>Vehicle Kms</w:t>
            </w:r>
          </w:p>
        </w:tc>
        <w:tc>
          <w:tcPr>
            <w:tcW w:w="1500" w:type="dxa"/>
          </w:tcPr>
          <w:p w14:paraId="2CDD72C9" w14:textId="4B241BD4" w:rsidR="00F112F2" w:rsidRPr="00C310FD" w:rsidRDefault="00F112F2" w:rsidP="00F43BE9">
            <w:pPr>
              <w:rPr>
                <w:rFonts w:ascii="Arial" w:hAnsi="Arial" w:cs="Arial"/>
              </w:rPr>
            </w:pPr>
            <w:r w:rsidRPr="00C310FD">
              <w:rPr>
                <w:rFonts w:ascii="Arial" w:hAnsi="Arial" w:cs="Arial"/>
              </w:rPr>
              <w:t>Real Costs per Vehicle Km</w:t>
            </w:r>
          </w:p>
        </w:tc>
        <w:tc>
          <w:tcPr>
            <w:tcW w:w="1555" w:type="dxa"/>
          </w:tcPr>
          <w:p w14:paraId="60F435CE" w14:textId="77777777" w:rsidR="00F112F2" w:rsidRPr="00C310FD" w:rsidRDefault="00F112F2" w:rsidP="00F43BE9">
            <w:pPr>
              <w:rPr>
                <w:rFonts w:ascii="Arial" w:hAnsi="Arial" w:cs="Arial"/>
              </w:rPr>
            </w:pPr>
            <w:r w:rsidRPr="00C310FD">
              <w:rPr>
                <w:rFonts w:ascii="Arial" w:hAnsi="Arial" w:cs="Arial"/>
              </w:rPr>
              <w:t>Real Subsidy **</w:t>
            </w:r>
          </w:p>
          <w:p w14:paraId="468942DD" w14:textId="40F0AD08" w:rsidR="00F112F2" w:rsidRPr="00C310FD" w:rsidRDefault="00F112F2" w:rsidP="00F43BE9">
            <w:pPr>
              <w:rPr>
                <w:rFonts w:ascii="Arial" w:hAnsi="Arial" w:cs="Arial"/>
              </w:rPr>
            </w:pPr>
            <w:r w:rsidRPr="00C310FD">
              <w:rPr>
                <w:rFonts w:ascii="Arial" w:hAnsi="Arial" w:cs="Arial"/>
              </w:rPr>
              <w:t>(</w:t>
            </w:r>
            <w:proofErr w:type="gramStart"/>
            <w:r w:rsidRPr="00C310FD">
              <w:rPr>
                <w:rFonts w:ascii="Arial" w:hAnsi="Arial" w:cs="Arial"/>
              </w:rPr>
              <w:t>to</w:t>
            </w:r>
            <w:proofErr w:type="gramEnd"/>
            <w:r w:rsidRPr="00C310FD">
              <w:rPr>
                <w:rFonts w:ascii="Arial" w:hAnsi="Arial" w:cs="Arial"/>
              </w:rPr>
              <w:t xml:space="preserve"> 2018/19)</w:t>
            </w:r>
          </w:p>
        </w:tc>
      </w:tr>
      <w:tr w:rsidR="00F112F2" w:rsidRPr="00C310FD" w14:paraId="7F91BF49" w14:textId="77777777" w:rsidTr="0029319D">
        <w:tc>
          <w:tcPr>
            <w:tcW w:w="1413" w:type="dxa"/>
          </w:tcPr>
          <w:p w14:paraId="7F6E7861" w14:textId="77777777" w:rsidR="00F112F2" w:rsidRPr="00C310FD" w:rsidRDefault="00F112F2" w:rsidP="00F43BE9">
            <w:pPr>
              <w:rPr>
                <w:rFonts w:ascii="Arial" w:hAnsi="Arial" w:cs="Arial"/>
              </w:rPr>
            </w:pPr>
            <w:r w:rsidRPr="00C310FD">
              <w:rPr>
                <w:rFonts w:ascii="Arial" w:hAnsi="Arial" w:cs="Arial"/>
              </w:rPr>
              <w:t>London</w:t>
            </w:r>
          </w:p>
          <w:p w14:paraId="4460F84C" w14:textId="22FDD8AF" w:rsidR="00F112F2" w:rsidRPr="00C310FD" w:rsidRDefault="00F112F2" w:rsidP="00F43BE9">
            <w:pPr>
              <w:rPr>
                <w:rFonts w:ascii="Arial" w:hAnsi="Arial" w:cs="Arial"/>
              </w:rPr>
            </w:pPr>
          </w:p>
        </w:tc>
        <w:tc>
          <w:tcPr>
            <w:tcW w:w="1559" w:type="dxa"/>
          </w:tcPr>
          <w:p w14:paraId="57224351" w14:textId="1958E553" w:rsidR="00F112F2" w:rsidRPr="00C310FD" w:rsidRDefault="00F112F2" w:rsidP="00F43BE9">
            <w:pPr>
              <w:rPr>
                <w:rFonts w:ascii="Arial" w:hAnsi="Arial" w:cs="Arial"/>
              </w:rPr>
            </w:pPr>
            <w:r w:rsidRPr="00C310FD">
              <w:rPr>
                <w:rFonts w:ascii="Arial" w:hAnsi="Arial" w:cs="Arial"/>
              </w:rPr>
              <w:t>+76% (+87%)</w:t>
            </w:r>
          </w:p>
        </w:tc>
        <w:tc>
          <w:tcPr>
            <w:tcW w:w="1559" w:type="dxa"/>
          </w:tcPr>
          <w:p w14:paraId="587D4DBF" w14:textId="29E753E5" w:rsidR="00F112F2" w:rsidRPr="00C310FD" w:rsidRDefault="00F112F2" w:rsidP="00F43BE9">
            <w:pPr>
              <w:rPr>
                <w:rFonts w:ascii="Arial" w:hAnsi="Arial" w:cs="Arial"/>
              </w:rPr>
            </w:pPr>
            <w:r w:rsidRPr="00C310FD">
              <w:rPr>
                <w:rFonts w:ascii="Arial" w:hAnsi="Arial" w:cs="Arial"/>
              </w:rPr>
              <w:t>+32% (+15%)</w:t>
            </w:r>
          </w:p>
        </w:tc>
        <w:tc>
          <w:tcPr>
            <w:tcW w:w="1430" w:type="dxa"/>
          </w:tcPr>
          <w:p w14:paraId="7E5936F4" w14:textId="23FEE7DC" w:rsidR="00F112F2" w:rsidRPr="00C310FD" w:rsidRDefault="0029319D" w:rsidP="00F43BE9">
            <w:pPr>
              <w:rPr>
                <w:rFonts w:ascii="Arial" w:hAnsi="Arial" w:cs="Arial"/>
              </w:rPr>
            </w:pPr>
            <w:r w:rsidRPr="00C310FD">
              <w:rPr>
                <w:rFonts w:ascii="Arial" w:hAnsi="Arial" w:cs="Arial"/>
              </w:rPr>
              <w:t>+79% (+78%)</w:t>
            </w:r>
          </w:p>
        </w:tc>
        <w:tc>
          <w:tcPr>
            <w:tcW w:w="1500" w:type="dxa"/>
          </w:tcPr>
          <w:p w14:paraId="132D6B03" w14:textId="77777777" w:rsidR="00206FAF" w:rsidRDefault="00D73561" w:rsidP="00F43BE9">
            <w:pPr>
              <w:rPr>
                <w:rFonts w:ascii="Arial" w:hAnsi="Arial" w:cs="Arial"/>
              </w:rPr>
            </w:pPr>
            <w:r>
              <w:rPr>
                <w:rFonts w:ascii="Arial" w:hAnsi="Arial" w:cs="Arial"/>
              </w:rPr>
              <w:t>NA</w:t>
            </w:r>
            <w:r w:rsidR="00F112F2" w:rsidRPr="00C310FD">
              <w:rPr>
                <w:rFonts w:ascii="Arial" w:hAnsi="Arial" w:cs="Arial"/>
              </w:rPr>
              <w:t xml:space="preserve"> </w:t>
            </w:r>
          </w:p>
          <w:p w14:paraId="5A1C71A0" w14:textId="06F22977" w:rsidR="00F112F2" w:rsidRPr="00C310FD" w:rsidRDefault="00F112F2" w:rsidP="00F43BE9">
            <w:pPr>
              <w:rPr>
                <w:rFonts w:ascii="Arial" w:hAnsi="Arial" w:cs="Arial"/>
              </w:rPr>
            </w:pPr>
            <w:r w:rsidRPr="00C310FD">
              <w:rPr>
                <w:rFonts w:ascii="Arial" w:hAnsi="Arial" w:cs="Arial"/>
              </w:rPr>
              <w:t>(-28%)</w:t>
            </w:r>
          </w:p>
        </w:tc>
        <w:tc>
          <w:tcPr>
            <w:tcW w:w="1555" w:type="dxa"/>
          </w:tcPr>
          <w:p w14:paraId="103FEDC8" w14:textId="4932F9C9" w:rsidR="00F112F2" w:rsidRPr="00C310FD" w:rsidRDefault="00F112F2" w:rsidP="00F43BE9">
            <w:pPr>
              <w:rPr>
                <w:rFonts w:ascii="Arial" w:hAnsi="Arial" w:cs="Arial"/>
              </w:rPr>
            </w:pPr>
            <w:r w:rsidRPr="00C310FD">
              <w:rPr>
                <w:rFonts w:ascii="Arial" w:hAnsi="Arial" w:cs="Arial"/>
              </w:rPr>
              <w:t>+37% (+84%)</w:t>
            </w:r>
          </w:p>
        </w:tc>
      </w:tr>
      <w:tr w:rsidR="00F112F2" w:rsidRPr="00C310FD" w14:paraId="13925C85" w14:textId="77777777" w:rsidTr="0029319D">
        <w:tc>
          <w:tcPr>
            <w:tcW w:w="1413" w:type="dxa"/>
          </w:tcPr>
          <w:p w14:paraId="1564451D" w14:textId="3CCA9D88" w:rsidR="00F112F2" w:rsidRPr="00C310FD" w:rsidRDefault="00F112F2" w:rsidP="00F43BE9">
            <w:pPr>
              <w:rPr>
                <w:rFonts w:ascii="Arial" w:hAnsi="Arial" w:cs="Arial"/>
              </w:rPr>
            </w:pPr>
            <w:r w:rsidRPr="00C310FD">
              <w:rPr>
                <w:rFonts w:ascii="Arial" w:hAnsi="Arial" w:cs="Arial"/>
              </w:rPr>
              <w:t>Great Britain outside London</w:t>
            </w:r>
          </w:p>
        </w:tc>
        <w:tc>
          <w:tcPr>
            <w:tcW w:w="1559" w:type="dxa"/>
          </w:tcPr>
          <w:p w14:paraId="2A10692F" w14:textId="77777777" w:rsidR="00206FAF" w:rsidRDefault="00F112F2" w:rsidP="00F43BE9">
            <w:pPr>
              <w:rPr>
                <w:rFonts w:ascii="Arial" w:hAnsi="Arial" w:cs="Arial"/>
              </w:rPr>
            </w:pPr>
            <w:r w:rsidRPr="00C310FD">
              <w:rPr>
                <w:rFonts w:ascii="Arial" w:hAnsi="Arial" w:cs="Arial"/>
              </w:rPr>
              <w:t xml:space="preserve">-44% </w:t>
            </w:r>
          </w:p>
          <w:p w14:paraId="42BC2B19" w14:textId="253980D6" w:rsidR="00F112F2" w:rsidRPr="00C310FD" w:rsidRDefault="00F112F2" w:rsidP="00F43BE9">
            <w:pPr>
              <w:rPr>
                <w:rFonts w:ascii="Arial" w:hAnsi="Arial" w:cs="Arial"/>
              </w:rPr>
            </w:pPr>
            <w:r w:rsidRPr="00C310FD">
              <w:rPr>
                <w:rFonts w:ascii="Arial" w:hAnsi="Arial" w:cs="Arial"/>
              </w:rPr>
              <w:t>(-31%)</w:t>
            </w:r>
          </w:p>
        </w:tc>
        <w:tc>
          <w:tcPr>
            <w:tcW w:w="1559" w:type="dxa"/>
          </w:tcPr>
          <w:p w14:paraId="47CE3573" w14:textId="4BC4261C" w:rsidR="00F112F2" w:rsidRPr="00C310FD" w:rsidRDefault="00F112F2" w:rsidP="00F43BE9">
            <w:pPr>
              <w:rPr>
                <w:rFonts w:ascii="Arial" w:hAnsi="Arial" w:cs="Arial"/>
              </w:rPr>
            </w:pPr>
            <w:r w:rsidRPr="00C310FD">
              <w:rPr>
                <w:rFonts w:ascii="Arial" w:hAnsi="Arial" w:cs="Arial"/>
              </w:rPr>
              <w:t>+65% (+55%)</w:t>
            </w:r>
          </w:p>
        </w:tc>
        <w:tc>
          <w:tcPr>
            <w:tcW w:w="1430" w:type="dxa"/>
          </w:tcPr>
          <w:p w14:paraId="30755D4B" w14:textId="669A8940" w:rsidR="00F112F2" w:rsidRPr="00C310FD" w:rsidRDefault="0029319D" w:rsidP="00F43BE9">
            <w:pPr>
              <w:rPr>
                <w:rFonts w:ascii="Arial" w:hAnsi="Arial" w:cs="Arial"/>
              </w:rPr>
            </w:pPr>
            <w:r w:rsidRPr="00C310FD">
              <w:rPr>
                <w:rFonts w:ascii="Arial" w:hAnsi="Arial" w:cs="Arial"/>
              </w:rPr>
              <w:t xml:space="preserve"> -3% (+20%)</w:t>
            </w:r>
          </w:p>
        </w:tc>
        <w:tc>
          <w:tcPr>
            <w:tcW w:w="1500" w:type="dxa"/>
          </w:tcPr>
          <w:p w14:paraId="4FA26CEC" w14:textId="77777777" w:rsidR="00206FAF" w:rsidRDefault="00F112F2" w:rsidP="00F43BE9">
            <w:pPr>
              <w:rPr>
                <w:rFonts w:ascii="Arial" w:hAnsi="Arial" w:cs="Arial"/>
              </w:rPr>
            </w:pPr>
            <w:r w:rsidRPr="00C310FD">
              <w:rPr>
                <w:rFonts w:ascii="Arial" w:hAnsi="Arial" w:cs="Arial"/>
              </w:rPr>
              <w:t xml:space="preserve">+4% </w:t>
            </w:r>
          </w:p>
          <w:p w14:paraId="4CE54EAC" w14:textId="506F0F15" w:rsidR="00F112F2" w:rsidRPr="00C310FD" w:rsidRDefault="00F112F2" w:rsidP="00F43BE9">
            <w:pPr>
              <w:rPr>
                <w:rFonts w:ascii="Arial" w:hAnsi="Arial" w:cs="Arial"/>
              </w:rPr>
            </w:pPr>
            <w:r w:rsidRPr="00C310FD">
              <w:rPr>
                <w:rFonts w:ascii="Arial" w:hAnsi="Arial" w:cs="Arial"/>
              </w:rPr>
              <w:t>(-20%)</w:t>
            </w:r>
          </w:p>
        </w:tc>
        <w:tc>
          <w:tcPr>
            <w:tcW w:w="1555" w:type="dxa"/>
          </w:tcPr>
          <w:p w14:paraId="14080AC8" w14:textId="71B71B41" w:rsidR="00F112F2" w:rsidRPr="00C310FD" w:rsidRDefault="00F112F2" w:rsidP="00F43BE9">
            <w:pPr>
              <w:rPr>
                <w:rFonts w:ascii="Arial" w:hAnsi="Arial" w:cs="Arial"/>
              </w:rPr>
            </w:pPr>
            <w:r w:rsidRPr="00C310FD">
              <w:rPr>
                <w:rFonts w:ascii="Arial" w:hAnsi="Arial" w:cs="Arial"/>
              </w:rPr>
              <w:t>-18% *** (+5%)</w:t>
            </w:r>
          </w:p>
        </w:tc>
      </w:tr>
    </w:tbl>
    <w:p w14:paraId="665155D9" w14:textId="66F24F58" w:rsidR="00E432AE" w:rsidRPr="00C310FD" w:rsidRDefault="00E432AE" w:rsidP="00F43BE9">
      <w:pPr>
        <w:spacing w:after="0" w:line="240" w:lineRule="auto"/>
        <w:rPr>
          <w:rFonts w:ascii="Arial" w:hAnsi="Arial" w:cs="Arial"/>
        </w:rPr>
      </w:pPr>
      <w:r w:rsidRPr="00C310FD">
        <w:rPr>
          <w:rFonts w:ascii="Arial" w:hAnsi="Arial" w:cs="Arial"/>
        </w:rPr>
        <w:t>Based on Transport Statistics Great Britain</w:t>
      </w:r>
    </w:p>
    <w:p w14:paraId="78DACC9D" w14:textId="62242778" w:rsidR="00E432AE" w:rsidRPr="00C310FD" w:rsidRDefault="00E432AE" w:rsidP="00F43BE9">
      <w:pPr>
        <w:spacing w:after="0" w:line="240" w:lineRule="auto"/>
        <w:rPr>
          <w:rFonts w:ascii="Arial" w:hAnsi="Arial" w:cs="Arial"/>
        </w:rPr>
      </w:pPr>
      <w:r w:rsidRPr="00C310FD">
        <w:rPr>
          <w:rFonts w:ascii="Arial" w:hAnsi="Arial" w:cs="Arial"/>
        </w:rPr>
        <w:t>* Fare Index from 2009</w:t>
      </w:r>
    </w:p>
    <w:p w14:paraId="1557C419" w14:textId="78704ACA" w:rsidR="00E432AE" w:rsidRPr="00C310FD" w:rsidRDefault="00E432AE" w:rsidP="00F43BE9">
      <w:pPr>
        <w:spacing w:after="0" w:line="240" w:lineRule="auto"/>
        <w:rPr>
          <w:rFonts w:ascii="Arial" w:hAnsi="Arial" w:cs="Arial"/>
        </w:rPr>
      </w:pPr>
      <w:r w:rsidRPr="00C310FD">
        <w:rPr>
          <w:rFonts w:ascii="Arial" w:hAnsi="Arial" w:cs="Arial"/>
        </w:rPr>
        <w:t>** Excluding Fuel Duty Rebate (FDR)/Bus Service Operator Grant</w:t>
      </w:r>
      <w:r w:rsidR="00206FAF">
        <w:rPr>
          <w:rFonts w:ascii="Arial" w:hAnsi="Arial" w:cs="Arial"/>
        </w:rPr>
        <w:t xml:space="preserve"> (BSOG)</w:t>
      </w:r>
    </w:p>
    <w:p w14:paraId="6F413EE5" w14:textId="48651173" w:rsidR="000666FB" w:rsidRPr="00C310FD" w:rsidRDefault="000666FB" w:rsidP="00F43BE9">
      <w:pPr>
        <w:spacing w:after="0" w:line="240" w:lineRule="auto"/>
        <w:rPr>
          <w:rFonts w:ascii="Arial" w:hAnsi="Arial" w:cs="Arial"/>
        </w:rPr>
      </w:pPr>
      <w:r w:rsidRPr="00C310FD">
        <w:rPr>
          <w:rFonts w:ascii="Arial" w:hAnsi="Arial" w:cs="Arial"/>
        </w:rPr>
        <w:t>*** Based on trends in England, outside London.</w:t>
      </w:r>
      <w:r w:rsidR="0029319D" w:rsidRPr="00C310FD">
        <w:rPr>
          <w:rFonts w:ascii="Arial" w:hAnsi="Arial" w:cs="Arial"/>
        </w:rPr>
        <w:t xml:space="preserve"> Data for Scotland and Wales not readily available.</w:t>
      </w:r>
    </w:p>
    <w:p w14:paraId="1405D14D" w14:textId="4D9AD253" w:rsidR="00E432AE" w:rsidRPr="00C310FD" w:rsidRDefault="00D73561" w:rsidP="00F43BE9">
      <w:pPr>
        <w:rPr>
          <w:rFonts w:ascii="Arial" w:hAnsi="Arial" w:cs="Arial"/>
        </w:rPr>
      </w:pPr>
      <w:r>
        <w:rPr>
          <w:rFonts w:ascii="Arial" w:hAnsi="Arial" w:cs="Arial"/>
        </w:rPr>
        <w:t>NA</w:t>
      </w:r>
      <w:r w:rsidR="00E432AE" w:rsidRPr="00C310FD">
        <w:rPr>
          <w:rFonts w:ascii="Arial" w:hAnsi="Arial" w:cs="Arial"/>
        </w:rPr>
        <w:t xml:space="preserve"> Not Available</w:t>
      </w:r>
    </w:p>
    <w:p w14:paraId="52387A15" w14:textId="5F4DF1FF" w:rsidR="00E432AE" w:rsidRPr="00C310FD" w:rsidRDefault="00F112F2" w:rsidP="001C0E4B">
      <w:pPr>
        <w:spacing w:line="276" w:lineRule="auto"/>
        <w:rPr>
          <w:rFonts w:ascii="Arial" w:hAnsi="Arial" w:cs="Arial"/>
        </w:rPr>
      </w:pPr>
      <w:r w:rsidRPr="00C310FD">
        <w:rPr>
          <w:rFonts w:ascii="Arial" w:hAnsi="Arial" w:cs="Arial"/>
        </w:rPr>
        <w:t xml:space="preserve">On the face of it, the differences between London and Great Britain outside London are stark. </w:t>
      </w:r>
      <w:r w:rsidR="004B5DB1">
        <w:rPr>
          <w:rFonts w:ascii="Arial" w:hAnsi="Arial" w:cs="Arial"/>
        </w:rPr>
        <w:t>Between 1985/6 and 2019/20, p</w:t>
      </w:r>
      <w:r w:rsidRPr="00C310FD">
        <w:rPr>
          <w:rFonts w:ascii="Arial" w:hAnsi="Arial" w:cs="Arial"/>
        </w:rPr>
        <w:t xml:space="preserve">assenger journeys grew by 76% </w:t>
      </w:r>
      <w:r w:rsidR="008C3E60">
        <w:rPr>
          <w:rFonts w:ascii="Arial" w:hAnsi="Arial" w:cs="Arial"/>
        </w:rPr>
        <w:t>i</w:t>
      </w:r>
      <w:r w:rsidRPr="00C310FD">
        <w:rPr>
          <w:rFonts w:ascii="Arial" w:hAnsi="Arial" w:cs="Arial"/>
        </w:rPr>
        <w:t>n London, whilst they declined by 44% elsewhere</w:t>
      </w:r>
      <w:r w:rsidR="008F5BF6">
        <w:rPr>
          <w:rFonts w:ascii="Arial" w:hAnsi="Arial" w:cs="Arial"/>
        </w:rPr>
        <w:t>,</w:t>
      </w:r>
      <w:r w:rsidRPr="00C310FD">
        <w:rPr>
          <w:rFonts w:ascii="Arial" w:hAnsi="Arial" w:cs="Arial"/>
        </w:rPr>
        <w:t xml:space="preserve"> although both markets have exhibited similar declining trends since around 2012 (</w:t>
      </w:r>
      <w:r w:rsidR="008C3E60">
        <w:rPr>
          <w:rFonts w:ascii="Arial" w:hAnsi="Arial" w:cs="Arial"/>
        </w:rPr>
        <w:t>DfT</w:t>
      </w:r>
      <w:r w:rsidRPr="00C310FD">
        <w:rPr>
          <w:rFonts w:ascii="Arial" w:hAnsi="Arial" w:cs="Arial"/>
        </w:rPr>
        <w:t>,</w:t>
      </w:r>
      <w:r w:rsidR="008C3E60">
        <w:rPr>
          <w:rFonts w:ascii="Arial" w:hAnsi="Arial" w:cs="Arial"/>
        </w:rPr>
        <w:t xml:space="preserve"> 2021,</w:t>
      </w:r>
      <w:r w:rsidRPr="00C310FD">
        <w:rPr>
          <w:rFonts w:ascii="Arial" w:hAnsi="Arial" w:cs="Arial"/>
        </w:rPr>
        <w:t xml:space="preserve"> 21). </w:t>
      </w:r>
      <w:r w:rsidR="0029319D" w:rsidRPr="00C310FD">
        <w:rPr>
          <w:rFonts w:ascii="Arial" w:hAnsi="Arial" w:cs="Arial"/>
        </w:rPr>
        <w:t>London has also seen a sustained increase in bus services and</w:t>
      </w:r>
      <w:r w:rsidR="00206FAF">
        <w:rPr>
          <w:rFonts w:ascii="Arial" w:hAnsi="Arial" w:cs="Arial"/>
        </w:rPr>
        <w:t>, since 2000,</w:t>
      </w:r>
      <w:r w:rsidR="0029319D" w:rsidRPr="00C310FD">
        <w:rPr>
          <w:rFonts w:ascii="Arial" w:hAnsi="Arial" w:cs="Arial"/>
        </w:rPr>
        <w:t xml:space="preserve"> increases in subsidy (although around the turn of the millennium the system was close t</w:t>
      </w:r>
      <w:r w:rsidR="008F5BF6">
        <w:rPr>
          <w:rFonts w:ascii="Arial" w:hAnsi="Arial" w:cs="Arial"/>
        </w:rPr>
        <w:t>o</w:t>
      </w:r>
      <w:r w:rsidR="0029319D" w:rsidRPr="00C310FD">
        <w:rPr>
          <w:rFonts w:ascii="Arial" w:hAnsi="Arial" w:cs="Arial"/>
        </w:rPr>
        <w:t xml:space="preserve"> break-even)</w:t>
      </w:r>
      <w:r w:rsidR="00206FAF">
        <w:rPr>
          <w:rFonts w:ascii="Arial" w:hAnsi="Arial" w:cs="Arial"/>
        </w:rPr>
        <w:t>.</w:t>
      </w:r>
      <w:r w:rsidR="0029319D" w:rsidRPr="00C310FD">
        <w:rPr>
          <w:rFonts w:ascii="Arial" w:hAnsi="Arial" w:cs="Arial"/>
        </w:rPr>
        <w:t xml:space="preserve"> </w:t>
      </w:r>
      <w:r w:rsidR="00206FAF">
        <w:rPr>
          <w:rFonts w:ascii="Arial" w:hAnsi="Arial" w:cs="Arial"/>
        </w:rPr>
        <w:t>It</w:t>
      </w:r>
      <w:r w:rsidR="0029319D" w:rsidRPr="00C310FD">
        <w:rPr>
          <w:rFonts w:ascii="Arial" w:hAnsi="Arial" w:cs="Arial"/>
        </w:rPr>
        <w:t xml:space="preserve"> has </w:t>
      </w:r>
      <w:r w:rsidR="00206FAF">
        <w:rPr>
          <w:rFonts w:ascii="Arial" w:hAnsi="Arial" w:cs="Arial"/>
        </w:rPr>
        <w:t xml:space="preserve">also </w:t>
      </w:r>
      <w:r w:rsidR="0029319D" w:rsidRPr="00C310FD">
        <w:rPr>
          <w:rFonts w:ascii="Arial" w:hAnsi="Arial" w:cs="Arial"/>
        </w:rPr>
        <w:t>had lower real fare increases than the rest of Great Britain. Where real costs can be compared</w:t>
      </w:r>
      <w:r w:rsidR="008F5BF6">
        <w:rPr>
          <w:rFonts w:ascii="Arial" w:hAnsi="Arial" w:cs="Arial"/>
        </w:rPr>
        <w:t>,</w:t>
      </w:r>
      <w:r w:rsidR="0029319D" w:rsidRPr="00C310FD">
        <w:rPr>
          <w:rFonts w:ascii="Arial" w:hAnsi="Arial" w:cs="Arial"/>
        </w:rPr>
        <w:t xml:space="preserve"> the unit costs reductions in London were even greater than those outside London, although outside London these costs have subsequently increased. It is therefore little surprise that the </w:t>
      </w:r>
      <w:r w:rsidR="00546ABF">
        <w:rPr>
          <w:rFonts w:ascii="Arial" w:hAnsi="Arial" w:cs="Arial"/>
        </w:rPr>
        <w:t>N</w:t>
      </w:r>
      <w:r w:rsidR="0029319D" w:rsidRPr="00C310FD">
        <w:rPr>
          <w:rFonts w:ascii="Arial" w:hAnsi="Arial" w:cs="Arial"/>
        </w:rPr>
        <w:t xml:space="preserve">ational </w:t>
      </w:r>
      <w:r w:rsidR="00546ABF">
        <w:rPr>
          <w:rFonts w:ascii="Arial" w:hAnsi="Arial" w:cs="Arial"/>
        </w:rPr>
        <w:t>B</w:t>
      </w:r>
      <w:r w:rsidR="0029319D" w:rsidRPr="00C310FD">
        <w:rPr>
          <w:rFonts w:ascii="Arial" w:hAnsi="Arial" w:cs="Arial"/>
        </w:rPr>
        <w:t xml:space="preserve">us </w:t>
      </w:r>
      <w:r w:rsidR="00546ABF">
        <w:rPr>
          <w:rFonts w:ascii="Arial" w:hAnsi="Arial" w:cs="Arial"/>
        </w:rPr>
        <w:t>S</w:t>
      </w:r>
      <w:r w:rsidR="0029319D" w:rsidRPr="00C310FD">
        <w:rPr>
          <w:rFonts w:ascii="Arial" w:hAnsi="Arial" w:cs="Arial"/>
        </w:rPr>
        <w:t>trategy</w:t>
      </w:r>
      <w:r w:rsidR="00501E19">
        <w:rPr>
          <w:rFonts w:ascii="Arial" w:hAnsi="Arial" w:cs="Arial"/>
        </w:rPr>
        <w:t>,</w:t>
      </w:r>
      <w:r w:rsidR="0029319D" w:rsidRPr="00C310FD">
        <w:rPr>
          <w:rFonts w:ascii="Arial" w:hAnsi="Arial" w:cs="Arial"/>
        </w:rPr>
        <w:t xml:space="preserve"> in essence</w:t>
      </w:r>
      <w:r w:rsidR="00501E19">
        <w:rPr>
          <w:rFonts w:ascii="Arial" w:hAnsi="Arial" w:cs="Arial"/>
        </w:rPr>
        <w:t>,</w:t>
      </w:r>
      <w:r w:rsidR="0029319D" w:rsidRPr="00C310FD">
        <w:rPr>
          <w:rFonts w:ascii="Arial" w:hAnsi="Arial" w:cs="Arial"/>
        </w:rPr>
        <w:t xml:space="preserve"> attempts to replicate </w:t>
      </w:r>
      <w:r w:rsidR="0011545F">
        <w:rPr>
          <w:rFonts w:ascii="Arial" w:hAnsi="Arial" w:cs="Arial"/>
        </w:rPr>
        <w:t xml:space="preserve">features of </w:t>
      </w:r>
      <w:r w:rsidR="0029319D" w:rsidRPr="00C310FD">
        <w:rPr>
          <w:rFonts w:ascii="Arial" w:hAnsi="Arial" w:cs="Arial"/>
        </w:rPr>
        <w:t xml:space="preserve">the London model elsewhere in England. </w:t>
      </w:r>
      <w:r w:rsidR="00A364A9" w:rsidRPr="00C310FD">
        <w:rPr>
          <w:rFonts w:ascii="Arial" w:hAnsi="Arial" w:cs="Arial"/>
        </w:rPr>
        <w:t>However, as White (2010), amongst others, has pointed out, the market in London is different from elsewhere in Great Britain, in terms of demographic and economic change, as well as in terms of the presence of congestion charging</w:t>
      </w:r>
      <w:r w:rsidR="004B5DB1">
        <w:rPr>
          <w:rFonts w:ascii="Arial" w:hAnsi="Arial" w:cs="Arial"/>
        </w:rPr>
        <w:t xml:space="preserve"> as well as ultra-low emission zones</w:t>
      </w:r>
      <w:r w:rsidR="008F5BF6">
        <w:rPr>
          <w:rFonts w:ascii="Arial" w:hAnsi="Arial" w:cs="Arial"/>
        </w:rPr>
        <w:t xml:space="preserve"> and </w:t>
      </w:r>
      <w:r w:rsidR="004B5DB1">
        <w:rPr>
          <w:rFonts w:ascii="Arial" w:hAnsi="Arial" w:cs="Arial"/>
        </w:rPr>
        <w:t xml:space="preserve">higher </w:t>
      </w:r>
      <w:r w:rsidR="008F5BF6">
        <w:rPr>
          <w:rFonts w:ascii="Arial" w:hAnsi="Arial" w:cs="Arial"/>
        </w:rPr>
        <w:t>levels of funding</w:t>
      </w:r>
      <w:r w:rsidR="00A364A9" w:rsidRPr="00C310FD">
        <w:rPr>
          <w:rFonts w:ascii="Arial" w:hAnsi="Arial" w:cs="Arial"/>
        </w:rPr>
        <w:t>.</w:t>
      </w:r>
      <w:r w:rsidR="00501E19">
        <w:rPr>
          <w:rFonts w:ascii="Arial" w:hAnsi="Arial" w:cs="Arial"/>
        </w:rPr>
        <w:t xml:space="preserve"> The institutional capacity </w:t>
      </w:r>
      <w:r w:rsidR="008F5BF6">
        <w:rPr>
          <w:rFonts w:ascii="Arial" w:hAnsi="Arial" w:cs="Arial"/>
        </w:rPr>
        <w:t xml:space="preserve">for </w:t>
      </w:r>
      <w:r w:rsidR="00501E19">
        <w:rPr>
          <w:rFonts w:ascii="Arial" w:hAnsi="Arial" w:cs="Arial"/>
        </w:rPr>
        <w:t>(and maturity</w:t>
      </w:r>
      <w:r w:rsidR="008F5BF6">
        <w:rPr>
          <w:rFonts w:ascii="Arial" w:hAnsi="Arial" w:cs="Arial"/>
        </w:rPr>
        <w:t xml:space="preserve"> of</w:t>
      </w:r>
      <w:r w:rsidR="00501E19">
        <w:rPr>
          <w:rFonts w:ascii="Arial" w:hAnsi="Arial" w:cs="Arial"/>
        </w:rPr>
        <w:t>)</w:t>
      </w:r>
      <w:r w:rsidR="008F5BF6">
        <w:rPr>
          <w:rFonts w:ascii="Arial" w:hAnsi="Arial" w:cs="Arial"/>
        </w:rPr>
        <w:t xml:space="preserve"> public transport planning </w:t>
      </w:r>
      <w:r w:rsidR="00501E19">
        <w:rPr>
          <w:rFonts w:ascii="Arial" w:hAnsi="Arial" w:cs="Arial"/>
        </w:rPr>
        <w:t xml:space="preserve">is also </w:t>
      </w:r>
      <w:r w:rsidR="00206FAF">
        <w:rPr>
          <w:rFonts w:ascii="Arial" w:hAnsi="Arial" w:cs="Arial"/>
        </w:rPr>
        <w:t xml:space="preserve">greater in </w:t>
      </w:r>
      <w:r w:rsidR="00501E19">
        <w:rPr>
          <w:rFonts w:ascii="Arial" w:hAnsi="Arial" w:cs="Arial"/>
        </w:rPr>
        <w:t>London</w:t>
      </w:r>
      <w:r w:rsidR="00206FAF">
        <w:rPr>
          <w:rFonts w:ascii="Arial" w:hAnsi="Arial" w:cs="Arial"/>
        </w:rPr>
        <w:t xml:space="preserve"> than elsewhere</w:t>
      </w:r>
      <w:r w:rsidR="0011545F">
        <w:rPr>
          <w:rFonts w:ascii="Arial" w:hAnsi="Arial" w:cs="Arial"/>
        </w:rPr>
        <w:t>, which is why Enhanced Partnerships are favoured over franchising in most areas</w:t>
      </w:r>
      <w:r w:rsidR="00206FAF">
        <w:rPr>
          <w:rFonts w:ascii="Arial" w:hAnsi="Arial" w:cs="Arial"/>
        </w:rPr>
        <w:t>.</w:t>
      </w:r>
    </w:p>
    <w:p w14:paraId="0E106A09" w14:textId="08FCCDBD" w:rsidR="00FE5F57" w:rsidRPr="00C310FD" w:rsidRDefault="00FE5F57" w:rsidP="001C0E4B">
      <w:pPr>
        <w:spacing w:line="276" w:lineRule="auto"/>
        <w:rPr>
          <w:rFonts w:ascii="Arial" w:hAnsi="Arial" w:cs="Arial"/>
        </w:rPr>
      </w:pPr>
      <w:r w:rsidRPr="00C310FD">
        <w:rPr>
          <w:rFonts w:ascii="Arial" w:hAnsi="Arial" w:cs="Arial"/>
        </w:rPr>
        <w:t xml:space="preserve">These broad trends have been disrupted by Covid which as Figure 2 illustrates has had a similar impact on bus use in London and outside London. The initial lock-down in the spring of 2020 led to reductions in excess of 80% whilst the subsequent lock down in early 2021 led to reductions of between 70% and 80% (although there may also be seasonal factors at play). The new normal appears to be a demand reduction of around 20%, with work and shopping trips, and concessionary travel, </w:t>
      </w:r>
      <w:r w:rsidR="00501E19">
        <w:rPr>
          <w:rFonts w:ascii="Arial" w:hAnsi="Arial" w:cs="Arial"/>
        </w:rPr>
        <w:t xml:space="preserve">particularly </w:t>
      </w:r>
      <w:r w:rsidRPr="00C310FD">
        <w:rPr>
          <w:rFonts w:ascii="Arial" w:hAnsi="Arial" w:cs="Arial"/>
        </w:rPr>
        <w:t>reduced (White, 2022).</w:t>
      </w:r>
    </w:p>
    <w:p w14:paraId="4826AA15" w14:textId="1A776156" w:rsidR="00FE5F57" w:rsidRPr="00C310FD" w:rsidRDefault="00FE5F57" w:rsidP="00F43BE9">
      <w:pPr>
        <w:rPr>
          <w:rFonts w:ascii="Arial" w:hAnsi="Arial" w:cs="Arial"/>
        </w:rPr>
      </w:pPr>
      <w:r w:rsidRPr="00C310FD">
        <w:rPr>
          <w:rFonts w:ascii="Arial" w:hAnsi="Arial" w:cs="Arial"/>
          <w:noProof/>
        </w:rPr>
        <w:lastRenderedPageBreak/>
        <w:drawing>
          <wp:inline distT="0" distB="0" distL="0" distR="0" wp14:anchorId="141C8B3A" wp14:editId="3CE78F75">
            <wp:extent cx="5731510" cy="3853815"/>
            <wp:effectExtent l="0" t="0" r="2540" b="0"/>
            <wp:docPr id="9" name="Content Placeholder 8">
              <a:extLst xmlns:a="http://schemas.openxmlformats.org/drawingml/2006/main">
                <a:ext uri="{FF2B5EF4-FFF2-40B4-BE49-F238E27FC236}">
                  <a16:creationId xmlns:a16="http://schemas.microsoft.com/office/drawing/2014/main" id="{276CF4AB-F942-4001-BAA4-36847A6DD46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276CF4AB-F942-4001-BAA4-36847A6DD46C}"/>
                        </a:ext>
                      </a:extLst>
                    </pic:cNvPr>
                    <pic:cNvPicPr>
                      <a:picLocks noGrp="1" noChangeAspect="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5731510" cy="3853815"/>
                    </a:xfrm>
                    <a:prstGeom prst="rect">
                      <a:avLst/>
                    </a:prstGeom>
                    <a:noFill/>
                    <a:ln>
                      <a:noFill/>
                    </a:ln>
                    <a:effectLst/>
                  </pic:spPr>
                </pic:pic>
              </a:graphicData>
            </a:graphic>
          </wp:inline>
        </w:drawing>
      </w:r>
    </w:p>
    <w:p w14:paraId="70DDE4F3" w14:textId="7ED414C9" w:rsidR="00FE5F57" w:rsidRPr="001C0E4B" w:rsidRDefault="00FE5F57" w:rsidP="00F43BE9">
      <w:pPr>
        <w:spacing w:after="0" w:line="240" w:lineRule="auto"/>
        <w:rPr>
          <w:rFonts w:ascii="Arial" w:hAnsi="Arial" w:cs="Arial"/>
          <w:b/>
          <w:bCs/>
          <w:sz w:val="20"/>
          <w:szCs w:val="20"/>
        </w:rPr>
      </w:pPr>
      <w:r w:rsidRPr="001C0E4B">
        <w:rPr>
          <w:rFonts w:ascii="Arial" w:hAnsi="Arial" w:cs="Arial"/>
          <w:b/>
          <w:bCs/>
          <w:sz w:val="20"/>
          <w:szCs w:val="20"/>
        </w:rPr>
        <w:t>Figure 2: The Impact of Covid-19 on Bus Demand</w:t>
      </w:r>
    </w:p>
    <w:p w14:paraId="6E273F86" w14:textId="567AFC31" w:rsidR="00D93BF2" w:rsidRPr="00C310FD" w:rsidRDefault="00D93BF2" w:rsidP="00F43BE9">
      <w:pPr>
        <w:spacing w:after="0" w:line="240" w:lineRule="auto"/>
        <w:rPr>
          <w:rFonts w:ascii="Arial" w:hAnsi="Arial" w:cs="Arial"/>
        </w:rPr>
      </w:pPr>
      <w:bookmarkStart w:id="0" w:name="_Hlk107302364"/>
      <w:r w:rsidRPr="00C310FD">
        <w:rPr>
          <w:rFonts w:ascii="Arial" w:hAnsi="Arial" w:cs="Arial"/>
        </w:rPr>
        <w:t xml:space="preserve">Source: </w:t>
      </w:r>
      <w:hyperlink r:id="rId11" w:history="1">
        <w:r w:rsidRPr="00C310FD">
          <w:rPr>
            <w:rStyle w:val="Hyperlink"/>
            <w:rFonts w:ascii="Arial" w:hAnsi="Arial" w:cs="Arial"/>
          </w:rPr>
          <w:t>https://www.gov.uk/government/statistics/transport-use-during-the-coronavirus-covid-19-pandemic</w:t>
        </w:r>
      </w:hyperlink>
    </w:p>
    <w:bookmarkEnd w:id="0"/>
    <w:p w14:paraId="292E518A" w14:textId="6CAEBA8F" w:rsidR="00FE5F57" w:rsidRPr="00C310FD" w:rsidRDefault="00FE5F57" w:rsidP="00F43BE9">
      <w:pPr>
        <w:spacing w:after="0" w:line="240" w:lineRule="auto"/>
        <w:rPr>
          <w:rFonts w:ascii="Arial" w:hAnsi="Arial" w:cs="Arial"/>
        </w:rPr>
      </w:pPr>
    </w:p>
    <w:p w14:paraId="063800C1" w14:textId="6C659F0E" w:rsidR="004B5DB1" w:rsidRDefault="00D93BF2" w:rsidP="001C0E4B">
      <w:pPr>
        <w:spacing w:line="276" w:lineRule="auto"/>
        <w:rPr>
          <w:rFonts w:ascii="Arial" w:hAnsi="Arial" w:cs="Arial"/>
        </w:rPr>
      </w:pPr>
      <w:r w:rsidRPr="00C310FD">
        <w:rPr>
          <w:rFonts w:ascii="Arial" w:hAnsi="Arial" w:cs="Arial"/>
        </w:rPr>
        <w:t>The immediate implication is financial.</w:t>
      </w:r>
      <w:r w:rsidR="008B6A18" w:rsidRPr="00C310FD">
        <w:rPr>
          <w:rFonts w:ascii="Arial" w:hAnsi="Arial" w:cs="Arial"/>
        </w:rPr>
        <w:t xml:space="preserve"> In 2019/20, for bus in England almost 40% of operating revenue came from Government Support</w:t>
      </w:r>
      <w:r w:rsidR="00982A94">
        <w:rPr>
          <w:rFonts w:ascii="Arial" w:hAnsi="Arial" w:cs="Arial"/>
        </w:rPr>
        <w:t>, in the form of gross Public Transport (PT) support (for socially necessary tendered services), reimbursement for concessionary travel (particularly for the elderly who have free travel outside the morning peak)</w:t>
      </w:r>
      <w:r w:rsidR="004B4C3F">
        <w:rPr>
          <w:rFonts w:ascii="Arial" w:hAnsi="Arial" w:cs="Arial"/>
        </w:rPr>
        <w:t xml:space="preserve"> and BSOG</w:t>
      </w:r>
      <w:r w:rsidR="0011545F">
        <w:rPr>
          <w:rFonts w:ascii="Arial" w:hAnsi="Arial" w:cs="Arial"/>
        </w:rPr>
        <w:t xml:space="preserve"> (</w:t>
      </w:r>
      <w:r w:rsidR="0011545F" w:rsidRPr="0011545F">
        <w:rPr>
          <w:rFonts w:ascii="Arial" w:hAnsi="Arial" w:cs="Arial"/>
        </w:rPr>
        <w:t xml:space="preserve">Bus Service Operators Grant, a discretionary grant that helps operators recover some of their fuel costs </w:t>
      </w:r>
      <w:r w:rsidR="0011545F">
        <w:rPr>
          <w:rFonts w:ascii="Arial" w:hAnsi="Arial" w:cs="Arial"/>
        </w:rPr>
        <w:t xml:space="preserve">and </w:t>
      </w:r>
      <w:r w:rsidR="0011545F" w:rsidRPr="0011545F">
        <w:rPr>
          <w:rFonts w:ascii="Arial" w:hAnsi="Arial" w:cs="Arial"/>
        </w:rPr>
        <w:t>previously known as Fuel Duty Rebate)</w:t>
      </w:r>
      <w:r w:rsidR="008B6A18" w:rsidRPr="00C310FD">
        <w:rPr>
          <w:rFonts w:ascii="Arial" w:hAnsi="Arial" w:cs="Arial"/>
        </w:rPr>
        <w:t xml:space="preserve">. </w:t>
      </w:r>
      <w:r w:rsidR="00B45E53">
        <w:rPr>
          <w:rFonts w:ascii="Arial" w:hAnsi="Arial" w:cs="Arial"/>
        </w:rPr>
        <w:t xml:space="preserve">It is increasingly a misnomer to think of local bus services in England as being purely commercial. </w:t>
      </w:r>
      <w:r w:rsidR="008B6A18" w:rsidRPr="00C310FD">
        <w:rPr>
          <w:rFonts w:ascii="Arial" w:hAnsi="Arial" w:cs="Arial"/>
        </w:rPr>
        <w:t>In 1999/00, the corresponding figure was 32% (for Great Britain) (Preston, 2003, 167). This increase may be partly explained by the roll out of national concessionary fare schemes</w:t>
      </w:r>
      <w:r w:rsidR="008F5BF6">
        <w:rPr>
          <w:rFonts w:ascii="Arial" w:hAnsi="Arial" w:cs="Arial"/>
        </w:rPr>
        <w:t xml:space="preserve"> in Wales in 2002, Scotland in 2006 and England in 2008</w:t>
      </w:r>
      <w:r w:rsidR="008B6A18" w:rsidRPr="00C310FD">
        <w:rPr>
          <w:rFonts w:ascii="Arial" w:hAnsi="Arial" w:cs="Arial"/>
        </w:rPr>
        <w:t>. For 2020/21, given th</w:t>
      </w:r>
      <w:r w:rsidR="004B5DB1">
        <w:rPr>
          <w:rFonts w:ascii="Arial" w:hAnsi="Arial" w:cs="Arial"/>
        </w:rPr>
        <w:t>at</w:t>
      </w:r>
      <w:r w:rsidR="008B6A18" w:rsidRPr="00C310FD">
        <w:rPr>
          <w:rFonts w:ascii="Arial" w:hAnsi="Arial" w:cs="Arial"/>
        </w:rPr>
        <w:t xml:space="preserve"> Covid-19 Bus Services Support Grant (CBSSG) </w:t>
      </w:r>
      <w:r w:rsidR="004B5DB1">
        <w:rPr>
          <w:rFonts w:ascii="Arial" w:hAnsi="Arial" w:cs="Arial"/>
        </w:rPr>
        <w:t xml:space="preserve">was </w:t>
      </w:r>
      <w:r w:rsidR="008B6A18" w:rsidRPr="00C310FD">
        <w:rPr>
          <w:rFonts w:ascii="Arial" w:hAnsi="Arial" w:cs="Arial"/>
        </w:rPr>
        <w:t xml:space="preserve">reported in </w:t>
      </w:r>
      <w:r w:rsidR="00D671E2">
        <w:rPr>
          <w:rFonts w:ascii="Arial" w:hAnsi="Arial" w:cs="Arial"/>
        </w:rPr>
        <w:t xml:space="preserve">the National Bus Strategy </w:t>
      </w:r>
      <w:r w:rsidR="008B6A18" w:rsidRPr="00C310FD">
        <w:rPr>
          <w:rFonts w:ascii="Arial" w:hAnsi="Arial" w:cs="Arial"/>
        </w:rPr>
        <w:t xml:space="preserve">as over £1 billion in 2020 </w:t>
      </w:r>
      <w:r w:rsidR="00D671E2">
        <w:rPr>
          <w:rFonts w:ascii="Arial" w:hAnsi="Arial" w:cs="Arial"/>
        </w:rPr>
        <w:t xml:space="preserve">(DfT, 2021, 78) </w:t>
      </w:r>
      <w:r w:rsidR="008B6A18" w:rsidRPr="00C310FD">
        <w:rPr>
          <w:rFonts w:ascii="Arial" w:hAnsi="Arial" w:cs="Arial"/>
        </w:rPr>
        <w:t>and that concessionary travel reimbursement w</w:t>
      </w:r>
      <w:r w:rsidR="00501E19">
        <w:rPr>
          <w:rFonts w:ascii="Arial" w:hAnsi="Arial" w:cs="Arial"/>
        </w:rPr>
        <w:t>as</w:t>
      </w:r>
      <w:r w:rsidR="008B6A18" w:rsidRPr="00C310FD">
        <w:rPr>
          <w:rFonts w:ascii="Arial" w:hAnsi="Arial" w:cs="Arial"/>
        </w:rPr>
        <w:t xml:space="preserve"> temporarily uncoupled from </w:t>
      </w:r>
      <w:r w:rsidR="008D6F39" w:rsidRPr="00C310FD">
        <w:rPr>
          <w:rFonts w:ascii="Arial" w:hAnsi="Arial" w:cs="Arial"/>
        </w:rPr>
        <w:t>ridership</w:t>
      </w:r>
      <w:r w:rsidR="00206FAF">
        <w:rPr>
          <w:rStyle w:val="FootnoteReference"/>
          <w:rFonts w:ascii="Arial" w:hAnsi="Arial" w:cs="Arial"/>
        </w:rPr>
        <w:footnoteReference w:id="8"/>
      </w:r>
      <w:r w:rsidR="008D6F39" w:rsidRPr="00C310FD">
        <w:rPr>
          <w:rFonts w:ascii="Arial" w:hAnsi="Arial" w:cs="Arial"/>
        </w:rPr>
        <w:t xml:space="preserve">, </w:t>
      </w:r>
      <w:r w:rsidR="004B4C3F">
        <w:rPr>
          <w:rFonts w:ascii="Arial" w:hAnsi="Arial" w:cs="Arial"/>
        </w:rPr>
        <w:t>the percentage of operating revenue that came from Government support ballooned to 77%, falling back to 57% in 2021/22.</w:t>
      </w:r>
    </w:p>
    <w:p w14:paraId="62D39F6A" w14:textId="77777777" w:rsidR="004B5DB1" w:rsidRDefault="004B5DB1">
      <w:pPr>
        <w:rPr>
          <w:rFonts w:ascii="Arial" w:hAnsi="Arial" w:cs="Arial"/>
        </w:rPr>
      </w:pPr>
      <w:r>
        <w:rPr>
          <w:rFonts w:ascii="Arial" w:hAnsi="Arial" w:cs="Arial"/>
        </w:rPr>
        <w:br w:type="page"/>
      </w:r>
    </w:p>
    <w:p w14:paraId="2229498F" w14:textId="1193CDE8" w:rsidR="00D93BF2" w:rsidRPr="001C0E4B" w:rsidRDefault="00D93BF2" w:rsidP="00F43BE9">
      <w:pPr>
        <w:spacing w:after="0" w:line="240" w:lineRule="auto"/>
        <w:rPr>
          <w:rFonts w:ascii="Arial" w:hAnsi="Arial" w:cs="Arial"/>
          <w:b/>
          <w:bCs/>
          <w:sz w:val="20"/>
          <w:szCs w:val="20"/>
        </w:rPr>
      </w:pPr>
      <w:r w:rsidRPr="001C0E4B">
        <w:rPr>
          <w:rFonts w:ascii="Arial" w:hAnsi="Arial" w:cs="Arial"/>
          <w:b/>
          <w:bCs/>
          <w:sz w:val="20"/>
          <w:szCs w:val="20"/>
        </w:rPr>
        <w:lastRenderedPageBreak/>
        <w:t xml:space="preserve">Table 2: Fare Receipts and Government Support: England </w:t>
      </w:r>
    </w:p>
    <w:p w14:paraId="3EE85EBB" w14:textId="22D44881" w:rsidR="00D93BF2" w:rsidRPr="00C310FD" w:rsidRDefault="00D93BF2" w:rsidP="00F43BE9">
      <w:pPr>
        <w:spacing w:after="0" w:line="240" w:lineRule="auto"/>
        <w:rPr>
          <w:rFonts w:ascii="Arial" w:hAnsi="Arial" w:cs="Arial"/>
        </w:rPr>
      </w:pPr>
      <w:r w:rsidRPr="00C310FD">
        <w:rPr>
          <w:rFonts w:ascii="Arial" w:hAnsi="Arial" w:cs="Arial"/>
        </w:rPr>
        <w:t>£ million current prices</w:t>
      </w:r>
    </w:p>
    <w:tbl>
      <w:tblPr>
        <w:tblW w:w="9050" w:type="dxa"/>
        <w:tblCellMar>
          <w:left w:w="0" w:type="dxa"/>
          <w:right w:w="0" w:type="dxa"/>
        </w:tblCellMar>
        <w:tblLook w:val="0420" w:firstRow="1" w:lastRow="0" w:firstColumn="0" w:lastColumn="0" w:noHBand="0" w:noVBand="1"/>
      </w:tblPr>
      <w:tblGrid>
        <w:gridCol w:w="1292"/>
        <w:gridCol w:w="1293"/>
        <w:gridCol w:w="1293"/>
        <w:gridCol w:w="1293"/>
        <w:gridCol w:w="1293"/>
        <w:gridCol w:w="1293"/>
        <w:gridCol w:w="1293"/>
      </w:tblGrid>
      <w:tr w:rsidR="00B45E53" w:rsidRPr="00C310FD" w14:paraId="77FB0F07" w14:textId="77777777" w:rsidTr="004E64F7">
        <w:trPr>
          <w:trHeight w:val="584"/>
        </w:trPr>
        <w:tc>
          <w:tcPr>
            <w:tcW w:w="1292" w:type="dxa"/>
            <w:tcBorders>
              <w:top w:val="single" w:sz="8" w:space="0" w:color="323D43"/>
              <w:left w:val="single" w:sz="8" w:space="0" w:color="323D43"/>
              <w:bottom w:val="single" w:sz="8" w:space="0" w:color="323D43"/>
              <w:right w:val="single" w:sz="8" w:space="0" w:color="323D43"/>
            </w:tcBorders>
          </w:tcPr>
          <w:p w14:paraId="5C88C684" w14:textId="7953C83F" w:rsidR="00B45E53" w:rsidRPr="00C310FD" w:rsidRDefault="00B45E53" w:rsidP="00F43BE9">
            <w:pPr>
              <w:spacing w:after="0" w:line="240" w:lineRule="auto"/>
              <w:rPr>
                <w:rFonts w:ascii="Arial" w:eastAsia="Times New Roman" w:hAnsi="Arial" w:cs="Arial"/>
                <w:color w:val="000000" w:themeColor="text1"/>
                <w:kern w:val="24"/>
                <w:lang w:eastAsia="en-GB"/>
              </w:rPr>
            </w:pPr>
            <w:r>
              <w:rPr>
                <w:rFonts w:ascii="Arial" w:eastAsia="Times New Roman" w:hAnsi="Arial" w:cs="Arial"/>
                <w:color w:val="000000" w:themeColor="text1"/>
                <w:kern w:val="24"/>
                <w:lang w:eastAsia="en-GB"/>
              </w:rPr>
              <w:t>Year</w:t>
            </w:r>
          </w:p>
        </w:tc>
        <w:tc>
          <w:tcPr>
            <w:tcW w:w="1293" w:type="dxa"/>
            <w:tcBorders>
              <w:top w:val="single" w:sz="8" w:space="0" w:color="323D43"/>
              <w:left w:val="single" w:sz="8" w:space="0" w:color="323D43"/>
              <w:bottom w:val="single" w:sz="8" w:space="0" w:color="323D43"/>
              <w:right w:val="single" w:sz="8" w:space="0" w:color="323D43"/>
            </w:tcBorders>
            <w:shd w:val="clear" w:color="auto" w:fill="auto"/>
            <w:tcMar>
              <w:top w:w="72" w:type="dxa"/>
              <w:left w:w="144" w:type="dxa"/>
              <w:bottom w:w="72" w:type="dxa"/>
              <w:right w:w="144" w:type="dxa"/>
            </w:tcMar>
            <w:hideMark/>
          </w:tcPr>
          <w:p w14:paraId="133A445F" w14:textId="7CE79D41" w:rsidR="00B45E53" w:rsidRPr="00C310FD" w:rsidRDefault="00B45E53" w:rsidP="00F43BE9">
            <w:pPr>
              <w:spacing w:after="0" w:line="240" w:lineRule="auto"/>
              <w:rPr>
                <w:rFonts w:ascii="Arial" w:eastAsia="Times New Roman" w:hAnsi="Arial" w:cs="Arial"/>
                <w:lang w:eastAsia="en-GB"/>
              </w:rPr>
            </w:pPr>
            <w:r w:rsidRPr="00C310FD">
              <w:rPr>
                <w:rFonts w:ascii="Arial" w:eastAsia="Times New Roman" w:hAnsi="Arial" w:cs="Arial"/>
                <w:color w:val="000000" w:themeColor="text1"/>
                <w:kern w:val="24"/>
                <w:lang w:eastAsia="en-GB"/>
              </w:rPr>
              <w:t>Fare Receipts</w:t>
            </w:r>
          </w:p>
        </w:tc>
        <w:tc>
          <w:tcPr>
            <w:tcW w:w="1293" w:type="dxa"/>
            <w:tcBorders>
              <w:top w:val="single" w:sz="8" w:space="0" w:color="323D43"/>
              <w:left w:val="single" w:sz="8" w:space="0" w:color="323D43"/>
              <w:bottom w:val="single" w:sz="8" w:space="0" w:color="323D43"/>
              <w:right w:val="single" w:sz="8" w:space="0" w:color="323D43"/>
            </w:tcBorders>
            <w:shd w:val="clear" w:color="auto" w:fill="auto"/>
            <w:tcMar>
              <w:top w:w="72" w:type="dxa"/>
              <w:left w:w="144" w:type="dxa"/>
              <w:bottom w:w="72" w:type="dxa"/>
              <w:right w:w="144" w:type="dxa"/>
            </w:tcMar>
            <w:hideMark/>
          </w:tcPr>
          <w:p w14:paraId="3D5DAC28" w14:textId="77777777" w:rsidR="00B45E53" w:rsidRPr="00C310FD" w:rsidRDefault="00B45E53" w:rsidP="00F43BE9">
            <w:pPr>
              <w:spacing w:after="0" w:line="240" w:lineRule="auto"/>
              <w:rPr>
                <w:rFonts w:ascii="Arial" w:eastAsia="Times New Roman" w:hAnsi="Arial" w:cs="Arial"/>
                <w:lang w:eastAsia="en-GB"/>
              </w:rPr>
            </w:pPr>
            <w:r w:rsidRPr="00C310FD">
              <w:rPr>
                <w:rFonts w:ascii="Arial" w:eastAsia="Times New Roman" w:hAnsi="Arial" w:cs="Arial"/>
                <w:color w:val="000000" w:themeColor="text1"/>
                <w:kern w:val="24"/>
                <w:lang w:eastAsia="en-GB"/>
              </w:rPr>
              <w:t>Gross</w:t>
            </w:r>
          </w:p>
          <w:p w14:paraId="4DA2447C" w14:textId="77777777" w:rsidR="00B45E53" w:rsidRPr="00C310FD" w:rsidRDefault="00B45E53" w:rsidP="00F43BE9">
            <w:pPr>
              <w:spacing w:after="0" w:line="240" w:lineRule="auto"/>
              <w:rPr>
                <w:rFonts w:ascii="Arial" w:eastAsia="Times New Roman" w:hAnsi="Arial" w:cs="Arial"/>
                <w:lang w:eastAsia="en-GB"/>
              </w:rPr>
            </w:pPr>
            <w:r w:rsidRPr="00C310FD">
              <w:rPr>
                <w:rFonts w:ascii="Arial" w:eastAsia="Times New Roman" w:hAnsi="Arial" w:cs="Arial"/>
                <w:color w:val="000000" w:themeColor="text1"/>
                <w:kern w:val="24"/>
                <w:lang w:eastAsia="en-GB"/>
              </w:rPr>
              <w:t>PT Support</w:t>
            </w:r>
          </w:p>
        </w:tc>
        <w:tc>
          <w:tcPr>
            <w:tcW w:w="1293" w:type="dxa"/>
            <w:tcBorders>
              <w:top w:val="single" w:sz="8" w:space="0" w:color="323D43"/>
              <w:left w:val="single" w:sz="8" w:space="0" w:color="323D43"/>
              <w:bottom w:val="single" w:sz="8" w:space="0" w:color="323D43"/>
              <w:right w:val="single" w:sz="8" w:space="0" w:color="323D43"/>
            </w:tcBorders>
            <w:shd w:val="clear" w:color="auto" w:fill="auto"/>
            <w:tcMar>
              <w:top w:w="72" w:type="dxa"/>
              <w:left w:w="144" w:type="dxa"/>
              <w:bottom w:w="72" w:type="dxa"/>
              <w:right w:w="144" w:type="dxa"/>
            </w:tcMar>
            <w:hideMark/>
          </w:tcPr>
          <w:p w14:paraId="04762530" w14:textId="77777777" w:rsidR="00B45E53" w:rsidRDefault="00B45E53" w:rsidP="00B45E53">
            <w:pPr>
              <w:spacing w:after="0" w:line="240" w:lineRule="auto"/>
              <w:rPr>
                <w:rFonts w:ascii="Arial" w:eastAsia="Times New Roman" w:hAnsi="Arial" w:cs="Arial"/>
                <w:color w:val="000000" w:themeColor="text1"/>
                <w:kern w:val="24"/>
                <w:lang w:eastAsia="en-GB"/>
              </w:rPr>
            </w:pPr>
            <w:proofErr w:type="spellStart"/>
            <w:r w:rsidRPr="00C310FD">
              <w:rPr>
                <w:rFonts w:ascii="Arial" w:eastAsia="Times New Roman" w:hAnsi="Arial" w:cs="Arial"/>
                <w:color w:val="000000" w:themeColor="text1"/>
                <w:kern w:val="24"/>
                <w:lang w:eastAsia="en-GB"/>
              </w:rPr>
              <w:t>Concess</w:t>
            </w:r>
            <w:r>
              <w:rPr>
                <w:rFonts w:ascii="Arial" w:eastAsia="Times New Roman" w:hAnsi="Arial" w:cs="Arial"/>
                <w:color w:val="000000" w:themeColor="text1"/>
                <w:kern w:val="24"/>
                <w:lang w:eastAsia="en-GB"/>
              </w:rPr>
              <w:t>-</w:t>
            </w:r>
            <w:r w:rsidRPr="00C310FD">
              <w:rPr>
                <w:rFonts w:ascii="Arial" w:eastAsia="Times New Roman" w:hAnsi="Arial" w:cs="Arial"/>
                <w:color w:val="000000" w:themeColor="text1"/>
                <w:kern w:val="24"/>
                <w:lang w:eastAsia="en-GB"/>
              </w:rPr>
              <w:t>ionary</w:t>
            </w:r>
            <w:proofErr w:type="spellEnd"/>
            <w:r w:rsidRPr="00C310FD">
              <w:rPr>
                <w:rFonts w:ascii="Arial" w:eastAsia="Times New Roman" w:hAnsi="Arial" w:cs="Arial"/>
                <w:color w:val="000000" w:themeColor="text1"/>
                <w:kern w:val="24"/>
                <w:lang w:eastAsia="en-GB"/>
              </w:rPr>
              <w:t xml:space="preserve"> </w:t>
            </w:r>
          </w:p>
          <w:p w14:paraId="652A2D99" w14:textId="1D208AB6" w:rsidR="00B45E53" w:rsidRPr="00C310FD" w:rsidRDefault="00B45E53" w:rsidP="00B45E53">
            <w:pPr>
              <w:spacing w:after="0" w:line="240" w:lineRule="auto"/>
              <w:rPr>
                <w:rFonts w:ascii="Arial" w:eastAsia="Times New Roman" w:hAnsi="Arial" w:cs="Arial"/>
                <w:lang w:eastAsia="en-GB"/>
              </w:rPr>
            </w:pPr>
            <w:r w:rsidRPr="00C310FD">
              <w:rPr>
                <w:rFonts w:ascii="Arial" w:eastAsia="Times New Roman" w:hAnsi="Arial" w:cs="Arial"/>
                <w:color w:val="000000" w:themeColor="text1"/>
                <w:kern w:val="24"/>
                <w:lang w:eastAsia="en-GB"/>
              </w:rPr>
              <w:t>Travel</w:t>
            </w:r>
          </w:p>
        </w:tc>
        <w:tc>
          <w:tcPr>
            <w:tcW w:w="1293" w:type="dxa"/>
            <w:tcBorders>
              <w:top w:val="single" w:sz="8" w:space="0" w:color="323D43"/>
              <w:left w:val="single" w:sz="8" w:space="0" w:color="323D43"/>
              <w:bottom w:val="single" w:sz="8" w:space="0" w:color="323D43"/>
              <w:right w:val="single" w:sz="8" w:space="0" w:color="323D43"/>
            </w:tcBorders>
            <w:shd w:val="clear" w:color="auto" w:fill="auto"/>
            <w:tcMar>
              <w:top w:w="72" w:type="dxa"/>
              <w:left w:w="144" w:type="dxa"/>
              <w:bottom w:w="72" w:type="dxa"/>
              <w:right w:w="144" w:type="dxa"/>
            </w:tcMar>
            <w:hideMark/>
          </w:tcPr>
          <w:p w14:paraId="1E243DA5" w14:textId="77777777" w:rsidR="00B45E53" w:rsidRPr="00C310FD" w:rsidRDefault="00B45E53" w:rsidP="00F43BE9">
            <w:pPr>
              <w:spacing w:after="0" w:line="240" w:lineRule="auto"/>
              <w:rPr>
                <w:rFonts w:ascii="Arial" w:eastAsia="Times New Roman" w:hAnsi="Arial" w:cs="Arial"/>
                <w:lang w:eastAsia="en-GB"/>
              </w:rPr>
            </w:pPr>
            <w:r w:rsidRPr="00C310FD">
              <w:rPr>
                <w:rFonts w:ascii="Arial" w:eastAsia="Times New Roman" w:hAnsi="Arial" w:cs="Arial"/>
                <w:color w:val="000000" w:themeColor="text1"/>
                <w:kern w:val="24"/>
                <w:lang w:eastAsia="en-GB"/>
              </w:rPr>
              <w:t>BSOG</w:t>
            </w:r>
          </w:p>
        </w:tc>
        <w:tc>
          <w:tcPr>
            <w:tcW w:w="1293" w:type="dxa"/>
            <w:tcBorders>
              <w:top w:val="single" w:sz="8" w:space="0" w:color="323D43"/>
              <w:left w:val="single" w:sz="8" w:space="0" w:color="323D43"/>
              <w:bottom w:val="single" w:sz="8" w:space="0" w:color="323D43"/>
              <w:right w:val="single" w:sz="8" w:space="0" w:color="323D43"/>
            </w:tcBorders>
          </w:tcPr>
          <w:p w14:paraId="72C6A750" w14:textId="77777777" w:rsidR="00B45E53" w:rsidRDefault="00B45E53" w:rsidP="00F43BE9">
            <w:pPr>
              <w:spacing w:after="0" w:line="240" w:lineRule="auto"/>
              <w:rPr>
                <w:rFonts w:ascii="Arial" w:eastAsia="Times New Roman" w:hAnsi="Arial" w:cs="Arial"/>
                <w:color w:val="000000" w:themeColor="text1"/>
                <w:kern w:val="24"/>
                <w:lang w:eastAsia="en-GB"/>
              </w:rPr>
            </w:pPr>
            <w:r>
              <w:rPr>
                <w:rFonts w:ascii="Arial" w:eastAsia="Times New Roman" w:hAnsi="Arial" w:cs="Arial"/>
                <w:color w:val="000000" w:themeColor="text1"/>
                <w:kern w:val="24"/>
                <w:lang w:eastAsia="en-GB"/>
              </w:rPr>
              <w:t>CBSSG/</w:t>
            </w:r>
          </w:p>
          <w:p w14:paraId="763AFB00" w14:textId="411BADE7" w:rsidR="00B45E53" w:rsidRPr="00C310FD" w:rsidRDefault="00B45E53" w:rsidP="00F43BE9">
            <w:pPr>
              <w:spacing w:after="0" w:line="240" w:lineRule="auto"/>
              <w:rPr>
                <w:rFonts w:ascii="Arial" w:eastAsia="Times New Roman" w:hAnsi="Arial" w:cs="Arial"/>
                <w:color w:val="000000" w:themeColor="text1"/>
                <w:kern w:val="24"/>
                <w:lang w:eastAsia="en-GB"/>
              </w:rPr>
            </w:pPr>
            <w:r>
              <w:rPr>
                <w:rFonts w:ascii="Arial" w:eastAsia="Times New Roman" w:hAnsi="Arial" w:cs="Arial"/>
                <w:color w:val="000000" w:themeColor="text1"/>
                <w:kern w:val="24"/>
                <w:lang w:eastAsia="en-GB"/>
              </w:rPr>
              <w:t>BRG</w:t>
            </w:r>
          </w:p>
        </w:tc>
        <w:tc>
          <w:tcPr>
            <w:tcW w:w="1293" w:type="dxa"/>
            <w:tcBorders>
              <w:top w:val="single" w:sz="8" w:space="0" w:color="323D43"/>
              <w:left w:val="single" w:sz="8" w:space="0" w:color="323D43"/>
              <w:bottom w:val="single" w:sz="8" w:space="0" w:color="323D43"/>
              <w:right w:val="single" w:sz="8" w:space="0" w:color="323D43"/>
            </w:tcBorders>
            <w:shd w:val="clear" w:color="auto" w:fill="auto"/>
            <w:tcMar>
              <w:top w:w="72" w:type="dxa"/>
              <w:left w:w="144" w:type="dxa"/>
              <w:bottom w:w="72" w:type="dxa"/>
              <w:right w:w="144" w:type="dxa"/>
            </w:tcMar>
            <w:hideMark/>
          </w:tcPr>
          <w:p w14:paraId="6F5DAE77" w14:textId="14A0C1E4" w:rsidR="00B45E53" w:rsidRPr="00C310FD" w:rsidRDefault="00B45E53" w:rsidP="00F43BE9">
            <w:pPr>
              <w:spacing w:after="0" w:line="240" w:lineRule="auto"/>
              <w:rPr>
                <w:rFonts w:ascii="Arial" w:eastAsia="Times New Roman" w:hAnsi="Arial" w:cs="Arial"/>
                <w:lang w:eastAsia="en-GB"/>
              </w:rPr>
            </w:pPr>
            <w:r w:rsidRPr="00C310FD">
              <w:rPr>
                <w:rFonts w:ascii="Arial" w:eastAsia="Times New Roman" w:hAnsi="Arial" w:cs="Arial"/>
                <w:color w:val="000000" w:themeColor="text1"/>
                <w:kern w:val="24"/>
                <w:lang w:eastAsia="en-GB"/>
              </w:rPr>
              <w:t>Total Operating Revenue</w:t>
            </w:r>
          </w:p>
        </w:tc>
      </w:tr>
      <w:tr w:rsidR="00B45E53" w:rsidRPr="00C310FD" w14:paraId="278987B9" w14:textId="77777777" w:rsidTr="004E64F7">
        <w:trPr>
          <w:trHeight w:val="334"/>
        </w:trPr>
        <w:tc>
          <w:tcPr>
            <w:tcW w:w="1292" w:type="dxa"/>
            <w:tcBorders>
              <w:top w:val="single" w:sz="8" w:space="0" w:color="323D43"/>
              <w:left w:val="single" w:sz="8" w:space="0" w:color="323D43"/>
              <w:bottom w:val="single" w:sz="8" w:space="0" w:color="323D43"/>
              <w:right w:val="single" w:sz="8" w:space="0" w:color="323D43"/>
            </w:tcBorders>
          </w:tcPr>
          <w:p w14:paraId="29D92C48" w14:textId="69A269EB" w:rsidR="00B45E53" w:rsidRPr="00C310FD" w:rsidRDefault="00B45E53" w:rsidP="00F43BE9">
            <w:pPr>
              <w:spacing w:after="0" w:line="240" w:lineRule="auto"/>
              <w:rPr>
                <w:rFonts w:ascii="Arial" w:eastAsia="Times New Roman" w:hAnsi="Arial" w:cs="Arial"/>
                <w:color w:val="000000" w:themeColor="text1"/>
                <w:kern w:val="24"/>
                <w:lang w:eastAsia="en-GB"/>
              </w:rPr>
            </w:pPr>
            <w:r>
              <w:rPr>
                <w:rFonts w:ascii="Arial" w:eastAsia="Times New Roman" w:hAnsi="Arial" w:cs="Arial"/>
                <w:color w:val="000000" w:themeColor="text1"/>
                <w:kern w:val="24"/>
                <w:lang w:eastAsia="en-GB"/>
              </w:rPr>
              <w:t>2019/20</w:t>
            </w:r>
          </w:p>
        </w:tc>
        <w:tc>
          <w:tcPr>
            <w:tcW w:w="1293" w:type="dxa"/>
            <w:tcBorders>
              <w:top w:val="single" w:sz="8" w:space="0" w:color="323D43"/>
              <w:left w:val="single" w:sz="8" w:space="0" w:color="323D43"/>
              <w:bottom w:val="single" w:sz="8" w:space="0" w:color="323D43"/>
              <w:right w:val="single" w:sz="8" w:space="0" w:color="323D43"/>
            </w:tcBorders>
            <w:shd w:val="clear" w:color="auto" w:fill="auto"/>
            <w:tcMar>
              <w:top w:w="72" w:type="dxa"/>
              <w:left w:w="144" w:type="dxa"/>
              <w:bottom w:w="72" w:type="dxa"/>
              <w:right w:w="144" w:type="dxa"/>
            </w:tcMar>
            <w:hideMark/>
          </w:tcPr>
          <w:p w14:paraId="757C6CDC" w14:textId="30329C28" w:rsidR="00B45E53" w:rsidRPr="00C310FD" w:rsidRDefault="00B45E53" w:rsidP="00F43BE9">
            <w:pPr>
              <w:spacing w:after="0" w:line="240" w:lineRule="auto"/>
              <w:rPr>
                <w:rFonts w:ascii="Arial" w:eastAsia="Times New Roman" w:hAnsi="Arial" w:cs="Arial"/>
                <w:lang w:eastAsia="en-GB"/>
              </w:rPr>
            </w:pPr>
            <w:r w:rsidRPr="00C310FD">
              <w:rPr>
                <w:rFonts w:ascii="Arial" w:eastAsia="Times New Roman" w:hAnsi="Arial" w:cs="Arial"/>
                <w:color w:val="000000" w:themeColor="text1"/>
                <w:kern w:val="24"/>
                <w:lang w:eastAsia="en-GB"/>
              </w:rPr>
              <w:t>3,168</w:t>
            </w:r>
          </w:p>
        </w:tc>
        <w:tc>
          <w:tcPr>
            <w:tcW w:w="1293" w:type="dxa"/>
            <w:tcBorders>
              <w:top w:val="single" w:sz="8" w:space="0" w:color="323D43"/>
              <w:left w:val="single" w:sz="8" w:space="0" w:color="323D43"/>
              <w:bottom w:val="single" w:sz="8" w:space="0" w:color="323D43"/>
              <w:right w:val="single" w:sz="8" w:space="0" w:color="323D43"/>
            </w:tcBorders>
            <w:shd w:val="clear" w:color="auto" w:fill="auto"/>
            <w:tcMar>
              <w:top w:w="72" w:type="dxa"/>
              <w:left w:w="144" w:type="dxa"/>
              <w:bottom w:w="72" w:type="dxa"/>
              <w:right w:w="144" w:type="dxa"/>
            </w:tcMar>
            <w:hideMark/>
          </w:tcPr>
          <w:p w14:paraId="416934B9" w14:textId="77777777" w:rsidR="00B45E53" w:rsidRPr="00C310FD" w:rsidRDefault="00B45E53" w:rsidP="00F43BE9">
            <w:pPr>
              <w:spacing w:after="0" w:line="240" w:lineRule="auto"/>
              <w:rPr>
                <w:rFonts w:ascii="Arial" w:eastAsia="Times New Roman" w:hAnsi="Arial" w:cs="Arial"/>
                <w:lang w:eastAsia="en-GB"/>
              </w:rPr>
            </w:pPr>
            <w:r w:rsidRPr="00C310FD">
              <w:rPr>
                <w:rFonts w:ascii="Arial" w:eastAsia="Times New Roman" w:hAnsi="Arial" w:cs="Arial"/>
                <w:color w:val="000000" w:themeColor="text1"/>
                <w:kern w:val="24"/>
                <w:lang w:eastAsia="en-GB"/>
              </w:rPr>
              <w:t xml:space="preserve">  839</w:t>
            </w:r>
          </w:p>
        </w:tc>
        <w:tc>
          <w:tcPr>
            <w:tcW w:w="1293" w:type="dxa"/>
            <w:tcBorders>
              <w:top w:val="single" w:sz="8" w:space="0" w:color="323D43"/>
              <w:left w:val="single" w:sz="8" w:space="0" w:color="323D43"/>
              <w:bottom w:val="single" w:sz="8" w:space="0" w:color="323D43"/>
              <w:right w:val="single" w:sz="8" w:space="0" w:color="323D43"/>
            </w:tcBorders>
            <w:shd w:val="clear" w:color="auto" w:fill="auto"/>
            <w:tcMar>
              <w:top w:w="72" w:type="dxa"/>
              <w:left w:w="144" w:type="dxa"/>
              <w:bottom w:w="72" w:type="dxa"/>
              <w:right w:w="144" w:type="dxa"/>
            </w:tcMar>
            <w:hideMark/>
          </w:tcPr>
          <w:p w14:paraId="7C188055" w14:textId="77777777" w:rsidR="00B45E53" w:rsidRPr="00C310FD" w:rsidRDefault="00B45E53" w:rsidP="00F43BE9">
            <w:pPr>
              <w:spacing w:after="0" w:line="240" w:lineRule="auto"/>
              <w:rPr>
                <w:rFonts w:ascii="Arial" w:eastAsia="Times New Roman" w:hAnsi="Arial" w:cs="Arial"/>
                <w:lang w:eastAsia="en-GB"/>
              </w:rPr>
            </w:pPr>
            <w:r w:rsidRPr="00C310FD">
              <w:rPr>
                <w:rFonts w:ascii="Arial" w:eastAsia="Times New Roman" w:hAnsi="Arial" w:cs="Arial"/>
                <w:color w:val="000000" w:themeColor="text1"/>
                <w:kern w:val="24"/>
                <w:lang w:eastAsia="en-GB"/>
              </w:rPr>
              <w:t xml:space="preserve">  982</w:t>
            </w:r>
          </w:p>
        </w:tc>
        <w:tc>
          <w:tcPr>
            <w:tcW w:w="1293" w:type="dxa"/>
            <w:tcBorders>
              <w:top w:val="single" w:sz="8" w:space="0" w:color="323D43"/>
              <w:left w:val="single" w:sz="8" w:space="0" w:color="323D43"/>
              <w:bottom w:val="single" w:sz="8" w:space="0" w:color="323D43"/>
              <w:right w:val="single" w:sz="8" w:space="0" w:color="323D43"/>
            </w:tcBorders>
            <w:shd w:val="clear" w:color="auto" w:fill="auto"/>
            <w:tcMar>
              <w:top w:w="72" w:type="dxa"/>
              <w:left w:w="144" w:type="dxa"/>
              <w:bottom w:w="72" w:type="dxa"/>
              <w:right w:w="144" w:type="dxa"/>
            </w:tcMar>
            <w:hideMark/>
          </w:tcPr>
          <w:p w14:paraId="530048FE" w14:textId="209D7636" w:rsidR="00B45E53" w:rsidRPr="00C310FD" w:rsidRDefault="00B45E53" w:rsidP="00F43BE9">
            <w:pPr>
              <w:spacing w:after="0" w:line="240" w:lineRule="auto"/>
              <w:rPr>
                <w:rFonts w:ascii="Arial" w:eastAsia="Times New Roman" w:hAnsi="Arial" w:cs="Arial"/>
                <w:lang w:eastAsia="en-GB"/>
              </w:rPr>
            </w:pPr>
            <w:r w:rsidRPr="00C310FD">
              <w:rPr>
                <w:rFonts w:ascii="Arial" w:eastAsia="Times New Roman" w:hAnsi="Arial" w:cs="Arial"/>
                <w:color w:val="000000" w:themeColor="text1"/>
                <w:kern w:val="24"/>
                <w:lang w:eastAsia="en-GB"/>
              </w:rPr>
              <w:t xml:space="preserve">   246 </w:t>
            </w:r>
          </w:p>
        </w:tc>
        <w:tc>
          <w:tcPr>
            <w:tcW w:w="1293" w:type="dxa"/>
            <w:tcBorders>
              <w:top w:val="single" w:sz="8" w:space="0" w:color="323D43"/>
              <w:left w:val="single" w:sz="8" w:space="0" w:color="323D43"/>
              <w:bottom w:val="single" w:sz="8" w:space="0" w:color="323D43"/>
              <w:right w:val="single" w:sz="8" w:space="0" w:color="323D43"/>
            </w:tcBorders>
          </w:tcPr>
          <w:p w14:paraId="01C4CBB5" w14:textId="77777777" w:rsidR="00B45E53" w:rsidRPr="00C310FD" w:rsidRDefault="00B45E53" w:rsidP="00F43BE9">
            <w:pPr>
              <w:spacing w:after="0" w:line="240" w:lineRule="auto"/>
              <w:rPr>
                <w:rFonts w:ascii="Arial" w:eastAsia="Times New Roman" w:hAnsi="Arial" w:cs="Arial"/>
                <w:color w:val="000000" w:themeColor="text1"/>
                <w:kern w:val="24"/>
                <w:lang w:eastAsia="en-GB"/>
              </w:rPr>
            </w:pPr>
          </w:p>
        </w:tc>
        <w:tc>
          <w:tcPr>
            <w:tcW w:w="1293" w:type="dxa"/>
            <w:tcBorders>
              <w:top w:val="single" w:sz="8" w:space="0" w:color="323D43"/>
              <w:left w:val="single" w:sz="8" w:space="0" w:color="323D43"/>
              <w:bottom w:val="single" w:sz="8" w:space="0" w:color="323D43"/>
              <w:right w:val="single" w:sz="8" w:space="0" w:color="323D43"/>
            </w:tcBorders>
            <w:shd w:val="clear" w:color="auto" w:fill="auto"/>
            <w:tcMar>
              <w:top w:w="72" w:type="dxa"/>
              <w:left w:w="144" w:type="dxa"/>
              <w:bottom w:w="72" w:type="dxa"/>
              <w:right w:w="144" w:type="dxa"/>
            </w:tcMar>
            <w:hideMark/>
          </w:tcPr>
          <w:p w14:paraId="4CFD2BE3" w14:textId="4FBC3186" w:rsidR="00B45E53" w:rsidRPr="00C310FD" w:rsidRDefault="00B45E53" w:rsidP="00F43BE9">
            <w:pPr>
              <w:spacing w:after="0" w:line="240" w:lineRule="auto"/>
              <w:rPr>
                <w:rFonts w:ascii="Arial" w:eastAsia="Times New Roman" w:hAnsi="Arial" w:cs="Arial"/>
                <w:lang w:eastAsia="en-GB"/>
              </w:rPr>
            </w:pPr>
            <w:r w:rsidRPr="00C310FD">
              <w:rPr>
                <w:rFonts w:ascii="Arial" w:eastAsia="Times New Roman" w:hAnsi="Arial" w:cs="Arial"/>
                <w:color w:val="000000" w:themeColor="text1"/>
                <w:kern w:val="24"/>
                <w:lang w:eastAsia="en-GB"/>
              </w:rPr>
              <w:t>5,235</w:t>
            </w:r>
          </w:p>
        </w:tc>
      </w:tr>
      <w:tr w:rsidR="00B45E53" w:rsidRPr="00C310FD" w14:paraId="51C6FC6A" w14:textId="77777777" w:rsidTr="004E64F7">
        <w:trPr>
          <w:trHeight w:val="334"/>
        </w:trPr>
        <w:tc>
          <w:tcPr>
            <w:tcW w:w="1292" w:type="dxa"/>
            <w:tcBorders>
              <w:top w:val="single" w:sz="8" w:space="0" w:color="323D43"/>
              <w:left w:val="single" w:sz="8" w:space="0" w:color="323D43"/>
              <w:bottom w:val="single" w:sz="8" w:space="0" w:color="323D43"/>
              <w:right w:val="single" w:sz="8" w:space="0" w:color="323D43"/>
            </w:tcBorders>
          </w:tcPr>
          <w:p w14:paraId="248739B5" w14:textId="32DF601C" w:rsidR="00B45E53" w:rsidRPr="00C310FD" w:rsidRDefault="00B45E53" w:rsidP="00F43BE9">
            <w:pPr>
              <w:spacing w:after="0" w:line="240" w:lineRule="auto"/>
              <w:rPr>
                <w:rFonts w:ascii="Arial" w:eastAsia="Times New Roman" w:hAnsi="Arial" w:cs="Arial"/>
                <w:color w:val="000000" w:themeColor="text1"/>
                <w:kern w:val="24"/>
                <w:lang w:eastAsia="en-GB"/>
              </w:rPr>
            </w:pPr>
            <w:r>
              <w:rPr>
                <w:rFonts w:ascii="Arial" w:eastAsia="Times New Roman" w:hAnsi="Arial" w:cs="Arial"/>
                <w:color w:val="000000" w:themeColor="text1"/>
                <w:kern w:val="24"/>
                <w:lang w:eastAsia="en-GB"/>
              </w:rPr>
              <w:t>2020/21</w:t>
            </w:r>
          </w:p>
        </w:tc>
        <w:tc>
          <w:tcPr>
            <w:tcW w:w="1293" w:type="dxa"/>
            <w:tcBorders>
              <w:top w:val="single" w:sz="8" w:space="0" w:color="323D43"/>
              <w:left w:val="single" w:sz="8" w:space="0" w:color="323D43"/>
              <w:bottom w:val="single" w:sz="8" w:space="0" w:color="323D43"/>
              <w:right w:val="single" w:sz="8" w:space="0" w:color="323D43"/>
            </w:tcBorders>
            <w:shd w:val="clear" w:color="auto" w:fill="auto"/>
            <w:tcMar>
              <w:top w:w="72" w:type="dxa"/>
              <w:left w:w="144" w:type="dxa"/>
              <w:bottom w:w="72" w:type="dxa"/>
              <w:right w:w="144" w:type="dxa"/>
            </w:tcMar>
          </w:tcPr>
          <w:p w14:paraId="72BDACCB" w14:textId="08A43628" w:rsidR="00B45E53" w:rsidRPr="00C310FD" w:rsidRDefault="00B45E53" w:rsidP="00F43BE9">
            <w:pPr>
              <w:spacing w:after="0" w:line="240" w:lineRule="auto"/>
              <w:rPr>
                <w:rFonts w:ascii="Arial" w:eastAsia="Times New Roman" w:hAnsi="Arial" w:cs="Arial"/>
                <w:color w:val="000000" w:themeColor="text1"/>
                <w:kern w:val="24"/>
                <w:lang w:eastAsia="en-GB"/>
              </w:rPr>
            </w:pPr>
            <w:r>
              <w:rPr>
                <w:rFonts w:ascii="Arial" w:eastAsia="Times New Roman" w:hAnsi="Arial" w:cs="Arial"/>
                <w:color w:val="000000" w:themeColor="text1"/>
                <w:kern w:val="24"/>
                <w:lang w:eastAsia="en-GB"/>
              </w:rPr>
              <w:t>1,261</w:t>
            </w:r>
          </w:p>
        </w:tc>
        <w:tc>
          <w:tcPr>
            <w:tcW w:w="1293" w:type="dxa"/>
            <w:tcBorders>
              <w:top w:val="single" w:sz="8" w:space="0" w:color="323D43"/>
              <w:left w:val="single" w:sz="8" w:space="0" w:color="323D43"/>
              <w:bottom w:val="single" w:sz="8" w:space="0" w:color="323D43"/>
              <w:right w:val="single" w:sz="8" w:space="0" w:color="323D43"/>
            </w:tcBorders>
            <w:shd w:val="clear" w:color="auto" w:fill="auto"/>
            <w:tcMar>
              <w:top w:w="72" w:type="dxa"/>
              <w:left w:w="144" w:type="dxa"/>
              <w:bottom w:w="72" w:type="dxa"/>
              <w:right w:w="144" w:type="dxa"/>
            </w:tcMar>
          </w:tcPr>
          <w:p w14:paraId="719AD1FE" w14:textId="0460EC18" w:rsidR="00B45E53" w:rsidRPr="00C310FD" w:rsidRDefault="00B45E53" w:rsidP="00F43BE9">
            <w:pPr>
              <w:spacing w:after="0" w:line="240" w:lineRule="auto"/>
              <w:rPr>
                <w:rFonts w:ascii="Arial" w:eastAsia="Times New Roman" w:hAnsi="Arial" w:cs="Arial"/>
                <w:color w:val="000000" w:themeColor="text1"/>
                <w:kern w:val="24"/>
                <w:lang w:eastAsia="en-GB"/>
              </w:rPr>
            </w:pPr>
            <w:r>
              <w:rPr>
                <w:rFonts w:ascii="Arial" w:eastAsia="Times New Roman" w:hAnsi="Arial" w:cs="Arial"/>
                <w:color w:val="000000" w:themeColor="text1"/>
                <w:kern w:val="24"/>
                <w:lang w:eastAsia="en-GB"/>
              </w:rPr>
              <w:t>1,975</w:t>
            </w:r>
          </w:p>
        </w:tc>
        <w:tc>
          <w:tcPr>
            <w:tcW w:w="1293" w:type="dxa"/>
            <w:tcBorders>
              <w:top w:val="single" w:sz="8" w:space="0" w:color="323D43"/>
              <w:left w:val="single" w:sz="8" w:space="0" w:color="323D43"/>
              <w:bottom w:val="single" w:sz="8" w:space="0" w:color="323D43"/>
              <w:right w:val="single" w:sz="8" w:space="0" w:color="323D43"/>
            </w:tcBorders>
            <w:shd w:val="clear" w:color="auto" w:fill="auto"/>
            <w:tcMar>
              <w:top w:w="72" w:type="dxa"/>
              <w:left w:w="144" w:type="dxa"/>
              <w:bottom w:w="72" w:type="dxa"/>
              <w:right w:w="144" w:type="dxa"/>
            </w:tcMar>
          </w:tcPr>
          <w:p w14:paraId="5B76ECFD" w14:textId="747FAA69" w:rsidR="00B45E53" w:rsidRPr="00C310FD" w:rsidRDefault="00B45E53" w:rsidP="00F43BE9">
            <w:pPr>
              <w:spacing w:after="0" w:line="240" w:lineRule="auto"/>
              <w:rPr>
                <w:rFonts w:ascii="Arial" w:eastAsia="Times New Roman" w:hAnsi="Arial" w:cs="Arial"/>
                <w:color w:val="000000" w:themeColor="text1"/>
                <w:kern w:val="24"/>
                <w:lang w:eastAsia="en-GB"/>
              </w:rPr>
            </w:pPr>
            <w:r>
              <w:rPr>
                <w:rFonts w:ascii="Arial" w:eastAsia="Times New Roman" w:hAnsi="Arial" w:cs="Arial"/>
                <w:color w:val="000000" w:themeColor="text1"/>
                <w:kern w:val="24"/>
                <w:lang w:eastAsia="en-GB"/>
              </w:rPr>
              <w:t xml:space="preserve">  971</w:t>
            </w:r>
          </w:p>
        </w:tc>
        <w:tc>
          <w:tcPr>
            <w:tcW w:w="1293" w:type="dxa"/>
            <w:tcBorders>
              <w:top w:val="single" w:sz="8" w:space="0" w:color="323D43"/>
              <w:left w:val="single" w:sz="8" w:space="0" w:color="323D43"/>
              <w:bottom w:val="single" w:sz="8" w:space="0" w:color="323D43"/>
              <w:right w:val="single" w:sz="8" w:space="0" w:color="323D43"/>
            </w:tcBorders>
            <w:shd w:val="clear" w:color="auto" w:fill="auto"/>
            <w:tcMar>
              <w:top w:w="72" w:type="dxa"/>
              <w:left w:w="144" w:type="dxa"/>
              <w:bottom w:w="72" w:type="dxa"/>
              <w:right w:w="144" w:type="dxa"/>
            </w:tcMar>
          </w:tcPr>
          <w:p w14:paraId="7C6E9F84" w14:textId="7338018B" w:rsidR="00B45E53" w:rsidRPr="00C310FD" w:rsidRDefault="00B45E53" w:rsidP="00F43BE9">
            <w:pPr>
              <w:spacing w:after="0" w:line="240" w:lineRule="auto"/>
              <w:rPr>
                <w:rFonts w:ascii="Arial" w:eastAsia="Times New Roman" w:hAnsi="Arial" w:cs="Arial"/>
                <w:color w:val="000000" w:themeColor="text1"/>
                <w:kern w:val="24"/>
                <w:lang w:eastAsia="en-GB"/>
              </w:rPr>
            </w:pPr>
            <w:r>
              <w:rPr>
                <w:rFonts w:ascii="Arial" w:eastAsia="Times New Roman" w:hAnsi="Arial" w:cs="Arial"/>
                <w:color w:val="000000" w:themeColor="text1"/>
                <w:kern w:val="24"/>
                <w:lang w:eastAsia="en-GB"/>
              </w:rPr>
              <w:t xml:space="preserve">   227</w:t>
            </w:r>
          </w:p>
        </w:tc>
        <w:tc>
          <w:tcPr>
            <w:tcW w:w="1293" w:type="dxa"/>
            <w:tcBorders>
              <w:top w:val="single" w:sz="8" w:space="0" w:color="323D43"/>
              <w:left w:val="single" w:sz="8" w:space="0" w:color="323D43"/>
              <w:bottom w:val="single" w:sz="8" w:space="0" w:color="323D43"/>
              <w:right w:val="single" w:sz="8" w:space="0" w:color="323D43"/>
            </w:tcBorders>
          </w:tcPr>
          <w:p w14:paraId="046151B0" w14:textId="16A06F3E" w:rsidR="00B45E53" w:rsidRPr="00C310FD" w:rsidRDefault="00B45E53" w:rsidP="00F43BE9">
            <w:pPr>
              <w:spacing w:after="0" w:line="240" w:lineRule="auto"/>
              <w:rPr>
                <w:rFonts w:ascii="Arial" w:eastAsia="Times New Roman" w:hAnsi="Arial" w:cs="Arial"/>
                <w:color w:val="000000" w:themeColor="text1"/>
                <w:kern w:val="24"/>
                <w:lang w:eastAsia="en-GB"/>
              </w:rPr>
            </w:pPr>
            <w:r>
              <w:rPr>
                <w:rFonts w:ascii="Arial" w:eastAsia="Times New Roman" w:hAnsi="Arial" w:cs="Arial"/>
                <w:color w:val="000000" w:themeColor="text1"/>
                <w:kern w:val="24"/>
                <w:lang w:eastAsia="en-GB"/>
              </w:rPr>
              <w:t>1,118</w:t>
            </w:r>
          </w:p>
        </w:tc>
        <w:tc>
          <w:tcPr>
            <w:tcW w:w="1293" w:type="dxa"/>
            <w:tcBorders>
              <w:top w:val="single" w:sz="8" w:space="0" w:color="323D43"/>
              <w:left w:val="single" w:sz="8" w:space="0" w:color="323D43"/>
              <w:bottom w:val="single" w:sz="8" w:space="0" w:color="323D43"/>
              <w:right w:val="single" w:sz="8" w:space="0" w:color="323D43"/>
            </w:tcBorders>
            <w:shd w:val="clear" w:color="auto" w:fill="auto"/>
            <w:tcMar>
              <w:top w:w="72" w:type="dxa"/>
              <w:left w:w="144" w:type="dxa"/>
              <w:bottom w:w="72" w:type="dxa"/>
              <w:right w:w="144" w:type="dxa"/>
            </w:tcMar>
          </w:tcPr>
          <w:p w14:paraId="3AEA8397" w14:textId="4F274C6F" w:rsidR="00B45E53" w:rsidRPr="00C310FD" w:rsidRDefault="00B45E53" w:rsidP="00F43BE9">
            <w:pPr>
              <w:spacing w:after="0" w:line="240" w:lineRule="auto"/>
              <w:rPr>
                <w:rFonts w:ascii="Arial" w:eastAsia="Times New Roman" w:hAnsi="Arial" w:cs="Arial"/>
                <w:color w:val="000000" w:themeColor="text1"/>
                <w:kern w:val="24"/>
                <w:lang w:eastAsia="en-GB"/>
              </w:rPr>
            </w:pPr>
            <w:r>
              <w:rPr>
                <w:rFonts w:ascii="Arial" w:eastAsia="Times New Roman" w:hAnsi="Arial" w:cs="Arial"/>
                <w:color w:val="000000" w:themeColor="text1"/>
                <w:kern w:val="24"/>
                <w:lang w:eastAsia="en-GB"/>
              </w:rPr>
              <w:t>5,522</w:t>
            </w:r>
          </w:p>
        </w:tc>
      </w:tr>
      <w:tr w:rsidR="00B45E53" w:rsidRPr="00C310FD" w14:paraId="156BC21F" w14:textId="77777777" w:rsidTr="004E64F7">
        <w:trPr>
          <w:trHeight w:val="334"/>
        </w:trPr>
        <w:tc>
          <w:tcPr>
            <w:tcW w:w="1292" w:type="dxa"/>
            <w:tcBorders>
              <w:top w:val="single" w:sz="8" w:space="0" w:color="323D43"/>
              <w:left w:val="single" w:sz="8" w:space="0" w:color="323D43"/>
              <w:bottom w:val="single" w:sz="8" w:space="0" w:color="323D43"/>
              <w:right w:val="single" w:sz="8" w:space="0" w:color="323D43"/>
            </w:tcBorders>
          </w:tcPr>
          <w:p w14:paraId="4A67E5F6" w14:textId="504C18CC" w:rsidR="00B45E53" w:rsidRPr="00C310FD" w:rsidRDefault="00B45E53" w:rsidP="00F43BE9">
            <w:pPr>
              <w:spacing w:after="0" w:line="240" w:lineRule="auto"/>
              <w:rPr>
                <w:rFonts w:ascii="Arial" w:eastAsia="Times New Roman" w:hAnsi="Arial" w:cs="Arial"/>
                <w:color w:val="000000" w:themeColor="text1"/>
                <w:kern w:val="24"/>
                <w:lang w:eastAsia="en-GB"/>
              </w:rPr>
            </w:pPr>
            <w:r>
              <w:rPr>
                <w:rFonts w:ascii="Arial" w:eastAsia="Times New Roman" w:hAnsi="Arial" w:cs="Arial"/>
                <w:color w:val="000000" w:themeColor="text1"/>
                <w:kern w:val="24"/>
                <w:lang w:eastAsia="en-GB"/>
              </w:rPr>
              <w:t>2021/22</w:t>
            </w:r>
          </w:p>
        </w:tc>
        <w:tc>
          <w:tcPr>
            <w:tcW w:w="1293" w:type="dxa"/>
            <w:tcBorders>
              <w:top w:val="single" w:sz="8" w:space="0" w:color="323D43"/>
              <w:left w:val="single" w:sz="8" w:space="0" w:color="323D43"/>
              <w:bottom w:val="single" w:sz="8" w:space="0" w:color="323D43"/>
              <w:right w:val="single" w:sz="8" w:space="0" w:color="323D43"/>
            </w:tcBorders>
            <w:shd w:val="clear" w:color="auto" w:fill="auto"/>
            <w:tcMar>
              <w:top w:w="72" w:type="dxa"/>
              <w:left w:w="144" w:type="dxa"/>
              <w:bottom w:w="72" w:type="dxa"/>
              <w:right w:w="144" w:type="dxa"/>
            </w:tcMar>
          </w:tcPr>
          <w:p w14:paraId="0EEDFB64" w14:textId="58DD5D84" w:rsidR="00B45E53" w:rsidRPr="00C310FD" w:rsidRDefault="00B45E53" w:rsidP="00F43BE9">
            <w:pPr>
              <w:spacing w:after="0" w:line="240" w:lineRule="auto"/>
              <w:rPr>
                <w:rFonts w:ascii="Arial" w:eastAsia="Times New Roman" w:hAnsi="Arial" w:cs="Arial"/>
                <w:color w:val="000000" w:themeColor="text1"/>
                <w:kern w:val="24"/>
                <w:lang w:eastAsia="en-GB"/>
              </w:rPr>
            </w:pPr>
            <w:r>
              <w:rPr>
                <w:rFonts w:ascii="Arial" w:eastAsia="Times New Roman" w:hAnsi="Arial" w:cs="Arial"/>
                <w:color w:val="000000" w:themeColor="text1"/>
                <w:kern w:val="24"/>
                <w:lang w:eastAsia="en-GB"/>
              </w:rPr>
              <w:t>2,320</w:t>
            </w:r>
          </w:p>
        </w:tc>
        <w:tc>
          <w:tcPr>
            <w:tcW w:w="1293" w:type="dxa"/>
            <w:tcBorders>
              <w:top w:val="single" w:sz="8" w:space="0" w:color="323D43"/>
              <w:left w:val="single" w:sz="8" w:space="0" w:color="323D43"/>
              <w:bottom w:val="single" w:sz="8" w:space="0" w:color="323D43"/>
              <w:right w:val="single" w:sz="8" w:space="0" w:color="323D43"/>
            </w:tcBorders>
            <w:shd w:val="clear" w:color="auto" w:fill="auto"/>
            <w:tcMar>
              <w:top w:w="72" w:type="dxa"/>
              <w:left w:w="144" w:type="dxa"/>
              <w:bottom w:w="72" w:type="dxa"/>
              <w:right w:w="144" w:type="dxa"/>
            </w:tcMar>
          </w:tcPr>
          <w:p w14:paraId="5AD1E9D1" w14:textId="23179395" w:rsidR="00B45E53" w:rsidRPr="00C310FD" w:rsidRDefault="00B45E53" w:rsidP="00F43BE9">
            <w:pPr>
              <w:spacing w:after="0" w:line="240" w:lineRule="auto"/>
              <w:rPr>
                <w:rFonts w:ascii="Arial" w:eastAsia="Times New Roman" w:hAnsi="Arial" w:cs="Arial"/>
                <w:color w:val="000000" w:themeColor="text1"/>
                <w:kern w:val="24"/>
                <w:lang w:eastAsia="en-GB"/>
              </w:rPr>
            </w:pPr>
            <w:r>
              <w:rPr>
                <w:rFonts w:ascii="Arial" w:eastAsia="Times New Roman" w:hAnsi="Arial" w:cs="Arial"/>
                <w:color w:val="000000" w:themeColor="text1"/>
                <w:kern w:val="24"/>
                <w:lang w:eastAsia="en-GB"/>
              </w:rPr>
              <w:t>1,487</w:t>
            </w:r>
          </w:p>
        </w:tc>
        <w:tc>
          <w:tcPr>
            <w:tcW w:w="1293" w:type="dxa"/>
            <w:tcBorders>
              <w:top w:val="single" w:sz="8" w:space="0" w:color="323D43"/>
              <w:left w:val="single" w:sz="8" w:space="0" w:color="323D43"/>
              <w:bottom w:val="single" w:sz="8" w:space="0" w:color="323D43"/>
              <w:right w:val="single" w:sz="8" w:space="0" w:color="323D43"/>
            </w:tcBorders>
            <w:shd w:val="clear" w:color="auto" w:fill="auto"/>
            <w:tcMar>
              <w:top w:w="72" w:type="dxa"/>
              <w:left w:w="144" w:type="dxa"/>
              <w:bottom w:w="72" w:type="dxa"/>
              <w:right w:w="144" w:type="dxa"/>
            </w:tcMar>
          </w:tcPr>
          <w:p w14:paraId="4203E37F" w14:textId="46AEE3BC" w:rsidR="00B45E53" w:rsidRPr="00C310FD" w:rsidRDefault="00B45E53" w:rsidP="00F43BE9">
            <w:pPr>
              <w:spacing w:after="0" w:line="240" w:lineRule="auto"/>
              <w:rPr>
                <w:rFonts w:ascii="Arial" w:eastAsia="Times New Roman" w:hAnsi="Arial" w:cs="Arial"/>
                <w:color w:val="000000" w:themeColor="text1"/>
                <w:kern w:val="24"/>
                <w:lang w:eastAsia="en-GB"/>
              </w:rPr>
            </w:pPr>
            <w:r>
              <w:rPr>
                <w:rFonts w:ascii="Arial" w:eastAsia="Times New Roman" w:hAnsi="Arial" w:cs="Arial"/>
                <w:color w:val="000000" w:themeColor="text1"/>
                <w:kern w:val="24"/>
                <w:lang w:eastAsia="en-GB"/>
              </w:rPr>
              <w:t xml:space="preserve">  915</w:t>
            </w:r>
          </w:p>
        </w:tc>
        <w:tc>
          <w:tcPr>
            <w:tcW w:w="1293" w:type="dxa"/>
            <w:tcBorders>
              <w:top w:val="single" w:sz="8" w:space="0" w:color="323D43"/>
              <w:left w:val="single" w:sz="8" w:space="0" w:color="323D43"/>
              <w:bottom w:val="single" w:sz="8" w:space="0" w:color="323D43"/>
              <w:right w:val="single" w:sz="8" w:space="0" w:color="323D43"/>
            </w:tcBorders>
            <w:shd w:val="clear" w:color="auto" w:fill="auto"/>
            <w:tcMar>
              <w:top w:w="72" w:type="dxa"/>
              <w:left w:w="144" w:type="dxa"/>
              <w:bottom w:w="72" w:type="dxa"/>
              <w:right w:w="144" w:type="dxa"/>
            </w:tcMar>
          </w:tcPr>
          <w:p w14:paraId="2A3B608C" w14:textId="67E93FA2" w:rsidR="00B45E53" w:rsidRPr="00C310FD" w:rsidRDefault="00B45E53" w:rsidP="00F43BE9">
            <w:pPr>
              <w:spacing w:after="0" w:line="240" w:lineRule="auto"/>
              <w:rPr>
                <w:rFonts w:ascii="Arial" w:eastAsia="Times New Roman" w:hAnsi="Arial" w:cs="Arial"/>
                <w:color w:val="000000" w:themeColor="text1"/>
                <w:kern w:val="24"/>
                <w:lang w:eastAsia="en-GB"/>
              </w:rPr>
            </w:pPr>
            <w:r>
              <w:rPr>
                <w:rFonts w:ascii="Arial" w:eastAsia="Times New Roman" w:hAnsi="Arial" w:cs="Arial"/>
                <w:color w:val="000000" w:themeColor="text1"/>
                <w:kern w:val="24"/>
                <w:lang w:eastAsia="en-GB"/>
              </w:rPr>
              <w:t xml:space="preserve">  245</w:t>
            </w:r>
          </w:p>
        </w:tc>
        <w:tc>
          <w:tcPr>
            <w:tcW w:w="1293" w:type="dxa"/>
            <w:tcBorders>
              <w:top w:val="single" w:sz="8" w:space="0" w:color="323D43"/>
              <w:left w:val="single" w:sz="8" w:space="0" w:color="323D43"/>
              <w:bottom w:val="single" w:sz="8" w:space="0" w:color="323D43"/>
              <w:right w:val="single" w:sz="8" w:space="0" w:color="323D43"/>
            </w:tcBorders>
          </w:tcPr>
          <w:p w14:paraId="7FAC1947" w14:textId="670B4622" w:rsidR="00B45E53" w:rsidRPr="00C310FD" w:rsidRDefault="00B45E53" w:rsidP="00F43BE9">
            <w:pPr>
              <w:spacing w:after="0" w:line="240" w:lineRule="auto"/>
              <w:rPr>
                <w:rFonts w:ascii="Arial" w:eastAsia="Times New Roman" w:hAnsi="Arial" w:cs="Arial"/>
                <w:color w:val="000000" w:themeColor="text1"/>
                <w:kern w:val="24"/>
                <w:lang w:eastAsia="en-GB"/>
              </w:rPr>
            </w:pPr>
            <w:r>
              <w:rPr>
                <w:rFonts w:ascii="Arial" w:eastAsia="Times New Roman" w:hAnsi="Arial" w:cs="Arial"/>
                <w:color w:val="000000" w:themeColor="text1"/>
                <w:kern w:val="24"/>
                <w:lang w:eastAsia="en-GB"/>
              </w:rPr>
              <w:t xml:space="preserve">  453</w:t>
            </w:r>
          </w:p>
        </w:tc>
        <w:tc>
          <w:tcPr>
            <w:tcW w:w="1293" w:type="dxa"/>
            <w:tcBorders>
              <w:top w:val="single" w:sz="8" w:space="0" w:color="323D43"/>
              <w:left w:val="single" w:sz="8" w:space="0" w:color="323D43"/>
              <w:bottom w:val="single" w:sz="8" w:space="0" w:color="323D43"/>
              <w:right w:val="single" w:sz="8" w:space="0" w:color="323D43"/>
            </w:tcBorders>
            <w:shd w:val="clear" w:color="auto" w:fill="auto"/>
            <w:tcMar>
              <w:top w:w="72" w:type="dxa"/>
              <w:left w:w="144" w:type="dxa"/>
              <w:bottom w:w="72" w:type="dxa"/>
              <w:right w:w="144" w:type="dxa"/>
            </w:tcMar>
          </w:tcPr>
          <w:p w14:paraId="42F3936E" w14:textId="6959FFCC" w:rsidR="00B45E53" w:rsidRPr="00C310FD" w:rsidRDefault="00B45E53" w:rsidP="00F43BE9">
            <w:pPr>
              <w:spacing w:after="0" w:line="240" w:lineRule="auto"/>
              <w:rPr>
                <w:rFonts w:ascii="Arial" w:eastAsia="Times New Roman" w:hAnsi="Arial" w:cs="Arial"/>
                <w:color w:val="000000" w:themeColor="text1"/>
                <w:kern w:val="24"/>
                <w:lang w:eastAsia="en-GB"/>
              </w:rPr>
            </w:pPr>
            <w:r>
              <w:rPr>
                <w:rFonts w:ascii="Arial" w:eastAsia="Times New Roman" w:hAnsi="Arial" w:cs="Arial"/>
                <w:color w:val="000000" w:themeColor="text1"/>
                <w:kern w:val="24"/>
                <w:lang w:eastAsia="en-GB"/>
              </w:rPr>
              <w:t>5,420</w:t>
            </w:r>
          </w:p>
        </w:tc>
      </w:tr>
    </w:tbl>
    <w:p w14:paraId="01EC3DD5" w14:textId="2AF18031" w:rsidR="00D93BF2" w:rsidRDefault="00D93BF2" w:rsidP="00F43BE9">
      <w:pPr>
        <w:spacing w:after="0" w:line="240" w:lineRule="auto"/>
        <w:rPr>
          <w:rFonts w:ascii="Arial" w:hAnsi="Arial" w:cs="Arial"/>
        </w:rPr>
      </w:pPr>
    </w:p>
    <w:p w14:paraId="2D207293" w14:textId="294BA7AE" w:rsidR="004B4C3F" w:rsidRDefault="004B4C3F" w:rsidP="00F43BE9">
      <w:pPr>
        <w:spacing w:after="0" w:line="240" w:lineRule="auto"/>
        <w:rPr>
          <w:rFonts w:ascii="Arial" w:hAnsi="Arial" w:cs="Arial"/>
        </w:rPr>
      </w:pPr>
      <w:r>
        <w:rPr>
          <w:rFonts w:ascii="Arial" w:hAnsi="Arial" w:cs="Arial"/>
        </w:rPr>
        <w:t>Source: DfT (2023) Bus Statistics Data Tables. Table BUS</w:t>
      </w:r>
      <w:r w:rsidR="009753B1">
        <w:rPr>
          <w:rFonts w:ascii="Arial" w:hAnsi="Arial" w:cs="Arial"/>
        </w:rPr>
        <w:t>0</w:t>
      </w:r>
      <w:r>
        <w:rPr>
          <w:rFonts w:ascii="Arial" w:hAnsi="Arial" w:cs="Arial"/>
        </w:rPr>
        <w:t>5ai</w:t>
      </w:r>
    </w:p>
    <w:p w14:paraId="1B4EFD4F" w14:textId="77777777" w:rsidR="006E7A18" w:rsidRPr="00C310FD" w:rsidRDefault="006E7A18" w:rsidP="00F43BE9">
      <w:pPr>
        <w:spacing w:after="0" w:line="240" w:lineRule="auto"/>
        <w:rPr>
          <w:rFonts w:ascii="Arial" w:hAnsi="Arial" w:cs="Arial"/>
        </w:rPr>
      </w:pPr>
    </w:p>
    <w:p w14:paraId="798157CA" w14:textId="21EEFFF0" w:rsidR="0011545F" w:rsidRDefault="00D81253" w:rsidP="00261EEA">
      <w:pPr>
        <w:spacing w:line="276" w:lineRule="auto"/>
        <w:rPr>
          <w:rFonts w:ascii="Arial" w:hAnsi="Arial" w:cs="Arial"/>
        </w:rPr>
      </w:pPr>
      <w:r w:rsidRPr="00C310FD">
        <w:rPr>
          <w:rFonts w:ascii="Arial" w:hAnsi="Arial" w:cs="Arial"/>
        </w:rPr>
        <w:t xml:space="preserve">Figure 3 indicates further trends that may impact on financial sustainability. As Table 2 </w:t>
      </w:r>
      <w:r w:rsidR="008F5BF6">
        <w:rPr>
          <w:rFonts w:ascii="Arial" w:hAnsi="Arial" w:cs="Arial"/>
        </w:rPr>
        <w:t xml:space="preserve">showed, </w:t>
      </w:r>
      <w:r w:rsidRPr="00C310FD">
        <w:rPr>
          <w:rFonts w:ascii="Arial" w:hAnsi="Arial" w:cs="Arial"/>
        </w:rPr>
        <w:t>fares have grow</w:t>
      </w:r>
      <w:r w:rsidR="008F5BF6">
        <w:rPr>
          <w:rFonts w:ascii="Arial" w:hAnsi="Arial" w:cs="Arial"/>
        </w:rPr>
        <w:t>n</w:t>
      </w:r>
      <w:r w:rsidRPr="00C310FD">
        <w:rPr>
          <w:rFonts w:ascii="Arial" w:hAnsi="Arial" w:cs="Arial"/>
        </w:rPr>
        <w:t xml:space="preserve"> in real terms</w:t>
      </w:r>
      <w:r w:rsidR="00B34EB3" w:rsidRPr="00C310FD">
        <w:rPr>
          <w:rFonts w:ascii="Arial" w:hAnsi="Arial" w:cs="Arial"/>
        </w:rPr>
        <w:t xml:space="preserve">. </w:t>
      </w:r>
      <w:r w:rsidR="004B4C3F">
        <w:rPr>
          <w:rFonts w:ascii="Arial" w:hAnsi="Arial" w:cs="Arial"/>
        </w:rPr>
        <w:t>The left graph of Figure 3 shows that</w:t>
      </w:r>
      <w:r w:rsidR="0011545F">
        <w:rPr>
          <w:rFonts w:ascii="Arial" w:hAnsi="Arial" w:cs="Arial"/>
        </w:rPr>
        <w:t xml:space="preserve"> </w:t>
      </w:r>
      <w:r w:rsidR="004B4C3F">
        <w:rPr>
          <w:rFonts w:ascii="Arial" w:hAnsi="Arial" w:cs="Arial"/>
        </w:rPr>
        <w:t>s</w:t>
      </w:r>
      <w:r w:rsidR="00B34EB3" w:rsidRPr="00C310FD">
        <w:rPr>
          <w:rFonts w:ascii="Arial" w:hAnsi="Arial" w:cs="Arial"/>
        </w:rPr>
        <w:t xml:space="preserve">ince 2005, for England as a whole this growth has been around 1% per annum, although in London this is impacted by Mayor Khan’s fare freeze from 2016. </w:t>
      </w:r>
      <w:r w:rsidR="004B4C3F">
        <w:rPr>
          <w:rFonts w:ascii="Arial" w:hAnsi="Arial" w:cs="Arial"/>
        </w:rPr>
        <w:t>As a result</w:t>
      </w:r>
      <w:r w:rsidR="0011545F">
        <w:rPr>
          <w:rFonts w:ascii="Arial" w:hAnsi="Arial" w:cs="Arial"/>
        </w:rPr>
        <w:t>,</w:t>
      </w:r>
      <w:r w:rsidR="004B4C3F">
        <w:rPr>
          <w:rFonts w:ascii="Arial" w:hAnsi="Arial" w:cs="Arial"/>
        </w:rPr>
        <w:t xml:space="preserve"> over the period 2005 to 2020, the greatest increases </w:t>
      </w:r>
      <w:r w:rsidR="0011545F">
        <w:rPr>
          <w:rFonts w:ascii="Arial" w:hAnsi="Arial" w:cs="Arial"/>
        </w:rPr>
        <w:t xml:space="preserve">in real fares </w:t>
      </w:r>
      <w:r w:rsidR="00D84F16">
        <w:rPr>
          <w:rFonts w:ascii="Arial" w:hAnsi="Arial" w:cs="Arial"/>
        </w:rPr>
        <w:t xml:space="preserve">in England </w:t>
      </w:r>
      <w:r w:rsidR="004B4C3F">
        <w:rPr>
          <w:rFonts w:ascii="Arial" w:hAnsi="Arial" w:cs="Arial"/>
        </w:rPr>
        <w:t xml:space="preserve">have been in the </w:t>
      </w:r>
      <w:r w:rsidR="00D84F16">
        <w:rPr>
          <w:rFonts w:ascii="Arial" w:hAnsi="Arial" w:cs="Arial"/>
        </w:rPr>
        <w:t>metropolitan areas,</w:t>
      </w:r>
      <w:r w:rsidR="00D84F16">
        <w:rPr>
          <w:rStyle w:val="FootnoteReference"/>
          <w:rFonts w:ascii="Arial" w:hAnsi="Arial" w:cs="Arial"/>
        </w:rPr>
        <w:footnoteReference w:id="9"/>
      </w:r>
      <w:r w:rsidR="00D84F16">
        <w:rPr>
          <w:rFonts w:ascii="Arial" w:hAnsi="Arial" w:cs="Arial"/>
        </w:rPr>
        <w:t xml:space="preserve"> whilst the lowest increases have been in London. </w:t>
      </w:r>
      <w:r w:rsidR="00B34EB3" w:rsidRPr="00C310FD">
        <w:rPr>
          <w:rFonts w:ascii="Arial" w:hAnsi="Arial" w:cs="Arial"/>
        </w:rPr>
        <w:t xml:space="preserve">Moreover, these increases have been over a period of historically low inflation (around 2% per annum). Real fare increases </w:t>
      </w:r>
      <w:r w:rsidR="008F5BF6">
        <w:rPr>
          <w:rFonts w:ascii="Arial" w:hAnsi="Arial" w:cs="Arial"/>
        </w:rPr>
        <w:t>may</w:t>
      </w:r>
      <w:r w:rsidR="00B34EB3" w:rsidRPr="00C310FD">
        <w:rPr>
          <w:rFonts w:ascii="Arial" w:hAnsi="Arial" w:cs="Arial"/>
        </w:rPr>
        <w:t xml:space="preserve"> be more challenging in a period when inflation </w:t>
      </w:r>
      <w:r w:rsidR="00D84F16">
        <w:rPr>
          <w:rFonts w:ascii="Arial" w:hAnsi="Arial" w:cs="Arial"/>
        </w:rPr>
        <w:t>(measured by the Consumer Price Index)</w:t>
      </w:r>
      <w:r w:rsidR="0011545F">
        <w:rPr>
          <w:rFonts w:ascii="Arial" w:hAnsi="Arial" w:cs="Arial"/>
        </w:rPr>
        <w:t xml:space="preserve"> </w:t>
      </w:r>
      <w:r w:rsidR="00D84F16">
        <w:rPr>
          <w:rFonts w:ascii="Arial" w:hAnsi="Arial" w:cs="Arial"/>
        </w:rPr>
        <w:t>peaked at over</w:t>
      </w:r>
      <w:r w:rsidR="00B34EB3" w:rsidRPr="00C310FD">
        <w:rPr>
          <w:rFonts w:ascii="Arial" w:hAnsi="Arial" w:cs="Arial"/>
        </w:rPr>
        <w:t xml:space="preserve"> 11% late in 2022.</w:t>
      </w:r>
      <w:r w:rsidR="00F06E61" w:rsidRPr="00C310FD">
        <w:rPr>
          <w:rFonts w:ascii="Arial" w:hAnsi="Arial" w:cs="Arial"/>
        </w:rPr>
        <w:t xml:space="preserve"> Figure 3 also indicates that operating costs (excluding administration and depreciation) have been increasing relatively uniformly since 2004/5, albeit with a spike in the most recent year. </w:t>
      </w:r>
      <w:r w:rsidR="007A3882" w:rsidRPr="00C310FD">
        <w:rPr>
          <w:rFonts w:ascii="Arial" w:hAnsi="Arial" w:cs="Arial"/>
        </w:rPr>
        <w:t xml:space="preserve">Over the whole period, </w:t>
      </w:r>
      <w:r w:rsidR="00F60F1C">
        <w:rPr>
          <w:rFonts w:ascii="Arial" w:hAnsi="Arial" w:cs="Arial"/>
        </w:rPr>
        <w:t xml:space="preserve">the right graph of Figure 3 shows that </w:t>
      </w:r>
      <w:r w:rsidR="007A3882" w:rsidRPr="00C310FD">
        <w:rPr>
          <w:rFonts w:ascii="Arial" w:hAnsi="Arial" w:cs="Arial"/>
        </w:rPr>
        <w:t>there has been a 2% per annum real increase, although dat</w:t>
      </w:r>
      <w:r w:rsidR="00501E19">
        <w:rPr>
          <w:rFonts w:ascii="Arial" w:hAnsi="Arial" w:cs="Arial"/>
        </w:rPr>
        <w:t>a</w:t>
      </w:r>
      <w:r w:rsidR="007A3882" w:rsidRPr="00C310FD">
        <w:rPr>
          <w:rFonts w:ascii="Arial" w:hAnsi="Arial" w:cs="Arial"/>
        </w:rPr>
        <w:t xml:space="preserve"> for London is no longer available.  </w:t>
      </w:r>
      <w:r w:rsidR="00F60F1C">
        <w:rPr>
          <w:rFonts w:ascii="Arial" w:hAnsi="Arial" w:cs="Arial"/>
        </w:rPr>
        <w:t xml:space="preserve">The largest increases are in the English metropolitan areas and the lowest are in Wales and Scotland. </w:t>
      </w:r>
      <w:r w:rsidR="00F06E61" w:rsidRPr="00C310FD">
        <w:rPr>
          <w:rFonts w:ascii="Arial" w:hAnsi="Arial" w:cs="Arial"/>
        </w:rPr>
        <w:t>Given rising input prices</w:t>
      </w:r>
      <w:r w:rsidR="007A3882" w:rsidRPr="00C310FD">
        <w:rPr>
          <w:rFonts w:ascii="Arial" w:hAnsi="Arial" w:cs="Arial"/>
        </w:rPr>
        <w:t xml:space="preserve">, </w:t>
      </w:r>
      <w:r w:rsidR="00F06E61" w:rsidRPr="00C310FD">
        <w:rPr>
          <w:rFonts w:ascii="Arial" w:hAnsi="Arial" w:cs="Arial"/>
        </w:rPr>
        <w:t xml:space="preserve">especially </w:t>
      </w:r>
      <w:r w:rsidR="00B549BE">
        <w:rPr>
          <w:rFonts w:ascii="Arial" w:hAnsi="Arial" w:cs="Arial"/>
        </w:rPr>
        <w:t xml:space="preserve">for </w:t>
      </w:r>
      <w:r w:rsidR="00F06E61" w:rsidRPr="00C310FD">
        <w:rPr>
          <w:rFonts w:ascii="Arial" w:hAnsi="Arial" w:cs="Arial"/>
        </w:rPr>
        <w:t>labour and fuel</w:t>
      </w:r>
      <w:r w:rsidR="007A3882" w:rsidRPr="00C310FD">
        <w:rPr>
          <w:rFonts w:ascii="Arial" w:hAnsi="Arial" w:cs="Arial"/>
        </w:rPr>
        <w:t>, and the associated cost of living crisis, and that</w:t>
      </w:r>
      <w:r w:rsidR="005D794C" w:rsidRPr="00C310FD">
        <w:rPr>
          <w:rFonts w:ascii="Arial" w:hAnsi="Arial" w:cs="Arial"/>
        </w:rPr>
        <w:t xml:space="preserve"> around 80% of bus costs are related to labour and fuel (see Cowie, 2010,</w:t>
      </w:r>
      <w:r w:rsidR="007A3882" w:rsidRPr="00C310FD">
        <w:rPr>
          <w:rFonts w:ascii="Arial" w:hAnsi="Arial" w:cs="Arial"/>
        </w:rPr>
        <w:t xml:space="preserve"> </w:t>
      </w:r>
      <w:r w:rsidR="005D794C" w:rsidRPr="00C310FD">
        <w:rPr>
          <w:rFonts w:ascii="Arial" w:hAnsi="Arial" w:cs="Arial"/>
        </w:rPr>
        <w:t>106), it seems likely that the industry will face intense cost pressures in the short</w:t>
      </w:r>
      <w:r w:rsidR="00501E19">
        <w:rPr>
          <w:rFonts w:ascii="Arial" w:hAnsi="Arial" w:cs="Arial"/>
        </w:rPr>
        <w:t>- to medium-</w:t>
      </w:r>
      <w:r w:rsidR="005D794C" w:rsidRPr="00C310FD">
        <w:rPr>
          <w:rFonts w:ascii="Arial" w:hAnsi="Arial" w:cs="Arial"/>
        </w:rPr>
        <w:t>run.</w:t>
      </w:r>
      <w:r w:rsidR="00F06E61" w:rsidRPr="00C310FD">
        <w:rPr>
          <w:rFonts w:ascii="Arial" w:hAnsi="Arial" w:cs="Arial"/>
        </w:rPr>
        <w:t xml:space="preserve"> </w:t>
      </w:r>
    </w:p>
    <w:p w14:paraId="111534E7" w14:textId="77777777" w:rsidR="0011545F" w:rsidRDefault="0011545F">
      <w:pPr>
        <w:rPr>
          <w:rFonts w:ascii="Arial" w:hAnsi="Arial" w:cs="Arial"/>
        </w:rPr>
      </w:pPr>
      <w:r>
        <w:rPr>
          <w:rFonts w:ascii="Arial" w:hAnsi="Arial" w:cs="Arial"/>
        </w:rPr>
        <w:br w:type="page"/>
      </w:r>
    </w:p>
    <w:p w14:paraId="601E101C" w14:textId="77777777" w:rsidR="00F06E61" w:rsidRPr="00C310FD" w:rsidRDefault="00F06E61" w:rsidP="00261EEA">
      <w:pPr>
        <w:spacing w:line="276" w:lineRule="auto"/>
        <w:rPr>
          <w:rFonts w:ascii="Arial" w:hAnsi="Arial" w:cs="Arial"/>
        </w:rPr>
      </w:pPr>
    </w:p>
    <w:p w14:paraId="523FC202" w14:textId="33E722EB" w:rsidR="00D81253" w:rsidRPr="00C310FD" w:rsidRDefault="00D81253" w:rsidP="00F43BE9">
      <w:pPr>
        <w:spacing w:after="0" w:line="240" w:lineRule="auto"/>
        <w:rPr>
          <w:rFonts w:ascii="Arial" w:hAnsi="Arial" w:cs="Arial"/>
        </w:rPr>
      </w:pPr>
      <w:r w:rsidRPr="00C310FD">
        <w:rPr>
          <w:rFonts w:ascii="Arial" w:hAnsi="Arial" w:cs="Arial"/>
          <w:noProof/>
        </w:rPr>
        <w:drawing>
          <wp:inline distT="0" distB="0" distL="0" distR="0" wp14:anchorId="25762DA4" wp14:editId="092EA8CC">
            <wp:extent cx="3083016" cy="2049780"/>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4403" cy="2077297"/>
                    </a:xfrm>
                    <a:prstGeom prst="rect">
                      <a:avLst/>
                    </a:prstGeom>
                    <a:noFill/>
                  </pic:spPr>
                </pic:pic>
              </a:graphicData>
            </a:graphic>
          </wp:inline>
        </w:drawing>
      </w:r>
      <w:r w:rsidRPr="00C310FD">
        <w:rPr>
          <w:rFonts w:ascii="Arial" w:hAnsi="Arial" w:cs="Arial"/>
          <w:noProof/>
        </w:rPr>
        <w:drawing>
          <wp:inline distT="0" distB="0" distL="0" distR="0" wp14:anchorId="21BFCAC7" wp14:editId="54814A62">
            <wp:extent cx="2540000" cy="22305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8853" cy="2264642"/>
                    </a:xfrm>
                    <a:prstGeom prst="rect">
                      <a:avLst/>
                    </a:prstGeom>
                    <a:noFill/>
                  </pic:spPr>
                </pic:pic>
              </a:graphicData>
            </a:graphic>
          </wp:inline>
        </w:drawing>
      </w:r>
    </w:p>
    <w:p w14:paraId="491E3218" w14:textId="2674A39A" w:rsidR="00D81253" w:rsidRPr="00C310FD" w:rsidRDefault="00D81253" w:rsidP="00F43BE9">
      <w:pPr>
        <w:spacing w:after="0" w:line="240" w:lineRule="auto"/>
        <w:rPr>
          <w:rFonts w:ascii="Arial" w:hAnsi="Arial" w:cs="Arial"/>
        </w:rPr>
      </w:pPr>
    </w:p>
    <w:p w14:paraId="63B51F76" w14:textId="01BC0F18" w:rsidR="00D81253" w:rsidRDefault="00D81253" w:rsidP="00F43BE9">
      <w:pPr>
        <w:spacing w:after="0" w:line="240" w:lineRule="auto"/>
        <w:rPr>
          <w:rFonts w:ascii="Arial" w:hAnsi="Arial" w:cs="Arial"/>
          <w:b/>
          <w:bCs/>
          <w:sz w:val="20"/>
          <w:szCs w:val="20"/>
        </w:rPr>
      </w:pPr>
      <w:r w:rsidRPr="00261EEA">
        <w:rPr>
          <w:rFonts w:ascii="Arial" w:hAnsi="Arial" w:cs="Arial"/>
          <w:b/>
          <w:bCs/>
          <w:sz w:val="20"/>
          <w:szCs w:val="20"/>
        </w:rPr>
        <w:t xml:space="preserve">Figure 3: Fare (left) and Operating Cost </w:t>
      </w:r>
      <w:r w:rsidR="00261EEA">
        <w:rPr>
          <w:rFonts w:ascii="Arial" w:hAnsi="Arial" w:cs="Arial"/>
          <w:b/>
          <w:bCs/>
          <w:sz w:val="20"/>
          <w:szCs w:val="20"/>
        </w:rPr>
        <w:t xml:space="preserve">(right) </w:t>
      </w:r>
      <w:r w:rsidRPr="00261EEA">
        <w:rPr>
          <w:rFonts w:ascii="Arial" w:hAnsi="Arial" w:cs="Arial"/>
          <w:b/>
          <w:bCs/>
          <w:sz w:val="20"/>
          <w:szCs w:val="20"/>
        </w:rPr>
        <w:t>Trends</w:t>
      </w:r>
    </w:p>
    <w:p w14:paraId="269BB7A1" w14:textId="1BE5E64B" w:rsidR="000C2D35" w:rsidRPr="004E64F7" w:rsidRDefault="000C2D35" w:rsidP="00F43BE9">
      <w:pPr>
        <w:spacing w:after="0" w:line="240" w:lineRule="auto"/>
        <w:rPr>
          <w:rFonts w:ascii="Arial" w:hAnsi="Arial" w:cs="Arial"/>
        </w:rPr>
      </w:pPr>
      <w:r w:rsidRPr="004E64F7">
        <w:rPr>
          <w:rFonts w:ascii="Arial" w:hAnsi="Arial" w:cs="Arial"/>
        </w:rPr>
        <w:t xml:space="preserve">Horizontal axes (both): year. Vertical axis (left) Nominal Price Indices. Vertical axis (right): Real </w:t>
      </w:r>
      <w:r w:rsidR="00D65F4C" w:rsidRPr="004E64F7">
        <w:rPr>
          <w:rFonts w:ascii="Arial" w:hAnsi="Arial" w:cs="Arial"/>
        </w:rPr>
        <w:t>Operating costs per bus kilometre.</w:t>
      </w:r>
    </w:p>
    <w:p w14:paraId="006E29C5" w14:textId="103B526D" w:rsidR="00D81253" w:rsidRPr="00C310FD" w:rsidRDefault="00D81253" w:rsidP="00F43BE9">
      <w:pPr>
        <w:spacing w:after="0" w:line="240" w:lineRule="auto"/>
        <w:rPr>
          <w:rFonts w:ascii="Arial" w:hAnsi="Arial" w:cs="Arial"/>
        </w:rPr>
      </w:pPr>
      <w:r w:rsidRPr="00C310FD">
        <w:rPr>
          <w:rFonts w:ascii="Arial" w:hAnsi="Arial" w:cs="Arial"/>
        </w:rPr>
        <w:t>Sources: DfT Quarterly Bus Statistics October-December 2021 (Fares) Transport Statistics Great Britain, Table Bus 0408(Operating Costs)</w:t>
      </w:r>
    </w:p>
    <w:p w14:paraId="4ED5D146" w14:textId="7BCA54AD" w:rsidR="005D794C" w:rsidRPr="00C310FD" w:rsidRDefault="005D794C" w:rsidP="00F43BE9">
      <w:pPr>
        <w:spacing w:after="0" w:line="240" w:lineRule="auto"/>
        <w:rPr>
          <w:rFonts w:ascii="Arial" w:hAnsi="Arial" w:cs="Arial"/>
        </w:rPr>
      </w:pPr>
    </w:p>
    <w:p w14:paraId="52B9D05B" w14:textId="68DD5BBF" w:rsidR="0011545F" w:rsidRDefault="005D794C" w:rsidP="00261EEA">
      <w:pPr>
        <w:spacing w:line="276" w:lineRule="auto"/>
        <w:rPr>
          <w:rFonts w:ascii="Arial" w:hAnsi="Arial" w:cs="Arial"/>
        </w:rPr>
      </w:pPr>
      <w:r w:rsidRPr="00C310FD">
        <w:rPr>
          <w:rFonts w:ascii="Arial" w:hAnsi="Arial" w:cs="Arial"/>
        </w:rPr>
        <w:t xml:space="preserve">A key question is whether the </w:t>
      </w:r>
      <w:r w:rsidR="00546ABF">
        <w:rPr>
          <w:rFonts w:ascii="Arial" w:hAnsi="Arial" w:cs="Arial"/>
        </w:rPr>
        <w:t>N</w:t>
      </w:r>
      <w:r w:rsidRPr="00C310FD">
        <w:rPr>
          <w:rFonts w:ascii="Arial" w:hAnsi="Arial" w:cs="Arial"/>
        </w:rPr>
        <w:t xml:space="preserve">ational </w:t>
      </w:r>
      <w:r w:rsidR="00546ABF">
        <w:rPr>
          <w:rFonts w:ascii="Arial" w:hAnsi="Arial" w:cs="Arial"/>
        </w:rPr>
        <w:t>B</w:t>
      </w:r>
      <w:r w:rsidRPr="00C310FD">
        <w:rPr>
          <w:rFonts w:ascii="Arial" w:hAnsi="Arial" w:cs="Arial"/>
        </w:rPr>
        <w:t xml:space="preserve">us </w:t>
      </w:r>
      <w:r w:rsidR="00546ABF">
        <w:rPr>
          <w:rFonts w:ascii="Arial" w:hAnsi="Arial" w:cs="Arial"/>
        </w:rPr>
        <w:t>S</w:t>
      </w:r>
      <w:r w:rsidRPr="00C310FD">
        <w:rPr>
          <w:rFonts w:ascii="Arial" w:hAnsi="Arial" w:cs="Arial"/>
        </w:rPr>
        <w:t>trategy will be able to overcome these financial pressures. Without bus priority, Preston et al. (2003) estimated that at most quality partnerships would increase demand by 25%</w:t>
      </w:r>
      <w:r w:rsidR="00892D3E" w:rsidRPr="00C310FD">
        <w:rPr>
          <w:rFonts w:ascii="Arial" w:hAnsi="Arial" w:cs="Arial"/>
        </w:rPr>
        <w:t xml:space="preserve">. Preston and Darivakis (2019) estimated that quality partnerships </w:t>
      </w:r>
      <w:r w:rsidR="000B5BE6">
        <w:rPr>
          <w:rFonts w:ascii="Arial" w:hAnsi="Arial" w:cs="Arial"/>
        </w:rPr>
        <w:t xml:space="preserve">are associated with </w:t>
      </w:r>
      <w:r w:rsidR="00892D3E" w:rsidRPr="00C310FD">
        <w:rPr>
          <w:rFonts w:ascii="Arial" w:hAnsi="Arial" w:cs="Arial"/>
        </w:rPr>
        <w:t>uplift</w:t>
      </w:r>
      <w:r w:rsidR="000B5BE6">
        <w:rPr>
          <w:rFonts w:ascii="Arial" w:hAnsi="Arial" w:cs="Arial"/>
        </w:rPr>
        <w:t>s</w:t>
      </w:r>
      <w:r w:rsidR="00892D3E" w:rsidRPr="00C310FD">
        <w:rPr>
          <w:rFonts w:ascii="Arial" w:hAnsi="Arial" w:cs="Arial"/>
        </w:rPr>
        <w:t xml:space="preserve"> </w:t>
      </w:r>
      <w:r w:rsidR="00546ABF">
        <w:rPr>
          <w:rFonts w:ascii="Arial" w:hAnsi="Arial" w:cs="Arial"/>
        </w:rPr>
        <w:t xml:space="preserve">in </w:t>
      </w:r>
      <w:r w:rsidR="00892D3E" w:rsidRPr="00C310FD">
        <w:rPr>
          <w:rFonts w:ascii="Arial" w:hAnsi="Arial" w:cs="Arial"/>
        </w:rPr>
        <w:t xml:space="preserve">demand </w:t>
      </w:r>
      <w:r w:rsidR="00546ABF">
        <w:rPr>
          <w:rFonts w:ascii="Arial" w:hAnsi="Arial" w:cs="Arial"/>
        </w:rPr>
        <w:t>of</w:t>
      </w:r>
      <w:r w:rsidR="00892D3E" w:rsidRPr="00C310FD">
        <w:rPr>
          <w:rFonts w:ascii="Arial" w:hAnsi="Arial" w:cs="Arial"/>
        </w:rPr>
        <w:t xml:space="preserve"> between 20% and 61% (although the high end would include some priority). The best that partnerships without priority might hope is that interventions may return demand to pre-Covid levels.</w:t>
      </w:r>
      <w:r w:rsidR="00D82F9A" w:rsidRPr="00C310FD">
        <w:rPr>
          <w:rFonts w:ascii="Arial" w:hAnsi="Arial" w:cs="Arial"/>
        </w:rPr>
        <w:t xml:space="preserve"> Currie and Wallis (2008) estimated that bus priority increases demand on affected bus routes by 50-100% over 3 to 5 years. This figure has been broadly confirmed by individual case studies, for example Brett and Menzies (2014) found the Cambridgeshire Busway doubled demand, and </w:t>
      </w:r>
      <w:r w:rsidR="00B549BE">
        <w:rPr>
          <w:rFonts w:ascii="Arial" w:hAnsi="Arial" w:cs="Arial"/>
        </w:rPr>
        <w:t xml:space="preserve">by </w:t>
      </w:r>
      <w:r w:rsidR="00D82F9A" w:rsidRPr="00C310FD">
        <w:rPr>
          <w:rFonts w:ascii="Arial" w:hAnsi="Arial" w:cs="Arial"/>
        </w:rPr>
        <w:t xml:space="preserve">reviews of the state of the art (Deng and Nelson, 2011, </w:t>
      </w:r>
      <w:proofErr w:type="spellStart"/>
      <w:r w:rsidR="00D82F9A" w:rsidRPr="00C310FD">
        <w:rPr>
          <w:rFonts w:ascii="Arial" w:hAnsi="Arial" w:cs="Arial"/>
        </w:rPr>
        <w:t>Ingvardson</w:t>
      </w:r>
      <w:proofErr w:type="spellEnd"/>
      <w:r w:rsidR="00D82F9A" w:rsidRPr="00C310FD">
        <w:rPr>
          <w:rFonts w:ascii="Arial" w:hAnsi="Arial" w:cs="Arial"/>
        </w:rPr>
        <w:t xml:space="preserve"> and Nielson, 2017). </w:t>
      </w:r>
      <w:r w:rsidR="009C59A0" w:rsidRPr="00C310FD">
        <w:rPr>
          <w:rFonts w:ascii="Arial" w:hAnsi="Arial" w:cs="Arial"/>
        </w:rPr>
        <w:t xml:space="preserve"> </w:t>
      </w:r>
      <w:r w:rsidR="000B5BE6">
        <w:rPr>
          <w:rFonts w:ascii="Arial" w:hAnsi="Arial" w:cs="Arial"/>
        </w:rPr>
        <w:t xml:space="preserve">KPMG (2016, 38) found that cities with long standing bus partnerships such as Brighton and Nottingham had bus usage per capita up to double that which would have been forecast by population density alone. </w:t>
      </w:r>
      <w:r w:rsidR="009C59A0" w:rsidRPr="00C310FD">
        <w:rPr>
          <w:rFonts w:ascii="Arial" w:hAnsi="Arial" w:cs="Arial"/>
        </w:rPr>
        <w:t xml:space="preserve">However, the problem here may be one of </w:t>
      </w:r>
      <w:r w:rsidR="00546ABF">
        <w:rPr>
          <w:rFonts w:ascii="Arial" w:hAnsi="Arial" w:cs="Arial"/>
        </w:rPr>
        <w:t xml:space="preserve">financial </w:t>
      </w:r>
      <w:r w:rsidR="009C59A0" w:rsidRPr="00C310FD">
        <w:rPr>
          <w:rFonts w:ascii="Arial" w:hAnsi="Arial" w:cs="Arial"/>
        </w:rPr>
        <w:t xml:space="preserve">incentives. In providing bus priority, LTAs have </w:t>
      </w:r>
      <w:r w:rsidR="00B549BE">
        <w:rPr>
          <w:rFonts w:ascii="Arial" w:hAnsi="Arial" w:cs="Arial"/>
        </w:rPr>
        <w:t xml:space="preserve">to </w:t>
      </w:r>
      <w:r w:rsidR="009C59A0" w:rsidRPr="00C310FD">
        <w:rPr>
          <w:rFonts w:ascii="Arial" w:hAnsi="Arial" w:cs="Arial"/>
        </w:rPr>
        <w:t>use up a lot of financial capital in providing new rights of way and/or use up lots of political capital in reallocating road space and adjusting traffic control to favour buses at the expense of private motorist</w:t>
      </w:r>
      <w:r w:rsidR="004364AE">
        <w:rPr>
          <w:rFonts w:ascii="Arial" w:hAnsi="Arial" w:cs="Arial"/>
        </w:rPr>
        <w:t>s</w:t>
      </w:r>
      <w:r w:rsidR="009C59A0" w:rsidRPr="00C310FD">
        <w:rPr>
          <w:rFonts w:ascii="Arial" w:hAnsi="Arial" w:cs="Arial"/>
        </w:rPr>
        <w:t xml:space="preserve">. In return, operators may provide better services but there is a perceived danger that the investments will leak out of the area in the form </w:t>
      </w:r>
      <w:r w:rsidR="00B549BE">
        <w:rPr>
          <w:rFonts w:ascii="Arial" w:hAnsi="Arial" w:cs="Arial"/>
        </w:rPr>
        <w:t xml:space="preserve">of </w:t>
      </w:r>
      <w:r w:rsidR="009C59A0" w:rsidRPr="00C310FD">
        <w:rPr>
          <w:rFonts w:ascii="Arial" w:hAnsi="Arial" w:cs="Arial"/>
        </w:rPr>
        <w:t xml:space="preserve">increased </w:t>
      </w:r>
      <w:r w:rsidR="00546ABF">
        <w:rPr>
          <w:rFonts w:ascii="Arial" w:hAnsi="Arial" w:cs="Arial"/>
        </w:rPr>
        <w:t xml:space="preserve">operating </w:t>
      </w:r>
      <w:r w:rsidR="009C59A0" w:rsidRPr="00C310FD">
        <w:rPr>
          <w:rFonts w:ascii="Arial" w:hAnsi="Arial" w:cs="Arial"/>
        </w:rPr>
        <w:t>profits and hence dividends for the operating groups</w:t>
      </w:r>
      <w:r w:rsidR="00546ABF">
        <w:rPr>
          <w:rFonts w:ascii="Arial" w:hAnsi="Arial" w:cs="Arial"/>
        </w:rPr>
        <w:t>’ shareholders</w:t>
      </w:r>
      <w:r w:rsidR="009C59A0" w:rsidRPr="00C310FD">
        <w:rPr>
          <w:rFonts w:ascii="Arial" w:hAnsi="Arial" w:cs="Arial"/>
        </w:rPr>
        <w:t xml:space="preserve">. In such cases, franchising might be seen as providing better public control, although a possible quid pro quo </w:t>
      </w:r>
      <w:r w:rsidR="002F469B">
        <w:rPr>
          <w:rFonts w:ascii="Arial" w:hAnsi="Arial" w:cs="Arial"/>
        </w:rPr>
        <w:t>for partnership</w:t>
      </w:r>
      <w:r w:rsidR="00546ABF">
        <w:rPr>
          <w:rFonts w:ascii="Arial" w:hAnsi="Arial" w:cs="Arial"/>
        </w:rPr>
        <w:t>s</w:t>
      </w:r>
      <w:r w:rsidR="002F469B">
        <w:rPr>
          <w:rFonts w:ascii="Arial" w:hAnsi="Arial" w:cs="Arial"/>
        </w:rPr>
        <w:t xml:space="preserve"> </w:t>
      </w:r>
      <w:r w:rsidR="009C59A0" w:rsidRPr="00C310FD">
        <w:rPr>
          <w:rFonts w:ascii="Arial" w:hAnsi="Arial" w:cs="Arial"/>
        </w:rPr>
        <w:t xml:space="preserve">could be the provision of </w:t>
      </w:r>
      <w:r w:rsidR="005E3077">
        <w:rPr>
          <w:rFonts w:ascii="Arial" w:hAnsi="Arial" w:cs="Arial"/>
        </w:rPr>
        <w:t>zero</w:t>
      </w:r>
      <w:r w:rsidR="009C59A0" w:rsidRPr="00C310FD">
        <w:rPr>
          <w:rFonts w:ascii="Arial" w:hAnsi="Arial" w:cs="Arial"/>
        </w:rPr>
        <w:t xml:space="preserve"> emission vehicles by the operat</w:t>
      </w:r>
      <w:r w:rsidR="00B549BE">
        <w:rPr>
          <w:rFonts w:ascii="Arial" w:hAnsi="Arial" w:cs="Arial"/>
        </w:rPr>
        <w:t>or</w:t>
      </w:r>
      <w:r w:rsidR="009C59A0" w:rsidRPr="00C310FD">
        <w:rPr>
          <w:rFonts w:ascii="Arial" w:hAnsi="Arial" w:cs="Arial"/>
        </w:rPr>
        <w:t>s</w:t>
      </w:r>
      <w:r w:rsidR="002F469B">
        <w:rPr>
          <w:rFonts w:ascii="Arial" w:hAnsi="Arial" w:cs="Arial"/>
        </w:rPr>
        <w:t xml:space="preserve">, particularly if authorities contribute to depot costs and/or the costs of fuelling </w:t>
      </w:r>
      <w:r w:rsidR="005E3077">
        <w:rPr>
          <w:rFonts w:ascii="Arial" w:hAnsi="Arial" w:cs="Arial"/>
        </w:rPr>
        <w:t>facilities</w:t>
      </w:r>
      <w:r w:rsidR="009C59A0" w:rsidRPr="00C310FD">
        <w:rPr>
          <w:rFonts w:ascii="Arial" w:hAnsi="Arial" w:cs="Arial"/>
        </w:rPr>
        <w:t>.</w:t>
      </w:r>
      <w:r w:rsidR="005E3077">
        <w:rPr>
          <w:rFonts w:ascii="Arial" w:hAnsi="Arial" w:cs="Arial"/>
        </w:rPr>
        <w:t xml:space="preserve"> </w:t>
      </w:r>
      <w:r w:rsidR="002F469B">
        <w:rPr>
          <w:rFonts w:ascii="Arial" w:hAnsi="Arial" w:cs="Arial"/>
        </w:rPr>
        <w:t xml:space="preserve">Hensher (2021) believes that the </w:t>
      </w:r>
      <w:r w:rsidR="005E3077">
        <w:rPr>
          <w:rFonts w:ascii="Arial" w:hAnsi="Arial" w:cs="Arial"/>
        </w:rPr>
        <w:t xml:space="preserve">need to have greener bus fleets will give an impetus to negotiated contracts and the development of trusting partnerships (after Stanley and Hensher, 2008). It is conceivable that these </w:t>
      </w:r>
      <w:r w:rsidR="00546ABF">
        <w:rPr>
          <w:rFonts w:ascii="Arial" w:hAnsi="Arial" w:cs="Arial"/>
        </w:rPr>
        <w:t xml:space="preserve">partnerships </w:t>
      </w:r>
      <w:r w:rsidR="005E3077">
        <w:rPr>
          <w:rFonts w:ascii="Arial" w:hAnsi="Arial" w:cs="Arial"/>
        </w:rPr>
        <w:t>could be extended along the supply chain to include vehicle manufacturers, energy suppliers and specialists in battery and/or fuel cell technology.</w:t>
      </w:r>
    </w:p>
    <w:p w14:paraId="10511BEC" w14:textId="77777777" w:rsidR="0011545F" w:rsidRDefault="0011545F">
      <w:pPr>
        <w:rPr>
          <w:rFonts w:ascii="Arial" w:hAnsi="Arial" w:cs="Arial"/>
        </w:rPr>
      </w:pPr>
      <w:r>
        <w:rPr>
          <w:rFonts w:ascii="Arial" w:hAnsi="Arial" w:cs="Arial"/>
        </w:rPr>
        <w:br w:type="page"/>
      </w:r>
    </w:p>
    <w:p w14:paraId="7723AAE7" w14:textId="3EE4E16F" w:rsidR="00470CA3" w:rsidRPr="00C310FD" w:rsidRDefault="00470CA3" w:rsidP="00F43BE9">
      <w:pPr>
        <w:rPr>
          <w:rFonts w:ascii="Arial" w:hAnsi="Arial" w:cs="Arial"/>
          <w:b/>
          <w:bCs/>
        </w:rPr>
      </w:pPr>
      <w:r w:rsidRPr="00C310FD">
        <w:rPr>
          <w:rFonts w:ascii="Arial" w:hAnsi="Arial" w:cs="Arial"/>
          <w:b/>
          <w:bCs/>
        </w:rPr>
        <w:lastRenderedPageBreak/>
        <w:t>5. Some Key Trends in the Rail Industry</w:t>
      </w:r>
    </w:p>
    <w:p w14:paraId="398971C1" w14:textId="7B9473BF" w:rsidR="00261EEA" w:rsidRDefault="007840CD" w:rsidP="00261EEA">
      <w:pPr>
        <w:spacing w:line="276" w:lineRule="auto"/>
        <w:rPr>
          <w:rFonts w:ascii="Arial" w:hAnsi="Arial" w:cs="Arial"/>
        </w:rPr>
      </w:pPr>
      <w:r w:rsidRPr="00C310FD">
        <w:rPr>
          <w:rFonts w:ascii="Arial" w:hAnsi="Arial" w:cs="Arial"/>
        </w:rPr>
        <w:t>Building on Preston and Bickel (2020) (as above) and taking into account the Williams-</w:t>
      </w:r>
      <w:proofErr w:type="spellStart"/>
      <w:r w:rsidRPr="00C310FD">
        <w:rPr>
          <w:rFonts w:ascii="Arial" w:hAnsi="Arial" w:cs="Arial"/>
        </w:rPr>
        <w:t>Shapps</w:t>
      </w:r>
      <w:proofErr w:type="spellEnd"/>
      <w:r w:rsidRPr="00C310FD">
        <w:rPr>
          <w:rFonts w:ascii="Arial" w:hAnsi="Arial" w:cs="Arial"/>
        </w:rPr>
        <w:t xml:space="preserve"> Plan, seven phases of rail reform in Britain can be identified</w:t>
      </w:r>
      <w:r w:rsidR="00FA4FBF">
        <w:rPr>
          <w:rFonts w:ascii="Arial" w:hAnsi="Arial" w:cs="Arial"/>
        </w:rPr>
        <w:t>, as</w:t>
      </w:r>
      <w:r w:rsidRPr="00C310FD">
        <w:rPr>
          <w:rFonts w:ascii="Arial" w:hAnsi="Arial" w:cs="Arial"/>
        </w:rPr>
        <w:t xml:space="preserve"> shown by Table 3.</w:t>
      </w:r>
    </w:p>
    <w:p w14:paraId="2082915C" w14:textId="10A472E5" w:rsidR="007840CD" w:rsidRPr="00261EEA" w:rsidRDefault="007840CD" w:rsidP="00F43BE9">
      <w:pPr>
        <w:rPr>
          <w:rFonts w:ascii="Arial" w:hAnsi="Arial" w:cs="Arial"/>
          <w:b/>
          <w:bCs/>
          <w:sz w:val="20"/>
          <w:szCs w:val="20"/>
        </w:rPr>
      </w:pPr>
      <w:r w:rsidRPr="00261EEA">
        <w:rPr>
          <w:rFonts w:ascii="Arial" w:hAnsi="Arial" w:cs="Arial"/>
          <w:b/>
          <w:bCs/>
          <w:sz w:val="20"/>
          <w:szCs w:val="20"/>
        </w:rPr>
        <w:t>Table 3: The Seven Phases of Passenger Rail Reform, with particular reference to franchising.</w:t>
      </w:r>
    </w:p>
    <w:tbl>
      <w:tblPr>
        <w:tblStyle w:val="TableGrid"/>
        <w:tblW w:w="8781" w:type="dxa"/>
        <w:tblLook w:val="04A0" w:firstRow="1" w:lastRow="0" w:firstColumn="1" w:lastColumn="0" w:noHBand="0" w:noVBand="1"/>
      </w:tblPr>
      <w:tblGrid>
        <w:gridCol w:w="866"/>
        <w:gridCol w:w="1087"/>
        <w:gridCol w:w="2012"/>
        <w:gridCol w:w="2597"/>
        <w:gridCol w:w="2219"/>
      </w:tblGrid>
      <w:tr w:rsidR="004B69C2" w:rsidRPr="00C310FD" w14:paraId="487F94C7" w14:textId="77777777" w:rsidTr="004B69C2">
        <w:trPr>
          <w:trHeight w:val="943"/>
        </w:trPr>
        <w:tc>
          <w:tcPr>
            <w:tcW w:w="759" w:type="dxa"/>
            <w:hideMark/>
          </w:tcPr>
          <w:p w14:paraId="5B65B718" w14:textId="77777777" w:rsidR="007840CD" w:rsidRPr="007840CD" w:rsidRDefault="007840CD" w:rsidP="00F43BE9">
            <w:pPr>
              <w:rPr>
                <w:rFonts w:ascii="Arial" w:hAnsi="Arial" w:cs="Arial"/>
              </w:rPr>
            </w:pPr>
            <w:r w:rsidRPr="007840CD">
              <w:rPr>
                <w:rFonts w:ascii="Arial" w:hAnsi="Arial" w:cs="Arial"/>
                <w:b/>
                <w:bCs/>
              </w:rPr>
              <w:t>Phase</w:t>
            </w:r>
          </w:p>
        </w:tc>
        <w:tc>
          <w:tcPr>
            <w:tcW w:w="1107" w:type="dxa"/>
            <w:hideMark/>
          </w:tcPr>
          <w:p w14:paraId="682DF20D" w14:textId="77777777" w:rsidR="007840CD" w:rsidRPr="007840CD" w:rsidRDefault="007840CD" w:rsidP="00F43BE9">
            <w:pPr>
              <w:rPr>
                <w:rFonts w:ascii="Arial" w:hAnsi="Arial" w:cs="Arial"/>
              </w:rPr>
            </w:pPr>
            <w:r w:rsidRPr="007840CD">
              <w:rPr>
                <w:rFonts w:ascii="Arial" w:hAnsi="Arial" w:cs="Arial"/>
                <w:b/>
                <w:bCs/>
              </w:rPr>
              <w:t>Dates</w:t>
            </w:r>
          </w:p>
        </w:tc>
        <w:tc>
          <w:tcPr>
            <w:tcW w:w="2048" w:type="dxa"/>
            <w:hideMark/>
          </w:tcPr>
          <w:p w14:paraId="45ABD0DD" w14:textId="77777777" w:rsidR="007840CD" w:rsidRPr="007840CD" w:rsidRDefault="007840CD" w:rsidP="00F43BE9">
            <w:pPr>
              <w:rPr>
                <w:rFonts w:ascii="Arial" w:hAnsi="Arial" w:cs="Arial"/>
              </w:rPr>
            </w:pPr>
            <w:r w:rsidRPr="007840CD">
              <w:rPr>
                <w:rFonts w:ascii="Arial" w:hAnsi="Arial" w:cs="Arial"/>
                <w:b/>
                <w:bCs/>
              </w:rPr>
              <w:t>Responsible</w:t>
            </w:r>
          </w:p>
          <w:p w14:paraId="6B787697" w14:textId="77777777" w:rsidR="007840CD" w:rsidRPr="007840CD" w:rsidRDefault="007840CD" w:rsidP="00F43BE9">
            <w:pPr>
              <w:rPr>
                <w:rFonts w:ascii="Arial" w:hAnsi="Arial" w:cs="Arial"/>
              </w:rPr>
            </w:pPr>
            <w:r w:rsidRPr="007840CD">
              <w:rPr>
                <w:rFonts w:ascii="Arial" w:hAnsi="Arial" w:cs="Arial"/>
                <w:b/>
                <w:bCs/>
              </w:rPr>
              <w:t>Authority</w:t>
            </w:r>
          </w:p>
        </w:tc>
        <w:tc>
          <w:tcPr>
            <w:tcW w:w="2599" w:type="dxa"/>
            <w:hideMark/>
          </w:tcPr>
          <w:p w14:paraId="076A6390" w14:textId="77777777" w:rsidR="007840CD" w:rsidRPr="007840CD" w:rsidRDefault="007840CD" w:rsidP="00F43BE9">
            <w:pPr>
              <w:rPr>
                <w:rFonts w:ascii="Arial" w:hAnsi="Arial" w:cs="Arial"/>
              </w:rPr>
            </w:pPr>
            <w:r w:rsidRPr="007840CD">
              <w:rPr>
                <w:rFonts w:ascii="Arial" w:hAnsi="Arial" w:cs="Arial"/>
                <w:b/>
                <w:bCs/>
              </w:rPr>
              <w:t>Achievements</w:t>
            </w:r>
          </w:p>
        </w:tc>
        <w:tc>
          <w:tcPr>
            <w:tcW w:w="2268" w:type="dxa"/>
            <w:hideMark/>
          </w:tcPr>
          <w:p w14:paraId="177A4396" w14:textId="77777777" w:rsidR="007840CD" w:rsidRPr="007840CD" w:rsidRDefault="007840CD" w:rsidP="00F43BE9">
            <w:pPr>
              <w:rPr>
                <w:rFonts w:ascii="Arial" w:hAnsi="Arial" w:cs="Arial"/>
              </w:rPr>
            </w:pPr>
            <w:r w:rsidRPr="007840CD">
              <w:rPr>
                <w:rFonts w:ascii="Arial" w:hAnsi="Arial" w:cs="Arial"/>
                <w:b/>
                <w:bCs/>
              </w:rPr>
              <w:t>Assessment</w:t>
            </w:r>
          </w:p>
        </w:tc>
      </w:tr>
      <w:tr w:rsidR="004B69C2" w:rsidRPr="00C310FD" w14:paraId="0342E522" w14:textId="77777777" w:rsidTr="004B69C2">
        <w:trPr>
          <w:trHeight w:val="465"/>
        </w:trPr>
        <w:tc>
          <w:tcPr>
            <w:tcW w:w="759" w:type="dxa"/>
            <w:hideMark/>
          </w:tcPr>
          <w:p w14:paraId="617B747A" w14:textId="77777777" w:rsidR="007840CD" w:rsidRPr="007840CD" w:rsidRDefault="007840CD" w:rsidP="00F43BE9">
            <w:pPr>
              <w:rPr>
                <w:rFonts w:ascii="Arial" w:hAnsi="Arial" w:cs="Arial"/>
              </w:rPr>
            </w:pPr>
            <w:r w:rsidRPr="007840CD">
              <w:rPr>
                <w:rFonts w:ascii="Arial" w:hAnsi="Arial" w:cs="Arial"/>
                <w:b/>
                <w:bCs/>
              </w:rPr>
              <w:t>1</w:t>
            </w:r>
          </w:p>
        </w:tc>
        <w:tc>
          <w:tcPr>
            <w:tcW w:w="1107" w:type="dxa"/>
            <w:hideMark/>
          </w:tcPr>
          <w:p w14:paraId="58305285" w14:textId="77777777" w:rsidR="007840CD" w:rsidRPr="007840CD" w:rsidRDefault="007840CD" w:rsidP="00F43BE9">
            <w:pPr>
              <w:rPr>
                <w:rFonts w:ascii="Arial" w:hAnsi="Arial" w:cs="Arial"/>
              </w:rPr>
            </w:pPr>
            <w:r w:rsidRPr="007840CD">
              <w:rPr>
                <w:rFonts w:ascii="Arial" w:hAnsi="Arial" w:cs="Arial"/>
              </w:rPr>
              <w:t>1996 – 2000</w:t>
            </w:r>
          </w:p>
        </w:tc>
        <w:tc>
          <w:tcPr>
            <w:tcW w:w="2048" w:type="dxa"/>
            <w:hideMark/>
          </w:tcPr>
          <w:p w14:paraId="50DAAF3A" w14:textId="77777777" w:rsidR="007840CD" w:rsidRPr="007840CD" w:rsidRDefault="007840CD" w:rsidP="00F43BE9">
            <w:pPr>
              <w:rPr>
                <w:rFonts w:ascii="Arial" w:hAnsi="Arial" w:cs="Arial"/>
              </w:rPr>
            </w:pPr>
            <w:r w:rsidRPr="007840CD">
              <w:rPr>
                <w:rFonts w:ascii="Arial" w:hAnsi="Arial" w:cs="Arial"/>
              </w:rPr>
              <w:t>OPRAF</w:t>
            </w:r>
          </w:p>
        </w:tc>
        <w:tc>
          <w:tcPr>
            <w:tcW w:w="2599" w:type="dxa"/>
            <w:hideMark/>
          </w:tcPr>
          <w:p w14:paraId="70812806" w14:textId="77777777" w:rsidR="007840CD" w:rsidRPr="007840CD" w:rsidRDefault="007840CD" w:rsidP="00F43BE9">
            <w:pPr>
              <w:rPr>
                <w:rFonts w:ascii="Arial" w:hAnsi="Arial" w:cs="Arial"/>
              </w:rPr>
            </w:pPr>
            <w:r w:rsidRPr="007840CD">
              <w:rPr>
                <w:rFonts w:ascii="Arial" w:hAnsi="Arial" w:cs="Arial"/>
              </w:rPr>
              <w:t>25 franchises let</w:t>
            </w:r>
          </w:p>
        </w:tc>
        <w:tc>
          <w:tcPr>
            <w:tcW w:w="2268" w:type="dxa"/>
            <w:hideMark/>
          </w:tcPr>
          <w:p w14:paraId="25E953DC" w14:textId="5AE8C1BB" w:rsidR="007840CD" w:rsidRPr="007840CD" w:rsidRDefault="007840CD" w:rsidP="00F43BE9">
            <w:pPr>
              <w:rPr>
                <w:rFonts w:ascii="Arial" w:hAnsi="Arial" w:cs="Arial"/>
              </w:rPr>
            </w:pPr>
            <w:r w:rsidRPr="007840CD">
              <w:rPr>
                <w:rFonts w:ascii="Arial" w:hAnsi="Arial" w:cs="Arial"/>
              </w:rPr>
              <w:t>Initial success</w:t>
            </w:r>
            <w:r w:rsidR="00BD1918" w:rsidRPr="00C310FD">
              <w:rPr>
                <w:rFonts w:ascii="Arial" w:hAnsi="Arial" w:cs="Arial"/>
              </w:rPr>
              <w:t>.</w:t>
            </w:r>
          </w:p>
        </w:tc>
      </w:tr>
      <w:tr w:rsidR="004B69C2" w:rsidRPr="00C310FD" w14:paraId="06124913" w14:textId="77777777" w:rsidTr="004B69C2">
        <w:trPr>
          <w:trHeight w:val="943"/>
        </w:trPr>
        <w:tc>
          <w:tcPr>
            <w:tcW w:w="759" w:type="dxa"/>
            <w:hideMark/>
          </w:tcPr>
          <w:p w14:paraId="385D0465" w14:textId="77777777" w:rsidR="007840CD" w:rsidRPr="007840CD" w:rsidRDefault="007840CD" w:rsidP="00F43BE9">
            <w:pPr>
              <w:rPr>
                <w:rFonts w:ascii="Arial" w:hAnsi="Arial" w:cs="Arial"/>
              </w:rPr>
            </w:pPr>
            <w:r w:rsidRPr="007840CD">
              <w:rPr>
                <w:rFonts w:ascii="Arial" w:hAnsi="Arial" w:cs="Arial"/>
                <w:b/>
                <w:bCs/>
              </w:rPr>
              <w:t>2</w:t>
            </w:r>
          </w:p>
        </w:tc>
        <w:tc>
          <w:tcPr>
            <w:tcW w:w="1107" w:type="dxa"/>
            <w:hideMark/>
          </w:tcPr>
          <w:p w14:paraId="637E75A0" w14:textId="77777777" w:rsidR="007840CD" w:rsidRPr="007840CD" w:rsidRDefault="007840CD" w:rsidP="00F43BE9">
            <w:pPr>
              <w:rPr>
                <w:rFonts w:ascii="Arial" w:hAnsi="Arial" w:cs="Arial"/>
              </w:rPr>
            </w:pPr>
            <w:r w:rsidRPr="007840CD">
              <w:rPr>
                <w:rFonts w:ascii="Arial" w:hAnsi="Arial" w:cs="Arial"/>
              </w:rPr>
              <w:t>2001 – 2004</w:t>
            </w:r>
          </w:p>
        </w:tc>
        <w:tc>
          <w:tcPr>
            <w:tcW w:w="2048" w:type="dxa"/>
            <w:hideMark/>
          </w:tcPr>
          <w:p w14:paraId="0573714A" w14:textId="77777777" w:rsidR="007840CD" w:rsidRPr="007840CD" w:rsidRDefault="007840CD" w:rsidP="00F43BE9">
            <w:pPr>
              <w:rPr>
                <w:rFonts w:ascii="Arial" w:hAnsi="Arial" w:cs="Arial"/>
              </w:rPr>
            </w:pPr>
            <w:r w:rsidRPr="007840CD">
              <w:rPr>
                <w:rFonts w:ascii="Arial" w:hAnsi="Arial" w:cs="Arial"/>
              </w:rPr>
              <w:t>SRA</w:t>
            </w:r>
          </w:p>
        </w:tc>
        <w:tc>
          <w:tcPr>
            <w:tcW w:w="2599" w:type="dxa"/>
            <w:hideMark/>
          </w:tcPr>
          <w:p w14:paraId="38CDE885" w14:textId="77777777" w:rsidR="007840CD" w:rsidRPr="007840CD" w:rsidRDefault="007840CD" w:rsidP="00F43BE9">
            <w:pPr>
              <w:rPr>
                <w:rFonts w:ascii="Arial" w:hAnsi="Arial" w:cs="Arial"/>
              </w:rPr>
            </w:pPr>
            <w:r w:rsidRPr="007840CD">
              <w:rPr>
                <w:rFonts w:ascii="Arial" w:hAnsi="Arial" w:cs="Arial"/>
              </w:rPr>
              <w:t>9 franchises re-let, 1 failure, 13 renegotiated.</w:t>
            </w:r>
          </w:p>
        </w:tc>
        <w:tc>
          <w:tcPr>
            <w:tcW w:w="2268" w:type="dxa"/>
            <w:hideMark/>
          </w:tcPr>
          <w:p w14:paraId="4E5DF87A" w14:textId="77777777" w:rsidR="007840CD" w:rsidRPr="007840CD" w:rsidRDefault="007840CD" w:rsidP="00F43BE9">
            <w:pPr>
              <w:rPr>
                <w:rFonts w:ascii="Arial" w:hAnsi="Arial" w:cs="Arial"/>
              </w:rPr>
            </w:pPr>
            <w:r w:rsidRPr="007840CD">
              <w:rPr>
                <w:rFonts w:ascii="Arial" w:hAnsi="Arial" w:cs="Arial"/>
              </w:rPr>
              <w:t>Cost over-runs post Hatfield.</w:t>
            </w:r>
          </w:p>
        </w:tc>
      </w:tr>
      <w:tr w:rsidR="004B69C2" w:rsidRPr="00C310FD" w14:paraId="1190CEE1" w14:textId="77777777" w:rsidTr="004B69C2">
        <w:trPr>
          <w:trHeight w:val="655"/>
        </w:trPr>
        <w:tc>
          <w:tcPr>
            <w:tcW w:w="759" w:type="dxa"/>
            <w:hideMark/>
          </w:tcPr>
          <w:p w14:paraId="068A0ED6" w14:textId="77777777" w:rsidR="007840CD" w:rsidRPr="007840CD" w:rsidRDefault="007840CD" w:rsidP="00F43BE9">
            <w:pPr>
              <w:rPr>
                <w:rFonts w:ascii="Arial" w:hAnsi="Arial" w:cs="Arial"/>
              </w:rPr>
            </w:pPr>
            <w:r w:rsidRPr="007840CD">
              <w:rPr>
                <w:rFonts w:ascii="Arial" w:hAnsi="Arial" w:cs="Arial"/>
                <w:b/>
                <w:bCs/>
              </w:rPr>
              <w:t>3</w:t>
            </w:r>
          </w:p>
        </w:tc>
        <w:tc>
          <w:tcPr>
            <w:tcW w:w="1107" w:type="dxa"/>
            <w:hideMark/>
          </w:tcPr>
          <w:p w14:paraId="7967CC4E" w14:textId="77777777" w:rsidR="007840CD" w:rsidRPr="007840CD" w:rsidRDefault="007840CD" w:rsidP="00F43BE9">
            <w:pPr>
              <w:rPr>
                <w:rFonts w:ascii="Arial" w:hAnsi="Arial" w:cs="Arial"/>
              </w:rPr>
            </w:pPr>
            <w:r w:rsidRPr="007840CD">
              <w:rPr>
                <w:rFonts w:ascii="Arial" w:hAnsi="Arial" w:cs="Arial"/>
              </w:rPr>
              <w:t>2005 – 2012</w:t>
            </w:r>
          </w:p>
        </w:tc>
        <w:tc>
          <w:tcPr>
            <w:tcW w:w="2048" w:type="dxa"/>
            <w:hideMark/>
          </w:tcPr>
          <w:p w14:paraId="4C98F57C" w14:textId="77777777" w:rsidR="004B69C2" w:rsidRPr="00C310FD" w:rsidRDefault="007840CD" w:rsidP="00F43BE9">
            <w:pPr>
              <w:rPr>
                <w:rFonts w:ascii="Arial" w:hAnsi="Arial" w:cs="Arial"/>
              </w:rPr>
            </w:pPr>
            <w:r w:rsidRPr="007840CD">
              <w:rPr>
                <w:rFonts w:ascii="Arial" w:hAnsi="Arial" w:cs="Arial"/>
              </w:rPr>
              <w:t>DfT</w:t>
            </w:r>
          </w:p>
          <w:p w14:paraId="1E15BEC1" w14:textId="255BC4C8" w:rsidR="007840CD" w:rsidRPr="007840CD" w:rsidRDefault="007840CD" w:rsidP="00F43BE9">
            <w:pPr>
              <w:rPr>
                <w:rFonts w:ascii="Arial" w:hAnsi="Arial" w:cs="Arial"/>
              </w:rPr>
            </w:pPr>
            <w:r w:rsidRPr="007840CD">
              <w:rPr>
                <w:rFonts w:ascii="Arial" w:hAnsi="Arial" w:cs="Arial"/>
              </w:rPr>
              <w:t xml:space="preserve"> – Cap and Collar</w:t>
            </w:r>
          </w:p>
        </w:tc>
        <w:tc>
          <w:tcPr>
            <w:tcW w:w="2599" w:type="dxa"/>
            <w:hideMark/>
          </w:tcPr>
          <w:p w14:paraId="4343B3AD" w14:textId="77777777" w:rsidR="007840CD" w:rsidRPr="007840CD" w:rsidRDefault="007840CD" w:rsidP="00F43BE9">
            <w:pPr>
              <w:rPr>
                <w:rFonts w:ascii="Arial" w:hAnsi="Arial" w:cs="Arial"/>
              </w:rPr>
            </w:pPr>
            <w:r w:rsidRPr="007840CD">
              <w:rPr>
                <w:rFonts w:ascii="Arial" w:hAnsi="Arial" w:cs="Arial"/>
              </w:rPr>
              <w:t>12 franchises re-let. 2 failures</w:t>
            </w:r>
          </w:p>
        </w:tc>
        <w:tc>
          <w:tcPr>
            <w:tcW w:w="2268" w:type="dxa"/>
            <w:hideMark/>
          </w:tcPr>
          <w:p w14:paraId="1750CB38" w14:textId="4A6893BD" w:rsidR="007840CD" w:rsidRPr="007840CD" w:rsidRDefault="007840CD" w:rsidP="00F43BE9">
            <w:pPr>
              <w:rPr>
                <w:rFonts w:ascii="Arial" w:hAnsi="Arial" w:cs="Arial"/>
              </w:rPr>
            </w:pPr>
            <w:r w:rsidRPr="007840CD">
              <w:rPr>
                <w:rFonts w:ascii="Arial" w:hAnsi="Arial" w:cs="Arial"/>
              </w:rPr>
              <w:t>Revenue shortfalls.</w:t>
            </w:r>
          </w:p>
        </w:tc>
      </w:tr>
      <w:tr w:rsidR="004B69C2" w:rsidRPr="00C310FD" w14:paraId="115162A9" w14:textId="77777777" w:rsidTr="004B69C2">
        <w:trPr>
          <w:trHeight w:val="943"/>
        </w:trPr>
        <w:tc>
          <w:tcPr>
            <w:tcW w:w="759" w:type="dxa"/>
            <w:hideMark/>
          </w:tcPr>
          <w:p w14:paraId="7B5D55AB" w14:textId="77777777" w:rsidR="007840CD" w:rsidRPr="007840CD" w:rsidRDefault="007840CD" w:rsidP="00F43BE9">
            <w:pPr>
              <w:rPr>
                <w:rFonts w:ascii="Arial" w:hAnsi="Arial" w:cs="Arial"/>
              </w:rPr>
            </w:pPr>
            <w:r w:rsidRPr="007840CD">
              <w:rPr>
                <w:rFonts w:ascii="Arial" w:hAnsi="Arial" w:cs="Arial"/>
                <w:b/>
                <w:bCs/>
              </w:rPr>
              <w:t>4</w:t>
            </w:r>
          </w:p>
        </w:tc>
        <w:tc>
          <w:tcPr>
            <w:tcW w:w="1107" w:type="dxa"/>
            <w:hideMark/>
          </w:tcPr>
          <w:p w14:paraId="46AC6959" w14:textId="77777777" w:rsidR="007840CD" w:rsidRPr="007840CD" w:rsidRDefault="007840CD" w:rsidP="00F43BE9">
            <w:pPr>
              <w:rPr>
                <w:rFonts w:ascii="Arial" w:hAnsi="Arial" w:cs="Arial"/>
              </w:rPr>
            </w:pPr>
            <w:r w:rsidRPr="007840CD">
              <w:rPr>
                <w:rFonts w:ascii="Arial" w:hAnsi="Arial" w:cs="Arial"/>
              </w:rPr>
              <w:t>2012 – 2013</w:t>
            </w:r>
          </w:p>
        </w:tc>
        <w:tc>
          <w:tcPr>
            <w:tcW w:w="2048" w:type="dxa"/>
            <w:hideMark/>
          </w:tcPr>
          <w:p w14:paraId="7F178468" w14:textId="77777777" w:rsidR="004B69C2" w:rsidRPr="00C310FD" w:rsidRDefault="007840CD" w:rsidP="00F43BE9">
            <w:pPr>
              <w:rPr>
                <w:rFonts w:ascii="Arial" w:hAnsi="Arial" w:cs="Arial"/>
              </w:rPr>
            </w:pPr>
            <w:r w:rsidRPr="007840CD">
              <w:rPr>
                <w:rFonts w:ascii="Arial" w:hAnsi="Arial" w:cs="Arial"/>
              </w:rPr>
              <w:t>DfT</w:t>
            </w:r>
          </w:p>
          <w:p w14:paraId="5F524848" w14:textId="230E852B" w:rsidR="007840CD" w:rsidRPr="007840CD" w:rsidRDefault="007840CD" w:rsidP="00F43BE9">
            <w:pPr>
              <w:rPr>
                <w:rFonts w:ascii="Arial" w:hAnsi="Arial" w:cs="Arial"/>
              </w:rPr>
            </w:pPr>
            <w:r w:rsidRPr="007840CD">
              <w:rPr>
                <w:rFonts w:ascii="Arial" w:hAnsi="Arial" w:cs="Arial"/>
              </w:rPr>
              <w:t xml:space="preserve"> – SLF</w:t>
            </w:r>
          </w:p>
        </w:tc>
        <w:tc>
          <w:tcPr>
            <w:tcW w:w="2599" w:type="dxa"/>
            <w:hideMark/>
          </w:tcPr>
          <w:p w14:paraId="72ABE0E6" w14:textId="77777777" w:rsidR="007840CD" w:rsidRPr="007840CD" w:rsidRDefault="007840CD" w:rsidP="00F43BE9">
            <w:pPr>
              <w:rPr>
                <w:rFonts w:ascii="Arial" w:hAnsi="Arial" w:cs="Arial"/>
              </w:rPr>
            </w:pPr>
            <w:r w:rsidRPr="007840CD">
              <w:rPr>
                <w:rFonts w:ascii="Arial" w:hAnsi="Arial" w:cs="Arial"/>
              </w:rPr>
              <w:t>1 cancellation</w:t>
            </w:r>
          </w:p>
        </w:tc>
        <w:tc>
          <w:tcPr>
            <w:tcW w:w="2268" w:type="dxa"/>
            <w:hideMark/>
          </w:tcPr>
          <w:p w14:paraId="46DFC33A" w14:textId="77777777" w:rsidR="007840CD" w:rsidRPr="007840CD" w:rsidRDefault="007840CD" w:rsidP="00F43BE9">
            <w:pPr>
              <w:rPr>
                <w:rFonts w:ascii="Arial" w:hAnsi="Arial" w:cs="Arial"/>
              </w:rPr>
            </w:pPr>
            <w:r w:rsidRPr="007840CD">
              <w:rPr>
                <w:rFonts w:ascii="Arial" w:hAnsi="Arial" w:cs="Arial"/>
              </w:rPr>
              <w:t>Shortcomings in evaluation</w:t>
            </w:r>
          </w:p>
        </w:tc>
      </w:tr>
      <w:tr w:rsidR="004B69C2" w:rsidRPr="00C310FD" w14:paraId="46C22F1A" w14:textId="77777777" w:rsidTr="004B69C2">
        <w:trPr>
          <w:trHeight w:val="943"/>
        </w:trPr>
        <w:tc>
          <w:tcPr>
            <w:tcW w:w="759" w:type="dxa"/>
            <w:hideMark/>
          </w:tcPr>
          <w:p w14:paraId="7A42B805" w14:textId="77777777" w:rsidR="007840CD" w:rsidRPr="007840CD" w:rsidRDefault="007840CD" w:rsidP="00F43BE9">
            <w:pPr>
              <w:rPr>
                <w:rFonts w:ascii="Arial" w:hAnsi="Arial" w:cs="Arial"/>
              </w:rPr>
            </w:pPr>
            <w:r w:rsidRPr="007840CD">
              <w:rPr>
                <w:rFonts w:ascii="Arial" w:hAnsi="Arial" w:cs="Arial"/>
                <w:b/>
                <w:bCs/>
              </w:rPr>
              <w:t>5</w:t>
            </w:r>
          </w:p>
        </w:tc>
        <w:tc>
          <w:tcPr>
            <w:tcW w:w="1107" w:type="dxa"/>
            <w:hideMark/>
          </w:tcPr>
          <w:p w14:paraId="6C9A94B8" w14:textId="77777777" w:rsidR="007840CD" w:rsidRPr="007840CD" w:rsidRDefault="007840CD" w:rsidP="00F43BE9">
            <w:pPr>
              <w:rPr>
                <w:rFonts w:ascii="Arial" w:hAnsi="Arial" w:cs="Arial"/>
              </w:rPr>
            </w:pPr>
            <w:r w:rsidRPr="007840CD">
              <w:rPr>
                <w:rFonts w:ascii="Arial" w:hAnsi="Arial" w:cs="Arial"/>
              </w:rPr>
              <w:t>2014 – 2020</w:t>
            </w:r>
          </w:p>
        </w:tc>
        <w:tc>
          <w:tcPr>
            <w:tcW w:w="2048" w:type="dxa"/>
            <w:hideMark/>
          </w:tcPr>
          <w:p w14:paraId="51A0BCB2" w14:textId="77777777" w:rsidR="004B69C2" w:rsidRPr="00C310FD" w:rsidRDefault="007840CD" w:rsidP="00F43BE9">
            <w:pPr>
              <w:rPr>
                <w:rFonts w:ascii="Arial" w:hAnsi="Arial" w:cs="Arial"/>
              </w:rPr>
            </w:pPr>
            <w:r w:rsidRPr="007840CD">
              <w:rPr>
                <w:rFonts w:ascii="Arial" w:hAnsi="Arial" w:cs="Arial"/>
              </w:rPr>
              <w:t>DfT</w:t>
            </w:r>
          </w:p>
          <w:p w14:paraId="01484F42" w14:textId="443F760D" w:rsidR="007840CD" w:rsidRPr="007840CD" w:rsidRDefault="007840CD" w:rsidP="00F43BE9">
            <w:pPr>
              <w:rPr>
                <w:rFonts w:ascii="Arial" w:hAnsi="Arial" w:cs="Arial"/>
              </w:rPr>
            </w:pPr>
            <w:r w:rsidRPr="007840CD">
              <w:rPr>
                <w:rFonts w:ascii="Arial" w:hAnsi="Arial" w:cs="Arial"/>
              </w:rPr>
              <w:t xml:space="preserve"> – Horses for courses</w:t>
            </w:r>
          </w:p>
        </w:tc>
        <w:tc>
          <w:tcPr>
            <w:tcW w:w="2599" w:type="dxa"/>
            <w:hideMark/>
          </w:tcPr>
          <w:p w14:paraId="4E15468E" w14:textId="77777777" w:rsidR="007840CD" w:rsidRPr="007840CD" w:rsidRDefault="007840CD" w:rsidP="00F43BE9">
            <w:pPr>
              <w:rPr>
                <w:rFonts w:ascii="Arial" w:hAnsi="Arial" w:cs="Arial"/>
              </w:rPr>
            </w:pPr>
            <w:r w:rsidRPr="007840CD">
              <w:rPr>
                <w:rFonts w:ascii="Arial" w:hAnsi="Arial" w:cs="Arial"/>
              </w:rPr>
              <w:t xml:space="preserve">11 franchises re-let by mid-2019. 2 failures. </w:t>
            </w:r>
          </w:p>
        </w:tc>
        <w:tc>
          <w:tcPr>
            <w:tcW w:w="2268" w:type="dxa"/>
            <w:hideMark/>
          </w:tcPr>
          <w:p w14:paraId="21409C8A" w14:textId="4D274E73" w:rsidR="007840CD" w:rsidRPr="007840CD" w:rsidRDefault="00BD1918" w:rsidP="00F43BE9">
            <w:pPr>
              <w:rPr>
                <w:rFonts w:ascii="Arial" w:hAnsi="Arial" w:cs="Arial"/>
              </w:rPr>
            </w:pPr>
            <w:r w:rsidRPr="00C310FD">
              <w:rPr>
                <w:rFonts w:ascii="Arial" w:hAnsi="Arial" w:cs="Arial"/>
              </w:rPr>
              <w:t xml:space="preserve">Limited competition reflected by </w:t>
            </w:r>
            <w:r w:rsidR="007840CD" w:rsidRPr="007840CD">
              <w:rPr>
                <w:rFonts w:ascii="Arial" w:hAnsi="Arial" w:cs="Arial"/>
              </w:rPr>
              <w:t>13 Direct awards.</w:t>
            </w:r>
          </w:p>
        </w:tc>
      </w:tr>
      <w:tr w:rsidR="004B69C2" w:rsidRPr="00C310FD" w14:paraId="646D5FD4" w14:textId="77777777" w:rsidTr="004B69C2">
        <w:trPr>
          <w:trHeight w:val="1644"/>
        </w:trPr>
        <w:tc>
          <w:tcPr>
            <w:tcW w:w="759" w:type="dxa"/>
            <w:hideMark/>
          </w:tcPr>
          <w:p w14:paraId="2295D18A" w14:textId="77777777" w:rsidR="007840CD" w:rsidRPr="007840CD" w:rsidRDefault="007840CD" w:rsidP="00F43BE9">
            <w:pPr>
              <w:rPr>
                <w:rFonts w:ascii="Arial" w:hAnsi="Arial" w:cs="Arial"/>
              </w:rPr>
            </w:pPr>
            <w:r w:rsidRPr="007840CD">
              <w:rPr>
                <w:rFonts w:ascii="Arial" w:hAnsi="Arial" w:cs="Arial"/>
                <w:b/>
                <w:bCs/>
              </w:rPr>
              <w:t>6</w:t>
            </w:r>
          </w:p>
        </w:tc>
        <w:tc>
          <w:tcPr>
            <w:tcW w:w="1107" w:type="dxa"/>
            <w:hideMark/>
          </w:tcPr>
          <w:p w14:paraId="68944D7C" w14:textId="57267255" w:rsidR="007840CD" w:rsidRPr="007840CD" w:rsidRDefault="007840CD" w:rsidP="00F43BE9">
            <w:pPr>
              <w:rPr>
                <w:rFonts w:ascii="Arial" w:hAnsi="Arial" w:cs="Arial"/>
              </w:rPr>
            </w:pPr>
            <w:r w:rsidRPr="007840CD">
              <w:rPr>
                <w:rFonts w:ascii="Arial" w:hAnsi="Arial" w:cs="Arial"/>
              </w:rPr>
              <w:t xml:space="preserve">2020 </w:t>
            </w:r>
            <w:r w:rsidR="00ED23D2" w:rsidRPr="00C310FD">
              <w:rPr>
                <w:rFonts w:ascii="Arial" w:hAnsi="Arial" w:cs="Arial"/>
              </w:rPr>
              <w:t>–</w:t>
            </w:r>
            <w:r w:rsidRPr="007840CD">
              <w:rPr>
                <w:rFonts w:ascii="Arial" w:hAnsi="Arial" w:cs="Arial"/>
              </w:rPr>
              <w:t xml:space="preserve"> 202</w:t>
            </w:r>
            <w:r w:rsidR="00ED23D2" w:rsidRPr="00C310FD">
              <w:rPr>
                <w:rFonts w:ascii="Arial" w:hAnsi="Arial" w:cs="Arial"/>
              </w:rPr>
              <w:t>3</w:t>
            </w:r>
          </w:p>
        </w:tc>
        <w:tc>
          <w:tcPr>
            <w:tcW w:w="2048" w:type="dxa"/>
            <w:hideMark/>
          </w:tcPr>
          <w:p w14:paraId="5AE6E17A" w14:textId="77777777" w:rsidR="004B69C2" w:rsidRPr="00C310FD" w:rsidRDefault="007840CD" w:rsidP="00F43BE9">
            <w:pPr>
              <w:rPr>
                <w:rFonts w:ascii="Arial" w:hAnsi="Arial" w:cs="Arial"/>
              </w:rPr>
            </w:pPr>
            <w:r w:rsidRPr="007840CD">
              <w:rPr>
                <w:rFonts w:ascii="Arial" w:hAnsi="Arial" w:cs="Arial"/>
              </w:rPr>
              <w:t>DfT</w:t>
            </w:r>
          </w:p>
          <w:p w14:paraId="1C6D6A49" w14:textId="1E73C8B1" w:rsidR="007840CD" w:rsidRPr="007840CD" w:rsidRDefault="007840CD" w:rsidP="00F43BE9">
            <w:pPr>
              <w:rPr>
                <w:rFonts w:ascii="Arial" w:hAnsi="Arial" w:cs="Arial"/>
              </w:rPr>
            </w:pPr>
            <w:r w:rsidRPr="007840CD">
              <w:rPr>
                <w:rFonts w:ascii="Arial" w:hAnsi="Arial" w:cs="Arial"/>
              </w:rPr>
              <w:t xml:space="preserve"> – Suspension of Franchising</w:t>
            </w:r>
          </w:p>
        </w:tc>
        <w:tc>
          <w:tcPr>
            <w:tcW w:w="2599" w:type="dxa"/>
            <w:hideMark/>
          </w:tcPr>
          <w:p w14:paraId="2C933D00" w14:textId="242F06F9" w:rsidR="007840CD" w:rsidRPr="007840CD" w:rsidRDefault="007840CD" w:rsidP="00F43BE9">
            <w:pPr>
              <w:rPr>
                <w:rFonts w:ascii="Arial" w:hAnsi="Arial" w:cs="Arial"/>
              </w:rPr>
            </w:pPr>
            <w:r w:rsidRPr="007840CD">
              <w:rPr>
                <w:rFonts w:ascii="Arial" w:hAnsi="Arial" w:cs="Arial"/>
              </w:rPr>
              <w:t>Emergency Management Agreements/Emergency Recovery Measures Agreements/National Rail Contracts</w:t>
            </w:r>
            <w:r w:rsidR="00BD1918" w:rsidRPr="00C310FD">
              <w:rPr>
                <w:rFonts w:ascii="Arial" w:hAnsi="Arial" w:cs="Arial"/>
              </w:rPr>
              <w:t xml:space="preserve">. </w:t>
            </w:r>
            <w:r w:rsidR="00BD1918" w:rsidRPr="007840CD">
              <w:rPr>
                <w:rFonts w:ascii="Arial" w:hAnsi="Arial" w:cs="Arial"/>
              </w:rPr>
              <w:t>At least 4 Direct Awards.</w:t>
            </w:r>
            <w:r w:rsidR="00BD1918" w:rsidRPr="00C310FD">
              <w:rPr>
                <w:rFonts w:ascii="Arial" w:hAnsi="Arial" w:cs="Arial"/>
              </w:rPr>
              <w:t xml:space="preserve"> 2</w:t>
            </w:r>
            <w:r w:rsidR="00BD1918" w:rsidRPr="007840CD">
              <w:rPr>
                <w:rFonts w:ascii="Arial" w:hAnsi="Arial" w:cs="Arial"/>
              </w:rPr>
              <w:t xml:space="preserve"> failure</w:t>
            </w:r>
            <w:r w:rsidR="00BD1918" w:rsidRPr="00C310FD">
              <w:rPr>
                <w:rFonts w:ascii="Arial" w:hAnsi="Arial" w:cs="Arial"/>
              </w:rPr>
              <w:t>s</w:t>
            </w:r>
          </w:p>
        </w:tc>
        <w:tc>
          <w:tcPr>
            <w:tcW w:w="2268" w:type="dxa"/>
            <w:hideMark/>
          </w:tcPr>
          <w:p w14:paraId="0B1CA187" w14:textId="5410B7ED" w:rsidR="007840CD" w:rsidRPr="007840CD" w:rsidRDefault="00BD1918" w:rsidP="00F43BE9">
            <w:pPr>
              <w:rPr>
                <w:rFonts w:ascii="Arial" w:hAnsi="Arial" w:cs="Arial"/>
              </w:rPr>
            </w:pPr>
            <w:r w:rsidRPr="00C310FD">
              <w:rPr>
                <w:rFonts w:ascii="Arial" w:hAnsi="Arial" w:cs="Arial"/>
              </w:rPr>
              <w:t>Wide use of Management Contracts.</w:t>
            </w:r>
          </w:p>
        </w:tc>
      </w:tr>
      <w:tr w:rsidR="004B69C2" w:rsidRPr="00C310FD" w14:paraId="39528024" w14:textId="77777777" w:rsidTr="00ED23D2">
        <w:trPr>
          <w:trHeight w:val="680"/>
        </w:trPr>
        <w:tc>
          <w:tcPr>
            <w:tcW w:w="759" w:type="dxa"/>
            <w:hideMark/>
          </w:tcPr>
          <w:p w14:paraId="5302332A" w14:textId="77777777" w:rsidR="007840CD" w:rsidRPr="007840CD" w:rsidRDefault="007840CD" w:rsidP="00F43BE9">
            <w:pPr>
              <w:rPr>
                <w:rFonts w:ascii="Arial" w:hAnsi="Arial" w:cs="Arial"/>
              </w:rPr>
            </w:pPr>
            <w:r w:rsidRPr="007840CD">
              <w:rPr>
                <w:rFonts w:ascii="Arial" w:hAnsi="Arial" w:cs="Arial"/>
                <w:b/>
                <w:bCs/>
              </w:rPr>
              <w:t>7</w:t>
            </w:r>
          </w:p>
        </w:tc>
        <w:tc>
          <w:tcPr>
            <w:tcW w:w="1107" w:type="dxa"/>
            <w:hideMark/>
          </w:tcPr>
          <w:p w14:paraId="1671A25C" w14:textId="215E52FC" w:rsidR="007840CD" w:rsidRPr="007840CD" w:rsidRDefault="007840CD" w:rsidP="00F43BE9">
            <w:pPr>
              <w:rPr>
                <w:rFonts w:ascii="Arial" w:hAnsi="Arial" w:cs="Arial"/>
              </w:rPr>
            </w:pPr>
            <w:r w:rsidRPr="007840CD">
              <w:rPr>
                <w:rFonts w:ascii="Arial" w:hAnsi="Arial" w:cs="Arial"/>
              </w:rPr>
              <w:t>202</w:t>
            </w:r>
            <w:r w:rsidR="00ED23D2" w:rsidRPr="00C310FD">
              <w:rPr>
                <w:rFonts w:ascii="Arial" w:hAnsi="Arial" w:cs="Arial"/>
              </w:rPr>
              <w:t>3</w:t>
            </w:r>
            <w:r w:rsidRPr="007840CD">
              <w:rPr>
                <w:rFonts w:ascii="Arial" w:hAnsi="Arial" w:cs="Arial"/>
              </w:rPr>
              <w:t xml:space="preserve"> - </w:t>
            </w:r>
          </w:p>
        </w:tc>
        <w:tc>
          <w:tcPr>
            <w:tcW w:w="2048" w:type="dxa"/>
            <w:hideMark/>
          </w:tcPr>
          <w:p w14:paraId="206E5D92" w14:textId="77777777" w:rsidR="007840CD" w:rsidRPr="007840CD" w:rsidRDefault="007840CD" w:rsidP="00F43BE9">
            <w:pPr>
              <w:rPr>
                <w:rFonts w:ascii="Arial" w:hAnsi="Arial" w:cs="Arial"/>
              </w:rPr>
            </w:pPr>
            <w:r w:rsidRPr="007840CD">
              <w:rPr>
                <w:rFonts w:ascii="Arial" w:hAnsi="Arial" w:cs="Arial"/>
              </w:rPr>
              <w:t>GBR (Great British Railways)</w:t>
            </w:r>
          </w:p>
        </w:tc>
        <w:tc>
          <w:tcPr>
            <w:tcW w:w="2599" w:type="dxa"/>
            <w:hideMark/>
          </w:tcPr>
          <w:p w14:paraId="45085BB7" w14:textId="77777777" w:rsidR="007840CD" w:rsidRPr="007840CD" w:rsidRDefault="007840CD" w:rsidP="00F43BE9">
            <w:pPr>
              <w:rPr>
                <w:rFonts w:ascii="Arial" w:hAnsi="Arial" w:cs="Arial"/>
              </w:rPr>
            </w:pPr>
            <w:r w:rsidRPr="007840CD">
              <w:rPr>
                <w:rFonts w:ascii="Arial" w:hAnsi="Arial" w:cs="Arial"/>
              </w:rPr>
              <w:t>Passenger Service Contracts</w:t>
            </w:r>
          </w:p>
        </w:tc>
        <w:tc>
          <w:tcPr>
            <w:tcW w:w="2268" w:type="dxa"/>
            <w:hideMark/>
          </w:tcPr>
          <w:p w14:paraId="6CB365BA" w14:textId="77777777" w:rsidR="007840CD" w:rsidRPr="007840CD" w:rsidRDefault="007840CD" w:rsidP="00F43BE9">
            <w:pPr>
              <w:rPr>
                <w:rFonts w:ascii="Arial" w:hAnsi="Arial" w:cs="Arial"/>
              </w:rPr>
            </w:pPr>
            <w:r w:rsidRPr="007840CD">
              <w:rPr>
                <w:rFonts w:ascii="Arial" w:hAnsi="Arial" w:cs="Arial"/>
              </w:rPr>
              <w:t>To be determined.</w:t>
            </w:r>
          </w:p>
        </w:tc>
      </w:tr>
    </w:tbl>
    <w:p w14:paraId="4B88AAC4" w14:textId="77777777" w:rsidR="00FA4FBF" w:rsidRDefault="00FA4FBF" w:rsidP="000B5BE6">
      <w:pPr>
        <w:spacing w:line="276" w:lineRule="auto"/>
        <w:rPr>
          <w:rFonts w:ascii="Arial" w:hAnsi="Arial" w:cs="Arial"/>
        </w:rPr>
      </w:pPr>
    </w:p>
    <w:p w14:paraId="4D0CF414" w14:textId="0F15AC1F" w:rsidR="00FA4FBF" w:rsidRDefault="00501E19" w:rsidP="000B5BE6">
      <w:pPr>
        <w:spacing w:line="276" w:lineRule="auto"/>
        <w:rPr>
          <w:rFonts w:ascii="Arial" w:hAnsi="Arial" w:cs="Arial"/>
        </w:rPr>
      </w:pPr>
      <w:r w:rsidRPr="00FA4FBF">
        <w:rPr>
          <w:rFonts w:ascii="Arial" w:hAnsi="Arial" w:cs="Arial"/>
        </w:rPr>
        <w:t>A</w:t>
      </w:r>
      <w:r>
        <w:rPr>
          <w:rFonts w:ascii="Arial" w:hAnsi="Arial" w:cs="Arial"/>
        </w:rPr>
        <w:t xml:space="preserve">s with bus, the key trends in rail are well documented (Preston, 2018b). </w:t>
      </w:r>
      <w:r w:rsidR="00D528D7" w:rsidRPr="00C310FD">
        <w:rPr>
          <w:rFonts w:ascii="Arial" w:hAnsi="Arial" w:cs="Arial"/>
        </w:rPr>
        <w:t>Table 4 show</w:t>
      </w:r>
      <w:r w:rsidR="00546ABF">
        <w:rPr>
          <w:rFonts w:ascii="Arial" w:hAnsi="Arial" w:cs="Arial"/>
        </w:rPr>
        <w:t>s</w:t>
      </w:r>
      <w:r w:rsidR="00D528D7" w:rsidRPr="00C310FD">
        <w:rPr>
          <w:rFonts w:ascii="Arial" w:hAnsi="Arial" w:cs="Arial"/>
        </w:rPr>
        <w:t xml:space="preserve"> that up to 2017/18, demand for passenger rail services had more than doubled and supply had increased by almost 50%, whilst fares remained broadly stable in real terms</w:t>
      </w:r>
      <w:r w:rsidR="00546ABF">
        <w:rPr>
          <w:rFonts w:ascii="Arial" w:hAnsi="Arial" w:cs="Arial"/>
        </w:rPr>
        <w:t xml:space="preserve"> since the commencement of the reforms in the mid-1990s</w:t>
      </w:r>
      <w:r w:rsidR="00D528D7" w:rsidRPr="00C310FD">
        <w:rPr>
          <w:rFonts w:ascii="Arial" w:hAnsi="Arial" w:cs="Arial"/>
        </w:rPr>
        <w:t>. However, Covid 19 wiped out many of these gains.</w:t>
      </w:r>
      <w:r w:rsidR="007B639D" w:rsidRPr="00C310FD">
        <w:rPr>
          <w:rFonts w:ascii="Arial" w:hAnsi="Arial" w:cs="Arial"/>
        </w:rPr>
        <w:t xml:space="preserve"> Although the reforms had clearly had some success on the demand side, there were sustained increases in unit costs and in Government support.</w:t>
      </w:r>
      <w:r w:rsidR="00AD3453" w:rsidRPr="00C310FD">
        <w:rPr>
          <w:rFonts w:ascii="Arial" w:hAnsi="Arial" w:cs="Arial"/>
        </w:rPr>
        <w:t xml:space="preserve"> The increases in unit costs and Government support (including enhancements) are particularly marked in 2020/21, with unit costs (per train km) </w:t>
      </w:r>
      <w:r w:rsidR="0011545F">
        <w:rPr>
          <w:rFonts w:ascii="Arial" w:hAnsi="Arial" w:cs="Arial"/>
        </w:rPr>
        <w:t xml:space="preserve">over </w:t>
      </w:r>
      <w:r w:rsidR="00AD3453" w:rsidRPr="00C310FD">
        <w:rPr>
          <w:rFonts w:ascii="Arial" w:hAnsi="Arial" w:cs="Arial"/>
        </w:rPr>
        <w:t>double the levels in the mid</w:t>
      </w:r>
      <w:r w:rsidR="001B5ADF" w:rsidRPr="00C310FD">
        <w:rPr>
          <w:rFonts w:ascii="Arial" w:hAnsi="Arial" w:cs="Arial"/>
        </w:rPr>
        <w:t>-</w:t>
      </w:r>
      <w:r w:rsidR="00AD3453" w:rsidRPr="00C310FD">
        <w:rPr>
          <w:rFonts w:ascii="Arial" w:hAnsi="Arial" w:cs="Arial"/>
        </w:rPr>
        <w:t>1990s</w:t>
      </w:r>
      <w:r w:rsidR="001B5ADF" w:rsidRPr="00C310FD">
        <w:rPr>
          <w:rFonts w:ascii="Arial" w:hAnsi="Arial" w:cs="Arial"/>
        </w:rPr>
        <w:t xml:space="preserve"> and Government support almost quadruple.</w:t>
      </w:r>
      <w:r w:rsidR="00AD3453" w:rsidRPr="00C310FD">
        <w:rPr>
          <w:rFonts w:ascii="Arial" w:hAnsi="Arial" w:cs="Arial"/>
        </w:rPr>
        <w:t xml:space="preserve"> </w:t>
      </w:r>
      <w:r w:rsidR="000B5BE6">
        <w:rPr>
          <w:rFonts w:ascii="Arial" w:hAnsi="Arial" w:cs="Arial"/>
        </w:rPr>
        <w:t xml:space="preserve">The large </w:t>
      </w:r>
      <w:r w:rsidR="00B549BE">
        <w:rPr>
          <w:rFonts w:ascii="Arial" w:hAnsi="Arial" w:cs="Arial"/>
        </w:rPr>
        <w:t xml:space="preserve">recent </w:t>
      </w:r>
      <w:r w:rsidR="000B5BE6">
        <w:rPr>
          <w:rFonts w:ascii="Arial" w:hAnsi="Arial" w:cs="Arial"/>
        </w:rPr>
        <w:t>increases in unit costs reflect the loss of economies of density as a result of reductions in train kilometres.</w:t>
      </w:r>
      <w:r w:rsidR="00FA4FBF">
        <w:rPr>
          <w:rFonts w:ascii="Arial" w:hAnsi="Arial" w:cs="Arial"/>
        </w:rPr>
        <w:t xml:space="preserve"> </w:t>
      </w:r>
    </w:p>
    <w:p w14:paraId="4D314C0B" w14:textId="17FA0D80" w:rsidR="00D528D7" w:rsidRPr="00C310FD" w:rsidRDefault="00501E19" w:rsidP="000B5BE6">
      <w:pPr>
        <w:spacing w:line="276" w:lineRule="auto"/>
        <w:rPr>
          <w:rFonts w:ascii="Arial" w:hAnsi="Arial" w:cs="Arial"/>
        </w:rPr>
      </w:pPr>
      <w:r>
        <w:rPr>
          <w:rFonts w:ascii="Arial" w:hAnsi="Arial" w:cs="Arial"/>
        </w:rPr>
        <w:t xml:space="preserve">One area of improvement as a result of Covid was punctuality and reliability. </w:t>
      </w:r>
      <w:r w:rsidR="00546ABF">
        <w:rPr>
          <w:rFonts w:ascii="Arial" w:hAnsi="Arial" w:cs="Arial"/>
        </w:rPr>
        <w:t>For example, o</w:t>
      </w:r>
      <w:r w:rsidRPr="00501E19">
        <w:rPr>
          <w:rFonts w:ascii="Arial" w:hAnsi="Arial" w:cs="Arial"/>
        </w:rPr>
        <w:t>n-time arrivals at stations between April and June 2020 increased by 17.1 percentage points relative to the year before to 86.4%. Similarly, the Public Performance Measure (PPM</w:t>
      </w:r>
      <w:r>
        <w:rPr>
          <w:rFonts w:ascii="Arial" w:hAnsi="Arial" w:cs="Arial"/>
        </w:rPr>
        <w:t xml:space="preserve">) </w:t>
      </w:r>
      <w:r w:rsidRPr="00501E19">
        <w:rPr>
          <w:rFonts w:ascii="Arial" w:hAnsi="Arial" w:cs="Arial"/>
        </w:rPr>
        <w:lastRenderedPageBreak/>
        <w:t xml:space="preserve">increased by 6.2 percentage points to 96.2%. These </w:t>
      </w:r>
      <w:proofErr w:type="gramStart"/>
      <w:r w:rsidRPr="00501E19">
        <w:rPr>
          <w:rFonts w:ascii="Arial" w:hAnsi="Arial" w:cs="Arial"/>
        </w:rPr>
        <w:t>were</w:t>
      </w:r>
      <w:proofErr w:type="gramEnd"/>
      <w:r w:rsidR="00546ABF">
        <w:rPr>
          <w:rFonts w:ascii="Arial" w:hAnsi="Arial" w:cs="Arial"/>
        </w:rPr>
        <w:t xml:space="preserve"> the b</w:t>
      </w:r>
      <w:r w:rsidRPr="00501E19">
        <w:rPr>
          <w:rFonts w:ascii="Arial" w:hAnsi="Arial" w:cs="Arial"/>
        </w:rPr>
        <w:t>est</w:t>
      </w:r>
      <w:r>
        <w:rPr>
          <w:rFonts w:ascii="Arial" w:hAnsi="Arial" w:cs="Arial"/>
        </w:rPr>
        <w:t xml:space="preserve"> results</w:t>
      </w:r>
      <w:r w:rsidRPr="00501E19">
        <w:rPr>
          <w:rFonts w:ascii="Arial" w:hAnsi="Arial" w:cs="Arial"/>
        </w:rPr>
        <w:t xml:space="preserve"> since the time series began, in 2014-15 and 1997-98 respectively. Cancellations were halved to 1.2% of scheduled services, </w:t>
      </w:r>
      <w:r>
        <w:rPr>
          <w:rFonts w:ascii="Arial" w:hAnsi="Arial" w:cs="Arial"/>
        </w:rPr>
        <w:t xml:space="preserve"> again </w:t>
      </w:r>
      <w:r w:rsidRPr="00501E19">
        <w:rPr>
          <w:rFonts w:ascii="Arial" w:hAnsi="Arial" w:cs="Arial"/>
        </w:rPr>
        <w:t>the best since the time series began in 2014-15. Total passenger train km between April and June 2020 were 84.2 million, 39.6% less than for the equivalent quarterly period in 2019</w:t>
      </w:r>
      <w:r>
        <w:rPr>
          <w:rFonts w:ascii="Arial" w:hAnsi="Arial" w:cs="Arial"/>
        </w:rPr>
        <w:t xml:space="preserve"> (Armstrong et al., 2021).</w:t>
      </w:r>
    </w:p>
    <w:p w14:paraId="37532623" w14:textId="64577DE5" w:rsidR="007840CD" w:rsidRPr="00261EEA" w:rsidRDefault="00D528D7" w:rsidP="00F43BE9">
      <w:pPr>
        <w:rPr>
          <w:rFonts w:ascii="Arial" w:hAnsi="Arial" w:cs="Arial"/>
          <w:b/>
          <w:bCs/>
          <w:sz w:val="20"/>
          <w:szCs w:val="20"/>
        </w:rPr>
      </w:pPr>
      <w:r w:rsidRPr="00261EEA">
        <w:rPr>
          <w:rFonts w:ascii="Arial" w:hAnsi="Arial" w:cs="Arial"/>
          <w:b/>
          <w:bCs/>
          <w:sz w:val="20"/>
          <w:szCs w:val="20"/>
        </w:rPr>
        <w:t>Table 4: Key Trends in the Passenger Railway in Britain since 1995/6</w:t>
      </w:r>
      <w:r w:rsidR="00261EEA">
        <w:rPr>
          <w:rFonts w:ascii="Arial" w:hAnsi="Arial" w:cs="Arial"/>
          <w:b/>
          <w:bCs/>
          <w:sz w:val="20"/>
          <w:szCs w:val="20"/>
        </w:rPr>
        <w:t xml:space="preserve"> (% change)</w:t>
      </w:r>
    </w:p>
    <w:tbl>
      <w:tblPr>
        <w:tblStyle w:val="TableGrid"/>
        <w:tblW w:w="8304" w:type="dxa"/>
        <w:tblLook w:val="04A0" w:firstRow="1" w:lastRow="0" w:firstColumn="1" w:lastColumn="0" w:noHBand="0" w:noVBand="1"/>
      </w:tblPr>
      <w:tblGrid>
        <w:gridCol w:w="950"/>
        <w:gridCol w:w="1013"/>
        <w:gridCol w:w="1276"/>
        <w:gridCol w:w="1274"/>
        <w:gridCol w:w="1265"/>
        <w:gridCol w:w="1254"/>
        <w:gridCol w:w="1272"/>
      </w:tblGrid>
      <w:tr w:rsidR="00BD1918" w:rsidRPr="00C310FD" w14:paraId="7821340A" w14:textId="77777777" w:rsidTr="00D528D7">
        <w:trPr>
          <w:trHeight w:val="1103"/>
        </w:trPr>
        <w:tc>
          <w:tcPr>
            <w:tcW w:w="809" w:type="dxa"/>
            <w:hideMark/>
          </w:tcPr>
          <w:p w14:paraId="043B843D" w14:textId="77777777" w:rsidR="00BD1918" w:rsidRPr="00BD1918" w:rsidRDefault="00BD1918" w:rsidP="00F43BE9">
            <w:pPr>
              <w:rPr>
                <w:rFonts w:ascii="Arial" w:hAnsi="Arial" w:cs="Arial"/>
              </w:rPr>
            </w:pPr>
            <w:r w:rsidRPr="00BD1918">
              <w:rPr>
                <w:rFonts w:ascii="Arial" w:hAnsi="Arial" w:cs="Arial"/>
                <w:b/>
                <w:bCs/>
              </w:rPr>
              <w:t>Phase</w:t>
            </w:r>
          </w:p>
        </w:tc>
        <w:tc>
          <w:tcPr>
            <w:tcW w:w="1029" w:type="dxa"/>
            <w:hideMark/>
          </w:tcPr>
          <w:p w14:paraId="7A4CC5F0" w14:textId="77777777" w:rsidR="00BD1918" w:rsidRPr="00BD1918" w:rsidRDefault="00BD1918" w:rsidP="00F43BE9">
            <w:pPr>
              <w:rPr>
                <w:rFonts w:ascii="Arial" w:hAnsi="Arial" w:cs="Arial"/>
              </w:rPr>
            </w:pPr>
            <w:r w:rsidRPr="00BD1918">
              <w:rPr>
                <w:rFonts w:ascii="Arial" w:hAnsi="Arial" w:cs="Arial"/>
                <w:b/>
                <w:bCs/>
              </w:rPr>
              <w:t>Dates</w:t>
            </w:r>
          </w:p>
        </w:tc>
        <w:tc>
          <w:tcPr>
            <w:tcW w:w="1293" w:type="dxa"/>
            <w:hideMark/>
          </w:tcPr>
          <w:p w14:paraId="6E5287B7" w14:textId="77777777" w:rsidR="00BD1918" w:rsidRPr="00BD1918" w:rsidRDefault="00BD1918" w:rsidP="00F43BE9">
            <w:pPr>
              <w:rPr>
                <w:rFonts w:ascii="Arial" w:hAnsi="Arial" w:cs="Arial"/>
              </w:rPr>
            </w:pPr>
            <w:r w:rsidRPr="00BD1918">
              <w:rPr>
                <w:rFonts w:ascii="Arial" w:hAnsi="Arial" w:cs="Arial"/>
                <w:b/>
                <w:bCs/>
              </w:rPr>
              <w:t>Demand</w:t>
            </w:r>
          </w:p>
          <w:p w14:paraId="6F2D5750" w14:textId="77777777" w:rsidR="00BD1918" w:rsidRPr="00BD1918" w:rsidRDefault="00BD1918" w:rsidP="00F43BE9">
            <w:pPr>
              <w:rPr>
                <w:rFonts w:ascii="Arial" w:hAnsi="Arial" w:cs="Arial"/>
              </w:rPr>
            </w:pPr>
            <w:r w:rsidRPr="00BD1918">
              <w:rPr>
                <w:rFonts w:ascii="Arial" w:hAnsi="Arial" w:cs="Arial"/>
                <w:b/>
                <w:bCs/>
              </w:rPr>
              <w:t>(Pass Km)</w:t>
            </w:r>
          </w:p>
        </w:tc>
        <w:tc>
          <w:tcPr>
            <w:tcW w:w="1293" w:type="dxa"/>
            <w:hideMark/>
          </w:tcPr>
          <w:p w14:paraId="397B7E31" w14:textId="77777777" w:rsidR="00BD1918" w:rsidRPr="00BD1918" w:rsidRDefault="00BD1918" w:rsidP="00F43BE9">
            <w:pPr>
              <w:rPr>
                <w:rFonts w:ascii="Arial" w:hAnsi="Arial" w:cs="Arial"/>
              </w:rPr>
            </w:pPr>
            <w:r w:rsidRPr="00BD1918">
              <w:rPr>
                <w:rFonts w:ascii="Arial" w:hAnsi="Arial" w:cs="Arial"/>
                <w:b/>
                <w:bCs/>
              </w:rPr>
              <w:t>Real receipts per pass km</w:t>
            </w:r>
          </w:p>
        </w:tc>
        <w:tc>
          <w:tcPr>
            <w:tcW w:w="1293" w:type="dxa"/>
            <w:hideMark/>
          </w:tcPr>
          <w:p w14:paraId="3E503C2F" w14:textId="3FAC76C5" w:rsidR="00BD1918" w:rsidRPr="00BD1918" w:rsidRDefault="00BD1918" w:rsidP="00F43BE9">
            <w:pPr>
              <w:rPr>
                <w:rFonts w:ascii="Arial" w:hAnsi="Arial" w:cs="Arial"/>
              </w:rPr>
            </w:pPr>
            <w:r w:rsidRPr="00BD1918">
              <w:rPr>
                <w:rFonts w:ascii="Arial" w:hAnsi="Arial" w:cs="Arial"/>
                <w:b/>
                <w:bCs/>
              </w:rPr>
              <w:t>Supply</w:t>
            </w:r>
            <w:r w:rsidR="0050110A" w:rsidRPr="00C310FD">
              <w:rPr>
                <w:rFonts w:ascii="Arial" w:hAnsi="Arial" w:cs="Arial"/>
                <w:b/>
                <w:bCs/>
              </w:rPr>
              <w:t xml:space="preserve"> </w:t>
            </w:r>
            <w:r w:rsidRPr="00BD1918">
              <w:rPr>
                <w:rFonts w:ascii="Arial" w:hAnsi="Arial" w:cs="Arial"/>
                <w:b/>
                <w:bCs/>
              </w:rPr>
              <w:t>(Train Km)</w:t>
            </w:r>
          </w:p>
        </w:tc>
        <w:tc>
          <w:tcPr>
            <w:tcW w:w="1293" w:type="dxa"/>
            <w:hideMark/>
          </w:tcPr>
          <w:p w14:paraId="53A68601" w14:textId="6F49E061" w:rsidR="00BD1918" w:rsidRPr="00BD1918" w:rsidRDefault="00BD1918" w:rsidP="00F43BE9">
            <w:pPr>
              <w:rPr>
                <w:rFonts w:ascii="Arial" w:hAnsi="Arial" w:cs="Arial"/>
              </w:rPr>
            </w:pPr>
            <w:r w:rsidRPr="00BD1918">
              <w:rPr>
                <w:rFonts w:ascii="Arial" w:hAnsi="Arial" w:cs="Arial"/>
                <w:b/>
                <w:bCs/>
              </w:rPr>
              <w:t xml:space="preserve">Real </w:t>
            </w:r>
            <w:r w:rsidR="0050110A" w:rsidRPr="00C310FD">
              <w:rPr>
                <w:rFonts w:ascii="Arial" w:hAnsi="Arial" w:cs="Arial"/>
                <w:b/>
                <w:bCs/>
              </w:rPr>
              <w:t>U</w:t>
            </w:r>
            <w:r w:rsidRPr="00BD1918">
              <w:rPr>
                <w:rFonts w:ascii="Arial" w:hAnsi="Arial" w:cs="Arial"/>
                <w:b/>
                <w:bCs/>
              </w:rPr>
              <w:t>nit Costs</w:t>
            </w:r>
            <w:r w:rsidR="000B5BE6">
              <w:rPr>
                <w:rFonts w:ascii="Arial" w:hAnsi="Arial" w:cs="Arial"/>
                <w:b/>
                <w:bCs/>
              </w:rPr>
              <w:t xml:space="preserve"> (per Train Km)</w:t>
            </w:r>
          </w:p>
        </w:tc>
        <w:tc>
          <w:tcPr>
            <w:tcW w:w="1294" w:type="dxa"/>
            <w:hideMark/>
          </w:tcPr>
          <w:p w14:paraId="366FBFE3" w14:textId="77777777" w:rsidR="00BD1918" w:rsidRPr="00BD1918" w:rsidRDefault="00BD1918" w:rsidP="00F43BE9">
            <w:pPr>
              <w:rPr>
                <w:rFonts w:ascii="Arial" w:hAnsi="Arial" w:cs="Arial"/>
              </w:rPr>
            </w:pPr>
            <w:r w:rsidRPr="00BD1918">
              <w:rPr>
                <w:rFonts w:ascii="Arial" w:hAnsi="Arial" w:cs="Arial"/>
                <w:b/>
                <w:bCs/>
              </w:rPr>
              <w:t>Real support</w:t>
            </w:r>
          </w:p>
        </w:tc>
      </w:tr>
      <w:tr w:rsidR="00BD1918" w:rsidRPr="00C310FD" w14:paraId="5306846B" w14:textId="77777777" w:rsidTr="00D528D7">
        <w:trPr>
          <w:trHeight w:val="693"/>
        </w:trPr>
        <w:tc>
          <w:tcPr>
            <w:tcW w:w="809" w:type="dxa"/>
            <w:hideMark/>
          </w:tcPr>
          <w:p w14:paraId="2CD655E6" w14:textId="77777777" w:rsidR="00BD1918" w:rsidRPr="00BD1918" w:rsidRDefault="00BD1918" w:rsidP="00F43BE9">
            <w:pPr>
              <w:rPr>
                <w:rFonts w:ascii="Arial" w:hAnsi="Arial" w:cs="Arial"/>
              </w:rPr>
            </w:pPr>
            <w:r w:rsidRPr="00BD1918">
              <w:rPr>
                <w:rFonts w:ascii="Arial" w:hAnsi="Arial" w:cs="Arial"/>
                <w:b/>
                <w:bCs/>
              </w:rPr>
              <w:t>1</w:t>
            </w:r>
          </w:p>
        </w:tc>
        <w:tc>
          <w:tcPr>
            <w:tcW w:w="1029" w:type="dxa"/>
            <w:hideMark/>
          </w:tcPr>
          <w:p w14:paraId="35AA328B" w14:textId="77777777" w:rsidR="00BD1918" w:rsidRPr="00BD1918" w:rsidRDefault="00BD1918" w:rsidP="00F43BE9">
            <w:pPr>
              <w:rPr>
                <w:rFonts w:ascii="Arial" w:hAnsi="Arial" w:cs="Arial"/>
              </w:rPr>
            </w:pPr>
            <w:r w:rsidRPr="00BD1918">
              <w:rPr>
                <w:rFonts w:ascii="Arial" w:hAnsi="Arial" w:cs="Arial"/>
              </w:rPr>
              <w:t>95/96-00/01</w:t>
            </w:r>
          </w:p>
        </w:tc>
        <w:tc>
          <w:tcPr>
            <w:tcW w:w="1293" w:type="dxa"/>
            <w:hideMark/>
          </w:tcPr>
          <w:p w14:paraId="5D61DE1A" w14:textId="77777777" w:rsidR="00BD1918" w:rsidRPr="00BD1918" w:rsidRDefault="00BD1918" w:rsidP="00F43BE9">
            <w:pPr>
              <w:rPr>
                <w:rFonts w:ascii="Arial" w:hAnsi="Arial" w:cs="Arial"/>
              </w:rPr>
            </w:pPr>
            <w:r w:rsidRPr="00BD1918">
              <w:rPr>
                <w:rFonts w:ascii="Arial" w:hAnsi="Arial" w:cs="Arial"/>
              </w:rPr>
              <w:t xml:space="preserve"> +31</w:t>
            </w:r>
          </w:p>
        </w:tc>
        <w:tc>
          <w:tcPr>
            <w:tcW w:w="1293" w:type="dxa"/>
            <w:hideMark/>
          </w:tcPr>
          <w:p w14:paraId="0E9282F6" w14:textId="77777777" w:rsidR="00BD1918" w:rsidRPr="00BD1918" w:rsidRDefault="00BD1918" w:rsidP="00F43BE9">
            <w:pPr>
              <w:rPr>
                <w:rFonts w:ascii="Arial" w:hAnsi="Arial" w:cs="Arial"/>
              </w:rPr>
            </w:pPr>
            <w:r w:rsidRPr="00BD1918">
              <w:rPr>
                <w:rFonts w:ascii="Arial" w:hAnsi="Arial" w:cs="Arial"/>
              </w:rPr>
              <w:t>-5</w:t>
            </w:r>
          </w:p>
        </w:tc>
        <w:tc>
          <w:tcPr>
            <w:tcW w:w="1293" w:type="dxa"/>
            <w:hideMark/>
          </w:tcPr>
          <w:p w14:paraId="25B6BFFB" w14:textId="77777777" w:rsidR="00BD1918" w:rsidRPr="00BD1918" w:rsidRDefault="00BD1918" w:rsidP="00F43BE9">
            <w:pPr>
              <w:rPr>
                <w:rFonts w:ascii="Arial" w:hAnsi="Arial" w:cs="Arial"/>
              </w:rPr>
            </w:pPr>
            <w:r w:rsidRPr="00BD1918">
              <w:rPr>
                <w:rFonts w:ascii="Arial" w:hAnsi="Arial" w:cs="Arial"/>
              </w:rPr>
              <w:t>+21</w:t>
            </w:r>
          </w:p>
        </w:tc>
        <w:tc>
          <w:tcPr>
            <w:tcW w:w="1293" w:type="dxa"/>
            <w:hideMark/>
          </w:tcPr>
          <w:p w14:paraId="6EEFC4E4" w14:textId="122A0530" w:rsidR="00BD1918" w:rsidRPr="00BD1918" w:rsidRDefault="0050110A" w:rsidP="00F43BE9">
            <w:pPr>
              <w:rPr>
                <w:rFonts w:ascii="Arial" w:hAnsi="Arial" w:cs="Arial"/>
              </w:rPr>
            </w:pPr>
            <w:r w:rsidRPr="00C310FD">
              <w:rPr>
                <w:rFonts w:ascii="Arial" w:hAnsi="Arial" w:cs="Arial"/>
              </w:rPr>
              <w:t xml:space="preserve"> </w:t>
            </w:r>
            <w:r w:rsidR="00BD1918" w:rsidRPr="00BD1918">
              <w:rPr>
                <w:rFonts w:ascii="Arial" w:hAnsi="Arial" w:cs="Arial"/>
              </w:rPr>
              <w:t>+20</w:t>
            </w:r>
          </w:p>
        </w:tc>
        <w:tc>
          <w:tcPr>
            <w:tcW w:w="1294" w:type="dxa"/>
            <w:hideMark/>
          </w:tcPr>
          <w:p w14:paraId="7F614E51" w14:textId="77777777" w:rsidR="00BD1918" w:rsidRPr="00BD1918" w:rsidRDefault="00BD1918" w:rsidP="00F43BE9">
            <w:pPr>
              <w:rPr>
                <w:rFonts w:ascii="Arial" w:hAnsi="Arial" w:cs="Arial"/>
              </w:rPr>
            </w:pPr>
            <w:r w:rsidRPr="00BD1918">
              <w:rPr>
                <w:rFonts w:ascii="Arial" w:hAnsi="Arial" w:cs="Arial"/>
              </w:rPr>
              <w:t xml:space="preserve"> -38</w:t>
            </w:r>
          </w:p>
        </w:tc>
      </w:tr>
      <w:tr w:rsidR="00BD1918" w:rsidRPr="00C310FD" w14:paraId="202A3A8C" w14:textId="77777777" w:rsidTr="00D528D7">
        <w:trPr>
          <w:trHeight w:val="560"/>
        </w:trPr>
        <w:tc>
          <w:tcPr>
            <w:tcW w:w="809" w:type="dxa"/>
            <w:hideMark/>
          </w:tcPr>
          <w:p w14:paraId="3C12D49D" w14:textId="77777777" w:rsidR="00BD1918" w:rsidRPr="00BD1918" w:rsidRDefault="00BD1918" w:rsidP="00F43BE9">
            <w:pPr>
              <w:rPr>
                <w:rFonts w:ascii="Arial" w:hAnsi="Arial" w:cs="Arial"/>
              </w:rPr>
            </w:pPr>
            <w:r w:rsidRPr="00BD1918">
              <w:rPr>
                <w:rFonts w:ascii="Arial" w:hAnsi="Arial" w:cs="Arial"/>
                <w:b/>
                <w:bCs/>
              </w:rPr>
              <w:t>2</w:t>
            </w:r>
          </w:p>
        </w:tc>
        <w:tc>
          <w:tcPr>
            <w:tcW w:w="1029" w:type="dxa"/>
            <w:hideMark/>
          </w:tcPr>
          <w:p w14:paraId="39735969" w14:textId="77777777" w:rsidR="00BD1918" w:rsidRPr="00BD1918" w:rsidRDefault="00BD1918" w:rsidP="00F43BE9">
            <w:pPr>
              <w:rPr>
                <w:rFonts w:ascii="Arial" w:hAnsi="Arial" w:cs="Arial"/>
              </w:rPr>
            </w:pPr>
            <w:r w:rsidRPr="00BD1918">
              <w:rPr>
                <w:rFonts w:ascii="Arial" w:hAnsi="Arial" w:cs="Arial"/>
              </w:rPr>
              <w:t>01/02-</w:t>
            </w:r>
          </w:p>
          <w:p w14:paraId="1939EAD6" w14:textId="77777777" w:rsidR="00BD1918" w:rsidRPr="00BD1918" w:rsidRDefault="00BD1918" w:rsidP="00F43BE9">
            <w:pPr>
              <w:rPr>
                <w:rFonts w:ascii="Arial" w:hAnsi="Arial" w:cs="Arial"/>
              </w:rPr>
            </w:pPr>
            <w:r w:rsidRPr="00BD1918">
              <w:rPr>
                <w:rFonts w:ascii="Arial" w:hAnsi="Arial" w:cs="Arial"/>
              </w:rPr>
              <w:t>04/05</w:t>
            </w:r>
          </w:p>
        </w:tc>
        <w:tc>
          <w:tcPr>
            <w:tcW w:w="1293" w:type="dxa"/>
            <w:hideMark/>
          </w:tcPr>
          <w:p w14:paraId="5DF2D77A" w14:textId="77777777" w:rsidR="00BD1918" w:rsidRPr="00BD1918" w:rsidRDefault="00BD1918" w:rsidP="00F43BE9">
            <w:pPr>
              <w:rPr>
                <w:rFonts w:ascii="Arial" w:hAnsi="Arial" w:cs="Arial"/>
              </w:rPr>
            </w:pPr>
            <w:r w:rsidRPr="00BD1918">
              <w:rPr>
                <w:rFonts w:ascii="Arial" w:hAnsi="Arial" w:cs="Arial"/>
              </w:rPr>
              <w:t xml:space="preserve">  +7</w:t>
            </w:r>
          </w:p>
        </w:tc>
        <w:tc>
          <w:tcPr>
            <w:tcW w:w="1293" w:type="dxa"/>
            <w:hideMark/>
          </w:tcPr>
          <w:p w14:paraId="484144F4" w14:textId="77777777" w:rsidR="00BD1918" w:rsidRPr="00BD1918" w:rsidRDefault="00BD1918" w:rsidP="00F43BE9">
            <w:pPr>
              <w:rPr>
                <w:rFonts w:ascii="Arial" w:hAnsi="Arial" w:cs="Arial"/>
              </w:rPr>
            </w:pPr>
            <w:r w:rsidRPr="00BD1918">
              <w:rPr>
                <w:rFonts w:ascii="Arial" w:hAnsi="Arial" w:cs="Arial"/>
              </w:rPr>
              <w:t>+4</w:t>
            </w:r>
          </w:p>
        </w:tc>
        <w:tc>
          <w:tcPr>
            <w:tcW w:w="1293" w:type="dxa"/>
            <w:hideMark/>
          </w:tcPr>
          <w:p w14:paraId="0AFF121F" w14:textId="77777777" w:rsidR="00BD1918" w:rsidRPr="00BD1918" w:rsidRDefault="00BD1918" w:rsidP="00F43BE9">
            <w:pPr>
              <w:rPr>
                <w:rFonts w:ascii="Arial" w:hAnsi="Arial" w:cs="Arial"/>
              </w:rPr>
            </w:pPr>
            <w:r w:rsidRPr="00BD1918">
              <w:rPr>
                <w:rFonts w:ascii="Arial" w:hAnsi="Arial" w:cs="Arial"/>
              </w:rPr>
              <w:t xml:space="preserve"> +7</w:t>
            </w:r>
          </w:p>
        </w:tc>
        <w:tc>
          <w:tcPr>
            <w:tcW w:w="1293" w:type="dxa"/>
            <w:hideMark/>
          </w:tcPr>
          <w:p w14:paraId="7666DBB1" w14:textId="40EE546F" w:rsidR="00BD1918" w:rsidRPr="00BD1918" w:rsidRDefault="0050110A" w:rsidP="00F43BE9">
            <w:pPr>
              <w:rPr>
                <w:rFonts w:ascii="Arial" w:hAnsi="Arial" w:cs="Arial"/>
              </w:rPr>
            </w:pPr>
            <w:r w:rsidRPr="00C310FD">
              <w:rPr>
                <w:rFonts w:ascii="Arial" w:hAnsi="Arial" w:cs="Arial"/>
              </w:rPr>
              <w:t xml:space="preserve"> </w:t>
            </w:r>
            <w:r w:rsidR="00BD1918" w:rsidRPr="00BD1918">
              <w:rPr>
                <w:rFonts w:ascii="Arial" w:hAnsi="Arial" w:cs="Arial"/>
              </w:rPr>
              <w:t>+18</w:t>
            </w:r>
          </w:p>
        </w:tc>
        <w:tc>
          <w:tcPr>
            <w:tcW w:w="1294" w:type="dxa"/>
            <w:hideMark/>
          </w:tcPr>
          <w:p w14:paraId="63070A7D" w14:textId="77777777" w:rsidR="00BD1918" w:rsidRPr="00BD1918" w:rsidRDefault="00BD1918" w:rsidP="00F43BE9">
            <w:pPr>
              <w:rPr>
                <w:rFonts w:ascii="Arial" w:hAnsi="Arial" w:cs="Arial"/>
              </w:rPr>
            </w:pPr>
            <w:r w:rsidRPr="00BD1918">
              <w:rPr>
                <w:rFonts w:ascii="Arial" w:hAnsi="Arial" w:cs="Arial"/>
              </w:rPr>
              <w:t>+185</w:t>
            </w:r>
          </w:p>
        </w:tc>
      </w:tr>
      <w:tr w:rsidR="00BD1918" w:rsidRPr="00C310FD" w14:paraId="6C6D02C7" w14:textId="77777777" w:rsidTr="00D528D7">
        <w:trPr>
          <w:trHeight w:val="696"/>
        </w:trPr>
        <w:tc>
          <w:tcPr>
            <w:tcW w:w="809" w:type="dxa"/>
            <w:hideMark/>
          </w:tcPr>
          <w:p w14:paraId="0F14DE3C" w14:textId="77777777" w:rsidR="00BD1918" w:rsidRPr="00BD1918" w:rsidRDefault="00BD1918" w:rsidP="00F43BE9">
            <w:pPr>
              <w:rPr>
                <w:rFonts w:ascii="Arial" w:hAnsi="Arial" w:cs="Arial"/>
              </w:rPr>
            </w:pPr>
            <w:r w:rsidRPr="00BD1918">
              <w:rPr>
                <w:rFonts w:ascii="Arial" w:hAnsi="Arial" w:cs="Arial"/>
                <w:b/>
                <w:bCs/>
              </w:rPr>
              <w:t>3</w:t>
            </w:r>
          </w:p>
        </w:tc>
        <w:tc>
          <w:tcPr>
            <w:tcW w:w="1029" w:type="dxa"/>
            <w:hideMark/>
          </w:tcPr>
          <w:p w14:paraId="2E9E6150" w14:textId="77777777" w:rsidR="00BD1918" w:rsidRPr="00BD1918" w:rsidRDefault="00BD1918" w:rsidP="00F43BE9">
            <w:pPr>
              <w:rPr>
                <w:rFonts w:ascii="Arial" w:hAnsi="Arial" w:cs="Arial"/>
              </w:rPr>
            </w:pPr>
            <w:r w:rsidRPr="00BD1918">
              <w:rPr>
                <w:rFonts w:ascii="Arial" w:hAnsi="Arial" w:cs="Arial"/>
              </w:rPr>
              <w:t>05/06-11/12</w:t>
            </w:r>
          </w:p>
        </w:tc>
        <w:tc>
          <w:tcPr>
            <w:tcW w:w="1293" w:type="dxa"/>
            <w:hideMark/>
          </w:tcPr>
          <w:p w14:paraId="0D0818C6" w14:textId="77777777" w:rsidR="00BD1918" w:rsidRPr="00BD1918" w:rsidRDefault="00BD1918" w:rsidP="00F43BE9">
            <w:pPr>
              <w:rPr>
                <w:rFonts w:ascii="Arial" w:hAnsi="Arial" w:cs="Arial"/>
              </w:rPr>
            </w:pPr>
            <w:r w:rsidRPr="00BD1918">
              <w:rPr>
                <w:rFonts w:ascii="Arial" w:hAnsi="Arial" w:cs="Arial"/>
              </w:rPr>
              <w:t xml:space="preserve"> +34</w:t>
            </w:r>
          </w:p>
        </w:tc>
        <w:tc>
          <w:tcPr>
            <w:tcW w:w="1293" w:type="dxa"/>
            <w:hideMark/>
          </w:tcPr>
          <w:p w14:paraId="0AAB2E30" w14:textId="77777777" w:rsidR="00BD1918" w:rsidRPr="00BD1918" w:rsidRDefault="00BD1918" w:rsidP="00F43BE9">
            <w:pPr>
              <w:rPr>
                <w:rFonts w:ascii="Arial" w:hAnsi="Arial" w:cs="Arial"/>
              </w:rPr>
            </w:pPr>
            <w:r w:rsidRPr="00BD1918">
              <w:rPr>
                <w:rFonts w:ascii="Arial" w:hAnsi="Arial" w:cs="Arial"/>
              </w:rPr>
              <w:t>+3</w:t>
            </w:r>
          </w:p>
        </w:tc>
        <w:tc>
          <w:tcPr>
            <w:tcW w:w="1293" w:type="dxa"/>
            <w:hideMark/>
          </w:tcPr>
          <w:p w14:paraId="64179B23" w14:textId="77777777" w:rsidR="00BD1918" w:rsidRPr="00BD1918" w:rsidRDefault="00BD1918" w:rsidP="00F43BE9">
            <w:pPr>
              <w:rPr>
                <w:rFonts w:ascii="Arial" w:hAnsi="Arial" w:cs="Arial"/>
              </w:rPr>
            </w:pPr>
            <w:r w:rsidRPr="00BD1918">
              <w:rPr>
                <w:rFonts w:ascii="Arial" w:hAnsi="Arial" w:cs="Arial"/>
              </w:rPr>
              <w:t xml:space="preserve"> +11</w:t>
            </w:r>
          </w:p>
        </w:tc>
        <w:tc>
          <w:tcPr>
            <w:tcW w:w="1293" w:type="dxa"/>
            <w:hideMark/>
          </w:tcPr>
          <w:p w14:paraId="78A7744A" w14:textId="1C0D2FC5" w:rsidR="00BD1918" w:rsidRPr="00BD1918" w:rsidRDefault="00BD1918" w:rsidP="00F43BE9">
            <w:pPr>
              <w:rPr>
                <w:rFonts w:ascii="Arial" w:hAnsi="Arial" w:cs="Arial"/>
              </w:rPr>
            </w:pPr>
            <w:r w:rsidRPr="00BD1918">
              <w:rPr>
                <w:rFonts w:ascii="Arial" w:hAnsi="Arial" w:cs="Arial"/>
              </w:rPr>
              <w:t xml:space="preserve">  </w:t>
            </w:r>
            <w:r w:rsidR="0050110A" w:rsidRPr="00C310FD">
              <w:rPr>
                <w:rFonts w:ascii="Arial" w:hAnsi="Arial" w:cs="Arial"/>
              </w:rPr>
              <w:t xml:space="preserve"> </w:t>
            </w:r>
            <w:r w:rsidRPr="00BD1918">
              <w:rPr>
                <w:rFonts w:ascii="Arial" w:hAnsi="Arial" w:cs="Arial"/>
              </w:rPr>
              <w:t>+2</w:t>
            </w:r>
          </w:p>
        </w:tc>
        <w:tc>
          <w:tcPr>
            <w:tcW w:w="1294" w:type="dxa"/>
            <w:hideMark/>
          </w:tcPr>
          <w:p w14:paraId="4B252E46" w14:textId="77777777" w:rsidR="00BD1918" w:rsidRPr="00BD1918" w:rsidRDefault="00BD1918" w:rsidP="00F43BE9">
            <w:pPr>
              <w:rPr>
                <w:rFonts w:ascii="Arial" w:hAnsi="Arial" w:cs="Arial"/>
              </w:rPr>
            </w:pPr>
            <w:r w:rsidRPr="00BD1918">
              <w:rPr>
                <w:rFonts w:ascii="Arial" w:hAnsi="Arial" w:cs="Arial"/>
              </w:rPr>
              <w:t xml:space="preserve">     0</w:t>
            </w:r>
          </w:p>
        </w:tc>
      </w:tr>
      <w:tr w:rsidR="00BD1918" w:rsidRPr="00C310FD" w14:paraId="4A6CD82B" w14:textId="77777777" w:rsidTr="00D528D7">
        <w:trPr>
          <w:trHeight w:val="698"/>
        </w:trPr>
        <w:tc>
          <w:tcPr>
            <w:tcW w:w="809" w:type="dxa"/>
            <w:hideMark/>
          </w:tcPr>
          <w:p w14:paraId="2D1073D8" w14:textId="77777777" w:rsidR="00BD1918" w:rsidRPr="00BD1918" w:rsidRDefault="00BD1918" w:rsidP="00F43BE9">
            <w:pPr>
              <w:rPr>
                <w:rFonts w:ascii="Arial" w:hAnsi="Arial" w:cs="Arial"/>
              </w:rPr>
            </w:pPr>
            <w:r w:rsidRPr="00BD1918">
              <w:rPr>
                <w:rFonts w:ascii="Arial" w:hAnsi="Arial" w:cs="Arial"/>
                <w:b/>
                <w:bCs/>
              </w:rPr>
              <w:t>4/5</w:t>
            </w:r>
          </w:p>
        </w:tc>
        <w:tc>
          <w:tcPr>
            <w:tcW w:w="1029" w:type="dxa"/>
            <w:hideMark/>
          </w:tcPr>
          <w:p w14:paraId="6B390081" w14:textId="77777777" w:rsidR="00BD1918" w:rsidRPr="00BD1918" w:rsidRDefault="00BD1918" w:rsidP="00F43BE9">
            <w:pPr>
              <w:rPr>
                <w:rFonts w:ascii="Arial" w:hAnsi="Arial" w:cs="Arial"/>
              </w:rPr>
            </w:pPr>
            <w:r w:rsidRPr="00BD1918">
              <w:rPr>
                <w:rFonts w:ascii="Arial" w:hAnsi="Arial" w:cs="Arial"/>
              </w:rPr>
              <w:t>12/13-17/18</w:t>
            </w:r>
          </w:p>
        </w:tc>
        <w:tc>
          <w:tcPr>
            <w:tcW w:w="1293" w:type="dxa"/>
            <w:hideMark/>
          </w:tcPr>
          <w:p w14:paraId="04D5494E" w14:textId="77777777" w:rsidR="00BD1918" w:rsidRPr="00BD1918" w:rsidRDefault="00BD1918" w:rsidP="00F43BE9">
            <w:pPr>
              <w:rPr>
                <w:rFonts w:ascii="Arial" w:hAnsi="Arial" w:cs="Arial"/>
              </w:rPr>
            </w:pPr>
            <w:r w:rsidRPr="00BD1918">
              <w:rPr>
                <w:rFonts w:ascii="Arial" w:hAnsi="Arial" w:cs="Arial"/>
              </w:rPr>
              <w:t xml:space="preserve"> +16</w:t>
            </w:r>
          </w:p>
        </w:tc>
        <w:tc>
          <w:tcPr>
            <w:tcW w:w="1293" w:type="dxa"/>
            <w:hideMark/>
          </w:tcPr>
          <w:p w14:paraId="0569F34E" w14:textId="77777777" w:rsidR="00BD1918" w:rsidRPr="00BD1918" w:rsidRDefault="00BD1918" w:rsidP="00F43BE9">
            <w:pPr>
              <w:rPr>
                <w:rFonts w:ascii="Arial" w:hAnsi="Arial" w:cs="Arial"/>
              </w:rPr>
            </w:pPr>
            <w:r w:rsidRPr="00BD1918">
              <w:rPr>
                <w:rFonts w:ascii="Arial" w:hAnsi="Arial" w:cs="Arial"/>
              </w:rPr>
              <w:t>-3</w:t>
            </w:r>
          </w:p>
        </w:tc>
        <w:tc>
          <w:tcPr>
            <w:tcW w:w="1293" w:type="dxa"/>
            <w:hideMark/>
          </w:tcPr>
          <w:p w14:paraId="4CA7B321" w14:textId="77777777" w:rsidR="00BD1918" w:rsidRPr="00BD1918" w:rsidRDefault="00BD1918" w:rsidP="00F43BE9">
            <w:pPr>
              <w:rPr>
                <w:rFonts w:ascii="Arial" w:hAnsi="Arial" w:cs="Arial"/>
              </w:rPr>
            </w:pPr>
            <w:r w:rsidRPr="00BD1918">
              <w:rPr>
                <w:rFonts w:ascii="Arial" w:hAnsi="Arial" w:cs="Arial"/>
              </w:rPr>
              <w:t xml:space="preserve">  +2</w:t>
            </w:r>
          </w:p>
        </w:tc>
        <w:tc>
          <w:tcPr>
            <w:tcW w:w="1293" w:type="dxa"/>
            <w:hideMark/>
          </w:tcPr>
          <w:p w14:paraId="588FD0E1" w14:textId="7701D31E" w:rsidR="00BD1918" w:rsidRPr="00BD1918" w:rsidRDefault="00BD1918" w:rsidP="00F43BE9">
            <w:pPr>
              <w:rPr>
                <w:rFonts w:ascii="Arial" w:hAnsi="Arial" w:cs="Arial"/>
              </w:rPr>
            </w:pPr>
            <w:r w:rsidRPr="00BD1918">
              <w:rPr>
                <w:rFonts w:ascii="Arial" w:hAnsi="Arial" w:cs="Arial"/>
              </w:rPr>
              <w:t xml:space="preserve"> </w:t>
            </w:r>
            <w:r w:rsidR="0050110A" w:rsidRPr="00C310FD">
              <w:rPr>
                <w:rFonts w:ascii="Arial" w:hAnsi="Arial" w:cs="Arial"/>
              </w:rPr>
              <w:t xml:space="preserve"> </w:t>
            </w:r>
            <w:r w:rsidRPr="00BD1918">
              <w:rPr>
                <w:rFonts w:ascii="Arial" w:hAnsi="Arial" w:cs="Arial"/>
              </w:rPr>
              <w:t xml:space="preserve"> +5</w:t>
            </w:r>
          </w:p>
        </w:tc>
        <w:tc>
          <w:tcPr>
            <w:tcW w:w="1294" w:type="dxa"/>
            <w:hideMark/>
          </w:tcPr>
          <w:p w14:paraId="204D240D" w14:textId="77777777" w:rsidR="00BD1918" w:rsidRPr="00BD1918" w:rsidRDefault="00BD1918" w:rsidP="00F43BE9">
            <w:pPr>
              <w:rPr>
                <w:rFonts w:ascii="Arial" w:hAnsi="Arial" w:cs="Arial"/>
              </w:rPr>
            </w:pPr>
            <w:r w:rsidRPr="00BD1918">
              <w:rPr>
                <w:rFonts w:ascii="Arial" w:hAnsi="Arial" w:cs="Arial"/>
              </w:rPr>
              <w:t xml:space="preserve">   +3</w:t>
            </w:r>
          </w:p>
        </w:tc>
      </w:tr>
      <w:tr w:rsidR="00BD1918" w:rsidRPr="00C310FD" w14:paraId="7368F5A1" w14:textId="77777777" w:rsidTr="00D528D7">
        <w:trPr>
          <w:trHeight w:val="547"/>
        </w:trPr>
        <w:tc>
          <w:tcPr>
            <w:tcW w:w="809" w:type="dxa"/>
            <w:hideMark/>
          </w:tcPr>
          <w:p w14:paraId="4CADD478" w14:textId="77777777" w:rsidR="00BD1918" w:rsidRPr="00BD1918" w:rsidRDefault="00BD1918" w:rsidP="00F43BE9">
            <w:pPr>
              <w:rPr>
                <w:rFonts w:ascii="Arial" w:hAnsi="Arial" w:cs="Arial"/>
              </w:rPr>
            </w:pPr>
            <w:r w:rsidRPr="00BD1918">
              <w:rPr>
                <w:rFonts w:ascii="Arial" w:hAnsi="Arial" w:cs="Arial"/>
                <w:b/>
                <w:bCs/>
              </w:rPr>
              <w:t>TOTAL</w:t>
            </w:r>
          </w:p>
        </w:tc>
        <w:tc>
          <w:tcPr>
            <w:tcW w:w="1029" w:type="dxa"/>
            <w:hideMark/>
          </w:tcPr>
          <w:p w14:paraId="43BCDA2F" w14:textId="77777777" w:rsidR="00BD1918" w:rsidRPr="00BD1918" w:rsidRDefault="00BD1918" w:rsidP="00F43BE9">
            <w:pPr>
              <w:rPr>
                <w:rFonts w:ascii="Arial" w:hAnsi="Arial" w:cs="Arial"/>
              </w:rPr>
            </w:pPr>
            <w:r w:rsidRPr="00BD1918">
              <w:rPr>
                <w:rFonts w:ascii="Arial" w:hAnsi="Arial" w:cs="Arial"/>
              </w:rPr>
              <w:t> </w:t>
            </w:r>
          </w:p>
        </w:tc>
        <w:tc>
          <w:tcPr>
            <w:tcW w:w="1293" w:type="dxa"/>
            <w:hideMark/>
          </w:tcPr>
          <w:p w14:paraId="3F0B07B4" w14:textId="77777777" w:rsidR="00BD1918" w:rsidRPr="00BD1918" w:rsidRDefault="00BD1918" w:rsidP="00F43BE9">
            <w:pPr>
              <w:rPr>
                <w:rFonts w:ascii="Arial" w:hAnsi="Arial" w:cs="Arial"/>
              </w:rPr>
            </w:pPr>
            <w:r w:rsidRPr="00BD1918">
              <w:rPr>
                <w:rFonts w:ascii="Arial" w:hAnsi="Arial" w:cs="Arial"/>
              </w:rPr>
              <w:t>+118</w:t>
            </w:r>
          </w:p>
        </w:tc>
        <w:tc>
          <w:tcPr>
            <w:tcW w:w="1293" w:type="dxa"/>
            <w:hideMark/>
          </w:tcPr>
          <w:p w14:paraId="25335AEF" w14:textId="77777777" w:rsidR="00BD1918" w:rsidRPr="00BD1918" w:rsidRDefault="00BD1918" w:rsidP="00F43BE9">
            <w:pPr>
              <w:rPr>
                <w:rFonts w:ascii="Arial" w:hAnsi="Arial" w:cs="Arial"/>
              </w:rPr>
            </w:pPr>
            <w:r w:rsidRPr="00BD1918">
              <w:rPr>
                <w:rFonts w:ascii="Arial" w:hAnsi="Arial" w:cs="Arial"/>
              </w:rPr>
              <w:t>-1</w:t>
            </w:r>
          </w:p>
        </w:tc>
        <w:tc>
          <w:tcPr>
            <w:tcW w:w="1293" w:type="dxa"/>
            <w:hideMark/>
          </w:tcPr>
          <w:p w14:paraId="3E3454CC" w14:textId="77777777" w:rsidR="00BD1918" w:rsidRPr="00BD1918" w:rsidRDefault="00BD1918" w:rsidP="00F43BE9">
            <w:pPr>
              <w:rPr>
                <w:rFonts w:ascii="Arial" w:hAnsi="Arial" w:cs="Arial"/>
              </w:rPr>
            </w:pPr>
            <w:r w:rsidRPr="00BD1918">
              <w:rPr>
                <w:rFonts w:ascii="Arial" w:hAnsi="Arial" w:cs="Arial"/>
              </w:rPr>
              <w:t>+47</w:t>
            </w:r>
          </w:p>
        </w:tc>
        <w:tc>
          <w:tcPr>
            <w:tcW w:w="1293" w:type="dxa"/>
            <w:hideMark/>
          </w:tcPr>
          <w:p w14:paraId="78A5E501" w14:textId="1DEBB816" w:rsidR="00BD1918" w:rsidRPr="00BD1918" w:rsidRDefault="0050110A" w:rsidP="00F43BE9">
            <w:pPr>
              <w:rPr>
                <w:rFonts w:ascii="Arial" w:hAnsi="Arial" w:cs="Arial"/>
              </w:rPr>
            </w:pPr>
            <w:r w:rsidRPr="00C310FD">
              <w:rPr>
                <w:rFonts w:ascii="Arial" w:hAnsi="Arial" w:cs="Arial"/>
              </w:rPr>
              <w:t xml:space="preserve"> </w:t>
            </w:r>
            <w:r w:rsidR="00BD1918" w:rsidRPr="00BD1918">
              <w:rPr>
                <w:rFonts w:ascii="Arial" w:hAnsi="Arial" w:cs="Arial"/>
              </w:rPr>
              <w:t>+52</w:t>
            </w:r>
          </w:p>
        </w:tc>
        <w:tc>
          <w:tcPr>
            <w:tcW w:w="1294" w:type="dxa"/>
            <w:hideMark/>
          </w:tcPr>
          <w:p w14:paraId="0F4F61D6" w14:textId="77777777" w:rsidR="00BD1918" w:rsidRPr="00BD1918" w:rsidRDefault="00BD1918" w:rsidP="00F43BE9">
            <w:pPr>
              <w:rPr>
                <w:rFonts w:ascii="Arial" w:hAnsi="Arial" w:cs="Arial"/>
              </w:rPr>
            </w:pPr>
            <w:r w:rsidRPr="00BD1918">
              <w:rPr>
                <w:rFonts w:ascii="Arial" w:hAnsi="Arial" w:cs="Arial"/>
              </w:rPr>
              <w:t xml:space="preserve"> +81</w:t>
            </w:r>
          </w:p>
        </w:tc>
      </w:tr>
      <w:tr w:rsidR="00BD1918" w:rsidRPr="00C310FD" w14:paraId="309FAB5E" w14:textId="77777777" w:rsidTr="00D528D7">
        <w:trPr>
          <w:trHeight w:val="547"/>
        </w:trPr>
        <w:tc>
          <w:tcPr>
            <w:tcW w:w="809" w:type="dxa"/>
            <w:hideMark/>
          </w:tcPr>
          <w:p w14:paraId="1CA405BF" w14:textId="77777777" w:rsidR="00BD1918" w:rsidRPr="00BD1918" w:rsidRDefault="00BD1918" w:rsidP="00F43BE9">
            <w:pPr>
              <w:rPr>
                <w:rFonts w:ascii="Arial" w:hAnsi="Arial" w:cs="Arial"/>
              </w:rPr>
            </w:pPr>
            <w:r w:rsidRPr="00BD1918">
              <w:rPr>
                <w:rFonts w:ascii="Arial" w:hAnsi="Arial" w:cs="Arial"/>
                <w:b/>
                <w:bCs/>
              </w:rPr>
              <w:t>5/6</w:t>
            </w:r>
          </w:p>
        </w:tc>
        <w:tc>
          <w:tcPr>
            <w:tcW w:w="1029" w:type="dxa"/>
            <w:hideMark/>
          </w:tcPr>
          <w:p w14:paraId="5B7D255C" w14:textId="77777777" w:rsidR="00BD1918" w:rsidRPr="00BD1918" w:rsidRDefault="00BD1918" w:rsidP="00F43BE9">
            <w:pPr>
              <w:rPr>
                <w:rFonts w:ascii="Arial" w:hAnsi="Arial" w:cs="Arial"/>
              </w:rPr>
            </w:pPr>
            <w:r w:rsidRPr="00BD1918">
              <w:rPr>
                <w:rFonts w:ascii="Arial" w:hAnsi="Arial" w:cs="Arial"/>
              </w:rPr>
              <w:t>17/18 –</w:t>
            </w:r>
          </w:p>
          <w:p w14:paraId="6B0F245E" w14:textId="77777777" w:rsidR="00BD1918" w:rsidRPr="00BD1918" w:rsidRDefault="00BD1918" w:rsidP="00F43BE9">
            <w:pPr>
              <w:rPr>
                <w:rFonts w:ascii="Arial" w:hAnsi="Arial" w:cs="Arial"/>
              </w:rPr>
            </w:pPr>
            <w:r w:rsidRPr="00BD1918">
              <w:rPr>
                <w:rFonts w:ascii="Arial" w:hAnsi="Arial" w:cs="Arial"/>
              </w:rPr>
              <w:t>20/21</w:t>
            </w:r>
          </w:p>
        </w:tc>
        <w:tc>
          <w:tcPr>
            <w:tcW w:w="1293" w:type="dxa"/>
            <w:hideMark/>
          </w:tcPr>
          <w:p w14:paraId="3EF32435" w14:textId="77777777" w:rsidR="00BD1918" w:rsidRPr="00BD1918" w:rsidRDefault="00BD1918" w:rsidP="00F43BE9">
            <w:pPr>
              <w:rPr>
                <w:rFonts w:ascii="Arial" w:hAnsi="Arial" w:cs="Arial"/>
              </w:rPr>
            </w:pPr>
            <w:r w:rsidRPr="00BD1918">
              <w:rPr>
                <w:rFonts w:ascii="Arial" w:hAnsi="Arial" w:cs="Arial"/>
              </w:rPr>
              <w:t xml:space="preserve">  -81</w:t>
            </w:r>
          </w:p>
        </w:tc>
        <w:tc>
          <w:tcPr>
            <w:tcW w:w="1293" w:type="dxa"/>
            <w:hideMark/>
          </w:tcPr>
          <w:p w14:paraId="10C0DB0D" w14:textId="77777777" w:rsidR="00BD1918" w:rsidRPr="00BD1918" w:rsidRDefault="00BD1918" w:rsidP="00F43BE9">
            <w:pPr>
              <w:rPr>
                <w:rFonts w:ascii="Arial" w:hAnsi="Arial" w:cs="Arial"/>
              </w:rPr>
            </w:pPr>
            <w:r w:rsidRPr="00BD1918">
              <w:rPr>
                <w:rFonts w:ascii="Arial" w:hAnsi="Arial" w:cs="Arial"/>
              </w:rPr>
              <w:t>-6</w:t>
            </w:r>
          </w:p>
        </w:tc>
        <w:tc>
          <w:tcPr>
            <w:tcW w:w="1293" w:type="dxa"/>
            <w:hideMark/>
          </w:tcPr>
          <w:p w14:paraId="51A03460" w14:textId="77777777" w:rsidR="00BD1918" w:rsidRPr="00BD1918" w:rsidRDefault="00BD1918" w:rsidP="00F43BE9">
            <w:pPr>
              <w:rPr>
                <w:rFonts w:ascii="Arial" w:hAnsi="Arial" w:cs="Arial"/>
              </w:rPr>
            </w:pPr>
            <w:r w:rsidRPr="00BD1918">
              <w:rPr>
                <w:rFonts w:ascii="Arial" w:hAnsi="Arial" w:cs="Arial"/>
              </w:rPr>
              <w:t>-20</w:t>
            </w:r>
          </w:p>
        </w:tc>
        <w:tc>
          <w:tcPr>
            <w:tcW w:w="1293" w:type="dxa"/>
            <w:hideMark/>
          </w:tcPr>
          <w:p w14:paraId="0A0618A0" w14:textId="79C9F83B" w:rsidR="00BD1918" w:rsidRPr="00BD1918" w:rsidRDefault="0050110A" w:rsidP="00F43BE9">
            <w:pPr>
              <w:rPr>
                <w:rFonts w:ascii="Arial" w:hAnsi="Arial" w:cs="Arial"/>
              </w:rPr>
            </w:pPr>
            <w:r w:rsidRPr="00C310FD">
              <w:rPr>
                <w:rFonts w:ascii="Arial" w:hAnsi="Arial" w:cs="Arial"/>
              </w:rPr>
              <w:t xml:space="preserve"> +5</w:t>
            </w:r>
            <w:r w:rsidR="00606224" w:rsidRPr="00C310FD">
              <w:rPr>
                <w:rFonts w:ascii="Arial" w:hAnsi="Arial" w:cs="Arial"/>
              </w:rPr>
              <w:t>2</w:t>
            </w:r>
            <w:r w:rsidRPr="00C310FD">
              <w:rPr>
                <w:rFonts w:ascii="Arial" w:hAnsi="Arial" w:cs="Arial"/>
              </w:rPr>
              <w:t xml:space="preserve"> *</w:t>
            </w:r>
          </w:p>
        </w:tc>
        <w:tc>
          <w:tcPr>
            <w:tcW w:w="1294" w:type="dxa"/>
            <w:hideMark/>
          </w:tcPr>
          <w:p w14:paraId="26EB6C1F" w14:textId="35EE7D95" w:rsidR="00BD1918" w:rsidRPr="00BD1918" w:rsidRDefault="00084E46" w:rsidP="00F43BE9">
            <w:pPr>
              <w:rPr>
                <w:rFonts w:ascii="Arial" w:hAnsi="Arial" w:cs="Arial"/>
              </w:rPr>
            </w:pPr>
            <w:r w:rsidRPr="00C310FD">
              <w:rPr>
                <w:rFonts w:ascii="Arial" w:hAnsi="Arial" w:cs="Arial"/>
              </w:rPr>
              <w:t>+112 *</w:t>
            </w:r>
          </w:p>
        </w:tc>
      </w:tr>
      <w:tr w:rsidR="00D528D7" w:rsidRPr="00C310FD" w14:paraId="49376261" w14:textId="77777777" w:rsidTr="00D528D7">
        <w:trPr>
          <w:trHeight w:val="547"/>
        </w:trPr>
        <w:tc>
          <w:tcPr>
            <w:tcW w:w="809" w:type="dxa"/>
          </w:tcPr>
          <w:p w14:paraId="20090EF0" w14:textId="19AB3FE5" w:rsidR="00D528D7" w:rsidRPr="00C310FD" w:rsidRDefault="00D528D7" w:rsidP="00F43BE9">
            <w:pPr>
              <w:rPr>
                <w:rFonts w:ascii="Arial" w:hAnsi="Arial" w:cs="Arial"/>
                <w:b/>
                <w:bCs/>
              </w:rPr>
            </w:pPr>
            <w:r w:rsidRPr="00C310FD">
              <w:rPr>
                <w:rFonts w:ascii="Arial" w:hAnsi="Arial" w:cs="Arial"/>
                <w:b/>
                <w:bCs/>
              </w:rPr>
              <w:t>TOTAL</w:t>
            </w:r>
          </w:p>
        </w:tc>
        <w:tc>
          <w:tcPr>
            <w:tcW w:w="1029" w:type="dxa"/>
          </w:tcPr>
          <w:p w14:paraId="168ECCF4" w14:textId="77777777" w:rsidR="00D528D7" w:rsidRPr="00C310FD" w:rsidRDefault="00D528D7" w:rsidP="00F43BE9">
            <w:pPr>
              <w:rPr>
                <w:rFonts w:ascii="Arial" w:hAnsi="Arial" w:cs="Arial"/>
              </w:rPr>
            </w:pPr>
          </w:p>
        </w:tc>
        <w:tc>
          <w:tcPr>
            <w:tcW w:w="1293" w:type="dxa"/>
          </w:tcPr>
          <w:p w14:paraId="7F597637" w14:textId="1276E921" w:rsidR="00D528D7" w:rsidRPr="00C310FD" w:rsidRDefault="00D528D7" w:rsidP="00F43BE9">
            <w:pPr>
              <w:rPr>
                <w:rFonts w:ascii="Arial" w:hAnsi="Arial" w:cs="Arial"/>
              </w:rPr>
            </w:pPr>
            <w:r w:rsidRPr="00C310FD">
              <w:rPr>
                <w:rFonts w:ascii="Arial" w:hAnsi="Arial" w:cs="Arial"/>
              </w:rPr>
              <w:t xml:space="preserve">  -59</w:t>
            </w:r>
          </w:p>
        </w:tc>
        <w:tc>
          <w:tcPr>
            <w:tcW w:w="1293" w:type="dxa"/>
          </w:tcPr>
          <w:p w14:paraId="26192A6C" w14:textId="2716B0E8" w:rsidR="00D528D7" w:rsidRPr="00C310FD" w:rsidRDefault="00D528D7" w:rsidP="00F43BE9">
            <w:pPr>
              <w:rPr>
                <w:rFonts w:ascii="Arial" w:hAnsi="Arial" w:cs="Arial"/>
              </w:rPr>
            </w:pPr>
            <w:r w:rsidRPr="00C310FD">
              <w:rPr>
                <w:rFonts w:ascii="Arial" w:hAnsi="Arial" w:cs="Arial"/>
              </w:rPr>
              <w:t>-7</w:t>
            </w:r>
          </w:p>
        </w:tc>
        <w:tc>
          <w:tcPr>
            <w:tcW w:w="1293" w:type="dxa"/>
          </w:tcPr>
          <w:p w14:paraId="2E7D3040" w14:textId="2AAA3BCD" w:rsidR="00D528D7" w:rsidRPr="00C310FD" w:rsidRDefault="00D528D7" w:rsidP="00F43BE9">
            <w:pPr>
              <w:rPr>
                <w:rFonts w:ascii="Arial" w:hAnsi="Arial" w:cs="Arial"/>
              </w:rPr>
            </w:pPr>
            <w:r w:rsidRPr="00C310FD">
              <w:rPr>
                <w:rFonts w:ascii="Arial" w:hAnsi="Arial" w:cs="Arial"/>
              </w:rPr>
              <w:t>+18</w:t>
            </w:r>
          </w:p>
        </w:tc>
        <w:tc>
          <w:tcPr>
            <w:tcW w:w="1293" w:type="dxa"/>
          </w:tcPr>
          <w:p w14:paraId="13B0D7E0" w14:textId="22621EBD" w:rsidR="00D528D7" w:rsidRPr="00C310FD" w:rsidRDefault="0050110A" w:rsidP="00F43BE9">
            <w:pPr>
              <w:rPr>
                <w:rFonts w:ascii="Arial" w:hAnsi="Arial" w:cs="Arial"/>
              </w:rPr>
            </w:pPr>
            <w:r w:rsidRPr="00C310FD">
              <w:rPr>
                <w:rFonts w:ascii="Arial" w:hAnsi="Arial" w:cs="Arial"/>
              </w:rPr>
              <w:t>+1</w:t>
            </w:r>
            <w:r w:rsidR="00606224" w:rsidRPr="00C310FD">
              <w:rPr>
                <w:rFonts w:ascii="Arial" w:hAnsi="Arial" w:cs="Arial"/>
              </w:rPr>
              <w:t>30</w:t>
            </w:r>
          </w:p>
        </w:tc>
        <w:tc>
          <w:tcPr>
            <w:tcW w:w="1294" w:type="dxa"/>
          </w:tcPr>
          <w:p w14:paraId="025670F0" w14:textId="58B5A5B2" w:rsidR="00D528D7" w:rsidRPr="00C310FD" w:rsidRDefault="00084E46" w:rsidP="00F43BE9">
            <w:pPr>
              <w:rPr>
                <w:rFonts w:ascii="Arial" w:hAnsi="Arial" w:cs="Arial"/>
              </w:rPr>
            </w:pPr>
            <w:r w:rsidRPr="00C310FD">
              <w:rPr>
                <w:rFonts w:ascii="Arial" w:hAnsi="Arial" w:cs="Arial"/>
              </w:rPr>
              <w:t>+284</w:t>
            </w:r>
          </w:p>
        </w:tc>
      </w:tr>
    </w:tbl>
    <w:p w14:paraId="3CDC3688" w14:textId="6E747F94" w:rsidR="00BD1918" w:rsidRDefault="0050110A" w:rsidP="00F43BE9">
      <w:pPr>
        <w:rPr>
          <w:rFonts w:ascii="Arial" w:hAnsi="Arial" w:cs="Arial"/>
        </w:rPr>
      </w:pPr>
      <w:r w:rsidRPr="00C310FD">
        <w:rPr>
          <w:rFonts w:ascii="Arial" w:hAnsi="Arial" w:cs="Arial"/>
        </w:rPr>
        <w:t xml:space="preserve">* Based on ORR Rail industry finance (UK) 2020-21. </w:t>
      </w:r>
    </w:p>
    <w:p w14:paraId="02223E29" w14:textId="46B4BCC0" w:rsidR="00FA4FBF" w:rsidRPr="00FA4FBF" w:rsidRDefault="00FA4FBF" w:rsidP="00FA4FBF">
      <w:pPr>
        <w:rPr>
          <w:rFonts w:ascii="Arial" w:hAnsi="Arial" w:cs="Arial"/>
        </w:rPr>
      </w:pPr>
      <w:r w:rsidRPr="00FA4FBF">
        <w:rPr>
          <w:rFonts w:ascii="Arial" w:hAnsi="Arial" w:cs="Arial"/>
        </w:rPr>
        <w:t>Figure 4 gives more detail on the impact of Covid-19 on rail demand. It can be seen that National Rail and London Underground have very similar trends, with the first lockdown reducing demand by over 90% and the subsequent lockdowns by around 80%. The impact of Covid-19 seems to have been greater than for bus and the recovery somewhat slower but again demand seems to be levelling off at around 80% of pre-Covid levels. Recovery has been strongest in leisure markets and weakest in the commuter and business travel markets, resulting in a reduction in revenue yields.</w:t>
      </w:r>
      <w:r w:rsidR="009F59DF">
        <w:rPr>
          <w:rFonts w:ascii="Arial" w:hAnsi="Arial" w:cs="Arial"/>
        </w:rPr>
        <w:t xml:space="preserve"> The usage figures for London Underground have been affected by industrial disputes, a feature that spread to the national rail system in June 2022.</w:t>
      </w:r>
    </w:p>
    <w:p w14:paraId="48D1FAAF" w14:textId="59A82C97" w:rsidR="00D60E41" w:rsidRPr="00C310FD" w:rsidRDefault="00D60E41" w:rsidP="00F43BE9">
      <w:pPr>
        <w:rPr>
          <w:rFonts w:ascii="Arial" w:hAnsi="Arial" w:cs="Arial"/>
        </w:rPr>
      </w:pPr>
      <w:r w:rsidRPr="00C310FD">
        <w:rPr>
          <w:rFonts w:ascii="Arial" w:hAnsi="Arial" w:cs="Arial"/>
          <w:noProof/>
        </w:rPr>
        <w:lastRenderedPageBreak/>
        <w:drawing>
          <wp:inline distT="0" distB="0" distL="0" distR="0" wp14:anchorId="23C38FA6" wp14:editId="20FF44AD">
            <wp:extent cx="5283200" cy="2965450"/>
            <wp:effectExtent l="0" t="0" r="12700" b="6350"/>
            <wp:docPr id="5" name="Chart 5">
              <a:extLst xmlns:a="http://schemas.openxmlformats.org/drawingml/2006/main">
                <a:ext uri="{FF2B5EF4-FFF2-40B4-BE49-F238E27FC236}">
                  <a16:creationId xmlns:a16="http://schemas.microsoft.com/office/drawing/2014/main" id="{1C82D6CC-1845-40AE-A3BD-D48BE8CABF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0250EB" w14:textId="3A8AE557" w:rsidR="00D60E41" w:rsidRPr="00261EEA" w:rsidRDefault="00D60E41" w:rsidP="00F43BE9">
      <w:pPr>
        <w:spacing w:after="0" w:line="240" w:lineRule="auto"/>
        <w:rPr>
          <w:rFonts w:ascii="Arial" w:hAnsi="Arial" w:cs="Arial"/>
          <w:b/>
          <w:bCs/>
          <w:sz w:val="20"/>
          <w:szCs w:val="20"/>
        </w:rPr>
      </w:pPr>
      <w:r w:rsidRPr="00261EEA">
        <w:rPr>
          <w:rFonts w:ascii="Arial" w:hAnsi="Arial" w:cs="Arial"/>
          <w:b/>
          <w:bCs/>
          <w:sz w:val="20"/>
          <w:szCs w:val="20"/>
        </w:rPr>
        <w:t>Figure 4: The Impact of Covid-19 on Rail Demand</w:t>
      </w:r>
    </w:p>
    <w:p w14:paraId="26B89EA6" w14:textId="2608A81C" w:rsidR="001B5ADF" w:rsidRPr="00C310FD" w:rsidRDefault="00D60E41" w:rsidP="00F43BE9">
      <w:pPr>
        <w:spacing w:after="0" w:line="240" w:lineRule="auto"/>
        <w:rPr>
          <w:rFonts w:ascii="Arial" w:hAnsi="Arial" w:cs="Arial"/>
        </w:rPr>
      </w:pPr>
      <w:r w:rsidRPr="00D60E41">
        <w:rPr>
          <w:rFonts w:ascii="Arial" w:hAnsi="Arial" w:cs="Arial"/>
        </w:rPr>
        <w:t xml:space="preserve">Source: </w:t>
      </w:r>
      <w:hyperlink r:id="rId15" w:history="1">
        <w:r w:rsidRPr="00D60E41">
          <w:rPr>
            <w:rStyle w:val="Hyperlink"/>
            <w:rFonts w:ascii="Arial" w:hAnsi="Arial" w:cs="Arial"/>
          </w:rPr>
          <w:t>https://www.gov.uk/government/statistics/transport-use-during-the-coronavirus-covid-19-pandemic</w:t>
        </w:r>
      </w:hyperlink>
    </w:p>
    <w:p w14:paraId="3525F238" w14:textId="79A49078" w:rsidR="001B5ADF" w:rsidRDefault="001B5ADF" w:rsidP="00F43BE9">
      <w:pPr>
        <w:spacing w:after="0" w:line="240" w:lineRule="auto"/>
        <w:rPr>
          <w:rFonts w:ascii="Arial" w:hAnsi="Arial" w:cs="Arial"/>
        </w:rPr>
      </w:pPr>
    </w:p>
    <w:p w14:paraId="7BDB0964" w14:textId="1512CE55" w:rsidR="00FA4FBF" w:rsidRPr="00FA4FBF" w:rsidRDefault="00FA4FBF" w:rsidP="00546ABF">
      <w:pPr>
        <w:spacing w:after="0" w:line="276" w:lineRule="auto"/>
        <w:rPr>
          <w:rFonts w:ascii="Arial" w:hAnsi="Arial" w:cs="Arial"/>
        </w:rPr>
      </w:pPr>
      <w:r w:rsidRPr="00FA4FBF">
        <w:rPr>
          <w:rFonts w:ascii="Arial" w:hAnsi="Arial" w:cs="Arial"/>
        </w:rPr>
        <w:t>The impact of Covid on railway finances is illustrated by Table 5. In 2019/20, 32% of the rail industry’s income came from Government operating support (excluding support for enhancements</w:t>
      </w:r>
      <w:r w:rsidR="00546ABF">
        <w:rPr>
          <w:rFonts w:ascii="Arial" w:hAnsi="Arial" w:cs="Arial"/>
        </w:rPr>
        <w:t xml:space="preserve">, including </w:t>
      </w:r>
      <w:r w:rsidRPr="00FA4FBF">
        <w:rPr>
          <w:rFonts w:ascii="Arial" w:hAnsi="Arial" w:cs="Arial"/>
        </w:rPr>
        <w:t>HS2</w:t>
      </w:r>
      <w:r w:rsidR="00546ABF">
        <w:rPr>
          <w:rFonts w:ascii="Arial" w:hAnsi="Arial" w:cs="Arial"/>
        </w:rPr>
        <w:t>,</w:t>
      </w:r>
      <w:r w:rsidRPr="00FA4FBF">
        <w:rPr>
          <w:rFonts w:ascii="Arial" w:hAnsi="Arial" w:cs="Arial"/>
        </w:rPr>
        <w:t xml:space="preserve"> and miscellaneous support</w:t>
      </w:r>
      <w:r w:rsidR="00546ABF">
        <w:rPr>
          <w:rFonts w:ascii="Arial" w:hAnsi="Arial" w:cs="Arial"/>
        </w:rPr>
        <w:t>,</w:t>
      </w:r>
      <w:r w:rsidRPr="00FA4FBF">
        <w:rPr>
          <w:rFonts w:ascii="Arial" w:hAnsi="Arial" w:cs="Arial"/>
        </w:rPr>
        <w:t xml:space="preserve"> such as for </w:t>
      </w:r>
      <w:r w:rsidR="00546ABF">
        <w:rPr>
          <w:rFonts w:ascii="Arial" w:hAnsi="Arial" w:cs="Arial"/>
        </w:rPr>
        <w:t xml:space="preserve">the </w:t>
      </w:r>
      <w:r w:rsidRPr="00FA4FBF">
        <w:rPr>
          <w:rFonts w:ascii="Arial" w:hAnsi="Arial" w:cs="Arial"/>
        </w:rPr>
        <w:t>British Transport Police). This is less than for the bus industry. In 2020/21</w:t>
      </w:r>
      <w:r w:rsidR="00546ABF">
        <w:rPr>
          <w:rFonts w:ascii="Arial" w:hAnsi="Arial" w:cs="Arial"/>
        </w:rPr>
        <w:t>,</w:t>
      </w:r>
      <w:r w:rsidRPr="00FA4FBF">
        <w:rPr>
          <w:rFonts w:ascii="Arial" w:hAnsi="Arial" w:cs="Arial"/>
        </w:rPr>
        <w:t xml:space="preserve"> operating support increased by </w:t>
      </w:r>
      <w:r w:rsidR="00B549BE">
        <w:rPr>
          <w:rFonts w:ascii="Arial" w:hAnsi="Arial" w:cs="Arial"/>
        </w:rPr>
        <w:t xml:space="preserve">over </w:t>
      </w:r>
      <w:r w:rsidRPr="00FA4FBF">
        <w:rPr>
          <w:rFonts w:ascii="Arial" w:hAnsi="Arial" w:cs="Arial"/>
        </w:rPr>
        <w:t>£10 billion and accounted for 82% of income</w:t>
      </w:r>
      <w:r w:rsidR="00C54C4A">
        <w:rPr>
          <w:rFonts w:ascii="Arial" w:hAnsi="Arial" w:cs="Arial"/>
        </w:rPr>
        <w:t xml:space="preserve"> before reducing to 62.5% in 2021/2</w:t>
      </w:r>
      <w:r w:rsidRPr="00FA4FBF">
        <w:rPr>
          <w:rFonts w:ascii="Arial" w:hAnsi="Arial" w:cs="Arial"/>
        </w:rPr>
        <w:t xml:space="preserve">, </w:t>
      </w:r>
      <w:r w:rsidR="00C54C4A">
        <w:rPr>
          <w:rFonts w:ascii="Arial" w:hAnsi="Arial" w:cs="Arial"/>
        </w:rPr>
        <w:t xml:space="preserve">both of </w:t>
      </w:r>
      <w:r w:rsidRPr="00FA4FBF">
        <w:rPr>
          <w:rFonts w:ascii="Arial" w:hAnsi="Arial" w:cs="Arial"/>
        </w:rPr>
        <w:t xml:space="preserve">which </w:t>
      </w:r>
      <w:r w:rsidR="00C54C4A">
        <w:rPr>
          <w:rFonts w:ascii="Arial" w:hAnsi="Arial" w:cs="Arial"/>
        </w:rPr>
        <w:t xml:space="preserve">are </w:t>
      </w:r>
      <w:r w:rsidRPr="00FA4FBF">
        <w:rPr>
          <w:rFonts w:ascii="Arial" w:hAnsi="Arial" w:cs="Arial"/>
        </w:rPr>
        <w:t>greater than for buses. If enhancements and miscellaneous support are included, Government support in 2019/20 was £11,</w:t>
      </w:r>
      <w:r w:rsidR="001B55F5">
        <w:rPr>
          <w:rFonts w:ascii="Arial" w:hAnsi="Arial" w:cs="Arial"/>
        </w:rPr>
        <w:t>632</w:t>
      </w:r>
      <w:r w:rsidRPr="00FA4FBF">
        <w:rPr>
          <w:rFonts w:ascii="Arial" w:hAnsi="Arial" w:cs="Arial"/>
        </w:rPr>
        <w:t xml:space="preserve"> million</w:t>
      </w:r>
      <w:r w:rsidR="001B55F5">
        <w:rPr>
          <w:rFonts w:ascii="Arial" w:hAnsi="Arial" w:cs="Arial"/>
        </w:rPr>
        <w:t>,</w:t>
      </w:r>
      <w:r w:rsidRPr="00FA4FBF">
        <w:rPr>
          <w:rFonts w:ascii="Arial" w:hAnsi="Arial" w:cs="Arial"/>
        </w:rPr>
        <w:t xml:space="preserve"> in 2020/21 </w:t>
      </w:r>
      <w:r w:rsidR="001B55F5">
        <w:rPr>
          <w:rFonts w:ascii="Arial" w:hAnsi="Arial" w:cs="Arial"/>
        </w:rPr>
        <w:t xml:space="preserve">it </w:t>
      </w:r>
      <w:r w:rsidRPr="00FA4FBF">
        <w:rPr>
          <w:rFonts w:ascii="Arial" w:hAnsi="Arial" w:cs="Arial"/>
        </w:rPr>
        <w:t>was £22,</w:t>
      </w:r>
      <w:r w:rsidR="001B55F5">
        <w:rPr>
          <w:rFonts w:ascii="Arial" w:hAnsi="Arial" w:cs="Arial"/>
        </w:rPr>
        <w:t>905</w:t>
      </w:r>
      <w:r w:rsidRPr="00FA4FBF">
        <w:rPr>
          <w:rFonts w:ascii="Arial" w:hAnsi="Arial" w:cs="Arial"/>
        </w:rPr>
        <w:t xml:space="preserve"> million </w:t>
      </w:r>
      <w:r w:rsidR="001B55F5">
        <w:rPr>
          <w:rFonts w:ascii="Arial" w:hAnsi="Arial" w:cs="Arial"/>
        </w:rPr>
        <w:t xml:space="preserve">and in 2021/22 was £20,346 million </w:t>
      </w:r>
      <w:r w:rsidRPr="00FA4FBF">
        <w:rPr>
          <w:rFonts w:ascii="Arial" w:hAnsi="Arial" w:cs="Arial"/>
        </w:rPr>
        <w:t xml:space="preserve">(ORR, Table 7270). If </w:t>
      </w:r>
      <w:r w:rsidR="00B549BE">
        <w:rPr>
          <w:rFonts w:ascii="Arial" w:hAnsi="Arial" w:cs="Arial"/>
        </w:rPr>
        <w:t>enhancements and miscellaneous funding are</w:t>
      </w:r>
      <w:r w:rsidRPr="00FA4FBF">
        <w:rPr>
          <w:rFonts w:ascii="Arial" w:hAnsi="Arial" w:cs="Arial"/>
        </w:rPr>
        <w:t xml:space="preserve"> included, Government support increases </w:t>
      </w:r>
      <w:r w:rsidR="001B55F5">
        <w:rPr>
          <w:rFonts w:ascii="Arial" w:hAnsi="Arial" w:cs="Arial"/>
        </w:rPr>
        <w:t>from 45% to</w:t>
      </w:r>
      <w:r w:rsidRPr="00FA4FBF">
        <w:rPr>
          <w:rFonts w:ascii="Arial" w:hAnsi="Arial" w:cs="Arial"/>
        </w:rPr>
        <w:t xml:space="preserve"> 85% </w:t>
      </w:r>
      <w:r w:rsidR="00546ABF">
        <w:rPr>
          <w:rFonts w:ascii="Arial" w:hAnsi="Arial" w:cs="Arial"/>
        </w:rPr>
        <w:t xml:space="preserve">of total income </w:t>
      </w:r>
      <w:r w:rsidR="001B55F5">
        <w:rPr>
          <w:rFonts w:ascii="Arial" w:hAnsi="Arial" w:cs="Arial"/>
        </w:rPr>
        <w:t>and then down to 72% for each of the respective years</w:t>
      </w:r>
      <w:r w:rsidRPr="00FA4FBF">
        <w:rPr>
          <w:rFonts w:ascii="Arial" w:hAnsi="Arial" w:cs="Arial"/>
        </w:rPr>
        <w:t xml:space="preserve">, </w:t>
      </w:r>
      <w:r w:rsidR="001B55F5">
        <w:rPr>
          <w:rFonts w:ascii="Arial" w:hAnsi="Arial" w:cs="Arial"/>
        </w:rPr>
        <w:t xml:space="preserve">all </w:t>
      </w:r>
      <w:r w:rsidRPr="00FA4FBF">
        <w:rPr>
          <w:rFonts w:ascii="Arial" w:hAnsi="Arial" w:cs="Arial"/>
        </w:rPr>
        <w:t>substantially in excess of bus.</w:t>
      </w:r>
    </w:p>
    <w:p w14:paraId="39473578" w14:textId="77777777" w:rsidR="00FA4FBF" w:rsidRPr="00C310FD" w:rsidRDefault="00FA4FBF" w:rsidP="00F43BE9">
      <w:pPr>
        <w:spacing w:after="0" w:line="240" w:lineRule="auto"/>
        <w:rPr>
          <w:rFonts w:ascii="Arial" w:hAnsi="Arial" w:cs="Arial"/>
        </w:rPr>
      </w:pPr>
    </w:p>
    <w:p w14:paraId="3448105C" w14:textId="5CC8C096" w:rsidR="002B6D85" w:rsidRPr="00C310FD" w:rsidRDefault="002B6D85" w:rsidP="00F43BE9">
      <w:pPr>
        <w:rPr>
          <w:rFonts w:ascii="Arial" w:hAnsi="Arial" w:cs="Arial"/>
          <w:b/>
          <w:bCs/>
        </w:rPr>
      </w:pPr>
      <w:r w:rsidRPr="00C310FD">
        <w:rPr>
          <w:rFonts w:ascii="Arial" w:hAnsi="Arial" w:cs="Arial"/>
          <w:b/>
          <w:bCs/>
        </w:rPr>
        <w:t>Table 5: Rail Industry Income</w:t>
      </w:r>
      <w:r w:rsidR="005071E6" w:rsidRPr="00C310FD">
        <w:rPr>
          <w:rFonts w:ascii="Arial" w:hAnsi="Arial" w:cs="Arial"/>
          <w:b/>
          <w:bCs/>
        </w:rPr>
        <w:t xml:space="preserve"> (£ million 202</w:t>
      </w:r>
      <w:r w:rsidR="004B5DB1">
        <w:rPr>
          <w:rFonts w:ascii="Arial" w:hAnsi="Arial" w:cs="Arial"/>
          <w:b/>
          <w:bCs/>
        </w:rPr>
        <w:t>1</w:t>
      </w:r>
      <w:r w:rsidR="005071E6" w:rsidRPr="00C310FD">
        <w:rPr>
          <w:rFonts w:ascii="Arial" w:hAnsi="Arial" w:cs="Arial"/>
          <w:b/>
          <w:bCs/>
        </w:rPr>
        <w:t>/2</w:t>
      </w:r>
      <w:r w:rsidR="004B5DB1">
        <w:rPr>
          <w:rFonts w:ascii="Arial" w:hAnsi="Arial" w:cs="Arial"/>
          <w:b/>
          <w:bCs/>
        </w:rPr>
        <w:t>2</w:t>
      </w:r>
      <w:r w:rsidR="005071E6" w:rsidRPr="00C310FD">
        <w:rPr>
          <w:rFonts w:ascii="Arial" w:hAnsi="Arial" w:cs="Arial"/>
          <w:b/>
          <w:bCs/>
        </w:rPr>
        <w:t xml:space="preserve"> prices)</w:t>
      </w:r>
    </w:p>
    <w:tbl>
      <w:tblPr>
        <w:tblStyle w:val="TableGrid"/>
        <w:tblW w:w="0" w:type="auto"/>
        <w:tblLook w:val="04A0" w:firstRow="1" w:lastRow="0" w:firstColumn="1" w:lastColumn="0" w:noHBand="0" w:noVBand="1"/>
      </w:tblPr>
      <w:tblGrid>
        <w:gridCol w:w="1803"/>
        <w:gridCol w:w="1803"/>
        <w:gridCol w:w="1803"/>
        <w:gridCol w:w="1803"/>
        <w:gridCol w:w="1804"/>
      </w:tblGrid>
      <w:tr w:rsidR="002B6D85" w:rsidRPr="00C310FD" w14:paraId="2E838312" w14:textId="77777777" w:rsidTr="002B6D85">
        <w:tc>
          <w:tcPr>
            <w:tcW w:w="1803" w:type="dxa"/>
          </w:tcPr>
          <w:p w14:paraId="1A448FDD" w14:textId="77777777" w:rsidR="002B6D85" w:rsidRPr="00C310FD" w:rsidRDefault="002B6D85" w:rsidP="00F43BE9">
            <w:pPr>
              <w:rPr>
                <w:rFonts w:ascii="Arial" w:hAnsi="Arial" w:cs="Arial"/>
              </w:rPr>
            </w:pPr>
          </w:p>
        </w:tc>
        <w:tc>
          <w:tcPr>
            <w:tcW w:w="1803" w:type="dxa"/>
          </w:tcPr>
          <w:p w14:paraId="534FBF84" w14:textId="12CD37DE" w:rsidR="002B6D85" w:rsidRPr="00C310FD" w:rsidRDefault="002B6D85" w:rsidP="00F43BE9">
            <w:pPr>
              <w:rPr>
                <w:rFonts w:ascii="Arial" w:hAnsi="Arial" w:cs="Arial"/>
              </w:rPr>
            </w:pPr>
            <w:r w:rsidRPr="00C310FD">
              <w:rPr>
                <w:rFonts w:ascii="Arial" w:hAnsi="Arial" w:cs="Arial"/>
              </w:rPr>
              <w:t>Fares and Passenger Income</w:t>
            </w:r>
          </w:p>
        </w:tc>
        <w:tc>
          <w:tcPr>
            <w:tcW w:w="1803" w:type="dxa"/>
          </w:tcPr>
          <w:p w14:paraId="35730791" w14:textId="07CBCE88" w:rsidR="002B6D85" w:rsidRPr="00C310FD" w:rsidRDefault="002B6D85" w:rsidP="00F43BE9">
            <w:pPr>
              <w:rPr>
                <w:rFonts w:ascii="Arial" w:hAnsi="Arial" w:cs="Arial"/>
              </w:rPr>
            </w:pPr>
            <w:r w:rsidRPr="00C310FD">
              <w:rPr>
                <w:rFonts w:ascii="Arial" w:hAnsi="Arial" w:cs="Arial"/>
              </w:rPr>
              <w:t>Other Sources</w:t>
            </w:r>
          </w:p>
        </w:tc>
        <w:tc>
          <w:tcPr>
            <w:tcW w:w="1803" w:type="dxa"/>
          </w:tcPr>
          <w:p w14:paraId="18F60CA3" w14:textId="2AA0DE09" w:rsidR="002B6D85" w:rsidRPr="00C310FD" w:rsidRDefault="002B6D85" w:rsidP="00F43BE9">
            <w:pPr>
              <w:rPr>
                <w:rFonts w:ascii="Arial" w:hAnsi="Arial" w:cs="Arial"/>
              </w:rPr>
            </w:pPr>
            <w:r w:rsidRPr="00C310FD">
              <w:rPr>
                <w:rFonts w:ascii="Arial" w:hAnsi="Arial" w:cs="Arial"/>
              </w:rPr>
              <w:t>Government</w:t>
            </w:r>
          </w:p>
        </w:tc>
        <w:tc>
          <w:tcPr>
            <w:tcW w:w="1804" w:type="dxa"/>
          </w:tcPr>
          <w:p w14:paraId="324F7D37" w14:textId="359CC113" w:rsidR="002B6D85" w:rsidRPr="00C310FD" w:rsidRDefault="002B6D85" w:rsidP="00F43BE9">
            <w:pPr>
              <w:rPr>
                <w:rFonts w:ascii="Arial" w:hAnsi="Arial" w:cs="Arial"/>
              </w:rPr>
            </w:pPr>
            <w:r w:rsidRPr="00C310FD">
              <w:rPr>
                <w:rFonts w:ascii="Arial" w:hAnsi="Arial" w:cs="Arial"/>
              </w:rPr>
              <w:t>Total</w:t>
            </w:r>
          </w:p>
        </w:tc>
      </w:tr>
      <w:tr w:rsidR="002B6D85" w:rsidRPr="00C310FD" w14:paraId="40DDC163" w14:textId="77777777" w:rsidTr="002B6D85">
        <w:tc>
          <w:tcPr>
            <w:tcW w:w="1803" w:type="dxa"/>
          </w:tcPr>
          <w:p w14:paraId="06480616" w14:textId="432847EA" w:rsidR="002B6D85" w:rsidRPr="00C310FD" w:rsidRDefault="002B6D85" w:rsidP="00F43BE9">
            <w:pPr>
              <w:rPr>
                <w:rFonts w:ascii="Arial" w:hAnsi="Arial" w:cs="Arial"/>
              </w:rPr>
            </w:pPr>
            <w:r w:rsidRPr="00C310FD">
              <w:rPr>
                <w:rFonts w:ascii="Arial" w:hAnsi="Arial" w:cs="Arial"/>
              </w:rPr>
              <w:t>2019/20</w:t>
            </w:r>
          </w:p>
        </w:tc>
        <w:tc>
          <w:tcPr>
            <w:tcW w:w="1803" w:type="dxa"/>
          </w:tcPr>
          <w:p w14:paraId="141E247B" w14:textId="1C912C76" w:rsidR="002B6D85" w:rsidRPr="00C310FD" w:rsidRDefault="002B6D85" w:rsidP="00F43BE9">
            <w:pPr>
              <w:rPr>
                <w:rFonts w:ascii="Arial" w:hAnsi="Arial" w:cs="Arial"/>
              </w:rPr>
            </w:pPr>
            <w:r w:rsidRPr="00C310FD">
              <w:rPr>
                <w:rFonts w:ascii="Arial" w:hAnsi="Arial" w:cs="Arial"/>
              </w:rPr>
              <w:t>11,</w:t>
            </w:r>
            <w:r w:rsidR="004B5DB1">
              <w:rPr>
                <w:rFonts w:ascii="Arial" w:hAnsi="Arial" w:cs="Arial"/>
              </w:rPr>
              <w:t>939</w:t>
            </w:r>
          </w:p>
        </w:tc>
        <w:tc>
          <w:tcPr>
            <w:tcW w:w="1803" w:type="dxa"/>
          </w:tcPr>
          <w:p w14:paraId="636A35C8" w14:textId="086368E9" w:rsidR="002B6D85" w:rsidRPr="00C310FD" w:rsidRDefault="005071E6" w:rsidP="00F43BE9">
            <w:pPr>
              <w:rPr>
                <w:rFonts w:ascii="Arial" w:hAnsi="Arial" w:cs="Arial"/>
              </w:rPr>
            </w:pPr>
            <w:r w:rsidRPr="00C310FD">
              <w:rPr>
                <w:rFonts w:ascii="Arial" w:hAnsi="Arial" w:cs="Arial"/>
              </w:rPr>
              <w:t>2,</w:t>
            </w:r>
            <w:r w:rsidR="004B5DB1">
              <w:rPr>
                <w:rFonts w:ascii="Arial" w:hAnsi="Arial" w:cs="Arial"/>
              </w:rPr>
              <w:t>323</w:t>
            </w:r>
          </w:p>
        </w:tc>
        <w:tc>
          <w:tcPr>
            <w:tcW w:w="1803" w:type="dxa"/>
          </w:tcPr>
          <w:p w14:paraId="7C9E3536" w14:textId="68BC7567" w:rsidR="002B6D85" w:rsidRPr="00C310FD" w:rsidRDefault="002B6D85" w:rsidP="00F43BE9">
            <w:pPr>
              <w:rPr>
                <w:rFonts w:ascii="Arial" w:hAnsi="Arial" w:cs="Arial"/>
              </w:rPr>
            </w:pPr>
            <w:r w:rsidRPr="00C310FD">
              <w:rPr>
                <w:rFonts w:ascii="Arial" w:hAnsi="Arial" w:cs="Arial"/>
              </w:rPr>
              <w:t xml:space="preserve">  6,</w:t>
            </w:r>
            <w:r w:rsidR="004B5DB1">
              <w:rPr>
                <w:rFonts w:ascii="Arial" w:hAnsi="Arial" w:cs="Arial"/>
              </w:rPr>
              <w:t>761</w:t>
            </w:r>
          </w:p>
        </w:tc>
        <w:tc>
          <w:tcPr>
            <w:tcW w:w="1804" w:type="dxa"/>
          </w:tcPr>
          <w:p w14:paraId="5C6C469C" w14:textId="5562FFE8" w:rsidR="002B6D85" w:rsidRPr="00C310FD" w:rsidRDefault="002B6D85" w:rsidP="00F43BE9">
            <w:pPr>
              <w:rPr>
                <w:rFonts w:ascii="Arial" w:hAnsi="Arial" w:cs="Arial"/>
              </w:rPr>
            </w:pPr>
            <w:r w:rsidRPr="00C310FD">
              <w:rPr>
                <w:rFonts w:ascii="Arial" w:hAnsi="Arial" w:cs="Arial"/>
              </w:rPr>
              <w:t>2</w:t>
            </w:r>
            <w:r w:rsidR="004B5DB1">
              <w:rPr>
                <w:rFonts w:ascii="Arial" w:hAnsi="Arial" w:cs="Arial"/>
              </w:rPr>
              <w:t>1</w:t>
            </w:r>
            <w:r w:rsidRPr="00C310FD">
              <w:rPr>
                <w:rFonts w:ascii="Arial" w:hAnsi="Arial" w:cs="Arial"/>
              </w:rPr>
              <w:t>,</w:t>
            </w:r>
            <w:r w:rsidR="004B5DB1">
              <w:rPr>
                <w:rFonts w:ascii="Arial" w:hAnsi="Arial" w:cs="Arial"/>
              </w:rPr>
              <w:t>023</w:t>
            </w:r>
          </w:p>
        </w:tc>
      </w:tr>
      <w:tr w:rsidR="002B6D85" w:rsidRPr="00C310FD" w14:paraId="295B2078" w14:textId="77777777" w:rsidTr="002B6D85">
        <w:tc>
          <w:tcPr>
            <w:tcW w:w="1803" w:type="dxa"/>
          </w:tcPr>
          <w:p w14:paraId="1650D054" w14:textId="7C2A4746" w:rsidR="002B6D85" w:rsidRPr="00C310FD" w:rsidRDefault="002B6D85" w:rsidP="00F43BE9">
            <w:pPr>
              <w:rPr>
                <w:rFonts w:ascii="Arial" w:hAnsi="Arial" w:cs="Arial"/>
              </w:rPr>
            </w:pPr>
            <w:r w:rsidRPr="00C310FD">
              <w:rPr>
                <w:rFonts w:ascii="Arial" w:hAnsi="Arial" w:cs="Arial"/>
              </w:rPr>
              <w:t>2020/21</w:t>
            </w:r>
          </w:p>
        </w:tc>
        <w:tc>
          <w:tcPr>
            <w:tcW w:w="1803" w:type="dxa"/>
          </w:tcPr>
          <w:p w14:paraId="3554E66E" w14:textId="52005B92" w:rsidR="002B6D85" w:rsidRPr="00C310FD" w:rsidRDefault="002B6D85" w:rsidP="00F43BE9">
            <w:pPr>
              <w:rPr>
                <w:rFonts w:ascii="Arial" w:hAnsi="Arial" w:cs="Arial"/>
              </w:rPr>
            </w:pPr>
            <w:r w:rsidRPr="00C310FD">
              <w:rPr>
                <w:rFonts w:ascii="Arial" w:hAnsi="Arial" w:cs="Arial"/>
              </w:rPr>
              <w:t xml:space="preserve">  2,</w:t>
            </w:r>
            <w:r w:rsidR="004B5DB1">
              <w:rPr>
                <w:rFonts w:ascii="Arial" w:hAnsi="Arial" w:cs="Arial"/>
              </w:rPr>
              <w:t>558</w:t>
            </w:r>
          </w:p>
        </w:tc>
        <w:tc>
          <w:tcPr>
            <w:tcW w:w="1803" w:type="dxa"/>
          </w:tcPr>
          <w:p w14:paraId="1518E17B" w14:textId="72C5C647" w:rsidR="002B6D85" w:rsidRPr="00C310FD" w:rsidRDefault="00C54C4A" w:rsidP="00F43BE9">
            <w:pPr>
              <w:rPr>
                <w:rFonts w:ascii="Arial" w:hAnsi="Arial" w:cs="Arial"/>
              </w:rPr>
            </w:pPr>
            <w:r>
              <w:rPr>
                <w:rFonts w:ascii="Arial" w:hAnsi="Arial" w:cs="Arial"/>
              </w:rPr>
              <w:t>1,328</w:t>
            </w:r>
          </w:p>
        </w:tc>
        <w:tc>
          <w:tcPr>
            <w:tcW w:w="1803" w:type="dxa"/>
          </w:tcPr>
          <w:p w14:paraId="768EE527" w14:textId="2854949F" w:rsidR="002B6D85" w:rsidRPr="00C310FD" w:rsidRDefault="002B6D85" w:rsidP="00F43BE9">
            <w:pPr>
              <w:rPr>
                <w:rFonts w:ascii="Arial" w:hAnsi="Arial" w:cs="Arial"/>
              </w:rPr>
            </w:pPr>
            <w:r w:rsidRPr="00C310FD">
              <w:rPr>
                <w:rFonts w:ascii="Arial" w:hAnsi="Arial" w:cs="Arial"/>
              </w:rPr>
              <w:t>1</w:t>
            </w:r>
            <w:r w:rsidR="004B5DB1">
              <w:rPr>
                <w:rFonts w:ascii="Arial" w:hAnsi="Arial" w:cs="Arial"/>
              </w:rPr>
              <w:t>7,590</w:t>
            </w:r>
          </w:p>
        </w:tc>
        <w:tc>
          <w:tcPr>
            <w:tcW w:w="1804" w:type="dxa"/>
          </w:tcPr>
          <w:p w14:paraId="62F9EF38" w14:textId="4FD650EE" w:rsidR="002B6D85" w:rsidRPr="00C310FD" w:rsidRDefault="002B6D85" w:rsidP="00F43BE9">
            <w:pPr>
              <w:rPr>
                <w:rFonts w:ascii="Arial" w:hAnsi="Arial" w:cs="Arial"/>
              </w:rPr>
            </w:pPr>
            <w:r w:rsidRPr="00C310FD">
              <w:rPr>
                <w:rFonts w:ascii="Arial" w:hAnsi="Arial" w:cs="Arial"/>
              </w:rPr>
              <w:t>2</w:t>
            </w:r>
            <w:r w:rsidR="00C54C4A">
              <w:rPr>
                <w:rFonts w:ascii="Arial" w:hAnsi="Arial" w:cs="Arial"/>
              </w:rPr>
              <w:t>1,476</w:t>
            </w:r>
          </w:p>
        </w:tc>
      </w:tr>
      <w:tr w:rsidR="004B5DB1" w:rsidRPr="00C310FD" w14:paraId="24747C26" w14:textId="77777777" w:rsidTr="002B6D85">
        <w:tc>
          <w:tcPr>
            <w:tcW w:w="1803" w:type="dxa"/>
          </w:tcPr>
          <w:p w14:paraId="383FE00F" w14:textId="085C0077" w:rsidR="004B5DB1" w:rsidRPr="00C310FD" w:rsidRDefault="004B5DB1" w:rsidP="00F43BE9">
            <w:pPr>
              <w:rPr>
                <w:rFonts w:ascii="Arial" w:hAnsi="Arial" w:cs="Arial"/>
              </w:rPr>
            </w:pPr>
            <w:r>
              <w:rPr>
                <w:rFonts w:ascii="Arial" w:hAnsi="Arial" w:cs="Arial"/>
              </w:rPr>
              <w:t>2021/22</w:t>
            </w:r>
          </w:p>
        </w:tc>
        <w:tc>
          <w:tcPr>
            <w:tcW w:w="1803" w:type="dxa"/>
          </w:tcPr>
          <w:p w14:paraId="0583819C" w14:textId="454E5AC5" w:rsidR="004B5DB1" w:rsidRPr="00C310FD" w:rsidRDefault="00C54C4A" w:rsidP="00F43BE9">
            <w:pPr>
              <w:rPr>
                <w:rFonts w:ascii="Arial" w:hAnsi="Arial" w:cs="Arial"/>
              </w:rPr>
            </w:pPr>
            <w:r>
              <w:rPr>
                <w:rFonts w:ascii="Arial" w:hAnsi="Arial" w:cs="Arial"/>
              </w:rPr>
              <w:t xml:space="preserve">  6,430</w:t>
            </w:r>
          </w:p>
        </w:tc>
        <w:tc>
          <w:tcPr>
            <w:tcW w:w="1803" w:type="dxa"/>
          </w:tcPr>
          <w:p w14:paraId="210FEF34" w14:textId="679E5BA1" w:rsidR="004B5DB1" w:rsidRPr="00C310FD" w:rsidRDefault="00C54C4A" w:rsidP="00F43BE9">
            <w:pPr>
              <w:rPr>
                <w:rFonts w:ascii="Arial" w:hAnsi="Arial" w:cs="Arial"/>
              </w:rPr>
            </w:pPr>
            <w:r>
              <w:rPr>
                <w:rFonts w:ascii="Arial" w:hAnsi="Arial" w:cs="Arial"/>
              </w:rPr>
              <w:t>1,550</w:t>
            </w:r>
          </w:p>
        </w:tc>
        <w:tc>
          <w:tcPr>
            <w:tcW w:w="1803" w:type="dxa"/>
          </w:tcPr>
          <w:p w14:paraId="7B5853D6" w14:textId="3F9EDF01" w:rsidR="004B5DB1" w:rsidRPr="00C310FD" w:rsidRDefault="00C54C4A" w:rsidP="00F43BE9">
            <w:pPr>
              <w:rPr>
                <w:rFonts w:ascii="Arial" w:hAnsi="Arial" w:cs="Arial"/>
              </w:rPr>
            </w:pPr>
            <w:r>
              <w:rPr>
                <w:rFonts w:ascii="Arial" w:hAnsi="Arial" w:cs="Arial"/>
              </w:rPr>
              <w:t>13,300</w:t>
            </w:r>
          </w:p>
        </w:tc>
        <w:tc>
          <w:tcPr>
            <w:tcW w:w="1804" w:type="dxa"/>
          </w:tcPr>
          <w:p w14:paraId="0695308E" w14:textId="63D92A70" w:rsidR="004B5DB1" w:rsidRPr="00C310FD" w:rsidRDefault="00C54C4A" w:rsidP="00F43BE9">
            <w:pPr>
              <w:rPr>
                <w:rFonts w:ascii="Arial" w:hAnsi="Arial" w:cs="Arial"/>
              </w:rPr>
            </w:pPr>
            <w:r>
              <w:rPr>
                <w:rFonts w:ascii="Arial" w:hAnsi="Arial" w:cs="Arial"/>
              </w:rPr>
              <w:t>21,280</w:t>
            </w:r>
          </w:p>
        </w:tc>
      </w:tr>
    </w:tbl>
    <w:p w14:paraId="04379989" w14:textId="2B5676F1" w:rsidR="002B6D85" w:rsidRPr="00C310FD" w:rsidRDefault="005071E6" w:rsidP="00F43BE9">
      <w:pPr>
        <w:spacing w:after="0" w:line="240" w:lineRule="auto"/>
        <w:rPr>
          <w:rFonts w:ascii="Arial" w:hAnsi="Arial" w:cs="Arial"/>
        </w:rPr>
      </w:pPr>
      <w:r w:rsidRPr="00C310FD">
        <w:rPr>
          <w:rFonts w:ascii="Arial" w:hAnsi="Arial" w:cs="Arial"/>
        </w:rPr>
        <w:t>Note other sources include HS1 and Northern Ireland Railways.</w:t>
      </w:r>
    </w:p>
    <w:p w14:paraId="2F1DC6EE" w14:textId="7A5FFB7F" w:rsidR="005071E6" w:rsidRPr="00C310FD" w:rsidRDefault="005071E6" w:rsidP="00F43BE9">
      <w:pPr>
        <w:spacing w:after="0" w:line="240" w:lineRule="auto"/>
        <w:rPr>
          <w:rFonts w:ascii="Arial" w:hAnsi="Arial" w:cs="Arial"/>
        </w:rPr>
      </w:pPr>
      <w:r w:rsidRPr="00C310FD">
        <w:rPr>
          <w:rFonts w:ascii="Arial" w:hAnsi="Arial" w:cs="Arial"/>
        </w:rPr>
        <w:t>Source: ORR, Table 7210.</w:t>
      </w:r>
    </w:p>
    <w:p w14:paraId="0A7D083A" w14:textId="77777777" w:rsidR="005071E6" w:rsidRPr="00C310FD" w:rsidRDefault="005071E6" w:rsidP="00F43BE9">
      <w:pPr>
        <w:spacing w:after="0" w:line="240" w:lineRule="auto"/>
        <w:rPr>
          <w:rFonts w:ascii="Arial" w:hAnsi="Arial" w:cs="Arial"/>
        </w:rPr>
      </w:pPr>
    </w:p>
    <w:p w14:paraId="5A0B3E79" w14:textId="3B1137A8" w:rsidR="00470CA3" w:rsidRPr="00C310FD" w:rsidRDefault="00470CA3" w:rsidP="00F43BE9">
      <w:pPr>
        <w:rPr>
          <w:rFonts w:ascii="Arial" w:hAnsi="Arial" w:cs="Arial"/>
          <w:b/>
          <w:bCs/>
        </w:rPr>
      </w:pPr>
      <w:r w:rsidRPr="00C310FD">
        <w:rPr>
          <w:rFonts w:ascii="Arial" w:hAnsi="Arial" w:cs="Arial"/>
          <w:b/>
          <w:bCs/>
        </w:rPr>
        <w:t>6. Future Directions</w:t>
      </w:r>
    </w:p>
    <w:p w14:paraId="6B05CB39" w14:textId="3F201E48" w:rsidR="00212D78" w:rsidRDefault="003767B6" w:rsidP="00261EEA">
      <w:pPr>
        <w:spacing w:line="276" w:lineRule="auto"/>
        <w:rPr>
          <w:rFonts w:ascii="Arial" w:hAnsi="Arial" w:cs="Arial"/>
        </w:rPr>
      </w:pPr>
      <w:r w:rsidRPr="00C310FD">
        <w:rPr>
          <w:rFonts w:ascii="Arial" w:hAnsi="Arial" w:cs="Arial"/>
        </w:rPr>
        <w:t>Regulatory cycles are relatively well-known phenomen</w:t>
      </w:r>
      <w:r w:rsidR="00546ABF">
        <w:rPr>
          <w:rFonts w:ascii="Arial" w:hAnsi="Arial" w:cs="Arial"/>
        </w:rPr>
        <w:t>a</w:t>
      </w:r>
      <w:r w:rsidRPr="00C310FD">
        <w:rPr>
          <w:rFonts w:ascii="Arial" w:hAnsi="Arial" w:cs="Arial"/>
        </w:rPr>
        <w:t xml:space="preserve"> that </w:t>
      </w:r>
      <w:r w:rsidR="00841EA4" w:rsidRPr="00C310FD">
        <w:rPr>
          <w:rFonts w:ascii="Arial" w:hAnsi="Arial" w:cs="Arial"/>
        </w:rPr>
        <w:t xml:space="preserve">can </w:t>
      </w:r>
      <w:r w:rsidRPr="00C310FD">
        <w:rPr>
          <w:rFonts w:ascii="Arial" w:hAnsi="Arial" w:cs="Arial"/>
        </w:rPr>
        <w:t xml:space="preserve">be traced back to Needham (1983), have been popularised in </w:t>
      </w:r>
      <w:r w:rsidR="00FA5872">
        <w:rPr>
          <w:rFonts w:ascii="Arial" w:hAnsi="Arial" w:cs="Arial"/>
        </w:rPr>
        <w:t xml:space="preserve">bus </w:t>
      </w:r>
      <w:r w:rsidRPr="00C310FD">
        <w:rPr>
          <w:rFonts w:ascii="Arial" w:hAnsi="Arial" w:cs="Arial"/>
        </w:rPr>
        <w:t xml:space="preserve">transport by </w:t>
      </w:r>
      <w:proofErr w:type="spellStart"/>
      <w:r w:rsidRPr="00C310FD">
        <w:rPr>
          <w:rFonts w:ascii="Arial" w:hAnsi="Arial" w:cs="Arial"/>
        </w:rPr>
        <w:t>Gwilliam</w:t>
      </w:r>
      <w:proofErr w:type="spellEnd"/>
      <w:r w:rsidRPr="00C310FD">
        <w:rPr>
          <w:rFonts w:ascii="Arial" w:hAnsi="Arial" w:cs="Arial"/>
        </w:rPr>
        <w:t xml:space="preserve"> (2008) and developed by Dementiev </w:t>
      </w:r>
      <w:r w:rsidR="00760352" w:rsidRPr="00C310FD">
        <w:rPr>
          <w:rFonts w:ascii="Arial" w:hAnsi="Arial" w:cs="Arial"/>
        </w:rPr>
        <w:t xml:space="preserve">and </w:t>
      </w:r>
      <w:r w:rsidRPr="00C310FD">
        <w:rPr>
          <w:rFonts w:ascii="Arial" w:hAnsi="Arial" w:cs="Arial"/>
        </w:rPr>
        <w:t>Han</w:t>
      </w:r>
      <w:r w:rsidR="00760352" w:rsidRPr="00C310FD">
        <w:rPr>
          <w:rFonts w:ascii="Arial" w:hAnsi="Arial" w:cs="Arial"/>
        </w:rPr>
        <w:t xml:space="preserve"> (2020</w:t>
      </w:r>
      <w:r w:rsidRPr="00C310FD">
        <w:rPr>
          <w:rFonts w:ascii="Arial" w:hAnsi="Arial" w:cs="Arial"/>
        </w:rPr>
        <w:t>)</w:t>
      </w:r>
      <w:r w:rsidR="00760352" w:rsidRPr="00C310FD">
        <w:rPr>
          <w:rFonts w:ascii="Arial" w:hAnsi="Arial" w:cs="Arial"/>
        </w:rPr>
        <w:t xml:space="preserve">. </w:t>
      </w:r>
      <w:r w:rsidRPr="00C310FD">
        <w:rPr>
          <w:rFonts w:ascii="Arial" w:hAnsi="Arial" w:cs="Arial"/>
        </w:rPr>
        <w:t xml:space="preserve"> </w:t>
      </w:r>
      <w:r w:rsidR="00760352" w:rsidRPr="00C310FD">
        <w:rPr>
          <w:rFonts w:ascii="Arial" w:hAnsi="Arial" w:cs="Arial"/>
        </w:rPr>
        <w:t xml:space="preserve"> Prior to </w:t>
      </w:r>
      <w:r w:rsidR="00452499">
        <w:rPr>
          <w:rFonts w:ascii="Arial" w:hAnsi="Arial" w:cs="Arial"/>
        </w:rPr>
        <w:t xml:space="preserve">the </w:t>
      </w:r>
      <w:r w:rsidR="00546ABF">
        <w:rPr>
          <w:rFonts w:ascii="Arial" w:hAnsi="Arial" w:cs="Arial"/>
        </w:rPr>
        <w:t xml:space="preserve">reforms </w:t>
      </w:r>
      <w:r w:rsidR="00452499">
        <w:rPr>
          <w:rFonts w:ascii="Arial" w:hAnsi="Arial" w:cs="Arial"/>
        </w:rPr>
        <w:t>of the 1980s and 1990s</w:t>
      </w:r>
      <w:r w:rsidR="00760352" w:rsidRPr="00C310FD">
        <w:rPr>
          <w:rFonts w:ascii="Arial" w:hAnsi="Arial" w:cs="Arial"/>
        </w:rPr>
        <w:t xml:space="preserve">, both the bus and rail industries were regulated public monopolies, as </w:t>
      </w:r>
      <w:r w:rsidR="00D671E2">
        <w:rPr>
          <w:rFonts w:ascii="Arial" w:hAnsi="Arial" w:cs="Arial"/>
        </w:rPr>
        <w:t xml:space="preserve">per </w:t>
      </w:r>
      <w:r w:rsidR="00760352" w:rsidRPr="00C310FD">
        <w:rPr>
          <w:rFonts w:ascii="Arial" w:hAnsi="Arial" w:cs="Arial"/>
        </w:rPr>
        <w:t xml:space="preserve">Figure 5. The reforms </w:t>
      </w:r>
      <w:r w:rsidR="00452499">
        <w:rPr>
          <w:rFonts w:ascii="Arial" w:hAnsi="Arial" w:cs="Arial"/>
        </w:rPr>
        <w:t xml:space="preserve">sought </w:t>
      </w:r>
      <w:r w:rsidR="00546ABF">
        <w:rPr>
          <w:rFonts w:ascii="Arial" w:hAnsi="Arial" w:cs="Arial"/>
        </w:rPr>
        <w:t>to</w:t>
      </w:r>
      <w:r w:rsidR="00452499">
        <w:rPr>
          <w:rFonts w:ascii="Arial" w:hAnsi="Arial" w:cs="Arial"/>
        </w:rPr>
        <w:t xml:space="preserve"> </w:t>
      </w:r>
      <w:r w:rsidR="00452499">
        <w:rPr>
          <w:rFonts w:ascii="Arial" w:hAnsi="Arial" w:cs="Arial"/>
        </w:rPr>
        <w:lastRenderedPageBreak/>
        <w:t xml:space="preserve">inject competitive private supply (Figure 5 top) but </w:t>
      </w:r>
      <w:r w:rsidR="00760352" w:rsidRPr="00C310FD">
        <w:rPr>
          <w:rFonts w:ascii="Arial" w:hAnsi="Arial" w:cs="Arial"/>
        </w:rPr>
        <w:t>took different paths in that the bus industry outside London pursued the competition in the market route that resulted in the emergence of private oligopolies</w:t>
      </w:r>
      <w:r w:rsidR="00881D6A">
        <w:rPr>
          <w:rFonts w:ascii="Arial" w:hAnsi="Arial" w:cs="Arial"/>
        </w:rPr>
        <w:t xml:space="preserve"> (Figure 5, bottom)</w:t>
      </w:r>
      <w:r w:rsidR="00760352" w:rsidRPr="00C310FD">
        <w:rPr>
          <w:rFonts w:ascii="Arial" w:hAnsi="Arial" w:cs="Arial"/>
        </w:rPr>
        <w:t xml:space="preserve">. </w:t>
      </w:r>
      <w:r w:rsidR="00C3598C">
        <w:rPr>
          <w:rFonts w:ascii="Arial" w:hAnsi="Arial" w:cs="Arial"/>
        </w:rPr>
        <w:t xml:space="preserve">Villa i </w:t>
      </w:r>
      <w:proofErr w:type="spellStart"/>
      <w:r w:rsidR="00C3598C">
        <w:rPr>
          <w:rFonts w:ascii="Arial" w:hAnsi="Arial" w:cs="Arial"/>
        </w:rPr>
        <w:t>Aguiler</w:t>
      </w:r>
      <w:proofErr w:type="spellEnd"/>
      <w:r w:rsidR="00C3598C">
        <w:rPr>
          <w:rFonts w:ascii="Arial" w:hAnsi="Arial" w:cs="Arial"/>
        </w:rPr>
        <w:t xml:space="preserve"> et al. (2022) note that although bus deregulation does not entirely break the </w:t>
      </w:r>
      <w:r w:rsidR="0011545F">
        <w:rPr>
          <w:rFonts w:ascii="Arial" w:hAnsi="Arial" w:cs="Arial"/>
        </w:rPr>
        <w:t xml:space="preserve">regulatory </w:t>
      </w:r>
      <w:r w:rsidR="00C3598C">
        <w:rPr>
          <w:rFonts w:ascii="Arial" w:hAnsi="Arial" w:cs="Arial"/>
        </w:rPr>
        <w:t>cycle, it has certain elements baked-in (such as private ownership rights to routes) thus making it difficult to ‘re</w:t>
      </w:r>
      <w:r w:rsidR="00212D78">
        <w:rPr>
          <w:rFonts w:ascii="Arial" w:hAnsi="Arial" w:cs="Arial"/>
        </w:rPr>
        <w:t>-</w:t>
      </w:r>
      <w:r w:rsidR="00C3598C">
        <w:rPr>
          <w:rFonts w:ascii="Arial" w:hAnsi="Arial" w:cs="Arial"/>
        </w:rPr>
        <w:t xml:space="preserve">connect’ </w:t>
      </w:r>
      <w:r w:rsidR="005D259D">
        <w:rPr>
          <w:rFonts w:ascii="Arial" w:hAnsi="Arial" w:cs="Arial"/>
        </w:rPr>
        <w:t xml:space="preserve">to the cycle </w:t>
      </w:r>
      <w:r w:rsidR="00C3598C">
        <w:rPr>
          <w:rFonts w:ascii="Arial" w:hAnsi="Arial" w:cs="Arial"/>
        </w:rPr>
        <w:t xml:space="preserve">and hence restricting policy options. </w:t>
      </w:r>
      <w:r w:rsidR="00760352" w:rsidRPr="00C310FD">
        <w:rPr>
          <w:rFonts w:ascii="Arial" w:hAnsi="Arial" w:cs="Arial"/>
        </w:rPr>
        <w:t xml:space="preserve">By contrast, for buses in London and for the vast majority of </w:t>
      </w:r>
      <w:r w:rsidR="009F59DF">
        <w:rPr>
          <w:rFonts w:ascii="Arial" w:hAnsi="Arial" w:cs="Arial"/>
        </w:rPr>
        <w:t xml:space="preserve">national </w:t>
      </w:r>
      <w:r w:rsidR="00760352" w:rsidRPr="00C310FD">
        <w:rPr>
          <w:rFonts w:ascii="Arial" w:hAnsi="Arial" w:cs="Arial"/>
        </w:rPr>
        <w:t>passenger rail services, competition for the market was pursued, based on tendering/franchising</w:t>
      </w:r>
      <w:r w:rsidR="00452499">
        <w:rPr>
          <w:rFonts w:ascii="Arial" w:hAnsi="Arial" w:cs="Arial"/>
        </w:rPr>
        <w:t xml:space="preserve"> (</w:t>
      </w:r>
      <w:r w:rsidR="00881D6A">
        <w:rPr>
          <w:rFonts w:ascii="Arial" w:hAnsi="Arial" w:cs="Arial"/>
        </w:rPr>
        <w:t xml:space="preserve">also </w:t>
      </w:r>
      <w:r w:rsidR="00452499">
        <w:rPr>
          <w:rFonts w:ascii="Arial" w:hAnsi="Arial" w:cs="Arial"/>
        </w:rPr>
        <w:t>Figure 5 bottom)</w:t>
      </w:r>
      <w:r w:rsidR="00760352" w:rsidRPr="00C310FD">
        <w:rPr>
          <w:rFonts w:ascii="Arial" w:hAnsi="Arial" w:cs="Arial"/>
        </w:rPr>
        <w:t>.</w:t>
      </w:r>
      <w:r w:rsidR="00212D78">
        <w:rPr>
          <w:rFonts w:ascii="Arial" w:hAnsi="Arial" w:cs="Arial"/>
        </w:rPr>
        <w:t xml:space="preserve"> Here, re-connection may be more feasible.</w:t>
      </w:r>
    </w:p>
    <w:p w14:paraId="0F6BE4FC" w14:textId="08849A1F" w:rsidR="003767B6" w:rsidRPr="00C310FD" w:rsidRDefault="00760352" w:rsidP="00261EEA">
      <w:pPr>
        <w:spacing w:line="276" w:lineRule="auto"/>
        <w:rPr>
          <w:rFonts w:ascii="Arial" w:hAnsi="Arial" w:cs="Arial"/>
        </w:rPr>
      </w:pPr>
      <w:r w:rsidRPr="00C310FD">
        <w:rPr>
          <w:rFonts w:ascii="Arial" w:hAnsi="Arial" w:cs="Arial"/>
        </w:rPr>
        <w:t xml:space="preserve"> </w:t>
      </w:r>
      <w:r w:rsidR="00452499">
        <w:rPr>
          <w:rFonts w:ascii="Arial" w:hAnsi="Arial" w:cs="Arial"/>
          <w:noProof/>
        </w:rPr>
        <w:drawing>
          <wp:inline distT="0" distB="0" distL="0" distR="0" wp14:anchorId="22BA6659" wp14:editId="67BC9C3D">
            <wp:extent cx="4422775" cy="2449114"/>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6417" cy="2462206"/>
                    </a:xfrm>
                    <a:prstGeom prst="rect">
                      <a:avLst/>
                    </a:prstGeom>
                    <a:noFill/>
                  </pic:spPr>
                </pic:pic>
              </a:graphicData>
            </a:graphic>
          </wp:inline>
        </w:drawing>
      </w:r>
    </w:p>
    <w:p w14:paraId="393C609A" w14:textId="0B358A3A" w:rsidR="003767B6" w:rsidRPr="00C310FD" w:rsidRDefault="003767B6" w:rsidP="00F43BE9">
      <w:pPr>
        <w:rPr>
          <w:rFonts w:ascii="Arial" w:hAnsi="Arial" w:cs="Arial"/>
        </w:rPr>
      </w:pPr>
      <w:r w:rsidRPr="00C310FD">
        <w:rPr>
          <w:rFonts w:ascii="Arial" w:hAnsi="Arial" w:cs="Arial"/>
          <w:noProof/>
        </w:rPr>
        <w:drawing>
          <wp:inline distT="0" distB="0" distL="0" distR="0" wp14:anchorId="5F66AF15" wp14:editId="611DBF10">
            <wp:extent cx="4785275" cy="238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7566" cy="2418680"/>
                    </a:xfrm>
                    <a:prstGeom prst="rect">
                      <a:avLst/>
                    </a:prstGeom>
                    <a:noFill/>
                  </pic:spPr>
                </pic:pic>
              </a:graphicData>
            </a:graphic>
          </wp:inline>
        </w:drawing>
      </w:r>
    </w:p>
    <w:p w14:paraId="5C52D19B" w14:textId="49C2B17E" w:rsidR="003767B6" w:rsidRDefault="003767B6" w:rsidP="00452499">
      <w:pPr>
        <w:spacing w:after="0" w:line="240" w:lineRule="auto"/>
        <w:rPr>
          <w:rFonts w:ascii="Arial" w:hAnsi="Arial" w:cs="Arial"/>
          <w:b/>
          <w:bCs/>
          <w:sz w:val="20"/>
          <w:szCs w:val="20"/>
        </w:rPr>
      </w:pPr>
      <w:r w:rsidRPr="00261EEA">
        <w:rPr>
          <w:rFonts w:ascii="Arial" w:hAnsi="Arial" w:cs="Arial"/>
          <w:b/>
          <w:bCs/>
          <w:sz w:val="20"/>
          <w:szCs w:val="20"/>
        </w:rPr>
        <w:t xml:space="preserve">Figure 5: Regulatory Cycles </w:t>
      </w:r>
    </w:p>
    <w:p w14:paraId="4D2006BD" w14:textId="01A28757" w:rsidR="00452499" w:rsidRPr="00881D6A" w:rsidRDefault="00452499" w:rsidP="00452499">
      <w:pPr>
        <w:spacing w:after="0" w:line="240" w:lineRule="auto"/>
        <w:rPr>
          <w:rFonts w:ascii="Arial" w:hAnsi="Arial" w:cs="Arial"/>
        </w:rPr>
      </w:pPr>
      <w:r w:rsidRPr="00881D6A">
        <w:rPr>
          <w:rFonts w:ascii="Arial" w:hAnsi="Arial" w:cs="Arial"/>
        </w:rPr>
        <w:t xml:space="preserve">Sources: </w:t>
      </w:r>
      <w:proofErr w:type="spellStart"/>
      <w:r w:rsidRPr="00881D6A">
        <w:rPr>
          <w:rFonts w:ascii="Arial" w:hAnsi="Arial" w:cs="Arial"/>
        </w:rPr>
        <w:t>Gwilliam</w:t>
      </w:r>
      <w:proofErr w:type="spellEnd"/>
      <w:r w:rsidRPr="00881D6A">
        <w:rPr>
          <w:rFonts w:ascii="Arial" w:hAnsi="Arial" w:cs="Arial"/>
        </w:rPr>
        <w:t xml:space="preserve"> (2008) top, Dementiev and Han (2020).</w:t>
      </w:r>
    </w:p>
    <w:p w14:paraId="4B7DB754" w14:textId="77777777" w:rsidR="00452499" w:rsidRPr="00261EEA" w:rsidRDefault="00452499" w:rsidP="00452499">
      <w:pPr>
        <w:spacing w:after="0" w:line="240" w:lineRule="auto"/>
        <w:rPr>
          <w:rFonts w:ascii="Arial" w:hAnsi="Arial" w:cs="Arial"/>
          <w:b/>
          <w:bCs/>
          <w:sz w:val="20"/>
          <w:szCs w:val="20"/>
        </w:rPr>
      </w:pPr>
    </w:p>
    <w:p w14:paraId="2AD3C22D" w14:textId="6BEBAB00" w:rsidR="00B9640A" w:rsidRDefault="00D65F4C" w:rsidP="00261EEA">
      <w:pPr>
        <w:spacing w:line="276" w:lineRule="auto"/>
        <w:rPr>
          <w:rFonts w:ascii="Arial" w:hAnsi="Arial" w:cs="Arial"/>
        </w:rPr>
      </w:pPr>
      <w:r>
        <w:rPr>
          <w:rFonts w:ascii="Arial" w:hAnsi="Arial" w:cs="Arial"/>
        </w:rPr>
        <w:t>The broad approach might be seen as being one of regulated deregulation (</w:t>
      </w:r>
      <w:r w:rsidR="00212D78">
        <w:rPr>
          <w:rFonts w:ascii="Arial" w:hAnsi="Arial" w:cs="Arial"/>
        </w:rPr>
        <w:t>v</w:t>
      </w:r>
      <w:r>
        <w:rPr>
          <w:rFonts w:ascii="Arial" w:hAnsi="Arial" w:cs="Arial"/>
        </w:rPr>
        <w:t xml:space="preserve">an de Velde and Wallis, 2013).  </w:t>
      </w:r>
      <w:r w:rsidR="00B9640A" w:rsidRPr="00B9640A">
        <w:rPr>
          <w:rFonts w:ascii="Arial" w:hAnsi="Arial" w:cs="Arial"/>
        </w:rPr>
        <w:t>One possible interpretation of the National Bus Strategy and the Williams-</w:t>
      </w:r>
      <w:proofErr w:type="spellStart"/>
      <w:r w:rsidR="00B9640A" w:rsidRPr="00B9640A">
        <w:rPr>
          <w:rFonts w:ascii="Arial" w:hAnsi="Arial" w:cs="Arial"/>
        </w:rPr>
        <w:t>Shapps</w:t>
      </w:r>
      <w:proofErr w:type="spellEnd"/>
      <w:r w:rsidR="00B9640A" w:rsidRPr="00B9640A">
        <w:rPr>
          <w:rFonts w:ascii="Arial" w:hAnsi="Arial" w:cs="Arial"/>
        </w:rPr>
        <w:t xml:space="preserve"> Plan is that greater emphasis will be placed on negotiations</w:t>
      </w:r>
      <w:r w:rsidR="00452499">
        <w:rPr>
          <w:rFonts w:ascii="Arial" w:hAnsi="Arial" w:cs="Arial"/>
        </w:rPr>
        <w:t xml:space="preserve"> and agreements</w:t>
      </w:r>
      <w:r w:rsidR="00B9640A" w:rsidRPr="00B9640A">
        <w:rPr>
          <w:rFonts w:ascii="Arial" w:hAnsi="Arial" w:cs="Arial"/>
        </w:rPr>
        <w:t xml:space="preserve">, particularly with respect to Enhanced Partnerships </w:t>
      </w:r>
      <w:r w:rsidR="009F59DF">
        <w:rPr>
          <w:rFonts w:ascii="Arial" w:hAnsi="Arial" w:cs="Arial"/>
        </w:rPr>
        <w:t xml:space="preserve">for buses </w:t>
      </w:r>
      <w:r w:rsidR="00B9640A" w:rsidRPr="00B9640A">
        <w:rPr>
          <w:rFonts w:ascii="Arial" w:hAnsi="Arial" w:cs="Arial"/>
        </w:rPr>
        <w:t>but also with respect to some aspects of Passenger Service Contracts</w:t>
      </w:r>
      <w:r w:rsidR="009F59DF">
        <w:rPr>
          <w:rFonts w:ascii="Arial" w:hAnsi="Arial" w:cs="Arial"/>
        </w:rPr>
        <w:t xml:space="preserve"> for rail</w:t>
      </w:r>
      <w:r w:rsidR="00B9640A" w:rsidRPr="00B9640A">
        <w:rPr>
          <w:rFonts w:ascii="Arial" w:hAnsi="Arial" w:cs="Arial"/>
        </w:rPr>
        <w:t xml:space="preserve">, such as </w:t>
      </w:r>
      <w:r w:rsidR="009F59DF">
        <w:rPr>
          <w:rFonts w:ascii="Arial" w:hAnsi="Arial" w:cs="Arial"/>
        </w:rPr>
        <w:t xml:space="preserve">contract </w:t>
      </w:r>
      <w:r w:rsidR="00B9640A" w:rsidRPr="00B9640A">
        <w:rPr>
          <w:rFonts w:ascii="Arial" w:hAnsi="Arial" w:cs="Arial"/>
        </w:rPr>
        <w:t xml:space="preserve">extensions. </w:t>
      </w:r>
      <w:r w:rsidR="00B9640A" w:rsidRPr="00C310FD">
        <w:rPr>
          <w:rFonts w:ascii="Arial" w:hAnsi="Arial" w:cs="Arial"/>
        </w:rPr>
        <w:t xml:space="preserve">Planning of services will </w:t>
      </w:r>
      <w:r w:rsidR="005E3077">
        <w:rPr>
          <w:rFonts w:ascii="Arial" w:hAnsi="Arial" w:cs="Arial"/>
        </w:rPr>
        <w:t xml:space="preserve">be </w:t>
      </w:r>
      <w:r w:rsidR="00B9640A" w:rsidRPr="00C310FD">
        <w:rPr>
          <w:rFonts w:ascii="Arial" w:hAnsi="Arial" w:cs="Arial"/>
        </w:rPr>
        <w:t>largely a public sector activity (with some input from the private sector) but operations will be a regulated, local, private monopoly</w:t>
      </w:r>
      <w:r w:rsidR="00142DB0">
        <w:rPr>
          <w:rFonts w:ascii="Arial" w:hAnsi="Arial" w:cs="Arial"/>
        </w:rPr>
        <w:t xml:space="preserve"> (or oligopoly)</w:t>
      </w:r>
      <w:r w:rsidR="00B9640A" w:rsidRPr="00C310FD">
        <w:rPr>
          <w:rFonts w:ascii="Arial" w:hAnsi="Arial" w:cs="Arial"/>
        </w:rPr>
        <w:t xml:space="preserve">. Another important contribution of Dementiev and Han (op cit.) is to highlight the role of </w:t>
      </w:r>
      <w:r w:rsidR="00B9640A" w:rsidRPr="00B9640A">
        <w:rPr>
          <w:rFonts w:ascii="Arial" w:hAnsi="Arial" w:cs="Arial"/>
        </w:rPr>
        <w:t xml:space="preserve">three exogenous </w:t>
      </w:r>
      <w:r w:rsidR="00B9640A" w:rsidRPr="00B9640A">
        <w:rPr>
          <w:rFonts w:ascii="Arial" w:hAnsi="Arial" w:cs="Arial"/>
        </w:rPr>
        <w:lastRenderedPageBreak/>
        <w:t>variables</w:t>
      </w:r>
      <w:r w:rsidR="00B9640A" w:rsidRPr="00C310FD">
        <w:rPr>
          <w:rFonts w:ascii="Arial" w:hAnsi="Arial" w:cs="Arial"/>
        </w:rPr>
        <w:t xml:space="preserve"> in the regulatory cycle</w:t>
      </w:r>
      <w:r w:rsidR="00B9640A" w:rsidRPr="00B9640A">
        <w:rPr>
          <w:rFonts w:ascii="Arial" w:hAnsi="Arial" w:cs="Arial"/>
        </w:rPr>
        <w:t>: technolog</w:t>
      </w:r>
      <w:r w:rsidR="00B9640A" w:rsidRPr="00C310FD">
        <w:rPr>
          <w:rFonts w:ascii="Arial" w:hAnsi="Arial" w:cs="Arial"/>
        </w:rPr>
        <w:t>y</w:t>
      </w:r>
      <w:r w:rsidR="00B9640A" w:rsidRPr="00B9640A">
        <w:rPr>
          <w:rFonts w:ascii="Arial" w:hAnsi="Arial" w:cs="Arial"/>
        </w:rPr>
        <w:t>, fiscal constraints and institutional capacity</w:t>
      </w:r>
      <w:r w:rsidR="00B21CDF">
        <w:rPr>
          <w:rFonts w:ascii="Arial" w:hAnsi="Arial" w:cs="Arial"/>
        </w:rPr>
        <w:t>. In the short-run, fiscal constraints will be important with the bus and rail industries fighting for their very survival</w:t>
      </w:r>
      <w:r w:rsidR="009F59DF">
        <w:rPr>
          <w:rFonts w:ascii="Arial" w:hAnsi="Arial" w:cs="Arial"/>
        </w:rPr>
        <w:t>, given patronage reductions of 20%</w:t>
      </w:r>
      <w:r w:rsidR="00B549BE">
        <w:rPr>
          <w:rFonts w:ascii="Arial" w:hAnsi="Arial" w:cs="Arial"/>
        </w:rPr>
        <w:t xml:space="preserve">, the </w:t>
      </w:r>
      <w:r>
        <w:rPr>
          <w:rFonts w:ascii="Arial" w:hAnsi="Arial" w:cs="Arial"/>
        </w:rPr>
        <w:t xml:space="preserve">eventual </w:t>
      </w:r>
      <w:r w:rsidR="00B549BE">
        <w:rPr>
          <w:rFonts w:ascii="Arial" w:hAnsi="Arial" w:cs="Arial"/>
        </w:rPr>
        <w:t>withdrawal of Covid-related funding</w:t>
      </w:r>
      <w:r w:rsidR="009F59DF">
        <w:rPr>
          <w:rFonts w:ascii="Arial" w:hAnsi="Arial" w:cs="Arial"/>
        </w:rPr>
        <w:t xml:space="preserve"> and rapidly increasing costs</w:t>
      </w:r>
      <w:r w:rsidR="00B549BE">
        <w:rPr>
          <w:rFonts w:ascii="Arial" w:hAnsi="Arial" w:cs="Arial"/>
        </w:rPr>
        <w:t>, exacerbated by labour shortages and unrest</w:t>
      </w:r>
      <w:r w:rsidR="00142DB0">
        <w:rPr>
          <w:rFonts w:ascii="Arial" w:hAnsi="Arial" w:cs="Arial"/>
        </w:rPr>
        <w:t>.</w:t>
      </w:r>
      <w:r w:rsidR="00B21CDF">
        <w:rPr>
          <w:rFonts w:ascii="Arial" w:hAnsi="Arial" w:cs="Arial"/>
        </w:rPr>
        <w:t xml:space="preserve"> In the </w:t>
      </w:r>
      <w:proofErr w:type="gramStart"/>
      <w:r w:rsidR="00B21CDF">
        <w:rPr>
          <w:rFonts w:ascii="Arial" w:hAnsi="Arial" w:cs="Arial"/>
        </w:rPr>
        <w:t>medium-run</w:t>
      </w:r>
      <w:proofErr w:type="gramEnd"/>
      <w:r w:rsidR="00B21CDF">
        <w:rPr>
          <w:rFonts w:ascii="Arial" w:hAnsi="Arial" w:cs="Arial"/>
        </w:rPr>
        <w:t xml:space="preserve">, the emphasis may be on building institutional capacity to </w:t>
      </w:r>
      <w:r w:rsidR="00142DB0">
        <w:rPr>
          <w:rFonts w:ascii="Arial" w:hAnsi="Arial" w:cs="Arial"/>
        </w:rPr>
        <w:t xml:space="preserve">progress </w:t>
      </w:r>
      <w:r w:rsidR="00B21CDF">
        <w:rPr>
          <w:rFonts w:ascii="Arial" w:hAnsi="Arial" w:cs="Arial"/>
        </w:rPr>
        <w:t>Enhanced Partnerships and establish Great British Railways. In the longer-run, technology in terms of digitisation and automation may be crucial</w:t>
      </w:r>
      <w:r w:rsidR="009F59DF">
        <w:rPr>
          <w:rFonts w:ascii="Arial" w:hAnsi="Arial" w:cs="Arial"/>
        </w:rPr>
        <w:t xml:space="preserve">, in terms </w:t>
      </w:r>
      <w:r w:rsidR="00B549BE">
        <w:rPr>
          <w:rFonts w:ascii="Arial" w:hAnsi="Arial" w:cs="Arial"/>
        </w:rPr>
        <w:t xml:space="preserve">of </w:t>
      </w:r>
      <w:r w:rsidR="008737F0">
        <w:rPr>
          <w:rFonts w:ascii="Arial" w:hAnsi="Arial" w:cs="Arial"/>
        </w:rPr>
        <w:t xml:space="preserve">both </w:t>
      </w:r>
      <w:r w:rsidR="009F59DF">
        <w:rPr>
          <w:rFonts w:ascii="Arial" w:hAnsi="Arial" w:cs="Arial"/>
        </w:rPr>
        <w:t>reducing costs and increasing service quality.</w:t>
      </w:r>
    </w:p>
    <w:p w14:paraId="25C3BFE0" w14:textId="301D6C84" w:rsidR="00212D78" w:rsidRPr="004E64F7" w:rsidRDefault="00212D78" w:rsidP="00261EEA">
      <w:pPr>
        <w:spacing w:line="276" w:lineRule="auto"/>
        <w:rPr>
          <w:rFonts w:ascii="Arial" w:hAnsi="Arial" w:cs="Arial"/>
          <w:b/>
          <w:bCs/>
        </w:rPr>
      </w:pPr>
      <w:r w:rsidRPr="004E64F7">
        <w:rPr>
          <w:rFonts w:ascii="Arial" w:hAnsi="Arial" w:cs="Arial"/>
          <w:b/>
          <w:bCs/>
        </w:rPr>
        <w:t>7. Conclusions</w:t>
      </w:r>
    </w:p>
    <w:p w14:paraId="26856A5B" w14:textId="4B0C1875" w:rsidR="00212D78" w:rsidRDefault="00142DB0" w:rsidP="00261EEA">
      <w:pPr>
        <w:spacing w:line="276" w:lineRule="auto"/>
        <w:rPr>
          <w:rFonts w:ascii="Arial" w:hAnsi="Arial" w:cs="Arial"/>
        </w:rPr>
      </w:pPr>
      <w:r>
        <w:rPr>
          <w:rFonts w:ascii="Arial" w:hAnsi="Arial" w:cs="Arial"/>
        </w:rPr>
        <w:t xml:space="preserve">Overall, it is evident that the two reports </w:t>
      </w:r>
      <w:r w:rsidR="0011545F">
        <w:rPr>
          <w:rFonts w:ascii="Arial" w:hAnsi="Arial" w:cs="Arial"/>
        </w:rPr>
        <w:t xml:space="preserve">discussed in this paper </w:t>
      </w:r>
      <w:r>
        <w:rPr>
          <w:rFonts w:ascii="Arial" w:hAnsi="Arial" w:cs="Arial"/>
        </w:rPr>
        <w:t xml:space="preserve">represent a further turn in the regulatory cycle of the two industries. </w:t>
      </w:r>
      <w:r w:rsidR="00E60D63">
        <w:rPr>
          <w:rFonts w:ascii="Arial" w:hAnsi="Arial" w:cs="Arial"/>
        </w:rPr>
        <w:t xml:space="preserve">All things must pass, in that the previous regulatory regimes appear to have run their course. </w:t>
      </w:r>
      <w:r>
        <w:rPr>
          <w:rFonts w:ascii="Arial" w:hAnsi="Arial" w:cs="Arial"/>
        </w:rPr>
        <w:t xml:space="preserve">However, this </w:t>
      </w:r>
      <w:r w:rsidR="00E60D63">
        <w:rPr>
          <w:rFonts w:ascii="Arial" w:hAnsi="Arial" w:cs="Arial"/>
        </w:rPr>
        <w:t xml:space="preserve">regulatory </w:t>
      </w:r>
      <w:r>
        <w:rPr>
          <w:rFonts w:ascii="Arial" w:hAnsi="Arial" w:cs="Arial"/>
        </w:rPr>
        <w:t>turn occurred for different reasons, being related to perceived demand-side fa</w:t>
      </w:r>
      <w:r w:rsidR="00E60D63">
        <w:rPr>
          <w:rFonts w:ascii="Arial" w:hAnsi="Arial" w:cs="Arial"/>
        </w:rPr>
        <w:t xml:space="preserve">ilures for buses outside London </w:t>
      </w:r>
      <w:r w:rsidR="009F59DF">
        <w:rPr>
          <w:rFonts w:ascii="Arial" w:hAnsi="Arial" w:cs="Arial"/>
        </w:rPr>
        <w:t xml:space="preserve">(particularly when contrasted with buses within London) </w:t>
      </w:r>
      <w:r w:rsidR="00E60D63">
        <w:rPr>
          <w:rFonts w:ascii="Arial" w:hAnsi="Arial" w:cs="Arial"/>
        </w:rPr>
        <w:t xml:space="preserve">and </w:t>
      </w:r>
      <w:r w:rsidR="008737F0">
        <w:rPr>
          <w:rFonts w:ascii="Arial" w:hAnsi="Arial" w:cs="Arial"/>
        </w:rPr>
        <w:t xml:space="preserve">largely </w:t>
      </w:r>
      <w:r w:rsidR="00E60D63">
        <w:rPr>
          <w:rFonts w:ascii="Arial" w:hAnsi="Arial" w:cs="Arial"/>
        </w:rPr>
        <w:t>supply-side failures for national rail</w:t>
      </w:r>
      <w:r w:rsidR="008737F0">
        <w:rPr>
          <w:rFonts w:ascii="Arial" w:hAnsi="Arial" w:cs="Arial"/>
        </w:rPr>
        <w:t>, albeit exposed by some demand-side successes</w:t>
      </w:r>
      <w:r w:rsidR="00E60D63">
        <w:rPr>
          <w:rFonts w:ascii="Arial" w:hAnsi="Arial" w:cs="Arial"/>
        </w:rPr>
        <w:t xml:space="preserve">. It also seems likely </w:t>
      </w:r>
      <w:r w:rsidR="009F59DF">
        <w:rPr>
          <w:rFonts w:ascii="Arial" w:hAnsi="Arial" w:cs="Arial"/>
        </w:rPr>
        <w:t xml:space="preserve">that the next phase of reforms will </w:t>
      </w:r>
      <w:r w:rsidR="00E60D63">
        <w:rPr>
          <w:rFonts w:ascii="Arial" w:hAnsi="Arial" w:cs="Arial"/>
        </w:rPr>
        <w:t xml:space="preserve">continue on slightly different paths. For both industries, there is likely to be more public control of planning </w:t>
      </w:r>
      <w:r w:rsidR="00212D78">
        <w:rPr>
          <w:rFonts w:ascii="Arial" w:hAnsi="Arial" w:cs="Arial"/>
        </w:rPr>
        <w:t>at both strategic and tactical levels (see also van de Velde, 1999)</w:t>
      </w:r>
      <w:r w:rsidR="004B06C9">
        <w:rPr>
          <w:rFonts w:ascii="Arial" w:hAnsi="Arial" w:cs="Arial"/>
        </w:rPr>
        <w:t xml:space="preserve">, although for buses this will be largely through partnerships. </w:t>
      </w:r>
      <w:r w:rsidR="00212D78">
        <w:rPr>
          <w:rFonts w:ascii="Arial" w:hAnsi="Arial" w:cs="Arial"/>
        </w:rPr>
        <w:t xml:space="preserve"> </w:t>
      </w:r>
      <w:r w:rsidR="004B06C9">
        <w:rPr>
          <w:rFonts w:ascii="Arial" w:hAnsi="Arial" w:cs="Arial"/>
        </w:rPr>
        <w:t xml:space="preserve">However, </w:t>
      </w:r>
      <w:r w:rsidR="00E60D63">
        <w:rPr>
          <w:rFonts w:ascii="Arial" w:hAnsi="Arial" w:cs="Arial"/>
        </w:rPr>
        <w:t xml:space="preserve">there will </w:t>
      </w:r>
      <w:r w:rsidR="004F0C37">
        <w:rPr>
          <w:rFonts w:ascii="Arial" w:hAnsi="Arial" w:cs="Arial"/>
        </w:rPr>
        <w:t xml:space="preserve">be </w:t>
      </w:r>
      <w:r w:rsidR="00E60D63">
        <w:rPr>
          <w:rFonts w:ascii="Arial" w:hAnsi="Arial" w:cs="Arial"/>
        </w:rPr>
        <w:t xml:space="preserve">continued involvement of the private sector in terms of operations </w:t>
      </w:r>
      <w:r w:rsidR="00D671E2">
        <w:rPr>
          <w:rFonts w:ascii="Arial" w:hAnsi="Arial" w:cs="Arial"/>
        </w:rPr>
        <w:t xml:space="preserve">largely </w:t>
      </w:r>
      <w:r w:rsidR="00E60D63">
        <w:rPr>
          <w:rFonts w:ascii="Arial" w:hAnsi="Arial" w:cs="Arial"/>
        </w:rPr>
        <w:t xml:space="preserve">through competition for the market for national rail and buses in London (and possibly a few other big cities such as Manchester) and </w:t>
      </w:r>
      <w:r w:rsidR="00D671E2">
        <w:rPr>
          <w:rFonts w:ascii="Arial" w:hAnsi="Arial" w:cs="Arial"/>
        </w:rPr>
        <w:t xml:space="preserve">largely </w:t>
      </w:r>
      <w:r w:rsidR="009F59DF">
        <w:rPr>
          <w:rFonts w:ascii="Arial" w:hAnsi="Arial" w:cs="Arial"/>
        </w:rPr>
        <w:t>th</w:t>
      </w:r>
      <w:r w:rsidR="00620705">
        <w:rPr>
          <w:rFonts w:ascii="Arial" w:hAnsi="Arial" w:cs="Arial"/>
        </w:rPr>
        <w:t>r</w:t>
      </w:r>
      <w:r w:rsidR="009F59DF">
        <w:rPr>
          <w:rFonts w:ascii="Arial" w:hAnsi="Arial" w:cs="Arial"/>
        </w:rPr>
        <w:t xml:space="preserve">ough </w:t>
      </w:r>
      <w:r w:rsidR="00E60D63">
        <w:rPr>
          <w:rFonts w:ascii="Arial" w:hAnsi="Arial" w:cs="Arial"/>
        </w:rPr>
        <w:t xml:space="preserve">competition in the market for local buses elsewhere. </w:t>
      </w:r>
      <w:r w:rsidR="001E7F1A">
        <w:rPr>
          <w:rFonts w:ascii="Arial" w:hAnsi="Arial" w:cs="Arial"/>
        </w:rPr>
        <w:t>Although difficult to summarise concisely, t</w:t>
      </w:r>
      <w:r w:rsidR="00212D78">
        <w:rPr>
          <w:rFonts w:ascii="Arial" w:hAnsi="Arial" w:cs="Arial"/>
        </w:rPr>
        <w:t xml:space="preserve">he likely key changes </w:t>
      </w:r>
      <w:r w:rsidR="001E7F1A">
        <w:rPr>
          <w:rFonts w:ascii="Arial" w:hAnsi="Arial" w:cs="Arial"/>
        </w:rPr>
        <w:t xml:space="preserve">to the regimes </w:t>
      </w:r>
      <w:r w:rsidR="00212D78">
        <w:rPr>
          <w:rFonts w:ascii="Arial" w:hAnsi="Arial" w:cs="Arial"/>
        </w:rPr>
        <w:t>are highlighted by Table 6</w:t>
      </w:r>
      <w:r w:rsidR="001E7F1A">
        <w:rPr>
          <w:rFonts w:ascii="Arial" w:hAnsi="Arial" w:cs="Arial"/>
        </w:rPr>
        <w:t xml:space="preserve"> in terms of the degree of public control</w:t>
      </w:r>
      <w:r w:rsidR="00212D78">
        <w:rPr>
          <w:rFonts w:ascii="Arial" w:hAnsi="Arial" w:cs="Arial"/>
        </w:rPr>
        <w:t>.</w:t>
      </w:r>
    </w:p>
    <w:p w14:paraId="40A6DEA8" w14:textId="48C67B80" w:rsidR="00212D78" w:rsidRDefault="00212D78" w:rsidP="00261EEA">
      <w:pPr>
        <w:spacing w:line="276" w:lineRule="auto"/>
        <w:rPr>
          <w:rFonts w:ascii="Arial" w:hAnsi="Arial" w:cs="Arial"/>
        </w:rPr>
      </w:pPr>
      <w:r>
        <w:rPr>
          <w:rFonts w:ascii="Arial" w:hAnsi="Arial" w:cs="Arial"/>
        </w:rPr>
        <w:t>Table 6: Summary of Key Changes in the Control of Functions as a Result of the 2021 Reforms</w:t>
      </w:r>
    </w:p>
    <w:tbl>
      <w:tblPr>
        <w:tblStyle w:val="TableGrid"/>
        <w:tblW w:w="0" w:type="auto"/>
        <w:tblLook w:val="04A0" w:firstRow="1" w:lastRow="0" w:firstColumn="1" w:lastColumn="0" w:noHBand="0" w:noVBand="1"/>
      </w:tblPr>
      <w:tblGrid>
        <w:gridCol w:w="1812"/>
        <w:gridCol w:w="1812"/>
        <w:gridCol w:w="1812"/>
        <w:gridCol w:w="1812"/>
        <w:gridCol w:w="1812"/>
      </w:tblGrid>
      <w:tr w:rsidR="00212D78" w14:paraId="575B3269" w14:textId="77777777" w:rsidTr="00212D78">
        <w:tc>
          <w:tcPr>
            <w:tcW w:w="1812" w:type="dxa"/>
          </w:tcPr>
          <w:p w14:paraId="797D2B9A" w14:textId="77777777" w:rsidR="00212D78" w:rsidRDefault="00212D78" w:rsidP="00261EEA">
            <w:pPr>
              <w:spacing w:line="276" w:lineRule="auto"/>
              <w:rPr>
                <w:rFonts w:ascii="Arial" w:hAnsi="Arial" w:cs="Arial"/>
              </w:rPr>
            </w:pPr>
          </w:p>
        </w:tc>
        <w:tc>
          <w:tcPr>
            <w:tcW w:w="1812" w:type="dxa"/>
          </w:tcPr>
          <w:p w14:paraId="51FEA6DC" w14:textId="77777777" w:rsidR="00212D78" w:rsidRDefault="00212D78" w:rsidP="00261EEA">
            <w:pPr>
              <w:spacing w:line="276" w:lineRule="auto"/>
              <w:rPr>
                <w:rFonts w:ascii="Arial" w:hAnsi="Arial" w:cs="Arial"/>
              </w:rPr>
            </w:pPr>
          </w:p>
        </w:tc>
        <w:tc>
          <w:tcPr>
            <w:tcW w:w="1812" w:type="dxa"/>
          </w:tcPr>
          <w:p w14:paraId="31541FC3" w14:textId="711E9DCB" w:rsidR="00212D78" w:rsidRDefault="00212D78" w:rsidP="00261EEA">
            <w:pPr>
              <w:spacing w:line="276" w:lineRule="auto"/>
              <w:rPr>
                <w:rFonts w:ascii="Arial" w:hAnsi="Arial" w:cs="Arial"/>
              </w:rPr>
            </w:pPr>
            <w:r>
              <w:rPr>
                <w:rFonts w:ascii="Arial" w:hAnsi="Arial" w:cs="Arial"/>
              </w:rPr>
              <w:t>Strategic</w:t>
            </w:r>
          </w:p>
        </w:tc>
        <w:tc>
          <w:tcPr>
            <w:tcW w:w="1812" w:type="dxa"/>
          </w:tcPr>
          <w:p w14:paraId="03534D84" w14:textId="7FA40B81" w:rsidR="00212D78" w:rsidRDefault="00212D78" w:rsidP="00261EEA">
            <w:pPr>
              <w:spacing w:line="276" w:lineRule="auto"/>
              <w:rPr>
                <w:rFonts w:ascii="Arial" w:hAnsi="Arial" w:cs="Arial"/>
              </w:rPr>
            </w:pPr>
            <w:r>
              <w:rPr>
                <w:rFonts w:ascii="Arial" w:hAnsi="Arial" w:cs="Arial"/>
              </w:rPr>
              <w:t>Tactical</w:t>
            </w:r>
          </w:p>
        </w:tc>
        <w:tc>
          <w:tcPr>
            <w:tcW w:w="1812" w:type="dxa"/>
          </w:tcPr>
          <w:p w14:paraId="2DD173FB" w14:textId="126AD81A" w:rsidR="00212D78" w:rsidRDefault="00212D78" w:rsidP="00261EEA">
            <w:pPr>
              <w:spacing w:line="276" w:lineRule="auto"/>
              <w:rPr>
                <w:rFonts w:ascii="Arial" w:hAnsi="Arial" w:cs="Arial"/>
              </w:rPr>
            </w:pPr>
            <w:r>
              <w:rPr>
                <w:rFonts w:ascii="Arial" w:hAnsi="Arial" w:cs="Arial"/>
              </w:rPr>
              <w:t>Operational</w:t>
            </w:r>
          </w:p>
        </w:tc>
      </w:tr>
      <w:tr w:rsidR="00212D78" w14:paraId="2453BB1E" w14:textId="77777777" w:rsidTr="00212D78">
        <w:tc>
          <w:tcPr>
            <w:tcW w:w="1812" w:type="dxa"/>
            <w:vMerge w:val="restart"/>
          </w:tcPr>
          <w:p w14:paraId="60A9C8E6" w14:textId="20C423AA" w:rsidR="00212D78" w:rsidRDefault="00212D78" w:rsidP="00261EEA">
            <w:pPr>
              <w:spacing w:line="276" w:lineRule="auto"/>
              <w:rPr>
                <w:rFonts w:ascii="Arial" w:hAnsi="Arial" w:cs="Arial"/>
              </w:rPr>
            </w:pPr>
            <w:r>
              <w:rPr>
                <w:rFonts w:ascii="Arial" w:hAnsi="Arial" w:cs="Arial"/>
              </w:rPr>
              <w:t>Bus outside London</w:t>
            </w:r>
          </w:p>
        </w:tc>
        <w:tc>
          <w:tcPr>
            <w:tcW w:w="1812" w:type="dxa"/>
          </w:tcPr>
          <w:p w14:paraId="6C8D08D4" w14:textId="3706B979" w:rsidR="00212D78" w:rsidRDefault="00212D78" w:rsidP="00261EEA">
            <w:pPr>
              <w:spacing w:line="276" w:lineRule="auto"/>
              <w:rPr>
                <w:rFonts w:ascii="Arial" w:hAnsi="Arial" w:cs="Arial"/>
              </w:rPr>
            </w:pPr>
            <w:r>
              <w:rPr>
                <w:rFonts w:ascii="Arial" w:hAnsi="Arial" w:cs="Arial"/>
              </w:rPr>
              <w:t>Before</w:t>
            </w:r>
          </w:p>
        </w:tc>
        <w:tc>
          <w:tcPr>
            <w:tcW w:w="1812" w:type="dxa"/>
          </w:tcPr>
          <w:p w14:paraId="79988EB8" w14:textId="2580DF9D" w:rsidR="00212D78" w:rsidRDefault="00212D78" w:rsidP="00261EEA">
            <w:pPr>
              <w:spacing w:line="276" w:lineRule="auto"/>
              <w:rPr>
                <w:rFonts w:ascii="Arial" w:hAnsi="Arial" w:cs="Arial"/>
              </w:rPr>
            </w:pPr>
            <w:r>
              <w:rPr>
                <w:rFonts w:ascii="Arial" w:hAnsi="Arial" w:cs="Arial"/>
              </w:rPr>
              <w:t>Private</w:t>
            </w:r>
          </w:p>
        </w:tc>
        <w:tc>
          <w:tcPr>
            <w:tcW w:w="1812" w:type="dxa"/>
          </w:tcPr>
          <w:p w14:paraId="6CA823A6" w14:textId="193C456B" w:rsidR="00212D78" w:rsidRDefault="00212D78" w:rsidP="00261EEA">
            <w:pPr>
              <w:spacing w:line="276" w:lineRule="auto"/>
              <w:rPr>
                <w:rFonts w:ascii="Arial" w:hAnsi="Arial" w:cs="Arial"/>
              </w:rPr>
            </w:pPr>
            <w:r>
              <w:rPr>
                <w:rFonts w:ascii="Arial" w:hAnsi="Arial" w:cs="Arial"/>
              </w:rPr>
              <w:t>Private</w:t>
            </w:r>
          </w:p>
        </w:tc>
        <w:tc>
          <w:tcPr>
            <w:tcW w:w="1812" w:type="dxa"/>
          </w:tcPr>
          <w:p w14:paraId="096C8C6C" w14:textId="6A3BF1F8" w:rsidR="00212D78" w:rsidRDefault="00212D78" w:rsidP="00261EEA">
            <w:pPr>
              <w:spacing w:line="276" w:lineRule="auto"/>
              <w:rPr>
                <w:rFonts w:ascii="Arial" w:hAnsi="Arial" w:cs="Arial"/>
              </w:rPr>
            </w:pPr>
            <w:r>
              <w:rPr>
                <w:rFonts w:ascii="Arial" w:hAnsi="Arial" w:cs="Arial"/>
              </w:rPr>
              <w:t>Private</w:t>
            </w:r>
          </w:p>
        </w:tc>
      </w:tr>
      <w:tr w:rsidR="00212D78" w14:paraId="4B9E80C1" w14:textId="77777777" w:rsidTr="00212D78">
        <w:tc>
          <w:tcPr>
            <w:tcW w:w="1812" w:type="dxa"/>
            <w:vMerge/>
          </w:tcPr>
          <w:p w14:paraId="3B3E23FF" w14:textId="77777777" w:rsidR="00212D78" w:rsidRDefault="00212D78" w:rsidP="00261EEA">
            <w:pPr>
              <w:spacing w:line="276" w:lineRule="auto"/>
              <w:rPr>
                <w:rFonts w:ascii="Arial" w:hAnsi="Arial" w:cs="Arial"/>
              </w:rPr>
            </w:pPr>
          </w:p>
        </w:tc>
        <w:tc>
          <w:tcPr>
            <w:tcW w:w="1812" w:type="dxa"/>
          </w:tcPr>
          <w:p w14:paraId="59F7CD05" w14:textId="0F4BCFC5" w:rsidR="00212D78" w:rsidRDefault="00212D78" w:rsidP="00261EEA">
            <w:pPr>
              <w:spacing w:line="276" w:lineRule="auto"/>
              <w:rPr>
                <w:rFonts w:ascii="Arial" w:hAnsi="Arial" w:cs="Arial"/>
              </w:rPr>
            </w:pPr>
            <w:r>
              <w:rPr>
                <w:rFonts w:ascii="Arial" w:hAnsi="Arial" w:cs="Arial"/>
              </w:rPr>
              <w:t>After</w:t>
            </w:r>
          </w:p>
        </w:tc>
        <w:tc>
          <w:tcPr>
            <w:tcW w:w="1812" w:type="dxa"/>
          </w:tcPr>
          <w:p w14:paraId="12811B6D" w14:textId="06A09BD6" w:rsidR="00212D78" w:rsidRDefault="00212D78" w:rsidP="00261EEA">
            <w:pPr>
              <w:spacing w:line="276" w:lineRule="auto"/>
              <w:rPr>
                <w:rFonts w:ascii="Arial" w:hAnsi="Arial" w:cs="Arial"/>
              </w:rPr>
            </w:pPr>
            <w:r>
              <w:rPr>
                <w:rFonts w:ascii="Arial" w:hAnsi="Arial" w:cs="Arial"/>
              </w:rPr>
              <w:t>Partnersh</w:t>
            </w:r>
            <w:r w:rsidR="004B06C9">
              <w:rPr>
                <w:rFonts w:ascii="Arial" w:hAnsi="Arial" w:cs="Arial"/>
              </w:rPr>
              <w:t xml:space="preserve">ip </w:t>
            </w:r>
          </w:p>
        </w:tc>
        <w:tc>
          <w:tcPr>
            <w:tcW w:w="1812" w:type="dxa"/>
          </w:tcPr>
          <w:p w14:paraId="7E05D992" w14:textId="6F9090D8" w:rsidR="00212D78" w:rsidRDefault="004B06C9" w:rsidP="00261EEA">
            <w:pPr>
              <w:spacing w:line="276" w:lineRule="auto"/>
              <w:rPr>
                <w:rFonts w:ascii="Arial" w:hAnsi="Arial" w:cs="Arial"/>
              </w:rPr>
            </w:pPr>
            <w:r>
              <w:rPr>
                <w:rFonts w:ascii="Arial" w:hAnsi="Arial" w:cs="Arial"/>
              </w:rPr>
              <w:t>Partnership</w:t>
            </w:r>
          </w:p>
        </w:tc>
        <w:tc>
          <w:tcPr>
            <w:tcW w:w="1812" w:type="dxa"/>
          </w:tcPr>
          <w:p w14:paraId="41789FFD" w14:textId="3EFA09F7" w:rsidR="00212D78" w:rsidRDefault="004B06C9" w:rsidP="00261EEA">
            <w:pPr>
              <w:spacing w:line="276" w:lineRule="auto"/>
              <w:rPr>
                <w:rFonts w:ascii="Arial" w:hAnsi="Arial" w:cs="Arial"/>
              </w:rPr>
            </w:pPr>
            <w:r>
              <w:rPr>
                <w:rFonts w:ascii="Arial" w:hAnsi="Arial" w:cs="Arial"/>
              </w:rPr>
              <w:t>Private</w:t>
            </w:r>
          </w:p>
        </w:tc>
      </w:tr>
      <w:tr w:rsidR="00212D78" w14:paraId="670E24A3" w14:textId="77777777" w:rsidTr="00212D78">
        <w:tc>
          <w:tcPr>
            <w:tcW w:w="1812" w:type="dxa"/>
            <w:vMerge w:val="restart"/>
          </w:tcPr>
          <w:p w14:paraId="54C863BB" w14:textId="77777777" w:rsidR="00212D78" w:rsidRDefault="00212D78" w:rsidP="00261EEA">
            <w:pPr>
              <w:spacing w:line="276" w:lineRule="auto"/>
              <w:rPr>
                <w:rFonts w:ascii="Arial" w:hAnsi="Arial" w:cs="Arial"/>
              </w:rPr>
            </w:pPr>
            <w:r>
              <w:rPr>
                <w:rFonts w:ascii="Arial" w:hAnsi="Arial" w:cs="Arial"/>
              </w:rPr>
              <w:t>National</w:t>
            </w:r>
          </w:p>
          <w:p w14:paraId="1ABE4FC5" w14:textId="4C1C04AE" w:rsidR="00212D78" w:rsidRDefault="00212D78" w:rsidP="00261EEA">
            <w:pPr>
              <w:spacing w:line="276" w:lineRule="auto"/>
              <w:rPr>
                <w:rFonts w:ascii="Arial" w:hAnsi="Arial" w:cs="Arial"/>
              </w:rPr>
            </w:pPr>
            <w:r>
              <w:rPr>
                <w:rFonts w:ascii="Arial" w:hAnsi="Arial" w:cs="Arial"/>
              </w:rPr>
              <w:t>Rail</w:t>
            </w:r>
          </w:p>
        </w:tc>
        <w:tc>
          <w:tcPr>
            <w:tcW w:w="1812" w:type="dxa"/>
          </w:tcPr>
          <w:p w14:paraId="12070260" w14:textId="62FF3D0A" w:rsidR="00212D78" w:rsidRDefault="004B06C9" w:rsidP="00261EEA">
            <w:pPr>
              <w:spacing w:line="276" w:lineRule="auto"/>
              <w:rPr>
                <w:rFonts w:ascii="Arial" w:hAnsi="Arial" w:cs="Arial"/>
              </w:rPr>
            </w:pPr>
            <w:r>
              <w:rPr>
                <w:rFonts w:ascii="Arial" w:hAnsi="Arial" w:cs="Arial"/>
              </w:rPr>
              <w:t>Before</w:t>
            </w:r>
          </w:p>
        </w:tc>
        <w:tc>
          <w:tcPr>
            <w:tcW w:w="1812" w:type="dxa"/>
          </w:tcPr>
          <w:p w14:paraId="31F2CD21" w14:textId="16556DD6" w:rsidR="00212D78" w:rsidRDefault="004B06C9" w:rsidP="00261EEA">
            <w:pPr>
              <w:spacing w:line="276" w:lineRule="auto"/>
              <w:rPr>
                <w:rFonts w:ascii="Arial" w:hAnsi="Arial" w:cs="Arial"/>
              </w:rPr>
            </w:pPr>
            <w:r>
              <w:rPr>
                <w:rFonts w:ascii="Arial" w:hAnsi="Arial" w:cs="Arial"/>
              </w:rPr>
              <w:t>Public/Private</w:t>
            </w:r>
            <w:r w:rsidR="001E7F1A">
              <w:rPr>
                <w:rFonts w:ascii="Arial" w:hAnsi="Arial" w:cs="Arial"/>
              </w:rPr>
              <w:t>*</w:t>
            </w:r>
          </w:p>
        </w:tc>
        <w:tc>
          <w:tcPr>
            <w:tcW w:w="1812" w:type="dxa"/>
          </w:tcPr>
          <w:p w14:paraId="4AB443EE" w14:textId="62C2D248" w:rsidR="00212D78" w:rsidRDefault="004B06C9" w:rsidP="00261EEA">
            <w:pPr>
              <w:spacing w:line="276" w:lineRule="auto"/>
              <w:rPr>
                <w:rFonts w:ascii="Arial" w:hAnsi="Arial" w:cs="Arial"/>
              </w:rPr>
            </w:pPr>
            <w:r>
              <w:rPr>
                <w:rFonts w:ascii="Arial" w:hAnsi="Arial" w:cs="Arial"/>
              </w:rPr>
              <w:t>Private</w:t>
            </w:r>
          </w:p>
        </w:tc>
        <w:tc>
          <w:tcPr>
            <w:tcW w:w="1812" w:type="dxa"/>
          </w:tcPr>
          <w:p w14:paraId="009ECC3E" w14:textId="0C370550" w:rsidR="00212D78" w:rsidRDefault="004B06C9" w:rsidP="00261EEA">
            <w:pPr>
              <w:spacing w:line="276" w:lineRule="auto"/>
              <w:rPr>
                <w:rFonts w:ascii="Arial" w:hAnsi="Arial" w:cs="Arial"/>
              </w:rPr>
            </w:pPr>
            <w:r>
              <w:rPr>
                <w:rFonts w:ascii="Arial" w:hAnsi="Arial" w:cs="Arial"/>
              </w:rPr>
              <w:t>Private</w:t>
            </w:r>
          </w:p>
        </w:tc>
      </w:tr>
      <w:tr w:rsidR="00212D78" w14:paraId="6EF6DFA2" w14:textId="77777777" w:rsidTr="00212D78">
        <w:tc>
          <w:tcPr>
            <w:tcW w:w="1812" w:type="dxa"/>
            <w:vMerge/>
          </w:tcPr>
          <w:p w14:paraId="24A07150" w14:textId="77777777" w:rsidR="00212D78" w:rsidRDefault="00212D78" w:rsidP="00261EEA">
            <w:pPr>
              <w:spacing w:line="276" w:lineRule="auto"/>
              <w:rPr>
                <w:rFonts w:ascii="Arial" w:hAnsi="Arial" w:cs="Arial"/>
              </w:rPr>
            </w:pPr>
          </w:p>
        </w:tc>
        <w:tc>
          <w:tcPr>
            <w:tcW w:w="1812" w:type="dxa"/>
          </w:tcPr>
          <w:p w14:paraId="3A27BED0" w14:textId="749ABC37" w:rsidR="00212D78" w:rsidRDefault="004B06C9" w:rsidP="00261EEA">
            <w:pPr>
              <w:spacing w:line="276" w:lineRule="auto"/>
              <w:rPr>
                <w:rFonts w:ascii="Arial" w:hAnsi="Arial" w:cs="Arial"/>
              </w:rPr>
            </w:pPr>
            <w:r>
              <w:rPr>
                <w:rFonts w:ascii="Arial" w:hAnsi="Arial" w:cs="Arial"/>
              </w:rPr>
              <w:t>After</w:t>
            </w:r>
          </w:p>
        </w:tc>
        <w:tc>
          <w:tcPr>
            <w:tcW w:w="1812" w:type="dxa"/>
          </w:tcPr>
          <w:p w14:paraId="21D0069C" w14:textId="2DC77FF7" w:rsidR="00212D78" w:rsidRDefault="004B06C9" w:rsidP="00261EEA">
            <w:pPr>
              <w:spacing w:line="276" w:lineRule="auto"/>
              <w:rPr>
                <w:rFonts w:ascii="Arial" w:hAnsi="Arial" w:cs="Arial"/>
              </w:rPr>
            </w:pPr>
            <w:r>
              <w:rPr>
                <w:rFonts w:ascii="Arial" w:hAnsi="Arial" w:cs="Arial"/>
              </w:rPr>
              <w:t>Public</w:t>
            </w:r>
          </w:p>
        </w:tc>
        <w:tc>
          <w:tcPr>
            <w:tcW w:w="1812" w:type="dxa"/>
          </w:tcPr>
          <w:p w14:paraId="449A485E" w14:textId="098592D5" w:rsidR="00212D78" w:rsidRDefault="004B06C9" w:rsidP="00261EEA">
            <w:pPr>
              <w:spacing w:line="276" w:lineRule="auto"/>
              <w:rPr>
                <w:rFonts w:ascii="Arial" w:hAnsi="Arial" w:cs="Arial"/>
              </w:rPr>
            </w:pPr>
            <w:r>
              <w:rPr>
                <w:rFonts w:ascii="Arial" w:hAnsi="Arial" w:cs="Arial"/>
              </w:rPr>
              <w:t>Public</w:t>
            </w:r>
          </w:p>
        </w:tc>
        <w:tc>
          <w:tcPr>
            <w:tcW w:w="1812" w:type="dxa"/>
          </w:tcPr>
          <w:p w14:paraId="6DD712BD" w14:textId="6DF385BD" w:rsidR="00212D78" w:rsidRDefault="004B06C9" w:rsidP="00261EEA">
            <w:pPr>
              <w:spacing w:line="276" w:lineRule="auto"/>
              <w:rPr>
                <w:rFonts w:ascii="Arial" w:hAnsi="Arial" w:cs="Arial"/>
              </w:rPr>
            </w:pPr>
            <w:r>
              <w:rPr>
                <w:rFonts w:ascii="Arial" w:hAnsi="Arial" w:cs="Arial"/>
              </w:rPr>
              <w:t>Private</w:t>
            </w:r>
          </w:p>
        </w:tc>
      </w:tr>
    </w:tbl>
    <w:p w14:paraId="0E05E879" w14:textId="1AFD557D" w:rsidR="004B06C9" w:rsidRDefault="001E7F1A" w:rsidP="00261EEA">
      <w:pPr>
        <w:spacing w:line="276" w:lineRule="auto"/>
        <w:rPr>
          <w:rFonts w:ascii="Arial" w:hAnsi="Arial" w:cs="Arial"/>
        </w:rPr>
      </w:pPr>
      <w:r>
        <w:rPr>
          <w:rFonts w:ascii="Arial" w:hAnsi="Arial" w:cs="Arial"/>
        </w:rPr>
        <w:t>* For passenger operations, strategic function</w:t>
      </w:r>
      <w:r w:rsidR="009503C9">
        <w:rPr>
          <w:rFonts w:ascii="Arial" w:hAnsi="Arial" w:cs="Arial"/>
        </w:rPr>
        <w:t>s</w:t>
      </w:r>
      <w:r>
        <w:rPr>
          <w:rFonts w:ascii="Arial" w:hAnsi="Arial" w:cs="Arial"/>
        </w:rPr>
        <w:t xml:space="preserve"> have largely been carried out by public bodies such as, over time, OPRAF, SRA and </w:t>
      </w:r>
      <w:proofErr w:type="spellStart"/>
      <w:r>
        <w:rPr>
          <w:rFonts w:ascii="Arial" w:hAnsi="Arial" w:cs="Arial"/>
        </w:rPr>
        <w:t>DfT.</w:t>
      </w:r>
      <w:proofErr w:type="spellEnd"/>
      <w:r>
        <w:rPr>
          <w:rFonts w:ascii="Arial" w:hAnsi="Arial" w:cs="Arial"/>
        </w:rPr>
        <w:t xml:space="preserve"> </w:t>
      </w:r>
      <w:r w:rsidR="009503C9">
        <w:rPr>
          <w:rFonts w:ascii="Arial" w:hAnsi="Arial" w:cs="Arial"/>
        </w:rPr>
        <w:t>However, private operators have had some input in to the franchising process and ha</w:t>
      </w:r>
      <w:r w:rsidR="007959EF">
        <w:rPr>
          <w:rFonts w:ascii="Arial" w:hAnsi="Arial" w:cs="Arial"/>
        </w:rPr>
        <w:t>ve</w:t>
      </w:r>
      <w:r w:rsidR="009503C9">
        <w:rPr>
          <w:rFonts w:ascii="Arial" w:hAnsi="Arial" w:cs="Arial"/>
        </w:rPr>
        <w:t xml:space="preserve"> control of open-access passenger and freight operations.</w:t>
      </w:r>
    </w:p>
    <w:p w14:paraId="1DD8E84A" w14:textId="66669EE7" w:rsidR="007959EF" w:rsidRDefault="00E60D63" w:rsidP="00261EEA">
      <w:pPr>
        <w:spacing w:line="276" w:lineRule="auto"/>
        <w:rPr>
          <w:rFonts w:ascii="Arial" w:hAnsi="Arial" w:cs="Arial"/>
        </w:rPr>
      </w:pPr>
      <w:r>
        <w:rPr>
          <w:rFonts w:ascii="Arial" w:hAnsi="Arial" w:cs="Arial"/>
        </w:rPr>
        <w:t>Greater public ownership in operations</w:t>
      </w:r>
      <w:r w:rsidR="004F0C37">
        <w:rPr>
          <w:rFonts w:ascii="Arial" w:hAnsi="Arial" w:cs="Arial"/>
        </w:rPr>
        <w:t xml:space="preserve"> seem unlikely, at least outside the devolved administrations</w:t>
      </w:r>
      <w:r w:rsidR="001E7F1A">
        <w:rPr>
          <w:rFonts w:ascii="Arial" w:hAnsi="Arial" w:cs="Arial"/>
        </w:rPr>
        <w:t xml:space="preserve"> and a few local </w:t>
      </w:r>
      <w:proofErr w:type="spellStart"/>
      <w:r w:rsidR="001E7F1A">
        <w:rPr>
          <w:rFonts w:ascii="Arial" w:hAnsi="Arial" w:cs="Arial"/>
        </w:rPr>
        <w:t>authorties</w:t>
      </w:r>
      <w:proofErr w:type="spellEnd"/>
      <w:r w:rsidR="004F0C37">
        <w:rPr>
          <w:rFonts w:ascii="Arial" w:hAnsi="Arial" w:cs="Arial"/>
        </w:rPr>
        <w:t>. Perhaps the most obvious lacuna is the lack of integration between bus and rail and the limited consideration of multimodal contracting that is more advanced elsewhere</w:t>
      </w:r>
      <w:r w:rsidR="001E7F1A">
        <w:rPr>
          <w:rFonts w:ascii="Arial" w:hAnsi="Arial" w:cs="Arial"/>
        </w:rPr>
        <w:t>, most notably the Netherlands</w:t>
      </w:r>
      <w:r>
        <w:rPr>
          <w:rFonts w:ascii="Arial" w:hAnsi="Arial" w:cs="Arial"/>
        </w:rPr>
        <w:t xml:space="preserve"> </w:t>
      </w:r>
      <w:r w:rsidR="0021544A">
        <w:rPr>
          <w:rFonts w:ascii="Arial" w:hAnsi="Arial" w:cs="Arial"/>
        </w:rPr>
        <w:t>(Hoekstra et al., 2019).</w:t>
      </w:r>
      <w:r w:rsidR="00036A1E">
        <w:rPr>
          <w:rFonts w:ascii="Arial" w:hAnsi="Arial" w:cs="Arial"/>
        </w:rPr>
        <w:t xml:space="preserve"> Similarly, the scope for digital tools such as Mobility as a Service</w:t>
      </w:r>
      <w:r w:rsidR="00D671E2">
        <w:rPr>
          <w:rFonts w:ascii="Arial" w:hAnsi="Arial" w:cs="Arial"/>
        </w:rPr>
        <w:t xml:space="preserve"> (</w:t>
      </w:r>
      <w:proofErr w:type="spellStart"/>
      <w:r w:rsidR="00D671E2">
        <w:rPr>
          <w:rFonts w:ascii="Arial" w:hAnsi="Arial" w:cs="Arial"/>
        </w:rPr>
        <w:t>MaaS</w:t>
      </w:r>
      <w:proofErr w:type="spellEnd"/>
      <w:r w:rsidR="00D671E2">
        <w:rPr>
          <w:rFonts w:ascii="Arial" w:hAnsi="Arial" w:cs="Arial"/>
        </w:rPr>
        <w:t>)</w:t>
      </w:r>
      <w:r w:rsidR="00036A1E">
        <w:rPr>
          <w:rFonts w:ascii="Arial" w:hAnsi="Arial" w:cs="Arial"/>
        </w:rPr>
        <w:t xml:space="preserve"> to integrate public transport offerings is underplayed</w:t>
      </w:r>
      <w:r w:rsidR="00D671E2">
        <w:rPr>
          <w:rFonts w:ascii="Arial" w:hAnsi="Arial" w:cs="Arial"/>
        </w:rPr>
        <w:t xml:space="preserve">, whilst </w:t>
      </w:r>
      <w:proofErr w:type="spellStart"/>
      <w:r w:rsidR="00D671E2">
        <w:rPr>
          <w:rFonts w:ascii="Arial" w:hAnsi="Arial" w:cs="Arial"/>
        </w:rPr>
        <w:t>MaaS</w:t>
      </w:r>
      <w:proofErr w:type="spellEnd"/>
      <w:r w:rsidR="00D671E2">
        <w:rPr>
          <w:rFonts w:ascii="Arial" w:hAnsi="Arial" w:cs="Arial"/>
        </w:rPr>
        <w:t xml:space="preserve"> may also have implications for the contracting-out of public transport (Hensher, 2017)</w:t>
      </w:r>
      <w:r w:rsidR="00036A1E">
        <w:rPr>
          <w:rFonts w:ascii="Arial" w:hAnsi="Arial" w:cs="Arial"/>
        </w:rPr>
        <w:t>.</w:t>
      </w:r>
    </w:p>
    <w:p w14:paraId="09EAFEF4" w14:textId="77777777" w:rsidR="007959EF" w:rsidRDefault="007959EF">
      <w:pPr>
        <w:rPr>
          <w:rFonts w:ascii="Arial" w:hAnsi="Arial" w:cs="Arial"/>
        </w:rPr>
      </w:pPr>
      <w:r>
        <w:rPr>
          <w:rFonts w:ascii="Arial" w:hAnsi="Arial" w:cs="Arial"/>
        </w:rPr>
        <w:br w:type="page"/>
      </w:r>
    </w:p>
    <w:p w14:paraId="687E83E3" w14:textId="619602EE" w:rsidR="00620705" w:rsidRDefault="00620705" w:rsidP="00261EEA">
      <w:pPr>
        <w:spacing w:line="276" w:lineRule="auto"/>
        <w:rPr>
          <w:rFonts w:ascii="Arial" w:hAnsi="Arial" w:cs="Arial"/>
          <w:b/>
          <w:bCs/>
        </w:rPr>
      </w:pPr>
      <w:r w:rsidRPr="00620705">
        <w:rPr>
          <w:rFonts w:ascii="Arial" w:hAnsi="Arial" w:cs="Arial"/>
          <w:b/>
          <w:bCs/>
        </w:rPr>
        <w:lastRenderedPageBreak/>
        <w:t>Postscript</w:t>
      </w:r>
    </w:p>
    <w:p w14:paraId="52FB5620" w14:textId="3A8459EF" w:rsidR="00620705" w:rsidRDefault="00620705" w:rsidP="00261EEA">
      <w:pPr>
        <w:spacing w:line="276" w:lineRule="auto"/>
        <w:rPr>
          <w:rFonts w:ascii="Arial" w:hAnsi="Arial" w:cs="Arial"/>
        </w:rPr>
      </w:pPr>
      <w:r>
        <w:rPr>
          <w:rFonts w:ascii="Arial" w:hAnsi="Arial" w:cs="Arial"/>
        </w:rPr>
        <w:t>Since this paper was submitted (end of June 2022) and presented to conference (5</w:t>
      </w:r>
      <w:r w:rsidRPr="00620705">
        <w:rPr>
          <w:rFonts w:ascii="Arial" w:hAnsi="Arial" w:cs="Arial"/>
          <w:vertAlign w:val="superscript"/>
        </w:rPr>
        <w:t>th</w:t>
      </w:r>
      <w:r>
        <w:rPr>
          <w:rFonts w:ascii="Arial" w:hAnsi="Arial" w:cs="Arial"/>
        </w:rPr>
        <w:t xml:space="preserve"> September 2022), it has been somewhat overtaken by events. </w:t>
      </w:r>
      <w:r w:rsidR="00372219">
        <w:rPr>
          <w:rFonts w:ascii="Arial" w:hAnsi="Arial" w:cs="Arial"/>
        </w:rPr>
        <w:t>Boris Johnson’s position as the UK’s Prime Minister formally came to an end on 6</w:t>
      </w:r>
      <w:r w:rsidR="00372219" w:rsidRPr="00372219">
        <w:rPr>
          <w:rFonts w:ascii="Arial" w:hAnsi="Arial" w:cs="Arial"/>
          <w:vertAlign w:val="superscript"/>
        </w:rPr>
        <w:t>th</w:t>
      </w:r>
      <w:r w:rsidR="00372219">
        <w:rPr>
          <w:rFonts w:ascii="Arial" w:hAnsi="Arial" w:cs="Arial"/>
        </w:rPr>
        <w:t xml:space="preserve"> September 2022, being replaced by Liz Truss who only lasted 50 days and was replaced by Rishi Sunak on 25</w:t>
      </w:r>
      <w:r w:rsidR="00372219" w:rsidRPr="00372219">
        <w:rPr>
          <w:rFonts w:ascii="Arial" w:hAnsi="Arial" w:cs="Arial"/>
          <w:vertAlign w:val="superscript"/>
        </w:rPr>
        <w:t>th</w:t>
      </w:r>
      <w:r w:rsidR="00372219">
        <w:rPr>
          <w:rFonts w:ascii="Arial" w:hAnsi="Arial" w:cs="Arial"/>
        </w:rPr>
        <w:t xml:space="preserve"> October 2022. This inevitably led to changes in the Secretary of State for Transport with Grant </w:t>
      </w:r>
      <w:proofErr w:type="spellStart"/>
      <w:r w:rsidR="00372219">
        <w:rPr>
          <w:rFonts w:ascii="Arial" w:hAnsi="Arial" w:cs="Arial"/>
        </w:rPr>
        <w:t>Shapps</w:t>
      </w:r>
      <w:proofErr w:type="spellEnd"/>
      <w:r w:rsidR="00372219">
        <w:rPr>
          <w:rFonts w:ascii="Arial" w:hAnsi="Arial" w:cs="Arial"/>
        </w:rPr>
        <w:t xml:space="preserve"> being replaced by Anne-Marie Trevelyan on 6</w:t>
      </w:r>
      <w:r w:rsidR="00372219" w:rsidRPr="00372219">
        <w:rPr>
          <w:rFonts w:ascii="Arial" w:hAnsi="Arial" w:cs="Arial"/>
          <w:vertAlign w:val="superscript"/>
        </w:rPr>
        <w:t>th</w:t>
      </w:r>
      <w:r w:rsidR="00372219">
        <w:rPr>
          <w:rFonts w:ascii="Arial" w:hAnsi="Arial" w:cs="Arial"/>
        </w:rPr>
        <w:t xml:space="preserve"> September who was in turn replaced by Mark Harper on 25</w:t>
      </w:r>
      <w:r w:rsidR="00372219" w:rsidRPr="00372219">
        <w:rPr>
          <w:rFonts w:ascii="Arial" w:hAnsi="Arial" w:cs="Arial"/>
          <w:vertAlign w:val="superscript"/>
        </w:rPr>
        <w:t>th</w:t>
      </w:r>
      <w:r w:rsidR="00372219">
        <w:rPr>
          <w:rFonts w:ascii="Arial" w:hAnsi="Arial" w:cs="Arial"/>
        </w:rPr>
        <w:t xml:space="preserve"> October. The implications of this period of political and economic uncertainty for public transport policy are not yet clear but it is evident that there will not be parliamentary time for primary legislation for the creation of Great British Railways until the next parliament, which in practice means 2025 at the very earliest</w:t>
      </w:r>
      <w:r w:rsidR="008737F0">
        <w:rPr>
          <w:rFonts w:ascii="Arial" w:hAnsi="Arial" w:cs="Arial"/>
        </w:rPr>
        <w:t xml:space="preserve"> (as of March 2023 a timetable for this has still not been produced)</w:t>
      </w:r>
      <w:r w:rsidR="00372219">
        <w:rPr>
          <w:rFonts w:ascii="Arial" w:hAnsi="Arial" w:cs="Arial"/>
        </w:rPr>
        <w:t xml:space="preserve">. </w:t>
      </w:r>
      <w:r w:rsidR="001E7F1A">
        <w:rPr>
          <w:rFonts w:ascii="Arial" w:hAnsi="Arial" w:cs="Arial"/>
        </w:rPr>
        <w:t>Demand continues to recover for both bus and rail (and is currently around 90% of pre-Covid levels), but i</w:t>
      </w:r>
      <w:r w:rsidR="00372219">
        <w:rPr>
          <w:rFonts w:ascii="Arial" w:hAnsi="Arial" w:cs="Arial"/>
        </w:rPr>
        <w:t>t is also evident that the cost</w:t>
      </w:r>
      <w:r w:rsidR="001E7F1A">
        <w:rPr>
          <w:rFonts w:ascii="Arial" w:hAnsi="Arial" w:cs="Arial"/>
        </w:rPr>
        <w:t>-</w:t>
      </w:r>
      <w:r w:rsidR="00372219">
        <w:rPr>
          <w:rFonts w:ascii="Arial" w:hAnsi="Arial" w:cs="Arial"/>
        </w:rPr>
        <w:t>of</w:t>
      </w:r>
      <w:r w:rsidR="001E7F1A">
        <w:rPr>
          <w:rFonts w:ascii="Arial" w:hAnsi="Arial" w:cs="Arial"/>
        </w:rPr>
        <w:t>-</w:t>
      </w:r>
      <w:r w:rsidR="00372219">
        <w:rPr>
          <w:rFonts w:ascii="Arial" w:hAnsi="Arial" w:cs="Arial"/>
        </w:rPr>
        <w:t xml:space="preserve">living crisis, exacerbated by </w:t>
      </w:r>
      <w:r w:rsidR="006E1616">
        <w:rPr>
          <w:rFonts w:ascii="Arial" w:hAnsi="Arial" w:cs="Arial"/>
        </w:rPr>
        <w:t xml:space="preserve">political and </w:t>
      </w:r>
      <w:r w:rsidR="00372219">
        <w:rPr>
          <w:rFonts w:ascii="Arial" w:hAnsi="Arial" w:cs="Arial"/>
        </w:rPr>
        <w:t>economic uncertain</w:t>
      </w:r>
      <w:r w:rsidR="001E7F1A">
        <w:rPr>
          <w:rFonts w:ascii="Arial" w:hAnsi="Arial" w:cs="Arial"/>
        </w:rPr>
        <w:t>t</w:t>
      </w:r>
      <w:r w:rsidR="00372219">
        <w:rPr>
          <w:rFonts w:ascii="Arial" w:hAnsi="Arial" w:cs="Arial"/>
        </w:rPr>
        <w:t xml:space="preserve">y, </w:t>
      </w:r>
      <w:r w:rsidR="008737F0">
        <w:rPr>
          <w:rFonts w:ascii="Arial" w:hAnsi="Arial" w:cs="Arial"/>
        </w:rPr>
        <w:t xml:space="preserve">has </w:t>
      </w:r>
      <w:r w:rsidR="00372219">
        <w:rPr>
          <w:rFonts w:ascii="Arial" w:hAnsi="Arial" w:cs="Arial"/>
        </w:rPr>
        <w:t>increase</w:t>
      </w:r>
      <w:r w:rsidR="008737F0">
        <w:rPr>
          <w:rFonts w:ascii="Arial" w:hAnsi="Arial" w:cs="Arial"/>
        </w:rPr>
        <w:t>d</w:t>
      </w:r>
      <w:r w:rsidR="00372219">
        <w:rPr>
          <w:rFonts w:ascii="Arial" w:hAnsi="Arial" w:cs="Arial"/>
        </w:rPr>
        <w:t xml:space="preserve"> the cost pressures on the bus and rail industries</w:t>
      </w:r>
      <w:r w:rsidR="006E1616">
        <w:rPr>
          <w:rFonts w:ascii="Arial" w:hAnsi="Arial" w:cs="Arial"/>
        </w:rPr>
        <w:t xml:space="preserve">, whilst also limiting the scope for Government funding for capital and operating expenditure. It seems likely that the ambitions of both the </w:t>
      </w:r>
      <w:r w:rsidR="006E1616" w:rsidRPr="006E1616">
        <w:rPr>
          <w:rFonts w:ascii="Arial" w:hAnsi="Arial" w:cs="Arial"/>
        </w:rPr>
        <w:t>National Bus Strategy and the Williams-</w:t>
      </w:r>
      <w:proofErr w:type="spellStart"/>
      <w:r w:rsidR="006E1616" w:rsidRPr="006E1616">
        <w:rPr>
          <w:rFonts w:ascii="Arial" w:hAnsi="Arial" w:cs="Arial"/>
        </w:rPr>
        <w:t>Shapps</w:t>
      </w:r>
      <w:proofErr w:type="spellEnd"/>
      <w:r w:rsidR="006E1616" w:rsidRPr="006E1616">
        <w:rPr>
          <w:rFonts w:ascii="Arial" w:hAnsi="Arial" w:cs="Arial"/>
        </w:rPr>
        <w:t xml:space="preserve"> Plan</w:t>
      </w:r>
      <w:r w:rsidR="006E1616">
        <w:rPr>
          <w:rFonts w:ascii="Arial" w:hAnsi="Arial" w:cs="Arial"/>
        </w:rPr>
        <w:t xml:space="preserve"> will need to be curtailed </w:t>
      </w:r>
    </w:p>
    <w:p w14:paraId="5DB9FD9A" w14:textId="511A6DE3" w:rsidR="007959EF" w:rsidRDefault="007959EF" w:rsidP="00261EEA">
      <w:pPr>
        <w:spacing w:line="276" w:lineRule="auto"/>
        <w:rPr>
          <w:rFonts w:ascii="Arial" w:hAnsi="Arial" w:cs="Arial"/>
          <w:b/>
          <w:bCs/>
        </w:rPr>
      </w:pPr>
      <w:r w:rsidRPr="004E64F7">
        <w:rPr>
          <w:rFonts w:ascii="Arial" w:hAnsi="Arial" w:cs="Arial"/>
          <w:b/>
          <w:bCs/>
        </w:rPr>
        <w:t>Acknowledgement</w:t>
      </w:r>
    </w:p>
    <w:p w14:paraId="7DF67AE6" w14:textId="69FDC0FB" w:rsidR="007959EF" w:rsidRPr="007959EF" w:rsidRDefault="007959EF" w:rsidP="00261EEA">
      <w:pPr>
        <w:spacing w:line="276" w:lineRule="auto"/>
        <w:rPr>
          <w:rFonts w:ascii="Arial" w:hAnsi="Arial" w:cs="Arial"/>
        </w:rPr>
      </w:pPr>
      <w:r>
        <w:rPr>
          <w:rFonts w:ascii="Arial" w:hAnsi="Arial" w:cs="Arial"/>
        </w:rPr>
        <w:t xml:space="preserve">The author is grateful for the comments from two anonymous referees. The usual caveat applies, all remaining mistakes are the responsibility of the author. </w:t>
      </w:r>
    </w:p>
    <w:p w14:paraId="0A44A98C" w14:textId="77777777" w:rsidR="00D671E2" w:rsidRDefault="00D671E2">
      <w:pPr>
        <w:rPr>
          <w:rFonts w:ascii="Arial" w:hAnsi="Arial" w:cs="Arial"/>
        </w:rPr>
      </w:pPr>
      <w:r>
        <w:rPr>
          <w:rFonts w:ascii="Arial" w:hAnsi="Arial" w:cs="Arial"/>
        </w:rPr>
        <w:br w:type="page"/>
      </w:r>
    </w:p>
    <w:p w14:paraId="57C83A77" w14:textId="77777777" w:rsidR="00142DB0" w:rsidRPr="00B9640A" w:rsidRDefault="00142DB0" w:rsidP="00261EEA">
      <w:pPr>
        <w:spacing w:line="276" w:lineRule="auto"/>
        <w:rPr>
          <w:rFonts w:ascii="Arial" w:hAnsi="Arial" w:cs="Arial"/>
        </w:rPr>
      </w:pPr>
    </w:p>
    <w:p w14:paraId="54CF4864" w14:textId="4C60ED47" w:rsidR="007C4398" w:rsidRDefault="007C4398" w:rsidP="00261EEA">
      <w:pPr>
        <w:spacing w:line="276" w:lineRule="auto"/>
        <w:rPr>
          <w:rFonts w:ascii="Arial" w:hAnsi="Arial" w:cs="Arial"/>
          <w:b/>
          <w:bCs/>
        </w:rPr>
      </w:pPr>
      <w:r w:rsidRPr="00C310FD">
        <w:rPr>
          <w:rFonts w:ascii="Arial" w:hAnsi="Arial" w:cs="Arial"/>
          <w:b/>
          <w:bCs/>
        </w:rPr>
        <w:t>References</w:t>
      </w:r>
      <w:r w:rsidR="00036A1E">
        <w:rPr>
          <w:rFonts w:ascii="Arial" w:hAnsi="Arial" w:cs="Arial"/>
          <w:b/>
          <w:bCs/>
        </w:rPr>
        <w:t xml:space="preserve"> </w:t>
      </w:r>
    </w:p>
    <w:p w14:paraId="3D7B907D" w14:textId="158C7055" w:rsidR="00A621E6" w:rsidRPr="004E64F7" w:rsidRDefault="00A621E6" w:rsidP="00261EEA">
      <w:pPr>
        <w:spacing w:line="276" w:lineRule="auto"/>
        <w:rPr>
          <w:rFonts w:ascii="Arial" w:hAnsi="Arial" w:cs="Arial"/>
        </w:rPr>
      </w:pPr>
      <w:r w:rsidRPr="004E64F7">
        <w:rPr>
          <w:rFonts w:ascii="Arial" w:hAnsi="Arial" w:cs="Arial"/>
        </w:rPr>
        <w:t xml:space="preserve">Ait Ali, A. </w:t>
      </w:r>
      <w:r>
        <w:rPr>
          <w:rFonts w:ascii="Arial" w:hAnsi="Arial" w:cs="Arial"/>
        </w:rPr>
        <w:t>and</w:t>
      </w:r>
      <w:r w:rsidRPr="004E64F7">
        <w:rPr>
          <w:rFonts w:ascii="Arial" w:hAnsi="Arial" w:cs="Arial"/>
        </w:rPr>
        <w:t xml:space="preserve"> Eliasson, J. (2021). European railway deregulation: an overview of market organization and capacity allocation. </w:t>
      </w:r>
      <w:proofErr w:type="spellStart"/>
      <w:r w:rsidRPr="004E64F7">
        <w:rPr>
          <w:rFonts w:ascii="Arial" w:hAnsi="Arial" w:cs="Arial"/>
          <w:i/>
          <w:iCs/>
        </w:rPr>
        <w:t>Transportmetrica</w:t>
      </w:r>
      <w:proofErr w:type="spellEnd"/>
      <w:r w:rsidRPr="004E64F7">
        <w:rPr>
          <w:rFonts w:ascii="Arial" w:hAnsi="Arial" w:cs="Arial"/>
          <w:i/>
          <w:iCs/>
        </w:rPr>
        <w:t xml:space="preserve"> A:</w:t>
      </w:r>
      <w:r w:rsidRPr="004E64F7">
        <w:rPr>
          <w:rFonts w:ascii="Arial" w:hAnsi="Arial" w:cs="Arial"/>
        </w:rPr>
        <w:t xml:space="preserve"> Transport Science, 1-25.</w:t>
      </w:r>
    </w:p>
    <w:p w14:paraId="634C3702" w14:textId="08674BD4" w:rsidR="000B5BE6" w:rsidRDefault="000B5BE6" w:rsidP="00261EEA">
      <w:pPr>
        <w:spacing w:line="276" w:lineRule="auto"/>
        <w:rPr>
          <w:rFonts w:ascii="Arial" w:hAnsi="Arial" w:cs="Arial"/>
        </w:rPr>
      </w:pPr>
      <w:r w:rsidRPr="000B5BE6">
        <w:rPr>
          <w:rFonts w:ascii="Arial" w:hAnsi="Arial" w:cs="Arial"/>
        </w:rPr>
        <w:t xml:space="preserve">Armstrong, J., Preston, J., Zieger, S., </w:t>
      </w:r>
      <w:r>
        <w:rPr>
          <w:rFonts w:ascii="Arial" w:hAnsi="Arial" w:cs="Arial"/>
        </w:rPr>
        <w:t xml:space="preserve">and </w:t>
      </w:r>
      <w:proofErr w:type="spellStart"/>
      <w:r w:rsidRPr="000B5BE6">
        <w:rPr>
          <w:rFonts w:ascii="Arial" w:hAnsi="Arial" w:cs="Arial"/>
        </w:rPr>
        <w:t>Niessen</w:t>
      </w:r>
      <w:proofErr w:type="spellEnd"/>
      <w:r w:rsidRPr="000B5BE6">
        <w:rPr>
          <w:rFonts w:ascii="Arial" w:hAnsi="Arial" w:cs="Arial"/>
        </w:rPr>
        <w:t>, N. (2021)</w:t>
      </w:r>
      <w:r w:rsidR="009F59DF">
        <w:rPr>
          <w:rFonts w:ascii="Arial" w:hAnsi="Arial" w:cs="Arial"/>
        </w:rPr>
        <w:t xml:space="preserve"> </w:t>
      </w:r>
      <w:r w:rsidRPr="000B5BE6">
        <w:rPr>
          <w:rFonts w:ascii="Arial" w:hAnsi="Arial" w:cs="Arial"/>
          <w:i/>
          <w:iCs/>
        </w:rPr>
        <w:t>Sub-threshold delays and GB timetable quality</w:t>
      </w:r>
      <w:r w:rsidRPr="000B5BE6">
        <w:rPr>
          <w:rFonts w:ascii="Arial" w:hAnsi="Arial" w:cs="Arial"/>
        </w:rPr>
        <w:t xml:space="preserve">. Paper presented at </w:t>
      </w:r>
      <w:proofErr w:type="spellStart"/>
      <w:r w:rsidRPr="000B5BE6">
        <w:rPr>
          <w:rFonts w:ascii="Arial" w:hAnsi="Arial" w:cs="Arial"/>
        </w:rPr>
        <w:t>RailBeijing</w:t>
      </w:r>
      <w:proofErr w:type="spellEnd"/>
      <w:r w:rsidRPr="000B5BE6">
        <w:rPr>
          <w:rFonts w:ascii="Arial" w:hAnsi="Arial" w:cs="Arial"/>
        </w:rPr>
        <w:t xml:space="preserve"> 2021, Beijing, China</w:t>
      </w:r>
      <w:r w:rsidR="00875867">
        <w:rPr>
          <w:rFonts w:ascii="Arial" w:hAnsi="Arial" w:cs="Arial"/>
        </w:rPr>
        <w:t>.</w:t>
      </w:r>
    </w:p>
    <w:p w14:paraId="7DD4C19A" w14:textId="6A6AC51A" w:rsidR="00875867" w:rsidRDefault="00875867" w:rsidP="00261EEA">
      <w:pPr>
        <w:spacing w:line="276" w:lineRule="auto"/>
        <w:rPr>
          <w:rFonts w:ascii="Arial" w:hAnsi="Arial" w:cs="Arial"/>
        </w:rPr>
      </w:pPr>
      <w:proofErr w:type="spellStart"/>
      <w:r>
        <w:rPr>
          <w:rFonts w:ascii="Arial" w:hAnsi="Arial" w:cs="Arial"/>
        </w:rPr>
        <w:t>Beesley</w:t>
      </w:r>
      <w:proofErr w:type="spellEnd"/>
      <w:r>
        <w:rPr>
          <w:rFonts w:ascii="Arial" w:hAnsi="Arial" w:cs="Arial"/>
        </w:rPr>
        <w:t xml:space="preserve">, M and </w:t>
      </w:r>
      <w:proofErr w:type="spellStart"/>
      <w:r>
        <w:rPr>
          <w:rFonts w:ascii="Arial" w:hAnsi="Arial" w:cs="Arial"/>
        </w:rPr>
        <w:t>Glaister</w:t>
      </w:r>
      <w:proofErr w:type="spellEnd"/>
      <w:r>
        <w:rPr>
          <w:rFonts w:ascii="Arial" w:hAnsi="Arial" w:cs="Arial"/>
        </w:rPr>
        <w:t xml:space="preserve">, S. (1985) </w:t>
      </w:r>
      <w:r w:rsidRPr="00875867">
        <w:rPr>
          <w:rFonts w:ascii="Arial" w:hAnsi="Arial" w:cs="Arial"/>
        </w:rPr>
        <w:t xml:space="preserve">Deregulating the Bus Industry in Britain – (C) Response. </w:t>
      </w:r>
      <w:r w:rsidRPr="004E64F7">
        <w:rPr>
          <w:rFonts w:ascii="Arial" w:hAnsi="Arial" w:cs="Arial"/>
          <w:i/>
          <w:iCs/>
        </w:rPr>
        <w:t>Transport Reviews</w:t>
      </w:r>
      <w:r w:rsidRPr="00875867">
        <w:rPr>
          <w:rFonts w:ascii="Arial" w:hAnsi="Arial" w:cs="Arial"/>
        </w:rPr>
        <w:t>, 5, 133-142.</w:t>
      </w:r>
    </w:p>
    <w:p w14:paraId="5179097F" w14:textId="56FA81A3" w:rsidR="00D82F9A" w:rsidRPr="00C310FD" w:rsidRDefault="00D82F9A" w:rsidP="00261EEA">
      <w:pPr>
        <w:spacing w:line="276" w:lineRule="auto"/>
        <w:rPr>
          <w:rFonts w:ascii="Arial" w:hAnsi="Arial" w:cs="Arial"/>
        </w:rPr>
      </w:pPr>
      <w:r w:rsidRPr="00C310FD">
        <w:rPr>
          <w:rFonts w:ascii="Arial" w:hAnsi="Arial" w:cs="Arial"/>
        </w:rPr>
        <w:t xml:space="preserve">Brett, A. and Menzies, B. (2014) Cambridgeshire Guided Busway, UK: an analysis of usage. </w:t>
      </w:r>
      <w:r w:rsidRPr="00C310FD">
        <w:rPr>
          <w:rFonts w:ascii="Arial" w:hAnsi="Arial" w:cs="Arial"/>
          <w:i/>
          <w:iCs/>
        </w:rPr>
        <w:t xml:space="preserve">Proceedings of the Institution of </w:t>
      </w:r>
      <w:r w:rsidR="006A416F" w:rsidRPr="00C310FD">
        <w:rPr>
          <w:rFonts w:ascii="Arial" w:hAnsi="Arial" w:cs="Arial"/>
          <w:i/>
          <w:iCs/>
        </w:rPr>
        <w:t xml:space="preserve">Civil Engineers – Transport, </w:t>
      </w:r>
      <w:r w:rsidR="006A416F" w:rsidRPr="00C310FD">
        <w:rPr>
          <w:rFonts w:ascii="Arial" w:hAnsi="Arial" w:cs="Arial"/>
        </w:rPr>
        <w:t xml:space="preserve"> 176, 3, 124-133.</w:t>
      </w:r>
    </w:p>
    <w:p w14:paraId="69774D51" w14:textId="6CF2C09C" w:rsidR="00B91874" w:rsidRDefault="00B91874" w:rsidP="00261EEA">
      <w:pPr>
        <w:spacing w:line="276" w:lineRule="auto"/>
        <w:rPr>
          <w:rFonts w:ascii="Arial" w:hAnsi="Arial" w:cs="Arial"/>
        </w:rPr>
      </w:pPr>
      <w:proofErr w:type="spellStart"/>
      <w:r w:rsidRPr="00C310FD">
        <w:rPr>
          <w:rFonts w:ascii="Arial" w:hAnsi="Arial" w:cs="Arial"/>
        </w:rPr>
        <w:t>Carr</w:t>
      </w:r>
      <w:proofErr w:type="spellEnd"/>
      <w:r w:rsidRPr="00C310FD">
        <w:rPr>
          <w:rFonts w:ascii="Arial" w:hAnsi="Arial" w:cs="Arial"/>
        </w:rPr>
        <w:t xml:space="preserve">, J.D. (1997) </w:t>
      </w:r>
      <w:r w:rsidRPr="00FA5872">
        <w:rPr>
          <w:rFonts w:ascii="Arial" w:hAnsi="Arial" w:cs="Arial"/>
          <w:iCs/>
        </w:rPr>
        <w:t>Light Touch Regulation for the Privatised Bus Industry.</w:t>
      </w:r>
      <w:r w:rsidRPr="00C310FD">
        <w:rPr>
          <w:rFonts w:ascii="Arial" w:hAnsi="Arial" w:cs="Arial"/>
          <w:i/>
        </w:rPr>
        <w:t xml:space="preserve"> </w:t>
      </w:r>
      <w:r w:rsidR="00FA5872">
        <w:rPr>
          <w:rFonts w:ascii="Arial" w:hAnsi="Arial" w:cs="Arial"/>
          <w:i/>
        </w:rPr>
        <w:t>5</w:t>
      </w:r>
      <w:r w:rsidR="00FA5872" w:rsidRPr="00FA5872">
        <w:rPr>
          <w:rFonts w:ascii="Arial" w:hAnsi="Arial" w:cs="Arial"/>
          <w:i/>
          <w:vertAlign w:val="superscript"/>
        </w:rPr>
        <w:t>th</w:t>
      </w:r>
      <w:r w:rsidR="00FA5872">
        <w:rPr>
          <w:rFonts w:ascii="Arial" w:hAnsi="Arial" w:cs="Arial"/>
          <w:i/>
        </w:rPr>
        <w:t xml:space="preserve"> </w:t>
      </w:r>
      <w:r w:rsidRPr="00FA5872">
        <w:rPr>
          <w:rFonts w:ascii="Arial" w:hAnsi="Arial" w:cs="Arial"/>
          <w:i/>
          <w:iCs/>
        </w:rPr>
        <w:t>International Conference on Competition and Ownership in Land Passenger Transport.</w:t>
      </w:r>
      <w:r w:rsidRPr="00C310FD">
        <w:rPr>
          <w:rFonts w:ascii="Arial" w:hAnsi="Arial" w:cs="Arial"/>
        </w:rPr>
        <w:t xml:space="preserve"> Leeds. </w:t>
      </w:r>
    </w:p>
    <w:p w14:paraId="0F61D301" w14:textId="1B4E715C" w:rsidR="00AD5793" w:rsidRDefault="00AD5793" w:rsidP="00261EEA">
      <w:pPr>
        <w:spacing w:line="276" w:lineRule="auto"/>
        <w:rPr>
          <w:rFonts w:ascii="Arial" w:hAnsi="Arial" w:cs="Arial"/>
        </w:rPr>
      </w:pPr>
      <w:r>
        <w:rPr>
          <w:rFonts w:ascii="Arial" w:hAnsi="Arial" w:cs="Arial"/>
        </w:rPr>
        <w:t xml:space="preserve">Cm 6233 (2004) </w:t>
      </w:r>
      <w:r>
        <w:rPr>
          <w:rFonts w:ascii="Arial" w:hAnsi="Arial" w:cs="Arial"/>
          <w:i/>
          <w:iCs/>
        </w:rPr>
        <w:t xml:space="preserve">The Future of Rail. </w:t>
      </w:r>
      <w:r>
        <w:rPr>
          <w:rFonts w:ascii="Arial" w:hAnsi="Arial" w:cs="Arial"/>
        </w:rPr>
        <w:t xml:space="preserve">London: </w:t>
      </w:r>
      <w:proofErr w:type="spellStart"/>
      <w:r>
        <w:rPr>
          <w:rFonts w:ascii="Arial" w:hAnsi="Arial" w:cs="Arial"/>
        </w:rPr>
        <w:t>DfT.</w:t>
      </w:r>
      <w:proofErr w:type="spellEnd"/>
      <w:r>
        <w:rPr>
          <w:rFonts w:ascii="Arial" w:hAnsi="Arial" w:cs="Arial"/>
        </w:rPr>
        <w:t xml:space="preserve"> July.</w:t>
      </w:r>
    </w:p>
    <w:p w14:paraId="2B5F9CA2" w14:textId="2348D66A" w:rsidR="00AD5793" w:rsidRPr="00AD5793" w:rsidRDefault="00AD5793" w:rsidP="00261EEA">
      <w:pPr>
        <w:spacing w:line="276" w:lineRule="auto"/>
        <w:rPr>
          <w:rFonts w:ascii="Arial" w:hAnsi="Arial" w:cs="Arial"/>
          <w:lang w:val="en"/>
        </w:rPr>
      </w:pPr>
      <w:r>
        <w:rPr>
          <w:rFonts w:ascii="Arial" w:hAnsi="Arial" w:cs="Arial"/>
        </w:rPr>
        <w:t xml:space="preserve">Cm 7176 (2007) </w:t>
      </w:r>
      <w:r>
        <w:rPr>
          <w:rFonts w:ascii="Arial" w:hAnsi="Arial" w:cs="Arial"/>
          <w:i/>
          <w:iCs/>
        </w:rPr>
        <w:t xml:space="preserve">Delivering a Sustainable Railway. </w:t>
      </w:r>
      <w:r>
        <w:rPr>
          <w:rFonts w:ascii="Arial" w:hAnsi="Arial" w:cs="Arial"/>
        </w:rPr>
        <w:t xml:space="preserve">London: </w:t>
      </w:r>
      <w:proofErr w:type="spellStart"/>
      <w:r>
        <w:rPr>
          <w:rFonts w:ascii="Arial" w:hAnsi="Arial" w:cs="Arial"/>
        </w:rPr>
        <w:t>DfT.</w:t>
      </w:r>
      <w:proofErr w:type="spellEnd"/>
      <w:r>
        <w:rPr>
          <w:rFonts w:ascii="Arial" w:hAnsi="Arial" w:cs="Arial"/>
        </w:rPr>
        <w:t xml:space="preserve"> July.</w:t>
      </w:r>
    </w:p>
    <w:p w14:paraId="18EA0434" w14:textId="7AF3FCBD" w:rsidR="00275F52" w:rsidRPr="00C310FD" w:rsidRDefault="00275F52" w:rsidP="00261EEA">
      <w:pPr>
        <w:spacing w:line="276" w:lineRule="auto"/>
        <w:rPr>
          <w:rFonts w:ascii="Arial" w:hAnsi="Arial" w:cs="Arial"/>
        </w:rPr>
      </w:pPr>
      <w:r w:rsidRPr="00C310FD">
        <w:rPr>
          <w:rFonts w:ascii="Arial" w:hAnsi="Arial" w:cs="Arial"/>
        </w:rPr>
        <w:t>Cm</w:t>
      </w:r>
      <w:r w:rsidR="009F59DF">
        <w:rPr>
          <w:rFonts w:ascii="Arial" w:hAnsi="Arial" w:cs="Arial"/>
        </w:rPr>
        <w:t xml:space="preserve"> </w:t>
      </w:r>
      <w:r w:rsidRPr="00C310FD">
        <w:rPr>
          <w:rFonts w:ascii="Arial" w:hAnsi="Arial" w:cs="Arial"/>
        </w:rPr>
        <w:t xml:space="preserve">8313 (2012) </w:t>
      </w:r>
      <w:r w:rsidRPr="00C310FD">
        <w:rPr>
          <w:rFonts w:ascii="Arial" w:hAnsi="Arial" w:cs="Arial"/>
          <w:i/>
          <w:iCs/>
        </w:rPr>
        <w:t>Reforming Our Railways</w:t>
      </w:r>
      <w:r w:rsidRPr="00C310FD">
        <w:rPr>
          <w:rFonts w:ascii="Arial" w:hAnsi="Arial" w:cs="Arial"/>
        </w:rPr>
        <w:t>.</w:t>
      </w:r>
      <w:r w:rsidR="00FA5872">
        <w:rPr>
          <w:rFonts w:ascii="Arial" w:hAnsi="Arial" w:cs="Arial"/>
        </w:rPr>
        <w:t xml:space="preserve"> London: HMSO.</w:t>
      </w:r>
      <w:r w:rsidR="00AD5793">
        <w:rPr>
          <w:rFonts w:ascii="Arial" w:hAnsi="Arial" w:cs="Arial"/>
        </w:rPr>
        <w:t xml:space="preserve"> </w:t>
      </w:r>
      <w:r w:rsidR="00AD5793" w:rsidRPr="00C310FD">
        <w:rPr>
          <w:rFonts w:ascii="Arial" w:hAnsi="Arial" w:cs="Arial"/>
        </w:rPr>
        <w:t>March</w:t>
      </w:r>
    </w:p>
    <w:p w14:paraId="64AFF2F7" w14:textId="796082DA" w:rsidR="00275F52" w:rsidRDefault="00275F52" w:rsidP="00261EEA">
      <w:pPr>
        <w:spacing w:line="276" w:lineRule="auto"/>
        <w:rPr>
          <w:rFonts w:ascii="Arial" w:hAnsi="Arial" w:cs="Arial"/>
        </w:rPr>
      </w:pPr>
      <w:r w:rsidRPr="00C310FD">
        <w:rPr>
          <w:rFonts w:ascii="Arial" w:hAnsi="Arial" w:cs="Arial"/>
        </w:rPr>
        <w:t xml:space="preserve">Cm 8526 (2013) </w:t>
      </w:r>
      <w:r w:rsidRPr="00C310FD">
        <w:rPr>
          <w:rFonts w:ascii="Arial" w:hAnsi="Arial" w:cs="Arial"/>
          <w:i/>
          <w:iCs/>
        </w:rPr>
        <w:t>Brown Review of the Rail Franchising Programme</w:t>
      </w:r>
      <w:r w:rsidRPr="00C310FD">
        <w:rPr>
          <w:rFonts w:ascii="Arial" w:hAnsi="Arial" w:cs="Arial"/>
        </w:rPr>
        <w:t xml:space="preserve">. </w:t>
      </w:r>
      <w:r w:rsidR="00FA5872">
        <w:rPr>
          <w:rFonts w:ascii="Arial" w:hAnsi="Arial" w:cs="Arial"/>
        </w:rPr>
        <w:t>London: HMSO.</w:t>
      </w:r>
      <w:r w:rsidR="00AD5793" w:rsidRPr="00AD5793">
        <w:rPr>
          <w:rFonts w:ascii="Arial" w:hAnsi="Arial" w:cs="Arial"/>
        </w:rPr>
        <w:t xml:space="preserve"> </w:t>
      </w:r>
      <w:r w:rsidR="00AD5793" w:rsidRPr="00C310FD">
        <w:rPr>
          <w:rFonts w:ascii="Arial" w:hAnsi="Arial" w:cs="Arial"/>
        </w:rPr>
        <w:t>January.</w:t>
      </w:r>
    </w:p>
    <w:p w14:paraId="0688EFF7" w14:textId="7AE87332" w:rsidR="004364AE" w:rsidRPr="004364AE" w:rsidRDefault="004364AE" w:rsidP="00261EEA">
      <w:pPr>
        <w:spacing w:line="276" w:lineRule="auto"/>
        <w:rPr>
          <w:rFonts w:ascii="Arial" w:hAnsi="Arial" w:cs="Arial"/>
        </w:rPr>
      </w:pPr>
      <w:r>
        <w:rPr>
          <w:rFonts w:ascii="Arial" w:hAnsi="Arial" w:cs="Arial"/>
        </w:rPr>
        <w:t xml:space="preserve">Cm 9719 (2017) </w:t>
      </w:r>
      <w:r>
        <w:rPr>
          <w:rFonts w:ascii="Arial" w:hAnsi="Arial" w:cs="Arial"/>
          <w:i/>
          <w:iCs/>
        </w:rPr>
        <w:t xml:space="preserve">Connecting People: A Strategic Vision for Rail. </w:t>
      </w:r>
      <w:r>
        <w:rPr>
          <w:rFonts w:ascii="Arial" w:hAnsi="Arial" w:cs="Arial"/>
        </w:rPr>
        <w:t xml:space="preserve">London: </w:t>
      </w:r>
      <w:proofErr w:type="spellStart"/>
      <w:r>
        <w:rPr>
          <w:rFonts w:ascii="Arial" w:hAnsi="Arial" w:cs="Arial"/>
        </w:rPr>
        <w:t>DfT.</w:t>
      </w:r>
      <w:proofErr w:type="spellEnd"/>
      <w:r>
        <w:rPr>
          <w:rFonts w:ascii="Arial" w:hAnsi="Arial" w:cs="Arial"/>
        </w:rPr>
        <w:t xml:space="preserve"> November.</w:t>
      </w:r>
    </w:p>
    <w:p w14:paraId="19F5BFFD" w14:textId="46C5C11B" w:rsidR="007A3882" w:rsidRPr="00C310FD" w:rsidRDefault="007A3882" w:rsidP="00261EEA">
      <w:pPr>
        <w:spacing w:line="276" w:lineRule="auto"/>
        <w:rPr>
          <w:rFonts w:ascii="Arial" w:hAnsi="Arial" w:cs="Arial"/>
        </w:rPr>
      </w:pPr>
      <w:r w:rsidRPr="00C310FD">
        <w:rPr>
          <w:rFonts w:ascii="Arial" w:hAnsi="Arial" w:cs="Arial"/>
        </w:rPr>
        <w:t xml:space="preserve">Cowie, J. (2010) </w:t>
      </w:r>
      <w:r w:rsidRPr="00C310FD">
        <w:rPr>
          <w:rFonts w:ascii="Arial" w:hAnsi="Arial" w:cs="Arial"/>
          <w:i/>
          <w:iCs/>
        </w:rPr>
        <w:t>The Economics of Transport: A theoretical and applied perspective</w:t>
      </w:r>
      <w:r w:rsidRPr="00C310FD">
        <w:rPr>
          <w:rFonts w:ascii="Arial" w:hAnsi="Arial" w:cs="Arial"/>
        </w:rPr>
        <w:t>. Abingdon:</w:t>
      </w:r>
      <w:r w:rsidR="00FA5872">
        <w:rPr>
          <w:rFonts w:ascii="Arial" w:hAnsi="Arial" w:cs="Arial"/>
        </w:rPr>
        <w:t xml:space="preserve"> </w:t>
      </w:r>
      <w:r w:rsidRPr="00C310FD">
        <w:rPr>
          <w:rFonts w:ascii="Arial" w:hAnsi="Arial" w:cs="Arial"/>
        </w:rPr>
        <w:t>Routledge.</w:t>
      </w:r>
    </w:p>
    <w:p w14:paraId="597BE197" w14:textId="73D176B9" w:rsidR="00275F52" w:rsidRPr="00C310FD" w:rsidRDefault="00275F52" w:rsidP="00261EEA">
      <w:pPr>
        <w:spacing w:line="276" w:lineRule="auto"/>
        <w:rPr>
          <w:rFonts w:ascii="Arial" w:hAnsi="Arial" w:cs="Arial"/>
        </w:rPr>
      </w:pPr>
      <w:r w:rsidRPr="00C310FD">
        <w:rPr>
          <w:rFonts w:ascii="Arial" w:hAnsi="Arial" w:cs="Arial"/>
        </w:rPr>
        <w:t xml:space="preserve">CP 423 (2021) </w:t>
      </w:r>
      <w:r w:rsidRPr="00C310FD">
        <w:rPr>
          <w:rFonts w:ascii="Arial" w:hAnsi="Arial" w:cs="Arial"/>
          <w:i/>
          <w:iCs/>
        </w:rPr>
        <w:t>Great British Railways. The Williams-</w:t>
      </w:r>
      <w:proofErr w:type="spellStart"/>
      <w:r w:rsidRPr="00C310FD">
        <w:rPr>
          <w:rFonts w:ascii="Arial" w:hAnsi="Arial" w:cs="Arial"/>
          <w:i/>
          <w:iCs/>
        </w:rPr>
        <w:t>Shapps</w:t>
      </w:r>
      <w:proofErr w:type="spellEnd"/>
      <w:r w:rsidRPr="00C310FD">
        <w:rPr>
          <w:rFonts w:ascii="Arial" w:hAnsi="Arial" w:cs="Arial"/>
          <w:i/>
          <w:iCs/>
        </w:rPr>
        <w:t xml:space="preserve"> Plan for Rail</w:t>
      </w:r>
      <w:r w:rsidRPr="00C310FD">
        <w:rPr>
          <w:rFonts w:ascii="Arial" w:hAnsi="Arial" w:cs="Arial"/>
        </w:rPr>
        <w:t xml:space="preserve">.  May. </w:t>
      </w:r>
      <w:r w:rsidR="00FA5872">
        <w:rPr>
          <w:rFonts w:ascii="Arial" w:hAnsi="Arial" w:cs="Arial"/>
        </w:rPr>
        <w:t xml:space="preserve">London: HMSO. </w:t>
      </w:r>
      <w:hyperlink r:id="rId18" w:history="1">
        <w:r w:rsidR="00FA5872" w:rsidRPr="00F45D81">
          <w:rPr>
            <w:rStyle w:val="Hyperlink"/>
            <w:rFonts w:ascii="Arial" w:hAnsi="Arial" w:cs="Arial"/>
          </w:rPr>
          <w:t>https://www.gov.uk/government/publications/great-british-railways-williams-shapps-plan-for-rai</w:t>
        </w:r>
      </w:hyperlink>
    </w:p>
    <w:p w14:paraId="5DA4A5B7" w14:textId="4BE7AB09" w:rsidR="0034611B" w:rsidRPr="00C310FD" w:rsidRDefault="0034611B" w:rsidP="00261EEA">
      <w:pPr>
        <w:spacing w:line="276" w:lineRule="auto"/>
        <w:rPr>
          <w:rFonts w:ascii="Arial" w:hAnsi="Arial" w:cs="Arial"/>
          <w:lang w:val="en"/>
        </w:rPr>
      </w:pPr>
      <w:r w:rsidRPr="00C310FD">
        <w:rPr>
          <w:rFonts w:ascii="Arial" w:hAnsi="Arial" w:cs="Arial"/>
          <w:lang w:val="en"/>
        </w:rPr>
        <w:t xml:space="preserve">Crew, M and Parker, D. (2006) </w:t>
      </w:r>
      <w:r w:rsidRPr="00C310FD">
        <w:rPr>
          <w:rFonts w:ascii="Arial" w:hAnsi="Arial" w:cs="Arial"/>
          <w:i/>
          <w:lang w:val="en"/>
        </w:rPr>
        <w:t xml:space="preserve">International Handbook on Economic Regulation. </w:t>
      </w:r>
      <w:r w:rsidRPr="00C310FD">
        <w:rPr>
          <w:rFonts w:ascii="Arial" w:hAnsi="Arial" w:cs="Arial"/>
          <w:lang w:val="en"/>
        </w:rPr>
        <w:t>Cheltenham: Edward Elgar</w:t>
      </w:r>
      <w:r w:rsidR="00304A2D" w:rsidRPr="00C310FD">
        <w:rPr>
          <w:rFonts w:ascii="Arial" w:hAnsi="Arial" w:cs="Arial"/>
          <w:lang w:val="en"/>
        </w:rPr>
        <w:t>.</w:t>
      </w:r>
    </w:p>
    <w:p w14:paraId="3AFEF857" w14:textId="2E82439A" w:rsidR="00D82F9A" w:rsidRPr="00C310FD" w:rsidRDefault="00D82F9A" w:rsidP="00261EEA">
      <w:pPr>
        <w:spacing w:line="276" w:lineRule="auto"/>
        <w:rPr>
          <w:rFonts w:ascii="Arial" w:hAnsi="Arial" w:cs="Arial"/>
          <w:lang w:val="en"/>
        </w:rPr>
      </w:pPr>
      <w:r w:rsidRPr="00D82F9A">
        <w:rPr>
          <w:rFonts w:ascii="Arial" w:hAnsi="Arial" w:cs="Arial"/>
          <w:lang w:val="en"/>
        </w:rPr>
        <w:t xml:space="preserve">Currie, G. and Wallis, I. (2008) Effective ways to grow urban bus markets – a synthesis of evidence. </w:t>
      </w:r>
      <w:r w:rsidRPr="00D82F9A">
        <w:rPr>
          <w:rFonts w:ascii="Arial" w:hAnsi="Arial" w:cs="Arial"/>
          <w:i/>
          <w:iCs/>
          <w:lang w:val="en"/>
        </w:rPr>
        <w:t>Journal of Transport Geography</w:t>
      </w:r>
      <w:r w:rsidRPr="00D82F9A">
        <w:rPr>
          <w:rFonts w:ascii="Arial" w:hAnsi="Arial" w:cs="Arial"/>
          <w:lang w:val="en"/>
        </w:rPr>
        <w:t xml:space="preserve">, 16, 6, 419-429. </w:t>
      </w:r>
    </w:p>
    <w:p w14:paraId="566844DC" w14:textId="494FB664" w:rsidR="00B9640A" w:rsidRPr="00D82F9A" w:rsidRDefault="00B9640A" w:rsidP="00261EEA">
      <w:pPr>
        <w:spacing w:line="276" w:lineRule="auto"/>
        <w:rPr>
          <w:rFonts w:ascii="Arial" w:hAnsi="Arial" w:cs="Arial"/>
          <w:lang w:val="en"/>
        </w:rPr>
      </w:pPr>
      <w:r w:rsidRPr="00C310FD">
        <w:rPr>
          <w:rFonts w:ascii="Arial" w:hAnsi="Arial" w:cs="Arial"/>
          <w:lang w:val="en"/>
        </w:rPr>
        <w:t xml:space="preserve">Dementiev, A. and Han, H. J. (2020) A theory of deregulation in public transport. </w:t>
      </w:r>
      <w:r w:rsidRPr="00C310FD">
        <w:rPr>
          <w:rFonts w:ascii="Arial" w:hAnsi="Arial" w:cs="Arial"/>
          <w:i/>
          <w:iCs/>
          <w:lang w:val="en"/>
        </w:rPr>
        <w:t xml:space="preserve">Research in Transportation Economics, </w:t>
      </w:r>
      <w:r w:rsidRPr="00C310FD">
        <w:rPr>
          <w:rFonts w:ascii="Arial" w:hAnsi="Arial" w:cs="Arial"/>
          <w:lang w:val="en"/>
        </w:rPr>
        <w:t>83, 100953.</w:t>
      </w:r>
    </w:p>
    <w:p w14:paraId="3CD0D205" w14:textId="0C5ABCBE" w:rsidR="00D82F9A" w:rsidRDefault="00D82F9A" w:rsidP="00261EEA">
      <w:pPr>
        <w:spacing w:line="276" w:lineRule="auto"/>
        <w:rPr>
          <w:rFonts w:ascii="Arial" w:hAnsi="Arial" w:cs="Arial"/>
          <w:lang w:val="en"/>
        </w:rPr>
      </w:pPr>
      <w:r w:rsidRPr="00C310FD">
        <w:rPr>
          <w:rFonts w:ascii="Arial" w:hAnsi="Arial" w:cs="Arial"/>
          <w:lang w:val="en"/>
        </w:rPr>
        <w:t xml:space="preserve">Deng, T. and Nelson, J. (2011) Recent Developments in Bus Rapid Transit: A Review of the Literature. </w:t>
      </w:r>
      <w:r w:rsidRPr="00C310FD">
        <w:rPr>
          <w:rFonts w:ascii="Arial" w:hAnsi="Arial" w:cs="Arial"/>
          <w:i/>
          <w:iCs/>
          <w:lang w:val="en"/>
        </w:rPr>
        <w:t>Transport Reviews</w:t>
      </w:r>
      <w:r w:rsidRPr="00C310FD">
        <w:rPr>
          <w:rFonts w:ascii="Arial" w:hAnsi="Arial" w:cs="Arial"/>
          <w:lang w:val="en"/>
        </w:rPr>
        <w:t>, 31, 1, 69-96.</w:t>
      </w:r>
    </w:p>
    <w:p w14:paraId="10077A9A" w14:textId="3E4E2A46" w:rsidR="00B97A92" w:rsidRPr="00B97A92" w:rsidRDefault="00B97A92" w:rsidP="00261EEA">
      <w:pPr>
        <w:spacing w:line="276" w:lineRule="auto"/>
        <w:rPr>
          <w:rFonts w:ascii="Arial" w:hAnsi="Arial" w:cs="Arial"/>
          <w:lang w:val="en"/>
        </w:rPr>
      </w:pPr>
      <w:r>
        <w:rPr>
          <w:rFonts w:ascii="Arial" w:hAnsi="Arial" w:cs="Arial"/>
          <w:lang w:val="en"/>
        </w:rPr>
        <w:t xml:space="preserve">DETR (Department of Environment, </w:t>
      </w:r>
      <w:proofErr w:type="gramStart"/>
      <w:r>
        <w:rPr>
          <w:rFonts w:ascii="Arial" w:hAnsi="Arial" w:cs="Arial"/>
          <w:lang w:val="en"/>
        </w:rPr>
        <w:t>Transport</w:t>
      </w:r>
      <w:proofErr w:type="gramEnd"/>
      <w:r>
        <w:rPr>
          <w:rFonts w:ascii="Arial" w:hAnsi="Arial" w:cs="Arial"/>
          <w:lang w:val="en"/>
        </w:rPr>
        <w:t xml:space="preserve"> and the Regions) (1999) </w:t>
      </w:r>
      <w:r>
        <w:rPr>
          <w:rFonts w:ascii="Arial" w:hAnsi="Arial" w:cs="Arial"/>
          <w:i/>
          <w:iCs/>
          <w:lang w:val="en"/>
        </w:rPr>
        <w:t xml:space="preserve">From workhorse to thoroughbred: a better role for bus travel. </w:t>
      </w:r>
      <w:r>
        <w:rPr>
          <w:rFonts w:ascii="Arial" w:hAnsi="Arial" w:cs="Arial"/>
          <w:lang w:val="en"/>
        </w:rPr>
        <w:t>London: DETR.</w:t>
      </w:r>
    </w:p>
    <w:p w14:paraId="6E2DE3D5" w14:textId="0FD1C639" w:rsidR="00304A2D" w:rsidRPr="00C310FD" w:rsidRDefault="00304A2D" w:rsidP="00261EEA">
      <w:pPr>
        <w:spacing w:line="276" w:lineRule="auto"/>
        <w:rPr>
          <w:rFonts w:ascii="Arial" w:hAnsi="Arial" w:cs="Arial"/>
        </w:rPr>
      </w:pPr>
      <w:r w:rsidRPr="00C310FD">
        <w:rPr>
          <w:rFonts w:ascii="Arial" w:hAnsi="Arial" w:cs="Arial"/>
        </w:rPr>
        <w:t xml:space="preserve">DfT and ORR (2011) </w:t>
      </w:r>
      <w:r w:rsidRPr="00B97A92">
        <w:rPr>
          <w:rFonts w:ascii="Arial" w:hAnsi="Arial" w:cs="Arial"/>
          <w:i/>
          <w:iCs/>
        </w:rPr>
        <w:t>Realising the Potential of GB Rail. Final Independent Report of the Rail Value for Money Study</w:t>
      </w:r>
      <w:r w:rsidRPr="00C310FD">
        <w:rPr>
          <w:rFonts w:ascii="Arial" w:hAnsi="Arial" w:cs="Arial"/>
        </w:rPr>
        <w:t xml:space="preserve">. May. </w:t>
      </w:r>
      <w:r w:rsidR="00FA5872">
        <w:rPr>
          <w:rFonts w:ascii="Arial" w:hAnsi="Arial" w:cs="Arial"/>
        </w:rPr>
        <w:t xml:space="preserve">London: </w:t>
      </w:r>
      <w:proofErr w:type="spellStart"/>
      <w:r w:rsidR="00FA5872">
        <w:rPr>
          <w:rFonts w:ascii="Arial" w:hAnsi="Arial" w:cs="Arial"/>
        </w:rPr>
        <w:t>DfT.</w:t>
      </w:r>
      <w:proofErr w:type="spellEnd"/>
    </w:p>
    <w:p w14:paraId="44C2542E" w14:textId="6CA454FF" w:rsidR="00275F52" w:rsidRPr="00C310FD" w:rsidRDefault="00275F52" w:rsidP="00261EEA">
      <w:pPr>
        <w:spacing w:line="276" w:lineRule="auto"/>
        <w:rPr>
          <w:rFonts w:ascii="Arial" w:hAnsi="Arial" w:cs="Arial"/>
          <w:lang w:val="en"/>
        </w:rPr>
      </w:pPr>
      <w:r w:rsidRPr="00C310FD">
        <w:rPr>
          <w:rFonts w:ascii="Arial" w:hAnsi="Arial" w:cs="Arial"/>
        </w:rPr>
        <w:lastRenderedPageBreak/>
        <w:t xml:space="preserve">DfT (2021) </w:t>
      </w:r>
      <w:r w:rsidRPr="00B97A92">
        <w:rPr>
          <w:rFonts w:ascii="Arial" w:hAnsi="Arial" w:cs="Arial"/>
          <w:i/>
          <w:iCs/>
        </w:rPr>
        <w:t xml:space="preserve">Bus Back Better. </w:t>
      </w:r>
      <w:r w:rsidR="00142DB0" w:rsidRPr="00B97A92">
        <w:rPr>
          <w:rFonts w:ascii="Arial" w:hAnsi="Arial" w:cs="Arial"/>
          <w:i/>
          <w:iCs/>
        </w:rPr>
        <w:t>National Bus Strategy for England</w:t>
      </w:r>
      <w:r w:rsidR="00142DB0">
        <w:rPr>
          <w:rFonts w:ascii="Arial" w:hAnsi="Arial" w:cs="Arial"/>
        </w:rPr>
        <w:t xml:space="preserve">. </w:t>
      </w:r>
      <w:r w:rsidRPr="00C310FD">
        <w:rPr>
          <w:rFonts w:ascii="Arial" w:hAnsi="Arial" w:cs="Arial"/>
        </w:rPr>
        <w:t xml:space="preserve">March. </w:t>
      </w:r>
      <w:r w:rsidR="00FA5872">
        <w:rPr>
          <w:rFonts w:ascii="Arial" w:hAnsi="Arial" w:cs="Arial"/>
        </w:rPr>
        <w:t xml:space="preserve">London: HMSO. </w:t>
      </w:r>
      <w:hyperlink r:id="rId19" w:history="1">
        <w:r w:rsidR="00FA5872" w:rsidRPr="00F45D81">
          <w:rPr>
            <w:rStyle w:val="Hyperlink"/>
            <w:rFonts w:ascii="Arial" w:hAnsi="Arial" w:cs="Arial"/>
          </w:rPr>
          <w:t>https://www.gov.uk/government/publications/bus-back-better</w:t>
        </w:r>
      </w:hyperlink>
    </w:p>
    <w:p w14:paraId="43979056" w14:textId="77777777" w:rsidR="00D332B9" w:rsidRDefault="00D332B9" w:rsidP="00261EEA">
      <w:pPr>
        <w:spacing w:line="276" w:lineRule="auto"/>
        <w:rPr>
          <w:rFonts w:ascii="Arial" w:hAnsi="Arial" w:cs="Arial"/>
        </w:rPr>
      </w:pPr>
      <w:r>
        <w:rPr>
          <w:rFonts w:ascii="Arial" w:hAnsi="Arial" w:cs="Arial"/>
        </w:rPr>
        <w:t xml:space="preserve">Gomez-Ibanez, J. A. and Meyer, J. R. (1993) </w:t>
      </w:r>
      <w:r>
        <w:rPr>
          <w:rFonts w:ascii="Arial" w:hAnsi="Arial" w:cs="Arial"/>
          <w:i/>
          <w:iCs/>
        </w:rPr>
        <w:t xml:space="preserve">Going Private. The International Experience with Transport Privatization. </w:t>
      </w:r>
      <w:r>
        <w:rPr>
          <w:rFonts w:ascii="Arial" w:hAnsi="Arial" w:cs="Arial"/>
        </w:rPr>
        <w:t>Washington DC: Brookings Institution.</w:t>
      </w:r>
    </w:p>
    <w:p w14:paraId="21084CC2" w14:textId="06F6C2B0" w:rsidR="00193B24" w:rsidRPr="00C310FD" w:rsidRDefault="00193B24" w:rsidP="00261EEA">
      <w:pPr>
        <w:spacing w:line="276" w:lineRule="auto"/>
        <w:rPr>
          <w:rFonts w:ascii="Arial" w:hAnsi="Arial" w:cs="Arial"/>
        </w:rPr>
      </w:pPr>
      <w:proofErr w:type="spellStart"/>
      <w:r w:rsidRPr="00C310FD">
        <w:rPr>
          <w:rFonts w:ascii="Arial" w:hAnsi="Arial" w:cs="Arial"/>
        </w:rPr>
        <w:t>Gourvish</w:t>
      </w:r>
      <w:proofErr w:type="spellEnd"/>
      <w:r w:rsidRPr="00C310FD">
        <w:rPr>
          <w:rFonts w:ascii="Arial" w:hAnsi="Arial" w:cs="Arial"/>
        </w:rPr>
        <w:t xml:space="preserve">, T. (2002) </w:t>
      </w:r>
      <w:r w:rsidRPr="00C310FD">
        <w:rPr>
          <w:rFonts w:ascii="Arial" w:hAnsi="Arial" w:cs="Arial"/>
          <w:i/>
        </w:rPr>
        <w:t>British Rail 1974-97: From Integration to Privatisation</w:t>
      </w:r>
      <w:r w:rsidR="00FA5872">
        <w:rPr>
          <w:rFonts w:ascii="Arial" w:hAnsi="Arial" w:cs="Arial"/>
          <w:i/>
        </w:rPr>
        <w:t>.</w:t>
      </w:r>
      <w:r w:rsidRPr="00C310FD">
        <w:rPr>
          <w:rFonts w:ascii="Arial" w:hAnsi="Arial" w:cs="Arial"/>
        </w:rPr>
        <w:t xml:space="preserve"> Oxford: Oxford University Press.</w:t>
      </w:r>
    </w:p>
    <w:p w14:paraId="72B402DC" w14:textId="2AAB6732" w:rsidR="00193B24" w:rsidRDefault="00193B24" w:rsidP="00261EEA">
      <w:pPr>
        <w:spacing w:line="276" w:lineRule="auto"/>
        <w:rPr>
          <w:rFonts w:ascii="Arial" w:hAnsi="Arial" w:cs="Arial"/>
        </w:rPr>
      </w:pPr>
      <w:bookmarkStart w:id="1" w:name="_ENREF_59"/>
      <w:proofErr w:type="spellStart"/>
      <w:r w:rsidRPr="00C310FD">
        <w:rPr>
          <w:rFonts w:ascii="Arial" w:hAnsi="Arial" w:cs="Arial"/>
        </w:rPr>
        <w:t>Gourvish</w:t>
      </w:r>
      <w:proofErr w:type="spellEnd"/>
      <w:r w:rsidRPr="00C310FD">
        <w:rPr>
          <w:rFonts w:ascii="Arial" w:hAnsi="Arial" w:cs="Arial"/>
        </w:rPr>
        <w:t xml:space="preserve">, T. (2008) </w:t>
      </w:r>
      <w:r w:rsidRPr="00C310FD">
        <w:rPr>
          <w:rFonts w:ascii="Arial" w:hAnsi="Arial" w:cs="Arial"/>
          <w:i/>
        </w:rPr>
        <w:t>Britain’s Railways 1997-2005 Labour’s Strategic Experimen</w:t>
      </w:r>
      <w:r w:rsidR="00FA5872">
        <w:rPr>
          <w:rFonts w:ascii="Arial" w:hAnsi="Arial" w:cs="Arial"/>
          <w:i/>
        </w:rPr>
        <w:t>t.</w:t>
      </w:r>
      <w:r w:rsidRPr="00C310FD">
        <w:rPr>
          <w:rFonts w:ascii="Arial" w:hAnsi="Arial" w:cs="Arial"/>
        </w:rPr>
        <w:t xml:space="preserve"> Oxford: Oxford University Press.</w:t>
      </w:r>
      <w:bookmarkEnd w:id="1"/>
    </w:p>
    <w:p w14:paraId="48FD993D" w14:textId="77777777" w:rsidR="00875867" w:rsidRPr="00875867" w:rsidRDefault="00875867" w:rsidP="00875867">
      <w:pPr>
        <w:spacing w:line="276" w:lineRule="auto"/>
        <w:rPr>
          <w:rFonts w:ascii="Arial" w:hAnsi="Arial" w:cs="Arial"/>
        </w:rPr>
      </w:pPr>
      <w:proofErr w:type="spellStart"/>
      <w:r w:rsidRPr="00875867">
        <w:rPr>
          <w:rFonts w:ascii="Arial" w:hAnsi="Arial" w:cs="Arial"/>
        </w:rPr>
        <w:t>Gwilliam</w:t>
      </w:r>
      <w:proofErr w:type="spellEnd"/>
      <w:r w:rsidRPr="00875867">
        <w:rPr>
          <w:rFonts w:ascii="Arial" w:hAnsi="Arial" w:cs="Arial"/>
        </w:rPr>
        <w:t xml:space="preserve">, K.M., Nash, C.A. and Mackie, P.J. (1985) Deregulating the Bus Industry in Britain – (B) The Case Against. </w:t>
      </w:r>
      <w:r w:rsidRPr="004E64F7">
        <w:rPr>
          <w:rFonts w:ascii="Arial" w:hAnsi="Arial" w:cs="Arial"/>
          <w:i/>
          <w:iCs/>
        </w:rPr>
        <w:t>Transport Reviews</w:t>
      </w:r>
      <w:r w:rsidRPr="00875867">
        <w:rPr>
          <w:rFonts w:ascii="Arial" w:hAnsi="Arial" w:cs="Arial"/>
        </w:rPr>
        <w:t>, 5, 105-132.</w:t>
      </w:r>
    </w:p>
    <w:p w14:paraId="370DF959" w14:textId="054854E2" w:rsidR="003767B6" w:rsidRPr="00C310FD" w:rsidRDefault="003767B6" w:rsidP="00261EEA">
      <w:pPr>
        <w:spacing w:line="276" w:lineRule="auto"/>
        <w:rPr>
          <w:rFonts w:ascii="Arial" w:hAnsi="Arial" w:cs="Arial"/>
        </w:rPr>
      </w:pPr>
      <w:proofErr w:type="spellStart"/>
      <w:r w:rsidRPr="00C310FD">
        <w:rPr>
          <w:rFonts w:ascii="Arial" w:hAnsi="Arial" w:cs="Arial"/>
        </w:rPr>
        <w:t>Gwilliam</w:t>
      </w:r>
      <w:proofErr w:type="spellEnd"/>
      <w:r w:rsidRPr="00C310FD">
        <w:rPr>
          <w:rFonts w:ascii="Arial" w:hAnsi="Arial" w:cs="Arial"/>
        </w:rPr>
        <w:t xml:space="preserve">, K. (2008) Bus transport: Is there a regulatory cycle? </w:t>
      </w:r>
      <w:r w:rsidRPr="00C310FD">
        <w:rPr>
          <w:rFonts w:ascii="Arial" w:hAnsi="Arial" w:cs="Arial"/>
          <w:i/>
          <w:iCs/>
        </w:rPr>
        <w:t>Transportation Research A</w:t>
      </w:r>
      <w:r w:rsidRPr="00C310FD">
        <w:rPr>
          <w:rFonts w:ascii="Arial" w:hAnsi="Arial" w:cs="Arial"/>
        </w:rPr>
        <w:t>, 42, 9, 1183-1194.</w:t>
      </w:r>
    </w:p>
    <w:p w14:paraId="02E57D80" w14:textId="07292000" w:rsidR="00714378" w:rsidRDefault="00714378" w:rsidP="00261EEA">
      <w:pPr>
        <w:spacing w:line="276" w:lineRule="auto"/>
        <w:rPr>
          <w:rFonts w:ascii="Arial" w:hAnsi="Arial" w:cs="Arial"/>
        </w:rPr>
      </w:pPr>
      <w:r w:rsidRPr="00C310FD">
        <w:rPr>
          <w:rFonts w:ascii="Arial" w:hAnsi="Arial" w:cs="Arial"/>
        </w:rPr>
        <w:t>HC 809 (2012</w:t>
      </w:r>
      <w:r w:rsidRPr="00C310FD">
        <w:rPr>
          <w:rFonts w:ascii="Arial" w:hAnsi="Arial" w:cs="Arial"/>
          <w:i/>
          <w:iCs/>
        </w:rPr>
        <w:t>) Report of the Laidlaw Inquiry. Inquiry into the lessons learned for the Department for Transport from the InterCity West Coast Competition.</w:t>
      </w:r>
      <w:r w:rsidRPr="00C310FD">
        <w:rPr>
          <w:rFonts w:ascii="Arial" w:hAnsi="Arial" w:cs="Arial"/>
        </w:rPr>
        <w:t xml:space="preserve"> London: House of Commons. December.</w:t>
      </w:r>
    </w:p>
    <w:p w14:paraId="4FBD660F" w14:textId="1B9F759E" w:rsidR="00D671E2" w:rsidRDefault="00D671E2" w:rsidP="00261EEA">
      <w:pPr>
        <w:spacing w:line="276" w:lineRule="auto"/>
        <w:rPr>
          <w:rFonts w:ascii="Arial" w:hAnsi="Arial" w:cs="Arial"/>
        </w:rPr>
      </w:pPr>
      <w:r w:rsidRPr="00D671E2">
        <w:rPr>
          <w:rFonts w:ascii="Arial" w:hAnsi="Arial" w:cs="Arial"/>
        </w:rPr>
        <w:t>Hensher, D.A. (2017) Future bus transport contracts under a mobility as a service (</w:t>
      </w:r>
      <w:proofErr w:type="spellStart"/>
      <w:r w:rsidRPr="00D671E2">
        <w:rPr>
          <w:rFonts w:ascii="Arial" w:hAnsi="Arial" w:cs="Arial"/>
        </w:rPr>
        <w:t>MaaS</w:t>
      </w:r>
      <w:proofErr w:type="spellEnd"/>
      <w:r w:rsidRPr="00D671E2">
        <w:rPr>
          <w:rFonts w:ascii="Arial" w:hAnsi="Arial" w:cs="Arial"/>
        </w:rPr>
        <w:t xml:space="preserve">) regime in the digital age: are they likely to change? </w:t>
      </w:r>
      <w:r w:rsidRPr="00D671E2">
        <w:rPr>
          <w:rFonts w:ascii="Arial" w:hAnsi="Arial" w:cs="Arial"/>
          <w:i/>
          <w:iCs/>
        </w:rPr>
        <w:t>Transportation Research A</w:t>
      </w:r>
      <w:r w:rsidRPr="00D671E2">
        <w:rPr>
          <w:rFonts w:ascii="Arial" w:hAnsi="Arial" w:cs="Arial"/>
        </w:rPr>
        <w:t>, 98, 86-96.</w:t>
      </w:r>
    </w:p>
    <w:p w14:paraId="30274F08" w14:textId="3A42D40B" w:rsidR="00D332B9" w:rsidRPr="00D332B9" w:rsidRDefault="00D332B9" w:rsidP="00D332B9">
      <w:pPr>
        <w:spacing w:line="276" w:lineRule="auto"/>
        <w:rPr>
          <w:rFonts w:ascii="Arial" w:hAnsi="Arial" w:cs="Arial"/>
          <w:lang w:val="en-AU"/>
        </w:rPr>
      </w:pPr>
      <w:r w:rsidRPr="00D332B9">
        <w:rPr>
          <w:rFonts w:ascii="Arial" w:hAnsi="Arial" w:cs="Arial"/>
          <w:lang w:val="en-AU"/>
        </w:rPr>
        <w:t xml:space="preserve">Hensher, D.A. (2021) The case for negotiated contracts under the transition to a green </w:t>
      </w:r>
      <w:r>
        <w:rPr>
          <w:rFonts w:ascii="Arial" w:hAnsi="Arial" w:cs="Arial"/>
          <w:lang w:val="en-AU"/>
        </w:rPr>
        <w:t xml:space="preserve">bus </w:t>
      </w:r>
      <w:r w:rsidRPr="00D332B9">
        <w:rPr>
          <w:rFonts w:ascii="Arial" w:hAnsi="Arial" w:cs="Arial"/>
          <w:lang w:val="en-AU"/>
        </w:rPr>
        <w:t xml:space="preserve">fleet, </w:t>
      </w:r>
      <w:r w:rsidRPr="00D332B9">
        <w:rPr>
          <w:rFonts w:ascii="Arial" w:hAnsi="Arial" w:cs="Arial"/>
          <w:i/>
          <w:lang w:val="en-AU"/>
        </w:rPr>
        <w:t>Transportation Research A</w:t>
      </w:r>
      <w:r w:rsidRPr="00D332B9">
        <w:rPr>
          <w:rFonts w:ascii="Arial" w:hAnsi="Arial" w:cs="Arial"/>
          <w:lang w:val="en-AU"/>
        </w:rPr>
        <w:t>, 154, 255-269.</w:t>
      </w:r>
    </w:p>
    <w:p w14:paraId="1316D385" w14:textId="5BE41AF8" w:rsidR="0021544A" w:rsidRDefault="0021544A" w:rsidP="00261EEA">
      <w:pPr>
        <w:spacing w:line="276" w:lineRule="auto"/>
        <w:rPr>
          <w:rFonts w:ascii="Arial" w:hAnsi="Arial" w:cs="Arial"/>
        </w:rPr>
      </w:pPr>
      <w:r w:rsidRPr="0021544A">
        <w:rPr>
          <w:rFonts w:ascii="Arial" w:hAnsi="Arial" w:cs="Arial"/>
        </w:rPr>
        <w:t>Hoekstra,</w:t>
      </w:r>
      <w:r>
        <w:rPr>
          <w:rFonts w:ascii="Arial" w:hAnsi="Arial" w:cs="Arial"/>
        </w:rPr>
        <w:t xml:space="preserve"> G.,</w:t>
      </w:r>
      <w:r w:rsidRPr="0021544A">
        <w:rPr>
          <w:rFonts w:ascii="Arial" w:hAnsi="Arial" w:cs="Arial"/>
        </w:rPr>
        <w:t xml:space="preserve"> Veeneman,</w:t>
      </w:r>
      <w:r>
        <w:rPr>
          <w:rFonts w:ascii="Arial" w:hAnsi="Arial" w:cs="Arial"/>
        </w:rPr>
        <w:t xml:space="preserve"> W., </w:t>
      </w:r>
      <w:r w:rsidRPr="0021544A">
        <w:rPr>
          <w:rFonts w:ascii="Arial" w:hAnsi="Arial" w:cs="Arial"/>
        </w:rPr>
        <w:t>van Oort, N</w:t>
      </w:r>
      <w:r>
        <w:rPr>
          <w:rFonts w:ascii="Arial" w:hAnsi="Arial" w:cs="Arial"/>
          <w:b/>
          <w:bCs/>
        </w:rPr>
        <w:t>.</w:t>
      </w:r>
      <w:r w:rsidRPr="0021544A">
        <w:rPr>
          <w:rFonts w:ascii="Arial" w:hAnsi="Arial" w:cs="Arial"/>
        </w:rPr>
        <w:t xml:space="preserve"> and </w:t>
      </w:r>
      <w:proofErr w:type="spellStart"/>
      <w:r w:rsidRPr="0021544A">
        <w:rPr>
          <w:rFonts w:ascii="Arial" w:hAnsi="Arial" w:cs="Arial"/>
        </w:rPr>
        <w:t>Goverde</w:t>
      </w:r>
      <w:proofErr w:type="spellEnd"/>
      <w:r>
        <w:rPr>
          <w:rFonts w:ascii="Arial" w:hAnsi="Arial" w:cs="Arial"/>
        </w:rPr>
        <w:t xml:space="preserve">, R, (2019) </w:t>
      </w:r>
      <w:r w:rsidRPr="0021544A">
        <w:rPr>
          <w:rFonts w:ascii="Arial" w:hAnsi="Arial" w:cs="Arial"/>
          <w:bCs/>
          <w:lang w:val="en-AU"/>
        </w:rPr>
        <w:t>The potential of multimodal concessions for service improvements; three cases from the Netherlands</w:t>
      </w:r>
      <w:r>
        <w:rPr>
          <w:rFonts w:ascii="Arial" w:hAnsi="Arial" w:cs="Arial"/>
          <w:bCs/>
          <w:lang w:val="en-AU"/>
        </w:rPr>
        <w:t xml:space="preserve">. </w:t>
      </w:r>
      <w:r w:rsidRPr="0021544A">
        <w:rPr>
          <w:rFonts w:ascii="Arial" w:hAnsi="Arial" w:cs="Arial"/>
          <w:bCs/>
          <w:i/>
          <w:iCs/>
        </w:rPr>
        <w:t>16th International Conference on Competition and Ownership in Land Passenger Transport</w:t>
      </w:r>
      <w:r w:rsidRPr="0021544A">
        <w:rPr>
          <w:rFonts w:ascii="Arial" w:hAnsi="Arial" w:cs="Arial"/>
          <w:bCs/>
        </w:rPr>
        <w:t>. Singapore.</w:t>
      </w:r>
    </w:p>
    <w:p w14:paraId="551E4473" w14:textId="1256480D" w:rsidR="00D82F9A" w:rsidRDefault="00D82F9A" w:rsidP="00261EEA">
      <w:pPr>
        <w:spacing w:line="276" w:lineRule="auto"/>
        <w:rPr>
          <w:rFonts w:ascii="Arial" w:hAnsi="Arial" w:cs="Arial"/>
        </w:rPr>
      </w:pPr>
      <w:proofErr w:type="spellStart"/>
      <w:r w:rsidRPr="00C310FD">
        <w:rPr>
          <w:rFonts w:ascii="Arial" w:hAnsi="Arial" w:cs="Arial"/>
        </w:rPr>
        <w:t>Ingvardson</w:t>
      </w:r>
      <w:proofErr w:type="spellEnd"/>
      <w:r w:rsidRPr="00C310FD">
        <w:rPr>
          <w:rFonts w:ascii="Arial" w:hAnsi="Arial" w:cs="Arial"/>
        </w:rPr>
        <w:t xml:space="preserve">, J. and Nielsen, O. (2017) Effect of New Bus and Rail Rapid Transit systems: An International Review. </w:t>
      </w:r>
      <w:r w:rsidRPr="00C310FD">
        <w:rPr>
          <w:rFonts w:ascii="Arial" w:hAnsi="Arial" w:cs="Arial"/>
          <w:i/>
          <w:iCs/>
        </w:rPr>
        <w:t>Transport Reviews,</w:t>
      </w:r>
      <w:r w:rsidRPr="00C310FD">
        <w:rPr>
          <w:rFonts w:ascii="Arial" w:hAnsi="Arial" w:cs="Arial"/>
        </w:rPr>
        <w:t xml:space="preserve"> 38, 1, 96-116.</w:t>
      </w:r>
    </w:p>
    <w:p w14:paraId="1B88E820" w14:textId="019EB2BF" w:rsidR="00AE0DA0" w:rsidRDefault="00AE0DA0" w:rsidP="00261EEA">
      <w:pPr>
        <w:spacing w:line="276" w:lineRule="auto"/>
        <w:rPr>
          <w:rFonts w:ascii="Arial" w:hAnsi="Arial" w:cs="Arial"/>
          <w:bCs/>
        </w:rPr>
      </w:pPr>
      <w:r w:rsidRPr="00AE0DA0">
        <w:rPr>
          <w:rFonts w:ascii="Arial" w:hAnsi="Arial" w:cs="Arial"/>
          <w:bCs/>
        </w:rPr>
        <w:t xml:space="preserve">KPMG (2016) </w:t>
      </w:r>
      <w:r w:rsidRPr="00AE0DA0">
        <w:rPr>
          <w:rFonts w:ascii="Arial" w:hAnsi="Arial" w:cs="Arial"/>
          <w:bCs/>
          <w:i/>
        </w:rPr>
        <w:t xml:space="preserve">Local Bus Market Study. </w:t>
      </w:r>
      <w:r w:rsidR="00B97A92" w:rsidRPr="00B97A92">
        <w:rPr>
          <w:rFonts w:ascii="Arial" w:hAnsi="Arial" w:cs="Arial"/>
          <w:bCs/>
          <w:iCs/>
        </w:rPr>
        <w:t>London:</w:t>
      </w:r>
      <w:r w:rsidR="00B97A92">
        <w:rPr>
          <w:rFonts w:ascii="Arial" w:hAnsi="Arial" w:cs="Arial"/>
          <w:bCs/>
          <w:i/>
        </w:rPr>
        <w:t xml:space="preserve"> </w:t>
      </w:r>
      <w:r w:rsidRPr="00AE0DA0">
        <w:rPr>
          <w:rFonts w:ascii="Arial" w:hAnsi="Arial" w:cs="Arial"/>
          <w:bCs/>
        </w:rPr>
        <w:t>Department for Transport.</w:t>
      </w:r>
    </w:p>
    <w:p w14:paraId="403BF778" w14:textId="65BD2CED" w:rsidR="00713EB8" w:rsidRPr="00713EB8" w:rsidRDefault="00713EB8" w:rsidP="00261EEA">
      <w:pPr>
        <w:spacing w:line="276" w:lineRule="auto"/>
        <w:rPr>
          <w:rFonts w:ascii="Arial" w:hAnsi="Arial" w:cs="Arial"/>
        </w:rPr>
      </w:pPr>
      <w:r>
        <w:rPr>
          <w:rFonts w:ascii="Arial" w:hAnsi="Arial" w:cs="Arial"/>
          <w:bCs/>
        </w:rPr>
        <w:t xml:space="preserve">McTigue, C., Rye, T. and Monios, J. (2020) Identifying barriers to implementation of local transport policy – Lessons learned from case studies on bus policy implementation in Great Britain. </w:t>
      </w:r>
      <w:r>
        <w:rPr>
          <w:rFonts w:ascii="Arial" w:hAnsi="Arial" w:cs="Arial"/>
          <w:bCs/>
          <w:i/>
          <w:iCs/>
        </w:rPr>
        <w:t xml:space="preserve">Transport Policy, </w:t>
      </w:r>
      <w:r>
        <w:rPr>
          <w:rFonts w:ascii="Arial" w:hAnsi="Arial" w:cs="Arial"/>
          <w:bCs/>
        </w:rPr>
        <w:t>91, 16-25.</w:t>
      </w:r>
    </w:p>
    <w:p w14:paraId="64E3107F" w14:textId="5187DE62" w:rsidR="00C851F8" w:rsidRPr="00C310FD" w:rsidRDefault="00C851F8" w:rsidP="00261EEA">
      <w:pPr>
        <w:spacing w:line="276" w:lineRule="auto"/>
        <w:rPr>
          <w:rFonts w:ascii="Arial" w:hAnsi="Arial" w:cs="Arial"/>
        </w:rPr>
      </w:pPr>
      <w:r w:rsidRPr="00C310FD">
        <w:rPr>
          <w:rFonts w:ascii="Arial" w:hAnsi="Arial" w:cs="Arial"/>
        </w:rPr>
        <w:t xml:space="preserve">Merkert, R. (2010) Changes in Transaction Costs over Time – the case of franchised train operating companies in Britain. </w:t>
      </w:r>
      <w:r w:rsidRPr="00C310FD">
        <w:rPr>
          <w:rFonts w:ascii="Arial" w:hAnsi="Arial" w:cs="Arial"/>
          <w:i/>
          <w:iCs/>
        </w:rPr>
        <w:t>Research in Transportation Economics</w:t>
      </w:r>
      <w:r w:rsidRPr="00C310FD">
        <w:rPr>
          <w:rFonts w:ascii="Arial" w:hAnsi="Arial" w:cs="Arial"/>
        </w:rPr>
        <w:t xml:space="preserve">, 29, 1, 52-59. </w:t>
      </w:r>
    </w:p>
    <w:p w14:paraId="0004C859" w14:textId="6170DE64" w:rsidR="003767B6" w:rsidRDefault="003767B6" w:rsidP="00261EEA">
      <w:pPr>
        <w:spacing w:line="276" w:lineRule="auto"/>
        <w:rPr>
          <w:rFonts w:ascii="Arial" w:hAnsi="Arial" w:cs="Arial"/>
        </w:rPr>
      </w:pPr>
      <w:r w:rsidRPr="003767B6">
        <w:rPr>
          <w:rFonts w:ascii="Arial" w:hAnsi="Arial" w:cs="Arial"/>
        </w:rPr>
        <w:t xml:space="preserve">Needham, R. (1983) </w:t>
      </w:r>
      <w:r w:rsidRPr="003767B6">
        <w:rPr>
          <w:rFonts w:ascii="Arial" w:hAnsi="Arial" w:cs="Arial"/>
          <w:i/>
        </w:rPr>
        <w:t>The Economics and Politics of Regulation: A  Behavioural Approach</w:t>
      </w:r>
      <w:r w:rsidRPr="003767B6">
        <w:rPr>
          <w:rFonts w:ascii="Arial" w:hAnsi="Arial" w:cs="Arial"/>
        </w:rPr>
        <w:t>. Boston</w:t>
      </w:r>
      <w:r w:rsidRPr="00C310FD">
        <w:rPr>
          <w:rFonts w:ascii="Arial" w:hAnsi="Arial" w:cs="Arial"/>
        </w:rPr>
        <w:t xml:space="preserve">: </w:t>
      </w:r>
      <w:r w:rsidRPr="003767B6">
        <w:rPr>
          <w:rFonts w:ascii="Arial" w:hAnsi="Arial" w:cs="Arial"/>
        </w:rPr>
        <w:t>Little, Brown and Company.</w:t>
      </w:r>
    </w:p>
    <w:p w14:paraId="42108BAD" w14:textId="02EE3D0D" w:rsidR="00355457" w:rsidRPr="00355457" w:rsidRDefault="00355457" w:rsidP="00261EEA">
      <w:pPr>
        <w:spacing w:line="276" w:lineRule="auto"/>
        <w:rPr>
          <w:rFonts w:ascii="Arial" w:hAnsi="Arial" w:cs="Arial"/>
        </w:rPr>
      </w:pPr>
      <w:r>
        <w:rPr>
          <w:rFonts w:ascii="Arial" w:hAnsi="Arial" w:cs="Arial"/>
        </w:rPr>
        <w:t xml:space="preserve">ORR </w:t>
      </w:r>
      <w:r w:rsidRPr="00C310FD">
        <w:rPr>
          <w:rFonts w:ascii="Arial" w:hAnsi="Arial" w:cs="Arial"/>
        </w:rPr>
        <w:t>(Office of Rail and Road)</w:t>
      </w:r>
      <w:r>
        <w:rPr>
          <w:rFonts w:ascii="Arial" w:hAnsi="Arial" w:cs="Arial"/>
        </w:rPr>
        <w:t xml:space="preserve"> (2018) </w:t>
      </w:r>
      <w:r w:rsidRPr="00355457">
        <w:rPr>
          <w:rFonts w:ascii="Arial" w:hAnsi="Arial" w:cs="Arial"/>
          <w:i/>
          <w:iCs/>
        </w:rPr>
        <w:t>Independent Inquiry into the Timetable Disruption in May 2018.</w:t>
      </w:r>
      <w:r>
        <w:rPr>
          <w:rFonts w:ascii="Arial" w:hAnsi="Arial" w:cs="Arial"/>
        </w:rPr>
        <w:t xml:space="preserve"> London: ORR. December.</w:t>
      </w:r>
    </w:p>
    <w:p w14:paraId="4C34574A" w14:textId="4C62A71C" w:rsidR="00045894" w:rsidRPr="00C310FD" w:rsidRDefault="00045894" w:rsidP="00261EEA">
      <w:pPr>
        <w:spacing w:line="276" w:lineRule="auto"/>
        <w:rPr>
          <w:rFonts w:ascii="Arial" w:hAnsi="Arial" w:cs="Arial"/>
        </w:rPr>
      </w:pPr>
      <w:r w:rsidRPr="00C310FD">
        <w:rPr>
          <w:rFonts w:ascii="Arial" w:hAnsi="Arial" w:cs="Arial"/>
        </w:rPr>
        <w:t xml:space="preserve">ORR (2020) </w:t>
      </w:r>
      <w:r w:rsidRPr="00C310FD">
        <w:rPr>
          <w:rFonts w:ascii="Arial" w:hAnsi="Arial" w:cs="Arial"/>
          <w:i/>
          <w:iCs/>
        </w:rPr>
        <w:t xml:space="preserve">Rail Industry Finance (UK) 2019-20. </w:t>
      </w:r>
      <w:r w:rsidRPr="00C310FD">
        <w:rPr>
          <w:rFonts w:ascii="Arial" w:hAnsi="Arial" w:cs="Arial"/>
        </w:rPr>
        <w:t xml:space="preserve">London: </w:t>
      </w:r>
      <w:r w:rsidR="007F2C61" w:rsidRPr="00C310FD">
        <w:rPr>
          <w:rFonts w:ascii="Arial" w:hAnsi="Arial" w:cs="Arial"/>
        </w:rPr>
        <w:t>ORR. November.</w:t>
      </w:r>
    </w:p>
    <w:p w14:paraId="1E523BF8" w14:textId="402C44F2" w:rsidR="00193B24" w:rsidRPr="00C310FD" w:rsidRDefault="00193B24" w:rsidP="00261EEA">
      <w:pPr>
        <w:spacing w:line="276" w:lineRule="auto"/>
        <w:rPr>
          <w:rFonts w:ascii="Arial" w:hAnsi="Arial" w:cs="Arial"/>
        </w:rPr>
      </w:pPr>
      <w:r w:rsidRPr="00C310FD">
        <w:rPr>
          <w:rFonts w:ascii="Arial" w:hAnsi="Arial" w:cs="Arial"/>
        </w:rPr>
        <w:lastRenderedPageBreak/>
        <w:t xml:space="preserve">Parker, D. (2012) </w:t>
      </w:r>
      <w:r w:rsidRPr="00C310FD">
        <w:rPr>
          <w:rFonts w:ascii="Arial" w:hAnsi="Arial" w:cs="Arial"/>
          <w:i/>
        </w:rPr>
        <w:t xml:space="preserve">The Official History of Privatisation. Volume II Popular Capitalism 1987-1997. </w:t>
      </w:r>
      <w:r w:rsidRPr="00C310FD">
        <w:rPr>
          <w:rFonts w:ascii="Arial" w:hAnsi="Arial" w:cs="Arial"/>
        </w:rPr>
        <w:t>Chapters 16 and 17</w:t>
      </w:r>
      <w:r w:rsidR="00FA5872">
        <w:rPr>
          <w:rFonts w:ascii="Arial" w:hAnsi="Arial" w:cs="Arial"/>
        </w:rPr>
        <w:t xml:space="preserve">. </w:t>
      </w:r>
      <w:r w:rsidRPr="00C310FD">
        <w:rPr>
          <w:rFonts w:ascii="Arial" w:hAnsi="Arial" w:cs="Arial"/>
        </w:rPr>
        <w:t>Abingdon: Routledge</w:t>
      </w:r>
      <w:r w:rsidR="00FA5872">
        <w:rPr>
          <w:rFonts w:ascii="Arial" w:hAnsi="Arial" w:cs="Arial"/>
        </w:rPr>
        <w:t>.</w:t>
      </w:r>
    </w:p>
    <w:p w14:paraId="3629ADEB" w14:textId="657C499F" w:rsidR="00B91874" w:rsidRPr="00C310FD" w:rsidRDefault="00B91874" w:rsidP="00261EEA">
      <w:pPr>
        <w:spacing w:line="276" w:lineRule="auto"/>
        <w:rPr>
          <w:rFonts w:ascii="Arial" w:hAnsi="Arial" w:cs="Arial"/>
          <w:lang w:val="en-US"/>
        </w:rPr>
      </w:pPr>
      <w:r w:rsidRPr="00C310FD">
        <w:rPr>
          <w:rFonts w:ascii="Arial" w:hAnsi="Arial" w:cs="Arial"/>
          <w:lang w:val="en-US"/>
        </w:rPr>
        <w:t xml:space="preserve">Preston, J., Huang, B. and Whelan, G. (2005) </w:t>
      </w:r>
      <w:r w:rsidRPr="00C310FD">
        <w:rPr>
          <w:rFonts w:ascii="Arial" w:hAnsi="Arial" w:cs="Arial"/>
          <w:i/>
          <w:iCs/>
        </w:rPr>
        <w:t xml:space="preserve">Determining Optimal Bus Service Provision: The Role of Quality in the Service Mix. </w:t>
      </w:r>
      <w:r w:rsidRPr="00C310FD">
        <w:rPr>
          <w:rFonts w:ascii="Arial" w:hAnsi="Arial" w:cs="Arial"/>
        </w:rPr>
        <w:t xml:space="preserve">In Hensher, D. (Ed.) </w:t>
      </w:r>
      <w:r w:rsidRPr="00C310FD">
        <w:rPr>
          <w:rFonts w:ascii="Arial" w:hAnsi="Arial" w:cs="Arial"/>
          <w:i/>
          <w:iCs/>
        </w:rPr>
        <w:t>Competition and Ownership in Land Passenger Transport. Selected Refereed Papers from the 8</w:t>
      </w:r>
      <w:r w:rsidRPr="00C310FD">
        <w:rPr>
          <w:rFonts w:ascii="Arial" w:hAnsi="Arial" w:cs="Arial"/>
          <w:i/>
          <w:iCs/>
          <w:vertAlign w:val="superscript"/>
        </w:rPr>
        <w:t>th</w:t>
      </w:r>
      <w:r w:rsidRPr="00C310FD">
        <w:rPr>
          <w:rFonts w:ascii="Arial" w:hAnsi="Arial" w:cs="Arial"/>
          <w:i/>
          <w:iCs/>
        </w:rPr>
        <w:t xml:space="preserve"> International Conference. </w:t>
      </w:r>
      <w:r w:rsidRPr="00C310FD">
        <w:rPr>
          <w:rFonts w:ascii="Arial" w:hAnsi="Arial" w:cs="Arial"/>
        </w:rPr>
        <w:t>Elsevier,  Oxford. 177-194.</w:t>
      </w:r>
    </w:p>
    <w:p w14:paraId="4F9D8343" w14:textId="2DDDDE1D" w:rsidR="006E1ECF" w:rsidRPr="00C310FD" w:rsidRDefault="006E1ECF" w:rsidP="00261EEA">
      <w:pPr>
        <w:spacing w:line="276" w:lineRule="auto"/>
        <w:rPr>
          <w:rFonts w:ascii="Arial" w:hAnsi="Arial" w:cs="Arial"/>
          <w:i/>
          <w:iCs/>
        </w:rPr>
      </w:pPr>
      <w:r w:rsidRPr="00C310FD">
        <w:rPr>
          <w:rFonts w:ascii="Arial" w:hAnsi="Arial" w:cs="Arial"/>
          <w:lang w:val="en-US"/>
        </w:rPr>
        <w:t xml:space="preserve">Preston, J.M. and Almutairi, T. (2013). Evaluating the </w:t>
      </w:r>
      <w:proofErr w:type="gramStart"/>
      <w:r w:rsidRPr="00C310FD">
        <w:rPr>
          <w:rFonts w:ascii="Arial" w:hAnsi="Arial" w:cs="Arial"/>
          <w:lang w:val="en-US"/>
        </w:rPr>
        <w:t>Long Term</w:t>
      </w:r>
      <w:proofErr w:type="gramEnd"/>
      <w:r w:rsidRPr="00C310FD">
        <w:rPr>
          <w:rFonts w:ascii="Arial" w:hAnsi="Arial" w:cs="Arial"/>
          <w:lang w:val="en-US"/>
        </w:rPr>
        <w:t xml:space="preserve"> Impacts of Transport Policy: An Initial Assessment of Bus Deregulation. </w:t>
      </w:r>
      <w:r w:rsidRPr="00C310FD">
        <w:rPr>
          <w:rFonts w:ascii="Arial" w:hAnsi="Arial" w:cs="Arial"/>
          <w:i/>
          <w:iCs/>
          <w:lang w:val="en-US"/>
        </w:rPr>
        <w:t>Research in Transportation Economics</w:t>
      </w:r>
      <w:r w:rsidRPr="00C310FD">
        <w:rPr>
          <w:rFonts w:ascii="Arial" w:hAnsi="Arial" w:cs="Arial"/>
          <w:lang w:val="en-US"/>
        </w:rPr>
        <w:t>,</w:t>
      </w:r>
      <w:r w:rsidRPr="00C310FD">
        <w:rPr>
          <w:rFonts w:ascii="Arial" w:hAnsi="Arial" w:cs="Arial"/>
        </w:rPr>
        <w:t xml:space="preserve"> 39, 208-214</w:t>
      </w:r>
      <w:r w:rsidRPr="00C310FD">
        <w:rPr>
          <w:rFonts w:ascii="Arial" w:hAnsi="Arial" w:cs="Arial"/>
          <w:i/>
          <w:iCs/>
        </w:rPr>
        <w:t>.</w:t>
      </w:r>
    </w:p>
    <w:p w14:paraId="651A7D4A" w14:textId="21BC63F8" w:rsidR="006E1ECF" w:rsidRPr="00C310FD" w:rsidRDefault="006E1ECF" w:rsidP="00261EEA">
      <w:pPr>
        <w:spacing w:line="276" w:lineRule="auto"/>
        <w:rPr>
          <w:rFonts w:ascii="Arial" w:hAnsi="Arial" w:cs="Arial"/>
        </w:rPr>
      </w:pPr>
      <w:r w:rsidRPr="00C310FD">
        <w:rPr>
          <w:rFonts w:ascii="Arial" w:hAnsi="Arial" w:cs="Arial"/>
          <w:lang w:val="en-US"/>
        </w:rPr>
        <w:t xml:space="preserve">Preston, J.M. and Almutairi, T. (2014) Evaluating the </w:t>
      </w:r>
      <w:proofErr w:type="gramStart"/>
      <w:r w:rsidRPr="00C310FD">
        <w:rPr>
          <w:rFonts w:ascii="Arial" w:hAnsi="Arial" w:cs="Arial"/>
          <w:lang w:val="en-US"/>
        </w:rPr>
        <w:t>Long Term</w:t>
      </w:r>
      <w:proofErr w:type="gramEnd"/>
      <w:r w:rsidRPr="00C310FD">
        <w:rPr>
          <w:rFonts w:ascii="Arial" w:hAnsi="Arial" w:cs="Arial"/>
          <w:lang w:val="en-US"/>
        </w:rPr>
        <w:t xml:space="preserve"> Impacts of Transport Policy: The Case of Bus Deregulation Revisited. </w:t>
      </w:r>
      <w:r w:rsidRPr="00C310FD">
        <w:rPr>
          <w:rFonts w:ascii="Arial" w:hAnsi="Arial" w:cs="Arial"/>
          <w:i/>
          <w:iCs/>
          <w:lang w:val="en-US"/>
        </w:rPr>
        <w:t>Research in Transportation Economics</w:t>
      </w:r>
      <w:r w:rsidRPr="00C310FD">
        <w:rPr>
          <w:rFonts w:ascii="Arial" w:hAnsi="Arial" w:cs="Arial"/>
          <w:lang w:val="en-US"/>
        </w:rPr>
        <w:t>,</w:t>
      </w:r>
      <w:r w:rsidRPr="00C310FD">
        <w:rPr>
          <w:rFonts w:ascii="Arial" w:hAnsi="Arial" w:cs="Arial"/>
        </w:rPr>
        <w:t xml:space="preserve"> 48, 263-269.</w:t>
      </w:r>
    </w:p>
    <w:p w14:paraId="406A8AB1" w14:textId="74731E44" w:rsidR="00A35A95" w:rsidRPr="00C310FD" w:rsidRDefault="00A35A95" w:rsidP="00261EEA">
      <w:pPr>
        <w:spacing w:line="276" w:lineRule="auto"/>
        <w:rPr>
          <w:rFonts w:ascii="Arial" w:hAnsi="Arial" w:cs="Arial"/>
        </w:rPr>
      </w:pPr>
      <w:r w:rsidRPr="00C310FD">
        <w:rPr>
          <w:rFonts w:ascii="Arial" w:hAnsi="Arial" w:cs="Arial"/>
        </w:rPr>
        <w:t xml:space="preserve">Preston, J., Song., Y. and Hickford, A. (2014) Delivering Sustainable Public Transport: The Case of the Better Bus Area Fund. </w:t>
      </w:r>
      <w:r w:rsidRPr="00C310FD">
        <w:rPr>
          <w:rFonts w:ascii="Arial" w:hAnsi="Arial" w:cs="Arial"/>
          <w:i/>
          <w:iCs/>
        </w:rPr>
        <w:t xml:space="preserve">Research in Transportation Economics. </w:t>
      </w:r>
      <w:r w:rsidRPr="00C310FD">
        <w:rPr>
          <w:rFonts w:ascii="Arial" w:hAnsi="Arial" w:cs="Arial"/>
        </w:rPr>
        <w:t>48, 373-380.</w:t>
      </w:r>
    </w:p>
    <w:p w14:paraId="2D95E700" w14:textId="7357B590" w:rsidR="00134035" w:rsidRPr="00C310FD" w:rsidRDefault="00134035" w:rsidP="00261EEA">
      <w:pPr>
        <w:spacing w:line="276" w:lineRule="auto"/>
        <w:rPr>
          <w:rFonts w:ascii="Arial" w:hAnsi="Arial" w:cs="Arial"/>
        </w:rPr>
      </w:pPr>
      <w:r w:rsidRPr="00C310FD">
        <w:rPr>
          <w:rFonts w:ascii="Arial" w:hAnsi="Arial" w:cs="Arial"/>
        </w:rPr>
        <w:t xml:space="preserve">Preston, J and Darivakis, E. (2019) Can Bus Quality Partnerships or Contracts Make a Difference? </w:t>
      </w:r>
      <w:bookmarkStart w:id="2" w:name="_Hlk107405965"/>
      <w:r w:rsidRPr="00C310FD">
        <w:rPr>
          <w:rFonts w:ascii="Arial" w:hAnsi="Arial" w:cs="Arial"/>
          <w:i/>
          <w:iCs/>
        </w:rPr>
        <w:t>16th International Conference on Competition and Ownership in Land Passenger Transport</w:t>
      </w:r>
      <w:r w:rsidRPr="00C310FD">
        <w:rPr>
          <w:rFonts w:ascii="Arial" w:hAnsi="Arial" w:cs="Arial"/>
        </w:rPr>
        <w:t>. Singapore.</w:t>
      </w:r>
      <w:bookmarkEnd w:id="2"/>
    </w:p>
    <w:p w14:paraId="06DD4316" w14:textId="2E727E35" w:rsidR="002B37A1" w:rsidRPr="00C310FD" w:rsidRDefault="002B37A1" w:rsidP="00261EEA">
      <w:pPr>
        <w:spacing w:line="276" w:lineRule="auto"/>
        <w:rPr>
          <w:rFonts w:ascii="Arial" w:hAnsi="Arial" w:cs="Arial"/>
        </w:rPr>
      </w:pPr>
      <w:r w:rsidRPr="00C310FD">
        <w:rPr>
          <w:rFonts w:ascii="Arial" w:hAnsi="Arial" w:cs="Arial"/>
        </w:rPr>
        <w:t xml:space="preserve">Preston, J. and Bickel, C. (2020) And the Beat Goes On. The continued trials and tribulations of passenger rail franchising in Great Britain. </w:t>
      </w:r>
      <w:r w:rsidRPr="00C310FD">
        <w:rPr>
          <w:rFonts w:ascii="Arial" w:hAnsi="Arial" w:cs="Arial"/>
          <w:i/>
          <w:iCs/>
        </w:rPr>
        <w:t>Research in Transportation Economics.</w:t>
      </w:r>
      <w:r w:rsidRPr="00C310FD">
        <w:rPr>
          <w:rFonts w:ascii="Arial" w:hAnsi="Arial" w:cs="Arial"/>
        </w:rPr>
        <w:t xml:space="preserve"> 83, 100846.</w:t>
      </w:r>
    </w:p>
    <w:p w14:paraId="04182826" w14:textId="302583B9" w:rsidR="00B524AA" w:rsidRPr="00C310FD" w:rsidRDefault="00B524AA" w:rsidP="00261EEA">
      <w:pPr>
        <w:spacing w:line="276" w:lineRule="auto"/>
        <w:rPr>
          <w:rFonts w:ascii="Arial" w:hAnsi="Arial" w:cs="Arial"/>
        </w:rPr>
      </w:pPr>
      <w:r w:rsidRPr="00C310FD">
        <w:rPr>
          <w:rFonts w:ascii="Arial" w:hAnsi="Arial" w:cs="Arial"/>
        </w:rPr>
        <w:t>Preston, J. (2001</w:t>
      </w:r>
      <w:r w:rsidR="00D11BCF" w:rsidRPr="00C310FD">
        <w:rPr>
          <w:rFonts w:ascii="Arial" w:hAnsi="Arial" w:cs="Arial"/>
        </w:rPr>
        <w:t>a</w:t>
      </w:r>
      <w:r w:rsidRPr="00C310FD">
        <w:rPr>
          <w:rFonts w:ascii="Arial" w:hAnsi="Arial" w:cs="Arial"/>
        </w:rPr>
        <w:t xml:space="preserve">) An Overview of Public Transport Reforms in Great Britain and Forecasts for the Future. </w:t>
      </w:r>
      <w:r w:rsidRPr="00C310FD">
        <w:rPr>
          <w:rFonts w:ascii="Arial" w:hAnsi="Arial" w:cs="Arial"/>
          <w:i/>
        </w:rPr>
        <w:t>International Journal of Transport Economics</w:t>
      </w:r>
      <w:r w:rsidRPr="00C310FD">
        <w:rPr>
          <w:rFonts w:ascii="Arial" w:hAnsi="Arial" w:cs="Arial"/>
        </w:rPr>
        <w:t>, 26,1, 23-48.</w:t>
      </w:r>
    </w:p>
    <w:p w14:paraId="5131D8C2" w14:textId="2212391B" w:rsidR="00D11BCF" w:rsidRPr="00C310FD" w:rsidRDefault="00D11BCF" w:rsidP="00261EEA">
      <w:pPr>
        <w:spacing w:line="276" w:lineRule="auto"/>
        <w:rPr>
          <w:rFonts w:ascii="Arial" w:hAnsi="Arial" w:cs="Arial"/>
        </w:rPr>
      </w:pPr>
      <w:r w:rsidRPr="00C310FD">
        <w:rPr>
          <w:rFonts w:ascii="Arial" w:hAnsi="Arial" w:cs="Arial"/>
          <w:bCs/>
        </w:rPr>
        <w:t xml:space="preserve">Preston, J. (2001b) Franchising and Re-franchising of Passenger Rail Services in Britain.  </w:t>
      </w:r>
      <w:r w:rsidRPr="00C310FD">
        <w:rPr>
          <w:rFonts w:ascii="Arial" w:hAnsi="Arial" w:cs="Arial"/>
          <w:bCs/>
          <w:i/>
        </w:rPr>
        <w:t>Transportation Research Record</w:t>
      </w:r>
      <w:r w:rsidRPr="00C310FD">
        <w:rPr>
          <w:rFonts w:ascii="Arial" w:hAnsi="Arial" w:cs="Arial"/>
          <w:bCs/>
        </w:rPr>
        <w:t>, 1742, 1-9.</w:t>
      </w:r>
    </w:p>
    <w:p w14:paraId="68490652" w14:textId="7F72A928" w:rsidR="00A30ECD" w:rsidRPr="00C310FD" w:rsidRDefault="00A30ECD" w:rsidP="00261EEA">
      <w:pPr>
        <w:spacing w:line="276" w:lineRule="auto"/>
        <w:rPr>
          <w:rFonts w:ascii="Arial" w:hAnsi="Arial" w:cs="Arial"/>
        </w:rPr>
      </w:pPr>
      <w:r w:rsidRPr="00C310FD">
        <w:rPr>
          <w:rFonts w:ascii="Arial" w:hAnsi="Arial" w:cs="Arial"/>
        </w:rPr>
        <w:t xml:space="preserve">Preston, J. (2003) A Thoroughbred in the Making? The Bus Industry under Labour. In Docherty, I. and Shaw, J. (Eds) </w:t>
      </w:r>
      <w:r w:rsidRPr="00C310FD">
        <w:rPr>
          <w:rFonts w:ascii="Arial" w:hAnsi="Arial" w:cs="Arial"/>
          <w:i/>
        </w:rPr>
        <w:t xml:space="preserve">A New Deal for Transport? </w:t>
      </w:r>
      <w:r w:rsidR="00FA5872" w:rsidRPr="00FA5872">
        <w:rPr>
          <w:rFonts w:ascii="Arial" w:hAnsi="Arial" w:cs="Arial"/>
          <w:iCs/>
        </w:rPr>
        <w:t>Oxford:</w:t>
      </w:r>
      <w:r w:rsidR="00FA5872">
        <w:rPr>
          <w:rFonts w:ascii="Arial" w:hAnsi="Arial" w:cs="Arial"/>
          <w:i/>
        </w:rPr>
        <w:t xml:space="preserve"> </w:t>
      </w:r>
      <w:r w:rsidRPr="00C310FD">
        <w:rPr>
          <w:rFonts w:ascii="Arial" w:hAnsi="Arial" w:cs="Arial"/>
        </w:rPr>
        <w:t>Blackwell. 158-177.</w:t>
      </w:r>
    </w:p>
    <w:p w14:paraId="3F10FFDF" w14:textId="489F6B91" w:rsidR="007C4398" w:rsidRPr="00C310FD" w:rsidRDefault="007C4398" w:rsidP="00261EEA">
      <w:pPr>
        <w:spacing w:line="276" w:lineRule="auto"/>
        <w:rPr>
          <w:rFonts w:ascii="Arial" w:hAnsi="Arial" w:cs="Arial"/>
        </w:rPr>
      </w:pPr>
      <w:r w:rsidRPr="00C310FD">
        <w:rPr>
          <w:rFonts w:ascii="Arial" w:hAnsi="Arial" w:cs="Arial"/>
        </w:rPr>
        <w:t xml:space="preserve">Preston, J. (2005) </w:t>
      </w:r>
      <w:r w:rsidRPr="00C310FD">
        <w:rPr>
          <w:rFonts w:ascii="Arial" w:hAnsi="Arial" w:cs="Arial"/>
          <w:i/>
          <w:iCs/>
        </w:rPr>
        <w:t xml:space="preserve">The Road to Rio: A Brief History of the International Conferences on Competition and Ownership in Land Passenger Transport. </w:t>
      </w:r>
      <w:r w:rsidRPr="00C310FD">
        <w:rPr>
          <w:rFonts w:ascii="Arial" w:hAnsi="Arial" w:cs="Arial"/>
        </w:rPr>
        <w:t xml:space="preserve">In Hensher, D. (Ed.) </w:t>
      </w:r>
      <w:r w:rsidRPr="00C310FD">
        <w:rPr>
          <w:rFonts w:ascii="Arial" w:hAnsi="Arial" w:cs="Arial"/>
          <w:i/>
          <w:iCs/>
        </w:rPr>
        <w:t>Competition and Ownership in Land Passenger Transport. Selected Refereed Papers from the 8</w:t>
      </w:r>
      <w:r w:rsidRPr="00C310FD">
        <w:rPr>
          <w:rFonts w:ascii="Arial" w:hAnsi="Arial" w:cs="Arial"/>
          <w:i/>
          <w:iCs/>
          <w:vertAlign w:val="superscript"/>
        </w:rPr>
        <w:t>th</w:t>
      </w:r>
      <w:r w:rsidRPr="00C310FD">
        <w:rPr>
          <w:rFonts w:ascii="Arial" w:hAnsi="Arial" w:cs="Arial"/>
          <w:i/>
          <w:iCs/>
        </w:rPr>
        <w:t xml:space="preserve"> International Conference. </w:t>
      </w:r>
      <w:r w:rsidRPr="00C310FD">
        <w:rPr>
          <w:rFonts w:ascii="Arial" w:hAnsi="Arial" w:cs="Arial"/>
        </w:rPr>
        <w:t>Elsevier, Oxford. 7-20.</w:t>
      </w:r>
    </w:p>
    <w:p w14:paraId="26EE87E6" w14:textId="6F60EB22" w:rsidR="00834BC3" w:rsidRPr="00C310FD" w:rsidRDefault="00834BC3" w:rsidP="00261EEA">
      <w:pPr>
        <w:spacing w:line="276" w:lineRule="auto"/>
        <w:rPr>
          <w:rFonts w:ascii="Arial" w:hAnsi="Arial" w:cs="Arial"/>
        </w:rPr>
      </w:pPr>
      <w:r w:rsidRPr="00C310FD">
        <w:rPr>
          <w:rFonts w:ascii="Arial" w:hAnsi="Arial" w:cs="Arial"/>
        </w:rPr>
        <w:t xml:space="preserve">Preston, J. (2008) A Review of Passenger Rail Franchising in Britain: 1996/7 – 2006/7. </w:t>
      </w:r>
      <w:r w:rsidRPr="00C310FD">
        <w:rPr>
          <w:rFonts w:ascii="Arial" w:hAnsi="Arial" w:cs="Arial"/>
          <w:i/>
        </w:rPr>
        <w:t xml:space="preserve">Research in Transportation Economics. </w:t>
      </w:r>
      <w:r w:rsidRPr="00C310FD">
        <w:rPr>
          <w:rFonts w:ascii="Arial" w:hAnsi="Arial" w:cs="Arial"/>
        </w:rPr>
        <w:t>22, 71-77.</w:t>
      </w:r>
    </w:p>
    <w:p w14:paraId="75C83529" w14:textId="77777777" w:rsidR="00834BC3" w:rsidRPr="00261EEA" w:rsidRDefault="00834BC3" w:rsidP="00261EEA">
      <w:pPr>
        <w:spacing w:line="276" w:lineRule="auto"/>
        <w:rPr>
          <w:rFonts w:ascii="Arial" w:hAnsi="Arial" w:cs="Arial"/>
        </w:rPr>
      </w:pPr>
      <w:r w:rsidRPr="00261EEA">
        <w:rPr>
          <w:rFonts w:ascii="Arial" w:hAnsi="Arial" w:cs="Arial"/>
        </w:rPr>
        <w:t>Preston, J. (2017) Deja Vu All Over Again? Rail Franchising in Britain.</w:t>
      </w:r>
      <w:r w:rsidRPr="00261EEA">
        <w:rPr>
          <w:rFonts w:ascii="Arial" w:hAnsi="Arial" w:cs="Arial"/>
          <w:i/>
          <w:iCs/>
        </w:rPr>
        <w:t xml:space="preserve"> Research in Transportation Economics.</w:t>
      </w:r>
      <w:r w:rsidRPr="00261EEA">
        <w:rPr>
          <w:rFonts w:ascii="Arial" w:hAnsi="Arial" w:cs="Arial"/>
        </w:rPr>
        <w:t xml:space="preserve"> 59, 107-115.</w:t>
      </w:r>
    </w:p>
    <w:p w14:paraId="1B5A2FE7" w14:textId="10DCCD89" w:rsidR="00834BC3" w:rsidRPr="00261EEA" w:rsidRDefault="00834BC3" w:rsidP="00261EEA">
      <w:pPr>
        <w:spacing w:line="276" w:lineRule="auto"/>
        <w:rPr>
          <w:rFonts w:ascii="Arial" w:hAnsi="Arial" w:cs="Arial"/>
          <w:iCs/>
        </w:rPr>
      </w:pPr>
      <w:r w:rsidRPr="00261EEA">
        <w:rPr>
          <w:rFonts w:ascii="Arial" w:hAnsi="Arial" w:cs="Arial"/>
        </w:rPr>
        <w:t>Preston, J. (2018</w:t>
      </w:r>
      <w:r w:rsidR="00FA2052" w:rsidRPr="00261EEA">
        <w:rPr>
          <w:rFonts w:ascii="Arial" w:hAnsi="Arial" w:cs="Arial"/>
        </w:rPr>
        <w:t>a</w:t>
      </w:r>
      <w:r w:rsidRPr="00261EEA">
        <w:rPr>
          <w:rFonts w:ascii="Arial" w:hAnsi="Arial" w:cs="Arial"/>
        </w:rPr>
        <w:t xml:space="preserve">) </w:t>
      </w:r>
      <w:r w:rsidRPr="00261EEA">
        <w:rPr>
          <w:rFonts w:ascii="Arial" w:hAnsi="Arial" w:cs="Arial"/>
          <w:bCs/>
        </w:rPr>
        <w:t xml:space="preserve">The Wheels Keep on Turning: Is the end of rail franchising in Britain in sight? </w:t>
      </w:r>
      <w:r w:rsidRPr="00261EEA">
        <w:rPr>
          <w:rFonts w:ascii="Arial" w:hAnsi="Arial" w:cs="Arial"/>
          <w:i/>
          <w:iCs/>
        </w:rPr>
        <w:t xml:space="preserve">Research in Transportation Economics. </w:t>
      </w:r>
      <w:r w:rsidRPr="00261EEA">
        <w:rPr>
          <w:rFonts w:ascii="Arial" w:hAnsi="Arial" w:cs="Arial"/>
          <w:iCs/>
        </w:rPr>
        <w:t>69, 187-196.</w:t>
      </w:r>
    </w:p>
    <w:p w14:paraId="01C5C03D" w14:textId="7BA518AF" w:rsidR="00FA2052" w:rsidRPr="00261EEA" w:rsidRDefault="00FA2052" w:rsidP="00261EEA">
      <w:pPr>
        <w:spacing w:line="276" w:lineRule="auto"/>
        <w:rPr>
          <w:rFonts w:ascii="Arial" w:hAnsi="Arial" w:cs="Arial"/>
          <w:iCs/>
        </w:rPr>
      </w:pPr>
      <w:r w:rsidRPr="00261EEA">
        <w:rPr>
          <w:rFonts w:ascii="Arial" w:hAnsi="Arial" w:cs="Arial"/>
          <w:iCs/>
        </w:rPr>
        <w:t xml:space="preserve">Preston, J. (2018b) The Impact of Reform on Public Transport Markets. In Cowie, J. and Ison, S. (Eds) </w:t>
      </w:r>
      <w:r w:rsidRPr="00261EEA">
        <w:rPr>
          <w:rFonts w:ascii="Arial" w:hAnsi="Arial" w:cs="Arial"/>
          <w:i/>
          <w:iCs/>
        </w:rPr>
        <w:t xml:space="preserve">Routledge Handbook of Transport Economics. </w:t>
      </w:r>
      <w:r w:rsidRPr="00261EEA">
        <w:rPr>
          <w:rFonts w:ascii="Arial" w:hAnsi="Arial" w:cs="Arial"/>
          <w:iCs/>
        </w:rPr>
        <w:t>Chapter 9</w:t>
      </w:r>
    </w:p>
    <w:p w14:paraId="7AD430F4" w14:textId="77777777" w:rsidR="00A35A95" w:rsidRPr="00261EEA" w:rsidRDefault="00A35A95" w:rsidP="00261EEA">
      <w:pPr>
        <w:spacing w:line="276" w:lineRule="auto"/>
        <w:rPr>
          <w:rFonts w:ascii="Arial" w:hAnsi="Arial" w:cs="Arial"/>
        </w:rPr>
      </w:pPr>
      <w:r w:rsidRPr="00261EEA">
        <w:rPr>
          <w:rFonts w:ascii="Arial" w:hAnsi="Arial" w:cs="Arial"/>
        </w:rPr>
        <w:lastRenderedPageBreak/>
        <w:t xml:space="preserve">Rye, T. and </w:t>
      </w:r>
      <w:proofErr w:type="spellStart"/>
      <w:r w:rsidRPr="00261EEA">
        <w:rPr>
          <w:rFonts w:ascii="Arial" w:hAnsi="Arial" w:cs="Arial"/>
        </w:rPr>
        <w:t>Wretstrand</w:t>
      </w:r>
      <w:proofErr w:type="spellEnd"/>
      <w:r w:rsidRPr="00261EEA">
        <w:rPr>
          <w:rFonts w:ascii="Arial" w:hAnsi="Arial" w:cs="Arial"/>
        </w:rPr>
        <w:t xml:space="preserve">, A. (2014). Converging structures? Recent regulatory change in bus-based local public transport in Sweden and England. </w:t>
      </w:r>
      <w:r w:rsidRPr="00261EEA">
        <w:rPr>
          <w:rFonts w:ascii="Arial" w:hAnsi="Arial" w:cs="Arial"/>
          <w:i/>
          <w:iCs/>
        </w:rPr>
        <w:t>Research in Transportation Economics</w:t>
      </w:r>
      <w:r w:rsidRPr="00261EEA">
        <w:rPr>
          <w:rFonts w:ascii="Arial" w:hAnsi="Arial" w:cs="Arial"/>
        </w:rPr>
        <w:t>, 48, 24-32.</w:t>
      </w:r>
    </w:p>
    <w:p w14:paraId="56451D0D" w14:textId="3A51A208" w:rsidR="0034611B" w:rsidRDefault="0034611B" w:rsidP="00261EEA">
      <w:pPr>
        <w:spacing w:line="276" w:lineRule="auto"/>
        <w:rPr>
          <w:rFonts w:ascii="Arial" w:hAnsi="Arial" w:cs="Arial"/>
          <w:iCs/>
          <w:lang w:val="en"/>
        </w:rPr>
      </w:pPr>
      <w:r w:rsidRPr="00261EEA">
        <w:rPr>
          <w:rFonts w:ascii="Arial" w:hAnsi="Arial" w:cs="Arial"/>
          <w:iCs/>
          <w:lang w:val="en"/>
        </w:rPr>
        <w:t>Saal, D. and Parker, D. (2003</w:t>
      </w:r>
      <w:r w:rsidRPr="00261EEA">
        <w:rPr>
          <w:rFonts w:ascii="Arial" w:hAnsi="Arial" w:cs="Arial"/>
          <w:i/>
          <w:iCs/>
          <w:lang w:val="en"/>
        </w:rPr>
        <w:t>) International Handbook on Privatization</w:t>
      </w:r>
      <w:r w:rsidRPr="00261EEA">
        <w:rPr>
          <w:rFonts w:ascii="Arial" w:hAnsi="Arial" w:cs="Arial"/>
          <w:iCs/>
          <w:lang w:val="en"/>
        </w:rPr>
        <w:t>. (Cheltenham: Edward Elgar).</w:t>
      </w:r>
    </w:p>
    <w:p w14:paraId="68C1E8F4" w14:textId="6E628CF1" w:rsidR="001456AF" w:rsidRDefault="001456AF" w:rsidP="001456AF">
      <w:pPr>
        <w:spacing w:line="276" w:lineRule="auto"/>
        <w:rPr>
          <w:rFonts w:ascii="Arial" w:hAnsi="Arial" w:cs="Arial"/>
          <w:iCs/>
          <w:lang w:val="en"/>
        </w:rPr>
      </w:pPr>
      <w:r w:rsidRPr="001456AF">
        <w:rPr>
          <w:rFonts w:ascii="Arial" w:hAnsi="Arial" w:cs="Arial"/>
          <w:iCs/>
          <w:lang w:val="en"/>
        </w:rPr>
        <w:t xml:space="preserve">Sheng, </w:t>
      </w:r>
      <w:r>
        <w:rPr>
          <w:rFonts w:ascii="Arial" w:hAnsi="Arial" w:cs="Arial"/>
          <w:iCs/>
          <w:lang w:val="en"/>
        </w:rPr>
        <w:t xml:space="preserve">D. and </w:t>
      </w:r>
      <w:r w:rsidRPr="001456AF">
        <w:rPr>
          <w:rFonts w:ascii="Arial" w:hAnsi="Arial" w:cs="Arial"/>
          <w:iCs/>
          <w:lang w:val="en"/>
        </w:rPr>
        <w:t>Meng,</w:t>
      </w:r>
      <w:r>
        <w:rPr>
          <w:rFonts w:ascii="Arial" w:hAnsi="Arial" w:cs="Arial"/>
          <w:iCs/>
          <w:lang w:val="en"/>
        </w:rPr>
        <w:t xml:space="preserve"> Q. (2020) </w:t>
      </w:r>
      <w:r w:rsidRPr="001456AF">
        <w:rPr>
          <w:rFonts w:ascii="Arial" w:hAnsi="Arial" w:cs="Arial"/>
          <w:iCs/>
          <w:lang w:val="en"/>
        </w:rPr>
        <w:t>Public bus service contracting: A critical review and future research opportunities</w:t>
      </w:r>
      <w:r>
        <w:rPr>
          <w:rFonts w:ascii="Arial" w:hAnsi="Arial" w:cs="Arial"/>
          <w:iCs/>
          <w:lang w:val="en"/>
        </w:rPr>
        <w:t xml:space="preserve">. </w:t>
      </w:r>
      <w:r w:rsidRPr="004E64F7">
        <w:rPr>
          <w:rFonts w:ascii="Arial" w:hAnsi="Arial" w:cs="Arial"/>
          <w:i/>
          <w:lang w:val="en"/>
        </w:rPr>
        <w:t>Research in Transportation Economics</w:t>
      </w:r>
      <w:r w:rsidRPr="001456AF">
        <w:rPr>
          <w:rFonts w:ascii="Arial" w:hAnsi="Arial" w:cs="Arial"/>
          <w:iCs/>
          <w:lang w:val="en"/>
        </w:rPr>
        <w:t>,</w:t>
      </w:r>
      <w:r>
        <w:rPr>
          <w:rFonts w:ascii="Arial" w:hAnsi="Arial" w:cs="Arial"/>
          <w:iCs/>
          <w:lang w:val="en"/>
        </w:rPr>
        <w:t xml:space="preserve"> </w:t>
      </w:r>
      <w:r w:rsidRPr="001456AF">
        <w:rPr>
          <w:rFonts w:ascii="Arial" w:hAnsi="Arial" w:cs="Arial"/>
          <w:iCs/>
          <w:lang w:val="en"/>
        </w:rPr>
        <w:t>83,</w:t>
      </w:r>
      <w:r>
        <w:rPr>
          <w:rFonts w:ascii="Arial" w:hAnsi="Arial" w:cs="Arial"/>
          <w:iCs/>
          <w:lang w:val="en"/>
        </w:rPr>
        <w:t xml:space="preserve"> </w:t>
      </w:r>
      <w:r w:rsidRPr="001456AF">
        <w:rPr>
          <w:rFonts w:ascii="Arial" w:hAnsi="Arial" w:cs="Arial"/>
          <w:iCs/>
          <w:lang w:val="en"/>
        </w:rPr>
        <w:t>100938</w:t>
      </w:r>
      <w:r>
        <w:rPr>
          <w:rFonts w:ascii="Arial" w:hAnsi="Arial" w:cs="Arial"/>
          <w:iCs/>
          <w:lang w:val="en"/>
        </w:rPr>
        <w:t>.</w:t>
      </w:r>
    </w:p>
    <w:p w14:paraId="201DC825" w14:textId="30CEA3BF" w:rsidR="005E3077" w:rsidRPr="00261EEA" w:rsidRDefault="005E3077" w:rsidP="00261EEA">
      <w:pPr>
        <w:spacing w:line="276" w:lineRule="auto"/>
        <w:rPr>
          <w:rFonts w:ascii="Arial" w:hAnsi="Arial" w:cs="Arial"/>
          <w:iCs/>
          <w:lang w:val="en"/>
        </w:rPr>
      </w:pPr>
      <w:r w:rsidRPr="005E3077">
        <w:rPr>
          <w:rFonts w:ascii="Arial" w:hAnsi="Arial" w:cs="Arial"/>
          <w:iCs/>
          <w:lang w:val="en"/>
        </w:rPr>
        <w:t>Stanley, J</w:t>
      </w:r>
      <w:r>
        <w:rPr>
          <w:rFonts w:ascii="Arial" w:hAnsi="Arial" w:cs="Arial"/>
          <w:iCs/>
          <w:lang w:val="en"/>
        </w:rPr>
        <w:t>. and</w:t>
      </w:r>
      <w:r w:rsidRPr="005E3077">
        <w:rPr>
          <w:rFonts w:ascii="Arial" w:hAnsi="Arial" w:cs="Arial"/>
          <w:iCs/>
          <w:lang w:val="en"/>
        </w:rPr>
        <w:t xml:space="preserve"> Hensher, D</w:t>
      </w:r>
      <w:r>
        <w:rPr>
          <w:rFonts w:ascii="Arial" w:hAnsi="Arial" w:cs="Arial"/>
          <w:iCs/>
          <w:lang w:val="en"/>
        </w:rPr>
        <w:t>.</w:t>
      </w:r>
      <w:r w:rsidRPr="005E3077">
        <w:rPr>
          <w:rFonts w:ascii="Arial" w:hAnsi="Arial" w:cs="Arial"/>
          <w:iCs/>
          <w:lang w:val="en"/>
        </w:rPr>
        <w:t xml:space="preserve"> A. </w:t>
      </w:r>
      <w:r>
        <w:rPr>
          <w:rFonts w:ascii="Arial" w:hAnsi="Arial" w:cs="Arial"/>
          <w:iCs/>
          <w:lang w:val="en"/>
        </w:rPr>
        <w:t>(</w:t>
      </w:r>
      <w:r w:rsidRPr="005E3077">
        <w:rPr>
          <w:rFonts w:ascii="Arial" w:hAnsi="Arial" w:cs="Arial"/>
          <w:iCs/>
          <w:lang w:val="en"/>
        </w:rPr>
        <w:t>2008</w:t>
      </w:r>
      <w:r w:rsidRPr="005E3077">
        <w:rPr>
          <w:rFonts w:ascii="Arial" w:hAnsi="Arial" w:cs="Arial"/>
          <w:i/>
          <w:lang w:val="en"/>
        </w:rPr>
        <w:t>). Delivering trusting partnerships for route bus services: a Melbourne case study.</w:t>
      </w:r>
      <w:r w:rsidRPr="005E3077">
        <w:rPr>
          <w:rFonts w:ascii="Arial" w:hAnsi="Arial" w:cs="Arial"/>
          <w:iCs/>
          <w:lang w:val="en"/>
        </w:rPr>
        <w:t xml:space="preserve"> Transp</w:t>
      </w:r>
      <w:r>
        <w:rPr>
          <w:rFonts w:ascii="Arial" w:hAnsi="Arial" w:cs="Arial"/>
          <w:iCs/>
          <w:lang w:val="en"/>
        </w:rPr>
        <w:t>ortation</w:t>
      </w:r>
      <w:r w:rsidRPr="005E3077">
        <w:rPr>
          <w:rFonts w:ascii="Arial" w:hAnsi="Arial" w:cs="Arial"/>
          <w:iCs/>
          <w:lang w:val="en"/>
        </w:rPr>
        <w:t xml:space="preserve"> Res</w:t>
      </w:r>
      <w:r>
        <w:rPr>
          <w:rFonts w:ascii="Arial" w:hAnsi="Arial" w:cs="Arial"/>
          <w:iCs/>
          <w:lang w:val="en"/>
        </w:rPr>
        <w:t>earch</w:t>
      </w:r>
      <w:r w:rsidRPr="005E3077">
        <w:rPr>
          <w:rFonts w:ascii="Arial" w:hAnsi="Arial" w:cs="Arial"/>
          <w:iCs/>
          <w:lang w:val="en"/>
        </w:rPr>
        <w:t xml:space="preserve"> A</w:t>
      </w:r>
      <w:r>
        <w:rPr>
          <w:rFonts w:ascii="Arial" w:hAnsi="Arial" w:cs="Arial"/>
          <w:iCs/>
          <w:lang w:val="en"/>
        </w:rPr>
        <w:t>,</w:t>
      </w:r>
      <w:r w:rsidRPr="005E3077">
        <w:rPr>
          <w:rFonts w:ascii="Arial" w:hAnsi="Arial" w:cs="Arial"/>
          <w:iCs/>
          <w:lang w:val="en"/>
        </w:rPr>
        <w:t xml:space="preserve"> 42</w:t>
      </w:r>
      <w:r>
        <w:rPr>
          <w:rFonts w:ascii="Arial" w:hAnsi="Arial" w:cs="Arial"/>
          <w:iCs/>
          <w:lang w:val="en"/>
        </w:rPr>
        <w:t>,</w:t>
      </w:r>
      <w:r w:rsidRPr="005E3077">
        <w:rPr>
          <w:rFonts w:ascii="Arial" w:hAnsi="Arial" w:cs="Arial"/>
          <w:iCs/>
          <w:lang w:val="en"/>
        </w:rPr>
        <w:t xml:space="preserve"> 10, 1295–1301.</w:t>
      </w:r>
    </w:p>
    <w:p w14:paraId="2A737548" w14:textId="7938DAA1" w:rsidR="00E41ABB" w:rsidRDefault="00E41ABB" w:rsidP="00261EEA">
      <w:pPr>
        <w:spacing w:line="276" w:lineRule="auto"/>
        <w:rPr>
          <w:rFonts w:ascii="Arial" w:hAnsi="Arial" w:cs="Arial"/>
          <w:iCs/>
        </w:rPr>
      </w:pPr>
      <w:r w:rsidRPr="00261EEA">
        <w:rPr>
          <w:rFonts w:ascii="Arial" w:hAnsi="Arial" w:cs="Arial"/>
          <w:iCs/>
        </w:rPr>
        <w:t xml:space="preserve">Taylor, I. and </w:t>
      </w:r>
      <w:proofErr w:type="spellStart"/>
      <w:r w:rsidRPr="00261EEA">
        <w:rPr>
          <w:rFonts w:ascii="Arial" w:hAnsi="Arial" w:cs="Arial"/>
          <w:iCs/>
        </w:rPr>
        <w:t>Sloman</w:t>
      </w:r>
      <w:proofErr w:type="spellEnd"/>
      <w:r w:rsidRPr="00261EEA">
        <w:rPr>
          <w:rFonts w:ascii="Arial" w:hAnsi="Arial" w:cs="Arial"/>
          <w:iCs/>
        </w:rPr>
        <w:t xml:space="preserve">, L. (2013) Reunifying Britain’s railways: obstacles and opportunities. </w:t>
      </w:r>
      <w:r w:rsidRPr="00261EEA">
        <w:rPr>
          <w:rFonts w:ascii="Arial" w:hAnsi="Arial" w:cs="Arial"/>
          <w:i/>
        </w:rPr>
        <w:t>Public Money and Management</w:t>
      </w:r>
      <w:r w:rsidRPr="00261EEA">
        <w:rPr>
          <w:rFonts w:ascii="Arial" w:hAnsi="Arial" w:cs="Arial"/>
          <w:iCs/>
        </w:rPr>
        <w:t>, 33, 5, 329-336.</w:t>
      </w:r>
    </w:p>
    <w:p w14:paraId="15285158" w14:textId="66873414" w:rsidR="00A621E6" w:rsidRDefault="00A621E6" w:rsidP="00261EEA">
      <w:pPr>
        <w:spacing w:line="276" w:lineRule="auto"/>
        <w:rPr>
          <w:rFonts w:ascii="Arial" w:hAnsi="Arial" w:cs="Arial"/>
          <w:iCs/>
        </w:rPr>
      </w:pPr>
      <w:r w:rsidRPr="00A621E6">
        <w:rPr>
          <w:rFonts w:ascii="Arial" w:hAnsi="Arial" w:cs="Arial"/>
          <w:iCs/>
        </w:rPr>
        <w:t xml:space="preserve">Van de Velde, D. and Wallis, I. (2012). ‘Regulated deregulation’ of local bus services—An appraisal of international developments. </w:t>
      </w:r>
      <w:r w:rsidRPr="004E64F7">
        <w:rPr>
          <w:rFonts w:ascii="Arial" w:hAnsi="Arial" w:cs="Arial"/>
          <w:i/>
        </w:rPr>
        <w:t>Research in Transportation Economics</w:t>
      </w:r>
      <w:r w:rsidRPr="00A621E6">
        <w:rPr>
          <w:rFonts w:ascii="Arial" w:hAnsi="Arial" w:cs="Arial"/>
          <w:iCs/>
        </w:rPr>
        <w:t>, 13, 21-33.</w:t>
      </w:r>
    </w:p>
    <w:p w14:paraId="6D8E7E9B" w14:textId="77777777" w:rsidR="004B06C9" w:rsidRPr="004B06C9" w:rsidRDefault="004B06C9" w:rsidP="004B06C9">
      <w:pPr>
        <w:spacing w:line="276" w:lineRule="auto"/>
        <w:rPr>
          <w:rFonts w:ascii="Arial" w:hAnsi="Arial" w:cs="Arial"/>
          <w:iCs/>
        </w:rPr>
      </w:pPr>
      <w:r w:rsidRPr="004B06C9">
        <w:rPr>
          <w:rFonts w:ascii="Arial" w:hAnsi="Arial" w:cs="Arial"/>
          <w:iCs/>
        </w:rPr>
        <w:t xml:space="preserve">van de Velde, D. (1999) Organisational forms and entrepreneurship in public transport. </w:t>
      </w:r>
      <w:r w:rsidRPr="004B06C9">
        <w:rPr>
          <w:rFonts w:ascii="Arial" w:hAnsi="Arial" w:cs="Arial"/>
          <w:i/>
          <w:iCs/>
        </w:rPr>
        <w:t xml:space="preserve">Transport Policy, </w:t>
      </w:r>
      <w:r w:rsidRPr="004B06C9">
        <w:rPr>
          <w:rFonts w:ascii="Arial" w:hAnsi="Arial" w:cs="Arial"/>
          <w:iCs/>
        </w:rPr>
        <w:t>6, 147-158.</w:t>
      </w:r>
    </w:p>
    <w:p w14:paraId="3C865CF4" w14:textId="76C2B356" w:rsidR="00C2581A" w:rsidRPr="00261EEA" w:rsidRDefault="00C2581A" w:rsidP="00261EEA">
      <w:pPr>
        <w:spacing w:line="276" w:lineRule="auto"/>
        <w:rPr>
          <w:rFonts w:ascii="Arial" w:hAnsi="Arial" w:cs="Arial"/>
          <w:iCs/>
        </w:rPr>
      </w:pPr>
      <w:r w:rsidRPr="00C2581A">
        <w:rPr>
          <w:rFonts w:ascii="Arial" w:hAnsi="Arial" w:cs="Arial"/>
          <w:iCs/>
        </w:rPr>
        <w:t xml:space="preserve">Villa i Aguilar, X., Rye, T., McTigue, C., &amp; Cowie, J. (2022). Bus Franchising in English and Scottish regions – viable solution or unfeasible instrument? </w:t>
      </w:r>
      <w:r w:rsidRPr="004E64F7">
        <w:rPr>
          <w:rFonts w:ascii="Arial" w:hAnsi="Arial" w:cs="Arial"/>
          <w:i/>
        </w:rPr>
        <w:t>Transport Policy</w:t>
      </w:r>
      <w:r w:rsidRPr="00C2581A">
        <w:rPr>
          <w:rFonts w:ascii="Arial" w:hAnsi="Arial" w:cs="Arial"/>
          <w:iCs/>
        </w:rPr>
        <w:t>, 120, 1-10.</w:t>
      </w:r>
    </w:p>
    <w:p w14:paraId="0BDAC564" w14:textId="64D84BAF" w:rsidR="00E41ABB" w:rsidRPr="00261EEA" w:rsidRDefault="00A364A9" w:rsidP="00261EEA">
      <w:pPr>
        <w:spacing w:line="276" w:lineRule="auto"/>
        <w:rPr>
          <w:rFonts w:ascii="Arial" w:hAnsi="Arial" w:cs="Arial"/>
          <w:iCs/>
          <w:lang w:val="en"/>
        </w:rPr>
      </w:pPr>
      <w:r w:rsidRPr="00261EEA">
        <w:rPr>
          <w:rFonts w:ascii="Arial" w:hAnsi="Arial" w:cs="Arial"/>
          <w:iCs/>
          <w:lang w:val="en"/>
        </w:rPr>
        <w:t>White, P. R. (2010). Factors behind recent bus patronage trends in Britain and their implications for future policy</w:t>
      </w:r>
      <w:r w:rsidRPr="00261EEA">
        <w:rPr>
          <w:rFonts w:ascii="Arial" w:hAnsi="Arial" w:cs="Arial"/>
          <w:i/>
          <w:lang w:val="en"/>
        </w:rPr>
        <w:t>. International Journal of Transport Economics</w:t>
      </w:r>
      <w:r w:rsidRPr="00261EEA">
        <w:rPr>
          <w:rFonts w:ascii="Arial" w:hAnsi="Arial" w:cs="Arial"/>
          <w:iCs/>
          <w:lang w:val="en"/>
        </w:rPr>
        <w:t>, 36, 13-31.</w:t>
      </w:r>
    </w:p>
    <w:p w14:paraId="20E3E2E0" w14:textId="0D22F1A9" w:rsidR="00E05D5E" w:rsidRPr="00FA5872" w:rsidRDefault="00E05D5E" w:rsidP="00261EEA">
      <w:pPr>
        <w:spacing w:line="276" w:lineRule="auto"/>
        <w:rPr>
          <w:rFonts w:ascii="Arial" w:hAnsi="Arial" w:cs="Arial"/>
        </w:rPr>
      </w:pPr>
      <w:r w:rsidRPr="00261EEA">
        <w:rPr>
          <w:rFonts w:ascii="Arial" w:hAnsi="Arial" w:cs="Arial"/>
        </w:rPr>
        <w:t xml:space="preserve">White, P.R. (2017) Prospects in Britain in the Light of the Bus Services Act 2017. </w:t>
      </w:r>
      <w:r w:rsidRPr="00261EEA">
        <w:rPr>
          <w:rFonts w:ascii="Arial" w:hAnsi="Arial" w:cs="Arial"/>
          <w:i/>
          <w:iCs/>
        </w:rPr>
        <w:t>15</w:t>
      </w:r>
      <w:r w:rsidRPr="00261EEA">
        <w:rPr>
          <w:rFonts w:ascii="Arial" w:hAnsi="Arial" w:cs="Arial"/>
          <w:i/>
          <w:iCs/>
          <w:vertAlign w:val="superscript"/>
        </w:rPr>
        <w:t>th</w:t>
      </w:r>
      <w:r w:rsidRPr="00261EEA">
        <w:rPr>
          <w:rFonts w:ascii="Arial" w:hAnsi="Arial" w:cs="Arial"/>
          <w:i/>
          <w:iCs/>
        </w:rPr>
        <w:t xml:space="preserve"> International Conference on Competition and Ownership in Passenger Transport.</w:t>
      </w:r>
      <w:r w:rsidR="00FA5872">
        <w:rPr>
          <w:rFonts w:ascii="Arial" w:hAnsi="Arial" w:cs="Arial"/>
          <w:i/>
          <w:iCs/>
        </w:rPr>
        <w:t xml:space="preserve"> </w:t>
      </w:r>
      <w:r w:rsidR="00FA5872">
        <w:rPr>
          <w:rFonts w:ascii="Arial" w:hAnsi="Arial" w:cs="Arial"/>
        </w:rPr>
        <w:t>Stockholm.</w:t>
      </w:r>
    </w:p>
    <w:p w14:paraId="7AA61024" w14:textId="47F699D9" w:rsidR="00A26615" w:rsidRDefault="00FE5F57" w:rsidP="00261EEA">
      <w:pPr>
        <w:spacing w:line="276" w:lineRule="auto"/>
        <w:rPr>
          <w:rFonts w:ascii="Arial" w:hAnsi="Arial" w:cs="Arial"/>
        </w:rPr>
      </w:pPr>
      <w:r w:rsidRPr="00261EEA">
        <w:rPr>
          <w:rFonts w:ascii="Arial" w:hAnsi="Arial" w:cs="Arial"/>
        </w:rPr>
        <w:t xml:space="preserve">White, P.R. (2022) </w:t>
      </w:r>
      <w:r w:rsidRPr="00261EEA">
        <w:rPr>
          <w:rFonts w:ascii="Arial" w:hAnsi="Arial" w:cs="Arial"/>
          <w:i/>
          <w:iCs/>
        </w:rPr>
        <w:t>The Future of the Bus. Where are we now?</w:t>
      </w:r>
      <w:r w:rsidRPr="00261EEA">
        <w:rPr>
          <w:rFonts w:ascii="Arial" w:hAnsi="Arial" w:cs="Arial"/>
        </w:rPr>
        <w:t xml:space="preserve"> Presentation to Expert Round Table. Leeds: DfT North</w:t>
      </w:r>
      <w:r w:rsidR="00FA5872">
        <w:rPr>
          <w:rFonts w:ascii="Arial" w:hAnsi="Arial" w:cs="Arial"/>
        </w:rPr>
        <w:t xml:space="preserve">. </w:t>
      </w:r>
      <w:r w:rsidRPr="00261EEA">
        <w:rPr>
          <w:rFonts w:ascii="Arial" w:hAnsi="Arial" w:cs="Arial"/>
        </w:rPr>
        <w:t>June</w:t>
      </w:r>
    </w:p>
    <w:sectPr w:rsidR="00A26615" w:rsidSect="00EF6DE1">
      <w:headerReference w:type="even" r:id="rId20"/>
      <w:headerReference w:type="default" r:id="rId21"/>
      <w:footerReference w:type="even" r:id="rId22"/>
      <w:footerReference w:type="default" r:id="rId23"/>
      <w:pgSz w:w="11906" w:h="16838"/>
      <w:pgMar w:top="1418"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D6289" w14:textId="77777777" w:rsidR="00BA769A" w:rsidRDefault="00BA769A" w:rsidP="00BA769A">
      <w:pPr>
        <w:spacing w:after="0" w:line="240" w:lineRule="auto"/>
      </w:pPr>
      <w:r>
        <w:separator/>
      </w:r>
    </w:p>
  </w:endnote>
  <w:endnote w:type="continuationSeparator" w:id="0">
    <w:p w14:paraId="0B5A5370" w14:textId="77777777" w:rsidR="00BA769A" w:rsidRDefault="00BA769A" w:rsidP="00BA7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B2DA2" w14:textId="77777777" w:rsidR="00EF6DE1" w:rsidRPr="00F40560" w:rsidRDefault="00EF6DE1" w:rsidP="00EF6DE1">
    <w:pPr>
      <w:pStyle w:val="Footer"/>
      <w:pBdr>
        <w:top w:val="single" w:sz="4" w:space="1" w:color="auto"/>
      </w:pBdr>
      <w:rPr>
        <w:rFonts w:ascii="Arial" w:hAnsi="Arial" w:cs="Arial"/>
        <w:sz w:val="18"/>
        <w:szCs w:val="18"/>
        <w:lang w:val="en-AU"/>
      </w:rPr>
    </w:pPr>
    <w:r w:rsidRPr="00F40560">
      <w:rPr>
        <w:rFonts w:ascii="Arial" w:hAnsi="Arial" w:cs="Arial"/>
        <w:sz w:val="18"/>
        <w:szCs w:val="18"/>
        <w:lang w:val="en-AU"/>
      </w:rPr>
      <w:t xml:space="preserve">Page </w:t>
    </w:r>
    <w:r w:rsidRPr="00F40560">
      <w:rPr>
        <w:rFonts w:ascii="Arial" w:hAnsi="Arial" w:cs="Arial"/>
        <w:sz w:val="18"/>
        <w:szCs w:val="18"/>
        <w:lang w:val="en-AU"/>
      </w:rPr>
      <w:fldChar w:fldCharType="begin"/>
    </w:r>
    <w:r w:rsidRPr="00F40560">
      <w:rPr>
        <w:rFonts w:ascii="Arial" w:hAnsi="Arial" w:cs="Arial"/>
        <w:sz w:val="18"/>
        <w:szCs w:val="18"/>
        <w:lang w:val="en-AU"/>
      </w:rPr>
      <w:instrText xml:space="preserve"> PAGE </w:instrText>
    </w:r>
    <w:r w:rsidRPr="00F40560">
      <w:rPr>
        <w:rFonts w:ascii="Arial" w:hAnsi="Arial" w:cs="Arial"/>
        <w:sz w:val="18"/>
        <w:szCs w:val="18"/>
        <w:lang w:val="en-AU"/>
      </w:rPr>
      <w:fldChar w:fldCharType="separate"/>
    </w:r>
    <w:r>
      <w:rPr>
        <w:rFonts w:ascii="Arial" w:hAnsi="Arial" w:cs="Arial"/>
        <w:sz w:val="18"/>
        <w:szCs w:val="18"/>
        <w:lang w:val="en-AU"/>
      </w:rPr>
      <w:t>2</w:t>
    </w:r>
    <w:r w:rsidRPr="00F40560">
      <w:rPr>
        <w:rFonts w:ascii="Arial" w:hAnsi="Arial" w:cs="Arial"/>
        <w:sz w:val="18"/>
        <w:szCs w:val="18"/>
      </w:rPr>
      <w:fldChar w:fldCharType="end"/>
    </w:r>
    <w:r w:rsidRPr="00F40560">
      <w:rPr>
        <w:rFonts w:ascii="Arial" w:hAnsi="Arial" w:cs="Arial"/>
        <w:sz w:val="18"/>
        <w:szCs w:val="18"/>
        <w:lang w:val="en-AU"/>
      </w:rPr>
      <w:t xml:space="preserve"> of </w:t>
    </w:r>
    <w:r w:rsidRPr="00F40560">
      <w:rPr>
        <w:rFonts w:ascii="Arial" w:hAnsi="Arial" w:cs="Arial"/>
        <w:sz w:val="18"/>
        <w:szCs w:val="18"/>
        <w:lang w:val="en-AU"/>
      </w:rPr>
      <w:fldChar w:fldCharType="begin"/>
    </w:r>
    <w:r w:rsidRPr="00F40560">
      <w:rPr>
        <w:rFonts w:ascii="Arial" w:hAnsi="Arial" w:cs="Arial"/>
        <w:sz w:val="18"/>
        <w:szCs w:val="18"/>
        <w:lang w:val="en-AU"/>
      </w:rPr>
      <w:instrText xml:space="preserve"> NUMPAGES  </w:instrText>
    </w:r>
    <w:r w:rsidRPr="00F40560">
      <w:rPr>
        <w:rFonts w:ascii="Arial" w:hAnsi="Arial" w:cs="Arial"/>
        <w:sz w:val="18"/>
        <w:szCs w:val="18"/>
        <w:lang w:val="en-AU"/>
      </w:rPr>
      <w:fldChar w:fldCharType="separate"/>
    </w:r>
    <w:r>
      <w:rPr>
        <w:rFonts w:ascii="Arial" w:hAnsi="Arial" w:cs="Arial"/>
        <w:sz w:val="18"/>
        <w:szCs w:val="18"/>
        <w:lang w:val="en-AU"/>
      </w:rPr>
      <w:t>9</w:t>
    </w:r>
    <w:r w:rsidRPr="00F40560">
      <w:rPr>
        <w:rFonts w:ascii="Arial" w:hAnsi="Arial" w:cs="Arial"/>
        <w:sz w:val="18"/>
        <w:szCs w:val="18"/>
      </w:rPr>
      <w:fldChar w:fldCharType="end"/>
    </w:r>
  </w:p>
  <w:p w14:paraId="493B0701" w14:textId="77777777" w:rsidR="00EF6DE1" w:rsidRDefault="00EF6D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42E22" w14:textId="77777777" w:rsidR="00EF6DE1" w:rsidRPr="00F40560" w:rsidRDefault="00EF6DE1" w:rsidP="00EF6DE1">
    <w:pPr>
      <w:pStyle w:val="Footer"/>
      <w:pBdr>
        <w:top w:val="single" w:sz="4" w:space="1" w:color="auto"/>
      </w:pBdr>
      <w:jc w:val="right"/>
      <w:rPr>
        <w:rFonts w:ascii="Arial" w:hAnsi="Arial" w:cs="Arial"/>
        <w:sz w:val="18"/>
        <w:szCs w:val="18"/>
        <w:lang w:val="en-AU"/>
      </w:rPr>
    </w:pPr>
    <w:r w:rsidRPr="00F40560">
      <w:rPr>
        <w:rFonts w:ascii="Arial" w:hAnsi="Arial" w:cs="Arial"/>
        <w:sz w:val="18"/>
        <w:szCs w:val="18"/>
        <w:lang w:val="en-AU"/>
      </w:rPr>
      <w:t xml:space="preserve">Page </w:t>
    </w:r>
    <w:r w:rsidRPr="00F40560">
      <w:rPr>
        <w:rFonts w:ascii="Arial" w:hAnsi="Arial" w:cs="Arial"/>
        <w:sz w:val="18"/>
        <w:szCs w:val="18"/>
        <w:lang w:val="en-AU"/>
      </w:rPr>
      <w:fldChar w:fldCharType="begin"/>
    </w:r>
    <w:r w:rsidRPr="00F40560">
      <w:rPr>
        <w:rFonts w:ascii="Arial" w:hAnsi="Arial" w:cs="Arial"/>
        <w:sz w:val="18"/>
        <w:szCs w:val="18"/>
        <w:lang w:val="en-AU"/>
      </w:rPr>
      <w:instrText xml:space="preserve"> PAGE </w:instrText>
    </w:r>
    <w:r w:rsidRPr="00F40560">
      <w:rPr>
        <w:rFonts w:ascii="Arial" w:hAnsi="Arial" w:cs="Arial"/>
        <w:sz w:val="18"/>
        <w:szCs w:val="18"/>
        <w:lang w:val="en-AU"/>
      </w:rPr>
      <w:fldChar w:fldCharType="separate"/>
    </w:r>
    <w:r>
      <w:rPr>
        <w:rFonts w:ascii="Arial" w:hAnsi="Arial" w:cs="Arial"/>
        <w:sz w:val="18"/>
        <w:szCs w:val="18"/>
        <w:lang w:val="en-AU"/>
      </w:rPr>
      <w:t>2</w:t>
    </w:r>
    <w:r w:rsidRPr="00F40560">
      <w:rPr>
        <w:rFonts w:ascii="Arial" w:hAnsi="Arial" w:cs="Arial"/>
        <w:sz w:val="18"/>
        <w:szCs w:val="18"/>
      </w:rPr>
      <w:fldChar w:fldCharType="end"/>
    </w:r>
    <w:r w:rsidRPr="00F40560">
      <w:rPr>
        <w:rFonts w:ascii="Arial" w:hAnsi="Arial" w:cs="Arial"/>
        <w:sz w:val="18"/>
        <w:szCs w:val="18"/>
        <w:lang w:val="en-AU"/>
      </w:rPr>
      <w:t xml:space="preserve"> of </w:t>
    </w:r>
    <w:r w:rsidRPr="00F40560">
      <w:rPr>
        <w:rFonts w:ascii="Arial" w:hAnsi="Arial" w:cs="Arial"/>
        <w:sz w:val="18"/>
        <w:szCs w:val="18"/>
        <w:lang w:val="en-AU"/>
      </w:rPr>
      <w:fldChar w:fldCharType="begin"/>
    </w:r>
    <w:r w:rsidRPr="00F40560">
      <w:rPr>
        <w:rFonts w:ascii="Arial" w:hAnsi="Arial" w:cs="Arial"/>
        <w:sz w:val="18"/>
        <w:szCs w:val="18"/>
        <w:lang w:val="en-AU"/>
      </w:rPr>
      <w:instrText xml:space="preserve"> NUMPAGES  </w:instrText>
    </w:r>
    <w:r w:rsidRPr="00F40560">
      <w:rPr>
        <w:rFonts w:ascii="Arial" w:hAnsi="Arial" w:cs="Arial"/>
        <w:sz w:val="18"/>
        <w:szCs w:val="18"/>
        <w:lang w:val="en-AU"/>
      </w:rPr>
      <w:fldChar w:fldCharType="separate"/>
    </w:r>
    <w:r>
      <w:rPr>
        <w:rFonts w:ascii="Arial" w:hAnsi="Arial" w:cs="Arial"/>
        <w:sz w:val="18"/>
        <w:szCs w:val="18"/>
        <w:lang w:val="en-AU"/>
      </w:rPr>
      <w:t>9</w:t>
    </w:r>
    <w:r w:rsidRPr="00F40560">
      <w:rPr>
        <w:rFonts w:ascii="Arial" w:hAnsi="Arial" w:cs="Arial"/>
        <w:sz w:val="18"/>
        <w:szCs w:val="18"/>
      </w:rPr>
      <w:fldChar w:fldCharType="end"/>
    </w:r>
  </w:p>
  <w:p w14:paraId="26F17343" w14:textId="6D6ADC79" w:rsidR="00EF6DE1" w:rsidRDefault="00EF6DE1">
    <w:pPr>
      <w:pStyle w:val="Footer"/>
    </w:pPr>
  </w:p>
  <w:p w14:paraId="274BB2D8" w14:textId="77777777" w:rsidR="00EF6DE1" w:rsidRDefault="00EF6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0C90E" w14:textId="77777777" w:rsidR="00BA769A" w:rsidRDefault="00BA769A" w:rsidP="00BA769A">
      <w:pPr>
        <w:spacing w:after="0" w:line="240" w:lineRule="auto"/>
      </w:pPr>
      <w:r>
        <w:separator/>
      </w:r>
    </w:p>
  </w:footnote>
  <w:footnote w:type="continuationSeparator" w:id="0">
    <w:p w14:paraId="5344A243" w14:textId="77777777" w:rsidR="00BA769A" w:rsidRDefault="00BA769A" w:rsidP="00BA769A">
      <w:pPr>
        <w:spacing w:after="0" w:line="240" w:lineRule="auto"/>
      </w:pPr>
      <w:r>
        <w:continuationSeparator/>
      </w:r>
    </w:p>
  </w:footnote>
  <w:footnote w:id="1">
    <w:p w14:paraId="683BDC52" w14:textId="77777777" w:rsidR="00EF74C2" w:rsidRDefault="00EF74C2" w:rsidP="00EF74C2">
      <w:pPr>
        <w:pStyle w:val="FootnoteText"/>
      </w:pPr>
      <w:r>
        <w:rPr>
          <w:rStyle w:val="FootnoteReference"/>
        </w:rPr>
        <w:footnoteRef/>
      </w:r>
      <w:r>
        <w:t xml:space="preserve"> </w:t>
      </w:r>
      <w:hyperlink r:id="rId1" w:history="1">
        <w:r w:rsidRPr="00F139A4">
          <w:rPr>
            <w:rStyle w:val="Hyperlink"/>
          </w:rPr>
          <w:t>https://www.gov.uk/government/statistical-data-sets/bus-partnership-schemes-bus11</w:t>
        </w:r>
      </w:hyperlink>
      <w:r>
        <w:t xml:space="preserve"> &lt;Accessed 21 June 2022&gt;</w:t>
      </w:r>
    </w:p>
  </w:footnote>
  <w:footnote w:id="2">
    <w:p w14:paraId="176B1A05" w14:textId="260C6E32" w:rsidR="007D307E" w:rsidRDefault="007D307E">
      <w:pPr>
        <w:pStyle w:val="FootnoteText"/>
      </w:pPr>
      <w:r>
        <w:rPr>
          <w:rStyle w:val="FootnoteReference"/>
        </w:rPr>
        <w:footnoteRef/>
      </w:r>
      <w:r>
        <w:t xml:space="preserve"> </w:t>
      </w:r>
      <w:hyperlink r:id="rId2" w:history="1">
        <w:r w:rsidRPr="00676E4B">
          <w:rPr>
            <w:rStyle w:val="Hyperlink"/>
          </w:rPr>
          <w:t>http://www.passengertransport.co.uk/2019/08/pm-i-will-transform-bus-services/</w:t>
        </w:r>
      </w:hyperlink>
      <w:r>
        <w:t xml:space="preserve"> &lt;</w:t>
      </w:r>
      <w:r w:rsidR="00DE71F2">
        <w:t xml:space="preserve">Accessed </w:t>
      </w:r>
      <w:r w:rsidR="003D1E25">
        <w:t>29</w:t>
      </w:r>
      <w:r>
        <w:t xml:space="preserve"> June 2022&gt;</w:t>
      </w:r>
    </w:p>
  </w:footnote>
  <w:footnote w:id="3">
    <w:p w14:paraId="339A64FC" w14:textId="2272ED2B" w:rsidR="00BA769A" w:rsidRDefault="00BA769A">
      <w:pPr>
        <w:pStyle w:val="FootnoteText"/>
      </w:pPr>
      <w:r>
        <w:rPr>
          <w:rStyle w:val="FootnoteReference"/>
        </w:rPr>
        <w:footnoteRef/>
      </w:r>
      <w:r>
        <w:t xml:space="preserve"> </w:t>
      </w:r>
      <w:hyperlink r:id="rId3" w:history="1">
        <w:r w:rsidRPr="00F139A4">
          <w:rPr>
            <w:rStyle w:val="Hyperlink"/>
          </w:rPr>
          <w:t>https://www.gov.uk/government/news/cheaper-and-better-buses-in-7-billion-package-to-level-up-transport-outside-london</w:t>
        </w:r>
      </w:hyperlink>
      <w:r>
        <w:t xml:space="preserve"> &lt;Accessed 2</w:t>
      </w:r>
      <w:r w:rsidR="00D37039">
        <w:t>6</w:t>
      </w:r>
      <w:r>
        <w:t xml:space="preserve"> June 2022</w:t>
      </w:r>
      <w:r w:rsidR="00D37039">
        <w:t>&gt;</w:t>
      </w:r>
    </w:p>
  </w:footnote>
  <w:footnote w:id="4">
    <w:p w14:paraId="1FD3272A" w14:textId="3E7E4284" w:rsidR="003D1E25" w:rsidRDefault="003D1E25">
      <w:pPr>
        <w:pStyle w:val="FootnoteText"/>
      </w:pPr>
      <w:r>
        <w:rPr>
          <w:rStyle w:val="FootnoteReference"/>
        </w:rPr>
        <w:footnoteRef/>
      </w:r>
      <w:r>
        <w:t xml:space="preserve"> </w:t>
      </w:r>
      <w:hyperlink r:id="rId4" w:history="1">
        <w:r w:rsidRPr="00676E4B">
          <w:rPr>
            <w:rStyle w:val="Hyperlink"/>
          </w:rPr>
          <w:t>https://www.route-one.net/opinion/a-funding-fault-line-runs-through-the-national-bus-strategy/</w:t>
        </w:r>
      </w:hyperlink>
      <w:r>
        <w:t xml:space="preserve"> &lt;Accessed 29 June 2022&gt;</w:t>
      </w:r>
    </w:p>
  </w:footnote>
  <w:footnote w:id="5">
    <w:p w14:paraId="498D0F52" w14:textId="0FA47FDE" w:rsidR="006E7A18" w:rsidRDefault="006E7A18">
      <w:pPr>
        <w:pStyle w:val="FootnoteText"/>
      </w:pPr>
      <w:r>
        <w:rPr>
          <w:rStyle w:val="FootnoteReference"/>
        </w:rPr>
        <w:footnoteRef/>
      </w:r>
      <w:r>
        <w:t xml:space="preserve"> </w:t>
      </w:r>
      <w:r w:rsidRPr="006E7A18">
        <w:t>In May 2022, Rail Partners was formed to continue advocacy and policy activities previously undertaken by RDG on behalf of members, in advance of RDG’s transfer to Great British Railways in 2024.</w:t>
      </w:r>
    </w:p>
  </w:footnote>
  <w:footnote w:id="6">
    <w:p w14:paraId="1DA975A8" w14:textId="0F862D9D" w:rsidR="0011545F" w:rsidRDefault="0011545F">
      <w:pPr>
        <w:pStyle w:val="FootnoteText"/>
      </w:pPr>
      <w:r>
        <w:rPr>
          <w:rStyle w:val="FootnoteReference"/>
        </w:rPr>
        <w:footnoteRef/>
      </w:r>
      <w:r>
        <w:t xml:space="preserve"> See </w:t>
      </w:r>
      <w:hyperlink r:id="rId5" w:history="1">
        <w:r w:rsidRPr="00991CA3">
          <w:rPr>
            <w:rStyle w:val="Hyperlink"/>
          </w:rPr>
          <w:t>https://www.gov.uk/government/publications/queens-speech-2022-background-briefing-notes</w:t>
        </w:r>
      </w:hyperlink>
      <w:r>
        <w:t xml:space="preserve"> &lt;Accessed 27 June 2022&gt;</w:t>
      </w:r>
    </w:p>
  </w:footnote>
  <w:footnote w:id="7">
    <w:p w14:paraId="633DC41D" w14:textId="5B1E5907" w:rsidR="006018E0" w:rsidRDefault="006018E0">
      <w:pPr>
        <w:pStyle w:val="FootnoteText"/>
      </w:pPr>
      <w:r>
        <w:rPr>
          <w:rStyle w:val="FootnoteReference"/>
        </w:rPr>
        <w:footnoteRef/>
      </w:r>
      <w:r>
        <w:t xml:space="preserve"> See </w:t>
      </w:r>
      <w:hyperlink r:id="rId6" w:history="1">
        <w:r w:rsidRPr="00F139A4">
          <w:rPr>
            <w:rStyle w:val="Hyperlink"/>
          </w:rPr>
          <w:t>https://gbrtt.co.uk/wisp/</w:t>
        </w:r>
      </w:hyperlink>
      <w:r>
        <w:t xml:space="preserve"> &lt;Accessed 27 June 2022&gt;</w:t>
      </w:r>
    </w:p>
  </w:footnote>
  <w:footnote w:id="8">
    <w:p w14:paraId="5C9A5765" w14:textId="027B0955" w:rsidR="00206FAF" w:rsidRDefault="00206FAF">
      <w:pPr>
        <w:pStyle w:val="FootnoteText"/>
      </w:pPr>
      <w:r>
        <w:rPr>
          <w:rStyle w:val="FootnoteReference"/>
        </w:rPr>
        <w:footnoteRef/>
      </w:r>
      <w:r>
        <w:t xml:space="preserve"> CBSSG was replace by Bus Recovery Grant </w:t>
      </w:r>
      <w:r w:rsidR="00B45E53">
        <w:t xml:space="preserve">(BRG) </w:t>
      </w:r>
      <w:r>
        <w:t xml:space="preserve">in September 2021 and </w:t>
      </w:r>
      <w:r w:rsidR="00982A94">
        <w:t xml:space="preserve">was initially planned to </w:t>
      </w:r>
      <w:r>
        <w:t>operate up to October 2022</w:t>
      </w:r>
      <w:r w:rsidR="001052D5">
        <w:t xml:space="preserve"> (subsequently extended</w:t>
      </w:r>
      <w:r w:rsidR="000F2317">
        <w:t xml:space="preserve"> </w:t>
      </w:r>
      <w:r w:rsidR="001052D5">
        <w:t xml:space="preserve"> to the end of March 2023 and then to the end of June 2023)</w:t>
      </w:r>
      <w:r>
        <w:t>. Reviews of the national concessionary fare scheme and of BSOG are also underway at the time of writing.</w:t>
      </w:r>
    </w:p>
  </w:footnote>
  <w:footnote w:id="9">
    <w:p w14:paraId="37CFBC8F" w14:textId="7C93AAA9" w:rsidR="00D84F16" w:rsidRDefault="00D84F16">
      <w:pPr>
        <w:pStyle w:val="FootnoteText"/>
      </w:pPr>
      <w:r>
        <w:rPr>
          <w:rStyle w:val="FootnoteReference"/>
        </w:rPr>
        <w:footnoteRef/>
      </w:r>
      <w:r>
        <w:t xml:space="preserve"> The conurbations centred on Birmingham, Leeds, Liverpool, Manchester, Newcastle and Sheffield.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DDC4B" w14:textId="7071C40E" w:rsidR="00EF74C2" w:rsidRPr="006A2A58" w:rsidRDefault="00EF74C2" w:rsidP="00EF74C2">
    <w:pPr>
      <w:pStyle w:val="Header"/>
      <w:pBdr>
        <w:bottom w:val="single" w:sz="4" w:space="1" w:color="auto"/>
      </w:pBdr>
      <w:rPr>
        <w:rFonts w:ascii="Arial" w:hAnsi="Arial" w:cs="Arial"/>
      </w:rPr>
    </w:pPr>
    <w:r>
      <w:rPr>
        <w:rFonts w:ascii="Arial" w:hAnsi="Arial" w:cs="Arial"/>
      </w:rPr>
      <w:t>All Things Must Pass</w:t>
    </w:r>
    <w:r w:rsidRPr="006A2A58">
      <w:rPr>
        <w:rFonts w:ascii="Arial" w:hAnsi="Arial" w:cs="Arial"/>
      </w:rPr>
      <w:t>?</w:t>
    </w:r>
  </w:p>
  <w:p w14:paraId="202F9F79" w14:textId="0C347642" w:rsidR="00EF6DE1" w:rsidRPr="00EF74C2" w:rsidRDefault="00EF6DE1" w:rsidP="00EF74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31FD7" w14:textId="7AB983DC" w:rsidR="00EF74C2" w:rsidRPr="006A2A58" w:rsidRDefault="00EF74C2" w:rsidP="00EF74C2">
    <w:pPr>
      <w:pStyle w:val="Header"/>
      <w:pBdr>
        <w:bottom w:val="single" w:sz="4" w:space="1" w:color="auto"/>
      </w:pBdr>
      <w:jc w:val="right"/>
      <w:rPr>
        <w:rFonts w:ascii="Arial" w:hAnsi="Arial" w:cs="Arial"/>
      </w:rPr>
    </w:pPr>
    <w:r>
      <w:rPr>
        <w:rFonts w:ascii="Arial" w:hAnsi="Arial" w:cs="Arial"/>
      </w:rPr>
      <w:t>All Things Must Pass</w:t>
    </w:r>
    <w:r w:rsidRPr="006A2A58">
      <w:rPr>
        <w:rFonts w:ascii="Arial" w:hAnsi="Arial" w:cs="Arial"/>
      </w:rPr>
      <w:t>?</w:t>
    </w:r>
  </w:p>
  <w:p w14:paraId="1843C797" w14:textId="577B3BD4" w:rsidR="00EF6DE1" w:rsidRPr="00EF74C2" w:rsidRDefault="00EF6DE1" w:rsidP="00EF74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35878"/>
    <w:multiLevelType w:val="hybridMultilevel"/>
    <w:tmpl w:val="856AC444"/>
    <w:lvl w:ilvl="0" w:tplc="E81E73D4">
      <w:start w:val="1"/>
      <w:numFmt w:val="decimal"/>
      <w:lvlText w:val="%1."/>
      <w:lvlJc w:val="left"/>
      <w:pPr>
        <w:tabs>
          <w:tab w:val="num" w:pos="720"/>
        </w:tabs>
        <w:ind w:left="720" w:hanging="360"/>
      </w:pPr>
    </w:lvl>
    <w:lvl w:ilvl="1" w:tplc="FAE271FA" w:tentative="1">
      <w:start w:val="1"/>
      <w:numFmt w:val="decimal"/>
      <w:lvlText w:val="%2."/>
      <w:lvlJc w:val="left"/>
      <w:pPr>
        <w:tabs>
          <w:tab w:val="num" w:pos="1440"/>
        </w:tabs>
        <w:ind w:left="1440" w:hanging="360"/>
      </w:pPr>
    </w:lvl>
    <w:lvl w:ilvl="2" w:tplc="244AB290" w:tentative="1">
      <w:start w:val="1"/>
      <w:numFmt w:val="decimal"/>
      <w:lvlText w:val="%3."/>
      <w:lvlJc w:val="left"/>
      <w:pPr>
        <w:tabs>
          <w:tab w:val="num" w:pos="2160"/>
        </w:tabs>
        <w:ind w:left="2160" w:hanging="360"/>
      </w:pPr>
    </w:lvl>
    <w:lvl w:ilvl="3" w:tplc="B5BA4406" w:tentative="1">
      <w:start w:val="1"/>
      <w:numFmt w:val="decimal"/>
      <w:lvlText w:val="%4."/>
      <w:lvlJc w:val="left"/>
      <w:pPr>
        <w:tabs>
          <w:tab w:val="num" w:pos="2880"/>
        </w:tabs>
        <w:ind w:left="2880" w:hanging="360"/>
      </w:pPr>
    </w:lvl>
    <w:lvl w:ilvl="4" w:tplc="234A4646" w:tentative="1">
      <w:start w:val="1"/>
      <w:numFmt w:val="decimal"/>
      <w:lvlText w:val="%5."/>
      <w:lvlJc w:val="left"/>
      <w:pPr>
        <w:tabs>
          <w:tab w:val="num" w:pos="3600"/>
        </w:tabs>
        <w:ind w:left="3600" w:hanging="360"/>
      </w:pPr>
    </w:lvl>
    <w:lvl w:ilvl="5" w:tplc="41DCECCC" w:tentative="1">
      <w:start w:val="1"/>
      <w:numFmt w:val="decimal"/>
      <w:lvlText w:val="%6."/>
      <w:lvlJc w:val="left"/>
      <w:pPr>
        <w:tabs>
          <w:tab w:val="num" w:pos="4320"/>
        </w:tabs>
        <w:ind w:left="4320" w:hanging="360"/>
      </w:pPr>
    </w:lvl>
    <w:lvl w:ilvl="6" w:tplc="F24006BA" w:tentative="1">
      <w:start w:val="1"/>
      <w:numFmt w:val="decimal"/>
      <w:lvlText w:val="%7."/>
      <w:lvlJc w:val="left"/>
      <w:pPr>
        <w:tabs>
          <w:tab w:val="num" w:pos="5040"/>
        </w:tabs>
        <w:ind w:left="5040" w:hanging="360"/>
      </w:pPr>
    </w:lvl>
    <w:lvl w:ilvl="7" w:tplc="781A18E8" w:tentative="1">
      <w:start w:val="1"/>
      <w:numFmt w:val="decimal"/>
      <w:lvlText w:val="%8."/>
      <w:lvlJc w:val="left"/>
      <w:pPr>
        <w:tabs>
          <w:tab w:val="num" w:pos="5760"/>
        </w:tabs>
        <w:ind w:left="5760" w:hanging="360"/>
      </w:pPr>
    </w:lvl>
    <w:lvl w:ilvl="8" w:tplc="E6668092" w:tentative="1">
      <w:start w:val="1"/>
      <w:numFmt w:val="decimal"/>
      <w:lvlText w:val="%9."/>
      <w:lvlJc w:val="left"/>
      <w:pPr>
        <w:tabs>
          <w:tab w:val="num" w:pos="6480"/>
        </w:tabs>
        <w:ind w:left="6480" w:hanging="360"/>
      </w:pPr>
    </w:lvl>
  </w:abstractNum>
  <w:abstractNum w:abstractNumId="1" w15:restartNumberingAfterBreak="0">
    <w:nsid w:val="246D2FC9"/>
    <w:multiLevelType w:val="hybridMultilevel"/>
    <w:tmpl w:val="CC521428"/>
    <w:lvl w:ilvl="0" w:tplc="AF70FDCC">
      <w:start w:val="1"/>
      <w:numFmt w:val="bullet"/>
      <w:lvlText w:val="•"/>
      <w:lvlJc w:val="left"/>
      <w:pPr>
        <w:tabs>
          <w:tab w:val="num" w:pos="720"/>
        </w:tabs>
        <w:ind w:left="720" w:hanging="360"/>
      </w:pPr>
      <w:rPr>
        <w:rFonts w:ascii="Times New Roman" w:hAnsi="Times New Roman" w:hint="default"/>
      </w:rPr>
    </w:lvl>
    <w:lvl w:ilvl="1" w:tplc="46E08AB0" w:tentative="1">
      <w:start w:val="1"/>
      <w:numFmt w:val="bullet"/>
      <w:lvlText w:val="•"/>
      <w:lvlJc w:val="left"/>
      <w:pPr>
        <w:tabs>
          <w:tab w:val="num" w:pos="1440"/>
        </w:tabs>
        <w:ind w:left="1440" w:hanging="360"/>
      </w:pPr>
      <w:rPr>
        <w:rFonts w:ascii="Times New Roman" w:hAnsi="Times New Roman" w:hint="default"/>
      </w:rPr>
    </w:lvl>
    <w:lvl w:ilvl="2" w:tplc="1276A0AA" w:tentative="1">
      <w:start w:val="1"/>
      <w:numFmt w:val="bullet"/>
      <w:lvlText w:val="•"/>
      <w:lvlJc w:val="left"/>
      <w:pPr>
        <w:tabs>
          <w:tab w:val="num" w:pos="2160"/>
        </w:tabs>
        <w:ind w:left="2160" w:hanging="360"/>
      </w:pPr>
      <w:rPr>
        <w:rFonts w:ascii="Times New Roman" w:hAnsi="Times New Roman" w:hint="default"/>
      </w:rPr>
    </w:lvl>
    <w:lvl w:ilvl="3" w:tplc="18C0C0A6" w:tentative="1">
      <w:start w:val="1"/>
      <w:numFmt w:val="bullet"/>
      <w:lvlText w:val="•"/>
      <w:lvlJc w:val="left"/>
      <w:pPr>
        <w:tabs>
          <w:tab w:val="num" w:pos="2880"/>
        </w:tabs>
        <w:ind w:left="2880" w:hanging="360"/>
      </w:pPr>
      <w:rPr>
        <w:rFonts w:ascii="Times New Roman" w:hAnsi="Times New Roman" w:hint="default"/>
      </w:rPr>
    </w:lvl>
    <w:lvl w:ilvl="4" w:tplc="5608D214" w:tentative="1">
      <w:start w:val="1"/>
      <w:numFmt w:val="bullet"/>
      <w:lvlText w:val="•"/>
      <w:lvlJc w:val="left"/>
      <w:pPr>
        <w:tabs>
          <w:tab w:val="num" w:pos="3600"/>
        </w:tabs>
        <w:ind w:left="3600" w:hanging="360"/>
      </w:pPr>
      <w:rPr>
        <w:rFonts w:ascii="Times New Roman" w:hAnsi="Times New Roman" w:hint="default"/>
      </w:rPr>
    </w:lvl>
    <w:lvl w:ilvl="5" w:tplc="EB7C9EA2" w:tentative="1">
      <w:start w:val="1"/>
      <w:numFmt w:val="bullet"/>
      <w:lvlText w:val="•"/>
      <w:lvlJc w:val="left"/>
      <w:pPr>
        <w:tabs>
          <w:tab w:val="num" w:pos="4320"/>
        </w:tabs>
        <w:ind w:left="4320" w:hanging="360"/>
      </w:pPr>
      <w:rPr>
        <w:rFonts w:ascii="Times New Roman" w:hAnsi="Times New Roman" w:hint="default"/>
      </w:rPr>
    </w:lvl>
    <w:lvl w:ilvl="6" w:tplc="4814BD1C" w:tentative="1">
      <w:start w:val="1"/>
      <w:numFmt w:val="bullet"/>
      <w:lvlText w:val="•"/>
      <w:lvlJc w:val="left"/>
      <w:pPr>
        <w:tabs>
          <w:tab w:val="num" w:pos="5040"/>
        </w:tabs>
        <w:ind w:left="5040" w:hanging="360"/>
      </w:pPr>
      <w:rPr>
        <w:rFonts w:ascii="Times New Roman" w:hAnsi="Times New Roman" w:hint="default"/>
      </w:rPr>
    </w:lvl>
    <w:lvl w:ilvl="7" w:tplc="6B761B26" w:tentative="1">
      <w:start w:val="1"/>
      <w:numFmt w:val="bullet"/>
      <w:lvlText w:val="•"/>
      <w:lvlJc w:val="left"/>
      <w:pPr>
        <w:tabs>
          <w:tab w:val="num" w:pos="5760"/>
        </w:tabs>
        <w:ind w:left="5760" w:hanging="360"/>
      </w:pPr>
      <w:rPr>
        <w:rFonts w:ascii="Times New Roman" w:hAnsi="Times New Roman" w:hint="default"/>
      </w:rPr>
    </w:lvl>
    <w:lvl w:ilvl="8" w:tplc="DE285ED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6D85975"/>
    <w:multiLevelType w:val="hybridMultilevel"/>
    <w:tmpl w:val="3BCA43A8"/>
    <w:lvl w:ilvl="0" w:tplc="DC16C198">
      <w:start w:val="1"/>
      <w:numFmt w:val="bullet"/>
      <w:lvlText w:val="•"/>
      <w:lvlJc w:val="left"/>
      <w:pPr>
        <w:tabs>
          <w:tab w:val="num" w:pos="720"/>
        </w:tabs>
        <w:ind w:left="720" w:hanging="360"/>
      </w:pPr>
      <w:rPr>
        <w:rFonts w:ascii="Times New Roman" w:hAnsi="Times New Roman" w:hint="default"/>
      </w:rPr>
    </w:lvl>
    <w:lvl w:ilvl="1" w:tplc="61F45558" w:tentative="1">
      <w:start w:val="1"/>
      <w:numFmt w:val="bullet"/>
      <w:lvlText w:val="•"/>
      <w:lvlJc w:val="left"/>
      <w:pPr>
        <w:tabs>
          <w:tab w:val="num" w:pos="1440"/>
        </w:tabs>
        <w:ind w:left="1440" w:hanging="360"/>
      </w:pPr>
      <w:rPr>
        <w:rFonts w:ascii="Times New Roman" w:hAnsi="Times New Roman" w:hint="default"/>
      </w:rPr>
    </w:lvl>
    <w:lvl w:ilvl="2" w:tplc="9D7402F0" w:tentative="1">
      <w:start w:val="1"/>
      <w:numFmt w:val="bullet"/>
      <w:lvlText w:val="•"/>
      <w:lvlJc w:val="left"/>
      <w:pPr>
        <w:tabs>
          <w:tab w:val="num" w:pos="2160"/>
        </w:tabs>
        <w:ind w:left="2160" w:hanging="360"/>
      </w:pPr>
      <w:rPr>
        <w:rFonts w:ascii="Times New Roman" w:hAnsi="Times New Roman" w:hint="default"/>
      </w:rPr>
    </w:lvl>
    <w:lvl w:ilvl="3" w:tplc="27568F30" w:tentative="1">
      <w:start w:val="1"/>
      <w:numFmt w:val="bullet"/>
      <w:lvlText w:val="•"/>
      <w:lvlJc w:val="left"/>
      <w:pPr>
        <w:tabs>
          <w:tab w:val="num" w:pos="2880"/>
        </w:tabs>
        <w:ind w:left="2880" w:hanging="360"/>
      </w:pPr>
      <w:rPr>
        <w:rFonts w:ascii="Times New Roman" w:hAnsi="Times New Roman" w:hint="default"/>
      </w:rPr>
    </w:lvl>
    <w:lvl w:ilvl="4" w:tplc="91BC82EC" w:tentative="1">
      <w:start w:val="1"/>
      <w:numFmt w:val="bullet"/>
      <w:lvlText w:val="•"/>
      <w:lvlJc w:val="left"/>
      <w:pPr>
        <w:tabs>
          <w:tab w:val="num" w:pos="3600"/>
        </w:tabs>
        <w:ind w:left="3600" w:hanging="360"/>
      </w:pPr>
      <w:rPr>
        <w:rFonts w:ascii="Times New Roman" w:hAnsi="Times New Roman" w:hint="default"/>
      </w:rPr>
    </w:lvl>
    <w:lvl w:ilvl="5" w:tplc="3AC26D5C" w:tentative="1">
      <w:start w:val="1"/>
      <w:numFmt w:val="bullet"/>
      <w:lvlText w:val="•"/>
      <w:lvlJc w:val="left"/>
      <w:pPr>
        <w:tabs>
          <w:tab w:val="num" w:pos="4320"/>
        </w:tabs>
        <w:ind w:left="4320" w:hanging="360"/>
      </w:pPr>
      <w:rPr>
        <w:rFonts w:ascii="Times New Roman" w:hAnsi="Times New Roman" w:hint="default"/>
      </w:rPr>
    </w:lvl>
    <w:lvl w:ilvl="6" w:tplc="DAC65D46" w:tentative="1">
      <w:start w:val="1"/>
      <w:numFmt w:val="bullet"/>
      <w:lvlText w:val="•"/>
      <w:lvlJc w:val="left"/>
      <w:pPr>
        <w:tabs>
          <w:tab w:val="num" w:pos="5040"/>
        </w:tabs>
        <w:ind w:left="5040" w:hanging="360"/>
      </w:pPr>
      <w:rPr>
        <w:rFonts w:ascii="Times New Roman" w:hAnsi="Times New Roman" w:hint="default"/>
      </w:rPr>
    </w:lvl>
    <w:lvl w:ilvl="7" w:tplc="B7FA7060" w:tentative="1">
      <w:start w:val="1"/>
      <w:numFmt w:val="bullet"/>
      <w:lvlText w:val="•"/>
      <w:lvlJc w:val="left"/>
      <w:pPr>
        <w:tabs>
          <w:tab w:val="num" w:pos="5760"/>
        </w:tabs>
        <w:ind w:left="5760" w:hanging="360"/>
      </w:pPr>
      <w:rPr>
        <w:rFonts w:ascii="Times New Roman" w:hAnsi="Times New Roman" w:hint="default"/>
      </w:rPr>
    </w:lvl>
    <w:lvl w:ilvl="8" w:tplc="8CD6639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4CFC3575"/>
    <w:multiLevelType w:val="hybridMultilevel"/>
    <w:tmpl w:val="0024B44C"/>
    <w:lvl w:ilvl="0" w:tplc="4B54485C">
      <w:start w:val="1"/>
      <w:numFmt w:val="bullet"/>
      <w:lvlText w:val="•"/>
      <w:lvlJc w:val="left"/>
      <w:pPr>
        <w:tabs>
          <w:tab w:val="num" w:pos="720"/>
        </w:tabs>
        <w:ind w:left="720" w:hanging="360"/>
      </w:pPr>
      <w:rPr>
        <w:rFonts w:ascii="Times New Roman" w:hAnsi="Times New Roman" w:hint="default"/>
      </w:rPr>
    </w:lvl>
    <w:lvl w:ilvl="1" w:tplc="809A1668" w:tentative="1">
      <w:start w:val="1"/>
      <w:numFmt w:val="bullet"/>
      <w:lvlText w:val="•"/>
      <w:lvlJc w:val="left"/>
      <w:pPr>
        <w:tabs>
          <w:tab w:val="num" w:pos="1440"/>
        </w:tabs>
        <w:ind w:left="1440" w:hanging="360"/>
      </w:pPr>
      <w:rPr>
        <w:rFonts w:ascii="Times New Roman" w:hAnsi="Times New Roman" w:hint="default"/>
      </w:rPr>
    </w:lvl>
    <w:lvl w:ilvl="2" w:tplc="013CA344" w:tentative="1">
      <w:start w:val="1"/>
      <w:numFmt w:val="bullet"/>
      <w:lvlText w:val="•"/>
      <w:lvlJc w:val="left"/>
      <w:pPr>
        <w:tabs>
          <w:tab w:val="num" w:pos="2160"/>
        </w:tabs>
        <w:ind w:left="2160" w:hanging="360"/>
      </w:pPr>
      <w:rPr>
        <w:rFonts w:ascii="Times New Roman" w:hAnsi="Times New Roman" w:hint="default"/>
      </w:rPr>
    </w:lvl>
    <w:lvl w:ilvl="3" w:tplc="E2AC9CBA" w:tentative="1">
      <w:start w:val="1"/>
      <w:numFmt w:val="bullet"/>
      <w:lvlText w:val="•"/>
      <w:lvlJc w:val="left"/>
      <w:pPr>
        <w:tabs>
          <w:tab w:val="num" w:pos="2880"/>
        </w:tabs>
        <w:ind w:left="2880" w:hanging="360"/>
      </w:pPr>
      <w:rPr>
        <w:rFonts w:ascii="Times New Roman" w:hAnsi="Times New Roman" w:hint="default"/>
      </w:rPr>
    </w:lvl>
    <w:lvl w:ilvl="4" w:tplc="1750B264" w:tentative="1">
      <w:start w:val="1"/>
      <w:numFmt w:val="bullet"/>
      <w:lvlText w:val="•"/>
      <w:lvlJc w:val="left"/>
      <w:pPr>
        <w:tabs>
          <w:tab w:val="num" w:pos="3600"/>
        </w:tabs>
        <w:ind w:left="3600" w:hanging="360"/>
      </w:pPr>
      <w:rPr>
        <w:rFonts w:ascii="Times New Roman" w:hAnsi="Times New Roman" w:hint="default"/>
      </w:rPr>
    </w:lvl>
    <w:lvl w:ilvl="5" w:tplc="4AB09060" w:tentative="1">
      <w:start w:val="1"/>
      <w:numFmt w:val="bullet"/>
      <w:lvlText w:val="•"/>
      <w:lvlJc w:val="left"/>
      <w:pPr>
        <w:tabs>
          <w:tab w:val="num" w:pos="4320"/>
        </w:tabs>
        <w:ind w:left="4320" w:hanging="360"/>
      </w:pPr>
      <w:rPr>
        <w:rFonts w:ascii="Times New Roman" w:hAnsi="Times New Roman" w:hint="default"/>
      </w:rPr>
    </w:lvl>
    <w:lvl w:ilvl="6" w:tplc="29AE7F64" w:tentative="1">
      <w:start w:val="1"/>
      <w:numFmt w:val="bullet"/>
      <w:lvlText w:val="•"/>
      <w:lvlJc w:val="left"/>
      <w:pPr>
        <w:tabs>
          <w:tab w:val="num" w:pos="5040"/>
        </w:tabs>
        <w:ind w:left="5040" w:hanging="360"/>
      </w:pPr>
      <w:rPr>
        <w:rFonts w:ascii="Times New Roman" w:hAnsi="Times New Roman" w:hint="default"/>
      </w:rPr>
    </w:lvl>
    <w:lvl w:ilvl="7" w:tplc="8320FECA" w:tentative="1">
      <w:start w:val="1"/>
      <w:numFmt w:val="bullet"/>
      <w:lvlText w:val="•"/>
      <w:lvlJc w:val="left"/>
      <w:pPr>
        <w:tabs>
          <w:tab w:val="num" w:pos="5760"/>
        </w:tabs>
        <w:ind w:left="5760" w:hanging="360"/>
      </w:pPr>
      <w:rPr>
        <w:rFonts w:ascii="Times New Roman" w:hAnsi="Times New Roman" w:hint="default"/>
      </w:rPr>
    </w:lvl>
    <w:lvl w:ilvl="8" w:tplc="1F185CF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5D013E26"/>
    <w:multiLevelType w:val="multilevel"/>
    <w:tmpl w:val="E9169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D295B5A"/>
    <w:multiLevelType w:val="hybridMultilevel"/>
    <w:tmpl w:val="C5A00796"/>
    <w:lvl w:ilvl="0" w:tplc="471C531A">
      <w:start w:val="2"/>
      <w:numFmt w:val="decimal"/>
      <w:lvlText w:val="%1."/>
      <w:lvlJc w:val="left"/>
      <w:pPr>
        <w:tabs>
          <w:tab w:val="num" w:pos="720"/>
        </w:tabs>
        <w:ind w:left="720" w:hanging="360"/>
      </w:pPr>
    </w:lvl>
    <w:lvl w:ilvl="1" w:tplc="A4B89C30" w:tentative="1">
      <w:start w:val="1"/>
      <w:numFmt w:val="decimal"/>
      <w:lvlText w:val="%2."/>
      <w:lvlJc w:val="left"/>
      <w:pPr>
        <w:tabs>
          <w:tab w:val="num" w:pos="1440"/>
        </w:tabs>
        <w:ind w:left="1440" w:hanging="360"/>
      </w:pPr>
    </w:lvl>
    <w:lvl w:ilvl="2" w:tplc="8CFAC820" w:tentative="1">
      <w:start w:val="1"/>
      <w:numFmt w:val="decimal"/>
      <w:lvlText w:val="%3."/>
      <w:lvlJc w:val="left"/>
      <w:pPr>
        <w:tabs>
          <w:tab w:val="num" w:pos="2160"/>
        </w:tabs>
        <w:ind w:left="2160" w:hanging="360"/>
      </w:pPr>
    </w:lvl>
    <w:lvl w:ilvl="3" w:tplc="0EFAF566" w:tentative="1">
      <w:start w:val="1"/>
      <w:numFmt w:val="decimal"/>
      <w:lvlText w:val="%4."/>
      <w:lvlJc w:val="left"/>
      <w:pPr>
        <w:tabs>
          <w:tab w:val="num" w:pos="2880"/>
        </w:tabs>
        <w:ind w:left="2880" w:hanging="360"/>
      </w:pPr>
    </w:lvl>
    <w:lvl w:ilvl="4" w:tplc="E60846D2" w:tentative="1">
      <w:start w:val="1"/>
      <w:numFmt w:val="decimal"/>
      <w:lvlText w:val="%5."/>
      <w:lvlJc w:val="left"/>
      <w:pPr>
        <w:tabs>
          <w:tab w:val="num" w:pos="3600"/>
        </w:tabs>
        <w:ind w:left="3600" w:hanging="360"/>
      </w:pPr>
    </w:lvl>
    <w:lvl w:ilvl="5" w:tplc="366297AA" w:tentative="1">
      <w:start w:val="1"/>
      <w:numFmt w:val="decimal"/>
      <w:lvlText w:val="%6."/>
      <w:lvlJc w:val="left"/>
      <w:pPr>
        <w:tabs>
          <w:tab w:val="num" w:pos="4320"/>
        </w:tabs>
        <w:ind w:left="4320" w:hanging="360"/>
      </w:pPr>
    </w:lvl>
    <w:lvl w:ilvl="6" w:tplc="ECD8CC80" w:tentative="1">
      <w:start w:val="1"/>
      <w:numFmt w:val="decimal"/>
      <w:lvlText w:val="%7."/>
      <w:lvlJc w:val="left"/>
      <w:pPr>
        <w:tabs>
          <w:tab w:val="num" w:pos="5040"/>
        </w:tabs>
        <w:ind w:left="5040" w:hanging="360"/>
      </w:pPr>
    </w:lvl>
    <w:lvl w:ilvl="7" w:tplc="FE8A859A" w:tentative="1">
      <w:start w:val="1"/>
      <w:numFmt w:val="decimal"/>
      <w:lvlText w:val="%8."/>
      <w:lvlJc w:val="left"/>
      <w:pPr>
        <w:tabs>
          <w:tab w:val="num" w:pos="5760"/>
        </w:tabs>
        <w:ind w:left="5760" w:hanging="360"/>
      </w:pPr>
    </w:lvl>
    <w:lvl w:ilvl="8" w:tplc="0F1E309A" w:tentative="1">
      <w:start w:val="1"/>
      <w:numFmt w:val="decimal"/>
      <w:lvlText w:val="%9."/>
      <w:lvlJc w:val="left"/>
      <w:pPr>
        <w:tabs>
          <w:tab w:val="num" w:pos="6480"/>
        </w:tabs>
        <w:ind w:left="6480" w:hanging="360"/>
      </w:pPr>
    </w:lvl>
  </w:abstractNum>
  <w:num w:numId="1" w16cid:durableId="1076321930">
    <w:abstractNumId w:val="3"/>
  </w:num>
  <w:num w:numId="2" w16cid:durableId="1481311586">
    <w:abstractNumId w:val="1"/>
  </w:num>
  <w:num w:numId="3" w16cid:durableId="1041437531">
    <w:abstractNumId w:val="2"/>
  </w:num>
  <w:num w:numId="4" w16cid:durableId="1066992253">
    <w:abstractNumId w:val="0"/>
  </w:num>
  <w:num w:numId="5" w16cid:durableId="1848133455">
    <w:abstractNumId w:val="5"/>
  </w:num>
  <w:num w:numId="6" w16cid:durableId="6197982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8"/>
  <w:proofState w:spelling="clean" w:grammar="clean"/>
  <w:trackRevision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3CE"/>
    <w:rsid w:val="00020E20"/>
    <w:rsid w:val="00033A9F"/>
    <w:rsid w:val="00036A1E"/>
    <w:rsid w:val="00045894"/>
    <w:rsid w:val="000666FB"/>
    <w:rsid w:val="00084E46"/>
    <w:rsid w:val="00093379"/>
    <w:rsid w:val="000A4E7F"/>
    <w:rsid w:val="000B5BE6"/>
    <w:rsid w:val="000C2D35"/>
    <w:rsid w:val="000E7D90"/>
    <w:rsid w:val="000F2317"/>
    <w:rsid w:val="001052D5"/>
    <w:rsid w:val="0011545F"/>
    <w:rsid w:val="00134035"/>
    <w:rsid w:val="00142DB0"/>
    <w:rsid w:val="001456AF"/>
    <w:rsid w:val="00193B24"/>
    <w:rsid w:val="001A3201"/>
    <w:rsid w:val="001B55F5"/>
    <w:rsid w:val="001B5ADF"/>
    <w:rsid w:val="001B78F0"/>
    <w:rsid w:val="001C0E4B"/>
    <w:rsid w:val="001C76D7"/>
    <w:rsid w:val="001E1BFE"/>
    <w:rsid w:val="001E4BDE"/>
    <w:rsid w:val="001E6174"/>
    <w:rsid w:val="001E61F4"/>
    <w:rsid w:val="001E7F1A"/>
    <w:rsid w:val="00206FAF"/>
    <w:rsid w:val="00212D78"/>
    <w:rsid w:val="0021544A"/>
    <w:rsid w:val="00261EEA"/>
    <w:rsid w:val="00263E2D"/>
    <w:rsid w:val="00275F52"/>
    <w:rsid w:val="0029319D"/>
    <w:rsid w:val="002B37A1"/>
    <w:rsid w:val="002B6D85"/>
    <w:rsid w:val="002E3AAB"/>
    <w:rsid w:val="002F469B"/>
    <w:rsid w:val="00304A2D"/>
    <w:rsid w:val="0034611B"/>
    <w:rsid w:val="00355457"/>
    <w:rsid w:val="00372219"/>
    <w:rsid w:val="003767B6"/>
    <w:rsid w:val="003A28F5"/>
    <w:rsid w:val="003A4D1E"/>
    <w:rsid w:val="003C4362"/>
    <w:rsid w:val="003C61ED"/>
    <w:rsid w:val="003D1E25"/>
    <w:rsid w:val="003D77D4"/>
    <w:rsid w:val="00434498"/>
    <w:rsid w:val="004364AE"/>
    <w:rsid w:val="00452499"/>
    <w:rsid w:val="00470CA3"/>
    <w:rsid w:val="00486AC1"/>
    <w:rsid w:val="004B06C9"/>
    <w:rsid w:val="004B4C3F"/>
    <w:rsid w:val="004B5DB1"/>
    <w:rsid w:val="004B69C2"/>
    <w:rsid w:val="004E0DA8"/>
    <w:rsid w:val="004E64F7"/>
    <w:rsid w:val="004F0C37"/>
    <w:rsid w:val="004F351C"/>
    <w:rsid w:val="0050110A"/>
    <w:rsid w:val="00501E19"/>
    <w:rsid w:val="005071E6"/>
    <w:rsid w:val="00546ABF"/>
    <w:rsid w:val="00587A4B"/>
    <w:rsid w:val="005D21A7"/>
    <w:rsid w:val="005D259D"/>
    <w:rsid w:val="005D794C"/>
    <w:rsid w:val="005E3077"/>
    <w:rsid w:val="006018E0"/>
    <w:rsid w:val="00606224"/>
    <w:rsid w:val="00620705"/>
    <w:rsid w:val="006259FB"/>
    <w:rsid w:val="006268EF"/>
    <w:rsid w:val="00683BC7"/>
    <w:rsid w:val="006A416F"/>
    <w:rsid w:val="006E1616"/>
    <w:rsid w:val="006E1ECF"/>
    <w:rsid w:val="006E7A18"/>
    <w:rsid w:val="006F010C"/>
    <w:rsid w:val="00713EB8"/>
    <w:rsid w:val="00714378"/>
    <w:rsid w:val="00721726"/>
    <w:rsid w:val="00760352"/>
    <w:rsid w:val="00770395"/>
    <w:rsid w:val="0077636D"/>
    <w:rsid w:val="007840CD"/>
    <w:rsid w:val="007959EF"/>
    <w:rsid w:val="007A3882"/>
    <w:rsid w:val="007B639D"/>
    <w:rsid w:val="007C4398"/>
    <w:rsid w:val="007C49AF"/>
    <w:rsid w:val="007D307E"/>
    <w:rsid w:val="007F2C61"/>
    <w:rsid w:val="00834BC3"/>
    <w:rsid w:val="00841EA4"/>
    <w:rsid w:val="008737F0"/>
    <w:rsid w:val="00875867"/>
    <w:rsid w:val="0087726D"/>
    <w:rsid w:val="00881059"/>
    <w:rsid w:val="00881D6A"/>
    <w:rsid w:val="00882906"/>
    <w:rsid w:val="00892D3E"/>
    <w:rsid w:val="008957EF"/>
    <w:rsid w:val="008B6A18"/>
    <w:rsid w:val="008C3E60"/>
    <w:rsid w:val="008D6F39"/>
    <w:rsid w:val="008F5BF6"/>
    <w:rsid w:val="009503C9"/>
    <w:rsid w:val="009753B1"/>
    <w:rsid w:val="00982A94"/>
    <w:rsid w:val="009B2989"/>
    <w:rsid w:val="009C59A0"/>
    <w:rsid w:val="009D0A82"/>
    <w:rsid w:val="009D2692"/>
    <w:rsid w:val="009D6BE6"/>
    <w:rsid w:val="009F338E"/>
    <w:rsid w:val="009F59DF"/>
    <w:rsid w:val="00A26615"/>
    <w:rsid w:val="00A30ECD"/>
    <w:rsid w:val="00A31C6F"/>
    <w:rsid w:val="00A35A95"/>
    <w:rsid w:val="00A364A9"/>
    <w:rsid w:val="00A513CE"/>
    <w:rsid w:val="00A621E6"/>
    <w:rsid w:val="00A91172"/>
    <w:rsid w:val="00A96789"/>
    <w:rsid w:val="00AD0922"/>
    <w:rsid w:val="00AD3453"/>
    <w:rsid w:val="00AD5793"/>
    <w:rsid w:val="00AE0DA0"/>
    <w:rsid w:val="00B21CDF"/>
    <w:rsid w:val="00B34EB3"/>
    <w:rsid w:val="00B4566E"/>
    <w:rsid w:val="00B45E53"/>
    <w:rsid w:val="00B524AA"/>
    <w:rsid w:val="00B549BE"/>
    <w:rsid w:val="00B91874"/>
    <w:rsid w:val="00B9640A"/>
    <w:rsid w:val="00B97A92"/>
    <w:rsid w:val="00BA1E0A"/>
    <w:rsid w:val="00BA5236"/>
    <w:rsid w:val="00BA769A"/>
    <w:rsid w:val="00BB240D"/>
    <w:rsid w:val="00BB6800"/>
    <w:rsid w:val="00BC69BE"/>
    <w:rsid w:val="00BD1918"/>
    <w:rsid w:val="00C06355"/>
    <w:rsid w:val="00C2581A"/>
    <w:rsid w:val="00C310FD"/>
    <w:rsid w:val="00C3598C"/>
    <w:rsid w:val="00C4240F"/>
    <w:rsid w:val="00C54C4A"/>
    <w:rsid w:val="00C638E1"/>
    <w:rsid w:val="00C851F8"/>
    <w:rsid w:val="00CE0CC1"/>
    <w:rsid w:val="00D0564E"/>
    <w:rsid w:val="00D11BCF"/>
    <w:rsid w:val="00D332B9"/>
    <w:rsid w:val="00D37039"/>
    <w:rsid w:val="00D4650C"/>
    <w:rsid w:val="00D528D7"/>
    <w:rsid w:val="00D60E41"/>
    <w:rsid w:val="00D60F3B"/>
    <w:rsid w:val="00D65F4C"/>
    <w:rsid w:val="00D66DCC"/>
    <w:rsid w:val="00D671E2"/>
    <w:rsid w:val="00D73561"/>
    <w:rsid w:val="00D81253"/>
    <w:rsid w:val="00D82F9A"/>
    <w:rsid w:val="00D84F16"/>
    <w:rsid w:val="00D93BF2"/>
    <w:rsid w:val="00DE71F2"/>
    <w:rsid w:val="00E05D5E"/>
    <w:rsid w:val="00E26779"/>
    <w:rsid w:val="00E41ABB"/>
    <w:rsid w:val="00E432AE"/>
    <w:rsid w:val="00E60D63"/>
    <w:rsid w:val="00E91757"/>
    <w:rsid w:val="00ED23D2"/>
    <w:rsid w:val="00EE7FDD"/>
    <w:rsid w:val="00EF6406"/>
    <w:rsid w:val="00EF6DE1"/>
    <w:rsid w:val="00EF74C2"/>
    <w:rsid w:val="00F06E61"/>
    <w:rsid w:val="00F112F2"/>
    <w:rsid w:val="00F30843"/>
    <w:rsid w:val="00F35720"/>
    <w:rsid w:val="00F359A1"/>
    <w:rsid w:val="00F43BE9"/>
    <w:rsid w:val="00F60F1C"/>
    <w:rsid w:val="00FA2052"/>
    <w:rsid w:val="00FA4FBF"/>
    <w:rsid w:val="00FA5872"/>
    <w:rsid w:val="00FA76B1"/>
    <w:rsid w:val="00FE5F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4DA16"/>
  <w15:chartTrackingRefBased/>
  <w15:docId w15:val="{46CC3303-6672-4BDA-B85E-C7B997B7F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11B"/>
    <w:rPr>
      <w:color w:val="0563C1" w:themeColor="hyperlink"/>
      <w:u w:val="single"/>
    </w:rPr>
  </w:style>
  <w:style w:type="character" w:styleId="UnresolvedMention">
    <w:name w:val="Unresolved Mention"/>
    <w:basedOn w:val="DefaultParagraphFont"/>
    <w:uiPriority w:val="99"/>
    <w:semiHidden/>
    <w:unhideWhenUsed/>
    <w:rsid w:val="0034611B"/>
    <w:rPr>
      <w:color w:val="605E5C"/>
      <w:shd w:val="clear" w:color="auto" w:fill="E1DFDD"/>
    </w:rPr>
  </w:style>
  <w:style w:type="paragraph" w:styleId="NormalWeb">
    <w:name w:val="Normal (Web)"/>
    <w:basedOn w:val="Normal"/>
    <w:uiPriority w:val="99"/>
    <w:semiHidden/>
    <w:unhideWhenUsed/>
    <w:rsid w:val="007C49AF"/>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BA76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769A"/>
    <w:rPr>
      <w:sz w:val="20"/>
      <w:szCs w:val="20"/>
    </w:rPr>
  </w:style>
  <w:style w:type="character" w:styleId="FootnoteReference">
    <w:name w:val="footnote reference"/>
    <w:basedOn w:val="DefaultParagraphFont"/>
    <w:uiPriority w:val="99"/>
    <w:semiHidden/>
    <w:unhideWhenUsed/>
    <w:rsid w:val="00BA769A"/>
    <w:rPr>
      <w:vertAlign w:val="superscript"/>
    </w:rPr>
  </w:style>
  <w:style w:type="paragraph" w:styleId="ListParagraph">
    <w:name w:val="List Paragraph"/>
    <w:basedOn w:val="Normal"/>
    <w:uiPriority w:val="34"/>
    <w:qFormat/>
    <w:rsid w:val="003D77D4"/>
    <w:pPr>
      <w:ind w:left="720"/>
      <w:contextualSpacing/>
    </w:pPr>
  </w:style>
  <w:style w:type="table" w:styleId="TableGrid">
    <w:name w:val="Table Grid"/>
    <w:basedOn w:val="TableNormal"/>
    <w:uiPriority w:val="39"/>
    <w:rsid w:val="00E432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84E46"/>
    <w:rPr>
      <w:sz w:val="16"/>
      <w:szCs w:val="16"/>
    </w:rPr>
  </w:style>
  <w:style w:type="paragraph" w:styleId="CommentText">
    <w:name w:val="annotation text"/>
    <w:basedOn w:val="Normal"/>
    <w:link w:val="CommentTextChar"/>
    <w:uiPriority w:val="99"/>
    <w:semiHidden/>
    <w:unhideWhenUsed/>
    <w:rsid w:val="00084E46"/>
    <w:pPr>
      <w:spacing w:line="240" w:lineRule="auto"/>
    </w:pPr>
    <w:rPr>
      <w:sz w:val="20"/>
      <w:szCs w:val="20"/>
    </w:rPr>
  </w:style>
  <w:style w:type="character" w:customStyle="1" w:styleId="CommentTextChar">
    <w:name w:val="Comment Text Char"/>
    <w:basedOn w:val="DefaultParagraphFont"/>
    <w:link w:val="CommentText"/>
    <w:uiPriority w:val="99"/>
    <w:semiHidden/>
    <w:rsid w:val="00084E46"/>
    <w:rPr>
      <w:sz w:val="20"/>
      <w:szCs w:val="20"/>
    </w:rPr>
  </w:style>
  <w:style w:type="paragraph" w:styleId="CommentSubject">
    <w:name w:val="annotation subject"/>
    <w:basedOn w:val="CommentText"/>
    <w:next w:val="CommentText"/>
    <w:link w:val="CommentSubjectChar"/>
    <w:uiPriority w:val="99"/>
    <w:semiHidden/>
    <w:unhideWhenUsed/>
    <w:rsid w:val="00084E46"/>
    <w:rPr>
      <w:b/>
      <w:bCs/>
    </w:rPr>
  </w:style>
  <w:style w:type="character" w:customStyle="1" w:styleId="CommentSubjectChar">
    <w:name w:val="Comment Subject Char"/>
    <w:basedOn w:val="CommentTextChar"/>
    <w:link w:val="CommentSubject"/>
    <w:uiPriority w:val="99"/>
    <w:semiHidden/>
    <w:rsid w:val="00084E46"/>
    <w:rPr>
      <w:b/>
      <w:bCs/>
      <w:sz w:val="20"/>
      <w:szCs w:val="20"/>
    </w:rPr>
  </w:style>
  <w:style w:type="paragraph" w:styleId="Header">
    <w:name w:val="header"/>
    <w:basedOn w:val="Normal"/>
    <w:link w:val="HeaderChar"/>
    <w:uiPriority w:val="99"/>
    <w:unhideWhenUsed/>
    <w:rsid w:val="00EF6D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6DE1"/>
  </w:style>
  <w:style w:type="paragraph" w:styleId="Footer">
    <w:name w:val="footer"/>
    <w:basedOn w:val="Normal"/>
    <w:link w:val="FooterChar"/>
    <w:uiPriority w:val="99"/>
    <w:unhideWhenUsed/>
    <w:rsid w:val="00EF6D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6DE1"/>
  </w:style>
  <w:style w:type="paragraph" w:styleId="Revision">
    <w:name w:val="Revision"/>
    <w:hidden/>
    <w:uiPriority w:val="99"/>
    <w:semiHidden/>
    <w:rsid w:val="001C76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99130">
      <w:bodyDiv w:val="1"/>
      <w:marLeft w:val="0"/>
      <w:marRight w:val="0"/>
      <w:marTop w:val="0"/>
      <w:marBottom w:val="0"/>
      <w:divBdr>
        <w:top w:val="none" w:sz="0" w:space="0" w:color="auto"/>
        <w:left w:val="none" w:sz="0" w:space="0" w:color="auto"/>
        <w:bottom w:val="none" w:sz="0" w:space="0" w:color="auto"/>
        <w:right w:val="none" w:sz="0" w:space="0" w:color="auto"/>
      </w:divBdr>
    </w:div>
    <w:div w:id="141237098">
      <w:bodyDiv w:val="1"/>
      <w:marLeft w:val="0"/>
      <w:marRight w:val="0"/>
      <w:marTop w:val="0"/>
      <w:marBottom w:val="0"/>
      <w:divBdr>
        <w:top w:val="none" w:sz="0" w:space="0" w:color="auto"/>
        <w:left w:val="none" w:sz="0" w:space="0" w:color="auto"/>
        <w:bottom w:val="none" w:sz="0" w:space="0" w:color="auto"/>
        <w:right w:val="none" w:sz="0" w:space="0" w:color="auto"/>
      </w:divBdr>
    </w:div>
    <w:div w:id="169024803">
      <w:bodyDiv w:val="1"/>
      <w:marLeft w:val="0"/>
      <w:marRight w:val="0"/>
      <w:marTop w:val="0"/>
      <w:marBottom w:val="0"/>
      <w:divBdr>
        <w:top w:val="none" w:sz="0" w:space="0" w:color="auto"/>
        <w:left w:val="none" w:sz="0" w:space="0" w:color="auto"/>
        <w:bottom w:val="none" w:sz="0" w:space="0" w:color="auto"/>
        <w:right w:val="none" w:sz="0" w:space="0" w:color="auto"/>
      </w:divBdr>
    </w:div>
    <w:div w:id="194318264">
      <w:bodyDiv w:val="1"/>
      <w:marLeft w:val="0"/>
      <w:marRight w:val="0"/>
      <w:marTop w:val="0"/>
      <w:marBottom w:val="0"/>
      <w:divBdr>
        <w:top w:val="none" w:sz="0" w:space="0" w:color="auto"/>
        <w:left w:val="none" w:sz="0" w:space="0" w:color="auto"/>
        <w:bottom w:val="none" w:sz="0" w:space="0" w:color="auto"/>
        <w:right w:val="none" w:sz="0" w:space="0" w:color="auto"/>
      </w:divBdr>
    </w:div>
    <w:div w:id="219632853">
      <w:bodyDiv w:val="1"/>
      <w:marLeft w:val="0"/>
      <w:marRight w:val="0"/>
      <w:marTop w:val="0"/>
      <w:marBottom w:val="0"/>
      <w:divBdr>
        <w:top w:val="none" w:sz="0" w:space="0" w:color="auto"/>
        <w:left w:val="none" w:sz="0" w:space="0" w:color="auto"/>
        <w:bottom w:val="none" w:sz="0" w:space="0" w:color="auto"/>
        <w:right w:val="none" w:sz="0" w:space="0" w:color="auto"/>
      </w:divBdr>
    </w:div>
    <w:div w:id="229079538">
      <w:bodyDiv w:val="1"/>
      <w:marLeft w:val="0"/>
      <w:marRight w:val="0"/>
      <w:marTop w:val="0"/>
      <w:marBottom w:val="0"/>
      <w:divBdr>
        <w:top w:val="none" w:sz="0" w:space="0" w:color="auto"/>
        <w:left w:val="none" w:sz="0" w:space="0" w:color="auto"/>
        <w:bottom w:val="none" w:sz="0" w:space="0" w:color="auto"/>
        <w:right w:val="none" w:sz="0" w:space="0" w:color="auto"/>
      </w:divBdr>
      <w:divsChild>
        <w:div w:id="1766923913">
          <w:marLeft w:val="965"/>
          <w:marRight w:val="0"/>
          <w:marTop w:val="0"/>
          <w:marBottom w:val="336"/>
          <w:divBdr>
            <w:top w:val="none" w:sz="0" w:space="0" w:color="auto"/>
            <w:left w:val="none" w:sz="0" w:space="0" w:color="auto"/>
            <w:bottom w:val="none" w:sz="0" w:space="0" w:color="auto"/>
            <w:right w:val="none" w:sz="0" w:space="0" w:color="auto"/>
          </w:divBdr>
        </w:div>
        <w:div w:id="590898810">
          <w:marLeft w:val="965"/>
          <w:marRight w:val="0"/>
          <w:marTop w:val="0"/>
          <w:marBottom w:val="336"/>
          <w:divBdr>
            <w:top w:val="none" w:sz="0" w:space="0" w:color="auto"/>
            <w:left w:val="none" w:sz="0" w:space="0" w:color="auto"/>
            <w:bottom w:val="none" w:sz="0" w:space="0" w:color="auto"/>
            <w:right w:val="none" w:sz="0" w:space="0" w:color="auto"/>
          </w:divBdr>
        </w:div>
      </w:divsChild>
    </w:div>
    <w:div w:id="309600683">
      <w:bodyDiv w:val="1"/>
      <w:marLeft w:val="0"/>
      <w:marRight w:val="0"/>
      <w:marTop w:val="0"/>
      <w:marBottom w:val="0"/>
      <w:divBdr>
        <w:top w:val="none" w:sz="0" w:space="0" w:color="auto"/>
        <w:left w:val="none" w:sz="0" w:space="0" w:color="auto"/>
        <w:bottom w:val="none" w:sz="0" w:space="0" w:color="auto"/>
        <w:right w:val="none" w:sz="0" w:space="0" w:color="auto"/>
      </w:divBdr>
    </w:div>
    <w:div w:id="342628653">
      <w:bodyDiv w:val="1"/>
      <w:marLeft w:val="0"/>
      <w:marRight w:val="0"/>
      <w:marTop w:val="0"/>
      <w:marBottom w:val="0"/>
      <w:divBdr>
        <w:top w:val="none" w:sz="0" w:space="0" w:color="auto"/>
        <w:left w:val="none" w:sz="0" w:space="0" w:color="auto"/>
        <w:bottom w:val="none" w:sz="0" w:space="0" w:color="auto"/>
        <w:right w:val="none" w:sz="0" w:space="0" w:color="auto"/>
      </w:divBdr>
    </w:div>
    <w:div w:id="573904104">
      <w:bodyDiv w:val="1"/>
      <w:marLeft w:val="0"/>
      <w:marRight w:val="0"/>
      <w:marTop w:val="0"/>
      <w:marBottom w:val="0"/>
      <w:divBdr>
        <w:top w:val="none" w:sz="0" w:space="0" w:color="auto"/>
        <w:left w:val="none" w:sz="0" w:space="0" w:color="auto"/>
        <w:bottom w:val="none" w:sz="0" w:space="0" w:color="auto"/>
        <w:right w:val="none" w:sz="0" w:space="0" w:color="auto"/>
      </w:divBdr>
    </w:div>
    <w:div w:id="643047517">
      <w:bodyDiv w:val="1"/>
      <w:marLeft w:val="0"/>
      <w:marRight w:val="0"/>
      <w:marTop w:val="0"/>
      <w:marBottom w:val="0"/>
      <w:divBdr>
        <w:top w:val="none" w:sz="0" w:space="0" w:color="auto"/>
        <w:left w:val="none" w:sz="0" w:space="0" w:color="auto"/>
        <w:bottom w:val="none" w:sz="0" w:space="0" w:color="auto"/>
        <w:right w:val="none" w:sz="0" w:space="0" w:color="auto"/>
      </w:divBdr>
      <w:divsChild>
        <w:div w:id="24213206">
          <w:marLeft w:val="547"/>
          <w:marRight w:val="0"/>
          <w:marTop w:val="0"/>
          <w:marBottom w:val="403"/>
          <w:divBdr>
            <w:top w:val="none" w:sz="0" w:space="0" w:color="auto"/>
            <w:left w:val="none" w:sz="0" w:space="0" w:color="auto"/>
            <w:bottom w:val="none" w:sz="0" w:space="0" w:color="auto"/>
            <w:right w:val="none" w:sz="0" w:space="0" w:color="auto"/>
          </w:divBdr>
        </w:div>
        <w:div w:id="62798036">
          <w:marLeft w:val="547"/>
          <w:marRight w:val="0"/>
          <w:marTop w:val="0"/>
          <w:marBottom w:val="403"/>
          <w:divBdr>
            <w:top w:val="none" w:sz="0" w:space="0" w:color="auto"/>
            <w:left w:val="none" w:sz="0" w:space="0" w:color="auto"/>
            <w:bottom w:val="none" w:sz="0" w:space="0" w:color="auto"/>
            <w:right w:val="none" w:sz="0" w:space="0" w:color="auto"/>
          </w:divBdr>
        </w:div>
        <w:div w:id="2124498299">
          <w:marLeft w:val="547"/>
          <w:marRight w:val="0"/>
          <w:marTop w:val="0"/>
          <w:marBottom w:val="403"/>
          <w:divBdr>
            <w:top w:val="none" w:sz="0" w:space="0" w:color="auto"/>
            <w:left w:val="none" w:sz="0" w:space="0" w:color="auto"/>
            <w:bottom w:val="none" w:sz="0" w:space="0" w:color="auto"/>
            <w:right w:val="none" w:sz="0" w:space="0" w:color="auto"/>
          </w:divBdr>
        </w:div>
      </w:divsChild>
    </w:div>
    <w:div w:id="677653684">
      <w:bodyDiv w:val="1"/>
      <w:marLeft w:val="0"/>
      <w:marRight w:val="0"/>
      <w:marTop w:val="0"/>
      <w:marBottom w:val="0"/>
      <w:divBdr>
        <w:top w:val="none" w:sz="0" w:space="0" w:color="auto"/>
        <w:left w:val="none" w:sz="0" w:space="0" w:color="auto"/>
        <w:bottom w:val="none" w:sz="0" w:space="0" w:color="auto"/>
        <w:right w:val="none" w:sz="0" w:space="0" w:color="auto"/>
      </w:divBdr>
    </w:div>
    <w:div w:id="798303926">
      <w:bodyDiv w:val="1"/>
      <w:marLeft w:val="0"/>
      <w:marRight w:val="0"/>
      <w:marTop w:val="0"/>
      <w:marBottom w:val="0"/>
      <w:divBdr>
        <w:top w:val="none" w:sz="0" w:space="0" w:color="auto"/>
        <w:left w:val="none" w:sz="0" w:space="0" w:color="auto"/>
        <w:bottom w:val="none" w:sz="0" w:space="0" w:color="auto"/>
        <w:right w:val="none" w:sz="0" w:space="0" w:color="auto"/>
      </w:divBdr>
    </w:div>
    <w:div w:id="820195583">
      <w:bodyDiv w:val="1"/>
      <w:marLeft w:val="0"/>
      <w:marRight w:val="0"/>
      <w:marTop w:val="0"/>
      <w:marBottom w:val="0"/>
      <w:divBdr>
        <w:top w:val="none" w:sz="0" w:space="0" w:color="auto"/>
        <w:left w:val="none" w:sz="0" w:space="0" w:color="auto"/>
        <w:bottom w:val="none" w:sz="0" w:space="0" w:color="auto"/>
        <w:right w:val="none" w:sz="0" w:space="0" w:color="auto"/>
      </w:divBdr>
    </w:div>
    <w:div w:id="868832725">
      <w:bodyDiv w:val="1"/>
      <w:marLeft w:val="0"/>
      <w:marRight w:val="0"/>
      <w:marTop w:val="0"/>
      <w:marBottom w:val="0"/>
      <w:divBdr>
        <w:top w:val="none" w:sz="0" w:space="0" w:color="auto"/>
        <w:left w:val="none" w:sz="0" w:space="0" w:color="auto"/>
        <w:bottom w:val="none" w:sz="0" w:space="0" w:color="auto"/>
        <w:right w:val="none" w:sz="0" w:space="0" w:color="auto"/>
      </w:divBdr>
      <w:divsChild>
        <w:div w:id="1499465876">
          <w:marLeft w:val="547"/>
          <w:marRight w:val="0"/>
          <w:marTop w:val="0"/>
          <w:marBottom w:val="0"/>
          <w:divBdr>
            <w:top w:val="none" w:sz="0" w:space="0" w:color="auto"/>
            <w:left w:val="none" w:sz="0" w:space="0" w:color="auto"/>
            <w:bottom w:val="none" w:sz="0" w:space="0" w:color="auto"/>
            <w:right w:val="none" w:sz="0" w:space="0" w:color="auto"/>
          </w:divBdr>
        </w:div>
        <w:div w:id="1675717554">
          <w:marLeft w:val="547"/>
          <w:marRight w:val="0"/>
          <w:marTop w:val="0"/>
          <w:marBottom w:val="0"/>
          <w:divBdr>
            <w:top w:val="none" w:sz="0" w:space="0" w:color="auto"/>
            <w:left w:val="none" w:sz="0" w:space="0" w:color="auto"/>
            <w:bottom w:val="none" w:sz="0" w:space="0" w:color="auto"/>
            <w:right w:val="none" w:sz="0" w:space="0" w:color="auto"/>
          </w:divBdr>
        </w:div>
        <w:div w:id="686713794">
          <w:marLeft w:val="547"/>
          <w:marRight w:val="0"/>
          <w:marTop w:val="0"/>
          <w:marBottom w:val="302"/>
          <w:divBdr>
            <w:top w:val="none" w:sz="0" w:space="0" w:color="auto"/>
            <w:left w:val="none" w:sz="0" w:space="0" w:color="auto"/>
            <w:bottom w:val="none" w:sz="0" w:space="0" w:color="auto"/>
            <w:right w:val="none" w:sz="0" w:space="0" w:color="auto"/>
          </w:divBdr>
        </w:div>
        <w:div w:id="521282922">
          <w:marLeft w:val="547"/>
          <w:marRight w:val="0"/>
          <w:marTop w:val="0"/>
          <w:marBottom w:val="302"/>
          <w:divBdr>
            <w:top w:val="none" w:sz="0" w:space="0" w:color="auto"/>
            <w:left w:val="none" w:sz="0" w:space="0" w:color="auto"/>
            <w:bottom w:val="none" w:sz="0" w:space="0" w:color="auto"/>
            <w:right w:val="none" w:sz="0" w:space="0" w:color="auto"/>
          </w:divBdr>
        </w:div>
        <w:div w:id="273948122">
          <w:marLeft w:val="547"/>
          <w:marRight w:val="0"/>
          <w:marTop w:val="0"/>
          <w:marBottom w:val="302"/>
          <w:divBdr>
            <w:top w:val="none" w:sz="0" w:space="0" w:color="auto"/>
            <w:left w:val="none" w:sz="0" w:space="0" w:color="auto"/>
            <w:bottom w:val="none" w:sz="0" w:space="0" w:color="auto"/>
            <w:right w:val="none" w:sz="0" w:space="0" w:color="auto"/>
          </w:divBdr>
        </w:div>
      </w:divsChild>
    </w:div>
    <w:div w:id="971785433">
      <w:bodyDiv w:val="1"/>
      <w:marLeft w:val="0"/>
      <w:marRight w:val="0"/>
      <w:marTop w:val="0"/>
      <w:marBottom w:val="0"/>
      <w:divBdr>
        <w:top w:val="none" w:sz="0" w:space="0" w:color="auto"/>
        <w:left w:val="none" w:sz="0" w:space="0" w:color="auto"/>
        <w:bottom w:val="none" w:sz="0" w:space="0" w:color="auto"/>
        <w:right w:val="none" w:sz="0" w:space="0" w:color="auto"/>
      </w:divBdr>
    </w:div>
    <w:div w:id="1039010286">
      <w:bodyDiv w:val="1"/>
      <w:marLeft w:val="0"/>
      <w:marRight w:val="0"/>
      <w:marTop w:val="0"/>
      <w:marBottom w:val="0"/>
      <w:divBdr>
        <w:top w:val="none" w:sz="0" w:space="0" w:color="auto"/>
        <w:left w:val="none" w:sz="0" w:space="0" w:color="auto"/>
        <w:bottom w:val="none" w:sz="0" w:space="0" w:color="auto"/>
        <w:right w:val="none" w:sz="0" w:space="0" w:color="auto"/>
      </w:divBdr>
    </w:div>
    <w:div w:id="1097797192">
      <w:bodyDiv w:val="1"/>
      <w:marLeft w:val="0"/>
      <w:marRight w:val="0"/>
      <w:marTop w:val="0"/>
      <w:marBottom w:val="0"/>
      <w:divBdr>
        <w:top w:val="none" w:sz="0" w:space="0" w:color="auto"/>
        <w:left w:val="none" w:sz="0" w:space="0" w:color="auto"/>
        <w:bottom w:val="none" w:sz="0" w:space="0" w:color="auto"/>
        <w:right w:val="none" w:sz="0" w:space="0" w:color="auto"/>
      </w:divBdr>
    </w:div>
    <w:div w:id="1099178855">
      <w:bodyDiv w:val="1"/>
      <w:marLeft w:val="0"/>
      <w:marRight w:val="0"/>
      <w:marTop w:val="0"/>
      <w:marBottom w:val="0"/>
      <w:divBdr>
        <w:top w:val="none" w:sz="0" w:space="0" w:color="auto"/>
        <w:left w:val="none" w:sz="0" w:space="0" w:color="auto"/>
        <w:bottom w:val="none" w:sz="0" w:space="0" w:color="auto"/>
        <w:right w:val="none" w:sz="0" w:space="0" w:color="auto"/>
      </w:divBdr>
    </w:div>
    <w:div w:id="1182014086">
      <w:bodyDiv w:val="1"/>
      <w:marLeft w:val="0"/>
      <w:marRight w:val="0"/>
      <w:marTop w:val="0"/>
      <w:marBottom w:val="0"/>
      <w:divBdr>
        <w:top w:val="none" w:sz="0" w:space="0" w:color="auto"/>
        <w:left w:val="none" w:sz="0" w:space="0" w:color="auto"/>
        <w:bottom w:val="none" w:sz="0" w:space="0" w:color="auto"/>
        <w:right w:val="none" w:sz="0" w:space="0" w:color="auto"/>
      </w:divBdr>
    </w:div>
    <w:div w:id="1242639458">
      <w:bodyDiv w:val="1"/>
      <w:marLeft w:val="0"/>
      <w:marRight w:val="0"/>
      <w:marTop w:val="0"/>
      <w:marBottom w:val="0"/>
      <w:divBdr>
        <w:top w:val="none" w:sz="0" w:space="0" w:color="auto"/>
        <w:left w:val="none" w:sz="0" w:space="0" w:color="auto"/>
        <w:bottom w:val="none" w:sz="0" w:space="0" w:color="auto"/>
        <w:right w:val="none" w:sz="0" w:space="0" w:color="auto"/>
      </w:divBdr>
    </w:div>
    <w:div w:id="1409427653">
      <w:bodyDiv w:val="1"/>
      <w:marLeft w:val="0"/>
      <w:marRight w:val="0"/>
      <w:marTop w:val="0"/>
      <w:marBottom w:val="0"/>
      <w:divBdr>
        <w:top w:val="none" w:sz="0" w:space="0" w:color="auto"/>
        <w:left w:val="none" w:sz="0" w:space="0" w:color="auto"/>
        <w:bottom w:val="none" w:sz="0" w:space="0" w:color="auto"/>
        <w:right w:val="none" w:sz="0" w:space="0" w:color="auto"/>
      </w:divBdr>
    </w:div>
    <w:div w:id="1619800464">
      <w:bodyDiv w:val="1"/>
      <w:marLeft w:val="0"/>
      <w:marRight w:val="0"/>
      <w:marTop w:val="0"/>
      <w:marBottom w:val="0"/>
      <w:divBdr>
        <w:top w:val="none" w:sz="0" w:space="0" w:color="auto"/>
        <w:left w:val="none" w:sz="0" w:space="0" w:color="auto"/>
        <w:bottom w:val="none" w:sz="0" w:space="0" w:color="auto"/>
        <w:right w:val="none" w:sz="0" w:space="0" w:color="auto"/>
      </w:divBdr>
    </w:div>
    <w:div w:id="1689985859">
      <w:bodyDiv w:val="1"/>
      <w:marLeft w:val="0"/>
      <w:marRight w:val="0"/>
      <w:marTop w:val="0"/>
      <w:marBottom w:val="0"/>
      <w:divBdr>
        <w:top w:val="none" w:sz="0" w:space="0" w:color="auto"/>
        <w:left w:val="none" w:sz="0" w:space="0" w:color="auto"/>
        <w:bottom w:val="none" w:sz="0" w:space="0" w:color="auto"/>
        <w:right w:val="none" w:sz="0" w:space="0" w:color="auto"/>
      </w:divBdr>
    </w:div>
    <w:div w:id="1866671644">
      <w:bodyDiv w:val="1"/>
      <w:marLeft w:val="0"/>
      <w:marRight w:val="0"/>
      <w:marTop w:val="0"/>
      <w:marBottom w:val="0"/>
      <w:divBdr>
        <w:top w:val="none" w:sz="0" w:space="0" w:color="auto"/>
        <w:left w:val="none" w:sz="0" w:space="0" w:color="auto"/>
        <w:bottom w:val="none" w:sz="0" w:space="0" w:color="auto"/>
        <w:right w:val="none" w:sz="0" w:space="0" w:color="auto"/>
      </w:divBdr>
    </w:div>
    <w:div w:id="1964917470">
      <w:bodyDiv w:val="1"/>
      <w:marLeft w:val="0"/>
      <w:marRight w:val="0"/>
      <w:marTop w:val="0"/>
      <w:marBottom w:val="0"/>
      <w:divBdr>
        <w:top w:val="none" w:sz="0" w:space="0" w:color="auto"/>
        <w:left w:val="none" w:sz="0" w:space="0" w:color="auto"/>
        <w:bottom w:val="none" w:sz="0" w:space="0" w:color="auto"/>
        <w:right w:val="none" w:sz="0" w:space="0" w:color="auto"/>
      </w:divBdr>
    </w:div>
    <w:div w:id="2040541973">
      <w:bodyDiv w:val="1"/>
      <w:marLeft w:val="0"/>
      <w:marRight w:val="0"/>
      <w:marTop w:val="0"/>
      <w:marBottom w:val="0"/>
      <w:divBdr>
        <w:top w:val="none" w:sz="0" w:space="0" w:color="auto"/>
        <w:left w:val="none" w:sz="0" w:space="0" w:color="auto"/>
        <w:bottom w:val="none" w:sz="0" w:space="0" w:color="auto"/>
        <w:right w:val="none" w:sz="0" w:space="0" w:color="auto"/>
      </w:divBdr>
    </w:div>
    <w:div w:id="2098987202">
      <w:bodyDiv w:val="1"/>
      <w:marLeft w:val="0"/>
      <w:marRight w:val="0"/>
      <w:marTop w:val="0"/>
      <w:marBottom w:val="0"/>
      <w:divBdr>
        <w:top w:val="none" w:sz="0" w:space="0" w:color="auto"/>
        <w:left w:val="none" w:sz="0" w:space="0" w:color="auto"/>
        <w:bottom w:val="none" w:sz="0" w:space="0" w:color="auto"/>
        <w:right w:val="none" w:sz="0" w:space="0" w:color="auto"/>
      </w:divBdr>
      <w:divsChild>
        <w:div w:id="171258579">
          <w:marLeft w:val="547"/>
          <w:marRight w:val="0"/>
          <w:marTop w:val="0"/>
          <w:marBottom w:val="403"/>
          <w:divBdr>
            <w:top w:val="none" w:sz="0" w:space="0" w:color="auto"/>
            <w:left w:val="none" w:sz="0" w:space="0" w:color="auto"/>
            <w:bottom w:val="none" w:sz="0" w:space="0" w:color="auto"/>
            <w:right w:val="none" w:sz="0" w:space="0" w:color="auto"/>
          </w:divBdr>
        </w:div>
        <w:div w:id="1199007979">
          <w:marLeft w:val="547"/>
          <w:marRight w:val="0"/>
          <w:marTop w:val="0"/>
          <w:marBottom w:val="403"/>
          <w:divBdr>
            <w:top w:val="none" w:sz="0" w:space="0" w:color="auto"/>
            <w:left w:val="none" w:sz="0" w:space="0" w:color="auto"/>
            <w:bottom w:val="none" w:sz="0" w:space="0" w:color="auto"/>
            <w:right w:val="none" w:sz="0" w:space="0" w:color="auto"/>
          </w:divBdr>
        </w:div>
        <w:div w:id="1788222">
          <w:marLeft w:val="547"/>
          <w:marRight w:val="0"/>
          <w:marTop w:val="0"/>
          <w:marBottom w:val="403"/>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gov.uk/government/publications/great-british-railways-williams-shapps-plan-for-rai"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statistics/transport-use-during-the-coronavirus-covid-19-pandemic"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overnment/statistics/transport-use-during-the-coronavirus-covid-19-pandemic"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gov.uk/government/publications/bus-back-bett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news/cheaper-and-better-buses-in-7-billion-package-to-level-up-transport-outside-london" TargetMode="External"/><Relationship Id="rId2" Type="http://schemas.openxmlformats.org/officeDocument/2006/relationships/hyperlink" Target="http://www.passengertransport.co.uk/2019/08/pm-i-will-transform-bus-services/" TargetMode="External"/><Relationship Id="rId1" Type="http://schemas.openxmlformats.org/officeDocument/2006/relationships/hyperlink" Target="https://www.gov.uk/government/statistical-data-sets/bus-partnership-schemes-bus11" TargetMode="External"/><Relationship Id="rId6" Type="http://schemas.openxmlformats.org/officeDocument/2006/relationships/hyperlink" Target="https://gbrtt.co.uk/wisp/" TargetMode="External"/><Relationship Id="rId5" Type="http://schemas.openxmlformats.org/officeDocument/2006/relationships/hyperlink" Target="https://www.gov.uk/government/publications/queens-speech-2022-background-briefing-notes" TargetMode="External"/><Relationship Id="rId4" Type="http://schemas.openxmlformats.org/officeDocument/2006/relationships/hyperlink" Target="https://www.route-one.net/opinion/a-funding-fault-line-runs-through-the-national-bus-strategy/"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The Impact of Covid-19 on Rail Demand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Rail!$B$1</c:f>
              <c:strCache>
                <c:ptCount val="1"/>
                <c:pt idx="0">
                  <c:v>National Rail</c:v>
                </c:pt>
              </c:strCache>
            </c:strRef>
          </c:tx>
          <c:spPr>
            <a:ln w="28575" cap="rnd">
              <a:solidFill>
                <a:schemeClr val="accent1"/>
              </a:solidFill>
              <a:round/>
            </a:ln>
            <a:effectLst/>
          </c:spPr>
          <c:marker>
            <c:symbol val="none"/>
          </c:marker>
          <c:cat>
            <c:numRef>
              <c:f>Rail!$A$2:$A$836</c:f>
              <c:numCache>
                <c:formatCode>m/d/yyyy</c:formatCode>
                <c:ptCount val="835"/>
                <c:pt idx="0">
                  <c:v>43891</c:v>
                </c:pt>
                <c:pt idx="1">
                  <c:v>43892</c:v>
                </c:pt>
                <c:pt idx="2">
                  <c:v>43893</c:v>
                </c:pt>
                <c:pt idx="3">
                  <c:v>43894</c:v>
                </c:pt>
                <c:pt idx="4">
                  <c:v>43895</c:v>
                </c:pt>
                <c:pt idx="5">
                  <c:v>43896</c:v>
                </c:pt>
                <c:pt idx="6">
                  <c:v>43897</c:v>
                </c:pt>
                <c:pt idx="7">
                  <c:v>43898</c:v>
                </c:pt>
                <c:pt idx="8">
                  <c:v>43899</c:v>
                </c:pt>
                <c:pt idx="9">
                  <c:v>43900</c:v>
                </c:pt>
                <c:pt idx="10">
                  <c:v>43901</c:v>
                </c:pt>
                <c:pt idx="11">
                  <c:v>43902</c:v>
                </c:pt>
                <c:pt idx="12">
                  <c:v>43903</c:v>
                </c:pt>
                <c:pt idx="13">
                  <c:v>43904</c:v>
                </c:pt>
                <c:pt idx="14">
                  <c:v>43905</c:v>
                </c:pt>
                <c:pt idx="15">
                  <c:v>43906</c:v>
                </c:pt>
                <c:pt idx="16">
                  <c:v>43907</c:v>
                </c:pt>
                <c:pt idx="17">
                  <c:v>43908</c:v>
                </c:pt>
                <c:pt idx="18">
                  <c:v>43909</c:v>
                </c:pt>
                <c:pt idx="19">
                  <c:v>43910</c:v>
                </c:pt>
                <c:pt idx="20">
                  <c:v>43911</c:v>
                </c:pt>
                <c:pt idx="21">
                  <c:v>43912</c:v>
                </c:pt>
                <c:pt idx="22">
                  <c:v>43913</c:v>
                </c:pt>
                <c:pt idx="23">
                  <c:v>43914</c:v>
                </c:pt>
                <c:pt idx="24">
                  <c:v>43915</c:v>
                </c:pt>
                <c:pt idx="25">
                  <c:v>43916</c:v>
                </c:pt>
                <c:pt idx="26">
                  <c:v>43917</c:v>
                </c:pt>
                <c:pt idx="27">
                  <c:v>43918</c:v>
                </c:pt>
                <c:pt idx="28">
                  <c:v>43919</c:v>
                </c:pt>
                <c:pt idx="29">
                  <c:v>43920</c:v>
                </c:pt>
                <c:pt idx="30">
                  <c:v>43921</c:v>
                </c:pt>
                <c:pt idx="31">
                  <c:v>43922</c:v>
                </c:pt>
                <c:pt idx="32">
                  <c:v>43923</c:v>
                </c:pt>
                <c:pt idx="33">
                  <c:v>43924</c:v>
                </c:pt>
                <c:pt idx="34">
                  <c:v>43925</c:v>
                </c:pt>
                <c:pt idx="35">
                  <c:v>43926</c:v>
                </c:pt>
                <c:pt idx="36">
                  <c:v>43927</c:v>
                </c:pt>
                <c:pt idx="37">
                  <c:v>43928</c:v>
                </c:pt>
                <c:pt idx="38">
                  <c:v>43929</c:v>
                </c:pt>
                <c:pt idx="39">
                  <c:v>43930</c:v>
                </c:pt>
                <c:pt idx="40">
                  <c:v>43931</c:v>
                </c:pt>
                <c:pt idx="41">
                  <c:v>43932</c:v>
                </c:pt>
                <c:pt idx="42">
                  <c:v>43933</c:v>
                </c:pt>
                <c:pt idx="43">
                  <c:v>43934</c:v>
                </c:pt>
                <c:pt idx="44">
                  <c:v>43935</c:v>
                </c:pt>
                <c:pt idx="45">
                  <c:v>43936</c:v>
                </c:pt>
                <c:pt idx="46">
                  <c:v>43937</c:v>
                </c:pt>
                <c:pt idx="47">
                  <c:v>43938</c:v>
                </c:pt>
                <c:pt idx="48">
                  <c:v>43939</c:v>
                </c:pt>
                <c:pt idx="49">
                  <c:v>43940</c:v>
                </c:pt>
                <c:pt idx="50">
                  <c:v>43941</c:v>
                </c:pt>
                <c:pt idx="51">
                  <c:v>43942</c:v>
                </c:pt>
                <c:pt idx="52">
                  <c:v>43943</c:v>
                </c:pt>
                <c:pt idx="53">
                  <c:v>43944</c:v>
                </c:pt>
                <c:pt idx="54">
                  <c:v>43945</c:v>
                </c:pt>
                <c:pt idx="55">
                  <c:v>43946</c:v>
                </c:pt>
                <c:pt idx="56">
                  <c:v>43947</c:v>
                </c:pt>
                <c:pt idx="57">
                  <c:v>43948</c:v>
                </c:pt>
                <c:pt idx="58">
                  <c:v>43949</c:v>
                </c:pt>
                <c:pt idx="59">
                  <c:v>43950</c:v>
                </c:pt>
                <c:pt idx="60">
                  <c:v>43951</c:v>
                </c:pt>
                <c:pt idx="61">
                  <c:v>43952</c:v>
                </c:pt>
                <c:pt idx="62">
                  <c:v>43953</c:v>
                </c:pt>
                <c:pt idx="63">
                  <c:v>43954</c:v>
                </c:pt>
                <c:pt idx="64">
                  <c:v>43955</c:v>
                </c:pt>
                <c:pt idx="65">
                  <c:v>43956</c:v>
                </c:pt>
                <c:pt idx="66">
                  <c:v>43957</c:v>
                </c:pt>
                <c:pt idx="67">
                  <c:v>43958</c:v>
                </c:pt>
                <c:pt idx="68">
                  <c:v>43959</c:v>
                </c:pt>
                <c:pt idx="69">
                  <c:v>43960</c:v>
                </c:pt>
                <c:pt idx="70">
                  <c:v>43961</c:v>
                </c:pt>
                <c:pt idx="71">
                  <c:v>43962</c:v>
                </c:pt>
                <c:pt idx="72">
                  <c:v>43963</c:v>
                </c:pt>
                <c:pt idx="73">
                  <c:v>43964</c:v>
                </c:pt>
                <c:pt idx="74">
                  <c:v>43965</c:v>
                </c:pt>
                <c:pt idx="75">
                  <c:v>43966</c:v>
                </c:pt>
                <c:pt idx="76">
                  <c:v>43967</c:v>
                </c:pt>
                <c:pt idx="77">
                  <c:v>43968</c:v>
                </c:pt>
                <c:pt idx="78">
                  <c:v>43969</c:v>
                </c:pt>
                <c:pt idx="79">
                  <c:v>43970</c:v>
                </c:pt>
                <c:pt idx="80">
                  <c:v>43971</c:v>
                </c:pt>
                <c:pt idx="81">
                  <c:v>43972</c:v>
                </c:pt>
                <c:pt idx="82">
                  <c:v>43973</c:v>
                </c:pt>
                <c:pt idx="83">
                  <c:v>43974</c:v>
                </c:pt>
                <c:pt idx="84">
                  <c:v>43975</c:v>
                </c:pt>
                <c:pt idx="85">
                  <c:v>43976</c:v>
                </c:pt>
                <c:pt idx="86">
                  <c:v>43977</c:v>
                </c:pt>
                <c:pt idx="87">
                  <c:v>43978</c:v>
                </c:pt>
                <c:pt idx="88">
                  <c:v>43979</c:v>
                </c:pt>
                <c:pt idx="89">
                  <c:v>43980</c:v>
                </c:pt>
                <c:pt idx="90">
                  <c:v>43981</c:v>
                </c:pt>
                <c:pt idx="91">
                  <c:v>43982</c:v>
                </c:pt>
                <c:pt idx="92">
                  <c:v>43983</c:v>
                </c:pt>
                <c:pt idx="93">
                  <c:v>43984</c:v>
                </c:pt>
                <c:pt idx="94">
                  <c:v>43985</c:v>
                </c:pt>
                <c:pt idx="95">
                  <c:v>43986</c:v>
                </c:pt>
                <c:pt idx="96">
                  <c:v>43987</c:v>
                </c:pt>
                <c:pt idx="97">
                  <c:v>43988</c:v>
                </c:pt>
                <c:pt idx="98">
                  <c:v>43989</c:v>
                </c:pt>
                <c:pt idx="99">
                  <c:v>43990</c:v>
                </c:pt>
                <c:pt idx="100">
                  <c:v>43991</c:v>
                </c:pt>
                <c:pt idx="101">
                  <c:v>43992</c:v>
                </c:pt>
                <c:pt idx="102">
                  <c:v>43993</c:v>
                </c:pt>
                <c:pt idx="103">
                  <c:v>43994</c:v>
                </c:pt>
                <c:pt idx="104">
                  <c:v>43995</c:v>
                </c:pt>
                <c:pt idx="105">
                  <c:v>43996</c:v>
                </c:pt>
                <c:pt idx="106">
                  <c:v>43997</c:v>
                </c:pt>
                <c:pt idx="107">
                  <c:v>43998</c:v>
                </c:pt>
                <c:pt idx="108">
                  <c:v>43999</c:v>
                </c:pt>
                <c:pt idx="109">
                  <c:v>44000</c:v>
                </c:pt>
                <c:pt idx="110">
                  <c:v>44001</c:v>
                </c:pt>
                <c:pt idx="111">
                  <c:v>44002</c:v>
                </c:pt>
                <c:pt idx="112">
                  <c:v>44003</c:v>
                </c:pt>
                <c:pt idx="113">
                  <c:v>44004</c:v>
                </c:pt>
                <c:pt idx="114">
                  <c:v>44005</c:v>
                </c:pt>
                <c:pt idx="115">
                  <c:v>44006</c:v>
                </c:pt>
                <c:pt idx="116">
                  <c:v>44007</c:v>
                </c:pt>
                <c:pt idx="117">
                  <c:v>44008</c:v>
                </c:pt>
                <c:pt idx="118">
                  <c:v>44009</c:v>
                </c:pt>
                <c:pt idx="119">
                  <c:v>44010</c:v>
                </c:pt>
                <c:pt idx="120">
                  <c:v>44011</c:v>
                </c:pt>
                <c:pt idx="121">
                  <c:v>44012</c:v>
                </c:pt>
                <c:pt idx="122">
                  <c:v>44013</c:v>
                </c:pt>
                <c:pt idx="123">
                  <c:v>44014</c:v>
                </c:pt>
                <c:pt idx="124">
                  <c:v>44015</c:v>
                </c:pt>
                <c:pt idx="125">
                  <c:v>44016</c:v>
                </c:pt>
                <c:pt idx="126">
                  <c:v>44017</c:v>
                </c:pt>
                <c:pt idx="127">
                  <c:v>44018</c:v>
                </c:pt>
                <c:pt idx="128">
                  <c:v>44019</c:v>
                </c:pt>
                <c:pt idx="129">
                  <c:v>44020</c:v>
                </c:pt>
                <c:pt idx="130">
                  <c:v>44021</c:v>
                </c:pt>
                <c:pt idx="131">
                  <c:v>44022</c:v>
                </c:pt>
                <c:pt idx="132">
                  <c:v>44023</c:v>
                </c:pt>
                <c:pt idx="133">
                  <c:v>44024</c:v>
                </c:pt>
                <c:pt idx="134">
                  <c:v>44025</c:v>
                </c:pt>
                <c:pt idx="135">
                  <c:v>44026</c:v>
                </c:pt>
                <c:pt idx="136">
                  <c:v>44027</c:v>
                </c:pt>
                <c:pt idx="137">
                  <c:v>44028</c:v>
                </c:pt>
                <c:pt idx="138">
                  <c:v>44029</c:v>
                </c:pt>
                <c:pt idx="139">
                  <c:v>44030</c:v>
                </c:pt>
                <c:pt idx="140">
                  <c:v>44031</c:v>
                </c:pt>
                <c:pt idx="141">
                  <c:v>44032</c:v>
                </c:pt>
                <c:pt idx="142">
                  <c:v>44033</c:v>
                </c:pt>
                <c:pt idx="143">
                  <c:v>44034</c:v>
                </c:pt>
                <c:pt idx="144">
                  <c:v>44035</c:v>
                </c:pt>
                <c:pt idx="145">
                  <c:v>44036</c:v>
                </c:pt>
                <c:pt idx="146">
                  <c:v>44037</c:v>
                </c:pt>
                <c:pt idx="147">
                  <c:v>44038</c:v>
                </c:pt>
                <c:pt idx="148">
                  <c:v>44039</c:v>
                </c:pt>
                <c:pt idx="149">
                  <c:v>44040</c:v>
                </c:pt>
                <c:pt idx="150">
                  <c:v>44041</c:v>
                </c:pt>
                <c:pt idx="151">
                  <c:v>44042</c:v>
                </c:pt>
                <c:pt idx="152">
                  <c:v>44043</c:v>
                </c:pt>
                <c:pt idx="153">
                  <c:v>44044</c:v>
                </c:pt>
                <c:pt idx="154">
                  <c:v>44045</c:v>
                </c:pt>
                <c:pt idx="155">
                  <c:v>44046</c:v>
                </c:pt>
                <c:pt idx="156">
                  <c:v>44047</c:v>
                </c:pt>
                <c:pt idx="157">
                  <c:v>44048</c:v>
                </c:pt>
                <c:pt idx="158">
                  <c:v>44049</c:v>
                </c:pt>
                <c:pt idx="159">
                  <c:v>44050</c:v>
                </c:pt>
                <c:pt idx="160">
                  <c:v>44051</c:v>
                </c:pt>
                <c:pt idx="161">
                  <c:v>44052</c:v>
                </c:pt>
                <c:pt idx="162">
                  <c:v>44053</c:v>
                </c:pt>
                <c:pt idx="163">
                  <c:v>44054</c:v>
                </c:pt>
                <c:pt idx="164">
                  <c:v>44055</c:v>
                </c:pt>
                <c:pt idx="165">
                  <c:v>44056</c:v>
                </c:pt>
                <c:pt idx="166">
                  <c:v>44057</c:v>
                </c:pt>
                <c:pt idx="167">
                  <c:v>44058</c:v>
                </c:pt>
                <c:pt idx="168">
                  <c:v>44059</c:v>
                </c:pt>
                <c:pt idx="169">
                  <c:v>44060</c:v>
                </c:pt>
                <c:pt idx="170">
                  <c:v>44061</c:v>
                </c:pt>
                <c:pt idx="171">
                  <c:v>44062</c:v>
                </c:pt>
                <c:pt idx="172">
                  <c:v>44063</c:v>
                </c:pt>
                <c:pt idx="173">
                  <c:v>44064</c:v>
                </c:pt>
                <c:pt idx="174">
                  <c:v>44065</c:v>
                </c:pt>
                <c:pt idx="175">
                  <c:v>44066</c:v>
                </c:pt>
                <c:pt idx="176">
                  <c:v>44067</c:v>
                </c:pt>
                <c:pt idx="177">
                  <c:v>44068</c:v>
                </c:pt>
                <c:pt idx="178">
                  <c:v>44069</c:v>
                </c:pt>
                <c:pt idx="179">
                  <c:v>44070</c:v>
                </c:pt>
                <c:pt idx="180">
                  <c:v>44071</c:v>
                </c:pt>
                <c:pt idx="181">
                  <c:v>44072</c:v>
                </c:pt>
                <c:pt idx="182">
                  <c:v>44073</c:v>
                </c:pt>
                <c:pt idx="183">
                  <c:v>44074</c:v>
                </c:pt>
                <c:pt idx="184">
                  <c:v>44075</c:v>
                </c:pt>
                <c:pt idx="185">
                  <c:v>44076</c:v>
                </c:pt>
                <c:pt idx="186">
                  <c:v>44077</c:v>
                </c:pt>
                <c:pt idx="187">
                  <c:v>44078</c:v>
                </c:pt>
                <c:pt idx="188">
                  <c:v>44079</c:v>
                </c:pt>
                <c:pt idx="189">
                  <c:v>44080</c:v>
                </c:pt>
                <c:pt idx="190">
                  <c:v>44081</c:v>
                </c:pt>
                <c:pt idx="191">
                  <c:v>44082</c:v>
                </c:pt>
                <c:pt idx="192">
                  <c:v>44083</c:v>
                </c:pt>
                <c:pt idx="193">
                  <c:v>44084</c:v>
                </c:pt>
                <c:pt idx="194">
                  <c:v>44085</c:v>
                </c:pt>
                <c:pt idx="195">
                  <c:v>44086</c:v>
                </c:pt>
                <c:pt idx="196">
                  <c:v>44087</c:v>
                </c:pt>
                <c:pt idx="197">
                  <c:v>44088</c:v>
                </c:pt>
                <c:pt idx="198">
                  <c:v>44089</c:v>
                </c:pt>
                <c:pt idx="199">
                  <c:v>44090</c:v>
                </c:pt>
                <c:pt idx="200">
                  <c:v>44091</c:v>
                </c:pt>
                <c:pt idx="201">
                  <c:v>44092</c:v>
                </c:pt>
                <c:pt idx="202">
                  <c:v>44093</c:v>
                </c:pt>
                <c:pt idx="203">
                  <c:v>44094</c:v>
                </c:pt>
                <c:pt idx="204">
                  <c:v>44095</c:v>
                </c:pt>
                <c:pt idx="205">
                  <c:v>44096</c:v>
                </c:pt>
                <c:pt idx="206">
                  <c:v>44097</c:v>
                </c:pt>
                <c:pt idx="207">
                  <c:v>44098</c:v>
                </c:pt>
                <c:pt idx="208">
                  <c:v>44099</c:v>
                </c:pt>
                <c:pt idx="209">
                  <c:v>44100</c:v>
                </c:pt>
                <c:pt idx="210">
                  <c:v>44101</c:v>
                </c:pt>
                <c:pt idx="211">
                  <c:v>44102</c:v>
                </c:pt>
                <c:pt idx="212">
                  <c:v>44103</c:v>
                </c:pt>
                <c:pt idx="213">
                  <c:v>44104</c:v>
                </c:pt>
                <c:pt idx="214">
                  <c:v>44105</c:v>
                </c:pt>
                <c:pt idx="215">
                  <c:v>44106</c:v>
                </c:pt>
                <c:pt idx="216">
                  <c:v>44107</c:v>
                </c:pt>
                <c:pt idx="217">
                  <c:v>44108</c:v>
                </c:pt>
                <c:pt idx="218">
                  <c:v>44109</c:v>
                </c:pt>
                <c:pt idx="219">
                  <c:v>44110</c:v>
                </c:pt>
                <c:pt idx="220">
                  <c:v>44111</c:v>
                </c:pt>
                <c:pt idx="221">
                  <c:v>44112</c:v>
                </c:pt>
                <c:pt idx="222">
                  <c:v>44113</c:v>
                </c:pt>
                <c:pt idx="223">
                  <c:v>44114</c:v>
                </c:pt>
                <c:pt idx="224">
                  <c:v>44115</c:v>
                </c:pt>
                <c:pt idx="225">
                  <c:v>44116</c:v>
                </c:pt>
                <c:pt idx="226">
                  <c:v>44117</c:v>
                </c:pt>
                <c:pt idx="227">
                  <c:v>44118</c:v>
                </c:pt>
                <c:pt idx="228">
                  <c:v>44119</c:v>
                </c:pt>
                <c:pt idx="229">
                  <c:v>44120</c:v>
                </c:pt>
                <c:pt idx="230">
                  <c:v>44121</c:v>
                </c:pt>
                <c:pt idx="231">
                  <c:v>44122</c:v>
                </c:pt>
                <c:pt idx="232">
                  <c:v>44123</c:v>
                </c:pt>
                <c:pt idx="233">
                  <c:v>44124</c:v>
                </c:pt>
                <c:pt idx="234">
                  <c:v>44125</c:v>
                </c:pt>
                <c:pt idx="235">
                  <c:v>44126</c:v>
                </c:pt>
                <c:pt idx="236">
                  <c:v>44127</c:v>
                </c:pt>
                <c:pt idx="237">
                  <c:v>44128</c:v>
                </c:pt>
                <c:pt idx="238">
                  <c:v>44129</c:v>
                </c:pt>
                <c:pt idx="239">
                  <c:v>44130</c:v>
                </c:pt>
                <c:pt idx="240">
                  <c:v>44131</c:v>
                </c:pt>
                <c:pt idx="241">
                  <c:v>44132</c:v>
                </c:pt>
                <c:pt idx="242">
                  <c:v>44133</c:v>
                </c:pt>
                <c:pt idx="243">
                  <c:v>44134</c:v>
                </c:pt>
                <c:pt idx="244">
                  <c:v>44135</c:v>
                </c:pt>
                <c:pt idx="245">
                  <c:v>44136</c:v>
                </c:pt>
                <c:pt idx="246">
                  <c:v>44137</c:v>
                </c:pt>
                <c:pt idx="247">
                  <c:v>44138</c:v>
                </c:pt>
                <c:pt idx="248">
                  <c:v>44139</c:v>
                </c:pt>
                <c:pt idx="249">
                  <c:v>44140</c:v>
                </c:pt>
                <c:pt idx="250">
                  <c:v>44141</c:v>
                </c:pt>
                <c:pt idx="251">
                  <c:v>44142</c:v>
                </c:pt>
                <c:pt idx="252">
                  <c:v>44143</c:v>
                </c:pt>
                <c:pt idx="253">
                  <c:v>44144</c:v>
                </c:pt>
                <c:pt idx="254">
                  <c:v>44145</c:v>
                </c:pt>
                <c:pt idx="255">
                  <c:v>44146</c:v>
                </c:pt>
                <c:pt idx="256">
                  <c:v>44147</c:v>
                </c:pt>
                <c:pt idx="257">
                  <c:v>44148</c:v>
                </c:pt>
                <c:pt idx="258">
                  <c:v>44149</c:v>
                </c:pt>
                <c:pt idx="259">
                  <c:v>44150</c:v>
                </c:pt>
                <c:pt idx="260">
                  <c:v>44151</c:v>
                </c:pt>
                <c:pt idx="261">
                  <c:v>44152</c:v>
                </c:pt>
                <c:pt idx="262">
                  <c:v>44153</c:v>
                </c:pt>
                <c:pt idx="263">
                  <c:v>44154</c:v>
                </c:pt>
                <c:pt idx="264">
                  <c:v>44155</c:v>
                </c:pt>
                <c:pt idx="265">
                  <c:v>44156</c:v>
                </c:pt>
                <c:pt idx="266">
                  <c:v>44157</c:v>
                </c:pt>
                <c:pt idx="267">
                  <c:v>44158</c:v>
                </c:pt>
                <c:pt idx="268">
                  <c:v>44159</c:v>
                </c:pt>
                <c:pt idx="269">
                  <c:v>44160</c:v>
                </c:pt>
                <c:pt idx="270">
                  <c:v>44161</c:v>
                </c:pt>
                <c:pt idx="271">
                  <c:v>44162</c:v>
                </c:pt>
                <c:pt idx="272">
                  <c:v>44163</c:v>
                </c:pt>
                <c:pt idx="273">
                  <c:v>44164</c:v>
                </c:pt>
                <c:pt idx="274">
                  <c:v>44165</c:v>
                </c:pt>
                <c:pt idx="275">
                  <c:v>44166</c:v>
                </c:pt>
                <c:pt idx="276">
                  <c:v>44167</c:v>
                </c:pt>
                <c:pt idx="277">
                  <c:v>44168</c:v>
                </c:pt>
                <c:pt idx="278">
                  <c:v>44169</c:v>
                </c:pt>
                <c:pt idx="279">
                  <c:v>44170</c:v>
                </c:pt>
                <c:pt idx="280">
                  <c:v>44171</c:v>
                </c:pt>
                <c:pt idx="281">
                  <c:v>44172</c:v>
                </c:pt>
                <c:pt idx="282">
                  <c:v>44173</c:v>
                </c:pt>
                <c:pt idx="283">
                  <c:v>44174</c:v>
                </c:pt>
                <c:pt idx="284">
                  <c:v>44175</c:v>
                </c:pt>
                <c:pt idx="285">
                  <c:v>44176</c:v>
                </c:pt>
                <c:pt idx="286">
                  <c:v>44177</c:v>
                </c:pt>
                <c:pt idx="287">
                  <c:v>44178</c:v>
                </c:pt>
                <c:pt idx="288">
                  <c:v>44179</c:v>
                </c:pt>
                <c:pt idx="289">
                  <c:v>44180</c:v>
                </c:pt>
                <c:pt idx="290">
                  <c:v>44181</c:v>
                </c:pt>
                <c:pt idx="291">
                  <c:v>44182</c:v>
                </c:pt>
                <c:pt idx="292">
                  <c:v>44183</c:v>
                </c:pt>
                <c:pt idx="293">
                  <c:v>44184</c:v>
                </c:pt>
                <c:pt idx="294">
                  <c:v>44185</c:v>
                </c:pt>
                <c:pt idx="295">
                  <c:v>44186</c:v>
                </c:pt>
                <c:pt idx="296">
                  <c:v>44187</c:v>
                </c:pt>
                <c:pt idx="297">
                  <c:v>44188</c:v>
                </c:pt>
                <c:pt idx="298">
                  <c:v>44189</c:v>
                </c:pt>
                <c:pt idx="299">
                  <c:v>44190</c:v>
                </c:pt>
                <c:pt idx="300">
                  <c:v>44191</c:v>
                </c:pt>
                <c:pt idx="301">
                  <c:v>44192</c:v>
                </c:pt>
                <c:pt idx="302">
                  <c:v>44193</c:v>
                </c:pt>
                <c:pt idx="303">
                  <c:v>44194</c:v>
                </c:pt>
                <c:pt idx="304">
                  <c:v>44195</c:v>
                </c:pt>
                <c:pt idx="305">
                  <c:v>44196</c:v>
                </c:pt>
                <c:pt idx="306">
                  <c:v>44197</c:v>
                </c:pt>
                <c:pt idx="307">
                  <c:v>44198</c:v>
                </c:pt>
                <c:pt idx="308">
                  <c:v>44199</c:v>
                </c:pt>
                <c:pt idx="309">
                  <c:v>44200</c:v>
                </c:pt>
                <c:pt idx="310">
                  <c:v>44201</c:v>
                </c:pt>
                <c:pt idx="311">
                  <c:v>44202</c:v>
                </c:pt>
                <c:pt idx="312">
                  <c:v>44203</c:v>
                </c:pt>
                <c:pt idx="313">
                  <c:v>44204</c:v>
                </c:pt>
                <c:pt idx="314">
                  <c:v>44205</c:v>
                </c:pt>
                <c:pt idx="315">
                  <c:v>44206</c:v>
                </c:pt>
                <c:pt idx="316">
                  <c:v>44207</c:v>
                </c:pt>
                <c:pt idx="317">
                  <c:v>44208</c:v>
                </c:pt>
                <c:pt idx="318">
                  <c:v>44209</c:v>
                </c:pt>
                <c:pt idx="319">
                  <c:v>44210</c:v>
                </c:pt>
                <c:pt idx="320">
                  <c:v>44211</c:v>
                </c:pt>
                <c:pt idx="321">
                  <c:v>44212</c:v>
                </c:pt>
                <c:pt idx="322">
                  <c:v>44213</c:v>
                </c:pt>
                <c:pt idx="323">
                  <c:v>44214</c:v>
                </c:pt>
                <c:pt idx="324">
                  <c:v>44215</c:v>
                </c:pt>
                <c:pt idx="325">
                  <c:v>44216</c:v>
                </c:pt>
                <c:pt idx="326">
                  <c:v>44217</c:v>
                </c:pt>
                <c:pt idx="327">
                  <c:v>44218</c:v>
                </c:pt>
                <c:pt idx="328">
                  <c:v>44219</c:v>
                </c:pt>
                <c:pt idx="329">
                  <c:v>44220</c:v>
                </c:pt>
                <c:pt idx="330">
                  <c:v>44221</c:v>
                </c:pt>
                <c:pt idx="331">
                  <c:v>44222</c:v>
                </c:pt>
                <c:pt idx="332">
                  <c:v>44223</c:v>
                </c:pt>
                <c:pt idx="333">
                  <c:v>44224</c:v>
                </c:pt>
                <c:pt idx="334">
                  <c:v>44225</c:v>
                </c:pt>
                <c:pt idx="335">
                  <c:v>44226</c:v>
                </c:pt>
                <c:pt idx="336">
                  <c:v>44227</c:v>
                </c:pt>
                <c:pt idx="337">
                  <c:v>44228</c:v>
                </c:pt>
                <c:pt idx="338">
                  <c:v>44229</c:v>
                </c:pt>
                <c:pt idx="339">
                  <c:v>44230</c:v>
                </c:pt>
                <c:pt idx="340">
                  <c:v>44231</c:v>
                </c:pt>
                <c:pt idx="341">
                  <c:v>44232</c:v>
                </c:pt>
                <c:pt idx="342">
                  <c:v>44233</c:v>
                </c:pt>
                <c:pt idx="343">
                  <c:v>44234</c:v>
                </c:pt>
                <c:pt idx="344">
                  <c:v>44235</c:v>
                </c:pt>
                <c:pt idx="345">
                  <c:v>44236</c:v>
                </c:pt>
                <c:pt idx="346">
                  <c:v>44237</c:v>
                </c:pt>
                <c:pt idx="347">
                  <c:v>44238</c:v>
                </c:pt>
                <c:pt idx="348">
                  <c:v>44239</c:v>
                </c:pt>
                <c:pt idx="349">
                  <c:v>44240</c:v>
                </c:pt>
                <c:pt idx="350">
                  <c:v>44241</c:v>
                </c:pt>
                <c:pt idx="351">
                  <c:v>44242</c:v>
                </c:pt>
                <c:pt idx="352">
                  <c:v>44243</c:v>
                </c:pt>
                <c:pt idx="353">
                  <c:v>44244</c:v>
                </c:pt>
                <c:pt idx="354">
                  <c:v>44245</c:v>
                </c:pt>
                <c:pt idx="355">
                  <c:v>44246</c:v>
                </c:pt>
                <c:pt idx="356">
                  <c:v>44247</c:v>
                </c:pt>
                <c:pt idx="357">
                  <c:v>44248</c:v>
                </c:pt>
                <c:pt idx="358">
                  <c:v>44249</c:v>
                </c:pt>
                <c:pt idx="359">
                  <c:v>44250</c:v>
                </c:pt>
                <c:pt idx="360">
                  <c:v>44251</c:v>
                </c:pt>
                <c:pt idx="361">
                  <c:v>44252</c:v>
                </c:pt>
                <c:pt idx="362">
                  <c:v>44253</c:v>
                </c:pt>
                <c:pt idx="363">
                  <c:v>44254</c:v>
                </c:pt>
                <c:pt idx="364">
                  <c:v>44255</c:v>
                </c:pt>
                <c:pt idx="365">
                  <c:v>44256</c:v>
                </c:pt>
                <c:pt idx="366">
                  <c:v>44257</c:v>
                </c:pt>
                <c:pt idx="367">
                  <c:v>44258</c:v>
                </c:pt>
                <c:pt idx="368">
                  <c:v>44259</c:v>
                </c:pt>
                <c:pt idx="369">
                  <c:v>44260</c:v>
                </c:pt>
                <c:pt idx="370">
                  <c:v>44261</c:v>
                </c:pt>
                <c:pt idx="371">
                  <c:v>44262</c:v>
                </c:pt>
                <c:pt idx="372">
                  <c:v>44263</c:v>
                </c:pt>
                <c:pt idx="373">
                  <c:v>44264</c:v>
                </c:pt>
                <c:pt idx="374">
                  <c:v>44265</c:v>
                </c:pt>
                <c:pt idx="375">
                  <c:v>44266</c:v>
                </c:pt>
                <c:pt idx="376">
                  <c:v>44267</c:v>
                </c:pt>
                <c:pt idx="377">
                  <c:v>44268</c:v>
                </c:pt>
                <c:pt idx="378">
                  <c:v>44269</c:v>
                </c:pt>
                <c:pt idx="379">
                  <c:v>44270</c:v>
                </c:pt>
                <c:pt idx="380">
                  <c:v>44271</c:v>
                </c:pt>
                <c:pt idx="381">
                  <c:v>44272</c:v>
                </c:pt>
                <c:pt idx="382">
                  <c:v>44273</c:v>
                </c:pt>
                <c:pt idx="383">
                  <c:v>44274</c:v>
                </c:pt>
                <c:pt idx="384">
                  <c:v>44275</c:v>
                </c:pt>
                <c:pt idx="385">
                  <c:v>44276</c:v>
                </c:pt>
                <c:pt idx="386">
                  <c:v>44277</c:v>
                </c:pt>
                <c:pt idx="387">
                  <c:v>44278</c:v>
                </c:pt>
                <c:pt idx="388">
                  <c:v>44279</c:v>
                </c:pt>
                <c:pt idx="389">
                  <c:v>44280</c:v>
                </c:pt>
                <c:pt idx="390">
                  <c:v>44281</c:v>
                </c:pt>
                <c:pt idx="391">
                  <c:v>44282</c:v>
                </c:pt>
                <c:pt idx="392">
                  <c:v>44283</c:v>
                </c:pt>
                <c:pt idx="393">
                  <c:v>44284</c:v>
                </c:pt>
                <c:pt idx="394">
                  <c:v>44285</c:v>
                </c:pt>
                <c:pt idx="395">
                  <c:v>44286</c:v>
                </c:pt>
                <c:pt idx="396">
                  <c:v>44287</c:v>
                </c:pt>
                <c:pt idx="397">
                  <c:v>44288</c:v>
                </c:pt>
                <c:pt idx="398">
                  <c:v>44289</c:v>
                </c:pt>
                <c:pt idx="399">
                  <c:v>44290</c:v>
                </c:pt>
                <c:pt idx="400">
                  <c:v>44291</c:v>
                </c:pt>
                <c:pt idx="401">
                  <c:v>44292</c:v>
                </c:pt>
                <c:pt idx="402">
                  <c:v>44293</c:v>
                </c:pt>
                <c:pt idx="403">
                  <c:v>44294</c:v>
                </c:pt>
                <c:pt idx="404">
                  <c:v>44295</c:v>
                </c:pt>
                <c:pt idx="405">
                  <c:v>44296</c:v>
                </c:pt>
                <c:pt idx="406">
                  <c:v>44297</c:v>
                </c:pt>
                <c:pt idx="407">
                  <c:v>44298</c:v>
                </c:pt>
                <c:pt idx="408">
                  <c:v>44299</c:v>
                </c:pt>
                <c:pt idx="409">
                  <c:v>44300</c:v>
                </c:pt>
                <c:pt idx="410">
                  <c:v>44301</c:v>
                </c:pt>
                <c:pt idx="411">
                  <c:v>44302</c:v>
                </c:pt>
                <c:pt idx="412">
                  <c:v>44303</c:v>
                </c:pt>
                <c:pt idx="413">
                  <c:v>44304</c:v>
                </c:pt>
                <c:pt idx="414">
                  <c:v>44305</c:v>
                </c:pt>
                <c:pt idx="415">
                  <c:v>44306</c:v>
                </c:pt>
                <c:pt idx="416">
                  <c:v>44307</c:v>
                </c:pt>
                <c:pt idx="417">
                  <c:v>44308</c:v>
                </c:pt>
                <c:pt idx="418">
                  <c:v>44309</c:v>
                </c:pt>
                <c:pt idx="419">
                  <c:v>44310</c:v>
                </c:pt>
                <c:pt idx="420">
                  <c:v>44311</c:v>
                </c:pt>
                <c:pt idx="421">
                  <c:v>44312</c:v>
                </c:pt>
                <c:pt idx="422">
                  <c:v>44313</c:v>
                </c:pt>
                <c:pt idx="423">
                  <c:v>44314</c:v>
                </c:pt>
                <c:pt idx="424">
                  <c:v>44315</c:v>
                </c:pt>
                <c:pt idx="425">
                  <c:v>44316</c:v>
                </c:pt>
                <c:pt idx="426">
                  <c:v>44317</c:v>
                </c:pt>
                <c:pt idx="427">
                  <c:v>44318</c:v>
                </c:pt>
                <c:pt idx="428">
                  <c:v>44319</c:v>
                </c:pt>
                <c:pt idx="429">
                  <c:v>44320</c:v>
                </c:pt>
                <c:pt idx="430">
                  <c:v>44321</c:v>
                </c:pt>
                <c:pt idx="431">
                  <c:v>44322</c:v>
                </c:pt>
                <c:pt idx="432">
                  <c:v>44323</c:v>
                </c:pt>
                <c:pt idx="433">
                  <c:v>44324</c:v>
                </c:pt>
                <c:pt idx="434">
                  <c:v>44325</c:v>
                </c:pt>
                <c:pt idx="435">
                  <c:v>44326</c:v>
                </c:pt>
                <c:pt idx="436">
                  <c:v>44327</c:v>
                </c:pt>
                <c:pt idx="437">
                  <c:v>44328</c:v>
                </c:pt>
                <c:pt idx="438">
                  <c:v>44329</c:v>
                </c:pt>
                <c:pt idx="439">
                  <c:v>44330</c:v>
                </c:pt>
                <c:pt idx="440">
                  <c:v>44331</c:v>
                </c:pt>
                <c:pt idx="441">
                  <c:v>44332</c:v>
                </c:pt>
                <c:pt idx="442">
                  <c:v>44333</c:v>
                </c:pt>
                <c:pt idx="443">
                  <c:v>44334</c:v>
                </c:pt>
                <c:pt idx="444">
                  <c:v>44335</c:v>
                </c:pt>
                <c:pt idx="445">
                  <c:v>44336</c:v>
                </c:pt>
                <c:pt idx="446">
                  <c:v>44337</c:v>
                </c:pt>
                <c:pt idx="447">
                  <c:v>44338</c:v>
                </c:pt>
                <c:pt idx="448">
                  <c:v>44339</c:v>
                </c:pt>
                <c:pt idx="449">
                  <c:v>44340</c:v>
                </c:pt>
                <c:pt idx="450">
                  <c:v>44341</c:v>
                </c:pt>
                <c:pt idx="451">
                  <c:v>44342</c:v>
                </c:pt>
                <c:pt idx="452">
                  <c:v>44343</c:v>
                </c:pt>
                <c:pt idx="453">
                  <c:v>44344</c:v>
                </c:pt>
                <c:pt idx="454">
                  <c:v>44345</c:v>
                </c:pt>
                <c:pt idx="455">
                  <c:v>44346</c:v>
                </c:pt>
                <c:pt idx="456">
                  <c:v>44347</c:v>
                </c:pt>
                <c:pt idx="457">
                  <c:v>44348</c:v>
                </c:pt>
                <c:pt idx="458">
                  <c:v>44349</c:v>
                </c:pt>
                <c:pt idx="459">
                  <c:v>44350</c:v>
                </c:pt>
                <c:pt idx="460">
                  <c:v>44351</c:v>
                </c:pt>
                <c:pt idx="461">
                  <c:v>44352</c:v>
                </c:pt>
                <c:pt idx="462">
                  <c:v>44353</c:v>
                </c:pt>
                <c:pt idx="463">
                  <c:v>44354</c:v>
                </c:pt>
                <c:pt idx="464">
                  <c:v>44355</c:v>
                </c:pt>
                <c:pt idx="465">
                  <c:v>44356</c:v>
                </c:pt>
                <c:pt idx="466">
                  <c:v>44357</c:v>
                </c:pt>
                <c:pt idx="467">
                  <c:v>44358</c:v>
                </c:pt>
                <c:pt idx="468">
                  <c:v>44359</c:v>
                </c:pt>
                <c:pt idx="469">
                  <c:v>44360</c:v>
                </c:pt>
                <c:pt idx="470">
                  <c:v>44361</c:v>
                </c:pt>
                <c:pt idx="471">
                  <c:v>44362</c:v>
                </c:pt>
                <c:pt idx="472">
                  <c:v>44363</c:v>
                </c:pt>
                <c:pt idx="473">
                  <c:v>44364</c:v>
                </c:pt>
                <c:pt idx="474">
                  <c:v>44365</c:v>
                </c:pt>
                <c:pt idx="475">
                  <c:v>44366</c:v>
                </c:pt>
                <c:pt idx="476">
                  <c:v>44367</c:v>
                </c:pt>
                <c:pt idx="477">
                  <c:v>44368</c:v>
                </c:pt>
                <c:pt idx="478">
                  <c:v>44369</c:v>
                </c:pt>
                <c:pt idx="479">
                  <c:v>44370</c:v>
                </c:pt>
                <c:pt idx="480">
                  <c:v>44371</c:v>
                </c:pt>
                <c:pt idx="481">
                  <c:v>44372</c:v>
                </c:pt>
                <c:pt idx="482">
                  <c:v>44373</c:v>
                </c:pt>
                <c:pt idx="483">
                  <c:v>44374</c:v>
                </c:pt>
                <c:pt idx="484">
                  <c:v>44375</c:v>
                </c:pt>
                <c:pt idx="485">
                  <c:v>44376</c:v>
                </c:pt>
                <c:pt idx="486">
                  <c:v>44377</c:v>
                </c:pt>
                <c:pt idx="487">
                  <c:v>44378</c:v>
                </c:pt>
                <c:pt idx="488">
                  <c:v>44379</c:v>
                </c:pt>
                <c:pt idx="489">
                  <c:v>44380</c:v>
                </c:pt>
                <c:pt idx="490">
                  <c:v>44381</c:v>
                </c:pt>
                <c:pt idx="491">
                  <c:v>44382</c:v>
                </c:pt>
                <c:pt idx="492">
                  <c:v>44383</c:v>
                </c:pt>
                <c:pt idx="493">
                  <c:v>44384</c:v>
                </c:pt>
                <c:pt idx="494">
                  <c:v>44385</c:v>
                </c:pt>
                <c:pt idx="495">
                  <c:v>44386</c:v>
                </c:pt>
                <c:pt idx="496">
                  <c:v>44387</c:v>
                </c:pt>
                <c:pt idx="497">
                  <c:v>44388</c:v>
                </c:pt>
                <c:pt idx="498">
                  <c:v>44389</c:v>
                </c:pt>
                <c:pt idx="499">
                  <c:v>44390</c:v>
                </c:pt>
                <c:pt idx="500">
                  <c:v>44391</c:v>
                </c:pt>
                <c:pt idx="501">
                  <c:v>44392</c:v>
                </c:pt>
                <c:pt idx="502">
                  <c:v>44393</c:v>
                </c:pt>
                <c:pt idx="503">
                  <c:v>44394</c:v>
                </c:pt>
                <c:pt idx="504">
                  <c:v>44395</c:v>
                </c:pt>
                <c:pt idx="505">
                  <c:v>44396</c:v>
                </c:pt>
                <c:pt idx="506">
                  <c:v>44397</c:v>
                </c:pt>
                <c:pt idx="507">
                  <c:v>44398</c:v>
                </c:pt>
                <c:pt idx="508">
                  <c:v>44399</c:v>
                </c:pt>
                <c:pt idx="509">
                  <c:v>44400</c:v>
                </c:pt>
                <c:pt idx="510">
                  <c:v>44401</c:v>
                </c:pt>
                <c:pt idx="511">
                  <c:v>44402</c:v>
                </c:pt>
                <c:pt idx="512">
                  <c:v>44403</c:v>
                </c:pt>
                <c:pt idx="513">
                  <c:v>44404</c:v>
                </c:pt>
                <c:pt idx="514">
                  <c:v>44405</c:v>
                </c:pt>
                <c:pt idx="515">
                  <c:v>44406</c:v>
                </c:pt>
                <c:pt idx="516">
                  <c:v>44407</c:v>
                </c:pt>
                <c:pt idx="517">
                  <c:v>44408</c:v>
                </c:pt>
                <c:pt idx="518">
                  <c:v>44409</c:v>
                </c:pt>
                <c:pt idx="519">
                  <c:v>44410</c:v>
                </c:pt>
                <c:pt idx="520">
                  <c:v>44411</c:v>
                </c:pt>
                <c:pt idx="521">
                  <c:v>44412</c:v>
                </c:pt>
                <c:pt idx="522">
                  <c:v>44413</c:v>
                </c:pt>
                <c:pt idx="523">
                  <c:v>44414</c:v>
                </c:pt>
                <c:pt idx="524">
                  <c:v>44415</c:v>
                </c:pt>
                <c:pt idx="525">
                  <c:v>44416</c:v>
                </c:pt>
                <c:pt idx="526">
                  <c:v>44417</c:v>
                </c:pt>
                <c:pt idx="527">
                  <c:v>44418</c:v>
                </c:pt>
                <c:pt idx="528">
                  <c:v>44419</c:v>
                </c:pt>
                <c:pt idx="529">
                  <c:v>44420</c:v>
                </c:pt>
                <c:pt idx="530">
                  <c:v>44421</c:v>
                </c:pt>
                <c:pt idx="531">
                  <c:v>44422</c:v>
                </c:pt>
                <c:pt idx="532">
                  <c:v>44423</c:v>
                </c:pt>
                <c:pt idx="533">
                  <c:v>44424</c:v>
                </c:pt>
                <c:pt idx="534">
                  <c:v>44425</c:v>
                </c:pt>
                <c:pt idx="535">
                  <c:v>44426</c:v>
                </c:pt>
                <c:pt idx="536">
                  <c:v>44427</c:v>
                </c:pt>
                <c:pt idx="537">
                  <c:v>44428</c:v>
                </c:pt>
                <c:pt idx="538">
                  <c:v>44429</c:v>
                </c:pt>
                <c:pt idx="539">
                  <c:v>44430</c:v>
                </c:pt>
                <c:pt idx="540">
                  <c:v>44431</c:v>
                </c:pt>
                <c:pt idx="541">
                  <c:v>44432</c:v>
                </c:pt>
                <c:pt idx="542">
                  <c:v>44433</c:v>
                </c:pt>
                <c:pt idx="543">
                  <c:v>44434</c:v>
                </c:pt>
                <c:pt idx="544">
                  <c:v>44435</c:v>
                </c:pt>
                <c:pt idx="545">
                  <c:v>44436</c:v>
                </c:pt>
                <c:pt idx="546">
                  <c:v>44437</c:v>
                </c:pt>
                <c:pt idx="547">
                  <c:v>44438</c:v>
                </c:pt>
                <c:pt idx="548">
                  <c:v>44439</c:v>
                </c:pt>
                <c:pt idx="549">
                  <c:v>44440</c:v>
                </c:pt>
                <c:pt idx="550">
                  <c:v>44441</c:v>
                </c:pt>
                <c:pt idx="551">
                  <c:v>44442</c:v>
                </c:pt>
                <c:pt idx="552">
                  <c:v>44443</c:v>
                </c:pt>
                <c:pt idx="553">
                  <c:v>44444</c:v>
                </c:pt>
                <c:pt idx="554">
                  <c:v>44445</c:v>
                </c:pt>
                <c:pt idx="555">
                  <c:v>44446</c:v>
                </c:pt>
                <c:pt idx="556">
                  <c:v>44447</c:v>
                </c:pt>
                <c:pt idx="557">
                  <c:v>44448</c:v>
                </c:pt>
                <c:pt idx="558">
                  <c:v>44449</c:v>
                </c:pt>
                <c:pt idx="559">
                  <c:v>44450</c:v>
                </c:pt>
                <c:pt idx="560">
                  <c:v>44451</c:v>
                </c:pt>
                <c:pt idx="561">
                  <c:v>44452</c:v>
                </c:pt>
                <c:pt idx="562">
                  <c:v>44453</c:v>
                </c:pt>
                <c:pt idx="563">
                  <c:v>44454</c:v>
                </c:pt>
                <c:pt idx="564">
                  <c:v>44455</c:v>
                </c:pt>
                <c:pt idx="565">
                  <c:v>44456</c:v>
                </c:pt>
                <c:pt idx="566">
                  <c:v>44457</c:v>
                </c:pt>
                <c:pt idx="567">
                  <c:v>44458</c:v>
                </c:pt>
                <c:pt idx="568">
                  <c:v>44459</c:v>
                </c:pt>
                <c:pt idx="569">
                  <c:v>44460</c:v>
                </c:pt>
                <c:pt idx="570">
                  <c:v>44461</c:v>
                </c:pt>
                <c:pt idx="571">
                  <c:v>44462</c:v>
                </c:pt>
                <c:pt idx="572">
                  <c:v>44463</c:v>
                </c:pt>
                <c:pt idx="573">
                  <c:v>44464</c:v>
                </c:pt>
                <c:pt idx="574">
                  <c:v>44465</c:v>
                </c:pt>
                <c:pt idx="575">
                  <c:v>44466</c:v>
                </c:pt>
                <c:pt idx="576">
                  <c:v>44467</c:v>
                </c:pt>
                <c:pt idx="577">
                  <c:v>44468</c:v>
                </c:pt>
                <c:pt idx="578">
                  <c:v>44469</c:v>
                </c:pt>
                <c:pt idx="579">
                  <c:v>44470</c:v>
                </c:pt>
                <c:pt idx="580">
                  <c:v>44471</c:v>
                </c:pt>
                <c:pt idx="581">
                  <c:v>44472</c:v>
                </c:pt>
                <c:pt idx="582">
                  <c:v>44473</c:v>
                </c:pt>
                <c:pt idx="583">
                  <c:v>44474</c:v>
                </c:pt>
                <c:pt idx="584">
                  <c:v>44475</c:v>
                </c:pt>
                <c:pt idx="585">
                  <c:v>44476</c:v>
                </c:pt>
                <c:pt idx="586">
                  <c:v>44477</c:v>
                </c:pt>
                <c:pt idx="587">
                  <c:v>44478</c:v>
                </c:pt>
                <c:pt idx="588">
                  <c:v>44479</c:v>
                </c:pt>
                <c:pt idx="589">
                  <c:v>44480</c:v>
                </c:pt>
                <c:pt idx="590">
                  <c:v>44481</c:v>
                </c:pt>
                <c:pt idx="591">
                  <c:v>44482</c:v>
                </c:pt>
                <c:pt idx="592">
                  <c:v>44483</c:v>
                </c:pt>
                <c:pt idx="593">
                  <c:v>44484</c:v>
                </c:pt>
                <c:pt idx="594">
                  <c:v>44485</c:v>
                </c:pt>
                <c:pt idx="595">
                  <c:v>44486</c:v>
                </c:pt>
                <c:pt idx="596">
                  <c:v>44487</c:v>
                </c:pt>
                <c:pt idx="597">
                  <c:v>44488</c:v>
                </c:pt>
                <c:pt idx="598">
                  <c:v>44489</c:v>
                </c:pt>
                <c:pt idx="599">
                  <c:v>44490</c:v>
                </c:pt>
                <c:pt idx="600">
                  <c:v>44491</c:v>
                </c:pt>
                <c:pt idx="601">
                  <c:v>44492</c:v>
                </c:pt>
                <c:pt idx="602">
                  <c:v>44493</c:v>
                </c:pt>
                <c:pt idx="603">
                  <c:v>44494</c:v>
                </c:pt>
                <c:pt idx="604">
                  <c:v>44495</c:v>
                </c:pt>
                <c:pt idx="605">
                  <c:v>44496</c:v>
                </c:pt>
                <c:pt idx="606">
                  <c:v>44497</c:v>
                </c:pt>
                <c:pt idx="607">
                  <c:v>44498</c:v>
                </c:pt>
                <c:pt idx="608">
                  <c:v>44499</c:v>
                </c:pt>
                <c:pt idx="609">
                  <c:v>44500</c:v>
                </c:pt>
                <c:pt idx="610">
                  <c:v>44501</c:v>
                </c:pt>
                <c:pt idx="611">
                  <c:v>44502</c:v>
                </c:pt>
                <c:pt idx="612">
                  <c:v>44503</c:v>
                </c:pt>
                <c:pt idx="613">
                  <c:v>44504</c:v>
                </c:pt>
                <c:pt idx="614">
                  <c:v>44505</c:v>
                </c:pt>
                <c:pt idx="615">
                  <c:v>44506</c:v>
                </c:pt>
                <c:pt idx="616">
                  <c:v>44507</c:v>
                </c:pt>
                <c:pt idx="617">
                  <c:v>44508</c:v>
                </c:pt>
                <c:pt idx="618">
                  <c:v>44509</c:v>
                </c:pt>
                <c:pt idx="619">
                  <c:v>44510</c:v>
                </c:pt>
                <c:pt idx="620">
                  <c:v>44511</c:v>
                </c:pt>
                <c:pt idx="621">
                  <c:v>44512</c:v>
                </c:pt>
                <c:pt idx="622">
                  <c:v>44513</c:v>
                </c:pt>
                <c:pt idx="623">
                  <c:v>44514</c:v>
                </c:pt>
                <c:pt idx="624">
                  <c:v>44515</c:v>
                </c:pt>
                <c:pt idx="625">
                  <c:v>44516</c:v>
                </c:pt>
                <c:pt idx="626">
                  <c:v>44517</c:v>
                </c:pt>
                <c:pt idx="627">
                  <c:v>44518</c:v>
                </c:pt>
                <c:pt idx="628">
                  <c:v>44519</c:v>
                </c:pt>
                <c:pt idx="629">
                  <c:v>44520</c:v>
                </c:pt>
                <c:pt idx="630">
                  <c:v>44521</c:v>
                </c:pt>
                <c:pt idx="631">
                  <c:v>44522</c:v>
                </c:pt>
                <c:pt idx="632">
                  <c:v>44523</c:v>
                </c:pt>
                <c:pt idx="633">
                  <c:v>44524</c:v>
                </c:pt>
                <c:pt idx="634">
                  <c:v>44525</c:v>
                </c:pt>
                <c:pt idx="635">
                  <c:v>44526</c:v>
                </c:pt>
                <c:pt idx="636">
                  <c:v>44527</c:v>
                </c:pt>
                <c:pt idx="637">
                  <c:v>44528</c:v>
                </c:pt>
                <c:pt idx="638">
                  <c:v>44529</c:v>
                </c:pt>
                <c:pt idx="639">
                  <c:v>44530</c:v>
                </c:pt>
                <c:pt idx="640">
                  <c:v>44531</c:v>
                </c:pt>
                <c:pt idx="641">
                  <c:v>44532</c:v>
                </c:pt>
                <c:pt idx="642">
                  <c:v>44533</c:v>
                </c:pt>
                <c:pt idx="643">
                  <c:v>44534</c:v>
                </c:pt>
                <c:pt idx="644">
                  <c:v>44535</c:v>
                </c:pt>
                <c:pt idx="645">
                  <c:v>44536</c:v>
                </c:pt>
                <c:pt idx="646">
                  <c:v>44537</c:v>
                </c:pt>
                <c:pt idx="647">
                  <c:v>44538</c:v>
                </c:pt>
                <c:pt idx="648">
                  <c:v>44539</c:v>
                </c:pt>
                <c:pt idx="649">
                  <c:v>44540</c:v>
                </c:pt>
                <c:pt idx="650">
                  <c:v>44541</c:v>
                </c:pt>
                <c:pt idx="651">
                  <c:v>44542</c:v>
                </c:pt>
                <c:pt idx="652">
                  <c:v>44543</c:v>
                </c:pt>
                <c:pt idx="653">
                  <c:v>44544</c:v>
                </c:pt>
                <c:pt idx="654">
                  <c:v>44545</c:v>
                </c:pt>
                <c:pt idx="655">
                  <c:v>44546</c:v>
                </c:pt>
                <c:pt idx="656">
                  <c:v>44547</c:v>
                </c:pt>
                <c:pt idx="657">
                  <c:v>44548</c:v>
                </c:pt>
                <c:pt idx="658">
                  <c:v>44549</c:v>
                </c:pt>
                <c:pt idx="659">
                  <c:v>44550</c:v>
                </c:pt>
                <c:pt idx="660">
                  <c:v>44551</c:v>
                </c:pt>
                <c:pt idx="661">
                  <c:v>44552</c:v>
                </c:pt>
                <c:pt idx="662">
                  <c:v>44553</c:v>
                </c:pt>
                <c:pt idx="663">
                  <c:v>44554</c:v>
                </c:pt>
                <c:pt idx="664">
                  <c:v>44555</c:v>
                </c:pt>
                <c:pt idx="665">
                  <c:v>44556</c:v>
                </c:pt>
                <c:pt idx="666">
                  <c:v>44557</c:v>
                </c:pt>
                <c:pt idx="667">
                  <c:v>44558</c:v>
                </c:pt>
                <c:pt idx="668">
                  <c:v>44559</c:v>
                </c:pt>
                <c:pt idx="669">
                  <c:v>44560</c:v>
                </c:pt>
                <c:pt idx="670">
                  <c:v>44561</c:v>
                </c:pt>
                <c:pt idx="671">
                  <c:v>44562</c:v>
                </c:pt>
                <c:pt idx="672">
                  <c:v>44563</c:v>
                </c:pt>
                <c:pt idx="673">
                  <c:v>44564</c:v>
                </c:pt>
                <c:pt idx="674">
                  <c:v>44565</c:v>
                </c:pt>
                <c:pt idx="675">
                  <c:v>44566</c:v>
                </c:pt>
                <c:pt idx="676">
                  <c:v>44567</c:v>
                </c:pt>
                <c:pt idx="677">
                  <c:v>44568</c:v>
                </c:pt>
                <c:pt idx="678">
                  <c:v>44569</c:v>
                </c:pt>
                <c:pt idx="679">
                  <c:v>44570</c:v>
                </c:pt>
                <c:pt idx="680">
                  <c:v>44571</c:v>
                </c:pt>
                <c:pt idx="681">
                  <c:v>44572</c:v>
                </c:pt>
                <c:pt idx="682">
                  <c:v>44573</c:v>
                </c:pt>
                <c:pt idx="683">
                  <c:v>44574</c:v>
                </c:pt>
                <c:pt idx="684">
                  <c:v>44575</c:v>
                </c:pt>
                <c:pt idx="685">
                  <c:v>44576</c:v>
                </c:pt>
                <c:pt idx="686">
                  <c:v>44577</c:v>
                </c:pt>
                <c:pt idx="687">
                  <c:v>44578</c:v>
                </c:pt>
                <c:pt idx="688">
                  <c:v>44579</c:v>
                </c:pt>
                <c:pt idx="689">
                  <c:v>44580</c:v>
                </c:pt>
                <c:pt idx="690">
                  <c:v>44581</c:v>
                </c:pt>
                <c:pt idx="691">
                  <c:v>44582</c:v>
                </c:pt>
                <c:pt idx="692">
                  <c:v>44583</c:v>
                </c:pt>
                <c:pt idx="693">
                  <c:v>44584</c:v>
                </c:pt>
                <c:pt idx="694">
                  <c:v>44585</c:v>
                </c:pt>
                <c:pt idx="695">
                  <c:v>44586</c:v>
                </c:pt>
                <c:pt idx="696">
                  <c:v>44587</c:v>
                </c:pt>
                <c:pt idx="697">
                  <c:v>44588</c:v>
                </c:pt>
                <c:pt idx="698">
                  <c:v>44589</c:v>
                </c:pt>
                <c:pt idx="699">
                  <c:v>44590</c:v>
                </c:pt>
                <c:pt idx="700">
                  <c:v>44591</c:v>
                </c:pt>
                <c:pt idx="701">
                  <c:v>44592</c:v>
                </c:pt>
                <c:pt idx="702">
                  <c:v>44593</c:v>
                </c:pt>
                <c:pt idx="703">
                  <c:v>44594</c:v>
                </c:pt>
                <c:pt idx="704">
                  <c:v>44595</c:v>
                </c:pt>
                <c:pt idx="705">
                  <c:v>44596</c:v>
                </c:pt>
                <c:pt idx="706">
                  <c:v>44597</c:v>
                </c:pt>
                <c:pt idx="707">
                  <c:v>44598</c:v>
                </c:pt>
                <c:pt idx="708">
                  <c:v>44599</c:v>
                </c:pt>
                <c:pt idx="709">
                  <c:v>44600</c:v>
                </c:pt>
                <c:pt idx="710">
                  <c:v>44601</c:v>
                </c:pt>
                <c:pt idx="711">
                  <c:v>44602</c:v>
                </c:pt>
                <c:pt idx="712">
                  <c:v>44603</c:v>
                </c:pt>
                <c:pt idx="713">
                  <c:v>44604</c:v>
                </c:pt>
                <c:pt idx="714">
                  <c:v>44605</c:v>
                </c:pt>
                <c:pt idx="715">
                  <c:v>44606</c:v>
                </c:pt>
                <c:pt idx="716">
                  <c:v>44607</c:v>
                </c:pt>
                <c:pt idx="717">
                  <c:v>44608</c:v>
                </c:pt>
                <c:pt idx="718">
                  <c:v>44609</c:v>
                </c:pt>
                <c:pt idx="719">
                  <c:v>44610</c:v>
                </c:pt>
                <c:pt idx="720">
                  <c:v>44611</c:v>
                </c:pt>
                <c:pt idx="721">
                  <c:v>44612</c:v>
                </c:pt>
                <c:pt idx="722">
                  <c:v>44613</c:v>
                </c:pt>
                <c:pt idx="723">
                  <c:v>44614</c:v>
                </c:pt>
                <c:pt idx="724">
                  <c:v>44615</c:v>
                </c:pt>
                <c:pt idx="725">
                  <c:v>44616</c:v>
                </c:pt>
                <c:pt idx="726">
                  <c:v>44617</c:v>
                </c:pt>
                <c:pt idx="727">
                  <c:v>44618</c:v>
                </c:pt>
                <c:pt idx="728">
                  <c:v>44619</c:v>
                </c:pt>
                <c:pt idx="729">
                  <c:v>44620</c:v>
                </c:pt>
                <c:pt idx="730">
                  <c:v>44621</c:v>
                </c:pt>
                <c:pt idx="731">
                  <c:v>44622</c:v>
                </c:pt>
                <c:pt idx="732">
                  <c:v>44623</c:v>
                </c:pt>
                <c:pt idx="733">
                  <c:v>44624</c:v>
                </c:pt>
                <c:pt idx="734">
                  <c:v>44625</c:v>
                </c:pt>
                <c:pt idx="735">
                  <c:v>44626</c:v>
                </c:pt>
                <c:pt idx="736">
                  <c:v>44627</c:v>
                </c:pt>
                <c:pt idx="737">
                  <c:v>44628</c:v>
                </c:pt>
                <c:pt idx="738">
                  <c:v>44629</c:v>
                </c:pt>
                <c:pt idx="739">
                  <c:v>44630</c:v>
                </c:pt>
                <c:pt idx="740">
                  <c:v>44631</c:v>
                </c:pt>
                <c:pt idx="741">
                  <c:v>44632</c:v>
                </c:pt>
                <c:pt idx="742">
                  <c:v>44633</c:v>
                </c:pt>
                <c:pt idx="743">
                  <c:v>44634</c:v>
                </c:pt>
                <c:pt idx="744">
                  <c:v>44635</c:v>
                </c:pt>
                <c:pt idx="745">
                  <c:v>44636</c:v>
                </c:pt>
                <c:pt idx="746">
                  <c:v>44637</c:v>
                </c:pt>
                <c:pt idx="747">
                  <c:v>44638</c:v>
                </c:pt>
                <c:pt idx="748">
                  <c:v>44639</c:v>
                </c:pt>
                <c:pt idx="749">
                  <c:v>44640</c:v>
                </c:pt>
                <c:pt idx="750">
                  <c:v>44641</c:v>
                </c:pt>
                <c:pt idx="751">
                  <c:v>44642</c:v>
                </c:pt>
                <c:pt idx="752">
                  <c:v>44643</c:v>
                </c:pt>
                <c:pt idx="753">
                  <c:v>44644</c:v>
                </c:pt>
                <c:pt idx="754">
                  <c:v>44645</c:v>
                </c:pt>
                <c:pt idx="755">
                  <c:v>44646</c:v>
                </c:pt>
                <c:pt idx="756">
                  <c:v>44647</c:v>
                </c:pt>
                <c:pt idx="757">
                  <c:v>44648</c:v>
                </c:pt>
                <c:pt idx="758">
                  <c:v>44649</c:v>
                </c:pt>
                <c:pt idx="759">
                  <c:v>44650</c:v>
                </c:pt>
                <c:pt idx="760">
                  <c:v>44651</c:v>
                </c:pt>
                <c:pt idx="761">
                  <c:v>44652</c:v>
                </c:pt>
                <c:pt idx="762">
                  <c:v>44653</c:v>
                </c:pt>
                <c:pt idx="763">
                  <c:v>44654</c:v>
                </c:pt>
                <c:pt idx="764">
                  <c:v>44655</c:v>
                </c:pt>
                <c:pt idx="765">
                  <c:v>44656</c:v>
                </c:pt>
                <c:pt idx="766">
                  <c:v>44657</c:v>
                </c:pt>
                <c:pt idx="767">
                  <c:v>44658</c:v>
                </c:pt>
                <c:pt idx="768">
                  <c:v>44659</c:v>
                </c:pt>
                <c:pt idx="769">
                  <c:v>44660</c:v>
                </c:pt>
                <c:pt idx="770">
                  <c:v>44661</c:v>
                </c:pt>
                <c:pt idx="771">
                  <c:v>44662</c:v>
                </c:pt>
                <c:pt idx="772">
                  <c:v>44663</c:v>
                </c:pt>
                <c:pt idx="773">
                  <c:v>44664</c:v>
                </c:pt>
                <c:pt idx="774">
                  <c:v>44665</c:v>
                </c:pt>
                <c:pt idx="775">
                  <c:v>44666</c:v>
                </c:pt>
                <c:pt idx="776">
                  <c:v>44667</c:v>
                </c:pt>
                <c:pt idx="777">
                  <c:v>44668</c:v>
                </c:pt>
                <c:pt idx="778">
                  <c:v>44669</c:v>
                </c:pt>
                <c:pt idx="779">
                  <c:v>44670</c:v>
                </c:pt>
                <c:pt idx="780">
                  <c:v>44671</c:v>
                </c:pt>
                <c:pt idx="781">
                  <c:v>44672</c:v>
                </c:pt>
                <c:pt idx="782">
                  <c:v>44673</c:v>
                </c:pt>
                <c:pt idx="783">
                  <c:v>44674</c:v>
                </c:pt>
                <c:pt idx="784">
                  <c:v>44675</c:v>
                </c:pt>
                <c:pt idx="785">
                  <c:v>44676</c:v>
                </c:pt>
                <c:pt idx="786">
                  <c:v>44677</c:v>
                </c:pt>
                <c:pt idx="787">
                  <c:v>44678</c:v>
                </c:pt>
                <c:pt idx="788">
                  <c:v>44679</c:v>
                </c:pt>
                <c:pt idx="789">
                  <c:v>44680</c:v>
                </c:pt>
                <c:pt idx="790">
                  <c:v>44681</c:v>
                </c:pt>
                <c:pt idx="791">
                  <c:v>44682</c:v>
                </c:pt>
                <c:pt idx="792">
                  <c:v>44683</c:v>
                </c:pt>
                <c:pt idx="793">
                  <c:v>44684</c:v>
                </c:pt>
                <c:pt idx="794">
                  <c:v>44685</c:v>
                </c:pt>
                <c:pt idx="795">
                  <c:v>44686</c:v>
                </c:pt>
                <c:pt idx="796">
                  <c:v>44687</c:v>
                </c:pt>
                <c:pt idx="797">
                  <c:v>44688</c:v>
                </c:pt>
                <c:pt idx="798">
                  <c:v>44689</c:v>
                </c:pt>
                <c:pt idx="799">
                  <c:v>44690</c:v>
                </c:pt>
                <c:pt idx="800">
                  <c:v>44691</c:v>
                </c:pt>
                <c:pt idx="801">
                  <c:v>44692</c:v>
                </c:pt>
                <c:pt idx="802">
                  <c:v>44693</c:v>
                </c:pt>
                <c:pt idx="803">
                  <c:v>44694</c:v>
                </c:pt>
                <c:pt idx="804">
                  <c:v>44695</c:v>
                </c:pt>
                <c:pt idx="805">
                  <c:v>44696</c:v>
                </c:pt>
                <c:pt idx="806">
                  <c:v>44697</c:v>
                </c:pt>
                <c:pt idx="807">
                  <c:v>44698</c:v>
                </c:pt>
                <c:pt idx="808">
                  <c:v>44699</c:v>
                </c:pt>
                <c:pt idx="809">
                  <c:v>44700</c:v>
                </c:pt>
                <c:pt idx="810">
                  <c:v>44701</c:v>
                </c:pt>
                <c:pt idx="811">
                  <c:v>44702</c:v>
                </c:pt>
                <c:pt idx="812">
                  <c:v>44703</c:v>
                </c:pt>
                <c:pt idx="813">
                  <c:v>44704</c:v>
                </c:pt>
                <c:pt idx="814">
                  <c:v>44705</c:v>
                </c:pt>
                <c:pt idx="815">
                  <c:v>44706</c:v>
                </c:pt>
                <c:pt idx="816">
                  <c:v>44707</c:v>
                </c:pt>
                <c:pt idx="817">
                  <c:v>44708</c:v>
                </c:pt>
                <c:pt idx="818">
                  <c:v>44709</c:v>
                </c:pt>
                <c:pt idx="819">
                  <c:v>44710</c:v>
                </c:pt>
                <c:pt idx="820">
                  <c:v>44711</c:v>
                </c:pt>
                <c:pt idx="821">
                  <c:v>44712</c:v>
                </c:pt>
                <c:pt idx="822">
                  <c:v>44713</c:v>
                </c:pt>
                <c:pt idx="823">
                  <c:v>44714</c:v>
                </c:pt>
                <c:pt idx="824">
                  <c:v>44715</c:v>
                </c:pt>
                <c:pt idx="825">
                  <c:v>44716</c:v>
                </c:pt>
                <c:pt idx="826">
                  <c:v>44717</c:v>
                </c:pt>
                <c:pt idx="827">
                  <c:v>44718</c:v>
                </c:pt>
                <c:pt idx="828">
                  <c:v>44719</c:v>
                </c:pt>
                <c:pt idx="829">
                  <c:v>44720</c:v>
                </c:pt>
                <c:pt idx="830">
                  <c:v>44721</c:v>
                </c:pt>
                <c:pt idx="831">
                  <c:v>44722</c:v>
                </c:pt>
                <c:pt idx="832">
                  <c:v>44723</c:v>
                </c:pt>
                <c:pt idx="833">
                  <c:v>44724</c:v>
                </c:pt>
                <c:pt idx="834">
                  <c:v>44725</c:v>
                </c:pt>
              </c:numCache>
            </c:numRef>
          </c:cat>
          <c:val>
            <c:numRef>
              <c:f>Rail!$B$2:$B$836</c:f>
              <c:numCache>
                <c:formatCode>0%</c:formatCode>
                <c:ptCount val="835"/>
                <c:pt idx="0">
                  <c:v>0.97</c:v>
                </c:pt>
                <c:pt idx="1">
                  <c:v>0.94</c:v>
                </c:pt>
                <c:pt idx="2">
                  <c:v>0.95</c:v>
                </c:pt>
                <c:pt idx="3">
                  <c:v>0.95</c:v>
                </c:pt>
                <c:pt idx="4">
                  <c:v>0.97</c:v>
                </c:pt>
                <c:pt idx="5">
                  <c:v>0.99</c:v>
                </c:pt>
                <c:pt idx="6">
                  <c:v>0.99</c:v>
                </c:pt>
                <c:pt idx="7">
                  <c:v>0.99</c:v>
                </c:pt>
                <c:pt idx="8">
                  <c:v>1</c:v>
                </c:pt>
                <c:pt idx="9">
                  <c:v>0.99</c:v>
                </c:pt>
                <c:pt idx="10">
                  <c:v>0.98</c:v>
                </c:pt>
                <c:pt idx="11">
                  <c:v>0.96</c:v>
                </c:pt>
                <c:pt idx="12">
                  <c:v>0.92</c:v>
                </c:pt>
                <c:pt idx="13">
                  <c:v>0.89</c:v>
                </c:pt>
                <c:pt idx="14">
                  <c:v>0.85</c:v>
                </c:pt>
                <c:pt idx="15">
                  <c:v>0.78</c:v>
                </c:pt>
                <c:pt idx="16">
                  <c:v>0.69</c:v>
                </c:pt>
                <c:pt idx="17">
                  <c:v>0.59</c:v>
                </c:pt>
                <c:pt idx="18">
                  <c:v>0.51</c:v>
                </c:pt>
                <c:pt idx="19">
                  <c:v>0.43</c:v>
                </c:pt>
                <c:pt idx="20">
                  <c:v>0.37</c:v>
                </c:pt>
                <c:pt idx="21">
                  <c:v>0.33</c:v>
                </c:pt>
                <c:pt idx="22">
                  <c:v>0.25</c:v>
                </c:pt>
                <c:pt idx="23">
                  <c:v>0.2</c:v>
                </c:pt>
                <c:pt idx="24">
                  <c:v>0.16</c:v>
                </c:pt>
                <c:pt idx="25">
                  <c:v>0.13</c:v>
                </c:pt>
                <c:pt idx="26">
                  <c:v>0.1</c:v>
                </c:pt>
                <c:pt idx="27">
                  <c:v>0.09</c:v>
                </c:pt>
                <c:pt idx="28">
                  <c:v>0.08</c:v>
                </c:pt>
                <c:pt idx="29">
                  <c:v>0.06</c:v>
                </c:pt>
                <c:pt idx="30">
                  <c:v>0.05</c:v>
                </c:pt>
                <c:pt idx="31">
                  <c:v>0.05</c:v>
                </c:pt>
                <c:pt idx="32">
                  <c:v>0.05</c:v>
                </c:pt>
                <c:pt idx="33">
                  <c:v>0.05</c:v>
                </c:pt>
                <c:pt idx="34">
                  <c:v>0.05</c:v>
                </c:pt>
                <c:pt idx="35">
                  <c:v>0.05</c:v>
                </c:pt>
                <c:pt idx="36">
                  <c:v>0.05</c:v>
                </c:pt>
                <c:pt idx="37">
                  <c:v>0.05</c:v>
                </c:pt>
                <c:pt idx="38">
                  <c:v>0.05</c:v>
                </c:pt>
                <c:pt idx="39">
                  <c:v>0.05</c:v>
                </c:pt>
                <c:pt idx="40">
                  <c:v>0.04</c:v>
                </c:pt>
                <c:pt idx="41">
                  <c:v>0.04</c:v>
                </c:pt>
                <c:pt idx="42">
                  <c:v>0.04</c:v>
                </c:pt>
                <c:pt idx="43">
                  <c:v>0.04</c:v>
                </c:pt>
                <c:pt idx="44">
                  <c:v>0.04</c:v>
                </c:pt>
                <c:pt idx="45">
                  <c:v>0.04</c:v>
                </c:pt>
                <c:pt idx="46">
                  <c:v>0.04</c:v>
                </c:pt>
                <c:pt idx="47">
                  <c:v>0.05</c:v>
                </c:pt>
                <c:pt idx="48">
                  <c:v>0.05</c:v>
                </c:pt>
                <c:pt idx="49">
                  <c:v>0.05</c:v>
                </c:pt>
                <c:pt idx="50">
                  <c:v>0.06</c:v>
                </c:pt>
                <c:pt idx="51">
                  <c:v>0.05</c:v>
                </c:pt>
                <c:pt idx="52">
                  <c:v>0.05</c:v>
                </c:pt>
                <c:pt idx="53">
                  <c:v>0.05</c:v>
                </c:pt>
                <c:pt idx="54">
                  <c:v>0.04</c:v>
                </c:pt>
                <c:pt idx="55">
                  <c:v>0.04</c:v>
                </c:pt>
                <c:pt idx="56">
                  <c:v>0.04</c:v>
                </c:pt>
                <c:pt idx="57">
                  <c:v>0.04</c:v>
                </c:pt>
                <c:pt idx="58">
                  <c:v>0.04</c:v>
                </c:pt>
                <c:pt idx="59">
                  <c:v>0.04</c:v>
                </c:pt>
                <c:pt idx="60">
                  <c:v>0.04</c:v>
                </c:pt>
                <c:pt idx="61">
                  <c:v>0.04</c:v>
                </c:pt>
                <c:pt idx="62">
                  <c:v>0.04</c:v>
                </c:pt>
                <c:pt idx="63">
                  <c:v>0.04</c:v>
                </c:pt>
                <c:pt idx="64">
                  <c:v>0.05</c:v>
                </c:pt>
                <c:pt idx="65">
                  <c:v>0.05</c:v>
                </c:pt>
                <c:pt idx="66">
                  <c:v>0.05</c:v>
                </c:pt>
                <c:pt idx="67">
                  <c:v>0.05</c:v>
                </c:pt>
                <c:pt idx="68">
                  <c:v>0.05</c:v>
                </c:pt>
                <c:pt idx="69">
                  <c:v>0.05</c:v>
                </c:pt>
                <c:pt idx="70">
                  <c:v>0.05</c:v>
                </c:pt>
                <c:pt idx="71">
                  <c:v>0.05</c:v>
                </c:pt>
                <c:pt idx="72">
                  <c:v>0.05</c:v>
                </c:pt>
                <c:pt idx="73">
                  <c:v>0.05</c:v>
                </c:pt>
                <c:pt idx="74">
                  <c:v>0.05</c:v>
                </c:pt>
                <c:pt idx="75">
                  <c:v>0.06</c:v>
                </c:pt>
                <c:pt idx="76">
                  <c:v>0.06</c:v>
                </c:pt>
                <c:pt idx="77">
                  <c:v>0.06</c:v>
                </c:pt>
                <c:pt idx="78">
                  <c:v>0.06</c:v>
                </c:pt>
                <c:pt idx="79">
                  <c:v>7.0000000000000007E-2</c:v>
                </c:pt>
                <c:pt idx="80">
                  <c:v>7.0000000000000007E-2</c:v>
                </c:pt>
                <c:pt idx="81">
                  <c:v>7.0000000000000007E-2</c:v>
                </c:pt>
                <c:pt idx="82">
                  <c:v>7.0000000000000007E-2</c:v>
                </c:pt>
                <c:pt idx="83">
                  <c:v>7.0000000000000007E-2</c:v>
                </c:pt>
                <c:pt idx="84">
                  <c:v>7.0000000000000007E-2</c:v>
                </c:pt>
                <c:pt idx="85">
                  <c:v>7.0000000000000007E-2</c:v>
                </c:pt>
                <c:pt idx="86">
                  <c:v>7.0000000000000007E-2</c:v>
                </c:pt>
                <c:pt idx="87">
                  <c:v>7.0000000000000007E-2</c:v>
                </c:pt>
                <c:pt idx="88">
                  <c:v>7.0000000000000007E-2</c:v>
                </c:pt>
                <c:pt idx="89">
                  <c:v>0.08</c:v>
                </c:pt>
                <c:pt idx="90">
                  <c:v>0.08</c:v>
                </c:pt>
                <c:pt idx="91">
                  <c:v>0.08</c:v>
                </c:pt>
                <c:pt idx="92">
                  <c:v>0.08</c:v>
                </c:pt>
                <c:pt idx="93">
                  <c:v>0.09</c:v>
                </c:pt>
                <c:pt idx="94">
                  <c:v>0.1</c:v>
                </c:pt>
                <c:pt idx="95">
                  <c:v>0.1</c:v>
                </c:pt>
                <c:pt idx="96">
                  <c:v>0.11</c:v>
                </c:pt>
                <c:pt idx="97">
                  <c:v>0.11</c:v>
                </c:pt>
                <c:pt idx="98">
                  <c:v>0.12</c:v>
                </c:pt>
                <c:pt idx="99">
                  <c:v>0.13</c:v>
                </c:pt>
                <c:pt idx="100">
                  <c:v>0.13</c:v>
                </c:pt>
                <c:pt idx="101">
                  <c:v>0.12</c:v>
                </c:pt>
                <c:pt idx="102">
                  <c:v>0.12</c:v>
                </c:pt>
                <c:pt idx="103">
                  <c:v>0.12</c:v>
                </c:pt>
                <c:pt idx="104">
                  <c:v>0.13</c:v>
                </c:pt>
                <c:pt idx="105">
                  <c:v>0.12</c:v>
                </c:pt>
                <c:pt idx="106">
                  <c:v>0.12</c:v>
                </c:pt>
                <c:pt idx="107">
                  <c:v>0.13</c:v>
                </c:pt>
                <c:pt idx="108">
                  <c:v>0.13</c:v>
                </c:pt>
                <c:pt idx="109">
                  <c:v>0.14000000000000001</c:v>
                </c:pt>
                <c:pt idx="110">
                  <c:v>0.14000000000000001</c:v>
                </c:pt>
                <c:pt idx="111">
                  <c:v>0.15</c:v>
                </c:pt>
                <c:pt idx="112">
                  <c:v>0.15</c:v>
                </c:pt>
                <c:pt idx="113">
                  <c:v>0.15</c:v>
                </c:pt>
                <c:pt idx="114">
                  <c:v>0.15</c:v>
                </c:pt>
                <c:pt idx="115">
                  <c:v>0.16</c:v>
                </c:pt>
                <c:pt idx="116">
                  <c:v>0.16</c:v>
                </c:pt>
                <c:pt idx="117">
                  <c:v>0.17</c:v>
                </c:pt>
                <c:pt idx="118">
                  <c:v>0.16</c:v>
                </c:pt>
                <c:pt idx="119">
                  <c:v>0.17</c:v>
                </c:pt>
                <c:pt idx="120">
                  <c:v>0.16</c:v>
                </c:pt>
                <c:pt idx="121">
                  <c:v>0.17</c:v>
                </c:pt>
                <c:pt idx="122">
                  <c:v>0.16</c:v>
                </c:pt>
                <c:pt idx="123">
                  <c:v>0.16</c:v>
                </c:pt>
                <c:pt idx="124">
                  <c:v>0.17</c:v>
                </c:pt>
                <c:pt idx="125">
                  <c:v>0.17</c:v>
                </c:pt>
                <c:pt idx="126">
                  <c:v>0.18</c:v>
                </c:pt>
                <c:pt idx="127">
                  <c:v>0.19</c:v>
                </c:pt>
                <c:pt idx="128">
                  <c:v>0.19</c:v>
                </c:pt>
                <c:pt idx="129">
                  <c:v>0.2</c:v>
                </c:pt>
                <c:pt idx="130">
                  <c:v>0.21</c:v>
                </c:pt>
                <c:pt idx="131">
                  <c:v>0.21</c:v>
                </c:pt>
                <c:pt idx="132">
                  <c:v>0.22</c:v>
                </c:pt>
                <c:pt idx="133">
                  <c:v>0.22</c:v>
                </c:pt>
                <c:pt idx="134">
                  <c:v>0.23</c:v>
                </c:pt>
                <c:pt idx="135">
                  <c:v>0.23</c:v>
                </c:pt>
                <c:pt idx="136">
                  <c:v>0.24</c:v>
                </c:pt>
                <c:pt idx="137">
                  <c:v>0.25</c:v>
                </c:pt>
                <c:pt idx="138">
                  <c:v>0.25</c:v>
                </c:pt>
                <c:pt idx="139">
                  <c:v>0.26</c:v>
                </c:pt>
                <c:pt idx="140">
                  <c:v>0.26</c:v>
                </c:pt>
                <c:pt idx="141">
                  <c:v>0.27</c:v>
                </c:pt>
                <c:pt idx="142">
                  <c:v>0.27</c:v>
                </c:pt>
                <c:pt idx="143">
                  <c:v>0.27</c:v>
                </c:pt>
                <c:pt idx="144">
                  <c:v>0.28000000000000003</c:v>
                </c:pt>
                <c:pt idx="145">
                  <c:v>0.28000000000000003</c:v>
                </c:pt>
                <c:pt idx="146">
                  <c:v>0.28000000000000003</c:v>
                </c:pt>
                <c:pt idx="147">
                  <c:v>0.28999999999999998</c:v>
                </c:pt>
                <c:pt idx="148">
                  <c:v>0.28999999999999998</c:v>
                </c:pt>
                <c:pt idx="149">
                  <c:v>0.28999999999999998</c:v>
                </c:pt>
                <c:pt idx="150">
                  <c:v>0.28999999999999998</c:v>
                </c:pt>
                <c:pt idx="151">
                  <c:v>0.28999999999999998</c:v>
                </c:pt>
                <c:pt idx="152">
                  <c:v>0.3</c:v>
                </c:pt>
                <c:pt idx="153">
                  <c:v>0.31</c:v>
                </c:pt>
                <c:pt idx="154">
                  <c:v>0.31</c:v>
                </c:pt>
                <c:pt idx="155">
                  <c:v>0.32</c:v>
                </c:pt>
                <c:pt idx="156">
                  <c:v>0.32</c:v>
                </c:pt>
                <c:pt idx="157">
                  <c:v>0.33</c:v>
                </c:pt>
                <c:pt idx="158">
                  <c:v>0.33</c:v>
                </c:pt>
                <c:pt idx="159">
                  <c:v>0.33</c:v>
                </c:pt>
                <c:pt idx="160">
                  <c:v>0.34</c:v>
                </c:pt>
                <c:pt idx="161">
                  <c:v>0.34</c:v>
                </c:pt>
                <c:pt idx="162">
                  <c:v>0.35</c:v>
                </c:pt>
                <c:pt idx="163">
                  <c:v>0.34</c:v>
                </c:pt>
                <c:pt idx="164">
                  <c:v>0.35</c:v>
                </c:pt>
                <c:pt idx="165">
                  <c:v>0.34</c:v>
                </c:pt>
                <c:pt idx="166">
                  <c:v>0.34</c:v>
                </c:pt>
                <c:pt idx="167">
                  <c:v>0.33</c:v>
                </c:pt>
                <c:pt idx="168">
                  <c:v>0.33</c:v>
                </c:pt>
                <c:pt idx="169">
                  <c:v>0.33</c:v>
                </c:pt>
                <c:pt idx="170">
                  <c:v>0.33</c:v>
                </c:pt>
                <c:pt idx="171">
                  <c:v>0.33</c:v>
                </c:pt>
                <c:pt idx="172">
                  <c:v>0.34</c:v>
                </c:pt>
                <c:pt idx="173">
                  <c:v>0.34</c:v>
                </c:pt>
                <c:pt idx="174">
                  <c:v>0.35</c:v>
                </c:pt>
                <c:pt idx="175">
                  <c:v>0.36</c:v>
                </c:pt>
                <c:pt idx="176">
                  <c:v>0.4</c:v>
                </c:pt>
                <c:pt idx="177">
                  <c:v>0.38</c:v>
                </c:pt>
                <c:pt idx="178">
                  <c:v>0.38</c:v>
                </c:pt>
                <c:pt idx="179">
                  <c:v>0.38</c:v>
                </c:pt>
                <c:pt idx="180">
                  <c:v>0.38</c:v>
                </c:pt>
                <c:pt idx="181">
                  <c:v>0.38</c:v>
                </c:pt>
                <c:pt idx="182">
                  <c:v>0.38</c:v>
                </c:pt>
                <c:pt idx="183">
                  <c:v>0.32</c:v>
                </c:pt>
                <c:pt idx="184">
                  <c:v>0.35</c:v>
                </c:pt>
                <c:pt idx="185">
                  <c:v>0.36</c:v>
                </c:pt>
                <c:pt idx="186">
                  <c:v>0.37</c:v>
                </c:pt>
                <c:pt idx="187">
                  <c:v>0.38</c:v>
                </c:pt>
                <c:pt idx="188">
                  <c:v>0.38</c:v>
                </c:pt>
                <c:pt idx="189">
                  <c:v>0.39</c:v>
                </c:pt>
                <c:pt idx="190">
                  <c:v>0.43</c:v>
                </c:pt>
                <c:pt idx="191">
                  <c:v>0.43</c:v>
                </c:pt>
                <c:pt idx="192">
                  <c:v>0.43</c:v>
                </c:pt>
                <c:pt idx="193">
                  <c:v>0.42</c:v>
                </c:pt>
                <c:pt idx="194">
                  <c:v>0.42</c:v>
                </c:pt>
                <c:pt idx="195">
                  <c:v>0.41</c:v>
                </c:pt>
                <c:pt idx="196">
                  <c:v>0.41</c:v>
                </c:pt>
                <c:pt idx="197">
                  <c:v>0.4</c:v>
                </c:pt>
                <c:pt idx="198">
                  <c:v>0.4</c:v>
                </c:pt>
                <c:pt idx="199">
                  <c:v>0.4</c:v>
                </c:pt>
                <c:pt idx="200">
                  <c:v>0.39</c:v>
                </c:pt>
                <c:pt idx="201">
                  <c:v>0.39</c:v>
                </c:pt>
                <c:pt idx="202">
                  <c:v>0.39</c:v>
                </c:pt>
                <c:pt idx="203">
                  <c:v>0.39</c:v>
                </c:pt>
                <c:pt idx="204">
                  <c:v>0.39</c:v>
                </c:pt>
                <c:pt idx="205">
                  <c:v>0.39</c:v>
                </c:pt>
                <c:pt idx="206">
                  <c:v>0.38</c:v>
                </c:pt>
                <c:pt idx="207">
                  <c:v>0.38</c:v>
                </c:pt>
                <c:pt idx="208">
                  <c:v>0.37</c:v>
                </c:pt>
                <c:pt idx="209">
                  <c:v>0.37</c:v>
                </c:pt>
                <c:pt idx="210">
                  <c:v>0.36</c:v>
                </c:pt>
                <c:pt idx="211">
                  <c:v>0.35</c:v>
                </c:pt>
                <c:pt idx="212">
                  <c:v>0.34</c:v>
                </c:pt>
                <c:pt idx="213">
                  <c:v>0.33</c:v>
                </c:pt>
                <c:pt idx="214">
                  <c:v>0.34</c:v>
                </c:pt>
                <c:pt idx="215">
                  <c:v>0.34</c:v>
                </c:pt>
                <c:pt idx="216">
                  <c:v>0.33</c:v>
                </c:pt>
                <c:pt idx="217">
                  <c:v>0.33</c:v>
                </c:pt>
                <c:pt idx="218">
                  <c:v>0.34</c:v>
                </c:pt>
                <c:pt idx="219">
                  <c:v>0.35</c:v>
                </c:pt>
                <c:pt idx="220">
                  <c:v>0.36</c:v>
                </c:pt>
                <c:pt idx="221">
                  <c:v>0.35</c:v>
                </c:pt>
                <c:pt idx="222">
                  <c:v>0.36</c:v>
                </c:pt>
                <c:pt idx="223">
                  <c:v>0.36</c:v>
                </c:pt>
                <c:pt idx="224">
                  <c:v>0.36</c:v>
                </c:pt>
                <c:pt idx="225">
                  <c:v>0.36</c:v>
                </c:pt>
                <c:pt idx="226">
                  <c:v>0.37</c:v>
                </c:pt>
                <c:pt idx="227">
                  <c:v>0.36</c:v>
                </c:pt>
                <c:pt idx="228">
                  <c:v>0.36</c:v>
                </c:pt>
                <c:pt idx="229">
                  <c:v>0.36</c:v>
                </c:pt>
                <c:pt idx="230">
                  <c:v>0.35</c:v>
                </c:pt>
                <c:pt idx="231">
                  <c:v>0.35</c:v>
                </c:pt>
                <c:pt idx="232">
                  <c:v>0.34</c:v>
                </c:pt>
                <c:pt idx="233">
                  <c:v>0.34</c:v>
                </c:pt>
                <c:pt idx="234">
                  <c:v>0.34</c:v>
                </c:pt>
                <c:pt idx="235">
                  <c:v>0.34</c:v>
                </c:pt>
                <c:pt idx="236">
                  <c:v>0.33</c:v>
                </c:pt>
                <c:pt idx="237">
                  <c:v>0.33</c:v>
                </c:pt>
                <c:pt idx="238">
                  <c:v>0.33</c:v>
                </c:pt>
                <c:pt idx="239">
                  <c:v>0.32</c:v>
                </c:pt>
                <c:pt idx="240">
                  <c:v>0.32</c:v>
                </c:pt>
                <c:pt idx="241">
                  <c:v>0.31</c:v>
                </c:pt>
                <c:pt idx="242">
                  <c:v>0.31</c:v>
                </c:pt>
                <c:pt idx="243">
                  <c:v>0.31</c:v>
                </c:pt>
                <c:pt idx="244">
                  <c:v>0.31</c:v>
                </c:pt>
                <c:pt idx="245">
                  <c:v>0.32</c:v>
                </c:pt>
                <c:pt idx="246">
                  <c:v>0.33</c:v>
                </c:pt>
                <c:pt idx="247">
                  <c:v>0.34</c:v>
                </c:pt>
                <c:pt idx="248">
                  <c:v>0.35</c:v>
                </c:pt>
                <c:pt idx="249">
                  <c:v>0.34</c:v>
                </c:pt>
                <c:pt idx="250">
                  <c:v>0.32</c:v>
                </c:pt>
                <c:pt idx="251">
                  <c:v>0.3</c:v>
                </c:pt>
                <c:pt idx="252">
                  <c:v>0.28000000000000003</c:v>
                </c:pt>
                <c:pt idx="253">
                  <c:v>0.27</c:v>
                </c:pt>
                <c:pt idx="254">
                  <c:v>0.25</c:v>
                </c:pt>
                <c:pt idx="255">
                  <c:v>0.23</c:v>
                </c:pt>
                <c:pt idx="256">
                  <c:v>0.23</c:v>
                </c:pt>
                <c:pt idx="257">
                  <c:v>0.24</c:v>
                </c:pt>
                <c:pt idx="258">
                  <c:v>0.24</c:v>
                </c:pt>
                <c:pt idx="259">
                  <c:v>0.24</c:v>
                </c:pt>
                <c:pt idx="260">
                  <c:v>0.23</c:v>
                </c:pt>
                <c:pt idx="261">
                  <c:v>0.23</c:v>
                </c:pt>
                <c:pt idx="262">
                  <c:v>0.23</c:v>
                </c:pt>
                <c:pt idx="263">
                  <c:v>0.23</c:v>
                </c:pt>
                <c:pt idx="264">
                  <c:v>0.23</c:v>
                </c:pt>
                <c:pt idx="265">
                  <c:v>0.23</c:v>
                </c:pt>
                <c:pt idx="266">
                  <c:v>0.23</c:v>
                </c:pt>
                <c:pt idx="267">
                  <c:v>0.23</c:v>
                </c:pt>
                <c:pt idx="268">
                  <c:v>0.23</c:v>
                </c:pt>
                <c:pt idx="269">
                  <c:v>0.23</c:v>
                </c:pt>
                <c:pt idx="270">
                  <c:v>0.23</c:v>
                </c:pt>
                <c:pt idx="271">
                  <c:v>0.23</c:v>
                </c:pt>
                <c:pt idx="272">
                  <c:v>0.23</c:v>
                </c:pt>
                <c:pt idx="273">
                  <c:v>0.23</c:v>
                </c:pt>
                <c:pt idx="274">
                  <c:v>0.23</c:v>
                </c:pt>
                <c:pt idx="275">
                  <c:v>0.24</c:v>
                </c:pt>
                <c:pt idx="276">
                  <c:v>0.25</c:v>
                </c:pt>
                <c:pt idx="277">
                  <c:v>0.26</c:v>
                </c:pt>
                <c:pt idx="278">
                  <c:v>0.27</c:v>
                </c:pt>
                <c:pt idx="279">
                  <c:v>0.28999999999999998</c:v>
                </c:pt>
                <c:pt idx="280">
                  <c:v>0.3</c:v>
                </c:pt>
                <c:pt idx="281">
                  <c:v>0.31</c:v>
                </c:pt>
                <c:pt idx="282">
                  <c:v>0.32</c:v>
                </c:pt>
                <c:pt idx="283">
                  <c:v>0.32</c:v>
                </c:pt>
                <c:pt idx="284">
                  <c:v>0.33</c:v>
                </c:pt>
                <c:pt idx="285">
                  <c:v>0.33</c:v>
                </c:pt>
                <c:pt idx="286">
                  <c:v>0.33</c:v>
                </c:pt>
                <c:pt idx="287">
                  <c:v>0.33</c:v>
                </c:pt>
                <c:pt idx="288">
                  <c:v>0.33</c:v>
                </c:pt>
                <c:pt idx="289">
                  <c:v>0.33</c:v>
                </c:pt>
                <c:pt idx="290">
                  <c:v>0.32</c:v>
                </c:pt>
                <c:pt idx="291">
                  <c:v>0.32</c:v>
                </c:pt>
                <c:pt idx="292">
                  <c:v>0.31</c:v>
                </c:pt>
                <c:pt idx="293">
                  <c:v>0.3</c:v>
                </c:pt>
                <c:pt idx="294">
                  <c:v>0.28999999999999998</c:v>
                </c:pt>
                <c:pt idx="295">
                  <c:v>0.27</c:v>
                </c:pt>
                <c:pt idx="296">
                  <c:v>0.27</c:v>
                </c:pt>
                <c:pt idx="297">
                  <c:v>0.23</c:v>
                </c:pt>
                <c:pt idx="298">
                  <c:v>0.22</c:v>
                </c:pt>
                <c:pt idx="299">
                  <c:v>0.21</c:v>
                </c:pt>
                <c:pt idx="300">
                  <c:v>0.2</c:v>
                </c:pt>
                <c:pt idx="301">
                  <c:v>0.2</c:v>
                </c:pt>
                <c:pt idx="302">
                  <c:v>0.17</c:v>
                </c:pt>
                <c:pt idx="303">
                  <c:v>0.16</c:v>
                </c:pt>
                <c:pt idx="304">
                  <c:v>0.14000000000000001</c:v>
                </c:pt>
                <c:pt idx="305">
                  <c:v>0.12</c:v>
                </c:pt>
                <c:pt idx="306">
                  <c:v>0.12</c:v>
                </c:pt>
                <c:pt idx="307">
                  <c:v>0.11</c:v>
                </c:pt>
                <c:pt idx="308">
                  <c:v>0.12</c:v>
                </c:pt>
                <c:pt idx="309">
                  <c:v>0.13</c:v>
                </c:pt>
                <c:pt idx="310">
                  <c:v>0.14000000000000001</c:v>
                </c:pt>
                <c:pt idx="311">
                  <c:v>0.13</c:v>
                </c:pt>
                <c:pt idx="312">
                  <c:v>0.13</c:v>
                </c:pt>
                <c:pt idx="313">
                  <c:v>0.14000000000000001</c:v>
                </c:pt>
                <c:pt idx="314">
                  <c:v>0.14000000000000001</c:v>
                </c:pt>
                <c:pt idx="315">
                  <c:v>0.14000000000000001</c:v>
                </c:pt>
                <c:pt idx="316">
                  <c:v>0.14000000000000001</c:v>
                </c:pt>
                <c:pt idx="317">
                  <c:v>0.14000000000000001</c:v>
                </c:pt>
                <c:pt idx="318">
                  <c:v>0.14000000000000001</c:v>
                </c:pt>
                <c:pt idx="319">
                  <c:v>0.14000000000000001</c:v>
                </c:pt>
                <c:pt idx="320">
                  <c:v>0.14000000000000001</c:v>
                </c:pt>
                <c:pt idx="321">
                  <c:v>0.14000000000000001</c:v>
                </c:pt>
                <c:pt idx="322">
                  <c:v>0.14000000000000001</c:v>
                </c:pt>
                <c:pt idx="323">
                  <c:v>0.14000000000000001</c:v>
                </c:pt>
                <c:pt idx="324">
                  <c:v>0.14000000000000001</c:v>
                </c:pt>
                <c:pt idx="325">
                  <c:v>0.14000000000000001</c:v>
                </c:pt>
                <c:pt idx="326">
                  <c:v>0.14000000000000001</c:v>
                </c:pt>
                <c:pt idx="327">
                  <c:v>0.14000000000000001</c:v>
                </c:pt>
                <c:pt idx="328">
                  <c:v>0.14000000000000001</c:v>
                </c:pt>
                <c:pt idx="329">
                  <c:v>0.14000000000000001</c:v>
                </c:pt>
                <c:pt idx="330">
                  <c:v>0.14000000000000001</c:v>
                </c:pt>
                <c:pt idx="331">
                  <c:v>0.14000000000000001</c:v>
                </c:pt>
                <c:pt idx="332">
                  <c:v>0.14000000000000001</c:v>
                </c:pt>
                <c:pt idx="333">
                  <c:v>0.14000000000000001</c:v>
                </c:pt>
                <c:pt idx="334">
                  <c:v>0.14000000000000001</c:v>
                </c:pt>
                <c:pt idx="335">
                  <c:v>0.14000000000000001</c:v>
                </c:pt>
                <c:pt idx="336">
                  <c:v>0.14000000000000001</c:v>
                </c:pt>
                <c:pt idx="337">
                  <c:v>0.13</c:v>
                </c:pt>
                <c:pt idx="338">
                  <c:v>0.13</c:v>
                </c:pt>
                <c:pt idx="339">
                  <c:v>0.14000000000000001</c:v>
                </c:pt>
                <c:pt idx="340">
                  <c:v>0.14000000000000001</c:v>
                </c:pt>
                <c:pt idx="341">
                  <c:v>0.14000000000000001</c:v>
                </c:pt>
                <c:pt idx="342">
                  <c:v>0.14000000000000001</c:v>
                </c:pt>
                <c:pt idx="343">
                  <c:v>0.14000000000000001</c:v>
                </c:pt>
                <c:pt idx="344">
                  <c:v>0.15</c:v>
                </c:pt>
                <c:pt idx="345">
                  <c:v>0.15</c:v>
                </c:pt>
                <c:pt idx="346">
                  <c:v>0.15</c:v>
                </c:pt>
                <c:pt idx="347">
                  <c:v>0.15</c:v>
                </c:pt>
                <c:pt idx="348">
                  <c:v>0.16</c:v>
                </c:pt>
                <c:pt idx="349">
                  <c:v>0.16</c:v>
                </c:pt>
                <c:pt idx="350">
                  <c:v>0.16</c:v>
                </c:pt>
                <c:pt idx="351">
                  <c:v>0.16</c:v>
                </c:pt>
                <c:pt idx="352">
                  <c:v>0.17</c:v>
                </c:pt>
                <c:pt idx="353">
                  <c:v>0.17</c:v>
                </c:pt>
                <c:pt idx="354">
                  <c:v>0.17</c:v>
                </c:pt>
                <c:pt idx="355">
                  <c:v>0.17</c:v>
                </c:pt>
                <c:pt idx="356">
                  <c:v>0.16</c:v>
                </c:pt>
                <c:pt idx="357">
                  <c:v>0.16</c:v>
                </c:pt>
                <c:pt idx="358">
                  <c:v>0.16</c:v>
                </c:pt>
                <c:pt idx="359">
                  <c:v>0.16</c:v>
                </c:pt>
                <c:pt idx="360">
                  <c:v>0.16</c:v>
                </c:pt>
                <c:pt idx="361">
                  <c:v>0.16</c:v>
                </c:pt>
                <c:pt idx="362">
                  <c:v>0.16</c:v>
                </c:pt>
                <c:pt idx="363">
                  <c:v>0.17</c:v>
                </c:pt>
                <c:pt idx="364">
                  <c:v>0.17</c:v>
                </c:pt>
                <c:pt idx="365">
                  <c:v>0.17</c:v>
                </c:pt>
                <c:pt idx="366">
                  <c:v>0.17</c:v>
                </c:pt>
                <c:pt idx="367">
                  <c:v>0.17</c:v>
                </c:pt>
                <c:pt idx="368">
                  <c:v>0.18</c:v>
                </c:pt>
                <c:pt idx="369">
                  <c:v>0.19</c:v>
                </c:pt>
                <c:pt idx="370">
                  <c:v>0.19</c:v>
                </c:pt>
                <c:pt idx="371">
                  <c:v>0.2</c:v>
                </c:pt>
                <c:pt idx="372">
                  <c:v>0.22</c:v>
                </c:pt>
                <c:pt idx="373">
                  <c:v>0.23</c:v>
                </c:pt>
                <c:pt idx="374">
                  <c:v>0.24</c:v>
                </c:pt>
                <c:pt idx="375">
                  <c:v>0.24</c:v>
                </c:pt>
                <c:pt idx="376">
                  <c:v>0.24</c:v>
                </c:pt>
                <c:pt idx="377">
                  <c:v>0.25</c:v>
                </c:pt>
                <c:pt idx="378">
                  <c:v>0.24</c:v>
                </c:pt>
                <c:pt idx="379">
                  <c:v>0.25</c:v>
                </c:pt>
                <c:pt idx="380">
                  <c:v>0.25</c:v>
                </c:pt>
                <c:pt idx="381">
                  <c:v>0.25</c:v>
                </c:pt>
                <c:pt idx="382">
                  <c:v>0.25</c:v>
                </c:pt>
                <c:pt idx="383">
                  <c:v>0.25</c:v>
                </c:pt>
                <c:pt idx="384">
                  <c:v>0.25</c:v>
                </c:pt>
                <c:pt idx="385">
                  <c:v>0.25</c:v>
                </c:pt>
                <c:pt idx="386">
                  <c:v>0.25</c:v>
                </c:pt>
                <c:pt idx="387">
                  <c:v>0.25</c:v>
                </c:pt>
                <c:pt idx="388">
                  <c:v>0.25</c:v>
                </c:pt>
                <c:pt idx="389">
                  <c:v>0.26</c:v>
                </c:pt>
                <c:pt idx="390">
                  <c:v>0.25</c:v>
                </c:pt>
                <c:pt idx="391">
                  <c:v>0.25</c:v>
                </c:pt>
                <c:pt idx="392">
                  <c:v>0.25</c:v>
                </c:pt>
                <c:pt idx="393">
                  <c:v>0.24</c:v>
                </c:pt>
                <c:pt idx="394">
                  <c:v>0.25</c:v>
                </c:pt>
                <c:pt idx="395">
                  <c:v>0.25</c:v>
                </c:pt>
                <c:pt idx="396">
                  <c:v>0.25</c:v>
                </c:pt>
                <c:pt idx="397">
                  <c:v>0.28999999999999998</c:v>
                </c:pt>
                <c:pt idx="398">
                  <c:v>0.3</c:v>
                </c:pt>
                <c:pt idx="399">
                  <c:v>0.3</c:v>
                </c:pt>
                <c:pt idx="400">
                  <c:v>0.3</c:v>
                </c:pt>
                <c:pt idx="401">
                  <c:v>0.24</c:v>
                </c:pt>
                <c:pt idx="402">
                  <c:v>0.25</c:v>
                </c:pt>
                <c:pt idx="403">
                  <c:v>0.25</c:v>
                </c:pt>
                <c:pt idx="404">
                  <c:v>0.27</c:v>
                </c:pt>
                <c:pt idx="405">
                  <c:v>0.27</c:v>
                </c:pt>
                <c:pt idx="406">
                  <c:v>0.28000000000000003</c:v>
                </c:pt>
                <c:pt idx="407">
                  <c:v>0.33</c:v>
                </c:pt>
                <c:pt idx="408">
                  <c:v>0.34</c:v>
                </c:pt>
                <c:pt idx="409">
                  <c:v>0.35</c:v>
                </c:pt>
                <c:pt idx="410">
                  <c:v>0.37</c:v>
                </c:pt>
                <c:pt idx="411">
                  <c:v>0.37</c:v>
                </c:pt>
                <c:pt idx="412">
                  <c:v>0.4</c:v>
                </c:pt>
                <c:pt idx="413">
                  <c:v>0.42</c:v>
                </c:pt>
                <c:pt idx="414">
                  <c:v>0.43</c:v>
                </c:pt>
                <c:pt idx="415">
                  <c:v>0.46</c:v>
                </c:pt>
                <c:pt idx="416">
                  <c:v>0.45</c:v>
                </c:pt>
                <c:pt idx="417">
                  <c:v>0.44</c:v>
                </c:pt>
                <c:pt idx="418">
                  <c:v>0.42</c:v>
                </c:pt>
                <c:pt idx="419">
                  <c:v>0.41</c:v>
                </c:pt>
                <c:pt idx="420">
                  <c:v>0.39</c:v>
                </c:pt>
                <c:pt idx="421">
                  <c:v>0.35</c:v>
                </c:pt>
                <c:pt idx="422">
                  <c:v>0.37</c:v>
                </c:pt>
                <c:pt idx="423">
                  <c:v>0.37</c:v>
                </c:pt>
                <c:pt idx="424">
                  <c:v>0.37</c:v>
                </c:pt>
                <c:pt idx="425">
                  <c:v>0.37</c:v>
                </c:pt>
                <c:pt idx="426">
                  <c:v>0.37</c:v>
                </c:pt>
                <c:pt idx="427">
                  <c:v>0.38</c:v>
                </c:pt>
                <c:pt idx="428">
                  <c:v>0.39</c:v>
                </c:pt>
                <c:pt idx="429">
                  <c:v>0.39</c:v>
                </c:pt>
                <c:pt idx="430">
                  <c:v>0.4</c:v>
                </c:pt>
                <c:pt idx="431">
                  <c:v>0.4</c:v>
                </c:pt>
                <c:pt idx="432">
                  <c:v>0.4</c:v>
                </c:pt>
                <c:pt idx="433">
                  <c:v>0.4</c:v>
                </c:pt>
                <c:pt idx="434">
                  <c:v>0.4</c:v>
                </c:pt>
                <c:pt idx="435">
                  <c:v>0.39</c:v>
                </c:pt>
                <c:pt idx="436">
                  <c:v>0.41</c:v>
                </c:pt>
                <c:pt idx="437">
                  <c:v>0.41</c:v>
                </c:pt>
                <c:pt idx="438">
                  <c:v>0.42</c:v>
                </c:pt>
                <c:pt idx="439">
                  <c:v>0.42</c:v>
                </c:pt>
                <c:pt idx="440">
                  <c:v>0.43</c:v>
                </c:pt>
                <c:pt idx="441">
                  <c:v>0.43</c:v>
                </c:pt>
                <c:pt idx="442">
                  <c:v>0.44</c:v>
                </c:pt>
                <c:pt idx="443">
                  <c:v>0.45</c:v>
                </c:pt>
                <c:pt idx="444">
                  <c:v>0.46</c:v>
                </c:pt>
                <c:pt idx="445">
                  <c:v>0.46</c:v>
                </c:pt>
                <c:pt idx="446">
                  <c:v>0.46</c:v>
                </c:pt>
                <c:pt idx="447">
                  <c:v>0.47</c:v>
                </c:pt>
                <c:pt idx="448">
                  <c:v>0.48</c:v>
                </c:pt>
                <c:pt idx="449">
                  <c:v>0.51</c:v>
                </c:pt>
                <c:pt idx="450">
                  <c:v>0.49</c:v>
                </c:pt>
                <c:pt idx="451">
                  <c:v>0.49</c:v>
                </c:pt>
                <c:pt idx="452">
                  <c:v>0.49</c:v>
                </c:pt>
                <c:pt idx="453">
                  <c:v>0.5</c:v>
                </c:pt>
                <c:pt idx="454">
                  <c:v>0.51</c:v>
                </c:pt>
                <c:pt idx="455">
                  <c:v>0.52</c:v>
                </c:pt>
                <c:pt idx="456">
                  <c:v>0.55000000000000004</c:v>
                </c:pt>
                <c:pt idx="457">
                  <c:v>0.45</c:v>
                </c:pt>
                <c:pt idx="458">
                  <c:v>0.46</c:v>
                </c:pt>
                <c:pt idx="459">
                  <c:v>0.47</c:v>
                </c:pt>
                <c:pt idx="460">
                  <c:v>0.47</c:v>
                </c:pt>
                <c:pt idx="461">
                  <c:v>0.49</c:v>
                </c:pt>
                <c:pt idx="462">
                  <c:v>0.5</c:v>
                </c:pt>
                <c:pt idx="463">
                  <c:v>0.55000000000000004</c:v>
                </c:pt>
                <c:pt idx="464">
                  <c:v>0.55000000000000004</c:v>
                </c:pt>
                <c:pt idx="465">
                  <c:v>0.55000000000000004</c:v>
                </c:pt>
                <c:pt idx="466">
                  <c:v>0.55000000000000004</c:v>
                </c:pt>
                <c:pt idx="467">
                  <c:v>0.55000000000000004</c:v>
                </c:pt>
                <c:pt idx="468">
                  <c:v>0.55000000000000004</c:v>
                </c:pt>
                <c:pt idx="469">
                  <c:v>0.55000000000000004</c:v>
                </c:pt>
                <c:pt idx="470">
                  <c:v>0.54</c:v>
                </c:pt>
                <c:pt idx="471">
                  <c:v>0.54</c:v>
                </c:pt>
                <c:pt idx="472">
                  <c:v>0.54</c:v>
                </c:pt>
                <c:pt idx="473">
                  <c:v>0.53</c:v>
                </c:pt>
                <c:pt idx="474">
                  <c:v>0.53</c:v>
                </c:pt>
                <c:pt idx="475">
                  <c:v>0.52</c:v>
                </c:pt>
                <c:pt idx="476">
                  <c:v>0.51</c:v>
                </c:pt>
                <c:pt idx="477">
                  <c:v>0.51</c:v>
                </c:pt>
                <c:pt idx="478">
                  <c:v>0.51</c:v>
                </c:pt>
                <c:pt idx="479">
                  <c:v>0.5</c:v>
                </c:pt>
                <c:pt idx="480">
                  <c:v>0.51</c:v>
                </c:pt>
                <c:pt idx="481">
                  <c:v>0.5</c:v>
                </c:pt>
                <c:pt idx="482">
                  <c:v>0.5</c:v>
                </c:pt>
                <c:pt idx="483">
                  <c:v>0.5</c:v>
                </c:pt>
                <c:pt idx="484">
                  <c:v>0.48</c:v>
                </c:pt>
                <c:pt idx="485">
                  <c:v>0.48</c:v>
                </c:pt>
                <c:pt idx="486">
                  <c:v>0.47</c:v>
                </c:pt>
                <c:pt idx="487">
                  <c:v>0.47</c:v>
                </c:pt>
                <c:pt idx="488">
                  <c:v>0.48</c:v>
                </c:pt>
                <c:pt idx="489">
                  <c:v>0.48</c:v>
                </c:pt>
                <c:pt idx="490">
                  <c:v>0.48</c:v>
                </c:pt>
                <c:pt idx="491">
                  <c:v>0.49</c:v>
                </c:pt>
                <c:pt idx="492">
                  <c:v>0.5</c:v>
                </c:pt>
                <c:pt idx="493">
                  <c:v>0.51</c:v>
                </c:pt>
                <c:pt idx="494">
                  <c:v>0.51</c:v>
                </c:pt>
                <c:pt idx="495">
                  <c:v>0.51</c:v>
                </c:pt>
                <c:pt idx="496">
                  <c:v>0.52</c:v>
                </c:pt>
                <c:pt idx="497">
                  <c:v>0.52</c:v>
                </c:pt>
                <c:pt idx="498">
                  <c:v>0.52</c:v>
                </c:pt>
                <c:pt idx="499">
                  <c:v>0.52</c:v>
                </c:pt>
                <c:pt idx="500">
                  <c:v>0.52</c:v>
                </c:pt>
                <c:pt idx="501">
                  <c:v>0.53</c:v>
                </c:pt>
                <c:pt idx="502">
                  <c:v>0.53</c:v>
                </c:pt>
                <c:pt idx="503">
                  <c:v>0.54</c:v>
                </c:pt>
                <c:pt idx="504">
                  <c:v>0.53</c:v>
                </c:pt>
                <c:pt idx="505">
                  <c:v>0.54</c:v>
                </c:pt>
                <c:pt idx="506">
                  <c:v>0.55000000000000004</c:v>
                </c:pt>
                <c:pt idx="507">
                  <c:v>0.55000000000000004</c:v>
                </c:pt>
                <c:pt idx="508">
                  <c:v>0.56999999999999995</c:v>
                </c:pt>
                <c:pt idx="509">
                  <c:v>0.56999999999999995</c:v>
                </c:pt>
                <c:pt idx="510">
                  <c:v>0.56999999999999995</c:v>
                </c:pt>
                <c:pt idx="511">
                  <c:v>0.56999999999999995</c:v>
                </c:pt>
                <c:pt idx="512">
                  <c:v>0.56999999999999995</c:v>
                </c:pt>
                <c:pt idx="513">
                  <c:v>0.57999999999999996</c:v>
                </c:pt>
                <c:pt idx="514">
                  <c:v>0.56999999999999995</c:v>
                </c:pt>
                <c:pt idx="515">
                  <c:v>0.56000000000000005</c:v>
                </c:pt>
                <c:pt idx="516">
                  <c:v>0.56000000000000005</c:v>
                </c:pt>
                <c:pt idx="517">
                  <c:v>0.56000000000000005</c:v>
                </c:pt>
                <c:pt idx="518">
                  <c:v>0.56000000000000005</c:v>
                </c:pt>
                <c:pt idx="519">
                  <c:v>0.56000000000000005</c:v>
                </c:pt>
                <c:pt idx="520">
                  <c:v>0.56000000000000005</c:v>
                </c:pt>
                <c:pt idx="521">
                  <c:v>0.56999999999999995</c:v>
                </c:pt>
                <c:pt idx="522">
                  <c:v>0.56999999999999995</c:v>
                </c:pt>
                <c:pt idx="523">
                  <c:v>0.57999999999999996</c:v>
                </c:pt>
                <c:pt idx="524">
                  <c:v>0.57999999999999996</c:v>
                </c:pt>
                <c:pt idx="525">
                  <c:v>0.59</c:v>
                </c:pt>
                <c:pt idx="526">
                  <c:v>0.59</c:v>
                </c:pt>
                <c:pt idx="527">
                  <c:v>0.59</c:v>
                </c:pt>
                <c:pt idx="528">
                  <c:v>0.6</c:v>
                </c:pt>
                <c:pt idx="529">
                  <c:v>0.61</c:v>
                </c:pt>
                <c:pt idx="530">
                  <c:v>0.62</c:v>
                </c:pt>
                <c:pt idx="531">
                  <c:v>0.62</c:v>
                </c:pt>
                <c:pt idx="532">
                  <c:v>0.62</c:v>
                </c:pt>
                <c:pt idx="533">
                  <c:v>0.62</c:v>
                </c:pt>
                <c:pt idx="534">
                  <c:v>0.62</c:v>
                </c:pt>
                <c:pt idx="535">
                  <c:v>0.61</c:v>
                </c:pt>
                <c:pt idx="536">
                  <c:v>0.62</c:v>
                </c:pt>
                <c:pt idx="537">
                  <c:v>0.61</c:v>
                </c:pt>
                <c:pt idx="538">
                  <c:v>0.61</c:v>
                </c:pt>
                <c:pt idx="539">
                  <c:v>0.63</c:v>
                </c:pt>
                <c:pt idx="540">
                  <c:v>0.68</c:v>
                </c:pt>
                <c:pt idx="541">
                  <c:v>0.65</c:v>
                </c:pt>
                <c:pt idx="542">
                  <c:v>0.64</c:v>
                </c:pt>
                <c:pt idx="543">
                  <c:v>0.64</c:v>
                </c:pt>
                <c:pt idx="544">
                  <c:v>0.63</c:v>
                </c:pt>
                <c:pt idx="545">
                  <c:v>0.63</c:v>
                </c:pt>
                <c:pt idx="546">
                  <c:v>0.62</c:v>
                </c:pt>
                <c:pt idx="547">
                  <c:v>0.7</c:v>
                </c:pt>
                <c:pt idx="548">
                  <c:v>0.54</c:v>
                </c:pt>
                <c:pt idx="549">
                  <c:v>0.55000000000000004</c:v>
                </c:pt>
                <c:pt idx="550">
                  <c:v>0.55000000000000004</c:v>
                </c:pt>
                <c:pt idx="551">
                  <c:v>0.56000000000000005</c:v>
                </c:pt>
                <c:pt idx="552">
                  <c:v>0.56999999999999995</c:v>
                </c:pt>
                <c:pt idx="553">
                  <c:v>0.57999999999999996</c:v>
                </c:pt>
                <c:pt idx="554">
                  <c:v>0.65</c:v>
                </c:pt>
                <c:pt idx="555">
                  <c:v>0.67</c:v>
                </c:pt>
                <c:pt idx="556">
                  <c:v>0.68</c:v>
                </c:pt>
                <c:pt idx="557">
                  <c:v>0.68</c:v>
                </c:pt>
                <c:pt idx="558">
                  <c:v>0.67</c:v>
                </c:pt>
                <c:pt idx="559">
                  <c:v>0.67</c:v>
                </c:pt>
                <c:pt idx="560">
                  <c:v>0.67</c:v>
                </c:pt>
                <c:pt idx="561">
                  <c:v>0.66</c:v>
                </c:pt>
                <c:pt idx="562">
                  <c:v>0.65</c:v>
                </c:pt>
                <c:pt idx="563">
                  <c:v>0.65</c:v>
                </c:pt>
                <c:pt idx="564">
                  <c:v>0.65</c:v>
                </c:pt>
                <c:pt idx="565">
                  <c:v>0.65</c:v>
                </c:pt>
                <c:pt idx="566">
                  <c:v>0.65</c:v>
                </c:pt>
                <c:pt idx="567">
                  <c:v>0.65</c:v>
                </c:pt>
                <c:pt idx="568">
                  <c:v>0.65</c:v>
                </c:pt>
                <c:pt idx="569">
                  <c:v>0.66</c:v>
                </c:pt>
                <c:pt idx="570">
                  <c:v>0.66</c:v>
                </c:pt>
                <c:pt idx="571">
                  <c:v>0.66</c:v>
                </c:pt>
                <c:pt idx="572">
                  <c:v>0.66</c:v>
                </c:pt>
                <c:pt idx="573">
                  <c:v>0.67</c:v>
                </c:pt>
                <c:pt idx="574">
                  <c:v>0.67</c:v>
                </c:pt>
                <c:pt idx="575">
                  <c:v>0.65</c:v>
                </c:pt>
                <c:pt idx="576">
                  <c:v>0.64</c:v>
                </c:pt>
                <c:pt idx="577">
                  <c:v>0.63</c:v>
                </c:pt>
                <c:pt idx="578">
                  <c:v>0.64</c:v>
                </c:pt>
                <c:pt idx="579">
                  <c:v>0.64</c:v>
                </c:pt>
                <c:pt idx="580">
                  <c:v>0.64</c:v>
                </c:pt>
                <c:pt idx="581">
                  <c:v>0.64</c:v>
                </c:pt>
                <c:pt idx="582">
                  <c:v>0.66</c:v>
                </c:pt>
                <c:pt idx="583">
                  <c:v>0.68</c:v>
                </c:pt>
                <c:pt idx="584">
                  <c:v>0.69</c:v>
                </c:pt>
                <c:pt idx="585">
                  <c:v>0.69</c:v>
                </c:pt>
                <c:pt idx="586">
                  <c:v>0.69</c:v>
                </c:pt>
                <c:pt idx="587">
                  <c:v>0.7</c:v>
                </c:pt>
                <c:pt idx="588">
                  <c:v>0.69</c:v>
                </c:pt>
                <c:pt idx="589">
                  <c:v>0.69</c:v>
                </c:pt>
                <c:pt idx="590">
                  <c:v>0.7</c:v>
                </c:pt>
                <c:pt idx="591">
                  <c:v>0.7</c:v>
                </c:pt>
                <c:pt idx="592">
                  <c:v>0.7</c:v>
                </c:pt>
                <c:pt idx="593">
                  <c:v>0.7</c:v>
                </c:pt>
                <c:pt idx="594">
                  <c:v>0.69</c:v>
                </c:pt>
                <c:pt idx="595">
                  <c:v>0.7</c:v>
                </c:pt>
                <c:pt idx="596">
                  <c:v>0.7</c:v>
                </c:pt>
                <c:pt idx="597">
                  <c:v>0.7</c:v>
                </c:pt>
                <c:pt idx="598">
                  <c:v>0.7</c:v>
                </c:pt>
                <c:pt idx="599">
                  <c:v>0.7</c:v>
                </c:pt>
                <c:pt idx="600">
                  <c:v>0.69</c:v>
                </c:pt>
                <c:pt idx="601">
                  <c:v>0.7</c:v>
                </c:pt>
                <c:pt idx="602">
                  <c:v>0.69</c:v>
                </c:pt>
                <c:pt idx="603">
                  <c:v>0.67</c:v>
                </c:pt>
                <c:pt idx="604">
                  <c:v>0.66</c:v>
                </c:pt>
                <c:pt idx="605">
                  <c:v>0.65</c:v>
                </c:pt>
                <c:pt idx="606">
                  <c:v>0.64</c:v>
                </c:pt>
                <c:pt idx="607">
                  <c:v>0.65</c:v>
                </c:pt>
                <c:pt idx="608">
                  <c:v>0.64</c:v>
                </c:pt>
                <c:pt idx="609">
                  <c:v>0.65</c:v>
                </c:pt>
                <c:pt idx="610">
                  <c:v>0.65</c:v>
                </c:pt>
                <c:pt idx="611">
                  <c:v>0.66</c:v>
                </c:pt>
                <c:pt idx="612">
                  <c:v>0.67</c:v>
                </c:pt>
                <c:pt idx="613">
                  <c:v>0.67</c:v>
                </c:pt>
                <c:pt idx="614">
                  <c:v>0.68</c:v>
                </c:pt>
                <c:pt idx="615">
                  <c:v>0.68</c:v>
                </c:pt>
                <c:pt idx="616">
                  <c:v>0.69</c:v>
                </c:pt>
                <c:pt idx="617">
                  <c:v>0.7</c:v>
                </c:pt>
                <c:pt idx="618">
                  <c:v>0.7</c:v>
                </c:pt>
                <c:pt idx="619">
                  <c:v>0.7</c:v>
                </c:pt>
                <c:pt idx="620">
                  <c:v>0.71</c:v>
                </c:pt>
                <c:pt idx="621">
                  <c:v>0.71</c:v>
                </c:pt>
                <c:pt idx="622">
                  <c:v>0.71</c:v>
                </c:pt>
                <c:pt idx="623">
                  <c:v>0.71</c:v>
                </c:pt>
                <c:pt idx="624">
                  <c:v>0.71</c:v>
                </c:pt>
                <c:pt idx="625">
                  <c:v>0.71</c:v>
                </c:pt>
                <c:pt idx="626">
                  <c:v>0.71</c:v>
                </c:pt>
                <c:pt idx="627">
                  <c:v>0.71</c:v>
                </c:pt>
                <c:pt idx="628">
                  <c:v>0.72</c:v>
                </c:pt>
                <c:pt idx="629">
                  <c:v>0.72</c:v>
                </c:pt>
                <c:pt idx="630">
                  <c:v>0.72</c:v>
                </c:pt>
                <c:pt idx="631">
                  <c:v>0.72</c:v>
                </c:pt>
                <c:pt idx="632">
                  <c:v>0.72</c:v>
                </c:pt>
                <c:pt idx="633">
                  <c:v>0.71</c:v>
                </c:pt>
                <c:pt idx="634">
                  <c:v>0.72</c:v>
                </c:pt>
                <c:pt idx="635">
                  <c:v>0.71</c:v>
                </c:pt>
                <c:pt idx="636">
                  <c:v>0.69</c:v>
                </c:pt>
                <c:pt idx="637">
                  <c:v>0.68</c:v>
                </c:pt>
                <c:pt idx="638">
                  <c:v>0.67</c:v>
                </c:pt>
                <c:pt idx="639">
                  <c:v>0.66</c:v>
                </c:pt>
                <c:pt idx="640">
                  <c:v>0.66</c:v>
                </c:pt>
                <c:pt idx="641">
                  <c:v>0.66</c:v>
                </c:pt>
                <c:pt idx="642">
                  <c:v>0.66</c:v>
                </c:pt>
                <c:pt idx="643">
                  <c:v>0.67</c:v>
                </c:pt>
                <c:pt idx="644">
                  <c:v>0.67</c:v>
                </c:pt>
                <c:pt idx="645">
                  <c:v>0.68</c:v>
                </c:pt>
                <c:pt idx="646">
                  <c:v>0.67</c:v>
                </c:pt>
                <c:pt idx="647">
                  <c:v>0.67</c:v>
                </c:pt>
                <c:pt idx="648">
                  <c:v>0.66</c:v>
                </c:pt>
                <c:pt idx="649">
                  <c:v>0.66</c:v>
                </c:pt>
                <c:pt idx="650">
                  <c:v>0.65</c:v>
                </c:pt>
                <c:pt idx="651">
                  <c:v>0.65</c:v>
                </c:pt>
                <c:pt idx="652">
                  <c:v>0.63</c:v>
                </c:pt>
                <c:pt idx="653">
                  <c:v>0.62</c:v>
                </c:pt>
                <c:pt idx="654">
                  <c:v>0.6</c:v>
                </c:pt>
                <c:pt idx="655">
                  <c:v>0.57999999999999996</c:v>
                </c:pt>
                <c:pt idx="656">
                  <c:v>0.56000000000000005</c:v>
                </c:pt>
                <c:pt idx="657">
                  <c:v>0.54</c:v>
                </c:pt>
                <c:pt idx="658">
                  <c:v>0.53</c:v>
                </c:pt>
                <c:pt idx="659">
                  <c:v>0.53</c:v>
                </c:pt>
                <c:pt idx="660">
                  <c:v>0.56000000000000005</c:v>
                </c:pt>
                <c:pt idx="661">
                  <c:v>0.65</c:v>
                </c:pt>
                <c:pt idx="662">
                  <c:v>0.75</c:v>
                </c:pt>
                <c:pt idx="663">
                  <c:v>0.71</c:v>
                </c:pt>
                <c:pt idx="664">
                  <c:v>0.56999999999999995</c:v>
                </c:pt>
                <c:pt idx="665">
                  <c:v>0.49</c:v>
                </c:pt>
                <c:pt idx="666">
                  <c:v>0.4</c:v>
                </c:pt>
                <c:pt idx="667">
                  <c:v>0.42</c:v>
                </c:pt>
                <c:pt idx="668">
                  <c:v>0.35</c:v>
                </c:pt>
                <c:pt idx="669">
                  <c:v>0.31</c:v>
                </c:pt>
                <c:pt idx="670">
                  <c:v>0.35</c:v>
                </c:pt>
                <c:pt idx="671">
                  <c:v>0.34</c:v>
                </c:pt>
                <c:pt idx="672">
                  <c:v>0.32</c:v>
                </c:pt>
                <c:pt idx="673">
                  <c:v>0.4</c:v>
                </c:pt>
                <c:pt idx="674">
                  <c:v>0.39</c:v>
                </c:pt>
                <c:pt idx="675">
                  <c:v>0.4</c:v>
                </c:pt>
                <c:pt idx="676">
                  <c:v>0.41</c:v>
                </c:pt>
                <c:pt idx="677">
                  <c:v>0.4</c:v>
                </c:pt>
                <c:pt idx="678">
                  <c:v>0.49</c:v>
                </c:pt>
                <c:pt idx="679">
                  <c:v>0.59</c:v>
                </c:pt>
                <c:pt idx="680">
                  <c:v>0.56000000000000005</c:v>
                </c:pt>
                <c:pt idx="681">
                  <c:v>0.55000000000000004</c:v>
                </c:pt>
                <c:pt idx="682">
                  <c:v>0.55000000000000004</c:v>
                </c:pt>
                <c:pt idx="683">
                  <c:v>0.56000000000000005</c:v>
                </c:pt>
                <c:pt idx="684">
                  <c:v>0.56999999999999995</c:v>
                </c:pt>
                <c:pt idx="685">
                  <c:v>0.57999999999999996</c:v>
                </c:pt>
                <c:pt idx="686">
                  <c:v>0.57999999999999996</c:v>
                </c:pt>
                <c:pt idx="687">
                  <c:v>0.56999999999999995</c:v>
                </c:pt>
                <c:pt idx="688">
                  <c:v>0.56999999999999995</c:v>
                </c:pt>
                <c:pt idx="689">
                  <c:v>0.56999999999999995</c:v>
                </c:pt>
                <c:pt idx="690">
                  <c:v>0.57999999999999996</c:v>
                </c:pt>
                <c:pt idx="691">
                  <c:v>0.57999999999999996</c:v>
                </c:pt>
                <c:pt idx="692">
                  <c:v>0.59</c:v>
                </c:pt>
                <c:pt idx="693">
                  <c:v>0.59</c:v>
                </c:pt>
                <c:pt idx="694">
                  <c:v>0.6</c:v>
                </c:pt>
                <c:pt idx="695">
                  <c:v>0.6</c:v>
                </c:pt>
                <c:pt idx="696">
                  <c:v>0.6</c:v>
                </c:pt>
                <c:pt idx="697">
                  <c:v>0.6</c:v>
                </c:pt>
                <c:pt idx="698">
                  <c:v>0.6</c:v>
                </c:pt>
                <c:pt idx="699">
                  <c:v>0.6</c:v>
                </c:pt>
                <c:pt idx="700">
                  <c:v>0.59</c:v>
                </c:pt>
                <c:pt idx="701">
                  <c:v>0.57999999999999996</c:v>
                </c:pt>
                <c:pt idx="702">
                  <c:v>0.57999999999999996</c:v>
                </c:pt>
                <c:pt idx="703">
                  <c:v>0.57999999999999996</c:v>
                </c:pt>
                <c:pt idx="704">
                  <c:v>0.57999999999999996</c:v>
                </c:pt>
                <c:pt idx="705">
                  <c:v>0.57999999999999996</c:v>
                </c:pt>
                <c:pt idx="706">
                  <c:v>0.6</c:v>
                </c:pt>
                <c:pt idx="707">
                  <c:v>0.62</c:v>
                </c:pt>
                <c:pt idx="708">
                  <c:v>0.66</c:v>
                </c:pt>
                <c:pt idx="709">
                  <c:v>0.67</c:v>
                </c:pt>
                <c:pt idx="710">
                  <c:v>0.69</c:v>
                </c:pt>
                <c:pt idx="711">
                  <c:v>0.72</c:v>
                </c:pt>
                <c:pt idx="712">
                  <c:v>0.74</c:v>
                </c:pt>
                <c:pt idx="713">
                  <c:v>0.74</c:v>
                </c:pt>
                <c:pt idx="714">
                  <c:v>0.73</c:v>
                </c:pt>
                <c:pt idx="715">
                  <c:v>0.74</c:v>
                </c:pt>
                <c:pt idx="716">
                  <c:v>0.74</c:v>
                </c:pt>
                <c:pt idx="717">
                  <c:v>0.74</c:v>
                </c:pt>
                <c:pt idx="718">
                  <c:v>0.73</c:v>
                </c:pt>
                <c:pt idx="719">
                  <c:v>0.66</c:v>
                </c:pt>
                <c:pt idx="720">
                  <c:v>0.63</c:v>
                </c:pt>
                <c:pt idx="721">
                  <c:v>0.61</c:v>
                </c:pt>
                <c:pt idx="722">
                  <c:v>0.59</c:v>
                </c:pt>
                <c:pt idx="723">
                  <c:v>0.6</c:v>
                </c:pt>
                <c:pt idx="724">
                  <c:v>0.61</c:v>
                </c:pt>
                <c:pt idx="725">
                  <c:v>0.6</c:v>
                </c:pt>
                <c:pt idx="726">
                  <c:v>0.66</c:v>
                </c:pt>
                <c:pt idx="727">
                  <c:v>0.68</c:v>
                </c:pt>
                <c:pt idx="728">
                  <c:v>0.7</c:v>
                </c:pt>
                <c:pt idx="729">
                  <c:v>0.7</c:v>
                </c:pt>
                <c:pt idx="730">
                  <c:v>0.69</c:v>
                </c:pt>
                <c:pt idx="731">
                  <c:v>0.68</c:v>
                </c:pt>
                <c:pt idx="732">
                  <c:v>0.69</c:v>
                </c:pt>
                <c:pt idx="733">
                  <c:v>0.7</c:v>
                </c:pt>
                <c:pt idx="734">
                  <c:v>0.69</c:v>
                </c:pt>
                <c:pt idx="735">
                  <c:v>0.7</c:v>
                </c:pt>
                <c:pt idx="736">
                  <c:v>0.73</c:v>
                </c:pt>
                <c:pt idx="737">
                  <c:v>0.74</c:v>
                </c:pt>
                <c:pt idx="738">
                  <c:v>0.76</c:v>
                </c:pt>
                <c:pt idx="739">
                  <c:v>0.78</c:v>
                </c:pt>
                <c:pt idx="740">
                  <c:v>0.78</c:v>
                </c:pt>
                <c:pt idx="741">
                  <c:v>0.79</c:v>
                </c:pt>
                <c:pt idx="742">
                  <c:v>0.79</c:v>
                </c:pt>
                <c:pt idx="743">
                  <c:v>0.79</c:v>
                </c:pt>
                <c:pt idx="744">
                  <c:v>0.79</c:v>
                </c:pt>
                <c:pt idx="745">
                  <c:v>0.78</c:v>
                </c:pt>
                <c:pt idx="746">
                  <c:v>0.79</c:v>
                </c:pt>
                <c:pt idx="747">
                  <c:v>0.8</c:v>
                </c:pt>
                <c:pt idx="748">
                  <c:v>0.79</c:v>
                </c:pt>
                <c:pt idx="749">
                  <c:v>0.79</c:v>
                </c:pt>
                <c:pt idx="750">
                  <c:v>0.78</c:v>
                </c:pt>
                <c:pt idx="751">
                  <c:v>0.78</c:v>
                </c:pt>
                <c:pt idx="752">
                  <c:v>0.78</c:v>
                </c:pt>
                <c:pt idx="753">
                  <c:v>0.77</c:v>
                </c:pt>
                <c:pt idx="754">
                  <c:v>0.75</c:v>
                </c:pt>
                <c:pt idx="755">
                  <c:v>0.75</c:v>
                </c:pt>
                <c:pt idx="756">
                  <c:v>0.75</c:v>
                </c:pt>
                <c:pt idx="757">
                  <c:v>0.74</c:v>
                </c:pt>
                <c:pt idx="758">
                  <c:v>0.74</c:v>
                </c:pt>
                <c:pt idx="759">
                  <c:v>0.72</c:v>
                </c:pt>
                <c:pt idx="760">
                  <c:v>0.71</c:v>
                </c:pt>
                <c:pt idx="761">
                  <c:v>0.72</c:v>
                </c:pt>
                <c:pt idx="762">
                  <c:v>0.72</c:v>
                </c:pt>
                <c:pt idx="763">
                  <c:v>0.73</c:v>
                </c:pt>
                <c:pt idx="764">
                  <c:v>0.74</c:v>
                </c:pt>
                <c:pt idx="765">
                  <c:v>0.74</c:v>
                </c:pt>
                <c:pt idx="766">
                  <c:v>0.76</c:v>
                </c:pt>
                <c:pt idx="767">
                  <c:v>0.77</c:v>
                </c:pt>
                <c:pt idx="768">
                  <c:v>0.77</c:v>
                </c:pt>
                <c:pt idx="769">
                  <c:v>0.78</c:v>
                </c:pt>
                <c:pt idx="770">
                  <c:v>0.78</c:v>
                </c:pt>
                <c:pt idx="771">
                  <c:v>0.8</c:v>
                </c:pt>
                <c:pt idx="772">
                  <c:v>0.8</c:v>
                </c:pt>
                <c:pt idx="773">
                  <c:v>0.8</c:v>
                </c:pt>
                <c:pt idx="774">
                  <c:v>0.81</c:v>
                </c:pt>
                <c:pt idx="775">
                  <c:v>0.83</c:v>
                </c:pt>
                <c:pt idx="776">
                  <c:v>0.83</c:v>
                </c:pt>
                <c:pt idx="777">
                  <c:v>0.83</c:v>
                </c:pt>
                <c:pt idx="778">
                  <c:v>0.86</c:v>
                </c:pt>
                <c:pt idx="779">
                  <c:v>0.82</c:v>
                </c:pt>
                <c:pt idx="780">
                  <c:v>0.82</c:v>
                </c:pt>
                <c:pt idx="781">
                  <c:v>0.81</c:v>
                </c:pt>
                <c:pt idx="782">
                  <c:v>0.79</c:v>
                </c:pt>
                <c:pt idx="783">
                  <c:v>0.79</c:v>
                </c:pt>
                <c:pt idx="784">
                  <c:v>0.78</c:v>
                </c:pt>
                <c:pt idx="785">
                  <c:v>0.76</c:v>
                </c:pt>
                <c:pt idx="786">
                  <c:v>0.77</c:v>
                </c:pt>
                <c:pt idx="787">
                  <c:v>0.76</c:v>
                </c:pt>
                <c:pt idx="788">
                  <c:v>0.77</c:v>
                </c:pt>
                <c:pt idx="789">
                  <c:v>0.76</c:v>
                </c:pt>
                <c:pt idx="790">
                  <c:v>0.77</c:v>
                </c:pt>
                <c:pt idx="791">
                  <c:v>0.78</c:v>
                </c:pt>
                <c:pt idx="792">
                  <c:v>0.82</c:v>
                </c:pt>
                <c:pt idx="793">
                  <c:v>0.8</c:v>
                </c:pt>
                <c:pt idx="794">
                  <c:v>0.81</c:v>
                </c:pt>
                <c:pt idx="795">
                  <c:v>0.81</c:v>
                </c:pt>
                <c:pt idx="796">
                  <c:v>0.82</c:v>
                </c:pt>
                <c:pt idx="797">
                  <c:v>0.81</c:v>
                </c:pt>
                <c:pt idx="798">
                  <c:v>0.8</c:v>
                </c:pt>
                <c:pt idx="799">
                  <c:v>0.77</c:v>
                </c:pt>
                <c:pt idx="800">
                  <c:v>0.81</c:v>
                </c:pt>
                <c:pt idx="801">
                  <c:v>0.82</c:v>
                </c:pt>
                <c:pt idx="802">
                  <c:v>0.83</c:v>
                </c:pt>
                <c:pt idx="803">
                  <c:v>0.83</c:v>
                </c:pt>
                <c:pt idx="804">
                  <c:v>0.84</c:v>
                </c:pt>
                <c:pt idx="805">
                  <c:v>0.84</c:v>
                </c:pt>
                <c:pt idx="806">
                  <c:v>0.86</c:v>
                </c:pt>
                <c:pt idx="807">
                  <c:v>0.87</c:v>
                </c:pt>
                <c:pt idx="808">
                  <c:v>0.89</c:v>
                </c:pt>
                <c:pt idx="809">
                  <c:v>0.9</c:v>
                </c:pt>
                <c:pt idx="810">
                  <c:v>0.91</c:v>
                </c:pt>
                <c:pt idx="811">
                  <c:v>0.91</c:v>
                </c:pt>
                <c:pt idx="812">
                  <c:v>0.92</c:v>
                </c:pt>
                <c:pt idx="813">
                  <c:v>0.92</c:v>
                </c:pt>
                <c:pt idx="814">
                  <c:v>0.89</c:v>
                </c:pt>
                <c:pt idx="815">
                  <c:v>0.87</c:v>
                </c:pt>
                <c:pt idx="816">
                  <c:v>0.87</c:v>
                </c:pt>
                <c:pt idx="817">
                  <c:v>0.86</c:v>
                </c:pt>
                <c:pt idx="818">
                  <c:v>0.85</c:v>
                </c:pt>
                <c:pt idx="819">
                  <c:v>0.83</c:v>
                </c:pt>
                <c:pt idx="820">
                  <c:v>0.79</c:v>
                </c:pt>
                <c:pt idx="821">
                  <c:v>0.8</c:v>
                </c:pt>
                <c:pt idx="822">
                  <c:v>0.82</c:v>
                </c:pt>
                <c:pt idx="823">
                  <c:v>0.8</c:v>
                </c:pt>
                <c:pt idx="824">
                  <c:v>0.78</c:v>
                </c:pt>
                <c:pt idx="825">
                  <c:v>0.77</c:v>
                </c:pt>
                <c:pt idx="826">
                  <c:v>0.79</c:v>
                </c:pt>
                <c:pt idx="827">
                  <c:v>0.81</c:v>
                </c:pt>
                <c:pt idx="828">
                  <c:v>0.81</c:v>
                </c:pt>
                <c:pt idx="829">
                  <c:v>0.8</c:v>
                </c:pt>
                <c:pt idx="830">
                  <c:v>0.8</c:v>
                </c:pt>
                <c:pt idx="831">
                  <c:v>0.81</c:v>
                </c:pt>
                <c:pt idx="832">
                  <c:v>0.82</c:v>
                </c:pt>
                <c:pt idx="833">
                  <c:v>0.82</c:v>
                </c:pt>
                <c:pt idx="834">
                  <c:v>0.83</c:v>
                </c:pt>
              </c:numCache>
            </c:numRef>
          </c:val>
          <c:smooth val="0"/>
          <c:extLst>
            <c:ext xmlns:c16="http://schemas.microsoft.com/office/drawing/2014/chart" uri="{C3380CC4-5D6E-409C-BE32-E72D297353CC}">
              <c16:uniqueId val="{00000000-D4FE-4FD0-9C58-6AB6CBAAF6E4}"/>
            </c:ext>
          </c:extLst>
        </c:ser>
        <c:ser>
          <c:idx val="1"/>
          <c:order val="1"/>
          <c:tx>
            <c:strRef>
              <c:f>Rail!$C$1</c:f>
              <c:strCache>
                <c:ptCount val="1"/>
                <c:pt idx="0">
                  <c:v>Transport for London Tube</c:v>
                </c:pt>
              </c:strCache>
            </c:strRef>
          </c:tx>
          <c:spPr>
            <a:ln w="28575" cap="rnd">
              <a:solidFill>
                <a:schemeClr val="accent2"/>
              </a:solidFill>
              <a:round/>
            </a:ln>
            <a:effectLst/>
          </c:spPr>
          <c:marker>
            <c:symbol val="none"/>
          </c:marker>
          <c:cat>
            <c:numRef>
              <c:f>Rail!$A$2:$A$836</c:f>
              <c:numCache>
                <c:formatCode>m/d/yyyy</c:formatCode>
                <c:ptCount val="835"/>
                <c:pt idx="0">
                  <c:v>43891</c:v>
                </c:pt>
                <c:pt idx="1">
                  <c:v>43892</c:v>
                </c:pt>
                <c:pt idx="2">
                  <c:v>43893</c:v>
                </c:pt>
                <c:pt idx="3">
                  <c:v>43894</c:v>
                </c:pt>
                <c:pt idx="4">
                  <c:v>43895</c:v>
                </c:pt>
                <c:pt idx="5">
                  <c:v>43896</c:v>
                </c:pt>
                <c:pt idx="6">
                  <c:v>43897</c:v>
                </c:pt>
                <c:pt idx="7">
                  <c:v>43898</c:v>
                </c:pt>
                <c:pt idx="8">
                  <c:v>43899</c:v>
                </c:pt>
                <c:pt idx="9">
                  <c:v>43900</c:v>
                </c:pt>
                <c:pt idx="10">
                  <c:v>43901</c:v>
                </c:pt>
                <c:pt idx="11">
                  <c:v>43902</c:v>
                </c:pt>
                <c:pt idx="12">
                  <c:v>43903</c:v>
                </c:pt>
                <c:pt idx="13">
                  <c:v>43904</c:v>
                </c:pt>
                <c:pt idx="14">
                  <c:v>43905</c:v>
                </c:pt>
                <c:pt idx="15">
                  <c:v>43906</c:v>
                </c:pt>
                <c:pt idx="16">
                  <c:v>43907</c:v>
                </c:pt>
                <c:pt idx="17">
                  <c:v>43908</c:v>
                </c:pt>
                <c:pt idx="18">
                  <c:v>43909</c:v>
                </c:pt>
                <c:pt idx="19">
                  <c:v>43910</c:v>
                </c:pt>
                <c:pt idx="20">
                  <c:v>43911</c:v>
                </c:pt>
                <c:pt idx="21">
                  <c:v>43912</c:v>
                </c:pt>
                <c:pt idx="22">
                  <c:v>43913</c:v>
                </c:pt>
                <c:pt idx="23">
                  <c:v>43914</c:v>
                </c:pt>
                <c:pt idx="24">
                  <c:v>43915</c:v>
                </c:pt>
                <c:pt idx="25">
                  <c:v>43916</c:v>
                </c:pt>
                <c:pt idx="26">
                  <c:v>43917</c:v>
                </c:pt>
                <c:pt idx="27">
                  <c:v>43918</c:v>
                </c:pt>
                <c:pt idx="28">
                  <c:v>43919</c:v>
                </c:pt>
                <c:pt idx="29">
                  <c:v>43920</c:v>
                </c:pt>
                <c:pt idx="30">
                  <c:v>43921</c:v>
                </c:pt>
                <c:pt idx="31">
                  <c:v>43922</c:v>
                </c:pt>
                <c:pt idx="32">
                  <c:v>43923</c:v>
                </c:pt>
                <c:pt idx="33">
                  <c:v>43924</c:v>
                </c:pt>
                <c:pt idx="34">
                  <c:v>43925</c:v>
                </c:pt>
                <c:pt idx="35">
                  <c:v>43926</c:v>
                </c:pt>
                <c:pt idx="36">
                  <c:v>43927</c:v>
                </c:pt>
                <c:pt idx="37">
                  <c:v>43928</c:v>
                </c:pt>
                <c:pt idx="38">
                  <c:v>43929</c:v>
                </c:pt>
                <c:pt idx="39">
                  <c:v>43930</c:v>
                </c:pt>
                <c:pt idx="40">
                  <c:v>43931</c:v>
                </c:pt>
                <c:pt idx="41">
                  <c:v>43932</c:v>
                </c:pt>
                <c:pt idx="42">
                  <c:v>43933</c:v>
                </c:pt>
                <c:pt idx="43">
                  <c:v>43934</c:v>
                </c:pt>
                <c:pt idx="44">
                  <c:v>43935</c:v>
                </c:pt>
                <c:pt idx="45">
                  <c:v>43936</c:v>
                </c:pt>
                <c:pt idx="46">
                  <c:v>43937</c:v>
                </c:pt>
                <c:pt idx="47">
                  <c:v>43938</c:v>
                </c:pt>
                <c:pt idx="48">
                  <c:v>43939</c:v>
                </c:pt>
                <c:pt idx="49">
                  <c:v>43940</c:v>
                </c:pt>
                <c:pt idx="50">
                  <c:v>43941</c:v>
                </c:pt>
                <c:pt idx="51">
                  <c:v>43942</c:v>
                </c:pt>
                <c:pt idx="52">
                  <c:v>43943</c:v>
                </c:pt>
                <c:pt idx="53">
                  <c:v>43944</c:v>
                </c:pt>
                <c:pt idx="54">
                  <c:v>43945</c:v>
                </c:pt>
                <c:pt idx="55">
                  <c:v>43946</c:v>
                </c:pt>
                <c:pt idx="56">
                  <c:v>43947</c:v>
                </c:pt>
                <c:pt idx="57">
                  <c:v>43948</c:v>
                </c:pt>
                <c:pt idx="58">
                  <c:v>43949</c:v>
                </c:pt>
                <c:pt idx="59">
                  <c:v>43950</c:v>
                </c:pt>
                <c:pt idx="60">
                  <c:v>43951</c:v>
                </c:pt>
                <c:pt idx="61">
                  <c:v>43952</c:v>
                </c:pt>
                <c:pt idx="62">
                  <c:v>43953</c:v>
                </c:pt>
                <c:pt idx="63">
                  <c:v>43954</c:v>
                </c:pt>
                <c:pt idx="64">
                  <c:v>43955</c:v>
                </c:pt>
                <c:pt idx="65">
                  <c:v>43956</c:v>
                </c:pt>
                <c:pt idx="66">
                  <c:v>43957</c:v>
                </c:pt>
                <c:pt idx="67">
                  <c:v>43958</c:v>
                </c:pt>
                <c:pt idx="68">
                  <c:v>43959</c:v>
                </c:pt>
                <c:pt idx="69">
                  <c:v>43960</c:v>
                </c:pt>
                <c:pt idx="70">
                  <c:v>43961</c:v>
                </c:pt>
                <c:pt idx="71">
                  <c:v>43962</c:v>
                </c:pt>
                <c:pt idx="72">
                  <c:v>43963</c:v>
                </c:pt>
                <c:pt idx="73">
                  <c:v>43964</c:v>
                </c:pt>
                <c:pt idx="74">
                  <c:v>43965</c:v>
                </c:pt>
                <c:pt idx="75">
                  <c:v>43966</c:v>
                </c:pt>
                <c:pt idx="76">
                  <c:v>43967</c:v>
                </c:pt>
                <c:pt idx="77">
                  <c:v>43968</c:v>
                </c:pt>
                <c:pt idx="78">
                  <c:v>43969</c:v>
                </c:pt>
                <c:pt idx="79">
                  <c:v>43970</c:v>
                </c:pt>
                <c:pt idx="80">
                  <c:v>43971</c:v>
                </c:pt>
                <c:pt idx="81">
                  <c:v>43972</c:v>
                </c:pt>
                <c:pt idx="82">
                  <c:v>43973</c:v>
                </c:pt>
                <c:pt idx="83">
                  <c:v>43974</c:v>
                </c:pt>
                <c:pt idx="84">
                  <c:v>43975</c:v>
                </c:pt>
                <c:pt idx="85">
                  <c:v>43976</c:v>
                </c:pt>
                <c:pt idx="86">
                  <c:v>43977</c:v>
                </c:pt>
                <c:pt idx="87">
                  <c:v>43978</c:v>
                </c:pt>
                <c:pt idx="88">
                  <c:v>43979</c:v>
                </c:pt>
                <c:pt idx="89">
                  <c:v>43980</c:v>
                </c:pt>
                <c:pt idx="90">
                  <c:v>43981</c:v>
                </c:pt>
                <c:pt idx="91">
                  <c:v>43982</c:v>
                </c:pt>
                <c:pt idx="92">
                  <c:v>43983</c:v>
                </c:pt>
                <c:pt idx="93">
                  <c:v>43984</c:v>
                </c:pt>
                <c:pt idx="94">
                  <c:v>43985</c:v>
                </c:pt>
                <c:pt idx="95">
                  <c:v>43986</c:v>
                </c:pt>
                <c:pt idx="96">
                  <c:v>43987</c:v>
                </c:pt>
                <c:pt idx="97">
                  <c:v>43988</c:v>
                </c:pt>
                <c:pt idx="98">
                  <c:v>43989</c:v>
                </c:pt>
                <c:pt idx="99">
                  <c:v>43990</c:v>
                </c:pt>
                <c:pt idx="100">
                  <c:v>43991</c:v>
                </c:pt>
                <c:pt idx="101">
                  <c:v>43992</c:v>
                </c:pt>
                <c:pt idx="102">
                  <c:v>43993</c:v>
                </c:pt>
                <c:pt idx="103">
                  <c:v>43994</c:v>
                </c:pt>
                <c:pt idx="104">
                  <c:v>43995</c:v>
                </c:pt>
                <c:pt idx="105">
                  <c:v>43996</c:v>
                </c:pt>
                <c:pt idx="106">
                  <c:v>43997</c:v>
                </c:pt>
                <c:pt idx="107">
                  <c:v>43998</c:v>
                </c:pt>
                <c:pt idx="108">
                  <c:v>43999</c:v>
                </c:pt>
                <c:pt idx="109">
                  <c:v>44000</c:v>
                </c:pt>
                <c:pt idx="110">
                  <c:v>44001</c:v>
                </c:pt>
                <c:pt idx="111">
                  <c:v>44002</c:v>
                </c:pt>
                <c:pt idx="112">
                  <c:v>44003</c:v>
                </c:pt>
                <c:pt idx="113">
                  <c:v>44004</c:v>
                </c:pt>
                <c:pt idx="114">
                  <c:v>44005</c:v>
                </c:pt>
                <c:pt idx="115">
                  <c:v>44006</c:v>
                </c:pt>
                <c:pt idx="116">
                  <c:v>44007</c:v>
                </c:pt>
                <c:pt idx="117">
                  <c:v>44008</c:v>
                </c:pt>
                <c:pt idx="118">
                  <c:v>44009</c:v>
                </c:pt>
                <c:pt idx="119">
                  <c:v>44010</c:v>
                </c:pt>
                <c:pt idx="120">
                  <c:v>44011</c:v>
                </c:pt>
                <c:pt idx="121">
                  <c:v>44012</c:v>
                </c:pt>
                <c:pt idx="122">
                  <c:v>44013</c:v>
                </c:pt>
                <c:pt idx="123">
                  <c:v>44014</c:v>
                </c:pt>
                <c:pt idx="124">
                  <c:v>44015</c:v>
                </c:pt>
                <c:pt idx="125">
                  <c:v>44016</c:v>
                </c:pt>
                <c:pt idx="126">
                  <c:v>44017</c:v>
                </c:pt>
                <c:pt idx="127">
                  <c:v>44018</c:v>
                </c:pt>
                <c:pt idx="128">
                  <c:v>44019</c:v>
                </c:pt>
                <c:pt idx="129">
                  <c:v>44020</c:v>
                </c:pt>
                <c:pt idx="130">
                  <c:v>44021</c:v>
                </c:pt>
                <c:pt idx="131">
                  <c:v>44022</c:v>
                </c:pt>
                <c:pt idx="132">
                  <c:v>44023</c:v>
                </c:pt>
                <c:pt idx="133">
                  <c:v>44024</c:v>
                </c:pt>
                <c:pt idx="134">
                  <c:v>44025</c:v>
                </c:pt>
                <c:pt idx="135">
                  <c:v>44026</c:v>
                </c:pt>
                <c:pt idx="136">
                  <c:v>44027</c:v>
                </c:pt>
                <c:pt idx="137">
                  <c:v>44028</c:v>
                </c:pt>
                <c:pt idx="138">
                  <c:v>44029</c:v>
                </c:pt>
                <c:pt idx="139">
                  <c:v>44030</c:v>
                </c:pt>
                <c:pt idx="140">
                  <c:v>44031</c:v>
                </c:pt>
                <c:pt idx="141">
                  <c:v>44032</c:v>
                </c:pt>
                <c:pt idx="142">
                  <c:v>44033</c:v>
                </c:pt>
                <c:pt idx="143">
                  <c:v>44034</c:v>
                </c:pt>
                <c:pt idx="144">
                  <c:v>44035</c:v>
                </c:pt>
                <c:pt idx="145">
                  <c:v>44036</c:v>
                </c:pt>
                <c:pt idx="146">
                  <c:v>44037</c:v>
                </c:pt>
                <c:pt idx="147">
                  <c:v>44038</c:v>
                </c:pt>
                <c:pt idx="148">
                  <c:v>44039</c:v>
                </c:pt>
                <c:pt idx="149">
                  <c:v>44040</c:v>
                </c:pt>
                <c:pt idx="150">
                  <c:v>44041</c:v>
                </c:pt>
                <c:pt idx="151">
                  <c:v>44042</c:v>
                </c:pt>
                <c:pt idx="152">
                  <c:v>44043</c:v>
                </c:pt>
                <c:pt idx="153">
                  <c:v>44044</c:v>
                </c:pt>
                <c:pt idx="154">
                  <c:v>44045</c:v>
                </c:pt>
                <c:pt idx="155">
                  <c:v>44046</c:v>
                </c:pt>
                <c:pt idx="156">
                  <c:v>44047</c:v>
                </c:pt>
                <c:pt idx="157">
                  <c:v>44048</c:v>
                </c:pt>
                <c:pt idx="158">
                  <c:v>44049</c:v>
                </c:pt>
                <c:pt idx="159">
                  <c:v>44050</c:v>
                </c:pt>
                <c:pt idx="160">
                  <c:v>44051</c:v>
                </c:pt>
                <c:pt idx="161">
                  <c:v>44052</c:v>
                </c:pt>
                <c:pt idx="162">
                  <c:v>44053</c:v>
                </c:pt>
                <c:pt idx="163">
                  <c:v>44054</c:v>
                </c:pt>
                <c:pt idx="164">
                  <c:v>44055</c:v>
                </c:pt>
                <c:pt idx="165">
                  <c:v>44056</c:v>
                </c:pt>
                <c:pt idx="166">
                  <c:v>44057</c:v>
                </c:pt>
                <c:pt idx="167">
                  <c:v>44058</c:v>
                </c:pt>
                <c:pt idx="168">
                  <c:v>44059</c:v>
                </c:pt>
                <c:pt idx="169">
                  <c:v>44060</c:v>
                </c:pt>
                <c:pt idx="170">
                  <c:v>44061</c:v>
                </c:pt>
                <c:pt idx="171">
                  <c:v>44062</c:v>
                </c:pt>
                <c:pt idx="172">
                  <c:v>44063</c:v>
                </c:pt>
                <c:pt idx="173">
                  <c:v>44064</c:v>
                </c:pt>
                <c:pt idx="174">
                  <c:v>44065</c:v>
                </c:pt>
                <c:pt idx="175">
                  <c:v>44066</c:v>
                </c:pt>
                <c:pt idx="176">
                  <c:v>44067</c:v>
                </c:pt>
                <c:pt idx="177">
                  <c:v>44068</c:v>
                </c:pt>
                <c:pt idx="178">
                  <c:v>44069</c:v>
                </c:pt>
                <c:pt idx="179">
                  <c:v>44070</c:v>
                </c:pt>
                <c:pt idx="180">
                  <c:v>44071</c:v>
                </c:pt>
                <c:pt idx="181">
                  <c:v>44072</c:v>
                </c:pt>
                <c:pt idx="182">
                  <c:v>44073</c:v>
                </c:pt>
                <c:pt idx="183">
                  <c:v>44074</c:v>
                </c:pt>
                <c:pt idx="184">
                  <c:v>44075</c:v>
                </c:pt>
                <c:pt idx="185">
                  <c:v>44076</c:v>
                </c:pt>
                <c:pt idx="186">
                  <c:v>44077</c:v>
                </c:pt>
                <c:pt idx="187">
                  <c:v>44078</c:v>
                </c:pt>
                <c:pt idx="188">
                  <c:v>44079</c:v>
                </c:pt>
                <c:pt idx="189">
                  <c:v>44080</c:v>
                </c:pt>
                <c:pt idx="190">
                  <c:v>44081</c:v>
                </c:pt>
                <c:pt idx="191">
                  <c:v>44082</c:v>
                </c:pt>
                <c:pt idx="192">
                  <c:v>44083</c:v>
                </c:pt>
                <c:pt idx="193">
                  <c:v>44084</c:v>
                </c:pt>
                <c:pt idx="194">
                  <c:v>44085</c:v>
                </c:pt>
                <c:pt idx="195">
                  <c:v>44086</c:v>
                </c:pt>
                <c:pt idx="196">
                  <c:v>44087</c:v>
                </c:pt>
                <c:pt idx="197">
                  <c:v>44088</c:v>
                </c:pt>
                <c:pt idx="198">
                  <c:v>44089</c:v>
                </c:pt>
                <c:pt idx="199">
                  <c:v>44090</c:v>
                </c:pt>
                <c:pt idx="200">
                  <c:v>44091</c:v>
                </c:pt>
                <c:pt idx="201">
                  <c:v>44092</c:v>
                </c:pt>
                <c:pt idx="202">
                  <c:v>44093</c:v>
                </c:pt>
                <c:pt idx="203">
                  <c:v>44094</c:v>
                </c:pt>
                <c:pt idx="204">
                  <c:v>44095</c:v>
                </c:pt>
                <c:pt idx="205">
                  <c:v>44096</c:v>
                </c:pt>
                <c:pt idx="206">
                  <c:v>44097</c:v>
                </c:pt>
                <c:pt idx="207">
                  <c:v>44098</c:v>
                </c:pt>
                <c:pt idx="208">
                  <c:v>44099</c:v>
                </c:pt>
                <c:pt idx="209">
                  <c:v>44100</c:v>
                </c:pt>
                <c:pt idx="210">
                  <c:v>44101</c:v>
                </c:pt>
                <c:pt idx="211">
                  <c:v>44102</c:v>
                </c:pt>
                <c:pt idx="212">
                  <c:v>44103</c:v>
                </c:pt>
                <c:pt idx="213">
                  <c:v>44104</c:v>
                </c:pt>
                <c:pt idx="214">
                  <c:v>44105</c:v>
                </c:pt>
                <c:pt idx="215">
                  <c:v>44106</c:v>
                </c:pt>
                <c:pt idx="216">
                  <c:v>44107</c:v>
                </c:pt>
                <c:pt idx="217">
                  <c:v>44108</c:v>
                </c:pt>
                <c:pt idx="218">
                  <c:v>44109</c:v>
                </c:pt>
                <c:pt idx="219">
                  <c:v>44110</c:v>
                </c:pt>
                <c:pt idx="220">
                  <c:v>44111</c:v>
                </c:pt>
                <c:pt idx="221">
                  <c:v>44112</c:v>
                </c:pt>
                <c:pt idx="222">
                  <c:v>44113</c:v>
                </c:pt>
                <c:pt idx="223">
                  <c:v>44114</c:v>
                </c:pt>
                <c:pt idx="224">
                  <c:v>44115</c:v>
                </c:pt>
                <c:pt idx="225">
                  <c:v>44116</c:v>
                </c:pt>
                <c:pt idx="226">
                  <c:v>44117</c:v>
                </c:pt>
                <c:pt idx="227">
                  <c:v>44118</c:v>
                </c:pt>
                <c:pt idx="228">
                  <c:v>44119</c:v>
                </c:pt>
                <c:pt idx="229">
                  <c:v>44120</c:v>
                </c:pt>
                <c:pt idx="230">
                  <c:v>44121</c:v>
                </c:pt>
                <c:pt idx="231">
                  <c:v>44122</c:v>
                </c:pt>
                <c:pt idx="232">
                  <c:v>44123</c:v>
                </c:pt>
                <c:pt idx="233">
                  <c:v>44124</c:v>
                </c:pt>
                <c:pt idx="234">
                  <c:v>44125</c:v>
                </c:pt>
                <c:pt idx="235">
                  <c:v>44126</c:v>
                </c:pt>
                <c:pt idx="236">
                  <c:v>44127</c:v>
                </c:pt>
                <c:pt idx="237">
                  <c:v>44128</c:v>
                </c:pt>
                <c:pt idx="238">
                  <c:v>44129</c:v>
                </c:pt>
                <c:pt idx="239">
                  <c:v>44130</c:v>
                </c:pt>
                <c:pt idx="240">
                  <c:v>44131</c:v>
                </c:pt>
                <c:pt idx="241">
                  <c:v>44132</c:v>
                </c:pt>
                <c:pt idx="242">
                  <c:v>44133</c:v>
                </c:pt>
                <c:pt idx="243">
                  <c:v>44134</c:v>
                </c:pt>
                <c:pt idx="244">
                  <c:v>44135</c:v>
                </c:pt>
                <c:pt idx="245">
                  <c:v>44136</c:v>
                </c:pt>
                <c:pt idx="246">
                  <c:v>44137</c:v>
                </c:pt>
                <c:pt idx="247">
                  <c:v>44138</c:v>
                </c:pt>
                <c:pt idx="248">
                  <c:v>44139</c:v>
                </c:pt>
                <c:pt idx="249">
                  <c:v>44140</c:v>
                </c:pt>
                <c:pt idx="250">
                  <c:v>44141</c:v>
                </c:pt>
                <c:pt idx="251">
                  <c:v>44142</c:v>
                </c:pt>
                <c:pt idx="252">
                  <c:v>44143</c:v>
                </c:pt>
                <c:pt idx="253">
                  <c:v>44144</c:v>
                </c:pt>
                <c:pt idx="254">
                  <c:v>44145</c:v>
                </c:pt>
                <c:pt idx="255">
                  <c:v>44146</c:v>
                </c:pt>
                <c:pt idx="256">
                  <c:v>44147</c:v>
                </c:pt>
                <c:pt idx="257">
                  <c:v>44148</c:v>
                </c:pt>
                <c:pt idx="258">
                  <c:v>44149</c:v>
                </c:pt>
                <c:pt idx="259">
                  <c:v>44150</c:v>
                </c:pt>
                <c:pt idx="260">
                  <c:v>44151</c:v>
                </c:pt>
                <c:pt idx="261">
                  <c:v>44152</c:v>
                </c:pt>
                <c:pt idx="262">
                  <c:v>44153</c:v>
                </c:pt>
                <c:pt idx="263">
                  <c:v>44154</c:v>
                </c:pt>
                <c:pt idx="264">
                  <c:v>44155</c:v>
                </c:pt>
                <c:pt idx="265">
                  <c:v>44156</c:v>
                </c:pt>
                <c:pt idx="266">
                  <c:v>44157</c:v>
                </c:pt>
                <c:pt idx="267">
                  <c:v>44158</c:v>
                </c:pt>
                <c:pt idx="268">
                  <c:v>44159</c:v>
                </c:pt>
                <c:pt idx="269">
                  <c:v>44160</c:v>
                </c:pt>
                <c:pt idx="270">
                  <c:v>44161</c:v>
                </c:pt>
                <c:pt idx="271">
                  <c:v>44162</c:v>
                </c:pt>
                <c:pt idx="272">
                  <c:v>44163</c:v>
                </c:pt>
                <c:pt idx="273">
                  <c:v>44164</c:v>
                </c:pt>
                <c:pt idx="274">
                  <c:v>44165</c:v>
                </c:pt>
                <c:pt idx="275">
                  <c:v>44166</c:v>
                </c:pt>
                <c:pt idx="276">
                  <c:v>44167</c:v>
                </c:pt>
                <c:pt idx="277">
                  <c:v>44168</c:v>
                </c:pt>
                <c:pt idx="278">
                  <c:v>44169</c:v>
                </c:pt>
                <c:pt idx="279">
                  <c:v>44170</c:v>
                </c:pt>
                <c:pt idx="280">
                  <c:v>44171</c:v>
                </c:pt>
                <c:pt idx="281">
                  <c:v>44172</c:v>
                </c:pt>
                <c:pt idx="282">
                  <c:v>44173</c:v>
                </c:pt>
                <c:pt idx="283">
                  <c:v>44174</c:v>
                </c:pt>
                <c:pt idx="284">
                  <c:v>44175</c:v>
                </c:pt>
                <c:pt idx="285">
                  <c:v>44176</c:v>
                </c:pt>
                <c:pt idx="286">
                  <c:v>44177</c:v>
                </c:pt>
                <c:pt idx="287">
                  <c:v>44178</c:v>
                </c:pt>
                <c:pt idx="288">
                  <c:v>44179</c:v>
                </c:pt>
                <c:pt idx="289">
                  <c:v>44180</c:v>
                </c:pt>
                <c:pt idx="290">
                  <c:v>44181</c:v>
                </c:pt>
                <c:pt idx="291">
                  <c:v>44182</c:v>
                </c:pt>
                <c:pt idx="292">
                  <c:v>44183</c:v>
                </c:pt>
                <c:pt idx="293">
                  <c:v>44184</c:v>
                </c:pt>
                <c:pt idx="294">
                  <c:v>44185</c:v>
                </c:pt>
                <c:pt idx="295">
                  <c:v>44186</c:v>
                </c:pt>
                <c:pt idx="296">
                  <c:v>44187</c:v>
                </c:pt>
                <c:pt idx="297">
                  <c:v>44188</c:v>
                </c:pt>
                <c:pt idx="298">
                  <c:v>44189</c:v>
                </c:pt>
                <c:pt idx="299">
                  <c:v>44190</c:v>
                </c:pt>
                <c:pt idx="300">
                  <c:v>44191</c:v>
                </c:pt>
                <c:pt idx="301">
                  <c:v>44192</c:v>
                </c:pt>
                <c:pt idx="302">
                  <c:v>44193</c:v>
                </c:pt>
                <c:pt idx="303">
                  <c:v>44194</c:v>
                </c:pt>
                <c:pt idx="304">
                  <c:v>44195</c:v>
                </c:pt>
                <c:pt idx="305">
                  <c:v>44196</c:v>
                </c:pt>
                <c:pt idx="306">
                  <c:v>44197</c:v>
                </c:pt>
                <c:pt idx="307">
                  <c:v>44198</c:v>
                </c:pt>
                <c:pt idx="308">
                  <c:v>44199</c:v>
                </c:pt>
                <c:pt idx="309">
                  <c:v>44200</c:v>
                </c:pt>
                <c:pt idx="310">
                  <c:v>44201</c:v>
                </c:pt>
                <c:pt idx="311">
                  <c:v>44202</c:v>
                </c:pt>
                <c:pt idx="312">
                  <c:v>44203</c:v>
                </c:pt>
                <c:pt idx="313">
                  <c:v>44204</c:v>
                </c:pt>
                <c:pt idx="314">
                  <c:v>44205</c:v>
                </c:pt>
                <c:pt idx="315">
                  <c:v>44206</c:v>
                </c:pt>
                <c:pt idx="316">
                  <c:v>44207</c:v>
                </c:pt>
                <c:pt idx="317">
                  <c:v>44208</c:v>
                </c:pt>
                <c:pt idx="318">
                  <c:v>44209</c:v>
                </c:pt>
                <c:pt idx="319">
                  <c:v>44210</c:v>
                </c:pt>
                <c:pt idx="320">
                  <c:v>44211</c:v>
                </c:pt>
                <c:pt idx="321">
                  <c:v>44212</c:v>
                </c:pt>
                <c:pt idx="322">
                  <c:v>44213</c:v>
                </c:pt>
                <c:pt idx="323">
                  <c:v>44214</c:v>
                </c:pt>
                <c:pt idx="324">
                  <c:v>44215</c:v>
                </c:pt>
                <c:pt idx="325">
                  <c:v>44216</c:v>
                </c:pt>
                <c:pt idx="326">
                  <c:v>44217</c:v>
                </c:pt>
                <c:pt idx="327">
                  <c:v>44218</c:v>
                </c:pt>
                <c:pt idx="328">
                  <c:v>44219</c:v>
                </c:pt>
                <c:pt idx="329">
                  <c:v>44220</c:v>
                </c:pt>
                <c:pt idx="330">
                  <c:v>44221</c:v>
                </c:pt>
                <c:pt idx="331">
                  <c:v>44222</c:v>
                </c:pt>
                <c:pt idx="332">
                  <c:v>44223</c:v>
                </c:pt>
                <c:pt idx="333">
                  <c:v>44224</c:v>
                </c:pt>
                <c:pt idx="334">
                  <c:v>44225</c:v>
                </c:pt>
                <c:pt idx="335">
                  <c:v>44226</c:v>
                </c:pt>
                <c:pt idx="336">
                  <c:v>44227</c:v>
                </c:pt>
                <c:pt idx="337">
                  <c:v>44228</c:v>
                </c:pt>
                <c:pt idx="338">
                  <c:v>44229</c:v>
                </c:pt>
                <c:pt idx="339">
                  <c:v>44230</c:v>
                </c:pt>
                <c:pt idx="340">
                  <c:v>44231</c:v>
                </c:pt>
                <c:pt idx="341">
                  <c:v>44232</c:v>
                </c:pt>
                <c:pt idx="342">
                  <c:v>44233</c:v>
                </c:pt>
                <c:pt idx="343">
                  <c:v>44234</c:v>
                </c:pt>
                <c:pt idx="344">
                  <c:v>44235</c:v>
                </c:pt>
                <c:pt idx="345">
                  <c:v>44236</c:v>
                </c:pt>
                <c:pt idx="346">
                  <c:v>44237</c:v>
                </c:pt>
                <c:pt idx="347">
                  <c:v>44238</c:v>
                </c:pt>
                <c:pt idx="348">
                  <c:v>44239</c:v>
                </c:pt>
                <c:pt idx="349">
                  <c:v>44240</c:v>
                </c:pt>
                <c:pt idx="350">
                  <c:v>44241</c:v>
                </c:pt>
                <c:pt idx="351">
                  <c:v>44242</c:v>
                </c:pt>
                <c:pt idx="352">
                  <c:v>44243</c:v>
                </c:pt>
                <c:pt idx="353">
                  <c:v>44244</c:v>
                </c:pt>
                <c:pt idx="354">
                  <c:v>44245</c:v>
                </c:pt>
                <c:pt idx="355">
                  <c:v>44246</c:v>
                </c:pt>
                <c:pt idx="356">
                  <c:v>44247</c:v>
                </c:pt>
                <c:pt idx="357">
                  <c:v>44248</c:v>
                </c:pt>
                <c:pt idx="358">
                  <c:v>44249</c:v>
                </c:pt>
                <c:pt idx="359">
                  <c:v>44250</c:v>
                </c:pt>
                <c:pt idx="360">
                  <c:v>44251</c:v>
                </c:pt>
                <c:pt idx="361">
                  <c:v>44252</c:v>
                </c:pt>
                <c:pt idx="362">
                  <c:v>44253</c:v>
                </c:pt>
                <c:pt idx="363">
                  <c:v>44254</c:v>
                </c:pt>
                <c:pt idx="364">
                  <c:v>44255</c:v>
                </c:pt>
                <c:pt idx="365">
                  <c:v>44256</c:v>
                </c:pt>
                <c:pt idx="366">
                  <c:v>44257</c:v>
                </c:pt>
                <c:pt idx="367">
                  <c:v>44258</c:v>
                </c:pt>
                <c:pt idx="368">
                  <c:v>44259</c:v>
                </c:pt>
                <c:pt idx="369">
                  <c:v>44260</c:v>
                </c:pt>
                <c:pt idx="370">
                  <c:v>44261</c:v>
                </c:pt>
                <c:pt idx="371">
                  <c:v>44262</c:v>
                </c:pt>
                <c:pt idx="372">
                  <c:v>44263</c:v>
                </c:pt>
                <c:pt idx="373">
                  <c:v>44264</c:v>
                </c:pt>
                <c:pt idx="374">
                  <c:v>44265</c:v>
                </c:pt>
                <c:pt idx="375">
                  <c:v>44266</c:v>
                </c:pt>
                <c:pt idx="376">
                  <c:v>44267</c:v>
                </c:pt>
                <c:pt idx="377">
                  <c:v>44268</c:v>
                </c:pt>
                <c:pt idx="378">
                  <c:v>44269</c:v>
                </c:pt>
                <c:pt idx="379">
                  <c:v>44270</c:v>
                </c:pt>
                <c:pt idx="380">
                  <c:v>44271</c:v>
                </c:pt>
                <c:pt idx="381">
                  <c:v>44272</c:v>
                </c:pt>
                <c:pt idx="382">
                  <c:v>44273</c:v>
                </c:pt>
                <c:pt idx="383">
                  <c:v>44274</c:v>
                </c:pt>
                <c:pt idx="384">
                  <c:v>44275</c:v>
                </c:pt>
                <c:pt idx="385">
                  <c:v>44276</c:v>
                </c:pt>
                <c:pt idx="386">
                  <c:v>44277</c:v>
                </c:pt>
                <c:pt idx="387">
                  <c:v>44278</c:v>
                </c:pt>
                <c:pt idx="388">
                  <c:v>44279</c:v>
                </c:pt>
                <c:pt idx="389">
                  <c:v>44280</c:v>
                </c:pt>
                <c:pt idx="390">
                  <c:v>44281</c:v>
                </c:pt>
                <c:pt idx="391">
                  <c:v>44282</c:v>
                </c:pt>
                <c:pt idx="392">
                  <c:v>44283</c:v>
                </c:pt>
                <c:pt idx="393">
                  <c:v>44284</c:v>
                </c:pt>
                <c:pt idx="394">
                  <c:v>44285</c:v>
                </c:pt>
                <c:pt idx="395">
                  <c:v>44286</c:v>
                </c:pt>
                <c:pt idx="396">
                  <c:v>44287</c:v>
                </c:pt>
                <c:pt idx="397">
                  <c:v>44288</c:v>
                </c:pt>
                <c:pt idx="398">
                  <c:v>44289</c:v>
                </c:pt>
                <c:pt idx="399">
                  <c:v>44290</c:v>
                </c:pt>
                <c:pt idx="400">
                  <c:v>44291</c:v>
                </c:pt>
                <c:pt idx="401">
                  <c:v>44292</c:v>
                </c:pt>
                <c:pt idx="402">
                  <c:v>44293</c:v>
                </c:pt>
                <c:pt idx="403">
                  <c:v>44294</c:v>
                </c:pt>
                <c:pt idx="404">
                  <c:v>44295</c:v>
                </c:pt>
                <c:pt idx="405">
                  <c:v>44296</c:v>
                </c:pt>
                <c:pt idx="406">
                  <c:v>44297</c:v>
                </c:pt>
                <c:pt idx="407">
                  <c:v>44298</c:v>
                </c:pt>
                <c:pt idx="408">
                  <c:v>44299</c:v>
                </c:pt>
                <c:pt idx="409">
                  <c:v>44300</c:v>
                </c:pt>
                <c:pt idx="410">
                  <c:v>44301</c:v>
                </c:pt>
                <c:pt idx="411">
                  <c:v>44302</c:v>
                </c:pt>
                <c:pt idx="412">
                  <c:v>44303</c:v>
                </c:pt>
                <c:pt idx="413">
                  <c:v>44304</c:v>
                </c:pt>
                <c:pt idx="414">
                  <c:v>44305</c:v>
                </c:pt>
                <c:pt idx="415">
                  <c:v>44306</c:v>
                </c:pt>
                <c:pt idx="416">
                  <c:v>44307</c:v>
                </c:pt>
                <c:pt idx="417">
                  <c:v>44308</c:v>
                </c:pt>
                <c:pt idx="418">
                  <c:v>44309</c:v>
                </c:pt>
                <c:pt idx="419">
                  <c:v>44310</c:v>
                </c:pt>
                <c:pt idx="420">
                  <c:v>44311</c:v>
                </c:pt>
                <c:pt idx="421">
                  <c:v>44312</c:v>
                </c:pt>
                <c:pt idx="422">
                  <c:v>44313</c:v>
                </c:pt>
                <c:pt idx="423">
                  <c:v>44314</c:v>
                </c:pt>
                <c:pt idx="424">
                  <c:v>44315</c:v>
                </c:pt>
                <c:pt idx="425">
                  <c:v>44316</c:v>
                </c:pt>
                <c:pt idx="426">
                  <c:v>44317</c:v>
                </c:pt>
                <c:pt idx="427">
                  <c:v>44318</c:v>
                </c:pt>
                <c:pt idx="428">
                  <c:v>44319</c:v>
                </c:pt>
                <c:pt idx="429">
                  <c:v>44320</c:v>
                </c:pt>
                <c:pt idx="430">
                  <c:v>44321</c:v>
                </c:pt>
                <c:pt idx="431">
                  <c:v>44322</c:v>
                </c:pt>
                <c:pt idx="432">
                  <c:v>44323</c:v>
                </c:pt>
                <c:pt idx="433">
                  <c:v>44324</c:v>
                </c:pt>
                <c:pt idx="434">
                  <c:v>44325</c:v>
                </c:pt>
                <c:pt idx="435">
                  <c:v>44326</c:v>
                </c:pt>
                <c:pt idx="436">
                  <c:v>44327</c:v>
                </c:pt>
                <c:pt idx="437">
                  <c:v>44328</c:v>
                </c:pt>
                <c:pt idx="438">
                  <c:v>44329</c:v>
                </c:pt>
                <c:pt idx="439">
                  <c:v>44330</c:v>
                </c:pt>
                <c:pt idx="440">
                  <c:v>44331</c:v>
                </c:pt>
                <c:pt idx="441">
                  <c:v>44332</c:v>
                </c:pt>
                <c:pt idx="442">
                  <c:v>44333</c:v>
                </c:pt>
                <c:pt idx="443">
                  <c:v>44334</c:v>
                </c:pt>
                <c:pt idx="444">
                  <c:v>44335</c:v>
                </c:pt>
                <c:pt idx="445">
                  <c:v>44336</c:v>
                </c:pt>
                <c:pt idx="446">
                  <c:v>44337</c:v>
                </c:pt>
                <c:pt idx="447">
                  <c:v>44338</c:v>
                </c:pt>
                <c:pt idx="448">
                  <c:v>44339</c:v>
                </c:pt>
                <c:pt idx="449">
                  <c:v>44340</c:v>
                </c:pt>
                <c:pt idx="450">
                  <c:v>44341</c:v>
                </c:pt>
                <c:pt idx="451">
                  <c:v>44342</c:v>
                </c:pt>
                <c:pt idx="452">
                  <c:v>44343</c:v>
                </c:pt>
                <c:pt idx="453">
                  <c:v>44344</c:v>
                </c:pt>
                <c:pt idx="454">
                  <c:v>44345</c:v>
                </c:pt>
                <c:pt idx="455">
                  <c:v>44346</c:v>
                </c:pt>
                <c:pt idx="456">
                  <c:v>44347</c:v>
                </c:pt>
                <c:pt idx="457">
                  <c:v>44348</c:v>
                </c:pt>
                <c:pt idx="458">
                  <c:v>44349</c:v>
                </c:pt>
                <c:pt idx="459">
                  <c:v>44350</c:v>
                </c:pt>
                <c:pt idx="460">
                  <c:v>44351</c:v>
                </c:pt>
                <c:pt idx="461">
                  <c:v>44352</c:v>
                </c:pt>
                <c:pt idx="462">
                  <c:v>44353</c:v>
                </c:pt>
                <c:pt idx="463">
                  <c:v>44354</c:v>
                </c:pt>
                <c:pt idx="464">
                  <c:v>44355</c:v>
                </c:pt>
                <c:pt idx="465">
                  <c:v>44356</c:v>
                </c:pt>
                <c:pt idx="466">
                  <c:v>44357</c:v>
                </c:pt>
                <c:pt idx="467">
                  <c:v>44358</c:v>
                </c:pt>
                <c:pt idx="468">
                  <c:v>44359</c:v>
                </c:pt>
                <c:pt idx="469">
                  <c:v>44360</c:v>
                </c:pt>
                <c:pt idx="470">
                  <c:v>44361</c:v>
                </c:pt>
                <c:pt idx="471">
                  <c:v>44362</c:v>
                </c:pt>
                <c:pt idx="472">
                  <c:v>44363</c:v>
                </c:pt>
                <c:pt idx="473">
                  <c:v>44364</c:v>
                </c:pt>
                <c:pt idx="474">
                  <c:v>44365</c:v>
                </c:pt>
                <c:pt idx="475">
                  <c:v>44366</c:v>
                </c:pt>
                <c:pt idx="476">
                  <c:v>44367</c:v>
                </c:pt>
                <c:pt idx="477">
                  <c:v>44368</c:v>
                </c:pt>
                <c:pt idx="478">
                  <c:v>44369</c:v>
                </c:pt>
                <c:pt idx="479">
                  <c:v>44370</c:v>
                </c:pt>
                <c:pt idx="480">
                  <c:v>44371</c:v>
                </c:pt>
                <c:pt idx="481">
                  <c:v>44372</c:v>
                </c:pt>
                <c:pt idx="482">
                  <c:v>44373</c:v>
                </c:pt>
                <c:pt idx="483">
                  <c:v>44374</c:v>
                </c:pt>
                <c:pt idx="484">
                  <c:v>44375</c:v>
                </c:pt>
                <c:pt idx="485">
                  <c:v>44376</c:v>
                </c:pt>
                <c:pt idx="486">
                  <c:v>44377</c:v>
                </c:pt>
                <c:pt idx="487">
                  <c:v>44378</c:v>
                </c:pt>
                <c:pt idx="488">
                  <c:v>44379</c:v>
                </c:pt>
                <c:pt idx="489">
                  <c:v>44380</c:v>
                </c:pt>
                <c:pt idx="490">
                  <c:v>44381</c:v>
                </c:pt>
                <c:pt idx="491">
                  <c:v>44382</c:v>
                </c:pt>
                <c:pt idx="492">
                  <c:v>44383</c:v>
                </c:pt>
                <c:pt idx="493">
                  <c:v>44384</c:v>
                </c:pt>
                <c:pt idx="494">
                  <c:v>44385</c:v>
                </c:pt>
                <c:pt idx="495">
                  <c:v>44386</c:v>
                </c:pt>
                <c:pt idx="496">
                  <c:v>44387</c:v>
                </c:pt>
                <c:pt idx="497">
                  <c:v>44388</c:v>
                </c:pt>
                <c:pt idx="498">
                  <c:v>44389</c:v>
                </c:pt>
                <c:pt idx="499">
                  <c:v>44390</c:v>
                </c:pt>
                <c:pt idx="500">
                  <c:v>44391</c:v>
                </c:pt>
                <c:pt idx="501">
                  <c:v>44392</c:v>
                </c:pt>
                <c:pt idx="502">
                  <c:v>44393</c:v>
                </c:pt>
                <c:pt idx="503">
                  <c:v>44394</c:v>
                </c:pt>
                <c:pt idx="504">
                  <c:v>44395</c:v>
                </c:pt>
                <c:pt idx="505">
                  <c:v>44396</c:v>
                </c:pt>
                <c:pt idx="506">
                  <c:v>44397</c:v>
                </c:pt>
                <c:pt idx="507">
                  <c:v>44398</c:v>
                </c:pt>
                <c:pt idx="508">
                  <c:v>44399</c:v>
                </c:pt>
                <c:pt idx="509">
                  <c:v>44400</c:v>
                </c:pt>
                <c:pt idx="510">
                  <c:v>44401</c:v>
                </c:pt>
                <c:pt idx="511">
                  <c:v>44402</c:v>
                </c:pt>
                <c:pt idx="512">
                  <c:v>44403</c:v>
                </c:pt>
                <c:pt idx="513">
                  <c:v>44404</c:v>
                </c:pt>
                <c:pt idx="514">
                  <c:v>44405</c:v>
                </c:pt>
                <c:pt idx="515">
                  <c:v>44406</c:v>
                </c:pt>
                <c:pt idx="516">
                  <c:v>44407</c:v>
                </c:pt>
                <c:pt idx="517">
                  <c:v>44408</c:v>
                </c:pt>
                <c:pt idx="518">
                  <c:v>44409</c:v>
                </c:pt>
                <c:pt idx="519">
                  <c:v>44410</c:v>
                </c:pt>
                <c:pt idx="520">
                  <c:v>44411</c:v>
                </c:pt>
                <c:pt idx="521">
                  <c:v>44412</c:v>
                </c:pt>
                <c:pt idx="522">
                  <c:v>44413</c:v>
                </c:pt>
                <c:pt idx="523">
                  <c:v>44414</c:v>
                </c:pt>
                <c:pt idx="524">
                  <c:v>44415</c:v>
                </c:pt>
                <c:pt idx="525">
                  <c:v>44416</c:v>
                </c:pt>
                <c:pt idx="526">
                  <c:v>44417</c:v>
                </c:pt>
                <c:pt idx="527">
                  <c:v>44418</c:v>
                </c:pt>
                <c:pt idx="528">
                  <c:v>44419</c:v>
                </c:pt>
                <c:pt idx="529">
                  <c:v>44420</c:v>
                </c:pt>
                <c:pt idx="530">
                  <c:v>44421</c:v>
                </c:pt>
                <c:pt idx="531">
                  <c:v>44422</c:v>
                </c:pt>
                <c:pt idx="532">
                  <c:v>44423</c:v>
                </c:pt>
                <c:pt idx="533">
                  <c:v>44424</c:v>
                </c:pt>
                <c:pt idx="534">
                  <c:v>44425</c:v>
                </c:pt>
                <c:pt idx="535">
                  <c:v>44426</c:v>
                </c:pt>
                <c:pt idx="536">
                  <c:v>44427</c:v>
                </c:pt>
                <c:pt idx="537">
                  <c:v>44428</c:v>
                </c:pt>
                <c:pt idx="538">
                  <c:v>44429</c:v>
                </c:pt>
                <c:pt idx="539">
                  <c:v>44430</c:v>
                </c:pt>
                <c:pt idx="540">
                  <c:v>44431</c:v>
                </c:pt>
                <c:pt idx="541">
                  <c:v>44432</c:v>
                </c:pt>
                <c:pt idx="542">
                  <c:v>44433</c:v>
                </c:pt>
                <c:pt idx="543">
                  <c:v>44434</c:v>
                </c:pt>
                <c:pt idx="544">
                  <c:v>44435</c:v>
                </c:pt>
                <c:pt idx="545">
                  <c:v>44436</c:v>
                </c:pt>
                <c:pt idx="546">
                  <c:v>44437</c:v>
                </c:pt>
                <c:pt idx="547">
                  <c:v>44438</c:v>
                </c:pt>
                <c:pt idx="548">
                  <c:v>44439</c:v>
                </c:pt>
                <c:pt idx="549">
                  <c:v>44440</c:v>
                </c:pt>
                <c:pt idx="550">
                  <c:v>44441</c:v>
                </c:pt>
                <c:pt idx="551">
                  <c:v>44442</c:v>
                </c:pt>
                <c:pt idx="552">
                  <c:v>44443</c:v>
                </c:pt>
                <c:pt idx="553">
                  <c:v>44444</c:v>
                </c:pt>
                <c:pt idx="554">
                  <c:v>44445</c:v>
                </c:pt>
                <c:pt idx="555">
                  <c:v>44446</c:v>
                </c:pt>
                <c:pt idx="556">
                  <c:v>44447</c:v>
                </c:pt>
                <c:pt idx="557">
                  <c:v>44448</c:v>
                </c:pt>
                <c:pt idx="558">
                  <c:v>44449</c:v>
                </c:pt>
                <c:pt idx="559">
                  <c:v>44450</c:v>
                </c:pt>
                <c:pt idx="560">
                  <c:v>44451</c:v>
                </c:pt>
                <c:pt idx="561">
                  <c:v>44452</c:v>
                </c:pt>
                <c:pt idx="562">
                  <c:v>44453</c:v>
                </c:pt>
                <c:pt idx="563">
                  <c:v>44454</c:v>
                </c:pt>
                <c:pt idx="564">
                  <c:v>44455</c:v>
                </c:pt>
                <c:pt idx="565">
                  <c:v>44456</c:v>
                </c:pt>
                <c:pt idx="566">
                  <c:v>44457</c:v>
                </c:pt>
                <c:pt idx="567">
                  <c:v>44458</c:v>
                </c:pt>
                <c:pt idx="568">
                  <c:v>44459</c:v>
                </c:pt>
                <c:pt idx="569">
                  <c:v>44460</c:v>
                </c:pt>
                <c:pt idx="570">
                  <c:v>44461</c:v>
                </c:pt>
                <c:pt idx="571">
                  <c:v>44462</c:v>
                </c:pt>
                <c:pt idx="572">
                  <c:v>44463</c:v>
                </c:pt>
                <c:pt idx="573">
                  <c:v>44464</c:v>
                </c:pt>
                <c:pt idx="574">
                  <c:v>44465</c:v>
                </c:pt>
                <c:pt idx="575">
                  <c:v>44466</c:v>
                </c:pt>
                <c:pt idx="576">
                  <c:v>44467</c:v>
                </c:pt>
                <c:pt idx="577">
                  <c:v>44468</c:v>
                </c:pt>
                <c:pt idx="578">
                  <c:v>44469</c:v>
                </c:pt>
                <c:pt idx="579">
                  <c:v>44470</c:v>
                </c:pt>
                <c:pt idx="580">
                  <c:v>44471</c:v>
                </c:pt>
                <c:pt idx="581">
                  <c:v>44472</c:v>
                </c:pt>
                <c:pt idx="582">
                  <c:v>44473</c:v>
                </c:pt>
                <c:pt idx="583">
                  <c:v>44474</c:v>
                </c:pt>
                <c:pt idx="584">
                  <c:v>44475</c:v>
                </c:pt>
                <c:pt idx="585">
                  <c:v>44476</c:v>
                </c:pt>
                <c:pt idx="586">
                  <c:v>44477</c:v>
                </c:pt>
                <c:pt idx="587">
                  <c:v>44478</c:v>
                </c:pt>
                <c:pt idx="588">
                  <c:v>44479</c:v>
                </c:pt>
                <c:pt idx="589">
                  <c:v>44480</c:v>
                </c:pt>
                <c:pt idx="590">
                  <c:v>44481</c:v>
                </c:pt>
                <c:pt idx="591">
                  <c:v>44482</c:v>
                </c:pt>
                <c:pt idx="592">
                  <c:v>44483</c:v>
                </c:pt>
                <c:pt idx="593">
                  <c:v>44484</c:v>
                </c:pt>
                <c:pt idx="594">
                  <c:v>44485</c:v>
                </c:pt>
                <c:pt idx="595">
                  <c:v>44486</c:v>
                </c:pt>
                <c:pt idx="596">
                  <c:v>44487</c:v>
                </c:pt>
                <c:pt idx="597">
                  <c:v>44488</c:v>
                </c:pt>
                <c:pt idx="598">
                  <c:v>44489</c:v>
                </c:pt>
                <c:pt idx="599">
                  <c:v>44490</c:v>
                </c:pt>
                <c:pt idx="600">
                  <c:v>44491</c:v>
                </c:pt>
                <c:pt idx="601">
                  <c:v>44492</c:v>
                </c:pt>
                <c:pt idx="602">
                  <c:v>44493</c:v>
                </c:pt>
                <c:pt idx="603">
                  <c:v>44494</c:v>
                </c:pt>
                <c:pt idx="604">
                  <c:v>44495</c:v>
                </c:pt>
                <c:pt idx="605">
                  <c:v>44496</c:v>
                </c:pt>
                <c:pt idx="606">
                  <c:v>44497</c:v>
                </c:pt>
                <c:pt idx="607">
                  <c:v>44498</c:v>
                </c:pt>
                <c:pt idx="608">
                  <c:v>44499</c:v>
                </c:pt>
                <c:pt idx="609">
                  <c:v>44500</c:v>
                </c:pt>
                <c:pt idx="610">
                  <c:v>44501</c:v>
                </c:pt>
                <c:pt idx="611">
                  <c:v>44502</c:v>
                </c:pt>
                <c:pt idx="612">
                  <c:v>44503</c:v>
                </c:pt>
                <c:pt idx="613">
                  <c:v>44504</c:v>
                </c:pt>
                <c:pt idx="614">
                  <c:v>44505</c:v>
                </c:pt>
                <c:pt idx="615">
                  <c:v>44506</c:v>
                </c:pt>
                <c:pt idx="616">
                  <c:v>44507</c:v>
                </c:pt>
                <c:pt idx="617">
                  <c:v>44508</c:v>
                </c:pt>
                <c:pt idx="618">
                  <c:v>44509</c:v>
                </c:pt>
                <c:pt idx="619">
                  <c:v>44510</c:v>
                </c:pt>
                <c:pt idx="620">
                  <c:v>44511</c:v>
                </c:pt>
                <c:pt idx="621">
                  <c:v>44512</c:v>
                </c:pt>
                <c:pt idx="622">
                  <c:v>44513</c:v>
                </c:pt>
                <c:pt idx="623">
                  <c:v>44514</c:v>
                </c:pt>
                <c:pt idx="624">
                  <c:v>44515</c:v>
                </c:pt>
                <c:pt idx="625">
                  <c:v>44516</c:v>
                </c:pt>
                <c:pt idx="626">
                  <c:v>44517</c:v>
                </c:pt>
                <c:pt idx="627">
                  <c:v>44518</c:v>
                </c:pt>
                <c:pt idx="628">
                  <c:v>44519</c:v>
                </c:pt>
                <c:pt idx="629">
                  <c:v>44520</c:v>
                </c:pt>
                <c:pt idx="630">
                  <c:v>44521</c:v>
                </c:pt>
                <c:pt idx="631">
                  <c:v>44522</c:v>
                </c:pt>
                <c:pt idx="632">
                  <c:v>44523</c:v>
                </c:pt>
                <c:pt idx="633">
                  <c:v>44524</c:v>
                </c:pt>
                <c:pt idx="634">
                  <c:v>44525</c:v>
                </c:pt>
                <c:pt idx="635">
                  <c:v>44526</c:v>
                </c:pt>
                <c:pt idx="636">
                  <c:v>44527</c:v>
                </c:pt>
                <c:pt idx="637">
                  <c:v>44528</c:v>
                </c:pt>
                <c:pt idx="638">
                  <c:v>44529</c:v>
                </c:pt>
                <c:pt idx="639">
                  <c:v>44530</c:v>
                </c:pt>
                <c:pt idx="640">
                  <c:v>44531</c:v>
                </c:pt>
                <c:pt idx="641">
                  <c:v>44532</c:v>
                </c:pt>
                <c:pt idx="642">
                  <c:v>44533</c:v>
                </c:pt>
                <c:pt idx="643">
                  <c:v>44534</c:v>
                </c:pt>
                <c:pt idx="644">
                  <c:v>44535</c:v>
                </c:pt>
                <c:pt idx="645">
                  <c:v>44536</c:v>
                </c:pt>
                <c:pt idx="646">
                  <c:v>44537</c:v>
                </c:pt>
                <c:pt idx="647">
                  <c:v>44538</c:v>
                </c:pt>
                <c:pt idx="648">
                  <c:v>44539</c:v>
                </c:pt>
                <c:pt idx="649">
                  <c:v>44540</c:v>
                </c:pt>
                <c:pt idx="650">
                  <c:v>44541</c:v>
                </c:pt>
                <c:pt idx="651">
                  <c:v>44542</c:v>
                </c:pt>
                <c:pt idx="652">
                  <c:v>44543</c:v>
                </c:pt>
                <c:pt idx="653">
                  <c:v>44544</c:v>
                </c:pt>
                <c:pt idx="654">
                  <c:v>44545</c:v>
                </c:pt>
                <c:pt idx="655">
                  <c:v>44546</c:v>
                </c:pt>
                <c:pt idx="656">
                  <c:v>44547</c:v>
                </c:pt>
                <c:pt idx="657">
                  <c:v>44548</c:v>
                </c:pt>
                <c:pt idx="658">
                  <c:v>44549</c:v>
                </c:pt>
                <c:pt idx="659">
                  <c:v>44550</c:v>
                </c:pt>
                <c:pt idx="660">
                  <c:v>44551</c:v>
                </c:pt>
                <c:pt idx="661">
                  <c:v>44552</c:v>
                </c:pt>
                <c:pt idx="662">
                  <c:v>44553</c:v>
                </c:pt>
                <c:pt idx="663">
                  <c:v>44554</c:v>
                </c:pt>
                <c:pt idx="664">
                  <c:v>44555</c:v>
                </c:pt>
                <c:pt idx="665">
                  <c:v>44556</c:v>
                </c:pt>
                <c:pt idx="666">
                  <c:v>44557</c:v>
                </c:pt>
                <c:pt idx="667">
                  <c:v>44558</c:v>
                </c:pt>
                <c:pt idx="668">
                  <c:v>44559</c:v>
                </c:pt>
                <c:pt idx="669">
                  <c:v>44560</c:v>
                </c:pt>
                <c:pt idx="670">
                  <c:v>44561</c:v>
                </c:pt>
                <c:pt idx="671">
                  <c:v>44562</c:v>
                </c:pt>
                <c:pt idx="672">
                  <c:v>44563</c:v>
                </c:pt>
                <c:pt idx="673">
                  <c:v>44564</c:v>
                </c:pt>
                <c:pt idx="674">
                  <c:v>44565</c:v>
                </c:pt>
                <c:pt idx="675">
                  <c:v>44566</c:v>
                </c:pt>
                <c:pt idx="676">
                  <c:v>44567</c:v>
                </c:pt>
                <c:pt idx="677">
                  <c:v>44568</c:v>
                </c:pt>
                <c:pt idx="678">
                  <c:v>44569</c:v>
                </c:pt>
                <c:pt idx="679">
                  <c:v>44570</c:v>
                </c:pt>
                <c:pt idx="680">
                  <c:v>44571</c:v>
                </c:pt>
                <c:pt idx="681">
                  <c:v>44572</c:v>
                </c:pt>
                <c:pt idx="682">
                  <c:v>44573</c:v>
                </c:pt>
                <c:pt idx="683">
                  <c:v>44574</c:v>
                </c:pt>
                <c:pt idx="684">
                  <c:v>44575</c:v>
                </c:pt>
                <c:pt idx="685">
                  <c:v>44576</c:v>
                </c:pt>
                <c:pt idx="686">
                  <c:v>44577</c:v>
                </c:pt>
                <c:pt idx="687">
                  <c:v>44578</c:v>
                </c:pt>
                <c:pt idx="688">
                  <c:v>44579</c:v>
                </c:pt>
                <c:pt idx="689">
                  <c:v>44580</c:v>
                </c:pt>
                <c:pt idx="690">
                  <c:v>44581</c:v>
                </c:pt>
                <c:pt idx="691">
                  <c:v>44582</c:v>
                </c:pt>
                <c:pt idx="692">
                  <c:v>44583</c:v>
                </c:pt>
                <c:pt idx="693">
                  <c:v>44584</c:v>
                </c:pt>
                <c:pt idx="694">
                  <c:v>44585</c:v>
                </c:pt>
                <c:pt idx="695">
                  <c:v>44586</c:v>
                </c:pt>
                <c:pt idx="696">
                  <c:v>44587</c:v>
                </c:pt>
                <c:pt idx="697">
                  <c:v>44588</c:v>
                </c:pt>
                <c:pt idx="698">
                  <c:v>44589</c:v>
                </c:pt>
                <c:pt idx="699">
                  <c:v>44590</c:v>
                </c:pt>
                <c:pt idx="700">
                  <c:v>44591</c:v>
                </c:pt>
                <c:pt idx="701">
                  <c:v>44592</c:v>
                </c:pt>
                <c:pt idx="702">
                  <c:v>44593</c:v>
                </c:pt>
                <c:pt idx="703">
                  <c:v>44594</c:v>
                </c:pt>
                <c:pt idx="704">
                  <c:v>44595</c:v>
                </c:pt>
                <c:pt idx="705">
                  <c:v>44596</c:v>
                </c:pt>
                <c:pt idx="706">
                  <c:v>44597</c:v>
                </c:pt>
                <c:pt idx="707">
                  <c:v>44598</c:v>
                </c:pt>
                <c:pt idx="708">
                  <c:v>44599</c:v>
                </c:pt>
                <c:pt idx="709">
                  <c:v>44600</c:v>
                </c:pt>
                <c:pt idx="710">
                  <c:v>44601</c:v>
                </c:pt>
                <c:pt idx="711">
                  <c:v>44602</c:v>
                </c:pt>
                <c:pt idx="712">
                  <c:v>44603</c:v>
                </c:pt>
                <c:pt idx="713">
                  <c:v>44604</c:v>
                </c:pt>
                <c:pt idx="714">
                  <c:v>44605</c:v>
                </c:pt>
                <c:pt idx="715">
                  <c:v>44606</c:v>
                </c:pt>
                <c:pt idx="716">
                  <c:v>44607</c:v>
                </c:pt>
                <c:pt idx="717">
                  <c:v>44608</c:v>
                </c:pt>
                <c:pt idx="718">
                  <c:v>44609</c:v>
                </c:pt>
                <c:pt idx="719">
                  <c:v>44610</c:v>
                </c:pt>
                <c:pt idx="720">
                  <c:v>44611</c:v>
                </c:pt>
                <c:pt idx="721">
                  <c:v>44612</c:v>
                </c:pt>
                <c:pt idx="722">
                  <c:v>44613</c:v>
                </c:pt>
                <c:pt idx="723">
                  <c:v>44614</c:v>
                </c:pt>
                <c:pt idx="724">
                  <c:v>44615</c:v>
                </c:pt>
                <c:pt idx="725">
                  <c:v>44616</c:v>
                </c:pt>
                <c:pt idx="726">
                  <c:v>44617</c:v>
                </c:pt>
                <c:pt idx="727">
                  <c:v>44618</c:v>
                </c:pt>
                <c:pt idx="728">
                  <c:v>44619</c:v>
                </c:pt>
                <c:pt idx="729">
                  <c:v>44620</c:v>
                </c:pt>
                <c:pt idx="730">
                  <c:v>44621</c:v>
                </c:pt>
                <c:pt idx="731">
                  <c:v>44622</c:v>
                </c:pt>
                <c:pt idx="732">
                  <c:v>44623</c:v>
                </c:pt>
                <c:pt idx="733">
                  <c:v>44624</c:v>
                </c:pt>
                <c:pt idx="734">
                  <c:v>44625</c:v>
                </c:pt>
                <c:pt idx="735">
                  <c:v>44626</c:v>
                </c:pt>
                <c:pt idx="736">
                  <c:v>44627</c:v>
                </c:pt>
                <c:pt idx="737">
                  <c:v>44628</c:v>
                </c:pt>
                <c:pt idx="738">
                  <c:v>44629</c:v>
                </c:pt>
                <c:pt idx="739">
                  <c:v>44630</c:v>
                </c:pt>
                <c:pt idx="740">
                  <c:v>44631</c:v>
                </c:pt>
                <c:pt idx="741">
                  <c:v>44632</c:v>
                </c:pt>
                <c:pt idx="742">
                  <c:v>44633</c:v>
                </c:pt>
                <c:pt idx="743">
                  <c:v>44634</c:v>
                </c:pt>
                <c:pt idx="744">
                  <c:v>44635</c:v>
                </c:pt>
                <c:pt idx="745">
                  <c:v>44636</c:v>
                </c:pt>
                <c:pt idx="746">
                  <c:v>44637</c:v>
                </c:pt>
                <c:pt idx="747">
                  <c:v>44638</c:v>
                </c:pt>
                <c:pt idx="748">
                  <c:v>44639</c:v>
                </c:pt>
                <c:pt idx="749">
                  <c:v>44640</c:v>
                </c:pt>
                <c:pt idx="750">
                  <c:v>44641</c:v>
                </c:pt>
                <c:pt idx="751">
                  <c:v>44642</c:v>
                </c:pt>
                <c:pt idx="752">
                  <c:v>44643</c:v>
                </c:pt>
                <c:pt idx="753">
                  <c:v>44644</c:v>
                </c:pt>
                <c:pt idx="754">
                  <c:v>44645</c:v>
                </c:pt>
                <c:pt idx="755">
                  <c:v>44646</c:v>
                </c:pt>
                <c:pt idx="756">
                  <c:v>44647</c:v>
                </c:pt>
                <c:pt idx="757">
                  <c:v>44648</c:v>
                </c:pt>
                <c:pt idx="758">
                  <c:v>44649</c:v>
                </c:pt>
                <c:pt idx="759">
                  <c:v>44650</c:v>
                </c:pt>
                <c:pt idx="760">
                  <c:v>44651</c:v>
                </c:pt>
                <c:pt idx="761">
                  <c:v>44652</c:v>
                </c:pt>
                <c:pt idx="762">
                  <c:v>44653</c:v>
                </c:pt>
                <c:pt idx="763">
                  <c:v>44654</c:v>
                </c:pt>
                <c:pt idx="764">
                  <c:v>44655</c:v>
                </c:pt>
                <c:pt idx="765">
                  <c:v>44656</c:v>
                </c:pt>
                <c:pt idx="766">
                  <c:v>44657</c:v>
                </c:pt>
                <c:pt idx="767">
                  <c:v>44658</c:v>
                </c:pt>
                <c:pt idx="768">
                  <c:v>44659</c:v>
                </c:pt>
                <c:pt idx="769">
                  <c:v>44660</c:v>
                </c:pt>
                <c:pt idx="770">
                  <c:v>44661</c:v>
                </c:pt>
                <c:pt idx="771">
                  <c:v>44662</c:v>
                </c:pt>
                <c:pt idx="772">
                  <c:v>44663</c:v>
                </c:pt>
                <c:pt idx="773">
                  <c:v>44664</c:v>
                </c:pt>
                <c:pt idx="774">
                  <c:v>44665</c:v>
                </c:pt>
                <c:pt idx="775">
                  <c:v>44666</c:v>
                </c:pt>
                <c:pt idx="776">
                  <c:v>44667</c:v>
                </c:pt>
                <c:pt idx="777">
                  <c:v>44668</c:v>
                </c:pt>
                <c:pt idx="778">
                  <c:v>44669</c:v>
                </c:pt>
                <c:pt idx="779">
                  <c:v>44670</c:v>
                </c:pt>
                <c:pt idx="780">
                  <c:v>44671</c:v>
                </c:pt>
                <c:pt idx="781">
                  <c:v>44672</c:v>
                </c:pt>
                <c:pt idx="782">
                  <c:v>44673</c:v>
                </c:pt>
                <c:pt idx="783">
                  <c:v>44674</c:v>
                </c:pt>
                <c:pt idx="784">
                  <c:v>44675</c:v>
                </c:pt>
                <c:pt idx="785">
                  <c:v>44676</c:v>
                </c:pt>
                <c:pt idx="786">
                  <c:v>44677</c:v>
                </c:pt>
                <c:pt idx="787">
                  <c:v>44678</c:v>
                </c:pt>
                <c:pt idx="788">
                  <c:v>44679</c:v>
                </c:pt>
                <c:pt idx="789">
                  <c:v>44680</c:v>
                </c:pt>
                <c:pt idx="790">
                  <c:v>44681</c:v>
                </c:pt>
                <c:pt idx="791">
                  <c:v>44682</c:v>
                </c:pt>
                <c:pt idx="792">
                  <c:v>44683</c:v>
                </c:pt>
                <c:pt idx="793">
                  <c:v>44684</c:v>
                </c:pt>
                <c:pt idx="794">
                  <c:v>44685</c:v>
                </c:pt>
                <c:pt idx="795">
                  <c:v>44686</c:v>
                </c:pt>
                <c:pt idx="796">
                  <c:v>44687</c:v>
                </c:pt>
                <c:pt idx="797">
                  <c:v>44688</c:v>
                </c:pt>
                <c:pt idx="798">
                  <c:v>44689</c:v>
                </c:pt>
                <c:pt idx="799">
                  <c:v>44690</c:v>
                </c:pt>
                <c:pt idx="800">
                  <c:v>44691</c:v>
                </c:pt>
                <c:pt idx="801">
                  <c:v>44692</c:v>
                </c:pt>
                <c:pt idx="802">
                  <c:v>44693</c:v>
                </c:pt>
                <c:pt idx="803">
                  <c:v>44694</c:v>
                </c:pt>
                <c:pt idx="804">
                  <c:v>44695</c:v>
                </c:pt>
                <c:pt idx="805">
                  <c:v>44696</c:v>
                </c:pt>
                <c:pt idx="806">
                  <c:v>44697</c:v>
                </c:pt>
                <c:pt idx="807">
                  <c:v>44698</c:v>
                </c:pt>
                <c:pt idx="808">
                  <c:v>44699</c:v>
                </c:pt>
                <c:pt idx="809">
                  <c:v>44700</c:v>
                </c:pt>
                <c:pt idx="810">
                  <c:v>44701</c:v>
                </c:pt>
                <c:pt idx="811">
                  <c:v>44702</c:v>
                </c:pt>
                <c:pt idx="812">
                  <c:v>44703</c:v>
                </c:pt>
                <c:pt idx="813">
                  <c:v>44704</c:v>
                </c:pt>
                <c:pt idx="814">
                  <c:v>44705</c:v>
                </c:pt>
                <c:pt idx="815">
                  <c:v>44706</c:v>
                </c:pt>
                <c:pt idx="816">
                  <c:v>44707</c:v>
                </c:pt>
                <c:pt idx="817">
                  <c:v>44708</c:v>
                </c:pt>
                <c:pt idx="818">
                  <c:v>44709</c:v>
                </c:pt>
                <c:pt idx="819">
                  <c:v>44710</c:v>
                </c:pt>
                <c:pt idx="820">
                  <c:v>44711</c:v>
                </c:pt>
                <c:pt idx="821">
                  <c:v>44712</c:v>
                </c:pt>
                <c:pt idx="822">
                  <c:v>44713</c:v>
                </c:pt>
                <c:pt idx="823">
                  <c:v>44714</c:v>
                </c:pt>
                <c:pt idx="824">
                  <c:v>44715</c:v>
                </c:pt>
                <c:pt idx="825">
                  <c:v>44716</c:v>
                </c:pt>
                <c:pt idx="826">
                  <c:v>44717</c:v>
                </c:pt>
                <c:pt idx="827">
                  <c:v>44718</c:v>
                </c:pt>
                <c:pt idx="828">
                  <c:v>44719</c:v>
                </c:pt>
                <c:pt idx="829">
                  <c:v>44720</c:v>
                </c:pt>
                <c:pt idx="830">
                  <c:v>44721</c:v>
                </c:pt>
                <c:pt idx="831">
                  <c:v>44722</c:v>
                </c:pt>
                <c:pt idx="832">
                  <c:v>44723</c:v>
                </c:pt>
                <c:pt idx="833">
                  <c:v>44724</c:v>
                </c:pt>
                <c:pt idx="834">
                  <c:v>44725</c:v>
                </c:pt>
              </c:numCache>
            </c:numRef>
          </c:cat>
          <c:val>
            <c:numRef>
              <c:f>Rail!$C$2:$C$836</c:f>
              <c:numCache>
                <c:formatCode>0%</c:formatCode>
                <c:ptCount val="835"/>
                <c:pt idx="0">
                  <c:v>1.04</c:v>
                </c:pt>
                <c:pt idx="1">
                  <c:v>0.95</c:v>
                </c:pt>
                <c:pt idx="2">
                  <c:v>0.95</c:v>
                </c:pt>
                <c:pt idx="3">
                  <c:v>0.95</c:v>
                </c:pt>
                <c:pt idx="4">
                  <c:v>0.92</c:v>
                </c:pt>
                <c:pt idx="5">
                  <c:v>0.92</c:v>
                </c:pt>
                <c:pt idx="6">
                  <c:v>0.91</c:v>
                </c:pt>
                <c:pt idx="7">
                  <c:v>0.87</c:v>
                </c:pt>
                <c:pt idx="8">
                  <c:v>0.9</c:v>
                </c:pt>
                <c:pt idx="9">
                  <c:v>0.89</c:v>
                </c:pt>
                <c:pt idx="10">
                  <c:v>0.86</c:v>
                </c:pt>
                <c:pt idx="11">
                  <c:v>0.81</c:v>
                </c:pt>
                <c:pt idx="12">
                  <c:v>0.72</c:v>
                </c:pt>
                <c:pt idx="13">
                  <c:v>0.61</c:v>
                </c:pt>
                <c:pt idx="14">
                  <c:v>0.54</c:v>
                </c:pt>
                <c:pt idx="15">
                  <c:v>0.6</c:v>
                </c:pt>
                <c:pt idx="16">
                  <c:v>0.44</c:v>
                </c:pt>
                <c:pt idx="17">
                  <c:v>0.35</c:v>
                </c:pt>
                <c:pt idx="18">
                  <c:v>0.3</c:v>
                </c:pt>
                <c:pt idx="19">
                  <c:v>0.24</c:v>
                </c:pt>
                <c:pt idx="20">
                  <c:v>0.13</c:v>
                </c:pt>
                <c:pt idx="21">
                  <c:v>0.11</c:v>
                </c:pt>
                <c:pt idx="22">
                  <c:v>0.15</c:v>
                </c:pt>
                <c:pt idx="23">
                  <c:v>0.09</c:v>
                </c:pt>
                <c:pt idx="24">
                  <c:v>7.0000000000000007E-2</c:v>
                </c:pt>
                <c:pt idx="25">
                  <c:v>0.06</c:v>
                </c:pt>
                <c:pt idx="26">
                  <c:v>0.06</c:v>
                </c:pt>
                <c:pt idx="27">
                  <c:v>0.04</c:v>
                </c:pt>
                <c:pt idx="28">
                  <c:v>0.04</c:v>
                </c:pt>
                <c:pt idx="29">
                  <c:v>0.06</c:v>
                </c:pt>
                <c:pt idx="30">
                  <c:v>0.05</c:v>
                </c:pt>
                <c:pt idx="31">
                  <c:v>0.05</c:v>
                </c:pt>
                <c:pt idx="32">
                  <c:v>0.05</c:v>
                </c:pt>
                <c:pt idx="33">
                  <c:v>0.05</c:v>
                </c:pt>
                <c:pt idx="34">
                  <c:v>0.04</c:v>
                </c:pt>
                <c:pt idx="35">
                  <c:v>0.04</c:v>
                </c:pt>
                <c:pt idx="36">
                  <c:v>0.05</c:v>
                </c:pt>
                <c:pt idx="37">
                  <c:v>0.05</c:v>
                </c:pt>
                <c:pt idx="38">
                  <c:v>0.05</c:v>
                </c:pt>
                <c:pt idx="39">
                  <c:v>0.05</c:v>
                </c:pt>
                <c:pt idx="40">
                  <c:v>0.03</c:v>
                </c:pt>
                <c:pt idx="41">
                  <c:v>0.03</c:v>
                </c:pt>
                <c:pt idx="42">
                  <c:v>0.03</c:v>
                </c:pt>
                <c:pt idx="43">
                  <c:v>0.02</c:v>
                </c:pt>
                <c:pt idx="44">
                  <c:v>0.05</c:v>
                </c:pt>
                <c:pt idx="45">
                  <c:v>0.05</c:v>
                </c:pt>
                <c:pt idx="46">
                  <c:v>0.05</c:v>
                </c:pt>
                <c:pt idx="47">
                  <c:v>0.05</c:v>
                </c:pt>
                <c:pt idx="48">
                  <c:v>0.04</c:v>
                </c:pt>
                <c:pt idx="49">
                  <c:v>0.04</c:v>
                </c:pt>
                <c:pt idx="50">
                  <c:v>0.05</c:v>
                </c:pt>
                <c:pt idx="51">
                  <c:v>0.05</c:v>
                </c:pt>
                <c:pt idx="52">
                  <c:v>0.05</c:v>
                </c:pt>
                <c:pt idx="53">
                  <c:v>0.05</c:v>
                </c:pt>
                <c:pt idx="54">
                  <c:v>0.05</c:v>
                </c:pt>
                <c:pt idx="55">
                  <c:v>0.04</c:v>
                </c:pt>
                <c:pt idx="56">
                  <c:v>0.03</c:v>
                </c:pt>
                <c:pt idx="57">
                  <c:v>0.05</c:v>
                </c:pt>
                <c:pt idx="58">
                  <c:v>0.05</c:v>
                </c:pt>
                <c:pt idx="59">
                  <c:v>0.05</c:v>
                </c:pt>
                <c:pt idx="60">
                  <c:v>0.05</c:v>
                </c:pt>
                <c:pt idx="61">
                  <c:v>0.05</c:v>
                </c:pt>
                <c:pt idx="62">
                  <c:v>0.04</c:v>
                </c:pt>
                <c:pt idx="63">
                  <c:v>0.04</c:v>
                </c:pt>
                <c:pt idx="64">
                  <c:v>0.06</c:v>
                </c:pt>
                <c:pt idx="65">
                  <c:v>0.06</c:v>
                </c:pt>
                <c:pt idx="66">
                  <c:v>0.05</c:v>
                </c:pt>
                <c:pt idx="67">
                  <c:v>0.05</c:v>
                </c:pt>
                <c:pt idx="68">
                  <c:v>7.0000000000000007E-2</c:v>
                </c:pt>
                <c:pt idx="69">
                  <c:v>0.05</c:v>
                </c:pt>
                <c:pt idx="70">
                  <c:v>0.04</c:v>
                </c:pt>
                <c:pt idx="71">
                  <c:v>0.06</c:v>
                </c:pt>
                <c:pt idx="72">
                  <c:v>0.06</c:v>
                </c:pt>
                <c:pt idx="73">
                  <c:v>0.06</c:v>
                </c:pt>
                <c:pt idx="74">
                  <c:v>0.06</c:v>
                </c:pt>
                <c:pt idx="75">
                  <c:v>0.06</c:v>
                </c:pt>
                <c:pt idx="76">
                  <c:v>0.05</c:v>
                </c:pt>
                <c:pt idx="77">
                  <c:v>0.06</c:v>
                </c:pt>
                <c:pt idx="78">
                  <c:v>0.08</c:v>
                </c:pt>
                <c:pt idx="79">
                  <c:v>7.0000000000000007E-2</c:v>
                </c:pt>
                <c:pt idx="80">
                  <c:v>7.0000000000000007E-2</c:v>
                </c:pt>
                <c:pt idx="81">
                  <c:v>7.0000000000000007E-2</c:v>
                </c:pt>
                <c:pt idx="82">
                  <c:v>0.08</c:v>
                </c:pt>
                <c:pt idx="83">
                  <c:v>0.06</c:v>
                </c:pt>
                <c:pt idx="84">
                  <c:v>0.06</c:v>
                </c:pt>
                <c:pt idx="85">
                  <c:v>0.09</c:v>
                </c:pt>
                <c:pt idx="86">
                  <c:v>0.09</c:v>
                </c:pt>
                <c:pt idx="87">
                  <c:v>0.08</c:v>
                </c:pt>
                <c:pt idx="88">
                  <c:v>0.09</c:v>
                </c:pt>
                <c:pt idx="89">
                  <c:v>0.09</c:v>
                </c:pt>
                <c:pt idx="90">
                  <c:v>0.08</c:v>
                </c:pt>
                <c:pt idx="91">
                  <c:v>0.09</c:v>
                </c:pt>
                <c:pt idx="92">
                  <c:v>0.1</c:v>
                </c:pt>
                <c:pt idx="93">
                  <c:v>0.1</c:v>
                </c:pt>
                <c:pt idx="94">
                  <c:v>0.1</c:v>
                </c:pt>
                <c:pt idx="95">
                  <c:v>0.1</c:v>
                </c:pt>
                <c:pt idx="96">
                  <c:v>0.1</c:v>
                </c:pt>
                <c:pt idx="97">
                  <c:v>0.1</c:v>
                </c:pt>
                <c:pt idx="98">
                  <c:v>0.11</c:v>
                </c:pt>
                <c:pt idx="99">
                  <c:v>0.11</c:v>
                </c:pt>
                <c:pt idx="100">
                  <c:v>0.11</c:v>
                </c:pt>
                <c:pt idx="101">
                  <c:v>0.11</c:v>
                </c:pt>
                <c:pt idx="102">
                  <c:v>0.11</c:v>
                </c:pt>
                <c:pt idx="103">
                  <c:v>0.11</c:v>
                </c:pt>
                <c:pt idx="104">
                  <c:v>0.12</c:v>
                </c:pt>
                <c:pt idx="105">
                  <c:v>0.11</c:v>
                </c:pt>
                <c:pt idx="106">
                  <c:v>0.14000000000000001</c:v>
                </c:pt>
                <c:pt idx="107">
                  <c:v>0.13</c:v>
                </c:pt>
                <c:pt idx="108">
                  <c:v>0.13</c:v>
                </c:pt>
                <c:pt idx="109">
                  <c:v>0.13</c:v>
                </c:pt>
                <c:pt idx="110">
                  <c:v>0.14000000000000001</c:v>
                </c:pt>
                <c:pt idx="111">
                  <c:v>0.15</c:v>
                </c:pt>
                <c:pt idx="112">
                  <c:v>0.13</c:v>
                </c:pt>
                <c:pt idx="113">
                  <c:v>0.16</c:v>
                </c:pt>
                <c:pt idx="114">
                  <c:v>0.15</c:v>
                </c:pt>
                <c:pt idx="115">
                  <c:v>0.15</c:v>
                </c:pt>
                <c:pt idx="116">
                  <c:v>0.15</c:v>
                </c:pt>
                <c:pt idx="117">
                  <c:v>0.16</c:v>
                </c:pt>
                <c:pt idx="118">
                  <c:v>0.15</c:v>
                </c:pt>
                <c:pt idx="119">
                  <c:v>0.16</c:v>
                </c:pt>
                <c:pt idx="120">
                  <c:v>0.16</c:v>
                </c:pt>
                <c:pt idx="121">
                  <c:v>0.16</c:v>
                </c:pt>
                <c:pt idx="122">
                  <c:v>0.16</c:v>
                </c:pt>
                <c:pt idx="123">
                  <c:v>0.16</c:v>
                </c:pt>
                <c:pt idx="124">
                  <c:v>0.17</c:v>
                </c:pt>
                <c:pt idx="125">
                  <c:v>0.18</c:v>
                </c:pt>
                <c:pt idx="126">
                  <c:v>0.21</c:v>
                </c:pt>
                <c:pt idx="127">
                  <c:v>0.19</c:v>
                </c:pt>
                <c:pt idx="128">
                  <c:v>0.19</c:v>
                </c:pt>
                <c:pt idx="129">
                  <c:v>0.19</c:v>
                </c:pt>
                <c:pt idx="130">
                  <c:v>0.19</c:v>
                </c:pt>
                <c:pt idx="131">
                  <c:v>0.21</c:v>
                </c:pt>
                <c:pt idx="132">
                  <c:v>0.24</c:v>
                </c:pt>
                <c:pt idx="133">
                  <c:v>0.24</c:v>
                </c:pt>
                <c:pt idx="134">
                  <c:v>0.21</c:v>
                </c:pt>
                <c:pt idx="135">
                  <c:v>0.2</c:v>
                </c:pt>
                <c:pt idx="136">
                  <c:v>0.21</c:v>
                </c:pt>
                <c:pt idx="137">
                  <c:v>0.21</c:v>
                </c:pt>
                <c:pt idx="138">
                  <c:v>0.24</c:v>
                </c:pt>
                <c:pt idx="139">
                  <c:v>0.28999999999999998</c:v>
                </c:pt>
                <c:pt idx="140">
                  <c:v>0.24</c:v>
                </c:pt>
                <c:pt idx="141">
                  <c:v>0.23</c:v>
                </c:pt>
                <c:pt idx="142">
                  <c:v>0.23</c:v>
                </c:pt>
                <c:pt idx="143">
                  <c:v>0.24</c:v>
                </c:pt>
                <c:pt idx="144">
                  <c:v>0.25</c:v>
                </c:pt>
                <c:pt idx="145">
                  <c:v>0.25</c:v>
                </c:pt>
                <c:pt idx="146">
                  <c:v>0.28000000000000003</c:v>
                </c:pt>
                <c:pt idx="147">
                  <c:v>0.28000000000000003</c:v>
                </c:pt>
                <c:pt idx="148">
                  <c:v>0.24</c:v>
                </c:pt>
                <c:pt idx="149">
                  <c:v>0.25</c:v>
                </c:pt>
                <c:pt idx="150">
                  <c:v>0.25</c:v>
                </c:pt>
                <c:pt idx="151">
                  <c:v>0.26</c:v>
                </c:pt>
                <c:pt idx="152">
                  <c:v>0.27</c:v>
                </c:pt>
                <c:pt idx="153">
                  <c:v>0.32</c:v>
                </c:pt>
                <c:pt idx="154">
                  <c:v>0.28999999999999998</c:v>
                </c:pt>
                <c:pt idx="155">
                  <c:v>0.27</c:v>
                </c:pt>
                <c:pt idx="156">
                  <c:v>0.27</c:v>
                </c:pt>
                <c:pt idx="157">
                  <c:v>0.28000000000000003</c:v>
                </c:pt>
                <c:pt idx="158">
                  <c:v>0.27</c:v>
                </c:pt>
                <c:pt idx="159">
                  <c:v>0.28000000000000003</c:v>
                </c:pt>
                <c:pt idx="160">
                  <c:v>0.32</c:v>
                </c:pt>
                <c:pt idx="161">
                  <c:v>0.31</c:v>
                </c:pt>
                <c:pt idx="162">
                  <c:v>0.28000000000000003</c:v>
                </c:pt>
                <c:pt idx="163">
                  <c:v>0.28000000000000003</c:v>
                </c:pt>
                <c:pt idx="164">
                  <c:v>0.28000000000000003</c:v>
                </c:pt>
                <c:pt idx="165">
                  <c:v>0.26</c:v>
                </c:pt>
                <c:pt idx="166">
                  <c:v>0.28999999999999998</c:v>
                </c:pt>
                <c:pt idx="167">
                  <c:v>0.33</c:v>
                </c:pt>
                <c:pt idx="168">
                  <c:v>0.32</c:v>
                </c:pt>
                <c:pt idx="169">
                  <c:v>0.3</c:v>
                </c:pt>
                <c:pt idx="170">
                  <c:v>0.3</c:v>
                </c:pt>
                <c:pt idx="171">
                  <c:v>0.3</c:v>
                </c:pt>
                <c:pt idx="172">
                  <c:v>0.31</c:v>
                </c:pt>
                <c:pt idx="173">
                  <c:v>0.32</c:v>
                </c:pt>
                <c:pt idx="174">
                  <c:v>0.36</c:v>
                </c:pt>
                <c:pt idx="175">
                  <c:v>0.35</c:v>
                </c:pt>
                <c:pt idx="176">
                  <c:v>0.32</c:v>
                </c:pt>
                <c:pt idx="177">
                  <c:v>0.35</c:v>
                </c:pt>
                <c:pt idx="178">
                  <c:v>0.36</c:v>
                </c:pt>
                <c:pt idx="179">
                  <c:v>0.32</c:v>
                </c:pt>
                <c:pt idx="180">
                  <c:v>0.34</c:v>
                </c:pt>
                <c:pt idx="181">
                  <c:v>0.42</c:v>
                </c:pt>
                <c:pt idx="182">
                  <c:v>0.39</c:v>
                </c:pt>
                <c:pt idx="183">
                  <c:v>0.45</c:v>
                </c:pt>
                <c:pt idx="184">
                  <c:v>0.33</c:v>
                </c:pt>
                <c:pt idx="185">
                  <c:v>0.35</c:v>
                </c:pt>
                <c:pt idx="186">
                  <c:v>0.33</c:v>
                </c:pt>
                <c:pt idx="187">
                  <c:v>0.36</c:v>
                </c:pt>
                <c:pt idx="188">
                  <c:v>0.42</c:v>
                </c:pt>
                <c:pt idx="189">
                  <c:v>0.41</c:v>
                </c:pt>
                <c:pt idx="190">
                  <c:v>0.34</c:v>
                </c:pt>
                <c:pt idx="191">
                  <c:v>0.34</c:v>
                </c:pt>
                <c:pt idx="192">
                  <c:v>0.35</c:v>
                </c:pt>
                <c:pt idx="193">
                  <c:v>0.36</c:v>
                </c:pt>
                <c:pt idx="194">
                  <c:v>0.37</c:v>
                </c:pt>
                <c:pt idx="195">
                  <c:v>0.4</c:v>
                </c:pt>
                <c:pt idx="196">
                  <c:v>0.4</c:v>
                </c:pt>
                <c:pt idx="197">
                  <c:v>0.35</c:v>
                </c:pt>
                <c:pt idx="198">
                  <c:v>0.34</c:v>
                </c:pt>
                <c:pt idx="199">
                  <c:v>0.36</c:v>
                </c:pt>
                <c:pt idx="200">
                  <c:v>0.35</c:v>
                </c:pt>
                <c:pt idx="201">
                  <c:v>0.36</c:v>
                </c:pt>
                <c:pt idx="202">
                  <c:v>0.42</c:v>
                </c:pt>
                <c:pt idx="203">
                  <c:v>0.4</c:v>
                </c:pt>
                <c:pt idx="204">
                  <c:v>0.35</c:v>
                </c:pt>
                <c:pt idx="205">
                  <c:v>0.35</c:v>
                </c:pt>
                <c:pt idx="206">
                  <c:v>0.34</c:v>
                </c:pt>
                <c:pt idx="207">
                  <c:v>0.34</c:v>
                </c:pt>
                <c:pt idx="208">
                  <c:v>0.36</c:v>
                </c:pt>
                <c:pt idx="209">
                  <c:v>0.42</c:v>
                </c:pt>
                <c:pt idx="210">
                  <c:v>0.41</c:v>
                </c:pt>
                <c:pt idx="211">
                  <c:v>0.34</c:v>
                </c:pt>
                <c:pt idx="212">
                  <c:v>0.34</c:v>
                </c:pt>
                <c:pt idx="213">
                  <c:v>0.34</c:v>
                </c:pt>
                <c:pt idx="214">
                  <c:v>0.34</c:v>
                </c:pt>
                <c:pt idx="215">
                  <c:v>0.34</c:v>
                </c:pt>
                <c:pt idx="216">
                  <c:v>0.39</c:v>
                </c:pt>
                <c:pt idx="217">
                  <c:v>0.37</c:v>
                </c:pt>
                <c:pt idx="218">
                  <c:v>0.33</c:v>
                </c:pt>
                <c:pt idx="219">
                  <c:v>0.34</c:v>
                </c:pt>
                <c:pt idx="220">
                  <c:v>0.35</c:v>
                </c:pt>
                <c:pt idx="221">
                  <c:v>0.34</c:v>
                </c:pt>
                <c:pt idx="222">
                  <c:v>0.36</c:v>
                </c:pt>
                <c:pt idx="223">
                  <c:v>0.43</c:v>
                </c:pt>
                <c:pt idx="224">
                  <c:v>0.41</c:v>
                </c:pt>
                <c:pt idx="225">
                  <c:v>0.33</c:v>
                </c:pt>
                <c:pt idx="226">
                  <c:v>0.34</c:v>
                </c:pt>
                <c:pt idx="227">
                  <c:v>0.35</c:v>
                </c:pt>
                <c:pt idx="228">
                  <c:v>0.36</c:v>
                </c:pt>
                <c:pt idx="229">
                  <c:v>0.38</c:v>
                </c:pt>
                <c:pt idx="230">
                  <c:v>0.37</c:v>
                </c:pt>
                <c:pt idx="231">
                  <c:v>0.39</c:v>
                </c:pt>
                <c:pt idx="232">
                  <c:v>0.32</c:v>
                </c:pt>
                <c:pt idx="233">
                  <c:v>0.32</c:v>
                </c:pt>
                <c:pt idx="234">
                  <c:v>0.32</c:v>
                </c:pt>
                <c:pt idx="235">
                  <c:v>0.33</c:v>
                </c:pt>
                <c:pt idx="236">
                  <c:v>0.34</c:v>
                </c:pt>
                <c:pt idx="237">
                  <c:v>0.37</c:v>
                </c:pt>
                <c:pt idx="238">
                  <c:v>0.41</c:v>
                </c:pt>
                <c:pt idx="239">
                  <c:v>0.33</c:v>
                </c:pt>
                <c:pt idx="240">
                  <c:v>0.33</c:v>
                </c:pt>
                <c:pt idx="241">
                  <c:v>0.34</c:v>
                </c:pt>
                <c:pt idx="242">
                  <c:v>0.34</c:v>
                </c:pt>
                <c:pt idx="243">
                  <c:v>0.36</c:v>
                </c:pt>
                <c:pt idx="244">
                  <c:v>0.39</c:v>
                </c:pt>
                <c:pt idx="245">
                  <c:v>0.4</c:v>
                </c:pt>
                <c:pt idx="246">
                  <c:v>0.37</c:v>
                </c:pt>
                <c:pt idx="247">
                  <c:v>0.4</c:v>
                </c:pt>
                <c:pt idx="248">
                  <c:v>0.43</c:v>
                </c:pt>
                <c:pt idx="249">
                  <c:v>0.23</c:v>
                </c:pt>
                <c:pt idx="250">
                  <c:v>0.22</c:v>
                </c:pt>
                <c:pt idx="251">
                  <c:v>0.17</c:v>
                </c:pt>
                <c:pt idx="252">
                  <c:v>0.16</c:v>
                </c:pt>
                <c:pt idx="253">
                  <c:v>0.23</c:v>
                </c:pt>
                <c:pt idx="254">
                  <c:v>0.23</c:v>
                </c:pt>
                <c:pt idx="255">
                  <c:v>0.23</c:v>
                </c:pt>
                <c:pt idx="256">
                  <c:v>0.22</c:v>
                </c:pt>
                <c:pt idx="257">
                  <c:v>0.23</c:v>
                </c:pt>
                <c:pt idx="258">
                  <c:v>0.18</c:v>
                </c:pt>
                <c:pt idx="259">
                  <c:v>0.19</c:v>
                </c:pt>
                <c:pt idx="260">
                  <c:v>0.24</c:v>
                </c:pt>
                <c:pt idx="261">
                  <c:v>0.24</c:v>
                </c:pt>
                <c:pt idx="262">
                  <c:v>0.23</c:v>
                </c:pt>
                <c:pt idx="263">
                  <c:v>0.23</c:v>
                </c:pt>
                <c:pt idx="264">
                  <c:v>0.23</c:v>
                </c:pt>
                <c:pt idx="265">
                  <c:v>0.18</c:v>
                </c:pt>
                <c:pt idx="266">
                  <c:v>0.19</c:v>
                </c:pt>
                <c:pt idx="267">
                  <c:v>0.24</c:v>
                </c:pt>
                <c:pt idx="268">
                  <c:v>0.24</c:v>
                </c:pt>
                <c:pt idx="269">
                  <c:v>0.23</c:v>
                </c:pt>
                <c:pt idx="270">
                  <c:v>0.23</c:v>
                </c:pt>
                <c:pt idx="271">
                  <c:v>0.23</c:v>
                </c:pt>
                <c:pt idx="272">
                  <c:v>0.19</c:v>
                </c:pt>
                <c:pt idx="273">
                  <c:v>0.19</c:v>
                </c:pt>
                <c:pt idx="274">
                  <c:v>0.25</c:v>
                </c:pt>
                <c:pt idx="275">
                  <c:v>0.25</c:v>
                </c:pt>
                <c:pt idx="276">
                  <c:v>0.3</c:v>
                </c:pt>
                <c:pt idx="277">
                  <c:v>0.31</c:v>
                </c:pt>
                <c:pt idx="278">
                  <c:v>0.34</c:v>
                </c:pt>
                <c:pt idx="279">
                  <c:v>0.4</c:v>
                </c:pt>
                <c:pt idx="280">
                  <c:v>0.38</c:v>
                </c:pt>
                <c:pt idx="281">
                  <c:v>0.32</c:v>
                </c:pt>
                <c:pt idx="282">
                  <c:v>0.33</c:v>
                </c:pt>
                <c:pt idx="283">
                  <c:v>0.34</c:v>
                </c:pt>
                <c:pt idx="284">
                  <c:v>0.34</c:v>
                </c:pt>
                <c:pt idx="285">
                  <c:v>0.36</c:v>
                </c:pt>
                <c:pt idx="286">
                  <c:v>0.43</c:v>
                </c:pt>
                <c:pt idx="287">
                  <c:v>0.37</c:v>
                </c:pt>
                <c:pt idx="288">
                  <c:v>0.35</c:v>
                </c:pt>
                <c:pt idx="289">
                  <c:v>0.38</c:v>
                </c:pt>
                <c:pt idx="290">
                  <c:v>0.28999999999999998</c:v>
                </c:pt>
                <c:pt idx="291">
                  <c:v>0.28999999999999998</c:v>
                </c:pt>
                <c:pt idx="292">
                  <c:v>0.28999999999999998</c:v>
                </c:pt>
                <c:pt idx="293">
                  <c:v>0.32</c:v>
                </c:pt>
                <c:pt idx="294">
                  <c:v>0.19</c:v>
                </c:pt>
                <c:pt idx="295">
                  <c:v>0.22</c:v>
                </c:pt>
                <c:pt idx="296">
                  <c:v>0.21</c:v>
                </c:pt>
                <c:pt idx="297">
                  <c:v>0.2</c:v>
                </c:pt>
                <c:pt idx="298">
                  <c:v>0.22</c:v>
                </c:pt>
                <c:pt idx="300">
                  <c:v>0.09</c:v>
                </c:pt>
                <c:pt idx="301">
                  <c:v>0.14000000000000001</c:v>
                </c:pt>
                <c:pt idx="302">
                  <c:v>0.25</c:v>
                </c:pt>
                <c:pt idx="303">
                  <c:v>0.17</c:v>
                </c:pt>
                <c:pt idx="304">
                  <c:v>0.18</c:v>
                </c:pt>
                <c:pt idx="305">
                  <c:v>0.17</c:v>
                </c:pt>
                <c:pt idx="306">
                  <c:v>0.12</c:v>
                </c:pt>
                <c:pt idx="307">
                  <c:v>0.15</c:v>
                </c:pt>
                <c:pt idx="308">
                  <c:v>0.19</c:v>
                </c:pt>
                <c:pt idx="309">
                  <c:v>0.19</c:v>
                </c:pt>
                <c:pt idx="310">
                  <c:v>0.17</c:v>
                </c:pt>
                <c:pt idx="311">
                  <c:v>0.17</c:v>
                </c:pt>
                <c:pt idx="312">
                  <c:v>0.16</c:v>
                </c:pt>
                <c:pt idx="313">
                  <c:v>0.16</c:v>
                </c:pt>
                <c:pt idx="314">
                  <c:v>0.14000000000000001</c:v>
                </c:pt>
                <c:pt idx="315">
                  <c:v>0.14000000000000001</c:v>
                </c:pt>
                <c:pt idx="316">
                  <c:v>0.16</c:v>
                </c:pt>
                <c:pt idx="317">
                  <c:v>0.16</c:v>
                </c:pt>
                <c:pt idx="318">
                  <c:v>0.15</c:v>
                </c:pt>
                <c:pt idx="319">
                  <c:v>0.15</c:v>
                </c:pt>
                <c:pt idx="320">
                  <c:v>0.15</c:v>
                </c:pt>
                <c:pt idx="321">
                  <c:v>0.12</c:v>
                </c:pt>
                <c:pt idx="322">
                  <c:v>0.14000000000000001</c:v>
                </c:pt>
                <c:pt idx="323">
                  <c:v>0.16</c:v>
                </c:pt>
                <c:pt idx="324">
                  <c:v>0.15</c:v>
                </c:pt>
                <c:pt idx="325">
                  <c:v>0.15</c:v>
                </c:pt>
                <c:pt idx="326">
                  <c:v>0.15</c:v>
                </c:pt>
                <c:pt idx="327">
                  <c:v>0.16</c:v>
                </c:pt>
                <c:pt idx="328">
                  <c:v>0.13</c:v>
                </c:pt>
                <c:pt idx="329">
                  <c:v>0.12</c:v>
                </c:pt>
                <c:pt idx="330">
                  <c:v>0.17</c:v>
                </c:pt>
                <c:pt idx="331">
                  <c:v>0.16</c:v>
                </c:pt>
                <c:pt idx="332">
                  <c:v>0.16</c:v>
                </c:pt>
                <c:pt idx="333">
                  <c:v>0.16</c:v>
                </c:pt>
                <c:pt idx="334">
                  <c:v>0.16</c:v>
                </c:pt>
                <c:pt idx="335">
                  <c:v>0.14000000000000001</c:v>
                </c:pt>
                <c:pt idx="336">
                  <c:v>0.15</c:v>
                </c:pt>
                <c:pt idx="337">
                  <c:v>0.17</c:v>
                </c:pt>
                <c:pt idx="338">
                  <c:v>0.17</c:v>
                </c:pt>
                <c:pt idx="339">
                  <c:v>0.17</c:v>
                </c:pt>
                <c:pt idx="340">
                  <c:v>0.16</c:v>
                </c:pt>
                <c:pt idx="341">
                  <c:v>0.17</c:v>
                </c:pt>
                <c:pt idx="342">
                  <c:v>0.15</c:v>
                </c:pt>
                <c:pt idx="343">
                  <c:v>0.18</c:v>
                </c:pt>
                <c:pt idx="344">
                  <c:v>0.17</c:v>
                </c:pt>
                <c:pt idx="345">
                  <c:v>0.17</c:v>
                </c:pt>
                <c:pt idx="346">
                  <c:v>0.17</c:v>
                </c:pt>
                <c:pt idx="347">
                  <c:v>0.17</c:v>
                </c:pt>
                <c:pt idx="348">
                  <c:v>0.18</c:v>
                </c:pt>
                <c:pt idx="349">
                  <c:v>0.18</c:v>
                </c:pt>
                <c:pt idx="350">
                  <c:v>0.18</c:v>
                </c:pt>
                <c:pt idx="351">
                  <c:v>0.18</c:v>
                </c:pt>
                <c:pt idx="352">
                  <c:v>0.18</c:v>
                </c:pt>
                <c:pt idx="353">
                  <c:v>0.18</c:v>
                </c:pt>
                <c:pt idx="354">
                  <c:v>0.18</c:v>
                </c:pt>
                <c:pt idx="355">
                  <c:v>0.18</c:v>
                </c:pt>
                <c:pt idx="356">
                  <c:v>0.2</c:v>
                </c:pt>
                <c:pt idx="357">
                  <c:v>0.19</c:v>
                </c:pt>
                <c:pt idx="358">
                  <c:v>0.19</c:v>
                </c:pt>
                <c:pt idx="359">
                  <c:v>0.19</c:v>
                </c:pt>
                <c:pt idx="360">
                  <c:v>0.19</c:v>
                </c:pt>
                <c:pt idx="361">
                  <c:v>0.18</c:v>
                </c:pt>
                <c:pt idx="362">
                  <c:v>0.2</c:v>
                </c:pt>
                <c:pt idx="363">
                  <c:v>0.21</c:v>
                </c:pt>
                <c:pt idx="364">
                  <c:v>0.18</c:v>
                </c:pt>
                <c:pt idx="365">
                  <c:v>0.2</c:v>
                </c:pt>
                <c:pt idx="366">
                  <c:v>0.19</c:v>
                </c:pt>
                <c:pt idx="367">
                  <c:v>0.19</c:v>
                </c:pt>
                <c:pt idx="368">
                  <c:v>0.18</c:v>
                </c:pt>
                <c:pt idx="369">
                  <c:v>0.2</c:v>
                </c:pt>
                <c:pt idx="370">
                  <c:v>0.19</c:v>
                </c:pt>
                <c:pt idx="371">
                  <c:v>0.18</c:v>
                </c:pt>
                <c:pt idx="372">
                  <c:v>0.22</c:v>
                </c:pt>
                <c:pt idx="373">
                  <c:v>0.23</c:v>
                </c:pt>
                <c:pt idx="374">
                  <c:v>0.22</c:v>
                </c:pt>
                <c:pt idx="375">
                  <c:v>0.22</c:v>
                </c:pt>
                <c:pt idx="376">
                  <c:v>0.23</c:v>
                </c:pt>
                <c:pt idx="377">
                  <c:v>0.19</c:v>
                </c:pt>
                <c:pt idx="378">
                  <c:v>0.18</c:v>
                </c:pt>
                <c:pt idx="379">
                  <c:v>0.24</c:v>
                </c:pt>
                <c:pt idx="380">
                  <c:v>0.23</c:v>
                </c:pt>
                <c:pt idx="381">
                  <c:v>0.24</c:v>
                </c:pt>
                <c:pt idx="382">
                  <c:v>0.23</c:v>
                </c:pt>
                <c:pt idx="383">
                  <c:v>0.24</c:v>
                </c:pt>
                <c:pt idx="384">
                  <c:v>0.19</c:v>
                </c:pt>
                <c:pt idx="385">
                  <c:v>0.2</c:v>
                </c:pt>
                <c:pt idx="386">
                  <c:v>0.25</c:v>
                </c:pt>
                <c:pt idx="387">
                  <c:v>0.24</c:v>
                </c:pt>
                <c:pt idx="388">
                  <c:v>0.24</c:v>
                </c:pt>
                <c:pt idx="389">
                  <c:v>0.24</c:v>
                </c:pt>
                <c:pt idx="390">
                  <c:v>0.23</c:v>
                </c:pt>
                <c:pt idx="391">
                  <c:v>0.22</c:v>
                </c:pt>
                <c:pt idx="392">
                  <c:v>0.2</c:v>
                </c:pt>
                <c:pt idx="393">
                  <c:v>0.26</c:v>
                </c:pt>
                <c:pt idx="394">
                  <c:v>0.28000000000000003</c:v>
                </c:pt>
                <c:pt idx="395">
                  <c:v>0.27</c:v>
                </c:pt>
                <c:pt idx="396">
                  <c:v>0.26</c:v>
                </c:pt>
                <c:pt idx="397">
                  <c:v>0.28000000000000003</c:v>
                </c:pt>
                <c:pt idx="398">
                  <c:v>0.25</c:v>
                </c:pt>
                <c:pt idx="399">
                  <c:v>0.3</c:v>
                </c:pt>
                <c:pt idx="400">
                  <c:v>0.27</c:v>
                </c:pt>
                <c:pt idx="401">
                  <c:v>0.25</c:v>
                </c:pt>
                <c:pt idx="402">
                  <c:v>0.26</c:v>
                </c:pt>
                <c:pt idx="403">
                  <c:v>0.25</c:v>
                </c:pt>
                <c:pt idx="404">
                  <c:v>0.26</c:v>
                </c:pt>
                <c:pt idx="405">
                  <c:v>0.24</c:v>
                </c:pt>
                <c:pt idx="406">
                  <c:v>0.27</c:v>
                </c:pt>
                <c:pt idx="407">
                  <c:v>0.34</c:v>
                </c:pt>
                <c:pt idx="408">
                  <c:v>0.32</c:v>
                </c:pt>
                <c:pt idx="409">
                  <c:v>0.32</c:v>
                </c:pt>
                <c:pt idx="410">
                  <c:v>0.33</c:v>
                </c:pt>
                <c:pt idx="411">
                  <c:v>0.35</c:v>
                </c:pt>
                <c:pt idx="412">
                  <c:v>0.42</c:v>
                </c:pt>
                <c:pt idx="413">
                  <c:v>0.4</c:v>
                </c:pt>
                <c:pt idx="414">
                  <c:v>0.34</c:v>
                </c:pt>
                <c:pt idx="415">
                  <c:v>0.38</c:v>
                </c:pt>
                <c:pt idx="416">
                  <c:v>0.35</c:v>
                </c:pt>
                <c:pt idx="417">
                  <c:v>0.35</c:v>
                </c:pt>
                <c:pt idx="418">
                  <c:v>0.37</c:v>
                </c:pt>
                <c:pt idx="419">
                  <c:v>0.45</c:v>
                </c:pt>
                <c:pt idx="420">
                  <c:v>0.37</c:v>
                </c:pt>
                <c:pt idx="421">
                  <c:v>0.34</c:v>
                </c:pt>
                <c:pt idx="422">
                  <c:v>0.34</c:v>
                </c:pt>
                <c:pt idx="423">
                  <c:v>0.34</c:v>
                </c:pt>
                <c:pt idx="424">
                  <c:v>0.34</c:v>
                </c:pt>
                <c:pt idx="425">
                  <c:v>0.37</c:v>
                </c:pt>
                <c:pt idx="426">
                  <c:v>0.45</c:v>
                </c:pt>
                <c:pt idx="427">
                  <c:v>0.42</c:v>
                </c:pt>
                <c:pt idx="428">
                  <c:v>0.45</c:v>
                </c:pt>
                <c:pt idx="429">
                  <c:v>0.36</c:v>
                </c:pt>
                <c:pt idx="430">
                  <c:v>0.36</c:v>
                </c:pt>
                <c:pt idx="431">
                  <c:v>0.36</c:v>
                </c:pt>
                <c:pt idx="432">
                  <c:v>0.38</c:v>
                </c:pt>
                <c:pt idx="433">
                  <c:v>0.39</c:v>
                </c:pt>
                <c:pt idx="434">
                  <c:v>0.45</c:v>
                </c:pt>
                <c:pt idx="435">
                  <c:v>0.35</c:v>
                </c:pt>
                <c:pt idx="436">
                  <c:v>0.37</c:v>
                </c:pt>
                <c:pt idx="437">
                  <c:v>0.36</c:v>
                </c:pt>
                <c:pt idx="438">
                  <c:v>0.36</c:v>
                </c:pt>
                <c:pt idx="439">
                  <c:v>0.38</c:v>
                </c:pt>
                <c:pt idx="440">
                  <c:v>0.44</c:v>
                </c:pt>
                <c:pt idx="441">
                  <c:v>0.37</c:v>
                </c:pt>
                <c:pt idx="442">
                  <c:v>0.39</c:v>
                </c:pt>
                <c:pt idx="443">
                  <c:v>0.4</c:v>
                </c:pt>
                <c:pt idx="444">
                  <c:v>0.41</c:v>
                </c:pt>
                <c:pt idx="445">
                  <c:v>0.42</c:v>
                </c:pt>
                <c:pt idx="446">
                  <c:v>0.45</c:v>
                </c:pt>
                <c:pt idx="447">
                  <c:v>0.57999999999999996</c:v>
                </c:pt>
                <c:pt idx="448">
                  <c:v>0.43</c:v>
                </c:pt>
                <c:pt idx="449">
                  <c:v>0.4</c:v>
                </c:pt>
                <c:pt idx="450">
                  <c:v>0.41</c:v>
                </c:pt>
                <c:pt idx="451">
                  <c:v>0.42</c:v>
                </c:pt>
                <c:pt idx="452">
                  <c:v>0.44</c:v>
                </c:pt>
                <c:pt idx="453">
                  <c:v>0.47</c:v>
                </c:pt>
                <c:pt idx="454">
                  <c:v>0.57999999999999996</c:v>
                </c:pt>
                <c:pt idx="455">
                  <c:v>0.56999999999999995</c:v>
                </c:pt>
                <c:pt idx="456">
                  <c:v>0.56000000000000005</c:v>
                </c:pt>
                <c:pt idx="457">
                  <c:v>0.44</c:v>
                </c:pt>
                <c:pt idx="458">
                  <c:v>0.43</c:v>
                </c:pt>
                <c:pt idx="459">
                  <c:v>0.44</c:v>
                </c:pt>
                <c:pt idx="460">
                  <c:v>0.43</c:v>
                </c:pt>
                <c:pt idx="461">
                  <c:v>0.51</c:v>
                </c:pt>
                <c:pt idx="462">
                  <c:v>0.47</c:v>
                </c:pt>
                <c:pt idx="463">
                  <c:v>0.4</c:v>
                </c:pt>
                <c:pt idx="464">
                  <c:v>0.42</c:v>
                </c:pt>
                <c:pt idx="465">
                  <c:v>0.43</c:v>
                </c:pt>
                <c:pt idx="466">
                  <c:v>0.43</c:v>
                </c:pt>
                <c:pt idx="467">
                  <c:v>0.43</c:v>
                </c:pt>
                <c:pt idx="468">
                  <c:v>0.55000000000000004</c:v>
                </c:pt>
                <c:pt idx="469">
                  <c:v>0.55000000000000004</c:v>
                </c:pt>
                <c:pt idx="470">
                  <c:v>0.4</c:v>
                </c:pt>
                <c:pt idx="471">
                  <c:v>0.41</c:v>
                </c:pt>
                <c:pt idx="472">
                  <c:v>0.43</c:v>
                </c:pt>
                <c:pt idx="473">
                  <c:v>0.42</c:v>
                </c:pt>
                <c:pt idx="474">
                  <c:v>0.44</c:v>
                </c:pt>
                <c:pt idx="475">
                  <c:v>0.5</c:v>
                </c:pt>
                <c:pt idx="476">
                  <c:v>0.47</c:v>
                </c:pt>
                <c:pt idx="477">
                  <c:v>0.41</c:v>
                </c:pt>
                <c:pt idx="478">
                  <c:v>0.43</c:v>
                </c:pt>
                <c:pt idx="479">
                  <c:v>0.44</c:v>
                </c:pt>
                <c:pt idx="480">
                  <c:v>0.44</c:v>
                </c:pt>
                <c:pt idx="481">
                  <c:v>0.45</c:v>
                </c:pt>
                <c:pt idx="482">
                  <c:v>0.56000000000000005</c:v>
                </c:pt>
                <c:pt idx="483">
                  <c:v>0.48</c:v>
                </c:pt>
                <c:pt idx="484">
                  <c:v>0.41</c:v>
                </c:pt>
                <c:pt idx="485">
                  <c:v>0.43</c:v>
                </c:pt>
                <c:pt idx="486">
                  <c:v>0.43</c:v>
                </c:pt>
                <c:pt idx="487">
                  <c:v>0.44</c:v>
                </c:pt>
                <c:pt idx="488">
                  <c:v>0.44</c:v>
                </c:pt>
                <c:pt idx="489">
                  <c:v>0.47</c:v>
                </c:pt>
                <c:pt idx="490">
                  <c:v>0.47</c:v>
                </c:pt>
                <c:pt idx="491">
                  <c:v>0.42</c:v>
                </c:pt>
                <c:pt idx="492">
                  <c:v>0.45</c:v>
                </c:pt>
                <c:pt idx="493">
                  <c:v>0.46</c:v>
                </c:pt>
                <c:pt idx="494">
                  <c:v>0.43</c:v>
                </c:pt>
                <c:pt idx="495">
                  <c:v>0.45</c:v>
                </c:pt>
                <c:pt idx="496">
                  <c:v>0.54</c:v>
                </c:pt>
                <c:pt idx="497">
                  <c:v>0.67</c:v>
                </c:pt>
                <c:pt idx="498">
                  <c:v>0.39</c:v>
                </c:pt>
                <c:pt idx="499">
                  <c:v>0.41</c:v>
                </c:pt>
                <c:pt idx="500">
                  <c:v>0.43</c:v>
                </c:pt>
                <c:pt idx="501">
                  <c:v>0.44</c:v>
                </c:pt>
                <c:pt idx="502">
                  <c:v>0.46</c:v>
                </c:pt>
                <c:pt idx="503">
                  <c:v>0.54</c:v>
                </c:pt>
                <c:pt idx="504">
                  <c:v>0.52</c:v>
                </c:pt>
                <c:pt idx="505">
                  <c:v>0.42</c:v>
                </c:pt>
                <c:pt idx="506">
                  <c:v>0.42</c:v>
                </c:pt>
                <c:pt idx="507">
                  <c:v>0.44</c:v>
                </c:pt>
                <c:pt idx="508">
                  <c:v>0.49</c:v>
                </c:pt>
                <c:pt idx="509">
                  <c:v>0.47</c:v>
                </c:pt>
                <c:pt idx="510">
                  <c:v>0.55000000000000004</c:v>
                </c:pt>
                <c:pt idx="511">
                  <c:v>0.5</c:v>
                </c:pt>
                <c:pt idx="512">
                  <c:v>0.42</c:v>
                </c:pt>
                <c:pt idx="513">
                  <c:v>0.44</c:v>
                </c:pt>
                <c:pt idx="514">
                  <c:v>0.46</c:v>
                </c:pt>
                <c:pt idx="515">
                  <c:v>0.49</c:v>
                </c:pt>
                <c:pt idx="516">
                  <c:v>0.47</c:v>
                </c:pt>
                <c:pt idx="517">
                  <c:v>0.49</c:v>
                </c:pt>
                <c:pt idx="518">
                  <c:v>0.47</c:v>
                </c:pt>
                <c:pt idx="519">
                  <c:v>0.44</c:v>
                </c:pt>
                <c:pt idx="520">
                  <c:v>0.45</c:v>
                </c:pt>
                <c:pt idx="521">
                  <c:v>0.46</c:v>
                </c:pt>
                <c:pt idx="522">
                  <c:v>0.46</c:v>
                </c:pt>
                <c:pt idx="523">
                  <c:v>0.47</c:v>
                </c:pt>
                <c:pt idx="524">
                  <c:v>0.59</c:v>
                </c:pt>
                <c:pt idx="525">
                  <c:v>0.57999999999999996</c:v>
                </c:pt>
                <c:pt idx="526">
                  <c:v>0.44</c:v>
                </c:pt>
                <c:pt idx="527">
                  <c:v>0.47</c:v>
                </c:pt>
                <c:pt idx="528">
                  <c:v>0.49</c:v>
                </c:pt>
                <c:pt idx="529">
                  <c:v>0.48</c:v>
                </c:pt>
                <c:pt idx="530">
                  <c:v>0.51</c:v>
                </c:pt>
                <c:pt idx="531">
                  <c:v>0.63</c:v>
                </c:pt>
                <c:pt idx="532">
                  <c:v>0.64</c:v>
                </c:pt>
                <c:pt idx="533">
                  <c:v>0.47</c:v>
                </c:pt>
                <c:pt idx="534">
                  <c:v>0.48</c:v>
                </c:pt>
                <c:pt idx="535">
                  <c:v>0.5</c:v>
                </c:pt>
                <c:pt idx="536">
                  <c:v>0.51</c:v>
                </c:pt>
                <c:pt idx="537">
                  <c:v>0.53</c:v>
                </c:pt>
                <c:pt idx="538">
                  <c:v>0.57999999999999996</c:v>
                </c:pt>
                <c:pt idx="539">
                  <c:v>0.62</c:v>
                </c:pt>
                <c:pt idx="540">
                  <c:v>0.48</c:v>
                </c:pt>
                <c:pt idx="541">
                  <c:v>0.54</c:v>
                </c:pt>
                <c:pt idx="542">
                  <c:v>0.53</c:v>
                </c:pt>
                <c:pt idx="543">
                  <c:v>0.53</c:v>
                </c:pt>
                <c:pt idx="544">
                  <c:v>0.54</c:v>
                </c:pt>
                <c:pt idx="545">
                  <c:v>0.72</c:v>
                </c:pt>
                <c:pt idx="546">
                  <c:v>0.68</c:v>
                </c:pt>
                <c:pt idx="547">
                  <c:v>0.64</c:v>
                </c:pt>
                <c:pt idx="548">
                  <c:v>0.49</c:v>
                </c:pt>
                <c:pt idx="549">
                  <c:v>0.53</c:v>
                </c:pt>
                <c:pt idx="550">
                  <c:v>0.53</c:v>
                </c:pt>
                <c:pt idx="551">
                  <c:v>0.54</c:v>
                </c:pt>
                <c:pt idx="552">
                  <c:v>0.65</c:v>
                </c:pt>
                <c:pt idx="553">
                  <c:v>0.71</c:v>
                </c:pt>
                <c:pt idx="554">
                  <c:v>0.5</c:v>
                </c:pt>
                <c:pt idx="555">
                  <c:v>0.52</c:v>
                </c:pt>
                <c:pt idx="556">
                  <c:v>0.53</c:v>
                </c:pt>
                <c:pt idx="557">
                  <c:v>0.54</c:v>
                </c:pt>
                <c:pt idx="558">
                  <c:v>0.53</c:v>
                </c:pt>
                <c:pt idx="559">
                  <c:v>0.65</c:v>
                </c:pt>
                <c:pt idx="560">
                  <c:v>0.6</c:v>
                </c:pt>
                <c:pt idx="561">
                  <c:v>0.51</c:v>
                </c:pt>
                <c:pt idx="562">
                  <c:v>0.52</c:v>
                </c:pt>
                <c:pt idx="563">
                  <c:v>0.54</c:v>
                </c:pt>
                <c:pt idx="564">
                  <c:v>0.55000000000000004</c:v>
                </c:pt>
                <c:pt idx="565">
                  <c:v>0.54</c:v>
                </c:pt>
                <c:pt idx="566">
                  <c:v>0.67</c:v>
                </c:pt>
                <c:pt idx="567">
                  <c:v>0.63</c:v>
                </c:pt>
                <c:pt idx="568">
                  <c:v>0.52</c:v>
                </c:pt>
                <c:pt idx="569">
                  <c:v>0.56000000000000005</c:v>
                </c:pt>
                <c:pt idx="570">
                  <c:v>0.57999999999999996</c:v>
                </c:pt>
                <c:pt idx="571">
                  <c:v>0.57999999999999996</c:v>
                </c:pt>
                <c:pt idx="572">
                  <c:v>0.57999999999999996</c:v>
                </c:pt>
                <c:pt idx="573">
                  <c:v>0.74</c:v>
                </c:pt>
                <c:pt idx="574">
                  <c:v>0.78</c:v>
                </c:pt>
                <c:pt idx="575">
                  <c:v>0.55000000000000004</c:v>
                </c:pt>
                <c:pt idx="576">
                  <c:v>0.57999999999999996</c:v>
                </c:pt>
                <c:pt idx="577">
                  <c:v>0.57999999999999996</c:v>
                </c:pt>
                <c:pt idx="578">
                  <c:v>0.59</c:v>
                </c:pt>
                <c:pt idx="579">
                  <c:v>0.57999999999999996</c:v>
                </c:pt>
                <c:pt idx="580">
                  <c:v>0.67</c:v>
                </c:pt>
                <c:pt idx="581">
                  <c:v>0.81</c:v>
                </c:pt>
                <c:pt idx="582">
                  <c:v>0.53</c:v>
                </c:pt>
                <c:pt idx="583">
                  <c:v>0.56000000000000005</c:v>
                </c:pt>
                <c:pt idx="584">
                  <c:v>0.57999999999999996</c:v>
                </c:pt>
                <c:pt idx="585">
                  <c:v>0.59</c:v>
                </c:pt>
                <c:pt idx="586">
                  <c:v>0.56999999999999995</c:v>
                </c:pt>
                <c:pt idx="587">
                  <c:v>0.73</c:v>
                </c:pt>
                <c:pt idx="588">
                  <c:v>0.71</c:v>
                </c:pt>
                <c:pt idx="589">
                  <c:v>0.55000000000000004</c:v>
                </c:pt>
                <c:pt idx="590">
                  <c:v>0.6</c:v>
                </c:pt>
                <c:pt idx="591">
                  <c:v>0.6</c:v>
                </c:pt>
                <c:pt idx="592">
                  <c:v>0.62</c:v>
                </c:pt>
                <c:pt idx="593">
                  <c:v>0.6</c:v>
                </c:pt>
                <c:pt idx="594">
                  <c:v>0.7</c:v>
                </c:pt>
                <c:pt idx="595">
                  <c:v>0.73</c:v>
                </c:pt>
                <c:pt idx="596">
                  <c:v>0.55000000000000004</c:v>
                </c:pt>
                <c:pt idx="597">
                  <c:v>0.57999999999999996</c:v>
                </c:pt>
                <c:pt idx="598">
                  <c:v>0.6</c:v>
                </c:pt>
                <c:pt idx="599">
                  <c:v>0.62</c:v>
                </c:pt>
                <c:pt idx="600">
                  <c:v>0.61</c:v>
                </c:pt>
                <c:pt idx="601">
                  <c:v>0.7</c:v>
                </c:pt>
                <c:pt idx="602">
                  <c:v>0.73</c:v>
                </c:pt>
                <c:pt idx="603">
                  <c:v>0.56999999999999995</c:v>
                </c:pt>
                <c:pt idx="604">
                  <c:v>0.63</c:v>
                </c:pt>
                <c:pt idx="605">
                  <c:v>0.64</c:v>
                </c:pt>
                <c:pt idx="606">
                  <c:v>0.65</c:v>
                </c:pt>
                <c:pt idx="607">
                  <c:v>0.63</c:v>
                </c:pt>
                <c:pt idx="608">
                  <c:v>0.78</c:v>
                </c:pt>
                <c:pt idx="609">
                  <c:v>0.63</c:v>
                </c:pt>
                <c:pt idx="610">
                  <c:v>0.56999999999999995</c:v>
                </c:pt>
                <c:pt idx="611">
                  <c:v>0.61</c:v>
                </c:pt>
                <c:pt idx="612">
                  <c:v>0.63</c:v>
                </c:pt>
                <c:pt idx="613">
                  <c:v>0.64</c:v>
                </c:pt>
                <c:pt idx="614">
                  <c:v>0.62</c:v>
                </c:pt>
                <c:pt idx="615">
                  <c:v>0.76</c:v>
                </c:pt>
                <c:pt idx="616">
                  <c:v>0.75</c:v>
                </c:pt>
                <c:pt idx="617">
                  <c:v>0.56999999999999995</c:v>
                </c:pt>
                <c:pt idx="618">
                  <c:v>0.6</c:v>
                </c:pt>
                <c:pt idx="619">
                  <c:v>0.61</c:v>
                </c:pt>
                <c:pt idx="620">
                  <c:v>0.62</c:v>
                </c:pt>
                <c:pt idx="621">
                  <c:v>0.62</c:v>
                </c:pt>
                <c:pt idx="622">
                  <c:v>0.81</c:v>
                </c:pt>
                <c:pt idx="623">
                  <c:v>0.77</c:v>
                </c:pt>
                <c:pt idx="624">
                  <c:v>0.56999999999999995</c:v>
                </c:pt>
                <c:pt idx="625">
                  <c:v>0.61</c:v>
                </c:pt>
                <c:pt idx="626">
                  <c:v>0.63</c:v>
                </c:pt>
                <c:pt idx="627">
                  <c:v>0.63</c:v>
                </c:pt>
                <c:pt idx="628">
                  <c:v>0.63</c:v>
                </c:pt>
                <c:pt idx="629">
                  <c:v>0.75</c:v>
                </c:pt>
                <c:pt idx="630">
                  <c:v>0.75</c:v>
                </c:pt>
                <c:pt idx="631">
                  <c:v>0.57999999999999996</c:v>
                </c:pt>
                <c:pt idx="632">
                  <c:v>0.62</c:v>
                </c:pt>
                <c:pt idx="633">
                  <c:v>0.62</c:v>
                </c:pt>
                <c:pt idx="634">
                  <c:v>0.64</c:v>
                </c:pt>
                <c:pt idx="635">
                  <c:v>0.44</c:v>
                </c:pt>
                <c:pt idx="636">
                  <c:v>0.71</c:v>
                </c:pt>
                <c:pt idx="637">
                  <c:v>0.75</c:v>
                </c:pt>
                <c:pt idx="638">
                  <c:v>0.57999999999999996</c:v>
                </c:pt>
                <c:pt idx="639">
                  <c:v>0.59</c:v>
                </c:pt>
                <c:pt idx="640">
                  <c:v>0.61</c:v>
                </c:pt>
                <c:pt idx="641">
                  <c:v>0.61</c:v>
                </c:pt>
                <c:pt idx="642">
                  <c:v>0.6</c:v>
                </c:pt>
                <c:pt idx="643">
                  <c:v>0.74</c:v>
                </c:pt>
                <c:pt idx="644">
                  <c:v>0.72</c:v>
                </c:pt>
                <c:pt idx="645">
                  <c:v>0.56000000000000005</c:v>
                </c:pt>
                <c:pt idx="646">
                  <c:v>0.59</c:v>
                </c:pt>
                <c:pt idx="647">
                  <c:v>0.61</c:v>
                </c:pt>
                <c:pt idx="648">
                  <c:v>0.63</c:v>
                </c:pt>
                <c:pt idx="649">
                  <c:v>0.6</c:v>
                </c:pt>
                <c:pt idx="650">
                  <c:v>0.73</c:v>
                </c:pt>
                <c:pt idx="651">
                  <c:v>0.7</c:v>
                </c:pt>
                <c:pt idx="652">
                  <c:v>0.52</c:v>
                </c:pt>
                <c:pt idx="653">
                  <c:v>0.51</c:v>
                </c:pt>
                <c:pt idx="654">
                  <c:v>0.51</c:v>
                </c:pt>
                <c:pt idx="655">
                  <c:v>0.5</c:v>
                </c:pt>
                <c:pt idx="656">
                  <c:v>0.49</c:v>
                </c:pt>
                <c:pt idx="657">
                  <c:v>0.51</c:v>
                </c:pt>
                <c:pt idx="658">
                  <c:v>0.6</c:v>
                </c:pt>
                <c:pt idx="659">
                  <c:v>0.55000000000000004</c:v>
                </c:pt>
                <c:pt idx="660">
                  <c:v>0.55000000000000004</c:v>
                </c:pt>
                <c:pt idx="661">
                  <c:v>0.53</c:v>
                </c:pt>
                <c:pt idx="662">
                  <c:v>0.5</c:v>
                </c:pt>
                <c:pt idx="663">
                  <c:v>0.51</c:v>
                </c:pt>
                <c:pt idx="665">
                  <c:v>0.34</c:v>
                </c:pt>
                <c:pt idx="666">
                  <c:v>0.42</c:v>
                </c:pt>
                <c:pt idx="667">
                  <c:v>0.47</c:v>
                </c:pt>
                <c:pt idx="668">
                  <c:v>0.48</c:v>
                </c:pt>
                <c:pt idx="669">
                  <c:v>0.49</c:v>
                </c:pt>
                <c:pt idx="670">
                  <c:v>0.55000000000000004</c:v>
                </c:pt>
                <c:pt idx="671">
                  <c:v>0.53</c:v>
                </c:pt>
                <c:pt idx="672">
                  <c:v>0.64</c:v>
                </c:pt>
                <c:pt idx="673">
                  <c:v>0.65</c:v>
                </c:pt>
                <c:pt idx="674">
                  <c:v>0.39</c:v>
                </c:pt>
                <c:pt idx="675">
                  <c:v>0.43</c:v>
                </c:pt>
                <c:pt idx="676">
                  <c:v>0.42</c:v>
                </c:pt>
                <c:pt idx="677">
                  <c:v>0.45</c:v>
                </c:pt>
                <c:pt idx="678">
                  <c:v>0.56000000000000005</c:v>
                </c:pt>
                <c:pt idx="679">
                  <c:v>0.64</c:v>
                </c:pt>
                <c:pt idx="680">
                  <c:v>0.44</c:v>
                </c:pt>
                <c:pt idx="681">
                  <c:v>0.45</c:v>
                </c:pt>
                <c:pt idx="682">
                  <c:v>0.48</c:v>
                </c:pt>
                <c:pt idx="683">
                  <c:v>0.48</c:v>
                </c:pt>
                <c:pt idx="684">
                  <c:v>0.49</c:v>
                </c:pt>
                <c:pt idx="685">
                  <c:v>0.59</c:v>
                </c:pt>
                <c:pt idx="686">
                  <c:v>0.6</c:v>
                </c:pt>
                <c:pt idx="687">
                  <c:v>0.46</c:v>
                </c:pt>
                <c:pt idx="688">
                  <c:v>0.48</c:v>
                </c:pt>
                <c:pt idx="689">
                  <c:v>0.49</c:v>
                </c:pt>
                <c:pt idx="690">
                  <c:v>0.51</c:v>
                </c:pt>
                <c:pt idx="691">
                  <c:v>0.51</c:v>
                </c:pt>
                <c:pt idx="692">
                  <c:v>0.64</c:v>
                </c:pt>
                <c:pt idx="693">
                  <c:v>0.67</c:v>
                </c:pt>
                <c:pt idx="694">
                  <c:v>0.49</c:v>
                </c:pt>
                <c:pt idx="695">
                  <c:v>0.51</c:v>
                </c:pt>
                <c:pt idx="696">
                  <c:v>0.52</c:v>
                </c:pt>
                <c:pt idx="697">
                  <c:v>0.55000000000000004</c:v>
                </c:pt>
                <c:pt idx="698">
                  <c:v>0.54</c:v>
                </c:pt>
                <c:pt idx="699">
                  <c:v>0.7</c:v>
                </c:pt>
                <c:pt idx="700">
                  <c:v>0.7</c:v>
                </c:pt>
                <c:pt idx="701">
                  <c:v>0.54</c:v>
                </c:pt>
                <c:pt idx="702">
                  <c:v>0.56999999999999995</c:v>
                </c:pt>
                <c:pt idx="703">
                  <c:v>0.56999999999999995</c:v>
                </c:pt>
                <c:pt idx="704">
                  <c:v>0.59</c:v>
                </c:pt>
                <c:pt idx="705">
                  <c:v>0.56999999999999995</c:v>
                </c:pt>
                <c:pt idx="706">
                  <c:v>0.76</c:v>
                </c:pt>
                <c:pt idx="707">
                  <c:v>0.71</c:v>
                </c:pt>
                <c:pt idx="708">
                  <c:v>0.55000000000000004</c:v>
                </c:pt>
                <c:pt idx="709">
                  <c:v>0.6</c:v>
                </c:pt>
                <c:pt idx="710">
                  <c:v>0.6</c:v>
                </c:pt>
                <c:pt idx="711">
                  <c:v>0.61</c:v>
                </c:pt>
                <c:pt idx="712">
                  <c:v>0.6</c:v>
                </c:pt>
                <c:pt idx="713">
                  <c:v>0.77</c:v>
                </c:pt>
                <c:pt idx="714">
                  <c:v>0.78</c:v>
                </c:pt>
                <c:pt idx="715">
                  <c:v>0.59</c:v>
                </c:pt>
                <c:pt idx="716">
                  <c:v>0.59</c:v>
                </c:pt>
                <c:pt idx="717">
                  <c:v>0.61</c:v>
                </c:pt>
                <c:pt idx="718">
                  <c:v>0.64</c:v>
                </c:pt>
                <c:pt idx="719">
                  <c:v>0.44</c:v>
                </c:pt>
                <c:pt idx="720">
                  <c:v>0.8</c:v>
                </c:pt>
                <c:pt idx="721">
                  <c:v>0.77</c:v>
                </c:pt>
                <c:pt idx="722">
                  <c:v>0.59</c:v>
                </c:pt>
                <c:pt idx="723">
                  <c:v>0.65</c:v>
                </c:pt>
                <c:pt idx="724">
                  <c:v>0.67</c:v>
                </c:pt>
                <c:pt idx="725">
                  <c:v>0.68</c:v>
                </c:pt>
                <c:pt idx="726">
                  <c:v>0.67</c:v>
                </c:pt>
                <c:pt idx="727">
                  <c:v>0.85</c:v>
                </c:pt>
                <c:pt idx="728">
                  <c:v>0.85</c:v>
                </c:pt>
                <c:pt idx="729">
                  <c:v>0.59</c:v>
                </c:pt>
                <c:pt idx="730">
                  <c:v>0.04</c:v>
                </c:pt>
                <c:pt idx="731">
                  <c:v>0.52</c:v>
                </c:pt>
                <c:pt idx="732">
                  <c:v>0.04</c:v>
                </c:pt>
                <c:pt idx="733">
                  <c:v>0.54</c:v>
                </c:pt>
                <c:pt idx="734">
                  <c:v>0.75</c:v>
                </c:pt>
                <c:pt idx="735">
                  <c:v>0.72</c:v>
                </c:pt>
                <c:pt idx="736">
                  <c:v>0.59</c:v>
                </c:pt>
                <c:pt idx="737">
                  <c:v>0.65</c:v>
                </c:pt>
                <c:pt idx="738">
                  <c:v>0.64</c:v>
                </c:pt>
                <c:pt idx="739">
                  <c:v>0.65</c:v>
                </c:pt>
                <c:pt idx="740">
                  <c:v>0.62</c:v>
                </c:pt>
                <c:pt idx="741">
                  <c:v>0.81</c:v>
                </c:pt>
                <c:pt idx="742">
                  <c:v>0.8</c:v>
                </c:pt>
                <c:pt idx="743">
                  <c:v>0.6</c:v>
                </c:pt>
                <c:pt idx="744">
                  <c:v>0.64</c:v>
                </c:pt>
                <c:pt idx="745">
                  <c:v>0.66</c:v>
                </c:pt>
                <c:pt idx="746">
                  <c:v>0.68</c:v>
                </c:pt>
                <c:pt idx="747">
                  <c:v>0.62</c:v>
                </c:pt>
                <c:pt idx="748">
                  <c:v>0.74</c:v>
                </c:pt>
                <c:pt idx="749">
                  <c:v>0.75</c:v>
                </c:pt>
                <c:pt idx="750">
                  <c:v>0.6</c:v>
                </c:pt>
                <c:pt idx="751">
                  <c:v>0.65</c:v>
                </c:pt>
                <c:pt idx="752">
                  <c:v>0.66</c:v>
                </c:pt>
                <c:pt idx="753">
                  <c:v>0.67</c:v>
                </c:pt>
                <c:pt idx="754">
                  <c:v>0.63</c:v>
                </c:pt>
                <c:pt idx="755">
                  <c:v>0.81</c:v>
                </c:pt>
                <c:pt idx="756">
                  <c:v>0.78</c:v>
                </c:pt>
                <c:pt idx="757">
                  <c:v>0.6</c:v>
                </c:pt>
                <c:pt idx="758">
                  <c:v>0.66</c:v>
                </c:pt>
                <c:pt idx="759">
                  <c:v>0.65</c:v>
                </c:pt>
                <c:pt idx="760">
                  <c:v>0.67</c:v>
                </c:pt>
                <c:pt idx="761">
                  <c:v>0.64</c:v>
                </c:pt>
                <c:pt idx="762">
                  <c:v>0.8</c:v>
                </c:pt>
                <c:pt idx="763">
                  <c:v>0.87</c:v>
                </c:pt>
                <c:pt idx="764">
                  <c:v>0.59</c:v>
                </c:pt>
                <c:pt idx="765">
                  <c:v>0.63</c:v>
                </c:pt>
                <c:pt idx="766">
                  <c:v>0.65</c:v>
                </c:pt>
                <c:pt idx="767">
                  <c:v>0.66</c:v>
                </c:pt>
                <c:pt idx="768">
                  <c:v>0.62</c:v>
                </c:pt>
                <c:pt idx="769">
                  <c:v>0.82</c:v>
                </c:pt>
                <c:pt idx="770">
                  <c:v>0.8</c:v>
                </c:pt>
                <c:pt idx="771">
                  <c:v>0.6</c:v>
                </c:pt>
                <c:pt idx="772">
                  <c:v>0.64</c:v>
                </c:pt>
                <c:pt idx="773">
                  <c:v>0.64</c:v>
                </c:pt>
                <c:pt idx="774">
                  <c:v>0.65</c:v>
                </c:pt>
                <c:pt idx="775">
                  <c:v>0.77</c:v>
                </c:pt>
                <c:pt idx="776">
                  <c:v>0.77</c:v>
                </c:pt>
                <c:pt idx="777">
                  <c:v>0.8</c:v>
                </c:pt>
                <c:pt idx="778">
                  <c:v>0.78</c:v>
                </c:pt>
                <c:pt idx="779">
                  <c:v>0.64</c:v>
                </c:pt>
                <c:pt idx="780">
                  <c:v>0.68</c:v>
                </c:pt>
                <c:pt idx="781">
                  <c:v>0.68</c:v>
                </c:pt>
                <c:pt idx="782">
                  <c:v>0.62</c:v>
                </c:pt>
                <c:pt idx="783">
                  <c:v>0.8</c:v>
                </c:pt>
                <c:pt idx="784">
                  <c:v>0.7</c:v>
                </c:pt>
                <c:pt idx="785">
                  <c:v>0.61</c:v>
                </c:pt>
                <c:pt idx="786">
                  <c:v>0.66</c:v>
                </c:pt>
                <c:pt idx="787">
                  <c:v>0.67</c:v>
                </c:pt>
                <c:pt idx="788">
                  <c:v>0.68</c:v>
                </c:pt>
                <c:pt idx="789">
                  <c:v>0.65</c:v>
                </c:pt>
                <c:pt idx="790">
                  <c:v>0.82</c:v>
                </c:pt>
                <c:pt idx="791">
                  <c:v>0.83</c:v>
                </c:pt>
                <c:pt idx="792">
                  <c:v>0.89</c:v>
                </c:pt>
                <c:pt idx="793">
                  <c:v>0.68</c:v>
                </c:pt>
                <c:pt idx="794">
                  <c:v>0.7</c:v>
                </c:pt>
                <c:pt idx="795">
                  <c:v>0.71</c:v>
                </c:pt>
                <c:pt idx="796">
                  <c:v>0.66</c:v>
                </c:pt>
                <c:pt idx="797">
                  <c:v>0.87</c:v>
                </c:pt>
                <c:pt idx="798">
                  <c:v>0.89</c:v>
                </c:pt>
                <c:pt idx="799">
                  <c:v>0.64</c:v>
                </c:pt>
                <c:pt idx="800">
                  <c:v>0.69</c:v>
                </c:pt>
                <c:pt idx="801">
                  <c:v>0.71</c:v>
                </c:pt>
                <c:pt idx="802">
                  <c:v>0.73</c:v>
                </c:pt>
                <c:pt idx="803">
                  <c:v>0.67</c:v>
                </c:pt>
                <c:pt idx="804">
                  <c:v>0.86</c:v>
                </c:pt>
                <c:pt idx="805">
                  <c:v>0.83</c:v>
                </c:pt>
                <c:pt idx="806">
                  <c:v>0.66</c:v>
                </c:pt>
                <c:pt idx="807">
                  <c:v>0.71</c:v>
                </c:pt>
                <c:pt idx="808">
                  <c:v>0.72</c:v>
                </c:pt>
                <c:pt idx="809">
                  <c:v>0.74</c:v>
                </c:pt>
                <c:pt idx="810">
                  <c:v>0.69</c:v>
                </c:pt>
                <c:pt idx="811">
                  <c:v>0.91</c:v>
                </c:pt>
                <c:pt idx="812">
                  <c:v>0.87</c:v>
                </c:pt>
                <c:pt idx="813">
                  <c:v>0.66</c:v>
                </c:pt>
                <c:pt idx="814">
                  <c:v>0.73</c:v>
                </c:pt>
                <c:pt idx="815">
                  <c:v>0.74</c:v>
                </c:pt>
                <c:pt idx="816">
                  <c:v>0.77</c:v>
                </c:pt>
                <c:pt idx="817">
                  <c:v>0.74</c:v>
                </c:pt>
                <c:pt idx="818">
                  <c:v>0.95</c:v>
                </c:pt>
                <c:pt idx="819">
                  <c:v>0.93</c:v>
                </c:pt>
                <c:pt idx="820">
                  <c:v>0.65</c:v>
                </c:pt>
                <c:pt idx="821">
                  <c:v>0.73</c:v>
                </c:pt>
                <c:pt idx="822">
                  <c:v>0.74</c:v>
                </c:pt>
                <c:pt idx="823">
                  <c:v>1.18</c:v>
                </c:pt>
                <c:pt idx="824">
                  <c:v>1.08</c:v>
                </c:pt>
                <c:pt idx="825">
                  <c:v>0.75</c:v>
                </c:pt>
                <c:pt idx="826">
                  <c:v>0.79</c:v>
                </c:pt>
                <c:pt idx="827">
                  <c:v>0.16</c:v>
                </c:pt>
                <c:pt idx="828">
                  <c:v>0.6</c:v>
                </c:pt>
                <c:pt idx="829">
                  <c:v>0.69</c:v>
                </c:pt>
                <c:pt idx="830">
                  <c:v>0.69</c:v>
                </c:pt>
                <c:pt idx="831">
                  <c:v>0.66</c:v>
                </c:pt>
                <c:pt idx="832">
                  <c:v>0.83</c:v>
                </c:pt>
                <c:pt idx="833">
                  <c:v>0.88</c:v>
                </c:pt>
                <c:pt idx="834">
                  <c:v>0.65</c:v>
                </c:pt>
              </c:numCache>
            </c:numRef>
          </c:val>
          <c:smooth val="0"/>
          <c:extLst>
            <c:ext xmlns:c16="http://schemas.microsoft.com/office/drawing/2014/chart" uri="{C3380CC4-5D6E-409C-BE32-E72D297353CC}">
              <c16:uniqueId val="{00000001-D4FE-4FD0-9C58-6AB6CBAAF6E4}"/>
            </c:ext>
          </c:extLst>
        </c:ser>
        <c:dLbls>
          <c:showLegendKey val="0"/>
          <c:showVal val="0"/>
          <c:showCatName val="0"/>
          <c:showSerName val="0"/>
          <c:showPercent val="0"/>
          <c:showBubbleSize val="0"/>
        </c:dLbls>
        <c:smooth val="0"/>
        <c:axId val="2108898175"/>
        <c:axId val="2108897343"/>
      </c:lineChart>
      <c:dateAx>
        <c:axId val="2108898175"/>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8897343"/>
        <c:crosses val="autoZero"/>
        <c:auto val="1"/>
        <c:lblOffset val="100"/>
        <c:baseTimeUnit val="days"/>
      </c:dateAx>
      <c:valAx>
        <c:axId val="21088973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8898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69735-68D4-47A1-A3F3-EE03BB648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8031</Words>
  <Characters>45782</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Preston</dc:creator>
  <cp:keywords/>
  <dc:description/>
  <cp:lastModifiedBy>John Preston</cp:lastModifiedBy>
  <cp:revision>3</cp:revision>
  <cp:lastPrinted>2023-03-15T15:38:00Z</cp:lastPrinted>
  <dcterms:created xsi:type="dcterms:W3CDTF">2023-04-14T07:30:00Z</dcterms:created>
  <dcterms:modified xsi:type="dcterms:W3CDTF">2023-04-14T07:32:00Z</dcterms:modified>
</cp:coreProperties>
</file>