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F80E9" w14:textId="318678D0" w:rsidR="00EF445B" w:rsidRPr="003B7E02" w:rsidRDefault="00B94D9B" w:rsidP="00326F8C">
      <w:pPr>
        <w:jc w:val="center"/>
        <w:rPr>
          <w:rFonts w:asciiTheme="minorHAnsi" w:hAnsiTheme="minorHAnsi" w:cstheme="minorHAnsi"/>
          <w:b/>
          <w:sz w:val="22"/>
          <w:szCs w:val="22"/>
        </w:rPr>
      </w:pPr>
      <w:r w:rsidRPr="003B7E02">
        <w:rPr>
          <w:rFonts w:asciiTheme="minorHAnsi" w:hAnsiTheme="minorHAnsi" w:cstheme="minorHAnsi"/>
          <w:b/>
          <w:sz w:val="22"/>
          <w:szCs w:val="22"/>
        </w:rPr>
        <w:t xml:space="preserve">THE MANAGEMENT OF </w:t>
      </w:r>
      <w:r w:rsidR="008B0263" w:rsidRPr="003B7E02">
        <w:rPr>
          <w:rFonts w:asciiTheme="minorHAnsi" w:hAnsiTheme="minorHAnsi" w:cstheme="minorHAnsi"/>
          <w:b/>
          <w:sz w:val="22"/>
          <w:szCs w:val="22"/>
        </w:rPr>
        <w:t>MEDICALLY ASSISTED</w:t>
      </w:r>
      <w:r w:rsidRPr="003B7E02">
        <w:rPr>
          <w:rFonts w:asciiTheme="minorHAnsi" w:hAnsiTheme="minorHAnsi" w:cstheme="minorHAnsi"/>
          <w:b/>
          <w:sz w:val="22"/>
          <w:szCs w:val="22"/>
        </w:rPr>
        <w:t xml:space="preserve"> </w:t>
      </w:r>
      <w:r w:rsidR="006A41E2" w:rsidRPr="003B7E02">
        <w:rPr>
          <w:rFonts w:asciiTheme="minorHAnsi" w:hAnsiTheme="minorHAnsi" w:cstheme="minorHAnsi"/>
          <w:b/>
          <w:sz w:val="22"/>
          <w:szCs w:val="22"/>
        </w:rPr>
        <w:t>WITHDRAWAL FROM ALCOHOL</w:t>
      </w:r>
      <w:r w:rsidRPr="003B7E02">
        <w:rPr>
          <w:rFonts w:asciiTheme="minorHAnsi" w:hAnsiTheme="minorHAnsi" w:cstheme="minorHAnsi"/>
          <w:b/>
          <w:sz w:val="22"/>
          <w:szCs w:val="22"/>
        </w:rPr>
        <w:t xml:space="preserve"> IN </w:t>
      </w:r>
      <w:r w:rsidR="003C5AED" w:rsidRPr="003B7E02">
        <w:rPr>
          <w:rFonts w:asciiTheme="minorHAnsi" w:hAnsiTheme="minorHAnsi" w:cstheme="minorHAnsi"/>
          <w:b/>
          <w:sz w:val="22"/>
          <w:szCs w:val="22"/>
        </w:rPr>
        <w:t xml:space="preserve">ACUTE ADULT </w:t>
      </w:r>
      <w:r w:rsidR="00C63911" w:rsidRPr="003B7E02">
        <w:rPr>
          <w:rFonts w:asciiTheme="minorHAnsi" w:hAnsiTheme="minorHAnsi" w:cstheme="minorHAnsi"/>
          <w:b/>
          <w:sz w:val="22"/>
          <w:szCs w:val="22"/>
        </w:rPr>
        <w:t>MENTAL HEALTH AND SPECIALIST ADDICTION</w:t>
      </w:r>
      <w:r w:rsidR="00883021" w:rsidRPr="003B7E02">
        <w:rPr>
          <w:rFonts w:asciiTheme="minorHAnsi" w:hAnsiTheme="minorHAnsi" w:cstheme="minorHAnsi"/>
          <w:b/>
          <w:sz w:val="22"/>
          <w:szCs w:val="22"/>
        </w:rPr>
        <w:t>S</w:t>
      </w:r>
      <w:r w:rsidR="00C63911" w:rsidRPr="003B7E02">
        <w:rPr>
          <w:rFonts w:asciiTheme="minorHAnsi" w:hAnsiTheme="minorHAnsi" w:cstheme="minorHAnsi"/>
          <w:b/>
          <w:sz w:val="22"/>
          <w:szCs w:val="22"/>
        </w:rPr>
        <w:t xml:space="preserve"> INPATIENT </w:t>
      </w:r>
      <w:r w:rsidRPr="003B7E02">
        <w:rPr>
          <w:rFonts w:asciiTheme="minorHAnsi" w:hAnsiTheme="minorHAnsi" w:cstheme="minorHAnsi"/>
          <w:b/>
          <w:sz w:val="22"/>
          <w:szCs w:val="22"/>
        </w:rPr>
        <w:t xml:space="preserve">SERVICES: FINDINGS </w:t>
      </w:r>
      <w:r w:rsidR="002513AF" w:rsidRPr="003B7E02">
        <w:rPr>
          <w:rFonts w:asciiTheme="minorHAnsi" w:hAnsiTheme="minorHAnsi" w:cstheme="minorHAnsi"/>
          <w:b/>
          <w:sz w:val="22"/>
          <w:szCs w:val="22"/>
        </w:rPr>
        <w:t xml:space="preserve">FROM </w:t>
      </w:r>
      <w:r w:rsidRPr="003B7E02">
        <w:rPr>
          <w:rFonts w:asciiTheme="minorHAnsi" w:hAnsiTheme="minorHAnsi" w:cstheme="minorHAnsi"/>
          <w:b/>
          <w:sz w:val="22"/>
          <w:szCs w:val="22"/>
        </w:rPr>
        <w:t xml:space="preserve">A </w:t>
      </w:r>
      <w:r w:rsidR="003C5AED" w:rsidRPr="003B7E02">
        <w:rPr>
          <w:rFonts w:asciiTheme="minorHAnsi" w:hAnsiTheme="minorHAnsi" w:cstheme="minorHAnsi"/>
          <w:b/>
          <w:sz w:val="22"/>
          <w:szCs w:val="22"/>
        </w:rPr>
        <w:t xml:space="preserve">UK </w:t>
      </w:r>
      <w:r w:rsidRPr="003B7E02">
        <w:rPr>
          <w:rFonts w:asciiTheme="minorHAnsi" w:hAnsiTheme="minorHAnsi" w:cstheme="minorHAnsi"/>
          <w:b/>
          <w:sz w:val="22"/>
          <w:szCs w:val="22"/>
        </w:rPr>
        <w:t xml:space="preserve">CLINICAL </w:t>
      </w:r>
      <w:r w:rsidR="007D44C5" w:rsidRPr="003B7E02">
        <w:rPr>
          <w:rFonts w:asciiTheme="minorHAnsi" w:hAnsiTheme="minorHAnsi" w:cstheme="minorHAnsi"/>
          <w:b/>
          <w:sz w:val="22"/>
          <w:szCs w:val="22"/>
        </w:rPr>
        <w:t>AUDIT</w:t>
      </w:r>
    </w:p>
    <w:p w14:paraId="51C7A8C1" w14:textId="77777777" w:rsidR="00326F8C" w:rsidRPr="003B7E02" w:rsidRDefault="00326F8C" w:rsidP="002B38DB">
      <w:pPr>
        <w:pStyle w:val="Default"/>
        <w:spacing w:line="360" w:lineRule="auto"/>
        <w:rPr>
          <w:rFonts w:asciiTheme="minorHAnsi" w:hAnsiTheme="minorHAnsi" w:cstheme="minorHAnsi"/>
          <w:b/>
          <w:bCs/>
          <w:color w:val="000000" w:themeColor="text1"/>
          <w:sz w:val="22"/>
          <w:szCs w:val="22"/>
        </w:rPr>
      </w:pPr>
    </w:p>
    <w:p w14:paraId="59E1FB9C" w14:textId="3B5B6113" w:rsidR="00467866" w:rsidRPr="003B7E02" w:rsidRDefault="00EF445B" w:rsidP="002B38DB">
      <w:pPr>
        <w:pStyle w:val="Default"/>
        <w:spacing w:line="360" w:lineRule="auto"/>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Authors</w:t>
      </w:r>
      <w:r w:rsidR="00C95690" w:rsidRPr="003B7E02">
        <w:rPr>
          <w:rFonts w:asciiTheme="minorHAnsi" w:hAnsiTheme="minorHAnsi" w:cstheme="minorHAnsi"/>
          <w:b/>
          <w:bCs/>
          <w:color w:val="000000" w:themeColor="text1"/>
          <w:sz w:val="22"/>
          <w:szCs w:val="22"/>
        </w:rPr>
        <w:t xml:space="preserve"> </w:t>
      </w:r>
    </w:p>
    <w:p w14:paraId="7CDEE2B3" w14:textId="36626237" w:rsidR="00EF445B" w:rsidRPr="003B7E02" w:rsidRDefault="00247651" w:rsidP="002B38DB">
      <w:pPr>
        <w:pStyle w:val="Default"/>
        <w:spacing w:line="360" w:lineRule="auto"/>
        <w:rPr>
          <w:rFonts w:asciiTheme="minorHAnsi" w:hAnsiTheme="minorHAnsi" w:cstheme="minorHAnsi"/>
          <w:color w:val="000000" w:themeColor="text1"/>
          <w:sz w:val="22"/>
          <w:szCs w:val="22"/>
        </w:rPr>
      </w:pPr>
      <w:r w:rsidRPr="003B7E02">
        <w:rPr>
          <w:rFonts w:asciiTheme="minorHAnsi" w:hAnsiTheme="minorHAnsi" w:cstheme="minorHAnsi"/>
          <w:color w:val="000000" w:themeColor="text1"/>
          <w:sz w:val="22"/>
          <w:szCs w:val="22"/>
        </w:rPr>
        <w:t>Julia Sinclair</w:t>
      </w:r>
      <w:r w:rsidR="0050042F" w:rsidRPr="003B7E02">
        <w:rPr>
          <w:rFonts w:asciiTheme="minorHAnsi" w:hAnsiTheme="minorHAnsi" w:cstheme="minorHAnsi"/>
          <w:color w:val="000000" w:themeColor="text1"/>
          <w:sz w:val="22"/>
          <w:szCs w:val="22"/>
          <w:vertAlign w:val="superscript"/>
        </w:rPr>
        <w:t>1</w:t>
      </w:r>
      <w:r w:rsidRPr="003B7E02">
        <w:rPr>
          <w:rFonts w:asciiTheme="minorHAnsi" w:hAnsiTheme="minorHAnsi" w:cstheme="minorHAnsi"/>
          <w:color w:val="000000" w:themeColor="text1"/>
          <w:sz w:val="22"/>
          <w:szCs w:val="22"/>
        </w:rPr>
        <w:t xml:space="preserve">, </w:t>
      </w:r>
      <w:r w:rsidR="00335760" w:rsidRPr="003B7E02">
        <w:rPr>
          <w:rFonts w:asciiTheme="minorHAnsi" w:hAnsiTheme="minorHAnsi" w:cstheme="minorHAnsi"/>
          <w:color w:val="000000" w:themeColor="text1"/>
          <w:sz w:val="22"/>
          <w:szCs w:val="22"/>
        </w:rPr>
        <w:t xml:space="preserve">Thomas </w:t>
      </w:r>
      <w:r w:rsidR="002C6755" w:rsidRPr="003B7E02">
        <w:rPr>
          <w:rFonts w:asciiTheme="minorHAnsi" w:hAnsiTheme="minorHAnsi" w:cstheme="minorHAnsi"/>
          <w:color w:val="000000" w:themeColor="text1"/>
          <w:sz w:val="22"/>
          <w:szCs w:val="22"/>
        </w:rPr>
        <w:t xml:space="preserve">R. E. </w:t>
      </w:r>
      <w:r w:rsidR="00335760" w:rsidRPr="003B7E02">
        <w:rPr>
          <w:rFonts w:asciiTheme="minorHAnsi" w:hAnsiTheme="minorHAnsi" w:cstheme="minorHAnsi"/>
          <w:color w:val="000000" w:themeColor="text1"/>
          <w:sz w:val="22"/>
          <w:szCs w:val="22"/>
        </w:rPr>
        <w:t>Barnes</w:t>
      </w:r>
      <w:r w:rsidR="0050042F" w:rsidRPr="003B7E02">
        <w:rPr>
          <w:rFonts w:asciiTheme="minorHAnsi" w:hAnsiTheme="minorHAnsi" w:cstheme="minorHAnsi"/>
          <w:color w:val="000000" w:themeColor="text1"/>
          <w:sz w:val="22"/>
          <w:szCs w:val="22"/>
          <w:vertAlign w:val="superscript"/>
        </w:rPr>
        <w:t>2,3</w:t>
      </w:r>
      <w:r w:rsidR="00335760" w:rsidRPr="003B7E02">
        <w:rPr>
          <w:rFonts w:asciiTheme="minorHAnsi" w:hAnsiTheme="minorHAnsi" w:cstheme="minorHAnsi"/>
          <w:color w:val="000000" w:themeColor="text1"/>
          <w:sz w:val="22"/>
          <w:szCs w:val="22"/>
        </w:rPr>
        <w:t xml:space="preserve">, </w:t>
      </w:r>
      <w:r w:rsidRPr="003B7E02">
        <w:rPr>
          <w:rFonts w:asciiTheme="minorHAnsi" w:hAnsiTheme="minorHAnsi" w:cstheme="minorHAnsi"/>
          <w:color w:val="000000" w:themeColor="text1"/>
          <w:sz w:val="22"/>
          <w:szCs w:val="22"/>
        </w:rPr>
        <w:t>Anne Lingford-Hughes</w:t>
      </w:r>
      <w:r w:rsidR="0050042F" w:rsidRPr="003B7E02">
        <w:rPr>
          <w:rFonts w:asciiTheme="minorHAnsi" w:hAnsiTheme="minorHAnsi" w:cstheme="minorHAnsi"/>
          <w:color w:val="000000" w:themeColor="text1"/>
          <w:sz w:val="22"/>
          <w:szCs w:val="22"/>
          <w:vertAlign w:val="superscript"/>
        </w:rPr>
        <w:t>2</w:t>
      </w:r>
      <w:r w:rsidRPr="003B7E02">
        <w:rPr>
          <w:rFonts w:asciiTheme="minorHAnsi" w:hAnsiTheme="minorHAnsi" w:cstheme="minorHAnsi"/>
          <w:color w:val="000000" w:themeColor="text1"/>
          <w:sz w:val="22"/>
          <w:szCs w:val="22"/>
        </w:rPr>
        <w:t xml:space="preserve">, </w:t>
      </w:r>
      <w:r w:rsidR="00C95690" w:rsidRPr="003B7E02">
        <w:rPr>
          <w:rFonts w:asciiTheme="minorHAnsi" w:hAnsiTheme="minorHAnsi" w:cstheme="minorHAnsi"/>
          <w:color w:val="000000" w:themeColor="text1"/>
          <w:sz w:val="22"/>
          <w:szCs w:val="22"/>
        </w:rPr>
        <w:t>Colin Drummond</w:t>
      </w:r>
      <w:r w:rsidR="0050042F" w:rsidRPr="003B7E02">
        <w:rPr>
          <w:rFonts w:asciiTheme="minorHAnsi" w:hAnsiTheme="minorHAnsi" w:cstheme="minorHAnsi"/>
          <w:color w:val="000000" w:themeColor="text1"/>
          <w:sz w:val="22"/>
          <w:szCs w:val="22"/>
          <w:vertAlign w:val="superscript"/>
        </w:rPr>
        <w:t>4</w:t>
      </w:r>
      <w:r w:rsidR="00C95690" w:rsidRPr="003B7E02">
        <w:rPr>
          <w:rFonts w:asciiTheme="minorHAnsi" w:hAnsiTheme="minorHAnsi" w:cstheme="minorHAnsi"/>
          <w:color w:val="000000" w:themeColor="text1"/>
          <w:sz w:val="22"/>
          <w:szCs w:val="22"/>
        </w:rPr>
        <w:t>, Ignatius L</w:t>
      </w:r>
      <w:r w:rsidR="00504AEB" w:rsidRPr="003B7E02">
        <w:rPr>
          <w:rFonts w:asciiTheme="minorHAnsi" w:hAnsiTheme="minorHAnsi" w:cstheme="minorHAnsi"/>
          <w:color w:val="000000" w:themeColor="text1"/>
          <w:sz w:val="22"/>
          <w:szCs w:val="22"/>
        </w:rPr>
        <w:t>o</w:t>
      </w:r>
      <w:r w:rsidR="00C95690" w:rsidRPr="003B7E02">
        <w:rPr>
          <w:rFonts w:asciiTheme="minorHAnsi" w:hAnsiTheme="minorHAnsi" w:cstheme="minorHAnsi"/>
          <w:color w:val="000000" w:themeColor="text1"/>
          <w:sz w:val="22"/>
          <w:szCs w:val="22"/>
        </w:rPr>
        <w:t>ubser</w:t>
      </w:r>
      <w:r w:rsidR="0050042F" w:rsidRPr="003B7E02">
        <w:rPr>
          <w:rFonts w:asciiTheme="minorHAnsi" w:hAnsiTheme="minorHAnsi" w:cstheme="minorHAnsi"/>
          <w:color w:val="000000" w:themeColor="text1"/>
          <w:sz w:val="22"/>
          <w:szCs w:val="22"/>
          <w:vertAlign w:val="superscript"/>
        </w:rPr>
        <w:t>5</w:t>
      </w:r>
      <w:r w:rsidR="00C95690" w:rsidRPr="003B7E02">
        <w:rPr>
          <w:rFonts w:asciiTheme="minorHAnsi" w:hAnsiTheme="minorHAnsi" w:cstheme="minorHAnsi"/>
          <w:color w:val="000000" w:themeColor="text1"/>
          <w:sz w:val="22"/>
          <w:szCs w:val="22"/>
        </w:rPr>
        <w:t xml:space="preserve">, </w:t>
      </w:r>
      <w:r w:rsidRPr="003B7E02">
        <w:rPr>
          <w:rFonts w:asciiTheme="minorHAnsi" w:hAnsiTheme="minorHAnsi" w:cstheme="minorHAnsi"/>
          <w:color w:val="000000" w:themeColor="text1"/>
          <w:sz w:val="22"/>
          <w:szCs w:val="22"/>
        </w:rPr>
        <w:t>Olivia Rendora</w:t>
      </w:r>
      <w:r w:rsidR="0050042F" w:rsidRPr="003B7E02">
        <w:rPr>
          <w:rFonts w:asciiTheme="minorHAnsi" w:hAnsiTheme="minorHAnsi" w:cstheme="minorHAnsi"/>
          <w:color w:val="000000" w:themeColor="text1"/>
          <w:sz w:val="22"/>
          <w:szCs w:val="22"/>
          <w:vertAlign w:val="superscript"/>
        </w:rPr>
        <w:t>3</w:t>
      </w:r>
      <w:r w:rsidRPr="003B7E02">
        <w:rPr>
          <w:rFonts w:asciiTheme="minorHAnsi" w:hAnsiTheme="minorHAnsi" w:cstheme="minorHAnsi"/>
          <w:color w:val="000000" w:themeColor="text1"/>
          <w:sz w:val="22"/>
          <w:szCs w:val="22"/>
        </w:rPr>
        <w:t xml:space="preserve">, </w:t>
      </w:r>
      <w:r w:rsidR="00335760" w:rsidRPr="003B7E02">
        <w:rPr>
          <w:rFonts w:asciiTheme="minorHAnsi" w:hAnsiTheme="minorHAnsi" w:cstheme="minorHAnsi"/>
          <w:color w:val="000000" w:themeColor="text1"/>
          <w:sz w:val="22"/>
          <w:szCs w:val="22"/>
        </w:rPr>
        <w:t>Carol Paton</w:t>
      </w:r>
      <w:r w:rsidR="0050042F" w:rsidRPr="003B7E02">
        <w:rPr>
          <w:rFonts w:asciiTheme="minorHAnsi" w:hAnsiTheme="minorHAnsi" w:cstheme="minorHAnsi"/>
          <w:color w:val="000000" w:themeColor="text1"/>
          <w:sz w:val="22"/>
          <w:szCs w:val="22"/>
          <w:vertAlign w:val="superscript"/>
        </w:rPr>
        <w:t>2,3</w:t>
      </w:r>
      <w:r w:rsidRPr="003B7E02">
        <w:rPr>
          <w:rFonts w:asciiTheme="minorHAnsi" w:hAnsiTheme="minorHAnsi" w:cstheme="minorHAnsi"/>
          <w:color w:val="000000" w:themeColor="text1"/>
          <w:sz w:val="22"/>
          <w:szCs w:val="22"/>
        </w:rPr>
        <w:t>.</w:t>
      </w:r>
    </w:p>
    <w:p w14:paraId="711ADD9E" w14:textId="0E59BE62" w:rsidR="00335760" w:rsidRPr="003B7E02" w:rsidRDefault="00335760" w:rsidP="002B38DB">
      <w:pPr>
        <w:pStyle w:val="Default"/>
        <w:spacing w:line="360" w:lineRule="auto"/>
        <w:rPr>
          <w:rFonts w:asciiTheme="minorHAnsi" w:hAnsiTheme="minorHAnsi" w:cstheme="minorHAnsi"/>
          <w:b/>
          <w:bCs/>
          <w:color w:val="000000" w:themeColor="text1"/>
          <w:sz w:val="22"/>
          <w:szCs w:val="22"/>
        </w:rPr>
      </w:pPr>
    </w:p>
    <w:p w14:paraId="23E96196" w14:textId="3F084567" w:rsidR="001E5DB5" w:rsidRPr="003B7E02" w:rsidRDefault="001E5DB5" w:rsidP="002B38DB">
      <w:pPr>
        <w:pStyle w:val="Default"/>
        <w:spacing w:line="360" w:lineRule="auto"/>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Affiliations</w:t>
      </w:r>
    </w:p>
    <w:p w14:paraId="5C086002" w14:textId="5F1F234C" w:rsidR="0050042F" w:rsidRPr="003B7E02" w:rsidRDefault="00014AF0" w:rsidP="0050042F">
      <w:pPr>
        <w:pStyle w:val="NoSpacing"/>
        <w:numPr>
          <w:ilvl w:val="0"/>
          <w:numId w:val="12"/>
        </w:numPr>
        <w:rPr>
          <w:rFonts w:cstheme="minorHAnsi"/>
        </w:rPr>
      </w:pPr>
      <w:r w:rsidRPr="003B7E02">
        <w:rPr>
          <w:rFonts w:cstheme="minorHAnsi"/>
        </w:rPr>
        <w:t>Clinica</w:t>
      </w:r>
      <w:r w:rsidR="004905D5" w:rsidRPr="003B7E02">
        <w:rPr>
          <w:rFonts w:cstheme="minorHAnsi"/>
        </w:rPr>
        <w:t>l and Experimental Sciences, Faculty of Medicine,</w:t>
      </w:r>
      <w:r w:rsidR="00FF5981" w:rsidRPr="003B7E02">
        <w:rPr>
          <w:rFonts w:cstheme="minorHAnsi"/>
        </w:rPr>
        <w:t xml:space="preserve"> University of Southampton</w:t>
      </w:r>
      <w:r w:rsidR="004905D5" w:rsidRPr="003B7E02">
        <w:rPr>
          <w:rFonts w:cstheme="minorHAnsi"/>
        </w:rPr>
        <w:t>, UK</w:t>
      </w:r>
    </w:p>
    <w:p w14:paraId="6F12BCD8" w14:textId="70C26227" w:rsidR="0050042F" w:rsidRPr="003B7E02" w:rsidRDefault="0050042F" w:rsidP="0050042F">
      <w:pPr>
        <w:pStyle w:val="NoSpacing"/>
        <w:numPr>
          <w:ilvl w:val="0"/>
          <w:numId w:val="12"/>
        </w:numPr>
        <w:rPr>
          <w:rFonts w:cstheme="minorHAnsi"/>
        </w:rPr>
      </w:pPr>
      <w:r w:rsidRPr="003B7E02">
        <w:rPr>
          <w:rFonts w:cstheme="minorHAnsi"/>
        </w:rPr>
        <w:t xml:space="preserve">Division of Psychiatry, Imperial College London, London, UK </w:t>
      </w:r>
    </w:p>
    <w:p w14:paraId="4F249080" w14:textId="5EA8C93D" w:rsidR="0050042F" w:rsidRPr="003B7E02" w:rsidRDefault="0050042F" w:rsidP="0050042F">
      <w:pPr>
        <w:pStyle w:val="NoSpacing"/>
        <w:numPr>
          <w:ilvl w:val="0"/>
          <w:numId w:val="12"/>
        </w:numPr>
        <w:rPr>
          <w:rFonts w:cstheme="minorHAnsi"/>
        </w:rPr>
      </w:pPr>
      <w:r w:rsidRPr="003B7E02">
        <w:rPr>
          <w:rFonts w:cstheme="minorHAnsi"/>
        </w:rPr>
        <w:t xml:space="preserve">Prescribing Observatory for Mental Health, Centre for Quality Improvement, Royal College of Psychiatrists, London, UK </w:t>
      </w:r>
    </w:p>
    <w:p w14:paraId="19D5AD21" w14:textId="77777777" w:rsidR="0016260F" w:rsidRPr="003B7E02" w:rsidRDefault="00F27F68" w:rsidP="0016260F">
      <w:pPr>
        <w:pStyle w:val="NoSpacing"/>
        <w:numPr>
          <w:ilvl w:val="0"/>
          <w:numId w:val="12"/>
        </w:numPr>
        <w:rPr>
          <w:rFonts w:cstheme="minorHAnsi"/>
        </w:rPr>
      </w:pPr>
      <w:r w:rsidRPr="003B7E02">
        <w:rPr>
          <w:rFonts w:cstheme="minorHAnsi"/>
        </w:rPr>
        <w:t>National Addiction Centre, Institute of Psychiatry, Psychology and Neuroscience, King’s College London, London, U</w:t>
      </w:r>
      <w:r w:rsidR="0016260F" w:rsidRPr="003B7E02">
        <w:rPr>
          <w:rFonts w:cstheme="minorHAnsi"/>
        </w:rPr>
        <w:t>K,</w:t>
      </w:r>
    </w:p>
    <w:p w14:paraId="4292783E" w14:textId="0354B8A2" w:rsidR="0050042F" w:rsidRPr="003B7E02" w:rsidRDefault="0016260F" w:rsidP="0016260F">
      <w:pPr>
        <w:pStyle w:val="NoSpacing"/>
        <w:numPr>
          <w:ilvl w:val="0"/>
          <w:numId w:val="12"/>
        </w:numPr>
        <w:rPr>
          <w:rFonts w:cstheme="minorHAnsi"/>
        </w:rPr>
      </w:pPr>
      <w:r w:rsidRPr="003B7E02">
        <w:rPr>
          <w:rFonts w:cstheme="minorHAnsi"/>
        </w:rPr>
        <w:t>Oxleas NHS Foundation Trust, UK</w:t>
      </w:r>
    </w:p>
    <w:p w14:paraId="2D8011A7" w14:textId="25320963" w:rsidR="0050042F" w:rsidRPr="003B7E02" w:rsidRDefault="0050042F" w:rsidP="002B38DB">
      <w:pPr>
        <w:pStyle w:val="Default"/>
        <w:spacing w:line="360" w:lineRule="auto"/>
        <w:rPr>
          <w:rFonts w:asciiTheme="minorHAnsi" w:hAnsiTheme="minorHAnsi" w:cstheme="minorHAnsi"/>
          <w:b/>
          <w:bCs/>
          <w:color w:val="000000" w:themeColor="text1"/>
          <w:sz w:val="22"/>
          <w:szCs w:val="22"/>
        </w:rPr>
      </w:pPr>
    </w:p>
    <w:p w14:paraId="063EF02E" w14:textId="2151E508" w:rsidR="003F6C0E" w:rsidRPr="003B7E02" w:rsidRDefault="003F6C0E" w:rsidP="003F6C0E">
      <w:pPr>
        <w:rPr>
          <w:rFonts w:asciiTheme="minorHAnsi" w:hAnsiTheme="minorHAnsi" w:cstheme="minorHAnsi"/>
          <w:color w:val="212121"/>
          <w:sz w:val="22"/>
          <w:szCs w:val="22"/>
        </w:rPr>
      </w:pPr>
      <w:r w:rsidRPr="003B7E02">
        <w:rPr>
          <w:rFonts w:asciiTheme="minorHAnsi" w:hAnsiTheme="minorHAnsi" w:cstheme="minorHAnsi"/>
          <w:b/>
          <w:bCs/>
          <w:color w:val="212121"/>
          <w:sz w:val="22"/>
          <w:szCs w:val="22"/>
        </w:rPr>
        <w:t>Corresponding author</w:t>
      </w:r>
    </w:p>
    <w:p w14:paraId="5CD8A39F" w14:textId="77777777" w:rsidR="003F6C0E" w:rsidRPr="003B7E02" w:rsidRDefault="003F6C0E" w:rsidP="003F6C0E">
      <w:pPr>
        <w:ind w:left="720"/>
        <w:rPr>
          <w:rFonts w:asciiTheme="minorHAnsi" w:hAnsiTheme="minorHAnsi" w:cstheme="minorHAnsi"/>
          <w:color w:val="212121"/>
          <w:sz w:val="22"/>
          <w:szCs w:val="22"/>
        </w:rPr>
      </w:pPr>
      <w:r w:rsidRPr="003B7E02">
        <w:rPr>
          <w:rFonts w:asciiTheme="minorHAnsi" w:hAnsiTheme="minorHAnsi" w:cstheme="minorHAnsi"/>
          <w:color w:val="212121"/>
          <w:sz w:val="22"/>
          <w:szCs w:val="22"/>
        </w:rPr>
        <w:t>Professor Thomas R. E. Barnes</w:t>
      </w:r>
    </w:p>
    <w:p w14:paraId="6A960E26" w14:textId="20D9C148" w:rsidR="003F6C0E" w:rsidRPr="003B7E02" w:rsidRDefault="003F6C0E" w:rsidP="003F6C0E">
      <w:pPr>
        <w:ind w:left="720"/>
        <w:rPr>
          <w:rFonts w:asciiTheme="minorHAnsi" w:hAnsiTheme="minorHAnsi" w:cstheme="minorHAnsi"/>
          <w:color w:val="212121"/>
          <w:sz w:val="22"/>
          <w:szCs w:val="22"/>
        </w:rPr>
      </w:pPr>
      <w:r w:rsidRPr="003B7E02">
        <w:rPr>
          <w:rFonts w:asciiTheme="minorHAnsi" w:hAnsiTheme="minorHAnsi" w:cstheme="minorHAnsi"/>
          <w:color w:val="212121"/>
          <w:sz w:val="22"/>
          <w:szCs w:val="22"/>
        </w:rPr>
        <w:t>Division of Psychiatry</w:t>
      </w:r>
    </w:p>
    <w:p w14:paraId="19A9C96F" w14:textId="77777777" w:rsidR="003F6C0E" w:rsidRPr="003B7E02" w:rsidRDefault="003F6C0E" w:rsidP="003F6C0E">
      <w:pPr>
        <w:ind w:left="720"/>
        <w:rPr>
          <w:rFonts w:asciiTheme="minorHAnsi" w:hAnsiTheme="minorHAnsi" w:cstheme="minorHAnsi"/>
          <w:color w:val="212121"/>
          <w:sz w:val="22"/>
          <w:szCs w:val="22"/>
        </w:rPr>
      </w:pPr>
      <w:r w:rsidRPr="003B7E02">
        <w:rPr>
          <w:rFonts w:asciiTheme="minorHAnsi" w:hAnsiTheme="minorHAnsi" w:cstheme="minorHAnsi"/>
          <w:color w:val="212121"/>
          <w:sz w:val="22"/>
          <w:szCs w:val="22"/>
        </w:rPr>
        <w:t>Imperial College London</w:t>
      </w:r>
    </w:p>
    <w:p w14:paraId="21A163F2" w14:textId="77777777" w:rsidR="003F6C0E" w:rsidRPr="003B7E02" w:rsidRDefault="003F6C0E" w:rsidP="003F6C0E">
      <w:pPr>
        <w:ind w:left="720"/>
        <w:rPr>
          <w:rFonts w:asciiTheme="minorHAnsi" w:hAnsiTheme="minorHAnsi" w:cstheme="minorHAnsi"/>
          <w:color w:val="212121"/>
          <w:sz w:val="22"/>
          <w:szCs w:val="22"/>
        </w:rPr>
      </w:pPr>
      <w:r w:rsidRPr="003B7E02">
        <w:rPr>
          <w:rFonts w:asciiTheme="minorHAnsi" w:hAnsiTheme="minorHAnsi" w:cstheme="minorHAnsi"/>
          <w:color w:val="212121"/>
          <w:sz w:val="22"/>
          <w:szCs w:val="22"/>
        </w:rPr>
        <w:t>2</w:t>
      </w:r>
      <w:r w:rsidRPr="003B7E02">
        <w:rPr>
          <w:rFonts w:asciiTheme="minorHAnsi" w:hAnsiTheme="minorHAnsi" w:cstheme="minorHAnsi"/>
          <w:color w:val="212121"/>
          <w:sz w:val="22"/>
          <w:szCs w:val="22"/>
          <w:vertAlign w:val="superscript"/>
        </w:rPr>
        <w:t>nd</w:t>
      </w:r>
      <w:r w:rsidRPr="003B7E02">
        <w:rPr>
          <w:rStyle w:val="apple-converted-space"/>
          <w:rFonts w:asciiTheme="minorHAnsi" w:hAnsiTheme="minorHAnsi" w:cstheme="minorHAnsi"/>
          <w:color w:val="212121"/>
          <w:sz w:val="22"/>
          <w:szCs w:val="22"/>
        </w:rPr>
        <w:t> </w:t>
      </w:r>
      <w:r w:rsidRPr="003B7E02">
        <w:rPr>
          <w:rFonts w:asciiTheme="minorHAnsi" w:hAnsiTheme="minorHAnsi" w:cstheme="minorHAnsi"/>
          <w:color w:val="212121"/>
          <w:sz w:val="22"/>
          <w:szCs w:val="22"/>
        </w:rPr>
        <w:t>Floor Commonwealth Building</w:t>
      </w:r>
    </w:p>
    <w:p w14:paraId="4783EC5E" w14:textId="77777777" w:rsidR="003F6C0E" w:rsidRPr="003B7E02" w:rsidRDefault="003F6C0E" w:rsidP="003F6C0E">
      <w:pPr>
        <w:ind w:left="720"/>
        <w:rPr>
          <w:rFonts w:asciiTheme="minorHAnsi" w:hAnsiTheme="minorHAnsi" w:cstheme="minorHAnsi"/>
          <w:color w:val="212121"/>
          <w:sz w:val="22"/>
          <w:szCs w:val="22"/>
        </w:rPr>
      </w:pPr>
      <w:r w:rsidRPr="003B7E02">
        <w:rPr>
          <w:rFonts w:asciiTheme="minorHAnsi" w:hAnsiTheme="minorHAnsi" w:cstheme="minorHAnsi"/>
          <w:color w:val="212121"/>
          <w:sz w:val="22"/>
          <w:szCs w:val="22"/>
        </w:rPr>
        <w:t>Du Cane Road</w:t>
      </w:r>
    </w:p>
    <w:p w14:paraId="12996258" w14:textId="5D56BA2E" w:rsidR="003F6C0E" w:rsidRPr="003B7E02" w:rsidRDefault="003F6C0E" w:rsidP="003F6C0E">
      <w:pPr>
        <w:ind w:left="720"/>
        <w:rPr>
          <w:rFonts w:asciiTheme="minorHAnsi" w:hAnsiTheme="minorHAnsi" w:cstheme="minorHAnsi"/>
          <w:color w:val="212121"/>
          <w:sz w:val="22"/>
          <w:szCs w:val="22"/>
        </w:rPr>
      </w:pPr>
      <w:r w:rsidRPr="003B7E02">
        <w:rPr>
          <w:rFonts w:asciiTheme="minorHAnsi" w:hAnsiTheme="minorHAnsi" w:cstheme="minorHAnsi"/>
          <w:color w:val="212121"/>
          <w:sz w:val="22"/>
          <w:szCs w:val="22"/>
        </w:rPr>
        <w:t>London W12 0NN</w:t>
      </w:r>
    </w:p>
    <w:p w14:paraId="63314F80" w14:textId="5DB8D1BE" w:rsidR="003F6C0E" w:rsidRPr="003B7E02" w:rsidRDefault="003F6C0E" w:rsidP="003F6C0E">
      <w:pPr>
        <w:ind w:left="720"/>
        <w:rPr>
          <w:rFonts w:asciiTheme="minorHAnsi" w:hAnsiTheme="minorHAnsi" w:cstheme="minorHAnsi"/>
          <w:color w:val="212121"/>
          <w:sz w:val="22"/>
          <w:szCs w:val="22"/>
        </w:rPr>
      </w:pPr>
    </w:p>
    <w:p w14:paraId="16534B54" w14:textId="1BE2ED53" w:rsidR="003F6C0E" w:rsidRPr="003B7E02" w:rsidRDefault="003F6C0E" w:rsidP="003F6C0E">
      <w:pPr>
        <w:ind w:left="720"/>
        <w:rPr>
          <w:rFonts w:asciiTheme="minorHAnsi" w:hAnsiTheme="minorHAnsi" w:cstheme="minorHAnsi"/>
          <w:color w:val="212121"/>
          <w:sz w:val="22"/>
          <w:szCs w:val="22"/>
        </w:rPr>
      </w:pPr>
      <w:r w:rsidRPr="003B7E02">
        <w:rPr>
          <w:rFonts w:asciiTheme="minorHAnsi" w:hAnsiTheme="minorHAnsi" w:cstheme="minorHAnsi"/>
          <w:color w:val="212121"/>
          <w:sz w:val="22"/>
          <w:szCs w:val="22"/>
        </w:rPr>
        <w:t>t.r.barnes@imperial.ac.uk</w:t>
      </w:r>
    </w:p>
    <w:p w14:paraId="0B9EED04" w14:textId="6AF761F5" w:rsidR="0050042F" w:rsidRPr="003B7E02" w:rsidRDefault="0050042F" w:rsidP="002B38DB">
      <w:pPr>
        <w:pStyle w:val="Default"/>
        <w:spacing w:line="360" w:lineRule="auto"/>
        <w:rPr>
          <w:rFonts w:asciiTheme="minorHAnsi" w:hAnsiTheme="minorHAnsi" w:cstheme="minorHAnsi"/>
          <w:b/>
          <w:bCs/>
          <w:color w:val="000000" w:themeColor="text1"/>
          <w:sz w:val="22"/>
          <w:szCs w:val="22"/>
        </w:rPr>
      </w:pPr>
    </w:p>
    <w:p w14:paraId="7FDBA658" w14:textId="3EF453DB" w:rsidR="00C63911" w:rsidRPr="003B7E02" w:rsidRDefault="00C63911" w:rsidP="002C6DD0">
      <w:pPr>
        <w:pStyle w:val="Default"/>
        <w:spacing w:line="360" w:lineRule="auto"/>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 xml:space="preserve">ORCID </w:t>
      </w:r>
      <w:r w:rsidR="00450A86" w:rsidRPr="003B7E02">
        <w:rPr>
          <w:rFonts w:asciiTheme="minorHAnsi" w:hAnsiTheme="minorHAnsi" w:cstheme="minorHAnsi"/>
          <w:b/>
          <w:bCs/>
          <w:color w:val="000000" w:themeColor="text1"/>
          <w:sz w:val="22"/>
          <w:szCs w:val="22"/>
        </w:rPr>
        <w:t>ID</w:t>
      </w:r>
    </w:p>
    <w:p w14:paraId="646EEE6A" w14:textId="5255C1B0" w:rsidR="00C63911" w:rsidRPr="003B7E02" w:rsidRDefault="00C63911" w:rsidP="00C63911">
      <w:pPr>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JS:</w:t>
      </w:r>
      <w:r w:rsidRPr="003B7E02">
        <w:rPr>
          <w:rFonts w:asciiTheme="minorHAnsi" w:hAnsiTheme="minorHAnsi" w:cstheme="minorHAnsi"/>
          <w:b/>
          <w:bCs/>
          <w:color w:val="000000" w:themeColor="text1"/>
          <w:sz w:val="22"/>
          <w:szCs w:val="22"/>
        </w:rPr>
        <w:tab/>
      </w:r>
      <w:r w:rsidR="002C6DD0" w:rsidRPr="003B7E02">
        <w:rPr>
          <w:rFonts w:asciiTheme="minorHAnsi" w:hAnsiTheme="minorHAnsi" w:cstheme="minorHAnsi"/>
          <w:color w:val="000000" w:themeColor="text1"/>
          <w:sz w:val="22"/>
          <w:szCs w:val="22"/>
        </w:rPr>
        <w:t>0000-0002-1905-2025</w:t>
      </w:r>
    </w:p>
    <w:p w14:paraId="11D141B4" w14:textId="70C3EBB7" w:rsidR="00C63911" w:rsidRPr="003B7E02" w:rsidRDefault="00C63911" w:rsidP="00C63911">
      <w:pPr>
        <w:rPr>
          <w:rFonts w:asciiTheme="minorHAnsi" w:hAnsiTheme="minorHAnsi" w:cstheme="minorHAnsi"/>
          <w:sz w:val="22"/>
          <w:szCs w:val="22"/>
        </w:rPr>
      </w:pPr>
      <w:r w:rsidRPr="003B7E02">
        <w:rPr>
          <w:rFonts w:asciiTheme="minorHAnsi" w:hAnsiTheme="minorHAnsi" w:cstheme="minorHAnsi"/>
          <w:b/>
          <w:bCs/>
          <w:color w:val="000000" w:themeColor="text1"/>
          <w:sz w:val="22"/>
          <w:szCs w:val="22"/>
        </w:rPr>
        <w:t>TREB:</w:t>
      </w:r>
      <w:r w:rsidRPr="003B7E02">
        <w:rPr>
          <w:rFonts w:asciiTheme="minorHAnsi" w:hAnsiTheme="minorHAnsi" w:cstheme="minorHAnsi"/>
          <w:b/>
          <w:bCs/>
          <w:color w:val="000000" w:themeColor="text1"/>
          <w:sz w:val="22"/>
          <w:szCs w:val="22"/>
        </w:rPr>
        <w:tab/>
      </w:r>
      <w:r w:rsidRPr="003B7E02">
        <w:rPr>
          <w:rFonts w:asciiTheme="minorHAnsi" w:hAnsiTheme="minorHAnsi" w:cstheme="minorHAnsi"/>
          <w:sz w:val="22"/>
          <w:szCs w:val="22"/>
        </w:rPr>
        <w:t>0000-0002-2324-656X</w:t>
      </w:r>
    </w:p>
    <w:p w14:paraId="61195501" w14:textId="71CB4F92" w:rsidR="00C63911" w:rsidRPr="003B7E02" w:rsidRDefault="00C63911">
      <w:pPr>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AL-H:</w:t>
      </w:r>
      <w:r w:rsidRPr="003B7E02">
        <w:rPr>
          <w:rFonts w:asciiTheme="minorHAnsi" w:hAnsiTheme="minorHAnsi" w:cstheme="minorHAnsi"/>
          <w:b/>
          <w:bCs/>
          <w:color w:val="000000" w:themeColor="text1"/>
          <w:sz w:val="22"/>
          <w:szCs w:val="22"/>
        </w:rPr>
        <w:tab/>
      </w:r>
      <w:r w:rsidR="00B246A1" w:rsidRPr="003B7E02">
        <w:rPr>
          <w:rFonts w:asciiTheme="minorHAnsi" w:hAnsiTheme="minorHAnsi" w:cstheme="minorHAnsi"/>
          <w:color w:val="000000" w:themeColor="text1"/>
          <w:sz w:val="22"/>
          <w:szCs w:val="22"/>
        </w:rPr>
        <w:t>0000-0003-4512-3453</w:t>
      </w:r>
    </w:p>
    <w:p w14:paraId="5E730CED" w14:textId="3A103B97" w:rsidR="00C63911" w:rsidRPr="003B7E02" w:rsidRDefault="00C63911">
      <w:pPr>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CD:</w:t>
      </w:r>
      <w:r w:rsidRPr="003B7E02">
        <w:rPr>
          <w:rFonts w:asciiTheme="minorHAnsi" w:hAnsiTheme="minorHAnsi" w:cstheme="minorHAnsi"/>
          <w:b/>
          <w:bCs/>
          <w:color w:val="000000" w:themeColor="text1"/>
          <w:sz w:val="22"/>
          <w:szCs w:val="22"/>
        </w:rPr>
        <w:tab/>
      </w:r>
      <w:r w:rsidR="00450A86" w:rsidRPr="003B7E02">
        <w:rPr>
          <w:rFonts w:asciiTheme="minorHAnsi" w:hAnsiTheme="minorHAnsi" w:cstheme="minorHAnsi"/>
          <w:color w:val="000000" w:themeColor="text1"/>
          <w:sz w:val="22"/>
          <w:szCs w:val="22"/>
        </w:rPr>
        <w:t>0000-0001-9379-5452</w:t>
      </w:r>
    </w:p>
    <w:p w14:paraId="4857A59F" w14:textId="17BAB722" w:rsidR="00C63911" w:rsidRPr="003B7E02" w:rsidRDefault="00C63911">
      <w:pPr>
        <w:rPr>
          <w:rFonts w:asciiTheme="minorHAnsi" w:hAnsiTheme="minorHAnsi" w:cstheme="minorHAnsi"/>
          <w:color w:val="000000" w:themeColor="text1"/>
          <w:sz w:val="22"/>
          <w:szCs w:val="22"/>
        </w:rPr>
      </w:pPr>
      <w:r w:rsidRPr="003B7E02">
        <w:rPr>
          <w:rFonts w:asciiTheme="minorHAnsi" w:hAnsiTheme="minorHAnsi" w:cstheme="minorHAnsi"/>
          <w:b/>
          <w:bCs/>
          <w:color w:val="000000" w:themeColor="text1"/>
          <w:sz w:val="22"/>
          <w:szCs w:val="22"/>
        </w:rPr>
        <w:t>IL:</w:t>
      </w:r>
      <w:r w:rsidRPr="003B7E02">
        <w:rPr>
          <w:rFonts w:asciiTheme="minorHAnsi" w:hAnsiTheme="minorHAnsi" w:cstheme="minorHAnsi"/>
          <w:b/>
          <w:bCs/>
          <w:color w:val="000000" w:themeColor="text1"/>
          <w:sz w:val="22"/>
          <w:szCs w:val="22"/>
        </w:rPr>
        <w:tab/>
      </w:r>
      <w:r w:rsidR="00E23BB5" w:rsidRPr="003B7E02">
        <w:rPr>
          <w:rFonts w:asciiTheme="minorHAnsi" w:hAnsiTheme="minorHAnsi" w:cstheme="minorHAnsi"/>
          <w:color w:val="242424"/>
          <w:sz w:val="22"/>
          <w:szCs w:val="22"/>
          <w:shd w:val="clear" w:color="auto" w:fill="FFFFFF"/>
        </w:rPr>
        <w:t>0000-0001-8112-8724</w:t>
      </w:r>
    </w:p>
    <w:p w14:paraId="4CDB015F" w14:textId="31FD6C28" w:rsidR="00C63911" w:rsidRPr="003B7E02" w:rsidRDefault="00C63911">
      <w:pPr>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OR:</w:t>
      </w:r>
      <w:r w:rsidRPr="003B7E02">
        <w:rPr>
          <w:rFonts w:asciiTheme="minorHAnsi" w:hAnsiTheme="minorHAnsi" w:cstheme="minorHAnsi"/>
          <w:b/>
          <w:bCs/>
          <w:color w:val="000000" w:themeColor="text1"/>
          <w:sz w:val="22"/>
          <w:szCs w:val="22"/>
        </w:rPr>
        <w:tab/>
      </w:r>
      <w:r w:rsidR="00B246A1" w:rsidRPr="003B7E02">
        <w:rPr>
          <w:rFonts w:asciiTheme="minorHAnsi" w:hAnsiTheme="minorHAnsi" w:cstheme="minorHAnsi"/>
          <w:color w:val="000000" w:themeColor="text1"/>
          <w:sz w:val="22"/>
          <w:szCs w:val="22"/>
        </w:rPr>
        <w:t>0000-0002-7843-3426</w:t>
      </w:r>
    </w:p>
    <w:p w14:paraId="4BA77D43" w14:textId="77777777" w:rsidR="00694514" w:rsidRPr="003B7E02" w:rsidRDefault="00C63911">
      <w:pPr>
        <w:rPr>
          <w:rFonts w:asciiTheme="minorHAnsi" w:hAnsiTheme="minorHAnsi" w:cstheme="minorHAnsi"/>
          <w:color w:val="000000" w:themeColor="text1"/>
          <w:sz w:val="22"/>
          <w:szCs w:val="22"/>
        </w:rPr>
      </w:pPr>
      <w:r w:rsidRPr="003B7E02">
        <w:rPr>
          <w:rFonts w:asciiTheme="minorHAnsi" w:hAnsiTheme="minorHAnsi" w:cstheme="minorHAnsi"/>
          <w:b/>
          <w:bCs/>
          <w:color w:val="000000" w:themeColor="text1"/>
          <w:sz w:val="22"/>
          <w:szCs w:val="22"/>
        </w:rPr>
        <w:t>CP:</w:t>
      </w:r>
      <w:r w:rsidRPr="003B7E02">
        <w:rPr>
          <w:rFonts w:asciiTheme="minorHAnsi" w:hAnsiTheme="minorHAnsi" w:cstheme="minorHAnsi"/>
          <w:b/>
          <w:bCs/>
          <w:color w:val="000000" w:themeColor="text1"/>
          <w:sz w:val="22"/>
          <w:szCs w:val="22"/>
        </w:rPr>
        <w:tab/>
      </w:r>
      <w:r w:rsidR="00B246A1" w:rsidRPr="003B7E02">
        <w:rPr>
          <w:rFonts w:asciiTheme="minorHAnsi" w:hAnsiTheme="minorHAnsi" w:cstheme="minorHAnsi"/>
          <w:color w:val="000000" w:themeColor="text1"/>
          <w:sz w:val="22"/>
          <w:szCs w:val="22"/>
        </w:rPr>
        <w:t>0000-0001-7756-1031</w:t>
      </w:r>
    </w:p>
    <w:p w14:paraId="2B34564C" w14:textId="77777777" w:rsidR="00694514" w:rsidRPr="003B7E02" w:rsidRDefault="00694514">
      <w:pPr>
        <w:rPr>
          <w:rFonts w:asciiTheme="minorHAnsi" w:hAnsiTheme="minorHAnsi" w:cstheme="minorHAnsi"/>
          <w:color w:val="000000" w:themeColor="text1"/>
          <w:sz w:val="22"/>
          <w:szCs w:val="22"/>
        </w:rPr>
      </w:pPr>
    </w:p>
    <w:p w14:paraId="31046E60" w14:textId="737D5BB6" w:rsidR="009F34F4" w:rsidRPr="003B7E02" w:rsidRDefault="009F34F4">
      <w:pPr>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br w:type="page"/>
      </w:r>
    </w:p>
    <w:p w14:paraId="03C20FC9" w14:textId="08D8308D" w:rsidR="00FF1430" w:rsidRPr="00AF4D2F" w:rsidRDefault="007D44C5" w:rsidP="00444021">
      <w:pPr>
        <w:pStyle w:val="Default"/>
        <w:spacing w:line="360" w:lineRule="auto"/>
        <w:rPr>
          <w:rFonts w:asciiTheme="minorHAnsi" w:hAnsiTheme="minorHAnsi" w:cstheme="minorHAnsi"/>
          <w:sz w:val="22"/>
          <w:szCs w:val="22"/>
        </w:rPr>
      </w:pPr>
      <w:r w:rsidRPr="003B7E02">
        <w:rPr>
          <w:rFonts w:asciiTheme="minorHAnsi" w:hAnsiTheme="minorHAnsi" w:cstheme="minorHAnsi"/>
          <w:b/>
          <w:bCs/>
          <w:color w:val="000000" w:themeColor="text1"/>
          <w:sz w:val="22"/>
          <w:szCs w:val="22"/>
        </w:rPr>
        <w:lastRenderedPageBreak/>
        <w:t>ABSTRACT</w:t>
      </w:r>
    </w:p>
    <w:p w14:paraId="6FF59EB2" w14:textId="095E888A" w:rsidR="00444021" w:rsidRPr="00AF4D2F" w:rsidRDefault="00444021" w:rsidP="00FF1430">
      <w:pPr>
        <w:pStyle w:val="default0"/>
        <w:shd w:val="clear" w:color="auto" w:fill="FFFFFF"/>
        <w:spacing w:before="0" w:beforeAutospacing="0" w:after="0" w:afterAutospacing="0" w:line="360" w:lineRule="atLeast"/>
        <w:rPr>
          <w:rFonts w:asciiTheme="minorHAnsi" w:hAnsiTheme="minorHAnsi" w:cstheme="minorHAnsi"/>
          <w:color w:val="000000"/>
          <w:sz w:val="22"/>
          <w:szCs w:val="22"/>
        </w:rPr>
      </w:pPr>
      <w:r w:rsidRPr="00AF4D2F">
        <w:rPr>
          <w:rFonts w:asciiTheme="minorHAnsi" w:hAnsiTheme="minorHAnsi" w:cstheme="minorHAnsi"/>
          <w:b/>
          <w:bCs/>
          <w:color w:val="000000"/>
          <w:sz w:val="22"/>
          <w:szCs w:val="22"/>
        </w:rPr>
        <w:t xml:space="preserve">Background: </w:t>
      </w:r>
      <w:r w:rsidRPr="00AF4D2F">
        <w:rPr>
          <w:rFonts w:asciiTheme="minorHAnsi" w:hAnsiTheme="minorHAnsi" w:cstheme="minorHAnsi"/>
          <w:color w:val="000000"/>
          <w:sz w:val="22"/>
          <w:szCs w:val="22"/>
        </w:rPr>
        <w:t>Medically assisted alcohol withdrawal (MAAW) is increasingly undertaken on acute adult psychiatric wards.</w:t>
      </w:r>
    </w:p>
    <w:p w14:paraId="0AA8CE2F" w14:textId="3CD33937" w:rsidR="00444021" w:rsidRPr="00AF4D2F" w:rsidRDefault="00444021" w:rsidP="00FF1430">
      <w:pPr>
        <w:pStyle w:val="default0"/>
        <w:shd w:val="clear" w:color="auto" w:fill="FFFFFF"/>
        <w:spacing w:before="0" w:beforeAutospacing="0" w:after="0" w:afterAutospacing="0" w:line="360" w:lineRule="atLeast"/>
        <w:rPr>
          <w:rFonts w:asciiTheme="minorHAnsi" w:hAnsiTheme="minorHAnsi" w:cstheme="minorHAnsi"/>
          <w:color w:val="000000"/>
          <w:sz w:val="22"/>
          <w:szCs w:val="22"/>
        </w:rPr>
      </w:pPr>
    </w:p>
    <w:p w14:paraId="2A271526" w14:textId="6776C89E" w:rsidR="00444021" w:rsidRPr="00AF4D2F" w:rsidRDefault="00444021" w:rsidP="00FF1430">
      <w:pPr>
        <w:pStyle w:val="default0"/>
        <w:shd w:val="clear" w:color="auto" w:fill="FFFFFF"/>
        <w:spacing w:before="0" w:beforeAutospacing="0" w:after="0" w:afterAutospacing="0" w:line="360" w:lineRule="atLeast"/>
        <w:rPr>
          <w:rFonts w:asciiTheme="minorHAnsi" w:hAnsiTheme="minorHAnsi" w:cstheme="minorHAnsi"/>
          <w:b/>
          <w:bCs/>
          <w:color w:val="000000"/>
          <w:sz w:val="22"/>
          <w:szCs w:val="22"/>
        </w:rPr>
      </w:pPr>
      <w:r w:rsidRPr="00AF4D2F">
        <w:rPr>
          <w:rFonts w:asciiTheme="minorHAnsi" w:hAnsiTheme="minorHAnsi" w:cstheme="minorHAnsi"/>
          <w:b/>
          <w:bCs/>
          <w:color w:val="000000"/>
          <w:sz w:val="22"/>
          <w:szCs w:val="22"/>
        </w:rPr>
        <w:t>Aims</w:t>
      </w:r>
      <w:r w:rsidRPr="00AF4D2F">
        <w:rPr>
          <w:rFonts w:asciiTheme="minorHAnsi" w:hAnsiTheme="minorHAnsi" w:cstheme="minorHAnsi"/>
          <w:color w:val="000000"/>
          <w:sz w:val="22"/>
          <w:szCs w:val="22"/>
        </w:rPr>
        <w:t>: Comparison of the quality of MAAW between acute adult wards and specialist addictions units in mental health services.</w:t>
      </w:r>
    </w:p>
    <w:p w14:paraId="52FB3874" w14:textId="4733055D" w:rsidR="00444021" w:rsidRPr="00AF4D2F" w:rsidRDefault="00444021" w:rsidP="00FF1430">
      <w:pPr>
        <w:pStyle w:val="default0"/>
        <w:shd w:val="clear" w:color="auto" w:fill="FFFFFF"/>
        <w:spacing w:before="0" w:beforeAutospacing="0" w:after="0" w:afterAutospacing="0" w:line="360" w:lineRule="atLeast"/>
        <w:rPr>
          <w:rFonts w:asciiTheme="minorHAnsi" w:hAnsiTheme="minorHAnsi" w:cstheme="minorHAnsi"/>
          <w:b/>
          <w:bCs/>
          <w:color w:val="000000"/>
          <w:sz w:val="22"/>
          <w:szCs w:val="22"/>
        </w:rPr>
      </w:pPr>
    </w:p>
    <w:p w14:paraId="0B61AB56" w14:textId="6B82D6DB" w:rsidR="00444021" w:rsidRPr="00AF4D2F" w:rsidRDefault="00444021" w:rsidP="00FF1430">
      <w:pPr>
        <w:pStyle w:val="default0"/>
        <w:shd w:val="clear" w:color="auto" w:fill="FFFFFF"/>
        <w:spacing w:before="0" w:beforeAutospacing="0" w:after="0" w:afterAutospacing="0" w:line="360" w:lineRule="atLeast"/>
        <w:rPr>
          <w:rStyle w:val="contentpasted0"/>
          <w:rFonts w:asciiTheme="minorHAnsi" w:hAnsiTheme="minorHAnsi" w:cstheme="minorHAnsi"/>
          <w:color w:val="000000"/>
          <w:sz w:val="22"/>
          <w:szCs w:val="22"/>
        </w:rPr>
      </w:pPr>
      <w:r w:rsidRPr="00AF4D2F">
        <w:rPr>
          <w:rFonts w:asciiTheme="minorHAnsi" w:hAnsiTheme="minorHAnsi" w:cstheme="minorHAnsi"/>
          <w:b/>
          <w:bCs/>
          <w:color w:val="000000"/>
          <w:sz w:val="22"/>
          <w:szCs w:val="22"/>
        </w:rPr>
        <w:t xml:space="preserve">Methods: </w:t>
      </w:r>
      <w:r w:rsidRPr="00AF4D2F">
        <w:rPr>
          <w:rFonts w:asciiTheme="minorHAnsi" w:hAnsiTheme="minorHAnsi" w:cstheme="minorHAnsi"/>
          <w:color w:val="000000"/>
          <w:sz w:val="22"/>
          <w:szCs w:val="22"/>
        </w:rPr>
        <w:t xml:space="preserve">Clinical audit conducted by the Prescribing Observatory for Mental Health (POMH). Information on </w:t>
      </w:r>
      <w:r w:rsidRPr="00AF4D2F">
        <w:rPr>
          <w:rStyle w:val="contentpasted0"/>
          <w:rFonts w:asciiTheme="minorHAnsi" w:hAnsiTheme="minorHAnsi" w:cstheme="minorHAnsi"/>
          <w:color w:val="000000"/>
          <w:sz w:val="22"/>
          <w:szCs w:val="22"/>
        </w:rPr>
        <w:t>MAAW</w:t>
      </w:r>
      <w:r w:rsidRPr="00AF4D2F">
        <w:rPr>
          <w:rStyle w:val="apple-converted-space"/>
          <w:rFonts w:asciiTheme="minorHAnsi" w:hAnsiTheme="minorHAnsi" w:cstheme="minorHAnsi"/>
          <w:color w:val="000000"/>
          <w:sz w:val="22"/>
          <w:szCs w:val="22"/>
        </w:rPr>
        <w:t> </w:t>
      </w:r>
      <w:r w:rsidRPr="00AF4D2F">
        <w:rPr>
          <w:rStyle w:val="contentpasted0"/>
          <w:rFonts w:asciiTheme="minorHAnsi" w:hAnsiTheme="minorHAnsi" w:cstheme="minorHAnsi"/>
          <w:color w:val="000000"/>
          <w:sz w:val="22"/>
          <w:szCs w:val="22"/>
        </w:rPr>
        <w:t>was collected from clinical records using a bespoke data collection tool.   </w:t>
      </w:r>
    </w:p>
    <w:p w14:paraId="1579916A" w14:textId="77777777" w:rsidR="00444021" w:rsidRPr="00AF4D2F" w:rsidRDefault="00444021" w:rsidP="00FF1430">
      <w:pPr>
        <w:pStyle w:val="default0"/>
        <w:shd w:val="clear" w:color="auto" w:fill="FFFFFF"/>
        <w:spacing w:before="0" w:beforeAutospacing="0" w:after="0" w:afterAutospacing="0" w:line="360" w:lineRule="atLeast"/>
        <w:rPr>
          <w:rFonts w:asciiTheme="minorHAnsi" w:hAnsiTheme="minorHAnsi" w:cstheme="minorHAnsi"/>
          <w:color w:val="000000"/>
          <w:sz w:val="22"/>
          <w:szCs w:val="22"/>
        </w:rPr>
      </w:pPr>
    </w:p>
    <w:p w14:paraId="46E43396" w14:textId="35BEA42D" w:rsidR="00FF1430" w:rsidRPr="00AF4D2F" w:rsidRDefault="00FF1430" w:rsidP="00FF1430">
      <w:pPr>
        <w:pStyle w:val="default0"/>
        <w:shd w:val="clear" w:color="auto" w:fill="FFFFFF"/>
        <w:spacing w:before="0" w:beforeAutospacing="0" w:after="0" w:afterAutospacing="0" w:line="360" w:lineRule="atLeast"/>
        <w:rPr>
          <w:rFonts w:asciiTheme="minorHAnsi" w:hAnsiTheme="minorHAnsi" w:cstheme="minorHAnsi"/>
          <w:color w:val="000000"/>
          <w:sz w:val="22"/>
          <w:szCs w:val="22"/>
        </w:rPr>
      </w:pPr>
      <w:r w:rsidRPr="00AF4D2F">
        <w:rPr>
          <w:rStyle w:val="contentpasted0"/>
          <w:rFonts w:asciiTheme="minorHAnsi" w:hAnsiTheme="minorHAnsi" w:cstheme="minorHAnsi"/>
          <w:b/>
          <w:bCs/>
          <w:color w:val="000000"/>
          <w:sz w:val="22"/>
          <w:szCs w:val="22"/>
        </w:rPr>
        <w:t>Results:</w:t>
      </w:r>
      <w:r w:rsidRPr="00AF4D2F">
        <w:rPr>
          <w:rStyle w:val="contentpasted0"/>
          <w:rFonts w:asciiTheme="minorHAnsi" w:hAnsiTheme="minorHAnsi" w:cstheme="minorHAnsi"/>
          <w:color w:val="000000"/>
          <w:sz w:val="22"/>
          <w:szCs w:val="22"/>
        </w:rPr>
        <w:t> </w:t>
      </w:r>
      <w:r w:rsidRPr="00AF4D2F">
        <w:rPr>
          <w:rStyle w:val="apple-converted-space"/>
          <w:rFonts w:asciiTheme="minorHAnsi" w:hAnsiTheme="minorHAnsi" w:cstheme="minorHAnsi"/>
          <w:color w:val="000000"/>
          <w:sz w:val="22"/>
          <w:szCs w:val="22"/>
        </w:rPr>
        <w:t> </w:t>
      </w:r>
      <w:r w:rsidRPr="00AF4D2F">
        <w:rPr>
          <w:rStyle w:val="contentpasted0"/>
          <w:rFonts w:asciiTheme="minorHAnsi" w:hAnsiTheme="minorHAnsi" w:cstheme="minorHAnsi"/>
          <w:color w:val="000000"/>
          <w:sz w:val="22"/>
          <w:szCs w:val="22"/>
        </w:rPr>
        <w:t xml:space="preserve">Forty-five NHS mental health Trusts/healthcare organisations submitted data relating to </w:t>
      </w:r>
      <w:r w:rsidR="000F1C3D" w:rsidRPr="00AF4D2F">
        <w:rPr>
          <w:rStyle w:val="contentpasted0"/>
          <w:rFonts w:asciiTheme="minorHAnsi" w:hAnsiTheme="minorHAnsi" w:cstheme="minorHAnsi"/>
          <w:color w:val="000000"/>
          <w:sz w:val="22"/>
          <w:szCs w:val="22"/>
        </w:rPr>
        <w:t xml:space="preserve">the treatment of </w:t>
      </w:r>
      <w:r w:rsidRPr="00AF4D2F">
        <w:rPr>
          <w:rStyle w:val="contentpasted0"/>
          <w:rFonts w:asciiTheme="minorHAnsi" w:hAnsiTheme="minorHAnsi" w:cstheme="minorHAnsi"/>
          <w:color w:val="000000"/>
          <w:sz w:val="22"/>
          <w:szCs w:val="22"/>
        </w:rPr>
        <w:t xml:space="preserve">908 patients undergoing MAAW on an acute adult ward or psychiatric </w:t>
      </w:r>
      <w:r w:rsidR="00937328" w:rsidRPr="00AF4D2F">
        <w:rPr>
          <w:rStyle w:val="contentpasted0"/>
          <w:rFonts w:asciiTheme="minorHAnsi" w:hAnsiTheme="minorHAnsi" w:cstheme="minorHAnsi"/>
          <w:color w:val="000000"/>
          <w:sz w:val="22"/>
          <w:szCs w:val="22"/>
        </w:rPr>
        <w:t>i</w:t>
      </w:r>
      <w:r w:rsidRPr="00AF4D2F">
        <w:rPr>
          <w:rStyle w:val="contentpasted0"/>
          <w:rFonts w:asciiTheme="minorHAnsi" w:hAnsiTheme="minorHAnsi" w:cstheme="minorHAnsi"/>
          <w:color w:val="000000"/>
          <w:sz w:val="22"/>
          <w:szCs w:val="22"/>
        </w:rPr>
        <w:t>ntensive care unit (PICU) and 347 admitted to a specialist NHS addiction</w:t>
      </w:r>
      <w:r w:rsidR="002D6EF6" w:rsidRPr="00AF4D2F">
        <w:rPr>
          <w:rStyle w:val="contentpasted0"/>
          <w:rFonts w:asciiTheme="minorHAnsi" w:hAnsiTheme="minorHAnsi" w:cstheme="minorHAnsi"/>
          <w:color w:val="000000"/>
          <w:sz w:val="22"/>
          <w:szCs w:val="22"/>
        </w:rPr>
        <w:t>s</w:t>
      </w:r>
      <w:r w:rsidRPr="00AF4D2F">
        <w:rPr>
          <w:rStyle w:val="contentpasted0"/>
          <w:rFonts w:asciiTheme="minorHAnsi" w:hAnsiTheme="minorHAnsi" w:cstheme="minorHAnsi"/>
          <w:color w:val="000000"/>
          <w:sz w:val="22"/>
          <w:szCs w:val="22"/>
        </w:rPr>
        <w:t xml:space="preserve"> unit. MAAW had been overseen by an addiction specialist in 33 (4%) of the patients on an acute adult ward/PICU. A comprehensive alcohol history, measurement of breath alcohol, full screening for Wernicke’s encephalopathy, use of parenteral thiamine, prescription of medications for relapse prevention such as acamprosate, and referral for specialist continuing care of alcohol-related problems following discharge, were all more commonly documented when care was provided on a specialist unit or when there was specialist addiction</w:t>
      </w:r>
      <w:r w:rsidR="00DD6A40" w:rsidRPr="00AF4D2F">
        <w:rPr>
          <w:rStyle w:val="contentpasted0"/>
          <w:rFonts w:asciiTheme="minorHAnsi" w:hAnsiTheme="minorHAnsi" w:cstheme="minorHAnsi"/>
          <w:color w:val="000000"/>
          <w:sz w:val="22"/>
          <w:szCs w:val="22"/>
        </w:rPr>
        <w:t>s</w:t>
      </w:r>
      <w:r w:rsidRPr="00AF4D2F">
        <w:rPr>
          <w:rStyle w:val="contentpasted0"/>
          <w:rFonts w:asciiTheme="minorHAnsi" w:hAnsiTheme="minorHAnsi" w:cstheme="minorHAnsi"/>
          <w:color w:val="000000"/>
          <w:sz w:val="22"/>
          <w:szCs w:val="22"/>
        </w:rPr>
        <w:t xml:space="preserve"> management on an acute ward.</w:t>
      </w:r>
      <w:r w:rsidRPr="00AF4D2F">
        <w:rPr>
          <w:rStyle w:val="apple-converted-space"/>
          <w:rFonts w:asciiTheme="minorHAnsi" w:hAnsiTheme="minorHAnsi" w:cstheme="minorHAnsi"/>
          <w:color w:val="000000"/>
          <w:sz w:val="22"/>
          <w:szCs w:val="22"/>
        </w:rPr>
        <w:t> </w:t>
      </w:r>
      <w:r w:rsidRPr="00AF4D2F">
        <w:rPr>
          <w:rStyle w:val="contentpasted0"/>
          <w:rFonts w:asciiTheme="minorHAnsi" w:hAnsiTheme="minorHAnsi" w:cstheme="minorHAnsi"/>
          <w:color w:val="000000"/>
          <w:sz w:val="22"/>
          <w:szCs w:val="22"/>
        </w:rPr>
        <w:t> </w:t>
      </w:r>
    </w:p>
    <w:p w14:paraId="3B9BE9B8" w14:textId="77777777" w:rsidR="00FF1430" w:rsidRPr="00AF4D2F" w:rsidRDefault="00FF1430" w:rsidP="00FF1430">
      <w:pPr>
        <w:pStyle w:val="default0"/>
        <w:shd w:val="clear" w:color="auto" w:fill="FFFFFF"/>
        <w:spacing w:before="0" w:beforeAutospacing="0" w:after="0" w:afterAutospacing="0" w:line="360" w:lineRule="atLeast"/>
        <w:rPr>
          <w:rFonts w:asciiTheme="minorHAnsi" w:hAnsiTheme="minorHAnsi" w:cstheme="minorHAnsi"/>
          <w:color w:val="000000"/>
          <w:sz w:val="22"/>
          <w:szCs w:val="22"/>
        </w:rPr>
      </w:pPr>
      <w:r w:rsidRPr="00AF4D2F">
        <w:rPr>
          <w:rFonts w:asciiTheme="minorHAnsi" w:hAnsiTheme="minorHAnsi" w:cstheme="minorHAnsi"/>
          <w:b/>
          <w:bCs/>
          <w:color w:val="000000"/>
          <w:sz w:val="22"/>
          <w:szCs w:val="22"/>
        </w:rPr>
        <w:t> </w:t>
      </w:r>
    </w:p>
    <w:p w14:paraId="676204B8" w14:textId="375310C7" w:rsidR="00FF1430" w:rsidRPr="00AF4D2F" w:rsidRDefault="00FF1430" w:rsidP="00FF1430">
      <w:pPr>
        <w:pStyle w:val="default0"/>
        <w:shd w:val="clear" w:color="auto" w:fill="FFFFFF"/>
        <w:spacing w:before="0" w:beforeAutospacing="0" w:after="0" w:afterAutospacing="0" w:line="360" w:lineRule="atLeast"/>
        <w:rPr>
          <w:rFonts w:asciiTheme="minorHAnsi" w:hAnsiTheme="minorHAnsi" w:cstheme="minorHAnsi"/>
          <w:color w:val="000000"/>
          <w:sz w:val="22"/>
          <w:szCs w:val="22"/>
        </w:rPr>
      </w:pPr>
      <w:r w:rsidRPr="00AF4D2F">
        <w:rPr>
          <w:rStyle w:val="contentpasted0"/>
          <w:rFonts w:asciiTheme="minorHAnsi" w:hAnsiTheme="minorHAnsi" w:cstheme="minorHAnsi"/>
          <w:b/>
          <w:bCs/>
          <w:color w:val="000000"/>
          <w:sz w:val="22"/>
          <w:szCs w:val="22"/>
        </w:rPr>
        <w:t>Conclusion:</w:t>
      </w:r>
      <w:r w:rsidRPr="00AF4D2F">
        <w:rPr>
          <w:rStyle w:val="apple-converted-space"/>
          <w:rFonts w:asciiTheme="minorHAnsi" w:hAnsiTheme="minorHAnsi" w:cstheme="minorHAnsi"/>
          <w:b/>
          <w:bCs/>
          <w:color w:val="000000"/>
          <w:sz w:val="22"/>
          <w:szCs w:val="22"/>
        </w:rPr>
        <w:t> </w:t>
      </w:r>
      <w:r w:rsidRPr="00AF4D2F">
        <w:rPr>
          <w:rStyle w:val="contentpasted0"/>
          <w:rFonts w:asciiTheme="minorHAnsi" w:hAnsiTheme="minorHAnsi" w:cstheme="minorHAnsi"/>
          <w:color w:val="000000"/>
          <w:sz w:val="22"/>
          <w:szCs w:val="22"/>
        </w:rPr>
        <w:t>The findings suggest that the quality of care provided for medically assisted withdrawal from alcohol, including the use of evidence-based interventions, is better when clinicians with specialist addiction</w:t>
      </w:r>
      <w:r w:rsidR="00DD6A40" w:rsidRPr="00AF4D2F">
        <w:rPr>
          <w:rStyle w:val="contentpasted0"/>
          <w:rFonts w:asciiTheme="minorHAnsi" w:hAnsiTheme="minorHAnsi" w:cstheme="minorHAnsi"/>
          <w:color w:val="000000"/>
          <w:sz w:val="22"/>
          <w:szCs w:val="22"/>
        </w:rPr>
        <w:t>s</w:t>
      </w:r>
      <w:r w:rsidRPr="00AF4D2F">
        <w:rPr>
          <w:rStyle w:val="contentpasted0"/>
          <w:rFonts w:asciiTheme="minorHAnsi" w:hAnsiTheme="minorHAnsi" w:cstheme="minorHAnsi"/>
          <w:color w:val="000000"/>
          <w:sz w:val="22"/>
          <w:szCs w:val="22"/>
        </w:rPr>
        <w:t xml:space="preserve"> training are involved. This has implications for future quality improvement in the provision of MAAW in acute adult mental health settings.</w:t>
      </w:r>
    </w:p>
    <w:p w14:paraId="37444633" w14:textId="1DAA574A" w:rsidR="002F12B9" w:rsidRPr="003B7E02" w:rsidRDefault="002F12B9" w:rsidP="002B38DB">
      <w:pPr>
        <w:pStyle w:val="Default"/>
        <w:spacing w:line="360" w:lineRule="auto"/>
        <w:rPr>
          <w:rFonts w:asciiTheme="minorHAnsi" w:hAnsiTheme="minorHAnsi" w:cstheme="minorHAnsi"/>
          <w:b/>
          <w:bCs/>
          <w:color w:val="000000" w:themeColor="text1"/>
          <w:sz w:val="22"/>
          <w:szCs w:val="22"/>
        </w:rPr>
      </w:pPr>
    </w:p>
    <w:p w14:paraId="2AE37F6F" w14:textId="6501662A" w:rsidR="002F12B9" w:rsidRPr="003B7E02" w:rsidRDefault="008C6F9D" w:rsidP="002B38DB">
      <w:pPr>
        <w:pStyle w:val="Default"/>
        <w:spacing w:line="360" w:lineRule="auto"/>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t>KEYWORDS</w:t>
      </w:r>
    </w:p>
    <w:p w14:paraId="01B93546" w14:textId="7D5C7C2D" w:rsidR="008C6F9D" w:rsidRPr="003B7E02" w:rsidRDefault="00916377" w:rsidP="002B38DB">
      <w:pPr>
        <w:pStyle w:val="Default"/>
        <w:spacing w:line="360" w:lineRule="auto"/>
        <w:rPr>
          <w:rFonts w:asciiTheme="minorHAnsi" w:hAnsiTheme="minorHAnsi" w:cstheme="minorHAnsi"/>
          <w:b/>
          <w:bCs/>
          <w:color w:val="000000" w:themeColor="text1"/>
          <w:sz w:val="22"/>
          <w:szCs w:val="22"/>
        </w:rPr>
      </w:pPr>
      <w:r w:rsidRPr="003B7E02">
        <w:rPr>
          <w:rFonts w:asciiTheme="minorHAnsi" w:hAnsiTheme="minorHAnsi" w:cstheme="minorHAnsi"/>
          <w:sz w:val="22"/>
          <w:szCs w:val="22"/>
        </w:rPr>
        <w:t xml:space="preserve">Medically assisted alcohol withdrawal; thiamine; </w:t>
      </w:r>
      <w:r w:rsidRPr="003B7E02">
        <w:rPr>
          <w:rFonts w:asciiTheme="minorHAnsi" w:hAnsiTheme="minorHAnsi" w:cstheme="minorHAnsi"/>
          <w:color w:val="000000" w:themeColor="text1"/>
          <w:sz w:val="22"/>
          <w:szCs w:val="22"/>
        </w:rPr>
        <w:t>Wernicke’s encephalopathy; addiction</w:t>
      </w:r>
      <w:r w:rsidR="009F5209" w:rsidRPr="003B7E02">
        <w:rPr>
          <w:rFonts w:asciiTheme="minorHAnsi" w:hAnsiTheme="minorHAnsi" w:cstheme="minorHAnsi"/>
          <w:color w:val="000000" w:themeColor="text1"/>
          <w:sz w:val="22"/>
          <w:szCs w:val="22"/>
        </w:rPr>
        <w:t>s psychiatry</w:t>
      </w:r>
      <w:r w:rsidR="00794149" w:rsidRPr="003B7E02">
        <w:rPr>
          <w:rFonts w:asciiTheme="minorHAnsi" w:hAnsiTheme="minorHAnsi" w:cstheme="minorHAnsi"/>
          <w:color w:val="000000" w:themeColor="text1"/>
          <w:sz w:val="22"/>
          <w:szCs w:val="22"/>
        </w:rPr>
        <w:t>; quality improvement</w:t>
      </w:r>
    </w:p>
    <w:p w14:paraId="549ADCA1" w14:textId="6CFC507D" w:rsidR="002F12B9" w:rsidRPr="003B7E02" w:rsidRDefault="002F12B9" w:rsidP="002B38DB">
      <w:pPr>
        <w:pStyle w:val="Default"/>
        <w:spacing w:line="360" w:lineRule="auto"/>
        <w:rPr>
          <w:rFonts w:asciiTheme="minorHAnsi" w:hAnsiTheme="minorHAnsi" w:cstheme="minorHAnsi"/>
          <w:b/>
          <w:bCs/>
          <w:color w:val="000000" w:themeColor="text1"/>
          <w:sz w:val="22"/>
          <w:szCs w:val="22"/>
        </w:rPr>
      </w:pPr>
    </w:p>
    <w:p w14:paraId="26A8ADDF" w14:textId="2D3BB67E" w:rsidR="006E2C40" w:rsidRPr="003B7E02" w:rsidRDefault="006E2C40">
      <w:pPr>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br w:type="page"/>
      </w:r>
    </w:p>
    <w:p w14:paraId="6E2CD3BF" w14:textId="0BBD8867" w:rsidR="00DC590A" w:rsidRPr="003B7E02" w:rsidRDefault="004468C3" w:rsidP="00DC590A">
      <w:pPr>
        <w:pStyle w:val="Default"/>
        <w:spacing w:line="360" w:lineRule="auto"/>
        <w:rPr>
          <w:rFonts w:asciiTheme="minorHAnsi" w:hAnsiTheme="minorHAnsi" w:cstheme="minorHAnsi"/>
          <w:b/>
          <w:bCs/>
          <w:color w:val="000000" w:themeColor="text1"/>
          <w:sz w:val="22"/>
          <w:szCs w:val="22"/>
        </w:rPr>
      </w:pPr>
      <w:r w:rsidRPr="003B7E02">
        <w:rPr>
          <w:rFonts w:asciiTheme="minorHAnsi" w:hAnsiTheme="minorHAnsi" w:cstheme="minorHAnsi"/>
          <w:b/>
          <w:bCs/>
          <w:color w:val="000000" w:themeColor="text1"/>
          <w:sz w:val="22"/>
          <w:szCs w:val="22"/>
        </w:rPr>
        <w:lastRenderedPageBreak/>
        <w:t>INTRODUCTION</w:t>
      </w:r>
    </w:p>
    <w:p w14:paraId="74A1BABA" w14:textId="77777777" w:rsidR="001532C9" w:rsidRPr="003B7E02" w:rsidRDefault="001532C9" w:rsidP="00DC590A">
      <w:pPr>
        <w:pStyle w:val="Default"/>
        <w:spacing w:line="360" w:lineRule="auto"/>
        <w:rPr>
          <w:rFonts w:asciiTheme="minorHAnsi" w:hAnsiTheme="minorHAnsi" w:cstheme="minorHAnsi"/>
          <w:bCs/>
          <w:color w:val="365F91" w:themeColor="accent1" w:themeShade="BF"/>
          <w:sz w:val="22"/>
          <w:szCs w:val="22"/>
        </w:rPr>
      </w:pPr>
    </w:p>
    <w:p w14:paraId="6CFCC940" w14:textId="40F9122A" w:rsidR="00A6174D" w:rsidRPr="003B7E02" w:rsidRDefault="00543125" w:rsidP="00A6174D">
      <w:pPr>
        <w:pStyle w:val="Default"/>
        <w:spacing w:line="360" w:lineRule="auto"/>
        <w:rPr>
          <w:rFonts w:asciiTheme="minorHAnsi" w:hAnsiTheme="minorHAnsi" w:cstheme="minorHAnsi"/>
          <w:bCs/>
          <w:color w:val="000000" w:themeColor="text1"/>
          <w:sz w:val="22"/>
          <w:szCs w:val="22"/>
        </w:rPr>
      </w:pPr>
      <w:r w:rsidRPr="003B7E02">
        <w:rPr>
          <w:rFonts w:asciiTheme="minorHAnsi" w:hAnsiTheme="minorHAnsi" w:cstheme="minorHAnsi"/>
          <w:color w:val="000000" w:themeColor="text1"/>
          <w:sz w:val="22"/>
          <w:szCs w:val="22"/>
        </w:rPr>
        <w:t xml:space="preserve">Alcohol </w:t>
      </w:r>
      <w:r w:rsidR="001827B2" w:rsidRPr="003B7E02">
        <w:rPr>
          <w:rFonts w:asciiTheme="minorHAnsi" w:hAnsiTheme="minorHAnsi" w:cstheme="minorHAnsi"/>
          <w:color w:val="000000" w:themeColor="text1"/>
          <w:sz w:val="22"/>
          <w:szCs w:val="22"/>
        </w:rPr>
        <w:t>d</w:t>
      </w:r>
      <w:r w:rsidRPr="003B7E02">
        <w:rPr>
          <w:rFonts w:asciiTheme="minorHAnsi" w:hAnsiTheme="minorHAnsi" w:cstheme="minorHAnsi"/>
          <w:color w:val="000000" w:themeColor="text1"/>
          <w:sz w:val="22"/>
          <w:szCs w:val="22"/>
        </w:rPr>
        <w:t xml:space="preserve">ependence is a </w:t>
      </w:r>
      <w:r w:rsidR="00986F73" w:rsidRPr="003B7E02">
        <w:rPr>
          <w:rFonts w:asciiTheme="minorHAnsi" w:hAnsiTheme="minorHAnsi" w:cstheme="minorHAnsi"/>
          <w:color w:val="000000" w:themeColor="text1"/>
          <w:sz w:val="22"/>
          <w:szCs w:val="22"/>
        </w:rPr>
        <w:t>common cond</w:t>
      </w:r>
      <w:r w:rsidR="00A460C5" w:rsidRPr="003B7E02">
        <w:rPr>
          <w:rFonts w:asciiTheme="minorHAnsi" w:hAnsiTheme="minorHAnsi" w:cstheme="minorHAnsi"/>
          <w:color w:val="000000" w:themeColor="text1"/>
          <w:sz w:val="22"/>
          <w:szCs w:val="22"/>
        </w:rPr>
        <w:t>i</w:t>
      </w:r>
      <w:r w:rsidR="00986F73" w:rsidRPr="003B7E02">
        <w:rPr>
          <w:rFonts w:asciiTheme="minorHAnsi" w:hAnsiTheme="minorHAnsi" w:cstheme="minorHAnsi"/>
          <w:color w:val="000000" w:themeColor="text1"/>
          <w:sz w:val="22"/>
          <w:szCs w:val="22"/>
        </w:rPr>
        <w:t>t</w:t>
      </w:r>
      <w:r w:rsidR="00A460C5" w:rsidRPr="003B7E02">
        <w:rPr>
          <w:rFonts w:asciiTheme="minorHAnsi" w:hAnsiTheme="minorHAnsi" w:cstheme="minorHAnsi"/>
          <w:color w:val="000000" w:themeColor="text1"/>
          <w:sz w:val="22"/>
          <w:szCs w:val="22"/>
        </w:rPr>
        <w:t>i</w:t>
      </w:r>
      <w:r w:rsidR="00986F73" w:rsidRPr="003B7E02">
        <w:rPr>
          <w:rFonts w:asciiTheme="minorHAnsi" w:hAnsiTheme="minorHAnsi" w:cstheme="minorHAnsi"/>
          <w:color w:val="000000" w:themeColor="text1"/>
          <w:sz w:val="22"/>
          <w:szCs w:val="22"/>
        </w:rPr>
        <w:t xml:space="preserve">on, frequently </w:t>
      </w:r>
      <w:r w:rsidRPr="003B7E02">
        <w:rPr>
          <w:rFonts w:asciiTheme="minorHAnsi" w:hAnsiTheme="minorHAnsi" w:cstheme="minorHAnsi"/>
          <w:color w:val="000000" w:themeColor="text1"/>
          <w:sz w:val="22"/>
          <w:szCs w:val="22"/>
        </w:rPr>
        <w:t>co-</w:t>
      </w:r>
      <w:r w:rsidR="00F1668D" w:rsidRPr="003B7E02">
        <w:rPr>
          <w:rFonts w:asciiTheme="minorHAnsi" w:hAnsiTheme="minorHAnsi" w:cstheme="minorHAnsi"/>
          <w:color w:val="000000" w:themeColor="text1"/>
          <w:sz w:val="22"/>
          <w:szCs w:val="22"/>
        </w:rPr>
        <w:t>occurring</w:t>
      </w:r>
      <w:r w:rsidRPr="003B7E02">
        <w:rPr>
          <w:rFonts w:asciiTheme="minorHAnsi" w:hAnsiTheme="minorHAnsi" w:cstheme="minorHAnsi"/>
          <w:color w:val="000000" w:themeColor="text1"/>
          <w:sz w:val="22"/>
          <w:szCs w:val="22"/>
        </w:rPr>
        <w:t xml:space="preserve"> with other mental disorders</w:t>
      </w:r>
      <w:r w:rsidR="008E231C" w:rsidRPr="003B7E02">
        <w:rPr>
          <w:rFonts w:asciiTheme="minorHAnsi" w:hAnsiTheme="minorHAnsi" w:cstheme="minorHAnsi"/>
          <w:color w:val="000000" w:themeColor="text1"/>
          <w:sz w:val="22"/>
          <w:szCs w:val="22"/>
        </w:rPr>
        <w:t>.</w:t>
      </w:r>
      <w:r w:rsidR="00442C92" w:rsidRPr="003B7E02">
        <w:rPr>
          <w:rFonts w:asciiTheme="minorHAnsi" w:hAnsiTheme="minorHAnsi" w:cstheme="minorHAnsi"/>
          <w:color w:val="000000" w:themeColor="text1"/>
          <w:sz w:val="22"/>
          <w:szCs w:val="22"/>
          <w:vertAlign w:val="superscript"/>
        </w:rPr>
        <w:t>1</w:t>
      </w:r>
      <w:r w:rsidR="008E231C" w:rsidRPr="003B7E02">
        <w:rPr>
          <w:rFonts w:asciiTheme="minorHAnsi" w:hAnsiTheme="minorHAnsi" w:cstheme="minorHAnsi"/>
          <w:color w:val="000000" w:themeColor="text1"/>
          <w:sz w:val="22"/>
          <w:szCs w:val="22"/>
        </w:rPr>
        <w:t xml:space="preserve"> </w:t>
      </w:r>
      <w:r w:rsidR="0092162D" w:rsidRPr="003B7E02">
        <w:rPr>
          <w:rFonts w:asciiTheme="minorHAnsi" w:hAnsiTheme="minorHAnsi" w:cstheme="minorHAnsi"/>
          <w:color w:val="000000" w:themeColor="text1"/>
          <w:sz w:val="22"/>
          <w:szCs w:val="22"/>
        </w:rPr>
        <w:t>When alcohol consumption is stopped abruptly in a dependent drinker, a physiological withdrawal state develops.</w:t>
      </w:r>
      <w:r w:rsidR="0066193F" w:rsidRPr="00AF4D2F">
        <w:rPr>
          <w:rFonts w:asciiTheme="minorHAnsi" w:hAnsiTheme="minorHAnsi" w:cstheme="minorHAnsi"/>
          <w:sz w:val="22"/>
          <w:szCs w:val="22"/>
        </w:rPr>
        <w:t xml:space="preserve"> </w:t>
      </w:r>
      <w:r w:rsidR="00545006" w:rsidRPr="003B7E02">
        <w:rPr>
          <w:rFonts w:asciiTheme="minorHAnsi" w:hAnsiTheme="minorHAnsi" w:cstheme="minorHAnsi"/>
          <w:sz w:val="22"/>
          <w:szCs w:val="22"/>
        </w:rPr>
        <w:t>There is significant interpersonal variation in the level of alcohol consumption that would result in a person experiencing alcohol withdrawal, however anyone dependent on alcohol is likely to need medically assisted alcohol withdrawal (MAAW)</w:t>
      </w:r>
      <w:r w:rsidR="008E231C" w:rsidRPr="003B7E02">
        <w:rPr>
          <w:rFonts w:asciiTheme="minorHAnsi" w:hAnsiTheme="minorHAnsi" w:cstheme="minorHAnsi"/>
          <w:sz w:val="22"/>
          <w:szCs w:val="22"/>
        </w:rPr>
        <w:t>.</w:t>
      </w:r>
      <w:r w:rsidR="008E231C" w:rsidRPr="003B7E02">
        <w:rPr>
          <w:rFonts w:asciiTheme="minorHAnsi" w:hAnsiTheme="minorHAnsi" w:cstheme="minorHAnsi"/>
          <w:sz w:val="22"/>
          <w:szCs w:val="22"/>
          <w:vertAlign w:val="superscript"/>
        </w:rPr>
        <w:t>2</w:t>
      </w:r>
      <w:r w:rsidR="002A2D80" w:rsidRPr="003B7E02">
        <w:rPr>
          <w:rFonts w:asciiTheme="minorHAnsi" w:hAnsiTheme="minorHAnsi" w:cstheme="minorHAnsi"/>
          <w:color w:val="000000" w:themeColor="text1"/>
          <w:sz w:val="22"/>
          <w:szCs w:val="22"/>
        </w:rPr>
        <w:t xml:space="preserve"> </w:t>
      </w:r>
      <w:r w:rsidR="00270D2E" w:rsidRPr="003B7E02">
        <w:rPr>
          <w:rFonts w:asciiTheme="minorHAnsi" w:hAnsiTheme="minorHAnsi" w:cstheme="minorHAnsi"/>
          <w:color w:val="000000" w:themeColor="text1"/>
          <w:sz w:val="22"/>
          <w:szCs w:val="22"/>
        </w:rPr>
        <w:t xml:space="preserve">The aim of MAAW is not only to control </w:t>
      </w:r>
      <w:r w:rsidR="006A0C97" w:rsidRPr="003B7E02">
        <w:rPr>
          <w:rFonts w:asciiTheme="minorHAnsi" w:hAnsiTheme="minorHAnsi" w:cstheme="minorHAnsi"/>
          <w:color w:val="000000" w:themeColor="text1"/>
          <w:sz w:val="22"/>
          <w:szCs w:val="22"/>
        </w:rPr>
        <w:t xml:space="preserve">the withdrawal </w:t>
      </w:r>
      <w:r w:rsidR="00270D2E" w:rsidRPr="003B7E02">
        <w:rPr>
          <w:rFonts w:asciiTheme="minorHAnsi" w:hAnsiTheme="minorHAnsi" w:cstheme="minorHAnsi"/>
          <w:color w:val="000000" w:themeColor="text1"/>
          <w:sz w:val="22"/>
          <w:szCs w:val="22"/>
        </w:rPr>
        <w:t xml:space="preserve">symptoms but also to prevent complications, such as seizures and delirium tremens, which may cause significant long-term morbidity and mortality. In addition, due to </w:t>
      </w:r>
      <w:r w:rsidR="00261293" w:rsidRPr="003B7E02">
        <w:rPr>
          <w:rFonts w:asciiTheme="minorHAnsi" w:hAnsiTheme="minorHAnsi" w:cstheme="minorHAnsi"/>
          <w:color w:val="000000" w:themeColor="text1"/>
          <w:sz w:val="22"/>
          <w:szCs w:val="22"/>
        </w:rPr>
        <w:t xml:space="preserve">the </w:t>
      </w:r>
      <w:r w:rsidR="00270D2E" w:rsidRPr="003B7E02">
        <w:rPr>
          <w:rFonts w:asciiTheme="minorHAnsi" w:hAnsiTheme="minorHAnsi" w:cstheme="minorHAnsi"/>
          <w:color w:val="000000" w:themeColor="text1"/>
          <w:sz w:val="22"/>
          <w:szCs w:val="22"/>
        </w:rPr>
        <w:t>increased metabolic load on the brain</w:t>
      </w:r>
      <w:r w:rsidR="00261293" w:rsidRPr="003B7E02">
        <w:rPr>
          <w:rFonts w:asciiTheme="minorHAnsi" w:hAnsiTheme="minorHAnsi" w:cstheme="minorHAnsi"/>
          <w:color w:val="000000" w:themeColor="text1"/>
          <w:sz w:val="22"/>
          <w:szCs w:val="22"/>
        </w:rPr>
        <w:t xml:space="preserve"> </w:t>
      </w:r>
      <w:r w:rsidR="0092162D" w:rsidRPr="003B7E02">
        <w:rPr>
          <w:rFonts w:asciiTheme="minorHAnsi" w:hAnsiTheme="minorHAnsi" w:cstheme="minorHAnsi"/>
          <w:color w:val="000000" w:themeColor="text1"/>
          <w:sz w:val="22"/>
          <w:szCs w:val="22"/>
        </w:rPr>
        <w:t xml:space="preserve">during </w:t>
      </w:r>
      <w:r w:rsidR="00261293" w:rsidRPr="003B7E02">
        <w:rPr>
          <w:rFonts w:asciiTheme="minorHAnsi" w:hAnsiTheme="minorHAnsi" w:cstheme="minorHAnsi"/>
          <w:color w:val="000000" w:themeColor="text1"/>
          <w:sz w:val="22"/>
          <w:szCs w:val="22"/>
        </w:rPr>
        <w:t>alcohol withdrawal</w:t>
      </w:r>
      <w:r w:rsidR="00270D2E" w:rsidRPr="003B7E02">
        <w:rPr>
          <w:rFonts w:asciiTheme="minorHAnsi" w:hAnsiTheme="minorHAnsi" w:cstheme="minorHAnsi"/>
          <w:color w:val="000000" w:themeColor="text1"/>
          <w:sz w:val="22"/>
          <w:szCs w:val="22"/>
        </w:rPr>
        <w:t xml:space="preserve">, there is a </w:t>
      </w:r>
      <w:r w:rsidR="00A460C5" w:rsidRPr="003B7E02">
        <w:rPr>
          <w:rFonts w:asciiTheme="minorHAnsi" w:hAnsiTheme="minorHAnsi" w:cstheme="minorHAnsi"/>
          <w:color w:val="000000" w:themeColor="text1"/>
          <w:sz w:val="22"/>
          <w:szCs w:val="22"/>
        </w:rPr>
        <w:t xml:space="preserve">need to </w:t>
      </w:r>
      <w:r w:rsidR="00286FD9" w:rsidRPr="003B7E02">
        <w:rPr>
          <w:rFonts w:asciiTheme="minorHAnsi" w:hAnsiTheme="minorHAnsi" w:cstheme="minorHAnsi"/>
          <w:color w:val="000000" w:themeColor="text1"/>
          <w:sz w:val="22"/>
          <w:szCs w:val="22"/>
        </w:rPr>
        <w:t>mitigate</w:t>
      </w:r>
      <w:r w:rsidR="00A460C5" w:rsidRPr="003B7E02">
        <w:rPr>
          <w:rFonts w:asciiTheme="minorHAnsi" w:hAnsiTheme="minorHAnsi" w:cstheme="minorHAnsi"/>
          <w:color w:val="000000" w:themeColor="text1"/>
          <w:sz w:val="22"/>
          <w:szCs w:val="22"/>
        </w:rPr>
        <w:t xml:space="preserve"> the </w:t>
      </w:r>
      <w:r w:rsidR="00270D2E" w:rsidRPr="003B7E02">
        <w:rPr>
          <w:rFonts w:asciiTheme="minorHAnsi" w:hAnsiTheme="minorHAnsi" w:cstheme="minorHAnsi"/>
          <w:color w:val="000000" w:themeColor="text1"/>
          <w:sz w:val="22"/>
          <w:szCs w:val="22"/>
        </w:rPr>
        <w:t>risk of thiamine deficiency</w:t>
      </w:r>
      <w:r w:rsidR="00286FD9" w:rsidRPr="003B7E02">
        <w:rPr>
          <w:rFonts w:asciiTheme="minorHAnsi" w:hAnsiTheme="minorHAnsi" w:cstheme="minorHAnsi"/>
          <w:color w:val="000000" w:themeColor="text1"/>
          <w:sz w:val="22"/>
          <w:szCs w:val="22"/>
        </w:rPr>
        <w:t xml:space="preserve"> to avoid the development of </w:t>
      </w:r>
      <w:r w:rsidR="00270D2E" w:rsidRPr="003B7E02">
        <w:rPr>
          <w:rFonts w:asciiTheme="minorHAnsi" w:hAnsiTheme="minorHAnsi" w:cstheme="minorHAnsi"/>
          <w:color w:val="000000" w:themeColor="text1"/>
          <w:sz w:val="22"/>
          <w:szCs w:val="22"/>
        </w:rPr>
        <w:t>Wernicke’s encephalopathy.</w:t>
      </w:r>
      <w:r w:rsidR="00BC343B" w:rsidRPr="003B7E02">
        <w:rPr>
          <w:rFonts w:asciiTheme="minorHAnsi" w:hAnsiTheme="minorHAnsi" w:cstheme="minorHAnsi"/>
          <w:color w:val="000000" w:themeColor="text1"/>
          <w:sz w:val="22"/>
          <w:szCs w:val="22"/>
          <w:vertAlign w:val="superscript"/>
        </w:rPr>
        <w:t>3</w:t>
      </w:r>
      <w:r w:rsidR="00366613" w:rsidRPr="003B7E02">
        <w:rPr>
          <w:rFonts w:asciiTheme="minorHAnsi" w:hAnsiTheme="minorHAnsi" w:cstheme="minorHAnsi"/>
          <w:color w:val="000000" w:themeColor="text1"/>
          <w:sz w:val="22"/>
          <w:szCs w:val="22"/>
        </w:rPr>
        <w:t xml:space="preserve"> </w:t>
      </w:r>
      <w:r w:rsidR="006C7775" w:rsidRPr="003B7E02">
        <w:rPr>
          <w:rFonts w:asciiTheme="minorHAnsi" w:hAnsiTheme="minorHAnsi" w:cstheme="minorHAnsi"/>
          <w:bCs/>
          <w:color w:val="000000" w:themeColor="text1"/>
          <w:sz w:val="22"/>
          <w:szCs w:val="22"/>
        </w:rPr>
        <w:t xml:space="preserve">Clinicians should therefore be familiar with the assessment and treatment of alcohol-related disorders relevant to their area of practice. </w:t>
      </w:r>
      <w:r w:rsidR="00A6174D" w:rsidRPr="003B7E02">
        <w:rPr>
          <w:rFonts w:asciiTheme="minorHAnsi" w:hAnsiTheme="minorHAnsi" w:cstheme="minorHAnsi"/>
          <w:bCs/>
          <w:color w:val="000000" w:themeColor="text1"/>
          <w:sz w:val="22"/>
          <w:szCs w:val="22"/>
        </w:rPr>
        <w:t xml:space="preserve">However, little is known about the quality of MAAW when this is conducted on </w:t>
      </w:r>
      <w:r w:rsidR="00602EAE" w:rsidRPr="00602EAE">
        <w:rPr>
          <w:rFonts w:asciiTheme="minorHAnsi" w:hAnsiTheme="minorHAnsi" w:cstheme="minorHAnsi"/>
          <w:bCs/>
          <w:color w:val="000000" w:themeColor="text1"/>
          <w:sz w:val="22"/>
          <w:szCs w:val="22"/>
          <w:highlight w:val="yellow"/>
        </w:rPr>
        <w:t>acute</w:t>
      </w:r>
      <w:r w:rsidR="00602EAE">
        <w:rPr>
          <w:rFonts w:asciiTheme="minorHAnsi" w:hAnsiTheme="minorHAnsi" w:cstheme="minorHAnsi"/>
          <w:bCs/>
          <w:color w:val="000000" w:themeColor="text1"/>
          <w:sz w:val="22"/>
          <w:szCs w:val="22"/>
        </w:rPr>
        <w:t xml:space="preserve"> </w:t>
      </w:r>
      <w:r w:rsidR="00A6174D" w:rsidRPr="003B7E02">
        <w:rPr>
          <w:rFonts w:asciiTheme="minorHAnsi" w:hAnsiTheme="minorHAnsi" w:cstheme="minorHAnsi"/>
          <w:bCs/>
          <w:color w:val="000000" w:themeColor="text1"/>
          <w:sz w:val="22"/>
          <w:szCs w:val="22"/>
        </w:rPr>
        <w:t>adult psychiatric wards and how this compares with care on specialist inpatient alcohol units. We report here on the findings of a clinical audit conducted in the context of a quality improvement (QI) programme that focussed on key aspects of MAAW in acute adult mental health wards and specialist alcohol wards.</w:t>
      </w:r>
    </w:p>
    <w:p w14:paraId="3780D902" w14:textId="4731B5FA" w:rsidR="00695FE8" w:rsidRPr="003B7E02" w:rsidRDefault="00695FE8" w:rsidP="006C7775">
      <w:pPr>
        <w:pStyle w:val="Default"/>
        <w:spacing w:line="360" w:lineRule="auto"/>
        <w:rPr>
          <w:rFonts w:asciiTheme="minorHAnsi" w:hAnsiTheme="minorHAnsi" w:cstheme="minorHAnsi"/>
          <w:bCs/>
          <w:color w:val="000000" w:themeColor="text1"/>
          <w:sz w:val="22"/>
          <w:szCs w:val="22"/>
        </w:rPr>
      </w:pPr>
    </w:p>
    <w:p w14:paraId="591F0C90" w14:textId="77777777" w:rsidR="0073119E" w:rsidRPr="003B7E02" w:rsidRDefault="0073119E" w:rsidP="006C7775">
      <w:pPr>
        <w:pStyle w:val="Default"/>
        <w:spacing w:line="360" w:lineRule="auto"/>
        <w:rPr>
          <w:rFonts w:asciiTheme="minorHAnsi" w:hAnsiTheme="minorHAnsi" w:cstheme="minorHAnsi"/>
          <w:bCs/>
          <w:color w:val="000000" w:themeColor="text1"/>
          <w:sz w:val="22"/>
          <w:szCs w:val="22"/>
        </w:rPr>
      </w:pPr>
    </w:p>
    <w:p w14:paraId="374C6001" w14:textId="462F0187" w:rsidR="00F55BA9" w:rsidRPr="003B7E02" w:rsidRDefault="00F925B9" w:rsidP="002B38DB">
      <w:pPr>
        <w:spacing w:line="360" w:lineRule="auto"/>
        <w:rPr>
          <w:rFonts w:asciiTheme="minorHAnsi" w:hAnsiTheme="minorHAnsi" w:cstheme="minorHAnsi"/>
          <w:b/>
          <w:bCs/>
          <w:sz w:val="22"/>
          <w:szCs w:val="22"/>
        </w:rPr>
      </w:pPr>
      <w:r w:rsidRPr="003B7E02">
        <w:rPr>
          <w:rFonts w:asciiTheme="minorHAnsi" w:hAnsiTheme="minorHAnsi" w:cstheme="minorHAnsi"/>
          <w:b/>
          <w:bCs/>
          <w:sz w:val="22"/>
          <w:szCs w:val="22"/>
        </w:rPr>
        <w:t>METHOD</w:t>
      </w:r>
    </w:p>
    <w:p w14:paraId="025C3608" w14:textId="77777777" w:rsidR="001441EC" w:rsidRPr="003B7E02" w:rsidRDefault="001441EC" w:rsidP="002B38DB">
      <w:pPr>
        <w:spacing w:line="360" w:lineRule="auto"/>
        <w:rPr>
          <w:rFonts w:asciiTheme="minorHAnsi" w:hAnsiTheme="minorHAnsi" w:cstheme="minorHAnsi"/>
          <w:sz w:val="22"/>
          <w:szCs w:val="22"/>
        </w:rPr>
      </w:pPr>
    </w:p>
    <w:p w14:paraId="764054EB" w14:textId="36E85960" w:rsidR="00643747" w:rsidRPr="003B7E02" w:rsidRDefault="00EF445B" w:rsidP="002B38DB">
      <w:pPr>
        <w:spacing w:line="360" w:lineRule="auto"/>
        <w:rPr>
          <w:rFonts w:asciiTheme="minorHAnsi" w:hAnsiTheme="minorHAnsi" w:cstheme="minorHAnsi"/>
          <w:sz w:val="22"/>
          <w:szCs w:val="22"/>
        </w:rPr>
      </w:pPr>
      <w:r w:rsidRPr="003B7E02">
        <w:rPr>
          <w:rFonts w:asciiTheme="minorHAnsi" w:hAnsiTheme="minorHAnsi" w:cstheme="minorHAnsi"/>
          <w:sz w:val="22"/>
          <w:szCs w:val="22"/>
        </w:rPr>
        <w:t>The Prescribing Observatory for Mental Health (</w:t>
      </w:r>
      <w:r w:rsidR="00535CA9" w:rsidRPr="003B7E02">
        <w:rPr>
          <w:rFonts w:asciiTheme="minorHAnsi" w:hAnsiTheme="minorHAnsi" w:cstheme="minorHAnsi"/>
          <w:sz w:val="22"/>
          <w:szCs w:val="22"/>
        </w:rPr>
        <w:t>POMH</w:t>
      </w:r>
      <w:r w:rsidRPr="003B7E02">
        <w:rPr>
          <w:rFonts w:asciiTheme="minorHAnsi" w:hAnsiTheme="minorHAnsi" w:cstheme="minorHAnsi"/>
          <w:sz w:val="22"/>
          <w:szCs w:val="22"/>
        </w:rPr>
        <w:t>)</w:t>
      </w:r>
      <w:r w:rsidR="00535CA9" w:rsidRPr="003B7E02">
        <w:rPr>
          <w:rFonts w:asciiTheme="minorHAnsi" w:hAnsiTheme="minorHAnsi" w:cstheme="minorHAnsi"/>
          <w:sz w:val="22"/>
          <w:szCs w:val="22"/>
        </w:rPr>
        <w:t xml:space="preserve"> is based at the Centre for Quality Improvement at the Royal College of Psychiatrists. </w:t>
      </w:r>
      <w:r w:rsidR="008233D9" w:rsidRPr="003B7E02">
        <w:rPr>
          <w:rFonts w:asciiTheme="minorHAnsi" w:hAnsiTheme="minorHAnsi" w:cstheme="minorHAnsi"/>
          <w:sz w:val="22"/>
          <w:szCs w:val="22"/>
        </w:rPr>
        <w:t xml:space="preserve">POMH </w:t>
      </w:r>
      <w:r w:rsidR="00535CA9" w:rsidRPr="003B7E02">
        <w:rPr>
          <w:rFonts w:asciiTheme="minorHAnsi" w:hAnsiTheme="minorHAnsi" w:cstheme="minorHAnsi"/>
          <w:sz w:val="22"/>
          <w:szCs w:val="22"/>
        </w:rPr>
        <w:t xml:space="preserve">runs audit-based </w:t>
      </w:r>
      <w:r w:rsidR="002304B5" w:rsidRPr="003B7E02">
        <w:rPr>
          <w:rFonts w:asciiTheme="minorHAnsi" w:hAnsiTheme="minorHAnsi" w:cstheme="minorHAnsi"/>
          <w:sz w:val="22"/>
          <w:szCs w:val="22"/>
        </w:rPr>
        <w:t>QI</w:t>
      </w:r>
      <w:r w:rsidR="00535CA9" w:rsidRPr="003B7E02">
        <w:rPr>
          <w:rFonts w:asciiTheme="minorHAnsi" w:hAnsiTheme="minorHAnsi" w:cstheme="minorHAnsi"/>
          <w:sz w:val="22"/>
          <w:szCs w:val="22"/>
        </w:rPr>
        <w:t xml:space="preserve"> programmes </w:t>
      </w:r>
      <w:r w:rsidR="006B07A2" w:rsidRPr="003B7E02">
        <w:rPr>
          <w:rFonts w:asciiTheme="minorHAnsi" w:hAnsiTheme="minorHAnsi" w:cstheme="minorHAnsi"/>
          <w:sz w:val="22"/>
          <w:szCs w:val="22"/>
        </w:rPr>
        <w:t xml:space="preserve">addressing prescribing practice </w:t>
      </w:r>
      <w:r w:rsidR="00557322" w:rsidRPr="003B7E02">
        <w:rPr>
          <w:rFonts w:asciiTheme="minorHAnsi" w:hAnsiTheme="minorHAnsi" w:cstheme="minorHAnsi"/>
          <w:sz w:val="22"/>
          <w:szCs w:val="22"/>
        </w:rPr>
        <w:t xml:space="preserve">within UK </w:t>
      </w:r>
      <w:r w:rsidR="00535CA9" w:rsidRPr="003B7E02">
        <w:rPr>
          <w:rFonts w:asciiTheme="minorHAnsi" w:hAnsiTheme="minorHAnsi" w:cstheme="minorHAnsi"/>
          <w:sz w:val="22"/>
          <w:szCs w:val="22"/>
        </w:rPr>
        <w:t>mental health services.</w:t>
      </w:r>
      <w:r w:rsidR="00BC343B" w:rsidRPr="003B7E02">
        <w:rPr>
          <w:rFonts w:asciiTheme="minorHAnsi" w:hAnsiTheme="minorHAnsi" w:cstheme="minorHAnsi"/>
          <w:sz w:val="22"/>
          <w:szCs w:val="22"/>
          <w:vertAlign w:val="superscript"/>
        </w:rPr>
        <w:t>4</w:t>
      </w:r>
      <w:r w:rsidR="00CD3255" w:rsidRPr="003B7E02">
        <w:rPr>
          <w:rFonts w:asciiTheme="minorHAnsi" w:hAnsiTheme="minorHAnsi" w:cstheme="minorHAnsi"/>
          <w:sz w:val="22"/>
          <w:szCs w:val="22"/>
          <w:vertAlign w:val="superscript"/>
        </w:rPr>
        <w:t xml:space="preserve"> </w:t>
      </w:r>
      <w:r w:rsidR="00CD3255" w:rsidRPr="003B7E02">
        <w:rPr>
          <w:rFonts w:asciiTheme="minorHAnsi" w:hAnsiTheme="minorHAnsi" w:cstheme="minorHAnsi"/>
          <w:sz w:val="22"/>
          <w:szCs w:val="22"/>
        </w:rPr>
        <w:t xml:space="preserve">  </w:t>
      </w:r>
      <w:r w:rsidR="00535CA9" w:rsidRPr="003B7E02">
        <w:rPr>
          <w:rFonts w:asciiTheme="minorHAnsi" w:hAnsiTheme="minorHAnsi" w:cstheme="minorHAnsi"/>
          <w:sz w:val="22"/>
          <w:szCs w:val="22"/>
        </w:rPr>
        <w:t xml:space="preserve">In </w:t>
      </w:r>
      <w:r w:rsidRPr="003B7E02">
        <w:rPr>
          <w:rFonts w:asciiTheme="minorHAnsi" w:hAnsiTheme="minorHAnsi" w:cstheme="minorHAnsi"/>
          <w:sz w:val="22"/>
          <w:szCs w:val="22"/>
        </w:rPr>
        <w:t xml:space="preserve">2021, </w:t>
      </w:r>
      <w:r w:rsidR="00314805" w:rsidRPr="003B7E02">
        <w:rPr>
          <w:rFonts w:asciiTheme="minorHAnsi" w:hAnsiTheme="minorHAnsi" w:cstheme="minorHAnsi"/>
          <w:sz w:val="22"/>
          <w:szCs w:val="22"/>
        </w:rPr>
        <w:t>as part of</w:t>
      </w:r>
      <w:r w:rsidR="00535CA9" w:rsidRPr="003B7E02">
        <w:rPr>
          <w:rFonts w:asciiTheme="minorHAnsi" w:hAnsiTheme="minorHAnsi" w:cstheme="minorHAnsi"/>
          <w:sz w:val="22"/>
          <w:szCs w:val="22"/>
        </w:rPr>
        <w:t xml:space="preserve"> a QI</w:t>
      </w:r>
      <w:r w:rsidR="002304B5" w:rsidRPr="003B7E02">
        <w:rPr>
          <w:rFonts w:asciiTheme="minorHAnsi" w:hAnsiTheme="minorHAnsi" w:cstheme="minorHAnsi"/>
          <w:sz w:val="22"/>
          <w:szCs w:val="22"/>
        </w:rPr>
        <w:t xml:space="preserve"> programme</w:t>
      </w:r>
      <w:r w:rsidR="00535CA9" w:rsidRPr="003B7E02">
        <w:rPr>
          <w:rFonts w:asciiTheme="minorHAnsi" w:hAnsiTheme="minorHAnsi" w:cstheme="minorHAnsi"/>
          <w:sz w:val="22"/>
          <w:szCs w:val="22"/>
        </w:rPr>
        <w:t xml:space="preserve"> </w:t>
      </w:r>
      <w:r w:rsidR="00314805" w:rsidRPr="003B7E02">
        <w:rPr>
          <w:rFonts w:asciiTheme="minorHAnsi" w:hAnsiTheme="minorHAnsi" w:cstheme="minorHAnsi"/>
          <w:sz w:val="22"/>
          <w:szCs w:val="22"/>
        </w:rPr>
        <w:t xml:space="preserve">addressing </w:t>
      </w:r>
      <w:r w:rsidR="00A45A0B" w:rsidRPr="003B7E02">
        <w:rPr>
          <w:rFonts w:asciiTheme="minorHAnsi" w:hAnsiTheme="minorHAnsi" w:cstheme="minorHAnsi"/>
          <w:sz w:val="22"/>
          <w:szCs w:val="22"/>
        </w:rPr>
        <w:t xml:space="preserve">MAAW </w:t>
      </w:r>
      <w:r w:rsidR="00535CA9" w:rsidRPr="003B7E02">
        <w:rPr>
          <w:rFonts w:asciiTheme="minorHAnsi" w:hAnsiTheme="minorHAnsi" w:cstheme="minorHAnsi"/>
          <w:sz w:val="22"/>
          <w:szCs w:val="22"/>
        </w:rPr>
        <w:t xml:space="preserve">on adult psychiatric wards, POMH invited all </w:t>
      </w:r>
      <w:r w:rsidR="00D67199" w:rsidRPr="00D67199">
        <w:rPr>
          <w:rFonts w:asciiTheme="minorHAnsi" w:hAnsiTheme="minorHAnsi" w:cstheme="minorHAnsi"/>
          <w:sz w:val="22"/>
          <w:szCs w:val="22"/>
          <w:highlight w:val="yellow"/>
        </w:rPr>
        <w:t xml:space="preserve">66 of </w:t>
      </w:r>
      <w:r w:rsidRPr="00D67199">
        <w:rPr>
          <w:rFonts w:asciiTheme="minorHAnsi" w:hAnsiTheme="minorHAnsi" w:cstheme="minorHAnsi"/>
          <w:sz w:val="22"/>
          <w:szCs w:val="22"/>
          <w:highlight w:val="yellow"/>
        </w:rPr>
        <w:t>its</w:t>
      </w:r>
      <w:r w:rsidRPr="003B7E02">
        <w:rPr>
          <w:rFonts w:asciiTheme="minorHAnsi" w:hAnsiTheme="minorHAnsi" w:cstheme="minorHAnsi"/>
          <w:sz w:val="22"/>
          <w:szCs w:val="22"/>
        </w:rPr>
        <w:t xml:space="preserve"> </w:t>
      </w:r>
      <w:r w:rsidR="002304B5" w:rsidRPr="003B7E02">
        <w:rPr>
          <w:rFonts w:asciiTheme="minorHAnsi" w:hAnsiTheme="minorHAnsi" w:cstheme="minorHAnsi"/>
          <w:sz w:val="22"/>
          <w:szCs w:val="22"/>
        </w:rPr>
        <w:t xml:space="preserve">member Trusts/healthcare organisations </w:t>
      </w:r>
      <w:r w:rsidR="00535CA9" w:rsidRPr="003B7E02">
        <w:rPr>
          <w:rFonts w:asciiTheme="minorHAnsi" w:hAnsiTheme="minorHAnsi" w:cstheme="minorHAnsi"/>
          <w:sz w:val="22"/>
          <w:szCs w:val="22"/>
        </w:rPr>
        <w:t>to participate in a clinical audit to benchmark the quality of such practice</w:t>
      </w:r>
      <w:r w:rsidR="000518C9" w:rsidRPr="003B7E02">
        <w:rPr>
          <w:rFonts w:asciiTheme="minorHAnsi" w:hAnsiTheme="minorHAnsi" w:cstheme="minorHAnsi"/>
          <w:sz w:val="22"/>
          <w:szCs w:val="22"/>
        </w:rPr>
        <w:t xml:space="preserve"> against evidence-based </w:t>
      </w:r>
      <w:r w:rsidR="00535CA9" w:rsidRPr="003B7E02">
        <w:rPr>
          <w:rFonts w:asciiTheme="minorHAnsi" w:hAnsiTheme="minorHAnsi" w:cstheme="minorHAnsi"/>
          <w:sz w:val="22"/>
          <w:szCs w:val="22"/>
        </w:rPr>
        <w:t>standards</w:t>
      </w:r>
      <w:r w:rsidR="000518C9" w:rsidRPr="003B7E02">
        <w:rPr>
          <w:rFonts w:asciiTheme="minorHAnsi" w:hAnsiTheme="minorHAnsi" w:cstheme="minorHAnsi"/>
          <w:sz w:val="22"/>
          <w:szCs w:val="22"/>
        </w:rPr>
        <w:t xml:space="preserve">. </w:t>
      </w:r>
      <w:r w:rsidR="00830528" w:rsidRPr="003B7E02">
        <w:rPr>
          <w:rFonts w:asciiTheme="minorHAnsi" w:hAnsiTheme="minorHAnsi" w:cstheme="minorHAnsi"/>
          <w:sz w:val="22"/>
          <w:szCs w:val="22"/>
        </w:rPr>
        <w:t xml:space="preserve">Those Trusts that provided specialist inpatient services for alcohol detoxification were invited to include patients from these units in their audit sample. </w:t>
      </w:r>
    </w:p>
    <w:p w14:paraId="2417E204" w14:textId="77777777" w:rsidR="00643747" w:rsidRPr="003B7E02" w:rsidRDefault="00643747" w:rsidP="002B38DB">
      <w:pPr>
        <w:spacing w:line="360" w:lineRule="auto"/>
        <w:rPr>
          <w:rFonts w:asciiTheme="minorHAnsi" w:hAnsiTheme="minorHAnsi" w:cstheme="minorHAnsi"/>
          <w:sz w:val="22"/>
          <w:szCs w:val="22"/>
        </w:rPr>
      </w:pPr>
    </w:p>
    <w:p w14:paraId="746D1691" w14:textId="1841DA92" w:rsidR="00535CA9" w:rsidRPr="003B7E02" w:rsidRDefault="000518C9" w:rsidP="002B38DB">
      <w:pPr>
        <w:spacing w:line="360" w:lineRule="auto"/>
        <w:rPr>
          <w:rFonts w:asciiTheme="minorHAnsi" w:hAnsiTheme="minorHAnsi" w:cstheme="minorHAnsi"/>
          <w:color w:val="000000" w:themeColor="text1"/>
          <w:sz w:val="22"/>
          <w:szCs w:val="22"/>
        </w:rPr>
      </w:pPr>
      <w:r w:rsidRPr="003B7E02">
        <w:rPr>
          <w:rFonts w:asciiTheme="minorHAnsi" w:hAnsiTheme="minorHAnsi" w:cstheme="minorHAnsi"/>
          <w:sz w:val="22"/>
          <w:szCs w:val="22"/>
        </w:rPr>
        <w:t xml:space="preserve">The practice standards were </w:t>
      </w:r>
      <w:r w:rsidR="00535CA9" w:rsidRPr="003B7E02">
        <w:rPr>
          <w:rFonts w:asciiTheme="minorHAnsi" w:hAnsiTheme="minorHAnsi" w:cstheme="minorHAnsi"/>
          <w:sz w:val="22"/>
          <w:szCs w:val="22"/>
        </w:rPr>
        <w:t xml:space="preserve">derived from </w:t>
      </w:r>
      <w:r w:rsidR="00806C7C" w:rsidRPr="003B7E02">
        <w:rPr>
          <w:rFonts w:asciiTheme="minorHAnsi" w:hAnsiTheme="minorHAnsi" w:cstheme="minorHAnsi"/>
          <w:sz w:val="22"/>
          <w:szCs w:val="22"/>
        </w:rPr>
        <w:t xml:space="preserve">two </w:t>
      </w:r>
      <w:r w:rsidR="0083498D" w:rsidRPr="003B7E02">
        <w:rPr>
          <w:rFonts w:asciiTheme="minorHAnsi" w:hAnsiTheme="minorHAnsi" w:cstheme="minorHAnsi"/>
          <w:sz w:val="22"/>
          <w:szCs w:val="22"/>
        </w:rPr>
        <w:t xml:space="preserve">clinical </w:t>
      </w:r>
      <w:r w:rsidR="00535CA9" w:rsidRPr="003B7E02">
        <w:rPr>
          <w:rFonts w:asciiTheme="minorHAnsi" w:hAnsiTheme="minorHAnsi" w:cstheme="minorHAnsi"/>
          <w:sz w:val="22"/>
          <w:szCs w:val="22"/>
        </w:rPr>
        <w:t>guideline</w:t>
      </w:r>
      <w:r w:rsidR="00EF445B" w:rsidRPr="003B7E02">
        <w:rPr>
          <w:rFonts w:asciiTheme="minorHAnsi" w:hAnsiTheme="minorHAnsi" w:cstheme="minorHAnsi"/>
          <w:sz w:val="22"/>
          <w:szCs w:val="22"/>
        </w:rPr>
        <w:t>s</w:t>
      </w:r>
      <w:r w:rsidR="00577D6B" w:rsidRPr="003B7E02">
        <w:rPr>
          <w:rFonts w:asciiTheme="minorHAnsi" w:hAnsiTheme="minorHAnsi" w:cstheme="minorHAnsi"/>
          <w:sz w:val="22"/>
          <w:szCs w:val="22"/>
        </w:rPr>
        <w:t xml:space="preserve"> </w:t>
      </w:r>
      <w:r w:rsidR="00BC343B" w:rsidRPr="003B7E02">
        <w:rPr>
          <w:rFonts w:asciiTheme="minorHAnsi" w:hAnsiTheme="minorHAnsi" w:cstheme="minorHAnsi"/>
          <w:sz w:val="22"/>
          <w:szCs w:val="22"/>
          <w:vertAlign w:val="superscript"/>
        </w:rPr>
        <w:t>5</w:t>
      </w:r>
      <w:r w:rsidR="00432A70" w:rsidRPr="003B7E02">
        <w:rPr>
          <w:rFonts w:asciiTheme="minorHAnsi" w:hAnsiTheme="minorHAnsi" w:cstheme="minorHAnsi"/>
          <w:sz w:val="22"/>
          <w:szCs w:val="22"/>
          <w:vertAlign w:val="superscript"/>
        </w:rPr>
        <w:t>,</w:t>
      </w:r>
      <w:r w:rsidR="00BC343B" w:rsidRPr="003B7E02">
        <w:rPr>
          <w:rFonts w:asciiTheme="minorHAnsi" w:hAnsiTheme="minorHAnsi" w:cstheme="minorHAnsi"/>
          <w:sz w:val="22"/>
          <w:szCs w:val="22"/>
          <w:vertAlign w:val="superscript"/>
        </w:rPr>
        <w:t>6</w:t>
      </w:r>
      <w:r w:rsidR="001C61EF" w:rsidRPr="003B7E02">
        <w:rPr>
          <w:rFonts w:asciiTheme="minorHAnsi" w:hAnsiTheme="minorHAnsi" w:cstheme="minorHAnsi"/>
          <w:sz w:val="22"/>
          <w:szCs w:val="22"/>
        </w:rPr>
        <w:t xml:space="preserve"> and a quality standard </w:t>
      </w:r>
      <w:r w:rsidR="00BC343B" w:rsidRPr="003B7E02">
        <w:rPr>
          <w:rFonts w:asciiTheme="minorHAnsi" w:hAnsiTheme="minorHAnsi" w:cstheme="minorHAnsi"/>
          <w:sz w:val="22"/>
          <w:szCs w:val="22"/>
          <w:vertAlign w:val="superscript"/>
        </w:rPr>
        <w:t>7</w:t>
      </w:r>
      <w:r w:rsidR="001C61EF" w:rsidRPr="003B7E02">
        <w:rPr>
          <w:rFonts w:asciiTheme="minorHAnsi" w:hAnsiTheme="minorHAnsi" w:cstheme="minorHAnsi"/>
          <w:sz w:val="22"/>
          <w:szCs w:val="22"/>
        </w:rPr>
        <w:t xml:space="preserve"> </w:t>
      </w:r>
      <w:r w:rsidR="00E07423" w:rsidRPr="003B7E02">
        <w:rPr>
          <w:rFonts w:asciiTheme="minorHAnsi" w:hAnsiTheme="minorHAnsi" w:cstheme="minorHAnsi"/>
          <w:sz w:val="22"/>
          <w:szCs w:val="22"/>
        </w:rPr>
        <w:t xml:space="preserve">addressing the diagnosis, </w:t>
      </w:r>
      <w:r w:rsidR="0064180E" w:rsidRPr="003B7E02">
        <w:rPr>
          <w:rFonts w:asciiTheme="minorHAnsi" w:hAnsiTheme="minorHAnsi" w:cstheme="minorHAnsi"/>
          <w:sz w:val="22"/>
          <w:szCs w:val="22"/>
        </w:rPr>
        <w:t>assessment,</w:t>
      </w:r>
      <w:r w:rsidR="00E07423" w:rsidRPr="003B7E02">
        <w:rPr>
          <w:rFonts w:asciiTheme="minorHAnsi" w:hAnsiTheme="minorHAnsi" w:cstheme="minorHAnsi"/>
          <w:sz w:val="22"/>
          <w:szCs w:val="22"/>
        </w:rPr>
        <w:t xml:space="preserve"> and management of alcohol-use disorders, generated by the National Institute for </w:t>
      </w:r>
      <w:r w:rsidR="00E07423" w:rsidRPr="003B7E02">
        <w:rPr>
          <w:rFonts w:asciiTheme="minorHAnsi" w:hAnsiTheme="minorHAnsi" w:cstheme="minorHAnsi"/>
          <w:color w:val="000000" w:themeColor="text1"/>
          <w:sz w:val="22"/>
          <w:szCs w:val="22"/>
        </w:rPr>
        <w:t xml:space="preserve">Health and Care Excellence, </w:t>
      </w:r>
      <w:r w:rsidR="00806C7C" w:rsidRPr="003B7E02">
        <w:rPr>
          <w:rFonts w:asciiTheme="minorHAnsi" w:hAnsiTheme="minorHAnsi" w:cstheme="minorHAnsi"/>
          <w:color w:val="000000" w:themeColor="text1"/>
          <w:sz w:val="22"/>
          <w:szCs w:val="22"/>
        </w:rPr>
        <w:t>a</w:t>
      </w:r>
      <w:r w:rsidR="001C61EF" w:rsidRPr="003B7E02">
        <w:rPr>
          <w:rFonts w:asciiTheme="minorHAnsi" w:hAnsiTheme="minorHAnsi" w:cstheme="minorHAnsi"/>
          <w:color w:val="000000" w:themeColor="text1"/>
          <w:sz w:val="22"/>
          <w:szCs w:val="22"/>
        </w:rPr>
        <w:t>nd a consensus statement on the pharmacological management of substance abuse</w:t>
      </w:r>
      <w:r w:rsidR="00E07423" w:rsidRPr="003B7E02">
        <w:rPr>
          <w:rFonts w:asciiTheme="minorHAnsi" w:hAnsiTheme="minorHAnsi" w:cstheme="minorHAnsi"/>
          <w:color w:val="000000" w:themeColor="text1"/>
          <w:sz w:val="22"/>
          <w:szCs w:val="22"/>
        </w:rPr>
        <w:t>,</w:t>
      </w:r>
      <w:r w:rsidR="001C61EF" w:rsidRPr="003B7E02">
        <w:rPr>
          <w:rFonts w:asciiTheme="minorHAnsi" w:hAnsiTheme="minorHAnsi" w:cstheme="minorHAnsi"/>
          <w:color w:val="000000" w:themeColor="text1"/>
          <w:sz w:val="22"/>
          <w:szCs w:val="22"/>
        </w:rPr>
        <w:t xml:space="preserve"> </w:t>
      </w:r>
      <w:r w:rsidR="00806C7C" w:rsidRPr="003B7E02">
        <w:rPr>
          <w:rFonts w:asciiTheme="minorHAnsi" w:hAnsiTheme="minorHAnsi" w:cstheme="minorHAnsi"/>
          <w:color w:val="000000" w:themeColor="text1"/>
          <w:sz w:val="22"/>
          <w:szCs w:val="22"/>
        </w:rPr>
        <w:t>generated by the British Association for Psychopharmacology</w:t>
      </w:r>
      <w:r w:rsidR="00EB2BA2" w:rsidRPr="003B7E02">
        <w:rPr>
          <w:rFonts w:asciiTheme="minorHAnsi" w:hAnsiTheme="minorHAnsi" w:cstheme="minorHAnsi"/>
          <w:color w:val="000000" w:themeColor="text1"/>
          <w:sz w:val="22"/>
          <w:szCs w:val="22"/>
        </w:rPr>
        <w:t>.</w:t>
      </w:r>
      <w:r w:rsidR="00BC343B" w:rsidRPr="003B7E02">
        <w:rPr>
          <w:rFonts w:asciiTheme="minorHAnsi" w:hAnsiTheme="minorHAnsi" w:cstheme="minorHAnsi"/>
          <w:color w:val="000000" w:themeColor="text1"/>
          <w:sz w:val="22"/>
          <w:szCs w:val="22"/>
          <w:vertAlign w:val="superscript"/>
        </w:rPr>
        <w:t>8</w:t>
      </w:r>
      <w:r w:rsidR="00CA780B" w:rsidRPr="003B7E02">
        <w:rPr>
          <w:rFonts w:asciiTheme="minorHAnsi" w:hAnsiTheme="minorHAnsi" w:cstheme="minorHAnsi"/>
          <w:color w:val="000000" w:themeColor="text1"/>
          <w:sz w:val="22"/>
          <w:szCs w:val="22"/>
        </w:rPr>
        <w:t xml:space="preserve"> </w:t>
      </w:r>
      <w:r w:rsidR="00535CA9" w:rsidRPr="003B7E02">
        <w:rPr>
          <w:rFonts w:asciiTheme="minorHAnsi" w:hAnsiTheme="minorHAnsi" w:cstheme="minorHAnsi"/>
          <w:sz w:val="22"/>
          <w:szCs w:val="22"/>
        </w:rPr>
        <w:t xml:space="preserve">The </w:t>
      </w:r>
      <w:r w:rsidR="00CD2578" w:rsidRPr="003B7E02">
        <w:rPr>
          <w:rFonts w:asciiTheme="minorHAnsi" w:hAnsiTheme="minorHAnsi" w:cstheme="minorHAnsi"/>
          <w:sz w:val="22"/>
          <w:szCs w:val="22"/>
        </w:rPr>
        <w:t xml:space="preserve">practice </w:t>
      </w:r>
      <w:r w:rsidR="00535CA9" w:rsidRPr="003B7E02">
        <w:rPr>
          <w:rFonts w:asciiTheme="minorHAnsi" w:hAnsiTheme="minorHAnsi" w:cstheme="minorHAnsi"/>
          <w:sz w:val="22"/>
          <w:szCs w:val="22"/>
        </w:rPr>
        <w:t xml:space="preserve">standards </w:t>
      </w:r>
      <w:r w:rsidR="003C24DC" w:rsidRPr="003B7E02">
        <w:rPr>
          <w:rFonts w:asciiTheme="minorHAnsi" w:hAnsiTheme="minorHAnsi" w:cstheme="minorHAnsi"/>
          <w:sz w:val="22"/>
          <w:szCs w:val="22"/>
        </w:rPr>
        <w:t xml:space="preserve">reported </w:t>
      </w:r>
      <w:r w:rsidR="00875E20" w:rsidRPr="003B7E02">
        <w:rPr>
          <w:rFonts w:asciiTheme="minorHAnsi" w:hAnsiTheme="minorHAnsi" w:cstheme="minorHAnsi"/>
          <w:sz w:val="22"/>
          <w:szCs w:val="22"/>
        </w:rPr>
        <w:t xml:space="preserve">on </w:t>
      </w:r>
      <w:r w:rsidR="003C24DC" w:rsidRPr="003B7E02">
        <w:rPr>
          <w:rFonts w:asciiTheme="minorHAnsi" w:hAnsiTheme="minorHAnsi" w:cstheme="minorHAnsi"/>
          <w:sz w:val="22"/>
          <w:szCs w:val="22"/>
        </w:rPr>
        <w:t xml:space="preserve">in this paper are </w:t>
      </w:r>
      <w:r w:rsidR="00535CA9" w:rsidRPr="003B7E02">
        <w:rPr>
          <w:rFonts w:asciiTheme="minorHAnsi" w:hAnsiTheme="minorHAnsi" w:cstheme="minorHAnsi"/>
          <w:sz w:val="22"/>
          <w:szCs w:val="22"/>
        </w:rPr>
        <w:t>as follows.</w:t>
      </w:r>
    </w:p>
    <w:p w14:paraId="1807B4FC" w14:textId="58224C4F" w:rsidR="00535CA9" w:rsidRPr="003B7E02" w:rsidRDefault="00B11DE8" w:rsidP="002B38DB">
      <w:pPr>
        <w:pStyle w:val="NoSpacing"/>
        <w:spacing w:line="360" w:lineRule="auto"/>
        <w:rPr>
          <w:rFonts w:cstheme="minorHAnsi"/>
        </w:rPr>
      </w:pPr>
      <w:r w:rsidRPr="003B7E02">
        <w:rPr>
          <w:rFonts w:cstheme="minorHAnsi"/>
        </w:rPr>
        <w:lastRenderedPageBreak/>
        <w:t xml:space="preserve">1. </w:t>
      </w:r>
      <w:r w:rsidR="00535CA9" w:rsidRPr="003B7E02">
        <w:rPr>
          <w:rFonts w:cstheme="minorHAnsi"/>
        </w:rPr>
        <w:t xml:space="preserve">The decision to undertake </w:t>
      </w:r>
      <w:r w:rsidR="002B1223" w:rsidRPr="003B7E02">
        <w:rPr>
          <w:rFonts w:cstheme="minorHAnsi"/>
        </w:rPr>
        <w:t>MAAW for</w:t>
      </w:r>
      <w:r w:rsidR="00535CA9" w:rsidRPr="003B7E02">
        <w:rPr>
          <w:rFonts w:cstheme="minorHAnsi"/>
        </w:rPr>
        <w:t xml:space="preserve"> an inpatient should be informed by a documented assessment of drinking history and current daily alcohol intake, and </w:t>
      </w:r>
      <w:r w:rsidR="002304B5" w:rsidRPr="003B7E02">
        <w:rPr>
          <w:rFonts w:cstheme="minorHAnsi"/>
        </w:rPr>
        <w:t>a</w:t>
      </w:r>
      <w:r w:rsidR="00535CA9" w:rsidRPr="003B7E02">
        <w:rPr>
          <w:rFonts w:cstheme="minorHAnsi"/>
        </w:rPr>
        <w:t xml:space="preserve"> physical examination, carried out on admission</w:t>
      </w:r>
      <w:r w:rsidRPr="003B7E02">
        <w:rPr>
          <w:rFonts w:cstheme="minorHAnsi"/>
        </w:rPr>
        <w:t>.</w:t>
      </w:r>
    </w:p>
    <w:p w14:paraId="55F73017" w14:textId="7492FB65" w:rsidR="00B11DE8" w:rsidRPr="003B7E02" w:rsidRDefault="003C24DC" w:rsidP="002B38DB">
      <w:pPr>
        <w:pStyle w:val="NoSpacing"/>
        <w:spacing w:line="360" w:lineRule="auto"/>
        <w:rPr>
          <w:rFonts w:cstheme="minorHAnsi"/>
        </w:rPr>
      </w:pPr>
      <w:r w:rsidRPr="003B7E02">
        <w:rPr>
          <w:rFonts w:cstheme="minorHAnsi"/>
        </w:rPr>
        <w:t>2</w:t>
      </w:r>
      <w:r w:rsidR="00B11DE8" w:rsidRPr="003B7E02">
        <w:rPr>
          <w:rFonts w:cstheme="minorHAnsi"/>
        </w:rPr>
        <w:t>. Pharmacotherapy to treat the symptoms of acute alcohol withdrawal should be limited to a benzodiazepine, carbamazepine or clomethiazole.</w:t>
      </w:r>
    </w:p>
    <w:p w14:paraId="409D6D52" w14:textId="7D7462B8" w:rsidR="00B11DE8" w:rsidRPr="003B7E02" w:rsidRDefault="003C24DC" w:rsidP="002B38DB">
      <w:pPr>
        <w:pStyle w:val="NoSpacing"/>
        <w:spacing w:line="360" w:lineRule="auto"/>
        <w:rPr>
          <w:rFonts w:cstheme="minorHAnsi"/>
        </w:rPr>
      </w:pPr>
      <w:r w:rsidRPr="003B7E02">
        <w:rPr>
          <w:rFonts w:cstheme="minorHAnsi"/>
        </w:rPr>
        <w:t>3</w:t>
      </w:r>
      <w:r w:rsidR="00B11DE8" w:rsidRPr="003B7E02">
        <w:rPr>
          <w:rFonts w:cstheme="minorHAnsi"/>
        </w:rPr>
        <w:t>. Thiamine should be prescribed parenterally for inpatients in acute alcohol withdrawal</w:t>
      </w:r>
      <w:r w:rsidR="00C753F7" w:rsidRPr="003B7E02">
        <w:rPr>
          <w:rFonts w:cstheme="minorHAnsi"/>
        </w:rPr>
        <w:t>.</w:t>
      </w:r>
      <w:r w:rsidR="00B11DE8" w:rsidRPr="003B7E02">
        <w:rPr>
          <w:rFonts w:cstheme="minorHAnsi"/>
        </w:rPr>
        <w:t xml:space="preserve"> </w:t>
      </w:r>
    </w:p>
    <w:p w14:paraId="49DE05E5" w14:textId="77777777" w:rsidR="002B38DB" w:rsidRPr="003B7E02" w:rsidRDefault="002B38DB" w:rsidP="002B38DB">
      <w:pPr>
        <w:pStyle w:val="NoSpacing"/>
        <w:spacing w:line="360" w:lineRule="auto"/>
        <w:rPr>
          <w:rFonts w:cstheme="minorHAnsi"/>
        </w:rPr>
      </w:pPr>
    </w:p>
    <w:p w14:paraId="7D1A6740" w14:textId="6BFA5447" w:rsidR="00CD2578" w:rsidRPr="003B7E02" w:rsidRDefault="00CD2578" w:rsidP="002B38DB">
      <w:pPr>
        <w:spacing w:line="360" w:lineRule="auto"/>
        <w:rPr>
          <w:rFonts w:asciiTheme="minorHAnsi" w:hAnsiTheme="minorHAnsi" w:cstheme="minorHAnsi"/>
          <w:sz w:val="22"/>
          <w:szCs w:val="22"/>
        </w:rPr>
      </w:pPr>
      <w:r w:rsidRPr="003B7E02">
        <w:rPr>
          <w:rFonts w:asciiTheme="minorHAnsi" w:hAnsiTheme="minorHAnsi" w:cstheme="minorHAnsi"/>
          <w:sz w:val="22"/>
          <w:szCs w:val="22"/>
        </w:rPr>
        <w:t>In addition, the audit addressed three treatment targets</w:t>
      </w:r>
      <w:r w:rsidR="003A2E29" w:rsidRPr="003B7E02">
        <w:rPr>
          <w:rFonts w:asciiTheme="minorHAnsi" w:hAnsiTheme="minorHAnsi" w:cstheme="minorHAnsi"/>
          <w:sz w:val="22"/>
          <w:szCs w:val="22"/>
        </w:rPr>
        <w:t xml:space="preserve"> reflecting best practice. These were </w:t>
      </w:r>
      <w:r w:rsidRPr="003B7E02">
        <w:rPr>
          <w:rFonts w:asciiTheme="minorHAnsi" w:hAnsiTheme="minorHAnsi" w:cstheme="minorHAnsi"/>
          <w:sz w:val="22"/>
          <w:szCs w:val="22"/>
        </w:rPr>
        <w:t xml:space="preserve">derived from the same </w:t>
      </w:r>
      <w:r w:rsidR="00992A5D" w:rsidRPr="003B7E02">
        <w:rPr>
          <w:rFonts w:asciiTheme="minorHAnsi" w:hAnsiTheme="minorHAnsi" w:cstheme="minorHAnsi"/>
          <w:sz w:val="22"/>
          <w:szCs w:val="22"/>
        </w:rPr>
        <w:t xml:space="preserve">national </w:t>
      </w:r>
      <w:r w:rsidRPr="003B7E02">
        <w:rPr>
          <w:rFonts w:asciiTheme="minorHAnsi" w:hAnsiTheme="minorHAnsi" w:cstheme="minorHAnsi"/>
          <w:sz w:val="22"/>
          <w:szCs w:val="22"/>
        </w:rPr>
        <w:t xml:space="preserve">guidelines as the </w:t>
      </w:r>
      <w:r w:rsidR="00992A5D" w:rsidRPr="003B7E02">
        <w:rPr>
          <w:rFonts w:asciiTheme="minorHAnsi" w:hAnsiTheme="minorHAnsi" w:cstheme="minorHAnsi"/>
          <w:sz w:val="22"/>
          <w:szCs w:val="22"/>
        </w:rPr>
        <w:t>practice</w:t>
      </w:r>
      <w:r w:rsidRPr="003B7E02">
        <w:rPr>
          <w:rFonts w:asciiTheme="minorHAnsi" w:hAnsiTheme="minorHAnsi" w:cstheme="minorHAnsi"/>
          <w:sz w:val="22"/>
          <w:szCs w:val="22"/>
        </w:rPr>
        <w:t xml:space="preserve"> </w:t>
      </w:r>
      <w:r w:rsidR="00992A5D" w:rsidRPr="003B7E02">
        <w:rPr>
          <w:rFonts w:asciiTheme="minorHAnsi" w:hAnsiTheme="minorHAnsi" w:cstheme="minorHAnsi"/>
          <w:sz w:val="22"/>
          <w:szCs w:val="22"/>
        </w:rPr>
        <w:t>standards,</w:t>
      </w:r>
      <w:r w:rsidRPr="003B7E02">
        <w:rPr>
          <w:rFonts w:asciiTheme="minorHAnsi" w:hAnsiTheme="minorHAnsi" w:cstheme="minorHAnsi"/>
          <w:sz w:val="22"/>
          <w:szCs w:val="22"/>
        </w:rPr>
        <w:t xml:space="preserve"> but represent</w:t>
      </w:r>
      <w:r w:rsidR="00D926AA" w:rsidRPr="003B7E02">
        <w:rPr>
          <w:rFonts w:asciiTheme="minorHAnsi" w:hAnsiTheme="minorHAnsi" w:cstheme="minorHAnsi"/>
          <w:sz w:val="22"/>
          <w:szCs w:val="22"/>
        </w:rPr>
        <w:t>ed</w:t>
      </w:r>
      <w:r w:rsidRPr="003B7E02">
        <w:rPr>
          <w:rFonts w:asciiTheme="minorHAnsi" w:hAnsiTheme="minorHAnsi" w:cstheme="minorHAnsi"/>
          <w:sz w:val="22"/>
          <w:szCs w:val="22"/>
        </w:rPr>
        <w:t xml:space="preserve"> </w:t>
      </w:r>
      <w:r w:rsidR="003B1CE6" w:rsidRPr="003B7E02">
        <w:rPr>
          <w:rFonts w:asciiTheme="minorHAnsi" w:hAnsiTheme="minorHAnsi" w:cstheme="minorHAnsi"/>
          <w:sz w:val="22"/>
          <w:szCs w:val="22"/>
        </w:rPr>
        <w:t xml:space="preserve">clinical recommendations </w:t>
      </w:r>
      <w:r w:rsidRPr="003B7E02">
        <w:rPr>
          <w:rFonts w:asciiTheme="minorHAnsi" w:hAnsiTheme="minorHAnsi" w:cstheme="minorHAnsi"/>
          <w:sz w:val="22"/>
          <w:szCs w:val="22"/>
        </w:rPr>
        <w:t xml:space="preserve">for which the available evidence fell short of supporting a practice standard, </w:t>
      </w:r>
      <w:proofErr w:type="gramStart"/>
      <w:r w:rsidRPr="003B7E02">
        <w:rPr>
          <w:rFonts w:asciiTheme="minorHAnsi" w:hAnsiTheme="minorHAnsi" w:cstheme="minorHAnsi"/>
          <w:sz w:val="22"/>
          <w:szCs w:val="22"/>
        </w:rPr>
        <w:t>i.e.</w:t>
      </w:r>
      <w:proofErr w:type="gramEnd"/>
      <w:r w:rsidRPr="003B7E02">
        <w:rPr>
          <w:rFonts w:asciiTheme="minorHAnsi" w:hAnsiTheme="minorHAnsi" w:cstheme="minorHAnsi"/>
          <w:sz w:val="22"/>
          <w:szCs w:val="22"/>
        </w:rPr>
        <w:t xml:space="preserve"> </w:t>
      </w:r>
      <w:r w:rsidR="00806C7C" w:rsidRPr="003B7E02">
        <w:rPr>
          <w:rFonts w:asciiTheme="minorHAnsi" w:hAnsiTheme="minorHAnsi" w:cstheme="minorHAnsi"/>
          <w:sz w:val="22"/>
          <w:szCs w:val="22"/>
        </w:rPr>
        <w:t>they would not</w:t>
      </w:r>
      <w:r w:rsidR="003B1CE6" w:rsidRPr="003B7E02">
        <w:rPr>
          <w:rFonts w:asciiTheme="minorHAnsi" w:hAnsiTheme="minorHAnsi" w:cstheme="minorHAnsi"/>
          <w:sz w:val="22"/>
          <w:szCs w:val="22"/>
        </w:rPr>
        <w:t xml:space="preserve"> necessarily</w:t>
      </w:r>
      <w:r w:rsidR="00806C7C" w:rsidRPr="003B7E02">
        <w:rPr>
          <w:rFonts w:asciiTheme="minorHAnsi" w:hAnsiTheme="minorHAnsi" w:cstheme="minorHAnsi"/>
          <w:sz w:val="22"/>
          <w:szCs w:val="22"/>
        </w:rPr>
        <w:t xml:space="preserve"> apply </w:t>
      </w:r>
      <w:r w:rsidR="003B1CE6" w:rsidRPr="003B7E02">
        <w:rPr>
          <w:rFonts w:asciiTheme="minorHAnsi" w:hAnsiTheme="minorHAnsi" w:cstheme="minorHAnsi"/>
          <w:sz w:val="22"/>
          <w:szCs w:val="22"/>
        </w:rPr>
        <w:t>in</w:t>
      </w:r>
      <w:r w:rsidR="00806C7C" w:rsidRPr="003B7E02">
        <w:rPr>
          <w:rFonts w:asciiTheme="minorHAnsi" w:hAnsiTheme="minorHAnsi" w:cstheme="minorHAnsi"/>
          <w:sz w:val="22"/>
          <w:szCs w:val="22"/>
        </w:rPr>
        <w:t xml:space="preserve"> all cases</w:t>
      </w:r>
      <w:r w:rsidRPr="003B7E02">
        <w:rPr>
          <w:rFonts w:asciiTheme="minorHAnsi" w:hAnsiTheme="minorHAnsi" w:cstheme="minorHAnsi"/>
          <w:sz w:val="22"/>
          <w:szCs w:val="22"/>
        </w:rPr>
        <w:t>. The</w:t>
      </w:r>
      <w:r w:rsidR="00D926AA" w:rsidRPr="003B7E02">
        <w:rPr>
          <w:rFonts w:asciiTheme="minorHAnsi" w:hAnsiTheme="minorHAnsi" w:cstheme="minorHAnsi"/>
          <w:sz w:val="22"/>
          <w:szCs w:val="22"/>
        </w:rPr>
        <w:t>y</w:t>
      </w:r>
      <w:r w:rsidRPr="003B7E02">
        <w:rPr>
          <w:rFonts w:asciiTheme="minorHAnsi" w:hAnsiTheme="minorHAnsi" w:cstheme="minorHAnsi"/>
          <w:sz w:val="22"/>
          <w:szCs w:val="22"/>
        </w:rPr>
        <w:t xml:space="preserve"> were included as it was judged that clinicians would be interested in how </w:t>
      </w:r>
      <w:r w:rsidR="00AF46CA" w:rsidRPr="003B7E02">
        <w:rPr>
          <w:rFonts w:asciiTheme="minorHAnsi" w:hAnsiTheme="minorHAnsi" w:cstheme="minorHAnsi"/>
          <w:sz w:val="22"/>
          <w:szCs w:val="22"/>
        </w:rPr>
        <w:t xml:space="preserve">far their practice was in line with these treatment targets, </w:t>
      </w:r>
      <w:r w:rsidRPr="003B7E02">
        <w:rPr>
          <w:rFonts w:asciiTheme="minorHAnsi" w:hAnsiTheme="minorHAnsi" w:cstheme="minorHAnsi"/>
          <w:sz w:val="22"/>
          <w:szCs w:val="22"/>
        </w:rPr>
        <w:t>compared with their peers. The treatment targets were as follows:</w:t>
      </w:r>
    </w:p>
    <w:p w14:paraId="78F7EFDE" w14:textId="27317B7A" w:rsidR="00CD2578" w:rsidRPr="003B7E02" w:rsidRDefault="00CD2578" w:rsidP="002B38DB">
      <w:pPr>
        <w:pStyle w:val="NoSpacing"/>
        <w:spacing w:line="360" w:lineRule="auto"/>
        <w:rPr>
          <w:rFonts w:cstheme="minorHAnsi"/>
        </w:rPr>
      </w:pPr>
      <w:r w:rsidRPr="003B7E02">
        <w:rPr>
          <w:rFonts w:cstheme="minorHAnsi"/>
        </w:rPr>
        <w:t xml:space="preserve">1. Breath alcohol should be measured as part of the initial assessment for </w:t>
      </w:r>
      <w:r w:rsidR="002B1223" w:rsidRPr="003B7E02">
        <w:rPr>
          <w:rFonts w:cstheme="minorHAnsi"/>
        </w:rPr>
        <w:t>MAAW</w:t>
      </w:r>
      <w:r w:rsidR="00C753F7" w:rsidRPr="003B7E02">
        <w:rPr>
          <w:rFonts w:cstheme="minorHAnsi"/>
        </w:rPr>
        <w:t>.</w:t>
      </w:r>
      <w:r w:rsidRPr="003B7E02">
        <w:rPr>
          <w:rFonts w:cstheme="minorHAnsi"/>
        </w:rPr>
        <w:t xml:space="preserve"> </w:t>
      </w:r>
    </w:p>
    <w:p w14:paraId="5ABA0DF5" w14:textId="6C51C349" w:rsidR="00CD2578" w:rsidRPr="003B7E02" w:rsidRDefault="00CD2578" w:rsidP="002B38DB">
      <w:pPr>
        <w:pStyle w:val="NoSpacing"/>
        <w:spacing w:line="360" w:lineRule="auto"/>
        <w:rPr>
          <w:rFonts w:cstheme="minorHAnsi"/>
        </w:rPr>
      </w:pPr>
      <w:r w:rsidRPr="003B7E02">
        <w:rPr>
          <w:rFonts w:cstheme="minorHAnsi"/>
        </w:rPr>
        <w:t xml:space="preserve">2. Following </w:t>
      </w:r>
      <w:r w:rsidR="002B1223" w:rsidRPr="003B7E02">
        <w:rPr>
          <w:rFonts w:cstheme="minorHAnsi"/>
        </w:rPr>
        <w:t>MAAW</w:t>
      </w:r>
      <w:r w:rsidRPr="003B7E02">
        <w:rPr>
          <w:rFonts w:cstheme="minorHAnsi"/>
        </w:rPr>
        <w:t>, initiation of relapse prevention medication should be considered</w:t>
      </w:r>
      <w:r w:rsidR="00C753F7" w:rsidRPr="003B7E02">
        <w:rPr>
          <w:rFonts w:cstheme="minorHAnsi"/>
        </w:rPr>
        <w:t>.</w:t>
      </w:r>
      <w:r w:rsidRPr="003B7E02">
        <w:rPr>
          <w:rFonts w:cstheme="minorHAnsi"/>
        </w:rPr>
        <w:t xml:space="preserve"> </w:t>
      </w:r>
    </w:p>
    <w:p w14:paraId="26E77F58" w14:textId="2ABEB5FD" w:rsidR="00992A5D" w:rsidRPr="003B7E02" w:rsidRDefault="00CD2578" w:rsidP="002B38DB">
      <w:pPr>
        <w:pStyle w:val="NoSpacing"/>
        <w:spacing w:line="360" w:lineRule="auto"/>
        <w:rPr>
          <w:rFonts w:cstheme="minorHAnsi"/>
        </w:rPr>
      </w:pPr>
      <w:r w:rsidRPr="003B7E02">
        <w:rPr>
          <w:rFonts w:cstheme="minorHAnsi"/>
        </w:rPr>
        <w:t xml:space="preserve">3. After </w:t>
      </w:r>
      <w:r w:rsidR="002B1223" w:rsidRPr="003B7E02">
        <w:rPr>
          <w:rFonts w:cstheme="minorHAnsi"/>
        </w:rPr>
        <w:t>MAAW</w:t>
      </w:r>
      <w:r w:rsidRPr="003B7E02">
        <w:rPr>
          <w:rFonts w:cstheme="minorHAnsi"/>
        </w:rPr>
        <w:t>, referral to specialist alcohol services for continuing management a</w:t>
      </w:r>
      <w:r w:rsidR="00992A5D" w:rsidRPr="003B7E02">
        <w:rPr>
          <w:rFonts w:cstheme="minorHAnsi"/>
        </w:rPr>
        <w:t>nd support should be considered.</w:t>
      </w:r>
    </w:p>
    <w:p w14:paraId="12BA5C61" w14:textId="77777777" w:rsidR="002B38DB" w:rsidRPr="003B7E02" w:rsidRDefault="002B38DB" w:rsidP="002B38DB">
      <w:pPr>
        <w:pStyle w:val="NoSpacing"/>
        <w:spacing w:line="360" w:lineRule="auto"/>
        <w:rPr>
          <w:rFonts w:cstheme="minorHAnsi"/>
        </w:rPr>
      </w:pPr>
    </w:p>
    <w:p w14:paraId="1DB46B2B" w14:textId="601C5C15" w:rsidR="00086B98" w:rsidRPr="003B7E02" w:rsidRDefault="0024237A" w:rsidP="002B38DB">
      <w:pPr>
        <w:spacing w:line="360" w:lineRule="auto"/>
        <w:rPr>
          <w:rFonts w:asciiTheme="minorHAnsi" w:hAnsiTheme="minorHAnsi" w:cstheme="minorHAnsi"/>
          <w:sz w:val="22"/>
          <w:szCs w:val="22"/>
        </w:rPr>
      </w:pPr>
      <w:r w:rsidRPr="003B7E02">
        <w:rPr>
          <w:rFonts w:asciiTheme="minorHAnsi" w:hAnsiTheme="minorHAnsi" w:cstheme="minorHAnsi"/>
          <w:sz w:val="22"/>
          <w:szCs w:val="22"/>
        </w:rPr>
        <w:t>All Trusts and clinical teams were self-selected in that they chose to participate</w:t>
      </w:r>
      <w:r w:rsidR="0078015A" w:rsidRPr="003B7E02">
        <w:rPr>
          <w:rFonts w:asciiTheme="minorHAnsi" w:hAnsiTheme="minorHAnsi" w:cstheme="minorHAnsi"/>
          <w:sz w:val="22"/>
          <w:szCs w:val="22"/>
        </w:rPr>
        <w:t xml:space="preserve"> in the audit</w:t>
      </w:r>
      <w:r w:rsidRPr="003B7E02">
        <w:rPr>
          <w:rFonts w:asciiTheme="minorHAnsi" w:hAnsiTheme="minorHAnsi" w:cstheme="minorHAnsi"/>
          <w:sz w:val="22"/>
          <w:szCs w:val="22"/>
        </w:rPr>
        <w:t xml:space="preserve">, and each Trust was invited to include as many clinical teams as it wished. </w:t>
      </w:r>
      <w:r w:rsidR="00992A5D" w:rsidRPr="003B7E02">
        <w:rPr>
          <w:rFonts w:asciiTheme="minorHAnsi" w:hAnsiTheme="minorHAnsi" w:cstheme="minorHAnsi"/>
          <w:sz w:val="22"/>
          <w:szCs w:val="22"/>
        </w:rPr>
        <w:t xml:space="preserve">Trusts were asked to submit information </w:t>
      </w:r>
      <w:r w:rsidR="00A17049" w:rsidRPr="003B7E02">
        <w:rPr>
          <w:rFonts w:asciiTheme="minorHAnsi" w:hAnsiTheme="minorHAnsi" w:cstheme="minorHAnsi"/>
          <w:sz w:val="22"/>
          <w:szCs w:val="22"/>
        </w:rPr>
        <w:t xml:space="preserve">that </w:t>
      </w:r>
      <w:r w:rsidR="00B31364" w:rsidRPr="003B7E02">
        <w:rPr>
          <w:rFonts w:asciiTheme="minorHAnsi" w:hAnsiTheme="minorHAnsi" w:cstheme="minorHAnsi"/>
          <w:sz w:val="22"/>
          <w:szCs w:val="22"/>
        </w:rPr>
        <w:t>reflect</w:t>
      </w:r>
      <w:r w:rsidR="00A17049" w:rsidRPr="003B7E02">
        <w:rPr>
          <w:rFonts w:asciiTheme="minorHAnsi" w:hAnsiTheme="minorHAnsi" w:cstheme="minorHAnsi"/>
          <w:sz w:val="22"/>
          <w:szCs w:val="22"/>
        </w:rPr>
        <w:t>ed</w:t>
      </w:r>
      <w:r w:rsidR="00B31364" w:rsidRPr="003B7E02">
        <w:rPr>
          <w:rFonts w:asciiTheme="minorHAnsi" w:hAnsiTheme="minorHAnsi" w:cstheme="minorHAnsi"/>
          <w:sz w:val="22"/>
          <w:szCs w:val="22"/>
        </w:rPr>
        <w:t xml:space="preserve"> performance against the practice standards for </w:t>
      </w:r>
      <w:r w:rsidR="00992A5D" w:rsidRPr="003B7E02">
        <w:rPr>
          <w:rFonts w:asciiTheme="minorHAnsi" w:hAnsiTheme="minorHAnsi" w:cstheme="minorHAnsi"/>
          <w:sz w:val="22"/>
          <w:szCs w:val="22"/>
        </w:rPr>
        <w:t xml:space="preserve">a sample of </w:t>
      </w:r>
      <w:r w:rsidR="00F925B9" w:rsidRPr="003B7E02">
        <w:rPr>
          <w:rFonts w:asciiTheme="minorHAnsi" w:hAnsiTheme="minorHAnsi" w:cstheme="minorHAnsi"/>
          <w:sz w:val="22"/>
          <w:szCs w:val="22"/>
        </w:rPr>
        <w:t xml:space="preserve">patients who had been admitted to an acute adult </w:t>
      </w:r>
      <w:r w:rsidR="005639C7" w:rsidRPr="003B7E02">
        <w:rPr>
          <w:rFonts w:asciiTheme="minorHAnsi" w:hAnsiTheme="minorHAnsi" w:cstheme="minorHAnsi"/>
          <w:sz w:val="22"/>
          <w:szCs w:val="22"/>
        </w:rPr>
        <w:t>ward</w:t>
      </w:r>
      <w:r w:rsidR="00542B01" w:rsidRPr="003B7E02">
        <w:rPr>
          <w:rFonts w:asciiTheme="minorHAnsi" w:hAnsiTheme="minorHAnsi" w:cstheme="minorHAnsi"/>
          <w:sz w:val="22"/>
          <w:szCs w:val="22"/>
        </w:rPr>
        <w:t>,</w:t>
      </w:r>
      <w:r w:rsidR="00F925B9" w:rsidRPr="003B7E02">
        <w:rPr>
          <w:rFonts w:asciiTheme="minorHAnsi" w:hAnsiTheme="minorHAnsi" w:cstheme="minorHAnsi"/>
          <w:sz w:val="22"/>
          <w:szCs w:val="22"/>
        </w:rPr>
        <w:t xml:space="preserve"> psy</w:t>
      </w:r>
      <w:r w:rsidR="00992A5D" w:rsidRPr="003B7E02">
        <w:rPr>
          <w:rFonts w:asciiTheme="minorHAnsi" w:hAnsiTheme="minorHAnsi" w:cstheme="minorHAnsi"/>
          <w:sz w:val="22"/>
          <w:szCs w:val="22"/>
        </w:rPr>
        <w:t xml:space="preserve">chiatric </w:t>
      </w:r>
      <w:r w:rsidR="005639C7" w:rsidRPr="003B7E02">
        <w:rPr>
          <w:rFonts w:asciiTheme="minorHAnsi" w:hAnsiTheme="minorHAnsi" w:cstheme="minorHAnsi"/>
          <w:sz w:val="22"/>
          <w:szCs w:val="22"/>
        </w:rPr>
        <w:t>intensive care unit</w:t>
      </w:r>
      <w:r w:rsidR="00992A5D" w:rsidRPr="003B7E02">
        <w:rPr>
          <w:rFonts w:asciiTheme="minorHAnsi" w:hAnsiTheme="minorHAnsi" w:cstheme="minorHAnsi"/>
          <w:sz w:val="22"/>
          <w:szCs w:val="22"/>
        </w:rPr>
        <w:t xml:space="preserve"> </w:t>
      </w:r>
      <w:r w:rsidR="00A17049" w:rsidRPr="003B7E02">
        <w:rPr>
          <w:rFonts w:asciiTheme="minorHAnsi" w:hAnsiTheme="minorHAnsi" w:cstheme="minorHAnsi"/>
          <w:sz w:val="22"/>
          <w:szCs w:val="22"/>
        </w:rPr>
        <w:t xml:space="preserve">(PICU) </w:t>
      </w:r>
      <w:r w:rsidR="00542B01" w:rsidRPr="003B7E02">
        <w:rPr>
          <w:rFonts w:asciiTheme="minorHAnsi" w:hAnsiTheme="minorHAnsi" w:cstheme="minorHAnsi"/>
          <w:sz w:val="22"/>
          <w:szCs w:val="22"/>
        </w:rPr>
        <w:t xml:space="preserve">or specialist </w:t>
      </w:r>
      <w:r w:rsidR="0090053E" w:rsidRPr="003B7E02">
        <w:rPr>
          <w:rFonts w:asciiTheme="minorHAnsi" w:hAnsiTheme="minorHAnsi" w:cstheme="minorHAnsi"/>
          <w:sz w:val="22"/>
          <w:szCs w:val="22"/>
        </w:rPr>
        <w:t>inpatient addiction</w:t>
      </w:r>
      <w:r w:rsidR="00DD6A40" w:rsidRPr="003B7E02">
        <w:rPr>
          <w:rFonts w:asciiTheme="minorHAnsi" w:hAnsiTheme="minorHAnsi" w:cstheme="minorHAnsi"/>
          <w:sz w:val="22"/>
          <w:szCs w:val="22"/>
        </w:rPr>
        <w:t>s</w:t>
      </w:r>
      <w:r w:rsidR="0090053E" w:rsidRPr="003B7E02">
        <w:rPr>
          <w:rFonts w:asciiTheme="minorHAnsi" w:hAnsiTheme="minorHAnsi" w:cstheme="minorHAnsi"/>
          <w:sz w:val="22"/>
          <w:szCs w:val="22"/>
        </w:rPr>
        <w:t xml:space="preserve"> unit </w:t>
      </w:r>
      <w:r w:rsidR="00992A5D" w:rsidRPr="003B7E02">
        <w:rPr>
          <w:rFonts w:asciiTheme="minorHAnsi" w:hAnsiTheme="minorHAnsi" w:cstheme="minorHAnsi"/>
          <w:sz w:val="22"/>
          <w:szCs w:val="22"/>
        </w:rPr>
        <w:t xml:space="preserve">in the past year </w:t>
      </w:r>
      <w:r w:rsidR="00F925B9" w:rsidRPr="003B7E02">
        <w:rPr>
          <w:rFonts w:asciiTheme="minorHAnsi" w:hAnsiTheme="minorHAnsi" w:cstheme="minorHAnsi"/>
          <w:sz w:val="22"/>
          <w:szCs w:val="22"/>
        </w:rPr>
        <w:t xml:space="preserve">and who had </w:t>
      </w:r>
      <w:r w:rsidR="008D25B7" w:rsidRPr="003B7E02">
        <w:rPr>
          <w:rFonts w:asciiTheme="minorHAnsi" w:hAnsiTheme="minorHAnsi" w:cstheme="minorHAnsi"/>
          <w:sz w:val="22"/>
          <w:szCs w:val="22"/>
        </w:rPr>
        <w:t xml:space="preserve">required </w:t>
      </w:r>
      <w:r w:rsidR="00A12AC9" w:rsidRPr="003B7E02">
        <w:rPr>
          <w:rFonts w:asciiTheme="minorHAnsi" w:hAnsiTheme="minorHAnsi" w:cstheme="minorHAnsi"/>
          <w:sz w:val="22"/>
          <w:szCs w:val="22"/>
        </w:rPr>
        <w:t>MAAW</w:t>
      </w:r>
      <w:r w:rsidR="008D25B7" w:rsidRPr="003B7E02">
        <w:rPr>
          <w:rFonts w:asciiTheme="minorHAnsi" w:hAnsiTheme="minorHAnsi" w:cstheme="minorHAnsi"/>
          <w:sz w:val="22"/>
          <w:szCs w:val="22"/>
        </w:rPr>
        <w:t xml:space="preserve"> </w:t>
      </w:r>
      <w:r w:rsidR="00F925B9" w:rsidRPr="003B7E02">
        <w:rPr>
          <w:rFonts w:asciiTheme="minorHAnsi" w:hAnsiTheme="minorHAnsi" w:cstheme="minorHAnsi"/>
          <w:sz w:val="22"/>
          <w:szCs w:val="22"/>
        </w:rPr>
        <w:t xml:space="preserve">whilst an inpatient. </w:t>
      </w:r>
    </w:p>
    <w:p w14:paraId="25016F8C" w14:textId="77777777" w:rsidR="00086B98" w:rsidRPr="00FD4FB7" w:rsidRDefault="00086B98" w:rsidP="002B38DB">
      <w:pPr>
        <w:spacing w:line="360" w:lineRule="auto"/>
        <w:rPr>
          <w:rFonts w:asciiTheme="minorHAnsi" w:hAnsiTheme="minorHAnsi" w:cstheme="minorHAnsi"/>
          <w:sz w:val="22"/>
          <w:szCs w:val="22"/>
        </w:rPr>
      </w:pPr>
    </w:p>
    <w:p w14:paraId="26D7D08F" w14:textId="316AC58B" w:rsidR="00C753F7" w:rsidRPr="00FD4FB7" w:rsidRDefault="004B098F" w:rsidP="002B38DB">
      <w:pPr>
        <w:spacing w:line="360" w:lineRule="auto"/>
        <w:rPr>
          <w:rFonts w:asciiTheme="minorHAnsi" w:hAnsiTheme="minorHAnsi" w:cstheme="minorHAnsi"/>
          <w:sz w:val="22"/>
          <w:szCs w:val="22"/>
        </w:rPr>
      </w:pPr>
      <w:r w:rsidRPr="00516FC7">
        <w:rPr>
          <w:rFonts w:asciiTheme="minorHAnsi" w:hAnsiTheme="minorHAnsi" w:cstheme="minorHAnsi"/>
          <w:sz w:val="22"/>
          <w:szCs w:val="22"/>
        </w:rPr>
        <w:t xml:space="preserve">A bespoke, standardised data collection tool was used to gather </w:t>
      </w:r>
      <w:r w:rsidR="0078015A" w:rsidRPr="00516FC7">
        <w:rPr>
          <w:rFonts w:asciiTheme="minorHAnsi" w:hAnsiTheme="minorHAnsi" w:cstheme="minorHAnsi"/>
          <w:sz w:val="22"/>
          <w:szCs w:val="22"/>
        </w:rPr>
        <w:t xml:space="preserve">demographic and clinical </w:t>
      </w:r>
      <w:r w:rsidR="00077F3E" w:rsidRPr="00516FC7">
        <w:rPr>
          <w:rFonts w:asciiTheme="minorHAnsi" w:hAnsiTheme="minorHAnsi" w:cstheme="minorHAnsi"/>
          <w:sz w:val="22"/>
          <w:szCs w:val="22"/>
        </w:rPr>
        <w:t xml:space="preserve">data </w:t>
      </w:r>
      <w:r w:rsidR="00104F4E" w:rsidRPr="00516FC7">
        <w:rPr>
          <w:rFonts w:asciiTheme="minorHAnsi" w:hAnsiTheme="minorHAnsi" w:cstheme="minorHAnsi"/>
          <w:sz w:val="22"/>
          <w:szCs w:val="22"/>
        </w:rPr>
        <w:t xml:space="preserve">from the clinical records of </w:t>
      </w:r>
      <w:r w:rsidR="00077F3E" w:rsidRPr="00516FC7">
        <w:rPr>
          <w:rFonts w:asciiTheme="minorHAnsi" w:hAnsiTheme="minorHAnsi" w:cstheme="minorHAnsi"/>
          <w:sz w:val="22"/>
          <w:szCs w:val="22"/>
        </w:rPr>
        <w:t>each eligible patient</w:t>
      </w:r>
      <w:r w:rsidRPr="00516FC7">
        <w:rPr>
          <w:rFonts w:asciiTheme="minorHAnsi" w:hAnsiTheme="minorHAnsi" w:cstheme="minorHAnsi"/>
          <w:sz w:val="22"/>
          <w:szCs w:val="22"/>
        </w:rPr>
        <w:t xml:space="preserve">. </w:t>
      </w:r>
      <w:proofErr w:type="gramStart"/>
      <w:r w:rsidRPr="00516FC7">
        <w:rPr>
          <w:rFonts w:asciiTheme="minorHAnsi" w:hAnsiTheme="minorHAnsi" w:cstheme="minorHAnsi"/>
          <w:sz w:val="22"/>
          <w:szCs w:val="22"/>
        </w:rPr>
        <w:t>These included</w:t>
      </w:r>
      <w:r w:rsidR="00077F3E" w:rsidRPr="00516FC7">
        <w:rPr>
          <w:rFonts w:asciiTheme="minorHAnsi" w:hAnsiTheme="minorHAnsi" w:cstheme="minorHAnsi"/>
          <w:sz w:val="22"/>
          <w:szCs w:val="22"/>
        </w:rPr>
        <w:t xml:space="preserve"> age</w:t>
      </w:r>
      <w:proofErr w:type="gramEnd"/>
      <w:r w:rsidR="00077F3E" w:rsidRPr="00516FC7">
        <w:rPr>
          <w:rFonts w:asciiTheme="minorHAnsi" w:hAnsiTheme="minorHAnsi" w:cstheme="minorHAnsi"/>
          <w:sz w:val="22"/>
          <w:szCs w:val="22"/>
        </w:rPr>
        <w:t xml:space="preserve">, gender, ethnicity, </w:t>
      </w:r>
      <w:r w:rsidR="00FF23B4" w:rsidRPr="00516FC7">
        <w:rPr>
          <w:rFonts w:asciiTheme="minorHAnsi" w:hAnsiTheme="minorHAnsi" w:cstheme="minorHAnsi"/>
          <w:sz w:val="22"/>
          <w:szCs w:val="22"/>
        </w:rPr>
        <w:t xml:space="preserve">the clinical service providing care, status under the Mental Health Act, and </w:t>
      </w:r>
      <w:r w:rsidR="00077F3E" w:rsidRPr="00516FC7">
        <w:rPr>
          <w:rFonts w:asciiTheme="minorHAnsi" w:hAnsiTheme="minorHAnsi" w:cstheme="minorHAnsi"/>
          <w:sz w:val="22"/>
          <w:szCs w:val="22"/>
        </w:rPr>
        <w:t>psychiatric diagnoses</w:t>
      </w:r>
      <w:r w:rsidR="00FF23B4" w:rsidRPr="00516FC7">
        <w:rPr>
          <w:rFonts w:asciiTheme="minorHAnsi" w:hAnsiTheme="minorHAnsi" w:cstheme="minorHAnsi"/>
          <w:sz w:val="22"/>
          <w:szCs w:val="22"/>
        </w:rPr>
        <w:t xml:space="preserve">. </w:t>
      </w:r>
      <w:r w:rsidRPr="00516FC7">
        <w:rPr>
          <w:rFonts w:asciiTheme="minorHAnsi" w:hAnsiTheme="minorHAnsi" w:cstheme="minorHAnsi"/>
          <w:sz w:val="22"/>
          <w:szCs w:val="22"/>
        </w:rPr>
        <w:t xml:space="preserve">The data collection tool also collected information </w:t>
      </w:r>
      <w:r w:rsidR="00FF23B4" w:rsidRPr="00516FC7">
        <w:rPr>
          <w:rFonts w:asciiTheme="minorHAnsi" w:hAnsiTheme="minorHAnsi" w:cstheme="minorHAnsi"/>
          <w:sz w:val="22"/>
          <w:szCs w:val="22"/>
        </w:rPr>
        <w:t xml:space="preserve">on the initial </w:t>
      </w:r>
      <w:r w:rsidR="00F21200" w:rsidRPr="00516FC7">
        <w:rPr>
          <w:rFonts w:asciiTheme="minorHAnsi" w:hAnsiTheme="minorHAnsi" w:cstheme="minorHAnsi"/>
          <w:sz w:val="22"/>
          <w:szCs w:val="22"/>
        </w:rPr>
        <w:t xml:space="preserve">clinical </w:t>
      </w:r>
      <w:r w:rsidR="00FF23B4" w:rsidRPr="00516FC7">
        <w:rPr>
          <w:rFonts w:asciiTheme="minorHAnsi" w:hAnsiTheme="minorHAnsi" w:cstheme="minorHAnsi"/>
          <w:sz w:val="22"/>
          <w:szCs w:val="22"/>
        </w:rPr>
        <w:t>assessment</w:t>
      </w:r>
      <w:r w:rsidR="00772FEA" w:rsidRPr="00516FC7">
        <w:rPr>
          <w:rFonts w:asciiTheme="minorHAnsi" w:hAnsiTheme="minorHAnsi" w:cstheme="minorHAnsi"/>
          <w:sz w:val="22"/>
          <w:szCs w:val="22"/>
        </w:rPr>
        <w:t xml:space="preserve"> of </w:t>
      </w:r>
      <w:r w:rsidR="00F21200" w:rsidRPr="00516FC7">
        <w:rPr>
          <w:rFonts w:asciiTheme="minorHAnsi" w:hAnsiTheme="minorHAnsi" w:cstheme="minorHAnsi"/>
          <w:sz w:val="22"/>
          <w:szCs w:val="22"/>
        </w:rPr>
        <w:t>each</w:t>
      </w:r>
      <w:r w:rsidR="00772FEA" w:rsidRPr="00516FC7">
        <w:rPr>
          <w:rFonts w:asciiTheme="minorHAnsi" w:hAnsiTheme="minorHAnsi" w:cstheme="minorHAnsi"/>
          <w:sz w:val="22"/>
          <w:szCs w:val="22"/>
        </w:rPr>
        <w:t xml:space="preserve"> patient</w:t>
      </w:r>
      <w:r w:rsidR="00FF23B4" w:rsidRPr="00516FC7">
        <w:rPr>
          <w:rFonts w:asciiTheme="minorHAnsi" w:hAnsiTheme="minorHAnsi" w:cstheme="minorHAnsi"/>
          <w:sz w:val="22"/>
          <w:szCs w:val="22"/>
        </w:rPr>
        <w:t xml:space="preserve">, including documentation of past </w:t>
      </w:r>
      <w:r w:rsidR="00F873BD" w:rsidRPr="00516FC7">
        <w:rPr>
          <w:rFonts w:asciiTheme="minorHAnsi" w:hAnsiTheme="minorHAnsi" w:cstheme="minorHAnsi"/>
          <w:sz w:val="22"/>
          <w:szCs w:val="22"/>
        </w:rPr>
        <w:t xml:space="preserve">and current </w:t>
      </w:r>
      <w:r w:rsidR="00FF23B4" w:rsidRPr="00516FC7">
        <w:rPr>
          <w:rFonts w:asciiTheme="minorHAnsi" w:hAnsiTheme="minorHAnsi" w:cstheme="minorHAnsi"/>
          <w:sz w:val="22"/>
          <w:szCs w:val="22"/>
        </w:rPr>
        <w:t>alcohol use</w:t>
      </w:r>
      <w:r w:rsidR="00F873BD" w:rsidRPr="00516FC7">
        <w:rPr>
          <w:rFonts w:asciiTheme="minorHAnsi" w:hAnsiTheme="minorHAnsi" w:cstheme="minorHAnsi"/>
          <w:sz w:val="22"/>
          <w:szCs w:val="22"/>
        </w:rPr>
        <w:t xml:space="preserve">, </w:t>
      </w:r>
      <w:r w:rsidR="007F24E3" w:rsidRPr="00516FC7">
        <w:rPr>
          <w:rFonts w:asciiTheme="minorHAnsi" w:hAnsiTheme="minorHAnsi" w:cstheme="minorHAnsi"/>
          <w:sz w:val="22"/>
          <w:szCs w:val="22"/>
        </w:rPr>
        <w:t>measurement of breath alcohol</w:t>
      </w:r>
      <w:r w:rsidR="007D5CD2" w:rsidRPr="00516FC7">
        <w:rPr>
          <w:rFonts w:asciiTheme="minorHAnsi" w:hAnsiTheme="minorHAnsi" w:cstheme="minorHAnsi"/>
          <w:sz w:val="22"/>
          <w:szCs w:val="22"/>
        </w:rPr>
        <w:t xml:space="preserve"> in the first 24 hours after admission</w:t>
      </w:r>
      <w:r w:rsidR="00F21200" w:rsidRPr="00516FC7">
        <w:rPr>
          <w:rFonts w:asciiTheme="minorHAnsi" w:hAnsiTheme="minorHAnsi" w:cstheme="minorHAnsi"/>
          <w:sz w:val="22"/>
          <w:szCs w:val="22"/>
        </w:rPr>
        <w:t xml:space="preserve">, and </w:t>
      </w:r>
      <w:r w:rsidR="00F873BD" w:rsidRPr="00516FC7">
        <w:rPr>
          <w:rFonts w:asciiTheme="minorHAnsi" w:hAnsiTheme="minorHAnsi" w:cstheme="minorHAnsi"/>
          <w:sz w:val="22"/>
          <w:szCs w:val="22"/>
        </w:rPr>
        <w:t xml:space="preserve">assessment of physical health, including signs of Wernicke’s encephalopathy. </w:t>
      </w:r>
      <w:r w:rsidR="00F24E3F" w:rsidRPr="00516FC7">
        <w:rPr>
          <w:rFonts w:asciiTheme="minorHAnsi" w:hAnsiTheme="minorHAnsi" w:cstheme="minorHAnsi"/>
          <w:sz w:val="22"/>
          <w:szCs w:val="22"/>
        </w:rPr>
        <w:t xml:space="preserve">Regarding alcohol use, </w:t>
      </w:r>
      <w:r w:rsidR="009B7D63" w:rsidRPr="00516FC7">
        <w:rPr>
          <w:rFonts w:asciiTheme="minorHAnsi" w:hAnsiTheme="minorHAnsi" w:cstheme="minorHAnsi"/>
          <w:sz w:val="22"/>
          <w:szCs w:val="22"/>
        </w:rPr>
        <w:t xml:space="preserve">questions </w:t>
      </w:r>
      <w:r w:rsidRPr="00516FC7">
        <w:rPr>
          <w:rFonts w:asciiTheme="minorHAnsi" w:hAnsiTheme="minorHAnsi" w:cstheme="minorHAnsi"/>
          <w:sz w:val="22"/>
          <w:szCs w:val="22"/>
        </w:rPr>
        <w:t xml:space="preserve">were included </w:t>
      </w:r>
      <w:r w:rsidR="009B7D63" w:rsidRPr="00516FC7">
        <w:rPr>
          <w:rFonts w:asciiTheme="minorHAnsi" w:hAnsiTheme="minorHAnsi" w:cstheme="minorHAnsi"/>
          <w:sz w:val="22"/>
          <w:szCs w:val="22"/>
        </w:rPr>
        <w:t xml:space="preserve">about </w:t>
      </w:r>
      <w:r w:rsidR="00F24E3F" w:rsidRPr="00516FC7">
        <w:rPr>
          <w:rFonts w:asciiTheme="minorHAnsi" w:hAnsiTheme="minorHAnsi" w:cstheme="minorHAnsi"/>
          <w:sz w:val="22"/>
          <w:szCs w:val="22"/>
        </w:rPr>
        <w:t xml:space="preserve">the </w:t>
      </w:r>
      <w:r w:rsidR="00913933" w:rsidRPr="00516FC7">
        <w:rPr>
          <w:rFonts w:asciiTheme="minorHAnsi" w:hAnsiTheme="minorHAnsi" w:cstheme="minorHAnsi"/>
          <w:sz w:val="22"/>
          <w:szCs w:val="22"/>
        </w:rPr>
        <w:t>‘</w:t>
      </w:r>
      <w:r w:rsidR="00F24E3F" w:rsidRPr="00516FC7">
        <w:rPr>
          <w:rFonts w:asciiTheme="minorHAnsi" w:hAnsiTheme="minorHAnsi" w:cstheme="minorHAnsi"/>
          <w:sz w:val="22"/>
          <w:szCs w:val="22"/>
        </w:rPr>
        <w:t>number of mo</w:t>
      </w:r>
      <w:r w:rsidR="00913933" w:rsidRPr="00516FC7">
        <w:rPr>
          <w:rFonts w:asciiTheme="minorHAnsi" w:hAnsiTheme="minorHAnsi" w:cstheme="minorHAnsi"/>
          <w:sz w:val="22"/>
          <w:szCs w:val="22"/>
        </w:rPr>
        <w:t>n</w:t>
      </w:r>
      <w:r w:rsidR="00F24E3F" w:rsidRPr="00516FC7">
        <w:rPr>
          <w:rFonts w:asciiTheme="minorHAnsi" w:hAnsiTheme="minorHAnsi" w:cstheme="minorHAnsi"/>
          <w:sz w:val="22"/>
          <w:szCs w:val="22"/>
        </w:rPr>
        <w:t xml:space="preserve">ths of harmful </w:t>
      </w:r>
      <w:r w:rsidR="00913933" w:rsidRPr="00516FC7">
        <w:rPr>
          <w:rFonts w:asciiTheme="minorHAnsi" w:hAnsiTheme="minorHAnsi" w:cstheme="minorHAnsi"/>
          <w:sz w:val="22"/>
          <w:szCs w:val="22"/>
        </w:rPr>
        <w:t>drinking</w:t>
      </w:r>
      <w:r w:rsidR="00F24E3F" w:rsidRPr="00516FC7">
        <w:rPr>
          <w:rFonts w:asciiTheme="minorHAnsi" w:hAnsiTheme="minorHAnsi" w:cstheme="minorHAnsi"/>
          <w:sz w:val="22"/>
          <w:szCs w:val="22"/>
        </w:rPr>
        <w:t xml:space="preserve"> on this occasion</w:t>
      </w:r>
      <w:r w:rsidR="00913933" w:rsidRPr="00516FC7">
        <w:rPr>
          <w:rFonts w:asciiTheme="minorHAnsi" w:hAnsiTheme="minorHAnsi" w:cstheme="minorHAnsi"/>
          <w:sz w:val="22"/>
          <w:szCs w:val="22"/>
        </w:rPr>
        <w:t>’</w:t>
      </w:r>
      <w:r w:rsidR="00F24E3F" w:rsidRPr="00516FC7">
        <w:rPr>
          <w:rFonts w:asciiTheme="minorHAnsi" w:hAnsiTheme="minorHAnsi" w:cstheme="minorHAnsi"/>
          <w:sz w:val="22"/>
          <w:szCs w:val="22"/>
        </w:rPr>
        <w:t xml:space="preserve"> and the </w:t>
      </w:r>
      <w:r w:rsidR="00913933" w:rsidRPr="00516FC7">
        <w:rPr>
          <w:rFonts w:asciiTheme="minorHAnsi" w:hAnsiTheme="minorHAnsi" w:cstheme="minorHAnsi"/>
          <w:sz w:val="22"/>
          <w:szCs w:val="22"/>
        </w:rPr>
        <w:t>‘</w:t>
      </w:r>
      <w:r w:rsidR="00F24E3F" w:rsidRPr="00516FC7">
        <w:rPr>
          <w:rFonts w:asciiTheme="minorHAnsi" w:hAnsiTheme="minorHAnsi" w:cstheme="minorHAnsi"/>
          <w:sz w:val="22"/>
          <w:szCs w:val="22"/>
        </w:rPr>
        <w:t>number of units of alcohol consumed each day</w:t>
      </w:r>
      <w:r w:rsidR="00913933" w:rsidRPr="00516FC7">
        <w:rPr>
          <w:rFonts w:asciiTheme="minorHAnsi" w:hAnsiTheme="minorHAnsi" w:cstheme="minorHAnsi"/>
          <w:sz w:val="22"/>
          <w:szCs w:val="22"/>
        </w:rPr>
        <w:t>’</w:t>
      </w:r>
      <w:r w:rsidR="00CD5F24" w:rsidRPr="00516FC7">
        <w:rPr>
          <w:rFonts w:asciiTheme="minorHAnsi" w:hAnsiTheme="minorHAnsi" w:cstheme="minorHAnsi"/>
          <w:sz w:val="22"/>
          <w:szCs w:val="22"/>
        </w:rPr>
        <w:t xml:space="preserve"> (a UK unit = 8g </w:t>
      </w:r>
      <w:r w:rsidR="00702F27" w:rsidRPr="00516FC7">
        <w:rPr>
          <w:rFonts w:asciiTheme="minorHAnsi" w:hAnsiTheme="minorHAnsi" w:cstheme="minorHAnsi"/>
          <w:sz w:val="22"/>
          <w:szCs w:val="22"/>
        </w:rPr>
        <w:t>ethanol</w:t>
      </w:r>
      <w:r w:rsidR="00CD5F24" w:rsidRPr="00516FC7">
        <w:rPr>
          <w:rFonts w:asciiTheme="minorHAnsi" w:hAnsiTheme="minorHAnsi" w:cstheme="minorHAnsi"/>
          <w:sz w:val="22"/>
          <w:szCs w:val="22"/>
        </w:rPr>
        <w:t>)</w:t>
      </w:r>
      <w:r w:rsidR="00796795" w:rsidRPr="00516FC7">
        <w:rPr>
          <w:rFonts w:asciiTheme="minorHAnsi" w:hAnsiTheme="minorHAnsi" w:cstheme="minorHAnsi"/>
          <w:sz w:val="22"/>
          <w:szCs w:val="22"/>
        </w:rPr>
        <w:t xml:space="preserve"> prior to admission</w:t>
      </w:r>
      <w:r w:rsidR="00CD5F24" w:rsidRPr="00516FC7">
        <w:rPr>
          <w:rFonts w:asciiTheme="minorHAnsi" w:hAnsiTheme="minorHAnsi" w:cstheme="minorHAnsi"/>
          <w:sz w:val="22"/>
          <w:szCs w:val="22"/>
        </w:rPr>
        <w:t>.</w:t>
      </w:r>
      <w:r w:rsidR="00F24E3F" w:rsidRPr="00FD4FB7">
        <w:rPr>
          <w:rFonts w:asciiTheme="minorHAnsi" w:hAnsiTheme="minorHAnsi" w:cstheme="minorHAnsi"/>
          <w:sz w:val="22"/>
          <w:szCs w:val="22"/>
        </w:rPr>
        <w:t xml:space="preserve"> If the </w:t>
      </w:r>
      <w:r w:rsidR="00913933" w:rsidRPr="00FD4FB7">
        <w:rPr>
          <w:rFonts w:asciiTheme="minorHAnsi" w:hAnsiTheme="minorHAnsi" w:cstheme="minorHAnsi"/>
          <w:sz w:val="22"/>
          <w:szCs w:val="22"/>
        </w:rPr>
        <w:t>number</w:t>
      </w:r>
      <w:r w:rsidR="00F24E3F" w:rsidRPr="00FD4FB7">
        <w:rPr>
          <w:rFonts w:asciiTheme="minorHAnsi" w:hAnsiTheme="minorHAnsi" w:cstheme="minorHAnsi"/>
          <w:sz w:val="22"/>
          <w:szCs w:val="22"/>
        </w:rPr>
        <w:t xml:space="preserve"> of </w:t>
      </w:r>
      <w:r w:rsidR="00913933" w:rsidRPr="00FD4FB7">
        <w:rPr>
          <w:rFonts w:asciiTheme="minorHAnsi" w:hAnsiTheme="minorHAnsi" w:cstheme="minorHAnsi"/>
          <w:sz w:val="22"/>
          <w:szCs w:val="22"/>
        </w:rPr>
        <w:t xml:space="preserve">daily </w:t>
      </w:r>
      <w:r w:rsidR="00F24E3F" w:rsidRPr="00FD4FB7">
        <w:rPr>
          <w:rFonts w:asciiTheme="minorHAnsi" w:hAnsiTheme="minorHAnsi" w:cstheme="minorHAnsi"/>
          <w:sz w:val="22"/>
          <w:szCs w:val="22"/>
        </w:rPr>
        <w:t>units</w:t>
      </w:r>
      <w:r w:rsidR="00546A5F" w:rsidRPr="00FD4FB7">
        <w:rPr>
          <w:rFonts w:asciiTheme="minorHAnsi" w:hAnsiTheme="minorHAnsi" w:cstheme="minorHAnsi"/>
          <w:sz w:val="22"/>
          <w:szCs w:val="22"/>
        </w:rPr>
        <w:t xml:space="preserve"> </w:t>
      </w:r>
      <w:r w:rsidR="002842E8" w:rsidRPr="00FD4FB7">
        <w:rPr>
          <w:rFonts w:asciiTheme="minorHAnsi" w:hAnsiTheme="minorHAnsi" w:cstheme="minorHAnsi"/>
          <w:sz w:val="22"/>
          <w:szCs w:val="22"/>
        </w:rPr>
        <w:t xml:space="preserve">of alcohol </w:t>
      </w:r>
      <w:r w:rsidR="00546A5F" w:rsidRPr="00FD4FB7">
        <w:rPr>
          <w:rFonts w:asciiTheme="minorHAnsi" w:hAnsiTheme="minorHAnsi" w:cstheme="minorHAnsi"/>
          <w:sz w:val="22"/>
          <w:szCs w:val="22"/>
        </w:rPr>
        <w:t>was not documented</w:t>
      </w:r>
      <w:r w:rsidR="00C6742D" w:rsidRPr="00FD4FB7">
        <w:rPr>
          <w:rFonts w:asciiTheme="minorHAnsi" w:hAnsiTheme="minorHAnsi" w:cstheme="minorHAnsi"/>
          <w:sz w:val="22"/>
          <w:szCs w:val="22"/>
        </w:rPr>
        <w:t>,</w:t>
      </w:r>
      <w:r w:rsidR="00546A5F" w:rsidRPr="00FD4FB7">
        <w:rPr>
          <w:rFonts w:asciiTheme="minorHAnsi" w:hAnsiTheme="minorHAnsi" w:cstheme="minorHAnsi"/>
          <w:sz w:val="22"/>
          <w:szCs w:val="22"/>
        </w:rPr>
        <w:t xml:space="preserve"> or the person collecting the data was</w:t>
      </w:r>
      <w:r w:rsidR="00C6742D" w:rsidRPr="00FD4FB7">
        <w:rPr>
          <w:rFonts w:asciiTheme="minorHAnsi" w:hAnsiTheme="minorHAnsi" w:cstheme="minorHAnsi"/>
          <w:sz w:val="22"/>
          <w:szCs w:val="22"/>
        </w:rPr>
        <w:t xml:space="preserve"> otherwise</w:t>
      </w:r>
      <w:r w:rsidR="00546A5F" w:rsidRPr="00FD4FB7">
        <w:rPr>
          <w:rFonts w:asciiTheme="minorHAnsi" w:hAnsiTheme="minorHAnsi" w:cstheme="minorHAnsi"/>
          <w:sz w:val="22"/>
          <w:szCs w:val="22"/>
        </w:rPr>
        <w:t xml:space="preserve"> unable to </w:t>
      </w:r>
      <w:r w:rsidR="00C6742D" w:rsidRPr="00FD4FB7">
        <w:rPr>
          <w:rFonts w:asciiTheme="minorHAnsi" w:hAnsiTheme="minorHAnsi" w:cstheme="minorHAnsi"/>
          <w:sz w:val="22"/>
          <w:szCs w:val="22"/>
        </w:rPr>
        <w:t xml:space="preserve">provide </w:t>
      </w:r>
      <w:r w:rsidR="00546A5F" w:rsidRPr="00FD4FB7">
        <w:rPr>
          <w:rFonts w:asciiTheme="minorHAnsi" w:hAnsiTheme="minorHAnsi" w:cstheme="minorHAnsi"/>
          <w:sz w:val="22"/>
          <w:szCs w:val="22"/>
        </w:rPr>
        <w:t xml:space="preserve">this figure, </w:t>
      </w:r>
      <w:r w:rsidR="00F24E3F" w:rsidRPr="00FD4FB7">
        <w:rPr>
          <w:rFonts w:asciiTheme="minorHAnsi" w:hAnsiTheme="minorHAnsi" w:cstheme="minorHAnsi"/>
          <w:sz w:val="22"/>
          <w:szCs w:val="22"/>
        </w:rPr>
        <w:t xml:space="preserve">details of the daily alcohol consumption </w:t>
      </w:r>
      <w:r w:rsidR="00546A5F" w:rsidRPr="00FD4FB7">
        <w:rPr>
          <w:rFonts w:asciiTheme="minorHAnsi" w:hAnsiTheme="minorHAnsi" w:cstheme="minorHAnsi"/>
          <w:sz w:val="22"/>
          <w:szCs w:val="22"/>
        </w:rPr>
        <w:t xml:space="preserve">were </w:t>
      </w:r>
      <w:r w:rsidR="00546A5F" w:rsidRPr="00FD4FB7">
        <w:rPr>
          <w:rFonts w:asciiTheme="minorHAnsi" w:hAnsiTheme="minorHAnsi" w:cstheme="minorHAnsi"/>
          <w:sz w:val="22"/>
          <w:szCs w:val="22"/>
        </w:rPr>
        <w:lastRenderedPageBreak/>
        <w:t>requested in</w:t>
      </w:r>
      <w:r w:rsidR="00F24E3F" w:rsidRPr="00FD4FB7">
        <w:rPr>
          <w:rFonts w:asciiTheme="minorHAnsi" w:hAnsiTheme="minorHAnsi" w:cstheme="minorHAnsi"/>
          <w:sz w:val="22"/>
          <w:szCs w:val="22"/>
        </w:rPr>
        <w:t xml:space="preserve"> terms of type of alcoholic drink, percentage </w:t>
      </w:r>
      <w:r w:rsidR="00913933" w:rsidRPr="00FD4FB7">
        <w:rPr>
          <w:rFonts w:asciiTheme="minorHAnsi" w:hAnsiTheme="minorHAnsi" w:cstheme="minorHAnsi"/>
          <w:sz w:val="22"/>
          <w:szCs w:val="22"/>
        </w:rPr>
        <w:t xml:space="preserve">alcohol </w:t>
      </w:r>
      <w:r w:rsidR="00F24E3F" w:rsidRPr="00FD4FB7">
        <w:rPr>
          <w:rFonts w:asciiTheme="minorHAnsi" w:hAnsiTheme="minorHAnsi" w:cstheme="minorHAnsi"/>
          <w:sz w:val="22"/>
          <w:szCs w:val="22"/>
        </w:rPr>
        <w:t>and volume, including</w:t>
      </w:r>
      <w:r w:rsidR="00913933" w:rsidRPr="00FD4FB7">
        <w:rPr>
          <w:rFonts w:asciiTheme="minorHAnsi" w:hAnsiTheme="minorHAnsi" w:cstheme="minorHAnsi"/>
          <w:sz w:val="22"/>
          <w:szCs w:val="22"/>
        </w:rPr>
        <w:t>, if known,</w:t>
      </w:r>
      <w:r w:rsidR="00F24E3F" w:rsidRPr="00FD4FB7">
        <w:rPr>
          <w:rFonts w:asciiTheme="minorHAnsi" w:hAnsiTheme="minorHAnsi" w:cstheme="minorHAnsi"/>
          <w:sz w:val="22"/>
          <w:szCs w:val="22"/>
        </w:rPr>
        <w:t xml:space="preserve"> the ‘alcohol by volume</w:t>
      </w:r>
      <w:r w:rsidR="00913933" w:rsidRPr="00FD4FB7">
        <w:rPr>
          <w:rFonts w:asciiTheme="minorHAnsi" w:hAnsiTheme="minorHAnsi" w:cstheme="minorHAnsi"/>
          <w:sz w:val="22"/>
          <w:szCs w:val="22"/>
        </w:rPr>
        <w:t xml:space="preserve">’ (ABV, abv or </w:t>
      </w:r>
      <w:proofErr w:type="spellStart"/>
      <w:r w:rsidR="00913933" w:rsidRPr="00FD4FB7">
        <w:rPr>
          <w:rFonts w:asciiTheme="minorHAnsi" w:hAnsiTheme="minorHAnsi" w:cstheme="minorHAnsi"/>
          <w:sz w:val="22"/>
          <w:szCs w:val="22"/>
        </w:rPr>
        <w:t>alc</w:t>
      </w:r>
      <w:proofErr w:type="spellEnd"/>
      <w:r w:rsidR="00913933" w:rsidRPr="00FD4FB7">
        <w:rPr>
          <w:rFonts w:asciiTheme="minorHAnsi" w:hAnsiTheme="minorHAnsi" w:cstheme="minorHAnsi"/>
          <w:sz w:val="22"/>
          <w:szCs w:val="22"/>
        </w:rPr>
        <w:t>/vol) measure</w:t>
      </w:r>
      <w:r w:rsidR="006061A6" w:rsidRPr="00FD4FB7">
        <w:rPr>
          <w:rFonts w:asciiTheme="minorHAnsi" w:hAnsiTheme="minorHAnsi" w:cstheme="minorHAnsi"/>
          <w:sz w:val="22"/>
          <w:szCs w:val="22"/>
        </w:rPr>
        <w:t>,</w:t>
      </w:r>
      <w:r w:rsidR="00496BA9" w:rsidRPr="00FD4FB7">
        <w:rPr>
          <w:rFonts w:asciiTheme="minorHAnsi" w:hAnsiTheme="minorHAnsi" w:cstheme="minorHAnsi"/>
          <w:sz w:val="22"/>
          <w:szCs w:val="22"/>
        </w:rPr>
        <w:t xml:space="preserve"> </w:t>
      </w:r>
      <w:r w:rsidR="00496BA9" w:rsidRPr="00516FC7">
        <w:rPr>
          <w:rFonts w:asciiTheme="minorHAnsi" w:hAnsiTheme="minorHAnsi" w:cstheme="minorHAnsi"/>
          <w:sz w:val="22"/>
          <w:szCs w:val="22"/>
        </w:rPr>
        <w:t>to enable the number of units to be calculated</w:t>
      </w:r>
      <w:r w:rsidR="00913933" w:rsidRPr="00516FC7">
        <w:rPr>
          <w:rFonts w:asciiTheme="minorHAnsi" w:hAnsiTheme="minorHAnsi" w:cstheme="minorHAnsi"/>
          <w:sz w:val="22"/>
          <w:szCs w:val="22"/>
        </w:rPr>
        <w:t>.</w:t>
      </w:r>
      <w:r w:rsidR="00913933" w:rsidRPr="00FD4FB7">
        <w:rPr>
          <w:rFonts w:asciiTheme="minorHAnsi" w:hAnsiTheme="minorHAnsi" w:cstheme="minorHAnsi"/>
          <w:sz w:val="22"/>
          <w:szCs w:val="22"/>
        </w:rPr>
        <w:t xml:space="preserve"> </w:t>
      </w:r>
      <w:r w:rsidR="00F873BD" w:rsidRPr="00FD4FB7">
        <w:rPr>
          <w:rFonts w:asciiTheme="minorHAnsi" w:hAnsiTheme="minorHAnsi" w:cstheme="minorHAnsi"/>
          <w:sz w:val="22"/>
          <w:szCs w:val="22"/>
        </w:rPr>
        <w:t xml:space="preserve">Data were also collected on </w:t>
      </w:r>
      <w:r w:rsidR="00C96F33" w:rsidRPr="00FD4FB7">
        <w:rPr>
          <w:rFonts w:asciiTheme="minorHAnsi" w:hAnsiTheme="minorHAnsi" w:cstheme="minorHAnsi"/>
          <w:sz w:val="22"/>
          <w:szCs w:val="22"/>
        </w:rPr>
        <w:t xml:space="preserve">clinical management, including </w:t>
      </w:r>
      <w:r w:rsidR="00F873BD" w:rsidRPr="00FD4FB7">
        <w:rPr>
          <w:rFonts w:asciiTheme="minorHAnsi" w:hAnsiTheme="minorHAnsi" w:cstheme="minorHAnsi"/>
          <w:sz w:val="22"/>
          <w:szCs w:val="22"/>
        </w:rPr>
        <w:t xml:space="preserve">the medications prescribed for alcohol </w:t>
      </w:r>
      <w:r w:rsidR="00C32533" w:rsidRPr="00FD4FB7">
        <w:rPr>
          <w:rFonts w:asciiTheme="minorHAnsi" w:hAnsiTheme="minorHAnsi" w:cstheme="minorHAnsi"/>
          <w:sz w:val="22"/>
          <w:szCs w:val="22"/>
        </w:rPr>
        <w:t>withdrawal</w:t>
      </w:r>
      <w:r w:rsidR="00F873BD" w:rsidRPr="00FD4FB7">
        <w:rPr>
          <w:rFonts w:asciiTheme="minorHAnsi" w:hAnsiTheme="minorHAnsi" w:cstheme="minorHAnsi"/>
          <w:sz w:val="22"/>
          <w:szCs w:val="22"/>
        </w:rPr>
        <w:t xml:space="preserve">, </w:t>
      </w:r>
      <w:r w:rsidR="00796795" w:rsidRPr="00516FC7">
        <w:rPr>
          <w:rFonts w:asciiTheme="minorHAnsi" w:hAnsiTheme="minorHAnsi" w:cstheme="minorHAnsi"/>
          <w:sz w:val="22"/>
          <w:szCs w:val="22"/>
        </w:rPr>
        <w:t xml:space="preserve">other medications initiated during alcohol </w:t>
      </w:r>
      <w:r w:rsidR="000D18DD" w:rsidRPr="00516FC7">
        <w:rPr>
          <w:rFonts w:asciiTheme="minorHAnsi" w:hAnsiTheme="minorHAnsi" w:cstheme="minorHAnsi"/>
          <w:sz w:val="22"/>
          <w:szCs w:val="22"/>
        </w:rPr>
        <w:t>detoxification</w:t>
      </w:r>
      <w:r w:rsidR="000D18DD" w:rsidRPr="00FD4FB7">
        <w:rPr>
          <w:rFonts w:asciiTheme="minorHAnsi" w:hAnsiTheme="minorHAnsi" w:cstheme="minorHAnsi"/>
          <w:sz w:val="22"/>
          <w:szCs w:val="22"/>
        </w:rPr>
        <w:t xml:space="preserve">, </w:t>
      </w:r>
      <w:r w:rsidR="007F24E3" w:rsidRPr="00FD4FB7">
        <w:rPr>
          <w:rFonts w:asciiTheme="minorHAnsi" w:hAnsiTheme="minorHAnsi" w:cstheme="minorHAnsi"/>
          <w:sz w:val="22"/>
          <w:szCs w:val="22"/>
        </w:rPr>
        <w:t xml:space="preserve">the administration of thiamine, </w:t>
      </w:r>
      <w:r w:rsidR="00F873BD" w:rsidRPr="00FD4FB7">
        <w:rPr>
          <w:rFonts w:asciiTheme="minorHAnsi" w:hAnsiTheme="minorHAnsi" w:cstheme="minorHAnsi"/>
          <w:sz w:val="22"/>
          <w:szCs w:val="22"/>
        </w:rPr>
        <w:t>the nature of any specialist clinical advice sought during the admission</w:t>
      </w:r>
      <w:r w:rsidR="008C7BA0" w:rsidRPr="00FD4FB7">
        <w:rPr>
          <w:rFonts w:asciiTheme="minorHAnsi" w:hAnsiTheme="minorHAnsi" w:cstheme="minorHAnsi"/>
          <w:sz w:val="22"/>
          <w:szCs w:val="22"/>
        </w:rPr>
        <w:t xml:space="preserve"> </w:t>
      </w:r>
      <w:r w:rsidR="00F873BD" w:rsidRPr="00FD4FB7">
        <w:rPr>
          <w:rFonts w:asciiTheme="minorHAnsi" w:hAnsiTheme="minorHAnsi" w:cstheme="minorHAnsi"/>
          <w:sz w:val="22"/>
          <w:szCs w:val="22"/>
        </w:rPr>
        <w:t xml:space="preserve">and, at discharge, the care plan in terms of the follow-up clinical service and continuing medication for alcohol dependence. </w:t>
      </w:r>
      <w:r w:rsidR="00556A97" w:rsidRPr="00FD4FB7">
        <w:rPr>
          <w:rFonts w:asciiTheme="minorHAnsi" w:hAnsiTheme="minorHAnsi" w:cstheme="minorHAnsi"/>
          <w:sz w:val="22"/>
          <w:szCs w:val="22"/>
        </w:rPr>
        <w:t>These data were pseudonymous within the Trusts but submitted anonymously to POMH, Ethical approval was not required for such an audit-based QI initiative.</w:t>
      </w:r>
      <w:r w:rsidR="00CC2636" w:rsidRPr="00FD4FB7">
        <w:rPr>
          <w:rFonts w:asciiTheme="minorHAnsi" w:hAnsiTheme="minorHAnsi" w:cstheme="minorHAnsi"/>
          <w:sz w:val="22"/>
          <w:szCs w:val="22"/>
        </w:rPr>
        <w:t xml:space="preserve"> </w:t>
      </w:r>
      <w:r w:rsidR="00BC343B" w:rsidRPr="00FD4FB7">
        <w:rPr>
          <w:rFonts w:asciiTheme="minorHAnsi" w:hAnsiTheme="minorHAnsi" w:cs="Calibri (Body)"/>
          <w:sz w:val="22"/>
          <w:szCs w:val="22"/>
          <w:vertAlign w:val="superscript"/>
        </w:rPr>
        <w:t>9</w:t>
      </w:r>
    </w:p>
    <w:p w14:paraId="30BC909D" w14:textId="77777777" w:rsidR="00502FED" w:rsidRPr="00FD4FB7" w:rsidRDefault="00502FED" w:rsidP="002B38DB">
      <w:pPr>
        <w:spacing w:line="360" w:lineRule="auto"/>
        <w:rPr>
          <w:rFonts w:asciiTheme="minorHAnsi" w:hAnsiTheme="minorHAnsi" w:cstheme="minorHAnsi"/>
          <w:b/>
          <w:bCs/>
          <w:sz w:val="22"/>
          <w:szCs w:val="22"/>
        </w:rPr>
      </w:pPr>
    </w:p>
    <w:p w14:paraId="56901598" w14:textId="659F70F0" w:rsidR="00077F3E" w:rsidRPr="00FD4FB7" w:rsidRDefault="00077F3E" w:rsidP="002B38DB">
      <w:pPr>
        <w:spacing w:line="360" w:lineRule="auto"/>
        <w:rPr>
          <w:rFonts w:asciiTheme="minorHAnsi" w:hAnsiTheme="minorHAnsi" w:cstheme="minorHAnsi"/>
          <w:b/>
          <w:bCs/>
          <w:sz w:val="22"/>
          <w:szCs w:val="22"/>
        </w:rPr>
      </w:pPr>
      <w:r w:rsidRPr="00FD4FB7">
        <w:rPr>
          <w:rFonts w:asciiTheme="minorHAnsi" w:hAnsiTheme="minorHAnsi" w:cstheme="minorHAnsi"/>
          <w:b/>
          <w:bCs/>
          <w:sz w:val="22"/>
          <w:szCs w:val="22"/>
        </w:rPr>
        <w:t>Data analysis</w:t>
      </w:r>
    </w:p>
    <w:p w14:paraId="071A63DF" w14:textId="2C3E0FB5" w:rsidR="001A4760" w:rsidRPr="00FD4FB7" w:rsidRDefault="00077F3E" w:rsidP="004A4247">
      <w:pPr>
        <w:spacing w:line="360" w:lineRule="auto"/>
        <w:rPr>
          <w:rFonts w:asciiTheme="minorHAnsi" w:hAnsiTheme="minorHAnsi" w:cstheme="minorHAnsi"/>
          <w:sz w:val="22"/>
          <w:szCs w:val="22"/>
        </w:rPr>
      </w:pPr>
      <w:r w:rsidRPr="00FD4FB7">
        <w:rPr>
          <w:rFonts w:asciiTheme="minorHAnsi" w:hAnsiTheme="minorHAnsi" w:cstheme="minorHAnsi"/>
          <w:sz w:val="22"/>
          <w:szCs w:val="22"/>
        </w:rPr>
        <w:t xml:space="preserve">Data were submitted on-line </w:t>
      </w:r>
      <w:r w:rsidR="00413982" w:rsidRPr="00FD4FB7">
        <w:rPr>
          <w:rFonts w:asciiTheme="minorHAnsi" w:hAnsiTheme="minorHAnsi" w:cstheme="minorHAnsi"/>
          <w:sz w:val="22"/>
          <w:szCs w:val="22"/>
        </w:rPr>
        <w:t>using Formic software</w:t>
      </w:r>
      <w:r w:rsidRPr="00FD4FB7">
        <w:rPr>
          <w:rFonts w:asciiTheme="minorHAnsi" w:hAnsiTheme="minorHAnsi" w:cs="Calibri (Body)"/>
          <w:sz w:val="22"/>
          <w:szCs w:val="22"/>
          <w:vertAlign w:val="superscript"/>
        </w:rPr>
        <w:t xml:space="preserve"> </w:t>
      </w:r>
      <w:r w:rsidR="00BC343B" w:rsidRPr="00FD4FB7">
        <w:rPr>
          <w:rFonts w:asciiTheme="minorHAnsi" w:hAnsiTheme="minorHAnsi" w:cs="Calibri (Body)"/>
          <w:sz w:val="22"/>
          <w:szCs w:val="22"/>
          <w:vertAlign w:val="superscript"/>
        </w:rPr>
        <w:t>10</w:t>
      </w:r>
      <w:r w:rsidR="00512847" w:rsidRPr="00FD4FB7">
        <w:rPr>
          <w:rFonts w:asciiTheme="minorHAnsi" w:hAnsiTheme="minorHAnsi" w:cstheme="minorHAnsi"/>
          <w:sz w:val="22"/>
          <w:szCs w:val="22"/>
        </w:rPr>
        <w:t xml:space="preserve"> </w:t>
      </w:r>
      <w:r w:rsidRPr="00FD4FB7">
        <w:rPr>
          <w:rFonts w:asciiTheme="minorHAnsi" w:hAnsiTheme="minorHAnsi" w:cstheme="minorHAnsi"/>
          <w:sz w:val="22"/>
          <w:szCs w:val="22"/>
        </w:rPr>
        <w:t>and analysed using SPSS</w:t>
      </w:r>
      <w:r w:rsidR="00AC6E87" w:rsidRPr="00FD4FB7">
        <w:rPr>
          <w:rFonts w:asciiTheme="minorHAnsi" w:hAnsiTheme="minorHAnsi" w:cstheme="minorHAnsi"/>
          <w:sz w:val="22"/>
          <w:szCs w:val="22"/>
        </w:rPr>
        <w:t xml:space="preserve"> </w:t>
      </w:r>
      <w:r w:rsidR="00A70EA0" w:rsidRPr="00FD4FB7">
        <w:rPr>
          <w:rFonts w:asciiTheme="minorHAnsi" w:hAnsiTheme="minorHAnsi" w:cs="Calibri (Body)"/>
          <w:sz w:val="22"/>
          <w:szCs w:val="22"/>
          <w:vertAlign w:val="superscript"/>
        </w:rPr>
        <w:t>1</w:t>
      </w:r>
      <w:r w:rsidR="00BC343B" w:rsidRPr="00FD4FB7">
        <w:rPr>
          <w:rFonts w:asciiTheme="minorHAnsi" w:hAnsiTheme="minorHAnsi" w:cs="Calibri (Body)"/>
          <w:sz w:val="22"/>
          <w:szCs w:val="22"/>
          <w:vertAlign w:val="superscript"/>
        </w:rPr>
        <w:t>1</w:t>
      </w:r>
      <w:r w:rsidR="00413982" w:rsidRPr="00FD4FB7">
        <w:rPr>
          <w:rFonts w:asciiTheme="minorHAnsi" w:hAnsiTheme="minorHAnsi" w:cstheme="minorHAnsi"/>
          <w:sz w:val="22"/>
          <w:szCs w:val="22"/>
        </w:rPr>
        <w:t xml:space="preserve">. </w:t>
      </w:r>
      <w:r w:rsidRPr="00FD4FB7">
        <w:rPr>
          <w:rFonts w:asciiTheme="minorHAnsi" w:hAnsiTheme="minorHAnsi" w:cstheme="minorHAnsi"/>
          <w:sz w:val="22"/>
          <w:szCs w:val="22"/>
        </w:rPr>
        <w:t xml:space="preserve">Individual </w:t>
      </w:r>
      <w:r w:rsidR="002C1FF9" w:rsidRPr="00FD4FB7">
        <w:rPr>
          <w:rFonts w:asciiTheme="minorHAnsi" w:hAnsiTheme="minorHAnsi" w:cstheme="minorHAnsi"/>
          <w:sz w:val="22"/>
          <w:szCs w:val="22"/>
        </w:rPr>
        <w:t xml:space="preserve">participating </w:t>
      </w:r>
      <w:r w:rsidR="00107359" w:rsidRPr="00FD4FB7">
        <w:rPr>
          <w:rFonts w:asciiTheme="minorHAnsi" w:hAnsiTheme="minorHAnsi" w:cstheme="minorHAnsi"/>
          <w:sz w:val="22"/>
          <w:szCs w:val="22"/>
        </w:rPr>
        <w:t>mental health services</w:t>
      </w:r>
      <w:r w:rsidR="002C1FF9" w:rsidRPr="00FD4FB7">
        <w:rPr>
          <w:rFonts w:asciiTheme="minorHAnsi" w:hAnsiTheme="minorHAnsi" w:cstheme="minorHAnsi"/>
          <w:sz w:val="22"/>
          <w:szCs w:val="22"/>
        </w:rPr>
        <w:t xml:space="preserve"> were asked to address </w:t>
      </w:r>
      <w:r w:rsidRPr="00FD4FB7">
        <w:rPr>
          <w:rFonts w:asciiTheme="minorHAnsi" w:hAnsiTheme="minorHAnsi" w:cstheme="minorHAnsi"/>
          <w:sz w:val="22"/>
          <w:szCs w:val="22"/>
        </w:rPr>
        <w:t>a</w:t>
      </w:r>
      <w:r w:rsidR="002C1FF9" w:rsidRPr="00FD4FB7">
        <w:rPr>
          <w:rFonts w:asciiTheme="minorHAnsi" w:hAnsiTheme="minorHAnsi" w:cstheme="minorHAnsi"/>
          <w:sz w:val="22"/>
          <w:szCs w:val="22"/>
        </w:rPr>
        <w:t>ny data cleaning queries</w:t>
      </w:r>
      <w:r w:rsidRPr="00FD4FB7">
        <w:rPr>
          <w:rFonts w:asciiTheme="minorHAnsi" w:hAnsiTheme="minorHAnsi" w:cstheme="minorHAnsi"/>
          <w:sz w:val="22"/>
          <w:szCs w:val="22"/>
        </w:rPr>
        <w:t>.</w:t>
      </w:r>
      <w:r w:rsidR="002C1FF9" w:rsidRPr="00FD4FB7">
        <w:rPr>
          <w:rFonts w:asciiTheme="minorHAnsi" w:hAnsiTheme="minorHAnsi" w:cstheme="minorHAnsi"/>
          <w:sz w:val="22"/>
          <w:szCs w:val="22"/>
        </w:rPr>
        <w:t xml:space="preserve"> </w:t>
      </w:r>
      <w:r w:rsidRPr="00516FC7">
        <w:rPr>
          <w:rFonts w:asciiTheme="minorHAnsi" w:hAnsiTheme="minorHAnsi" w:cstheme="minorHAnsi"/>
          <w:sz w:val="22"/>
          <w:szCs w:val="22"/>
        </w:rPr>
        <w:t>Descriptive statistics were used to measure performance against the clinical practice standards in the total national audit sample</w:t>
      </w:r>
      <w:r w:rsidR="00CB5557" w:rsidRPr="00516FC7">
        <w:rPr>
          <w:rFonts w:asciiTheme="minorHAnsi" w:hAnsiTheme="minorHAnsi" w:cstheme="minorHAnsi"/>
          <w:sz w:val="22"/>
          <w:szCs w:val="22"/>
        </w:rPr>
        <w:t xml:space="preserve"> </w:t>
      </w:r>
      <w:r w:rsidR="00F93EE2" w:rsidRPr="00516FC7">
        <w:rPr>
          <w:rFonts w:asciiTheme="minorHAnsi" w:hAnsiTheme="minorHAnsi" w:cstheme="minorHAnsi"/>
          <w:sz w:val="22"/>
          <w:szCs w:val="22"/>
        </w:rPr>
        <w:t>and in three service subsamples</w:t>
      </w:r>
      <w:r w:rsidR="001072AC" w:rsidRPr="00516FC7">
        <w:rPr>
          <w:rFonts w:asciiTheme="minorHAnsi" w:hAnsiTheme="minorHAnsi" w:cstheme="minorHAnsi"/>
          <w:sz w:val="22"/>
          <w:szCs w:val="22"/>
        </w:rPr>
        <w:t xml:space="preserve">: acute adult ward or psychiatric intensive care unit (PICU) with </w:t>
      </w:r>
      <w:r w:rsidR="00C70A12" w:rsidRPr="00516FC7">
        <w:rPr>
          <w:rFonts w:asciiTheme="minorHAnsi" w:hAnsiTheme="minorHAnsi" w:cstheme="minorHAnsi"/>
          <w:sz w:val="22"/>
          <w:szCs w:val="22"/>
        </w:rPr>
        <w:t>no</w:t>
      </w:r>
      <w:r w:rsidR="001072AC" w:rsidRPr="00516FC7">
        <w:rPr>
          <w:rFonts w:asciiTheme="minorHAnsi" w:hAnsiTheme="minorHAnsi" w:cstheme="minorHAnsi"/>
          <w:sz w:val="22"/>
          <w:szCs w:val="22"/>
        </w:rPr>
        <w:t xml:space="preserve"> clinical involvement of an addiction</w:t>
      </w:r>
      <w:r w:rsidR="00DD6A40" w:rsidRPr="00516FC7">
        <w:rPr>
          <w:rFonts w:asciiTheme="minorHAnsi" w:hAnsiTheme="minorHAnsi" w:cstheme="minorHAnsi"/>
          <w:sz w:val="22"/>
          <w:szCs w:val="22"/>
        </w:rPr>
        <w:t>s</w:t>
      </w:r>
      <w:r w:rsidR="001072AC" w:rsidRPr="00516FC7">
        <w:rPr>
          <w:rFonts w:asciiTheme="minorHAnsi" w:hAnsiTheme="minorHAnsi" w:cstheme="minorHAnsi"/>
          <w:sz w:val="22"/>
          <w:szCs w:val="22"/>
        </w:rPr>
        <w:t xml:space="preserve"> specialist, acute adult ward or PICU </w:t>
      </w:r>
      <w:r w:rsidR="00C70A12" w:rsidRPr="00516FC7">
        <w:rPr>
          <w:rFonts w:asciiTheme="minorHAnsi" w:hAnsiTheme="minorHAnsi" w:cstheme="minorHAnsi"/>
          <w:sz w:val="22"/>
          <w:szCs w:val="22"/>
        </w:rPr>
        <w:t>with</w:t>
      </w:r>
      <w:r w:rsidR="001072AC" w:rsidRPr="00516FC7">
        <w:rPr>
          <w:rFonts w:asciiTheme="minorHAnsi" w:hAnsiTheme="minorHAnsi" w:cstheme="minorHAnsi"/>
          <w:sz w:val="22"/>
          <w:szCs w:val="22"/>
        </w:rPr>
        <w:t xml:space="preserve"> input from an addiction</w:t>
      </w:r>
      <w:r w:rsidR="00DD6A40" w:rsidRPr="00516FC7">
        <w:rPr>
          <w:rFonts w:asciiTheme="minorHAnsi" w:hAnsiTheme="minorHAnsi" w:cstheme="minorHAnsi"/>
          <w:sz w:val="22"/>
          <w:szCs w:val="22"/>
        </w:rPr>
        <w:t>s</w:t>
      </w:r>
      <w:r w:rsidR="001072AC" w:rsidRPr="00516FC7">
        <w:rPr>
          <w:rFonts w:asciiTheme="minorHAnsi" w:hAnsiTheme="minorHAnsi" w:cstheme="minorHAnsi"/>
          <w:sz w:val="22"/>
          <w:szCs w:val="22"/>
        </w:rPr>
        <w:t xml:space="preserve"> specialist, and </w:t>
      </w:r>
      <w:r w:rsidR="001072AC" w:rsidRPr="00516FC7">
        <w:rPr>
          <w:rFonts w:asciiTheme="minorHAnsi" w:hAnsiTheme="minorHAnsi" w:cstheme="minorHAnsi"/>
          <w:color w:val="000000" w:themeColor="text1"/>
          <w:sz w:val="22"/>
          <w:szCs w:val="22"/>
        </w:rPr>
        <w:t>specialist inpatient addiction</w:t>
      </w:r>
      <w:r w:rsidR="00DD6A40" w:rsidRPr="00516FC7">
        <w:rPr>
          <w:rFonts w:asciiTheme="minorHAnsi" w:hAnsiTheme="minorHAnsi" w:cstheme="minorHAnsi"/>
          <w:color w:val="000000" w:themeColor="text1"/>
          <w:sz w:val="22"/>
          <w:szCs w:val="22"/>
        </w:rPr>
        <w:t>s</w:t>
      </w:r>
      <w:r w:rsidR="001072AC" w:rsidRPr="00516FC7">
        <w:rPr>
          <w:rFonts w:asciiTheme="minorHAnsi" w:hAnsiTheme="minorHAnsi" w:cstheme="minorHAnsi"/>
          <w:color w:val="000000" w:themeColor="text1"/>
          <w:sz w:val="22"/>
          <w:szCs w:val="22"/>
        </w:rPr>
        <w:t xml:space="preserve"> unit</w:t>
      </w:r>
      <w:r w:rsidR="001072AC" w:rsidRPr="00FD4FB7">
        <w:rPr>
          <w:rFonts w:asciiTheme="minorHAnsi" w:hAnsiTheme="minorHAnsi" w:cstheme="minorHAnsi"/>
          <w:color w:val="000000" w:themeColor="text1"/>
          <w:sz w:val="22"/>
          <w:szCs w:val="22"/>
        </w:rPr>
        <w:t xml:space="preserve">. </w:t>
      </w:r>
      <w:r w:rsidR="00426BB4" w:rsidRPr="00FD4FB7">
        <w:rPr>
          <w:rFonts w:asciiTheme="minorHAnsi" w:hAnsiTheme="minorHAnsi" w:cstheme="minorHAnsi"/>
          <w:sz w:val="22"/>
          <w:szCs w:val="22"/>
        </w:rPr>
        <w:t>F</w:t>
      </w:r>
      <w:r w:rsidR="00CB5557" w:rsidRPr="00FD4FB7">
        <w:rPr>
          <w:rFonts w:asciiTheme="minorHAnsi" w:hAnsiTheme="minorHAnsi" w:cstheme="minorHAnsi"/>
          <w:sz w:val="22"/>
          <w:szCs w:val="22"/>
        </w:rPr>
        <w:t xml:space="preserve">or proportions </w:t>
      </w:r>
      <w:r w:rsidR="00510E16" w:rsidRPr="00FD4FB7">
        <w:rPr>
          <w:rFonts w:asciiTheme="minorHAnsi" w:hAnsiTheme="minorHAnsi" w:cstheme="minorHAnsi"/>
          <w:sz w:val="22"/>
          <w:szCs w:val="22"/>
        </w:rPr>
        <w:t xml:space="preserve">relating to </w:t>
      </w:r>
      <w:r w:rsidR="00CB5557" w:rsidRPr="00FD4FB7">
        <w:rPr>
          <w:rFonts w:asciiTheme="minorHAnsi" w:hAnsiTheme="minorHAnsi" w:cstheme="minorHAnsi"/>
          <w:sz w:val="22"/>
          <w:szCs w:val="22"/>
        </w:rPr>
        <w:t xml:space="preserve">relevant </w:t>
      </w:r>
      <w:r w:rsidR="005E2A10" w:rsidRPr="00FD4FB7">
        <w:rPr>
          <w:rFonts w:asciiTheme="minorHAnsi" w:hAnsiTheme="minorHAnsi" w:cstheme="minorHAnsi"/>
          <w:sz w:val="22"/>
          <w:szCs w:val="22"/>
        </w:rPr>
        <w:t xml:space="preserve">clinical practice </w:t>
      </w:r>
      <w:r w:rsidR="00CB5557" w:rsidRPr="00FD4FB7">
        <w:rPr>
          <w:rFonts w:asciiTheme="minorHAnsi" w:hAnsiTheme="minorHAnsi" w:cstheme="minorHAnsi"/>
          <w:sz w:val="22"/>
          <w:szCs w:val="22"/>
        </w:rPr>
        <w:t xml:space="preserve">variables within </w:t>
      </w:r>
      <w:r w:rsidR="001072AC" w:rsidRPr="00FD4FB7">
        <w:rPr>
          <w:rFonts w:asciiTheme="minorHAnsi" w:hAnsiTheme="minorHAnsi" w:cstheme="minorHAnsi"/>
          <w:sz w:val="22"/>
          <w:szCs w:val="22"/>
        </w:rPr>
        <w:t xml:space="preserve">these service </w:t>
      </w:r>
      <w:r w:rsidR="00CB5557" w:rsidRPr="00FD4FB7">
        <w:rPr>
          <w:rFonts w:asciiTheme="minorHAnsi" w:hAnsiTheme="minorHAnsi" w:cstheme="minorHAnsi"/>
          <w:sz w:val="22"/>
          <w:szCs w:val="22"/>
        </w:rPr>
        <w:t>subsample</w:t>
      </w:r>
      <w:r w:rsidR="00426BB4" w:rsidRPr="00FD4FB7">
        <w:rPr>
          <w:rFonts w:asciiTheme="minorHAnsi" w:hAnsiTheme="minorHAnsi" w:cstheme="minorHAnsi"/>
          <w:sz w:val="22"/>
          <w:szCs w:val="22"/>
        </w:rPr>
        <w:t>s, 95% confidence intervals were calculated</w:t>
      </w:r>
      <w:r w:rsidR="001072AC" w:rsidRPr="00FD4FB7">
        <w:rPr>
          <w:rFonts w:asciiTheme="minorHAnsi" w:hAnsiTheme="minorHAnsi" w:cstheme="minorHAnsi"/>
          <w:sz w:val="22"/>
          <w:szCs w:val="22"/>
        </w:rPr>
        <w:t xml:space="preserve">. </w:t>
      </w:r>
      <w:r w:rsidR="001A4760" w:rsidRPr="00FD4FB7">
        <w:rPr>
          <w:rFonts w:asciiTheme="minorHAnsi" w:hAnsiTheme="minorHAnsi" w:cstheme="minorHAnsi"/>
          <w:sz w:val="22"/>
          <w:szCs w:val="22"/>
        </w:rPr>
        <w:t xml:space="preserve"> </w:t>
      </w:r>
    </w:p>
    <w:p w14:paraId="496AC0AA" w14:textId="77777777" w:rsidR="00763A5B" w:rsidRPr="00FD4FB7" w:rsidRDefault="00763A5B" w:rsidP="001A4760">
      <w:pPr>
        <w:spacing w:line="360" w:lineRule="auto"/>
        <w:rPr>
          <w:rFonts w:asciiTheme="minorHAnsi" w:hAnsiTheme="minorHAnsi" w:cstheme="minorHAnsi"/>
          <w:sz w:val="22"/>
          <w:szCs w:val="22"/>
        </w:rPr>
      </w:pPr>
    </w:p>
    <w:p w14:paraId="627ACE45" w14:textId="798F087F" w:rsidR="00952E40" w:rsidRPr="00FD4FB7" w:rsidRDefault="00F33761" w:rsidP="001A4760">
      <w:pPr>
        <w:spacing w:line="360" w:lineRule="auto"/>
        <w:rPr>
          <w:rFonts w:asciiTheme="minorHAnsi" w:hAnsiTheme="minorHAnsi" w:cstheme="minorHAnsi"/>
          <w:color w:val="333333"/>
          <w:sz w:val="22"/>
          <w:szCs w:val="22"/>
          <w:shd w:val="clear" w:color="auto" w:fill="FFFFFF"/>
        </w:rPr>
      </w:pPr>
      <w:r w:rsidRPr="00FD4FB7">
        <w:rPr>
          <w:rFonts w:asciiTheme="minorHAnsi" w:hAnsiTheme="minorHAnsi" w:cstheme="minorHAnsi"/>
          <w:sz w:val="22"/>
          <w:szCs w:val="22"/>
        </w:rPr>
        <w:t>I</w:t>
      </w:r>
      <w:r w:rsidR="001A4760" w:rsidRPr="00FD4FB7">
        <w:rPr>
          <w:rFonts w:asciiTheme="minorHAnsi" w:hAnsiTheme="minorHAnsi" w:cstheme="minorHAnsi"/>
          <w:sz w:val="22"/>
          <w:szCs w:val="22"/>
        </w:rPr>
        <w:t>ndependent samples t-test</w:t>
      </w:r>
      <w:r w:rsidRPr="00FD4FB7">
        <w:rPr>
          <w:rFonts w:asciiTheme="minorHAnsi" w:hAnsiTheme="minorHAnsi" w:cstheme="minorHAnsi"/>
          <w:sz w:val="22"/>
          <w:szCs w:val="22"/>
        </w:rPr>
        <w:t>s were</w:t>
      </w:r>
      <w:r w:rsidR="001A4760" w:rsidRPr="00FD4FB7">
        <w:rPr>
          <w:rFonts w:asciiTheme="minorHAnsi" w:hAnsiTheme="minorHAnsi" w:cstheme="minorHAnsi"/>
          <w:sz w:val="22"/>
          <w:szCs w:val="22"/>
        </w:rPr>
        <w:t xml:space="preserve"> used to compare </w:t>
      </w:r>
      <w:r w:rsidR="005B76F8" w:rsidRPr="00FD4FB7">
        <w:rPr>
          <w:rFonts w:asciiTheme="minorHAnsi" w:hAnsiTheme="minorHAnsi" w:cstheme="minorHAnsi"/>
          <w:sz w:val="22"/>
          <w:szCs w:val="22"/>
        </w:rPr>
        <w:t xml:space="preserve">the means of recorded </w:t>
      </w:r>
      <w:r w:rsidR="001A4760" w:rsidRPr="00FD4FB7">
        <w:rPr>
          <w:rFonts w:asciiTheme="minorHAnsi" w:hAnsiTheme="minorHAnsi" w:cstheme="minorHAnsi"/>
          <w:sz w:val="22"/>
          <w:szCs w:val="22"/>
        </w:rPr>
        <w:t>alcohol use variables across the clinical service</w:t>
      </w:r>
      <w:r w:rsidR="00510E16" w:rsidRPr="00FD4FB7">
        <w:rPr>
          <w:rFonts w:asciiTheme="minorHAnsi" w:hAnsiTheme="minorHAnsi" w:cstheme="minorHAnsi"/>
          <w:sz w:val="22"/>
          <w:szCs w:val="22"/>
        </w:rPr>
        <w:t xml:space="preserve"> subsample</w:t>
      </w:r>
      <w:r w:rsidR="001A4760" w:rsidRPr="00FD4FB7">
        <w:rPr>
          <w:rFonts w:asciiTheme="minorHAnsi" w:hAnsiTheme="minorHAnsi" w:cstheme="minorHAnsi"/>
          <w:sz w:val="22"/>
          <w:szCs w:val="22"/>
        </w:rPr>
        <w:t xml:space="preserve">s. </w:t>
      </w:r>
      <w:r w:rsidR="0003794E" w:rsidRPr="00FD4FB7">
        <w:rPr>
          <w:rFonts w:asciiTheme="minorHAnsi" w:hAnsiTheme="minorHAnsi" w:cstheme="minorHAnsi"/>
          <w:color w:val="333333"/>
          <w:sz w:val="22"/>
          <w:szCs w:val="22"/>
          <w:shd w:val="clear" w:color="auto" w:fill="FFFFFF"/>
        </w:rPr>
        <w:t>B</w:t>
      </w:r>
      <w:r w:rsidR="00E26BC6" w:rsidRPr="00FD4FB7">
        <w:rPr>
          <w:rFonts w:asciiTheme="minorHAnsi" w:hAnsiTheme="minorHAnsi" w:cstheme="minorHAnsi"/>
          <w:color w:val="333333"/>
          <w:sz w:val="22"/>
          <w:szCs w:val="22"/>
          <w:shd w:val="clear" w:color="auto" w:fill="FFFFFF"/>
        </w:rPr>
        <w:t>i</w:t>
      </w:r>
      <w:r w:rsidR="00D57DC3" w:rsidRPr="00FD4FB7">
        <w:rPr>
          <w:rFonts w:asciiTheme="minorHAnsi" w:hAnsiTheme="minorHAnsi" w:cstheme="minorHAnsi"/>
          <w:color w:val="333333"/>
          <w:sz w:val="22"/>
          <w:szCs w:val="22"/>
          <w:shd w:val="clear" w:color="auto" w:fill="FFFFFF"/>
        </w:rPr>
        <w:t>nary logistic regression was used to explore whether</w:t>
      </w:r>
      <w:r w:rsidR="0003794E" w:rsidRPr="00FD4FB7">
        <w:rPr>
          <w:rFonts w:asciiTheme="minorHAnsi" w:hAnsiTheme="minorHAnsi" w:cstheme="minorHAnsi"/>
          <w:color w:val="333333"/>
          <w:sz w:val="22"/>
          <w:szCs w:val="22"/>
          <w:shd w:val="clear" w:color="auto" w:fill="FFFFFF"/>
        </w:rPr>
        <w:t xml:space="preserve"> </w:t>
      </w:r>
      <w:r w:rsidR="00D57DC3" w:rsidRPr="00FD4FB7">
        <w:rPr>
          <w:rFonts w:asciiTheme="minorHAnsi" w:hAnsiTheme="minorHAnsi" w:cstheme="minorHAnsi"/>
          <w:color w:val="333333"/>
          <w:sz w:val="22"/>
          <w:szCs w:val="22"/>
          <w:shd w:val="clear" w:color="auto" w:fill="FFFFFF"/>
        </w:rPr>
        <w:t xml:space="preserve">potential predictive variables </w:t>
      </w:r>
      <w:r w:rsidR="00DA270B" w:rsidRPr="00FD4FB7">
        <w:rPr>
          <w:rFonts w:asciiTheme="minorHAnsi" w:hAnsiTheme="minorHAnsi" w:cstheme="minorHAnsi"/>
          <w:color w:val="333333"/>
          <w:sz w:val="22"/>
          <w:szCs w:val="22"/>
          <w:shd w:val="clear" w:color="auto" w:fill="FFFFFF"/>
        </w:rPr>
        <w:t xml:space="preserve">(demographic variables and clinical variables, including </w:t>
      </w:r>
      <w:r w:rsidRPr="00FD4FB7">
        <w:rPr>
          <w:rFonts w:asciiTheme="minorHAnsi" w:hAnsiTheme="minorHAnsi" w:cstheme="minorHAnsi"/>
          <w:color w:val="333333"/>
          <w:sz w:val="22"/>
          <w:szCs w:val="22"/>
          <w:shd w:val="clear" w:color="auto" w:fill="FFFFFF"/>
        </w:rPr>
        <w:t xml:space="preserve">age, sex, ethnicity, </w:t>
      </w:r>
      <w:r w:rsidR="00DA270B" w:rsidRPr="00FD4FB7">
        <w:rPr>
          <w:rFonts w:asciiTheme="minorHAnsi" w:hAnsiTheme="minorHAnsi" w:cstheme="minorHAnsi"/>
          <w:color w:val="333333"/>
          <w:sz w:val="22"/>
          <w:szCs w:val="22"/>
          <w:shd w:val="clear" w:color="auto" w:fill="FFFFFF"/>
        </w:rPr>
        <w:t xml:space="preserve">psychiatric diagnoses, </w:t>
      </w:r>
      <w:r w:rsidR="00D50541" w:rsidRPr="00FD4FB7">
        <w:rPr>
          <w:rFonts w:asciiTheme="minorHAnsi" w:hAnsiTheme="minorHAnsi" w:cstheme="minorHAnsi"/>
          <w:color w:val="333333"/>
          <w:sz w:val="22"/>
          <w:szCs w:val="22"/>
          <w:shd w:val="clear" w:color="auto" w:fill="FFFFFF"/>
        </w:rPr>
        <w:t xml:space="preserve">diagnosis of </w:t>
      </w:r>
      <w:r w:rsidR="00DA270B" w:rsidRPr="00FD4FB7">
        <w:rPr>
          <w:rFonts w:asciiTheme="minorHAnsi" w:hAnsiTheme="minorHAnsi" w:cstheme="minorHAnsi"/>
          <w:color w:val="333333"/>
          <w:sz w:val="22"/>
          <w:szCs w:val="22"/>
          <w:shd w:val="clear" w:color="auto" w:fill="FFFFFF"/>
        </w:rPr>
        <w:t xml:space="preserve">alcohol-related liver disease, </w:t>
      </w:r>
      <w:r w:rsidR="00D50541" w:rsidRPr="00FD4FB7">
        <w:rPr>
          <w:rFonts w:asciiTheme="minorHAnsi" w:hAnsiTheme="minorHAnsi" w:cstheme="minorHAnsi"/>
          <w:color w:val="333333"/>
          <w:sz w:val="22"/>
          <w:szCs w:val="22"/>
          <w:shd w:val="clear" w:color="auto" w:fill="FFFFFF"/>
        </w:rPr>
        <w:t xml:space="preserve">diagnosis of </w:t>
      </w:r>
      <w:r w:rsidR="00DA270B" w:rsidRPr="00FD4FB7">
        <w:rPr>
          <w:rFonts w:asciiTheme="minorHAnsi" w:hAnsiTheme="minorHAnsi" w:cstheme="minorHAnsi"/>
          <w:color w:val="333333"/>
          <w:sz w:val="22"/>
          <w:szCs w:val="22"/>
          <w:shd w:val="clear" w:color="auto" w:fill="FFFFFF"/>
        </w:rPr>
        <w:t xml:space="preserve">delirium tremens/Korsakoff’s, number of previous MAAWs, alcohol units </w:t>
      </w:r>
      <w:r w:rsidR="00D50541" w:rsidRPr="00FD4FB7">
        <w:rPr>
          <w:rFonts w:asciiTheme="minorHAnsi" w:hAnsiTheme="minorHAnsi" w:cstheme="minorHAnsi"/>
          <w:color w:val="333333"/>
          <w:sz w:val="22"/>
          <w:szCs w:val="22"/>
          <w:shd w:val="clear" w:color="auto" w:fill="FFFFFF"/>
        </w:rPr>
        <w:t xml:space="preserve">consumed </w:t>
      </w:r>
      <w:r w:rsidR="00DA270B" w:rsidRPr="00FD4FB7">
        <w:rPr>
          <w:rFonts w:asciiTheme="minorHAnsi" w:hAnsiTheme="minorHAnsi" w:cstheme="minorHAnsi"/>
          <w:color w:val="333333"/>
          <w:sz w:val="22"/>
          <w:szCs w:val="22"/>
          <w:shd w:val="clear" w:color="auto" w:fill="FFFFFF"/>
        </w:rPr>
        <w:t>a day,</w:t>
      </w:r>
      <w:r w:rsidR="00D50541" w:rsidRPr="00FD4FB7">
        <w:rPr>
          <w:rFonts w:asciiTheme="minorHAnsi" w:hAnsiTheme="minorHAnsi" w:cstheme="minorHAnsi"/>
          <w:color w:val="333333"/>
          <w:sz w:val="22"/>
          <w:szCs w:val="22"/>
          <w:shd w:val="clear" w:color="auto" w:fill="FFFFFF"/>
        </w:rPr>
        <w:t xml:space="preserve"> the duration of the alcohol use problem, and assessment for Wernicke’s encephalopathy</w:t>
      </w:r>
      <w:r w:rsidR="001E37A5" w:rsidRPr="00FD4FB7">
        <w:rPr>
          <w:rFonts w:asciiTheme="minorHAnsi" w:hAnsiTheme="minorHAnsi" w:cstheme="minorHAnsi"/>
          <w:color w:val="333333"/>
          <w:sz w:val="22"/>
          <w:szCs w:val="22"/>
          <w:shd w:val="clear" w:color="auto" w:fill="FFFFFF"/>
        </w:rPr>
        <w:t>)</w:t>
      </w:r>
      <w:r w:rsidR="00DA270B" w:rsidRPr="00FD4FB7">
        <w:rPr>
          <w:rFonts w:asciiTheme="minorHAnsi" w:hAnsiTheme="minorHAnsi" w:cstheme="minorHAnsi"/>
          <w:color w:val="333333"/>
          <w:sz w:val="22"/>
          <w:szCs w:val="22"/>
          <w:shd w:val="clear" w:color="auto" w:fill="FFFFFF"/>
        </w:rPr>
        <w:t xml:space="preserve"> </w:t>
      </w:r>
      <w:r w:rsidR="00D57DC3" w:rsidRPr="00FD4FB7">
        <w:rPr>
          <w:rFonts w:asciiTheme="minorHAnsi" w:hAnsiTheme="minorHAnsi" w:cstheme="minorHAnsi"/>
          <w:color w:val="333333"/>
          <w:sz w:val="22"/>
          <w:szCs w:val="22"/>
          <w:shd w:val="clear" w:color="auto" w:fill="FFFFFF"/>
        </w:rPr>
        <w:t>were associated with the use of parenteral thiamine</w:t>
      </w:r>
      <w:r w:rsidR="0003794E" w:rsidRPr="00FD4FB7">
        <w:rPr>
          <w:rFonts w:asciiTheme="minorHAnsi" w:hAnsiTheme="minorHAnsi" w:cstheme="minorHAnsi"/>
          <w:color w:val="333333"/>
          <w:sz w:val="22"/>
          <w:szCs w:val="22"/>
          <w:shd w:val="clear" w:color="auto" w:fill="FFFFFF"/>
        </w:rPr>
        <w:t xml:space="preserve"> for all patients in the audit sample</w:t>
      </w:r>
      <w:r w:rsidR="00D57DC3" w:rsidRPr="00FD4FB7">
        <w:rPr>
          <w:rFonts w:asciiTheme="minorHAnsi" w:hAnsiTheme="minorHAnsi" w:cstheme="minorHAnsi"/>
          <w:color w:val="333333"/>
          <w:sz w:val="22"/>
          <w:szCs w:val="22"/>
          <w:shd w:val="clear" w:color="auto" w:fill="FFFFFF"/>
        </w:rPr>
        <w:t xml:space="preserve">. </w:t>
      </w:r>
      <w:r w:rsidR="00F4097D" w:rsidRPr="00FD4FB7">
        <w:rPr>
          <w:rFonts w:asciiTheme="minorHAnsi" w:hAnsiTheme="minorHAnsi" w:cstheme="minorHAnsi"/>
          <w:color w:val="333333"/>
          <w:sz w:val="22"/>
          <w:szCs w:val="22"/>
          <w:shd w:val="clear" w:color="auto" w:fill="FFFFFF"/>
        </w:rPr>
        <w:t xml:space="preserve">For </w:t>
      </w:r>
      <w:r w:rsidR="000A5B02" w:rsidRPr="00FD4FB7">
        <w:rPr>
          <w:rFonts w:asciiTheme="minorHAnsi" w:hAnsiTheme="minorHAnsi" w:cstheme="minorHAnsi"/>
          <w:color w:val="333333"/>
          <w:sz w:val="22"/>
          <w:szCs w:val="22"/>
          <w:shd w:val="clear" w:color="auto" w:fill="FFFFFF"/>
        </w:rPr>
        <w:t>the</w:t>
      </w:r>
      <w:r w:rsidR="00F4097D" w:rsidRPr="00FD4FB7">
        <w:rPr>
          <w:rFonts w:asciiTheme="minorHAnsi" w:hAnsiTheme="minorHAnsi" w:cstheme="minorHAnsi"/>
          <w:color w:val="333333"/>
          <w:sz w:val="22"/>
          <w:szCs w:val="22"/>
          <w:shd w:val="clear" w:color="auto" w:fill="FFFFFF"/>
        </w:rPr>
        <w:t xml:space="preserve"> analys</w:t>
      </w:r>
      <w:r w:rsidR="000A5B02" w:rsidRPr="00FD4FB7">
        <w:rPr>
          <w:rFonts w:asciiTheme="minorHAnsi" w:hAnsiTheme="minorHAnsi" w:cstheme="minorHAnsi"/>
          <w:color w:val="333333"/>
          <w:sz w:val="22"/>
          <w:szCs w:val="22"/>
          <w:shd w:val="clear" w:color="auto" w:fill="FFFFFF"/>
        </w:rPr>
        <w:t>i</w:t>
      </w:r>
      <w:r w:rsidR="00F4097D" w:rsidRPr="00FD4FB7">
        <w:rPr>
          <w:rFonts w:asciiTheme="minorHAnsi" w:hAnsiTheme="minorHAnsi" w:cstheme="minorHAnsi"/>
          <w:color w:val="333333"/>
          <w:sz w:val="22"/>
          <w:szCs w:val="22"/>
          <w:shd w:val="clear" w:color="auto" w:fill="FFFFFF"/>
        </w:rPr>
        <w:t>s, t</w:t>
      </w:r>
      <w:r w:rsidR="00D57DC3" w:rsidRPr="00FD4FB7">
        <w:rPr>
          <w:rFonts w:asciiTheme="minorHAnsi" w:hAnsiTheme="minorHAnsi" w:cstheme="minorHAnsi"/>
          <w:color w:val="333333"/>
          <w:sz w:val="22"/>
          <w:szCs w:val="22"/>
          <w:shd w:val="clear" w:color="auto" w:fill="FFFFFF"/>
        </w:rPr>
        <w:t>he effect of each variable was examined initially using a univariable analysis. Subsequently</w:t>
      </w:r>
      <w:r w:rsidR="004A4247" w:rsidRPr="00FD4FB7">
        <w:rPr>
          <w:rFonts w:asciiTheme="minorHAnsi" w:hAnsiTheme="minorHAnsi" w:cstheme="minorHAnsi"/>
          <w:color w:val="333333"/>
          <w:sz w:val="22"/>
          <w:szCs w:val="22"/>
          <w:shd w:val="clear" w:color="auto" w:fill="FFFFFF"/>
        </w:rPr>
        <w:t>,</w:t>
      </w:r>
      <w:r w:rsidR="00D57DC3" w:rsidRPr="00FD4FB7">
        <w:rPr>
          <w:rFonts w:asciiTheme="minorHAnsi" w:hAnsiTheme="minorHAnsi" w:cstheme="minorHAnsi"/>
          <w:color w:val="333333"/>
          <w:sz w:val="22"/>
          <w:szCs w:val="22"/>
          <w:shd w:val="clear" w:color="auto" w:fill="FFFFFF"/>
        </w:rPr>
        <w:t xml:space="preserve"> the joint effect of explanatory variables was examined in a multivariable analysis, using a backwards selection procedure to retain the statistically significant variables. Where </w:t>
      </w:r>
      <w:r w:rsidR="004A4247" w:rsidRPr="00FD4FB7">
        <w:rPr>
          <w:rFonts w:asciiTheme="minorHAnsi" w:hAnsiTheme="minorHAnsi" w:cstheme="minorHAnsi"/>
          <w:color w:val="333333"/>
          <w:sz w:val="22"/>
          <w:szCs w:val="22"/>
          <w:shd w:val="clear" w:color="auto" w:fill="FFFFFF"/>
        </w:rPr>
        <w:t>patient</w:t>
      </w:r>
      <w:r w:rsidR="00D57DC3" w:rsidRPr="00FD4FB7">
        <w:rPr>
          <w:rFonts w:asciiTheme="minorHAnsi" w:hAnsiTheme="minorHAnsi" w:cstheme="minorHAnsi"/>
          <w:color w:val="333333"/>
          <w:sz w:val="22"/>
          <w:szCs w:val="22"/>
          <w:shd w:val="clear" w:color="auto" w:fill="FFFFFF"/>
        </w:rPr>
        <w:t xml:space="preserve"> characteristics were unknown or not specified, the values were treated as missing.</w:t>
      </w:r>
    </w:p>
    <w:p w14:paraId="0CD56B91" w14:textId="77777777" w:rsidR="00C753F7" w:rsidRPr="00FD4FB7" w:rsidRDefault="00C753F7" w:rsidP="004A4247">
      <w:pPr>
        <w:spacing w:line="360" w:lineRule="auto"/>
        <w:rPr>
          <w:rFonts w:asciiTheme="minorHAnsi" w:hAnsiTheme="minorHAnsi" w:cstheme="minorHAnsi"/>
          <w:b/>
          <w:color w:val="000000" w:themeColor="text1"/>
          <w:sz w:val="22"/>
          <w:szCs w:val="22"/>
        </w:rPr>
      </w:pPr>
    </w:p>
    <w:p w14:paraId="5EAC01BE" w14:textId="77777777" w:rsidR="00A538D8" w:rsidRPr="00FD4FB7" w:rsidRDefault="00A538D8" w:rsidP="002B38DB">
      <w:pPr>
        <w:spacing w:line="360" w:lineRule="auto"/>
        <w:rPr>
          <w:rFonts w:asciiTheme="minorHAnsi" w:hAnsiTheme="minorHAnsi" w:cstheme="minorHAnsi"/>
          <w:b/>
          <w:color w:val="000000" w:themeColor="text1"/>
          <w:sz w:val="22"/>
          <w:szCs w:val="22"/>
        </w:rPr>
      </w:pPr>
    </w:p>
    <w:p w14:paraId="19AF6B72" w14:textId="77777777" w:rsidR="00A538D8" w:rsidRPr="00FD4FB7" w:rsidRDefault="00A538D8" w:rsidP="002B38DB">
      <w:pPr>
        <w:spacing w:line="360" w:lineRule="auto"/>
        <w:rPr>
          <w:rFonts w:asciiTheme="minorHAnsi" w:hAnsiTheme="minorHAnsi" w:cstheme="minorHAnsi"/>
          <w:b/>
          <w:color w:val="000000" w:themeColor="text1"/>
          <w:sz w:val="22"/>
          <w:szCs w:val="22"/>
        </w:rPr>
      </w:pPr>
    </w:p>
    <w:p w14:paraId="7D7998FD" w14:textId="77777777" w:rsidR="00A538D8" w:rsidRPr="00FD4FB7" w:rsidRDefault="00A538D8" w:rsidP="002B38DB">
      <w:pPr>
        <w:spacing w:line="360" w:lineRule="auto"/>
        <w:rPr>
          <w:rFonts w:asciiTheme="minorHAnsi" w:hAnsiTheme="minorHAnsi" w:cstheme="minorHAnsi"/>
          <w:b/>
          <w:color w:val="000000" w:themeColor="text1"/>
          <w:sz w:val="22"/>
          <w:szCs w:val="22"/>
        </w:rPr>
      </w:pPr>
    </w:p>
    <w:p w14:paraId="1A665F36" w14:textId="013C32E8" w:rsidR="00F55BA9" w:rsidRPr="00FD4FB7" w:rsidRDefault="0003211D" w:rsidP="002B38DB">
      <w:pPr>
        <w:spacing w:line="360" w:lineRule="auto"/>
        <w:rPr>
          <w:rFonts w:asciiTheme="minorHAnsi" w:hAnsiTheme="minorHAnsi" w:cstheme="minorHAnsi"/>
          <w:b/>
          <w:color w:val="000000" w:themeColor="text1"/>
          <w:sz w:val="22"/>
          <w:szCs w:val="22"/>
        </w:rPr>
      </w:pPr>
      <w:r w:rsidRPr="00FD4FB7">
        <w:rPr>
          <w:rFonts w:asciiTheme="minorHAnsi" w:hAnsiTheme="minorHAnsi" w:cstheme="minorHAnsi"/>
          <w:b/>
          <w:color w:val="000000" w:themeColor="text1"/>
          <w:sz w:val="22"/>
          <w:szCs w:val="22"/>
        </w:rPr>
        <w:lastRenderedPageBreak/>
        <w:t>RESULTS</w:t>
      </w:r>
    </w:p>
    <w:p w14:paraId="29CB0C00" w14:textId="77777777" w:rsidR="001441EC" w:rsidRPr="00FD4FB7" w:rsidRDefault="001441EC" w:rsidP="002B38DB">
      <w:pPr>
        <w:spacing w:line="360" w:lineRule="auto"/>
        <w:rPr>
          <w:rFonts w:asciiTheme="minorHAnsi" w:hAnsiTheme="minorHAnsi" w:cstheme="minorHAnsi"/>
          <w:color w:val="000000" w:themeColor="text1"/>
          <w:sz w:val="22"/>
          <w:szCs w:val="22"/>
        </w:rPr>
      </w:pPr>
    </w:p>
    <w:p w14:paraId="3CA29DD4" w14:textId="33F71AC7" w:rsidR="00C237FC" w:rsidRPr="00FD4FB7" w:rsidRDefault="00F21200" w:rsidP="002B38DB">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Forty-five Trusts/healthcare organisations submitted audit data relating to</w:t>
      </w:r>
      <w:r w:rsidR="00F925B9" w:rsidRPr="00FD4FB7">
        <w:rPr>
          <w:rFonts w:asciiTheme="minorHAnsi" w:hAnsiTheme="minorHAnsi" w:cstheme="minorHAnsi"/>
          <w:color w:val="000000" w:themeColor="text1"/>
          <w:sz w:val="22"/>
          <w:szCs w:val="22"/>
        </w:rPr>
        <w:t xml:space="preserve"> 1,</w:t>
      </w:r>
      <w:r w:rsidRPr="00FD4FB7">
        <w:rPr>
          <w:rFonts w:asciiTheme="minorHAnsi" w:hAnsiTheme="minorHAnsi" w:cstheme="minorHAnsi"/>
          <w:color w:val="000000" w:themeColor="text1"/>
          <w:sz w:val="22"/>
          <w:szCs w:val="22"/>
        </w:rPr>
        <w:t>255</w:t>
      </w:r>
      <w:r w:rsidR="00F925B9" w:rsidRPr="00FD4FB7">
        <w:rPr>
          <w:rFonts w:asciiTheme="minorHAnsi" w:hAnsiTheme="minorHAnsi" w:cstheme="minorHAnsi"/>
          <w:color w:val="000000" w:themeColor="text1"/>
          <w:sz w:val="22"/>
          <w:szCs w:val="22"/>
        </w:rPr>
        <w:t xml:space="preserve"> </w:t>
      </w:r>
      <w:r w:rsidR="00D33D88" w:rsidRPr="00FD4FB7">
        <w:rPr>
          <w:rFonts w:asciiTheme="minorHAnsi" w:hAnsiTheme="minorHAnsi" w:cstheme="minorHAnsi"/>
          <w:color w:val="000000" w:themeColor="text1"/>
          <w:sz w:val="22"/>
          <w:szCs w:val="22"/>
        </w:rPr>
        <w:t>in</w:t>
      </w:r>
      <w:r w:rsidR="00F925B9" w:rsidRPr="00FD4FB7">
        <w:rPr>
          <w:rFonts w:asciiTheme="minorHAnsi" w:hAnsiTheme="minorHAnsi" w:cstheme="minorHAnsi"/>
          <w:color w:val="000000" w:themeColor="text1"/>
          <w:sz w:val="22"/>
          <w:szCs w:val="22"/>
        </w:rPr>
        <w:t xml:space="preserve">patients </w:t>
      </w:r>
      <w:r w:rsidR="00100BDD" w:rsidRPr="00FD4FB7">
        <w:rPr>
          <w:rFonts w:asciiTheme="minorHAnsi" w:hAnsiTheme="minorHAnsi" w:cstheme="minorHAnsi"/>
          <w:color w:val="000000" w:themeColor="text1"/>
          <w:sz w:val="22"/>
          <w:szCs w:val="22"/>
        </w:rPr>
        <w:t xml:space="preserve">who had </w:t>
      </w:r>
      <w:r w:rsidR="007231C1" w:rsidRPr="00FD4FB7">
        <w:rPr>
          <w:rFonts w:asciiTheme="minorHAnsi" w:hAnsiTheme="minorHAnsi" w:cstheme="minorHAnsi"/>
          <w:color w:val="000000" w:themeColor="text1"/>
          <w:sz w:val="22"/>
          <w:szCs w:val="22"/>
        </w:rPr>
        <w:t>undergone MAAW</w:t>
      </w:r>
      <w:r w:rsidR="00100BDD"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 xml:space="preserve">under the care of </w:t>
      </w:r>
      <w:r w:rsidR="00F925B9" w:rsidRPr="00FD4FB7">
        <w:rPr>
          <w:rFonts w:asciiTheme="minorHAnsi" w:hAnsiTheme="minorHAnsi" w:cstheme="minorHAnsi"/>
          <w:color w:val="000000" w:themeColor="text1"/>
          <w:sz w:val="22"/>
          <w:szCs w:val="22"/>
        </w:rPr>
        <w:t>17</w:t>
      </w:r>
      <w:r w:rsidRPr="00FD4FB7">
        <w:rPr>
          <w:rFonts w:asciiTheme="minorHAnsi" w:hAnsiTheme="minorHAnsi" w:cstheme="minorHAnsi"/>
          <w:color w:val="000000" w:themeColor="text1"/>
          <w:sz w:val="22"/>
          <w:szCs w:val="22"/>
        </w:rPr>
        <w:t>3</w:t>
      </w:r>
      <w:r w:rsidR="00F925B9" w:rsidRPr="00FD4FB7">
        <w:rPr>
          <w:rFonts w:asciiTheme="minorHAnsi" w:hAnsiTheme="minorHAnsi" w:cstheme="minorHAnsi"/>
          <w:color w:val="000000" w:themeColor="text1"/>
          <w:sz w:val="22"/>
          <w:szCs w:val="22"/>
        </w:rPr>
        <w:t xml:space="preserve"> clinical teams</w:t>
      </w:r>
      <w:r w:rsidR="00100BDD" w:rsidRPr="00FD4FB7">
        <w:rPr>
          <w:rFonts w:asciiTheme="minorHAnsi" w:hAnsiTheme="minorHAnsi" w:cstheme="minorHAnsi"/>
          <w:color w:val="000000" w:themeColor="text1"/>
          <w:sz w:val="22"/>
          <w:szCs w:val="22"/>
        </w:rPr>
        <w:t>.</w:t>
      </w:r>
      <w:r w:rsidR="00741A30" w:rsidRPr="00FD4FB7">
        <w:rPr>
          <w:rFonts w:asciiTheme="minorHAnsi" w:hAnsiTheme="minorHAnsi" w:cstheme="minorHAnsi"/>
          <w:color w:val="000000" w:themeColor="text1"/>
          <w:sz w:val="22"/>
          <w:szCs w:val="22"/>
        </w:rPr>
        <w:t xml:space="preserve"> The demographic and clinical characteristic</w:t>
      </w:r>
      <w:r w:rsidR="00D80643" w:rsidRPr="00FD4FB7">
        <w:rPr>
          <w:rFonts w:asciiTheme="minorHAnsi" w:hAnsiTheme="minorHAnsi" w:cstheme="minorHAnsi"/>
          <w:color w:val="000000" w:themeColor="text1"/>
          <w:sz w:val="22"/>
          <w:szCs w:val="22"/>
        </w:rPr>
        <w:t>s</w:t>
      </w:r>
      <w:r w:rsidR="00741A30" w:rsidRPr="00FD4FB7">
        <w:rPr>
          <w:rFonts w:asciiTheme="minorHAnsi" w:hAnsiTheme="minorHAnsi" w:cstheme="minorHAnsi"/>
          <w:color w:val="000000" w:themeColor="text1"/>
          <w:sz w:val="22"/>
          <w:szCs w:val="22"/>
        </w:rPr>
        <w:t xml:space="preserve"> of the </w:t>
      </w:r>
      <w:r w:rsidR="003E3236" w:rsidRPr="00FD4FB7">
        <w:rPr>
          <w:rFonts w:asciiTheme="minorHAnsi" w:hAnsiTheme="minorHAnsi" w:cstheme="minorHAnsi"/>
          <w:color w:val="000000" w:themeColor="text1"/>
          <w:sz w:val="22"/>
          <w:szCs w:val="22"/>
        </w:rPr>
        <w:t xml:space="preserve">total </w:t>
      </w:r>
      <w:r w:rsidR="00741A30" w:rsidRPr="00FD4FB7">
        <w:rPr>
          <w:rFonts w:asciiTheme="minorHAnsi" w:hAnsiTheme="minorHAnsi" w:cstheme="minorHAnsi"/>
          <w:color w:val="000000" w:themeColor="text1"/>
          <w:sz w:val="22"/>
          <w:szCs w:val="22"/>
        </w:rPr>
        <w:t xml:space="preserve">audit sample are shown in Table 1. </w:t>
      </w:r>
      <w:r w:rsidR="00100BDD" w:rsidRPr="00FD4FB7">
        <w:rPr>
          <w:rFonts w:asciiTheme="minorHAnsi" w:hAnsiTheme="minorHAnsi" w:cstheme="minorHAnsi"/>
          <w:color w:val="000000" w:themeColor="text1"/>
          <w:sz w:val="22"/>
          <w:szCs w:val="22"/>
        </w:rPr>
        <w:t xml:space="preserve"> </w:t>
      </w:r>
      <w:r w:rsidR="00C237FC" w:rsidRPr="00FD4FB7">
        <w:rPr>
          <w:rFonts w:asciiTheme="minorHAnsi" w:hAnsiTheme="minorHAnsi" w:cstheme="minorHAnsi"/>
          <w:color w:val="000000" w:themeColor="text1"/>
          <w:sz w:val="22"/>
          <w:szCs w:val="22"/>
        </w:rPr>
        <w:t xml:space="preserve">Information on previous </w:t>
      </w:r>
      <w:r w:rsidR="00C02EF9" w:rsidRPr="00FD4FB7">
        <w:rPr>
          <w:rFonts w:asciiTheme="minorHAnsi" w:hAnsiTheme="minorHAnsi" w:cstheme="minorHAnsi"/>
          <w:color w:val="000000" w:themeColor="text1"/>
          <w:sz w:val="22"/>
          <w:szCs w:val="22"/>
        </w:rPr>
        <w:t>MAAW</w:t>
      </w:r>
      <w:r w:rsidR="005E768C" w:rsidRPr="00FD4FB7">
        <w:rPr>
          <w:rFonts w:asciiTheme="minorHAnsi" w:hAnsiTheme="minorHAnsi" w:cstheme="minorHAnsi"/>
          <w:color w:val="000000" w:themeColor="text1"/>
          <w:sz w:val="22"/>
          <w:szCs w:val="22"/>
        </w:rPr>
        <w:t xml:space="preserve"> </w:t>
      </w:r>
      <w:r w:rsidR="00C237FC" w:rsidRPr="00FD4FB7">
        <w:rPr>
          <w:rFonts w:asciiTheme="minorHAnsi" w:hAnsiTheme="minorHAnsi" w:cstheme="minorHAnsi"/>
          <w:color w:val="000000" w:themeColor="text1"/>
          <w:sz w:val="22"/>
          <w:szCs w:val="22"/>
        </w:rPr>
        <w:t xml:space="preserve">had been recorded in 886 (70%) patients, a third of whom (n=293, 33%) were undergoing </w:t>
      </w:r>
      <w:r w:rsidR="00C02EF9" w:rsidRPr="00FD4FB7">
        <w:rPr>
          <w:rFonts w:asciiTheme="minorHAnsi" w:hAnsiTheme="minorHAnsi" w:cstheme="minorHAnsi"/>
          <w:color w:val="000000" w:themeColor="text1"/>
          <w:sz w:val="22"/>
          <w:szCs w:val="22"/>
        </w:rPr>
        <w:t>MAAW</w:t>
      </w:r>
      <w:r w:rsidR="00C237FC" w:rsidRPr="00FD4FB7">
        <w:rPr>
          <w:rFonts w:asciiTheme="minorHAnsi" w:hAnsiTheme="minorHAnsi" w:cstheme="minorHAnsi"/>
          <w:color w:val="000000" w:themeColor="text1"/>
          <w:sz w:val="22"/>
          <w:szCs w:val="22"/>
        </w:rPr>
        <w:t xml:space="preserve"> for the first time. </w:t>
      </w:r>
    </w:p>
    <w:p w14:paraId="5F260CE8" w14:textId="77777777" w:rsidR="00763A5B" w:rsidRPr="00FD4FB7" w:rsidRDefault="00763A5B" w:rsidP="002B38DB">
      <w:pPr>
        <w:spacing w:line="360" w:lineRule="auto"/>
        <w:rPr>
          <w:rFonts w:asciiTheme="minorHAnsi" w:hAnsiTheme="minorHAnsi" w:cstheme="minorHAnsi"/>
          <w:color w:val="000000" w:themeColor="text1"/>
          <w:sz w:val="22"/>
          <w:szCs w:val="22"/>
        </w:rPr>
      </w:pPr>
    </w:p>
    <w:p w14:paraId="334A115F" w14:textId="6B346C65" w:rsidR="00741A30" w:rsidRPr="00FD4FB7" w:rsidRDefault="00C237FC" w:rsidP="002B38DB">
      <w:pPr>
        <w:spacing w:line="360" w:lineRule="auto"/>
        <w:rPr>
          <w:rFonts w:asciiTheme="minorHAnsi" w:hAnsiTheme="minorHAnsi" w:cstheme="minorHAnsi"/>
          <w:color w:val="000000" w:themeColor="text1"/>
          <w:sz w:val="22"/>
          <w:szCs w:val="22"/>
        </w:rPr>
      </w:pPr>
      <w:r w:rsidRPr="00516FC7">
        <w:rPr>
          <w:rFonts w:asciiTheme="minorHAnsi" w:hAnsiTheme="minorHAnsi" w:cstheme="minorHAnsi"/>
          <w:color w:val="000000" w:themeColor="text1"/>
          <w:sz w:val="22"/>
          <w:szCs w:val="22"/>
        </w:rPr>
        <w:t>Eight hundred and eighty-nine</w:t>
      </w:r>
      <w:r w:rsidR="00862FE8" w:rsidRPr="00516FC7">
        <w:rPr>
          <w:rFonts w:asciiTheme="minorHAnsi" w:hAnsiTheme="minorHAnsi" w:cstheme="minorHAnsi"/>
          <w:color w:val="000000" w:themeColor="text1"/>
          <w:sz w:val="22"/>
          <w:szCs w:val="22"/>
        </w:rPr>
        <w:t xml:space="preserve"> (71%</w:t>
      </w:r>
      <w:r w:rsidR="00100BDD" w:rsidRPr="00516FC7">
        <w:rPr>
          <w:rFonts w:asciiTheme="minorHAnsi" w:hAnsiTheme="minorHAnsi" w:cstheme="minorHAnsi"/>
          <w:color w:val="000000" w:themeColor="text1"/>
          <w:sz w:val="22"/>
          <w:szCs w:val="22"/>
        </w:rPr>
        <w:t xml:space="preserve">) </w:t>
      </w:r>
      <w:r w:rsidR="00D1347F" w:rsidRPr="00516FC7">
        <w:rPr>
          <w:rFonts w:asciiTheme="minorHAnsi" w:hAnsiTheme="minorHAnsi" w:cstheme="minorHAnsi"/>
          <w:color w:val="000000" w:themeColor="text1"/>
          <w:sz w:val="22"/>
          <w:szCs w:val="22"/>
        </w:rPr>
        <w:t xml:space="preserve">patients </w:t>
      </w:r>
      <w:r w:rsidR="00AA76E4" w:rsidRPr="00516FC7">
        <w:rPr>
          <w:rFonts w:asciiTheme="minorHAnsi" w:hAnsiTheme="minorHAnsi" w:cstheme="minorHAnsi"/>
          <w:color w:val="000000" w:themeColor="text1"/>
          <w:sz w:val="22"/>
          <w:szCs w:val="22"/>
        </w:rPr>
        <w:t xml:space="preserve">in the audit sample </w:t>
      </w:r>
      <w:r w:rsidR="0050491F" w:rsidRPr="00516FC7">
        <w:rPr>
          <w:rFonts w:asciiTheme="minorHAnsi" w:hAnsiTheme="minorHAnsi" w:cstheme="minorHAnsi"/>
          <w:color w:val="000000" w:themeColor="text1"/>
          <w:sz w:val="22"/>
          <w:szCs w:val="22"/>
        </w:rPr>
        <w:t>were</w:t>
      </w:r>
      <w:r w:rsidR="00D1347F" w:rsidRPr="00516FC7">
        <w:rPr>
          <w:rFonts w:asciiTheme="minorHAnsi" w:hAnsiTheme="minorHAnsi" w:cstheme="minorHAnsi"/>
          <w:color w:val="000000" w:themeColor="text1"/>
          <w:sz w:val="22"/>
          <w:szCs w:val="22"/>
        </w:rPr>
        <w:t xml:space="preserve"> on </w:t>
      </w:r>
      <w:r w:rsidR="009D27F9" w:rsidRPr="00516FC7">
        <w:rPr>
          <w:rFonts w:asciiTheme="minorHAnsi" w:hAnsiTheme="minorHAnsi" w:cstheme="minorHAnsi"/>
          <w:color w:val="000000" w:themeColor="text1"/>
          <w:sz w:val="22"/>
          <w:szCs w:val="22"/>
        </w:rPr>
        <w:t xml:space="preserve">an </w:t>
      </w:r>
      <w:r w:rsidR="00D1347F" w:rsidRPr="00516FC7">
        <w:rPr>
          <w:rFonts w:asciiTheme="minorHAnsi" w:hAnsiTheme="minorHAnsi" w:cstheme="minorHAnsi"/>
          <w:color w:val="000000" w:themeColor="text1"/>
          <w:sz w:val="22"/>
          <w:szCs w:val="22"/>
        </w:rPr>
        <w:t>acute adult ward</w:t>
      </w:r>
      <w:r w:rsidR="003C7FF8" w:rsidRPr="00516FC7">
        <w:rPr>
          <w:rFonts w:asciiTheme="minorHAnsi" w:hAnsiTheme="minorHAnsi" w:cstheme="minorHAnsi"/>
          <w:color w:val="000000" w:themeColor="text1"/>
          <w:sz w:val="22"/>
          <w:szCs w:val="22"/>
        </w:rPr>
        <w:t xml:space="preserve">, </w:t>
      </w:r>
      <w:r w:rsidR="00862FE8" w:rsidRPr="00516FC7">
        <w:rPr>
          <w:rFonts w:asciiTheme="minorHAnsi" w:hAnsiTheme="minorHAnsi" w:cstheme="minorHAnsi"/>
          <w:color w:val="000000" w:themeColor="text1"/>
          <w:sz w:val="22"/>
          <w:szCs w:val="22"/>
        </w:rPr>
        <w:t xml:space="preserve">19 (1%) </w:t>
      </w:r>
      <w:r w:rsidR="0050491F" w:rsidRPr="00516FC7">
        <w:rPr>
          <w:rFonts w:asciiTheme="minorHAnsi" w:hAnsiTheme="minorHAnsi" w:cstheme="minorHAnsi"/>
          <w:color w:val="000000" w:themeColor="text1"/>
          <w:sz w:val="22"/>
          <w:szCs w:val="22"/>
        </w:rPr>
        <w:t>were</w:t>
      </w:r>
      <w:r w:rsidR="003C7FF8" w:rsidRPr="00516FC7">
        <w:rPr>
          <w:rFonts w:asciiTheme="minorHAnsi" w:hAnsiTheme="minorHAnsi" w:cstheme="minorHAnsi"/>
          <w:color w:val="000000" w:themeColor="text1"/>
          <w:sz w:val="22"/>
          <w:szCs w:val="22"/>
        </w:rPr>
        <w:t xml:space="preserve"> inpatients </w:t>
      </w:r>
      <w:r w:rsidR="00862FE8" w:rsidRPr="00516FC7">
        <w:rPr>
          <w:rFonts w:asciiTheme="minorHAnsi" w:hAnsiTheme="minorHAnsi" w:cstheme="minorHAnsi"/>
          <w:color w:val="000000" w:themeColor="text1"/>
          <w:sz w:val="22"/>
          <w:szCs w:val="22"/>
        </w:rPr>
        <w:t>on</w:t>
      </w:r>
      <w:r w:rsidR="00F4508C" w:rsidRPr="00516FC7">
        <w:rPr>
          <w:rFonts w:asciiTheme="minorHAnsi" w:hAnsiTheme="minorHAnsi" w:cstheme="minorHAnsi"/>
          <w:color w:val="000000" w:themeColor="text1"/>
          <w:sz w:val="22"/>
          <w:szCs w:val="22"/>
        </w:rPr>
        <w:t xml:space="preserve"> </w:t>
      </w:r>
      <w:r w:rsidR="00BA2631" w:rsidRPr="00516FC7">
        <w:rPr>
          <w:rFonts w:asciiTheme="minorHAnsi" w:hAnsiTheme="minorHAnsi" w:cstheme="minorHAnsi"/>
          <w:color w:val="000000" w:themeColor="text1"/>
          <w:sz w:val="22"/>
          <w:szCs w:val="22"/>
        </w:rPr>
        <w:t xml:space="preserve">a </w:t>
      </w:r>
      <w:r w:rsidR="00FC1152" w:rsidRPr="00516FC7">
        <w:rPr>
          <w:rFonts w:asciiTheme="minorHAnsi" w:hAnsiTheme="minorHAnsi" w:cstheme="minorHAnsi"/>
          <w:color w:val="000000" w:themeColor="text1"/>
          <w:sz w:val="22"/>
          <w:szCs w:val="22"/>
        </w:rPr>
        <w:t>PICU</w:t>
      </w:r>
      <w:r w:rsidR="00F4508C" w:rsidRPr="00516FC7">
        <w:rPr>
          <w:rFonts w:asciiTheme="minorHAnsi" w:hAnsiTheme="minorHAnsi" w:cstheme="minorHAnsi"/>
          <w:color w:val="000000" w:themeColor="text1"/>
          <w:sz w:val="22"/>
          <w:szCs w:val="22"/>
        </w:rPr>
        <w:t>,</w:t>
      </w:r>
      <w:r w:rsidR="00D1347F" w:rsidRPr="00516FC7">
        <w:rPr>
          <w:rFonts w:asciiTheme="minorHAnsi" w:hAnsiTheme="minorHAnsi" w:cstheme="minorHAnsi"/>
          <w:color w:val="000000" w:themeColor="text1"/>
          <w:sz w:val="22"/>
          <w:szCs w:val="22"/>
        </w:rPr>
        <w:t xml:space="preserve"> </w:t>
      </w:r>
      <w:r w:rsidR="003C7FF8" w:rsidRPr="00516FC7">
        <w:rPr>
          <w:rFonts w:asciiTheme="minorHAnsi" w:hAnsiTheme="minorHAnsi" w:cstheme="minorHAnsi"/>
          <w:color w:val="000000" w:themeColor="text1"/>
          <w:sz w:val="22"/>
          <w:szCs w:val="22"/>
        </w:rPr>
        <w:t xml:space="preserve">and </w:t>
      </w:r>
      <w:r w:rsidR="00D1347F" w:rsidRPr="00516FC7">
        <w:rPr>
          <w:rFonts w:asciiTheme="minorHAnsi" w:hAnsiTheme="minorHAnsi" w:cstheme="minorHAnsi"/>
          <w:color w:val="000000" w:themeColor="text1"/>
          <w:sz w:val="22"/>
          <w:szCs w:val="22"/>
        </w:rPr>
        <w:t>347</w:t>
      </w:r>
      <w:r w:rsidR="00100BDD" w:rsidRPr="00516FC7">
        <w:rPr>
          <w:rFonts w:asciiTheme="minorHAnsi" w:hAnsiTheme="minorHAnsi" w:cstheme="minorHAnsi"/>
          <w:color w:val="000000" w:themeColor="text1"/>
          <w:sz w:val="22"/>
          <w:szCs w:val="22"/>
        </w:rPr>
        <w:t xml:space="preserve"> (28%)</w:t>
      </w:r>
      <w:r w:rsidR="00D1347F" w:rsidRPr="00516FC7">
        <w:rPr>
          <w:rFonts w:asciiTheme="minorHAnsi" w:hAnsiTheme="minorHAnsi" w:cstheme="minorHAnsi"/>
          <w:color w:val="000000" w:themeColor="text1"/>
          <w:sz w:val="22"/>
          <w:szCs w:val="22"/>
        </w:rPr>
        <w:t xml:space="preserve"> </w:t>
      </w:r>
      <w:r w:rsidR="0050491F" w:rsidRPr="00516FC7">
        <w:rPr>
          <w:rFonts w:asciiTheme="minorHAnsi" w:hAnsiTheme="minorHAnsi" w:cstheme="minorHAnsi"/>
          <w:color w:val="000000" w:themeColor="text1"/>
          <w:sz w:val="22"/>
          <w:szCs w:val="22"/>
        </w:rPr>
        <w:t>were</w:t>
      </w:r>
      <w:r w:rsidR="00D1347F" w:rsidRPr="00516FC7">
        <w:rPr>
          <w:rFonts w:asciiTheme="minorHAnsi" w:hAnsiTheme="minorHAnsi" w:cstheme="minorHAnsi"/>
          <w:color w:val="000000" w:themeColor="text1"/>
          <w:sz w:val="22"/>
          <w:szCs w:val="22"/>
        </w:rPr>
        <w:t xml:space="preserve"> under the care of </w:t>
      </w:r>
      <w:r w:rsidR="00BA2631" w:rsidRPr="00516FC7">
        <w:rPr>
          <w:rFonts w:asciiTheme="minorHAnsi" w:hAnsiTheme="minorHAnsi" w:cstheme="minorHAnsi"/>
          <w:color w:val="000000" w:themeColor="text1"/>
          <w:sz w:val="22"/>
          <w:szCs w:val="22"/>
        </w:rPr>
        <w:t xml:space="preserve">a </w:t>
      </w:r>
      <w:r w:rsidR="00D1347F" w:rsidRPr="00516FC7">
        <w:rPr>
          <w:rFonts w:asciiTheme="minorHAnsi" w:hAnsiTheme="minorHAnsi" w:cstheme="minorHAnsi"/>
          <w:color w:val="000000" w:themeColor="text1"/>
          <w:sz w:val="22"/>
          <w:szCs w:val="22"/>
        </w:rPr>
        <w:t xml:space="preserve">specialist </w:t>
      </w:r>
      <w:r w:rsidR="00F278EC" w:rsidRPr="00516FC7">
        <w:rPr>
          <w:rFonts w:asciiTheme="minorHAnsi" w:hAnsiTheme="minorHAnsi" w:cstheme="minorHAnsi"/>
          <w:color w:val="000000" w:themeColor="text1"/>
          <w:sz w:val="22"/>
          <w:szCs w:val="22"/>
        </w:rPr>
        <w:t>inpatient addiction</w:t>
      </w:r>
      <w:r w:rsidR="00DD6A40" w:rsidRPr="00516FC7">
        <w:rPr>
          <w:rFonts w:asciiTheme="minorHAnsi" w:hAnsiTheme="minorHAnsi" w:cstheme="minorHAnsi"/>
          <w:color w:val="000000" w:themeColor="text1"/>
          <w:sz w:val="22"/>
          <w:szCs w:val="22"/>
        </w:rPr>
        <w:t>s</w:t>
      </w:r>
      <w:r w:rsidR="00F278EC" w:rsidRPr="00516FC7">
        <w:rPr>
          <w:rFonts w:asciiTheme="minorHAnsi" w:hAnsiTheme="minorHAnsi" w:cstheme="minorHAnsi"/>
          <w:color w:val="000000" w:themeColor="text1"/>
          <w:sz w:val="22"/>
          <w:szCs w:val="22"/>
        </w:rPr>
        <w:t xml:space="preserve"> </w:t>
      </w:r>
      <w:r w:rsidR="00D1347F" w:rsidRPr="00516FC7">
        <w:rPr>
          <w:rFonts w:asciiTheme="minorHAnsi" w:hAnsiTheme="minorHAnsi" w:cstheme="minorHAnsi"/>
          <w:color w:val="000000" w:themeColor="text1"/>
          <w:sz w:val="22"/>
          <w:szCs w:val="22"/>
        </w:rPr>
        <w:t>unit.</w:t>
      </w:r>
      <w:r w:rsidR="00D1347F" w:rsidRPr="00FD4FB7">
        <w:rPr>
          <w:rFonts w:asciiTheme="minorHAnsi" w:hAnsiTheme="minorHAnsi" w:cstheme="minorHAnsi"/>
          <w:color w:val="000000" w:themeColor="text1"/>
          <w:sz w:val="22"/>
          <w:szCs w:val="22"/>
        </w:rPr>
        <w:t xml:space="preserve"> </w:t>
      </w:r>
      <w:r w:rsidR="007231C1" w:rsidRPr="00FD4FB7">
        <w:rPr>
          <w:rFonts w:asciiTheme="minorHAnsi" w:hAnsiTheme="minorHAnsi" w:cstheme="minorHAnsi"/>
          <w:color w:val="000000" w:themeColor="text1"/>
          <w:sz w:val="22"/>
          <w:szCs w:val="22"/>
        </w:rPr>
        <w:t>MAAW</w:t>
      </w:r>
      <w:r w:rsidR="00F3057D" w:rsidRPr="00FD4FB7">
        <w:rPr>
          <w:rFonts w:asciiTheme="minorHAnsi" w:hAnsiTheme="minorHAnsi" w:cstheme="minorHAnsi"/>
          <w:color w:val="000000" w:themeColor="text1"/>
          <w:sz w:val="22"/>
          <w:szCs w:val="22"/>
        </w:rPr>
        <w:t xml:space="preserve"> had been overseen by a</w:t>
      </w:r>
      <w:r w:rsidR="00B80B3A" w:rsidRPr="00FD4FB7">
        <w:rPr>
          <w:rFonts w:asciiTheme="minorHAnsi" w:hAnsiTheme="minorHAnsi" w:cstheme="minorHAnsi"/>
          <w:color w:val="000000" w:themeColor="text1"/>
          <w:sz w:val="22"/>
          <w:szCs w:val="22"/>
        </w:rPr>
        <w:t>n addiction</w:t>
      </w:r>
      <w:r w:rsidR="00DD6A40" w:rsidRPr="00FD4FB7">
        <w:rPr>
          <w:rFonts w:asciiTheme="minorHAnsi" w:hAnsiTheme="minorHAnsi" w:cstheme="minorHAnsi"/>
          <w:color w:val="000000" w:themeColor="text1"/>
          <w:sz w:val="22"/>
          <w:szCs w:val="22"/>
        </w:rPr>
        <w:t>s</w:t>
      </w:r>
      <w:r w:rsidR="00F3057D" w:rsidRPr="00FD4FB7">
        <w:rPr>
          <w:rFonts w:asciiTheme="minorHAnsi" w:hAnsiTheme="minorHAnsi" w:cstheme="minorHAnsi"/>
          <w:color w:val="000000" w:themeColor="text1"/>
          <w:sz w:val="22"/>
          <w:szCs w:val="22"/>
        </w:rPr>
        <w:t xml:space="preserve"> specialist in 33 (4%) of the patients on an acute adult ward</w:t>
      </w:r>
      <w:r w:rsidR="003130CA" w:rsidRPr="00FD4FB7">
        <w:rPr>
          <w:rFonts w:asciiTheme="minorHAnsi" w:hAnsiTheme="minorHAnsi" w:cstheme="minorHAnsi"/>
          <w:color w:val="000000" w:themeColor="text1"/>
          <w:sz w:val="22"/>
          <w:szCs w:val="22"/>
        </w:rPr>
        <w:t>,</w:t>
      </w:r>
      <w:r w:rsidR="00F3057D" w:rsidRPr="00FD4FB7">
        <w:rPr>
          <w:rFonts w:asciiTheme="minorHAnsi" w:hAnsiTheme="minorHAnsi" w:cstheme="minorHAnsi"/>
          <w:color w:val="000000" w:themeColor="text1"/>
          <w:sz w:val="22"/>
          <w:szCs w:val="22"/>
        </w:rPr>
        <w:t xml:space="preserve"> but none of those on a PICU had received such specialist clinical input. </w:t>
      </w:r>
      <w:r w:rsidR="001072AC" w:rsidRPr="00FD4FB7">
        <w:rPr>
          <w:rFonts w:asciiTheme="minorHAnsi" w:hAnsiTheme="minorHAnsi" w:cstheme="minorHAnsi"/>
          <w:color w:val="000000" w:themeColor="text1"/>
          <w:sz w:val="22"/>
          <w:szCs w:val="22"/>
        </w:rPr>
        <w:t xml:space="preserve">The demographic and clinical characteristics of these service subsamples are shown in Table 1. </w:t>
      </w:r>
      <w:r w:rsidR="00E802FA" w:rsidRPr="00FD4FB7">
        <w:rPr>
          <w:rFonts w:asciiTheme="minorHAnsi" w:hAnsiTheme="minorHAnsi" w:cstheme="minorHAnsi"/>
          <w:color w:val="000000" w:themeColor="text1"/>
          <w:sz w:val="22"/>
          <w:szCs w:val="22"/>
        </w:rPr>
        <w:t>For most of the</w:t>
      </w:r>
      <w:r w:rsidR="00D33D88" w:rsidRPr="00FD4FB7">
        <w:rPr>
          <w:rFonts w:asciiTheme="minorHAnsi" w:hAnsiTheme="minorHAnsi" w:cstheme="minorHAnsi"/>
          <w:color w:val="000000" w:themeColor="text1"/>
          <w:sz w:val="22"/>
          <w:szCs w:val="22"/>
        </w:rPr>
        <w:t xml:space="preserve"> </w:t>
      </w:r>
      <w:r w:rsidR="00E802FA" w:rsidRPr="00FD4FB7">
        <w:rPr>
          <w:rFonts w:asciiTheme="minorHAnsi" w:hAnsiTheme="minorHAnsi" w:cstheme="minorHAnsi"/>
          <w:color w:val="000000" w:themeColor="text1"/>
          <w:sz w:val="22"/>
          <w:szCs w:val="22"/>
        </w:rPr>
        <w:t xml:space="preserve">patients on acute adult wards/PICUs, </w:t>
      </w:r>
      <w:r w:rsidR="00B80B3A" w:rsidRPr="00FD4FB7">
        <w:rPr>
          <w:rFonts w:asciiTheme="minorHAnsi" w:hAnsiTheme="minorHAnsi" w:cstheme="minorHAnsi"/>
          <w:color w:val="000000" w:themeColor="text1"/>
          <w:sz w:val="22"/>
          <w:szCs w:val="22"/>
        </w:rPr>
        <w:t xml:space="preserve">alcohol withdrawal </w:t>
      </w:r>
      <w:r w:rsidR="00E802FA" w:rsidRPr="00FD4FB7">
        <w:rPr>
          <w:rFonts w:asciiTheme="minorHAnsi" w:hAnsiTheme="minorHAnsi" w:cstheme="minorHAnsi"/>
          <w:color w:val="000000" w:themeColor="text1"/>
          <w:sz w:val="22"/>
          <w:szCs w:val="22"/>
        </w:rPr>
        <w:t xml:space="preserve">was unplanned (n=774, 85%), while for </w:t>
      </w:r>
      <w:proofErr w:type="gramStart"/>
      <w:r w:rsidR="00FC1152" w:rsidRPr="00FD4FB7">
        <w:rPr>
          <w:rFonts w:asciiTheme="minorHAnsi" w:hAnsiTheme="minorHAnsi" w:cstheme="minorHAnsi"/>
          <w:color w:val="000000" w:themeColor="text1"/>
          <w:sz w:val="22"/>
          <w:szCs w:val="22"/>
        </w:rPr>
        <w:t>the</w:t>
      </w:r>
      <w:r w:rsidR="003B31D3" w:rsidRPr="00FD4FB7">
        <w:rPr>
          <w:rFonts w:asciiTheme="minorHAnsi" w:hAnsiTheme="minorHAnsi" w:cstheme="minorHAnsi"/>
          <w:color w:val="000000" w:themeColor="text1"/>
          <w:sz w:val="22"/>
          <w:szCs w:val="22"/>
        </w:rPr>
        <w:t xml:space="preserve"> </w:t>
      </w:r>
      <w:r w:rsidR="00FC1152" w:rsidRPr="00FD4FB7">
        <w:rPr>
          <w:rFonts w:asciiTheme="minorHAnsi" w:hAnsiTheme="minorHAnsi" w:cstheme="minorHAnsi"/>
          <w:color w:val="000000" w:themeColor="text1"/>
          <w:sz w:val="22"/>
          <w:szCs w:val="22"/>
        </w:rPr>
        <w:t>majority of</w:t>
      </w:r>
      <w:proofErr w:type="gramEnd"/>
      <w:r w:rsidR="00FC1152" w:rsidRPr="00FD4FB7">
        <w:rPr>
          <w:rFonts w:asciiTheme="minorHAnsi" w:hAnsiTheme="minorHAnsi" w:cstheme="minorHAnsi"/>
          <w:color w:val="000000" w:themeColor="text1"/>
          <w:sz w:val="22"/>
          <w:szCs w:val="22"/>
        </w:rPr>
        <w:t xml:space="preserve"> patients on specialist alcohol units (n=</w:t>
      </w:r>
      <w:r w:rsidR="00D33D88" w:rsidRPr="00FD4FB7">
        <w:rPr>
          <w:rFonts w:asciiTheme="minorHAnsi" w:hAnsiTheme="minorHAnsi" w:cstheme="minorHAnsi"/>
          <w:color w:val="000000" w:themeColor="text1"/>
          <w:sz w:val="22"/>
          <w:szCs w:val="22"/>
        </w:rPr>
        <w:t>336</w:t>
      </w:r>
      <w:r w:rsidR="00FC1152" w:rsidRPr="00FD4FB7">
        <w:rPr>
          <w:rFonts w:asciiTheme="minorHAnsi" w:hAnsiTheme="minorHAnsi" w:cstheme="minorHAnsi"/>
          <w:color w:val="000000" w:themeColor="text1"/>
          <w:sz w:val="22"/>
          <w:szCs w:val="22"/>
        </w:rPr>
        <w:t xml:space="preserve">, </w:t>
      </w:r>
      <w:r w:rsidR="00D33D88" w:rsidRPr="00FD4FB7">
        <w:rPr>
          <w:rFonts w:asciiTheme="minorHAnsi" w:hAnsiTheme="minorHAnsi" w:cstheme="minorHAnsi"/>
          <w:color w:val="000000" w:themeColor="text1"/>
          <w:sz w:val="22"/>
          <w:szCs w:val="22"/>
        </w:rPr>
        <w:t>71%)</w:t>
      </w:r>
      <w:r w:rsidR="00E802FA" w:rsidRPr="00FD4FB7">
        <w:rPr>
          <w:rFonts w:asciiTheme="minorHAnsi" w:hAnsiTheme="minorHAnsi" w:cstheme="minorHAnsi"/>
          <w:color w:val="000000" w:themeColor="text1"/>
          <w:sz w:val="22"/>
          <w:szCs w:val="22"/>
        </w:rPr>
        <w:t>,</w:t>
      </w:r>
      <w:r w:rsidR="00D33D88" w:rsidRPr="00FD4FB7">
        <w:rPr>
          <w:rFonts w:asciiTheme="minorHAnsi" w:hAnsiTheme="minorHAnsi" w:cstheme="minorHAnsi"/>
          <w:color w:val="000000" w:themeColor="text1"/>
          <w:sz w:val="22"/>
          <w:szCs w:val="22"/>
        </w:rPr>
        <w:t xml:space="preserve"> </w:t>
      </w:r>
      <w:r w:rsidR="00E802FA" w:rsidRPr="00FD4FB7">
        <w:rPr>
          <w:rFonts w:asciiTheme="minorHAnsi" w:hAnsiTheme="minorHAnsi" w:cstheme="minorHAnsi"/>
          <w:color w:val="000000" w:themeColor="text1"/>
          <w:sz w:val="22"/>
          <w:szCs w:val="22"/>
        </w:rPr>
        <w:t xml:space="preserve">the admission for </w:t>
      </w:r>
      <w:r w:rsidR="003B35E9" w:rsidRPr="00FD4FB7">
        <w:rPr>
          <w:rFonts w:asciiTheme="minorHAnsi" w:hAnsiTheme="minorHAnsi" w:cstheme="minorHAnsi"/>
          <w:color w:val="000000" w:themeColor="text1"/>
          <w:sz w:val="22"/>
          <w:szCs w:val="22"/>
        </w:rPr>
        <w:t xml:space="preserve">MAAW </w:t>
      </w:r>
      <w:r w:rsidR="00E802FA" w:rsidRPr="00FD4FB7">
        <w:rPr>
          <w:rFonts w:asciiTheme="minorHAnsi" w:hAnsiTheme="minorHAnsi" w:cstheme="minorHAnsi"/>
          <w:color w:val="000000" w:themeColor="text1"/>
          <w:sz w:val="22"/>
          <w:szCs w:val="22"/>
        </w:rPr>
        <w:t xml:space="preserve">had been </w:t>
      </w:r>
      <w:r w:rsidR="00FC1152" w:rsidRPr="00FD4FB7">
        <w:rPr>
          <w:rFonts w:asciiTheme="minorHAnsi" w:hAnsiTheme="minorHAnsi" w:cstheme="minorHAnsi"/>
          <w:color w:val="000000" w:themeColor="text1"/>
          <w:sz w:val="22"/>
          <w:szCs w:val="22"/>
        </w:rPr>
        <w:t>planned.</w:t>
      </w:r>
      <w:r w:rsidR="00FE5E81" w:rsidRPr="00FD4FB7">
        <w:rPr>
          <w:rFonts w:asciiTheme="minorHAnsi" w:hAnsiTheme="minorHAnsi" w:cstheme="minorHAnsi"/>
          <w:color w:val="000000" w:themeColor="text1"/>
          <w:sz w:val="22"/>
          <w:szCs w:val="22"/>
        </w:rPr>
        <w:t xml:space="preserve"> </w:t>
      </w:r>
    </w:p>
    <w:p w14:paraId="4C2B8D55" w14:textId="77777777" w:rsidR="00763A5B" w:rsidRPr="00FD4FB7" w:rsidRDefault="00763A5B" w:rsidP="002B38DB">
      <w:pPr>
        <w:spacing w:line="360" w:lineRule="auto"/>
        <w:rPr>
          <w:rFonts w:asciiTheme="minorHAnsi" w:hAnsiTheme="minorHAnsi" w:cstheme="minorHAnsi"/>
          <w:color w:val="000000" w:themeColor="text1"/>
          <w:sz w:val="22"/>
          <w:szCs w:val="22"/>
        </w:rPr>
      </w:pPr>
    </w:p>
    <w:p w14:paraId="29D811F1" w14:textId="44EF2DBA" w:rsidR="00BA5773" w:rsidRPr="00FD4FB7" w:rsidRDefault="00357F5A" w:rsidP="002B38DB">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In the</w:t>
      </w:r>
      <w:r w:rsidR="006314A8" w:rsidRPr="00FD4FB7">
        <w:rPr>
          <w:rFonts w:asciiTheme="minorHAnsi" w:hAnsiTheme="minorHAnsi" w:cstheme="minorHAnsi"/>
          <w:color w:val="000000" w:themeColor="text1"/>
          <w:sz w:val="22"/>
          <w:szCs w:val="22"/>
        </w:rPr>
        <w:t xml:space="preserve"> total national sample, advice from a physician </w:t>
      </w:r>
      <w:r w:rsidRPr="00FD4FB7">
        <w:rPr>
          <w:rFonts w:asciiTheme="minorHAnsi" w:hAnsiTheme="minorHAnsi" w:cstheme="minorHAnsi"/>
          <w:color w:val="000000" w:themeColor="text1"/>
          <w:sz w:val="22"/>
          <w:szCs w:val="22"/>
        </w:rPr>
        <w:t xml:space="preserve">had been </w:t>
      </w:r>
      <w:r w:rsidR="006314A8" w:rsidRPr="00FD4FB7">
        <w:rPr>
          <w:rFonts w:asciiTheme="minorHAnsi" w:hAnsiTheme="minorHAnsi" w:cstheme="minorHAnsi"/>
          <w:color w:val="000000" w:themeColor="text1"/>
          <w:sz w:val="22"/>
          <w:szCs w:val="22"/>
        </w:rPr>
        <w:t>sought for 162 (16%) patients during their inpatient stay, of whom 39 (24%) were transferred to a</w:t>
      </w:r>
      <w:r w:rsidR="007231C1" w:rsidRPr="00FD4FB7">
        <w:rPr>
          <w:rFonts w:asciiTheme="minorHAnsi" w:hAnsiTheme="minorHAnsi" w:cstheme="minorHAnsi"/>
          <w:color w:val="000000" w:themeColor="text1"/>
          <w:sz w:val="22"/>
          <w:szCs w:val="22"/>
        </w:rPr>
        <w:t>n acute</w:t>
      </w:r>
      <w:r w:rsidR="006314A8" w:rsidRPr="00FD4FB7">
        <w:rPr>
          <w:rFonts w:asciiTheme="minorHAnsi" w:hAnsiTheme="minorHAnsi" w:cstheme="minorHAnsi"/>
          <w:color w:val="000000" w:themeColor="text1"/>
          <w:sz w:val="22"/>
          <w:szCs w:val="22"/>
        </w:rPr>
        <w:t xml:space="preserve"> medical bed because of complications of alcohol use or withdrawal.</w:t>
      </w:r>
    </w:p>
    <w:p w14:paraId="13D083FF" w14:textId="77777777" w:rsidR="00A6174D" w:rsidRPr="00FD4FB7" w:rsidRDefault="00A6174D" w:rsidP="002B38DB">
      <w:pPr>
        <w:spacing w:line="360" w:lineRule="auto"/>
        <w:rPr>
          <w:rFonts w:asciiTheme="minorHAnsi" w:hAnsiTheme="minorHAnsi" w:cstheme="minorHAnsi"/>
          <w:b/>
          <w:color w:val="000000" w:themeColor="text1"/>
          <w:sz w:val="22"/>
          <w:szCs w:val="22"/>
        </w:rPr>
      </w:pPr>
    </w:p>
    <w:p w14:paraId="4F92C134" w14:textId="56D3BB97" w:rsidR="0053220F" w:rsidRPr="00FD4FB7" w:rsidRDefault="0053220F" w:rsidP="002B38DB">
      <w:pPr>
        <w:spacing w:line="360" w:lineRule="auto"/>
        <w:rPr>
          <w:rFonts w:asciiTheme="minorHAnsi" w:hAnsiTheme="minorHAnsi" w:cstheme="minorHAnsi"/>
          <w:b/>
          <w:color w:val="000000" w:themeColor="text1"/>
          <w:sz w:val="22"/>
          <w:szCs w:val="22"/>
        </w:rPr>
      </w:pPr>
      <w:r w:rsidRPr="00FD4FB7">
        <w:rPr>
          <w:rFonts w:asciiTheme="minorHAnsi" w:hAnsiTheme="minorHAnsi" w:cstheme="minorHAnsi"/>
          <w:b/>
          <w:color w:val="000000" w:themeColor="text1"/>
          <w:sz w:val="22"/>
          <w:szCs w:val="22"/>
        </w:rPr>
        <w:t>Assessment on admission</w:t>
      </w:r>
    </w:p>
    <w:p w14:paraId="4C0AD68F" w14:textId="2A30E3BE" w:rsidR="0053220F" w:rsidRPr="00FD4FB7" w:rsidRDefault="0053220F" w:rsidP="00D73DE7">
      <w:pPr>
        <w:pStyle w:val="NoSpacing"/>
        <w:spacing w:line="360" w:lineRule="auto"/>
        <w:rPr>
          <w:rFonts w:cstheme="minorHAnsi"/>
          <w:i/>
          <w:iCs/>
        </w:rPr>
      </w:pPr>
      <w:r w:rsidRPr="00FD4FB7">
        <w:rPr>
          <w:rFonts w:cstheme="minorHAnsi"/>
          <w:i/>
          <w:iCs/>
        </w:rPr>
        <w:t>Alcohol history</w:t>
      </w:r>
      <w:r w:rsidR="00EE7F57" w:rsidRPr="00FD4FB7">
        <w:rPr>
          <w:rFonts w:cstheme="minorHAnsi"/>
          <w:i/>
          <w:iCs/>
        </w:rPr>
        <w:t xml:space="preserve"> (practice standard 1)</w:t>
      </w:r>
    </w:p>
    <w:p w14:paraId="54563041" w14:textId="5AEC5EC8" w:rsidR="007F0F2F" w:rsidRPr="00FD4FB7" w:rsidRDefault="0053220F" w:rsidP="00D73DE7">
      <w:pPr>
        <w:pStyle w:val="NoSpacing"/>
        <w:spacing w:line="360" w:lineRule="auto"/>
        <w:rPr>
          <w:rFonts w:cstheme="minorHAnsi"/>
        </w:rPr>
      </w:pPr>
      <w:r w:rsidRPr="00FD4FB7">
        <w:rPr>
          <w:rFonts w:cstheme="minorHAnsi"/>
        </w:rPr>
        <w:t xml:space="preserve">During the initial assessment, </w:t>
      </w:r>
      <w:r w:rsidR="007A162B" w:rsidRPr="00FD4FB7">
        <w:rPr>
          <w:rFonts w:cstheme="minorHAnsi"/>
        </w:rPr>
        <w:t xml:space="preserve">information on the </w:t>
      </w:r>
      <w:r w:rsidR="00A87E61" w:rsidRPr="00FD4FB7">
        <w:rPr>
          <w:rFonts w:cstheme="minorHAnsi"/>
        </w:rPr>
        <w:t>daily alcohol intake prior to admission</w:t>
      </w:r>
      <w:r w:rsidR="007A162B" w:rsidRPr="00FD4FB7">
        <w:rPr>
          <w:rFonts w:cstheme="minorHAnsi"/>
        </w:rPr>
        <w:t xml:space="preserve"> had been recorded in </w:t>
      </w:r>
      <w:r w:rsidR="003162E7" w:rsidRPr="00FD4FB7">
        <w:rPr>
          <w:rFonts w:cstheme="minorHAnsi"/>
        </w:rPr>
        <w:t>the clinical records of</w:t>
      </w:r>
      <w:r w:rsidR="00C52BD7" w:rsidRPr="00FD4FB7">
        <w:rPr>
          <w:rFonts w:cstheme="minorHAnsi"/>
        </w:rPr>
        <w:t xml:space="preserve"> 529 (60%</w:t>
      </w:r>
      <w:r w:rsidR="006E5936" w:rsidRPr="00FD4FB7">
        <w:rPr>
          <w:rFonts w:cstheme="minorHAnsi"/>
        </w:rPr>
        <w:t>; 95% confidence interval [CI] 57-</w:t>
      </w:r>
      <w:r w:rsidR="006E5936" w:rsidRPr="00FD4FB7">
        <w:rPr>
          <w:rFonts w:cstheme="minorHAnsi"/>
          <w:color w:val="000000" w:themeColor="text1"/>
        </w:rPr>
        <w:t>6</w:t>
      </w:r>
      <w:r w:rsidR="00776EC6" w:rsidRPr="00FD4FB7">
        <w:rPr>
          <w:rFonts w:cstheme="minorHAnsi"/>
          <w:color w:val="000000" w:themeColor="text1"/>
        </w:rPr>
        <w:t>4</w:t>
      </w:r>
      <w:r w:rsidR="006E5936" w:rsidRPr="00FD4FB7">
        <w:rPr>
          <w:rFonts w:cstheme="minorHAnsi"/>
          <w:color w:val="000000" w:themeColor="text1"/>
        </w:rPr>
        <w:t>%</w:t>
      </w:r>
      <w:r w:rsidR="00C52BD7" w:rsidRPr="00FD4FB7">
        <w:rPr>
          <w:rFonts w:cstheme="minorHAnsi"/>
          <w:color w:val="000000" w:themeColor="text1"/>
        </w:rPr>
        <w:t xml:space="preserve">) of </w:t>
      </w:r>
      <w:r w:rsidR="00C52BD7" w:rsidRPr="00FD4FB7">
        <w:rPr>
          <w:rFonts w:cstheme="minorHAnsi"/>
        </w:rPr>
        <w:t>the 875 patients on an acute adult ward/PICU for whom there had not been specialist input</w:t>
      </w:r>
      <w:r w:rsidR="00B5695D" w:rsidRPr="00FD4FB7">
        <w:rPr>
          <w:rFonts w:cstheme="minorHAnsi"/>
        </w:rPr>
        <w:t xml:space="preserve"> and </w:t>
      </w:r>
      <w:r w:rsidR="00C52BD7" w:rsidRPr="00FD4FB7">
        <w:rPr>
          <w:rFonts w:cstheme="minorHAnsi"/>
        </w:rPr>
        <w:t>28 (</w:t>
      </w:r>
      <w:r w:rsidR="00C52BD7" w:rsidRPr="00FD4FB7">
        <w:rPr>
          <w:rFonts w:cstheme="minorHAnsi"/>
          <w:color w:val="000000" w:themeColor="text1"/>
        </w:rPr>
        <w:t>85%</w:t>
      </w:r>
      <w:r w:rsidR="00A50D5A" w:rsidRPr="00FD4FB7">
        <w:rPr>
          <w:rFonts w:cstheme="minorHAnsi"/>
          <w:color w:val="000000" w:themeColor="text1"/>
        </w:rPr>
        <w:t>;</w:t>
      </w:r>
      <w:r w:rsidR="005A2B43">
        <w:rPr>
          <w:rFonts w:cstheme="minorHAnsi"/>
          <w:color w:val="000000" w:themeColor="text1"/>
        </w:rPr>
        <w:t xml:space="preserve"> </w:t>
      </w:r>
      <w:r w:rsidR="005A2B43" w:rsidRPr="009C2224">
        <w:rPr>
          <w:rFonts w:cstheme="minorHAnsi"/>
          <w:color w:val="000000" w:themeColor="text1"/>
          <w:highlight w:val="yellow"/>
        </w:rPr>
        <w:t>95%CI</w:t>
      </w:r>
      <w:r w:rsidR="00A50D5A" w:rsidRPr="00FD4FB7">
        <w:rPr>
          <w:rFonts w:cstheme="minorHAnsi"/>
          <w:color w:val="000000" w:themeColor="text1"/>
        </w:rPr>
        <w:t xml:space="preserve"> </w:t>
      </w:r>
      <w:r w:rsidR="00192BA4" w:rsidRPr="00FD4FB7">
        <w:rPr>
          <w:rFonts w:cstheme="minorHAnsi"/>
          <w:color w:val="000000" w:themeColor="text1"/>
        </w:rPr>
        <w:t>73-97</w:t>
      </w:r>
      <w:r w:rsidR="006370CC" w:rsidRPr="00FD4FB7">
        <w:rPr>
          <w:rFonts w:cstheme="minorHAnsi"/>
          <w:color w:val="000000" w:themeColor="text1"/>
        </w:rPr>
        <w:t>%</w:t>
      </w:r>
      <w:r w:rsidR="00C52BD7" w:rsidRPr="00FD4FB7">
        <w:rPr>
          <w:rFonts w:cstheme="minorHAnsi"/>
          <w:color w:val="000000" w:themeColor="text1"/>
        </w:rPr>
        <w:t xml:space="preserve">) of </w:t>
      </w:r>
      <w:r w:rsidR="00C52BD7" w:rsidRPr="00FD4FB7">
        <w:rPr>
          <w:rFonts w:cstheme="minorHAnsi"/>
        </w:rPr>
        <w:t>the 33 patients where a</w:t>
      </w:r>
      <w:r w:rsidR="004375B0" w:rsidRPr="00FD4FB7">
        <w:rPr>
          <w:rFonts w:cstheme="minorHAnsi"/>
        </w:rPr>
        <w:t xml:space="preserve">n </w:t>
      </w:r>
      <w:r w:rsidR="004375B0" w:rsidRPr="00516FC7">
        <w:rPr>
          <w:rFonts w:cstheme="minorHAnsi"/>
        </w:rPr>
        <w:t>addiction</w:t>
      </w:r>
      <w:r w:rsidR="00883021" w:rsidRPr="00516FC7">
        <w:rPr>
          <w:rFonts w:cstheme="minorHAnsi"/>
        </w:rPr>
        <w:t>s</w:t>
      </w:r>
      <w:r w:rsidR="00C52BD7" w:rsidRPr="00FD4FB7">
        <w:rPr>
          <w:rFonts w:cstheme="minorHAnsi"/>
        </w:rPr>
        <w:t xml:space="preserve"> specialist had been involved in their care</w:t>
      </w:r>
      <w:r w:rsidR="00B5695D" w:rsidRPr="00FD4FB7">
        <w:rPr>
          <w:rFonts w:cstheme="minorHAnsi"/>
        </w:rPr>
        <w:t>.</w:t>
      </w:r>
      <w:r w:rsidR="00C52BD7" w:rsidRPr="00FD4FB7">
        <w:rPr>
          <w:rFonts w:cstheme="minorHAnsi"/>
        </w:rPr>
        <w:t xml:space="preserve"> </w:t>
      </w:r>
      <w:r w:rsidR="00B5695D" w:rsidRPr="00FD4FB7">
        <w:rPr>
          <w:rFonts w:cstheme="minorHAnsi"/>
        </w:rPr>
        <w:t>For the</w:t>
      </w:r>
      <w:r w:rsidR="00C61C2A" w:rsidRPr="00FD4FB7">
        <w:rPr>
          <w:rFonts w:cstheme="minorHAnsi"/>
        </w:rPr>
        <w:t>se</w:t>
      </w:r>
      <w:r w:rsidR="00B5695D" w:rsidRPr="00FD4FB7">
        <w:rPr>
          <w:rFonts w:cstheme="minorHAnsi"/>
        </w:rPr>
        <w:t xml:space="preserve"> 557 patients</w:t>
      </w:r>
      <w:r w:rsidR="000909D4" w:rsidRPr="00FD4FB7">
        <w:rPr>
          <w:rFonts w:cstheme="minorHAnsi"/>
        </w:rPr>
        <w:t xml:space="preserve">, the </w:t>
      </w:r>
      <w:r w:rsidR="00C61C2A" w:rsidRPr="00FD4FB7">
        <w:rPr>
          <w:rFonts w:cstheme="minorHAnsi"/>
        </w:rPr>
        <w:t>i</w:t>
      </w:r>
      <w:r w:rsidR="00B5695D" w:rsidRPr="00FD4FB7">
        <w:rPr>
          <w:rFonts w:cstheme="minorHAnsi"/>
        </w:rPr>
        <w:t>nformation on their daily alcohol intake</w:t>
      </w:r>
      <w:r w:rsidR="000909D4" w:rsidRPr="00FD4FB7">
        <w:rPr>
          <w:rFonts w:cstheme="minorHAnsi"/>
        </w:rPr>
        <w:t xml:space="preserve"> had been </w:t>
      </w:r>
      <w:r w:rsidR="00B5695D" w:rsidRPr="00FD4FB7">
        <w:rPr>
          <w:rFonts w:cstheme="minorHAnsi"/>
        </w:rPr>
        <w:t xml:space="preserve">recorded in terms of units </w:t>
      </w:r>
      <w:r w:rsidR="000909D4" w:rsidRPr="00FD4FB7">
        <w:rPr>
          <w:rFonts w:cstheme="minorHAnsi"/>
        </w:rPr>
        <w:t xml:space="preserve">of alcohol </w:t>
      </w:r>
      <w:r w:rsidR="00B5695D" w:rsidRPr="00FD4FB7">
        <w:rPr>
          <w:rFonts w:cstheme="minorHAnsi"/>
        </w:rPr>
        <w:t>in 445 (80%)</w:t>
      </w:r>
      <w:r w:rsidR="000909D4" w:rsidRPr="00FD4FB7">
        <w:rPr>
          <w:rFonts w:cstheme="minorHAnsi"/>
        </w:rPr>
        <w:t>,</w:t>
      </w:r>
      <w:r w:rsidR="00B5695D" w:rsidRPr="00FD4FB7">
        <w:rPr>
          <w:rFonts w:cstheme="minorHAnsi"/>
        </w:rPr>
        <w:t xml:space="preserve"> while in the remaining 112 (20%) the number of units was calculated</w:t>
      </w:r>
      <w:r w:rsidR="007141F2" w:rsidRPr="00FD4FB7">
        <w:rPr>
          <w:rFonts w:cstheme="minorHAnsi"/>
        </w:rPr>
        <w:t>,</w:t>
      </w:r>
      <w:r w:rsidR="00B5695D" w:rsidRPr="00FD4FB7">
        <w:rPr>
          <w:rFonts w:cstheme="minorHAnsi"/>
        </w:rPr>
        <w:t xml:space="preserve"> </w:t>
      </w:r>
      <w:r w:rsidR="007141F2" w:rsidRPr="00FD4FB7">
        <w:rPr>
          <w:rFonts w:cstheme="minorHAnsi"/>
        </w:rPr>
        <w:t xml:space="preserve">during data analysis, </w:t>
      </w:r>
      <w:r w:rsidR="00B5695D" w:rsidRPr="00FD4FB7">
        <w:rPr>
          <w:rFonts w:cstheme="minorHAnsi"/>
        </w:rPr>
        <w:t xml:space="preserve">from </w:t>
      </w:r>
      <w:r w:rsidR="00C61C2A" w:rsidRPr="00FD4FB7">
        <w:rPr>
          <w:rFonts w:cstheme="minorHAnsi"/>
        </w:rPr>
        <w:t xml:space="preserve">the </w:t>
      </w:r>
      <w:r w:rsidR="00B5695D" w:rsidRPr="00FD4FB7">
        <w:rPr>
          <w:rFonts w:cstheme="minorHAnsi"/>
        </w:rPr>
        <w:t>information provided on the alcoholic drinks</w:t>
      </w:r>
      <w:r w:rsidR="000909D4" w:rsidRPr="00FD4FB7">
        <w:rPr>
          <w:rFonts w:cstheme="minorHAnsi"/>
        </w:rPr>
        <w:t xml:space="preserve"> they</w:t>
      </w:r>
      <w:r w:rsidR="00B5695D" w:rsidRPr="00FD4FB7">
        <w:rPr>
          <w:rFonts w:cstheme="minorHAnsi"/>
        </w:rPr>
        <w:t xml:space="preserve"> consumed daily. </w:t>
      </w:r>
      <w:r w:rsidR="00C61C2A" w:rsidRPr="00FD4FB7">
        <w:rPr>
          <w:rFonts w:cstheme="minorHAnsi"/>
        </w:rPr>
        <w:t xml:space="preserve">Of the </w:t>
      </w:r>
      <w:r w:rsidR="00C52BD7" w:rsidRPr="00FD4FB7">
        <w:rPr>
          <w:rFonts w:cstheme="minorHAnsi"/>
        </w:rPr>
        <w:t xml:space="preserve">347 </w:t>
      </w:r>
      <w:r w:rsidR="007A162B" w:rsidRPr="00FD4FB7">
        <w:rPr>
          <w:rFonts w:cstheme="minorHAnsi"/>
        </w:rPr>
        <w:t>patient</w:t>
      </w:r>
      <w:r w:rsidR="00F55DB0" w:rsidRPr="00FD4FB7">
        <w:rPr>
          <w:rFonts w:cstheme="minorHAnsi"/>
        </w:rPr>
        <w:t>s</w:t>
      </w:r>
      <w:r w:rsidR="007A162B" w:rsidRPr="00FD4FB7">
        <w:rPr>
          <w:rFonts w:cstheme="minorHAnsi"/>
        </w:rPr>
        <w:t xml:space="preserve"> </w:t>
      </w:r>
      <w:r w:rsidR="006957DF" w:rsidRPr="00FD4FB7">
        <w:rPr>
          <w:rFonts w:cstheme="minorHAnsi"/>
        </w:rPr>
        <w:t>treated in a</w:t>
      </w:r>
      <w:r w:rsidR="007A162B" w:rsidRPr="00FD4FB7">
        <w:rPr>
          <w:rFonts w:cstheme="minorHAnsi"/>
        </w:rPr>
        <w:t xml:space="preserve"> specialist alcohol unit</w:t>
      </w:r>
      <w:r w:rsidR="00C61C2A" w:rsidRPr="00FD4FB7">
        <w:rPr>
          <w:rFonts w:cstheme="minorHAnsi"/>
        </w:rPr>
        <w:t>, daily alcohol intake prior to admission was recorded in 343 (99%</w:t>
      </w:r>
      <w:r w:rsidR="006E11F5" w:rsidRPr="00FD4FB7">
        <w:rPr>
          <w:rFonts w:cstheme="minorHAnsi"/>
        </w:rPr>
        <w:t xml:space="preserve">; </w:t>
      </w:r>
      <w:r w:rsidR="005A2B43" w:rsidRPr="009C2224">
        <w:rPr>
          <w:rFonts w:cstheme="minorHAnsi"/>
          <w:highlight w:val="yellow"/>
        </w:rPr>
        <w:t>95%CI</w:t>
      </w:r>
      <w:r w:rsidR="005A2B43">
        <w:rPr>
          <w:rFonts w:cstheme="minorHAnsi"/>
        </w:rPr>
        <w:t xml:space="preserve"> </w:t>
      </w:r>
      <w:r w:rsidR="006E11F5" w:rsidRPr="00FD4FB7">
        <w:rPr>
          <w:rFonts w:cstheme="minorHAnsi"/>
        </w:rPr>
        <w:t>98-100%</w:t>
      </w:r>
      <w:r w:rsidR="00192BA4" w:rsidRPr="00FD4FB7">
        <w:rPr>
          <w:rFonts w:cstheme="minorHAnsi"/>
          <w:color w:val="000000" w:themeColor="text1"/>
        </w:rPr>
        <w:t>),</w:t>
      </w:r>
      <w:r w:rsidR="000909D4" w:rsidRPr="00FD4FB7">
        <w:rPr>
          <w:rFonts w:cstheme="minorHAnsi"/>
          <w:color w:val="FF0000"/>
        </w:rPr>
        <w:t xml:space="preserve"> </w:t>
      </w:r>
      <w:r w:rsidR="00D63245" w:rsidRPr="00FD4FB7">
        <w:rPr>
          <w:rFonts w:cstheme="minorHAnsi"/>
        </w:rPr>
        <w:t>315</w:t>
      </w:r>
      <w:r w:rsidR="00C61C2A" w:rsidRPr="00FD4FB7">
        <w:rPr>
          <w:rFonts w:cstheme="minorHAnsi"/>
        </w:rPr>
        <w:t xml:space="preserve"> (</w:t>
      </w:r>
      <w:r w:rsidR="00D63245" w:rsidRPr="00FD4FB7">
        <w:rPr>
          <w:rFonts w:cstheme="minorHAnsi"/>
        </w:rPr>
        <w:t>92</w:t>
      </w:r>
      <w:r w:rsidR="00C61C2A" w:rsidRPr="00FD4FB7">
        <w:rPr>
          <w:rFonts w:cstheme="minorHAnsi"/>
        </w:rPr>
        <w:t>%)</w:t>
      </w:r>
      <w:r w:rsidR="000909D4" w:rsidRPr="00FD4FB7">
        <w:rPr>
          <w:rFonts w:cstheme="minorHAnsi"/>
        </w:rPr>
        <w:t xml:space="preserve"> of whom had this </w:t>
      </w:r>
      <w:r w:rsidR="00D63245" w:rsidRPr="00FD4FB7">
        <w:rPr>
          <w:rFonts w:cstheme="minorHAnsi"/>
        </w:rPr>
        <w:t xml:space="preserve">recorded as units of alcohol while in the remaining 28 (8%) the number of units was calculated from the </w:t>
      </w:r>
      <w:r w:rsidR="00740B20" w:rsidRPr="00FD4FB7">
        <w:rPr>
          <w:rFonts w:cstheme="minorHAnsi"/>
        </w:rPr>
        <w:t xml:space="preserve">description of the </w:t>
      </w:r>
      <w:r w:rsidR="00D63245" w:rsidRPr="00FD4FB7">
        <w:rPr>
          <w:rFonts w:cstheme="minorHAnsi"/>
        </w:rPr>
        <w:t>alcoholic drinks</w:t>
      </w:r>
      <w:r w:rsidR="00740B20" w:rsidRPr="00FD4FB7">
        <w:rPr>
          <w:rFonts w:cstheme="minorHAnsi"/>
        </w:rPr>
        <w:t xml:space="preserve"> consumed daily</w:t>
      </w:r>
      <w:r w:rsidR="00D63245" w:rsidRPr="00FD4FB7">
        <w:rPr>
          <w:rFonts w:cstheme="minorHAnsi"/>
        </w:rPr>
        <w:t xml:space="preserve">. </w:t>
      </w:r>
    </w:p>
    <w:p w14:paraId="012FFA81" w14:textId="77777777" w:rsidR="00D73DE7" w:rsidRPr="00FD4FB7" w:rsidRDefault="00D73DE7" w:rsidP="00D73DE7">
      <w:pPr>
        <w:pStyle w:val="NoSpacing"/>
        <w:rPr>
          <w:rFonts w:cstheme="minorHAnsi"/>
        </w:rPr>
      </w:pPr>
    </w:p>
    <w:p w14:paraId="7CE9CB63" w14:textId="1FE9EC7F" w:rsidR="006957DF" w:rsidRPr="00FD4FB7" w:rsidRDefault="00317877" w:rsidP="002B38DB">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lastRenderedPageBreak/>
        <w:t>Analysis of the</w:t>
      </w:r>
      <w:r w:rsidR="00E95CA3"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 xml:space="preserve">data revealed that the </w:t>
      </w:r>
      <w:r w:rsidR="00090CE1" w:rsidRPr="00FD4FB7">
        <w:rPr>
          <w:rFonts w:asciiTheme="minorHAnsi" w:hAnsiTheme="minorHAnsi" w:cstheme="minorHAnsi"/>
          <w:color w:val="000000" w:themeColor="text1"/>
          <w:sz w:val="22"/>
          <w:szCs w:val="22"/>
        </w:rPr>
        <w:t>me</w:t>
      </w:r>
      <w:r w:rsidR="00EB2CEA" w:rsidRPr="00FD4FB7">
        <w:rPr>
          <w:rFonts w:asciiTheme="minorHAnsi" w:hAnsiTheme="minorHAnsi" w:cstheme="minorHAnsi"/>
          <w:color w:val="000000" w:themeColor="text1"/>
          <w:sz w:val="22"/>
          <w:szCs w:val="22"/>
        </w:rPr>
        <w:t>dian</w:t>
      </w:r>
      <w:r w:rsidR="00090CE1" w:rsidRPr="00FD4FB7">
        <w:rPr>
          <w:rFonts w:asciiTheme="minorHAnsi" w:hAnsiTheme="minorHAnsi" w:cstheme="minorHAnsi"/>
          <w:color w:val="000000" w:themeColor="text1"/>
          <w:sz w:val="22"/>
          <w:szCs w:val="22"/>
        </w:rPr>
        <w:t xml:space="preserve"> </w:t>
      </w:r>
      <w:r w:rsidR="00EB2CEA" w:rsidRPr="00FD4FB7">
        <w:rPr>
          <w:rFonts w:asciiTheme="minorHAnsi" w:hAnsiTheme="minorHAnsi" w:cstheme="minorHAnsi"/>
          <w:color w:val="000000" w:themeColor="text1"/>
          <w:sz w:val="22"/>
          <w:szCs w:val="22"/>
        </w:rPr>
        <w:t>number</w:t>
      </w:r>
      <w:r w:rsidR="005E2095" w:rsidRPr="00FD4FB7">
        <w:rPr>
          <w:rFonts w:asciiTheme="minorHAnsi" w:hAnsiTheme="minorHAnsi" w:cstheme="minorHAnsi"/>
          <w:color w:val="000000" w:themeColor="text1"/>
          <w:sz w:val="22"/>
          <w:szCs w:val="22"/>
        </w:rPr>
        <w:t xml:space="preserve"> of units consumed each day by</w:t>
      </w:r>
      <w:r w:rsidR="006957DF" w:rsidRPr="00FD4FB7">
        <w:rPr>
          <w:rFonts w:asciiTheme="minorHAnsi" w:hAnsiTheme="minorHAnsi" w:cstheme="minorHAnsi"/>
          <w:color w:val="000000" w:themeColor="text1"/>
          <w:sz w:val="22"/>
          <w:szCs w:val="22"/>
        </w:rPr>
        <w:t xml:space="preserve"> 343 </w:t>
      </w:r>
      <w:r w:rsidR="00E95CA3" w:rsidRPr="00FD4FB7">
        <w:rPr>
          <w:rFonts w:asciiTheme="minorHAnsi" w:hAnsiTheme="minorHAnsi" w:cstheme="minorHAnsi"/>
          <w:color w:val="000000" w:themeColor="text1"/>
          <w:sz w:val="22"/>
          <w:szCs w:val="22"/>
        </w:rPr>
        <w:t xml:space="preserve">of the </w:t>
      </w:r>
      <w:r w:rsidR="006957DF" w:rsidRPr="00FD4FB7">
        <w:rPr>
          <w:rFonts w:asciiTheme="minorHAnsi" w:hAnsiTheme="minorHAnsi" w:cstheme="minorHAnsi"/>
          <w:color w:val="000000" w:themeColor="text1"/>
          <w:sz w:val="22"/>
          <w:szCs w:val="22"/>
        </w:rPr>
        <w:t xml:space="preserve">patients </w:t>
      </w:r>
      <w:r w:rsidR="005E2095" w:rsidRPr="00FD4FB7">
        <w:rPr>
          <w:rFonts w:asciiTheme="minorHAnsi" w:hAnsiTheme="minorHAnsi" w:cstheme="minorHAnsi"/>
          <w:color w:val="000000" w:themeColor="text1"/>
          <w:sz w:val="22"/>
          <w:szCs w:val="22"/>
        </w:rPr>
        <w:t xml:space="preserve">admitted to a </w:t>
      </w:r>
      <w:r w:rsidR="006957DF" w:rsidRPr="00FD4FB7">
        <w:rPr>
          <w:rFonts w:asciiTheme="minorHAnsi" w:hAnsiTheme="minorHAnsi" w:cstheme="minorHAnsi"/>
          <w:color w:val="000000" w:themeColor="text1"/>
          <w:sz w:val="22"/>
          <w:szCs w:val="22"/>
        </w:rPr>
        <w:t>specialist alcohol unit</w:t>
      </w:r>
      <w:r w:rsidR="005E2095" w:rsidRPr="00FD4FB7">
        <w:rPr>
          <w:rFonts w:asciiTheme="minorHAnsi" w:hAnsiTheme="minorHAnsi" w:cstheme="minorHAnsi"/>
          <w:color w:val="000000" w:themeColor="text1"/>
          <w:sz w:val="22"/>
          <w:szCs w:val="22"/>
        </w:rPr>
        <w:t xml:space="preserve"> was </w:t>
      </w:r>
      <w:r w:rsidR="00F34C53" w:rsidRPr="00FD4FB7">
        <w:rPr>
          <w:rFonts w:asciiTheme="minorHAnsi" w:hAnsiTheme="minorHAnsi" w:cstheme="minorHAnsi"/>
          <w:color w:val="000000" w:themeColor="text1"/>
          <w:sz w:val="22"/>
          <w:szCs w:val="22"/>
        </w:rPr>
        <w:t>28</w:t>
      </w:r>
      <w:r w:rsidR="00090CE1" w:rsidRPr="00FD4FB7">
        <w:rPr>
          <w:rFonts w:asciiTheme="minorHAnsi" w:hAnsiTheme="minorHAnsi" w:cstheme="minorHAnsi"/>
          <w:color w:val="000000" w:themeColor="text1"/>
          <w:sz w:val="22"/>
          <w:szCs w:val="22"/>
        </w:rPr>
        <w:t xml:space="preserve"> (</w:t>
      </w:r>
      <w:r w:rsidR="00F34C53" w:rsidRPr="00FD4FB7">
        <w:rPr>
          <w:rFonts w:asciiTheme="minorHAnsi" w:hAnsiTheme="minorHAnsi" w:cstheme="minorHAnsi"/>
          <w:color w:val="000000" w:themeColor="text1"/>
          <w:sz w:val="22"/>
          <w:szCs w:val="22"/>
        </w:rPr>
        <w:t>IQR 20-39)</w:t>
      </w:r>
      <w:r w:rsidR="005E2095" w:rsidRPr="00FD4FB7">
        <w:rPr>
          <w:rFonts w:asciiTheme="minorHAnsi" w:hAnsiTheme="minorHAnsi" w:cstheme="minorHAnsi"/>
          <w:color w:val="000000" w:themeColor="text1"/>
          <w:sz w:val="22"/>
          <w:szCs w:val="22"/>
        </w:rPr>
        <w:t>, compared with 2</w:t>
      </w:r>
      <w:r w:rsidR="00F34C53" w:rsidRPr="00FD4FB7">
        <w:rPr>
          <w:rFonts w:asciiTheme="minorHAnsi" w:hAnsiTheme="minorHAnsi" w:cstheme="minorHAnsi"/>
          <w:color w:val="000000" w:themeColor="text1"/>
          <w:sz w:val="22"/>
          <w:szCs w:val="22"/>
        </w:rPr>
        <w:t>4</w:t>
      </w:r>
      <w:r w:rsidR="00090CE1" w:rsidRPr="00FD4FB7">
        <w:rPr>
          <w:rFonts w:asciiTheme="minorHAnsi" w:hAnsiTheme="minorHAnsi" w:cstheme="minorHAnsi"/>
          <w:color w:val="000000" w:themeColor="text1"/>
          <w:sz w:val="22"/>
          <w:szCs w:val="22"/>
        </w:rPr>
        <w:t xml:space="preserve"> (</w:t>
      </w:r>
      <w:r w:rsidR="00F34C53" w:rsidRPr="00FD4FB7">
        <w:rPr>
          <w:rFonts w:asciiTheme="minorHAnsi" w:hAnsiTheme="minorHAnsi" w:cstheme="minorHAnsi"/>
          <w:color w:val="000000" w:themeColor="text1"/>
          <w:sz w:val="22"/>
          <w:szCs w:val="22"/>
        </w:rPr>
        <w:t>IQR 14-40</w:t>
      </w:r>
      <w:r w:rsidR="00090CE1" w:rsidRPr="00FD4FB7">
        <w:rPr>
          <w:rFonts w:asciiTheme="minorHAnsi" w:hAnsiTheme="minorHAnsi" w:cstheme="minorHAnsi"/>
          <w:color w:val="000000" w:themeColor="text1"/>
          <w:sz w:val="22"/>
          <w:szCs w:val="22"/>
        </w:rPr>
        <w:t>) f</w:t>
      </w:r>
      <w:r w:rsidR="005E2095" w:rsidRPr="00FD4FB7">
        <w:rPr>
          <w:rFonts w:asciiTheme="minorHAnsi" w:hAnsiTheme="minorHAnsi" w:cstheme="minorHAnsi"/>
          <w:color w:val="000000" w:themeColor="text1"/>
          <w:sz w:val="22"/>
          <w:szCs w:val="22"/>
        </w:rPr>
        <w:t xml:space="preserve">or 557 </w:t>
      </w:r>
      <w:r w:rsidR="00E95CA3" w:rsidRPr="00FD4FB7">
        <w:rPr>
          <w:rFonts w:asciiTheme="minorHAnsi" w:hAnsiTheme="minorHAnsi" w:cstheme="minorHAnsi"/>
          <w:color w:val="000000" w:themeColor="text1"/>
          <w:sz w:val="22"/>
          <w:szCs w:val="22"/>
        </w:rPr>
        <w:t xml:space="preserve">of the </w:t>
      </w:r>
      <w:r w:rsidR="005E2095" w:rsidRPr="00FD4FB7">
        <w:rPr>
          <w:rFonts w:asciiTheme="minorHAnsi" w:hAnsiTheme="minorHAnsi" w:cstheme="minorHAnsi"/>
          <w:color w:val="000000" w:themeColor="text1"/>
          <w:sz w:val="22"/>
          <w:szCs w:val="22"/>
        </w:rPr>
        <w:t xml:space="preserve">patients </w:t>
      </w:r>
      <w:r w:rsidR="00183B51" w:rsidRPr="00FD4FB7">
        <w:rPr>
          <w:rFonts w:asciiTheme="minorHAnsi" w:hAnsiTheme="minorHAnsi" w:cstheme="minorHAnsi"/>
          <w:color w:val="000000" w:themeColor="text1"/>
          <w:sz w:val="22"/>
          <w:szCs w:val="22"/>
        </w:rPr>
        <w:t xml:space="preserve">admitted to </w:t>
      </w:r>
      <w:r w:rsidR="005E2095" w:rsidRPr="00FD4FB7">
        <w:rPr>
          <w:rFonts w:asciiTheme="minorHAnsi" w:hAnsiTheme="minorHAnsi" w:cstheme="minorHAnsi"/>
          <w:color w:val="000000" w:themeColor="text1"/>
          <w:sz w:val="22"/>
          <w:szCs w:val="22"/>
        </w:rPr>
        <w:t>an acute adult ward or PICU (</w:t>
      </w:r>
      <w:r w:rsidR="00090CE1" w:rsidRPr="00FD4FB7">
        <w:rPr>
          <w:rFonts w:asciiTheme="minorHAnsi" w:hAnsiTheme="minorHAnsi" w:cstheme="minorHAnsi"/>
          <w:color w:val="000000" w:themeColor="text1"/>
          <w:sz w:val="22"/>
          <w:szCs w:val="22"/>
        </w:rPr>
        <w:t xml:space="preserve">t=-1.36, </w:t>
      </w:r>
      <w:proofErr w:type="spellStart"/>
      <w:r w:rsidR="006817B9" w:rsidRPr="00FD4FB7">
        <w:rPr>
          <w:rFonts w:asciiTheme="minorHAnsi" w:hAnsiTheme="minorHAnsi" w:cstheme="minorHAnsi"/>
          <w:color w:val="000000" w:themeColor="text1"/>
          <w:sz w:val="22"/>
          <w:szCs w:val="22"/>
        </w:rPr>
        <w:t>df</w:t>
      </w:r>
      <w:proofErr w:type="spellEnd"/>
      <w:r w:rsidR="006817B9" w:rsidRPr="00FD4FB7">
        <w:rPr>
          <w:rFonts w:asciiTheme="minorHAnsi" w:hAnsiTheme="minorHAnsi" w:cstheme="minorHAnsi"/>
          <w:color w:val="000000" w:themeColor="text1"/>
          <w:sz w:val="22"/>
          <w:szCs w:val="22"/>
        </w:rPr>
        <w:t xml:space="preserve"> 898, </w:t>
      </w:r>
      <w:r w:rsidR="00090CE1" w:rsidRPr="00FD4FB7">
        <w:rPr>
          <w:rFonts w:asciiTheme="minorHAnsi" w:hAnsiTheme="minorHAnsi" w:cstheme="minorHAnsi"/>
          <w:color w:val="000000" w:themeColor="text1"/>
          <w:sz w:val="22"/>
          <w:szCs w:val="22"/>
        </w:rPr>
        <w:t>p=0.175)</w:t>
      </w:r>
      <w:r w:rsidR="006817B9" w:rsidRPr="00FD4FB7">
        <w:rPr>
          <w:rFonts w:asciiTheme="minorHAnsi" w:hAnsiTheme="minorHAnsi" w:cstheme="minorHAnsi"/>
          <w:color w:val="000000" w:themeColor="text1"/>
          <w:sz w:val="22"/>
          <w:szCs w:val="22"/>
        </w:rPr>
        <w:t xml:space="preserve">. </w:t>
      </w:r>
    </w:p>
    <w:p w14:paraId="2B8464E3" w14:textId="77777777" w:rsidR="00763A5B" w:rsidRPr="00FD4FB7" w:rsidRDefault="00763A5B" w:rsidP="002B38DB">
      <w:pPr>
        <w:spacing w:line="360" w:lineRule="auto"/>
        <w:rPr>
          <w:rFonts w:asciiTheme="minorHAnsi" w:hAnsiTheme="minorHAnsi" w:cstheme="minorHAnsi"/>
          <w:color w:val="000000" w:themeColor="text1"/>
          <w:sz w:val="22"/>
          <w:szCs w:val="22"/>
        </w:rPr>
      </w:pPr>
    </w:p>
    <w:p w14:paraId="2B404E10" w14:textId="083BC811" w:rsidR="006817B9" w:rsidRPr="00FD4FB7" w:rsidRDefault="006817B9" w:rsidP="002B38DB">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There was information on the</w:t>
      </w:r>
      <w:r w:rsidR="003B6372" w:rsidRPr="00FD4FB7">
        <w:rPr>
          <w:rFonts w:asciiTheme="minorHAnsi" w:hAnsiTheme="minorHAnsi" w:cstheme="minorHAnsi"/>
          <w:color w:val="000000" w:themeColor="text1"/>
          <w:sz w:val="22"/>
          <w:szCs w:val="22"/>
        </w:rPr>
        <w:t xml:space="preserve"> </w:t>
      </w:r>
      <w:r w:rsidR="00C934CF" w:rsidRPr="00FD4FB7">
        <w:rPr>
          <w:rFonts w:asciiTheme="minorHAnsi" w:hAnsiTheme="minorHAnsi" w:cstheme="minorHAnsi"/>
          <w:color w:val="000000" w:themeColor="text1"/>
          <w:sz w:val="22"/>
          <w:szCs w:val="22"/>
        </w:rPr>
        <w:t>duration of alcohol use</w:t>
      </w:r>
      <w:r w:rsidRPr="00FD4FB7">
        <w:rPr>
          <w:rFonts w:asciiTheme="minorHAnsi" w:hAnsiTheme="minorHAnsi" w:cstheme="minorHAnsi"/>
          <w:color w:val="000000" w:themeColor="text1"/>
          <w:sz w:val="22"/>
          <w:szCs w:val="22"/>
        </w:rPr>
        <w:t xml:space="preserve"> </w:t>
      </w:r>
      <w:r w:rsidR="00242775" w:rsidRPr="00FD4FB7">
        <w:rPr>
          <w:rFonts w:asciiTheme="minorHAnsi" w:hAnsiTheme="minorHAnsi" w:cstheme="minorHAnsi"/>
          <w:color w:val="000000" w:themeColor="text1"/>
          <w:sz w:val="22"/>
          <w:szCs w:val="22"/>
        </w:rPr>
        <w:t>in the records o</w:t>
      </w:r>
      <w:r w:rsidRPr="00FD4FB7">
        <w:rPr>
          <w:rFonts w:asciiTheme="minorHAnsi" w:hAnsiTheme="minorHAnsi" w:cstheme="minorHAnsi"/>
          <w:color w:val="000000" w:themeColor="text1"/>
          <w:sz w:val="22"/>
          <w:szCs w:val="22"/>
        </w:rPr>
        <w:t xml:space="preserve">f </w:t>
      </w:r>
      <w:r w:rsidR="00EB3163" w:rsidRPr="009C2224">
        <w:rPr>
          <w:rFonts w:asciiTheme="minorHAnsi" w:hAnsiTheme="minorHAnsi" w:cstheme="minorHAnsi"/>
          <w:color w:val="000000" w:themeColor="text1"/>
          <w:sz w:val="22"/>
          <w:szCs w:val="22"/>
        </w:rPr>
        <w:t xml:space="preserve">212 </w:t>
      </w:r>
      <w:r w:rsidRPr="009C2224">
        <w:rPr>
          <w:rFonts w:asciiTheme="minorHAnsi" w:hAnsiTheme="minorHAnsi" w:cstheme="minorHAnsi"/>
          <w:color w:val="000000" w:themeColor="text1"/>
          <w:sz w:val="22"/>
          <w:szCs w:val="22"/>
        </w:rPr>
        <w:t>(</w:t>
      </w:r>
      <w:r w:rsidR="00EB3163" w:rsidRPr="009C2224">
        <w:rPr>
          <w:rFonts w:asciiTheme="minorHAnsi" w:hAnsiTheme="minorHAnsi" w:cstheme="minorHAnsi"/>
          <w:color w:val="000000" w:themeColor="text1"/>
          <w:sz w:val="22"/>
          <w:szCs w:val="22"/>
        </w:rPr>
        <w:t>24%</w:t>
      </w:r>
      <w:r w:rsidR="00C536A2" w:rsidRPr="009C2224">
        <w:rPr>
          <w:rFonts w:asciiTheme="minorHAnsi" w:hAnsiTheme="minorHAnsi" w:cstheme="minorHAnsi"/>
          <w:color w:val="000000" w:themeColor="text1"/>
          <w:sz w:val="22"/>
          <w:szCs w:val="22"/>
        </w:rPr>
        <w:t xml:space="preserve">; </w:t>
      </w:r>
      <w:r w:rsidR="009C2224" w:rsidRPr="009C2224">
        <w:rPr>
          <w:rFonts w:asciiTheme="minorHAnsi" w:hAnsiTheme="minorHAnsi" w:cstheme="minorHAnsi"/>
          <w:sz w:val="22"/>
          <w:szCs w:val="22"/>
          <w:highlight w:val="yellow"/>
        </w:rPr>
        <w:t>95%CI</w:t>
      </w:r>
      <w:r w:rsidR="009C2224" w:rsidRPr="009C2224">
        <w:rPr>
          <w:rFonts w:asciiTheme="minorHAnsi" w:hAnsiTheme="minorHAnsi" w:cstheme="minorHAnsi"/>
          <w:sz w:val="22"/>
          <w:szCs w:val="22"/>
        </w:rPr>
        <w:t xml:space="preserve"> </w:t>
      </w:r>
      <w:r w:rsidR="00C536A2" w:rsidRPr="009C2224">
        <w:rPr>
          <w:rFonts w:asciiTheme="minorHAnsi" w:hAnsiTheme="minorHAnsi" w:cstheme="minorHAnsi"/>
          <w:color w:val="000000" w:themeColor="text1"/>
          <w:sz w:val="22"/>
          <w:szCs w:val="22"/>
        </w:rPr>
        <w:t>21-27%</w:t>
      </w:r>
      <w:r w:rsidR="00192BA4" w:rsidRPr="009C2224">
        <w:rPr>
          <w:rFonts w:asciiTheme="minorHAnsi" w:hAnsiTheme="minorHAnsi" w:cstheme="minorHAnsi"/>
          <w:color w:val="000000" w:themeColor="text1"/>
          <w:sz w:val="22"/>
          <w:szCs w:val="22"/>
        </w:rPr>
        <w:t xml:space="preserve">) </w:t>
      </w:r>
      <w:r w:rsidRPr="009C2224">
        <w:rPr>
          <w:rFonts w:asciiTheme="minorHAnsi" w:hAnsiTheme="minorHAnsi" w:cstheme="minorHAnsi"/>
          <w:color w:val="000000" w:themeColor="text1"/>
          <w:sz w:val="22"/>
          <w:szCs w:val="22"/>
        </w:rPr>
        <w:t>of</w:t>
      </w:r>
      <w:r w:rsidRPr="00FD4FB7">
        <w:rPr>
          <w:rFonts w:asciiTheme="minorHAnsi" w:hAnsiTheme="minorHAnsi" w:cstheme="minorHAnsi"/>
          <w:color w:val="000000" w:themeColor="text1"/>
          <w:sz w:val="22"/>
          <w:szCs w:val="22"/>
        </w:rPr>
        <w:t xml:space="preserve"> the </w:t>
      </w:r>
      <w:r w:rsidR="00EB3163" w:rsidRPr="00FD4FB7">
        <w:rPr>
          <w:rFonts w:asciiTheme="minorHAnsi" w:hAnsiTheme="minorHAnsi" w:cstheme="minorHAnsi"/>
          <w:color w:val="000000" w:themeColor="text1"/>
          <w:sz w:val="22"/>
          <w:szCs w:val="22"/>
        </w:rPr>
        <w:t xml:space="preserve">875 patients on an acute adult ward/PICU </w:t>
      </w:r>
      <w:r w:rsidR="00021846" w:rsidRPr="00FD4FB7">
        <w:rPr>
          <w:rFonts w:asciiTheme="minorHAnsi" w:hAnsiTheme="minorHAnsi" w:cstheme="minorHAnsi"/>
          <w:color w:val="000000" w:themeColor="text1"/>
          <w:sz w:val="22"/>
          <w:szCs w:val="22"/>
        </w:rPr>
        <w:t xml:space="preserve">without </w:t>
      </w:r>
      <w:r w:rsidR="00021846"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00021846" w:rsidRPr="00FD4FB7">
        <w:rPr>
          <w:rFonts w:asciiTheme="minorHAnsi" w:hAnsiTheme="minorHAnsi" w:cstheme="minorHAnsi"/>
          <w:color w:val="000000" w:themeColor="text1"/>
          <w:sz w:val="22"/>
          <w:szCs w:val="22"/>
        </w:rPr>
        <w:t xml:space="preserve"> </w:t>
      </w:r>
      <w:r w:rsidR="00EB3163" w:rsidRPr="00FD4FB7">
        <w:rPr>
          <w:rFonts w:asciiTheme="minorHAnsi" w:hAnsiTheme="minorHAnsi" w:cstheme="minorHAnsi"/>
          <w:color w:val="000000" w:themeColor="text1"/>
          <w:sz w:val="22"/>
          <w:szCs w:val="22"/>
        </w:rPr>
        <w:t>specialist input</w:t>
      </w:r>
      <w:r w:rsidR="00367380" w:rsidRPr="00FD4FB7">
        <w:rPr>
          <w:rFonts w:asciiTheme="minorHAnsi" w:hAnsiTheme="minorHAnsi" w:cstheme="minorHAnsi"/>
          <w:color w:val="000000" w:themeColor="text1"/>
          <w:sz w:val="22"/>
          <w:szCs w:val="22"/>
        </w:rPr>
        <w:t xml:space="preserve">, </w:t>
      </w:r>
      <w:r w:rsidR="00EB3163" w:rsidRPr="00FD4FB7">
        <w:rPr>
          <w:rFonts w:asciiTheme="minorHAnsi" w:hAnsiTheme="minorHAnsi" w:cstheme="minorHAnsi"/>
          <w:color w:val="000000" w:themeColor="text1"/>
          <w:sz w:val="22"/>
          <w:szCs w:val="22"/>
        </w:rPr>
        <w:t>9 (</w:t>
      </w:r>
      <w:r w:rsidR="00EB3163" w:rsidRPr="009C2224">
        <w:rPr>
          <w:rFonts w:asciiTheme="minorHAnsi" w:hAnsiTheme="minorHAnsi" w:cstheme="minorHAnsi"/>
          <w:color w:val="000000" w:themeColor="text1"/>
          <w:sz w:val="22"/>
          <w:szCs w:val="22"/>
        </w:rPr>
        <w:t>27%</w:t>
      </w:r>
      <w:r w:rsidR="00C536A2" w:rsidRPr="009C2224">
        <w:rPr>
          <w:rFonts w:asciiTheme="minorHAnsi" w:hAnsiTheme="minorHAnsi" w:cstheme="minorHAnsi"/>
          <w:color w:val="000000" w:themeColor="text1"/>
          <w:sz w:val="22"/>
          <w:szCs w:val="22"/>
        </w:rPr>
        <w:t xml:space="preserve">; </w:t>
      </w:r>
      <w:r w:rsidR="009C2224" w:rsidRPr="009C2224">
        <w:rPr>
          <w:rFonts w:asciiTheme="minorHAnsi" w:hAnsiTheme="minorHAnsi" w:cstheme="minorHAnsi"/>
          <w:sz w:val="22"/>
          <w:szCs w:val="22"/>
          <w:highlight w:val="yellow"/>
        </w:rPr>
        <w:t>95%CI</w:t>
      </w:r>
      <w:r w:rsidR="009C2224" w:rsidRPr="009C2224">
        <w:rPr>
          <w:rFonts w:asciiTheme="minorHAnsi" w:hAnsiTheme="minorHAnsi" w:cstheme="minorHAnsi"/>
          <w:sz w:val="22"/>
          <w:szCs w:val="22"/>
        </w:rPr>
        <w:t xml:space="preserve"> </w:t>
      </w:r>
      <w:r w:rsidR="00C536A2" w:rsidRPr="009C2224">
        <w:rPr>
          <w:rFonts w:asciiTheme="minorHAnsi" w:hAnsiTheme="minorHAnsi" w:cstheme="minorHAnsi"/>
          <w:color w:val="000000" w:themeColor="text1"/>
          <w:sz w:val="22"/>
          <w:szCs w:val="22"/>
        </w:rPr>
        <w:t>12-42%</w:t>
      </w:r>
      <w:r w:rsidR="00EB3163" w:rsidRPr="009C2224">
        <w:rPr>
          <w:rFonts w:asciiTheme="minorHAnsi" w:hAnsiTheme="minorHAnsi" w:cstheme="minorHAnsi"/>
          <w:color w:val="000000" w:themeColor="text1"/>
          <w:sz w:val="22"/>
          <w:szCs w:val="22"/>
        </w:rPr>
        <w:t xml:space="preserve">) of the </w:t>
      </w:r>
      <w:r w:rsidR="00367380" w:rsidRPr="009C2224">
        <w:rPr>
          <w:rFonts w:asciiTheme="minorHAnsi" w:hAnsiTheme="minorHAnsi" w:cstheme="minorHAnsi"/>
          <w:color w:val="000000" w:themeColor="text1"/>
          <w:sz w:val="22"/>
          <w:szCs w:val="22"/>
        </w:rPr>
        <w:t xml:space="preserve">33 </w:t>
      </w:r>
      <w:r w:rsidRPr="009C2224">
        <w:rPr>
          <w:rFonts w:asciiTheme="minorHAnsi" w:hAnsiTheme="minorHAnsi" w:cstheme="minorHAnsi"/>
          <w:color w:val="000000" w:themeColor="text1"/>
          <w:sz w:val="22"/>
          <w:szCs w:val="22"/>
        </w:rPr>
        <w:t xml:space="preserve">patients </w:t>
      </w:r>
      <w:r w:rsidR="00367380" w:rsidRPr="009C2224">
        <w:rPr>
          <w:rFonts w:asciiTheme="minorHAnsi" w:hAnsiTheme="minorHAnsi" w:cstheme="minorHAnsi"/>
          <w:color w:val="000000" w:themeColor="text1"/>
          <w:sz w:val="22"/>
          <w:szCs w:val="22"/>
        </w:rPr>
        <w:t>on an acute ward/PICU with specialist input, and 239 (69%</w:t>
      </w:r>
      <w:r w:rsidR="00C536A2" w:rsidRPr="009C2224">
        <w:rPr>
          <w:rFonts w:asciiTheme="minorHAnsi" w:hAnsiTheme="minorHAnsi" w:cstheme="minorHAnsi"/>
          <w:color w:val="000000" w:themeColor="text1"/>
          <w:sz w:val="22"/>
          <w:szCs w:val="22"/>
        </w:rPr>
        <w:t xml:space="preserve">; </w:t>
      </w:r>
      <w:r w:rsidR="009C2224" w:rsidRPr="005B26FE">
        <w:rPr>
          <w:rFonts w:asciiTheme="minorHAnsi" w:hAnsiTheme="minorHAnsi" w:cstheme="minorHAnsi"/>
          <w:sz w:val="22"/>
          <w:szCs w:val="22"/>
          <w:highlight w:val="yellow"/>
        </w:rPr>
        <w:t>95%CI</w:t>
      </w:r>
      <w:r w:rsidR="009C2224" w:rsidRPr="005B26FE">
        <w:rPr>
          <w:rFonts w:asciiTheme="minorHAnsi" w:hAnsiTheme="minorHAnsi" w:cstheme="minorHAnsi"/>
          <w:sz w:val="22"/>
          <w:szCs w:val="22"/>
        </w:rPr>
        <w:t xml:space="preserve"> </w:t>
      </w:r>
      <w:r w:rsidR="00C536A2" w:rsidRPr="009C2224">
        <w:rPr>
          <w:rFonts w:asciiTheme="minorHAnsi" w:hAnsiTheme="minorHAnsi" w:cstheme="minorHAnsi"/>
          <w:color w:val="000000" w:themeColor="text1"/>
          <w:sz w:val="22"/>
          <w:szCs w:val="22"/>
        </w:rPr>
        <w:t>64-74%</w:t>
      </w:r>
      <w:r w:rsidR="00367380" w:rsidRPr="009C2224">
        <w:rPr>
          <w:rFonts w:asciiTheme="minorHAnsi" w:hAnsiTheme="minorHAnsi" w:cstheme="minorHAnsi"/>
          <w:color w:val="000000" w:themeColor="text1"/>
          <w:sz w:val="22"/>
          <w:szCs w:val="22"/>
        </w:rPr>
        <w:t>)</w:t>
      </w:r>
      <w:r w:rsidR="00367380"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 xml:space="preserve">of the 347 patients treated in a specialist </w:t>
      </w:r>
      <w:r w:rsidR="00760D76"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00760D76"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 xml:space="preserve">unit. </w:t>
      </w:r>
      <w:r w:rsidR="00367380" w:rsidRPr="00FD4FB7">
        <w:rPr>
          <w:rFonts w:asciiTheme="minorHAnsi" w:hAnsiTheme="minorHAnsi" w:cstheme="minorHAnsi"/>
          <w:color w:val="000000" w:themeColor="text1"/>
          <w:sz w:val="22"/>
          <w:szCs w:val="22"/>
        </w:rPr>
        <w:t>The me</w:t>
      </w:r>
      <w:r w:rsidR="00F34C53" w:rsidRPr="00FD4FB7">
        <w:rPr>
          <w:rFonts w:asciiTheme="minorHAnsi" w:hAnsiTheme="minorHAnsi" w:cstheme="minorHAnsi"/>
          <w:color w:val="000000" w:themeColor="text1"/>
          <w:sz w:val="22"/>
          <w:szCs w:val="22"/>
        </w:rPr>
        <w:t xml:space="preserve">dian </w:t>
      </w:r>
      <w:r w:rsidR="00367380" w:rsidRPr="00FD4FB7">
        <w:rPr>
          <w:rFonts w:asciiTheme="minorHAnsi" w:hAnsiTheme="minorHAnsi" w:cstheme="minorHAnsi"/>
          <w:color w:val="000000" w:themeColor="text1"/>
          <w:sz w:val="22"/>
          <w:szCs w:val="22"/>
        </w:rPr>
        <w:t xml:space="preserve">duration of the </w:t>
      </w:r>
      <w:r w:rsidR="00760D76" w:rsidRPr="00FD4FB7">
        <w:rPr>
          <w:rFonts w:asciiTheme="minorHAnsi" w:hAnsiTheme="minorHAnsi" w:cstheme="minorHAnsi"/>
          <w:color w:val="000000" w:themeColor="text1"/>
          <w:sz w:val="22"/>
          <w:szCs w:val="22"/>
        </w:rPr>
        <w:t xml:space="preserve">alcohol </w:t>
      </w:r>
      <w:r w:rsidR="00367380" w:rsidRPr="00FD4FB7">
        <w:rPr>
          <w:rFonts w:asciiTheme="minorHAnsi" w:hAnsiTheme="minorHAnsi" w:cstheme="minorHAnsi"/>
          <w:color w:val="000000" w:themeColor="text1"/>
          <w:sz w:val="22"/>
          <w:szCs w:val="22"/>
        </w:rPr>
        <w:t>history in the 239 patients admitted to a specialist</w:t>
      </w:r>
      <w:r w:rsidR="00760D76" w:rsidRPr="00FD4FB7">
        <w:rPr>
          <w:rFonts w:asciiTheme="minorHAnsi" w:hAnsiTheme="minorHAnsi" w:cstheme="minorHAnsi"/>
          <w:color w:val="000000" w:themeColor="text1"/>
          <w:sz w:val="22"/>
          <w:szCs w:val="22"/>
        </w:rPr>
        <w:t xml:space="preserve"> </w:t>
      </w:r>
      <w:r w:rsidR="00760D76"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00367380" w:rsidRPr="00FD4FB7">
        <w:rPr>
          <w:rFonts w:asciiTheme="minorHAnsi" w:hAnsiTheme="minorHAnsi" w:cstheme="minorHAnsi"/>
          <w:color w:val="000000" w:themeColor="text1"/>
          <w:sz w:val="22"/>
          <w:szCs w:val="22"/>
        </w:rPr>
        <w:t xml:space="preserve"> unit was 15 years (</w:t>
      </w:r>
      <w:r w:rsidR="00F34C53" w:rsidRPr="00FD4FB7">
        <w:rPr>
          <w:rFonts w:asciiTheme="minorHAnsi" w:hAnsiTheme="minorHAnsi" w:cstheme="minorHAnsi"/>
          <w:color w:val="000000" w:themeColor="text1"/>
          <w:sz w:val="22"/>
          <w:szCs w:val="22"/>
        </w:rPr>
        <w:t>IQR 5-20)</w:t>
      </w:r>
      <w:r w:rsidR="001A4760" w:rsidRPr="00FD4FB7">
        <w:rPr>
          <w:rFonts w:asciiTheme="minorHAnsi" w:hAnsiTheme="minorHAnsi" w:cstheme="minorHAnsi"/>
          <w:color w:val="000000" w:themeColor="text1"/>
          <w:sz w:val="22"/>
          <w:szCs w:val="22"/>
        </w:rPr>
        <w:t xml:space="preserve"> </w:t>
      </w:r>
      <w:r w:rsidR="00367380" w:rsidRPr="00FD4FB7">
        <w:rPr>
          <w:rFonts w:asciiTheme="minorHAnsi" w:hAnsiTheme="minorHAnsi" w:cstheme="minorHAnsi"/>
          <w:color w:val="000000" w:themeColor="text1"/>
          <w:sz w:val="22"/>
          <w:szCs w:val="22"/>
        </w:rPr>
        <w:t xml:space="preserve">compared with </w:t>
      </w:r>
      <w:r w:rsidR="00F34C53" w:rsidRPr="00FD4FB7">
        <w:rPr>
          <w:rFonts w:asciiTheme="minorHAnsi" w:hAnsiTheme="minorHAnsi" w:cstheme="minorHAnsi"/>
          <w:color w:val="000000" w:themeColor="text1"/>
          <w:sz w:val="22"/>
          <w:szCs w:val="22"/>
        </w:rPr>
        <w:t>10</w:t>
      </w:r>
      <w:r w:rsidR="00764473" w:rsidRPr="00FD4FB7">
        <w:rPr>
          <w:rFonts w:asciiTheme="minorHAnsi" w:hAnsiTheme="minorHAnsi" w:cstheme="minorHAnsi"/>
          <w:color w:val="000000" w:themeColor="text1"/>
          <w:sz w:val="22"/>
          <w:szCs w:val="22"/>
        </w:rPr>
        <w:t xml:space="preserve"> years</w:t>
      </w:r>
      <w:r w:rsidR="00F34C53" w:rsidRPr="00FD4FB7">
        <w:rPr>
          <w:rFonts w:asciiTheme="minorHAnsi" w:hAnsiTheme="minorHAnsi" w:cstheme="minorHAnsi"/>
          <w:color w:val="000000" w:themeColor="text1"/>
          <w:sz w:val="22"/>
          <w:szCs w:val="22"/>
        </w:rPr>
        <w:t xml:space="preserve"> (IQR 5-20)</w:t>
      </w:r>
      <w:r w:rsidR="00367380" w:rsidRPr="00FD4FB7">
        <w:rPr>
          <w:rFonts w:asciiTheme="minorHAnsi" w:hAnsiTheme="minorHAnsi" w:cstheme="minorHAnsi"/>
          <w:color w:val="000000" w:themeColor="text1"/>
          <w:sz w:val="22"/>
          <w:szCs w:val="22"/>
        </w:rPr>
        <w:t xml:space="preserve"> for the </w:t>
      </w:r>
      <w:r w:rsidR="001A4760" w:rsidRPr="00FD4FB7">
        <w:rPr>
          <w:rFonts w:asciiTheme="minorHAnsi" w:hAnsiTheme="minorHAnsi" w:cstheme="minorHAnsi"/>
          <w:color w:val="000000" w:themeColor="text1"/>
          <w:sz w:val="22"/>
          <w:szCs w:val="22"/>
        </w:rPr>
        <w:t xml:space="preserve">221 </w:t>
      </w:r>
      <w:r w:rsidR="00367380" w:rsidRPr="00FD4FB7">
        <w:rPr>
          <w:rFonts w:asciiTheme="minorHAnsi" w:hAnsiTheme="minorHAnsi" w:cstheme="minorHAnsi"/>
          <w:color w:val="000000" w:themeColor="text1"/>
          <w:sz w:val="22"/>
          <w:szCs w:val="22"/>
        </w:rPr>
        <w:t>patients on an acute adult ward or PICU (t=-</w:t>
      </w:r>
      <w:r w:rsidR="001A4760" w:rsidRPr="00FD4FB7">
        <w:rPr>
          <w:rFonts w:asciiTheme="minorHAnsi" w:hAnsiTheme="minorHAnsi" w:cstheme="minorHAnsi"/>
          <w:color w:val="000000" w:themeColor="text1"/>
          <w:sz w:val="22"/>
          <w:szCs w:val="22"/>
        </w:rPr>
        <w:t>2.44</w:t>
      </w:r>
      <w:r w:rsidR="00367380" w:rsidRPr="00FD4FB7">
        <w:rPr>
          <w:rFonts w:asciiTheme="minorHAnsi" w:hAnsiTheme="minorHAnsi" w:cstheme="minorHAnsi"/>
          <w:color w:val="000000" w:themeColor="text1"/>
          <w:sz w:val="22"/>
          <w:szCs w:val="22"/>
        </w:rPr>
        <w:t xml:space="preserve">, </w:t>
      </w:r>
      <w:proofErr w:type="spellStart"/>
      <w:r w:rsidR="00367380" w:rsidRPr="00FD4FB7">
        <w:rPr>
          <w:rFonts w:asciiTheme="minorHAnsi" w:hAnsiTheme="minorHAnsi" w:cstheme="minorHAnsi"/>
          <w:color w:val="000000" w:themeColor="text1"/>
          <w:sz w:val="22"/>
          <w:szCs w:val="22"/>
        </w:rPr>
        <w:t>df</w:t>
      </w:r>
      <w:proofErr w:type="spellEnd"/>
      <w:r w:rsidR="00367380" w:rsidRPr="00FD4FB7">
        <w:rPr>
          <w:rFonts w:asciiTheme="minorHAnsi" w:hAnsiTheme="minorHAnsi" w:cstheme="minorHAnsi"/>
          <w:color w:val="000000" w:themeColor="text1"/>
          <w:sz w:val="22"/>
          <w:szCs w:val="22"/>
        </w:rPr>
        <w:t xml:space="preserve"> </w:t>
      </w:r>
      <w:r w:rsidR="001A4760" w:rsidRPr="00FD4FB7">
        <w:rPr>
          <w:rFonts w:asciiTheme="minorHAnsi" w:hAnsiTheme="minorHAnsi" w:cstheme="minorHAnsi"/>
          <w:color w:val="000000" w:themeColor="text1"/>
          <w:sz w:val="22"/>
          <w:szCs w:val="22"/>
        </w:rPr>
        <w:t>458</w:t>
      </w:r>
      <w:r w:rsidR="00367380" w:rsidRPr="00FD4FB7">
        <w:rPr>
          <w:rFonts w:asciiTheme="minorHAnsi" w:hAnsiTheme="minorHAnsi" w:cstheme="minorHAnsi"/>
          <w:color w:val="000000" w:themeColor="text1"/>
          <w:sz w:val="22"/>
          <w:szCs w:val="22"/>
        </w:rPr>
        <w:t>, p=0.</w:t>
      </w:r>
      <w:r w:rsidR="001A4760" w:rsidRPr="00FD4FB7">
        <w:rPr>
          <w:rFonts w:asciiTheme="minorHAnsi" w:hAnsiTheme="minorHAnsi" w:cstheme="minorHAnsi"/>
          <w:color w:val="000000" w:themeColor="text1"/>
          <w:sz w:val="22"/>
          <w:szCs w:val="22"/>
        </w:rPr>
        <w:t>015</w:t>
      </w:r>
      <w:r w:rsidR="00367380" w:rsidRPr="00FD4FB7">
        <w:rPr>
          <w:rFonts w:asciiTheme="minorHAnsi" w:hAnsiTheme="minorHAnsi" w:cstheme="minorHAnsi"/>
          <w:color w:val="000000" w:themeColor="text1"/>
          <w:sz w:val="22"/>
          <w:szCs w:val="22"/>
        </w:rPr>
        <w:t>).</w:t>
      </w:r>
    </w:p>
    <w:p w14:paraId="65F1AF4F" w14:textId="77777777" w:rsidR="00763A5B" w:rsidRPr="00FD4FB7" w:rsidRDefault="00763A5B" w:rsidP="002B38DB">
      <w:pPr>
        <w:spacing w:line="360" w:lineRule="auto"/>
        <w:rPr>
          <w:rFonts w:asciiTheme="minorHAnsi" w:hAnsiTheme="minorHAnsi" w:cstheme="minorHAnsi"/>
          <w:color w:val="000000" w:themeColor="text1"/>
          <w:sz w:val="22"/>
          <w:szCs w:val="22"/>
        </w:rPr>
      </w:pPr>
    </w:p>
    <w:p w14:paraId="717B2B5A" w14:textId="3D3B5A49" w:rsidR="00D73DE7" w:rsidRPr="00FD4FB7" w:rsidRDefault="0003794E" w:rsidP="002B38DB">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Information on the duration of harmful </w:t>
      </w:r>
      <w:r w:rsidR="0060763F" w:rsidRPr="00FD4FB7">
        <w:rPr>
          <w:rFonts w:asciiTheme="minorHAnsi" w:hAnsiTheme="minorHAnsi" w:cstheme="minorHAnsi"/>
          <w:color w:val="000000" w:themeColor="text1"/>
          <w:sz w:val="22"/>
          <w:szCs w:val="22"/>
        </w:rPr>
        <w:t xml:space="preserve">alcohol consumption </w:t>
      </w:r>
      <w:r w:rsidR="00FE2F5B" w:rsidRPr="00FD4FB7">
        <w:rPr>
          <w:rFonts w:asciiTheme="minorHAnsi" w:hAnsiTheme="minorHAnsi" w:cstheme="minorHAnsi"/>
          <w:color w:val="000000" w:themeColor="text1"/>
          <w:sz w:val="22"/>
          <w:szCs w:val="22"/>
        </w:rPr>
        <w:t xml:space="preserve">immediately </w:t>
      </w:r>
      <w:r w:rsidR="009124C3" w:rsidRPr="00FD4FB7">
        <w:rPr>
          <w:rFonts w:asciiTheme="minorHAnsi" w:hAnsiTheme="minorHAnsi" w:cstheme="minorHAnsi"/>
          <w:color w:val="000000" w:themeColor="text1"/>
          <w:sz w:val="22"/>
          <w:szCs w:val="22"/>
        </w:rPr>
        <w:t xml:space="preserve">prior to admission </w:t>
      </w:r>
      <w:r w:rsidRPr="00FD4FB7">
        <w:rPr>
          <w:rFonts w:asciiTheme="minorHAnsi" w:hAnsiTheme="minorHAnsi" w:cstheme="minorHAnsi"/>
          <w:color w:val="000000" w:themeColor="text1"/>
          <w:sz w:val="22"/>
          <w:szCs w:val="22"/>
        </w:rPr>
        <w:t>had been recorded for 21</w:t>
      </w:r>
      <w:r w:rsidR="009124C3" w:rsidRPr="00FD4FB7">
        <w:rPr>
          <w:rFonts w:asciiTheme="minorHAnsi" w:hAnsiTheme="minorHAnsi" w:cstheme="minorHAnsi"/>
          <w:color w:val="000000" w:themeColor="text1"/>
          <w:sz w:val="22"/>
          <w:szCs w:val="22"/>
        </w:rPr>
        <w:t>3</w:t>
      </w:r>
      <w:r w:rsidRPr="00FD4FB7">
        <w:rPr>
          <w:rFonts w:asciiTheme="minorHAnsi" w:hAnsiTheme="minorHAnsi" w:cstheme="minorHAnsi"/>
          <w:color w:val="000000" w:themeColor="text1"/>
          <w:sz w:val="22"/>
          <w:szCs w:val="22"/>
        </w:rPr>
        <w:t xml:space="preserve"> (24%</w:t>
      </w:r>
      <w:r w:rsidR="007775DA" w:rsidRPr="00FD4FB7">
        <w:rPr>
          <w:rFonts w:asciiTheme="minorHAnsi" w:hAnsiTheme="minorHAnsi" w:cstheme="minorHAnsi"/>
          <w:color w:val="000000" w:themeColor="text1"/>
          <w:sz w:val="22"/>
          <w:szCs w:val="22"/>
        </w:rPr>
        <w:t xml:space="preserve">; </w:t>
      </w:r>
      <w:r w:rsidR="009C2224" w:rsidRPr="005B26FE">
        <w:rPr>
          <w:rFonts w:asciiTheme="minorHAnsi" w:hAnsiTheme="minorHAnsi" w:cstheme="minorHAnsi"/>
          <w:sz w:val="22"/>
          <w:szCs w:val="22"/>
          <w:highlight w:val="yellow"/>
        </w:rPr>
        <w:t>95%CI</w:t>
      </w:r>
      <w:r w:rsidR="009C2224" w:rsidRPr="005B26FE">
        <w:rPr>
          <w:rFonts w:asciiTheme="minorHAnsi" w:hAnsiTheme="minorHAnsi" w:cstheme="minorHAnsi"/>
          <w:sz w:val="22"/>
          <w:szCs w:val="22"/>
        </w:rPr>
        <w:t xml:space="preserve"> </w:t>
      </w:r>
      <w:r w:rsidR="007775DA" w:rsidRPr="00FD4FB7">
        <w:rPr>
          <w:rFonts w:asciiTheme="minorHAnsi" w:hAnsiTheme="minorHAnsi" w:cstheme="minorHAnsi"/>
          <w:color w:val="000000" w:themeColor="text1"/>
          <w:sz w:val="22"/>
          <w:szCs w:val="22"/>
        </w:rPr>
        <w:t>21-27%</w:t>
      </w:r>
      <w:r w:rsidR="006D6C12" w:rsidRPr="00FD4FB7">
        <w:rPr>
          <w:rFonts w:asciiTheme="minorHAnsi" w:hAnsiTheme="minorHAnsi" w:cstheme="minorHAnsi"/>
          <w:color w:val="000000" w:themeColor="text1"/>
          <w:sz w:val="22"/>
          <w:szCs w:val="22"/>
        </w:rPr>
        <w:t>)</w:t>
      </w:r>
      <w:r w:rsidR="006370CC"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 xml:space="preserve">of the 875 patients on an acute adult ward/PICU for whom there had not been specialist input, </w:t>
      </w:r>
      <w:r w:rsidR="009124C3" w:rsidRPr="00FD4FB7">
        <w:rPr>
          <w:rFonts w:asciiTheme="minorHAnsi" w:hAnsiTheme="minorHAnsi" w:cstheme="minorHAnsi"/>
          <w:color w:val="000000" w:themeColor="text1"/>
          <w:sz w:val="22"/>
          <w:szCs w:val="22"/>
        </w:rPr>
        <w:t xml:space="preserve">8 </w:t>
      </w:r>
      <w:r w:rsidRPr="00FD4FB7">
        <w:rPr>
          <w:rFonts w:asciiTheme="minorHAnsi" w:hAnsiTheme="minorHAnsi" w:cstheme="minorHAnsi"/>
          <w:color w:val="000000" w:themeColor="text1"/>
          <w:sz w:val="22"/>
          <w:szCs w:val="22"/>
        </w:rPr>
        <w:t>(2</w:t>
      </w:r>
      <w:r w:rsidR="009124C3" w:rsidRPr="00FD4FB7">
        <w:rPr>
          <w:rFonts w:asciiTheme="minorHAnsi" w:hAnsiTheme="minorHAnsi" w:cstheme="minorHAnsi"/>
          <w:color w:val="000000" w:themeColor="text1"/>
          <w:sz w:val="22"/>
          <w:szCs w:val="22"/>
        </w:rPr>
        <w:t>4</w:t>
      </w:r>
      <w:r w:rsidRPr="00FD4FB7">
        <w:rPr>
          <w:rFonts w:asciiTheme="minorHAnsi" w:hAnsiTheme="minorHAnsi" w:cstheme="minorHAnsi"/>
          <w:color w:val="000000" w:themeColor="text1"/>
          <w:sz w:val="22"/>
          <w:szCs w:val="22"/>
        </w:rPr>
        <w:t>%</w:t>
      </w:r>
      <w:r w:rsidR="007775DA" w:rsidRPr="00FD4FB7">
        <w:rPr>
          <w:rFonts w:asciiTheme="minorHAnsi" w:hAnsiTheme="minorHAnsi" w:cstheme="minorHAnsi"/>
          <w:color w:val="000000" w:themeColor="text1"/>
          <w:sz w:val="22"/>
          <w:szCs w:val="22"/>
        </w:rPr>
        <w:t xml:space="preserve">; </w:t>
      </w:r>
      <w:r w:rsidR="009C2224" w:rsidRPr="005B26FE">
        <w:rPr>
          <w:rFonts w:asciiTheme="minorHAnsi" w:hAnsiTheme="minorHAnsi" w:cstheme="minorHAnsi"/>
          <w:sz w:val="22"/>
          <w:szCs w:val="22"/>
          <w:highlight w:val="yellow"/>
        </w:rPr>
        <w:t>95%CI</w:t>
      </w:r>
      <w:r w:rsidR="009C2224" w:rsidRPr="005B26FE">
        <w:rPr>
          <w:rFonts w:asciiTheme="minorHAnsi" w:hAnsiTheme="minorHAnsi" w:cstheme="minorHAnsi"/>
          <w:sz w:val="22"/>
          <w:szCs w:val="22"/>
        </w:rPr>
        <w:t xml:space="preserve"> </w:t>
      </w:r>
      <w:r w:rsidR="007775DA" w:rsidRPr="00FD4FB7">
        <w:rPr>
          <w:rFonts w:asciiTheme="minorHAnsi" w:hAnsiTheme="minorHAnsi" w:cstheme="minorHAnsi"/>
          <w:color w:val="000000" w:themeColor="text1"/>
          <w:sz w:val="22"/>
          <w:szCs w:val="22"/>
        </w:rPr>
        <w:t>9-</w:t>
      </w:r>
      <w:r w:rsidR="00192BA4" w:rsidRPr="00FD4FB7">
        <w:rPr>
          <w:rFonts w:asciiTheme="minorHAnsi" w:hAnsiTheme="minorHAnsi" w:cstheme="minorHAnsi"/>
          <w:color w:val="000000" w:themeColor="text1"/>
          <w:sz w:val="22"/>
          <w:szCs w:val="22"/>
        </w:rPr>
        <w:t>39%</w:t>
      </w:r>
      <w:r w:rsidRPr="00FD4FB7">
        <w:rPr>
          <w:rFonts w:asciiTheme="minorHAnsi" w:hAnsiTheme="minorHAnsi" w:cstheme="minorHAnsi"/>
          <w:color w:val="000000" w:themeColor="text1"/>
          <w:sz w:val="22"/>
          <w:szCs w:val="22"/>
        </w:rPr>
        <w:t xml:space="preserve">) of the 33 patients on an acute ward/PICU with specialist input, and </w:t>
      </w:r>
      <w:r w:rsidR="009124C3" w:rsidRPr="00FD4FB7">
        <w:rPr>
          <w:rFonts w:asciiTheme="minorHAnsi" w:hAnsiTheme="minorHAnsi" w:cstheme="minorHAnsi"/>
          <w:color w:val="000000" w:themeColor="text1"/>
          <w:sz w:val="22"/>
          <w:szCs w:val="22"/>
        </w:rPr>
        <w:t>189</w:t>
      </w:r>
      <w:r w:rsidRPr="00FD4FB7">
        <w:rPr>
          <w:rFonts w:asciiTheme="minorHAnsi" w:hAnsiTheme="minorHAnsi" w:cstheme="minorHAnsi"/>
          <w:color w:val="000000" w:themeColor="text1"/>
          <w:sz w:val="22"/>
          <w:szCs w:val="22"/>
        </w:rPr>
        <w:t xml:space="preserve"> (</w:t>
      </w:r>
      <w:r w:rsidR="009124C3" w:rsidRPr="00FD4FB7">
        <w:rPr>
          <w:rFonts w:asciiTheme="minorHAnsi" w:hAnsiTheme="minorHAnsi" w:cstheme="minorHAnsi"/>
          <w:color w:val="000000" w:themeColor="text1"/>
          <w:sz w:val="22"/>
          <w:szCs w:val="22"/>
        </w:rPr>
        <w:t>54</w:t>
      </w:r>
      <w:r w:rsidRPr="00FD4FB7">
        <w:rPr>
          <w:rFonts w:asciiTheme="minorHAnsi" w:hAnsiTheme="minorHAnsi" w:cstheme="minorHAnsi"/>
          <w:color w:val="000000" w:themeColor="text1"/>
          <w:sz w:val="22"/>
          <w:szCs w:val="22"/>
        </w:rPr>
        <w:t>%</w:t>
      </w:r>
      <w:r w:rsidR="007775DA" w:rsidRPr="00FD4FB7">
        <w:rPr>
          <w:rFonts w:asciiTheme="minorHAnsi" w:hAnsiTheme="minorHAnsi" w:cstheme="minorHAnsi"/>
          <w:color w:val="000000" w:themeColor="text1"/>
          <w:sz w:val="22"/>
          <w:szCs w:val="22"/>
        </w:rPr>
        <w:t xml:space="preserve">; </w:t>
      </w:r>
      <w:r w:rsidR="009C2224" w:rsidRPr="005B26FE">
        <w:rPr>
          <w:rFonts w:asciiTheme="minorHAnsi" w:hAnsiTheme="minorHAnsi" w:cstheme="minorHAnsi"/>
          <w:sz w:val="22"/>
          <w:szCs w:val="22"/>
          <w:highlight w:val="yellow"/>
        </w:rPr>
        <w:t>95%CI</w:t>
      </w:r>
      <w:r w:rsidR="009C2224" w:rsidRPr="005B26FE">
        <w:rPr>
          <w:rFonts w:asciiTheme="minorHAnsi" w:hAnsiTheme="minorHAnsi" w:cstheme="minorHAnsi"/>
          <w:sz w:val="22"/>
          <w:szCs w:val="22"/>
        </w:rPr>
        <w:t xml:space="preserve"> </w:t>
      </w:r>
      <w:r w:rsidR="006370CC" w:rsidRPr="00FD4FB7">
        <w:rPr>
          <w:rFonts w:asciiTheme="minorHAnsi" w:hAnsiTheme="minorHAnsi" w:cstheme="minorHAnsi"/>
          <w:color w:val="000000" w:themeColor="text1"/>
          <w:sz w:val="22"/>
          <w:szCs w:val="22"/>
        </w:rPr>
        <w:t>49-60%</w:t>
      </w:r>
      <w:r w:rsidRPr="00FD4FB7">
        <w:rPr>
          <w:rFonts w:asciiTheme="minorHAnsi" w:hAnsiTheme="minorHAnsi" w:cstheme="minorHAnsi"/>
          <w:color w:val="000000" w:themeColor="text1"/>
          <w:sz w:val="22"/>
          <w:szCs w:val="22"/>
        </w:rPr>
        <w:t>) of the 347 patients treated in a specialist alcohol unit. The me</w:t>
      </w:r>
      <w:r w:rsidR="00F34C53" w:rsidRPr="00FD4FB7">
        <w:rPr>
          <w:rFonts w:asciiTheme="minorHAnsi" w:hAnsiTheme="minorHAnsi" w:cstheme="minorHAnsi"/>
          <w:color w:val="000000" w:themeColor="text1"/>
          <w:sz w:val="22"/>
          <w:szCs w:val="22"/>
        </w:rPr>
        <w:t>dian</w:t>
      </w:r>
      <w:r w:rsidRPr="00FD4FB7">
        <w:rPr>
          <w:rFonts w:asciiTheme="minorHAnsi" w:hAnsiTheme="minorHAnsi" w:cstheme="minorHAnsi"/>
          <w:color w:val="000000" w:themeColor="text1"/>
          <w:sz w:val="22"/>
          <w:szCs w:val="22"/>
        </w:rPr>
        <w:t xml:space="preserve"> duration of </w:t>
      </w:r>
      <w:r w:rsidR="009124C3" w:rsidRPr="00FD4FB7">
        <w:rPr>
          <w:rFonts w:asciiTheme="minorHAnsi" w:hAnsiTheme="minorHAnsi" w:cstheme="minorHAnsi"/>
          <w:color w:val="000000" w:themeColor="text1"/>
          <w:sz w:val="22"/>
          <w:szCs w:val="22"/>
        </w:rPr>
        <w:t xml:space="preserve">harmful </w:t>
      </w:r>
      <w:r w:rsidRPr="00FD4FB7">
        <w:rPr>
          <w:rFonts w:asciiTheme="minorHAnsi" w:hAnsiTheme="minorHAnsi" w:cstheme="minorHAnsi"/>
          <w:color w:val="000000" w:themeColor="text1"/>
          <w:sz w:val="22"/>
          <w:szCs w:val="22"/>
        </w:rPr>
        <w:t>drinking</w:t>
      </w:r>
      <w:r w:rsidR="00796795"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 xml:space="preserve">in the </w:t>
      </w:r>
      <w:r w:rsidR="009124C3" w:rsidRPr="00FD4FB7">
        <w:rPr>
          <w:rFonts w:asciiTheme="minorHAnsi" w:hAnsiTheme="minorHAnsi" w:cstheme="minorHAnsi"/>
          <w:color w:val="000000" w:themeColor="text1"/>
          <w:sz w:val="22"/>
          <w:szCs w:val="22"/>
        </w:rPr>
        <w:t xml:space="preserve">189 </w:t>
      </w:r>
      <w:r w:rsidRPr="00FD4FB7">
        <w:rPr>
          <w:rFonts w:asciiTheme="minorHAnsi" w:hAnsiTheme="minorHAnsi" w:cstheme="minorHAnsi"/>
          <w:color w:val="000000" w:themeColor="text1"/>
          <w:sz w:val="22"/>
          <w:szCs w:val="22"/>
        </w:rPr>
        <w:t xml:space="preserve">patients </w:t>
      </w:r>
      <w:r w:rsidR="009124C3" w:rsidRPr="00FD4FB7">
        <w:rPr>
          <w:rFonts w:asciiTheme="minorHAnsi" w:hAnsiTheme="minorHAnsi" w:cstheme="minorHAnsi"/>
          <w:color w:val="000000" w:themeColor="text1"/>
          <w:sz w:val="22"/>
          <w:szCs w:val="22"/>
        </w:rPr>
        <w:t>on</w:t>
      </w:r>
      <w:r w:rsidRPr="00FD4FB7">
        <w:rPr>
          <w:rFonts w:asciiTheme="minorHAnsi" w:hAnsiTheme="minorHAnsi" w:cstheme="minorHAnsi"/>
          <w:color w:val="000000" w:themeColor="text1"/>
          <w:sz w:val="22"/>
          <w:szCs w:val="22"/>
        </w:rPr>
        <w:t xml:space="preserve"> a specialist alcohol unit was </w:t>
      </w:r>
      <w:r w:rsidR="00F34C53" w:rsidRPr="00FD4FB7">
        <w:rPr>
          <w:rFonts w:asciiTheme="minorHAnsi" w:hAnsiTheme="minorHAnsi" w:cstheme="minorHAnsi"/>
          <w:color w:val="000000" w:themeColor="text1"/>
          <w:sz w:val="22"/>
          <w:szCs w:val="22"/>
        </w:rPr>
        <w:t>12</w:t>
      </w:r>
      <w:r w:rsidR="009124C3" w:rsidRPr="00FD4FB7">
        <w:rPr>
          <w:rFonts w:asciiTheme="minorHAnsi" w:hAnsiTheme="minorHAnsi" w:cstheme="minorHAnsi"/>
          <w:color w:val="000000" w:themeColor="text1"/>
          <w:sz w:val="22"/>
          <w:szCs w:val="22"/>
        </w:rPr>
        <w:t xml:space="preserve"> months </w:t>
      </w:r>
      <w:r w:rsidRPr="00FD4FB7">
        <w:rPr>
          <w:rFonts w:asciiTheme="minorHAnsi" w:hAnsiTheme="minorHAnsi" w:cstheme="minorHAnsi"/>
          <w:color w:val="000000" w:themeColor="text1"/>
          <w:sz w:val="22"/>
          <w:szCs w:val="22"/>
        </w:rPr>
        <w:t>(</w:t>
      </w:r>
      <w:r w:rsidR="00F34C53" w:rsidRPr="00FD4FB7">
        <w:rPr>
          <w:rFonts w:asciiTheme="minorHAnsi" w:hAnsiTheme="minorHAnsi" w:cstheme="minorHAnsi"/>
          <w:color w:val="000000" w:themeColor="text1"/>
          <w:sz w:val="22"/>
          <w:szCs w:val="22"/>
        </w:rPr>
        <w:t>IQR 6-24</w:t>
      </w:r>
      <w:r w:rsidRPr="00FD4FB7">
        <w:rPr>
          <w:rFonts w:asciiTheme="minorHAnsi" w:hAnsiTheme="minorHAnsi" w:cstheme="minorHAnsi"/>
          <w:color w:val="000000" w:themeColor="text1"/>
          <w:sz w:val="22"/>
          <w:szCs w:val="22"/>
        </w:rPr>
        <w:t xml:space="preserve">), compared with </w:t>
      </w:r>
      <w:r w:rsidR="00F34C53" w:rsidRPr="00FD4FB7">
        <w:rPr>
          <w:rFonts w:asciiTheme="minorHAnsi" w:hAnsiTheme="minorHAnsi" w:cstheme="minorHAnsi"/>
          <w:color w:val="000000" w:themeColor="text1"/>
          <w:sz w:val="22"/>
          <w:szCs w:val="22"/>
        </w:rPr>
        <w:t>3</w:t>
      </w:r>
      <w:r w:rsidRPr="00FD4FB7">
        <w:rPr>
          <w:rFonts w:asciiTheme="minorHAnsi" w:hAnsiTheme="minorHAnsi" w:cstheme="minorHAnsi"/>
          <w:color w:val="000000" w:themeColor="text1"/>
          <w:sz w:val="22"/>
          <w:szCs w:val="22"/>
        </w:rPr>
        <w:t xml:space="preserve"> </w:t>
      </w:r>
      <w:r w:rsidR="00D73DE7" w:rsidRPr="00FD4FB7">
        <w:rPr>
          <w:rFonts w:asciiTheme="minorHAnsi" w:hAnsiTheme="minorHAnsi" w:cstheme="minorHAnsi"/>
          <w:color w:val="000000" w:themeColor="text1"/>
          <w:sz w:val="22"/>
          <w:szCs w:val="22"/>
        </w:rPr>
        <w:t xml:space="preserve">months </w:t>
      </w:r>
      <w:r w:rsidRPr="00FD4FB7">
        <w:rPr>
          <w:rFonts w:asciiTheme="minorHAnsi" w:hAnsiTheme="minorHAnsi" w:cstheme="minorHAnsi"/>
          <w:color w:val="000000" w:themeColor="text1"/>
          <w:sz w:val="22"/>
          <w:szCs w:val="22"/>
        </w:rPr>
        <w:t>(</w:t>
      </w:r>
      <w:r w:rsidR="00D73DE7" w:rsidRPr="00FD4FB7">
        <w:rPr>
          <w:rFonts w:asciiTheme="minorHAnsi" w:hAnsiTheme="minorHAnsi" w:cstheme="minorHAnsi"/>
          <w:color w:val="000000" w:themeColor="text1"/>
          <w:sz w:val="22"/>
          <w:szCs w:val="22"/>
        </w:rPr>
        <w:t xml:space="preserve">IQR </w:t>
      </w:r>
      <w:r w:rsidR="00F34C53" w:rsidRPr="00FD4FB7">
        <w:rPr>
          <w:rFonts w:asciiTheme="minorHAnsi" w:hAnsiTheme="minorHAnsi" w:cstheme="minorHAnsi"/>
          <w:color w:val="000000" w:themeColor="text1"/>
          <w:sz w:val="22"/>
          <w:szCs w:val="22"/>
        </w:rPr>
        <w:t>1-9.5)</w:t>
      </w:r>
      <w:r w:rsidRPr="00FD4FB7">
        <w:rPr>
          <w:rFonts w:asciiTheme="minorHAnsi" w:hAnsiTheme="minorHAnsi" w:cstheme="minorHAnsi"/>
          <w:color w:val="000000" w:themeColor="text1"/>
          <w:sz w:val="22"/>
          <w:szCs w:val="22"/>
        </w:rPr>
        <w:t xml:space="preserve"> for the 221 patients on an acute adult ward or PICU (t=</w:t>
      </w:r>
      <w:r w:rsidR="009124C3" w:rsidRPr="00FD4FB7">
        <w:rPr>
          <w:rFonts w:asciiTheme="minorHAnsi" w:hAnsiTheme="minorHAnsi" w:cstheme="minorHAnsi"/>
          <w:color w:val="000000" w:themeColor="text1"/>
          <w:sz w:val="22"/>
          <w:szCs w:val="22"/>
        </w:rPr>
        <w:t>-8</w:t>
      </w:r>
      <w:r w:rsidR="00EB2CEA" w:rsidRPr="00FD4FB7">
        <w:rPr>
          <w:rFonts w:asciiTheme="minorHAnsi" w:hAnsiTheme="minorHAnsi" w:cstheme="minorHAnsi"/>
          <w:color w:val="000000" w:themeColor="text1"/>
          <w:sz w:val="22"/>
          <w:szCs w:val="22"/>
        </w:rPr>
        <w:t>.66</w:t>
      </w:r>
      <w:r w:rsidRPr="00FD4FB7">
        <w:rPr>
          <w:rFonts w:asciiTheme="minorHAnsi" w:hAnsiTheme="minorHAnsi" w:cstheme="minorHAnsi"/>
          <w:color w:val="000000" w:themeColor="text1"/>
          <w:sz w:val="22"/>
          <w:szCs w:val="22"/>
        </w:rPr>
        <w:t xml:space="preserve">, </w:t>
      </w:r>
      <w:proofErr w:type="spellStart"/>
      <w:r w:rsidRPr="00FD4FB7">
        <w:rPr>
          <w:rFonts w:asciiTheme="minorHAnsi" w:hAnsiTheme="minorHAnsi" w:cstheme="minorHAnsi"/>
          <w:color w:val="000000" w:themeColor="text1"/>
          <w:sz w:val="22"/>
          <w:szCs w:val="22"/>
        </w:rPr>
        <w:t>df</w:t>
      </w:r>
      <w:proofErr w:type="spellEnd"/>
      <w:r w:rsidRPr="00FD4FB7">
        <w:rPr>
          <w:rFonts w:asciiTheme="minorHAnsi" w:hAnsiTheme="minorHAnsi" w:cstheme="minorHAnsi"/>
          <w:color w:val="000000" w:themeColor="text1"/>
          <w:sz w:val="22"/>
          <w:szCs w:val="22"/>
        </w:rPr>
        <w:t xml:space="preserve"> 4</w:t>
      </w:r>
      <w:r w:rsidR="00EB2CEA" w:rsidRPr="00FD4FB7">
        <w:rPr>
          <w:rFonts w:asciiTheme="minorHAnsi" w:hAnsiTheme="minorHAnsi" w:cstheme="minorHAnsi"/>
          <w:color w:val="000000" w:themeColor="text1"/>
          <w:sz w:val="22"/>
          <w:szCs w:val="22"/>
        </w:rPr>
        <w:t>08</w:t>
      </w:r>
      <w:r w:rsidRPr="00FD4FB7">
        <w:rPr>
          <w:rFonts w:asciiTheme="minorHAnsi" w:hAnsiTheme="minorHAnsi" w:cstheme="minorHAnsi"/>
          <w:color w:val="000000" w:themeColor="text1"/>
          <w:sz w:val="22"/>
          <w:szCs w:val="22"/>
        </w:rPr>
        <w:t>, p</w:t>
      </w:r>
      <w:r w:rsidR="00EB2CEA" w:rsidRPr="00FD4FB7">
        <w:rPr>
          <w:rFonts w:asciiTheme="minorHAnsi" w:hAnsiTheme="minorHAnsi" w:cstheme="minorHAnsi"/>
          <w:color w:val="000000" w:themeColor="text1"/>
          <w:sz w:val="22"/>
          <w:szCs w:val="22"/>
        </w:rPr>
        <w:t>&lt;</w:t>
      </w:r>
      <w:r w:rsidRPr="00FD4FB7">
        <w:rPr>
          <w:rFonts w:asciiTheme="minorHAnsi" w:hAnsiTheme="minorHAnsi" w:cstheme="minorHAnsi"/>
          <w:color w:val="000000" w:themeColor="text1"/>
          <w:sz w:val="22"/>
          <w:szCs w:val="22"/>
        </w:rPr>
        <w:t>0.0</w:t>
      </w:r>
      <w:r w:rsidR="00EB2CEA" w:rsidRPr="00FD4FB7">
        <w:rPr>
          <w:rFonts w:asciiTheme="minorHAnsi" w:hAnsiTheme="minorHAnsi" w:cstheme="minorHAnsi"/>
          <w:color w:val="000000" w:themeColor="text1"/>
          <w:sz w:val="22"/>
          <w:szCs w:val="22"/>
        </w:rPr>
        <w:t>01</w:t>
      </w:r>
      <w:r w:rsidRPr="00FD4FB7">
        <w:rPr>
          <w:rFonts w:asciiTheme="minorHAnsi" w:hAnsiTheme="minorHAnsi" w:cstheme="minorHAnsi"/>
          <w:color w:val="000000" w:themeColor="text1"/>
          <w:sz w:val="22"/>
          <w:szCs w:val="22"/>
        </w:rPr>
        <w:t>).</w:t>
      </w:r>
    </w:p>
    <w:p w14:paraId="0F319EE6" w14:textId="77777777" w:rsidR="00DF71D4" w:rsidRPr="00FD4FB7" w:rsidRDefault="00DF71D4" w:rsidP="00D73DE7">
      <w:pPr>
        <w:pStyle w:val="NoSpacing"/>
        <w:spacing w:line="360" w:lineRule="auto"/>
        <w:rPr>
          <w:rFonts w:cstheme="minorHAnsi"/>
          <w:i/>
          <w:iCs/>
        </w:rPr>
      </w:pPr>
    </w:p>
    <w:p w14:paraId="0584623B" w14:textId="44F1E6D7" w:rsidR="0053220F" w:rsidRPr="00FD4FB7" w:rsidRDefault="0053220F" w:rsidP="00D73DE7">
      <w:pPr>
        <w:pStyle w:val="NoSpacing"/>
        <w:spacing w:line="360" w:lineRule="auto"/>
        <w:rPr>
          <w:rFonts w:cstheme="minorHAnsi"/>
          <w:i/>
          <w:iCs/>
        </w:rPr>
      </w:pPr>
      <w:r w:rsidRPr="00FD4FB7">
        <w:rPr>
          <w:rFonts w:cstheme="minorHAnsi"/>
          <w:i/>
          <w:iCs/>
        </w:rPr>
        <w:t>Screening for Wernicke’s encephalopathy</w:t>
      </w:r>
    </w:p>
    <w:p w14:paraId="1354CD1E" w14:textId="0DD4CE1A" w:rsidR="00D73DE7" w:rsidRPr="00FD4FB7" w:rsidRDefault="00D4372A" w:rsidP="00D86B74">
      <w:pPr>
        <w:pStyle w:val="NoSpacing"/>
        <w:spacing w:line="360" w:lineRule="auto"/>
        <w:rPr>
          <w:rFonts w:cstheme="minorHAnsi"/>
        </w:rPr>
      </w:pPr>
      <w:r w:rsidRPr="00FD4FB7">
        <w:rPr>
          <w:rFonts w:cstheme="minorHAnsi"/>
        </w:rPr>
        <w:t>S</w:t>
      </w:r>
      <w:r w:rsidR="0053220F" w:rsidRPr="00FD4FB7">
        <w:rPr>
          <w:rFonts w:cstheme="minorHAnsi"/>
        </w:rPr>
        <w:t xml:space="preserve">creening </w:t>
      </w:r>
      <w:r w:rsidRPr="00FD4FB7">
        <w:rPr>
          <w:rFonts w:cstheme="minorHAnsi"/>
        </w:rPr>
        <w:t>for</w:t>
      </w:r>
      <w:r w:rsidR="007035FE" w:rsidRPr="00FD4FB7">
        <w:rPr>
          <w:rFonts w:cstheme="minorHAnsi"/>
        </w:rPr>
        <w:t xml:space="preserve"> all three signs/symptoms of </w:t>
      </w:r>
      <w:r w:rsidR="0053220F" w:rsidRPr="00FD4FB7">
        <w:rPr>
          <w:rFonts w:cstheme="minorHAnsi"/>
        </w:rPr>
        <w:t xml:space="preserve">Wernicke’s encephalopathy </w:t>
      </w:r>
      <w:r w:rsidR="007035FE" w:rsidRPr="00FD4FB7">
        <w:rPr>
          <w:rFonts w:cstheme="minorHAnsi"/>
        </w:rPr>
        <w:t xml:space="preserve">(disorientation/confusion, ataxia, ophthalmoplegia and/or nystagmus) </w:t>
      </w:r>
      <w:r w:rsidR="0053220F" w:rsidRPr="00FD4FB7">
        <w:rPr>
          <w:rFonts w:cstheme="minorHAnsi"/>
        </w:rPr>
        <w:t xml:space="preserve">was recorded for </w:t>
      </w:r>
      <w:r w:rsidRPr="00FD4FB7">
        <w:rPr>
          <w:rFonts w:cstheme="minorHAnsi"/>
        </w:rPr>
        <w:t>163 (19%</w:t>
      </w:r>
      <w:r w:rsidR="00D73523" w:rsidRPr="00FD4FB7">
        <w:rPr>
          <w:rFonts w:cstheme="minorHAnsi"/>
        </w:rPr>
        <w:t xml:space="preserve">; </w:t>
      </w:r>
      <w:r w:rsidR="006256DD" w:rsidRPr="005B26FE">
        <w:rPr>
          <w:rFonts w:cstheme="minorHAnsi"/>
          <w:highlight w:val="yellow"/>
        </w:rPr>
        <w:t>95%CI</w:t>
      </w:r>
      <w:r w:rsidR="006256DD" w:rsidRPr="005B26FE">
        <w:rPr>
          <w:rFonts w:cstheme="minorHAnsi"/>
        </w:rPr>
        <w:t xml:space="preserve"> </w:t>
      </w:r>
      <w:r w:rsidR="00D73523" w:rsidRPr="00FD4FB7">
        <w:rPr>
          <w:rFonts w:cstheme="minorHAnsi"/>
        </w:rPr>
        <w:t>16-2</w:t>
      </w:r>
      <w:r w:rsidR="00296854" w:rsidRPr="00FD4FB7">
        <w:rPr>
          <w:rFonts w:cstheme="minorHAnsi"/>
        </w:rPr>
        <w:t>1</w:t>
      </w:r>
      <w:r w:rsidR="00D73523" w:rsidRPr="00FD4FB7">
        <w:rPr>
          <w:rFonts w:cstheme="minorHAnsi"/>
        </w:rPr>
        <w:t>%</w:t>
      </w:r>
      <w:r w:rsidR="00296854" w:rsidRPr="00FD4FB7">
        <w:rPr>
          <w:rFonts w:cstheme="minorHAnsi"/>
        </w:rPr>
        <w:t>)</w:t>
      </w:r>
      <w:r w:rsidR="00D327F0" w:rsidRPr="00FD4FB7">
        <w:rPr>
          <w:rFonts w:cstheme="minorHAnsi"/>
        </w:rPr>
        <w:t xml:space="preserve"> </w:t>
      </w:r>
      <w:r w:rsidRPr="00FD4FB7">
        <w:rPr>
          <w:rFonts w:cstheme="minorHAnsi"/>
        </w:rPr>
        <w:t xml:space="preserve">of the 875 patients </w:t>
      </w:r>
      <w:r w:rsidR="004C7246" w:rsidRPr="00FD4FB7">
        <w:rPr>
          <w:rFonts w:cstheme="minorHAnsi"/>
        </w:rPr>
        <w:t>on an acute adult ward/PICU</w:t>
      </w:r>
      <w:r w:rsidRPr="00FD4FB7">
        <w:rPr>
          <w:rFonts w:cstheme="minorHAnsi"/>
        </w:rPr>
        <w:t xml:space="preserve"> under non-specialist care and 22 (67%</w:t>
      </w:r>
      <w:r w:rsidR="00D73523" w:rsidRPr="00FD4FB7">
        <w:rPr>
          <w:rFonts w:cstheme="minorHAnsi"/>
        </w:rPr>
        <w:t xml:space="preserve">; </w:t>
      </w:r>
      <w:r w:rsidR="006256DD" w:rsidRPr="005B26FE">
        <w:rPr>
          <w:rFonts w:cstheme="minorHAnsi"/>
          <w:highlight w:val="yellow"/>
        </w:rPr>
        <w:t>95%CI</w:t>
      </w:r>
      <w:r w:rsidR="006256DD" w:rsidRPr="005B26FE">
        <w:rPr>
          <w:rFonts w:cstheme="minorHAnsi"/>
        </w:rPr>
        <w:t xml:space="preserve"> </w:t>
      </w:r>
      <w:r w:rsidR="00D73523" w:rsidRPr="00FD4FB7">
        <w:rPr>
          <w:rFonts w:cstheme="minorHAnsi"/>
        </w:rPr>
        <w:t>51-83%</w:t>
      </w:r>
      <w:r w:rsidR="00192BA4" w:rsidRPr="00FD4FB7">
        <w:rPr>
          <w:rFonts w:cstheme="minorHAnsi"/>
        </w:rPr>
        <w:t>)</w:t>
      </w:r>
      <w:r w:rsidRPr="00FD4FB7">
        <w:rPr>
          <w:rFonts w:cstheme="minorHAnsi"/>
          <w:color w:val="FF0000"/>
        </w:rPr>
        <w:t xml:space="preserve"> </w:t>
      </w:r>
      <w:r w:rsidRPr="00FD4FB7">
        <w:rPr>
          <w:rFonts w:cstheme="minorHAnsi"/>
        </w:rPr>
        <w:t xml:space="preserve">of the 33 patients </w:t>
      </w:r>
      <w:r w:rsidR="00BB19FA" w:rsidRPr="00FD4FB7">
        <w:rPr>
          <w:rFonts w:cstheme="minorHAnsi"/>
        </w:rPr>
        <w:t xml:space="preserve">treated </w:t>
      </w:r>
      <w:r w:rsidRPr="00FD4FB7">
        <w:rPr>
          <w:rFonts w:cstheme="minorHAnsi"/>
        </w:rPr>
        <w:t>in the same clinical setting but with the involvement of a specialist</w:t>
      </w:r>
      <w:r w:rsidR="00BB19FA" w:rsidRPr="00FD4FB7">
        <w:rPr>
          <w:rFonts w:cstheme="minorHAnsi"/>
        </w:rPr>
        <w:t xml:space="preserve">. Of the 347 patients whose </w:t>
      </w:r>
      <w:r w:rsidR="00A628BC" w:rsidRPr="00FD4FB7">
        <w:rPr>
          <w:rFonts w:cstheme="minorHAnsi"/>
        </w:rPr>
        <w:t xml:space="preserve">alcohol withdrawal </w:t>
      </w:r>
      <w:r w:rsidR="00BB19FA" w:rsidRPr="00FD4FB7">
        <w:rPr>
          <w:rFonts w:cstheme="minorHAnsi"/>
        </w:rPr>
        <w:t>was managed in a specialist unit, 160 (46%</w:t>
      </w:r>
      <w:r w:rsidR="00D73523" w:rsidRPr="00FD4FB7">
        <w:rPr>
          <w:rFonts w:cstheme="minorHAnsi"/>
        </w:rPr>
        <w:t xml:space="preserve">: </w:t>
      </w:r>
      <w:r w:rsidR="006256DD" w:rsidRPr="005B26FE">
        <w:rPr>
          <w:rFonts w:cstheme="minorHAnsi"/>
          <w:highlight w:val="yellow"/>
        </w:rPr>
        <w:t>95%CI</w:t>
      </w:r>
      <w:r w:rsidR="006256DD" w:rsidRPr="005B26FE">
        <w:rPr>
          <w:rFonts w:cstheme="minorHAnsi"/>
        </w:rPr>
        <w:t xml:space="preserve"> </w:t>
      </w:r>
      <w:r w:rsidR="00D73523" w:rsidRPr="00FD4FB7">
        <w:rPr>
          <w:rFonts w:cstheme="minorHAnsi"/>
        </w:rPr>
        <w:t>41-51%</w:t>
      </w:r>
      <w:r w:rsidR="00BB19FA" w:rsidRPr="00FD4FB7">
        <w:rPr>
          <w:rFonts w:cstheme="minorHAnsi"/>
        </w:rPr>
        <w:t>) had a full assessment of Wernicke’s encephalopathy documented in their clinical records.</w:t>
      </w:r>
      <w:r w:rsidR="00B55D41" w:rsidRPr="00FD4FB7">
        <w:rPr>
          <w:rFonts w:cstheme="minorHAnsi"/>
        </w:rPr>
        <w:t xml:space="preserve"> </w:t>
      </w:r>
      <w:r w:rsidR="00D86B74" w:rsidRPr="00FD4FB7">
        <w:rPr>
          <w:rFonts w:cstheme="minorHAnsi"/>
        </w:rPr>
        <w:t>In the total audit sample of 1,255 patients, there was no documented assessment of any of the signs or symptoms of Wernicke’s encephalopathy in 528 (42%</w:t>
      </w:r>
      <w:r w:rsidR="00D73523" w:rsidRPr="00FD4FB7">
        <w:rPr>
          <w:rFonts w:cstheme="minorHAnsi"/>
        </w:rPr>
        <w:t xml:space="preserve">; </w:t>
      </w:r>
      <w:r w:rsidR="006256DD" w:rsidRPr="005B26FE">
        <w:rPr>
          <w:rFonts w:cstheme="minorHAnsi"/>
          <w:highlight w:val="yellow"/>
        </w:rPr>
        <w:t>95%CI</w:t>
      </w:r>
      <w:r w:rsidR="006256DD" w:rsidRPr="005B26FE">
        <w:rPr>
          <w:rFonts w:cstheme="minorHAnsi"/>
        </w:rPr>
        <w:t xml:space="preserve"> </w:t>
      </w:r>
      <w:r w:rsidR="00D73523" w:rsidRPr="00FD4FB7">
        <w:rPr>
          <w:rFonts w:cstheme="minorHAnsi"/>
        </w:rPr>
        <w:t>39-45%</w:t>
      </w:r>
      <w:r w:rsidR="00D86B74" w:rsidRPr="00FD4FB7">
        <w:rPr>
          <w:rFonts w:cstheme="minorHAnsi"/>
        </w:rPr>
        <w:t>).</w:t>
      </w:r>
    </w:p>
    <w:p w14:paraId="36B9DB7B" w14:textId="77777777" w:rsidR="00D86B74" w:rsidRPr="00FD4FB7" w:rsidRDefault="00D86B74" w:rsidP="00D86B74">
      <w:pPr>
        <w:pStyle w:val="NoSpacing"/>
        <w:spacing w:line="360" w:lineRule="auto"/>
        <w:rPr>
          <w:rFonts w:cstheme="minorHAnsi"/>
        </w:rPr>
      </w:pPr>
    </w:p>
    <w:p w14:paraId="09231844" w14:textId="77777777" w:rsidR="00DC0DE8" w:rsidRPr="00FD4FB7" w:rsidRDefault="00DC0DE8" w:rsidP="00D73DE7">
      <w:pPr>
        <w:pStyle w:val="NoSpacing"/>
        <w:spacing w:line="360" w:lineRule="auto"/>
        <w:rPr>
          <w:rFonts w:cstheme="minorHAnsi"/>
          <w:i/>
          <w:iCs/>
        </w:rPr>
      </w:pPr>
      <w:r w:rsidRPr="00FD4FB7">
        <w:rPr>
          <w:rFonts w:cstheme="minorHAnsi"/>
          <w:i/>
          <w:iCs/>
        </w:rPr>
        <w:t>Breath alcohol (treatment target 1)</w:t>
      </w:r>
    </w:p>
    <w:p w14:paraId="68176B95" w14:textId="29058918" w:rsidR="007B4B4E" w:rsidRPr="00FD4FB7" w:rsidRDefault="00DC0DE8" w:rsidP="00D73DE7">
      <w:pPr>
        <w:pStyle w:val="NoSpacing"/>
        <w:spacing w:line="360" w:lineRule="auto"/>
        <w:rPr>
          <w:rFonts w:cstheme="minorHAnsi"/>
        </w:rPr>
      </w:pPr>
      <w:r w:rsidRPr="00516FC7">
        <w:rPr>
          <w:rFonts w:cstheme="minorHAnsi"/>
        </w:rPr>
        <w:t xml:space="preserve">For those patients on an acute adult ward/PICU, </w:t>
      </w:r>
      <w:r w:rsidR="007D5CD2" w:rsidRPr="00516FC7">
        <w:rPr>
          <w:rFonts w:cstheme="minorHAnsi"/>
        </w:rPr>
        <w:t xml:space="preserve">a </w:t>
      </w:r>
      <w:r w:rsidRPr="00516FC7">
        <w:rPr>
          <w:rFonts w:cstheme="minorHAnsi"/>
        </w:rPr>
        <w:t>breath alcohol measure</w:t>
      </w:r>
      <w:r w:rsidR="007D5CD2" w:rsidRPr="00516FC7">
        <w:rPr>
          <w:rFonts w:cstheme="minorHAnsi"/>
        </w:rPr>
        <w:t>ment</w:t>
      </w:r>
      <w:r w:rsidRPr="00516FC7">
        <w:rPr>
          <w:rFonts w:cstheme="minorHAnsi"/>
        </w:rPr>
        <w:t xml:space="preserve"> </w:t>
      </w:r>
      <w:r w:rsidR="007D5CD2" w:rsidRPr="00516FC7">
        <w:rPr>
          <w:rFonts w:cstheme="minorHAnsi"/>
        </w:rPr>
        <w:t xml:space="preserve">within 24 hours of admission had been </w:t>
      </w:r>
      <w:r w:rsidRPr="00516FC7">
        <w:rPr>
          <w:rFonts w:cstheme="minorHAnsi"/>
        </w:rPr>
        <w:t xml:space="preserve">documented </w:t>
      </w:r>
      <w:r w:rsidR="00051250" w:rsidRPr="00516FC7">
        <w:rPr>
          <w:rFonts w:cstheme="minorHAnsi"/>
        </w:rPr>
        <w:t>for</w:t>
      </w:r>
      <w:r w:rsidRPr="00516FC7">
        <w:rPr>
          <w:rFonts w:cstheme="minorHAnsi"/>
        </w:rPr>
        <w:t xml:space="preserve"> 96 (11%</w:t>
      </w:r>
      <w:r w:rsidR="002A0D8E" w:rsidRPr="00516FC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2A0D8E" w:rsidRPr="00516FC7">
        <w:rPr>
          <w:rFonts w:cstheme="minorHAnsi"/>
        </w:rPr>
        <w:t>9-13%</w:t>
      </w:r>
      <w:r w:rsidRPr="00516FC7">
        <w:rPr>
          <w:rFonts w:cstheme="minorHAnsi"/>
        </w:rPr>
        <w:t>) of the 875 patients for whom there had been no specialist input and 5 (15%</w:t>
      </w:r>
      <w:r w:rsidR="002A0D8E" w:rsidRPr="00516FC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2A0D8E" w:rsidRPr="00516FC7">
        <w:rPr>
          <w:rFonts w:cstheme="minorHAnsi"/>
        </w:rPr>
        <w:t>3-27%</w:t>
      </w:r>
      <w:r w:rsidR="00192BA4" w:rsidRPr="00516FC7">
        <w:rPr>
          <w:rFonts w:cstheme="minorHAnsi"/>
        </w:rPr>
        <w:t xml:space="preserve">) </w:t>
      </w:r>
      <w:r w:rsidRPr="00516FC7">
        <w:rPr>
          <w:rFonts w:cstheme="minorHAnsi"/>
        </w:rPr>
        <w:t>of the 33 patients where an addiction</w:t>
      </w:r>
      <w:r w:rsidR="00883021" w:rsidRPr="00516FC7">
        <w:rPr>
          <w:rFonts w:cstheme="minorHAnsi"/>
        </w:rPr>
        <w:t>s</w:t>
      </w:r>
      <w:r w:rsidRPr="00516FC7">
        <w:rPr>
          <w:rFonts w:cstheme="minorHAnsi"/>
        </w:rPr>
        <w:t xml:space="preserve"> specialist </w:t>
      </w:r>
      <w:r w:rsidRPr="00516FC7">
        <w:rPr>
          <w:rFonts w:cstheme="minorHAnsi"/>
        </w:rPr>
        <w:lastRenderedPageBreak/>
        <w:t>had been involved in their care</w:t>
      </w:r>
      <w:r w:rsidRPr="00FD4FB7">
        <w:rPr>
          <w:rFonts w:cstheme="minorHAnsi"/>
        </w:rPr>
        <w:t>. Breath alcohol concentration had been measured and documented in 323 (93%</w:t>
      </w:r>
      <w:r w:rsidR="002A0D8E" w:rsidRPr="00FD4FB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2A0D8E" w:rsidRPr="00FD4FB7">
        <w:rPr>
          <w:rFonts w:cstheme="minorHAnsi"/>
        </w:rPr>
        <w:t>90-96%</w:t>
      </w:r>
      <w:r w:rsidR="00192BA4" w:rsidRPr="00FD4FB7">
        <w:rPr>
          <w:rFonts w:cstheme="minorHAnsi"/>
        </w:rPr>
        <w:t xml:space="preserve">) </w:t>
      </w:r>
      <w:r w:rsidRPr="00FD4FB7">
        <w:rPr>
          <w:rFonts w:cstheme="minorHAnsi"/>
        </w:rPr>
        <w:t>of the 347 patients on a specialist unit.</w:t>
      </w:r>
    </w:p>
    <w:p w14:paraId="4E24C649" w14:textId="77777777" w:rsidR="00952E40" w:rsidRPr="00FD4FB7" w:rsidRDefault="00952E40" w:rsidP="002B38DB">
      <w:pPr>
        <w:spacing w:line="360" w:lineRule="auto"/>
        <w:rPr>
          <w:rFonts w:asciiTheme="minorHAnsi" w:hAnsiTheme="minorHAnsi" w:cstheme="minorHAnsi"/>
          <w:b/>
          <w:color w:val="000000" w:themeColor="text1"/>
          <w:sz w:val="22"/>
          <w:szCs w:val="22"/>
        </w:rPr>
      </w:pPr>
    </w:p>
    <w:p w14:paraId="556D7D6F" w14:textId="761992E1" w:rsidR="0053220F" w:rsidRPr="00FD4FB7" w:rsidRDefault="0053220F" w:rsidP="002B38DB">
      <w:pPr>
        <w:spacing w:line="360" w:lineRule="auto"/>
        <w:rPr>
          <w:rFonts w:asciiTheme="minorHAnsi" w:hAnsiTheme="minorHAnsi" w:cstheme="minorHAnsi"/>
          <w:b/>
          <w:color w:val="000000" w:themeColor="text1"/>
          <w:sz w:val="22"/>
          <w:szCs w:val="22"/>
        </w:rPr>
      </w:pPr>
      <w:r w:rsidRPr="00FD4FB7">
        <w:rPr>
          <w:rFonts w:asciiTheme="minorHAnsi" w:hAnsiTheme="minorHAnsi" w:cstheme="minorHAnsi"/>
          <w:b/>
          <w:color w:val="000000" w:themeColor="text1"/>
          <w:sz w:val="22"/>
          <w:szCs w:val="22"/>
        </w:rPr>
        <w:t xml:space="preserve">Management of alcohol </w:t>
      </w:r>
      <w:r w:rsidR="00A628BC" w:rsidRPr="00FD4FB7">
        <w:rPr>
          <w:rFonts w:asciiTheme="minorHAnsi" w:hAnsiTheme="minorHAnsi" w:cstheme="minorHAnsi"/>
          <w:b/>
          <w:color w:val="000000" w:themeColor="text1"/>
          <w:sz w:val="22"/>
          <w:szCs w:val="22"/>
        </w:rPr>
        <w:t>withdrawal</w:t>
      </w:r>
    </w:p>
    <w:p w14:paraId="6471F0DA" w14:textId="39898962" w:rsidR="0053220F" w:rsidRPr="00FD4FB7" w:rsidRDefault="0053220F" w:rsidP="00D73DE7">
      <w:pPr>
        <w:pStyle w:val="NoSpacing"/>
        <w:spacing w:line="360" w:lineRule="auto"/>
        <w:rPr>
          <w:rFonts w:cstheme="minorHAnsi"/>
          <w:i/>
          <w:iCs/>
        </w:rPr>
      </w:pPr>
      <w:r w:rsidRPr="00FD4FB7">
        <w:rPr>
          <w:rFonts w:cstheme="minorHAnsi"/>
          <w:i/>
          <w:iCs/>
        </w:rPr>
        <w:t>Medication regimen</w:t>
      </w:r>
      <w:r w:rsidR="00EE7F57" w:rsidRPr="00FD4FB7">
        <w:rPr>
          <w:rFonts w:cstheme="minorHAnsi"/>
          <w:i/>
          <w:iCs/>
        </w:rPr>
        <w:t xml:space="preserve"> (practice standard </w:t>
      </w:r>
      <w:r w:rsidR="00403D87" w:rsidRPr="00FD4FB7">
        <w:rPr>
          <w:rFonts w:cstheme="minorHAnsi"/>
          <w:i/>
          <w:iCs/>
        </w:rPr>
        <w:t>2</w:t>
      </w:r>
      <w:r w:rsidR="00EE7F57" w:rsidRPr="00FD4FB7">
        <w:rPr>
          <w:rFonts w:cstheme="minorHAnsi"/>
          <w:i/>
          <w:iCs/>
        </w:rPr>
        <w:t>)</w:t>
      </w:r>
    </w:p>
    <w:p w14:paraId="0231B9C2" w14:textId="24440E10" w:rsidR="0053220F" w:rsidRPr="00FD4FB7" w:rsidRDefault="00DC0DE8" w:rsidP="00D73DE7">
      <w:pPr>
        <w:pStyle w:val="NoSpacing"/>
        <w:spacing w:line="360" w:lineRule="auto"/>
        <w:rPr>
          <w:rFonts w:cstheme="minorHAnsi"/>
        </w:rPr>
      </w:pPr>
      <w:r w:rsidRPr="00FD4FB7">
        <w:rPr>
          <w:rFonts w:cstheme="minorHAnsi"/>
        </w:rPr>
        <w:t xml:space="preserve">The medication </w:t>
      </w:r>
      <w:r w:rsidR="00FE3F26" w:rsidRPr="00FD4FB7">
        <w:rPr>
          <w:rFonts w:cstheme="minorHAnsi"/>
        </w:rPr>
        <w:t xml:space="preserve">regimen </w:t>
      </w:r>
      <w:r w:rsidRPr="00FD4FB7">
        <w:rPr>
          <w:rFonts w:cstheme="minorHAnsi"/>
        </w:rPr>
        <w:t xml:space="preserve">for MAAW </w:t>
      </w:r>
      <w:r w:rsidR="00FE3F26" w:rsidRPr="00FD4FB7">
        <w:rPr>
          <w:rFonts w:cstheme="minorHAnsi"/>
        </w:rPr>
        <w:t xml:space="preserve">included </w:t>
      </w:r>
      <w:r w:rsidRPr="00FD4FB7">
        <w:rPr>
          <w:rFonts w:cstheme="minorHAnsi"/>
        </w:rPr>
        <w:t>a benzodiazepine</w:t>
      </w:r>
      <w:r w:rsidR="00FE3F26" w:rsidRPr="00FD4FB7">
        <w:rPr>
          <w:rFonts w:cstheme="minorHAnsi"/>
        </w:rPr>
        <w:t xml:space="preserve"> in </w:t>
      </w:r>
      <w:r w:rsidRPr="00FD4FB7">
        <w:rPr>
          <w:rFonts w:cstheme="minorHAnsi"/>
        </w:rPr>
        <w:t>874 (96%</w:t>
      </w:r>
      <w:r w:rsidR="0049759D" w:rsidRPr="00FD4FB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49759D" w:rsidRPr="00FD4FB7">
        <w:rPr>
          <w:rFonts w:cstheme="minorHAnsi"/>
        </w:rPr>
        <w:t>95-97%</w:t>
      </w:r>
      <w:r w:rsidRPr="00FD4FB7">
        <w:rPr>
          <w:rFonts w:cstheme="minorHAnsi"/>
        </w:rPr>
        <w:t xml:space="preserve">) of the </w:t>
      </w:r>
      <w:r w:rsidR="00782D3C" w:rsidRPr="00FD4FB7">
        <w:rPr>
          <w:rFonts w:cstheme="minorHAnsi"/>
        </w:rPr>
        <w:t xml:space="preserve">908 </w:t>
      </w:r>
      <w:r w:rsidRPr="00FD4FB7">
        <w:rPr>
          <w:rFonts w:cstheme="minorHAnsi"/>
        </w:rPr>
        <w:t xml:space="preserve">patients on an acute adult ward/PICU and </w:t>
      </w:r>
      <w:r w:rsidRPr="00FD4FB7">
        <w:rPr>
          <w:rFonts w:cstheme="minorHAnsi"/>
          <w:color w:val="000000" w:themeColor="text1"/>
        </w:rPr>
        <w:t>343 (9</w:t>
      </w:r>
      <w:r w:rsidR="00535F3A" w:rsidRPr="00FD4FB7">
        <w:rPr>
          <w:rFonts w:cstheme="minorHAnsi"/>
          <w:color w:val="000000" w:themeColor="text1"/>
        </w:rPr>
        <w:t>9</w:t>
      </w:r>
      <w:r w:rsidRPr="00FD4FB7">
        <w:rPr>
          <w:rFonts w:cstheme="minorHAnsi"/>
          <w:color w:val="000000" w:themeColor="text1"/>
        </w:rPr>
        <w:t>%</w:t>
      </w:r>
      <w:r w:rsidR="004E633E" w:rsidRPr="00FD4FB7">
        <w:rPr>
          <w:rFonts w:cstheme="minorHAnsi"/>
          <w:color w:val="000000" w:themeColor="text1"/>
        </w:rPr>
        <w:t xml:space="preserve">; </w:t>
      </w:r>
      <w:r w:rsidR="00351EE4" w:rsidRPr="005B26FE">
        <w:rPr>
          <w:rFonts w:cstheme="minorHAnsi"/>
          <w:highlight w:val="yellow"/>
        </w:rPr>
        <w:t>95%CI</w:t>
      </w:r>
      <w:r w:rsidR="00351EE4" w:rsidRPr="005B26FE">
        <w:rPr>
          <w:rFonts w:cstheme="minorHAnsi"/>
        </w:rPr>
        <w:t xml:space="preserve"> </w:t>
      </w:r>
      <w:r w:rsidR="00D327F0" w:rsidRPr="00FD4FB7">
        <w:rPr>
          <w:rFonts w:cstheme="minorHAnsi"/>
          <w:color w:val="000000" w:themeColor="text1"/>
        </w:rPr>
        <w:t>9</w:t>
      </w:r>
      <w:r w:rsidR="00535F3A" w:rsidRPr="00FD4FB7">
        <w:rPr>
          <w:rFonts w:cstheme="minorHAnsi"/>
          <w:color w:val="000000" w:themeColor="text1"/>
        </w:rPr>
        <w:t>8</w:t>
      </w:r>
      <w:r w:rsidR="00D327F0" w:rsidRPr="00FD4FB7">
        <w:rPr>
          <w:rFonts w:cstheme="minorHAnsi"/>
          <w:color w:val="000000" w:themeColor="text1"/>
        </w:rPr>
        <w:t>-100%</w:t>
      </w:r>
      <w:r w:rsidRPr="00FD4FB7">
        <w:rPr>
          <w:rFonts w:cstheme="minorHAnsi"/>
          <w:color w:val="000000" w:themeColor="text1"/>
        </w:rPr>
        <w:t xml:space="preserve">) of </w:t>
      </w:r>
      <w:r w:rsidRPr="00FD4FB7">
        <w:rPr>
          <w:rFonts w:cstheme="minorHAnsi"/>
        </w:rPr>
        <w:t>th</w:t>
      </w:r>
      <w:r w:rsidR="00782D3C" w:rsidRPr="00FD4FB7">
        <w:rPr>
          <w:rFonts w:cstheme="minorHAnsi"/>
        </w:rPr>
        <w:t xml:space="preserve">e 347 </w:t>
      </w:r>
      <w:r w:rsidRPr="00FD4FB7">
        <w:rPr>
          <w:rFonts w:cstheme="minorHAnsi"/>
        </w:rPr>
        <w:t xml:space="preserve">on a specialist unit. </w:t>
      </w:r>
      <w:r w:rsidR="00782D3C" w:rsidRPr="00FD4FB7">
        <w:rPr>
          <w:rFonts w:cstheme="minorHAnsi"/>
        </w:rPr>
        <w:t xml:space="preserve">Of the 908 </w:t>
      </w:r>
      <w:r w:rsidR="00D50743" w:rsidRPr="00FD4FB7">
        <w:rPr>
          <w:rFonts w:cstheme="minorHAnsi"/>
        </w:rPr>
        <w:t>patients on an acute adult ward/PICU</w:t>
      </w:r>
      <w:r w:rsidR="0053220F" w:rsidRPr="00FD4FB7">
        <w:rPr>
          <w:rFonts w:cstheme="minorHAnsi"/>
        </w:rPr>
        <w:t>,</w:t>
      </w:r>
      <w:r w:rsidR="00D50743" w:rsidRPr="00FD4FB7">
        <w:rPr>
          <w:rFonts w:cstheme="minorHAnsi"/>
        </w:rPr>
        <w:t xml:space="preserve"> a fixed-dose reducing regimen</w:t>
      </w:r>
      <w:r w:rsidRPr="00FD4FB7">
        <w:rPr>
          <w:rFonts w:cstheme="minorHAnsi"/>
        </w:rPr>
        <w:t xml:space="preserve"> </w:t>
      </w:r>
      <w:r w:rsidR="002B7D40" w:rsidRPr="00FD4FB7">
        <w:rPr>
          <w:rFonts w:cstheme="minorHAnsi"/>
        </w:rPr>
        <w:t>with</w:t>
      </w:r>
      <w:r w:rsidRPr="00FD4FB7">
        <w:rPr>
          <w:rFonts w:cstheme="minorHAnsi"/>
        </w:rPr>
        <w:t xml:space="preserve"> a benzodiazepine </w:t>
      </w:r>
      <w:r w:rsidR="00D50743" w:rsidRPr="00FD4FB7">
        <w:rPr>
          <w:rFonts w:cstheme="minorHAnsi"/>
        </w:rPr>
        <w:t xml:space="preserve">was used </w:t>
      </w:r>
      <w:r w:rsidR="007B1D54" w:rsidRPr="00FD4FB7">
        <w:rPr>
          <w:rFonts w:cstheme="minorHAnsi"/>
        </w:rPr>
        <w:t>for</w:t>
      </w:r>
      <w:r w:rsidR="00D50743" w:rsidRPr="00FD4FB7">
        <w:rPr>
          <w:rFonts w:cstheme="minorHAnsi"/>
        </w:rPr>
        <w:t xml:space="preserve"> 555 (61%</w:t>
      </w:r>
      <w:r w:rsidR="004E633E" w:rsidRPr="00FD4FB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4E633E" w:rsidRPr="00FD4FB7">
        <w:rPr>
          <w:rFonts w:cstheme="minorHAnsi"/>
        </w:rPr>
        <w:t>58-64%</w:t>
      </w:r>
      <w:r w:rsidR="00D50743" w:rsidRPr="00FD4FB7">
        <w:rPr>
          <w:rFonts w:cstheme="minorHAnsi"/>
        </w:rPr>
        <w:t>)</w:t>
      </w:r>
      <w:r w:rsidR="001848C8" w:rsidRPr="00FD4FB7">
        <w:rPr>
          <w:rFonts w:cstheme="minorHAnsi"/>
        </w:rPr>
        <w:t xml:space="preserve"> while a s</w:t>
      </w:r>
      <w:r w:rsidR="00D50743" w:rsidRPr="00FD4FB7">
        <w:rPr>
          <w:rFonts w:cstheme="minorHAnsi"/>
        </w:rPr>
        <w:t>ymptom-triggered medication regimen</w:t>
      </w:r>
      <w:r w:rsidR="001848C8" w:rsidRPr="00FD4FB7">
        <w:rPr>
          <w:rFonts w:cstheme="minorHAnsi"/>
        </w:rPr>
        <w:t xml:space="preserve"> was used </w:t>
      </w:r>
      <w:r w:rsidR="007B1D54" w:rsidRPr="00FD4FB7">
        <w:rPr>
          <w:rFonts w:cstheme="minorHAnsi"/>
        </w:rPr>
        <w:t>for</w:t>
      </w:r>
      <w:r w:rsidR="001848C8" w:rsidRPr="00FD4FB7">
        <w:rPr>
          <w:rFonts w:cstheme="minorHAnsi"/>
        </w:rPr>
        <w:t xml:space="preserve"> 256 (28%</w:t>
      </w:r>
      <w:r w:rsidR="004E633E" w:rsidRPr="00FD4FB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4E633E" w:rsidRPr="00FD4FB7">
        <w:rPr>
          <w:rFonts w:cstheme="minorHAnsi"/>
        </w:rPr>
        <w:t>25-31%</w:t>
      </w:r>
      <w:r w:rsidR="001848C8" w:rsidRPr="00FD4FB7">
        <w:rPr>
          <w:rFonts w:cstheme="minorHAnsi"/>
        </w:rPr>
        <w:t>). For the 347 patients on a specialist unit, the respective figures were 179 (52%</w:t>
      </w:r>
      <w:r w:rsidR="007D1243" w:rsidRPr="00FD4FB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7D1243" w:rsidRPr="00FD4FB7">
        <w:rPr>
          <w:rFonts w:cstheme="minorHAnsi"/>
        </w:rPr>
        <w:t>46-57%</w:t>
      </w:r>
      <w:r w:rsidR="001848C8" w:rsidRPr="00FD4FB7">
        <w:rPr>
          <w:rFonts w:cstheme="minorHAnsi"/>
        </w:rPr>
        <w:t>) and 162 (47%</w:t>
      </w:r>
      <w:r w:rsidR="0094622D" w:rsidRPr="00FD4FB7">
        <w:rPr>
          <w:rFonts w:cstheme="minorHAnsi"/>
        </w:rPr>
        <w:t xml:space="preserve">: </w:t>
      </w:r>
      <w:r w:rsidR="00351EE4" w:rsidRPr="005B26FE">
        <w:rPr>
          <w:rFonts w:cstheme="minorHAnsi"/>
          <w:highlight w:val="yellow"/>
        </w:rPr>
        <w:t>95%CI</w:t>
      </w:r>
      <w:r w:rsidR="00351EE4" w:rsidRPr="005B26FE">
        <w:rPr>
          <w:rFonts w:cstheme="minorHAnsi"/>
        </w:rPr>
        <w:t xml:space="preserve"> </w:t>
      </w:r>
      <w:r w:rsidR="0094622D" w:rsidRPr="00FD4FB7">
        <w:rPr>
          <w:rFonts w:cstheme="minorHAnsi"/>
        </w:rPr>
        <w:t>41-52%</w:t>
      </w:r>
      <w:r w:rsidR="001848C8" w:rsidRPr="00FD4FB7">
        <w:rPr>
          <w:rFonts w:cstheme="minorHAnsi"/>
        </w:rPr>
        <w:t>).</w:t>
      </w:r>
      <w:r w:rsidR="007B1D54" w:rsidRPr="00FD4FB7">
        <w:rPr>
          <w:rFonts w:cstheme="minorHAnsi"/>
        </w:rPr>
        <w:t xml:space="preserve"> </w:t>
      </w:r>
    </w:p>
    <w:p w14:paraId="2DC09B49" w14:textId="77777777" w:rsidR="00D73DE7" w:rsidRPr="00FD4FB7" w:rsidRDefault="00D73DE7" w:rsidP="00D73DE7">
      <w:pPr>
        <w:pStyle w:val="NoSpacing"/>
        <w:spacing w:line="360" w:lineRule="auto"/>
        <w:rPr>
          <w:rFonts w:cstheme="minorHAnsi"/>
        </w:rPr>
      </w:pPr>
    </w:p>
    <w:p w14:paraId="59F3DD6F" w14:textId="61420574" w:rsidR="00BE1623" w:rsidRPr="00FD4FB7" w:rsidRDefault="00BE1623" w:rsidP="002B38DB">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Of the patients on an acute adult ward/PICU, it was documented that t</w:t>
      </w:r>
      <w:r w:rsidR="007B1D54" w:rsidRPr="00FD4FB7">
        <w:rPr>
          <w:rFonts w:asciiTheme="minorHAnsi" w:hAnsiTheme="minorHAnsi" w:cstheme="minorHAnsi"/>
          <w:color w:val="000000" w:themeColor="text1"/>
          <w:sz w:val="22"/>
          <w:szCs w:val="22"/>
        </w:rPr>
        <w:t xml:space="preserve">he </w:t>
      </w:r>
      <w:r w:rsidR="00D33E56" w:rsidRPr="00FD4FB7">
        <w:rPr>
          <w:rFonts w:asciiTheme="minorHAnsi" w:hAnsiTheme="minorHAnsi" w:cstheme="minorHAnsi"/>
          <w:color w:val="000000" w:themeColor="text1"/>
          <w:sz w:val="22"/>
          <w:szCs w:val="22"/>
        </w:rPr>
        <w:t>MAAW</w:t>
      </w:r>
      <w:r w:rsidR="007B1D54" w:rsidRPr="00FD4FB7">
        <w:rPr>
          <w:rFonts w:asciiTheme="minorHAnsi" w:hAnsiTheme="minorHAnsi" w:cstheme="minorHAnsi"/>
          <w:color w:val="000000" w:themeColor="text1"/>
          <w:sz w:val="22"/>
          <w:szCs w:val="22"/>
        </w:rPr>
        <w:t xml:space="preserve"> regimen </w:t>
      </w:r>
      <w:r w:rsidRPr="00FD4FB7">
        <w:rPr>
          <w:rFonts w:asciiTheme="minorHAnsi" w:hAnsiTheme="minorHAnsi" w:cstheme="minorHAnsi"/>
          <w:color w:val="000000" w:themeColor="text1"/>
          <w:sz w:val="22"/>
          <w:szCs w:val="22"/>
        </w:rPr>
        <w:t xml:space="preserve">had been </w:t>
      </w:r>
      <w:r w:rsidR="007B1D54" w:rsidRPr="00FD4FB7">
        <w:rPr>
          <w:rFonts w:asciiTheme="minorHAnsi" w:hAnsiTheme="minorHAnsi" w:cstheme="minorHAnsi"/>
          <w:color w:val="000000" w:themeColor="text1"/>
          <w:sz w:val="22"/>
          <w:szCs w:val="22"/>
        </w:rPr>
        <w:t xml:space="preserve">completed </w:t>
      </w:r>
      <w:r w:rsidRPr="00FD4FB7">
        <w:rPr>
          <w:rFonts w:asciiTheme="minorHAnsi" w:hAnsiTheme="minorHAnsi" w:cstheme="minorHAnsi"/>
          <w:color w:val="000000" w:themeColor="text1"/>
          <w:sz w:val="22"/>
          <w:szCs w:val="22"/>
        </w:rPr>
        <w:t xml:space="preserve">as planned </w:t>
      </w:r>
      <w:r w:rsidR="007B1D54" w:rsidRPr="00FD4FB7">
        <w:rPr>
          <w:rFonts w:asciiTheme="minorHAnsi" w:hAnsiTheme="minorHAnsi" w:cstheme="minorHAnsi"/>
          <w:color w:val="000000" w:themeColor="text1"/>
          <w:sz w:val="22"/>
          <w:szCs w:val="22"/>
        </w:rPr>
        <w:t>in 638 (73%</w:t>
      </w:r>
      <w:r w:rsidR="00134CE9" w:rsidRPr="00FD4FB7">
        <w:rPr>
          <w:rFonts w:asciiTheme="minorHAnsi" w:hAnsiTheme="minorHAnsi" w:cstheme="minorHAnsi"/>
          <w:color w:val="000000" w:themeColor="text1"/>
          <w:sz w:val="22"/>
          <w:szCs w:val="22"/>
        </w:rPr>
        <w:t xml:space="preserve">; </w:t>
      </w:r>
      <w:r w:rsidR="00054A8F" w:rsidRPr="005B26FE">
        <w:rPr>
          <w:rFonts w:asciiTheme="minorHAnsi" w:hAnsiTheme="minorHAnsi" w:cstheme="minorHAnsi"/>
          <w:sz w:val="22"/>
          <w:szCs w:val="22"/>
          <w:highlight w:val="yellow"/>
        </w:rPr>
        <w:t>95%CI</w:t>
      </w:r>
      <w:r w:rsidR="00054A8F" w:rsidRPr="005B26FE">
        <w:rPr>
          <w:rFonts w:asciiTheme="minorHAnsi" w:hAnsiTheme="minorHAnsi" w:cstheme="minorHAnsi"/>
          <w:sz w:val="22"/>
          <w:szCs w:val="22"/>
        </w:rPr>
        <w:t xml:space="preserve"> </w:t>
      </w:r>
      <w:r w:rsidR="00134CE9" w:rsidRPr="00FD4FB7">
        <w:rPr>
          <w:rFonts w:asciiTheme="minorHAnsi" w:hAnsiTheme="minorHAnsi" w:cstheme="minorHAnsi"/>
          <w:color w:val="000000" w:themeColor="text1"/>
          <w:sz w:val="22"/>
          <w:szCs w:val="22"/>
        </w:rPr>
        <w:t>70-76%</w:t>
      </w:r>
      <w:r w:rsidR="007B1D54" w:rsidRPr="00FD4FB7">
        <w:rPr>
          <w:rFonts w:asciiTheme="minorHAnsi" w:hAnsiTheme="minorHAnsi" w:cstheme="minorHAnsi"/>
          <w:color w:val="000000" w:themeColor="text1"/>
          <w:sz w:val="22"/>
          <w:szCs w:val="22"/>
        </w:rPr>
        <w:t>) of the 875 patients with no specialist input and 27 (82%</w:t>
      </w:r>
      <w:r w:rsidR="00134CE9" w:rsidRPr="00FD4FB7">
        <w:rPr>
          <w:rFonts w:asciiTheme="minorHAnsi" w:hAnsiTheme="minorHAnsi" w:cstheme="minorHAnsi"/>
          <w:color w:val="000000" w:themeColor="text1"/>
          <w:sz w:val="22"/>
          <w:szCs w:val="22"/>
        </w:rPr>
        <w:t xml:space="preserve">; </w:t>
      </w:r>
      <w:r w:rsidR="00054A8F" w:rsidRPr="005B26FE">
        <w:rPr>
          <w:rFonts w:asciiTheme="minorHAnsi" w:hAnsiTheme="minorHAnsi" w:cstheme="minorHAnsi"/>
          <w:sz w:val="22"/>
          <w:szCs w:val="22"/>
          <w:highlight w:val="yellow"/>
        </w:rPr>
        <w:t>95%CI</w:t>
      </w:r>
      <w:r w:rsidR="00054A8F" w:rsidRPr="005B26FE">
        <w:rPr>
          <w:rFonts w:asciiTheme="minorHAnsi" w:hAnsiTheme="minorHAnsi" w:cstheme="minorHAnsi"/>
          <w:sz w:val="22"/>
          <w:szCs w:val="22"/>
        </w:rPr>
        <w:t xml:space="preserve"> </w:t>
      </w:r>
      <w:r w:rsidR="00134CE9" w:rsidRPr="00FD4FB7">
        <w:rPr>
          <w:rFonts w:asciiTheme="minorHAnsi" w:hAnsiTheme="minorHAnsi" w:cstheme="minorHAnsi"/>
          <w:color w:val="000000" w:themeColor="text1"/>
          <w:sz w:val="22"/>
          <w:szCs w:val="22"/>
        </w:rPr>
        <w:t>69-95%</w:t>
      </w:r>
      <w:r w:rsidR="00535F3A" w:rsidRPr="00FD4FB7">
        <w:rPr>
          <w:rFonts w:asciiTheme="minorHAnsi" w:hAnsiTheme="minorHAnsi" w:cstheme="minorHAnsi"/>
          <w:color w:val="000000" w:themeColor="text1"/>
          <w:sz w:val="22"/>
          <w:szCs w:val="22"/>
        </w:rPr>
        <w:t xml:space="preserve">) </w:t>
      </w:r>
      <w:r w:rsidR="007B1D54" w:rsidRPr="00FD4FB7">
        <w:rPr>
          <w:rFonts w:asciiTheme="minorHAnsi" w:hAnsiTheme="minorHAnsi" w:cstheme="minorHAnsi"/>
          <w:color w:val="000000" w:themeColor="text1"/>
          <w:sz w:val="22"/>
          <w:szCs w:val="22"/>
        </w:rPr>
        <w:t xml:space="preserve">of the 33 patients </w:t>
      </w:r>
      <w:r w:rsidRPr="00FD4FB7">
        <w:rPr>
          <w:rFonts w:asciiTheme="minorHAnsi" w:hAnsiTheme="minorHAnsi" w:cstheme="minorHAnsi"/>
          <w:color w:val="000000" w:themeColor="text1"/>
          <w:sz w:val="22"/>
          <w:szCs w:val="22"/>
        </w:rPr>
        <w:t>with specialist input. Of the 347 patients treated on a specialist unit, it was recorded that 313 (90%</w:t>
      </w:r>
      <w:r w:rsidR="00134CE9" w:rsidRPr="00FD4FB7">
        <w:rPr>
          <w:rFonts w:asciiTheme="minorHAnsi" w:hAnsiTheme="minorHAnsi" w:cstheme="minorHAnsi"/>
          <w:color w:val="000000" w:themeColor="text1"/>
          <w:sz w:val="22"/>
          <w:szCs w:val="22"/>
        </w:rPr>
        <w:t xml:space="preserve">; </w:t>
      </w:r>
      <w:r w:rsidR="00054A8F" w:rsidRPr="005B26FE">
        <w:rPr>
          <w:rFonts w:asciiTheme="minorHAnsi" w:hAnsiTheme="minorHAnsi" w:cstheme="minorHAnsi"/>
          <w:sz w:val="22"/>
          <w:szCs w:val="22"/>
          <w:highlight w:val="yellow"/>
        </w:rPr>
        <w:t>95%CI</w:t>
      </w:r>
      <w:r w:rsidR="00054A8F" w:rsidRPr="005B26FE">
        <w:rPr>
          <w:rFonts w:asciiTheme="minorHAnsi" w:hAnsiTheme="minorHAnsi" w:cstheme="minorHAnsi"/>
          <w:sz w:val="22"/>
          <w:szCs w:val="22"/>
        </w:rPr>
        <w:t xml:space="preserve"> </w:t>
      </w:r>
      <w:r w:rsidR="00134CE9" w:rsidRPr="00FD4FB7">
        <w:rPr>
          <w:rFonts w:asciiTheme="minorHAnsi" w:hAnsiTheme="minorHAnsi" w:cstheme="minorHAnsi"/>
          <w:color w:val="000000" w:themeColor="text1"/>
          <w:sz w:val="22"/>
          <w:szCs w:val="22"/>
        </w:rPr>
        <w:t>87-93%</w:t>
      </w:r>
      <w:r w:rsidRPr="00FD4FB7">
        <w:rPr>
          <w:rFonts w:asciiTheme="minorHAnsi" w:hAnsiTheme="minorHAnsi" w:cstheme="minorHAnsi"/>
          <w:color w:val="000000" w:themeColor="text1"/>
          <w:sz w:val="22"/>
          <w:szCs w:val="22"/>
        </w:rPr>
        <w:t xml:space="preserve">) had completed the </w:t>
      </w:r>
      <w:r w:rsidR="00D33E56" w:rsidRPr="00FD4FB7">
        <w:rPr>
          <w:rFonts w:asciiTheme="minorHAnsi" w:hAnsiTheme="minorHAnsi" w:cstheme="minorHAnsi"/>
          <w:color w:val="000000" w:themeColor="text1"/>
          <w:sz w:val="22"/>
          <w:szCs w:val="22"/>
        </w:rPr>
        <w:t xml:space="preserve">MAAW </w:t>
      </w:r>
      <w:r w:rsidRPr="00FD4FB7">
        <w:rPr>
          <w:rFonts w:asciiTheme="minorHAnsi" w:hAnsiTheme="minorHAnsi" w:cstheme="minorHAnsi"/>
          <w:color w:val="000000" w:themeColor="text1"/>
          <w:sz w:val="22"/>
          <w:szCs w:val="22"/>
        </w:rPr>
        <w:t>regimen.</w:t>
      </w:r>
    </w:p>
    <w:p w14:paraId="04A3B5BA" w14:textId="77777777" w:rsidR="00763A5B" w:rsidRPr="00FD4FB7" w:rsidRDefault="00763A5B" w:rsidP="002B38DB">
      <w:pPr>
        <w:spacing w:line="360" w:lineRule="auto"/>
        <w:rPr>
          <w:rFonts w:asciiTheme="minorHAnsi" w:hAnsiTheme="minorHAnsi" w:cstheme="minorHAnsi"/>
          <w:color w:val="000000" w:themeColor="text1"/>
          <w:sz w:val="22"/>
          <w:szCs w:val="22"/>
        </w:rPr>
      </w:pPr>
    </w:p>
    <w:p w14:paraId="6CCF533A" w14:textId="7F5F6E92" w:rsidR="00C753F7" w:rsidRPr="00FD4FB7" w:rsidRDefault="00EB40D5" w:rsidP="002B38DB">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Of the 908 patients on an acute adult ward/PICU, </w:t>
      </w:r>
      <w:r w:rsidR="008A4C29" w:rsidRPr="00FD4FB7">
        <w:rPr>
          <w:rFonts w:asciiTheme="minorHAnsi" w:hAnsiTheme="minorHAnsi" w:cstheme="minorHAnsi"/>
          <w:color w:val="000000" w:themeColor="text1"/>
          <w:sz w:val="22"/>
          <w:szCs w:val="22"/>
        </w:rPr>
        <w:t xml:space="preserve">there was documented initiation of </w:t>
      </w:r>
      <w:r w:rsidRPr="00FD4FB7">
        <w:rPr>
          <w:rFonts w:asciiTheme="minorHAnsi" w:hAnsiTheme="minorHAnsi" w:cstheme="minorHAnsi"/>
          <w:color w:val="000000" w:themeColor="text1"/>
          <w:sz w:val="22"/>
          <w:szCs w:val="22"/>
        </w:rPr>
        <w:t xml:space="preserve">acamprosate </w:t>
      </w:r>
      <w:r w:rsidR="006F1B80" w:rsidRPr="00FD4FB7">
        <w:rPr>
          <w:rFonts w:asciiTheme="minorHAnsi" w:hAnsiTheme="minorHAnsi" w:cstheme="minorHAnsi"/>
          <w:color w:val="000000" w:themeColor="text1"/>
          <w:sz w:val="22"/>
          <w:szCs w:val="22"/>
        </w:rPr>
        <w:t xml:space="preserve">during </w:t>
      </w:r>
      <w:r w:rsidR="00FB217B" w:rsidRPr="00FD4FB7">
        <w:rPr>
          <w:rFonts w:asciiTheme="minorHAnsi" w:hAnsiTheme="minorHAnsi" w:cstheme="minorHAnsi"/>
          <w:color w:val="000000" w:themeColor="text1"/>
          <w:sz w:val="22"/>
          <w:szCs w:val="22"/>
        </w:rPr>
        <w:t>MAAW</w:t>
      </w:r>
      <w:r w:rsidR="006F1B80"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for 69 (8%</w:t>
      </w:r>
      <w:r w:rsidR="00134CE9" w:rsidRPr="00FD4FB7">
        <w:rPr>
          <w:rFonts w:asciiTheme="minorHAnsi" w:hAnsiTheme="minorHAnsi" w:cstheme="minorHAnsi"/>
          <w:color w:val="000000" w:themeColor="text1"/>
          <w:sz w:val="22"/>
          <w:szCs w:val="22"/>
        </w:rPr>
        <w:t xml:space="preserve">; </w:t>
      </w:r>
      <w:r w:rsidR="00054A8F" w:rsidRPr="005B26FE">
        <w:rPr>
          <w:rFonts w:asciiTheme="minorHAnsi" w:hAnsiTheme="minorHAnsi" w:cstheme="minorHAnsi"/>
          <w:sz w:val="22"/>
          <w:szCs w:val="22"/>
          <w:highlight w:val="yellow"/>
        </w:rPr>
        <w:t>95%CI</w:t>
      </w:r>
      <w:r w:rsidR="00054A8F" w:rsidRPr="005B26FE">
        <w:rPr>
          <w:rFonts w:asciiTheme="minorHAnsi" w:hAnsiTheme="minorHAnsi" w:cstheme="minorHAnsi"/>
          <w:sz w:val="22"/>
          <w:szCs w:val="22"/>
        </w:rPr>
        <w:t xml:space="preserve"> </w:t>
      </w:r>
      <w:r w:rsidR="00134CE9" w:rsidRPr="00FD4FB7">
        <w:rPr>
          <w:rFonts w:asciiTheme="minorHAnsi" w:hAnsiTheme="minorHAnsi" w:cstheme="minorHAnsi"/>
          <w:color w:val="000000" w:themeColor="text1"/>
          <w:sz w:val="22"/>
          <w:szCs w:val="22"/>
        </w:rPr>
        <w:t>6-10%</w:t>
      </w:r>
      <w:r w:rsidRPr="00FD4FB7">
        <w:rPr>
          <w:rFonts w:asciiTheme="minorHAnsi" w:hAnsiTheme="minorHAnsi" w:cstheme="minorHAnsi"/>
          <w:color w:val="000000" w:themeColor="text1"/>
          <w:sz w:val="22"/>
          <w:szCs w:val="22"/>
        </w:rPr>
        <w:t xml:space="preserve">) of the </w:t>
      </w:r>
      <w:r w:rsidR="006F1B80" w:rsidRPr="00FD4FB7">
        <w:rPr>
          <w:rFonts w:asciiTheme="minorHAnsi" w:hAnsiTheme="minorHAnsi" w:cstheme="minorHAnsi"/>
          <w:color w:val="000000" w:themeColor="text1"/>
          <w:sz w:val="22"/>
          <w:szCs w:val="22"/>
        </w:rPr>
        <w:t xml:space="preserve">875 patients </w:t>
      </w:r>
      <w:r w:rsidRPr="00FD4FB7">
        <w:rPr>
          <w:rFonts w:asciiTheme="minorHAnsi" w:hAnsiTheme="minorHAnsi" w:cstheme="minorHAnsi"/>
          <w:color w:val="000000" w:themeColor="text1"/>
          <w:sz w:val="22"/>
          <w:szCs w:val="22"/>
        </w:rPr>
        <w:t>with no specialist involvement and 19 (58</w:t>
      </w:r>
      <w:r w:rsidR="00296854" w:rsidRPr="00FD4FB7">
        <w:rPr>
          <w:rFonts w:asciiTheme="minorHAnsi" w:hAnsiTheme="minorHAnsi" w:cstheme="minorHAnsi"/>
          <w:color w:val="000000" w:themeColor="text1"/>
          <w:sz w:val="22"/>
          <w:szCs w:val="22"/>
        </w:rPr>
        <w:t xml:space="preserve">%; </w:t>
      </w:r>
      <w:r w:rsidR="00054A8F" w:rsidRPr="005B26FE">
        <w:rPr>
          <w:rFonts w:asciiTheme="minorHAnsi" w:hAnsiTheme="minorHAnsi" w:cstheme="minorHAnsi"/>
          <w:sz w:val="22"/>
          <w:szCs w:val="22"/>
          <w:highlight w:val="yellow"/>
        </w:rPr>
        <w:t>95%CI</w:t>
      </w:r>
      <w:r w:rsidR="00054A8F" w:rsidRPr="005B26FE">
        <w:rPr>
          <w:rFonts w:asciiTheme="minorHAnsi" w:hAnsiTheme="minorHAnsi" w:cstheme="minorHAnsi"/>
          <w:sz w:val="22"/>
          <w:szCs w:val="22"/>
        </w:rPr>
        <w:t xml:space="preserve"> </w:t>
      </w:r>
      <w:r w:rsidR="006C37AC" w:rsidRPr="00FD4FB7">
        <w:rPr>
          <w:rFonts w:asciiTheme="minorHAnsi" w:hAnsiTheme="minorHAnsi" w:cstheme="minorHAnsi"/>
          <w:color w:val="000000" w:themeColor="text1"/>
          <w:sz w:val="22"/>
          <w:szCs w:val="22"/>
        </w:rPr>
        <w:t>41-7</w:t>
      </w:r>
      <w:r w:rsidR="00535F3A" w:rsidRPr="00FD4FB7">
        <w:rPr>
          <w:rFonts w:asciiTheme="minorHAnsi" w:hAnsiTheme="minorHAnsi" w:cstheme="minorHAnsi"/>
          <w:color w:val="000000" w:themeColor="text1"/>
          <w:sz w:val="22"/>
          <w:szCs w:val="22"/>
        </w:rPr>
        <w:t>4</w:t>
      </w:r>
      <w:r w:rsidR="006C37AC" w:rsidRPr="00FD4FB7">
        <w:rPr>
          <w:rFonts w:asciiTheme="minorHAnsi" w:hAnsiTheme="minorHAnsi" w:cstheme="minorHAnsi"/>
          <w:color w:val="000000" w:themeColor="text1"/>
          <w:sz w:val="22"/>
          <w:szCs w:val="22"/>
        </w:rPr>
        <w:t>%</w:t>
      </w:r>
      <w:r w:rsidRPr="00FD4FB7">
        <w:rPr>
          <w:rFonts w:asciiTheme="minorHAnsi" w:hAnsiTheme="minorHAnsi" w:cstheme="minorHAnsi"/>
          <w:color w:val="000000" w:themeColor="text1"/>
          <w:sz w:val="22"/>
          <w:szCs w:val="22"/>
        </w:rPr>
        <w:t>) of the 33 patients where there was specialist involvement</w:t>
      </w:r>
      <w:r w:rsidR="006F1B80" w:rsidRPr="00FD4FB7">
        <w:rPr>
          <w:rFonts w:asciiTheme="minorHAnsi" w:hAnsiTheme="minorHAnsi" w:cstheme="minorHAnsi"/>
          <w:color w:val="000000" w:themeColor="text1"/>
          <w:sz w:val="22"/>
          <w:szCs w:val="22"/>
        </w:rPr>
        <w:t xml:space="preserve">. Of the 347 patients treated on a specialist unit, such a prescription was recorded for </w:t>
      </w:r>
      <w:r w:rsidRPr="00FD4FB7">
        <w:rPr>
          <w:rFonts w:asciiTheme="minorHAnsi" w:hAnsiTheme="minorHAnsi" w:cstheme="minorHAnsi"/>
          <w:color w:val="000000" w:themeColor="text1"/>
          <w:sz w:val="22"/>
          <w:szCs w:val="22"/>
        </w:rPr>
        <w:t>176 (51%</w:t>
      </w:r>
      <w:r w:rsidR="00134CE9" w:rsidRPr="00FD4FB7">
        <w:rPr>
          <w:rFonts w:asciiTheme="minorHAnsi" w:hAnsiTheme="minorHAnsi" w:cstheme="minorHAnsi"/>
          <w:color w:val="000000" w:themeColor="text1"/>
          <w:sz w:val="22"/>
          <w:szCs w:val="22"/>
        </w:rPr>
        <w:t xml:space="preserve">; </w:t>
      </w:r>
      <w:r w:rsidR="00054A8F" w:rsidRPr="005B26FE">
        <w:rPr>
          <w:rFonts w:asciiTheme="minorHAnsi" w:hAnsiTheme="minorHAnsi" w:cstheme="minorHAnsi"/>
          <w:sz w:val="22"/>
          <w:szCs w:val="22"/>
          <w:highlight w:val="yellow"/>
        </w:rPr>
        <w:t>95%CI</w:t>
      </w:r>
      <w:r w:rsidR="00054A8F" w:rsidRPr="005B26FE">
        <w:rPr>
          <w:rFonts w:asciiTheme="minorHAnsi" w:hAnsiTheme="minorHAnsi" w:cstheme="minorHAnsi"/>
          <w:sz w:val="22"/>
          <w:szCs w:val="22"/>
        </w:rPr>
        <w:t xml:space="preserve"> </w:t>
      </w:r>
      <w:r w:rsidR="006C37AC" w:rsidRPr="00FD4FB7">
        <w:rPr>
          <w:rFonts w:asciiTheme="minorHAnsi" w:hAnsiTheme="minorHAnsi" w:cstheme="minorHAnsi"/>
          <w:color w:val="000000" w:themeColor="text1"/>
          <w:sz w:val="22"/>
          <w:szCs w:val="22"/>
        </w:rPr>
        <w:t>45-56%</w:t>
      </w:r>
      <w:r w:rsidRPr="00FD4FB7">
        <w:rPr>
          <w:rFonts w:asciiTheme="minorHAnsi" w:hAnsiTheme="minorHAnsi" w:cstheme="minorHAnsi"/>
          <w:color w:val="000000" w:themeColor="text1"/>
          <w:sz w:val="22"/>
          <w:szCs w:val="22"/>
        </w:rPr>
        <w:t>)</w:t>
      </w:r>
      <w:r w:rsidR="006F1B80" w:rsidRPr="00FD4FB7">
        <w:rPr>
          <w:rFonts w:asciiTheme="minorHAnsi" w:hAnsiTheme="minorHAnsi" w:cstheme="minorHAnsi"/>
          <w:color w:val="000000" w:themeColor="text1"/>
          <w:sz w:val="22"/>
          <w:szCs w:val="22"/>
        </w:rPr>
        <w:t>.</w:t>
      </w:r>
      <w:r w:rsidR="006C4C59" w:rsidRPr="00FD4FB7">
        <w:rPr>
          <w:rFonts w:asciiTheme="minorHAnsi" w:hAnsiTheme="minorHAnsi" w:cstheme="minorHAnsi"/>
          <w:color w:val="000000" w:themeColor="text1"/>
          <w:sz w:val="22"/>
          <w:szCs w:val="22"/>
        </w:rPr>
        <w:t xml:space="preserve"> </w:t>
      </w:r>
      <w:r w:rsidR="00740A0A" w:rsidRPr="00FD4FB7">
        <w:rPr>
          <w:rFonts w:asciiTheme="minorHAnsi" w:hAnsiTheme="minorHAnsi" w:cstheme="minorHAnsi"/>
          <w:color w:val="000000" w:themeColor="text1"/>
          <w:sz w:val="22"/>
          <w:szCs w:val="22"/>
        </w:rPr>
        <w:t xml:space="preserve"> </w:t>
      </w:r>
      <w:r w:rsidR="000C50B0" w:rsidRPr="00FD4FB7">
        <w:rPr>
          <w:rFonts w:asciiTheme="minorHAnsi" w:hAnsiTheme="minorHAnsi" w:cstheme="minorHAnsi"/>
          <w:color w:val="000000" w:themeColor="text1"/>
          <w:sz w:val="22"/>
          <w:szCs w:val="22"/>
        </w:rPr>
        <w:t xml:space="preserve">Regarding other medications </w:t>
      </w:r>
      <w:r w:rsidR="00980DAE" w:rsidRPr="00FD4FB7">
        <w:rPr>
          <w:rFonts w:asciiTheme="minorHAnsi" w:hAnsiTheme="minorHAnsi" w:cstheme="minorHAnsi"/>
          <w:color w:val="000000" w:themeColor="text1"/>
          <w:sz w:val="22"/>
          <w:szCs w:val="22"/>
        </w:rPr>
        <w:t>started</w:t>
      </w:r>
      <w:r w:rsidR="000C50B0" w:rsidRPr="00FD4FB7">
        <w:rPr>
          <w:rFonts w:asciiTheme="minorHAnsi" w:hAnsiTheme="minorHAnsi" w:cstheme="minorHAnsi"/>
          <w:color w:val="000000" w:themeColor="text1"/>
          <w:sz w:val="22"/>
          <w:szCs w:val="22"/>
        </w:rPr>
        <w:t xml:space="preserve"> during MAAW, i</w:t>
      </w:r>
      <w:r w:rsidR="00B60F49" w:rsidRPr="00FD4FB7">
        <w:rPr>
          <w:rFonts w:asciiTheme="minorHAnsi" w:hAnsiTheme="minorHAnsi" w:cstheme="minorHAnsi"/>
          <w:color w:val="000000" w:themeColor="text1"/>
          <w:sz w:val="22"/>
          <w:szCs w:val="22"/>
        </w:rPr>
        <w:t xml:space="preserve">n the 875 </w:t>
      </w:r>
      <w:r w:rsidR="006C4C59" w:rsidRPr="00FD4FB7">
        <w:rPr>
          <w:rFonts w:asciiTheme="minorHAnsi" w:hAnsiTheme="minorHAnsi" w:cstheme="minorHAnsi"/>
          <w:color w:val="000000" w:themeColor="text1"/>
          <w:sz w:val="22"/>
          <w:szCs w:val="22"/>
        </w:rPr>
        <w:t>patients on an acute adult ward/PICU with no specialist involvement</w:t>
      </w:r>
      <w:r w:rsidR="00B60F49" w:rsidRPr="00FD4FB7">
        <w:rPr>
          <w:rFonts w:asciiTheme="minorHAnsi" w:hAnsiTheme="minorHAnsi" w:cstheme="minorHAnsi"/>
          <w:color w:val="000000" w:themeColor="text1"/>
          <w:sz w:val="22"/>
          <w:szCs w:val="22"/>
        </w:rPr>
        <w:t xml:space="preserve"> in their care, 205 (23%) had prescriptions for antidepressant medication and 222 (25%) ha</w:t>
      </w:r>
      <w:r w:rsidR="00E1682D" w:rsidRPr="00FD4FB7">
        <w:rPr>
          <w:rFonts w:asciiTheme="minorHAnsi" w:hAnsiTheme="minorHAnsi" w:cstheme="minorHAnsi"/>
          <w:color w:val="000000" w:themeColor="text1"/>
          <w:sz w:val="22"/>
          <w:szCs w:val="22"/>
        </w:rPr>
        <w:t>d</w:t>
      </w:r>
      <w:r w:rsidR="00B60F49" w:rsidRPr="00FD4FB7">
        <w:rPr>
          <w:rFonts w:asciiTheme="minorHAnsi" w:hAnsiTheme="minorHAnsi" w:cstheme="minorHAnsi"/>
          <w:color w:val="000000" w:themeColor="text1"/>
          <w:sz w:val="22"/>
          <w:szCs w:val="22"/>
        </w:rPr>
        <w:t xml:space="preserve"> prescriptions for antipsychotic medication. The respective figures for the 33 patients in the same clinical setting but with specialist input, were </w:t>
      </w:r>
      <w:r w:rsidR="00AB737F" w:rsidRPr="00FD4FB7">
        <w:rPr>
          <w:rFonts w:asciiTheme="minorHAnsi" w:hAnsiTheme="minorHAnsi" w:cstheme="minorHAnsi"/>
          <w:color w:val="000000" w:themeColor="text1"/>
          <w:sz w:val="22"/>
          <w:szCs w:val="22"/>
        </w:rPr>
        <w:t xml:space="preserve">2 (6%) and 4 (12%). </w:t>
      </w:r>
      <w:r w:rsidR="00B60F49" w:rsidRPr="00FD4FB7">
        <w:rPr>
          <w:rFonts w:asciiTheme="minorHAnsi" w:hAnsiTheme="minorHAnsi" w:cstheme="minorHAnsi"/>
          <w:color w:val="000000" w:themeColor="text1"/>
          <w:sz w:val="22"/>
          <w:szCs w:val="22"/>
        </w:rPr>
        <w:t xml:space="preserve"> </w:t>
      </w:r>
      <w:r w:rsidR="00AB737F" w:rsidRPr="00FD4FB7">
        <w:rPr>
          <w:rFonts w:asciiTheme="minorHAnsi" w:hAnsiTheme="minorHAnsi" w:cstheme="minorHAnsi"/>
          <w:color w:val="000000" w:themeColor="text1"/>
          <w:sz w:val="22"/>
          <w:szCs w:val="22"/>
        </w:rPr>
        <w:t xml:space="preserve">Of the 347 patients treated on a specialist unit, an antidepressant was prescribed for 36 (10%) and an antipsychotic medication for 21 (6%). </w:t>
      </w:r>
    </w:p>
    <w:p w14:paraId="02B565F1" w14:textId="77777777" w:rsidR="00763A5B" w:rsidRPr="00FD4FB7" w:rsidRDefault="00763A5B" w:rsidP="00D73DE7">
      <w:pPr>
        <w:pStyle w:val="NoSpacing"/>
        <w:spacing w:line="360" w:lineRule="auto"/>
        <w:rPr>
          <w:rFonts w:cstheme="minorHAnsi"/>
          <w:i/>
          <w:iCs/>
        </w:rPr>
      </w:pPr>
    </w:p>
    <w:p w14:paraId="28C7A08E" w14:textId="2EC97C61" w:rsidR="0053220F" w:rsidRPr="00FD4FB7" w:rsidRDefault="005D25C5" w:rsidP="00D73DE7">
      <w:pPr>
        <w:pStyle w:val="NoSpacing"/>
        <w:spacing w:line="360" w:lineRule="auto"/>
        <w:rPr>
          <w:rFonts w:cstheme="minorHAnsi"/>
          <w:i/>
          <w:iCs/>
        </w:rPr>
      </w:pPr>
      <w:r w:rsidRPr="00FD4FB7">
        <w:rPr>
          <w:rFonts w:cstheme="minorHAnsi"/>
          <w:i/>
          <w:iCs/>
        </w:rPr>
        <w:t>U</w:t>
      </w:r>
      <w:r w:rsidR="0053220F" w:rsidRPr="00FD4FB7">
        <w:rPr>
          <w:rFonts w:cstheme="minorHAnsi"/>
          <w:i/>
          <w:iCs/>
        </w:rPr>
        <w:t>se of thiamine</w:t>
      </w:r>
      <w:r w:rsidR="00EE7F57" w:rsidRPr="00FD4FB7">
        <w:rPr>
          <w:rFonts w:cstheme="minorHAnsi"/>
          <w:i/>
          <w:iCs/>
        </w:rPr>
        <w:t xml:space="preserve"> (practice standard </w:t>
      </w:r>
      <w:r w:rsidR="00403D87" w:rsidRPr="00FD4FB7">
        <w:rPr>
          <w:rFonts w:cstheme="minorHAnsi"/>
          <w:i/>
          <w:iCs/>
        </w:rPr>
        <w:t>3</w:t>
      </w:r>
      <w:r w:rsidR="00EE7F57" w:rsidRPr="00FD4FB7">
        <w:rPr>
          <w:rFonts w:cstheme="minorHAnsi"/>
          <w:i/>
          <w:iCs/>
        </w:rPr>
        <w:t>)</w:t>
      </w:r>
    </w:p>
    <w:p w14:paraId="4B0C9DE0" w14:textId="1FECB877" w:rsidR="0053220F" w:rsidRPr="00FD4FB7" w:rsidRDefault="00697260" w:rsidP="00D73DE7">
      <w:pPr>
        <w:pStyle w:val="NoSpacing"/>
        <w:spacing w:line="360" w:lineRule="auto"/>
        <w:rPr>
          <w:rFonts w:cstheme="minorHAnsi"/>
          <w:color w:val="000000" w:themeColor="text1"/>
        </w:rPr>
      </w:pPr>
      <w:r w:rsidRPr="00FD4FB7">
        <w:rPr>
          <w:rFonts w:cstheme="minorHAnsi"/>
        </w:rPr>
        <w:t>T</w:t>
      </w:r>
      <w:r w:rsidR="009B0FBF" w:rsidRPr="00FD4FB7">
        <w:rPr>
          <w:rFonts w:cstheme="minorHAnsi"/>
        </w:rPr>
        <w:t>he data in T</w:t>
      </w:r>
      <w:r w:rsidR="00E63258" w:rsidRPr="00FD4FB7">
        <w:rPr>
          <w:rFonts w:cstheme="minorHAnsi"/>
        </w:rPr>
        <w:t xml:space="preserve">able </w:t>
      </w:r>
      <w:r w:rsidR="005D25C5" w:rsidRPr="00FD4FB7">
        <w:rPr>
          <w:rFonts w:cstheme="minorHAnsi"/>
        </w:rPr>
        <w:t>2</w:t>
      </w:r>
      <w:r w:rsidRPr="00FD4FB7">
        <w:rPr>
          <w:rFonts w:cstheme="minorHAnsi"/>
        </w:rPr>
        <w:t xml:space="preserve"> show </w:t>
      </w:r>
      <w:r w:rsidR="00184E72" w:rsidRPr="00FD4FB7">
        <w:rPr>
          <w:rFonts w:cstheme="minorHAnsi"/>
        </w:rPr>
        <w:t>the proportion of patients in the audit sample prescribed parenteral and/or oral thiamine. P</w:t>
      </w:r>
      <w:r w:rsidRPr="00FD4FB7">
        <w:rPr>
          <w:rFonts w:cstheme="minorHAnsi"/>
        </w:rPr>
        <w:t xml:space="preserve">arenteral </w:t>
      </w:r>
      <w:r w:rsidR="00D45CB9" w:rsidRPr="00FD4FB7">
        <w:rPr>
          <w:rFonts w:cstheme="minorHAnsi"/>
        </w:rPr>
        <w:t xml:space="preserve">(intramuscular or intravenous injection) </w:t>
      </w:r>
      <w:r w:rsidRPr="00FD4FB7">
        <w:rPr>
          <w:rFonts w:cstheme="minorHAnsi"/>
        </w:rPr>
        <w:t>thiamine was prescribed for 361 (41%</w:t>
      </w:r>
      <w:r w:rsidR="00134CE9" w:rsidRPr="00FD4FB7">
        <w:rPr>
          <w:rFonts w:cstheme="minorHAnsi"/>
        </w:rPr>
        <w:t xml:space="preserve">; </w:t>
      </w:r>
      <w:r w:rsidR="00054A8F" w:rsidRPr="005B26FE">
        <w:rPr>
          <w:rFonts w:cstheme="minorHAnsi"/>
          <w:highlight w:val="yellow"/>
        </w:rPr>
        <w:t>95%CI</w:t>
      </w:r>
      <w:r w:rsidR="00054A8F" w:rsidRPr="005B26FE">
        <w:rPr>
          <w:rFonts w:cstheme="minorHAnsi"/>
        </w:rPr>
        <w:t xml:space="preserve"> </w:t>
      </w:r>
      <w:r w:rsidR="00134CE9" w:rsidRPr="00FD4FB7">
        <w:rPr>
          <w:rFonts w:cstheme="minorHAnsi"/>
        </w:rPr>
        <w:t>38-44</w:t>
      </w:r>
      <w:r w:rsidR="00E65E35" w:rsidRPr="00FD4FB7">
        <w:rPr>
          <w:rFonts w:cstheme="minorHAnsi"/>
        </w:rPr>
        <w:t xml:space="preserve">%) </w:t>
      </w:r>
      <w:r w:rsidRPr="00FD4FB7">
        <w:rPr>
          <w:rFonts w:cstheme="minorHAnsi"/>
        </w:rPr>
        <w:t>of the 875 patients on an a</w:t>
      </w:r>
      <w:r w:rsidR="00184E72" w:rsidRPr="00FD4FB7">
        <w:rPr>
          <w:rFonts w:cstheme="minorHAnsi"/>
        </w:rPr>
        <w:t>c</w:t>
      </w:r>
      <w:r w:rsidRPr="00FD4FB7">
        <w:rPr>
          <w:rFonts w:cstheme="minorHAnsi"/>
        </w:rPr>
        <w:t xml:space="preserve">ute adult ward/PICU with no specialist involvement and </w:t>
      </w:r>
      <w:r w:rsidRPr="00FD4FB7">
        <w:rPr>
          <w:rFonts w:cstheme="minorHAnsi"/>
          <w:color w:val="000000" w:themeColor="text1"/>
        </w:rPr>
        <w:t>26 (79%</w:t>
      </w:r>
      <w:r w:rsidR="00134CE9" w:rsidRPr="00FD4FB7">
        <w:rPr>
          <w:rFonts w:cstheme="minorHAnsi"/>
          <w:color w:val="000000" w:themeColor="text1"/>
        </w:rPr>
        <w:t xml:space="preserve">; </w:t>
      </w:r>
      <w:r w:rsidR="00054A8F" w:rsidRPr="005B26FE">
        <w:rPr>
          <w:rFonts w:cstheme="minorHAnsi"/>
          <w:highlight w:val="yellow"/>
        </w:rPr>
        <w:t>95%CI</w:t>
      </w:r>
      <w:r w:rsidR="00054A8F" w:rsidRPr="005B26FE">
        <w:rPr>
          <w:rFonts w:cstheme="minorHAnsi"/>
        </w:rPr>
        <w:t xml:space="preserve"> </w:t>
      </w:r>
      <w:r w:rsidR="00134CE9" w:rsidRPr="00FD4FB7">
        <w:rPr>
          <w:rFonts w:cstheme="minorHAnsi"/>
          <w:color w:val="000000" w:themeColor="text1"/>
        </w:rPr>
        <w:t>65-93%</w:t>
      </w:r>
      <w:r w:rsidR="00535F3A" w:rsidRPr="00FD4FB7">
        <w:rPr>
          <w:rFonts w:cstheme="minorHAnsi"/>
          <w:color w:val="000000" w:themeColor="text1"/>
        </w:rPr>
        <w:t>)</w:t>
      </w:r>
      <w:r w:rsidRPr="00FD4FB7">
        <w:rPr>
          <w:rFonts w:cstheme="minorHAnsi"/>
          <w:color w:val="000000" w:themeColor="text1"/>
        </w:rPr>
        <w:t xml:space="preserve"> of the 33 patients where there was specialist involvement. </w:t>
      </w:r>
      <w:r w:rsidRPr="00FD4FB7">
        <w:rPr>
          <w:rFonts w:cstheme="minorHAnsi"/>
          <w:color w:val="000000" w:themeColor="text1"/>
        </w:rPr>
        <w:lastRenderedPageBreak/>
        <w:t xml:space="preserve">Of the 347 patients treated on a specialist unit, a prescription </w:t>
      </w:r>
      <w:r w:rsidR="00D45CB9" w:rsidRPr="00FD4FB7">
        <w:rPr>
          <w:rFonts w:cstheme="minorHAnsi"/>
          <w:color w:val="000000" w:themeColor="text1"/>
        </w:rPr>
        <w:t xml:space="preserve">for parenteral thiamine </w:t>
      </w:r>
      <w:r w:rsidRPr="00FD4FB7">
        <w:rPr>
          <w:rFonts w:cstheme="minorHAnsi"/>
          <w:color w:val="000000" w:themeColor="text1"/>
        </w:rPr>
        <w:t>was recorded for 306 (</w:t>
      </w:r>
      <w:r w:rsidR="00184E72" w:rsidRPr="00FD4FB7">
        <w:rPr>
          <w:rFonts w:cstheme="minorHAnsi"/>
          <w:color w:val="000000" w:themeColor="text1"/>
        </w:rPr>
        <w:t>88</w:t>
      </w:r>
      <w:r w:rsidRPr="00FD4FB7">
        <w:rPr>
          <w:rFonts w:cstheme="minorHAnsi"/>
          <w:color w:val="000000" w:themeColor="text1"/>
        </w:rPr>
        <w:t>%</w:t>
      </w:r>
      <w:r w:rsidR="00134CE9" w:rsidRPr="00FD4FB7">
        <w:rPr>
          <w:rFonts w:cstheme="minorHAnsi"/>
          <w:color w:val="000000" w:themeColor="text1"/>
        </w:rPr>
        <w:t xml:space="preserve">; </w:t>
      </w:r>
      <w:r w:rsidR="00054A8F" w:rsidRPr="005B26FE">
        <w:rPr>
          <w:rFonts w:cstheme="minorHAnsi"/>
          <w:highlight w:val="yellow"/>
        </w:rPr>
        <w:t>95%CI</w:t>
      </w:r>
      <w:r w:rsidR="00054A8F" w:rsidRPr="005B26FE">
        <w:rPr>
          <w:rFonts w:cstheme="minorHAnsi"/>
        </w:rPr>
        <w:t xml:space="preserve"> </w:t>
      </w:r>
      <w:r w:rsidR="00134CE9" w:rsidRPr="00FD4FB7">
        <w:rPr>
          <w:rFonts w:cstheme="minorHAnsi"/>
          <w:color w:val="000000" w:themeColor="text1"/>
        </w:rPr>
        <w:t>85-9</w:t>
      </w:r>
      <w:r w:rsidR="00E65E35" w:rsidRPr="00FD4FB7">
        <w:rPr>
          <w:rFonts w:cstheme="minorHAnsi"/>
          <w:color w:val="000000" w:themeColor="text1"/>
        </w:rPr>
        <w:t>1</w:t>
      </w:r>
      <w:r w:rsidR="00281FD2" w:rsidRPr="00FD4FB7">
        <w:rPr>
          <w:rFonts w:cstheme="minorHAnsi"/>
          <w:color w:val="000000" w:themeColor="text1"/>
        </w:rPr>
        <w:t>%</w:t>
      </w:r>
      <w:r w:rsidRPr="00FD4FB7">
        <w:rPr>
          <w:rFonts w:cstheme="minorHAnsi"/>
          <w:color w:val="000000" w:themeColor="text1"/>
        </w:rPr>
        <w:t xml:space="preserve">).  </w:t>
      </w:r>
    </w:p>
    <w:p w14:paraId="4CFFBB8E" w14:textId="77777777" w:rsidR="00D73DE7" w:rsidRPr="00FD4FB7" w:rsidRDefault="00D73DE7" w:rsidP="00D73DE7">
      <w:pPr>
        <w:pStyle w:val="NoSpacing"/>
        <w:spacing w:line="360" w:lineRule="auto"/>
        <w:rPr>
          <w:rFonts w:cstheme="minorHAnsi"/>
        </w:rPr>
      </w:pPr>
    </w:p>
    <w:p w14:paraId="48363E28" w14:textId="7BDD9623" w:rsidR="00F643CE" w:rsidRPr="00FD4FB7" w:rsidRDefault="009B653A" w:rsidP="00A967D3">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W</w:t>
      </w:r>
      <w:r w:rsidR="00176169" w:rsidRPr="00FD4FB7">
        <w:rPr>
          <w:rFonts w:asciiTheme="minorHAnsi" w:hAnsiTheme="minorHAnsi" w:cstheme="minorHAnsi"/>
          <w:color w:val="000000" w:themeColor="text1"/>
          <w:sz w:val="22"/>
          <w:szCs w:val="22"/>
        </w:rPr>
        <w:t>hen potentially relevant clinical variables were examined in the total sample</w:t>
      </w:r>
      <w:r w:rsidR="00A967D3" w:rsidRPr="00FD4FB7">
        <w:rPr>
          <w:rFonts w:asciiTheme="minorHAnsi" w:hAnsiTheme="minorHAnsi" w:cstheme="minorHAnsi"/>
          <w:color w:val="000000" w:themeColor="text1"/>
          <w:sz w:val="22"/>
          <w:szCs w:val="22"/>
        </w:rPr>
        <w:t xml:space="preserve"> using binary logistic regression, the multivariable analysis found </w:t>
      </w:r>
      <w:r w:rsidR="00176169" w:rsidRPr="00FD4FB7">
        <w:rPr>
          <w:rFonts w:asciiTheme="minorHAnsi" w:hAnsiTheme="minorHAnsi" w:cstheme="minorHAnsi"/>
          <w:color w:val="000000" w:themeColor="text1"/>
          <w:sz w:val="22"/>
          <w:szCs w:val="22"/>
        </w:rPr>
        <w:t>the following to be significantly associated (</w:t>
      </w:r>
      <w:r w:rsidR="00176169" w:rsidRPr="00FD4FB7">
        <w:rPr>
          <w:rFonts w:asciiTheme="minorHAnsi" w:hAnsiTheme="minorHAnsi" w:cstheme="minorHAnsi"/>
          <w:i/>
          <w:iCs/>
          <w:color w:val="000000" w:themeColor="text1"/>
          <w:sz w:val="22"/>
          <w:szCs w:val="22"/>
          <w:bdr w:val="none" w:sz="0" w:space="0" w:color="auto" w:frame="1"/>
        </w:rPr>
        <w:t>P</w:t>
      </w:r>
      <w:r w:rsidR="00176169" w:rsidRPr="00FD4FB7">
        <w:rPr>
          <w:rFonts w:asciiTheme="minorHAnsi" w:hAnsiTheme="minorHAnsi" w:cstheme="minorHAnsi"/>
          <w:color w:val="000000" w:themeColor="text1"/>
          <w:sz w:val="22"/>
          <w:szCs w:val="22"/>
        </w:rPr>
        <w:t xml:space="preserve">&lt;0.01) with the </w:t>
      </w:r>
      <w:r w:rsidR="00E62FF2" w:rsidRPr="00FD4FB7">
        <w:rPr>
          <w:rFonts w:asciiTheme="minorHAnsi" w:hAnsiTheme="minorHAnsi" w:cstheme="minorHAnsi"/>
          <w:color w:val="000000" w:themeColor="text1"/>
          <w:sz w:val="22"/>
          <w:szCs w:val="22"/>
        </w:rPr>
        <w:t xml:space="preserve">use of parenteral thiamine: </w:t>
      </w:r>
      <w:r w:rsidR="00AC4303" w:rsidRPr="00FD4FB7">
        <w:rPr>
          <w:rFonts w:asciiTheme="minorHAnsi" w:hAnsiTheme="minorHAnsi" w:cstheme="minorHAnsi"/>
          <w:color w:val="000000" w:themeColor="text1"/>
          <w:sz w:val="22"/>
          <w:szCs w:val="22"/>
        </w:rPr>
        <w:t xml:space="preserve">evidence of </w:t>
      </w:r>
      <w:r w:rsidR="00E62FF2" w:rsidRPr="00FD4FB7">
        <w:rPr>
          <w:rFonts w:asciiTheme="minorHAnsi" w:hAnsiTheme="minorHAnsi" w:cstheme="minorHAnsi"/>
          <w:color w:val="000000" w:themeColor="text1"/>
          <w:sz w:val="22"/>
          <w:szCs w:val="22"/>
        </w:rPr>
        <w:t xml:space="preserve">specialist </w:t>
      </w:r>
      <w:r w:rsidR="00010985" w:rsidRPr="00FD4FB7">
        <w:rPr>
          <w:rFonts w:asciiTheme="minorHAnsi" w:hAnsiTheme="minorHAnsi" w:cstheme="minorHAnsi"/>
          <w:color w:val="000000" w:themeColor="text1"/>
          <w:sz w:val="22"/>
          <w:szCs w:val="22"/>
        </w:rPr>
        <w:t>care</w:t>
      </w:r>
      <w:r w:rsidR="00BC0818" w:rsidRPr="00FD4FB7">
        <w:rPr>
          <w:rFonts w:asciiTheme="minorHAnsi" w:hAnsiTheme="minorHAnsi" w:cstheme="minorHAnsi"/>
          <w:color w:val="000000" w:themeColor="text1"/>
          <w:sz w:val="22"/>
          <w:szCs w:val="22"/>
        </w:rPr>
        <w:t xml:space="preserve"> </w:t>
      </w:r>
      <w:r w:rsidR="007C4AA8" w:rsidRPr="00FD4FB7">
        <w:rPr>
          <w:rFonts w:asciiTheme="minorHAnsi" w:hAnsiTheme="minorHAnsi" w:cstheme="minorHAnsi"/>
          <w:color w:val="000000" w:themeColor="text1"/>
          <w:sz w:val="22"/>
          <w:szCs w:val="22"/>
        </w:rPr>
        <w:t>(</w:t>
      </w:r>
      <w:r w:rsidR="00D73DE7" w:rsidRPr="00FD4FB7">
        <w:rPr>
          <w:rFonts w:asciiTheme="minorHAnsi" w:hAnsiTheme="minorHAnsi" w:cstheme="minorHAnsi"/>
          <w:color w:val="000000" w:themeColor="text1"/>
          <w:sz w:val="22"/>
          <w:szCs w:val="22"/>
        </w:rPr>
        <w:t xml:space="preserve">i.e. </w:t>
      </w:r>
      <w:r w:rsidR="00A65D88" w:rsidRPr="00FD4FB7">
        <w:rPr>
          <w:rFonts w:asciiTheme="minorHAnsi" w:hAnsiTheme="minorHAnsi" w:cstheme="minorHAnsi"/>
          <w:color w:val="000000" w:themeColor="text1"/>
          <w:sz w:val="22"/>
          <w:szCs w:val="22"/>
        </w:rPr>
        <w:t xml:space="preserve">MAAW </w:t>
      </w:r>
      <w:r w:rsidR="00010985" w:rsidRPr="00FD4FB7">
        <w:rPr>
          <w:rFonts w:asciiTheme="minorHAnsi" w:hAnsiTheme="minorHAnsi" w:cstheme="minorHAnsi"/>
          <w:color w:val="000000" w:themeColor="text1"/>
          <w:sz w:val="22"/>
          <w:szCs w:val="22"/>
        </w:rPr>
        <w:t xml:space="preserve">was </w:t>
      </w:r>
      <w:r w:rsidR="00E62FF2" w:rsidRPr="00FD4FB7">
        <w:rPr>
          <w:rFonts w:asciiTheme="minorHAnsi" w:hAnsiTheme="minorHAnsi" w:cstheme="minorHAnsi"/>
          <w:color w:val="000000" w:themeColor="text1"/>
          <w:sz w:val="22"/>
          <w:szCs w:val="22"/>
        </w:rPr>
        <w:t>conducted under the care of a specialist alcohol unit or overseen by a</w:t>
      </w:r>
      <w:r w:rsidR="00BC0818" w:rsidRPr="00FD4FB7">
        <w:rPr>
          <w:rFonts w:asciiTheme="minorHAnsi" w:hAnsiTheme="minorHAnsi" w:cstheme="minorHAnsi"/>
          <w:color w:val="000000" w:themeColor="text1"/>
          <w:sz w:val="22"/>
          <w:szCs w:val="22"/>
        </w:rPr>
        <w:t xml:space="preserve">n </w:t>
      </w:r>
      <w:r w:rsidR="00BC0818"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00E62FF2" w:rsidRPr="00FD4FB7">
        <w:rPr>
          <w:rFonts w:asciiTheme="minorHAnsi" w:hAnsiTheme="minorHAnsi" w:cstheme="minorHAnsi"/>
          <w:color w:val="000000" w:themeColor="text1"/>
          <w:sz w:val="22"/>
          <w:szCs w:val="22"/>
        </w:rPr>
        <w:t xml:space="preserve"> specialist on an acute adult ward)</w:t>
      </w:r>
      <w:r w:rsidR="00AC4303" w:rsidRPr="00FD4FB7">
        <w:rPr>
          <w:rFonts w:asciiTheme="minorHAnsi" w:hAnsiTheme="minorHAnsi" w:cstheme="minorHAnsi"/>
          <w:color w:val="000000" w:themeColor="text1"/>
          <w:sz w:val="22"/>
          <w:szCs w:val="22"/>
        </w:rPr>
        <w:t xml:space="preserve">, </w:t>
      </w:r>
      <w:r w:rsidR="00A967D3" w:rsidRPr="00FD4FB7">
        <w:rPr>
          <w:rFonts w:asciiTheme="minorHAnsi" w:hAnsiTheme="minorHAnsi" w:cstheme="minorHAnsi"/>
          <w:color w:val="000000" w:themeColor="text1"/>
          <w:sz w:val="22"/>
          <w:szCs w:val="22"/>
        </w:rPr>
        <w:t xml:space="preserve">an </w:t>
      </w:r>
      <w:r w:rsidR="00E62FF2" w:rsidRPr="00FD4FB7">
        <w:rPr>
          <w:rFonts w:asciiTheme="minorHAnsi" w:hAnsiTheme="minorHAnsi" w:cstheme="minorHAnsi"/>
          <w:color w:val="000000" w:themeColor="text1"/>
          <w:sz w:val="22"/>
          <w:szCs w:val="22"/>
        </w:rPr>
        <w:t>ICD10 F10 diagnostic code (alcohol</w:t>
      </w:r>
      <w:r w:rsidR="0053372C" w:rsidRPr="00FD4FB7">
        <w:rPr>
          <w:rFonts w:asciiTheme="minorHAnsi" w:hAnsiTheme="minorHAnsi" w:cstheme="minorHAnsi"/>
          <w:color w:val="000000" w:themeColor="text1"/>
          <w:sz w:val="22"/>
          <w:szCs w:val="22"/>
        </w:rPr>
        <w:t>-</w:t>
      </w:r>
      <w:r w:rsidR="00E62FF2" w:rsidRPr="00FD4FB7">
        <w:rPr>
          <w:rFonts w:asciiTheme="minorHAnsi" w:hAnsiTheme="minorHAnsi" w:cstheme="minorHAnsi"/>
          <w:color w:val="000000" w:themeColor="text1"/>
          <w:sz w:val="22"/>
          <w:szCs w:val="22"/>
        </w:rPr>
        <w:t>related disorders)</w:t>
      </w:r>
      <w:r w:rsidR="00AC4303" w:rsidRPr="00FD4FB7">
        <w:rPr>
          <w:rFonts w:asciiTheme="minorHAnsi" w:hAnsiTheme="minorHAnsi" w:cstheme="minorHAnsi"/>
          <w:color w:val="000000" w:themeColor="text1"/>
          <w:sz w:val="22"/>
          <w:szCs w:val="22"/>
        </w:rPr>
        <w:t>, documented assessment for Wernicke’s encephalopathy, and the</w:t>
      </w:r>
      <w:r w:rsidR="008D74FD" w:rsidRPr="00FD4FB7">
        <w:rPr>
          <w:rFonts w:asciiTheme="minorHAnsi" w:hAnsiTheme="minorHAnsi" w:cstheme="minorHAnsi"/>
          <w:color w:val="000000" w:themeColor="text1"/>
          <w:sz w:val="22"/>
          <w:szCs w:val="22"/>
        </w:rPr>
        <w:t xml:space="preserve"> </w:t>
      </w:r>
      <w:r w:rsidR="00AC4303" w:rsidRPr="00FD4FB7">
        <w:rPr>
          <w:rFonts w:asciiTheme="minorHAnsi" w:hAnsiTheme="minorHAnsi" w:cstheme="minorHAnsi"/>
          <w:color w:val="000000" w:themeColor="text1"/>
          <w:sz w:val="22"/>
          <w:szCs w:val="22"/>
        </w:rPr>
        <w:t>documented presence of delirium tremens and/or Korsakoff’s syndrome</w:t>
      </w:r>
      <w:r w:rsidR="007C4AA8" w:rsidRPr="00FD4FB7">
        <w:rPr>
          <w:rFonts w:asciiTheme="minorHAnsi" w:hAnsiTheme="minorHAnsi" w:cstheme="minorHAnsi"/>
          <w:color w:val="000000" w:themeColor="text1"/>
          <w:sz w:val="22"/>
          <w:szCs w:val="22"/>
        </w:rPr>
        <w:t xml:space="preserve"> (see Table 3)</w:t>
      </w:r>
      <w:r w:rsidR="00A967D3" w:rsidRPr="00FD4FB7">
        <w:rPr>
          <w:rFonts w:asciiTheme="minorHAnsi" w:hAnsiTheme="minorHAnsi" w:cstheme="minorHAnsi"/>
          <w:color w:val="000000" w:themeColor="text1"/>
          <w:sz w:val="22"/>
          <w:szCs w:val="22"/>
        </w:rPr>
        <w:t xml:space="preserve">. </w:t>
      </w:r>
      <w:r w:rsidR="004C4A2E" w:rsidRPr="00FD4FB7">
        <w:rPr>
          <w:rFonts w:asciiTheme="minorHAnsi" w:hAnsiTheme="minorHAnsi" w:cstheme="minorHAnsi"/>
          <w:color w:val="000000" w:themeColor="text1"/>
          <w:sz w:val="22"/>
          <w:szCs w:val="22"/>
        </w:rPr>
        <w:t xml:space="preserve"> Th</w:t>
      </w:r>
      <w:r w:rsidR="008D74FD" w:rsidRPr="00FD4FB7">
        <w:rPr>
          <w:rFonts w:asciiTheme="minorHAnsi" w:hAnsiTheme="minorHAnsi" w:cstheme="minorHAnsi"/>
          <w:color w:val="000000" w:themeColor="text1"/>
          <w:sz w:val="22"/>
          <w:szCs w:val="22"/>
        </w:rPr>
        <w:t xml:space="preserve">e odds of being treated with parenteral thiamine were </w:t>
      </w:r>
      <w:r w:rsidR="00A828AE" w:rsidRPr="00FD4FB7">
        <w:rPr>
          <w:rFonts w:asciiTheme="minorHAnsi" w:hAnsiTheme="minorHAnsi" w:cstheme="minorHAnsi"/>
          <w:color w:val="000000" w:themeColor="text1"/>
          <w:sz w:val="22"/>
          <w:szCs w:val="22"/>
        </w:rPr>
        <w:t xml:space="preserve">more than </w:t>
      </w:r>
      <w:r w:rsidR="008D74FD" w:rsidRPr="00FD4FB7">
        <w:rPr>
          <w:rFonts w:asciiTheme="minorHAnsi" w:hAnsiTheme="minorHAnsi" w:cstheme="minorHAnsi"/>
          <w:color w:val="000000" w:themeColor="text1"/>
          <w:sz w:val="22"/>
          <w:szCs w:val="22"/>
        </w:rPr>
        <w:t>seven times higher for th</w:t>
      </w:r>
      <w:r w:rsidR="004C4A2E" w:rsidRPr="00FD4FB7">
        <w:rPr>
          <w:rFonts w:asciiTheme="minorHAnsi" w:hAnsiTheme="minorHAnsi" w:cstheme="minorHAnsi"/>
          <w:color w:val="000000" w:themeColor="text1"/>
          <w:sz w:val="22"/>
          <w:szCs w:val="22"/>
        </w:rPr>
        <w:t xml:space="preserve">ose patients receiving specialist </w:t>
      </w:r>
      <w:r w:rsidR="00010985" w:rsidRPr="00FD4FB7">
        <w:rPr>
          <w:rFonts w:asciiTheme="minorHAnsi" w:hAnsiTheme="minorHAnsi" w:cstheme="minorHAnsi"/>
          <w:color w:val="000000" w:themeColor="text1"/>
          <w:sz w:val="22"/>
          <w:szCs w:val="22"/>
        </w:rPr>
        <w:t>care</w:t>
      </w:r>
      <w:r w:rsidR="004C4A2E" w:rsidRPr="00FD4FB7">
        <w:rPr>
          <w:rFonts w:asciiTheme="minorHAnsi" w:hAnsiTheme="minorHAnsi" w:cstheme="minorHAnsi"/>
          <w:color w:val="000000" w:themeColor="text1"/>
          <w:sz w:val="22"/>
          <w:szCs w:val="22"/>
        </w:rPr>
        <w:t xml:space="preserve"> </w:t>
      </w:r>
      <w:r w:rsidR="008D74FD" w:rsidRPr="00FD4FB7">
        <w:rPr>
          <w:rFonts w:asciiTheme="minorHAnsi" w:hAnsiTheme="minorHAnsi" w:cstheme="minorHAnsi"/>
          <w:color w:val="000000" w:themeColor="text1"/>
          <w:sz w:val="22"/>
          <w:szCs w:val="22"/>
        </w:rPr>
        <w:t xml:space="preserve">and more than twice as high for </w:t>
      </w:r>
      <w:r w:rsidR="00AC4303" w:rsidRPr="00FD4FB7">
        <w:rPr>
          <w:rFonts w:asciiTheme="minorHAnsi" w:hAnsiTheme="minorHAnsi" w:cstheme="minorHAnsi"/>
          <w:color w:val="000000" w:themeColor="text1"/>
          <w:sz w:val="22"/>
          <w:szCs w:val="22"/>
        </w:rPr>
        <w:t>those reported to have signs and symptoms of delirium tremens and/or Korsakoff’s</w:t>
      </w:r>
      <w:r w:rsidR="007C4AA8" w:rsidRPr="00FD4FB7">
        <w:rPr>
          <w:rFonts w:asciiTheme="minorHAnsi" w:hAnsiTheme="minorHAnsi" w:cstheme="minorHAnsi"/>
          <w:color w:val="000000" w:themeColor="text1"/>
          <w:sz w:val="22"/>
          <w:szCs w:val="22"/>
        </w:rPr>
        <w:t>.</w:t>
      </w:r>
    </w:p>
    <w:p w14:paraId="14823116" w14:textId="77777777" w:rsidR="00A124A0" w:rsidRPr="00FD4FB7" w:rsidRDefault="00A124A0" w:rsidP="002B38DB">
      <w:pPr>
        <w:spacing w:line="360" w:lineRule="auto"/>
        <w:rPr>
          <w:rFonts w:asciiTheme="minorHAnsi" w:hAnsiTheme="minorHAnsi" w:cstheme="minorHAnsi"/>
          <w:b/>
          <w:color w:val="000000" w:themeColor="text1"/>
          <w:sz w:val="22"/>
          <w:szCs w:val="22"/>
        </w:rPr>
      </w:pPr>
    </w:p>
    <w:p w14:paraId="18AD00A1" w14:textId="6A73EBB7" w:rsidR="0053220F" w:rsidRPr="00FD4FB7" w:rsidRDefault="00523C46" w:rsidP="002B38DB">
      <w:pPr>
        <w:spacing w:line="360" w:lineRule="auto"/>
        <w:rPr>
          <w:rFonts w:asciiTheme="minorHAnsi" w:hAnsiTheme="minorHAnsi" w:cstheme="minorHAnsi"/>
          <w:b/>
          <w:color w:val="000000" w:themeColor="text1"/>
          <w:sz w:val="22"/>
          <w:szCs w:val="22"/>
        </w:rPr>
      </w:pPr>
      <w:r w:rsidRPr="00FD4FB7">
        <w:rPr>
          <w:rFonts w:asciiTheme="minorHAnsi" w:hAnsiTheme="minorHAnsi" w:cstheme="minorHAnsi"/>
          <w:b/>
          <w:color w:val="000000" w:themeColor="text1"/>
          <w:sz w:val="22"/>
          <w:szCs w:val="22"/>
        </w:rPr>
        <w:t>Discharge planning</w:t>
      </w:r>
    </w:p>
    <w:p w14:paraId="07A55D50" w14:textId="38EF2E38" w:rsidR="0053220F" w:rsidRPr="00FD4FB7" w:rsidRDefault="0053220F" w:rsidP="00336FD0">
      <w:pPr>
        <w:pStyle w:val="NoSpacing"/>
        <w:spacing w:line="360" w:lineRule="auto"/>
        <w:rPr>
          <w:rFonts w:cstheme="minorHAnsi"/>
          <w:i/>
          <w:iCs/>
        </w:rPr>
      </w:pPr>
      <w:r w:rsidRPr="00FD4FB7">
        <w:rPr>
          <w:rFonts w:cstheme="minorHAnsi"/>
          <w:i/>
          <w:iCs/>
        </w:rPr>
        <w:t>Medication for relapse prevention</w:t>
      </w:r>
      <w:r w:rsidR="007F7B54" w:rsidRPr="00FD4FB7">
        <w:rPr>
          <w:rFonts w:cstheme="minorHAnsi"/>
          <w:i/>
          <w:iCs/>
        </w:rPr>
        <w:t xml:space="preserve"> (treatment target 2)</w:t>
      </w:r>
    </w:p>
    <w:p w14:paraId="7A4F9408" w14:textId="348F89A6" w:rsidR="009425D6" w:rsidRPr="00FD4FB7" w:rsidRDefault="0053220F" w:rsidP="00336FD0">
      <w:pPr>
        <w:pStyle w:val="NoSpacing"/>
        <w:spacing w:line="360" w:lineRule="auto"/>
        <w:rPr>
          <w:rFonts w:cstheme="minorHAnsi"/>
        </w:rPr>
      </w:pPr>
      <w:r w:rsidRPr="00FD4FB7">
        <w:rPr>
          <w:rFonts w:cstheme="minorHAnsi"/>
        </w:rPr>
        <w:t xml:space="preserve">At </w:t>
      </w:r>
      <w:r w:rsidR="00FB3DDE" w:rsidRPr="00FD4FB7">
        <w:rPr>
          <w:rFonts w:cstheme="minorHAnsi"/>
        </w:rPr>
        <w:t xml:space="preserve">the time of </w:t>
      </w:r>
      <w:r w:rsidRPr="00FD4FB7">
        <w:rPr>
          <w:rFonts w:cstheme="minorHAnsi"/>
        </w:rPr>
        <w:t xml:space="preserve">discharge, </w:t>
      </w:r>
      <w:r w:rsidR="00FB3DDE" w:rsidRPr="00FD4FB7">
        <w:rPr>
          <w:rFonts w:cstheme="minorHAnsi"/>
        </w:rPr>
        <w:t xml:space="preserve">or four weeks after </w:t>
      </w:r>
      <w:r w:rsidR="0046768D" w:rsidRPr="00FD4FB7">
        <w:rPr>
          <w:rFonts w:cstheme="minorHAnsi"/>
        </w:rPr>
        <w:t xml:space="preserve">completing MAAW </w:t>
      </w:r>
      <w:r w:rsidR="00FB3DDE" w:rsidRPr="00FD4FB7">
        <w:rPr>
          <w:rFonts w:cstheme="minorHAnsi"/>
        </w:rPr>
        <w:t xml:space="preserve">if a patient had not been discharged by that time, </w:t>
      </w:r>
      <w:r w:rsidR="00CC0EB6" w:rsidRPr="00FD4FB7">
        <w:rPr>
          <w:rFonts w:cstheme="minorHAnsi"/>
        </w:rPr>
        <w:t xml:space="preserve">one or more </w:t>
      </w:r>
      <w:r w:rsidRPr="00FD4FB7">
        <w:rPr>
          <w:rFonts w:cstheme="minorHAnsi"/>
        </w:rPr>
        <w:t>medication</w:t>
      </w:r>
      <w:r w:rsidR="00CC0EB6" w:rsidRPr="00FD4FB7">
        <w:rPr>
          <w:rFonts w:cstheme="minorHAnsi"/>
        </w:rPr>
        <w:t>s</w:t>
      </w:r>
      <w:r w:rsidRPr="00FD4FB7">
        <w:rPr>
          <w:rFonts w:cstheme="minorHAnsi"/>
        </w:rPr>
        <w:t xml:space="preserve"> </w:t>
      </w:r>
      <w:r w:rsidR="00523C46" w:rsidRPr="00FD4FB7">
        <w:rPr>
          <w:rFonts w:cstheme="minorHAnsi"/>
        </w:rPr>
        <w:t xml:space="preserve">for relapse prevention </w:t>
      </w:r>
      <w:r w:rsidR="00E07815" w:rsidRPr="00FD4FB7">
        <w:rPr>
          <w:rFonts w:cstheme="minorHAnsi"/>
        </w:rPr>
        <w:t xml:space="preserve">(acamprosate, naltrexone, disulfiram, or baclofen) </w:t>
      </w:r>
      <w:r w:rsidR="00523C46" w:rsidRPr="00FD4FB7">
        <w:rPr>
          <w:rFonts w:cstheme="minorHAnsi"/>
        </w:rPr>
        <w:t xml:space="preserve">was prescribed for </w:t>
      </w:r>
      <w:r w:rsidR="001B0AFA" w:rsidRPr="00FD4FB7">
        <w:rPr>
          <w:rFonts w:cstheme="minorHAnsi"/>
        </w:rPr>
        <w:t>117</w:t>
      </w:r>
      <w:r w:rsidR="006165DF" w:rsidRPr="00FD4FB7">
        <w:rPr>
          <w:rFonts w:cstheme="minorHAnsi"/>
        </w:rPr>
        <w:t xml:space="preserve"> of the </w:t>
      </w:r>
      <w:r w:rsidR="001B0AFA" w:rsidRPr="00FD4FB7">
        <w:rPr>
          <w:rFonts w:cstheme="minorHAnsi"/>
        </w:rPr>
        <w:t xml:space="preserve">908 </w:t>
      </w:r>
      <w:r w:rsidR="004F4357" w:rsidRPr="00FD4FB7">
        <w:rPr>
          <w:rFonts w:cstheme="minorHAnsi"/>
        </w:rPr>
        <w:t>(13%</w:t>
      </w:r>
      <w:r w:rsidR="005B2B1D" w:rsidRPr="00FD4FB7">
        <w:rPr>
          <w:rFonts w:cstheme="minorHAnsi"/>
        </w:rPr>
        <w:t xml:space="preserve">; </w:t>
      </w:r>
      <w:r w:rsidR="00217807" w:rsidRPr="005B26FE">
        <w:rPr>
          <w:rFonts w:cstheme="minorHAnsi"/>
          <w:highlight w:val="yellow"/>
        </w:rPr>
        <w:t>95%CI</w:t>
      </w:r>
      <w:r w:rsidR="00217807" w:rsidRPr="005B26FE">
        <w:rPr>
          <w:rFonts w:cstheme="minorHAnsi"/>
        </w:rPr>
        <w:t xml:space="preserve"> </w:t>
      </w:r>
      <w:r w:rsidR="005B2B1D" w:rsidRPr="00FD4FB7">
        <w:rPr>
          <w:rFonts w:cstheme="minorHAnsi"/>
        </w:rPr>
        <w:t>11-15%</w:t>
      </w:r>
      <w:r w:rsidR="004F4357" w:rsidRPr="00FD4FB7">
        <w:rPr>
          <w:rFonts w:cstheme="minorHAnsi"/>
        </w:rPr>
        <w:t>) patients</w:t>
      </w:r>
      <w:r w:rsidR="002F2872" w:rsidRPr="00FD4FB7">
        <w:rPr>
          <w:rFonts w:cstheme="minorHAnsi"/>
        </w:rPr>
        <w:t xml:space="preserve"> on an acute adult ward/PICU</w:t>
      </w:r>
      <w:r w:rsidR="006165DF" w:rsidRPr="00FD4FB7">
        <w:rPr>
          <w:rFonts w:cstheme="minorHAnsi"/>
        </w:rPr>
        <w:t>:</w:t>
      </w:r>
      <w:r w:rsidR="00336FD0" w:rsidRPr="00FD4FB7">
        <w:rPr>
          <w:rFonts w:cstheme="minorHAnsi"/>
        </w:rPr>
        <w:t xml:space="preserve"> </w:t>
      </w:r>
      <w:r w:rsidR="00523C46" w:rsidRPr="00FD4FB7">
        <w:rPr>
          <w:rFonts w:cstheme="minorHAnsi"/>
        </w:rPr>
        <w:t>96</w:t>
      </w:r>
      <w:r w:rsidR="006165DF" w:rsidRPr="00FD4FB7">
        <w:rPr>
          <w:rFonts w:cstheme="minorHAnsi"/>
        </w:rPr>
        <w:t xml:space="preserve"> of the </w:t>
      </w:r>
      <w:r w:rsidR="00BD08CB" w:rsidRPr="00FD4FB7">
        <w:rPr>
          <w:rFonts w:cstheme="minorHAnsi"/>
        </w:rPr>
        <w:t>875</w:t>
      </w:r>
      <w:r w:rsidR="00523C46" w:rsidRPr="00FD4FB7">
        <w:rPr>
          <w:rFonts w:cstheme="minorHAnsi"/>
        </w:rPr>
        <w:t xml:space="preserve"> (11%</w:t>
      </w:r>
      <w:r w:rsidR="005B2B1D" w:rsidRPr="00FD4FB7">
        <w:rPr>
          <w:rFonts w:cstheme="minorHAnsi"/>
        </w:rPr>
        <w:t xml:space="preserve">; </w:t>
      </w:r>
      <w:r w:rsidR="00217807" w:rsidRPr="005B26FE">
        <w:rPr>
          <w:rFonts w:cstheme="minorHAnsi"/>
          <w:highlight w:val="yellow"/>
        </w:rPr>
        <w:t>95%CI</w:t>
      </w:r>
      <w:r w:rsidR="00217807" w:rsidRPr="005B26FE">
        <w:rPr>
          <w:rFonts w:cstheme="minorHAnsi"/>
        </w:rPr>
        <w:t xml:space="preserve"> </w:t>
      </w:r>
      <w:r w:rsidR="005B2B1D" w:rsidRPr="00FD4FB7">
        <w:rPr>
          <w:rFonts w:cstheme="minorHAnsi"/>
        </w:rPr>
        <w:t>9-13%</w:t>
      </w:r>
      <w:r w:rsidR="00523C46" w:rsidRPr="00FD4FB7">
        <w:rPr>
          <w:rFonts w:cstheme="minorHAnsi"/>
        </w:rPr>
        <w:t xml:space="preserve">) </w:t>
      </w:r>
      <w:r w:rsidR="006165DF" w:rsidRPr="00FD4FB7">
        <w:rPr>
          <w:rFonts w:cstheme="minorHAnsi"/>
        </w:rPr>
        <w:t xml:space="preserve">patients </w:t>
      </w:r>
      <w:r w:rsidR="00523C46" w:rsidRPr="00FD4FB7">
        <w:rPr>
          <w:rFonts w:cstheme="minorHAnsi"/>
        </w:rPr>
        <w:t>with no specialist involvement</w:t>
      </w:r>
      <w:r w:rsidR="00336FD0" w:rsidRPr="00FD4FB7">
        <w:rPr>
          <w:rFonts w:cstheme="minorHAnsi"/>
        </w:rPr>
        <w:t>,</w:t>
      </w:r>
      <w:r w:rsidR="00523C46" w:rsidRPr="00FD4FB7">
        <w:rPr>
          <w:rFonts w:cstheme="minorHAnsi"/>
        </w:rPr>
        <w:t xml:space="preserve"> and </w:t>
      </w:r>
      <w:r w:rsidR="00CC0EB6" w:rsidRPr="00FD4FB7">
        <w:rPr>
          <w:rFonts w:cstheme="minorHAnsi"/>
        </w:rPr>
        <w:t>21</w:t>
      </w:r>
      <w:r w:rsidR="006165DF" w:rsidRPr="00FD4FB7">
        <w:rPr>
          <w:rFonts w:cstheme="minorHAnsi"/>
        </w:rPr>
        <w:t xml:space="preserve"> of </w:t>
      </w:r>
      <w:r w:rsidR="006165DF" w:rsidRPr="00FD4FB7">
        <w:rPr>
          <w:rFonts w:cstheme="minorHAnsi"/>
          <w:color w:val="000000" w:themeColor="text1"/>
        </w:rPr>
        <w:t xml:space="preserve">the </w:t>
      </w:r>
      <w:r w:rsidR="00BD08CB" w:rsidRPr="00FD4FB7">
        <w:rPr>
          <w:rFonts w:cstheme="minorHAnsi"/>
          <w:color w:val="000000" w:themeColor="text1"/>
        </w:rPr>
        <w:t>33</w:t>
      </w:r>
      <w:r w:rsidR="00CC0EB6" w:rsidRPr="00FD4FB7">
        <w:rPr>
          <w:rFonts w:cstheme="minorHAnsi"/>
          <w:color w:val="000000" w:themeColor="text1"/>
        </w:rPr>
        <w:t xml:space="preserve"> </w:t>
      </w:r>
      <w:r w:rsidR="00523C46" w:rsidRPr="00FD4FB7">
        <w:rPr>
          <w:rFonts w:cstheme="minorHAnsi"/>
          <w:color w:val="000000" w:themeColor="text1"/>
        </w:rPr>
        <w:t>(</w:t>
      </w:r>
      <w:r w:rsidR="00CC0EB6" w:rsidRPr="00FD4FB7">
        <w:rPr>
          <w:rFonts w:cstheme="minorHAnsi"/>
          <w:color w:val="000000" w:themeColor="text1"/>
        </w:rPr>
        <w:t>63</w:t>
      </w:r>
      <w:r w:rsidR="00523C46" w:rsidRPr="00FD4FB7">
        <w:rPr>
          <w:rFonts w:cstheme="minorHAnsi"/>
          <w:color w:val="000000" w:themeColor="text1"/>
        </w:rPr>
        <w:t>%</w:t>
      </w:r>
      <w:r w:rsidR="005B2B1D" w:rsidRPr="00FD4FB7">
        <w:rPr>
          <w:rFonts w:cstheme="minorHAnsi"/>
          <w:color w:val="000000" w:themeColor="text1"/>
        </w:rPr>
        <w:t xml:space="preserve">; </w:t>
      </w:r>
      <w:r w:rsidR="00217807" w:rsidRPr="005B26FE">
        <w:rPr>
          <w:rFonts w:cstheme="minorHAnsi"/>
          <w:highlight w:val="yellow"/>
        </w:rPr>
        <w:t>95%CI</w:t>
      </w:r>
      <w:r w:rsidR="00217807" w:rsidRPr="005B26FE">
        <w:rPr>
          <w:rFonts w:cstheme="minorHAnsi"/>
        </w:rPr>
        <w:t xml:space="preserve"> </w:t>
      </w:r>
      <w:r w:rsidR="005B2B1D" w:rsidRPr="00FD4FB7">
        <w:rPr>
          <w:rFonts w:cstheme="minorHAnsi"/>
          <w:color w:val="000000" w:themeColor="text1"/>
        </w:rPr>
        <w:t>47-</w:t>
      </w:r>
      <w:r w:rsidR="006165DF" w:rsidRPr="00FD4FB7">
        <w:rPr>
          <w:rFonts w:cstheme="minorHAnsi"/>
          <w:color w:val="000000" w:themeColor="text1"/>
        </w:rPr>
        <w:t>80</w:t>
      </w:r>
      <w:r w:rsidR="005B2B1D" w:rsidRPr="00FD4FB7">
        <w:rPr>
          <w:rFonts w:cstheme="minorHAnsi"/>
          <w:color w:val="000000" w:themeColor="text1"/>
        </w:rPr>
        <w:t>%</w:t>
      </w:r>
      <w:r w:rsidR="00523C46" w:rsidRPr="00FD4FB7">
        <w:rPr>
          <w:rFonts w:cstheme="minorHAnsi"/>
          <w:color w:val="000000" w:themeColor="text1"/>
        </w:rPr>
        <w:t xml:space="preserve">) patients </w:t>
      </w:r>
      <w:r w:rsidR="006165DF" w:rsidRPr="00FD4FB7">
        <w:rPr>
          <w:rFonts w:cstheme="minorHAnsi"/>
        </w:rPr>
        <w:t xml:space="preserve">for whom </w:t>
      </w:r>
      <w:r w:rsidR="00523C46" w:rsidRPr="00FD4FB7">
        <w:rPr>
          <w:rFonts w:cstheme="minorHAnsi"/>
        </w:rPr>
        <w:t>there was specialist involvement</w:t>
      </w:r>
      <w:r w:rsidR="001E39AB" w:rsidRPr="00FD4FB7">
        <w:rPr>
          <w:rFonts w:cstheme="minorHAnsi"/>
        </w:rPr>
        <w:t xml:space="preserve">. </w:t>
      </w:r>
      <w:r w:rsidR="00523C46" w:rsidRPr="00FD4FB7">
        <w:rPr>
          <w:rFonts w:cstheme="minorHAnsi"/>
        </w:rPr>
        <w:t xml:space="preserve"> </w:t>
      </w:r>
      <w:r w:rsidR="001E39AB" w:rsidRPr="00FD4FB7">
        <w:rPr>
          <w:rFonts w:cstheme="minorHAnsi"/>
        </w:rPr>
        <w:t xml:space="preserve">Of the 347 patients treated on a specialist unit, such a prescription was recorded for </w:t>
      </w:r>
      <w:r w:rsidR="00CC0EB6" w:rsidRPr="00FD4FB7">
        <w:rPr>
          <w:rFonts w:cstheme="minorHAnsi"/>
        </w:rPr>
        <w:t>237</w:t>
      </w:r>
      <w:r w:rsidR="001E39AB" w:rsidRPr="00FD4FB7">
        <w:rPr>
          <w:rFonts w:cstheme="minorHAnsi"/>
        </w:rPr>
        <w:t xml:space="preserve"> (</w:t>
      </w:r>
      <w:r w:rsidR="00CC0EB6" w:rsidRPr="00FD4FB7">
        <w:rPr>
          <w:rFonts w:cstheme="minorHAnsi"/>
        </w:rPr>
        <w:t>6</w:t>
      </w:r>
      <w:r w:rsidR="001E39AB" w:rsidRPr="00FD4FB7">
        <w:rPr>
          <w:rFonts w:cstheme="minorHAnsi"/>
        </w:rPr>
        <w:t>8%</w:t>
      </w:r>
      <w:r w:rsidR="005B2B1D" w:rsidRPr="00FD4FB7">
        <w:rPr>
          <w:rFonts w:cstheme="minorHAnsi"/>
        </w:rPr>
        <w:t xml:space="preserve">; </w:t>
      </w:r>
      <w:r w:rsidR="00217807" w:rsidRPr="005B26FE">
        <w:rPr>
          <w:rFonts w:cstheme="minorHAnsi"/>
          <w:highlight w:val="yellow"/>
        </w:rPr>
        <w:t>95%CI</w:t>
      </w:r>
      <w:r w:rsidR="00217807" w:rsidRPr="005B26FE">
        <w:rPr>
          <w:rFonts w:cstheme="minorHAnsi"/>
        </w:rPr>
        <w:t xml:space="preserve"> </w:t>
      </w:r>
      <w:r w:rsidR="005B2B1D" w:rsidRPr="00FD4FB7">
        <w:rPr>
          <w:rFonts w:cstheme="minorHAnsi"/>
        </w:rPr>
        <w:t>63-73%</w:t>
      </w:r>
      <w:r w:rsidR="001E39AB" w:rsidRPr="00FD4FB7">
        <w:rPr>
          <w:rFonts w:cstheme="minorHAnsi"/>
        </w:rPr>
        <w:t xml:space="preserve">).  </w:t>
      </w:r>
      <w:r w:rsidR="00FB3DDE" w:rsidRPr="00FD4FB7">
        <w:rPr>
          <w:rFonts w:cstheme="minorHAnsi"/>
        </w:rPr>
        <w:t xml:space="preserve">The medication </w:t>
      </w:r>
      <w:r w:rsidR="00BA4589" w:rsidRPr="00FD4FB7">
        <w:rPr>
          <w:rFonts w:cstheme="minorHAnsi"/>
        </w:rPr>
        <w:t>most prescribed</w:t>
      </w:r>
      <w:r w:rsidR="00FB3DDE" w:rsidRPr="00FD4FB7">
        <w:rPr>
          <w:rFonts w:cstheme="minorHAnsi"/>
        </w:rPr>
        <w:t xml:space="preserve"> for relapse prevention was acamprosate, which was recorded for </w:t>
      </w:r>
      <w:r w:rsidR="00E07815" w:rsidRPr="00FD4FB7">
        <w:rPr>
          <w:rFonts w:cstheme="minorHAnsi"/>
        </w:rPr>
        <w:t>84</w:t>
      </w:r>
      <w:r w:rsidR="00FB3DDE" w:rsidRPr="00FD4FB7">
        <w:rPr>
          <w:rFonts w:cstheme="minorHAnsi"/>
        </w:rPr>
        <w:t xml:space="preserve"> (</w:t>
      </w:r>
      <w:r w:rsidR="00E07815" w:rsidRPr="00FD4FB7">
        <w:rPr>
          <w:rFonts w:cstheme="minorHAnsi"/>
        </w:rPr>
        <w:t>10</w:t>
      </w:r>
      <w:r w:rsidR="00FB3DDE" w:rsidRPr="00FD4FB7">
        <w:rPr>
          <w:rFonts w:cstheme="minorHAnsi"/>
        </w:rPr>
        <w:t xml:space="preserve">%) of the 875 patients on an acute adult ward/PICU with no specialist involvement and </w:t>
      </w:r>
      <w:r w:rsidR="00CC0EB6" w:rsidRPr="00FD4FB7">
        <w:rPr>
          <w:rFonts w:cstheme="minorHAnsi"/>
        </w:rPr>
        <w:t>19</w:t>
      </w:r>
      <w:r w:rsidR="00FB3DDE" w:rsidRPr="00FD4FB7">
        <w:rPr>
          <w:rFonts w:cstheme="minorHAnsi"/>
        </w:rPr>
        <w:t xml:space="preserve"> (</w:t>
      </w:r>
      <w:r w:rsidR="00CC0EB6" w:rsidRPr="00FD4FB7">
        <w:rPr>
          <w:rFonts w:cstheme="minorHAnsi"/>
        </w:rPr>
        <w:t>58</w:t>
      </w:r>
      <w:r w:rsidR="00FB3DDE" w:rsidRPr="00FD4FB7">
        <w:rPr>
          <w:rFonts w:cstheme="minorHAnsi"/>
        </w:rPr>
        <w:t>%) of the 33 patients where there was specialist involvement.  Of the 347 patients treated on a specialist unit, acamprosate was prescribed at discharge for 1</w:t>
      </w:r>
      <w:r w:rsidR="00E07815" w:rsidRPr="00FD4FB7">
        <w:rPr>
          <w:rFonts w:cstheme="minorHAnsi"/>
        </w:rPr>
        <w:t xml:space="preserve">88 </w:t>
      </w:r>
      <w:r w:rsidR="00FB3DDE" w:rsidRPr="00FD4FB7">
        <w:rPr>
          <w:rFonts w:cstheme="minorHAnsi"/>
        </w:rPr>
        <w:t>(</w:t>
      </w:r>
      <w:r w:rsidR="00E07815" w:rsidRPr="00FD4FB7">
        <w:rPr>
          <w:rFonts w:cstheme="minorHAnsi"/>
        </w:rPr>
        <w:t>54</w:t>
      </w:r>
      <w:r w:rsidR="00FB3DDE" w:rsidRPr="00FD4FB7">
        <w:rPr>
          <w:rFonts w:cstheme="minorHAnsi"/>
        </w:rPr>
        <w:t xml:space="preserve">%).  </w:t>
      </w:r>
    </w:p>
    <w:p w14:paraId="77D7A4B6" w14:textId="77777777" w:rsidR="00010ABA" w:rsidRPr="00FD4FB7" w:rsidRDefault="00010ABA" w:rsidP="009425D6">
      <w:pPr>
        <w:spacing w:line="360" w:lineRule="auto"/>
        <w:rPr>
          <w:rFonts w:asciiTheme="minorHAnsi" w:hAnsiTheme="minorHAnsi" w:cstheme="minorHAnsi"/>
          <w:color w:val="000000" w:themeColor="text1"/>
          <w:sz w:val="22"/>
          <w:szCs w:val="22"/>
        </w:rPr>
      </w:pPr>
    </w:p>
    <w:p w14:paraId="40CF903B" w14:textId="5FC18A6B" w:rsidR="009425D6" w:rsidRPr="00FD4FB7" w:rsidRDefault="009425D6" w:rsidP="00BA4589">
      <w:pPr>
        <w:pStyle w:val="NoSpacing"/>
        <w:spacing w:line="360" w:lineRule="auto"/>
        <w:rPr>
          <w:rFonts w:cstheme="minorHAnsi"/>
          <w:i/>
          <w:iCs/>
        </w:rPr>
      </w:pPr>
      <w:r w:rsidRPr="00FD4FB7">
        <w:rPr>
          <w:rFonts w:cstheme="minorHAnsi"/>
          <w:i/>
          <w:iCs/>
        </w:rPr>
        <w:t>Referral for continuing management of alcohol use/alcohol related problems</w:t>
      </w:r>
      <w:r w:rsidR="007F7B54" w:rsidRPr="00FD4FB7">
        <w:rPr>
          <w:rFonts w:cstheme="minorHAnsi"/>
          <w:i/>
          <w:iCs/>
        </w:rPr>
        <w:t xml:space="preserve"> (treatment target 3)</w:t>
      </w:r>
    </w:p>
    <w:p w14:paraId="65CFD9C5" w14:textId="6078C33D" w:rsidR="00B146E9" w:rsidRPr="00FD4FB7" w:rsidRDefault="00D22CE0" w:rsidP="00A538D8">
      <w:pPr>
        <w:pStyle w:val="NoSpacing"/>
        <w:spacing w:line="360" w:lineRule="auto"/>
      </w:pPr>
      <w:r w:rsidRPr="00FD4FB7">
        <w:rPr>
          <w:rFonts w:cstheme="minorHAnsi"/>
        </w:rPr>
        <w:t>For th</w:t>
      </w:r>
      <w:r w:rsidR="00150D42" w:rsidRPr="00FD4FB7">
        <w:rPr>
          <w:rFonts w:cstheme="minorHAnsi"/>
        </w:rPr>
        <w:t>e 1,212</w:t>
      </w:r>
      <w:r w:rsidR="00B0559F" w:rsidRPr="00FD4FB7">
        <w:rPr>
          <w:rFonts w:cstheme="minorHAnsi"/>
        </w:rPr>
        <w:t xml:space="preserve"> patients in the </w:t>
      </w:r>
      <w:r w:rsidRPr="00FD4FB7">
        <w:rPr>
          <w:rFonts w:cstheme="minorHAnsi"/>
        </w:rPr>
        <w:t>total audit sample</w:t>
      </w:r>
      <w:r w:rsidR="00B0559F" w:rsidRPr="00FD4FB7">
        <w:rPr>
          <w:rFonts w:cstheme="minorHAnsi"/>
        </w:rPr>
        <w:t xml:space="preserve"> who had been </w:t>
      </w:r>
      <w:r w:rsidR="00150D42" w:rsidRPr="00FD4FB7">
        <w:rPr>
          <w:rFonts w:cstheme="minorHAnsi"/>
        </w:rPr>
        <w:t>discharged</w:t>
      </w:r>
      <w:r w:rsidRPr="00FD4FB7">
        <w:rPr>
          <w:rFonts w:cstheme="minorHAnsi"/>
        </w:rPr>
        <w:t>, referral for s</w:t>
      </w:r>
      <w:r w:rsidR="009425D6" w:rsidRPr="00FD4FB7">
        <w:rPr>
          <w:rFonts w:cstheme="minorHAnsi"/>
        </w:rPr>
        <w:t xml:space="preserve">pecialist continuing care </w:t>
      </w:r>
      <w:r w:rsidRPr="00FD4FB7">
        <w:rPr>
          <w:rFonts w:cstheme="minorHAnsi"/>
        </w:rPr>
        <w:t>of</w:t>
      </w:r>
      <w:r w:rsidR="009425D6" w:rsidRPr="00FD4FB7">
        <w:rPr>
          <w:rFonts w:cstheme="minorHAnsi"/>
        </w:rPr>
        <w:t xml:space="preserve"> alcohol-related problems following discharge </w:t>
      </w:r>
      <w:r w:rsidRPr="00FD4FB7">
        <w:rPr>
          <w:rFonts w:cstheme="minorHAnsi"/>
        </w:rPr>
        <w:t xml:space="preserve">was most commonly to NHS specialist </w:t>
      </w:r>
      <w:r w:rsidR="00D30AC3" w:rsidRPr="00516FC7">
        <w:rPr>
          <w:rFonts w:cstheme="minorHAnsi"/>
        </w:rPr>
        <w:t>addiction</w:t>
      </w:r>
      <w:r w:rsidR="00883021" w:rsidRPr="00516FC7">
        <w:rPr>
          <w:rFonts w:cstheme="minorHAnsi"/>
        </w:rPr>
        <w:t>s</w:t>
      </w:r>
      <w:r w:rsidR="00D30AC3" w:rsidRPr="00FD4FB7">
        <w:rPr>
          <w:rFonts w:cstheme="minorHAnsi"/>
        </w:rPr>
        <w:t xml:space="preserve"> </w:t>
      </w:r>
      <w:r w:rsidRPr="00FD4FB7">
        <w:rPr>
          <w:rFonts w:cstheme="minorHAnsi"/>
        </w:rPr>
        <w:t>services (n=397: 3</w:t>
      </w:r>
      <w:r w:rsidR="00150D42" w:rsidRPr="00FD4FB7">
        <w:rPr>
          <w:rFonts w:cstheme="minorHAnsi"/>
        </w:rPr>
        <w:t>3</w:t>
      </w:r>
      <w:r w:rsidRPr="00FD4FB7">
        <w:rPr>
          <w:rFonts w:cstheme="minorHAnsi"/>
        </w:rPr>
        <w:t xml:space="preserve">%) and </w:t>
      </w:r>
      <w:r w:rsidR="00D30AC3" w:rsidRPr="00FD4FB7">
        <w:rPr>
          <w:rFonts w:cstheme="minorHAnsi"/>
        </w:rPr>
        <w:t xml:space="preserve">community </w:t>
      </w:r>
      <w:r w:rsidR="00D30AC3" w:rsidRPr="00516FC7">
        <w:rPr>
          <w:rFonts w:cstheme="minorHAnsi"/>
        </w:rPr>
        <w:t>addiction</w:t>
      </w:r>
      <w:r w:rsidR="00883021" w:rsidRPr="00516FC7">
        <w:rPr>
          <w:rFonts w:cstheme="minorHAnsi"/>
        </w:rPr>
        <w:t>s</w:t>
      </w:r>
      <w:r w:rsidRPr="00FD4FB7">
        <w:rPr>
          <w:rFonts w:cstheme="minorHAnsi"/>
        </w:rPr>
        <w:t xml:space="preserve"> services </w:t>
      </w:r>
      <w:r w:rsidR="003133E7" w:rsidRPr="00FD4FB7">
        <w:rPr>
          <w:rFonts w:cstheme="minorHAnsi"/>
        </w:rPr>
        <w:t xml:space="preserve">provided by the third sector </w:t>
      </w:r>
      <w:r w:rsidRPr="00FD4FB7">
        <w:rPr>
          <w:rFonts w:cstheme="minorHAnsi"/>
        </w:rPr>
        <w:t xml:space="preserve">(n=361: </w:t>
      </w:r>
      <w:r w:rsidR="00150D42" w:rsidRPr="00FD4FB7">
        <w:rPr>
          <w:rFonts w:cstheme="minorHAnsi"/>
        </w:rPr>
        <w:t>30</w:t>
      </w:r>
      <w:r w:rsidRPr="00FD4FB7">
        <w:rPr>
          <w:rFonts w:cstheme="minorHAnsi"/>
        </w:rPr>
        <w:t>%)</w:t>
      </w:r>
      <w:r w:rsidR="00836AAA" w:rsidRPr="00FD4FB7">
        <w:rPr>
          <w:rFonts w:cstheme="minorHAnsi"/>
        </w:rPr>
        <w:t xml:space="preserve">. </w:t>
      </w:r>
      <w:r w:rsidR="00B0559F" w:rsidRPr="00516FC7">
        <w:rPr>
          <w:rFonts w:cstheme="minorHAnsi"/>
        </w:rPr>
        <w:t>Also documented were r</w:t>
      </w:r>
      <w:r w:rsidR="00836AAA" w:rsidRPr="00516FC7">
        <w:rPr>
          <w:rFonts w:cstheme="minorHAnsi"/>
        </w:rPr>
        <w:t>eferr</w:t>
      </w:r>
      <w:r w:rsidR="00B0559F" w:rsidRPr="00516FC7">
        <w:rPr>
          <w:rFonts w:cstheme="minorHAnsi"/>
        </w:rPr>
        <w:t xml:space="preserve">als </w:t>
      </w:r>
      <w:r w:rsidR="00836AAA" w:rsidRPr="00516FC7">
        <w:rPr>
          <w:rFonts w:cstheme="minorHAnsi"/>
        </w:rPr>
        <w:t xml:space="preserve">to </w:t>
      </w:r>
      <w:r w:rsidR="00B0559F" w:rsidRPr="00516FC7">
        <w:rPr>
          <w:rFonts w:cstheme="minorHAnsi"/>
        </w:rPr>
        <w:t>an</w:t>
      </w:r>
      <w:r w:rsidRPr="00516FC7">
        <w:rPr>
          <w:rFonts w:cstheme="minorHAnsi"/>
        </w:rPr>
        <w:t>other mental health clinical team (n=</w:t>
      </w:r>
      <w:r w:rsidR="00836AAA" w:rsidRPr="00516FC7">
        <w:rPr>
          <w:rFonts w:cstheme="minorHAnsi"/>
        </w:rPr>
        <w:t>250:</w:t>
      </w:r>
      <w:r w:rsidRPr="00516FC7">
        <w:rPr>
          <w:rFonts w:cstheme="minorHAnsi"/>
        </w:rPr>
        <w:t xml:space="preserve"> 2</w:t>
      </w:r>
      <w:r w:rsidR="00150D42" w:rsidRPr="00516FC7">
        <w:rPr>
          <w:rFonts w:cstheme="minorHAnsi"/>
        </w:rPr>
        <w:t>1</w:t>
      </w:r>
      <w:r w:rsidRPr="00516FC7">
        <w:rPr>
          <w:rFonts w:cstheme="minorHAnsi"/>
        </w:rPr>
        <w:t>%</w:t>
      </w:r>
      <w:r w:rsidR="00836AAA" w:rsidRPr="00516FC7">
        <w:rPr>
          <w:rFonts w:cstheme="minorHAnsi"/>
        </w:rPr>
        <w:t>)</w:t>
      </w:r>
      <w:r w:rsidR="003F4BDF" w:rsidRPr="00516FC7">
        <w:rPr>
          <w:rFonts w:cstheme="minorHAnsi"/>
        </w:rPr>
        <w:t xml:space="preserve"> or dual diagnosis worker/service (n=80: 7%), or referral/signposting to other </w:t>
      </w:r>
      <w:r w:rsidR="00C560CD" w:rsidRPr="00516FC7">
        <w:rPr>
          <w:rFonts w:cstheme="minorHAnsi"/>
        </w:rPr>
        <w:t>voluntary</w:t>
      </w:r>
      <w:r w:rsidR="003F4BDF" w:rsidRPr="00516FC7">
        <w:rPr>
          <w:rFonts w:cstheme="minorHAnsi"/>
        </w:rPr>
        <w:t xml:space="preserve"> support </w:t>
      </w:r>
      <w:r w:rsidR="00836AAA" w:rsidRPr="00516FC7">
        <w:rPr>
          <w:rFonts w:cstheme="minorHAnsi"/>
        </w:rPr>
        <w:t>(</w:t>
      </w:r>
      <w:proofErr w:type="gramStart"/>
      <w:r w:rsidR="00836AAA" w:rsidRPr="00516FC7">
        <w:rPr>
          <w:rFonts w:cstheme="minorHAnsi"/>
        </w:rPr>
        <w:t>e.g.</w:t>
      </w:r>
      <w:proofErr w:type="gramEnd"/>
      <w:r w:rsidR="00836AAA" w:rsidRPr="00516FC7">
        <w:rPr>
          <w:rFonts w:cstheme="minorHAnsi"/>
        </w:rPr>
        <w:t xml:space="preserve"> Alcoholics Anonymous) (n=224: 18%</w:t>
      </w:r>
      <w:r w:rsidR="00B0559F" w:rsidRPr="00516FC7">
        <w:rPr>
          <w:rFonts w:cstheme="minorHAnsi"/>
        </w:rPr>
        <w:t>)</w:t>
      </w:r>
      <w:r w:rsidR="003F4BDF" w:rsidRPr="00516FC7">
        <w:rPr>
          <w:rFonts w:cstheme="minorHAnsi"/>
        </w:rPr>
        <w:t xml:space="preserve"> or </w:t>
      </w:r>
      <w:r w:rsidR="00B0559F" w:rsidRPr="00516FC7">
        <w:rPr>
          <w:rFonts w:cstheme="minorHAnsi"/>
        </w:rPr>
        <w:t>primary care (n=130: 1</w:t>
      </w:r>
      <w:r w:rsidR="00150D42" w:rsidRPr="00516FC7">
        <w:rPr>
          <w:rFonts w:cstheme="minorHAnsi"/>
        </w:rPr>
        <w:t>1</w:t>
      </w:r>
      <w:r w:rsidR="003F4BDF" w:rsidRPr="00516FC7">
        <w:rPr>
          <w:rFonts w:cstheme="minorHAnsi"/>
        </w:rPr>
        <w:t>).</w:t>
      </w:r>
      <w:r w:rsidR="003F4BDF" w:rsidRPr="00FD4FB7">
        <w:rPr>
          <w:rFonts w:cstheme="minorHAnsi"/>
        </w:rPr>
        <w:t xml:space="preserve"> </w:t>
      </w:r>
      <w:r w:rsidR="009677E9" w:rsidRPr="00FD4FB7">
        <w:rPr>
          <w:rFonts w:cstheme="minorHAnsi"/>
        </w:rPr>
        <w:t xml:space="preserve">Such </w:t>
      </w:r>
      <w:r w:rsidR="0091600D" w:rsidRPr="00FD4FB7">
        <w:rPr>
          <w:rFonts w:cstheme="minorHAnsi"/>
        </w:rPr>
        <w:t xml:space="preserve">referrals were documented in the clinical records of </w:t>
      </w:r>
      <w:r w:rsidR="009677E9" w:rsidRPr="00FD4FB7">
        <w:rPr>
          <w:rFonts w:cstheme="minorHAnsi"/>
        </w:rPr>
        <w:t>630</w:t>
      </w:r>
      <w:r w:rsidR="006149BC" w:rsidRPr="00FD4FB7">
        <w:rPr>
          <w:rFonts w:cstheme="minorHAnsi"/>
        </w:rPr>
        <w:t xml:space="preserve"> </w:t>
      </w:r>
      <w:r w:rsidR="006149BC" w:rsidRPr="00FD4FB7">
        <w:rPr>
          <w:rFonts w:cstheme="minorHAnsi"/>
          <w:color w:val="000000" w:themeColor="text1"/>
        </w:rPr>
        <w:t>(</w:t>
      </w:r>
      <w:r w:rsidR="009677E9" w:rsidRPr="00FD4FB7">
        <w:rPr>
          <w:rFonts w:cstheme="minorHAnsi"/>
          <w:color w:val="000000" w:themeColor="text1"/>
        </w:rPr>
        <w:t>76</w:t>
      </w:r>
      <w:r w:rsidR="006149BC" w:rsidRPr="00FD4FB7">
        <w:rPr>
          <w:rFonts w:cstheme="minorHAnsi"/>
          <w:color w:val="000000" w:themeColor="text1"/>
        </w:rPr>
        <w:t>%</w:t>
      </w:r>
      <w:r w:rsidR="005B2B1D" w:rsidRPr="00FD4FB7">
        <w:rPr>
          <w:rFonts w:cstheme="minorHAnsi"/>
          <w:color w:val="000000" w:themeColor="text1"/>
        </w:rPr>
        <w:t xml:space="preserve">; </w:t>
      </w:r>
      <w:r w:rsidR="003060A7" w:rsidRPr="005B26FE">
        <w:rPr>
          <w:rFonts w:cstheme="minorHAnsi"/>
          <w:highlight w:val="yellow"/>
        </w:rPr>
        <w:t>95%CI</w:t>
      </w:r>
      <w:r w:rsidR="003060A7" w:rsidRPr="005B26FE">
        <w:rPr>
          <w:rFonts w:cstheme="minorHAnsi"/>
        </w:rPr>
        <w:t xml:space="preserve"> </w:t>
      </w:r>
      <w:r w:rsidR="00281FD2" w:rsidRPr="00FD4FB7">
        <w:rPr>
          <w:rFonts w:cstheme="minorHAnsi"/>
          <w:color w:val="000000" w:themeColor="text1"/>
        </w:rPr>
        <w:t>73-78%</w:t>
      </w:r>
      <w:r w:rsidR="006149BC" w:rsidRPr="00FD4FB7">
        <w:rPr>
          <w:rFonts w:cstheme="minorHAnsi"/>
          <w:color w:val="000000" w:themeColor="text1"/>
        </w:rPr>
        <w:t>)</w:t>
      </w:r>
      <w:r w:rsidR="0091600D" w:rsidRPr="00FD4FB7">
        <w:rPr>
          <w:rFonts w:cstheme="minorHAnsi"/>
          <w:color w:val="000000" w:themeColor="text1"/>
        </w:rPr>
        <w:t xml:space="preserve"> </w:t>
      </w:r>
      <w:r w:rsidR="006149BC" w:rsidRPr="00FD4FB7">
        <w:rPr>
          <w:rFonts w:cstheme="minorHAnsi"/>
          <w:color w:val="000000" w:themeColor="text1"/>
        </w:rPr>
        <w:t xml:space="preserve">of the </w:t>
      </w:r>
      <w:r w:rsidR="006149BC" w:rsidRPr="00FD4FB7">
        <w:rPr>
          <w:rFonts w:cstheme="minorHAnsi"/>
        </w:rPr>
        <w:t xml:space="preserve">834 </w:t>
      </w:r>
      <w:r w:rsidR="0091600D" w:rsidRPr="00FD4FB7">
        <w:rPr>
          <w:rFonts w:cstheme="minorHAnsi"/>
        </w:rPr>
        <w:t xml:space="preserve">patients </w:t>
      </w:r>
      <w:r w:rsidR="006149BC" w:rsidRPr="00FD4FB7">
        <w:rPr>
          <w:rFonts w:cstheme="minorHAnsi"/>
        </w:rPr>
        <w:t xml:space="preserve">discharged from </w:t>
      </w:r>
      <w:r w:rsidR="0091600D" w:rsidRPr="00FD4FB7">
        <w:rPr>
          <w:rFonts w:cstheme="minorHAnsi"/>
        </w:rPr>
        <w:lastRenderedPageBreak/>
        <w:t>an acute adult ward/PICU w</w:t>
      </w:r>
      <w:r w:rsidR="006149BC" w:rsidRPr="00FD4FB7">
        <w:rPr>
          <w:rFonts w:cstheme="minorHAnsi"/>
        </w:rPr>
        <w:t>h</w:t>
      </w:r>
      <w:r w:rsidR="00105B13" w:rsidRPr="00FD4FB7">
        <w:rPr>
          <w:rFonts w:cstheme="minorHAnsi"/>
        </w:rPr>
        <w:t xml:space="preserve">ere there had not been </w:t>
      </w:r>
      <w:r w:rsidR="0091600D" w:rsidRPr="00FD4FB7">
        <w:rPr>
          <w:rFonts w:cstheme="minorHAnsi"/>
        </w:rPr>
        <w:t>specialist involvement</w:t>
      </w:r>
      <w:r w:rsidR="00105B13" w:rsidRPr="00FD4FB7">
        <w:rPr>
          <w:rFonts w:cstheme="minorHAnsi"/>
        </w:rPr>
        <w:t>,</w:t>
      </w:r>
      <w:r w:rsidR="006149BC" w:rsidRPr="00FD4FB7">
        <w:rPr>
          <w:rFonts w:cstheme="minorHAnsi"/>
        </w:rPr>
        <w:t xml:space="preserve"> </w:t>
      </w:r>
      <w:r w:rsidR="009677E9" w:rsidRPr="00FD4FB7">
        <w:rPr>
          <w:rFonts w:cstheme="minorHAnsi"/>
        </w:rPr>
        <w:t>31</w:t>
      </w:r>
      <w:r w:rsidR="006149BC" w:rsidRPr="00FD4FB7">
        <w:rPr>
          <w:rFonts w:cstheme="minorHAnsi"/>
        </w:rPr>
        <w:t xml:space="preserve"> (</w:t>
      </w:r>
      <w:r w:rsidR="009677E9" w:rsidRPr="00FD4FB7">
        <w:rPr>
          <w:rFonts w:cstheme="minorHAnsi"/>
        </w:rPr>
        <w:t>94</w:t>
      </w:r>
      <w:r w:rsidR="0091600D" w:rsidRPr="00FD4FB7">
        <w:rPr>
          <w:rFonts w:cstheme="minorHAnsi"/>
        </w:rPr>
        <w:t>%</w:t>
      </w:r>
      <w:r w:rsidR="005B2B1D" w:rsidRPr="00FD4FB7">
        <w:rPr>
          <w:rFonts w:cstheme="minorHAnsi"/>
        </w:rPr>
        <w:t xml:space="preserve">; </w:t>
      </w:r>
      <w:r w:rsidR="003060A7" w:rsidRPr="005B26FE">
        <w:rPr>
          <w:rFonts w:cstheme="minorHAnsi"/>
          <w:highlight w:val="yellow"/>
        </w:rPr>
        <w:t>95%CI</w:t>
      </w:r>
      <w:r w:rsidR="003060A7" w:rsidRPr="005B26FE">
        <w:rPr>
          <w:rFonts w:cstheme="minorHAnsi"/>
        </w:rPr>
        <w:t xml:space="preserve"> </w:t>
      </w:r>
      <w:r w:rsidR="005B2B1D" w:rsidRPr="00FD4FB7">
        <w:rPr>
          <w:rFonts w:cstheme="minorHAnsi"/>
        </w:rPr>
        <w:t>86-100%</w:t>
      </w:r>
      <w:r w:rsidR="00734A6B" w:rsidRPr="00FD4FB7">
        <w:rPr>
          <w:rFonts w:cstheme="minorHAnsi"/>
        </w:rPr>
        <w:t xml:space="preserve">) </w:t>
      </w:r>
      <w:r w:rsidR="0091600D" w:rsidRPr="00FD4FB7">
        <w:rPr>
          <w:rFonts w:cstheme="minorHAnsi"/>
        </w:rPr>
        <w:t xml:space="preserve">of the 33 patients </w:t>
      </w:r>
      <w:r w:rsidR="00105B13" w:rsidRPr="00FD4FB7">
        <w:rPr>
          <w:rFonts w:cstheme="minorHAnsi"/>
        </w:rPr>
        <w:t xml:space="preserve">discharged from an acute adult ward/PICU </w:t>
      </w:r>
      <w:r w:rsidR="0091600D" w:rsidRPr="00FD4FB7">
        <w:rPr>
          <w:rFonts w:cstheme="minorHAnsi"/>
        </w:rPr>
        <w:t xml:space="preserve">where there </w:t>
      </w:r>
      <w:r w:rsidR="006149BC" w:rsidRPr="00FD4FB7">
        <w:rPr>
          <w:rFonts w:cstheme="minorHAnsi"/>
        </w:rPr>
        <w:t>had been</w:t>
      </w:r>
      <w:r w:rsidR="0091600D" w:rsidRPr="00FD4FB7">
        <w:rPr>
          <w:rFonts w:cstheme="minorHAnsi"/>
        </w:rPr>
        <w:t xml:space="preserve"> specialist involvement</w:t>
      </w:r>
      <w:r w:rsidR="00105B13" w:rsidRPr="00FD4FB7">
        <w:rPr>
          <w:rFonts w:cstheme="minorHAnsi"/>
        </w:rPr>
        <w:t xml:space="preserve">, and </w:t>
      </w:r>
      <w:r w:rsidR="009677E9" w:rsidRPr="00FD4FB7">
        <w:rPr>
          <w:rFonts w:cstheme="minorHAnsi"/>
        </w:rPr>
        <w:t>337</w:t>
      </w:r>
      <w:r w:rsidR="00105B13" w:rsidRPr="00FD4FB7">
        <w:rPr>
          <w:rFonts w:cstheme="minorHAnsi"/>
        </w:rPr>
        <w:t xml:space="preserve"> (</w:t>
      </w:r>
      <w:r w:rsidR="009677E9" w:rsidRPr="00FD4FB7">
        <w:rPr>
          <w:rFonts w:cstheme="minorHAnsi"/>
        </w:rPr>
        <w:t>98</w:t>
      </w:r>
      <w:r w:rsidR="00105B13" w:rsidRPr="00FD4FB7">
        <w:rPr>
          <w:rFonts w:cstheme="minorHAnsi"/>
        </w:rPr>
        <w:t>%</w:t>
      </w:r>
      <w:r w:rsidR="005B2B1D" w:rsidRPr="00FD4FB7">
        <w:rPr>
          <w:rFonts w:cstheme="minorHAnsi"/>
        </w:rPr>
        <w:t xml:space="preserve">; </w:t>
      </w:r>
      <w:r w:rsidR="003060A7" w:rsidRPr="005B26FE">
        <w:rPr>
          <w:rFonts w:cstheme="minorHAnsi"/>
          <w:highlight w:val="yellow"/>
        </w:rPr>
        <w:t>95%CI</w:t>
      </w:r>
      <w:r w:rsidR="003060A7" w:rsidRPr="005B26FE">
        <w:rPr>
          <w:rFonts w:cstheme="minorHAnsi"/>
        </w:rPr>
        <w:t xml:space="preserve"> </w:t>
      </w:r>
      <w:r w:rsidR="005B2B1D" w:rsidRPr="00FD4FB7">
        <w:rPr>
          <w:rFonts w:cstheme="minorHAnsi"/>
        </w:rPr>
        <w:t>9</w:t>
      </w:r>
      <w:r w:rsidR="00734A6B" w:rsidRPr="00FD4FB7">
        <w:rPr>
          <w:rFonts w:cstheme="minorHAnsi"/>
        </w:rPr>
        <w:t>6</w:t>
      </w:r>
      <w:r w:rsidR="005B2B1D" w:rsidRPr="00FD4FB7">
        <w:rPr>
          <w:rFonts w:cstheme="minorHAnsi"/>
        </w:rPr>
        <w:t>-99%</w:t>
      </w:r>
      <w:r w:rsidR="00734A6B" w:rsidRPr="00FD4FB7">
        <w:rPr>
          <w:rFonts w:cstheme="minorHAnsi"/>
        </w:rPr>
        <w:t xml:space="preserve">) </w:t>
      </w:r>
      <w:r w:rsidR="00105B13" w:rsidRPr="00FD4FB7">
        <w:rPr>
          <w:rFonts w:cstheme="minorHAnsi"/>
        </w:rPr>
        <w:t>o</w:t>
      </w:r>
      <w:r w:rsidR="0091600D" w:rsidRPr="00FD4FB7">
        <w:rPr>
          <w:rFonts w:cstheme="minorHAnsi"/>
        </w:rPr>
        <w:t>f the 34</w:t>
      </w:r>
      <w:r w:rsidR="00105B13" w:rsidRPr="00FD4FB7">
        <w:rPr>
          <w:rFonts w:cstheme="minorHAnsi"/>
        </w:rPr>
        <w:t>5</w:t>
      </w:r>
      <w:r w:rsidR="0091600D" w:rsidRPr="00FD4FB7">
        <w:rPr>
          <w:rFonts w:cstheme="minorHAnsi"/>
        </w:rPr>
        <w:t xml:space="preserve"> patients </w:t>
      </w:r>
      <w:r w:rsidR="00105B13" w:rsidRPr="00FD4FB7">
        <w:rPr>
          <w:rFonts w:cstheme="minorHAnsi"/>
        </w:rPr>
        <w:t xml:space="preserve">discharged from a </w:t>
      </w:r>
      <w:r w:rsidR="0091600D" w:rsidRPr="00FD4FB7">
        <w:rPr>
          <w:rFonts w:cstheme="minorHAnsi"/>
        </w:rPr>
        <w:t>specialist unit</w:t>
      </w:r>
      <w:r w:rsidR="00105B13" w:rsidRPr="00FD4FB7">
        <w:rPr>
          <w:rFonts w:cstheme="minorHAnsi"/>
        </w:rPr>
        <w:t xml:space="preserve">. </w:t>
      </w:r>
    </w:p>
    <w:p w14:paraId="138A6BB3" w14:textId="77777777" w:rsidR="00B146E9" w:rsidRPr="00FD4FB7" w:rsidRDefault="00B146E9" w:rsidP="00A6174D">
      <w:pPr>
        <w:spacing w:line="360" w:lineRule="auto"/>
        <w:rPr>
          <w:rFonts w:asciiTheme="minorHAnsi" w:hAnsiTheme="minorHAnsi" w:cstheme="minorHAnsi"/>
          <w:b/>
          <w:bCs/>
          <w:color w:val="000000" w:themeColor="text1"/>
          <w:sz w:val="22"/>
          <w:szCs w:val="22"/>
        </w:rPr>
      </w:pPr>
    </w:p>
    <w:p w14:paraId="1027BEE4" w14:textId="501C1A69" w:rsidR="00A6174D" w:rsidRPr="00FD4FB7" w:rsidRDefault="009677E9" w:rsidP="00A6174D">
      <w:pPr>
        <w:spacing w:line="360" w:lineRule="auto"/>
        <w:rPr>
          <w:rFonts w:asciiTheme="minorHAnsi" w:hAnsiTheme="minorHAnsi" w:cstheme="minorHAnsi"/>
          <w:b/>
          <w:bCs/>
          <w:color w:val="000000" w:themeColor="text1"/>
          <w:sz w:val="22"/>
          <w:szCs w:val="22"/>
        </w:rPr>
      </w:pPr>
      <w:r w:rsidRPr="00FD4FB7">
        <w:rPr>
          <w:rFonts w:asciiTheme="minorHAnsi" w:hAnsiTheme="minorHAnsi" w:cstheme="minorHAnsi"/>
          <w:b/>
          <w:bCs/>
          <w:color w:val="000000" w:themeColor="text1"/>
          <w:sz w:val="22"/>
          <w:szCs w:val="22"/>
        </w:rPr>
        <w:t>DISCUSSION</w:t>
      </w:r>
    </w:p>
    <w:p w14:paraId="668B89D6" w14:textId="5311E921" w:rsidR="0092162D" w:rsidRPr="00FD4FB7" w:rsidRDefault="0092162D" w:rsidP="0092162D">
      <w:pPr>
        <w:pStyle w:val="Default"/>
        <w:spacing w:line="360" w:lineRule="auto"/>
        <w:rPr>
          <w:rFonts w:asciiTheme="minorHAnsi" w:hAnsiTheme="minorHAnsi" w:cstheme="minorHAnsi"/>
          <w:bCs/>
          <w:color w:val="000000" w:themeColor="text1"/>
          <w:sz w:val="22"/>
          <w:szCs w:val="22"/>
        </w:rPr>
      </w:pPr>
      <w:r w:rsidRPr="00FD4FB7">
        <w:rPr>
          <w:rFonts w:asciiTheme="minorHAnsi" w:hAnsiTheme="minorHAnsi" w:cstheme="minorHAnsi"/>
          <w:bCs/>
          <w:color w:val="000000" w:themeColor="text1"/>
          <w:sz w:val="22"/>
          <w:szCs w:val="22"/>
        </w:rPr>
        <w:t>The number of alcohol-related hospital admissions has been rising over the last 20 years.</w:t>
      </w:r>
      <w:r w:rsidR="00DD06DC" w:rsidRPr="00FD4FB7">
        <w:rPr>
          <w:rFonts w:asciiTheme="minorHAnsi" w:hAnsiTheme="minorHAnsi" w:cstheme="minorHAnsi"/>
          <w:bCs/>
          <w:color w:val="000000" w:themeColor="text1"/>
          <w:sz w:val="22"/>
          <w:szCs w:val="22"/>
          <w:vertAlign w:val="superscript"/>
        </w:rPr>
        <w:t>1</w:t>
      </w:r>
      <w:r w:rsidR="00BC343B" w:rsidRPr="00FD4FB7">
        <w:rPr>
          <w:rFonts w:asciiTheme="minorHAnsi" w:hAnsiTheme="minorHAnsi" w:cstheme="minorHAnsi"/>
          <w:bCs/>
          <w:color w:val="000000" w:themeColor="text1"/>
          <w:sz w:val="22"/>
          <w:szCs w:val="22"/>
          <w:vertAlign w:val="superscript"/>
        </w:rPr>
        <w:t>2</w:t>
      </w:r>
      <w:r w:rsidR="00086B98" w:rsidRPr="00FD4FB7">
        <w:rPr>
          <w:rFonts w:asciiTheme="minorHAnsi" w:hAnsiTheme="minorHAnsi" w:cstheme="minorHAnsi"/>
          <w:bCs/>
          <w:color w:val="000000" w:themeColor="text1"/>
          <w:sz w:val="22"/>
          <w:szCs w:val="22"/>
          <w:vertAlign w:val="superscript"/>
        </w:rPr>
        <w:t xml:space="preserve"> </w:t>
      </w:r>
      <w:r w:rsidRPr="00FD4FB7">
        <w:rPr>
          <w:rFonts w:asciiTheme="minorHAnsi" w:hAnsiTheme="minorHAnsi" w:cstheme="minorHAnsi"/>
          <w:bCs/>
          <w:color w:val="000000" w:themeColor="text1"/>
          <w:sz w:val="22"/>
          <w:szCs w:val="22"/>
        </w:rPr>
        <w:t xml:space="preserve"> </w:t>
      </w:r>
      <w:r w:rsidR="00086B98" w:rsidRPr="00FD4FB7">
        <w:rPr>
          <w:rFonts w:asciiTheme="minorHAnsi" w:hAnsiTheme="minorHAnsi" w:cstheme="minorHAnsi"/>
          <w:bCs/>
          <w:color w:val="000000" w:themeColor="text1"/>
          <w:sz w:val="22"/>
          <w:szCs w:val="22"/>
        </w:rPr>
        <w:t xml:space="preserve"> </w:t>
      </w:r>
      <w:r w:rsidRPr="00FD4FB7">
        <w:rPr>
          <w:rFonts w:asciiTheme="minorHAnsi" w:hAnsiTheme="minorHAnsi" w:cstheme="minorHAnsi"/>
          <w:bCs/>
          <w:color w:val="000000" w:themeColor="text1"/>
          <w:sz w:val="22"/>
          <w:szCs w:val="22"/>
        </w:rPr>
        <w:t>In England, in the year to March 2021, there were approximately 225,000 admissions where the primary or secondary diagnosis was ‘</w:t>
      </w:r>
      <w:r w:rsidR="0021799A" w:rsidRPr="00FD4FB7">
        <w:rPr>
          <w:rFonts w:asciiTheme="minorHAnsi" w:hAnsiTheme="minorHAnsi" w:cstheme="minorHAnsi"/>
          <w:bCs/>
          <w:color w:val="000000" w:themeColor="text1"/>
          <w:sz w:val="22"/>
          <w:szCs w:val="22"/>
        </w:rPr>
        <w:t>M</w:t>
      </w:r>
      <w:r w:rsidRPr="00FD4FB7">
        <w:rPr>
          <w:rFonts w:asciiTheme="minorHAnsi" w:hAnsiTheme="minorHAnsi" w:cstheme="minorHAnsi"/>
          <w:bCs/>
          <w:color w:val="000000" w:themeColor="text1"/>
          <w:sz w:val="22"/>
          <w:szCs w:val="22"/>
        </w:rPr>
        <w:t>ental and behavioural disorders due to the use of alcohol’ and in approximately 40,000 of these cases this was the primary diagnosis.</w:t>
      </w:r>
      <w:r w:rsidR="00DD06DC" w:rsidRPr="00FD4FB7">
        <w:rPr>
          <w:rFonts w:asciiTheme="minorHAnsi" w:hAnsiTheme="minorHAnsi" w:cstheme="minorHAnsi"/>
          <w:bCs/>
          <w:color w:val="000000" w:themeColor="text1"/>
          <w:sz w:val="22"/>
          <w:szCs w:val="22"/>
          <w:vertAlign w:val="superscript"/>
        </w:rPr>
        <w:t>1</w:t>
      </w:r>
      <w:r w:rsidR="00BC343B" w:rsidRPr="00FD4FB7">
        <w:rPr>
          <w:rFonts w:asciiTheme="minorHAnsi" w:hAnsiTheme="minorHAnsi" w:cstheme="minorHAnsi"/>
          <w:bCs/>
          <w:color w:val="000000" w:themeColor="text1"/>
          <w:sz w:val="22"/>
          <w:szCs w:val="22"/>
          <w:vertAlign w:val="superscript"/>
        </w:rPr>
        <w:t>3</w:t>
      </w:r>
      <w:r w:rsidRPr="00FD4FB7">
        <w:rPr>
          <w:rFonts w:asciiTheme="minorHAnsi" w:hAnsiTheme="minorHAnsi" w:cstheme="minorHAnsi"/>
          <w:bCs/>
          <w:color w:val="000000" w:themeColor="text1"/>
          <w:sz w:val="22"/>
          <w:szCs w:val="22"/>
        </w:rPr>
        <w:t xml:space="preserve"> The clinical need for MAAW is therefore likely to be increasing. But there has been a marked reduction in the availability of specialist addictions services, including inpatient beds, over the last 10 years and this has put pressure on other parts of the NHS to deliver care for alcohol-use disorder</w:t>
      </w:r>
      <w:r w:rsidR="003B31D3" w:rsidRPr="00FD4FB7">
        <w:rPr>
          <w:rFonts w:asciiTheme="minorHAnsi" w:hAnsiTheme="minorHAnsi" w:cstheme="minorHAnsi"/>
          <w:bCs/>
          <w:color w:val="000000" w:themeColor="text1"/>
          <w:sz w:val="22"/>
          <w:szCs w:val="22"/>
        </w:rPr>
        <w:t xml:space="preserve"> </w:t>
      </w:r>
      <w:r w:rsidR="00DD06DC" w:rsidRPr="00FD4FB7">
        <w:rPr>
          <w:rFonts w:asciiTheme="minorHAnsi" w:hAnsiTheme="minorHAnsi" w:cs="Calibri (Body)"/>
          <w:bCs/>
          <w:color w:val="000000" w:themeColor="text1"/>
          <w:sz w:val="22"/>
          <w:szCs w:val="22"/>
          <w:vertAlign w:val="superscript"/>
        </w:rPr>
        <w:t>1</w:t>
      </w:r>
      <w:r w:rsidR="00BC343B" w:rsidRPr="00FD4FB7">
        <w:rPr>
          <w:rFonts w:asciiTheme="minorHAnsi" w:hAnsiTheme="minorHAnsi" w:cs="Calibri (Body)"/>
          <w:bCs/>
          <w:color w:val="000000" w:themeColor="text1"/>
          <w:sz w:val="22"/>
          <w:szCs w:val="22"/>
          <w:vertAlign w:val="superscript"/>
        </w:rPr>
        <w:t>4</w:t>
      </w:r>
      <w:r w:rsidRPr="00FD4FB7">
        <w:rPr>
          <w:rFonts w:asciiTheme="minorHAnsi" w:hAnsiTheme="minorHAnsi" w:cstheme="minorHAnsi"/>
          <w:bCs/>
          <w:color w:val="000000" w:themeColor="text1"/>
          <w:sz w:val="22"/>
          <w:szCs w:val="22"/>
        </w:rPr>
        <w:t>; for example, while the number of MAAW admissions to specialist alcohol units reduced by almost half in the five years up to 2019, the number of non-specialist admissions increased to fill this gap.</w:t>
      </w:r>
      <w:r w:rsidR="00DD06DC" w:rsidRPr="00FD4FB7">
        <w:rPr>
          <w:rFonts w:asciiTheme="minorHAnsi" w:hAnsiTheme="minorHAnsi" w:cstheme="minorHAnsi"/>
          <w:bCs/>
          <w:color w:val="000000" w:themeColor="text1"/>
          <w:sz w:val="22"/>
          <w:szCs w:val="22"/>
        </w:rPr>
        <w:t xml:space="preserve"> </w:t>
      </w:r>
      <w:r w:rsidR="00DD06DC" w:rsidRPr="00FD4FB7">
        <w:rPr>
          <w:rFonts w:asciiTheme="minorHAnsi" w:hAnsiTheme="minorHAnsi" w:cs="Calibri (Body)"/>
          <w:bCs/>
          <w:color w:val="000000" w:themeColor="text1"/>
          <w:sz w:val="22"/>
          <w:szCs w:val="22"/>
          <w:vertAlign w:val="superscript"/>
        </w:rPr>
        <w:t>1</w:t>
      </w:r>
      <w:r w:rsidR="00BC343B" w:rsidRPr="00FD4FB7">
        <w:rPr>
          <w:rFonts w:asciiTheme="minorHAnsi" w:hAnsiTheme="minorHAnsi" w:cs="Calibri (Body)"/>
          <w:bCs/>
          <w:color w:val="000000" w:themeColor="text1"/>
          <w:sz w:val="22"/>
          <w:szCs w:val="22"/>
          <w:vertAlign w:val="superscript"/>
        </w:rPr>
        <w:t>2</w:t>
      </w:r>
      <w:r w:rsidRPr="00FD4FB7">
        <w:rPr>
          <w:rFonts w:asciiTheme="minorHAnsi" w:hAnsiTheme="minorHAnsi" w:cstheme="minorHAnsi"/>
          <w:bCs/>
          <w:color w:val="000000" w:themeColor="text1"/>
          <w:sz w:val="22"/>
          <w:szCs w:val="22"/>
        </w:rPr>
        <w:t xml:space="preserve"> </w:t>
      </w:r>
    </w:p>
    <w:p w14:paraId="30652988" w14:textId="77777777" w:rsidR="001441EC" w:rsidRPr="00FD4FB7" w:rsidRDefault="001441EC" w:rsidP="00A6174D">
      <w:pPr>
        <w:spacing w:line="360" w:lineRule="auto"/>
        <w:rPr>
          <w:rFonts w:asciiTheme="minorHAnsi" w:hAnsiTheme="minorHAnsi" w:cstheme="minorHAnsi"/>
          <w:color w:val="000000" w:themeColor="text1"/>
          <w:sz w:val="22"/>
          <w:szCs w:val="22"/>
        </w:rPr>
      </w:pPr>
    </w:p>
    <w:p w14:paraId="101E42F5" w14:textId="31A2411A" w:rsidR="00A6174D" w:rsidRPr="00FD4FB7" w:rsidRDefault="00A6174D" w:rsidP="00A6174D">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There is consistency across international guidance for the principles of managing MAAW.</w:t>
      </w:r>
      <w:r w:rsidR="000735AF" w:rsidRPr="00FD4FB7">
        <w:rPr>
          <w:rFonts w:asciiTheme="minorHAnsi" w:hAnsiTheme="minorHAnsi" w:cstheme="minorHAnsi"/>
          <w:color w:val="000000" w:themeColor="text1"/>
          <w:sz w:val="22"/>
          <w:szCs w:val="22"/>
        </w:rPr>
        <w:t xml:space="preserve"> </w:t>
      </w:r>
      <w:r w:rsidR="000735AF" w:rsidRPr="00FD4FB7">
        <w:rPr>
          <w:rFonts w:asciiTheme="minorHAnsi" w:hAnsiTheme="minorHAnsi" w:cstheme="minorHAnsi"/>
          <w:color w:val="000000" w:themeColor="text1"/>
          <w:sz w:val="22"/>
          <w:szCs w:val="22"/>
          <w:vertAlign w:val="superscript"/>
        </w:rPr>
        <w:t>1</w:t>
      </w:r>
      <w:r w:rsidR="00BC343B" w:rsidRPr="00FD4FB7">
        <w:rPr>
          <w:rFonts w:asciiTheme="minorHAnsi" w:hAnsiTheme="minorHAnsi" w:cstheme="minorHAnsi"/>
          <w:color w:val="000000" w:themeColor="text1"/>
          <w:sz w:val="22"/>
          <w:szCs w:val="22"/>
          <w:vertAlign w:val="superscript"/>
        </w:rPr>
        <w:t>5</w:t>
      </w:r>
      <w:r w:rsidRPr="00FD4FB7">
        <w:rPr>
          <w:rFonts w:asciiTheme="minorHAnsi" w:hAnsiTheme="minorHAnsi" w:cstheme="minorHAnsi"/>
          <w:color w:val="000000" w:themeColor="text1"/>
          <w:sz w:val="22"/>
          <w:szCs w:val="22"/>
        </w:rPr>
        <w:t xml:space="preserve"> Benzodiazepines are the mainstay of treatment, either in a </w:t>
      </w:r>
      <w:proofErr w:type="gramStart"/>
      <w:r w:rsidRPr="00FD4FB7">
        <w:rPr>
          <w:rFonts w:asciiTheme="minorHAnsi" w:hAnsiTheme="minorHAnsi" w:cstheme="minorHAnsi"/>
          <w:color w:val="000000" w:themeColor="text1"/>
          <w:sz w:val="22"/>
          <w:szCs w:val="22"/>
        </w:rPr>
        <w:t>fixed-dose</w:t>
      </w:r>
      <w:proofErr w:type="gramEnd"/>
      <w:r w:rsidRPr="00FD4FB7">
        <w:rPr>
          <w:rFonts w:asciiTheme="minorHAnsi" w:hAnsiTheme="minorHAnsi" w:cstheme="minorHAnsi"/>
          <w:color w:val="000000" w:themeColor="text1"/>
          <w:sz w:val="22"/>
          <w:szCs w:val="22"/>
        </w:rPr>
        <w:t xml:space="preserve"> reducing regimen or prescribed in response to the level of alcohol withdrawal symptoms (symptom triggered). Parenteral thiamine is recommended for the prevention and treatment of Wernicke’s encephalopathy. As with all evidence-based interventions, a diagnosis and an assessment of symptom severity are required to effectively target treatment. For patients admitted to psychiatric inpatient units, who may require an unplanned MAAW as part of their treatment, the relevant NICE clinical guidelines and quality standards apply.</w:t>
      </w:r>
      <w:r w:rsidR="003B31D3" w:rsidRPr="00FD4FB7">
        <w:rPr>
          <w:rFonts w:asciiTheme="minorHAnsi" w:hAnsiTheme="minorHAnsi" w:cstheme="minorHAnsi"/>
          <w:color w:val="000000" w:themeColor="text1"/>
          <w:sz w:val="22"/>
          <w:szCs w:val="22"/>
        </w:rPr>
        <w:t xml:space="preserve"> </w:t>
      </w:r>
      <w:r w:rsidR="00BC343B" w:rsidRPr="00FD4FB7">
        <w:rPr>
          <w:rFonts w:asciiTheme="minorHAnsi" w:hAnsiTheme="minorHAnsi" w:cs="Calibri (Body)"/>
          <w:color w:val="000000" w:themeColor="text1"/>
          <w:sz w:val="22"/>
          <w:szCs w:val="22"/>
          <w:vertAlign w:val="superscript"/>
        </w:rPr>
        <w:t>5</w:t>
      </w:r>
      <w:r w:rsidR="003B31D3" w:rsidRPr="00FD4FB7">
        <w:rPr>
          <w:rFonts w:asciiTheme="minorHAnsi" w:hAnsiTheme="minorHAnsi" w:cs="Calibri (Body)"/>
          <w:color w:val="000000" w:themeColor="text1"/>
          <w:sz w:val="22"/>
          <w:szCs w:val="22"/>
          <w:vertAlign w:val="superscript"/>
        </w:rPr>
        <w:t>,</w:t>
      </w:r>
      <w:r w:rsidR="00BC343B" w:rsidRPr="00FD4FB7">
        <w:rPr>
          <w:rFonts w:asciiTheme="minorHAnsi" w:hAnsiTheme="minorHAnsi" w:cs="Calibri (Body)"/>
          <w:color w:val="000000" w:themeColor="text1"/>
          <w:sz w:val="22"/>
          <w:szCs w:val="22"/>
          <w:vertAlign w:val="superscript"/>
        </w:rPr>
        <w:t>7</w:t>
      </w:r>
    </w:p>
    <w:p w14:paraId="4F715724" w14:textId="77777777" w:rsidR="00E20889" w:rsidRPr="00FD4FB7" w:rsidRDefault="00E20889" w:rsidP="00825E59">
      <w:pPr>
        <w:spacing w:line="360" w:lineRule="auto"/>
        <w:rPr>
          <w:rFonts w:asciiTheme="minorHAnsi" w:hAnsiTheme="minorHAnsi" w:cstheme="minorHAnsi"/>
          <w:color w:val="000000" w:themeColor="text1"/>
          <w:sz w:val="22"/>
          <w:szCs w:val="22"/>
        </w:rPr>
      </w:pPr>
    </w:p>
    <w:p w14:paraId="30D1C74F" w14:textId="3BA1DEA5" w:rsidR="005B45E7" w:rsidRPr="00FD4FB7" w:rsidRDefault="005B45E7" w:rsidP="00825E59">
      <w:pPr>
        <w:spacing w:line="360" w:lineRule="auto"/>
        <w:rPr>
          <w:rFonts w:asciiTheme="minorHAnsi" w:hAnsiTheme="minorHAnsi" w:cstheme="minorHAnsi"/>
          <w:bCs/>
          <w:iCs/>
          <w:color w:val="000000" w:themeColor="text1"/>
          <w:sz w:val="22"/>
          <w:szCs w:val="22"/>
        </w:rPr>
      </w:pPr>
      <w:r w:rsidRPr="00FD4FB7">
        <w:rPr>
          <w:rFonts w:asciiTheme="minorHAnsi" w:hAnsiTheme="minorHAnsi" w:cstheme="minorHAnsi"/>
          <w:color w:val="000000" w:themeColor="text1"/>
          <w:sz w:val="22"/>
          <w:szCs w:val="22"/>
        </w:rPr>
        <w:t>O</w:t>
      </w:r>
      <w:r w:rsidR="002011B6" w:rsidRPr="00FD4FB7">
        <w:rPr>
          <w:rFonts w:asciiTheme="minorHAnsi" w:hAnsiTheme="minorHAnsi" w:cstheme="minorHAnsi"/>
          <w:bCs/>
          <w:iCs/>
          <w:color w:val="000000" w:themeColor="text1"/>
          <w:sz w:val="22"/>
          <w:szCs w:val="22"/>
        </w:rPr>
        <w:t xml:space="preserve">ur </w:t>
      </w:r>
      <w:r w:rsidR="00BE64A2" w:rsidRPr="00FD4FB7">
        <w:rPr>
          <w:rFonts w:asciiTheme="minorHAnsi" w:hAnsiTheme="minorHAnsi" w:cstheme="minorHAnsi"/>
          <w:bCs/>
          <w:iCs/>
          <w:color w:val="000000" w:themeColor="text1"/>
          <w:sz w:val="22"/>
          <w:szCs w:val="22"/>
        </w:rPr>
        <w:t xml:space="preserve">audit </w:t>
      </w:r>
      <w:r w:rsidR="002011B6" w:rsidRPr="00FD4FB7">
        <w:rPr>
          <w:rFonts w:asciiTheme="minorHAnsi" w:hAnsiTheme="minorHAnsi" w:cstheme="minorHAnsi"/>
          <w:bCs/>
          <w:iCs/>
          <w:color w:val="000000" w:themeColor="text1"/>
          <w:sz w:val="22"/>
          <w:szCs w:val="22"/>
        </w:rPr>
        <w:t>data suggest that the quality of assessment and care planning for</w:t>
      </w:r>
      <w:r w:rsidR="004378FE" w:rsidRPr="00FD4FB7">
        <w:rPr>
          <w:rFonts w:asciiTheme="minorHAnsi" w:hAnsiTheme="minorHAnsi" w:cstheme="minorHAnsi"/>
          <w:bCs/>
          <w:iCs/>
          <w:color w:val="000000" w:themeColor="text1"/>
          <w:sz w:val="22"/>
          <w:szCs w:val="22"/>
        </w:rPr>
        <w:t xml:space="preserve"> </w:t>
      </w:r>
      <w:r w:rsidR="002011B6" w:rsidRPr="00FD4FB7">
        <w:rPr>
          <w:rFonts w:asciiTheme="minorHAnsi" w:hAnsiTheme="minorHAnsi" w:cstheme="minorHAnsi"/>
          <w:bCs/>
          <w:iCs/>
          <w:color w:val="000000" w:themeColor="text1"/>
          <w:sz w:val="22"/>
          <w:szCs w:val="22"/>
        </w:rPr>
        <w:t xml:space="preserve">patients who undergo MAAW </w:t>
      </w:r>
      <w:r w:rsidR="00015EC8" w:rsidRPr="00FD4FB7">
        <w:rPr>
          <w:rFonts w:asciiTheme="minorHAnsi" w:hAnsiTheme="minorHAnsi" w:cstheme="minorHAnsi"/>
          <w:bCs/>
          <w:iCs/>
          <w:color w:val="000000" w:themeColor="text1"/>
          <w:sz w:val="22"/>
          <w:szCs w:val="22"/>
        </w:rPr>
        <w:t xml:space="preserve">in UK mental health services may be </w:t>
      </w:r>
      <w:r w:rsidR="002011B6" w:rsidRPr="00FD4FB7">
        <w:rPr>
          <w:rFonts w:asciiTheme="minorHAnsi" w:hAnsiTheme="minorHAnsi" w:cstheme="minorHAnsi"/>
          <w:bCs/>
          <w:iCs/>
          <w:color w:val="000000" w:themeColor="text1"/>
          <w:sz w:val="22"/>
          <w:szCs w:val="22"/>
        </w:rPr>
        <w:t xml:space="preserve">poorer when an addictions specialist </w:t>
      </w:r>
      <w:r w:rsidR="00191813" w:rsidRPr="00FD4FB7">
        <w:rPr>
          <w:rFonts w:asciiTheme="minorHAnsi" w:hAnsiTheme="minorHAnsi" w:cstheme="minorHAnsi"/>
          <w:bCs/>
          <w:iCs/>
          <w:color w:val="000000" w:themeColor="text1"/>
          <w:sz w:val="22"/>
          <w:szCs w:val="22"/>
        </w:rPr>
        <w:t>is not involved in their care</w:t>
      </w:r>
      <w:r w:rsidR="004378FE" w:rsidRPr="00FD4FB7">
        <w:rPr>
          <w:rFonts w:asciiTheme="minorHAnsi" w:hAnsiTheme="minorHAnsi" w:cstheme="minorHAnsi"/>
          <w:bCs/>
          <w:iCs/>
          <w:color w:val="000000" w:themeColor="text1"/>
          <w:sz w:val="22"/>
          <w:szCs w:val="22"/>
        </w:rPr>
        <w:t xml:space="preserve">. </w:t>
      </w:r>
      <w:r w:rsidR="00BE64A2" w:rsidRPr="00FD4FB7">
        <w:rPr>
          <w:rFonts w:asciiTheme="minorHAnsi" w:hAnsiTheme="minorHAnsi" w:cstheme="minorHAnsi"/>
          <w:bCs/>
          <w:iCs/>
          <w:color w:val="000000" w:themeColor="text1"/>
          <w:sz w:val="22"/>
          <w:szCs w:val="22"/>
        </w:rPr>
        <w:t>Specifically, w</w:t>
      </w:r>
      <w:r w:rsidR="004378FE" w:rsidRPr="00FD4FB7">
        <w:rPr>
          <w:rFonts w:asciiTheme="minorHAnsi" w:hAnsiTheme="minorHAnsi" w:cstheme="minorHAnsi"/>
          <w:bCs/>
          <w:iCs/>
          <w:color w:val="000000" w:themeColor="text1"/>
          <w:sz w:val="22"/>
          <w:szCs w:val="22"/>
        </w:rPr>
        <w:t xml:space="preserve">hen </w:t>
      </w:r>
      <w:r w:rsidR="00191813" w:rsidRPr="00FD4FB7">
        <w:rPr>
          <w:rFonts w:asciiTheme="minorHAnsi" w:hAnsiTheme="minorHAnsi" w:cstheme="minorHAnsi"/>
          <w:bCs/>
          <w:iCs/>
          <w:color w:val="000000" w:themeColor="text1"/>
          <w:sz w:val="22"/>
          <w:szCs w:val="22"/>
        </w:rPr>
        <w:t xml:space="preserve">MAAW </w:t>
      </w:r>
      <w:r w:rsidR="00CB758B" w:rsidRPr="00FD4FB7">
        <w:rPr>
          <w:rFonts w:asciiTheme="minorHAnsi" w:hAnsiTheme="minorHAnsi" w:cstheme="minorHAnsi"/>
          <w:bCs/>
          <w:iCs/>
          <w:color w:val="000000" w:themeColor="text1"/>
          <w:sz w:val="22"/>
          <w:szCs w:val="22"/>
        </w:rPr>
        <w:t>had been</w:t>
      </w:r>
      <w:r w:rsidR="00BE64A2" w:rsidRPr="00FD4FB7">
        <w:rPr>
          <w:rFonts w:asciiTheme="minorHAnsi" w:hAnsiTheme="minorHAnsi" w:cstheme="minorHAnsi"/>
          <w:bCs/>
          <w:iCs/>
          <w:color w:val="000000" w:themeColor="text1"/>
          <w:sz w:val="22"/>
          <w:szCs w:val="22"/>
        </w:rPr>
        <w:t xml:space="preserve"> </w:t>
      </w:r>
      <w:r w:rsidR="004378FE" w:rsidRPr="00FD4FB7">
        <w:rPr>
          <w:rFonts w:asciiTheme="minorHAnsi" w:hAnsiTheme="minorHAnsi" w:cstheme="minorHAnsi"/>
          <w:bCs/>
          <w:iCs/>
          <w:color w:val="000000" w:themeColor="text1"/>
          <w:sz w:val="22"/>
          <w:szCs w:val="22"/>
        </w:rPr>
        <w:t xml:space="preserve">conducted </w:t>
      </w:r>
      <w:r w:rsidR="00AC5F44" w:rsidRPr="00FD4FB7">
        <w:rPr>
          <w:rFonts w:asciiTheme="minorHAnsi" w:hAnsiTheme="minorHAnsi" w:cstheme="minorHAnsi"/>
          <w:bCs/>
          <w:iCs/>
          <w:color w:val="000000" w:themeColor="text1"/>
          <w:sz w:val="22"/>
          <w:szCs w:val="22"/>
        </w:rPr>
        <w:t xml:space="preserve">on an acute psychiatric ward </w:t>
      </w:r>
      <w:r w:rsidR="00191813" w:rsidRPr="00FD4FB7">
        <w:rPr>
          <w:rFonts w:asciiTheme="minorHAnsi" w:hAnsiTheme="minorHAnsi" w:cstheme="minorHAnsi"/>
          <w:bCs/>
          <w:iCs/>
          <w:color w:val="000000" w:themeColor="text1"/>
          <w:sz w:val="22"/>
          <w:szCs w:val="22"/>
        </w:rPr>
        <w:t>under the care of a general adult psychiatrist</w:t>
      </w:r>
      <w:r w:rsidR="004378FE" w:rsidRPr="00FD4FB7">
        <w:rPr>
          <w:rFonts w:asciiTheme="minorHAnsi" w:hAnsiTheme="minorHAnsi" w:cstheme="minorHAnsi"/>
          <w:bCs/>
          <w:iCs/>
          <w:color w:val="000000" w:themeColor="text1"/>
          <w:sz w:val="22"/>
          <w:szCs w:val="22"/>
        </w:rPr>
        <w:t xml:space="preserve">, </w:t>
      </w:r>
      <w:r w:rsidR="00C373FB" w:rsidRPr="00FD4FB7">
        <w:rPr>
          <w:rFonts w:asciiTheme="minorHAnsi" w:hAnsiTheme="minorHAnsi" w:cstheme="minorHAnsi"/>
          <w:bCs/>
          <w:iCs/>
          <w:color w:val="000000" w:themeColor="text1"/>
          <w:sz w:val="22"/>
          <w:szCs w:val="22"/>
        </w:rPr>
        <w:t xml:space="preserve">all of </w:t>
      </w:r>
      <w:r w:rsidR="004378FE" w:rsidRPr="00FD4FB7">
        <w:rPr>
          <w:rFonts w:asciiTheme="minorHAnsi" w:hAnsiTheme="minorHAnsi" w:cstheme="minorHAnsi"/>
          <w:bCs/>
          <w:iCs/>
          <w:color w:val="000000" w:themeColor="text1"/>
          <w:sz w:val="22"/>
          <w:szCs w:val="22"/>
        </w:rPr>
        <w:t xml:space="preserve">the </w:t>
      </w:r>
      <w:r w:rsidR="00BE64A2" w:rsidRPr="00FD4FB7">
        <w:rPr>
          <w:rFonts w:asciiTheme="minorHAnsi" w:hAnsiTheme="minorHAnsi" w:cstheme="minorHAnsi"/>
          <w:bCs/>
          <w:iCs/>
          <w:color w:val="000000" w:themeColor="text1"/>
          <w:sz w:val="22"/>
          <w:szCs w:val="22"/>
        </w:rPr>
        <w:t xml:space="preserve">following were less likely to </w:t>
      </w:r>
      <w:r w:rsidR="00CB758B" w:rsidRPr="00FD4FB7">
        <w:rPr>
          <w:rFonts w:asciiTheme="minorHAnsi" w:hAnsiTheme="minorHAnsi" w:cstheme="minorHAnsi"/>
          <w:bCs/>
          <w:iCs/>
          <w:color w:val="000000" w:themeColor="text1"/>
          <w:sz w:val="22"/>
          <w:szCs w:val="22"/>
        </w:rPr>
        <w:t xml:space="preserve">have been documented </w:t>
      </w:r>
      <w:r w:rsidR="00936991" w:rsidRPr="00FD4FB7">
        <w:rPr>
          <w:rFonts w:asciiTheme="minorHAnsi" w:hAnsiTheme="minorHAnsi" w:cstheme="minorHAnsi"/>
          <w:bCs/>
          <w:iCs/>
          <w:color w:val="000000" w:themeColor="text1"/>
          <w:sz w:val="22"/>
          <w:szCs w:val="22"/>
        </w:rPr>
        <w:t>compared with a</w:t>
      </w:r>
      <w:r w:rsidR="00936991" w:rsidRPr="00FD4FB7">
        <w:rPr>
          <w:rFonts w:asciiTheme="minorHAnsi" w:hAnsiTheme="minorHAnsi" w:cstheme="minorHAnsi"/>
          <w:color w:val="000000" w:themeColor="text1"/>
          <w:sz w:val="22"/>
          <w:szCs w:val="22"/>
        </w:rPr>
        <w:t xml:space="preserve"> specialist alcohol unit or an acute ward with input from an </w:t>
      </w:r>
      <w:r w:rsidR="00936991"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00936991" w:rsidRPr="00FD4FB7">
        <w:rPr>
          <w:rFonts w:asciiTheme="minorHAnsi" w:hAnsiTheme="minorHAnsi" w:cstheme="minorHAnsi"/>
          <w:color w:val="000000" w:themeColor="text1"/>
          <w:sz w:val="22"/>
          <w:szCs w:val="22"/>
        </w:rPr>
        <w:t xml:space="preserve"> specialist: </w:t>
      </w:r>
      <w:r w:rsidR="00CB758B" w:rsidRPr="00FD4FB7">
        <w:rPr>
          <w:rFonts w:asciiTheme="minorHAnsi" w:hAnsiTheme="minorHAnsi" w:cstheme="minorHAnsi"/>
          <w:bCs/>
          <w:iCs/>
          <w:color w:val="000000" w:themeColor="text1"/>
          <w:sz w:val="22"/>
          <w:szCs w:val="22"/>
        </w:rPr>
        <w:t>a</w:t>
      </w:r>
      <w:r w:rsidR="00BE64A2" w:rsidRPr="00FD4FB7">
        <w:rPr>
          <w:rFonts w:asciiTheme="minorHAnsi" w:hAnsiTheme="minorHAnsi" w:cstheme="minorHAnsi"/>
          <w:bCs/>
          <w:iCs/>
          <w:color w:val="000000" w:themeColor="text1"/>
          <w:sz w:val="22"/>
          <w:szCs w:val="22"/>
        </w:rPr>
        <w:t xml:space="preserve"> </w:t>
      </w:r>
      <w:r w:rsidR="00191813" w:rsidRPr="00FD4FB7">
        <w:rPr>
          <w:rFonts w:asciiTheme="minorHAnsi" w:hAnsiTheme="minorHAnsi" w:cstheme="minorHAnsi"/>
          <w:bCs/>
          <w:iCs/>
          <w:color w:val="000000" w:themeColor="text1"/>
          <w:sz w:val="22"/>
          <w:szCs w:val="22"/>
        </w:rPr>
        <w:t>drinking history</w:t>
      </w:r>
      <w:r w:rsidR="00BE64A2" w:rsidRPr="00FD4FB7">
        <w:rPr>
          <w:rFonts w:asciiTheme="minorHAnsi" w:hAnsiTheme="minorHAnsi" w:cstheme="minorHAnsi"/>
          <w:bCs/>
          <w:iCs/>
          <w:color w:val="000000" w:themeColor="text1"/>
          <w:sz w:val="22"/>
          <w:szCs w:val="22"/>
        </w:rPr>
        <w:t xml:space="preserve">, </w:t>
      </w:r>
      <w:r w:rsidR="00CB758B" w:rsidRPr="00FD4FB7">
        <w:rPr>
          <w:rFonts w:asciiTheme="minorHAnsi" w:hAnsiTheme="minorHAnsi" w:cstheme="minorHAnsi"/>
          <w:bCs/>
          <w:iCs/>
          <w:color w:val="000000" w:themeColor="text1"/>
          <w:sz w:val="22"/>
          <w:szCs w:val="22"/>
        </w:rPr>
        <w:t xml:space="preserve">an </w:t>
      </w:r>
      <w:r w:rsidR="00BE64A2" w:rsidRPr="00FD4FB7">
        <w:rPr>
          <w:rFonts w:asciiTheme="minorHAnsi" w:hAnsiTheme="minorHAnsi" w:cstheme="minorHAnsi"/>
          <w:bCs/>
          <w:iCs/>
          <w:color w:val="000000" w:themeColor="text1"/>
          <w:sz w:val="22"/>
          <w:szCs w:val="22"/>
        </w:rPr>
        <w:t xml:space="preserve">assessment of a </w:t>
      </w:r>
      <w:r w:rsidR="00191813" w:rsidRPr="00FD4FB7">
        <w:rPr>
          <w:rFonts w:asciiTheme="minorHAnsi" w:hAnsiTheme="minorHAnsi" w:cstheme="minorHAnsi"/>
          <w:bCs/>
          <w:iCs/>
          <w:color w:val="000000" w:themeColor="text1"/>
          <w:sz w:val="22"/>
          <w:szCs w:val="22"/>
        </w:rPr>
        <w:t xml:space="preserve">breath alcohol level before starting medication for MAAW, </w:t>
      </w:r>
      <w:r w:rsidR="00CB758B" w:rsidRPr="00FD4FB7">
        <w:rPr>
          <w:rFonts w:asciiTheme="minorHAnsi" w:hAnsiTheme="minorHAnsi" w:cstheme="minorHAnsi"/>
          <w:bCs/>
          <w:iCs/>
          <w:color w:val="000000" w:themeColor="text1"/>
          <w:sz w:val="22"/>
          <w:szCs w:val="22"/>
        </w:rPr>
        <w:t xml:space="preserve">an </w:t>
      </w:r>
      <w:r w:rsidR="00BE64A2" w:rsidRPr="00FD4FB7">
        <w:rPr>
          <w:rFonts w:asciiTheme="minorHAnsi" w:hAnsiTheme="minorHAnsi" w:cstheme="minorHAnsi"/>
          <w:bCs/>
          <w:iCs/>
          <w:color w:val="000000" w:themeColor="text1"/>
          <w:sz w:val="22"/>
          <w:szCs w:val="22"/>
        </w:rPr>
        <w:t xml:space="preserve">assessment for </w:t>
      </w:r>
      <w:r w:rsidR="00AC5F44" w:rsidRPr="00FD4FB7">
        <w:rPr>
          <w:rFonts w:asciiTheme="minorHAnsi" w:hAnsiTheme="minorHAnsi" w:cstheme="minorHAnsi"/>
          <w:bCs/>
          <w:iCs/>
          <w:color w:val="000000" w:themeColor="text1"/>
          <w:sz w:val="22"/>
          <w:szCs w:val="22"/>
        </w:rPr>
        <w:t xml:space="preserve">the </w:t>
      </w:r>
      <w:r w:rsidR="00191813" w:rsidRPr="00FD4FB7">
        <w:rPr>
          <w:rFonts w:asciiTheme="minorHAnsi" w:hAnsiTheme="minorHAnsi" w:cstheme="minorHAnsi"/>
          <w:bCs/>
          <w:iCs/>
          <w:color w:val="000000" w:themeColor="text1"/>
          <w:sz w:val="22"/>
          <w:szCs w:val="22"/>
        </w:rPr>
        <w:t xml:space="preserve">signs and symptoms of Wernicke’s encephalopathy, </w:t>
      </w:r>
      <w:r w:rsidR="00CB758B" w:rsidRPr="00FD4FB7">
        <w:rPr>
          <w:rFonts w:asciiTheme="minorHAnsi" w:hAnsiTheme="minorHAnsi" w:cstheme="minorHAnsi"/>
          <w:bCs/>
          <w:iCs/>
          <w:color w:val="000000" w:themeColor="text1"/>
          <w:sz w:val="22"/>
          <w:szCs w:val="22"/>
        </w:rPr>
        <w:t>a</w:t>
      </w:r>
      <w:r w:rsidR="00BE64A2" w:rsidRPr="00FD4FB7">
        <w:rPr>
          <w:rFonts w:asciiTheme="minorHAnsi" w:hAnsiTheme="minorHAnsi" w:cstheme="minorHAnsi"/>
          <w:bCs/>
          <w:iCs/>
          <w:color w:val="000000" w:themeColor="text1"/>
          <w:sz w:val="22"/>
          <w:szCs w:val="22"/>
        </w:rPr>
        <w:t xml:space="preserve"> </w:t>
      </w:r>
      <w:r w:rsidR="00191813" w:rsidRPr="00FD4FB7">
        <w:rPr>
          <w:rFonts w:asciiTheme="minorHAnsi" w:hAnsiTheme="minorHAnsi" w:cstheme="minorHAnsi"/>
          <w:bCs/>
          <w:iCs/>
          <w:color w:val="000000" w:themeColor="text1"/>
          <w:sz w:val="22"/>
          <w:szCs w:val="22"/>
        </w:rPr>
        <w:t>prescri</w:t>
      </w:r>
      <w:r w:rsidR="00BE64A2" w:rsidRPr="00FD4FB7">
        <w:rPr>
          <w:rFonts w:asciiTheme="minorHAnsi" w:hAnsiTheme="minorHAnsi" w:cstheme="minorHAnsi"/>
          <w:bCs/>
          <w:iCs/>
          <w:color w:val="000000" w:themeColor="text1"/>
          <w:sz w:val="22"/>
          <w:szCs w:val="22"/>
        </w:rPr>
        <w:t xml:space="preserve">ption </w:t>
      </w:r>
      <w:r w:rsidR="00CB758B" w:rsidRPr="00FD4FB7">
        <w:rPr>
          <w:rFonts w:asciiTheme="minorHAnsi" w:hAnsiTheme="minorHAnsi" w:cstheme="minorHAnsi"/>
          <w:bCs/>
          <w:iCs/>
          <w:color w:val="000000" w:themeColor="text1"/>
          <w:sz w:val="22"/>
          <w:szCs w:val="22"/>
        </w:rPr>
        <w:t>for</w:t>
      </w:r>
      <w:r w:rsidR="00BE64A2" w:rsidRPr="00FD4FB7">
        <w:rPr>
          <w:rFonts w:asciiTheme="minorHAnsi" w:hAnsiTheme="minorHAnsi" w:cstheme="minorHAnsi"/>
          <w:bCs/>
          <w:iCs/>
          <w:color w:val="000000" w:themeColor="text1"/>
          <w:sz w:val="22"/>
          <w:szCs w:val="22"/>
        </w:rPr>
        <w:t xml:space="preserve"> </w:t>
      </w:r>
      <w:r w:rsidR="00191813" w:rsidRPr="00FD4FB7">
        <w:rPr>
          <w:rFonts w:asciiTheme="minorHAnsi" w:hAnsiTheme="minorHAnsi" w:cstheme="minorHAnsi"/>
          <w:bCs/>
          <w:iCs/>
          <w:color w:val="000000" w:themeColor="text1"/>
          <w:sz w:val="22"/>
          <w:szCs w:val="22"/>
        </w:rPr>
        <w:t>parenteral thiamine</w:t>
      </w:r>
      <w:r w:rsidR="00BE64A2" w:rsidRPr="00FD4FB7">
        <w:rPr>
          <w:rFonts w:asciiTheme="minorHAnsi" w:hAnsiTheme="minorHAnsi" w:cstheme="minorHAnsi"/>
          <w:bCs/>
          <w:iCs/>
          <w:color w:val="000000" w:themeColor="text1"/>
          <w:sz w:val="22"/>
          <w:szCs w:val="22"/>
        </w:rPr>
        <w:t xml:space="preserve">, </w:t>
      </w:r>
      <w:r w:rsidR="00CB758B" w:rsidRPr="00FD4FB7">
        <w:rPr>
          <w:rFonts w:asciiTheme="minorHAnsi" w:hAnsiTheme="minorHAnsi" w:cstheme="minorHAnsi"/>
          <w:bCs/>
          <w:iCs/>
          <w:color w:val="000000" w:themeColor="text1"/>
          <w:sz w:val="22"/>
          <w:szCs w:val="22"/>
        </w:rPr>
        <w:t xml:space="preserve">a </w:t>
      </w:r>
      <w:r w:rsidR="00BE64A2" w:rsidRPr="00FD4FB7">
        <w:rPr>
          <w:rFonts w:asciiTheme="minorHAnsi" w:hAnsiTheme="minorHAnsi" w:cstheme="minorHAnsi"/>
          <w:bCs/>
          <w:iCs/>
          <w:color w:val="000000" w:themeColor="text1"/>
          <w:sz w:val="22"/>
          <w:szCs w:val="22"/>
        </w:rPr>
        <w:t xml:space="preserve">prescription </w:t>
      </w:r>
      <w:r w:rsidR="00CB758B" w:rsidRPr="00FD4FB7">
        <w:rPr>
          <w:rFonts w:asciiTheme="minorHAnsi" w:hAnsiTheme="minorHAnsi" w:cstheme="minorHAnsi"/>
          <w:bCs/>
          <w:iCs/>
          <w:color w:val="000000" w:themeColor="text1"/>
          <w:sz w:val="22"/>
          <w:szCs w:val="22"/>
        </w:rPr>
        <w:t xml:space="preserve">for </w:t>
      </w:r>
      <w:r w:rsidR="00AC5F44" w:rsidRPr="00FD4FB7">
        <w:rPr>
          <w:rFonts w:asciiTheme="minorHAnsi" w:hAnsiTheme="minorHAnsi" w:cstheme="minorHAnsi"/>
          <w:bCs/>
          <w:iCs/>
          <w:color w:val="000000" w:themeColor="text1"/>
          <w:sz w:val="22"/>
          <w:szCs w:val="22"/>
        </w:rPr>
        <w:t>relapse prevention medication</w:t>
      </w:r>
      <w:r w:rsidR="00BE64A2" w:rsidRPr="00FD4FB7">
        <w:rPr>
          <w:rFonts w:asciiTheme="minorHAnsi" w:hAnsiTheme="minorHAnsi" w:cstheme="minorHAnsi"/>
          <w:bCs/>
          <w:iCs/>
          <w:color w:val="000000" w:themeColor="text1"/>
          <w:sz w:val="22"/>
          <w:szCs w:val="22"/>
        </w:rPr>
        <w:t>,</w:t>
      </w:r>
      <w:r w:rsidR="00AC5F44" w:rsidRPr="00FD4FB7">
        <w:rPr>
          <w:rFonts w:asciiTheme="minorHAnsi" w:hAnsiTheme="minorHAnsi" w:cstheme="minorHAnsi"/>
          <w:bCs/>
          <w:iCs/>
          <w:color w:val="000000" w:themeColor="text1"/>
          <w:sz w:val="22"/>
          <w:szCs w:val="22"/>
        </w:rPr>
        <w:t xml:space="preserve"> </w:t>
      </w:r>
      <w:r w:rsidR="004A7E5C" w:rsidRPr="00FD4FB7">
        <w:rPr>
          <w:rFonts w:asciiTheme="minorHAnsi" w:hAnsiTheme="minorHAnsi" w:cstheme="minorHAnsi"/>
          <w:bCs/>
          <w:iCs/>
          <w:color w:val="000000" w:themeColor="text1"/>
          <w:sz w:val="22"/>
          <w:szCs w:val="22"/>
        </w:rPr>
        <w:t xml:space="preserve">and </w:t>
      </w:r>
      <w:r w:rsidR="00CB758B" w:rsidRPr="00FD4FB7">
        <w:rPr>
          <w:rFonts w:asciiTheme="minorHAnsi" w:hAnsiTheme="minorHAnsi" w:cstheme="minorHAnsi"/>
          <w:bCs/>
          <w:iCs/>
          <w:color w:val="000000" w:themeColor="text1"/>
          <w:sz w:val="22"/>
          <w:szCs w:val="22"/>
        </w:rPr>
        <w:t>a r</w:t>
      </w:r>
      <w:r w:rsidR="00BE64A2" w:rsidRPr="00FD4FB7">
        <w:rPr>
          <w:rFonts w:asciiTheme="minorHAnsi" w:hAnsiTheme="minorHAnsi" w:cstheme="minorHAnsi"/>
          <w:bCs/>
          <w:iCs/>
          <w:color w:val="000000" w:themeColor="text1"/>
          <w:sz w:val="22"/>
          <w:szCs w:val="22"/>
        </w:rPr>
        <w:t xml:space="preserve">eferral </w:t>
      </w:r>
      <w:r w:rsidR="00191813" w:rsidRPr="00FD4FB7">
        <w:rPr>
          <w:rFonts w:asciiTheme="minorHAnsi" w:hAnsiTheme="minorHAnsi" w:cstheme="minorHAnsi"/>
          <w:bCs/>
          <w:iCs/>
          <w:color w:val="000000" w:themeColor="text1"/>
          <w:sz w:val="22"/>
          <w:szCs w:val="22"/>
        </w:rPr>
        <w:t xml:space="preserve">to a relevant </w:t>
      </w:r>
      <w:r w:rsidR="004A7E5C" w:rsidRPr="00FD4FB7">
        <w:rPr>
          <w:rFonts w:asciiTheme="minorHAnsi" w:hAnsiTheme="minorHAnsi" w:cstheme="minorHAnsi"/>
          <w:bCs/>
          <w:iCs/>
          <w:color w:val="000000" w:themeColor="text1"/>
          <w:sz w:val="22"/>
          <w:szCs w:val="22"/>
        </w:rPr>
        <w:t>community-based service</w:t>
      </w:r>
      <w:r w:rsidR="00191813" w:rsidRPr="00FD4FB7">
        <w:rPr>
          <w:rFonts w:asciiTheme="minorHAnsi" w:hAnsiTheme="minorHAnsi" w:cstheme="minorHAnsi"/>
          <w:bCs/>
          <w:iCs/>
          <w:color w:val="000000" w:themeColor="text1"/>
          <w:sz w:val="22"/>
          <w:szCs w:val="22"/>
        </w:rPr>
        <w:t xml:space="preserve"> to support relapse prevention</w:t>
      </w:r>
      <w:r w:rsidR="00AC5F44" w:rsidRPr="00FD4FB7">
        <w:rPr>
          <w:rFonts w:asciiTheme="minorHAnsi" w:hAnsiTheme="minorHAnsi" w:cstheme="minorHAnsi"/>
          <w:bCs/>
          <w:iCs/>
          <w:color w:val="000000" w:themeColor="text1"/>
          <w:sz w:val="22"/>
          <w:szCs w:val="22"/>
        </w:rPr>
        <w:t>.</w:t>
      </w:r>
      <w:r w:rsidR="00191813" w:rsidRPr="00FD4FB7">
        <w:rPr>
          <w:rFonts w:asciiTheme="minorHAnsi" w:hAnsiTheme="minorHAnsi" w:cstheme="minorHAnsi"/>
          <w:bCs/>
          <w:iCs/>
          <w:color w:val="000000" w:themeColor="text1"/>
          <w:sz w:val="22"/>
          <w:szCs w:val="22"/>
        </w:rPr>
        <w:t xml:space="preserve"> </w:t>
      </w:r>
    </w:p>
    <w:p w14:paraId="1FA810EC" w14:textId="77777777" w:rsidR="00763A5B" w:rsidRPr="00FD4FB7" w:rsidRDefault="00763A5B" w:rsidP="005A0100">
      <w:pPr>
        <w:spacing w:line="360" w:lineRule="auto"/>
        <w:rPr>
          <w:rFonts w:asciiTheme="minorHAnsi" w:hAnsiTheme="minorHAnsi" w:cstheme="minorHAnsi"/>
          <w:color w:val="000000" w:themeColor="text1"/>
          <w:sz w:val="22"/>
          <w:szCs w:val="22"/>
        </w:rPr>
      </w:pPr>
    </w:p>
    <w:p w14:paraId="7D708354" w14:textId="29518316" w:rsidR="00763A5B" w:rsidRPr="00FD4FB7" w:rsidRDefault="005B45E7" w:rsidP="00734D7F">
      <w:pPr>
        <w:spacing w:line="360" w:lineRule="auto"/>
        <w:rPr>
          <w:rFonts w:asciiTheme="minorHAnsi" w:hAnsiTheme="minorHAnsi" w:cstheme="minorHAnsi"/>
          <w:sz w:val="22"/>
          <w:szCs w:val="22"/>
        </w:rPr>
      </w:pPr>
      <w:r w:rsidRPr="00FD4FB7">
        <w:rPr>
          <w:rFonts w:asciiTheme="minorHAnsi" w:hAnsiTheme="minorHAnsi" w:cstheme="minorHAnsi"/>
          <w:color w:val="000000" w:themeColor="text1"/>
          <w:sz w:val="22"/>
          <w:szCs w:val="22"/>
        </w:rPr>
        <w:lastRenderedPageBreak/>
        <w:t xml:space="preserve">The NICE-recommended medication for MAAW, a benzodiazepine, was prescribed for nearly all patients, whatever the clinical setting. For </w:t>
      </w:r>
      <w:proofErr w:type="gramStart"/>
      <w:r w:rsidRPr="00FD4FB7">
        <w:rPr>
          <w:rFonts w:asciiTheme="minorHAnsi" w:hAnsiTheme="minorHAnsi" w:cstheme="minorHAnsi"/>
          <w:color w:val="000000" w:themeColor="text1"/>
          <w:sz w:val="22"/>
          <w:szCs w:val="22"/>
        </w:rPr>
        <w:t>the majority of</w:t>
      </w:r>
      <w:proofErr w:type="gramEnd"/>
      <w:r w:rsidRPr="00FD4FB7">
        <w:rPr>
          <w:rFonts w:asciiTheme="minorHAnsi" w:hAnsiTheme="minorHAnsi" w:cstheme="minorHAnsi"/>
          <w:color w:val="000000" w:themeColor="text1"/>
          <w:sz w:val="22"/>
          <w:szCs w:val="22"/>
        </w:rPr>
        <w:t xml:space="preserve"> patients</w:t>
      </w:r>
      <w:r w:rsidR="00A67247" w:rsidRPr="00FD4FB7">
        <w:rPr>
          <w:rFonts w:asciiTheme="minorHAnsi" w:hAnsiTheme="minorHAnsi" w:cstheme="minorHAnsi"/>
          <w:color w:val="000000" w:themeColor="text1"/>
          <w:sz w:val="22"/>
          <w:szCs w:val="22"/>
        </w:rPr>
        <w:t>,</w:t>
      </w:r>
      <w:r w:rsidRPr="00FD4FB7">
        <w:rPr>
          <w:rFonts w:asciiTheme="minorHAnsi" w:hAnsiTheme="minorHAnsi" w:cstheme="minorHAnsi"/>
          <w:color w:val="000000" w:themeColor="text1"/>
          <w:sz w:val="22"/>
          <w:szCs w:val="22"/>
        </w:rPr>
        <w:t xml:space="preserve"> this was in the context of a fixed-dose reducing regimen, with a symptom-triggered medication regimen being less commonly used, particularly for those patients on an acute adult ward.  </w:t>
      </w:r>
      <w:r w:rsidR="00807B14" w:rsidRPr="00FD4FB7">
        <w:rPr>
          <w:rFonts w:asciiTheme="minorHAnsi" w:hAnsiTheme="minorHAnsi" w:cstheme="minorHAnsi"/>
          <w:color w:val="000000" w:themeColor="text1"/>
          <w:sz w:val="22"/>
          <w:szCs w:val="22"/>
        </w:rPr>
        <w:t xml:space="preserve">This may </w:t>
      </w:r>
      <w:r w:rsidR="00603B59" w:rsidRPr="00FD4FB7">
        <w:rPr>
          <w:rFonts w:asciiTheme="minorHAnsi" w:hAnsiTheme="minorHAnsi" w:cstheme="minorHAnsi"/>
          <w:color w:val="000000" w:themeColor="text1"/>
          <w:sz w:val="22"/>
          <w:szCs w:val="22"/>
        </w:rPr>
        <w:t xml:space="preserve">partly </w:t>
      </w:r>
      <w:r w:rsidR="00807B14" w:rsidRPr="00FD4FB7">
        <w:rPr>
          <w:rFonts w:asciiTheme="minorHAnsi" w:hAnsiTheme="minorHAnsi" w:cstheme="minorHAnsi"/>
          <w:color w:val="000000" w:themeColor="text1"/>
          <w:sz w:val="22"/>
          <w:szCs w:val="22"/>
        </w:rPr>
        <w:t xml:space="preserve">reflect that </w:t>
      </w:r>
      <w:r w:rsidR="006C5654" w:rsidRPr="00FD4FB7">
        <w:rPr>
          <w:rFonts w:asciiTheme="minorHAnsi" w:hAnsiTheme="minorHAnsi" w:cstheme="minorHAnsi"/>
          <w:color w:val="000000" w:themeColor="text1"/>
          <w:sz w:val="22"/>
          <w:szCs w:val="22"/>
        </w:rPr>
        <w:t xml:space="preserve">the </w:t>
      </w:r>
      <w:r w:rsidR="00807B14" w:rsidRPr="00FD4FB7">
        <w:rPr>
          <w:rFonts w:asciiTheme="minorHAnsi" w:hAnsiTheme="minorHAnsi" w:cstheme="minorHAnsi"/>
          <w:color w:val="000000" w:themeColor="text1"/>
          <w:sz w:val="22"/>
          <w:szCs w:val="22"/>
        </w:rPr>
        <w:t xml:space="preserve">NICE </w:t>
      </w:r>
      <w:r w:rsidR="006C5654" w:rsidRPr="00FD4FB7">
        <w:rPr>
          <w:rFonts w:asciiTheme="minorHAnsi" w:hAnsiTheme="minorHAnsi" w:cstheme="minorHAnsi"/>
          <w:color w:val="000000" w:themeColor="text1"/>
          <w:sz w:val="22"/>
          <w:szCs w:val="22"/>
        </w:rPr>
        <w:t>guideline on ‘</w:t>
      </w:r>
      <w:r w:rsidR="00807B14" w:rsidRPr="00FD4FB7">
        <w:rPr>
          <w:rFonts w:asciiTheme="minorHAnsi" w:hAnsiTheme="minorHAnsi" w:cstheme="minorHAnsi"/>
          <w:color w:val="000000" w:themeColor="text1"/>
          <w:sz w:val="22"/>
          <w:szCs w:val="22"/>
        </w:rPr>
        <w:t>Alcohol use disorders: diagnosis and clinical management of alcohol-related physical complications</w:t>
      </w:r>
      <w:r w:rsidR="006C5654" w:rsidRPr="00FD4FB7">
        <w:rPr>
          <w:rFonts w:asciiTheme="minorHAnsi" w:hAnsiTheme="minorHAnsi" w:cstheme="minorHAnsi"/>
          <w:color w:val="000000" w:themeColor="text1"/>
          <w:sz w:val="22"/>
          <w:szCs w:val="22"/>
        </w:rPr>
        <w:t>’</w:t>
      </w:r>
      <w:r w:rsidR="00807B14" w:rsidRPr="00FD4FB7">
        <w:rPr>
          <w:rFonts w:asciiTheme="minorHAnsi" w:hAnsiTheme="minorHAnsi" w:cstheme="minorHAnsi"/>
          <w:color w:val="000000" w:themeColor="text1"/>
          <w:sz w:val="22"/>
          <w:szCs w:val="22"/>
        </w:rPr>
        <w:t xml:space="preserve"> </w:t>
      </w:r>
      <w:r w:rsidR="00BC343B" w:rsidRPr="00FD4FB7">
        <w:rPr>
          <w:rFonts w:asciiTheme="minorHAnsi" w:hAnsiTheme="minorHAnsi" w:cs="Calibri (Body)"/>
          <w:color w:val="000000" w:themeColor="text1"/>
          <w:sz w:val="22"/>
          <w:szCs w:val="22"/>
          <w:vertAlign w:val="superscript"/>
        </w:rPr>
        <w:t>5</w:t>
      </w:r>
      <w:r w:rsidR="006C5654" w:rsidRPr="00FD4FB7">
        <w:rPr>
          <w:rFonts w:asciiTheme="minorHAnsi" w:hAnsiTheme="minorHAnsi" w:cstheme="minorHAnsi"/>
          <w:color w:val="000000" w:themeColor="text1"/>
          <w:sz w:val="22"/>
          <w:szCs w:val="22"/>
        </w:rPr>
        <w:t xml:space="preserve">, </w:t>
      </w:r>
      <w:r w:rsidR="00807B14" w:rsidRPr="00FD4FB7">
        <w:rPr>
          <w:rFonts w:asciiTheme="minorHAnsi" w:hAnsiTheme="minorHAnsi" w:cstheme="minorHAnsi"/>
          <w:color w:val="000000" w:themeColor="text1"/>
          <w:sz w:val="22"/>
          <w:szCs w:val="22"/>
        </w:rPr>
        <w:t xml:space="preserve">developed by the National Collaborating Centre for Mental Health, </w:t>
      </w:r>
      <w:r w:rsidR="00825E59" w:rsidRPr="00FD4FB7">
        <w:rPr>
          <w:rFonts w:asciiTheme="minorHAnsi" w:hAnsiTheme="minorHAnsi" w:cstheme="minorHAnsi"/>
          <w:color w:val="000000" w:themeColor="text1"/>
          <w:sz w:val="22"/>
          <w:szCs w:val="22"/>
        </w:rPr>
        <w:t xml:space="preserve">recommends that, in an inpatient setting, a symptom-triggered regimen should only be used if staff are ‘competent in monitoring symptoms effectively’ and sufficient resources are available to allow them to do so. </w:t>
      </w:r>
    </w:p>
    <w:p w14:paraId="51521785" w14:textId="77777777" w:rsidR="00734D7F" w:rsidRPr="00FD4FB7" w:rsidRDefault="00734D7F" w:rsidP="00734D7F">
      <w:pPr>
        <w:spacing w:line="360" w:lineRule="auto"/>
        <w:rPr>
          <w:rFonts w:asciiTheme="minorHAnsi" w:hAnsiTheme="minorHAnsi" w:cstheme="minorHAnsi"/>
          <w:sz w:val="22"/>
          <w:szCs w:val="22"/>
        </w:rPr>
      </w:pPr>
    </w:p>
    <w:p w14:paraId="06CB7AC6" w14:textId="7F82D5C6" w:rsidR="0073119E" w:rsidRPr="00FD4FB7" w:rsidRDefault="0034054E" w:rsidP="00191813">
      <w:pPr>
        <w:spacing w:after="160" w:line="360" w:lineRule="auto"/>
        <w:rPr>
          <w:rFonts w:asciiTheme="minorHAnsi" w:hAnsiTheme="minorHAnsi" w:cstheme="minorHAnsi"/>
          <w:bCs/>
          <w:iCs/>
          <w:color w:val="000000" w:themeColor="text1"/>
          <w:sz w:val="22"/>
          <w:szCs w:val="22"/>
        </w:rPr>
      </w:pPr>
      <w:r w:rsidRPr="00FD4FB7">
        <w:rPr>
          <w:rFonts w:asciiTheme="minorHAnsi" w:hAnsiTheme="minorHAnsi" w:cstheme="minorHAnsi"/>
          <w:bCs/>
          <w:iCs/>
          <w:color w:val="000000" w:themeColor="text1"/>
          <w:sz w:val="22"/>
          <w:szCs w:val="22"/>
        </w:rPr>
        <w:t xml:space="preserve">There </w:t>
      </w:r>
      <w:r w:rsidR="001B5C28" w:rsidRPr="00FD4FB7">
        <w:rPr>
          <w:rFonts w:asciiTheme="minorHAnsi" w:hAnsiTheme="minorHAnsi" w:cstheme="minorHAnsi"/>
          <w:bCs/>
          <w:iCs/>
          <w:color w:val="000000" w:themeColor="text1"/>
          <w:sz w:val="22"/>
          <w:szCs w:val="22"/>
        </w:rPr>
        <w:t>are few</w:t>
      </w:r>
      <w:r w:rsidRPr="00FD4FB7">
        <w:rPr>
          <w:rFonts w:asciiTheme="minorHAnsi" w:hAnsiTheme="minorHAnsi" w:cstheme="minorHAnsi"/>
          <w:bCs/>
          <w:iCs/>
          <w:color w:val="000000" w:themeColor="text1"/>
          <w:sz w:val="22"/>
          <w:szCs w:val="22"/>
        </w:rPr>
        <w:t xml:space="preserve"> published UK data with which to compare our findings. </w:t>
      </w:r>
      <w:r w:rsidR="00A67247" w:rsidRPr="00FD4FB7">
        <w:rPr>
          <w:rFonts w:asciiTheme="minorHAnsi" w:hAnsiTheme="minorHAnsi" w:cstheme="minorHAnsi"/>
          <w:bCs/>
          <w:iCs/>
          <w:color w:val="000000" w:themeColor="text1"/>
          <w:sz w:val="22"/>
          <w:szCs w:val="22"/>
        </w:rPr>
        <w:t xml:space="preserve">The impact of </w:t>
      </w:r>
      <w:r w:rsidR="00C8284B" w:rsidRPr="00516FC7">
        <w:rPr>
          <w:rFonts w:asciiTheme="minorHAnsi" w:hAnsiTheme="minorHAnsi" w:cstheme="minorHAnsi"/>
          <w:bCs/>
          <w:iCs/>
          <w:color w:val="000000" w:themeColor="text1"/>
          <w:sz w:val="22"/>
          <w:szCs w:val="22"/>
        </w:rPr>
        <w:t>addiction</w:t>
      </w:r>
      <w:r w:rsidR="00883021" w:rsidRPr="00516FC7">
        <w:rPr>
          <w:rFonts w:asciiTheme="minorHAnsi" w:hAnsiTheme="minorHAnsi" w:cstheme="minorHAnsi"/>
          <w:bCs/>
          <w:iCs/>
          <w:color w:val="000000" w:themeColor="text1"/>
          <w:sz w:val="22"/>
          <w:szCs w:val="22"/>
        </w:rPr>
        <w:t>s</w:t>
      </w:r>
      <w:r w:rsidR="00C8284B" w:rsidRPr="00FD4FB7">
        <w:rPr>
          <w:rFonts w:asciiTheme="minorHAnsi" w:hAnsiTheme="minorHAnsi" w:cstheme="minorHAnsi"/>
          <w:bCs/>
          <w:iCs/>
          <w:color w:val="000000" w:themeColor="text1"/>
          <w:sz w:val="22"/>
          <w:szCs w:val="22"/>
        </w:rPr>
        <w:t xml:space="preserve"> </w:t>
      </w:r>
      <w:r w:rsidR="00A67247" w:rsidRPr="00FD4FB7">
        <w:rPr>
          <w:rFonts w:asciiTheme="minorHAnsi" w:hAnsiTheme="minorHAnsi" w:cstheme="minorHAnsi"/>
          <w:bCs/>
          <w:iCs/>
          <w:color w:val="000000" w:themeColor="text1"/>
          <w:sz w:val="22"/>
          <w:szCs w:val="22"/>
        </w:rPr>
        <w:t>specialists has not been systematically studied in acute hospital settings</w:t>
      </w:r>
      <w:r w:rsidR="00603B59" w:rsidRPr="00FD4FB7">
        <w:rPr>
          <w:rFonts w:asciiTheme="minorHAnsi" w:hAnsiTheme="minorHAnsi" w:cstheme="minorHAnsi"/>
          <w:bCs/>
          <w:iCs/>
          <w:color w:val="000000" w:themeColor="text1"/>
          <w:sz w:val="22"/>
          <w:szCs w:val="22"/>
        </w:rPr>
        <w:t>,</w:t>
      </w:r>
      <w:r w:rsidR="00A67247" w:rsidRPr="00FD4FB7">
        <w:rPr>
          <w:rFonts w:asciiTheme="minorHAnsi" w:hAnsiTheme="minorHAnsi" w:cstheme="minorHAnsi"/>
          <w:bCs/>
          <w:iCs/>
          <w:color w:val="000000" w:themeColor="text1"/>
          <w:sz w:val="22"/>
          <w:szCs w:val="22"/>
        </w:rPr>
        <w:t xml:space="preserve"> where published audit data are limited to the positive impact of local alcohol treatment guidelines on the quality of MAAW, particularly the use of parenteral thiamine</w:t>
      </w:r>
      <w:r w:rsidR="00E91D01" w:rsidRPr="00FD4FB7">
        <w:rPr>
          <w:rFonts w:asciiTheme="minorHAnsi" w:hAnsiTheme="minorHAnsi" w:cstheme="minorHAnsi"/>
          <w:bCs/>
          <w:iCs/>
          <w:color w:val="000000" w:themeColor="text1"/>
          <w:sz w:val="22"/>
          <w:szCs w:val="22"/>
        </w:rPr>
        <w:t>.</w:t>
      </w:r>
      <w:r w:rsidR="003B31D3" w:rsidRPr="00FD4FB7">
        <w:rPr>
          <w:rFonts w:asciiTheme="minorHAnsi" w:hAnsiTheme="minorHAnsi" w:cstheme="minorHAnsi"/>
          <w:bCs/>
          <w:iCs/>
          <w:color w:val="000000" w:themeColor="text1"/>
          <w:sz w:val="22"/>
          <w:szCs w:val="22"/>
        </w:rPr>
        <w:t xml:space="preserve"> </w:t>
      </w:r>
      <w:r w:rsidR="00043032" w:rsidRPr="00FD4FB7">
        <w:rPr>
          <w:rFonts w:asciiTheme="minorHAnsi" w:hAnsiTheme="minorHAnsi" w:cs="Calibri (Body)"/>
          <w:bCs/>
          <w:iCs/>
          <w:color w:val="000000" w:themeColor="text1"/>
          <w:sz w:val="22"/>
          <w:szCs w:val="22"/>
          <w:vertAlign w:val="superscript"/>
        </w:rPr>
        <w:t>1</w:t>
      </w:r>
      <w:r w:rsidR="00BC343B" w:rsidRPr="00FD4FB7">
        <w:rPr>
          <w:rFonts w:asciiTheme="minorHAnsi" w:hAnsiTheme="minorHAnsi" w:cs="Calibri (Body)"/>
          <w:bCs/>
          <w:iCs/>
          <w:color w:val="000000" w:themeColor="text1"/>
          <w:sz w:val="22"/>
          <w:szCs w:val="22"/>
          <w:vertAlign w:val="superscript"/>
        </w:rPr>
        <w:t>6</w:t>
      </w:r>
      <w:r w:rsidR="00FE162C" w:rsidRPr="00FD4FB7">
        <w:rPr>
          <w:rFonts w:asciiTheme="minorHAnsi" w:hAnsiTheme="minorHAnsi" w:cs="Calibri (Body)"/>
          <w:bCs/>
          <w:iCs/>
          <w:color w:val="000000" w:themeColor="text1"/>
          <w:sz w:val="22"/>
          <w:szCs w:val="22"/>
          <w:vertAlign w:val="superscript"/>
        </w:rPr>
        <w:t>-1</w:t>
      </w:r>
      <w:r w:rsidR="00BC343B" w:rsidRPr="00FD4FB7">
        <w:rPr>
          <w:rFonts w:asciiTheme="minorHAnsi" w:hAnsiTheme="minorHAnsi" w:cs="Calibri (Body)"/>
          <w:bCs/>
          <w:iCs/>
          <w:color w:val="000000" w:themeColor="text1"/>
          <w:sz w:val="22"/>
          <w:szCs w:val="22"/>
          <w:vertAlign w:val="superscript"/>
        </w:rPr>
        <w:t>8</w:t>
      </w:r>
      <w:r w:rsidR="00043032" w:rsidRPr="00FD4FB7">
        <w:rPr>
          <w:rFonts w:asciiTheme="minorHAnsi" w:hAnsiTheme="minorHAnsi" w:cstheme="minorHAnsi"/>
          <w:bCs/>
          <w:iCs/>
          <w:color w:val="000000" w:themeColor="text1"/>
          <w:sz w:val="22"/>
          <w:szCs w:val="22"/>
        </w:rPr>
        <w:t xml:space="preserve"> </w:t>
      </w:r>
      <w:r w:rsidR="00A67247" w:rsidRPr="00FD4FB7">
        <w:rPr>
          <w:rFonts w:asciiTheme="minorHAnsi" w:hAnsiTheme="minorHAnsi" w:cstheme="minorHAnsi"/>
          <w:bCs/>
          <w:iCs/>
          <w:color w:val="000000" w:themeColor="text1"/>
          <w:sz w:val="22"/>
          <w:szCs w:val="22"/>
        </w:rPr>
        <w:t xml:space="preserve"> </w:t>
      </w:r>
      <w:r w:rsidR="00F55BA9" w:rsidRPr="00FD4FB7">
        <w:rPr>
          <w:rFonts w:asciiTheme="minorHAnsi" w:hAnsiTheme="minorHAnsi" w:cstheme="minorHAnsi"/>
          <w:bCs/>
          <w:iCs/>
          <w:color w:val="000000" w:themeColor="text1"/>
          <w:sz w:val="22"/>
          <w:szCs w:val="22"/>
        </w:rPr>
        <w:t xml:space="preserve"> </w:t>
      </w:r>
      <w:r w:rsidR="005E1D9A" w:rsidRPr="00FD4FB7">
        <w:rPr>
          <w:rFonts w:asciiTheme="minorHAnsi" w:hAnsiTheme="minorHAnsi" w:cstheme="minorHAnsi"/>
          <w:bCs/>
          <w:iCs/>
          <w:color w:val="000000" w:themeColor="text1"/>
          <w:sz w:val="22"/>
          <w:szCs w:val="22"/>
        </w:rPr>
        <w:t xml:space="preserve">One study conducted in a psychiatric hospital almost 20 years ago tested the impact of the introduction of a local protocol/prescription chart on the use of parenteral thiamine during MAAW; while this intervention did increase the use of parenteral thiamine, the involvement of a specialist in </w:t>
      </w:r>
      <w:r w:rsidR="00B12707" w:rsidRPr="00FD4FB7">
        <w:rPr>
          <w:rFonts w:asciiTheme="minorHAnsi" w:hAnsiTheme="minorHAnsi" w:cstheme="minorHAnsi"/>
          <w:bCs/>
          <w:iCs/>
          <w:color w:val="000000" w:themeColor="text1"/>
          <w:sz w:val="22"/>
          <w:szCs w:val="22"/>
        </w:rPr>
        <w:t xml:space="preserve">a </w:t>
      </w:r>
      <w:r w:rsidR="005E1D9A" w:rsidRPr="00FD4FB7">
        <w:rPr>
          <w:rFonts w:asciiTheme="minorHAnsi" w:hAnsiTheme="minorHAnsi" w:cstheme="minorHAnsi"/>
          <w:bCs/>
          <w:iCs/>
          <w:color w:val="000000" w:themeColor="text1"/>
          <w:sz w:val="22"/>
          <w:szCs w:val="22"/>
        </w:rPr>
        <w:t>patient</w:t>
      </w:r>
      <w:r w:rsidR="00B12707" w:rsidRPr="00FD4FB7">
        <w:rPr>
          <w:rFonts w:asciiTheme="minorHAnsi" w:hAnsiTheme="minorHAnsi" w:cstheme="minorHAnsi"/>
          <w:bCs/>
          <w:iCs/>
          <w:color w:val="000000" w:themeColor="text1"/>
          <w:sz w:val="22"/>
          <w:szCs w:val="22"/>
        </w:rPr>
        <w:t>’</w:t>
      </w:r>
      <w:r w:rsidR="005E1D9A" w:rsidRPr="00FD4FB7">
        <w:rPr>
          <w:rFonts w:asciiTheme="minorHAnsi" w:hAnsiTheme="minorHAnsi" w:cstheme="minorHAnsi"/>
          <w:bCs/>
          <w:iCs/>
          <w:color w:val="000000" w:themeColor="text1"/>
          <w:sz w:val="22"/>
          <w:szCs w:val="22"/>
        </w:rPr>
        <w:t xml:space="preserve">s care had the strongest association with the use of </w:t>
      </w:r>
      <w:r w:rsidR="00445F2B" w:rsidRPr="00FD4FB7">
        <w:rPr>
          <w:rFonts w:asciiTheme="minorHAnsi" w:hAnsiTheme="minorHAnsi" w:cstheme="minorHAnsi"/>
          <w:bCs/>
          <w:iCs/>
          <w:color w:val="000000" w:themeColor="text1"/>
          <w:sz w:val="22"/>
          <w:szCs w:val="22"/>
        </w:rPr>
        <w:t>parenteral thiamine</w:t>
      </w:r>
      <w:r w:rsidR="005E1D9A" w:rsidRPr="00FD4FB7">
        <w:rPr>
          <w:rFonts w:asciiTheme="minorHAnsi" w:hAnsiTheme="minorHAnsi" w:cstheme="minorHAnsi"/>
          <w:bCs/>
          <w:iCs/>
          <w:color w:val="000000" w:themeColor="text1"/>
          <w:sz w:val="22"/>
          <w:szCs w:val="22"/>
        </w:rPr>
        <w:t xml:space="preserve"> </w:t>
      </w:r>
      <w:r w:rsidR="00CE3CFF" w:rsidRPr="00FD4FB7">
        <w:rPr>
          <w:rFonts w:asciiTheme="minorHAnsi" w:hAnsiTheme="minorHAnsi" w:cs="Calibri (Body)"/>
          <w:bCs/>
          <w:iCs/>
          <w:color w:val="000000" w:themeColor="text1"/>
          <w:sz w:val="22"/>
          <w:szCs w:val="22"/>
          <w:vertAlign w:val="superscript"/>
        </w:rPr>
        <w:t>1</w:t>
      </w:r>
      <w:r w:rsidR="00BC343B" w:rsidRPr="00FD4FB7">
        <w:rPr>
          <w:rFonts w:asciiTheme="minorHAnsi" w:hAnsiTheme="minorHAnsi" w:cs="Calibri (Body)"/>
          <w:bCs/>
          <w:iCs/>
          <w:color w:val="000000" w:themeColor="text1"/>
          <w:sz w:val="22"/>
          <w:szCs w:val="22"/>
          <w:vertAlign w:val="superscript"/>
        </w:rPr>
        <w:t>9</w:t>
      </w:r>
      <w:r w:rsidR="005E1D9A" w:rsidRPr="00FD4FB7">
        <w:rPr>
          <w:rFonts w:asciiTheme="minorHAnsi" w:hAnsiTheme="minorHAnsi" w:cstheme="minorHAnsi"/>
          <w:bCs/>
          <w:iCs/>
          <w:color w:val="000000" w:themeColor="text1"/>
          <w:sz w:val="22"/>
          <w:szCs w:val="22"/>
        </w:rPr>
        <w:t xml:space="preserve"> </w:t>
      </w:r>
    </w:p>
    <w:p w14:paraId="3A44C196" w14:textId="77777777" w:rsidR="00086B98" w:rsidRPr="00FD4FB7" w:rsidRDefault="00086B98" w:rsidP="00191813">
      <w:pPr>
        <w:spacing w:after="160" w:line="360" w:lineRule="auto"/>
        <w:rPr>
          <w:rFonts w:asciiTheme="minorHAnsi" w:hAnsiTheme="minorHAnsi" w:cstheme="minorHAnsi"/>
          <w:bCs/>
          <w:iCs/>
          <w:color w:val="000000" w:themeColor="text1"/>
          <w:sz w:val="22"/>
          <w:szCs w:val="22"/>
        </w:rPr>
      </w:pPr>
    </w:p>
    <w:p w14:paraId="35973534" w14:textId="7A520895" w:rsidR="00191813" w:rsidRPr="00FD4FB7" w:rsidRDefault="004A7E5C" w:rsidP="00191813">
      <w:pPr>
        <w:spacing w:after="160" w:line="360" w:lineRule="auto"/>
        <w:rPr>
          <w:rFonts w:asciiTheme="minorHAnsi" w:hAnsiTheme="minorHAnsi" w:cstheme="minorHAnsi"/>
          <w:b/>
          <w:color w:val="000000" w:themeColor="text1"/>
          <w:sz w:val="22"/>
          <w:szCs w:val="22"/>
        </w:rPr>
      </w:pPr>
      <w:r w:rsidRPr="00FD4FB7">
        <w:rPr>
          <w:rFonts w:asciiTheme="minorHAnsi" w:hAnsiTheme="minorHAnsi" w:cstheme="minorHAnsi"/>
          <w:b/>
          <w:color w:val="000000" w:themeColor="text1"/>
          <w:sz w:val="22"/>
          <w:szCs w:val="22"/>
        </w:rPr>
        <w:t>Do patients who receive MAAW on acute psychiatric wards and specialist alcohol units differ?</w:t>
      </w:r>
    </w:p>
    <w:p w14:paraId="185A4A47" w14:textId="1AB84F64" w:rsidR="00FC4338" w:rsidRPr="00FD4FB7" w:rsidRDefault="00A90751" w:rsidP="00FC4338">
      <w:pPr>
        <w:spacing w:after="160"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As might be expected, there was more psychiatric comorbid</w:t>
      </w:r>
      <w:r w:rsidR="00FC4338" w:rsidRPr="00FD4FB7">
        <w:rPr>
          <w:rFonts w:asciiTheme="minorHAnsi" w:hAnsiTheme="minorHAnsi" w:cstheme="minorHAnsi"/>
          <w:color w:val="000000" w:themeColor="text1"/>
          <w:sz w:val="22"/>
          <w:szCs w:val="22"/>
        </w:rPr>
        <w:t>ity</w:t>
      </w:r>
      <w:r w:rsidRPr="00FD4FB7">
        <w:rPr>
          <w:rFonts w:asciiTheme="minorHAnsi" w:hAnsiTheme="minorHAnsi" w:cstheme="minorHAnsi"/>
          <w:color w:val="000000" w:themeColor="text1"/>
          <w:sz w:val="22"/>
          <w:szCs w:val="22"/>
        </w:rPr>
        <w:t xml:space="preserve"> in those patients receiving MAAW on acute psychiatric wards, particularly schizophrenia spectrum </w:t>
      </w:r>
      <w:r w:rsidR="00FC4338" w:rsidRPr="00FD4FB7">
        <w:rPr>
          <w:rFonts w:asciiTheme="minorHAnsi" w:hAnsiTheme="minorHAnsi" w:cstheme="minorHAnsi"/>
          <w:color w:val="000000" w:themeColor="text1"/>
          <w:sz w:val="22"/>
          <w:szCs w:val="22"/>
        </w:rPr>
        <w:t>disorders</w:t>
      </w:r>
      <w:r w:rsidRPr="00FD4FB7">
        <w:rPr>
          <w:rFonts w:asciiTheme="minorHAnsi" w:hAnsiTheme="minorHAnsi" w:cstheme="minorHAnsi"/>
          <w:color w:val="000000" w:themeColor="text1"/>
          <w:sz w:val="22"/>
          <w:szCs w:val="22"/>
        </w:rPr>
        <w:t xml:space="preserve">, compared with those on specialist alcohol units.  </w:t>
      </w:r>
      <w:r w:rsidR="00FC4338" w:rsidRPr="00FD4FB7">
        <w:rPr>
          <w:rFonts w:asciiTheme="minorHAnsi" w:hAnsiTheme="minorHAnsi" w:cstheme="minorHAnsi"/>
          <w:color w:val="000000" w:themeColor="text1"/>
          <w:sz w:val="22"/>
          <w:szCs w:val="22"/>
        </w:rPr>
        <w:t>This may partly explain the greater use of antipsychotic medication for patients on the acute adult wards</w:t>
      </w:r>
      <w:r w:rsidR="002530F7" w:rsidRPr="00FD4FB7">
        <w:rPr>
          <w:rFonts w:asciiTheme="minorHAnsi" w:hAnsiTheme="minorHAnsi" w:cstheme="minorHAnsi"/>
          <w:color w:val="000000" w:themeColor="text1"/>
          <w:sz w:val="22"/>
          <w:szCs w:val="22"/>
        </w:rPr>
        <w:t>.</w:t>
      </w:r>
      <w:r w:rsidR="00626ED3" w:rsidRPr="00FD4FB7">
        <w:rPr>
          <w:rFonts w:asciiTheme="minorHAnsi" w:hAnsiTheme="minorHAnsi" w:cstheme="minorHAnsi"/>
          <w:color w:val="000000" w:themeColor="text1"/>
          <w:sz w:val="22"/>
          <w:szCs w:val="22"/>
        </w:rPr>
        <w:t xml:space="preserve"> </w:t>
      </w:r>
    </w:p>
    <w:p w14:paraId="71F504B4" w14:textId="12091C13" w:rsidR="00CE3CFF" w:rsidRPr="00FD4FB7" w:rsidRDefault="00626ED3" w:rsidP="00626ED3">
      <w:pPr>
        <w:spacing w:after="160"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T</w:t>
      </w:r>
      <w:r w:rsidR="00C373FB" w:rsidRPr="00FD4FB7">
        <w:rPr>
          <w:rFonts w:asciiTheme="minorHAnsi" w:hAnsiTheme="minorHAnsi" w:cstheme="minorHAnsi"/>
          <w:color w:val="000000" w:themeColor="text1"/>
          <w:sz w:val="22"/>
          <w:szCs w:val="22"/>
        </w:rPr>
        <w:t xml:space="preserve">here was no significant difference in the recorded daily alcohol consumption prior to admission between those </w:t>
      </w:r>
      <w:r w:rsidR="00AC7EAD" w:rsidRPr="00FD4FB7">
        <w:rPr>
          <w:rFonts w:asciiTheme="minorHAnsi" w:hAnsiTheme="minorHAnsi" w:cstheme="minorHAnsi"/>
          <w:color w:val="000000" w:themeColor="text1"/>
          <w:sz w:val="22"/>
          <w:szCs w:val="22"/>
        </w:rPr>
        <w:t>patients treated on an</w:t>
      </w:r>
      <w:r w:rsidR="00C373FB" w:rsidRPr="00FD4FB7">
        <w:rPr>
          <w:rFonts w:asciiTheme="minorHAnsi" w:hAnsiTheme="minorHAnsi" w:cstheme="minorHAnsi"/>
          <w:color w:val="000000" w:themeColor="text1"/>
          <w:sz w:val="22"/>
          <w:szCs w:val="22"/>
        </w:rPr>
        <w:t xml:space="preserve"> acute ward</w:t>
      </w:r>
      <w:r w:rsidR="00AC7EAD" w:rsidRPr="00FD4FB7">
        <w:rPr>
          <w:rFonts w:asciiTheme="minorHAnsi" w:hAnsiTheme="minorHAnsi" w:cstheme="minorHAnsi"/>
          <w:color w:val="000000" w:themeColor="text1"/>
          <w:sz w:val="22"/>
          <w:szCs w:val="22"/>
        </w:rPr>
        <w:t xml:space="preserve"> and those on </w:t>
      </w:r>
      <w:r w:rsidR="00C373FB" w:rsidRPr="00FD4FB7">
        <w:rPr>
          <w:rFonts w:asciiTheme="minorHAnsi" w:hAnsiTheme="minorHAnsi" w:cstheme="minorHAnsi"/>
          <w:color w:val="000000" w:themeColor="text1"/>
          <w:sz w:val="22"/>
          <w:szCs w:val="22"/>
        </w:rPr>
        <w:t xml:space="preserve">a specialist unit: the median daily consumption was 24 and 28 units, respectively. However, the patients admitted to a specialist unit for a planned MAAW had a longer duration of alcohol use and </w:t>
      </w:r>
      <w:r w:rsidR="00287FA3" w:rsidRPr="00FD4FB7">
        <w:rPr>
          <w:rFonts w:asciiTheme="minorHAnsi" w:hAnsiTheme="minorHAnsi" w:cstheme="minorHAnsi"/>
          <w:color w:val="000000" w:themeColor="text1"/>
          <w:sz w:val="22"/>
          <w:szCs w:val="22"/>
        </w:rPr>
        <w:t xml:space="preserve">had been drinking </w:t>
      </w:r>
      <w:r w:rsidR="00C373FB" w:rsidRPr="00FD4FB7">
        <w:rPr>
          <w:rFonts w:asciiTheme="minorHAnsi" w:hAnsiTheme="minorHAnsi" w:cstheme="minorHAnsi"/>
          <w:color w:val="000000" w:themeColor="text1"/>
          <w:sz w:val="22"/>
          <w:szCs w:val="22"/>
        </w:rPr>
        <w:t xml:space="preserve">at high risk/dependent levels </w:t>
      </w:r>
      <w:r w:rsidR="00287FA3" w:rsidRPr="00FD4FB7">
        <w:rPr>
          <w:rFonts w:asciiTheme="minorHAnsi" w:hAnsiTheme="minorHAnsi" w:cstheme="minorHAnsi"/>
          <w:color w:val="000000" w:themeColor="text1"/>
          <w:sz w:val="22"/>
          <w:szCs w:val="22"/>
        </w:rPr>
        <w:t xml:space="preserve">for much longer immediately </w:t>
      </w:r>
      <w:r w:rsidR="00C373FB" w:rsidRPr="00FD4FB7">
        <w:rPr>
          <w:rFonts w:asciiTheme="minorHAnsi" w:hAnsiTheme="minorHAnsi" w:cstheme="minorHAnsi"/>
          <w:color w:val="000000" w:themeColor="text1"/>
          <w:sz w:val="22"/>
          <w:szCs w:val="22"/>
        </w:rPr>
        <w:t xml:space="preserve">prior to admission. </w:t>
      </w:r>
    </w:p>
    <w:p w14:paraId="240E1091" w14:textId="040C00E8" w:rsidR="00BF7B49" w:rsidRPr="00FD4FB7" w:rsidRDefault="00C373FB" w:rsidP="006C7775">
      <w:pPr>
        <w:spacing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A</w:t>
      </w:r>
      <w:r w:rsidR="00CD5F24" w:rsidRPr="00FD4FB7">
        <w:rPr>
          <w:rFonts w:asciiTheme="minorHAnsi" w:hAnsiTheme="minorHAnsi" w:cstheme="minorHAnsi"/>
          <w:color w:val="000000" w:themeColor="text1"/>
          <w:sz w:val="22"/>
          <w:szCs w:val="22"/>
        </w:rPr>
        <w:t xml:space="preserve">t the time the audit was conducted, there were </w:t>
      </w:r>
      <w:r w:rsidRPr="00FD4FB7">
        <w:rPr>
          <w:rFonts w:asciiTheme="minorHAnsi" w:hAnsiTheme="minorHAnsi" w:cstheme="minorHAnsi"/>
          <w:color w:val="000000" w:themeColor="text1"/>
          <w:sz w:val="22"/>
          <w:szCs w:val="22"/>
        </w:rPr>
        <w:t xml:space="preserve">only 5 NHS specialist inpatient </w:t>
      </w:r>
      <w:r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Pr="00FD4FB7">
        <w:rPr>
          <w:rFonts w:asciiTheme="minorHAnsi" w:hAnsiTheme="minorHAnsi" w:cstheme="minorHAnsi"/>
          <w:color w:val="000000" w:themeColor="text1"/>
          <w:sz w:val="22"/>
          <w:szCs w:val="22"/>
        </w:rPr>
        <w:t xml:space="preserve"> units in Englan</w:t>
      </w:r>
      <w:r w:rsidR="00CD5F24" w:rsidRPr="00FD4FB7">
        <w:rPr>
          <w:rFonts w:asciiTheme="minorHAnsi" w:hAnsiTheme="minorHAnsi" w:cstheme="minorHAnsi"/>
          <w:color w:val="000000" w:themeColor="text1"/>
          <w:sz w:val="22"/>
          <w:szCs w:val="22"/>
        </w:rPr>
        <w:t xml:space="preserve">d. Such units </w:t>
      </w:r>
      <w:r w:rsidRPr="00FD4FB7">
        <w:rPr>
          <w:rFonts w:asciiTheme="minorHAnsi" w:hAnsiTheme="minorHAnsi" w:cstheme="minorHAnsi"/>
          <w:color w:val="000000" w:themeColor="text1"/>
          <w:sz w:val="22"/>
          <w:szCs w:val="22"/>
        </w:rPr>
        <w:t xml:space="preserve">are required to offer a supra-regional service; admitting patients from distant services can have an adverse impact on discharge planning. In contrast to those patients undergoing </w:t>
      </w:r>
      <w:r w:rsidRPr="00FD4FB7">
        <w:rPr>
          <w:rFonts w:asciiTheme="minorHAnsi" w:hAnsiTheme="minorHAnsi" w:cstheme="minorHAnsi"/>
          <w:color w:val="000000" w:themeColor="text1"/>
          <w:sz w:val="22"/>
          <w:szCs w:val="22"/>
        </w:rPr>
        <w:lastRenderedPageBreak/>
        <w:t>MAAW on acute adult wards, admissions to the specialist units were primarily planned (</w:t>
      </w:r>
      <w:r w:rsidR="002E2B94" w:rsidRPr="00FD4FB7">
        <w:rPr>
          <w:rFonts w:asciiTheme="minorHAnsi" w:hAnsiTheme="minorHAnsi" w:cstheme="minorHAnsi"/>
          <w:color w:val="000000" w:themeColor="text1"/>
          <w:sz w:val="22"/>
          <w:szCs w:val="22"/>
        </w:rPr>
        <w:t xml:space="preserve">in practice, this is </w:t>
      </w:r>
      <w:r w:rsidRPr="00FD4FB7">
        <w:rPr>
          <w:rFonts w:asciiTheme="minorHAnsi" w:hAnsiTheme="minorHAnsi" w:cstheme="minorHAnsi"/>
          <w:color w:val="000000" w:themeColor="text1"/>
          <w:sz w:val="22"/>
          <w:szCs w:val="22"/>
        </w:rPr>
        <w:t>often after a significant wait</w:t>
      </w:r>
      <w:proofErr w:type="gramStart"/>
      <w:r w:rsidRPr="00FD4FB7">
        <w:rPr>
          <w:rFonts w:asciiTheme="minorHAnsi" w:hAnsiTheme="minorHAnsi" w:cstheme="minorHAnsi"/>
          <w:color w:val="000000" w:themeColor="text1"/>
          <w:sz w:val="22"/>
          <w:szCs w:val="22"/>
        </w:rPr>
        <w:t>)</w:t>
      </w:r>
      <w:proofErr w:type="gramEnd"/>
      <w:r w:rsidRPr="00FD4FB7">
        <w:rPr>
          <w:rFonts w:asciiTheme="minorHAnsi" w:hAnsiTheme="minorHAnsi" w:cstheme="minorHAnsi"/>
          <w:color w:val="000000" w:themeColor="text1"/>
          <w:sz w:val="22"/>
          <w:szCs w:val="22"/>
        </w:rPr>
        <w:t xml:space="preserve"> and a primary diagnosis of alcohol dependence was much more common. Nevertheless, our findings suggest that the severity of alcohol dependence in patients admitted to acute mental health services is not significantly different from that seen in specialist units, and so similar skills are required to optimise outcomes.</w:t>
      </w:r>
      <w:r w:rsidR="00C87618" w:rsidRPr="00FD4FB7">
        <w:rPr>
          <w:rFonts w:asciiTheme="minorHAnsi" w:hAnsiTheme="minorHAnsi" w:cstheme="minorHAnsi"/>
          <w:color w:val="000000" w:themeColor="text1"/>
          <w:sz w:val="22"/>
          <w:szCs w:val="22"/>
        </w:rPr>
        <w:t xml:space="preserve"> </w:t>
      </w:r>
    </w:p>
    <w:p w14:paraId="7ED2C33E" w14:textId="77777777" w:rsidR="00CA47AD" w:rsidRPr="00FD4FB7" w:rsidRDefault="00CA47AD" w:rsidP="006C7775">
      <w:pPr>
        <w:spacing w:line="360" w:lineRule="auto"/>
        <w:rPr>
          <w:rFonts w:asciiTheme="minorHAnsi" w:hAnsiTheme="minorHAnsi" w:cstheme="minorHAnsi"/>
          <w:b/>
          <w:color w:val="000000" w:themeColor="text1"/>
          <w:sz w:val="22"/>
          <w:szCs w:val="22"/>
        </w:rPr>
      </w:pPr>
    </w:p>
    <w:p w14:paraId="6440B4F0" w14:textId="2F3E29B5" w:rsidR="006C7775" w:rsidRPr="00FD4FB7" w:rsidRDefault="006C7775" w:rsidP="006C7775">
      <w:pPr>
        <w:spacing w:line="360" w:lineRule="auto"/>
        <w:rPr>
          <w:rFonts w:asciiTheme="minorHAnsi" w:hAnsiTheme="minorHAnsi" w:cstheme="minorHAnsi"/>
          <w:b/>
          <w:color w:val="000000" w:themeColor="text1"/>
          <w:sz w:val="22"/>
          <w:szCs w:val="22"/>
        </w:rPr>
      </w:pPr>
      <w:r w:rsidRPr="00FD4FB7">
        <w:rPr>
          <w:rFonts w:asciiTheme="minorHAnsi" w:hAnsiTheme="minorHAnsi" w:cstheme="minorHAnsi"/>
          <w:b/>
          <w:color w:val="000000" w:themeColor="text1"/>
          <w:sz w:val="22"/>
          <w:szCs w:val="22"/>
        </w:rPr>
        <w:t>Why is breath alcohol rarely measured on acute wards before initiating medication for MAAW?</w:t>
      </w:r>
    </w:p>
    <w:p w14:paraId="2EC849A3" w14:textId="27CD5792" w:rsidR="00277650" w:rsidRPr="00FD4FB7" w:rsidRDefault="00D3257B" w:rsidP="006C7775">
      <w:pPr>
        <w:pStyle w:val="NoSpacing"/>
        <w:spacing w:after="200" w:line="360" w:lineRule="auto"/>
        <w:rPr>
          <w:rFonts w:cstheme="minorHAnsi"/>
        </w:rPr>
      </w:pPr>
      <w:r w:rsidRPr="00FD4FB7">
        <w:rPr>
          <w:rFonts w:cstheme="minorHAnsi"/>
        </w:rPr>
        <w:t>A measure of b</w:t>
      </w:r>
      <w:r w:rsidR="006C7775" w:rsidRPr="00FD4FB7">
        <w:rPr>
          <w:rFonts w:cstheme="minorHAnsi"/>
        </w:rPr>
        <w:t xml:space="preserve">reath alcohol </w:t>
      </w:r>
      <w:r w:rsidRPr="00FD4FB7">
        <w:rPr>
          <w:rFonts w:cstheme="minorHAnsi"/>
        </w:rPr>
        <w:t xml:space="preserve">is warranted for all patients before </w:t>
      </w:r>
      <w:r w:rsidR="006C7775" w:rsidRPr="00FD4FB7">
        <w:rPr>
          <w:rFonts w:cstheme="minorHAnsi"/>
        </w:rPr>
        <w:t>starting medication for MAAW</w:t>
      </w:r>
      <w:r w:rsidRPr="00FD4FB7">
        <w:rPr>
          <w:rFonts w:cstheme="minorHAnsi"/>
        </w:rPr>
        <w:t xml:space="preserve">. </w:t>
      </w:r>
      <w:r w:rsidR="007373DC" w:rsidRPr="00FD4FB7">
        <w:rPr>
          <w:rFonts w:cstheme="minorHAnsi"/>
        </w:rPr>
        <w:t xml:space="preserve">The rationale for this is two-fold: to provide reassurance that </w:t>
      </w:r>
      <w:r w:rsidR="00E805ED" w:rsidRPr="00FD4FB7">
        <w:rPr>
          <w:rFonts w:cstheme="minorHAnsi"/>
        </w:rPr>
        <w:t>breath alcohol</w:t>
      </w:r>
      <w:r w:rsidR="007373DC" w:rsidRPr="00FD4FB7">
        <w:rPr>
          <w:rFonts w:cstheme="minorHAnsi"/>
        </w:rPr>
        <w:t xml:space="preserve"> is falling prior to administering a benzodiazepine for MAAW (to avoid over-sedation and respiratory depression) and also to give an indication of the likely severity of alcohol withdrawal (</w:t>
      </w:r>
      <w:r w:rsidR="00FF1C99" w:rsidRPr="00FD4FB7">
        <w:rPr>
          <w:rFonts w:cstheme="minorHAnsi"/>
        </w:rPr>
        <w:t>for example,</w:t>
      </w:r>
      <w:r w:rsidR="007373DC" w:rsidRPr="00FD4FB7">
        <w:rPr>
          <w:rFonts w:cstheme="minorHAnsi"/>
        </w:rPr>
        <w:t xml:space="preserve"> if </w:t>
      </w:r>
      <w:r w:rsidR="00FF1C99" w:rsidRPr="00FD4FB7">
        <w:rPr>
          <w:rFonts w:cstheme="minorHAnsi"/>
        </w:rPr>
        <w:t>a</w:t>
      </w:r>
      <w:r w:rsidR="007373DC" w:rsidRPr="00FD4FB7">
        <w:rPr>
          <w:rFonts w:cstheme="minorHAnsi"/>
        </w:rPr>
        <w:t xml:space="preserve"> patient is already demonstrating significant symptoms of alcohol withdrawal despite still having high levels of alcohol in the breath/ blood</w:t>
      </w:r>
      <w:r w:rsidR="006C731E" w:rsidRPr="00FD4FB7">
        <w:rPr>
          <w:rFonts w:cstheme="minorHAnsi"/>
        </w:rPr>
        <w:t>,</w:t>
      </w:r>
      <w:r w:rsidR="00E805ED" w:rsidRPr="00FD4FB7">
        <w:rPr>
          <w:rFonts w:cstheme="minorHAnsi"/>
        </w:rPr>
        <w:t xml:space="preserve"> they are likely to be severely dependent</w:t>
      </w:r>
      <w:r w:rsidR="007373DC" w:rsidRPr="00FD4FB7">
        <w:rPr>
          <w:rFonts w:cstheme="minorHAnsi"/>
        </w:rPr>
        <w:t xml:space="preserve">). </w:t>
      </w:r>
    </w:p>
    <w:p w14:paraId="216A4F54" w14:textId="6C2F9082" w:rsidR="006C7775" w:rsidRPr="00FD4FB7" w:rsidRDefault="007373DC" w:rsidP="006C7775">
      <w:pPr>
        <w:pStyle w:val="NoSpacing"/>
        <w:spacing w:after="200" w:line="360" w:lineRule="auto"/>
        <w:rPr>
          <w:rFonts w:cstheme="minorHAnsi"/>
        </w:rPr>
      </w:pPr>
      <w:r w:rsidRPr="00FD4FB7">
        <w:rPr>
          <w:rFonts w:cstheme="minorHAnsi"/>
        </w:rPr>
        <w:t xml:space="preserve">While breath alcohol was </w:t>
      </w:r>
      <w:r w:rsidR="00D3257B" w:rsidRPr="00FD4FB7">
        <w:rPr>
          <w:rFonts w:cstheme="minorHAnsi"/>
        </w:rPr>
        <w:t>measure</w:t>
      </w:r>
      <w:r w:rsidRPr="00FD4FB7">
        <w:rPr>
          <w:rFonts w:cstheme="minorHAnsi"/>
        </w:rPr>
        <w:t>d</w:t>
      </w:r>
      <w:r w:rsidR="00D3257B" w:rsidRPr="00FD4FB7">
        <w:rPr>
          <w:rFonts w:cstheme="minorHAnsi"/>
        </w:rPr>
        <w:t xml:space="preserve"> </w:t>
      </w:r>
      <w:r w:rsidRPr="00FD4FB7">
        <w:rPr>
          <w:rFonts w:cstheme="minorHAnsi"/>
        </w:rPr>
        <w:t>in</w:t>
      </w:r>
      <w:r w:rsidR="00D3257B" w:rsidRPr="00FD4FB7">
        <w:rPr>
          <w:rFonts w:cstheme="minorHAnsi"/>
        </w:rPr>
        <w:t xml:space="preserve"> </w:t>
      </w:r>
      <w:r w:rsidR="006C7775" w:rsidRPr="00FD4FB7">
        <w:rPr>
          <w:rFonts w:cstheme="minorHAnsi"/>
        </w:rPr>
        <w:t>almost all patients on a specialist unit</w:t>
      </w:r>
      <w:r w:rsidR="00D3257B" w:rsidRPr="00FD4FB7">
        <w:rPr>
          <w:rFonts w:cstheme="minorHAnsi"/>
        </w:rPr>
        <w:t xml:space="preserve">, it was only </w:t>
      </w:r>
      <w:r w:rsidRPr="00FD4FB7">
        <w:rPr>
          <w:rFonts w:cstheme="minorHAnsi"/>
        </w:rPr>
        <w:t>measured in</w:t>
      </w:r>
      <w:r w:rsidR="00D3257B" w:rsidRPr="00FD4FB7">
        <w:rPr>
          <w:rFonts w:cstheme="minorHAnsi"/>
        </w:rPr>
        <w:t xml:space="preserve"> </w:t>
      </w:r>
      <w:r w:rsidR="006C7775" w:rsidRPr="00FD4FB7">
        <w:rPr>
          <w:rFonts w:cstheme="minorHAnsi"/>
        </w:rPr>
        <w:t>one in ten patients on an acute adult ward, irrespective of whether a specialist had been involved in their care or not. Th</w:t>
      </w:r>
      <w:r w:rsidRPr="00FD4FB7">
        <w:rPr>
          <w:rFonts w:cstheme="minorHAnsi"/>
        </w:rPr>
        <w:t xml:space="preserve">is may partly reflect </w:t>
      </w:r>
      <w:r w:rsidR="006C7775" w:rsidRPr="00FD4FB7">
        <w:rPr>
          <w:rFonts w:cstheme="minorHAnsi"/>
        </w:rPr>
        <w:t xml:space="preserve">that </w:t>
      </w:r>
      <w:proofErr w:type="gramStart"/>
      <w:r w:rsidR="006C7775" w:rsidRPr="00FD4FB7">
        <w:rPr>
          <w:rFonts w:cstheme="minorHAnsi"/>
        </w:rPr>
        <w:t>the vast majority of</w:t>
      </w:r>
      <w:proofErr w:type="gramEnd"/>
      <w:r w:rsidR="006C7775" w:rsidRPr="00FD4FB7">
        <w:rPr>
          <w:rFonts w:cstheme="minorHAnsi"/>
        </w:rPr>
        <w:t xml:space="preserve"> admissions to specialist units are</w:t>
      </w:r>
      <w:r w:rsidR="00742194" w:rsidRPr="00FD4FB7">
        <w:rPr>
          <w:rFonts w:cstheme="minorHAnsi"/>
        </w:rPr>
        <w:t xml:space="preserve"> planned,</w:t>
      </w:r>
      <w:r w:rsidR="006C7775" w:rsidRPr="00FD4FB7">
        <w:rPr>
          <w:rFonts w:cstheme="minorHAnsi"/>
        </w:rPr>
        <w:t xml:space="preserve"> and patients do not stop drinking prior to admission</w:t>
      </w:r>
      <w:r w:rsidR="003359D8" w:rsidRPr="00FD4FB7">
        <w:rPr>
          <w:rFonts w:cstheme="minorHAnsi"/>
        </w:rPr>
        <w:t>,</w:t>
      </w:r>
      <w:r w:rsidR="006C7775" w:rsidRPr="00FD4FB7">
        <w:rPr>
          <w:rFonts w:cstheme="minorHAnsi"/>
        </w:rPr>
        <w:t xml:space="preserve"> whereas for patients who are admitted to acute adult wards, MAAW will be an opportunistic </w:t>
      </w:r>
      <w:r w:rsidR="00EE13EB" w:rsidRPr="00FD4FB7">
        <w:rPr>
          <w:rFonts w:cstheme="minorHAnsi"/>
        </w:rPr>
        <w:t xml:space="preserve">but necessary </w:t>
      </w:r>
      <w:r w:rsidR="006C7775" w:rsidRPr="00FD4FB7">
        <w:rPr>
          <w:rFonts w:cstheme="minorHAnsi"/>
        </w:rPr>
        <w:t>intervention</w:t>
      </w:r>
      <w:r w:rsidR="007A66BA" w:rsidRPr="00FD4FB7">
        <w:rPr>
          <w:rFonts w:cstheme="minorHAnsi"/>
        </w:rPr>
        <w:t>.</w:t>
      </w:r>
      <w:r w:rsidR="006C7775" w:rsidRPr="00FD4FB7">
        <w:rPr>
          <w:rFonts w:cstheme="minorHAnsi"/>
        </w:rPr>
        <w:t xml:space="preserve"> </w:t>
      </w:r>
      <w:r w:rsidR="007231C1" w:rsidRPr="00FD4FB7">
        <w:rPr>
          <w:rFonts w:cstheme="minorHAnsi"/>
        </w:rPr>
        <w:t>T</w:t>
      </w:r>
      <w:r w:rsidR="006C7775" w:rsidRPr="00FD4FB7">
        <w:rPr>
          <w:rFonts w:cstheme="minorHAnsi"/>
        </w:rPr>
        <w:t xml:space="preserve">he former group may have high blood alcohol levels at the point of admission whereas the latter group are </w:t>
      </w:r>
      <w:r w:rsidRPr="00FD4FB7">
        <w:rPr>
          <w:rFonts w:cstheme="minorHAnsi"/>
        </w:rPr>
        <w:t xml:space="preserve">perhaps </w:t>
      </w:r>
      <w:r w:rsidR="006C7775" w:rsidRPr="00FD4FB7">
        <w:rPr>
          <w:rFonts w:cstheme="minorHAnsi"/>
        </w:rPr>
        <w:t xml:space="preserve">less likely to </w:t>
      </w:r>
      <w:r w:rsidRPr="00FD4FB7">
        <w:rPr>
          <w:rFonts w:cstheme="minorHAnsi"/>
        </w:rPr>
        <w:t xml:space="preserve">have high levels, </w:t>
      </w:r>
      <w:r w:rsidR="006C7775" w:rsidRPr="00FD4FB7">
        <w:rPr>
          <w:rFonts w:cstheme="minorHAnsi"/>
        </w:rPr>
        <w:t xml:space="preserve">having spent time in A&amp;E/triage/an assessment suite prior to arrival on the ward. </w:t>
      </w:r>
    </w:p>
    <w:p w14:paraId="3015B3BE" w14:textId="1CE508B0" w:rsidR="00813E51" w:rsidRPr="00FD4FB7" w:rsidRDefault="00813E51" w:rsidP="00813E51">
      <w:pPr>
        <w:pStyle w:val="NoSpacing"/>
        <w:spacing w:after="200" w:line="360" w:lineRule="auto"/>
        <w:rPr>
          <w:rFonts w:cstheme="minorHAnsi"/>
        </w:rPr>
      </w:pPr>
      <w:r w:rsidRPr="00FD4FB7">
        <w:rPr>
          <w:rFonts w:cstheme="minorHAnsi"/>
        </w:rPr>
        <w:t>Other potential reasons for the low use of breathalysers on acute wards are that these devices, even though they should be considered as part of the essential ward medical equipment, may not be available and/or regularly calibrated and checked. Further, staff may not have received training in the use of breathalysers and may see the use of these devices as having a policing and not medical role, with a positive test being possible grounds for the discharge of a patient for breaking ward rules rather than offering medical support.</w:t>
      </w:r>
    </w:p>
    <w:p w14:paraId="577394EC" w14:textId="77777777" w:rsidR="00952E40" w:rsidRPr="00FD4FB7" w:rsidRDefault="00952E40" w:rsidP="00163B96">
      <w:pPr>
        <w:pStyle w:val="NoSpacing"/>
        <w:rPr>
          <w:rFonts w:cstheme="minorHAnsi"/>
          <w:b/>
          <w:bCs/>
        </w:rPr>
      </w:pPr>
    </w:p>
    <w:p w14:paraId="6E41BC51" w14:textId="01F91E9F" w:rsidR="00163B96" w:rsidRPr="00FD4FB7" w:rsidRDefault="00317321" w:rsidP="00B12707">
      <w:pPr>
        <w:pStyle w:val="NoSpacing"/>
        <w:rPr>
          <w:rFonts w:cstheme="minorHAnsi"/>
          <w:b/>
          <w:bCs/>
        </w:rPr>
      </w:pPr>
      <w:r w:rsidRPr="00FD4FB7">
        <w:rPr>
          <w:rFonts w:cstheme="minorHAnsi"/>
          <w:b/>
          <w:bCs/>
        </w:rPr>
        <w:t>Why might screening for the signs and symptoms of Wernicke’s encephalopathy and the prescription of parenteral thiamine in patients receiving MAAW on acute wards not be standard practice?</w:t>
      </w:r>
    </w:p>
    <w:p w14:paraId="4D186A2A" w14:textId="77777777" w:rsidR="00784531" w:rsidRPr="00FD4FB7" w:rsidRDefault="00784531" w:rsidP="00B12707">
      <w:pPr>
        <w:pStyle w:val="NoSpacing"/>
        <w:rPr>
          <w:rFonts w:cstheme="minorHAnsi"/>
          <w:b/>
          <w:bCs/>
        </w:rPr>
      </w:pPr>
    </w:p>
    <w:p w14:paraId="03A418B7" w14:textId="1DC0431A" w:rsidR="00646406" w:rsidRPr="00FD4FB7" w:rsidRDefault="001B5C28" w:rsidP="002E2B94">
      <w:pPr>
        <w:spacing w:after="160" w:line="360" w:lineRule="auto"/>
        <w:rPr>
          <w:rFonts w:asciiTheme="minorHAnsi" w:hAnsiTheme="minorHAnsi" w:cstheme="minorHAnsi"/>
          <w:bCs/>
          <w:color w:val="000000" w:themeColor="text1"/>
          <w:sz w:val="22"/>
          <w:szCs w:val="22"/>
        </w:rPr>
      </w:pPr>
      <w:r w:rsidRPr="00FD4FB7">
        <w:rPr>
          <w:rFonts w:asciiTheme="minorHAnsi" w:hAnsiTheme="minorHAnsi" w:cstheme="minorHAnsi"/>
          <w:bCs/>
          <w:color w:val="000000" w:themeColor="text1"/>
          <w:sz w:val="22"/>
          <w:szCs w:val="22"/>
        </w:rPr>
        <w:t>In contrast to those patients admitted to a specialist unit</w:t>
      </w:r>
      <w:r w:rsidR="002B7D40" w:rsidRPr="00FD4FB7">
        <w:rPr>
          <w:rFonts w:asciiTheme="minorHAnsi" w:hAnsiTheme="minorHAnsi" w:cstheme="minorHAnsi"/>
          <w:bCs/>
          <w:color w:val="000000" w:themeColor="text1"/>
          <w:sz w:val="22"/>
          <w:szCs w:val="22"/>
        </w:rPr>
        <w:t xml:space="preserve">, </w:t>
      </w:r>
      <w:r w:rsidR="004113B4" w:rsidRPr="00FD4FB7">
        <w:rPr>
          <w:rFonts w:asciiTheme="minorHAnsi" w:hAnsiTheme="minorHAnsi" w:cstheme="minorHAnsi"/>
          <w:bCs/>
          <w:color w:val="000000" w:themeColor="text1"/>
          <w:sz w:val="22"/>
          <w:szCs w:val="22"/>
        </w:rPr>
        <w:t>for whom</w:t>
      </w:r>
      <w:r w:rsidRPr="00FD4FB7">
        <w:rPr>
          <w:rFonts w:asciiTheme="minorHAnsi" w:hAnsiTheme="minorHAnsi" w:cstheme="minorHAnsi"/>
          <w:bCs/>
          <w:color w:val="000000" w:themeColor="text1"/>
          <w:sz w:val="22"/>
          <w:szCs w:val="22"/>
        </w:rPr>
        <w:t xml:space="preserve"> the number of units of alcohol consumed daily was documented in </w:t>
      </w:r>
      <w:proofErr w:type="gramStart"/>
      <w:r w:rsidR="00640171" w:rsidRPr="00FD4FB7">
        <w:rPr>
          <w:rFonts w:asciiTheme="minorHAnsi" w:hAnsiTheme="minorHAnsi" w:cstheme="minorHAnsi"/>
          <w:bCs/>
          <w:color w:val="000000" w:themeColor="text1"/>
          <w:sz w:val="22"/>
          <w:szCs w:val="22"/>
        </w:rPr>
        <w:t>the vast majority of</w:t>
      </w:r>
      <w:proofErr w:type="gramEnd"/>
      <w:r w:rsidR="00640171" w:rsidRPr="00FD4FB7">
        <w:rPr>
          <w:rFonts w:asciiTheme="minorHAnsi" w:hAnsiTheme="minorHAnsi" w:cstheme="minorHAnsi"/>
          <w:bCs/>
          <w:color w:val="000000" w:themeColor="text1"/>
          <w:sz w:val="22"/>
          <w:szCs w:val="22"/>
        </w:rPr>
        <w:t xml:space="preserve"> </w:t>
      </w:r>
      <w:r w:rsidRPr="00FD4FB7">
        <w:rPr>
          <w:rFonts w:asciiTheme="minorHAnsi" w:hAnsiTheme="minorHAnsi" w:cstheme="minorHAnsi"/>
          <w:bCs/>
          <w:color w:val="000000" w:themeColor="text1"/>
          <w:sz w:val="22"/>
          <w:szCs w:val="22"/>
        </w:rPr>
        <w:t xml:space="preserve">cases, </w:t>
      </w:r>
      <w:r w:rsidR="007231C1" w:rsidRPr="00FD4FB7">
        <w:rPr>
          <w:rFonts w:asciiTheme="minorHAnsi" w:hAnsiTheme="minorHAnsi" w:cstheme="minorHAnsi"/>
          <w:bCs/>
          <w:color w:val="000000" w:themeColor="text1"/>
          <w:sz w:val="22"/>
          <w:szCs w:val="22"/>
        </w:rPr>
        <w:t xml:space="preserve">this was the case in just less than half of </w:t>
      </w:r>
      <w:r w:rsidR="00AF63FF" w:rsidRPr="00FD4FB7">
        <w:rPr>
          <w:rFonts w:asciiTheme="minorHAnsi" w:hAnsiTheme="minorHAnsi" w:cstheme="minorHAnsi"/>
          <w:bCs/>
          <w:color w:val="000000" w:themeColor="text1"/>
          <w:sz w:val="22"/>
          <w:szCs w:val="22"/>
        </w:rPr>
        <w:t xml:space="preserve">the </w:t>
      </w:r>
      <w:r w:rsidRPr="00FD4FB7">
        <w:rPr>
          <w:rFonts w:asciiTheme="minorHAnsi" w:hAnsiTheme="minorHAnsi" w:cstheme="minorHAnsi"/>
          <w:bCs/>
          <w:color w:val="000000" w:themeColor="text1"/>
          <w:sz w:val="22"/>
          <w:szCs w:val="22"/>
        </w:rPr>
        <w:t>patients who underwent MAAW on an acute adult psychiatric ward</w:t>
      </w:r>
      <w:r w:rsidR="009E4E0C" w:rsidRPr="00FD4FB7">
        <w:rPr>
          <w:rFonts w:asciiTheme="minorHAnsi" w:hAnsiTheme="minorHAnsi" w:cstheme="minorHAnsi"/>
          <w:bCs/>
          <w:color w:val="000000" w:themeColor="text1"/>
          <w:sz w:val="22"/>
          <w:szCs w:val="22"/>
        </w:rPr>
        <w:t xml:space="preserve">/PICU, despite evidence of </w:t>
      </w:r>
      <w:r w:rsidR="009E4E0C" w:rsidRPr="00FD4FB7">
        <w:rPr>
          <w:rFonts w:asciiTheme="minorHAnsi" w:hAnsiTheme="minorHAnsi" w:cstheme="minorHAnsi"/>
          <w:bCs/>
          <w:color w:val="000000" w:themeColor="text1"/>
          <w:sz w:val="22"/>
          <w:szCs w:val="22"/>
        </w:rPr>
        <w:lastRenderedPageBreak/>
        <w:t xml:space="preserve">the availability of information on the nature and quantity of alcoholic drinks consumed in a </w:t>
      </w:r>
      <w:r w:rsidR="00640171" w:rsidRPr="00FD4FB7">
        <w:rPr>
          <w:rFonts w:asciiTheme="minorHAnsi" w:hAnsiTheme="minorHAnsi" w:cstheme="minorHAnsi"/>
          <w:bCs/>
          <w:color w:val="000000" w:themeColor="text1"/>
          <w:sz w:val="22"/>
          <w:szCs w:val="22"/>
        </w:rPr>
        <w:t>greater proportion.</w:t>
      </w:r>
      <w:r w:rsidR="009E4E0C" w:rsidRPr="00FD4FB7">
        <w:rPr>
          <w:rFonts w:asciiTheme="minorHAnsi" w:hAnsiTheme="minorHAnsi" w:cstheme="minorHAnsi"/>
          <w:bCs/>
          <w:color w:val="000000" w:themeColor="text1"/>
          <w:sz w:val="22"/>
          <w:szCs w:val="22"/>
        </w:rPr>
        <w:t xml:space="preserve"> These findings suggest a lack of confidence in calculating the number of units consumed and are </w:t>
      </w:r>
      <w:r w:rsidR="00263FC5" w:rsidRPr="00FD4FB7">
        <w:rPr>
          <w:rFonts w:asciiTheme="minorHAnsi" w:hAnsiTheme="minorHAnsi" w:cstheme="minorHAnsi"/>
          <w:bCs/>
          <w:color w:val="000000" w:themeColor="text1"/>
          <w:sz w:val="22"/>
          <w:szCs w:val="22"/>
        </w:rPr>
        <w:t xml:space="preserve">consistent with the poor knowledge of the alcohol content of commonly consumed alcoholic drinks identified in </w:t>
      </w:r>
      <w:r w:rsidRPr="00FD4FB7">
        <w:rPr>
          <w:rFonts w:asciiTheme="minorHAnsi" w:hAnsiTheme="minorHAnsi" w:cstheme="minorHAnsi"/>
          <w:bCs/>
          <w:color w:val="000000" w:themeColor="text1"/>
          <w:sz w:val="22"/>
          <w:szCs w:val="22"/>
        </w:rPr>
        <w:t>UK stud</w:t>
      </w:r>
      <w:r w:rsidR="00943227" w:rsidRPr="00FD4FB7">
        <w:rPr>
          <w:rFonts w:asciiTheme="minorHAnsi" w:hAnsiTheme="minorHAnsi" w:cstheme="minorHAnsi"/>
          <w:bCs/>
          <w:color w:val="000000" w:themeColor="text1"/>
          <w:sz w:val="22"/>
          <w:szCs w:val="22"/>
        </w:rPr>
        <w:t xml:space="preserve">ies </w:t>
      </w:r>
      <w:r w:rsidRPr="00FD4FB7">
        <w:rPr>
          <w:rFonts w:asciiTheme="minorHAnsi" w:hAnsiTheme="minorHAnsi" w:cstheme="minorHAnsi"/>
          <w:bCs/>
          <w:color w:val="000000" w:themeColor="text1"/>
          <w:sz w:val="22"/>
          <w:szCs w:val="22"/>
        </w:rPr>
        <w:t>of student health professionals</w:t>
      </w:r>
      <w:r w:rsidR="00943227" w:rsidRPr="00FD4FB7">
        <w:rPr>
          <w:rFonts w:asciiTheme="minorHAnsi" w:hAnsiTheme="minorHAnsi" w:cstheme="minorHAnsi"/>
          <w:bCs/>
          <w:color w:val="000000" w:themeColor="text1"/>
          <w:sz w:val="22"/>
          <w:szCs w:val="22"/>
        </w:rPr>
        <w:t xml:space="preserve"> and </w:t>
      </w:r>
      <w:r w:rsidR="00372712" w:rsidRPr="00FD4FB7">
        <w:rPr>
          <w:rFonts w:asciiTheme="minorHAnsi" w:hAnsiTheme="minorHAnsi" w:cstheme="minorHAnsi"/>
          <w:bCs/>
          <w:color w:val="000000" w:themeColor="text1"/>
          <w:sz w:val="22"/>
          <w:szCs w:val="22"/>
        </w:rPr>
        <w:t>trainee</w:t>
      </w:r>
      <w:r w:rsidR="003357D3" w:rsidRPr="00FD4FB7">
        <w:rPr>
          <w:rFonts w:asciiTheme="minorHAnsi" w:hAnsiTheme="minorHAnsi" w:cstheme="minorHAnsi"/>
          <w:bCs/>
          <w:color w:val="000000" w:themeColor="text1"/>
          <w:sz w:val="22"/>
          <w:szCs w:val="22"/>
        </w:rPr>
        <w:t xml:space="preserve"> doctors</w:t>
      </w:r>
      <w:r w:rsidR="0079726A" w:rsidRPr="00FD4FB7">
        <w:rPr>
          <w:rFonts w:asciiTheme="minorHAnsi" w:hAnsiTheme="minorHAnsi" w:cstheme="minorHAnsi"/>
          <w:bCs/>
          <w:color w:val="000000" w:themeColor="text1"/>
          <w:sz w:val="22"/>
          <w:szCs w:val="22"/>
        </w:rPr>
        <w:t xml:space="preserve"> </w:t>
      </w:r>
      <w:r w:rsidR="00BC343B" w:rsidRPr="00FD4FB7">
        <w:rPr>
          <w:rFonts w:asciiTheme="minorHAnsi" w:hAnsiTheme="minorHAnsi" w:cs="Calibri (Body)"/>
          <w:bCs/>
          <w:color w:val="000000" w:themeColor="text1"/>
          <w:sz w:val="22"/>
          <w:szCs w:val="22"/>
          <w:vertAlign w:val="superscript"/>
        </w:rPr>
        <w:t>20,21</w:t>
      </w:r>
      <w:r w:rsidR="009963F1" w:rsidRPr="00FD4FB7">
        <w:rPr>
          <w:rFonts w:asciiTheme="minorHAnsi" w:hAnsiTheme="minorHAnsi" w:cstheme="minorHAnsi"/>
          <w:bCs/>
          <w:color w:val="000000" w:themeColor="text1"/>
          <w:sz w:val="22"/>
          <w:szCs w:val="22"/>
        </w:rPr>
        <w:t xml:space="preserve">: </w:t>
      </w:r>
      <w:proofErr w:type="gramStart"/>
      <w:r w:rsidR="00263FC5" w:rsidRPr="00FD4FB7">
        <w:rPr>
          <w:rFonts w:asciiTheme="minorHAnsi" w:hAnsiTheme="minorHAnsi" w:cstheme="minorHAnsi"/>
          <w:bCs/>
          <w:color w:val="000000" w:themeColor="text1"/>
          <w:sz w:val="22"/>
          <w:szCs w:val="22"/>
        </w:rPr>
        <w:t>the majority of</w:t>
      </w:r>
      <w:proofErr w:type="gramEnd"/>
      <w:r w:rsidR="00263FC5" w:rsidRPr="00FD4FB7">
        <w:rPr>
          <w:rFonts w:asciiTheme="minorHAnsi" w:hAnsiTheme="minorHAnsi" w:cstheme="minorHAnsi"/>
          <w:bCs/>
          <w:color w:val="000000" w:themeColor="text1"/>
          <w:sz w:val="22"/>
          <w:szCs w:val="22"/>
        </w:rPr>
        <w:t xml:space="preserve"> respondents underestimated the number of units contained in wine and </w:t>
      </w:r>
      <w:r w:rsidR="009E5229" w:rsidRPr="00FD4FB7">
        <w:rPr>
          <w:rFonts w:asciiTheme="minorHAnsi" w:hAnsiTheme="minorHAnsi" w:cstheme="minorHAnsi"/>
          <w:bCs/>
          <w:color w:val="000000" w:themeColor="text1"/>
          <w:sz w:val="22"/>
          <w:szCs w:val="22"/>
        </w:rPr>
        <w:t>premium strength beers</w:t>
      </w:r>
      <w:r w:rsidR="009963F1" w:rsidRPr="00FD4FB7">
        <w:rPr>
          <w:rFonts w:asciiTheme="minorHAnsi" w:hAnsiTheme="minorHAnsi" w:cstheme="minorHAnsi"/>
          <w:bCs/>
          <w:color w:val="000000" w:themeColor="text1"/>
          <w:sz w:val="22"/>
          <w:szCs w:val="22"/>
        </w:rPr>
        <w:t>.</w:t>
      </w:r>
      <w:r w:rsidR="00E95CA3" w:rsidRPr="00FD4FB7">
        <w:rPr>
          <w:rFonts w:asciiTheme="minorHAnsi" w:hAnsiTheme="minorHAnsi" w:cstheme="minorHAnsi"/>
          <w:bCs/>
          <w:color w:val="000000" w:themeColor="text1"/>
          <w:sz w:val="22"/>
          <w:szCs w:val="22"/>
        </w:rPr>
        <w:t xml:space="preserve"> Thus, i</w:t>
      </w:r>
      <w:r w:rsidR="003A4C96" w:rsidRPr="00FD4FB7">
        <w:rPr>
          <w:rFonts w:asciiTheme="minorHAnsi" w:hAnsiTheme="minorHAnsi" w:cstheme="minorHAnsi"/>
          <w:bCs/>
          <w:color w:val="000000" w:themeColor="text1"/>
          <w:sz w:val="22"/>
          <w:szCs w:val="22"/>
        </w:rPr>
        <w:t xml:space="preserve">n </w:t>
      </w:r>
      <w:r w:rsidR="009963F1" w:rsidRPr="00FD4FB7">
        <w:rPr>
          <w:rFonts w:asciiTheme="minorHAnsi" w:hAnsiTheme="minorHAnsi" w:cstheme="minorHAnsi"/>
          <w:bCs/>
          <w:color w:val="000000" w:themeColor="text1"/>
          <w:sz w:val="22"/>
          <w:szCs w:val="22"/>
        </w:rPr>
        <w:t xml:space="preserve">clinical </w:t>
      </w:r>
      <w:r w:rsidR="003A4C96" w:rsidRPr="00FD4FB7">
        <w:rPr>
          <w:rFonts w:asciiTheme="minorHAnsi" w:hAnsiTheme="minorHAnsi" w:cstheme="minorHAnsi"/>
          <w:bCs/>
          <w:color w:val="000000" w:themeColor="text1"/>
          <w:sz w:val="22"/>
          <w:szCs w:val="22"/>
        </w:rPr>
        <w:t>practice, f</w:t>
      </w:r>
      <w:r w:rsidR="00CC3F9D" w:rsidRPr="00FD4FB7">
        <w:rPr>
          <w:rFonts w:asciiTheme="minorHAnsi" w:hAnsiTheme="minorHAnsi" w:cstheme="minorHAnsi"/>
          <w:bCs/>
          <w:color w:val="000000" w:themeColor="text1"/>
          <w:sz w:val="22"/>
          <w:szCs w:val="22"/>
        </w:rPr>
        <w:t xml:space="preserve">ailure to </w:t>
      </w:r>
      <w:r w:rsidR="009963F1" w:rsidRPr="00FD4FB7">
        <w:rPr>
          <w:rFonts w:asciiTheme="minorHAnsi" w:hAnsiTheme="minorHAnsi" w:cstheme="minorHAnsi"/>
          <w:bCs/>
          <w:color w:val="000000" w:themeColor="text1"/>
          <w:sz w:val="22"/>
          <w:szCs w:val="22"/>
        </w:rPr>
        <w:t xml:space="preserve">accurately </w:t>
      </w:r>
      <w:r w:rsidR="00CC3F9D" w:rsidRPr="00FD4FB7">
        <w:rPr>
          <w:rFonts w:asciiTheme="minorHAnsi" w:hAnsiTheme="minorHAnsi" w:cstheme="minorHAnsi"/>
          <w:bCs/>
          <w:color w:val="000000" w:themeColor="text1"/>
          <w:sz w:val="22"/>
          <w:szCs w:val="22"/>
        </w:rPr>
        <w:t xml:space="preserve">quantify the daily alcohol intake </w:t>
      </w:r>
      <w:r w:rsidR="003A4C96" w:rsidRPr="00FD4FB7">
        <w:rPr>
          <w:rFonts w:asciiTheme="minorHAnsi" w:hAnsiTheme="minorHAnsi" w:cstheme="minorHAnsi"/>
          <w:bCs/>
          <w:color w:val="000000" w:themeColor="text1"/>
          <w:sz w:val="22"/>
          <w:szCs w:val="22"/>
        </w:rPr>
        <w:t>could</w:t>
      </w:r>
      <w:r w:rsidR="00CC3F9D" w:rsidRPr="00FD4FB7">
        <w:rPr>
          <w:rFonts w:asciiTheme="minorHAnsi" w:hAnsiTheme="minorHAnsi" w:cstheme="minorHAnsi"/>
          <w:bCs/>
          <w:color w:val="000000" w:themeColor="text1"/>
          <w:sz w:val="22"/>
          <w:szCs w:val="22"/>
        </w:rPr>
        <w:t xml:space="preserve"> </w:t>
      </w:r>
      <w:r w:rsidR="009E5229" w:rsidRPr="00FD4FB7">
        <w:rPr>
          <w:rFonts w:asciiTheme="minorHAnsi" w:hAnsiTheme="minorHAnsi" w:cstheme="minorHAnsi"/>
          <w:bCs/>
          <w:color w:val="000000" w:themeColor="text1"/>
          <w:sz w:val="22"/>
          <w:szCs w:val="22"/>
        </w:rPr>
        <w:t>lead</w:t>
      </w:r>
      <w:r w:rsidR="00421F79" w:rsidRPr="00FD4FB7">
        <w:rPr>
          <w:rFonts w:asciiTheme="minorHAnsi" w:hAnsiTheme="minorHAnsi" w:cstheme="minorHAnsi"/>
          <w:bCs/>
          <w:color w:val="000000" w:themeColor="text1"/>
          <w:sz w:val="22"/>
          <w:szCs w:val="22"/>
        </w:rPr>
        <w:t>, in some cases,</w:t>
      </w:r>
      <w:r w:rsidR="009E5229" w:rsidRPr="00FD4FB7">
        <w:rPr>
          <w:rFonts w:asciiTheme="minorHAnsi" w:hAnsiTheme="minorHAnsi" w:cstheme="minorHAnsi"/>
          <w:bCs/>
          <w:color w:val="000000" w:themeColor="text1"/>
          <w:sz w:val="22"/>
          <w:szCs w:val="22"/>
        </w:rPr>
        <w:t xml:space="preserve"> to </w:t>
      </w:r>
      <w:r w:rsidR="003A4C96" w:rsidRPr="00FD4FB7">
        <w:rPr>
          <w:rFonts w:asciiTheme="minorHAnsi" w:hAnsiTheme="minorHAnsi" w:cstheme="minorHAnsi"/>
          <w:bCs/>
          <w:color w:val="000000" w:themeColor="text1"/>
          <w:sz w:val="22"/>
          <w:szCs w:val="22"/>
        </w:rPr>
        <w:t xml:space="preserve">an </w:t>
      </w:r>
      <w:r w:rsidR="009E5229" w:rsidRPr="00FD4FB7">
        <w:rPr>
          <w:rFonts w:asciiTheme="minorHAnsi" w:hAnsiTheme="minorHAnsi" w:cstheme="minorHAnsi"/>
          <w:bCs/>
          <w:color w:val="000000" w:themeColor="text1"/>
          <w:sz w:val="22"/>
          <w:szCs w:val="22"/>
        </w:rPr>
        <w:t xml:space="preserve">underestimation of </w:t>
      </w:r>
      <w:r w:rsidR="003A4C96" w:rsidRPr="00FD4FB7">
        <w:rPr>
          <w:rFonts w:asciiTheme="minorHAnsi" w:hAnsiTheme="minorHAnsi" w:cstheme="minorHAnsi"/>
          <w:bCs/>
          <w:color w:val="000000" w:themeColor="text1"/>
          <w:sz w:val="22"/>
          <w:szCs w:val="22"/>
        </w:rPr>
        <w:t xml:space="preserve">current alcohol use </w:t>
      </w:r>
      <w:r w:rsidR="00263FC5" w:rsidRPr="00FD4FB7">
        <w:rPr>
          <w:rFonts w:asciiTheme="minorHAnsi" w:hAnsiTheme="minorHAnsi" w:cstheme="minorHAnsi"/>
          <w:bCs/>
          <w:color w:val="000000" w:themeColor="text1"/>
          <w:sz w:val="22"/>
          <w:szCs w:val="22"/>
        </w:rPr>
        <w:t>and</w:t>
      </w:r>
      <w:r w:rsidR="00AF4870" w:rsidRPr="00FD4FB7">
        <w:rPr>
          <w:rFonts w:asciiTheme="minorHAnsi" w:hAnsiTheme="minorHAnsi" w:cstheme="minorHAnsi"/>
          <w:bCs/>
          <w:color w:val="000000" w:themeColor="text1"/>
          <w:sz w:val="22"/>
          <w:szCs w:val="22"/>
        </w:rPr>
        <w:t>,</w:t>
      </w:r>
      <w:r w:rsidR="00263FC5" w:rsidRPr="00FD4FB7">
        <w:rPr>
          <w:rFonts w:asciiTheme="minorHAnsi" w:hAnsiTheme="minorHAnsi" w:cstheme="minorHAnsi"/>
          <w:bCs/>
          <w:color w:val="000000" w:themeColor="text1"/>
          <w:sz w:val="22"/>
          <w:szCs w:val="22"/>
        </w:rPr>
        <w:t xml:space="preserve"> </w:t>
      </w:r>
      <w:r w:rsidR="00AF4870" w:rsidRPr="00FD4FB7">
        <w:rPr>
          <w:rFonts w:asciiTheme="minorHAnsi" w:hAnsiTheme="minorHAnsi" w:cstheme="minorHAnsi"/>
          <w:bCs/>
          <w:color w:val="000000" w:themeColor="text1"/>
          <w:sz w:val="22"/>
          <w:szCs w:val="22"/>
        </w:rPr>
        <w:t xml:space="preserve">consequently, an underestimation of </w:t>
      </w:r>
      <w:r w:rsidR="00263FC5" w:rsidRPr="00FD4FB7">
        <w:rPr>
          <w:rFonts w:asciiTheme="minorHAnsi" w:hAnsiTheme="minorHAnsi" w:cstheme="minorHAnsi"/>
          <w:bCs/>
          <w:color w:val="000000" w:themeColor="text1"/>
          <w:sz w:val="22"/>
          <w:szCs w:val="22"/>
        </w:rPr>
        <w:t>the risk</w:t>
      </w:r>
      <w:r w:rsidR="00C032B9" w:rsidRPr="00FD4FB7">
        <w:rPr>
          <w:rFonts w:asciiTheme="minorHAnsi" w:hAnsiTheme="minorHAnsi" w:cstheme="minorHAnsi"/>
          <w:bCs/>
          <w:color w:val="000000" w:themeColor="text1"/>
          <w:sz w:val="22"/>
          <w:szCs w:val="22"/>
        </w:rPr>
        <w:t>s of alcohol withdrawal</w:t>
      </w:r>
      <w:r w:rsidR="009D0DCD" w:rsidRPr="00FD4FB7">
        <w:rPr>
          <w:rFonts w:asciiTheme="minorHAnsi" w:hAnsiTheme="minorHAnsi" w:cstheme="minorHAnsi"/>
          <w:bCs/>
          <w:color w:val="000000" w:themeColor="text1"/>
          <w:sz w:val="22"/>
          <w:szCs w:val="22"/>
        </w:rPr>
        <w:t>,</w:t>
      </w:r>
      <w:r w:rsidR="00C032B9" w:rsidRPr="00FD4FB7">
        <w:rPr>
          <w:rFonts w:asciiTheme="minorHAnsi" w:hAnsiTheme="minorHAnsi" w:cstheme="minorHAnsi"/>
          <w:bCs/>
          <w:color w:val="000000" w:themeColor="text1"/>
          <w:sz w:val="22"/>
          <w:szCs w:val="22"/>
        </w:rPr>
        <w:t xml:space="preserve"> including </w:t>
      </w:r>
      <w:r w:rsidR="00603B59" w:rsidRPr="00FD4FB7">
        <w:rPr>
          <w:rFonts w:asciiTheme="minorHAnsi" w:hAnsiTheme="minorHAnsi" w:cstheme="minorHAnsi"/>
          <w:bCs/>
          <w:color w:val="000000" w:themeColor="text1"/>
          <w:sz w:val="22"/>
          <w:szCs w:val="22"/>
        </w:rPr>
        <w:t xml:space="preserve">the development of </w:t>
      </w:r>
      <w:r w:rsidR="00263FC5" w:rsidRPr="00FD4FB7">
        <w:rPr>
          <w:rFonts w:asciiTheme="minorHAnsi" w:hAnsiTheme="minorHAnsi" w:cstheme="minorHAnsi"/>
          <w:bCs/>
          <w:color w:val="000000" w:themeColor="text1"/>
          <w:sz w:val="22"/>
          <w:szCs w:val="22"/>
        </w:rPr>
        <w:t>Wernicke’s encephalopathy.</w:t>
      </w:r>
    </w:p>
    <w:p w14:paraId="5ED32791" w14:textId="77777777" w:rsidR="009D0DCD" w:rsidRPr="00FD4FB7" w:rsidRDefault="009D0DCD" w:rsidP="009D0DCD">
      <w:pPr>
        <w:rPr>
          <w:rFonts w:asciiTheme="minorHAnsi" w:hAnsiTheme="minorHAnsi" w:cstheme="minorHAnsi"/>
          <w:color w:val="5B616B"/>
          <w:sz w:val="22"/>
          <w:szCs w:val="22"/>
        </w:rPr>
      </w:pPr>
    </w:p>
    <w:p w14:paraId="6000763A" w14:textId="32B73263" w:rsidR="002E2B94" w:rsidRPr="00FD4FB7" w:rsidRDefault="002E2B94" w:rsidP="00191813">
      <w:pPr>
        <w:spacing w:after="160" w:line="360" w:lineRule="auto"/>
        <w:rPr>
          <w:rFonts w:asciiTheme="minorHAnsi" w:hAnsiTheme="minorHAnsi" w:cstheme="minorHAnsi"/>
          <w:color w:val="000000" w:themeColor="text1"/>
          <w:sz w:val="22"/>
          <w:szCs w:val="22"/>
        </w:rPr>
      </w:pPr>
      <w:r w:rsidRPr="00FD4FB7">
        <w:rPr>
          <w:rFonts w:asciiTheme="minorHAnsi" w:hAnsiTheme="minorHAnsi" w:cstheme="minorHAnsi"/>
          <w:bCs/>
          <w:color w:val="000000" w:themeColor="text1"/>
          <w:sz w:val="22"/>
          <w:szCs w:val="22"/>
        </w:rPr>
        <w:t xml:space="preserve">Documented assessment of the signs of </w:t>
      </w:r>
      <w:r w:rsidRPr="00FD4FB7">
        <w:rPr>
          <w:rFonts w:asciiTheme="minorHAnsi" w:hAnsiTheme="minorHAnsi" w:cstheme="minorHAnsi"/>
          <w:color w:val="000000" w:themeColor="text1"/>
          <w:sz w:val="22"/>
          <w:szCs w:val="22"/>
        </w:rPr>
        <w:t>Wernicke’s encephalopathy</w:t>
      </w:r>
      <w:r w:rsidRPr="00FD4FB7" w:rsidDel="00592B9E">
        <w:rPr>
          <w:rFonts w:asciiTheme="minorHAnsi" w:hAnsiTheme="minorHAnsi" w:cstheme="minorHAnsi"/>
          <w:bCs/>
          <w:color w:val="000000" w:themeColor="text1"/>
          <w:sz w:val="22"/>
          <w:szCs w:val="22"/>
        </w:rPr>
        <w:t xml:space="preserve"> </w:t>
      </w:r>
      <w:r w:rsidRPr="00FD4FB7">
        <w:rPr>
          <w:rFonts w:asciiTheme="minorHAnsi" w:hAnsiTheme="minorHAnsi" w:cstheme="minorHAnsi"/>
          <w:bCs/>
          <w:color w:val="000000" w:themeColor="text1"/>
          <w:sz w:val="22"/>
          <w:szCs w:val="22"/>
        </w:rPr>
        <w:t>and the prescription of parenteral thiamine</w:t>
      </w:r>
      <w:r w:rsidRPr="00FD4FB7" w:rsidDel="00592B9E">
        <w:rPr>
          <w:rFonts w:asciiTheme="minorHAnsi" w:hAnsiTheme="minorHAnsi" w:cstheme="minorHAnsi"/>
          <w:bCs/>
          <w:color w:val="000000" w:themeColor="text1"/>
          <w:sz w:val="22"/>
          <w:szCs w:val="22"/>
        </w:rPr>
        <w:t xml:space="preserve"> </w:t>
      </w:r>
      <w:r w:rsidRPr="00FD4FB7">
        <w:rPr>
          <w:rFonts w:asciiTheme="minorHAnsi" w:hAnsiTheme="minorHAnsi" w:cstheme="minorHAnsi"/>
          <w:bCs/>
          <w:color w:val="000000" w:themeColor="text1"/>
          <w:sz w:val="22"/>
          <w:szCs w:val="22"/>
        </w:rPr>
        <w:t xml:space="preserve">were both significantly more common in those patients whose MAAW was overseen by an </w:t>
      </w:r>
      <w:r w:rsidRPr="00516FC7">
        <w:rPr>
          <w:rFonts w:asciiTheme="minorHAnsi" w:hAnsiTheme="minorHAnsi" w:cstheme="minorHAnsi"/>
          <w:bCs/>
          <w:color w:val="000000" w:themeColor="text1"/>
          <w:sz w:val="22"/>
          <w:szCs w:val="22"/>
        </w:rPr>
        <w:t>addiction</w:t>
      </w:r>
      <w:r w:rsidR="00883021" w:rsidRPr="00516FC7">
        <w:rPr>
          <w:rFonts w:asciiTheme="minorHAnsi" w:hAnsiTheme="minorHAnsi" w:cstheme="minorHAnsi"/>
          <w:bCs/>
          <w:color w:val="000000" w:themeColor="text1"/>
          <w:sz w:val="22"/>
          <w:szCs w:val="22"/>
        </w:rPr>
        <w:t>s</w:t>
      </w:r>
      <w:r w:rsidRPr="00FD4FB7">
        <w:rPr>
          <w:rFonts w:asciiTheme="minorHAnsi" w:hAnsiTheme="minorHAnsi" w:cstheme="minorHAnsi"/>
          <w:bCs/>
          <w:color w:val="000000" w:themeColor="text1"/>
          <w:sz w:val="22"/>
          <w:szCs w:val="22"/>
        </w:rPr>
        <w:t xml:space="preserve"> specialist. As </w:t>
      </w:r>
      <w:r w:rsidRPr="00FD4FB7">
        <w:rPr>
          <w:rFonts w:asciiTheme="minorHAnsi" w:hAnsiTheme="minorHAnsi" w:cstheme="minorHAnsi"/>
          <w:color w:val="000000" w:themeColor="text1"/>
          <w:sz w:val="22"/>
          <w:szCs w:val="22"/>
        </w:rPr>
        <w:t>Wernicke’s encephalopathy</w:t>
      </w:r>
      <w:r w:rsidRPr="00FD4FB7">
        <w:rPr>
          <w:rFonts w:asciiTheme="minorHAnsi" w:hAnsiTheme="minorHAnsi" w:cstheme="minorHAnsi"/>
          <w:bCs/>
          <w:color w:val="000000" w:themeColor="text1"/>
          <w:sz w:val="22"/>
          <w:szCs w:val="22"/>
        </w:rPr>
        <w:t xml:space="preserve"> is a potentially devastating complication of MAAW in severely dependent drinkers,</w:t>
      </w:r>
      <w:r w:rsidR="007231C1" w:rsidRPr="00FD4FB7">
        <w:rPr>
          <w:rFonts w:asciiTheme="minorHAnsi" w:hAnsiTheme="minorHAnsi" w:cstheme="minorHAnsi"/>
          <w:bCs/>
          <w:color w:val="000000" w:themeColor="text1"/>
          <w:sz w:val="22"/>
          <w:szCs w:val="22"/>
        </w:rPr>
        <w:t xml:space="preserve"> with significant future costs in terms of health and care services due to permanent brain damage, it is core medical competence </w:t>
      </w:r>
      <w:r w:rsidR="005E4F20" w:rsidRPr="00FD4FB7">
        <w:rPr>
          <w:rFonts w:asciiTheme="minorHAnsi" w:hAnsiTheme="minorHAnsi" w:cstheme="minorHAnsi"/>
          <w:bCs/>
          <w:color w:val="000000" w:themeColor="text1"/>
          <w:sz w:val="22"/>
          <w:szCs w:val="22"/>
        </w:rPr>
        <w:t xml:space="preserve">to </w:t>
      </w:r>
      <w:r w:rsidRPr="00FD4FB7">
        <w:rPr>
          <w:rFonts w:asciiTheme="minorHAnsi" w:hAnsiTheme="minorHAnsi" w:cstheme="minorHAnsi"/>
          <w:bCs/>
          <w:color w:val="000000" w:themeColor="text1"/>
          <w:sz w:val="22"/>
          <w:szCs w:val="22"/>
        </w:rPr>
        <w:t>consider the risk of developing it</w:t>
      </w:r>
      <w:r w:rsidR="007231C1" w:rsidRPr="00FD4FB7">
        <w:rPr>
          <w:rFonts w:asciiTheme="minorHAnsi" w:hAnsiTheme="minorHAnsi" w:cstheme="minorHAnsi"/>
          <w:bCs/>
          <w:color w:val="000000" w:themeColor="text1"/>
          <w:sz w:val="22"/>
          <w:szCs w:val="22"/>
        </w:rPr>
        <w:t xml:space="preserve">, </w:t>
      </w:r>
      <w:r w:rsidR="005E4F20" w:rsidRPr="00FD4FB7">
        <w:rPr>
          <w:rFonts w:asciiTheme="minorHAnsi" w:hAnsiTheme="minorHAnsi" w:cstheme="minorHAnsi"/>
          <w:bCs/>
          <w:color w:val="000000" w:themeColor="text1"/>
          <w:sz w:val="22"/>
          <w:szCs w:val="22"/>
        </w:rPr>
        <w:t xml:space="preserve">to </w:t>
      </w:r>
      <w:r w:rsidRPr="00FD4FB7">
        <w:rPr>
          <w:rFonts w:asciiTheme="minorHAnsi" w:hAnsiTheme="minorHAnsi" w:cstheme="minorHAnsi"/>
          <w:bCs/>
          <w:color w:val="000000" w:themeColor="text1"/>
          <w:sz w:val="22"/>
          <w:szCs w:val="22"/>
        </w:rPr>
        <w:t>identify that it is present</w:t>
      </w:r>
      <w:r w:rsidR="007231C1" w:rsidRPr="00FD4FB7">
        <w:rPr>
          <w:rFonts w:asciiTheme="minorHAnsi" w:hAnsiTheme="minorHAnsi" w:cstheme="minorHAnsi"/>
          <w:bCs/>
          <w:color w:val="000000" w:themeColor="text1"/>
          <w:sz w:val="22"/>
          <w:szCs w:val="22"/>
        </w:rPr>
        <w:t>,</w:t>
      </w:r>
      <w:r w:rsidRPr="00FD4FB7">
        <w:rPr>
          <w:rFonts w:asciiTheme="minorHAnsi" w:hAnsiTheme="minorHAnsi" w:cstheme="minorHAnsi"/>
          <w:bCs/>
          <w:color w:val="000000" w:themeColor="text1"/>
          <w:sz w:val="22"/>
          <w:szCs w:val="22"/>
        </w:rPr>
        <w:t xml:space="preserve"> and </w:t>
      </w:r>
      <w:r w:rsidR="005E4F20" w:rsidRPr="00FD4FB7">
        <w:rPr>
          <w:rFonts w:asciiTheme="minorHAnsi" w:hAnsiTheme="minorHAnsi" w:cstheme="minorHAnsi"/>
          <w:bCs/>
          <w:color w:val="000000" w:themeColor="text1"/>
          <w:sz w:val="22"/>
          <w:szCs w:val="22"/>
        </w:rPr>
        <w:t xml:space="preserve">then </w:t>
      </w:r>
      <w:r w:rsidRPr="00FD4FB7">
        <w:rPr>
          <w:rFonts w:asciiTheme="minorHAnsi" w:hAnsiTheme="minorHAnsi" w:cstheme="minorHAnsi"/>
          <w:bCs/>
          <w:color w:val="000000" w:themeColor="text1"/>
          <w:sz w:val="22"/>
          <w:szCs w:val="22"/>
        </w:rPr>
        <w:t xml:space="preserve">treat </w:t>
      </w:r>
      <w:r w:rsidR="007231C1" w:rsidRPr="00FD4FB7">
        <w:rPr>
          <w:rFonts w:asciiTheme="minorHAnsi" w:hAnsiTheme="minorHAnsi" w:cstheme="minorHAnsi"/>
          <w:bCs/>
          <w:color w:val="000000" w:themeColor="text1"/>
          <w:sz w:val="22"/>
          <w:szCs w:val="22"/>
        </w:rPr>
        <w:t xml:space="preserve">it </w:t>
      </w:r>
      <w:r w:rsidRPr="00FD4FB7">
        <w:rPr>
          <w:rFonts w:asciiTheme="minorHAnsi" w:hAnsiTheme="minorHAnsi" w:cstheme="minorHAnsi"/>
          <w:bCs/>
          <w:color w:val="000000" w:themeColor="text1"/>
          <w:sz w:val="22"/>
          <w:szCs w:val="22"/>
        </w:rPr>
        <w:t xml:space="preserve">appropriately </w:t>
      </w:r>
      <w:r w:rsidR="00932463" w:rsidRPr="00FD4FB7">
        <w:rPr>
          <w:rFonts w:asciiTheme="minorHAnsi" w:hAnsiTheme="minorHAnsi" w:cs="Calibri (Body)"/>
          <w:bCs/>
          <w:color w:val="000000" w:themeColor="text1"/>
          <w:sz w:val="22"/>
          <w:szCs w:val="22"/>
          <w:vertAlign w:val="superscript"/>
        </w:rPr>
        <w:t>2</w:t>
      </w:r>
      <w:r w:rsidR="00BC343B" w:rsidRPr="00FD4FB7">
        <w:rPr>
          <w:rFonts w:asciiTheme="minorHAnsi" w:hAnsiTheme="minorHAnsi" w:cs="Calibri (Body)"/>
          <w:bCs/>
          <w:color w:val="000000" w:themeColor="text1"/>
          <w:sz w:val="22"/>
          <w:szCs w:val="22"/>
          <w:vertAlign w:val="superscript"/>
        </w:rPr>
        <w:t>2,</w:t>
      </w:r>
      <w:r w:rsidR="00932463" w:rsidRPr="00FD4FB7">
        <w:rPr>
          <w:rFonts w:asciiTheme="minorHAnsi" w:hAnsiTheme="minorHAnsi" w:cs="Calibri (Body)"/>
          <w:bCs/>
          <w:color w:val="000000" w:themeColor="text1"/>
          <w:sz w:val="22"/>
          <w:szCs w:val="22"/>
          <w:vertAlign w:val="superscript"/>
        </w:rPr>
        <w:t>2</w:t>
      </w:r>
      <w:r w:rsidR="00BC343B" w:rsidRPr="00FD4FB7">
        <w:rPr>
          <w:rFonts w:asciiTheme="minorHAnsi" w:hAnsiTheme="minorHAnsi" w:cs="Calibri (Body)"/>
          <w:bCs/>
          <w:color w:val="000000" w:themeColor="text1"/>
          <w:sz w:val="22"/>
          <w:szCs w:val="22"/>
          <w:vertAlign w:val="superscript"/>
        </w:rPr>
        <w:t>3</w:t>
      </w:r>
      <w:r w:rsidRPr="00FD4FB7">
        <w:rPr>
          <w:rFonts w:asciiTheme="minorHAnsi" w:hAnsiTheme="minorHAnsi" w:cstheme="minorHAnsi"/>
          <w:bCs/>
          <w:color w:val="000000" w:themeColor="text1"/>
          <w:sz w:val="22"/>
          <w:szCs w:val="22"/>
        </w:rPr>
        <w:t xml:space="preserve">. Given the apparently similar risk of </w:t>
      </w:r>
      <w:r w:rsidRPr="00FD4FB7">
        <w:rPr>
          <w:rFonts w:asciiTheme="minorHAnsi" w:hAnsiTheme="minorHAnsi" w:cstheme="minorHAnsi"/>
          <w:color w:val="000000" w:themeColor="text1"/>
          <w:sz w:val="22"/>
          <w:szCs w:val="22"/>
        </w:rPr>
        <w:t>Wernicke’s encephalopathy</w:t>
      </w:r>
      <w:r w:rsidRPr="00FD4FB7">
        <w:rPr>
          <w:rFonts w:asciiTheme="minorHAnsi" w:hAnsiTheme="minorHAnsi" w:cstheme="minorHAnsi"/>
          <w:bCs/>
          <w:color w:val="000000" w:themeColor="text1"/>
          <w:sz w:val="22"/>
          <w:szCs w:val="22"/>
        </w:rPr>
        <w:t xml:space="preserve"> in those patients with and without specialist input (based on the levels of alcohol consumption prior to admission), it is a source of concern that </w:t>
      </w:r>
      <w:r w:rsidR="00D86B74" w:rsidRPr="00FD4FB7">
        <w:rPr>
          <w:rFonts w:asciiTheme="minorHAnsi" w:hAnsiTheme="minorHAnsi" w:cstheme="minorHAnsi"/>
          <w:bCs/>
          <w:color w:val="000000" w:themeColor="text1"/>
          <w:sz w:val="22"/>
          <w:szCs w:val="22"/>
        </w:rPr>
        <w:t xml:space="preserve">there was no recorded </w:t>
      </w:r>
      <w:r w:rsidRPr="00FD4FB7">
        <w:rPr>
          <w:rFonts w:asciiTheme="minorHAnsi" w:hAnsiTheme="minorHAnsi" w:cstheme="minorHAnsi"/>
          <w:bCs/>
          <w:color w:val="000000" w:themeColor="text1"/>
          <w:sz w:val="22"/>
          <w:szCs w:val="22"/>
        </w:rPr>
        <w:t xml:space="preserve">assessment of any of the signs and symptoms of </w:t>
      </w:r>
      <w:r w:rsidRPr="00FD4FB7">
        <w:rPr>
          <w:rFonts w:asciiTheme="minorHAnsi" w:hAnsiTheme="minorHAnsi" w:cstheme="minorHAnsi"/>
          <w:color w:val="000000" w:themeColor="text1"/>
          <w:sz w:val="22"/>
          <w:szCs w:val="22"/>
        </w:rPr>
        <w:t>Wernicke’s encephalopathy</w:t>
      </w:r>
      <w:r w:rsidRPr="00FD4FB7">
        <w:rPr>
          <w:rFonts w:asciiTheme="minorHAnsi" w:hAnsiTheme="minorHAnsi" w:cstheme="minorHAnsi"/>
          <w:bCs/>
          <w:color w:val="000000" w:themeColor="text1"/>
          <w:sz w:val="22"/>
          <w:szCs w:val="22"/>
        </w:rPr>
        <w:t xml:space="preserve"> in over 40% of the </w:t>
      </w:r>
      <w:r w:rsidR="00D86B74" w:rsidRPr="00FD4FB7">
        <w:rPr>
          <w:rFonts w:asciiTheme="minorHAnsi" w:hAnsiTheme="minorHAnsi" w:cstheme="minorHAnsi"/>
          <w:bCs/>
          <w:color w:val="000000" w:themeColor="text1"/>
          <w:sz w:val="22"/>
          <w:szCs w:val="22"/>
        </w:rPr>
        <w:t xml:space="preserve">total </w:t>
      </w:r>
      <w:r w:rsidRPr="00FD4FB7">
        <w:rPr>
          <w:rFonts w:asciiTheme="minorHAnsi" w:hAnsiTheme="minorHAnsi" w:cstheme="minorHAnsi"/>
          <w:bCs/>
          <w:color w:val="000000" w:themeColor="text1"/>
          <w:sz w:val="22"/>
          <w:szCs w:val="22"/>
        </w:rPr>
        <w:t>patient</w:t>
      </w:r>
      <w:r w:rsidR="00D86B74" w:rsidRPr="00FD4FB7">
        <w:rPr>
          <w:rFonts w:asciiTheme="minorHAnsi" w:hAnsiTheme="minorHAnsi" w:cstheme="minorHAnsi"/>
          <w:bCs/>
          <w:color w:val="000000" w:themeColor="text1"/>
          <w:sz w:val="22"/>
          <w:szCs w:val="22"/>
        </w:rPr>
        <w:t xml:space="preserve"> sample</w:t>
      </w:r>
      <w:r w:rsidRPr="00FD4FB7">
        <w:rPr>
          <w:rFonts w:asciiTheme="minorHAnsi" w:hAnsiTheme="minorHAnsi" w:cstheme="minorHAnsi"/>
          <w:bCs/>
          <w:color w:val="000000" w:themeColor="text1"/>
          <w:sz w:val="22"/>
          <w:szCs w:val="22"/>
        </w:rPr>
        <w:t>, and that t</w:t>
      </w:r>
      <w:r w:rsidR="00A21AD0" w:rsidRPr="00FD4FB7">
        <w:rPr>
          <w:rFonts w:asciiTheme="minorHAnsi" w:hAnsiTheme="minorHAnsi" w:cstheme="minorHAnsi"/>
          <w:bCs/>
          <w:color w:val="000000" w:themeColor="text1"/>
          <w:sz w:val="22"/>
          <w:szCs w:val="22"/>
        </w:rPr>
        <w:t>he</w:t>
      </w:r>
      <w:r w:rsidRPr="00FD4FB7">
        <w:rPr>
          <w:rFonts w:asciiTheme="minorHAnsi" w:hAnsiTheme="minorHAnsi" w:cstheme="minorHAnsi"/>
          <w:bCs/>
          <w:color w:val="000000" w:themeColor="text1"/>
          <w:sz w:val="22"/>
          <w:szCs w:val="22"/>
        </w:rPr>
        <w:t xml:space="preserve"> patients with no such documented assessment were less likely to be prescribed parenteral thiamine. </w:t>
      </w:r>
      <w:r w:rsidR="00646406" w:rsidRPr="00FD4FB7">
        <w:rPr>
          <w:rFonts w:asciiTheme="minorHAnsi" w:hAnsiTheme="minorHAnsi" w:cstheme="minorHAnsi"/>
          <w:bCs/>
          <w:color w:val="000000" w:themeColor="text1"/>
          <w:sz w:val="22"/>
          <w:szCs w:val="22"/>
        </w:rPr>
        <w:t>Besides the factors described above that may at least partly explain the poor documentation of drinking history in patients who underwent MAAW in an acute psychiatric ward, a further p</w:t>
      </w:r>
      <w:r w:rsidRPr="00FD4FB7">
        <w:rPr>
          <w:rFonts w:asciiTheme="minorHAnsi" w:hAnsiTheme="minorHAnsi" w:cstheme="minorHAnsi"/>
          <w:bCs/>
          <w:color w:val="000000" w:themeColor="text1"/>
          <w:sz w:val="22"/>
          <w:szCs w:val="22"/>
        </w:rPr>
        <w:t xml:space="preserve">otential explanation for </w:t>
      </w:r>
      <w:r w:rsidR="00646406" w:rsidRPr="00FD4FB7">
        <w:rPr>
          <w:rFonts w:asciiTheme="minorHAnsi" w:hAnsiTheme="minorHAnsi" w:cstheme="minorHAnsi"/>
          <w:bCs/>
          <w:color w:val="000000" w:themeColor="text1"/>
          <w:sz w:val="22"/>
          <w:szCs w:val="22"/>
        </w:rPr>
        <w:t xml:space="preserve">our </w:t>
      </w:r>
      <w:r w:rsidRPr="00FD4FB7">
        <w:rPr>
          <w:rFonts w:asciiTheme="minorHAnsi" w:hAnsiTheme="minorHAnsi" w:cstheme="minorHAnsi"/>
          <w:bCs/>
          <w:color w:val="000000" w:themeColor="text1"/>
          <w:sz w:val="22"/>
          <w:szCs w:val="22"/>
        </w:rPr>
        <w:t xml:space="preserve">findings </w:t>
      </w:r>
      <w:r w:rsidR="00646406" w:rsidRPr="00FD4FB7">
        <w:rPr>
          <w:rFonts w:asciiTheme="minorHAnsi" w:hAnsiTheme="minorHAnsi" w:cstheme="minorHAnsi"/>
          <w:bCs/>
          <w:color w:val="000000" w:themeColor="text1"/>
          <w:sz w:val="22"/>
          <w:szCs w:val="22"/>
        </w:rPr>
        <w:t>is</w:t>
      </w:r>
      <w:r w:rsidRPr="00FD4FB7">
        <w:rPr>
          <w:rFonts w:asciiTheme="minorHAnsi" w:hAnsiTheme="minorHAnsi" w:cstheme="minorHAnsi"/>
          <w:bCs/>
          <w:color w:val="000000" w:themeColor="text1"/>
          <w:sz w:val="22"/>
          <w:szCs w:val="22"/>
        </w:rPr>
        <w:t xml:space="preserve"> that MAAW is rarely the primary reason for admission </w:t>
      </w:r>
      <w:r w:rsidR="003079D2" w:rsidRPr="00FD4FB7">
        <w:rPr>
          <w:rFonts w:asciiTheme="minorHAnsi" w:hAnsiTheme="minorHAnsi" w:cstheme="minorHAnsi"/>
          <w:bCs/>
          <w:color w:val="000000" w:themeColor="text1"/>
          <w:sz w:val="22"/>
          <w:szCs w:val="22"/>
        </w:rPr>
        <w:t xml:space="preserve">to </w:t>
      </w:r>
      <w:r w:rsidR="004A42CB" w:rsidRPr="00FD4FB7">
        <w:rPr>
          <w:rFonts w:asciiTheme="minorHAnsi" w:hAnsiTheme="minorHAnsi" w:cstheme="minorHAnsi"/>
          <w:bCs/>
          <w:color w:val="000000" w:themeColor="text1"/>
          <w:sz w:val="22"/>
          <w:szCs w:val="22"/>
        </w:rPr>
        <w:t>such a ward</w:t>
      </w:r>
      <w:r w:rsidR="003079D2" w:rsidRPr="00FD4FB7">
        <w:rPr>
          <w:rFonts w:asciiTheme="minorHAnsi" w:hAnsiTheme="minorHAnsi" w:cstheme="minorHAnsi"/>
          <w:bCs/>
          <w:color w:val="000000" w:themeColor="text1"/>
          <w:sz w:val="22"/>
          <w:szCs w:val="22"/>
        </w:rPr>
        <w:t xml:space="preserve"> and the immediate care plan </w:t>
      </w:r>
      <w:r w:rsidR="004A42CB" w:rsidRPr="00FD4FB7">
        <w:rPr>
          <w:rFonts w:asciiTheme="minorHAnsi" w:hAnsiTheme="minorHAnsi" w:cstheme="minorHAnsi"/>
          <w:bCs/>
          <w:color w:val="000000" w:themeColor="text1"/>
          <w:sz w:val="22"/>
          <w:szCs w:val="22"/>
        </w:rPr>
        <w:t xml:space="preserve">for </w:t>
      </w:r>
      <w:r w:rsidR="00DF0A79" w:rsidRPr="00FD4FB7">
        <w:rPr>
          <w:rFonts w:asciiTheme="minorHAnsi" w:hAnsiTheme="minorHAnsi" w:cstheme="minorHAnsi"/>
          <w:bCs/>
          <w:color w:val="000000" w:themeColor="text1"/>
          <w:sz w:val="22"/>
          <w:szCs w:val="22"/>
        </w:rPr>
        <w:t xml:space="preserve">a </w:t>
      </w:r>
      <w:r w:rsidR="004A42CB" w:rsidRPr="00FD4FB7">
        <w:rPr>
          <w:rFonts w:asciiTheme="minorHAnsi" w:hAnsiTheme="minorHAnsi" w:cstheme="minorHAnsi"/>
          <w:bCs/>
          <w:color w:val="000000" w:themeColor="text1"/>
          <w:sz w:val="22"/>
          <w:szCs w:val="22"/>
        </w:rPr>
        <w:t xml:space="preserve">patient </w:t>
      </w:r>
      <w:r w:rsidR="003079D2" w:rsidRPr="00FD4FB7">
        <w:rPr>
          <w:rFonts w:asciiTheme="minorHAnsi" w:hAnsiTheme="minorHAnsi" w:cstheme="minorHAnsi"/>
          <w:bCs/>
          <w:color w:val="000000" w:themeColor="text1"/>
          <w:sz w:val="22"/>
          <w:szCs w:val="22"/>
        </w:rPr>
        <w:t>prioritise</w:t>
      </w:r>
      <w:r w:rsidR="004A42CB" w:rsidRPr="00FD4FB7">
        <w:rPr>
          <w:rFonts w:asciiTheme="minorHAnsi" w:hAnsiTheme="minorHAnsi" w:cstheme="minorHAnsi"/>
          <w:bCs/>
          <w:color w:val="000000" w:themeColor="text1"/>
          <w:sz w:val="22"/>
          <w:szCs w:val="22"/>
        </w:rPr>
        <w:t>s</w:t>
      </w:r>
      <w:r w:rsidR="003079D2" w:rsidRPr="00FD4FB7">
        <w:rPr>
          <w:rFonts w:asciiTheme="minorHAnsi" w:hAnsiTheme="minorHAnsi" w:cstheme="minorHAnsi"/>
          <w:bCs/>
          <w:color w:val="000000" w:themeColor="text1"/>
          <w:sz w:val="22"/>
          <w:szCs w:val="22"/>
        </w:rPr>
        <w:t xml:space="preserve"> the management of behaviours that challenge and symptoms of known or suspected psychiatric illness. </w:t>
      </w:r>
      <w:r w:rsidR="001E3722" w:rsidRPr="00516FC7">
        <w:rPr>
          <w:rFonts w:asciiTheme="minorHAnsi" w:hAnsiTheme="minorHAnsi" w:cstheme="minorHAnsi"/>
          <w:bCs/>
          <w:color w:val="000000" w:themeColor="text1"/>
          <w:sz w:val="22"/>
          <w:szCs w:val="22"/>
        </w:rPr>
        <w:t>M</w:t>
      </w:r>
      <w:r w:rsidR="002E4F7C" w:rsidRPr="00516FC7">
        <w:rPr>
          <w:rFonts w:asciiTheme="minorHAnsi" w:hAnsiTheme="minorHAnsi" w:cstheme="minorHAnsi"/>
          <w:bCs/>
          <w:color w:val="000000" w:themeColor="text1"/>
          <w:sz w:val="22"/>
          <w:szCs w:val="22"/>
        </w:rPr>
        <w:t>ost Mental Health Trusts will have a clinical policy</w:t>
      </w:r>
      <w:r w:rsidR="00696FE3" w:rsidRPr="00516FC7">
        <w:rPr>
          <w:rFonts w:asciiTheme="minorHAnsi" w:hAnsiTheme="minorHAnsi" w:cstheme="minorHAnsi"/>
          <w:bCs/>
          <w:color w:val="000000" w:themeColor="text1"/>
          <w:sz w:val="22"/>
          <w:szCs w:val="22"/>
        </w:rPr>
        <w:t xml:space="preserve">/guideline for managing </w:t>
      </w:r>
      <w:proofErr w:type="gramStart"/>
      <w:r w:rsidR="00696FE3" w:rsidRPr="00516FC7">
        <w:rPr>
          <w:rFonts w:asciiTheme="minorHAnsi" w:hAnsiTheme="minorHAnsi" w:cstheme="minorHAnsi"/>
          <w:bCs/>
          <w:color w:val="000000" w:themeColor="text1"/>
          <w:sz w:val="22"/>
          <w:szCs w:val="22"/>
        </w:rPr>
        <w:t>MAAW</w:t>
      </w:r>
      <w:proofErr w:type="gramEnd"/>
      <w:r w:rsidR="00502269" w:rsidRPr="00516FC7">
        <w:rPr>
          <w:rFonts w:asciiTheme="minorHAnsi" w:hAnsiTheme="minorHAnsi" w:cstheme="minorHAnsi"/>
          <w:bCs/>
          <w:color w:val="000000" w:themeColor="text1"/>
          <w:sz w:val="22"/>
          <w:szCs w:val="22"/>
        </w:rPr>
        <w:t xml:space="preserve"> </w:t>
      </w:r>
      <w:r w:rsidR="00696FE3" w:rsidRPr="00516FC7">
        <w:rPr>
          <w:rFonts w:asciiTheme="minorHAnsi" w:hAnsiTheme="minorHAnsi" w:cstheme="minorHAnsi"/>
          <w:bCs/>
          <w:color w:val="000000" w:themeColor="text1"/>
          <w:sz w:val="22"/>
          <w:szCs w:val="22"/>
        </w:rPr>
        <w:t>but</w:t>
      </w:r>
      <w:r w:rsidR="000A443C" w:rsidRPr="00516FC7">
        <w:rPr>
          <w:rFonts w:asciiTheme="minorHAnsi" w:hAnsiTheme="minorHAnsi" w:cstheme="minorHAnsi"/>
          <w:bCs/>
          <w:color w:val="000000" w:themeColor="text1"/>
          <w:sz w:val="22"/>
          <w:szCs w:val="22"/>
        </w:rPr>
        <w:t xml:space="preserve"> it may be</w:t>
      </w:r>
      <w:r w:rsidR="00607DB5" w:rsidRPr="00516FC7">
        <w:rPr>
          <w:rFonts w:asciiTheme="minorHAnsi" w:hAnsiTheme="minorHAnsi" w:cstheme="minorHAnsi"/>
          <w:bCs/>
          <w:color w:val="000000" w:themeColor="text1"/>
          <w:sz w:val="22"/>
          <w:szCs w:val="22"/>
        </w:rPr>
        <w:t xml:space="preserve"> that without specialist addiction</w:t>
      </w:r>
      <w:r w:rsidR="00883021" w:rsidRPr="00516FC7">
        <w:rPr>
          <w:rFonts w:asciiTheme="minorHAnsi" w:hAnsiTheme="minorHAnsi" w:cstheme="minorHAnsi"/>
          <w:bCs/>
          <w:color w:val="000000" w:themeColor="text1"/>
          <w:sz w:val="22"/>
          <w:szCs w:val="22"/>
        </w:rPr>
        <w:t>s</w:t>
      </w:r>
      <w:r w:rsidR="00607DB5" w:rsidRPr="00516FC7">
        <w:rPr>
          <w:rFonts w:asciiTheme="minorHAnsi" w:hAnsiTheme="minorHAnsi" w:cstheme="minorHAnsi"/>
          <w:bCs/>
          <w:color w:val="000000" w:themeColor="text1"/>
          <w:sz w:val="22"/>
          <w:szCs w:val="22"/>
        </w:rPr>
        <w:t xml:space="preserve"> input into teaching and training at Trust level </w:t>
      </w:r>
      <w:r w:rsidR="00EE7CE4" w:rsidRPr="00516FC7">
        <w:rPr>
          <w:rFonts w:asciiTheme="minorHAnsi" w:hAnsiTheme="minorHAnsi" w:cstheme="minorHAnsi"/>
          <w:bCs/>
          <w:color w:val="000000" w:themeColor="text1"/>
          <w:sz w:val="22"/>
          <w:szCs w:val="22"/>
        </w:rPr>
        <w:t>there is a lack of</w:t>
      </w:r>
      <w:r w:rsidR="000A3DEE" w:rsidRPr="00516FC7">
        <w:rPr>
          <w:rFonts w:asciiTheme="minorHAnsi" w:hAnsiTheme="minorHAnsi" w:cstheme="minorHAnsi"/>
          <w:bCs/>
          <w:color w:val="000000" w:themeColor="text1"/>
          <w:sz w:val="22"/>
          <w:szCs w:val="22"/>
        </w:rPr>
        <w:t xml:space="preserve"> awareness of the importance of appropriate management of alcohol withdrawal</w:t>
      </w:r>
      <w:r w:rsidR="0032321A" w:rsidRPr="00516FC7">
        <w:rPr>
          <w:rFonts w:asciiTheme="minorHAnsi" w:hAnsiTheme="minorHAnsi" w:cstheme="minorHAnsi"/>
          <w:bCs/>
          <w:color w:val="000000" w:themeColor="text1"/>
          <w:sz w:val="22"/>
          <w:szCs w:val="22"/>
        </w:rPr>
        <w:t xml:space="preserve"> to prevent poor patient outcomes</w:t>
      </w:r>
      <w:r w:rsidR="00047347" w:rsidRPr="00516FC7">
        <w:rPr>
          <w:rFonts w:asciiTheme="minorHAnsi" w:hAnsiTheme="minorHAnsi" w:cstheme="minorHAnsi"/>
          <w:bCs/>
          <w:color w:val="000000" w:themeColor="text1"/>
          <w:sz w:val="22"/>
          <w:szCs w:val="22"/>
        </w:rPr>
        <w:t>,</w:t>
      </w:r>
      <w:r w:rsidR="0032321A" w:rsidRPr="00516FC7">
        <w:rPr>
          <w:rFonts w:asciiTheme="minorHAnsi" w:hAnsiTheme="minorHAnsi" w:cstheme="minorHAnsi"/>
          <w:bCs/>
          <w:color w:val="000000" w:themeColor="text1"/>
          <w:sz w:val="22"/>
          <w:szCs w:val="22"/>
        </w:rPr>
        <w:t xml:space="preserve"> </w:t>
      </w:r>
      <w:r w:rsidR="001E3722" w:rsidRPr="00516FC7">
        <w:rPr>
          <w:rFonts w:asciiTheme="minorHAnsi" w:hAnsiTheme="minorHAnsi" w:cstheme="minorHAnsi"/>
          <w:bCs/>
          <w:color w:val="000000" w:themeColor="text1"/>
          <w:sz w:val="22"/>
          <w:szCs w:val="22"/>
        </w:rPr>
        <w:t xml:space="preserve">so </w:t>
      </w:r>
      <w:r w:rsidR="00696FE3" w:rsidRPr="00516FC7">
        <w:rPr>
          <w:rFonts w:asciiTheme="minorHAnsi" w:hAnsiTheme="minorHAnsi" w:cstheme="minorHAnsi"/>
          <w:bCs/>
          <w:color w:val="000000" w:themeColor="text1"/>
          <w:sz w:val="22"/>
          <w:szCs w:val="22"/>
        </w:rPr>
        <w:t>local policies/protocols are poorly implemented</w:t>
      </w:r>
      <w:r w:rsidR="00607DB5" w:rsidRPr="00516FC7">
        <w:rPr>
          <w:rFonts w:asciiTheme="minorHAnsi" w:hAnsiTheme="minorHAnsi" w:cstheme="minorHAnsi"/>
          <w:bCs/>
          <w:color w:val="000000" w:themeColor="text1"/>
          <w:sz w:val="22"/>
          <w:szCs w:val="22"/>
        </w:rPr>
        <w:t>.</w:t>
      </w:r>
    </w:p>
    <w:p w14:paraId="307AB6B5" w14:textId="7599E6FA" w:rsidR="00952E40" w:rsidRPr="00FD4FB7" w:rsidRDefault="00952E40" w:rsidP="00163B96">
      <w:pPr>
        <w:pStyle w:val="NoSpacing"/>
        <w:rPr>
          <w:rFonts w:cstheme="minorHAnsi"/>
          <w:b/>
          <w:bCs/>
        </w:rPr>
      </w:pPr>
    </w:p>
    <w:p w14:paraId="2C3EF776" w14:textId="77777777" w:rsidR="00952E40" w:rsidRPr="00FD4FB7" w:rsidRDefault="00952E40" w:rsidP="008C7ADB">
      <w:pPr>
        <w:pStyle w:val="NoSpacing"/>
      </w:pPr>
    </w:p>
    <w:p w14:paraId="3F2985F6" w14:textId="59939497" w:rsidR="006631D4" w:rsidRPr="00FD4FB7" w:rsidRDefault="006631D4" w:rsidP="00163B96">
      <w:pPr>
        <w:pStyle w:val="NoSpacing"/>
        <w:rPr>
          <w:rFonts w:cstheme="minorHAnsi"/>
          <w:b/>
          <w:bCs/>
        </w:rPr>
      </w:pPr>
      <w:r w:rsidRPr="00FD4FB7">
        <w:rPr>
          <w:rFonts w:cstheme="minorHAnsi"/>
          <w:b/>
          <w:bCs/>
        </w:rPr>
        <w:t>Why might patients who received MAAW on acute psychiatric wards not be referred on to appropriate community-based alcohol services or prescribed relapse prevention medication?</w:t>
      </w:r>
    </w:p>
    <w:p w14:paraId="70F89F79" w14:textId="77777777" w:rsidR="00163B96" w:rsidRPr="00FD4FB7" w:rsidRDefault="00163B96" w:rsidP="00B12707">
      <w:pPr>
        <w:pStyle w:val="NoSpacing"/>
        <w:rPr>
          <w:rFonts w:cstheme="minorHAnsi"/>
        </w:rPr>
      </w:pPr>
    </w:p>
    <w:p w14:paraId="4B2FFCCF" w14:textId="5B9472B8" w:rsidR="00932043" w:rsidRPr="00FD4FB7" w:rsidRDefault="004A42CB" w:rsidP="0079726A">
      <w:pPr>
        <w:spacing w:after="160"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Clinical guidelines</w:t>
      </w:r>
      <w:r w:rsidR="00F34513" w:rsidRPr="00FD4FB7">
        <w:rPr>
          <w:rFonts w:asciiTheme="minorHAnsi" w:hAnsiTheme="minorHAnsi" w:cstheme="minorHAnsi"/>
          <w:color w:val="000000" w:themeColor="text1"/>
          <w:sz w:val="22"/>
          <w:szCs w:val="22"/>
        </w:rPr>
        <w:t xml:space="preserve"> </w:t>
      </w:r>
      <w:r w:rsidR="00BC343B" w:rsidRPr="00FD4FB7">
        <w:rPr>
          <w:rFonts w:asciiTheme="minorHAnsi" w:hAnsiTheme="minorHAnsi" w:cs="Calibri (Body)"/>
          <w:color w:val="000000" w:themeColor="text1"/>
          <w:sz w:val="22"/>
          <w:szCs w:val="22"/>
          <w:vertAlign w:val="superscript"/>
        </w:rPr>
        <w:t>5</w:t>
      </w:r>
      <w:r w:rsidR="00F34513" w:rsidRPr="00FD4FB7">
        <w:rPr>
          <w:rFonts w:asciiTheme="minorHAnsi" w:hAnsiTheme="minorHAnsi" w:cs="Calibri (Body)"/>
          <w:color w:val="000000" w:themeColor="text1"/>
          <w:sz w:val="22"/>
          <w:szCs w:val="22"/>
          <w:vertAlign w:val="superscript"/>
        </w:rPr>
        <w:t>,</w:t>
      </w:r>
      <w:r w:rsidR="00BC343B" w:rsidRPr="00FD4FB7">
        <w:rPr>
          <w:rFonts w:asciiTheme="minorHAnsi" w:hAnsiTheme="minorHAnsi" w:cs="Calibri (Body)"/>
          <w:color w:val="000000" w:themeColor="text1"/>
          <w:sz w:val="22"/>
          <w:szCs w:val="22"/>
          <w:vertAlign w:val="superscript"/>
        </w:rPr>
        <w:t>7</w:t>
      </w:r>
      <w:r w:rsidR="00F34513" w:rsidRPr="00FD4FB7">
        <w:rPr>
          <w:rFonts w:asciiTheme="minorHAnsi" w:hAnsiTheme="minorHAnsi" w:cs="Calibri (Body)"/>
          <w:color w:val="000000" w:themeColor="text1"/>
          <w:sz w:val="22"/>
          <w:szCs w:val="22"/>
          <w:vertAlign w:val="superscript"/>
        </w:rPr>
        <w:t>,</w:t>
      </w:r>
      <w:r w:rsidR="00BC343B" w:rsidRPr="00FD4FB7">
        <w:rPr>
          <w:rFonts w:asciiTheme="minorHAnsi" w:hAnsiTheme="minorHAnsi" w:cs="Calibri (Body)"/>
          <w:color w:val="000000" w:themeColor="text1"/>
          <w:sz w:val="22"/>
          <w:szCs w:val="22"/>
          <w:vertAlign w:val="superscript"/>
        </w:rPr>
        <w:t>8</w:t>
      </w:r>
      <w:r w:rsidRPr="00FD4FB7">
        <w:rPr>
          <w:rFonts w:asciiTheme="minorHAnsi" w:hAnsiTheme="minorHAnsi" w:cs="Calibri (Body)"/>
          <w:color w:val="000000" w:themeColor="text1"/>
          <w:sz w:val="22"/>
          <w:szCs w:val="22"/>
          <w:vertAlign w:val="superscript"/>
        </w:rPr>
        <w:t xml:space="preserve"> </w:t>
      </w:r>
      <w:r w:rsidRPr="00FD4FB7">
        <w:rPr>
          <w:rFonts w:asciiTheme="minorHAnsi" w:hAnsiTheme="minorHAnsi" w:cstheme="minorHAnsi"/>
          <w:color w:val="000000" w:themeColor="text1"/>
          <w:sz w:val="22"/>
          <w:szCs w:val="22"/>
        </w:rPr>
        <w:t>clearly recommend that medication for relapse prevention should be offered after MAAW as part of a wider psychosocial treatment plan. In contrast to these recommendations, t</w:t>
      </w:r>
      <w:r w:rsidRPr="00FD4FB7">
        <w:rPr>
          <w:rFonts w:asciiTheme="minorHAnsi" w:hAnsiTheme="minorHAnsi" w:cstheme="minorHAnsi"/>
          <w:bCs/>
          <w:color w:val="000000" w:themeColor="text1"/>
          <w:sz w:val="22"/>
          <w:szCs w:val="22"/>
        </w:rPr>
        <w:t xml:space="preserve">he audit data revealed </w:t>
      </w:r>
      <w:r w:rsidRPr="00FD4FB7">
        <w:rPr>
          <w:rFonts w:asciiTheme="minorHAnsi" w:hAnsiTheme="minorHAnsi" w:cstheme="minorHAnsi"/>
          <w:color w:val="000000" w:themeColor="text1"/>
          <w:sz w:val="22"/>
          <w:szCs w:val="22"/>
        </w:rPr>
        <w:t xml:space="preserve">a relatively low use of relapse prevention medications in those patients with </w:t>
      </w:r>
      <w:r w:rsidRPr="00FD4FB7">
        <w:rPr>
          <w:rFonts w:asciiTheme="minorHAnsi" w:hAnsiTheme="minorHAnsi" w:cstheme="minorHAnsi"/>
          <w:color w:val="000000" w:themeColor="text1"/>
          <w:sz w:val="22"/>
          <w:szCs w:val="22"/>
        </w:rPr>
        <w:lastRenderedPageBreak/>
        <w:t>no specialist input. This may partly reflect that those patients who had an unplanned detoxification from alcohol during admission to an acute adult ward were not yet ready to commit to abstinence or accept a referral to a specialist service. For such patients, motivational interviewing could be an essential part of their wider care package during admission and on discharge. Our finding may also partly reflect that relapse prevention medicines are often categorised by Area Prescribing Committees as 'hospital only' or 'requiring shared care'.</w:t>
      </w:r>
      <w:r w:rsidR="00C84205" w:rsidRPr="00FD4FB7">
        <w:rPr>
          <w:rFonts w:asciiTheme="minorHAnsi" w:hAnsiTheme="minorHAnsi" w:cstheme="minorHAnsi"/>
          <w:color w:val="000000" w:themeColor="text1"/>
          <w:sz w:val="22"/>
          <w:szCs w:val="22"/>
        </w:rPr>
        <w:t xml:space="preserve"> If so, this presents</w:t>
      </w:r>
      <w:r w:rsidRPr="00FD4FB7">
        <w:rPr>
          <w:rFonts w:asciiTheme="minorHAnsi" w:hAnsiTheme="minorHAnsi" w:cstheme="minorHAnsi"/>
          <w:color w:val="000000" w:themeColor="text1"/>
          <w:sz w:val="22"/>
          <w:szCs w:val="22"/>
        </w:rPr>
        <w:t xml:space="preserve"> </w:t>
      </w:r>
      <w:r w:rsidR="0051790A" w:rsidRPr="00FD4FB7">
        <w:rPr>
          <w:rFonts w:asciiTheme="minorHAnsi" w:hAnsiTheme="minorHAnsi" w:cstheme="minorHAnsi"/>
          <w:color w:val="000000" w:themeColor="text1"/>
          <w:sz w:val="22"/>
          <w:szCs w:val="22"/>
        </w:rPr>
        <w:t xml:space="preserve">structural </w:t>
      </w:r>
      <w:r w:rsidRPr="00FD4FB7">
        <w:rPr>
          <w:rFonts w:asciiTheme="minorHAnsi" w:hAnsiTheme="minorHAnsi" w:cstheme="minorHAnsi"/>
          <w:color w:val="000000" w:themeColor="text1"/>
          <w:sz w:val="22"/>
          <w:szCs w:val="22"/>
        </w:rPr>
        <w:t xml:space="preserve">barriers </w:t>
      </w:r>
      <w:r w:rsidR="005F167E" w:rsidRPr="00FD4FB7">
        <w:rPr>
          <w:rFonts w:asciiTheme="minorHAnsi" w:hAnsiTheme="minorHAnsi" w:cstheme="minorHAnsi"/>
          <w:color w:val="000000" w:themeColor="text1"/>
          <w:sz w:val="22"/>
          <w:szCs w:val="22"/>
        </w:rPr>
        <w:t xml:space="preserve">inhibiting </w:t>
      </w:r>
      <w:r w:rsidR="00D274DB" w:rsidRPr="00FD4FB7">
        <w:rPr>
          <w:rFonts w:asciiTheme="minorHAnsi" w:hAnsiTheme="minorHAnsi" w:cstheme="minorHAnsi"/>
          <w:color w:val="000000" w:themeColor="text1"/>
          <w:sz w:val="22"/>
          <w:szCs w:val="22"/>
        </w:rPr>
        <w:t xml:space="preserve">the use of relapse prevention medications for the inpatient clinical team, as it </w:t>
      </w:r>
      <w:r w:rsidR="006071D8" w:rsidRPr="00FD4FB7">
        <w:rPr>
          <w:rFonts w:asciiTheme="minorHAnsi" w:hAnsiTheme="minorHAnsi" w:cstheme="minorHAnsi"/>
          <w:color w:val="000000" w:themeColor="text1"/>
          <w:sz w:val="22"/>
          <w:szCs w:val="22"/>
        </w:rPr>
        <w:t>cannot support a community caseload</w:t>
      </w:r>
      <w:r w:rsidR="00D274DB" w:rsidRPr="00FD4FB7">
        <w:rPr>
          <w:rFonts w:asciiTheme="minorHAnsi" w:hAnsiTheme="minorHAnsi" w:cstheme="minorHAnsi"/>
          <w:color w:val="000000" w:themeColor="text1"/>
          <w:sz w:val="22"/>
          <w:szCs w:val="22"/>
        </w:rPr>
        <w:t xml:space="preserve">: </w:t>
      </w:r>
      <w:r w:rsidR="005F167E" w:rsidRPr="00FD4FB7">
        <w:rPr>
          <w:rFonts w:asciiTheme="minorHAnsi" w:hAnsiTheme="minorHAnsi" w:cstheme="minorHAnsi"/>
          <w:color w:val="000000" w:themeColor="text1"/>
          <w:sz w:val="22"/>
          <w:szCs w:val="22"/>
        </w:rPr>
        <w:t xml:space="preserve">post-discharge, </w:t>
      </w:r>
      <w:r w:rsidR="00D274DB" w:rsidRPr="00FD4FB7">
        <w:rPr>
          <w:rFonts w:asciiTheme="minorHAnsi" w:hAnsiTheme="minorHAnsi" w:cstheme="minorHAnsi"/>
          <w:color w:val="000000" w:themeColor="text1"/>
          <w:sz w:val="22"/>
          <w:szCs w:val="22"/>
        </w:rPr>
        <w:t>a</w:t>
      </w:r>
      <w:r w:rsidR="006071D8" w:rsidRPr="00FD4FB7">
        <w:rPr>
          <w:rFonts w:asciiTheme="minorHAnsi" w:hAnsiTheme="minorHAnsi" w:cstheme="minorHAnsi"/>
          <w:color w:val="000000" w:themeColor="text1"/>
          <w:sz w:val="22"/>
          <w:szCs w:val="22"/>
        </w:rPr>
        <w:t xml:space="preserve"> patient may have intermittent, if any, contact with a community mental health team (many of which have no system to support routine repeat prescribing)</w:t>
      </w:r>
      <w:r w:rsidR="00DB0C7F" w:rsidRPr="00FD4FB7">
        <w:rPr>
          <w:rFonts w:asciiTheme="minorHAnsi" w:hAnsiTheme="minorHAnsi" w:cstheme="minorHAnsi"/>
          <w:color w:val="000000" w:themeColor="text1"/>
          <w:sz w:val="22"/>
          <w:szCs w:val="22"/>
        </w:rPr>
        <w:t>. S</w:t>
      </w:r>
      <w:r w:rsidR="006071D8" w:rsidRPr="00FD4FB7">
        <w:rPr>
          <w:rFonts w:asciiTheme="minorHAnsi" w:hAnsiTheme="minorHAnsi" w:cstheme="minorHAnsi"/>
          <w:color w:val="000000" w:themeColor="text1"/>
          <w:sz w:val="22"/>
          <w:szCs w:val="22"/>
        </w:rPr>
        <w:t xml:space="preserve">pecialist </w:t>
      </w:r>
      <w:r w:rsidR="00B93A2D" w:rsidRPr="00FD4FB7">
        <w:rPr>
          <w:rFonts w:asciiTheme="minorHAnsi" w:hAnsiTheme="minorHAnsi" w:cstheme="minorHAnsi"/>
          <w:color w:val="000000" w:themeColor="text1"/>
          <w:sz w:val="22"/>
          <w:szCs w:val="22"/>
        </w:rPr>
        <w:t xml:space="preserve">community </w:t>
      </w:r>
      <w:r w:rsidR="007308C6"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006071D8" w:rsidRPr="00FD4FB7">
        <w:rPr>
          <w:rFonts w:asciiTheme="minorHAnsi" w:hAnsiTheme="minorHAnsi" w:cstheme="minorHAnsi"/>
          <w:color w:val="000000" w:themeColor="text1"/>
          <w:sz w:val="22"/>
          <w:szCs w:val="22"/>
        </w:rPr>
        <w:t xml:space="preserve"> services are commissioned and provided separately</w:t>
      </w:r>
      <w:r w:rsidR="00DB0C7F" w:rsidRPr="00FD4FB7">
        <w:rPr>
          <w:rFonts w:asciiTheme="minorHAnsi" w:hAnsiTheme="minorHAnsi" w:cstheme="minorHAnsi"/>
          <w:color w:val="000000" w:themeColor="text1"/>
          <w:sz w:val="22"/>
          <w:szCs w:val="22"/>
        </w:rPr>
        <w:t>,</w:t>
      </w:r>
      <w:r w:rsidR="006071D8" w:rsidRPr="00FD4FB7">
        <w:rPr>
          <w:rFonts w:asciiTheme="minorHAnsi" w:hAnsiTheme="minorHAnsi" w:cstheme="minorHAnsi"/>
          <w:color w:val="000000" w:themeColor="text1"/>
          <w:sz w:val="22"/>
          <w:szCs w:val="22"/>
        </w:rPr>
        <w:t xml:space="preserve"> and </w:t>
      </w:r>
      <w:r w:rsidR="00D274DB" w:rsidRPr="00FD4FB7">
        <w:rPr>
          <w:rFonts w:asciiTheme="minorHAnsi" w:hAnsiTheme="minorHAnsi" w:cstheme="minorHAnsi"/>
          <w:color w:val="000000" w:themeColor="text1"/>
          <w:sz w:val="22"/>
          <w:szCs w:val="22"/>
        </w:rPr>
        <w:t xml:space="preserve">a </w:t>
      </w:r>
      <w:r w:rsidR="006071D8" w:rsidRPr="00FD4FB7">
        <w:rPr>
          <w:rFonts w:asciiTheme="minorHAnsi" w:hAnsiTheme="minorHAnsi" w:cstheme="minorHAnsi"/>
          <w:color w:val="000000" w:themeColor="text1"/>
          <w:sz w:val="22"/>
          <w:szCs w:val="22"/>
        </w:rPr>
        <w:t>GP requires a specialist to be identified with whom care can be shared. Overcoming these barriers requires a system solution</w:t>
      </w:r>
      <w:r w:rsidR="00AB4D2B" w:rsidRPr="00FD4FB7">
        <w:rPr>
          <w:rFonts w:asciiTheme="minorHAnsi" w:hAnsiTheme="minorHAnsi" w:cstheme="minorHAnsi"/>
          <w:color w:val="000000" w:themeColor="text1"/>
          <w:sz w:val="22"/>
          <w:szCs w:val="22"/>
        </w:rPr>
        <w:t>,</w:t>
      </w:r>
      <w:r w:rsidR="005B3858" w:rsidRPr="00FD4FB7">
        <w:rPr>
          <w:rFonts w:asciiTheme="minorHAnsi" w:hAnsiTheme="minorHAnsi" w:cstheme="minorHAnsi"/>
          <w:color w:val="000000" w:themeColor="text1"/>
          <w:sz w:val="22"/>
          <w:szCs w:val="22"/>
        </w:rPr>
        <w:t xml:space="preserve"> </w:t>
      </w:r>
      <w:r w:rsidR="00BF7B49" w:rsidRPr="00FD4FB7">
        <w:rPr>
          <w:rFonts w:asciiTheme="minorHAnsi" w:hAnsiTheme="minorHAnsi" w:cstheme="minorHAnsi"/>
          <w:color w:val="000000" w:themeColor="text1"/>
          <w:sz w:val="22"/>
          <w:szCs w:val="22"/>
        </w:rPr>
        <w:t xml:space="preserve">although this is rarely seen as a priority in local health economies and may therefore remain elusive. Further impediments are </w:t>
      </w:r>
      <w:r w:rsidR="005E7F87" w:rsidRPr="00FD4FB7">
        <w:rPr>
          <w:rFonts w:asciiTheme="minorHAnsi" w:hAnsiTheme="minorHAnsi" w:cstheme="minorHAnsi"/>
          <w:color w:val="000000" w:themeColor="text1"/>
          <w:sz w:val="22"/>
          <w:szCs w:val="22"/>
        </w:rPr>
        <w:t xml:space="preserve">the lack of </w:t>
      </w:r>
      <w:r w:rsidR="00AB4D2B" w:rsidRPr="00516FC7">
        <w:rPr>
          <w:rFonts w:asciiTheme="minorHAnsi" w:hAnsiTheme="minorHAnsi" w:cstheme="minorHAnsi"/>
          <w:color w:val="000000" w:themeColor="text1"/>
          <w:sz w:val="22"/>
          <w:szCs w:val="22"/>
        </w:rPr>
        <w:t>addiction</w:t>
      </w:r>
      <w:r w:rsidR="00883021" w:rsidRPr="00516FC7">
        <w:rPr>
          <w:rFonts w:asciiTheme="minorHAnsi" w:hAnsiTheme="minorHAnsi" w:cstheme="minorHAnsi"/>
          <w:color w:val="000000" w:themeColor="text1"/>
          <w:sz w:val="22"/>
          <w:szCs w:val="22"/>
        </w:rPr>
        <w:t>s</w:t>
      </w:r>
      <w:r w:rsidR="00AB4D2B" w:rsidRPr="00FD4FB7">
        <w:rPr>
          <w:rFonts w:asciiTheme="minorHAnsi" w:hAnsiTheme="minorHAnsi" w:cstheme="minorHAnsi"/>
          <w:color w:val="000000" w:themeColor="text1"/>
          <w:sz w:val="22"/>
          <w:szCs w:val="22"/>
        </w:rPr>
        <w:t xml:space="preserve"> specialists to advocate</w:t>
      </w:r>
      <w:r w:rsidR="005B3858" w:rsidRPr="00FD4FB7">
        <w:rPr>
          <w:rFonts w:asciiTheme="minorHAnsi" w:hAnsiTheme="minorHAnsi" w:cstheme="minorHAnsi"/>
          <w:color w:val="000000" w:themeColor="text1"/>
          <w:sz w:val="22"/>
          <w:szCs w:val="22"/>
        </w:rPr>
        <w:t xml:space="preserve"> for practicable solutions to remove</w:t>
      </w:r>
      <w:r w:rsidR="00D1474F" w:rsidRPr="00FD4FB7">
        <w:rPr>
          <w:rFonts w:asciiTheme="minorHAnsi" w:hAnsiTheme="minorHAnsi" w:cstheme="minorHAnsi"/>
          <w:color w:val="000000" w:themeColor="text1"/>
          <w:sz w:val="22"/>
          <w:szCs w:val="22"/>
        </w:rPr>
        <w:t xml:space="preserve"> these barriers to good patient care </w:t>
      </w:r>
      <w:r w:rsidR="00BF7B49" w:rsidRPr="00FD4FB7">
        <w:rPr>
          <w:rFonts w:asciiTheme="minorHAnsi" w:hAnsiTheme="minorHAnsi" w:cstheme="minorHAnsi"/>
          <w:color w:val="000000" w:themeColor="text1"/>
          <w:sz w:val="22"/>
          <w:szCs w:val="22"/>
        </w:rPr>
        <w:t>and the stigma associated with alcohol dependence.</w:t>
      </w:r>
    </w:p>
    <w:p w14:paraId="0F3D8687" w14:textId="77777777" w:rsidR="00932043" w:rsidRPr="00FD4FB7" w:rsidRDefault="00932043" w:rsidP="00EE0574">
      <w:pPr>
        <w:rPr>
          <w:rFonts w:asciiTheme="minorHAnsi" w:hAnsiTheme="minorHAnsi" w:cstheme="minorHAnsi"/>
          <w:sz w:val="22"/>
          <w:szCs w:val="22"/>
        </w:rPr>
      </w:pPr>
    </w:p>
    <w:p w14:paraId="02167808" w14:textId="06717F5E" w:rsidR="00E20889" w:rsidRPr="00FD4FB7" w:rsidRDefault="006631D4" w:rsidP="00EE0574">
      <w:pPr>
        <w:spacing w:line="360" w:lineRule="auto"/>
        <w:rPr>
          <w:rFonts w:asciiTheme="minorHAnsi" w:hAnsiTheme="minorHAnsi" w:cstheme="minorHAnsi"/>
          <w:sz w:val="22"/>
          <w:szCs w:val="22"/>
        </w:rPr>
      </w:pPr>
      <w:r w:rsidRPr="00FD4FB7">
        <w:rPr>
          <w:rFonts w:asciiTheme="minorHAnsi" w:hAnsiTheme="minorHAnsi" w:cstheme="minorHAnsi"/>
          <w:b/>
          <w:sz w:val="22"/>
          <w:szCs w:val="22"/>
        </w:rPr>
        <w:t xml:space="preserve">What </w:t>
      </w:r>
      <w:r w:rsidR="00163B96" w:rsidRPr="00FD4FB7">
        <w:rPr>
          <w:rFonts w:asciiTheme="minorHAnsi" w:hAnsiTheme="minorHAnsi" w:cstheme="minorHAnsi"/>
          <w:b/>
          <w:sz w:val="22"/>
          <w:szCs w:val="22"/>
        </w:rPr>
        <w:t xml:space="preserve">can be </w:t>
      </w:r>
      <w:r w:rsidRPr="00FD4FB7">
        <w:rPr>
          <w:rFonts w:asciiTheme="minorHAnsi" w:hAnsiTheme="minorHAnsi" w:cstheme="minorHAnsi"/>
          <w:b/>
          <w:sz w:val="22"/>
          <w:szCs w:val="22"/>
        </w:rPr>
        <w:t>done to improve the quality of MAAW in mental health settings?</w:t>
      </w:r>
      <w:r w:rsidR="00317321" w:rsidRPr="00FD4FB7">
        <w:rPr>
          <w:rFonts w:asciiTheme="minorHAnsi" w:hAnsiTheme="minorHAnsi" w:cstheme="minorHAnsi"/>
          <w:b/>
          <w:sz w:val="22"/>
          <w:szCs w:val="22"/>
        </w:rPr>
        <w:t xml:space="preserve"> </w:t>
      </w:r>
    </w:p>
    <w:p w14:paraId="3478D0DD" w14:textId="03F4AED3" w:rsidR="00445F2B" w:rsidRPr="00FD4FB7" w:rsidRDefault="0055548B" w:rsidP="007203B0">
      <w:pPr>
        <w:spacing w:line="360" w:lineRule="auto"/>
        <w:rPr>
          <w:rFonts w:asciiTheme="minorHAnsi" w:hAnsiTheme="minorHAnsi" w:cstheme="minorHAnsi"/>
          <w:sz w:val="22"/>
          <w:szCs w:val="22"/>
        </w:rPr>
      </w:pPr>
      <w:r w:rsidRPr="00FD4FB7">
        <w:rPr>
          <w:rFonts w:asciiTheme="minorHAnsi" w:hAnsiTheme="minorHAnsi" w:cstheme="minorHAnsi"/>
          <w:color w:val="000000" w:themeColor="text1"/>
          <w:sz w:val="22"/>
          <w:szCs w:val="22"/>
        </w:rPr>
        <w:t>The</w:t>
      </w:r>
      <w:r w:rsidR="00445F2B"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2022</w:t>
      </w:r>
      <w:r w:rsidR="00445F2B" w:rsidRPr="00FD4FB7">
        <w:rPr>
          <w:rFonts w:asciiTheme="minorHAnsi" w:hAnsiTheme="minorHAnsi" w:cstheme="minorHAnsi"/>
          <w:color w:val="000000" w:themeColor="text1"/>
          <w:sz w:val="22"/>
          <w:szCs w:val="22"/>
        </w:rPr>
        <w:t xml:space="preserve"> curriculum </w:t>
      </w:r>
      <w:r w:rsidRPr="00FD4FB7">
        <w:rPr>
          <w:rFonts w:asciiTheme="minorHAnsi" w:hAnsiTheme="minorHAnsi" w:cstheme="minorHAnsi"/>
          <w:color w:val="000000" w:themeColor="text1"/>
          <w:sz w:val="22"/>
          <w:szCs w:val="22"/>
        </w:rPr>
        <w:t>for general psychiatry</w:t>
      </w:r>
      <w:r w:rsidR="00F34513" w:rsidRPr="00FD4FB7">
        <w:rPr>
          <w:rFonts w:asciiTheme="minorHAnsi" w:hAnsiTheme="minorHAnsi" w:cstheme="minorHAnsi"/>
          <w:color w:val="000000" w:themeColor="text1"/>
          <w:sz w:val="22"/>
          <w:szCs w:val="22"/>
        </w:rPr>
        <w:t xml:space="preserve"> </w:t>
      </w:r>
      <w:r w:rsidRPr="00FD4FB7">
        <w:rPr>
          <w:rFonts w:asciiTheme="minorHAnsi" w:hAnsiTheme="minorHAnsi" w:cs="Calibri (Body)"/>
          <w:color w:val="000000" w:themeColor="text1"/>
          <w:sz w:val="22"/>
          <w:szCs w:val="22"/>
          <w:vertAlign w:val="superscript"/>
        </w:rPr>
        <w:t>2</w:t>
      </w:r>
      <w:r w:rsidR="0033546C" w:rsidRPr="00FD4FB7">
        <w:rPr>
          <w:rFonts w:asciiTheme="minorHAnsi" w:hAnsiTheme="minorHAnsi" w:cs="Calibri (Body)"/>
          <w:color w:val="000000" w:themeColor="text1"/>
          <w:sz w:val="22"/>
          <w:szCs w:val="22"/>
          <w:vertAlign w:val="superscript"/>
        </w:rPr>
        <w:t>4</w:t>
      </w:r>
      <w:r w:rsidR="00445F2B" w:rsidRPr="00FD4FB7">
        <w:rPr>
          <w:rFonts w:asciiTheme="minorHAnsi" w:hAnsiTheme="minorHAnsi" w:cs="Calibri (Body)"/>
          <w:color w:val="000000" w:themeColor="text1"/>
          <w:sz w:val="22"/>
          <w:szCs w:val="22"/>
          <w:vertAlign w:val="superscript"/>
        </w:rPr>
        <w:t xml:space="preserve"> </w:t>
      </w:r>
      <w:r w:rsidR="00445F2B" w:rsidRPr="00FD4FB7">
        <w:rPr>
          <w:rFonts w:asciiTheme="minorHAnsi" w:hAnsiTheme="minorHAnsi" w:cstheme="minorHAnsi"/>
          <w:color w:val="000000" w:themeColor="text1"/>
          <w:sz w:val="22"/>
          <w:szCs w:val="22"/>
        </w:rPr>
        <w:t>requires all core trainees in psychiatry to ‘Demonstrate skills in assessing and managing patients with addictions</w:t>
      </w:r>
      <w:r w:rsidR="00DB0C7F" w:rsidRPr="00FD4FB7">
        <w:rPr>
          <w:rFonts w:asciiTheme="minorHAnsi" w:hAnsiTheme="minorHAnsi" w:cstheme="minorHAnsi"/>
          <w:color w:val="000000" w:themeColor="text1"/>
          <w:sz w:val="22"/>
          <w:szCs w:val="22"/>
        </w:rPr>
        <w:t>’</w:t>
      </w:r>
      <w:r w:rsidR="00445F2B" w:rsidRPr="00FD4FB7">
        <w:rPr>
          <w:rFonts w:asciiTheme="minorHAnsi" w:hAnsiTheme="minorHAnsi" w:cstheme="minorHAnsi"/>
          <w:color w:val="000000" w:themeColor="text1"/>
          <w:sz w:val="22"/>
          <w:szCs w:val="22"/>
        </w:rPr>
        <w:t>. This stipulation could provide an opportunity to upskill the medical workforce in this area and improve MAAW for patients admitted to acute psychiatric inpatient units.</w:t>
      </w:r>
      <w:r w:rsidR="000A23CC" w:rsidRPr="00FD4FB7">
        <w:rPr>
          <w:rFonts w:asciiTheme="minorHAnsi" w:hAnsiTheme="minorHAnsi" w:cstheme="minorHAnsi"/>
          <w:color w:val="000000" w:themeColor="text1"/>
          <w:sz w:val="22"/>
          <w:szCs w:val="22"/>
        </w:rPr>
        <w:t xml:space="preserve"> </w:t>
      </w:r>
      <w:r w:rsidR="007203B0" w:rsidRPr="00516FC7">
        <w:rPr>
          <w:rFonts w:ascii="Calibri" w:hAnsi="Calibri" w:cs="Calibri"/>
          <w:color w:val="000000" w:themeColor="text1"/>
          <w:sz w:val="22"/>
          <w:szCs w:val="22"/>
          <w:shd w:val="clear" w:color="auto" w:fill="FFFFFF"/>
        </w:rPr>
        <w:t xml:space="preserve">There are emerging, regional, </w:t>
      </w:r>
      <w:r w:rsidR="00367639" w:rsidRPr="00516FC7">
        <w:rPr>
          <w:rFonts w:ascii="Calibri" w:hAnsi="Calibri" w:cs="Calibri"/>
          <w:color w:val="000000" w:themeColor="text1"/>
          <w:sz w:val="22"/>
          <w:szCs w:val="22"/>
          <w:shd w:val="clear" w:color="auto" w:fill="FFFFFF"/>
        </w:rPr>
        <w:t>A</w:t>
      </w:r>
      <w:r w:rsidR="007203B0" w:rsidRPr="00516FC7">
        <w:rPr>
          <w:rFonts w:ascii="Calibri" w:hAnsi="Calibri" w:cs="Calibri"/>
          <w:color w:val="000000" w:themeColor="text1"/>
          <w:sz w:val="22"/>
          <w:szCs w:val="22"/>
          <w:shd w:val="clear" w:color="auto" w:fill="FFFFFF"/>
        </w:rPr>
        <w:t>ddiction</w:t>
      </w:r>
      <w:r w:rsidR="00883021" w:rsidRPr="00516FC7">
        <w:rPr>
          <w:rFonts w:ascii="Calibri" w:hAnsi="Calibri" w:cs="Calibri"/>
          <w:color w:val="000000" w:themeColor="text1"/>
          <w:sz w:val="22"/>
          <w:szCs w:val="22"/>
          <w:shd w:val="clear" w:color="auto" w:fill="FFFFFF"/>
        </w:rPr>
        <w:t>s</w:t>
      </w:r>
      <w:r w:rsidR="007203B0" w:rsidRPr="00516FC7">
        <w:rPr>
          <w:rFonts w:ascii="Calibri" w:hAnsi="Calibri" w:cs="Calibri"/>
          <w:color w:val="000000" w:themeColor="text1"/>
          <w:sz w:val="22"/>
          <w:szCs w:val="22"/>
          <w:shd w:val="clear" w:color="auto" w:fill="FFFFFF"/>
        </w:rPr>
        <w:t xml:space="preserve"> </w:t>
      </w:r>
      <w:r w:rsidR="00367639" w:rsidRPr="00516FC7">
        <w:rPr>
          <w:rFonts w:ascii="Calibri" w:hAnsi="Calibri" w:cs="Calibri"/>
          <w:color w:val="000000" w:themeColor="text1"/>
          <w:sz w:val="22"/>
          <w:szCs w:val="22"/>
          <w:shd w:val="clear" w:color="auto" w:fill="FFFFFF"/>
        </w:rPr>
        <w:t>T</w:t>
      </w:r>
      <w:r w:rsidR="007203B0" w:rsidRPr="00516FC7">
        <w:rPr>
          <w:rFonts w:ascii="Calibri" w:hAnsi="Calibri" w:cs="Calibri"/>
          <w:color w:val="000000" w:themeColor="text1"/>
          <w:sz w:val="22"/>
          <w:szCs w:val="22"/>
          <w:shd w:val="clear" w:color="auto" w:fill="FFFFFF"/>
        </w:rPr>
        <w:t xml:space="preserve">utor </w:t>
      </w:r>
      <w:r w:rsidR="00367639" w:rsidRPr="00516FC7">
        <w:rPr>
          <w:rFonts w:ascii="Calibri" w:hAnsi="Calibri" w:cs="Calibri"/>
          <w:color w:val="000000" w:themeColor="text1"/>
          <w:sz w:val="22"/>
          <w:szCs w:val="22"/>
          <w:shd w:val="clear" w:color="auto" w:fill="FFFFFF"/>
        </w:rPr>
        <w:t>N</w:t>
      </w:r>
      <w:r w:rsidR="007203B0" w:rsidRPr="00516FC7">
        <w:rPr>
          <w:rFonts w:ascii="Calibri" w:hAnsi="Calibri" w:cs="Calibri"/>
          <w:color w:val="000000" w:themeColor="text1"/>
          <w:sz w:val="22"/>
          <w:szCs w:val="22"/>
          <w:shd w:val="clear" w:color="auto" w:fill="FFFFFF"/>
        </w:rPr>
        <w:t>etworks</w:t>
      </w:r>
      <w:r w:rsidR="007203B0" w:rsidRPr="00516FC7">
        <w:rPr>
          <w:rFonts w:asciiTheme="minorHAnsi" w:hAnsiTheme="minorHAnsi" w:cstheme="minorHAnsi"/>
          <w:color w:val="000000" w:themeColor="text1"/>
          <w:sz w:val="22"/>
          <w:szCs w:val="22"/>
        </w:rPr>
        <w:t xml:space="preserve"> </w:t>
      </w:r>
      <w:r w:rsidR="00C63AED" w:rsidRPr="00516FC7">
        <w:rPr>
          <w:rFonts w:asciiTheme="minorHAnsi" w:hAnsiTheme="minorHAnsi" w:cstheme="minorHAnsi"/>
          <w:color w:val="000000" w:themeColor="text1"/>
          <w:sz w:val="22"/>
          <w:szCs w:val="22"/>
        </w:rPr>
        <w:t>(overseen by the Addiction</w:t>
      </w:r>
      <w:r w:rsidR="00883021" w:rsidRPr="00516FC7">
        <w:rPr>
          <w:rFonts w:asciiTheme="minorHAnsi" w:hAnsiTheme="minorHAnsi" w:cstheme="minorHAnsi"/>
          <w:color w:val="000000" w:themeColor="text1"/>
          <w:sz w:val="22"/>
          <w:szCs w:val="22"/>
        </w:rPr>
        <w:t>s</w:t>
      </w:r>
      <w:r w:rsidR="00C63AED" w:rsidRPr="00516FC7">
        <w:rPr>
          <w:rFonts w:asciiTheme="minorHAnsi" w:hAnsiTheme="minorHAnsi" w:cstheme="minorHAnsi"/>
          <w:color w:val="000000" w:themeColor="text1"/>
          <w:sz w:val="22"/>
          <w:szCs w:val="22"/>
        </w:rPr>
        <w:t xml:space="preserve"> Specialty</w:t>
      </w:r>
      <w:r w:rsidR="00296C83" w:rsidRPr="00516FC7">
        <w:rPr>
          <w:rFonts w:asciiTheme="minorHAnsi" w:hAnsiTheme="minorHAnsi" w:cstheme="minorHAnsi"/>
          <w:color w:val="000000" w:themeColor="text1"/>
          <w:sz w:val="22"/>
          <w:szCs w:val="22"/>
        </w:rPr>
        <w:t xml:space="preserve"> Advisory Committee within the R</w:t>
      </w:r>
      <w:r w:rsidR="007203B0" w:rsidRPr="00516FC7">
        <w:rPr>
          <w:rFonts w:asciiTheme="minorHAnsi" w:hAnsiTheme="minorHAnsi" w:cstheme="minorHAnsi"/>
          <w:color w:val="000000" w:themeColor="text1"/>
          <w:sz w:val="22"/>
          <w:szCs w:val="22"/>
        </w:rPr>
        <w:t>oyal College of Psychiatrists</w:t>
      </w:r>
      <w:r w:rsidR="00296C83" w:rsidRPr="00516FC7">
        <w:rPr>
          <w:rFonts w:asciiTheme="minorHAnsi" w:hAnsiTheme="minorHAnsi" w:cstheme="minorHAnsi"/>
          <w:color w:val="000000" w:themeColor="text1"/>
          <w:sz w:val="22"/>
          <w:szCs w:val="22"/>
        </w:rPr>
        <w:t>)</w:t>
      </w:r>
      <w:r w:rsidR="007203B0" w:rsidRPr="00516FC7">
        <w:rPr>
          <w:rFonts w:asciiTheme="minorHAnsi" w:hAnsiTheme="minorHAnsi" w:cstheme="minorHAnsi"/>
          <w:color w:val="000000" w:themeColor="text1"/>
          <w:sz w:val="22"/>
          <w:szCs w:val="22"/>
        </w:rPr>
        <w:t>,</w:t>
      </w:r>
      <w:r w:rsidR="00296C83" w:rsidRPr="00516FC7">
        <w:rPr>
          <w:rFonts w:asciiTheme="minorHAnsi" w:hAnsiTheme="minorHAnsi" w:cstheme="minorHAnsi"/>
          <w:color w:val="000000" w:themeColor="text1"/>
          <w:sz w:val="22"/>
          <w:szCs w:val="22"/>
        </w:rPr>
        <w:t xml:space="preserve"> </w:t>
      </w:r>
      <w:r w:rsidR="002863F1" w:rsidRPr="00516FC7">
        <w:rPr>
          <w:rFonts w:asciiTheme="minorHAnsi" w:hAnsiTheme="minorHAnsi" w:cstheme="minorHAnsi"/>
          <w:color w:val="000000" w:themeColor="text1"/>
          <w:sz w:val="22"/>
          <w:szCs w:val="22"/>
        </w:rPr>
        <w:t xml:space="preserve">which </w:t>
      </w:r>
      <w:r w:rsidR="007203B0" w:rsidRPr="00516FC7">
        <w:rPr>
          <w:rFonts w:asciiTheme="minorHAnsi" w:hAnsiTheme="minorHAnsi" w:cstheme="minorHAnsi"/>
          <w:color w:val="000000" w:themeColor="text1"/>
          <w:sz w:val="22"/>
          <w:szCs w:val="22"/>
        </w:rPr>
        <w:t xml:space="preserve">will </w:t>
      </w:r>
      <w:r w:rsidR="002863F1" w:rsidRPr="00516FC7">
        <w:rPr>
          <w:rFonts w:asciiTheme="minorHAnsi" w:hAnsiTheme="minorHAnsi" w:cstheme="minorHAnsi"/>
          <w:color w:val="000000" w:themeColor="text1"/>
          <w:sz w:val="22"/>
          <w:szCs w:val="22"/>
        </w:rPr>
        <w:t xml:space="preserve">facilitate the </w:t>
      </w:r>
      <w:r w:rsidR="00A02F1D" w:rsidRPr="00516FC7">
        <w:rPr>
          <w:rFonts w:asciiTheme="minorHAnsi" w:hAnsiTheme="minorHAnsi" w:cstheme="minorHAnsi"/>
          <w:color w:val="000000" w:themeColor="text1"/>
          <w:sz w:val="22"/>
          <w:szCs w:val="22"/>
        </w:rPr>
        <w:t>assessment of these</w:t>
      </w:r>
      <w:r w:rsidR="002863F1" w:rsidRPr="00516FC7">
        <w:rPr>
          <w:rFonts w:asciiTheme="minorHAnsi" w:hAnsiTheme="minorHAnsi" w:cstheme="minorHAnsi"/>
          <w:color w:val="000000" w:themeColor="text1"/>
          <w:sz w:val="22"/>
          <w:szCs w:val="22"/>
        </w:rPr>
        <w:t xml:space="preserve"> new competencies, </w:t>
      </w:r>
      <w:r w:rsidR="00296C83" w:rsidRPr="00516FC7">
        <w:rPr>
          <w:rFonts w:asciiTheme="minorHAnsi" w:hAnsiTheme="minorHAnsi" w:cstheme="minorHAnsi"/>
          <w:color w:val="000000" w:themeColor="text1"/>
          <w:sz w:val="22"/>
          <w:szCs w:val="22"/>
        </w:rPr>
        <w:t>and wo</w:t>
      </w:r>
      <w:r w:rsidR="002863F1" w:rsidRPr="00516FC7">
        <w:rPr>
          <w:rFonts w:asciiTheme="minorHAnsi" w:hAnsiTheme="minorHAnsi" w:cstheme="minorHAnsi"/>
          <w:color w:val="000000" w:themeColor="text1"/>
          <w:sz w:val="22"/>
          <w:szCs w:val="22"/>
        </w:rPr>
        <w:t xml:space="preserve">uld be well placed to encourage further QI </w:t>
      </w:r>
      <w:r w:rsidR="00D144A0" w:rsidRPr="00516FC7">
        <w:rPr>
          <w:rFonts w:asciiTheme="minorHAnsi" w:hAnsiTheme="minorHAnsi" w:cstheme="minorHAnsi"/>
          <w:color w:val="000000" w:themeColor="text1"/>
          <w:sz w:val="22"/>
          <w:szCs w:val="22"/>
        </w:rPr>
        <w:t>work in this area.</w:t>
      </w:r>
      <w:r w:rsidR="00D144A0" w:rsidRPr="00FD4FB7">
        <w:rPr>
          <w:rFonts w:asciiTheme="minorHAnsi" w:hAnsiTheme="minorHAnsi" w:cstheme="minorHAnsi"/>
          <w:color w:val="000000" w:themeColor="text1"/>
          <w:sz w:val="22"/>
          <w:szCs w:val="22"/>
        </w:rPr>
        <w:t xml:space="preserve"> </w:t>
      </w:r>
      <w:r w:rsidR="000A23CC" w:rsidRPr="00FD4FB7">
        <w:rPr>
          <w:rFonts w:asciiTheme="minorHAnsi" w:hAnsiTheme="minorHAnsi" w:cstheme="minorHAnsi"/>
          <w:color w:val="000000" w:themeColor="text1"/>
          <w:sz w:val="22"/>
          <w:szCs w:val="22"/>
        </w:rPr>
        <w:t xml:space="preserve">This is especially important as </w:t>
      </w:r>
      <w:r w:rsidR="0092160B" w:rsidRPr="00FD4FB7">
        <w:rPr>
          <w:rFonts w:asciiTheme="minorHAnsi" w:hAnsiTheme="minorHAnsi" w:cstheme="minorHAnsi"/>
          <w:color w:val="000000" w:themeColor="text1"/>
          <w:sz w:val="22"/>
          <w:szCs w:val="22"/>
        </w:rPr>
        <w:t xml:space="preserve">alcohol dependence is a common comorbidity in patients with </w:t>
      </w:r>
      <w:r w:rsidR="002D165C" w:rsidRPr="00FD4FB7">
        <w:rPr>
          <w:rFonts w:asciiTheme="minorHAnsi" w:hAnsiTheme="minorHAnsi" w:cstheme="minorHAnsi"/>
          <w:color w:val="000000" w:themeColor="text1"/>
          <w:sz w:val="22"/>
          <w:szCs w:val="22"/>
        </w:rPr>
        <w:t>serious mental illness</w:t>
      </w:r>
      <w:r w:rsidR="00DA2829" w:rsidRPr="00FD4FB7">
        <w:rPr>
          <w:rFonts w:asciiTheme="minorHAnsi" w:hAnsiTheme="minorHAnsi" w:cstheme="minorHAnsi"/>
          <w:color w:val="000000" w:themeColor="text1"/>
          <w:sz w:val="22"/>
          <w:szCs w:val="22"/>
        </w:rPr>
        <w:t xml:space="preserve">, </w:t>
      </w:r>
      <w:r w:rsidR="00E13358" w:rsidRPr="00FD4FB7">
        <w:rPr>
          <w:rFonts w:asciiTheme="minorHAnsi" w:hAnsiTheme="minorHAnsi" w:cstheme="minorHAnsi"/>
          <w:color w:val="000000" w:themeColor="text1"/>
          <w:sz w:val="22"/>
          <w:szCs w:val="22"/>
        </w:rPr>
        <w:t>and yet patients face</w:t>
      </w:r>
      <w:r w:rsidR="00F85022" w:rsidRPr="00FD4FB7">
        <w:rPr>
          <w:rFonts w:asciiTheme="minorHAnsi" w:hAnsiTheme="minorHAnsi" w:cstheme="minorHAnsi"/>
          <w:color w:val="000000" w:themeColor="text1"/>
          <w:sz w:val="22"/>
          <w:szCs w:val="22"/>
        </w:rPr>
        <w:t xml:space="preserve"> </w:t>
      </w:r>
      <w:r w:rsidR="007E4963" w:rsidRPr="00FD4FB7">
        <w:rPr>
          <w:rFonts w:asciiTheme="minorHAnsi" w:hAnsiTheme="minorHAnsi" w:cstheme="minorHAnsi"/>
          <w:color w:val="000000" w:themeColor="text1"/>
          <w:sz w:val="22"/>
          <w:szCs w:val="22"/>
        </w:rPr>
        <w:t>numerous</w:t>
      </w:r>
      <w:r w:rsidR="00813611" w:rsidRPr="00FD4FB7">
        <w:rPr>
          <w:rFonts w:asciiTheme="minorHAnsi" w:hAnsiTheme="minorHAnsi" w:cstheme="minorHAnsi"/>
          <w:color w:val="000000" w:themeColor="text1"/>
          <w:sz w:val="22"/>
          <w:szCs w:val="22"/>
        </w:rPr>
        <w:t xml:space="preserve"> </w:t>
      </w:r>
      <w:r w:rsidR="00996C85" w:rsidRPr="00FD4FB7">
        <w:rPr>
          <w:rFonts w:asciiTheme="minorHAnsi" w:hAnsiTheme="minorHAnsi" w:cstheme="minorHAnsi"/>
          <w:color w:val="000000" w:themeColor="text1"/>
          <w:sz w:val="22"/>
          <w:szCs w:val="22"/>
        </w:rPr>
        <w:t xml:space="preserve">attitudinal </w:t>
      </w:r>
      <w:r w:rsidR="00AE249D" w:rsidRPr="00FD4FB7">
        <w:rPr>
          <w:rFonts w:asciiTheme="minorHAnsi" w:hAnsiTheme="minorHAnsi" w:cstheme="minorHAnsi"/>
          <w:color w:val="000000" w:themeColor="text1"/>
          <w:sz w:val="22"/>
          <w:szCs w:val="22"/>
        </w:rPr>
        <w:t xml:space="preserve">as well as </w:t>
      </w:r>
      <w:r w:rsidR="00813611" w:rsidRPr="00FD4FB7">
        <w:rPr>
          <w:rFonts w:asciiTheme="minorHAnsi" w:hAnsiTheme="minorHAnsi" w:cstheme="minorHAnsi"/>
          <w:color w:val="000000" w:themeColor="text1"/>
          <w:sz w:val="22"/>
          <w:szCs w:val="22"/>
        </w:rPr>
        <w:t>structural barriers that prevent them from receiving optimised person</w:t>
      </w:r>
      <w:r w:rsidR="0032742F" w:rsidRPr="00FD4FB7">
        <w:rPr>
          <w:rFonts w:asciiTheme="minorHAnsi" w:hAnsiTheme="minorHAnsi" w:cstheme="minorHAnsi"/>
          <w:color w:val="000000" w:themeColor="text1"/>
          <w:sz w:val="22"/>
          <w:szCs w:val="22"/>
        </w:rPr>
        <w:t>-</w:t>
      </w:r>
      <w:r w:rsidR="00813611" w:rsidRPr="00FD4FB7">
        <w:rPr>
          <w:rFonts w:asciiTheme="minorHAnsi" w:hAnsiTheme="minorHAnsi" w:cstheme="minorHAnsi"/>
          <w:color w:val="000000" w:themeColor="text1"/>
          <w:sz w:val="22"/>
          <w:szCs w:val="22"/>
        </w:rPr>
        <w:t>centred care</w:t>
      </w:r>
      <w:r w:rsidR="00C130DF" w:rsidRPr="00FD4FB7">
        <w:rPr>
          <w:rFonts w:asciiTheme="minorHAnsi" w:hAnsiTheme="minorHAnsi" w:cstheme="minorHAnsi"/>
          <w:color w:val="000000" w:themeColor="text1"/>
          <w:sz w:val="22"/>
          <w:szCs w:val="22"/>
        </w:rPr>
        <w:t>.</w:t>
      </w:r>
      <w:r w:rsidR="00F34513" w:rsidRPr="00FD4FB7">
        <w:rPr>
          <w:rFonts w:asciiTheme="minorHAnsi" w:hAnsiTheme="minorHAnsi" w:cstheme="minorHAnsi"/>
          <w:color w:val="000000" w:themeColor="text1"/>
          <w:sz w:val="22"/>
          <w:szCs w:val="22"/>
        </w:rPr>
        <w:t xml:space="preserve"> </w:t>
      </w:r>
      <w:r w:rsidRPr="00FD4FB7">
        <w:rPr>
          <w:rFonts w:asciiTheme="minorHAnsi" w:hAnsiTheme="minorHAnsi" w:cs="Calibri (Body)"/>
          <w:color w:val="000000" w:themeColor="text1"/>
          <w:sz w:val="22"/>
          <w:szCs w:val="22"/>
          <w:vertAlign w:val="superscript"/>
        </w:rPr>
        <w:t>2</w:t>
      </w:r>
      <w:r w:rsidR="0033546C" w:rsidRPr="00FD4FB7">
        <w:rPr>
          <w:rFonts w:asciiTheme="minorHAnsi" w:hAnsiTheme="minorHAnsi" w:cs="Calibri (Body)"/>
          <w:color w:val="000000" w:themeColor="text1"/>
          <w:sz w:val="22"/>
          <w:szCs w:val="22"/>
          <w:vertAlign w:val="superscript"/>
        </w:rPr>
        <w:t>5</w:t>
      </w:r>
    </w:p>
    <w:p w14:paraId="19CE6129" w14:textId="77777777" w:rsidR="007203B0" w:rsidRPr="00FD4FB7" w:rsidRDefault="007203B0" w:rsidP="002B38DB">
      <w:pPr>
        <w:spacing w:line="360" w:lineRule="auto"/>
        <w:rPr>
          <w:rFonts w:asciiTheme="minorHAnsi" w:hAnsiTheme="minorHAnsi" w:cstheme="minorHAnsi"/>
          <w:color w:val="365F91" w:themeColor="accent1" w:themeShade="BF"/>
          <w:sz w:val="22"/>
          <w:szCs w:val="22"/>
        </w:rPr>
      </w:pPr>
    </w:p>
    <w:p w14:paraId="0BB34123" w14:textId="19AB6D95" w:rsidR="00B95427" w:rsidRPr="00FD4FB7" w:rsidRDefault="00B95427" w:rsidP="002C4DF1">
      <w:pPr>
        <w:spacing w:after="160" w:line="360" w:lineRule="auto"/>
        <w:rPr>
          <w:rFonts w:asciiTheme="minorHAnsi" w:hAnsiTheme="minorHAnsi" w:cstheme="minorHAnsi"/>
          <w:b/>
          <w:bCs/>
          <w:color w:val="000000" w:themeColor="text1"/>
          <w:sz w:val="22"/>
          <w:szCs w:val="22"/>
        </w:rPr>
      </w:pPr>
      <w:r w:rsidRPr="00FD4FB7">
        <w:rPr>
          <w:rFonts w:asciiTheme="minorHAnsi" w:hAnsiTheme="minorHAnsi" w:cstheme="minorHAnsi"/>
          <w:b/>
          <w:bCs/>
          <w:color w:val="000000" w:themeColor="text1"/>
          <w:sz w:val="22"/>
          <w:szCs w:val="22"/>
        </w:rPr>
        <w:t>Conclusion</w:t>
      </w:r>
    </w:p>
    <w:p w14:paraId="78EB1B3C" w14:textId="7D59A9A0" w:rsidR="003F10D3" w:rsidRPr="00FD4FB7" w:rsidRDefault="003F10D3" w:rsidP="002C4DF1">
      <w:pPr>
        <w:spacing w:after="160" w:line="360" w:lineRule="auto"/>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The findings </w:t>
      </w:r>
      <w:r w:rsidR="00AF7D31" w:rsidRPr="00FD4FB7">
        <w:rPr>
          <w:rFonts w:asciiTheme="minorHAnsi" w:hAnsiTheme="minorHAnsi" w:cstheme="minorHAnsi"/>
          <w:color w:val="000000" w:themeColor="text1"/>
          <w:sz w:val="22"/>
          <w:szCs w:val="22"/>
        </w:rPr>
        <w:t>of this clinical audit</w:t>
      </w:r>
      <w:r w:rsidR="001F48E5"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 xml:space="preserve">suggest that the </w:t>
      </w:r>
      <w:r w:rsidR="00830528" w:rsidRPr="00FD4FB7">
        <w:rPr>
          <w:rFonts w:asciiTheme="minorHAnsi" w:hAnsiTheme="minorHAnsi" w:cstheme="minorHAnsi"/>
          <w:color w:val="000000" w:themeColor="text1"/>
          <w:sz w:val="22"/>
          <w:szCs w:val="22"/>
        </w:rPr>
        <w:t>severity of alcohol dependence in those patients undergo</w:t>
      </w:r>
      <w:r w:rsidR="00A45488" w:rsidRPr="00FD4FB7">
        <w:rPr>
          <w:rFonts w:asciiTheme="minorHAnsi" w:hAnsiTheme="minorHAnsi" w:cstheme="minorHAnsi"/>
          <w:color w:val="000000" w:themeColor="text1"/>
          <w:sz w:val="22"/>
          <w:szCs w:val="22"/>
        </w:rPr>
        <w:t>ing</w:t>
      </w:r>
      <w:r w:rsidR="00830528" w:rsidRPr="00FD4FB7">
        <w:rPr>
          <w:rFonts w:asciiTheme="minorHAnsi" w:hAnsiTheme="minorHAnsi" w:cstheme="minorHAnsi"/>
          <w:color w:val="000000" w:themeColor="text1"/>
          <w:sz w:val="22"/>
          <w:szCs w:val="22"/>
        </w:rPr>
        <w:t xml:space="preserve"> MAAW is similar </w:t>
      </w:r>
      <w:r w:rsidR="00A45488" w:rsidRPr="00FD4FB7">
        <w:rPr>
          <w:rFonts w:asciiTheme="minorHAnsi" w:hAnsiTheme="minorHAnsi" w:cstheme="minorHAnsi"/>
          <w:color w:val="000000" w:themeColor="text1"/>
          <w:sz w:val="22"/>
          <w:szCs w:val="22"/>
        </w:rPr>
        <w:t>across adult mental health and specialist alcohol services</w:t>
      </w:r>
      <w:r w:rsidR="004F1DB5" w:rsidRPr="00FD4FB7">
        <w:rPr>
          <w:rFonts w:asciiTheme="minorHAnsi" w:hAnsiTheme="minorHAnsi" w:cstheme="minorHAnsi"/>
          <w:color w:val="000000" w:themeColor="text1"/>
          <w:sz w:val="22"/>
          <w:szCs w:val="22"/>
        </w:rPr>
        <w:t>, but there is less use of evidence-based interventions in the former; notably</w:t>
      </w:r>
      <w:r w:rsidR="00126486" w:rsidRPr="00FD4FB7">
        <w:rPr>
          <w:rFonts w:asciiTheme="minorHAnsi" w:hAnsiTheme="minorHAnsi" w:cstheme="minorHAnsi"/>
          <w:color w:val="000000" w:themeColor="text1"/>
          <w:sz w:val="22"/>
          <w:szCs w:val="22"/>
        </w:rPr>
        <w:t>,</w:t>
      </w:r>
      <w:r w:rsidR="004F1DB5" w:rsidRPr="00FD4FB7">
        <w:rPr>
          <w:rFonts w:asciiTheme="minorHAnsi" w:hAnsiTheme="minorHAnsi" w:cstheme="minorHAnsi"/>
          <w:color w:val="000000" w:themeColor="text1"/>
          <w:sz w:val="22"/>
          <w:szCs w:val="22"/>
        </w:rPr>
        <w:t xml:space="preserve"> the use of parenteral thiamine to protect against the development of Wernicke</w:t>
      </w:r>
      <w:r w:rsidR="00C30406" w:rsidRPr="00FD4FB7">
        <w:rPr>
          <w:rFonts w:asciiTheme="minorHAnsi" w:hAnsiTheme="minorHAnsi" w:cstheme="minorHAnsi"/>
          <w:color w:val="000000" w:themeColor="text1"/>
          <w:sz w:val="22"/>
          <w:szCs w:val="22"/>
        </w:rPr>
        <w:t>’s encephalopathy</w:t>
      </w:r>
      <w:r w:rsidR="004F1DB5" w:rsidRPr="00FD4FB7">
        <w:rPr>
          <w:rFonts w:asciiTheme="minorHAnsi" w:hAnsiTheme="minorHAnsi" w:cstheme="minorHAnsi"/>
          <w:color w:val="000000" w:themeColor="text1"/>
          <w:sz w:val="22"/>
          <w:szCs w:val="22"/>
        </w:rPr>
        <w:t xml:space="preserve"> and use of medication aimed at reducing relapse </w:t>
      </w:r>
      <w:r w:rsidR="001E3722" w:rsidRPr="00516FC7">
        <w:rPr>
          <w:rFonts w:asciiTheme="minorHAnsi" w:hAnsiTheme="minorHAnsi" w:cstheme="minorHAnsi"/>
          <w:color w:val="000000" w:themeColor="text1"/>
          <w:sz w:val="22"/>
          <w:szCs w:val="22"/>
        </w:rPr>
        <w:t>into problem drinking</w:t>
      </w:r>
      <w:r w:rsidR="001E3722" w:rsidRPr="00FD4FB7">
        <w:rPr>
          <w:rFonts w:asciiTheme="minorHAnsi" w:hAnsiTheme="minorHAnsi" w:cstheme="minorHAnsi"/>
          <w:color w:val="000000" w:themeColor="text1"/>
          <w:sz w:val="22"/>
          <w:szCs w:val="22"/>
        </w:rPr>
        <w:t xml:space="preserve"> </w:t>
      </w:r>
      <w:r w:rsidR="003678FC" w:rsidRPr="00FD4FB7">
        <w:rPr>
          <w:rFonts w:asciiTheme="minorHAnsi" w:hAnsiTheme="minorHAnsi" w:cstheme="minorHAnsi"/>
          <w:color w:val="000000" w:themeColor="text1"/>
          <w:sz w:val="22"/>
          <w:szCs w:val="22"/>
        </w:rPr>
        <w:t>after MAAW</w:t>
      </w:r>
      <w:r w:rsidR="004F1DB5" w:rsidRPr="00FD4FB7">
        <w:rPr>
          <w:rFonts w:asciiTheme="minorHAnsi" w:hAnsiTheme="minorHAnsi" w:cstheme="minorHAnsi"/>
          <w:color w:val="000000" w:themeColor="text1"/>
          <w:sz w:val="22"/>
          <w:szCs w:val="22"/>
        </w:rPr>
        <w:t xml:space="preserve">.  </w:t>
      </w:r>
      <w:r w:rsidR="007B39DC" w:rsidRPr="00FD4FB7">
        <w:rPr>
          <w:rFonts w:asciiTheme="minorHAnsi" w:hAnsiTheme="minorHAnsi" w:cstheme="minorHAnsi"/>
          <w:color w:val="000000" w:themeColor="text1"/>
          <w:sz w:val="22"/>
          <w:szCs w:val="22"/>
        </w:rPr>
        <w:t xml:space="preserve">Planned competency-based training in </w:t>
      </w:r>
      <w:r w:rsidR="00A45488" w:rsidRPr="00FD4FB7">
        <w:rPr>
          <w:rFonts w:asciiTheme="minorHAnsi" w:hAnsiTheme="minorHAnsi" w:cstheme="minorHAnsi"/>
          <w:color w:val="000000" w:themeColor="text1"/>
          <w:sz w:val="22"/>
          <w:szCs w:val="22"/>
        </w:rPr>
        <w:lastRenderedPageBreak/>
        <w:t>addictions</w:t>
      </w:r>
      <w:r w:rsidR="007B39DC" w:rsidRPr="00FD4FB7">
        <w:rPr>
          <w:rFonts w:asciiTheme="minorHAnsi" w:hAnsiTheme="minorHAnsi" w:cstheme="minorHAnsi"/>
          <w:color w:val="000000" w:themeColor="text1"/>
          <w:sz w:val="22"/>
          <w:szCs w:val="22"/>
        </w:rPr>
        <w:t xml:space="preserve"> for psychiatric trainees is a positive development </w:t>
      </w:r>
      <w:r w:rsidR="00A45488" w:rsidRPr="00FD4FB7">
        <w:rPr>
          <w:rFonts w:asciiTheme="minorHAnsi" w:hAnsiTheme="minorHAnsi" w:cstheme="minorHAnsi"/>
          <w:color w:val="000000" w:themeColor="text1"/>
          <w:sz w:val="22"/>
          <w:szCs w:val="22"/>
        </w:rPr>
        <w:t xml:space="preserve">that could </w:t>
      </w:r>
      <w:r w:rsidR="007B39DC" w:rsidRPr="00FD4FB7">
        <w:rPr>
          <w:rFonts w:asciiTheme="minorHAnsi" w:hAnsiTheme="minorHAnsi" w:cstheme="minorHAnsi"/>
          <w:color w:val="000000" w:themeColor="text1"/>
          <w:sz w:val="22"/>
          <w:szCs w:val="22"/>
        </w:rPr>
        <w:t xml:space="preserve">improve the quality of MAAW in non-specialist wards but more needs to be done to enable the development of care pathways that support community-based prescribing for relapse prevention.   </w:t>
      </w:r>
    </w:p>
    <w:p w14:paraId="02EBC8AE" w14:textId="3CADB423" w:rsidR="004A1946" w:rsidRPr="00FD4FB7" w:rsidRDefault="004A1946" w:rsidP="00995C48">
      <w:pPr>
        <w:spacing w:after="160" w:line="360" w:lineRule="auto"/>
        <w:rPr>
          <w:rFonts w:asciiTheme="minorHAnsi" w:hAnsiTheme="minorHAnsi" w:cstheme="minorHAnsi"/>
          <w:color w:val="000000" w:themeColor="text1"/>
          <w:sz w:val="22"/>
          <w:szCs w:val="22"/>
        </w:rPr>
      </w:pPr>
    </w:p>
    <w:p w14:paraId="673FD549" w14:textId="77777777" w:rsidR="00D42D98" w:rsidRPr="00FD4FB7" w:rsidRDefault="00D42D98" w:rsidP="00D42D98">
      <w:pPr>
        <w:spacing w:after="160" w:line="360" w:lineRule="auto"/>
        <w:rPr>
          <w:rFonts w:asciiTheme="minorHAnsi" w:hAnsiTheme="minorHAnsi" w:cstheme="minorHAnsi"/>
          <w:i/>
          <w:iCs/>
          <w:color w:val="000000" w:themeColor="text1"/>
          <w:sz w:val="22"/>
          <w:szCs w:val="22"/>
        </w:rPr>
      </w:pPr>
      <w:r w:rsidRPr="00FD4FB7">
        <w:rPr>
          <w:rFonts w:asciiTheme="minorHAnsi" w:hAnsiTheme="minorHAnsi" w:cstheme="minorHAnsi"/>
          <w:bCs/>
          <w:i/>
          <w:iCs/>
          <w:color w:val="000000" w:themeColor="text1"/>
          <w:sz w:val="22"/>
          <w:szCs w:val="22"/>
        </w:rPr>
        <w:t xml:space="preserve">Strengths and limitations: </w:t>
      </w:r>
    </w:p>
    <w:p w14:paraId="16E64CDB" w14:textId="77777777" w:rsidR="00D42D98" w:rsidRPr="00FD4FB7" w:rsidRDefault="00D42D98" w:rsidP="00D42D98">
      <w:pPr>
        <w:pStyle w:val="ListParagraph"/>
        <w:numPr>
          <w:ilvl w:val="0"/>
          <w:numId w:val="1"/>
        </w:numPr>
        <w:spacing w:after="160" w:line="360" w:lineRule="auto"/>
        <w:rPr>
          <w:rFonts w:asciiTheme="minorHAnsi" w:hAnsiTheme="minorHAnsi" w:cstheme="minorHAnsi"/>
          <w:color w:val="000000" w:themeColor="text1"/>
          <w:sz w:val="22"/>
          <w:szCs w:val="22"/>
        </w:rPr>
      </w:pPr>
      <w:r w:rsidRPr="00FD4FB7">
        <w:rPr>
          <w:rFonts w:asciiTheme="minorHAnsi" w:hAnsiTheme="minorHAnsi" w:cstheme="minorHAnsi"/>
          <w:bCs/>
          <w:color w:val="000000" w:themeColor="text1"/>
          <w:sz w:val="22"/>
          <w:szCs w:val="22"/>
        </w:rPr>
        <w:t xml:space="preserve">Given the relatively large sample size and the submission of data by </w:t>
      </w:r>
      <w:proofErr w:type="gramStart"/>
      <w:r w:rsidRPr="00FD4FB7">
        <w:rPr>
          <w:rFonts w:asciiTheme="minorHAnsi" w:hAnsiTheme="minorHAnsi" w:cstheme="minorHAnsi"/>
          <w:bCs/>
          <w:color w:val="000000" w:themeColor="text1"/>
          <w:sz w:val="22"/>
          <w:szCs w:val="22"/>
        </w:rPr>
        <w:t>the majority of</w:t>
      </w:r>
      <w:proofErr w:type="gramEnd"/>
      <w:r w:rsidRPr="00FD4FB7">
        <w:rPr>
          <w:rFonts w:asciiTheme="minorHAnsi" w:hAnsiTheme="minorHAnsi" w:cstheme="minorHAnsi"/>
          <w:bCs/>
          <w:color w:val="000000" w:themeColor="text1"/>
          <w:sz w:val="22"/>
          <w:szCs w:val="22"/>
        </w:rPr>
        <w:t xml:space="preserve"> mental health Trusts, the findings presented in this paper are likely to be representative of current practice regarding MAAW in inpatient adult mental health services in the UK. However, they may not be generalisable outside of this clinical setting. </w:t>
      </w:r>
    </w:p>
    <w:p w14:paraId="1C1F204A" w14:textId="77777777" w:rsidR="00D42D98" w:rsidRPr="00FD4FB7" w:rsidRDefault="00D42D98" w:rsidP="00D42D98">
      <w:pPr>
        <w:pStyle w:val="ListParagraph"/>
        <w:numPr>
          <w:ilvl w:val="0"/>
          <w:numId w:val="1"/>
        </w:numPr>
        <w:spacing w:after="160" w:line="360" w:lineRule="auto"/>
        <w:rPr>
          <w:rFonts w:asciiTheme="minorHAnsi" w:hAnsiTheme="minorHAnsi" w:cstheme="minorHAnsi"/>
          <w:bCs/>
          <w:color w:val="000000" w:themeColor="text1"/>
          <w:sz w:val="22"/>
          <w:szCs w:val="22"/>
        </w:rPr>
      </w:pPr>
      <w:r w:rsidRPr="00FD4FB7">
        <w:rPr>
          <w:rFonts w:asciiTheme="minorHAnsi" w:hAnsiTheme="minorHAnsi" w:cstheme="minorHAnsi"/>
          <w:bCs/>
          <w:color w:val="000000" w:themeColor="text1"/>
          <w:sz w:val="22"/>
          <w:szCs w:val="22"/>
        </w:rPr>
        <w:t>We cannot confirm the methods used by Trusts to identify their audit samples. However, given the number of participating services, systematic bias would seem unlikely.</w:t>
      </w:r>
    </w:p>
    <w:p w14:paraId="7126693B" w14:textId="77777777" w:rsidR="00D42D98" w:rsidRPr="00FD4FB7" w:rsidRDefault="00D42D98" w:rsidP="00D42D98">
      <w:pPr>
        <w:pStyle w:val="ListParagraph"/>
        <w:numPr>
          <w:ilvl w:val="0"/>
          <w:numId w:val="1"/>
        </w:numPr>
        <w:spacing w:after="160" w:line="360" w:lineRule="auto"/>
        <w:rPr>
          <w:rFonts w:asciiTheme="minorHAnsi" w:hAnsiTheme="minorHAnsi" w:cstheme="minorHAnsi"/>
          <w:bCs/>
          <w:color w:val="000000" w:themeColor="text1"/>
          <w:sz w:val="22"/>
          <w:szCs w:val="22"/>
        </w:rPr>
      </w:pPr>
      <w:r w:rsidRPr="00FD4FB7">
        <w:rPr>
          <w:rFonts w:asciiTheme="minorHAnsi" w:hAnsiTheme="minorHAnsi" w:cstheme="minorHAnsi"/>
          <w:bCs/>
          <w:color w:val="000000" w:themeColor="text1"/>
          <w:sz w:val="22"/>
          <w:szCs w:val="22"/>
        </w:rPr>
        <w:t xml:space="preserve">All the audit data were systematically collected over the same </w:t>
      </w:r>
      <w:proofErr w:type="gramStart"/>
      <w:r w:rsidRPr="00FD4FB7">
        <w:rPr>
          <w:rFonts w:asciiTheme="minorHAnsi" w:hAnsiTheme="minorHAnsi" w:cstheme="minorHAnsi"/>
          <w:bCs/>
          <w:color w:val="000000" w:themeColor="text1"/>
          <w:sz w:val="22"/>
          <w:szCs w:val="22"/>
        </w:rPr>
        <w:t>time period</w:t>
      </w:r>
      <w:proofErr w:type="gramEnd"/>
      <w:r w:rsidRPr="00FD4FB7">
        <w:rPr>
          <w:rFonts w:asciiTheme="minorHAnsi" w:hAnsiTheme="minorHAnsi" w:cstheme="minorHAnsi"/>
          <w:bCs/>
          <w:color w:val="000000" w:themeColor="text1"/>
          <w:sz w:val="22"/>
          <w:szCs w:val="22"/>
        </w:rPr>
        <w:t>, using a standard data collection tool.</w:t>
      </w:r>
    </w:p>
    <w:p w14:paraId="699FFF08" w14:textId="7C8EBDD3" w:rsidR="00D42D98" w:rsidRPr="00FD4FB7" w:rsidRDefault="00D42D98" w:rsidP="00D42D98">
      <w:pPr>
        <w:pStyle w:val="ListParagraph"/>
        <w:numPr>
          <w:ilvl w:val="0"/>
          <w:numId w:val="1"/>
        </w:numPr>
        <w:spacing w:after="160" w:line="360" w:lineRule="auto"/>
        <w:rPr>
          <w:rFonts w:asciiTheme="minorHAnsi" w:hAnsiTheme="minorHAnsi" w:cstheme="minorHAnsi"/>
          <w:bCs/>
          <w:color w:val="000000" w:themeColor="text1"/>
          <w:sz w:val="22"/>
          <w:szCs w:val="22"/>
        </w:rPr>
      </w:pPr>
      <w:r w:rsidRPr="00FD4FB7">
        <w:rPr>
          <w:rFonts w:asciiTheme="minorHAnsi" w:hAnsiTheme="minorHAnsi" w:cstheme="minorHAnsi"/>
          <w:bCs/>
          <w:color w:val="000000" w:themeColor="text1"/>
          <w:sz w:val="22"/>
          <w:szCs w:val="22"/>
        </w:rPr>
        <w:t>The sub-samples of patients undergoing MAAW on an acute adult ward or in a specialist service were large enough to allow for clinically valid comparisons.</w:t>
      </w:r>
    </w:p>
    <w:p w14:paraId="3A07C6D3" w14:textId="77777777" w:rsidR="00D42D98" w:rsidRPr="00FD4FB7" w:rsidRDefault="00D42D98" w:rsidP="00D42D98">
      <w:pPr>
        <w:pStyle w:val="ListParagraph"/>
        <w:numPr>
          <w:ilvl w:val="0"/>
          <w:numId w:val="1"/>
        </w:numPr>
        <w:spacing w:after="160" w:line="360" w:lineRule="auto"/>
        <w:rPr>
          <w:rFonts w:asciiTheme="minorHAnsi" w:hAnsiTheme="minorHAnsi" w:cstheme="minorHAnsi"/>
          <w:bCs/>
          <w:color w:val="000000" w:themeColor="text1"/>
          <w:sz w:val="22"/>
          <w:szCs w:val="22"/>
        </w:rPr>
      </w:pPr>
      <w:r w:rsidRPr="00FD4FB7">
        <w:rPr>
          <w:rFonts w:asciiTheme="minorHAnsi" w:eastAsiaTheme="minorHAnsi" w:hAnsiTheme="minorHAnsi" w:cstheme="minorHAnsi"/>
          <w:color w:val="000000" w:themeColor="text1"/>
          <w:sz w:val="22"/>
          <w:szCs w:val="22"/>
          <w:lang w:val="en-US" w:eastAsia="en-US"/>
        </w:rPr>
        <w:t xml:space="preserve">With respect to performance against the practice standards and treatment targets, the audit data were drawn primarily from documentation in the clinical records and therefore some of the findings are dependent on the quality of record keeping. </w:t>
      </w:r>
    </w:p>
    <w:p w14:paraId="7721CB14" w14:textId="3EB4F2C7" w:rsidR="00797726" w:rsidRPr="00FD4FB7" w:rsidRDefault="00797726">
      <w:pPr>
        <w:spacing w:after="200" w:line="276" w:lineRule="auto"/>
        <w:rPr>
          <w:rFonts w:asciiTheme="minorHAnsi" w:eastAsiaTheme="minorHAnsi" w:hAnsiTheme="minorHAnsi" w:cstheme="minorBidi"/>
          <w:sz w:val="22"/>
          <w:szCs w:val="22"/>
          <w:lang w:eastAsia="en-US"/>
        </w:rPr>
      </w:pPr>
      <w:r w:rsidRPr="00FD4FB7">
        <w:br w:type="page"/>
      </w:r>
    </w:p>
    <w:p w14:paraId="60DCF121" w14:textId="77777777" w:rsidR="00FA6CD6" w:rsidRPr="00FD4FB7" w:rsidRDefault="00FA6CD6" w:rsidP="00A75DA3">
      <w:pPr>
        <w:pStyle w:val="NoSpacing"/>
        <w:spacing w:line="360" w:lineRule="auto"/>
        <w:rPr>
          <w:rFonts w:cstheme="minorHAnsi"/>
          <w:b/>
          <w:bCs/>
        </w:rPr>
      </w:pPr>
      <w:r w:rsidRPr="00FD4FB7">
        <w:rPr>
          <w:rFonts w:cstheme="minorHAnsi"/>
          <w:b/>
          <w:bCs/>
        </w:rPr>
        <w:lastRenderedPageBreak/>
        <w:t>DATA AVAILABILITY</w:t>
      </w:r>
    </w:p>
    <w:p w14:paraId="49883E38" w14:textId="021D54D4" w:rsidR="00FA6CD6" w:rsidRPr="00FD4FB7" w:rsidRDefault="00FA6CD6" w:rsidP="00A75DA3">
      <w:pPr>
        <w:pStyle w:val="NoSpacing"/>
        <w:spacing w:line="360" w:lineRule="auto"/>
        <w:rPr>
          <w:rFonts w:cstheme="minorHAnsi"/>
        </w:rPr>
      </w:pPr>
      <w:r w:rsidRPr="00FD4FB7">
        <w:rPr>
          <w:rFonts w:cstheme="minorHAnsi"/>
        </w:rPr>
        <w:t xml:space="preserve">The aggregated dataset that supports these findings is not openly available. Membership agreements between POMH and participating mental health services state that each mental health service owns its own dataset and that this will not be shared by POMH with any third party. POMH is restricted to reporting on analyses based on the aggregated national dataset. </w:t>
      </w:r>
    </w:p>
    <w:p w14:paraId="185D5E69" w14:textId="50FB922C" w:rsidR="00A75DA3" w:rsidRPr="00FD4FB7" w:rsidRDefault="00A75DA3" w:rsidP="00A75DA3">
      <w:pPr>
        <w:pStyle w:val="NoSpacing"/>
        <w:spacing w:line="360" w:lineRule="auto"/>
        <w:rPr>
          <w:rFonts w:cstheme="minorHAnsi"/>
        </w:rPr>
      </w:pPr>
    </w:p>
    <w:p w14:paraId="5E238C62" w14:textId="3171BE42" w:rsidR="00A75DA3" w:rsidRPr="00FD4FB7" w:rsidRDefault="00A75DA3" w:rsidP="00A75DA3">
      <w:pPr>
        <w:pStyle w:val="NoSpacing"/>
        <w:spacing w:line="360" w:lineRule="auto"/>
        <w:rPr>
          <w:rFonts w:cstheme="minorHAnsi"/>
          <w:b/>
          <w:bCs/>
        </w:rPr>
      </w:pPr>
      <w:r w:rsidRPr="00FD4FB7">
        <w:rPr>
          <w:rFonts w:cstheme="minorHAnsi"/>
          <w:b/>
          <w:bCs/>
        </w:rPr>
        <w:t>ACKNOWLEDGEMENTS</w:t>
      </w:r>
    </w:p>
    <w:p w14:paraId="2B45E21A" w14:textId="04B7763C" w:rsidR="00A75DA3" w:rsidRPr="00FD4FB7" w:rsidRDefault="00A75DA3" w:rsidP="00A75DA3">
      <w:pPr>
        <w:pStyle w:val="NoSpacing"/>
        <w:spacing w:line="360" w:lineRule="auto"/>
        <w:rPr>
          <w:rFonts w:cstheme="minorHAnsi"/>
        </w:rPr>
      </w:pPr>
      <w:r w:rsidRPr="00FD4FB7">
        <w:rPr>
          <w:rFonts w:cstheme="minorHAnsi"/>
        </w:rPr>
        <w:t xml:space="preserve">Thanks are due to all the clinicians and clinical audit staff from the UK mental health services who collected and submitted data as part of this quality improvement initiative, and to Gavin Herrington, the POMH programme manager. </w:t>
      </w:r>
    </w:p>
    <w:p w14:paraId="739CB4D4" w14:textId="30AC9126" w:rsidR="00A75DA3" w:rsidRPr="00FD4FB7" w:rsidRDefault="00A75DA3" w:rsidP="00A75DA3">
      <w:pPr>
        <w:pStyle w:val="NoSpacing"/>
        <w:spacing w:line="360" w:lineRule="auto"/>
        <w:rPr>
          <w:rFonts w:cstheme="minorHAnsi"/>
        </w:rPr>
      </w:pPr>
    </w:p>
    <w:p w14:paraId="67493498" w14:textId="72B80F9E" w:rsidR="006D5A8A" w:rsidRPr="00FD4FB7" w:rsidRDefault="006D5A8A" w:rsidP="00A75DA3">
      <w:pPr>
        <w:pStyle w:val="NoSpacing"/>
        <w:spacing w:line="360" w:lineRule="auto"/>
        <w:rPr>
          <w:rFonts w:cstheme="minorHAnsi"/>
          <w:b/>
          <w:bCs/>
        </w:rPr>
      </w:pPr>
      <w:r w:rsidRPr="00FD4FB7">
        <w:rPr>
          <w:rFonts w:cstheme="minorHAnsi"/>
          <w:b/>
          <w:bCs/>
        </w:rPr>
        <w:t>AUTHOR CONTRIBUTIONS</w:t>
      </w:r>
    </w:p>
    <w:p w14:paraId="1A3C270C" w14:textId="11A5E376" w:rsidR="006D5A8A" w:rsidRPr="00FD4FB7" w:rsidRDefault="006D5A8A" w:rsidP="00A75DA3">
      <w:pPr>
        <w:pStyle w:val="NoSpacing"/>
        <w:spacing w:line="360" w:lineRule="auto"/>
        <w:rPr>
          <w:rFonts w:cstheme="minorHAnsi"/>
        </w:rPr>
      </w:pPr>
      <w:r w:rsidRPr="00FD4FB7">
        <w:rPr>
          <w:rFonts w:cstheme="minorHAnsi"/>
          <w:color w:val="333333"/>
          <w:shd w:val="clear" w:color="auto" w:fill="FFFFFF"/>
        </w:rPr>
        <w:t>TREB, CP, JS, AL-H, CD</w:t>
      </w:r>
      <w:r w:rsidR="000E64AA" w:rsidRPr="00FD4FB7">
        <w:rPr>
          <w:rFonts w:cstheme="minorHAnsi"/>
          <w:color w:val="333333"/>
          <w:shd w:val="clear" w:color="auto" w:fill="FFFFFF"/>
        </w:rPr>
        <w:t>,</w:t>
      </w:r>
      <w:r w:rsidRPr="00FD4FB7">
        <w:rPr>
          <w:rFonts w:cstheme="minorHAnsi"/>
          <w:color w:val="333333"/>
          <w:shd w:val="clear" w:color="auto" w:fill="FFFFFF"/>
        </w:rPr>
        <w:t xml:space="preserve"> and IL developed the audit tools and interpreted the data. TREB, CP, and O</w:t>
      </w:r>
      <w:r w:rsidR="00891D6A" w:rsidRPr="00FD4FB7">
        <w:rPr>
          <w:rFonts w:cstheme="minorHAnsi"/>
          <w:color w:val="333333"/>
          <w:shd w:val="clear" w:color="auto" w:fill="FFFFFF"/>
        </w:rPr>
        <w:t>R</w:t>
      </w:r>
      <w:r w:rsidRPr="00FD4FB7">
        <w:rPr>
          <w:rFonts w:cstheme="minorHAnsi"/>
          <w:color w:val="333333"/>
          <w:shd w:val="clear" w:color="auto" w:fill="FFFFFF"/>
        </w:rPr>
        <w:t xml:space="preserve"> organised the </w:t>
      </w:r>
      <w:r w:rsidR="00891D6A" w:rsidRPr="00FD4FB7">
        <w:rPr>
          <w:rFonts w:cstheme="minorHAnsi"/>
          <w:color w:val="333333"/>
          <w:shd w:val="clear" w:color="auto" w:fill="FFFFFF"/>
        </w:rPr>
        <w:t xml:space="preserve">clinical </w:t>
      </w:r>
      <w:r w:rsidRPr="00FD4FB7">
        <w:rPr>
          <w:rFonts w:cstheme="minorHAnsi"/>
          <w:color w:val="333333"/>
          <w:shd w:val="clear" w:color="auto" w:fill="FFFFFF"/>
        </w:rPr>
        <w:t>audit</w:t>
      </w:r>
      <w:r w:rsidR="008767DD" w:rsidRPr="00FD4FB7">
        <w:rPr>
          <w:rFonts w:cstheme="minorHAnsi"/>
          <w:color w:val="333333"/>
          <w:shd w:val="clear" w:color="auto" w:fill="FFFFFF"/>
        </w:rPr>
        <w:t xml:space="preserve"> </w:t>
      </w:r>
      <w:r w:rsidRPr="00FD4FB7">
        <w:rPr>
          <w:rFonts w:cstheme="minorHAnsi"/>
          <w:color w:val="333333"/>
          <w:shd w:val="clear" w:color="auto" w:fill="FFFFFF"/>
        </w:rPr>
        <w:t xml:space="preserve">and </w:t>
      </w:r>
      <w:r w:rsidR="00891D6A" w:rsidRPr="00FD4FB7">
        <w:rPr>
          <w:rFonts w:cstheme="minorHAnsi"/>
          <w:color w:val="333333"/>
          <w:shd w:val="clear" w:color="auto" w:fill="FFFFFF"/>
        </w:rPr>
        <w:t xml:space="preserve">OR </w:t>
      </w:r>
      <w:r w:rsidRPr="00FD4FB7">
        <w:rPr>
          <w:rFonts w:cstheme="minorHAnsi"/>
          <w:color w:val="333333"/>
          <w:shd w:val="clear" w:color="auto" w:fill="FFFFFF"/>
        </w:rPr>
        <w:t>led the data analysis. All authors drafted and/or critically revised the manuscript and approved the final version.</w:t>
      </w:r>
    </w:p>
    <w:p w14:paraId="2DFD2264" w14:textId="77777777" w:rsidR="00FA6CD6" w:rsidRPr="00FD4FB7" w:rsidRDefault="00FA6CD6" w:rsidP="00A75DA3">
      <w:pPr>
        <w:pStyle w:val="NoSpacing"/>
        <w:spacing w:line="360" w:lineRule="auto"/>
        <w:rPr>
          <w:rFonts w:cstheme="minorHAnsi"/>
        </w:rPr>
      </w:pPr>
    </w:p>
    <w:p w14:paraId="4FE89183" w14:textId="49A2D287" w:rsidR="003373BD" w:rsidRPr="00FD4FB7" w:rsidRDefault="005678B8" w:rsidP="00A75DA3">
      <w:pPr>
        <w:pStyle w:val="NoSpacing"/>
        <w:spacing w:line="360" w:lineRule="auto"/>
        <w:rPr>
          <w:rFonts w:cstheme="minorHAnsi"/>
          <w:b/>
          <w:bCs/>
        </w:rPr>
      </w:pPr>
      <w:r w:rsidRPr="00FD4FB7">
        <w:rPr>
          <w:rFonts w:cstheme="minorHAnsi"/>
          <w:b/>
          <w:bCs/>
        </w:rPr>
        <w:t>FUNDING</w:t>
      </w:r>
    </w:p>
    <w:p w14:paraId="6ADC623B" w14:textId="7A1E563E" w:rsidR="005678B8" w:rsidRPr="00FD4FB7" w:rsidRDefault="005678B8" w:rsidP="00A75DA3">
      <w:pPr>
        <w:pStyle w:val="NoSpacing"/>
        <w:spacing w:line="360" w:lineRule="auto"/>
      </w:pPr>
      <w:r w:rsidRPr="00FD4FB7">
        <w:rPr>
          <w:rFonts w:cstheme="minorHAnsi"/>
        </w:rPr>
        <w:t>POMH is funded</w:t>
      </w:r>
      <w:r w:rsidRPr="00FD4FB7">
        <w:t xml:space="preserve"> entirely from the subscriptions of member mental health services, principally mental health NHS Trusts.</w:t>
      </w:r>
    </w:p>
    <w:p w14:paraId="66C949C2" w14:textId="77777777" w:rsidR="005678B8" w:rsidRPr="00FD4FB7" w:rsidRDefault="005678B8" w:rsidP="00A75DA3">
      <w:pPr>
        <w:spacing w:line="360" w:lineRule="auto"/>
        <w:rPr>
          <w:rFonts w:asciiTheme="minorHAnsi" w:hAnsiTheme="minorHAnsi" w:cstheme="minorHAnsi"/>
          <w:color w:val="000000" w:themeColor="text1"/>
          <w:sz w:val="22"/>
          <w:szCs w:val="22"/>
        </w:rPr>
      </w:pPr>
    </w:p>
    <w:p w14:paraId="33EAAED5" w14:textId="6E7EE72F" w:rsidR="002731DB" w:rsidRPr="00FD4FB7" w:rsidRDefault="00DB0C7F" w:rsidP="002B38DB">
      <w:pPr>
        <w:spacing w:line="360" w:lineRule="auto"/>
        <w:rPr>
          <w:rFonts w:asciiTheme="minorHAnsi" w:hAnsiTheme="minorHAnsi" w:cstheme="minorHAnsi"/>
          <w:b/>
          <w:bCs/>
          <w:color w:val="000000" w:themeColor="text1"/>
          <w:sz w:val="22"/>
          <w:szCs w:val="22"/>
        </w:rPr>
      </w:pPr>
      <w:r w:rsidRPr="00FD4FB7">
        <w:rPr>
          <w:rFonts w:asciiTheme="minorHAnsi" w:hAnsiTheme="minorHAnsi" w:cstheme="minorHAnsi"/>
          <w:b/>
          <w:bCs/>
          <w:color w:val="000000" w:themeColor="text1"/>
          <w:sz w:val="22"/>
          <w:szCs w:val="22"/>
        </w:rPr>
        <w:t>DECLARATION</w:t>
      </w:r>
      <w:r w:rsidR="00797726" w:rsidRPr="00FD4FB7">
        <w:rPr>
          <w:rFonts w:asciiTheme="minorHAnsi" w:hAnsiTheme="minorHAnsi" w:cstheme="minorHAnsi"/>
          <w:b/>
          <w:bCs/>
          <w:color w:val="000000" w:themeColor="text1"/>
          <w:sz w:val="22"/>
          <w:szCs w:val="22"/>
        </w:rPr>
        <w:t>S</w:t>
      </w:r>
      <w:r w:rsidRPr="00FD4FB7">
        <w:rPr>
          <w:rFonts w:asciiTheme="minorHAnsi" w:hAnsiTheme="minorHAnsi" w:cstheme="minorHAnsi"/>
          <w:b/>
          <w:bCs/>
          <w:color w:val="000000" w:themeColor="text1"/>
          <w:sz w:val="22"/>
          <w:szCs w:val="22"/>
        </w:rPr>
        <w:t xml:space="preserve"> OF INTERESTS</w:t>
      </w:r>
    </w:p>
    <w:p w14:paraId="58D4B772" w14:textId="4039273B" w:rsidR="00816FCA" w:rsidRPr="00FD4FB7" w:rsidRDefault="00816FCA" w:rsidP="00816FCA">
      <w:pPr>
        <w:pStyle w:val="NoSpacing"/>
        <w:rPr>
          <w:rFonts w:cstheme="minorHAnsi"/>
        </w:rPr>
      </w:pPr>
      <w:r w:rsidRPr="00FD4FB7">
        <w:rPr>
          <w:rFonts w:cstheme="minorHAnsi"/>
        </w:rPr>
        <w:t>JS is the National Specialty Advisor for Alcohol Dependence to NHS England</w:t>
      </w:r>
      <w:r w:rsidR="00326D09" w:rsidRPr="00FD4FB7">
        <w:rPr>
          <w:rFonts w:cstheme="minorHAnsi"/>
        </w:rPr>
        <w:t>.</w:t>
      </w:r>
    </w:p>
    <w:p w14:paraId="61337A72" w14:textId="77777777" w:rsidR="00133C08" w:rsidRPr="00FD4FB7" w:rsidRDefault="00133C08" w:rsidP="00DB0C7F">
      <w:pPr>
        <w:pStyle w:val="NoSpacing"/>
        <w:rPr>
          <w:rFonts w:cstheme="minorHAnsi"/>
        </w:rPr>
      </w:pPr>
    </w:p>
    <w:p w14:paraId="3220347E" w14:textId="3D117147" w:rsidR="00DB0C7F" w:rsidRPr="00FD4FB7" w:rsidRDefault="005F167E" w:rsidP="00DB0C7F">
      <w:pPr>
        <w:pStyle w:val="NoSpacing"/>
        <w:rPr>
          <w:rFonts w:cstheme="minorHAnsi"/>
        </w:rPr>
      </w:pPr>
      <w:r w:rsidRPr="00FD4FB7">
        <w:rPr>
          <w:rFonts w:cstheme="minorHAnsi"/>
        </w:rPr>
        <w:t>CD has received funding from the Medical Research Council, the Department of Health and Social Care National Institute for Health and Care Research (NIHR) and the European Commission. He was supported by NIHR Specialist Biomedical Research Centre for Mental Health at South London and Maudsley NHS Foundation Trust and King’s College London the NIHR Collaboration for Leadership in Applied Health Research and Care at King’s College Hospital NHS Foundation Trust and the National Institute for Health Research (NIHR) Applied Research Collaboration South London (NIHR ARC South London) at King’s College Hospital NHS Foundation Trust. He is in receipt of an NIHR Senior Investigator Award. The views expressed are those of the authors and not necessarily those of the NHS, the NIHR or the Department of Health and Social Care.</w:t>
      </w:r>
    </w:p>
    <w:p w14:paraId="421AA7B0" w14:textId="77777777" w:rsidR="00133C08" w:rsidRPr="00FD4FB7" w:rsidRDefault="00133C08" w:rsidP="00DB0C7F">
      <w:pPr>
        <w:pStyle w:val="NoSpacing"/>
        <w:rPr>
          <w:rFonts w:ascii="Calibri" w:hAnsi="Calibri" w:cs="Calibri"/>
          <w:color w:val="000000"/>
        </w:rPr>
      </w:pPr>
    </w:p>
    <w:p w14:paraId="1CDCC93A" w14:textId="0EED5676" w:rsidR="00A62C61" w:rsidRPr="00FD4FB7" w:rsidRDefault="00A62C61" w:rsidP="00DB0C7F">
      <w:pPr>
        <w:pStyle w:val="NoSpacing"/>
        <w:rPr>
          <w:rFonts w:ascii="Calibri" w:hAnsi="Calibri" w:cs="Calibri"/>
          <w:color w:val="000000"/>
        </w:rPr>
      </w:pPr>
      <w:r w:rsidRPr="00FD4FB7">
        <w:rPr>
          <w:rFonts w:ascii="Calibri" w:hAnsi="Calibri" w:cs="Calibri"/>
          <w:color w:val="000000"/>
        </w:rPr>
        <w:t xml:space="preserve">ALH reports Honoraria for speaking engagements and/or attendance at conferences from Lundbeck, Lundbeck Institute UK, Pfizer, </w:t>
      </w:r>
      <w:proofErr w:type="spellStart"/>
      <w:r w:rsidRPr="00FD4FB7">
        <w:rPr>
          <w:rFonts w:ascii="Calibri" w:hAnsi="Calibri" w:cs="Calibri"/>
          <w:color w:val="000000"/>
        </w:rPr>
        <w:t>Servier</w:t>
      </w:r>
      <w:proofErr w:type="spellEnd"/>
      <w:r w:rsidRPr="00FD4FB7">
        <w:rPr>
          <w:rFonts w:ascii="Calibri" w:hAnsi="Calibri" w:cs="Calibri"/>
          <w:color w:val="000000"/>
        </w:rPr>
        <w:t xml:space="preserve">; she has received research grants or support from </w:t>
      </w:r>
      <w:proofErr w:type="spellStart"/>
      <w:r w:rsidRPr="00FD4FB7">
        <w:rPr>
          <w:rFonts w:ascii="Calibri" w:hAnsi="Calibri" w:cs="Calibri"/>
          <w:color w:val="000000"/>
        </w:rPr>
        <w:t>Alcarelle</w:t>
      </w:r>
      <w:proofErr w:type="spellEnd"/>
      <w:r w:rsidRPr="00FD4FB7">
        <w:rPr>
          <w:rFonts w:ascii="Calibri" w:hAnsi="Calibri" w:cs="Calibri"/>
          <w:color w:val="000000"/>
        </w:rPr>
        <w:t>, Lundbeck; she is a member of British Association for Psychopharmacology and receives Honoraria for speaking at educational events and led their ‘addiction’ guidelines that received support from</w:t>
      </w:r>
      <w:r w:rsidRPr="00FD4FB7">
        <w:rPr>
          <w:rStyle w:val="apple-converted-space"/>
          <w:rFonts w:ascii="Calibri" w:hAnsi="Calibri" w:cs="Calibri"/>
          <w:color w:val="000000"/>
        </w:rPr>
        <w:t> </w:t>
      </w:r>
      <w:r w:rsidRPr="00FD4FB7">
        <w:rPr>
          <w:rFonts w:ascii="Calibri" w:hAnsi="Calibri" w:cs="Calibri"/>
          <w:color w:val="000000"/>
        </w:rPr>
        <w:t>Archimedes Pharma, Lundbeck, Pfizer and Schering.</w:t>
      </w:r>
    </w:p>
    <w:p w14:paraId="75B9F340" w14:textId="77777777" w:rsidR="00133C08" w:rsidRPr="00FD4FB7" w:rsidRDefault="00133C08" w:rsidP="00DB0C7F">
      <w:pPr>
        <w:pStyle w:val="NoSpacing"/>
        <w:rPr>
          <w:rFonts w:cstheme="minorHAnsi"/>
        </w:rPr>
      </w:pPr>
    </w:p>
    <w:p w14:paraId="239EF31B" w14:textId="139FD4F8" w:rsidR="00DB0C7F" w:rsidRPr="00FD4FB7" w:rsidRDefault="00E4130B" w:rsidP="00DB0C7F">
      <w:pPr>
        <w:pStyle w:val="NoSpacing"/>
        <w:rPr>
          <w:rFonts w:cstheme="minorHAnsi"/>
        </w:rPr>
      </w:pPr>
      <w:r w:rsidRPr="00FD4FB7">
        <w:rPr>
          <w:rFonts w:cstheme="minorHAnsi"/>
        </w:rPr>
        <w:t xml:space="preserve">TREB, IL, </w:t>
      </w:r>
      <w:r w:rsidR="00797726" w:rsidRPr="00FD4FB7">
        <w:rPr>
          <w:rFonts w:cstheme="minorHAnsi"/>
        </w:rPr>
        <w:t xml:space="preserve">OR </w:t>
      </w:r>
      <w:r w:rsidR="00A62C61" w:rsidRPr="00FD4FB7">
        <w:rPr>
          <w:rFonts w:cstheme="minorHAnsi"/>
        </w:rPr>
        <w:t xml:space="preserve">and CP </w:t>
      </w:r>
      <w:r w:rsidR="00797726" w:rsidRPr="00FD4FB7">
        <w:rPr>
          <w:rFonts w:cstheme="minorHAnsi"/>
        </w:rPr>
        <w:t>have</w:t>
      </w:r>
      <w:r w:rsidR="006E4CA7" w:rsidRPr="00FD4FB7">
        <w:rPr>
          <w:rFonts w:cstheme="minorHAnsi"/>
        </w:rPr>
        <w:t xml:space="preserve"> no interests to declare</w:t>
      </w:r>
    </w:p>
    <w:p w14:paraId="5FB5A2E2" w14:textId="5636AABE" w:rsidR="000A5B02" w:rsidRPr="00FD4FB7" w:rsidRDefault="000A5B02" w:rsidP="002B38DB">
      <w:pPr>
        <w:spacing w:line="360" w:lineRule="auto"/>
        <w:rPr>
          <w:rFonts w:asciiTheme="minorHAnsi" w:hAnsiTheme="minorHAnsi" w:cstheme="minorHAnsi"/>
          <w:color w:val="000000" w:themeColor="text1"/>
          <w:sz w:val="22"/>
          <w:szCs w:val="22"/>
        </w:rPr>
      </w:pPr>
    </w:p>
    <w:p w14:paraId="04A14AAB" w14:textId="6D602569" w:rsidR="00E32C7D" w:rsidRPr="00FD4FB7" w:rsidRDefault="00590269" w:rsidP="002A2D80">
      <w:pPr>
        <w:pStyle w:val="NoSpacing"/>
        <w:rPr>
          <w:rFonts w:cstheme="minorHAnsi"/>
          <w:b/>
          <w:bCs/>
        </w:rPr>
      </w:pPr>
      <w:r w:rsidRPr="00FD4FB7">
        <w:rPr>
          <w:rFonts w:cstheme="minorHAnsi"/>
          <w:b/>
          <w:bCs/>
        </w:rPr>
        <w:lastRenderedPageBreak/>
        <w:t>REFERENCES</w:t>
      </w:r>
    </w:p>
    <w:p w14:paraId="1C882C13" w14:textId="77777777" w:rsidR="00F36A39" w:rsidRPr="00FD4FB7" w:rsidRDefault="00F36A39" w:rsidP="002A2D80">
      <w:pPr>
        <w:pStyle w:val="NoSpacing"/>
        <w:rPr>
          <w:rFonts w:cstheme="minorHAnsi"/>
        </w:rPr>
      </w:pPr>
    </w:p>
    <w:p w14:paraId="14DF0FCB" w14:textId="77777777" w:rsidR="002A2D80" w:rsidRPr="00FD4FB7" w:rsidRDefault="002A2D80" w:rsidP="002A2D80">
      <w:pPr>
        <w:pStyle w:val="NoSpacing"/>
        <w:rPr>
          <w:rStyle w:val="contentpasted0"/>
          <w:rFonts w:cstheme="minorHAnsi"/>
          <w:color w:val="212121"/>
          <w:shd w:val="clear" w:color="auto" w:fill="FFFFFF"/>
        </w:rPr>
      </w:pPr>
    </w:p>
    <w:p w14:paraId="180E8355" w14:textId="03E8E290" w:rsidR="002A2D80" w:rsidRPr="00FD4FB7" w:rsidRDefault="002A2D80" w:rsidP="00442C92">
      <w:pPr>
        <w:pStyle w:val="NoSpacing"/>
        <w:numPr>
          <w:ilvl w:val="0"/>
          <w:numId w:val="13"/>
        </w:numPr>
        <w:rPr>
          <w:rFonts w:cstheme="minorHAnsi"/>
        </w:rPr>
      </w:pPr>
      <w:r w:rsidRPr="00FD4FB7">
        <w:rPr>
          <w:rStyle w:val="contentpasted0"/>
          <w:rFonts w:cstheme="minorHAnsi"/>
          <w:color w:val="212121"/>
          <w:shd w:val="clear" w:color="auto" w:fill="FFFFFF"/>
        </w:rPr>
        <w:t>Castillo-</w:t>
      </w:r>
      <w:proofErr w:type="spellStart"/>
      <w:r w:rsidRPr="00FD4FB7">
        <w:rPr>
          <w:rStyle w:val="contentpasted0"/>
          <w:rFonts w:cstheme="minorHAnsi"/>
          <w:color w:val="212121"/>
          <w:shd w:val="clear" w:color="auto" w:fill="FFFFFF"/>
        </w:rPr>
        <w:t>Carniglia</w:t>
      </w:r>
      <w:proofErr w:type="spellEnd"/>
      <w:r w:rsidRPr="00FD4FB7">
        <w:rPr>
          <w:rStyle w:val="contentpasted0"/>
          <w:rFonts w:cstheme="minorHAnsi"/>
          <w:color w:val="212121"/>
          <w:shd w:val="clear" w:color="auto" w:fill="FFFFFF"/>
        </w:rPr>
        <w:t xml:space="preserve"> A, Keyes KM, </w:t>
      </w:r>
      <w:proofErr w:type="spellStart"/>
      <w:r w:rsidRPr="00FD4FB7">
        <w:rPr>
          <w:rStyle w:val="contentpasted0"/>
          <w:rFonts w:cstheme="minorHAnsi"/>
          <w:color w:val="212121"/>
          <w:shd w:val="clear" w:color="auto" w:fill="FFFFFF"/>
        </w:rPr>
        <w:t>Hasin</w:t>
      </w:r>
      <w:proofErr w:type="spellEnd"/>
      <w:r w:rsidRPr="00FD4FB7">
        <w:rPr>
          <w:rStyle w:val="contentpasted0"/>
          <w:rFonts w:cstheme="minorHAnsi"/>
          <w:color w:val="212121"/>
          <w:shd w:val="clear" w:color="auto" w:fill="FFFFFF"/>
        </w:rPr>
        <w:t xml:space="preserve"> DS, </w:t>
      </w:r>
      <w:proofErr w:type="spellStart"/>
      <w:r w:rsidR="00442C92" w:rsidRPr="00FD4FB7">
        <w:rPr>
          <w:rStyle w:val="contentpasted0"/>
          <w:rFonts w:cstheme="minorHAnsi"/>
          <w:color w:val="212121"/>
          <w:shd w:val="clear" w:color="auto" w:fill="FFFFFF"/>
        </w:rPr>
        <w:t>Cerdá</w:t>
      </w:r>
      <w:proofErr w:type="spellEnd"/>
      <w:r w:rsidR="00442C92" w:rsidRPr="00FD4FB7">
        <w:rPr>
          <w:rStyle w:val="contentpasted0"/>
          <w:rFonts w:cstheme="minorHAnsi"/>
          <w:color w:val="212121"/>
          <w:shd w:val="clear" w:color="auto" w:fill="FFFFFF"/>
        </w:rPr>
        <w:t xml:space="preserve"> M.</w:t>
      </w:r>
      <w:r w:rsidRPr="00FD4FB7">
        <w:rPr>
          <w:rStyle w:val="contentpasted0"/>
          <w:rFonts w:cstheme="minorHAnsi"/>
          <w:color w:val="212121"/>
          <w:shd w:val="clear" w:color="auto" w:fill="FFFFFF"/>
        </w:rPr>
        <w:t xml:space="preserve"> Psychiatric comorbidities in alcohol use disorder.</w:t>
      </w:r>
      <w:r w:rsidRPr="00FD4FB7">
        <w:rPr>
          <w:rFonts w:cstheme="minorHAnsi"/>
          <w:i/>
          <w:iCs/>
          <w:color w:val="212121"/>
          <w:shd w:val="clear" w:color="auto" w:fill="FFFFFF"/>
        </w:rPr>
        <w:t xml:space="preserve"> Lancet Psychiatry </w:t>
      </w:r>
      <w:proofErr w:type="gramStart"/>
      <w:r w:rsidRPr="00FD4FB7">
        <w:rPr>
          <w:rFonts w:cstheme="minorHAnsi"/>
          <w:color w:val="212121"/>
          <w:shd w:val="clear" w:color="auto" w:fill="FFFFFF"/>
        </w:rPr>
        <w:t>2019</w:t>
      </w:r>
      <w:r w:rsidRPr="00FD4FB7">
        <w:rPr>
          <w:rFonts w:cstheme="minorHAnsi"/>
          <w:i/>
          <w:iCs/>
          <w:color w:val="212121"/>
          <w:shd w:val="clear" w:color="auto" w:fill="FFFFFF"/>
        </w:rPr>
        <w:t>;</w:t>
      </w:r>
      <w:r w:rsidRPr="00FD4FB7">
        <w:rPr>
          <w:rFonts w:cstheme="minorHAnsi"/>
          <w:b/>
          <w:bCs/>
          <w:color w:val="212121"/>
          <w:shd w:val="clear" w:color="auto" w:fill="FFFFFF"/>
        </w:rPr>
        <w:t>6</w:t>
      </w:r>
      <w:r w:rsidRPr="00FD4FB7">
        <w:rPr>
          <w:rStyle w:val="contentpasted0"/>
          <w:rFonts w:cstheme="minorHAnsi"/>
          <w:b/>
          <w:bCs/>
          <w:color w:val="212121"/>
          <w:shd w:val="clear" w:color="auto" w:fill="FFFFFF"/>
        </w:rPr>
        <w:t>:</w:t>
      </w:r>
      <w:r w:rsidRPr="00FD4FB7">
        <w:rPr>
          <w:rStyle w:val="contentpasted0"/>
          <w:rFonts w:cstheme="minorHAnsi"/>
          <w:color w:val="212121"/>
          <w:shd w:val="clear" w:color="auto" w:fill="FFFFFF"/>
        </w:rPr>
        <w:t>1068</w:t>
      </w:r>
      <w:proofErr w:type="gramEnd"/>
      <w:r w:rsidRPr="00FD4FB7">
        <w:rPr>
          <w:rStyle w:val="contentpasted0"/>
          <w:rFonts w:cstheme="minorHAnsi"/>
          <w:color w:val="212121"/>
          <w:shd w:val="clear" w:color="auto" w:fill="FFFFFF"/>
        </w:rPr>
        <w:t>–1080.</w:t>
      </w:r>
    </w:p>
    <w:p w14:paraId="7B9CC902" w14:textId="7D6F8663" w:rsidR="00C94C49" w:rsidRPr="00FD4FB7" w:rsidRDefault="00A06563" w:rsidP="00C94C49">
      <w:pPr>
        <w:pStyle w:val="NoSpacing"/>
        <w:numPr>
          <w:ilvl w:val="0"/>
          <w:numId w:val="13"/>
        </w:numPr>
        <w:rPr>
          <w:rStyle w:val="contentpasted1"/>
          <w:rFonts w:cstheme="minorHAnsi"/>
        </w:rPr>
      </w:pPr>
      <w:proofErr w:type="spellStart"/>
      <w:r w:rsidRPr="00FD4FB7">
        <w:rPr>
          <w:rStyle w:val="contentpasted1"/>
          <w:rFonts w:cstheme="minorHAnsi"/>
          <w:color w:val="212121"/>
          <w:shd w:val="clear" w:color="auto" w:fill="FFFFFF"/>
        </w:rPr>
        <w:t>Bahji</w:t>
      </w:r>
      <w:proofErr w:type="spellEnd"/>
      <w:r w:rsidRPr="00FD4FB7">
        <w:rPr>
          <w:rStyle w:val="contentpasted1"/>
          <w:rFonts w:cstheme="minorHAnsi"/>
          <w:color w:val="212121"/>
          <w:shd w:val="clear" w:color="auto" w:fill="FFFFFF"/>
        </w:rPr>
        <w:t xml:space="preserve"> A, Bach P, </w:t>
      </w:r>
      <w:proofErr w:type="spellStart"/>
      <w:r w:rsidRPr="00FD4FB7">
        <w:rPr>
          <w:rStyle w:val="contentpasted1"/>
          <w:rFonts w:cstheme="minorHAnsi"/>
          <w:color w:val="212121"/>
          <w:shd w:val="clear" w:color="auto" w:fill="FFFFFF"/>
        </w:rPr>
        <w:t>Danilewitz</w:t>
      </w:r>
      <w:proofErr w:type="spellEnd"/>
      <w:r w:rsidRPr="00FD4FB7">
        <w:rPr>
          <w:rStyle w:val="contentpasted1"/>
          <w:rFonts w:cstheme="minorHAnsi"/>
          <w:color w:val="212121"/>
          <w:shd w:val="clear" w:color="auto" w:fill="FFFFFF"/>
        </w:rPr>
        <w:t xml:space="preserve"> M, Crockford D, </w:t>
      </w:r>
      <w:proofErr w:type="spellStart"/>
      <w:r w:rsidRPr="00FD4FB7">
        <w:rPr>
          <w:rStyle w:val="contentpasted1"/>
          <w:rFonts w:cstheme="minorHAnsi"/>
          <w:color w:val="212121"/>
          <w:shd w:val="clear" w:color="auto" w:fill="FFFFFF"/>
        </w:rPr>
        <w:t>el-Guebaly</w:t>
      </w:r>
      <w:proofErr w:type="spellEnd"/>
      <w:r w:rsidRPr="00FD4FB7">
        <w:rPr>
          <w:rStyle w:val="contentpasted1"/>
          <w:rFonts w:cstheme="minorHAnsi"/>
          <w:color w:val="212121"/>
          <w:shd w:val="clear" w:color="auto" w:fill="FFFFFF"/>
        </w:rPr>
        <w:t xml:space="preserve"> N, </w:t>
      </w:r>
      <w:proofErr w:type="spellStart"/>
      <w:r w:rsidRPr="00FD4FB7">
        <w:rPr>
          <w:rStyle w:val="contentpasted1"/>
          <w:rFonts w:cstheme="minorHAnsi"/>
          <w:color w:val="212121"/>
          <w:shd w:val="clear" w:color="auto" w:fill="FFFFFF"/>
        </w:rPr>
        <w:t>Devoe</w:t>
      </w:r>
      <w:proofErr w:type="spellEnd"/>
      <w:r w:rsidRPr="00FD4FB7">
        <w:rPr>
          <w:rStyle w:val="contentpasted1"/>
          <w:rFonts w:cstheme="minorHAnsi"/>
          <w:color w:val="212121"/>
          <w:shd w:val="clear" w:color="auto" w:fill="FFFFFF"/>
        </w:rPr>
        <w:t xml:space="preserve"> DJ, et al. Comparative efficacy and safety of pharmacotherapies for alcohol withdrawal: a systematic review and network meta-analysis. </w:t>
      </w:r>
      <w:r w:rsidRPr="00FD4FB7">
        <w:rPr>
          <w:rFonts w:cstheme="minorHAnsi"/>
          <w:i/>
          <w:iCs/>
          <w:shd w:val="clear" w:color="auto" w:fill="FFFFFF"/>
        </w:rPr>
        <w:t xml:space="preserve">Addiction </w:t>
      </w:r>
      <w:proofErr w:type="gramStart"/>
      <w:r w:rsidRPr="00FD4FB7">
        <w:rPr>
          <w:rFonts w:cstheme="minorHAnsi"/>
          <w:shd w:val="clear" w:color="auto" w:fill="FFFFFF"/>
        </w:rPr>
        <w:t>2022;</w:t>
      </w:r>
      <w:r w:rsidRPr="00FD4FB7">
        <w:rPr>
          <w:rFonts w:cstheme="minorHAnsi"/>
          <w:b/>
          <w:bCs/>
          <w:shd w:val="clear" w:color="auto" w:fill="FFFFFF"/>
        </w:rPr>
        <w:t>17</w:t>
      </w:r>
      <w:r w:rsidRPr="00FD4FB7">
        <w:rPr>
          <w:rStyle w:val="contentpasted1"/>
          <w:rFonts w:cstheme="minorHAnsi"/>
          <w:color w:val="212121"/>
          <w:shd w:val="clear" w:color="auto" w:fill="FFFFFF"/>
        </w:rPr>
        <w:t>:2591</w:t>
      </w:r>
      <w:proofErr w:type="gramEnd"/>
      <w:r w:rsidRPr="00FD4FB7">
        <w:rPr>
          <w:rStyle w:val="contentpasted1"/>
          <w:rFonts w:cstheme="minorHAnsi"/>
          <w:color w:val="212121"/>
          <w:shd w:val="clear" w:color="auto" w:fill="FFFFFF"/>
        </w:rPr>
        <w:t>–2601.</w:t>
      </w:r>
    </w:p>
    <w:p w14:paraId="3A836C31" w14:textId="1CDE19C8" w:rsidR="00BC343B" w:rsidRPr="00FD4FB7" w:rsidRDefault="00BC343B" w:rsidP="00C94C49">
      <w:pPr>
        <w:pStyle w:val="NoSpacing"/>
        <w:numPr>
          <w:ilvl w:val="0"/>
          <w:numId w:val="13"/>
        </w:numPr>
        <w:rPr>
          <w:rStyle w:val="contentpasted1"/>
          <w:rFonts w:cstheme="minorHAnsi"/>
        </w:rPr>
      </w:pPr>
      <w:r w:rsidRPr="00516FC7">
        <w:rPr>
          <w:rFonts w:eastAsia="Times New Roman" w:cstheme="minorHAnsi"/>
          <w:color w:val="000000"/>
          <w:lang w:eastAsia="en-GB"/>
        </w:rPr>
        <w:t xml:space="preserve">Martin PR, Singleton </w:t>
      </w:r>
      <w:proofErr w:type="spellStart"/>
      <w:proofErr w:type="gramStart"/>
      <w:r w:rsidRPr="00516FC7">
        <w:rPr>
          <w:rFonts w:eastAsia="Times New Roman" w:cstheme="minorHAnsi"/>
          <w:color w:val="000000"/>
          <w:lang w:eastAsia="en-GB"/>
        </w:rPr>
        <w:t>CK,Hiller</w:t>
      </w:r>
      <w:proofErr w:type="gramEnd"/>
      <w:r w:rsidRPr="00516FC7">
        <w:rPr>
          <w:rFonts w:eastAsia="Times New Roman" w:cstheme="minorHAnsi"/>
          <w:color w:val="000000"/>
          <w:lang w:eastAsia="en-GB"/>
        </w:rPr>
        <w:t>-Sturmhofel</w:t>
      </w:r>
      <w:proofErr w:type="spellEnd"/>
      <w:r w:rsidRPr="00516FC7">
        <w:rPr>
          <w:rFonts w:eastAsia="Times New Roman" w:cstheme="minorHAnsi"/>
          <w:color w:val="000000"/>
          <w:lang w:eastAsia="en-GB"/>
        </w:rPr>
        <w:t xml:space="preserve"> S. The role of thiamine deficiency in alcoholic brain disease. </w:t>
      </w:r>
      <w:r w:rsidRPr="00516FC7">
        <w:rPr>
          <w:rFonts w:eastAsia="Times New Roman" w:cstheme="minorHAnsi"/>
          <w:i/>
          <w:iCs/>
          <w:color w:val="000000"/>
          <w:lang w:eastAsia="en-GB"/>
        </w:rPr>
        <w:t>Alcohol Research and Health</w:t>
      </w:r>
      <w:r w:rsidRPr="00516FC7">
        <w:rPr>
          <w:rFonts w:eastAsia="Times New Roman" w:cstheme="minorHAnsi"/>
          <w:color w:val="000000"/>
          <w:lang w:eastAsia="en-GB"/>
        </w:rPr>
        <w:t xml:space="preserve"> 2003,27;134-42.</w:t>
      </w:r>
    </w:p>
    <w:p w14:paraId="2DC9F276" w14:textId="0C43C4A3" w:rsidR="00DB3E59" w:rsidRPr="00FD4FB7" w:rsidRDefault="00DB3E59" w:rsidP="00DB3E59">
      <w:pPr>
        <w:pStyle w:val="NormalWeb"/>
        <w:numPr>
          <w:ilvl w:val="0"/>
          <w:numId w:val="13"/>
        </w:numPr>
        <w:rPr>
          <w:rFonts w:asciiTheme="minorHAnsi" w:hAnsiTheme="minorHAnsi" w:cstheme="minorHAnsi"/>
          <w:sz w:val="22"/>
          <w:szCs w:val="22"/>
        </w:rPr>
      </w:pPr>
      <w:r w:rsidRPr="00FD4FB7">
        <w:rPr>
          <w:rFonts w:asciiTheme="minorHAnsi" w:hAnsiTheme="minorHAnsi" w:cstheme="minorHAnsi"/>
          <w:sz w:val="22"/>
          <w:szCs w:val="22"/>
        </w:rPr>
        <w:t xml:space="preserve">Barnes TRE, Paton C. The Prescribing Observatory for Mental Health 15-year report, CCQI 353. The Royal College of Psychiatrists, 2020. </w:t>
      </w:r>
    </w:p>
    <w:p w14:paraId="61552490" w14:textId="46CFEFFD" w:rsidR="003A3C55" w:rsidRPr="00FD4FB7" w:rsidRDefault="003A3C55" w:rsidP="003A3C55">
      <w:pPr>
        <w:pStyle w:val="NoSpacing"/>
        <w:numPr>
          <w:ilvl w:val="0"/>
          <w:numId w:val="13"/>
        </w:numPr>
        <w:rPr>
          <w:rFonts w:cstheme="minorHAnsi"/>
        </w:rPr>
      </w:pPr>
      <w:r w:rsidRPr="00FD4FB7">
        <w:rPr>
          <w:rFonts w:cstheme="minorHAnsi"/>
          <w:iCs/>
          <w:color w:val="000000" w:themeColor="text1"/>
        </w:rPr>
        <w:t xml:space="preserve">National Institute for Heath and Care Excellence. </w:t>
      </w:r>
      <w:r w:rsidRPr="00FD4FB7">
        <w:rPr>
          <w:rFonts w:cstheme="minorHAnsi"/>
          <w:i/>
          <w:iCs/>
          <w:color w:val="0E0E0E"/>
        </w:rPr>
        <w:t xml:space="preserve">Alcohol-use disorders: diagnosis, </w:t>
      </w:r>
      <w:proofErr w:type="gramStart"/>
      <w:r w:rsidRPr="00FD4FB7">
        <w:rPr>
          <w:rFonts w:cstheme="minorHAnsi"/>
          <w:i/>
          <w:iCs/>
          <w:color w:val="0E0E0E"/>
        </w:rPr>
        <w:t>assessment</w:t>
      </w:r>
      <w:proofErr w:type="gramEnd"/>
      <w:r w:rsidRPr="00FD4FB7">
        <w:rPr>
          <w:rFonts w:cstheme="minorHAnsi"/>
          <w:i/>
          <w:iCs/>
          <w:color w:val="0E0E0E"/>
        </w:rPr>
        <w:t xml:space="preserve"> and management of harmful drinking (high-risk drinking) and alcohol dependence</w:t>
      </w:r>
      <w:r w:rsidRPr="00FD4FB7">
        <w:rPr>
          <w:rFonts w:cstheme="minorHAnsi"/>
          <w:color w:val="0E0E0E"/>
        </w:rPr>
        <w:t xml:space="preserve">. </w:t>
      </w:r>
      <w:r w:rsidRPr="00FD4FB7">
        <w:rPr>
          <w:rFonts w:cstheme="minorHAnsi"/>
          <w:iCs/>
          <w:color w:val="000000" w:themeColor="text1"/>
        </w:rPr>
        <w:t>Clinical Guideline 115. London, 2011.</w:t>
      </w:r>
    </w:p>
    <w:p w14:paraId="75AEF97C" w14:textId="65453905" w:rsidR="003A3C55" w:rsidRPr="00FD4FB7" w:rsidRDefault="003A3C55" w:rsidP="003A3C55">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iCs/>
          <w:color w:val="000000" w:themeColor="text1"/>
          <w:sz w:val="22"/>
          <w:szCs w:val="22"/>
        </w:rPr>
        <w:t xml:space="preserve">National Institute for Heath and Care Excellence. </w:t>
      </w:r>
      <w:r w:rsidRPr="00FD4FB7">
        <w:rPr>
          <w:rFonts w:asciiTheme="minorHAnsi" w:hAnsiTheme="minorHAnsi" w:cstheme="minorHAnsi"/>
          <w:i/>
          <w:iCs/>
          <w:color w:val="000000" w:themeColor="text1"/>
          <w:sz w:val="22"/>
          <w:szCs w:val="22"/>
        </w:rPr>
        <w:t xml:space="preserve">Alcohol-use disorders: diagnosis and clinical management of alcohol-related physical complications. </w:t>
      </w:r>
      <w:r w:rsidRPr="00FD4FB7">
        <w:rPr>
          <w:rFonts w:asciiTheme="minorHAnsi" w:hAnsiTheme="minorHAnsi" w:cstheme="minorHAnsi"/>
          <w:color w:val="000000" w:themeColor="text1"/>
          <w:sz w:val="22"/>
          <w:szCs w:val="22"/>
        </w:rPr>
        <w:t>Clinical Guideline 100. London, 2010.</w:t>
      </w:r>
    </w:p>
    <w:p w14:paraId="1C323290" w14:textId="23113745" w:rsidR="003A3C55" w:rsidRPr="00FD4FB7" w:rsidRDefault="003A3C55" w:rsidP="003A3C55">
      <w:pPr>
        <w:pStyle w:val="ListParagraph"/>
        <w:numPr>
          <w:ilvl w:val="0"/>
          <w:numId w:val="13"/>
        </w:numPr>
        <w:rPr>
          <w:rFonts w:asciiTheme="minorHAnsi" w:hAnsiTheme="minorHAnsi" w:cstheme="minorHAnsi"/>
          <w:iCs/>
          <w:color w:val="000000" w:themeColor="text1"/>
          <w:sz w:val="22"/>
          <w:szCs w:val="22"/>
        </w:rPr>
      </w:pPr>
      <w:r w:rsidRPr="00FD4FB7">
        <w:rPr>
          <w:rFonts w:asciiTheme="minorHAnsi" w:hAnsiTheme="minorHAnsi" w:cstheme="minorHAnsi"/>
          <w:iCs/>
          <w:color w:val="000000" w:themeColor="text1"/>
          <w:sz w:val="22"/>
          <w:szCs w:val="22"/>
        </w:rPr>
        <w:t xml:space="preserve">National Institute for Heath and Care Excellence. </w:t>
      </w:r>
      <w:r w:rsidRPr="00FD4FB7">
        <w:rPr>
          <w:rFonts w:asciiTheme="minorHAnsi" w:hAnsiTheme="minorHAnsi" w:cstheme="minorHAnsi"/>
          <w:i/>
          <w:iCs/>
          <w:color w:val="000000" w:themeColor="text1"/>
          <w:sz w:val="22"/>
          <w:szCs w:val="22"/>
        </w:rPr>
        <w:t xml:space="preserve">Alcohol use disorders: diagnosis and management. </w:t>
      </w:r>
      <w:r w:rsidRPr="00FD4FB7">
        <w:rPr>
          <w:rFonts w:asciiTheme="minorHAnsi" w:hAnsiTheme="minorHAnsi" w:cstheme="minorHAnsi"/>
          <w:iCs/>
          <w:color w:val="000000" w:themeColor="text1"/>
          <w:sz w:val="22"/>
          <w:szCs w:val="22"/>
        </w:rPr>
        <w:t>Quality Standard 11. London, 2011.</w:t>
      </w:r>
    </w:p>
    <w:p w14:paraId="29F25F6E" w14:textId="48605A37" w:rsidR="003A3C55" w:rsidRPr="00FD4FB7" w:rsidRDefault="003A3C55" w:rsidP="003A3C55">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Lingford-Hughes AR, Welch S, Peters L, Nutt DJ; British Association for Psychopharmacology, Expert Reviewers Group. BAP updated guidelines: evidence-based guidelines for the pharmacological management of substance abuse, harmful use, </w:t>
      </w:r>
      <w:proofErr w:type="gramStart"/>
      <w:r w:rsidRPr="00FD4FB7">
        <w:rPr>
          <w:rFonts w:asciiTheme="minorHAnsi" w:hAnsiTheme="minorHAnsi" w:cstheme="minorHAnsi"/>
          <w:color w:val="000000" w:themeColor="text1"/>
          <w:sz w:val="22"/>
          <w:szCs w:val="22"/>
        </w:rPr>
        <w:t>addiction</w:t>
      </w:r>
      <w:proofErr w:type="gramEnd"/>
      <w:r w:rsidRPr="00FD4FB7">
        <w:rPr>
          <w:rFonts w:asciiTheme="minorHAnsi" w:hAnsiTheme="minorHAnsi" w:cstheme="minorHAnsi"/>
          <w:color w:val="000000" w:themeColor="text1"/>
          <w:sz w:val="22"/>
          <w:szCs w:val="22"/>
        </w:rPr>
        <w:t xml:space="preserve"> and comorbidity: recommendations from BAP. </w:t>
      </w:r>
      <w:r w:rsidRPr="00FD4FB7">
        <w:rPr>
          <w:rFonts w:asciiTheme="minorHAnsi" w:hAnsiTheme="minorHAnsi" w:cstheme="minorHAnsi"/>
          <w:i/>
          <w:iCs/>
          <w:color w:val="000000" w:themeColor="text1"/>
          <w:sz w:val="22"/>
          <w:szCs w:val="22"/>
        </w:rPr>
        <w:t>J Psychopharmacol</w:t>
      </w:r>
      <w:r w:rsidRPr="00FD4FB7">
        <w:rPr>
          <w:rFonts w:asciiTheme="minorHAnsi" w:hAnsiTheme="minorHAnsi" w:cstheme="minorHAnsi"/>
          <w:color w:val="000000" w:themeColor="text1"/>
          <w:sz w:val="22"/>
          <w:szCs w:val="22"/>
        </w:rPr>
        <w:t xml:space="preserve">. </w:t>
      </w:r>
      <w:proofErr w:type="gramStart"/>
      <w:r w:rsidRPr="00FD4FB7">
        <w:rPr>
          <w:rFonts w:asciiTheme="minorHAnsi" w:hAnsiTheme="minorHAnsi" w:cstheme="minorHAnsi"/>
          <w:color w:val="000000" w:themeColor="text1"/>
          <w:sz w:val="22"/>
          <w:szCs w:val="22"/>
        </w:rPr>
        <w:t>2012;</w:t>
      </w:r>
      <w:r w:rsidRPr="00FD4FB7">
        <w:rPr>
          <w:rFonts w:asciiTheme="minorHAnsi" w:hAnsiTheme="minorHAnsi" w:cstheme="minorHAnsi"/>
          <w:b/>
          <w:bCs/>
          <w:color w:val="000000" w:themeColor="text1"/>
          <w:sz w:val="22"/>
          <w:szCs w:val="22"/>
        </w:rPr>
        <w:t>26</w:t>
      </w:r>
      <w:r w:rsidRPr="00FD4FB7">
        <w:rPr>
          <w:rFonts w:asciiTheme="minorHAnsi" w:hAnsiTheme="minorHAnsi" w:cstheme="minorHAnsi"/>
          <w:color w:val="000000" w:themeColor="text1"/>
          <w:sz w:val="22"/>
          <w:szCs w:val="22"/>
        </w:rPr>
        <w:t>:899</w:t>
      </w:r>
      <w:proofErr w:type="gramEnd"/>
      <w:r w:rsidRPr="00FD4FB7">
        <w:rPr>
          <w:rFonts w:asciiTheme="minorHAnsi" w:hAnsiTheme="minorHAnsi" w:cstheme="minorHAnsi"/>
          <w:color w:val="000000" w:themeColor="text1"/>
          <w:sz w:val="22"/>
          <w:szCs w:val="22"/>
        </w:rPr>
        <w:t>-952.</w:t>
      </w:r>
    </w:p>
    <w:p w14:paraId="302D0564" w14:textId="262BD273" w:rsidR="003A3C55" w:rsidRPr="00FD4FB7" w:rsidRDefault="003A3C55" w:rsidP="003A3C55">
      <w:pPr>
        <w:pStyle w:val="ListParagraph"/>
        <w:numPr>
          <w:ilvl w:val="0"/>
          <w:numId w:val="13"/>
        </w:numPr>
        <w:spacing w:before="100" w:beforeAutospacing="1" w:after="100" w:afterAutospacing="1"/>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Health Research Authority 2017. Do I need NHS REC review? </w:t>
      </w:r>
      <w:r w:rsidRPr="00FD4FB7">
        <w:rPr>
          <w:rFonts w:asciiTheme="minorHAnsi" w:hAnsiTheme="minorHAnsi" w:cstheme="minorHAnsi"/>
          <w:i/>
          <w:iCs/>
          <w:color w:val="000000" w:themeColor="text1"/>
          <w:sz w:val="22"/>
          <w:szCs w:val="22"/>
        </w:rPr>
        <w:t>Decision tool</w:t>
      </w:r>
      <w:r w:rsidRPr="00FD4FB7">
        <w:rPr>
          <w:rFonts w:asciiTheme="minorHAnsi" w:hAnsiTheme="minorHAnsi" w:cstheme="minorHAnsi"/>
          <w:color w:val="000000" w:themeColor="text1"/>
          <w:sz w:val="22"/>
          <w:szCs w:val="22"/>
        </w:rPr>
        <w:t xml:space="preserve">, http://www. hra-decisiontools.org.uk/research/docs/ DefiningResearchTable_Oct2017-1.pdf (2017, accessed November 2022). </w:t>
      </w:r>
    </w:p>
    <w:p w14:paraId="6C03E92E" w14:textId="73DAF53B" w:rsidR="003A3C55" w:rsidRPr="00FD4FB7" w:rsidRDefault="003A3C55" w:rsidP="003A3C55">
      <w:pPr>
        <w:pStyle w:val="ListParagraph"/>
        <w:numPr>
          <w:ilvl w:val="0"/>
          <w:numId w:val="13"/>
        </w:numPr>
        <w:shd w:val="clear" w:color="auto" w:fill="FFFFFF"/>
        <w:spacing w:before="100" w:beforeAutospacing="1" w:after="100" w:afterAutospacing="1"/>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Formic Software, https://www.formic.com/ (2016, accessed September 2022). </w:t>
      </w:r>
    </w:p>
    <w:p w14:paraId="6F7CBE3B" w14:textId="64AA1DC4" w:rsidR="003A3C55" w:rsidRPr="00FD4FB7" w:rsidRDefault="003A3C55" w:rsidP="003A3C55">
      <w:pPr>
        <w:pStyle w:val="ListParagraph"/>
        <w:numPr>
          <w:ilvl w:val="0"/>
          <w:numId w:val="13"/>
        </w:numPr>
        <w:spacing w:before="100" w:beforeAutospacing="1" w:after="100" w:afterAutospacing="1"/>
        <w:rPr>
          <w:rFonts w:asciiTheme="minorHAnsi" w:hAnsiTheme="minorHAnsi" w:cstheme="minorHAnsi"/>
          <w:sz w:val="22"/>
          <w:szCs w:val="22"/>
        </w:rPr>
      </w:pPr>
      <w:r w:rsidRPr="00FD4FB7">
        <w:rPr>
          <w:rFonts w:asciiTheme="minorHAnsi" w:hAnsiTheme="minorHAnsi" w:cstheme="minorHAnsi"/>
          <w:color w:val="000000" w:themeColor="text1"/>
          <w:sz w:val="22"/>
          <w:szCs w:val="22"/>
        </w:rPr>
        <w:t xml:space="preserve">IBM Corp. </w:t>
      </w:r>
      <w:r w:rsidRPr="00FD4FB7">
        <w:rPr>
          <w:rFonts w:asciiTheme="minorHAnsi" w:hAnsiTheme="minorHAnsi" w:cstheme="minorHAnsi"/>
          <w:i/>
          <w:iCs/>
          <w:color w:val="000000" w:themeColor="text1"/>
          <w:sz w:val="22"/>
          <w:szCs w:val="22"/>
        </w:rPr>
        <w:t xml:space="preserve">IBM SPSS </w:t>
      </w:r>
      <w:r w:rsidRPr="00FD4FB7">
        <w:rPr>
          <w:rFonts w:asciiTheme="minorHAnsi" w:hAnsiTheme="minorHAnsi" w:cstheme="minorHAnsi"/>
          <w:i/>
          <w:iCs/>
          <w:sz w:val="22"/>
          <w:szCs w:val="22"/>
        </w:rPr>
        <w:t>Statistics for Windows, version 21.0</w:t>
      </w:r>
      <w:r w:rsidRPr="00FD4FB7">
        <w:rPr>
          <w:rFonts w:asciiTheme="minorHAnsi" w:hAnsiTheme="minorHAnsi" w:cstheme="minorHAnsi"/>
          <w:sz w:val="22"/>
          <w:szCs w:val="22"/>
        </w:rPr>
        <w:t xml:space="preserve">. Armonk, NY: IBM Corp., 2012. </w:t>
      </w:r>
    </w:p>
    <w:p w14:paraId="03A09EEF" w14:textId="77777777" w:rsidR="003A3C55" w:rsidRPr="00FD4FB7" w:rsidRDefault="003A3C55" w:rsidP="003A3C55">
      <w:pPr>
        <w:pStyle w:val="NormalWeb"/>
        <w:numPr>
          <w:ilvl w:val="0"/>
          <w:numId w:val="13"/>
        </w:numPr>
        <w:rPr>
          <w:rStyle w:val="cit"/>
          <w:rFonts w:asciiTheme="minorHAnsi" w:hAnsiTheme="minorHAnsi" w:cstheme="minorHAnsi"/>
          <w:sz w:val="22"/>
          <w:szCs w:val="22"/>
        </w:rPr>
      </w:pPr>
      <w:r w:rsidRPr="00FD4FB7">
        <w:rPr>
          <w:rFonts w:asciiTheme="minorHAnsi" w:hAnsiTheme="minorHAnsi" w:cstheme="minorHAnsi"/>
          <w:color w:val="000000" w:themeColor="text1"/>
          <w:sz w:val="22"/>
          <w:szCs w:val="22"/>
        </w:rPr>
        <w:t xml:space="preserve">Phillips T, Huang C, Roberts W, Drummond C. Specialist alcohol inpatient treatment admissions and non-specialist hospital admissions for alcohol withdrawal in England: an inverse relationship. </w:t>
      </w:r>
      <w:r w:rsidRPr="00FD4FB7">
        <w:rPr>
          <w:rFonts w:asciiTheme="minorHAnsi" w:hAnsiTheme="minorHAnsi" w:cstheme="minorHAnsi"/>
          <w:i/>
          <w:iCs/>
          <w:color w:val="000000" w:themeColor="text1"/>
          <w:sz w:val="22"/>
          <w:szCs w:val="22"/>
        </w:rPr>
        <w:t xml:space="preserve">Alcohol </w:t>
      </w:r>
      <w:proofErr w:type="spellStart"/>
      <w:r w:rsidRPr="00FD4FB7">
        <w:rPr>
          <w:rFonts w:asciiTheme="minorHAnsi" w:hAnsiTheme="minorHAnsi" w:cstheme="minorHAnsi"/>
          <w:i/>
          <w:iCs/>
          <w:color w:val="000000" w:themeColor="text1"/>
          <w:sz w:val="22"/>
          <w:szCs w:val="22"/>
        </w:rPr>
        <w:t>Alcohol</w:t>
      </w:r>
      <w:proofErr w:type="spellEnd"/>
      <w:r w:rsidRPr="00FD4FB7">
        <w:rPr>
          <w:rFonts w:asciiTheme="minorHAnsi" w:hAnsiTheme="minorHAnsi" w:cstheme="minorHAnsi"/>
          <w:color w:val="000000" w:themeColor="text1"/>
          <w:sz w:val="22"/>
          <w:szCs w:val="22"/>
        </w:rPr>
        <w:t xml:space="preserve"> </w:t>
      </w:r>
      <w:proofErr w:type="gramStart"/>
      <w:r w:rsidRPr="00FD4FB7">
        <w:rPr>
          <w:rStyle w:val="cit"/>
          <w:rFonts w:asciiTheme="minorHAnsi" w:hAnsiTheme="minorHAnsi" w:cstheme="minorHAnsi"/>
          <w:color w:val="000000" w:themeColor="text1"/>
          <w:sz w:val="22"/>
          <w:szCs w:val="22"/>
        </w:rPr>
        <w:t>2021;</w:t>
      </w:r>
      <w:r w:rsidRPr="00FD4FB7">
        <w:rPr>
          <w:rStyle w:val="cit"/>
          <w:rFonts w:asciiTheme="minorHAnsi" w:hAnsiTheme="minorHAnsi" w:cstheme="minorHAnsi"/>
          <w:b/>
          <w:bCs/>
          <w:color w:val="000000" w:themeColor="text1"/>
          <w:sz w:val="22"/>
          <w:szCs w:val="22"/>
        </w:rPr>
        <w:t>56</w:t>
      </w:r>
      <w:r w:rsidRPr="00FD4FB7">
        <w:rPr>
          <w:rStyle w:val="cit"/>
          <w:rFonts w:asciiTheme="minorHAnsi" w:hAnsiTheme="minorHAnsi" w:cstheme="minorHAnsi"/>
          <w:color w:val="000000" w:themeColor="text1"/>
          <w:sz w:val="22"/>
          <w:szCs w:val="22"/>
        </w:rPr>
        <w:t>:28</w:t>
      </w:r>
      <w:proofErr w:type="gramEnd"/>
      <w:r w:rsidRPr="00FD4FB7">
        <w:rPr>
          <w:rStyle w:val="cit"/>
          <w:rFonts w:asciiTheme="minorHAnsi" w:hAnsiTheme="minorHAnsi" w:cstheme="minorHAnsi"/>
          <w:color w:val="000000" w:themeColor="text1"/>
          <w:sz w:val="22"/>
          <w:szCs w:val="22"/>
        </w:rPr>
        <w:t>-33</w:t>
      </w:r>
    </w:p>
    <w:p w14:paraId="35C557CE" w14:textId="767AF231" w:rsidR="003A3C55" w:rsidRPr="00FD4FB7" w:rsidRDefault="003A3C55" w:rsidP="00496BA9">
      <w:pPr>
        <w:pStyle w:val="NormalWeb"/>
        <w:numPr>
          <w:ilvl w:val="0"/>
          <w:numId w:val="13"/>
        </w:numPr>
        <w:spacing w:before="200" w:after="200"/>
        <w:rPr>
          <w:rFonts w:asciiTheme="minorHAnsi" w:hAnsiTheme="minorHAnsi" w:cstheme="minorHAnsi"/>
          <w:sz w:val="22"/>
          <w:szCs w:val="22"/>
        </w:rPr>
      </w:pPr>
      <w:r w:rsidRPr="00FD4FB7">
        <w:rPr>
          <w:rFonts w:asciiTheme="minorHAnsi" w:hAnsiTheme="minorHAnsi" w:cstheme="minorHAnsi"/>
          <w:color w:val="212121"/>
          <w:sz w:val="22"/>
          <w:szCs w:val="22"/>
        </w:rPr>
        <w:t>NHS Digital. Statistics on Alcohol, England 2021. Published 27</w:t>
      </w:r>
      <w:r w:rsidRPr="00FD4FB7">
        <w:rPr>
          <w:rFonts w:asciiTheme="minorHAnsi" w:hAnsiTheme="minorHAnsi" w:cstheme="minorHAnsi"/>
          <w:color w:val="212121"/>
          <w:sz w:val="22"/>
          <w:szCs w:val="22"/>
          <w:vertAlign w:val="superscript"/>
        </w:rPr>
        <w:t>th</w:t>
      </w:r>
      <w:r w:rsidRPr="00FD4FB7">
        <w:rPr>
          <w:rFonts w:asciiTheme="minorHAnsi" w:hAnsiTheme="minorHAnsi" w:cstheme="minorHAnsi"/>
          <w:color w:val="212121"/>
          <w:sz w:val="22"/>
          <w:szCs w:val="22"/>
        </w:rPr>
        <w:t xml:space="preserve"> January 2022.</w:t>
      </w:r>
      <w:r w:rsidRPr="00FD4FB7">
        <w:rPr>
          <w:rFonts w:asciiTheme="minorHAnsi" w:hAnsiTheme="minorHAnsi" w:cstheme="minorHAnsi"/>
          <w:sz w:val="22"/>
          <w:szCs w:val="22"/>
        </w:rPr>
        <w:t xml:space="preserve"> </w:t>
      </w:r>
      <w:hyperlink r:id="rId8" w:history="1">
        <w:r w:rsidRPr="00FD4FB7">
          <w:rPr>
            <w:rStyle w:val="Hyperlink"/>
            <w:rFonts w:asciiTheme="minorHAnsi" w:hAnsiTheme="minorHAnsi" w:cstheme="minorHAnsi"/>
            <w:sz w:val="22"/>
            <w:szCs w:val="22"/>
          </w:rPr>
          <w:t>https://digital.nhs.uk/data-and-information/publications/statistical/statistics-on-alcohol/2021</w:t>
        </w:r>
      </w:hyperlink>
    </w:p>
    <w:p w14:paraId="75DAB46A" w14:textId="77777777" w:rsidR="003A3C55" w:rsidRPr="00FD4FB7" w:rsidRDefault="003A3C55" w:rsidP="003A3C55">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Drummond C. Cuts to addiction services are a false economy. </w:t>
      </w:r>
      <w:r w:rsidRPr="00FD4FB7">
        <w:rPr>
          <w:rFonts w:asciiTheme="minorHAnsi" w:hAnsiTheme="minorHAnsi" w:cstheme="minorHAnsi"/>
          <w:i/>
          <w:iCs/>
          <w:color w:val="000000" w:themeColor="text1"/>
          <w:sz w:val="22"/>
          <w:szCs w:val="22"/>
        </w:rPr>
        <w:t xml:space="preserve">British Medical Journal </w:t>
      </w:r>
      <w:r w:rsidRPr="00FD4FB7">
        <w:rPr>
          <w:rFonts w:asciiTheme="minorHAnsi" w:hAnsiTheme="minorHAnsi" w:cstheme="minorHAnsi"/>
          <w:color w:val="000000" w:themeColor="text1"/>
          <w:sz w:val="22"/>
          <w:szCs w:val="22"/>
        </w:rPr>
        <w:t xml:space="preserve">2017; </w:t>
      </w:r>
      <w:proofErr w:type="gramStart"/>
      <w:r w:rsidRPr="00FD4FB7">
        <w:rPr>
          <w:rFonts w:asciiTheme="minorHAnsi" w:hAnsiTheme="minorHAnsi" w:cstheme="minorHAnsi"/>
          <w:color w:val="000000" w:themeColor="text1"/>
          <w:sz w:val="22"/>
          <w:szCs w:val="22"/>
        </w:rPr>
        <w:t>357:j</w:t>
      </w:r>
      <w:proofErr w:type="gramEnd"/>
      <w:r w:rsidRPr="00FD4FB7">
        <w:rPr>
          <w:rFonts w:asciiTheme="minorHAnsi" w:hAnsiTheme="minorHAnsi" w:cstheme="minorHAnsi"/>
          <w:color w:val="000000" w:themeColor="text1"/>
          <w:sz w:val="22"/>
          <w:szCs w:val="22"/>
        </w:rPr>
        <w:t>2704.</w:t>
      </w:r>
    </w:p>
    <w:p w14:paraId="670FBC5C" w14:textId="77777777" w:rsidR="003A3C55" w:rsidRPr="00FD4FB7" w:rsidRDefault="00C94C49" w:rsidP="003A3C55">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color w:val="000000"/>
          <w:sz w:val="22"/>
          <w:szCs w:val="22"/>
        </w:rPr>
        <w:t xml:space="preserve">Haber PS, Riordan BC, Winter DT, </w:t>
      </w:r>
      <w:r w:rsidRPr="00FD4FB7">
        <w:rPr>
          <w:rFonts w:asciiTheme="minorHAnsi" w:hAnsiTheme="minorHAnsi" w:cstheme="minorHAnsi"/>
          <w:color w:val="212121"/>
          <w:sz w:val="22"/>
          <w:szCs w:val="22"/>
          <w:shd w:val="clear" w:color="auto" w:fill="FFFFFF"/>
        </w:rPr>
        <w:t>Barrett L, Saunders J, Hides L,</w:t>
      </w:r>
      <w:r w:rsidRPr="00FD4FB7">
        <w:rPr>
          <w:rStyle w:val="apple-converted-space"/>
          <w:rFonts w:asciiTheme="minorHAnsi" w:hAnsiTheme="minorHAnsi" w:cstheme="minorHAnsi"/>
          <w:color w:val="212121"/>
          <w:sz w:val="22"/>
          <w:szCs w:val="22"/>
          <w:shd w:val="clear" w:color="auto" w:fill="FFFFFF"/>
        </w:rPr>
        <w:t> </w:t>
      </w:r>
      <w:r w:rsidRPr="00FD4FB7">
        <w:rPr>
          <w:rFonts w:asciiTheme="minorHAnsi" w:hAnsiTheme="minorHAnsi" w:cstheme="minorHAnsi"/>
          <w:color w:val="000000"/>
          <w:sz w:val="22"/>
          <w:szCs w:val="22"/>
        </w:rPr>
        <w:t xml:space="preserve">et al. </w:t>
      </w:r>
      <w:r w:rsidRPr="00FD4FB7">
        <w:rPr>
          <w:rFonts w:asciiTheme="minorHAnsi" w:hAnsiTheme="minorHAnsi" w:cstheme="minorHAnsi"/>
          <w:color w:val="212121"/>
          <w:sz w:val="22"/>
          <w:szCs w:val="22"/>
        </w:rPr>
        <w:t xml:space="preserve">New Australian guidelines for the treatment of alcohol problems: an overview of recommendations. </w:t>
      </w:r>
      <w:r w:rsidRPr="00FD4FB7">
        <w:rPr>
          <w:rFonts w:asciiTheme="minorHAnsi" w:hAnsiTheme="minorHAnsi" w:cstheme="minorHAnsi"/>
          <w:i/>
          <w:iCs/>
          <w:color w:val="1C1D1E"/>
          <w:sz w:val="22"/>
          <w:szCs w:val="22"/>
        </w:rPr>
        <w:t xml:space="preserve">Med J </w:t>
      </w:r>
      <w:proofErr w:type="spellStart"/>
      <w:r w:rsidRPr="00FD4FB7">
        <w:rPr>
          <w:rFonts w:asciiTheme="minorHAnsi" w:hAnsiTheme="minorHAnsi" w:cstheme="minorHAnsi"/>
          <w:i/>
          <w:iCs/>
          <w:color w:val="1C1D1E"/>
          <w:sz w:val="22"/>
          <w:szCs w:val="22"/>
        </w:rPr>
        <w:t>Aust</w:t>
      </w:r>
      <w:proofErr w:type="spellEnd"/>
      <w:r w:rsidRPr="00FD4FB7">
        <w:rPr>
          <w:rFonts w:asciiTheme="minorHAnsi" w:hAnsiTheme="minorHAnsi" w:cstheme="minorHAnsi"/>
          <w:color w:val="1C1D1E"/>
          <w:sz w:val="22"/>
          <w:szCs w:val="22"/>
        </w:rPr>
        <w:t xml:space="preserve"> 2021;</w:t>
      </w:r>
      <w:proofErr w:type="gramStart"/>
      <w:r w:rsidRPr="00FD4FB7">
        <w:rPr>
          <w:rFonts w:asciiTheme="minorHAnsi" w:hAnsiTheme="minorHAnsi" w:cstheme="minorHAnsi"/>
          <w:b/>
          <w:bCs/>
          <w:color w:val="1C1D1E"/>
          <w:sz w:val="22"/>
          <w:szCs w:val="22"/>
        </w:rPr>
        <w:t>215</w:t>
      </w:r>
      <w:r w:rsidRPr="00FD4FB7">
        <w:rPr>
          <w:rFonts w:asciiTheme="minorHAnsi" w:hAnsiTheme="minorHAnsi" w:cstheme="minorHAnsi"/>
          <w:color w:val="1C1D1E"/>
          <w:sz w:val="22"/>
          <w:szCs w:val="22"/>
        </w:rPr>
        <w:t>:S</w:t>
      </w:r>
      <w:proofErr w:type="gramEnd"/>
      <w:r w:rsidRPr="00FD4FB7">
        <w:rPr>
          <w:rFonts w:asciiTheme="minorHAnsi" w:hAnsiTheme="minorHAnsi" w:cstheme="minorHAnsi"/>
          <w:color w:val="1C1D1E"/>
          <w:sz w:val="22"/>
          <w:szCs w:val="22"/>
        </w:rPr>
        <w:t>3-S32.</w:t>
      </w:r>
    </w:p>
    <w:p w14:paraId="677CBAA1" w14:textId="61BA1686" w:rsidR="00F31757" w:rsidRPr="00FD4FB7" w:rsidRDefault="00F31757" w:rsidP="003A3C55">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iCs/>
          <w:color w:val="000000" w:themeColor="text1"/>
          <w:sz w:val="22"/>
          <w:szCs w:val="22"/>
        </w:rPr>
        <w:t xml:space="preserve">Taylor B. Implementation and clinical audit of alcohol detoxification guidelines. </w:t>
      </w:r>
      <w:r w:rsidRPr="00FD4FB7">
        <w:rPr>
          <w:rFonts w:asciiTheme="minorHAnsi" w:hAnsiTheme="minorHAnsi" w:cstheme="minorHAnsi"/>
          <w:i/>
          <w:color w:val="000000" w:themeColor="text1"/>
          <w:sz w:val="22"/>
          <w:szCs w:val="22"/>
        </w:rPr>
        <w:t xml:space="preserve">British Journal of Nursing </w:t>
      </w:r>
      <w:r w:rsidRPr="00FD4FB7">
        <w:rPr>
          <w:rFonts w:asciiTheme="minorHAnsi" w:hAnsiTheme="minorHAnsi" w:cstheme="minorHAnsi"/>
          <w:iCs/>
          <w:color w:val="000000" w:themeColor="text1"/>
          <w:sz w:val="22"/>
          <w:szCs w:val="22"/>
        </w:rPr>
        <w:t>2006,</w:t>
      </w:r>
      <w:r w:rsidRPr="00FD4FB7">
        <w:rPr>
          <w:rFonts w:asciiTheme="minorHAnsi" w:hAnsiTheme="minorHAnsi" w:cstheme="minorHAnsi"/>
          <w:b/>
          <w:bCs/>
          <w:iCs/>
          <w:color w:val="000000" w:themeColor="text1"/>
          <w:sz w:val="22"/>
          <w:szCs w:val="22"/>
        </w:rPr>
        <w:t>15</w:t>
      </w:r>
      <w:r w:rsidRPr="00FD4FB7">
        <w:rPr>
          <w:rFonts w:asciiTheme="minorHAnsi" w:hAnsiTheme="minorHAnsi" w:cstheme="minorHAnsi"/>
          <w:iCs/>
          <w:color w:val="000000" w:themeColor="text1"/>
          <w:sz w:val="22"/>
          <w:szCs w:val="22"/>
        </w:rPr>
        <w:t>;30-37</w:t>
      </w:r>
    </w:p>
    <w:p w14:paraId="16E50EDD" w14:textId="3AFEEB3F" w:rsidR="00043032" w:rsidRPr="00FD4FB7" w:rsidRDefault="00043032" w:rsidP="00043032">
      <w:pPr>
        <w:pStyle w:val="ListParagraph"/>
        <w:numPr>
          <w:ilvl w:val="0"/>
          <w:numId w:val="13"/>
        </w:numPr>
        <w:rPr>
          <w:rFonts w:asciiTheme="minorHAnsi" w:hAnsiTheme="minorHAnsi" w:cstheme="minorHAnsi"/>
          <w:iCs/>
          <w:color w:val="000000" w:themeColor="text1"/>
          <w:sz w:val="22"/>
          <w:szCs w:val="22"/>
        </w:rPr>
      </w:pPr>
      <w:r w:rsidRPr="00FD4FB7">
        <w:rPr>
          <w:rFonts w:asciiTheme="minorHAnsi" w:hAnsiTheme="minorHAnsi" w:cstheme="minorHAnsi"/>
          <w:iCs/>
          <w:color w:val="000000" w:themeColor="text1"/>
          <w:sz w:val="22"/>
          <w:szCs w:val="22"/>
        </w:rPr>
        <w:t xml:space="preserve">Quinn S, Samuel R, Bolton J, </w:t>
      </w:r>
      <w:proofErr w:type="spellStart"/>
      <w:r w:rsidRPr="00FD4FB7">
        <w:rPr>
          <w:rFonts w:asciiTheme="minorHAnsi" w:hAnsiTheme="minorHAnsi" w:cstheme="minorHAnsi"/>
          <w:iCs/>
          <w:color w:val="000000" w:themeColor="text1"/>
          <w:sz w:val="22"/>
          <w:szCs w:val="22"/>
        </w:rPr>
        <w:t>Iankov</w:t>
      </w:r>
      <w:proofErr w:type="spellEnd"/>
      <w:r w:rsidRPr="00FD4FB7">
        <w:rPr>
          <w:rFonts w:asciiTheme="minorHAnsi" w:hAnsiTheme="minorHAnsi" w:cstheme="minorHAnsi"/>
          <w:iCs/>
          <w:color w:val="000000" w:themeColor="text1"/>
          <w:sz w:val="22"/>
          <w:szCs w:val="22"/>
        </w:rPr>
        <w:t xml:space="preserve"> B, Stout A. Pharmacological management of alcohol withdrawal in a general hospital. </w:t>
      </w:r>
      <w:r w:rsidRPr="00FD4FB7">
        <w:rPr>
          <w:rFonts w:asciiTheme="minorHAnsi" w:hAnsiTheme="minorHAnsi" w:cstheme="minorHAnsi"/>
          <w:i/>
          <w:color w:val="000000" w:themeColor="text1"/>
          <w:sz w:val="22"/>
          <w:szCs w:val="22"/>
        </w:rPr>
        <w:t>Psychiatric Bulletin</w:t>
      </w:r>
      <w:r w:rsidRPr="00FD4FB7">
        <w:rPr>
          <w:rFonts w:asciiTheme="minorHAnsi" w:hAnsiTheme="minorHAnsi" w:cstheme="minorHAnsi"/>
          <w:iCs/>
          <w:color w:val="000000" w:themeColor="text1"/>
          <w:sz w:val="22"/>
          <w:szCs w:val="22"/>
        </w:rPr>
        <w:t xml:space="preserve"> 2008,</w:t>
      </w:r>
      <w:r w:rsidRPr="00FD4FB7">
        <w:rPr>
          <w:rFonts w:asciiTheme="minorHAnsi" w:hAnsiTheme="minorHAnsi" w:cstheme="minorHAnsi"/>
          <w:b/>
          <w:bCs/>
          <w:iCs/>
          <w:color w:val="000000" w:themeColor="text1"/>
          <w:sz w:val="22"/>
          <w:szCs w:val="22"/>
        </w:rPr>
        <w:t>32</w:t>
      </w:r>
      <w:r w:rsidRPr="00FD4FB7">
        <w:rPr>
          <w:rFonts w:asciiTheme="minorHAnsi" w:hAnsiTheme="minorHAnsi" w:cstheme="minorHAnsi"/>
          <w:iCs/>
          <w:color w:val="000000" w:themeColor="text1"/>
          <w:sz w:val="22"/>
          <w:szCs w:val="22"/>
        </w:rPr>
        <w:t>;452-54</w:t>
      </w:r>
    </w:p>
    <w:p w14:paraId="7BA6044A" w14:textId="60939E2F" w:rsidR="00FE162C" w:rsidRPr="00FD4FB7" w:rsidRDefault="00FE162C" w:rsidP="00FE162C">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Husain OM, Lynas PS, Totty JP, Williams K, Waring WS. Unplanned alcohol withdrawal: a survey of consecutive admissions to an acute medical unit in 2010 and 2011. </w:t>
      </w:r>
      <w:r w:rsidRPr="00FD4FB7">
        <w:rPr>
          <w:rFonts w:asciiTheme="minorHAnsi" w:hAnsiTheme="minorHAnsi" w:cstheme="minorHAnsi"/>
          <w:i/>
          <w:iCs/>
          <w:color w:val="000000" w:themeColor="text1"/>
          <w:sz w:val="22"/>
          <w:szCs w:val="22"/>
        </w:rPr>
        <w:t>Q J Med</w:t>
      </w:r>
      <w:r w:rsidRPr="00FD4FB7">
        <w:rPr>
          <w:rFonts w:asciiTheme="minorHAnsi" w:hAnsiTheme="minorHAnsi" w:cstheme="minorHAnsi"/>
          <w:color w:val="000000" w:themeColor="text1"/>
          <w:sz w:val="22"/>
          <w:szCs w:val="22"/>
        </w:rPr>
        <w:t xml:space="preserve"> 2013, 106;43-49</w:t>
      </w:r>
    </w:p>
    <w:p w14:paraId="46A68101" w14:textId="1A286A29" w:rsidR="00D73D6B" w:rsidRPr="00FD4FB7" w:rsidRDefault="00E91D01" w:rsidP="002A2D80">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color w:val="000000" w:themeColor="text1"/>
          <w:sz w:val="22"/>
          <w:szCs w:val="22"/>
        </w:rPr>
        <w:t xml:space="preserve">McIntosh C, </w:t>
      </w:r>
      <w:proofErr w:type="spellStart"/>
      <w:r w:rsidRPr="00FD4FB7">
        <w:rPr>
          <w:rFonts w:asciiTheme="minorHAnsi" w:hAnsiTheme="minorHAnsi" w:cstheme="minorHAnsi"/>
          <w:color w:val="000000" w:themeColor="text1"/>
          <w:sz w:val="22"/>
          <w:szCs w:val="22"/>
        </w:rPr>
        <w:t>Kippen</w:t>
      </w:r>
      <w:proofErr w:type="spellEnd"/>
      <w:r w:rsidRPr="00FD4FB7">
        <w:rPr>
          <w:rFonts w:asciiTheme="minorHAnsi" w:hAnsiTheme="minorHAnsi" w:cstheme="minorHAnsi"/>
          <w:color w:val="000000" w:themeColor="text1"/>
          <w:sz w:val="22"/>
          <w:szCs w:val="22"/>
        </w:rPr>
        <w:t xml:space="preserve"> V, Hutcheson F, </w:t>
      </w:r>
      <w:r w:rsidR="006B688A" w:rsidRPr="00FD4FB7">
        <w:rPr>
          <w:rFonts w:asciiTheme="minorHAnsi" w:hAnsiTheme="minorHAnsi" w:cstheme="minorHAnsi"/>
          <w:color w:val="000000" w:themeColor="text1"/>
          <w:sz w:val="22"/>
          <w:szCs w:val="22"/>
        </w:rPr>
        <w:t>McIntosh A</w:t>
      </w:r>
      <w:r w:rsidRPr="00FD4FB7">
        <w:rPr>
          <w:rFonts w:asciiTheme="minorHAnsi" w:hAnsiTheme="minorHAnsi" w:cstheme="minorHAnsi"/>
          <w:color w:val="000000" w:themeColor="text1"/>
          <w:sz w:val="22"/>
          <w:szCs w:val="22"/>
        </w:rPr>
        <w:t xml:space="preserve">. Parenteral thiamine use in the prevention and treatment of Wernicke-Korsakoff syndrome. </w:t>
      </w:r>
      <w:r w:rsidRPr="00FD4FB7">
        <w:rPr>
          <w:rFonts w:asciiTheme="minorHAnsi" w:hAnsiTheme="minorHAnsi" w:cstheme="minorHAnsi"/>
          <w:i/>
          <w:iCs/>
          <w:color w:val="000000" w:themeColor="text1"/>
          <w:sz w:val="22"/>
          <w:szCs w:val="22"/>
        </w:rPr>
        <w:t>Psychiatric Bulletin</w:t>
      </w:r>
      <w:r w:rsidRPr="00FD4FB7">
        <w:rPr>
          <w:rFonts w:asciiTheme="minorHAnsi" w:hAnsiTheme="minorHAnsi" w:cstheme="minorHAnsi"/>
          <w:color w:val="000000" w:themeColor="text1"/>
          <w:sz w:val="22"/>
          <w:szCs w:val="22"/>
        </w:rPr>
        <w:t xml:space="preserve"> </w:t>
      </w:r>
      <w:proofErr w:type="gramStart"/>
      <w:r w:rsidRPr="00FD4FB7">
        <w:rPr>
          <w:rFonts w:asciiTheme="minorHAnsi" w:hAnsiTheme="minorHAnsi" w:cstheme="minorHAnsi"/>
          <w:color w:val="000000" w:themeColor="text1"/>
          <w:sz w:val="22"/>
          <w:szCs w:val="22"/>
        </w:rPr>
        <w:t>2005</w:t>
      </w:r>
      <w:r w:rsidR="006B688A" w:rsidRPr="00FD4FB7">
        <w:rPr>
          <w:rFonts w:asciiTheme="minorHAnsi" w:hAnsiTheme="minorHAnsi" w:cstheme="minorHAnsi"/>
          <w:color w:val="000000" w:themeColor="text1"/>
          <w:sz w:val="22"/>
          <w:szCs w:val="22"/>
        </w:rPr>
        <w:t>;</w:t>
      </w:r>
      <w:r w:rsidRPr="00FD4FB7">
        <w:rPr>
          <w:rFonts w:asciiTheme="minorHAnsi" w:hAnsiTheme="minorHAnsi" w:cstheme="minorHAnsi"/>
          <w:b/>
          <w:bCs/>
          <w:color w:val="000000" w:themeColor="text1"/>
          <w:sz w:val="22"/>
          <w:szCs w:val="22"/>
        </w:rPr>
        <w:t>29</w:t>
      </w:r>
      <w:r w:rsidR="006B688A" w:rsidRPr="00FD4FB7">
        <w:rPr>
          <w:rFonts w:asciiTheme="minorHAnsi" w:hAnsiTheme="minorHAnsi" w:cstheme="minorHAnsi"/>
          <w:color w:val="000000" w:themeColor="text1"/>
          <w:sz w:val="22"/>
          <w:szCs w:val="22"/>
        </w:rPr>
        <w:t>:</w:t>
      </w:r>
      <w:r w:rsidRPr="00FD4FB7">
        <w:rPr>
          <w:rFonts w:asciiTheme="minorHAnsi" w:hAnsiTheme="minorHAnsi" w:cstheme="minorHAnsi"/>
          <w:color w:val="000000" w:themeColor="text1"/>
          <w:sz w:val="22"/>
          <w:szCs w:val="22"/>
        </w:rPr>
        <w:t>94</w:t>
      </w:r>
      <w:proofErr w:type="gramEnd"/>
      <w:r w:rsidRPr="00FD4FB7">
        <w:rPr>
          <w:rFonts w:asciiTheme="minorHAnsi" w:hAnsiTheme="minorHAnsi" w:cstheme="minorHAnsi"/>
          <w:color w:val="000000" w:themeColor="text1"/>
          <w:sz w:val="22"/>
          <w:szCs w:val="22"/>
        </w:rPr>
        <w:t>-</w:t>
      </w:r>
      <w:r w:rsidR="00D73D6B" w:rsidRPr="00FD4FB7">
        <w:rPr>
          <w:rFonts w:asciiTheme="minorHAnsi" w:hAnsiTheme="minorHAnsi" w:cstheme="minorHAnsi"/>
          <w:color w:val="000000" w:themeColor="text1"/>
          <w:sz w:val="22"/>
          <w:szCs w:val="22"/>
        </w:rPr>
        <w:t>9</w:t>
      </w:r>
      <w:r w:rsidRPr="00FD4FB7">
        <w:rPr>
          <w:rFonts w:asciiTheme="minorHAnsi" w:hAnsiTheme="minorHAnsi" w:cstheme="minorHAnsi"/>
          <w:color w:val="000000" w:themeColor="text1"/>
          <w:sz w:val="22"/>
          <w:szCs w:val="22"/>
        </w:rPr>
        <w:t>7</w:t>
      </w:r>
      <w:r w:rsidR="00D73D6B" w:rsidRPr="00FD4FB7">
        <w:rPr>
          <w:rFonts w:asciiTheme="minorHAnsi" w:hAnsiTheme="minorHAnsi" w:cstheme="minorHAnsi"/>
          <w:color w:val="000000" w:themeColor="text1"/>
          <w:sz w:val="22"/>
          <w:szCs w:val="22"/>
        </w:rPr>
        <w:t>.</w:t>
      </w:r>
    </w:p>
    <w:p w14:paraId="1F9E633E" w14:textId="1B7D6EC1" w:rsidR="00E32C7D" w:rsidRPr="00FD4FB7" w:rsidRDefault="00E32C7D" w:rsidP="00784AE4">
      <w:pPr>
        <w:pStyle w:val="ListParagraph"/>
        <w:numPr>
          <w:ilvl w:val="0"/>
          <w:numId w:val="13"/>
        </w:numPr>
        <w:rPr>
          <w:rFonts w:asciiTheme="minorHAnsi" w:hAnsiTheme="minorHAnsi" w:cstheme="minorHAnsi"/>
          <w:color w:val="000000" w:themeColor="text1"/>
          <w:sz w:val="22"/>
          <w:szCs w:val="22"/>
        </w:rPr>
      </w:pPr>
      <w:r w:rsidRPr="00FD4FB7">
        <w:rPr>
          <w:rFonts w:asciiTheme="minorHAnsi" w:hAnsiTheme="minorHAnsi" w:cstheme="minorHAnsi"/>
          <w:sz w:val="22"/>
          <w:szCs w:val="22"/>
        </w:rPr>
        <w:t xml:space="preserve">Das AK, </w:t>
      </w:r>
      <w:proofErr w:type="spellStart"/>
      <w:r w:rsidRPr="00FD4FB7">
        <w:rPr>
          <w:rFonts w:asciiTheme="minorHAnsi" w:hAnsiTheme="minorHAnsi" w:cstheme="minorHAnsi"/>
          <w:sz w:val="22"/>
          <w:szCs w:val="22"/>
        </w:rPr>
        <w:t>Corrado</w:t>
      </w:r>
      <w:proofErr w:type="spellEnd"/>
      <w:r w:rsidRPr="00FD4FB7">
        <w:rPr>
          <w:rFonts w:asciiTheme="minorHAnsi" w:hAnsiTheme="minorHAnsi" w:cstheme="minorHAnsi"/>
          <w:sz w:val="22"/>
          <w:szCs w:val="22"/>
        </w:rPr>
        <w:t xml:space="preserve"> OJ, </w:t>
      </w:r>
      <w:proofErr w:type="spellStart"/>
      <w:r w:rsidRPr="00FD4FB7">
        <w:rPr>
          <w:rFonts w:asciiTheme="minorHAnsi" w:hAnsiTheme="minorHAnsi" w:cstheme="minorHAnsi"/>
          <w:sz w:val="22"/>
          <w:szCs w:val="22"/>
        </w:rPr>
        <w:t>Sawicka</w:t>
      </w:r>
      <w:proofErr w:type="spellEnd"/>
      <w:r w:rsidRPr="00FD4FB7">
        <w:rPr>
          <w:rFonts w:asciiTheme="minorHAnsi" w:hAnsiTheme="minorHAnsi" w:cstheme="minorHAnsi"/>
          <w:sz w:val="22"/>
          <w:szCs w:val="22"/>
        </w:rPr>
        <w:t xml:space="preserve"> Z, </w:t>
      </w:r>
      <w:r w:rsidR="00D73D6B" w:rsidRPr="00FD4FB7">
        <w:rPr>
          <w:rFonts w:asciiTheme="minorHAnsi" w:hAnsiTheme="minorHAnsi" w:cstheme="minorHAnsi"/>
          <w:sz w:val="22"/>
          <w:szCs w:val="22"/>
        </w:rPr>
        <w:t xml:space="preserve">Haque S, </w:t>
      </w:r>
      <w:proofErr w:type="spellStart"/>
      <w:r w:rsidR="00D73D6B" w:rsidRPr="00FD4FB7">
        <w:rPr>
          <w:rFonts w:asciiTheme="minorHAnsi" w:hAnsiTheme="minorHAnsi" w:cstheme="minorHAnsi"/>
          <w:sz w:val="22"/>
          <w:szCs w:val="22"/>
        </w:rPr>
        <w:t>Anathhanam</w:t>
      </w:r>
      <w:proofErr w:type="spellEnd"/>
      <w:r w:rsidR="00D73D6B" w:rsidRPr="00FD4FB7">
        <w:rPr>
          <w:rFonts w:asciiTheme="minorHAnsi" w:hAnsiTheme="minorHAnsi" w:cstheme="minorHAnsi"/>
          <w:sz w:val="22"/>
          <w:szCs w:val="22"/>
        </w:rPr>
        <w:t xml:space="preserve"> S, Das L, et al. </w:t>
      </w:r>
      <w:r w:rsidRPr="00FD4FB7">
        <w:rPr>
          <w:rFonts w:asciiTheme="minorHAnsi" w:hAnsiTheme="minorHAnsi" w:cstheme="minorHAnsi"/>
          <w:sz w:val="22"/>
          <w:szCs w:val="22"/>
        </w:rPr>
        <w:t>Junior doctors' understanding of alcohol units remains poor</w:t>
      </w:r>
      <w:r w:rsidR="009B407A" w:rsidRPr="00FD4FB7">
        <w:rPr>
          <w:rFonts w:asciiTheme="minorHAnsi" w:hAnsiTheme="minorHAnsi" w:cstheme="minorHAnsi"/>
          <w:sz w:val="22"/>
          <w:szCs w:val="22"/>
        </w:rPr>
        <w:t>.</w:t>
      </w:r>
      <w:r w:rsidR="00D73D6B" w:rsidRPr="00FD4FB7">
        <w:rPr>
          <w:rFonts w:asciiTheme="minorHAnsi" w:hAnsiTheme="minorHAnsi" w:cstheme="minorHAnsi"/>
          <w:sz w:val="22"/>
          <w:szCs w:val="22"/>
        </w:rPr>
        <w:t xml:space="preserve"> </w:t>
      </w:r>
      <w:r w:rsidRPr="00FD4FB7">
        <w:rPr>
          <w:rFonts w:asciiTheme="minorHAnsi" w:hAnsiTheme="minorHAnsi" w:cstheme="minorHAnsi"/>
          <w:i/>
          <w:iCs/>
          <w:color w:val="000000" w:themeColor="text1"/>
          <w:sz w:val="22"/>
          <w:szCs w:val="22"/>
        </w:rPr>
        <w:t>Clin Med</w:t>
      </w:r>
      <w:r w:rsidRPr="00FD4FB7">
        <w:rPr>
          <w:rFonts w:asciiTheme="minorHAnsi" w:hAnsiTheme="minorHAnsi" w:cstheme="minorHAnsi"/>
          <w:color w:val="000000" w:themeColor="text1"/>
          <w:sz w:val="22"/>
          <w:szCs w:val="22"/>
        </w:rPr>
        <w:t> </w:t>
      </w:r>
      <w:proofErr w:type="gramStart"/>
      <w:r w:rsidRPr="00FD4FB7">
        <w:rPr>
          <w:rFonts w:asciiTheme="minorHAnsi" w:hAnsiTheme="minorHAnsi" w:cstheme="minorHAnsi"/>
          <w:color w:val="000000" w:themeColor="text1"/>
          <w:sz w:val="22"/>
          <w:szCs w:val="22"/>
        </w:rPr>
        <w:t>2014;</w:t>
      </w:r>
      <w:r w:rsidRPr="00FD4FB7">
        <w:rPr>
          <w:rFonts w:asciiTheme="minorHAnsi" w:hAnsiTheme="minorHAnsi" w:cstheme="minorHAnsi"/>
          <w:b/>
          <w:bCs/>
          <w:color w:val="000000" w:themeColor="text1"/>
          <w:sz w:val="22"/>
          <w:szCs w:val="22"/>
        </w:rPr>
        <w:t>14</w:t>
      </w:r>
      <w:r w:rsidRPr="00FD4FB7">
        <w:rPr>
          <w:rFonts w:asciiTheme="minorHAnsi" w:hAnsiTheme="minorHAnsi" w:cstheme="minorHAnsi"/>
          <w:color w:val="000000" w:themeColor="text1"/>
          <w:sz w:val="22"/>
          <w:szCs w:val="22"/>
        </w:rPr>
        <w:t>:141</w:t>
      </w:r>
      <w:proofErr w:type="gramEnd"/>
      <w:r w:rsidRPr="00FD4FB7">
        <w:rPr>
          <w:rFonts w:asciiTheme="minorHAnsi" w:hAnsiTheme="minorHAnsi" w:cstheme="minorHAnsi"/>
          <w:color w:val="000000" w:themeColor="text1"/>
          <w:sz w:val="22"/>
          <w:szCs w:val="22"/>
        </w:rPr>
        <w:t>-</w:t>
      </w:r>
      <w:r w:rsidR="002A2D80" w:rsidRPr="00FD4FB7">
        <w:rPr>
          <w:rFonts w:asciiTheme="minorHAnsi" w:hAnsiTheme="minorHAnsi" w:cstheme="minorHAnsi"/>
          <w:color w:val="000000" w:themeColor="text1"/>
          <w:sz w:val="22"/>
          <w:szCs w:val="22"/>
        </w:rPr>
        <w:t>14</w:t>
      </w:r>
      <w:r w:rsidRPr="00FD4FB7">
        <w:rPr>
          <w:rFonts w:asciiTheme="minorHAnsi" w:hAnsiTheme="minorHAnsi" w:cstheme="minorHAnsi"/>
          <w:color w:val="000000" w:themeColor="text1"/>
          <w:sz w:val="22"/>
          <w:szCs w:val="22"/>
        </w:rPr>
        <w:t>4.</w:t>
      </w:r>
    </w:p>
    <w:p w14:paraId="61820557" w14:textId="360E9D02" w:rsidR="00932463" w:rsidRPr="00FD4FB7" w:rsidRDefault="00932463" w:rsidP="00932463">
      <w:pPr>
        <w:pStyle w:val="ListParagraph"/>
        <w:numPr>
          <w:ilvl w:val="0"/>
          <w:numId w:val="13"/>
        </w:numPr>
        <w:rPr>
          <w:rFonts w:asciiTheme="minorHAnsi" w:hAnsiTheme="minorHAnsi" w:cstheme="minorHAnsi"/>
          <w:iCs/>
          <w:color w:val="000000" w:themeColor="text1"/>
          <w:sz w:val="22"/>
          <w:szCs w:val="22"/>
        </w:rPr>
      </w:pPr>
      <w:r w:rsidRPr="00FD4FB7">
        <w:rPr>
          <w:rFonts w:asciiTheme="minorHAnsi" w:hAnsiTheme="minorHAnsi" w:cstheme="minorHAnsi"/>
          <w:iCs/>
          <w:color w:val="000000" w:themeColor="text1"/>
          <w:sz w:val="22"/>
          <w:szCs w:val="22"/>
        </w:rPr>
        <w:t xml:space="preserve">Sinclair J, Searle E. Can student health professionals accurately estimate alcohol content in commonly occurring drinks? </w:t>
      </w:r>
      <w:r w:rsidRPr="00FD4FB7">
        <w:rPr>
          <w:rFonts w:asciiTheme="minorHAnsi" w:hAnsiTheme="minorHAnsi" w:cstheme="minorHAnsi"/>
          <w:i/>
          <w:color w:val="000000" w:themeColor="text1"/>
          <w:sz w:val="22"/>
          <w:szCs w:val="22"/>
        </w:rPr>
        <w:t>Therapeutic Advances in Psychopharmacology</w:t>
      </w:r>
      <w:r w:rsidRPr="00FD4FB7">
        <w:rPr>
          <w:rFonts w:asciiTheme="minorHAnsi" w:hAnsiTheme="minorHAnsi" w:cstheme="minorHAnsi"/>
          <w:iCs/>
          <w:color w:val="000000" w:themeColor="text1"/>
          <w:sz w:val="22"/>
          <w:szCs w:val="22"/>
        </w:rPr>
        <w:t xml:space="preserve"> </w:t>
      </w:r>
      <w:proofErr w:type="gramStart"/>
      <w:r w:rsidRPr="00FD4FB7">
        <w:rPr>
          <w:rFonts w:asciiTheme="minorHAnsi" w:hAnsiTheme="minorHAnsi" w:cstheme="minorHAnsi"/>
          <w:iCs/>
          <w:color w:val="000000" w:themeColor="text1"/>
          <w:sz w:val="22"/>
          <w:szCs w:val="22"/>
        </w:rPr>
        <w:t>2016;</w:t>
      </w:r>
      <w:r w:rsidRPr="00FD4FB7">
        <w:rPr>
          <w:rFonts w:asciiTheme="minorHAnsi" w:hAnsiTheme="minorHAnsi" w:cstheme="minorHAnsi"/>
          <w:b/>
          <w:bCs/>
          <w:iCs/>
          <w:color w:val="000000" w:themeColor="text1"/>
          <w:sz w:val="22"/>
          <w:szCs w:val="22"/>
        </w:rPr>
        <w:t>61</w:t>
      </w:r>
      <w:r w:rsidRPr="00FD4FB7">
        <w:rPr>
          <w:rFonts w:asciiTheme="minorHAnsi" w:hAnsiTheme="minorHAnsi" w:cstheme="minorHAnsi"/>
          <w:iCs/>
          <w:color w:val="000000" w:themeColor="text1"/>
          <w:sz w:val="22"/>
          <w:szCs w:val="22"/>
        </w:rPr>
        <w:t>:256</w:t>
      </w:r>
      <w:proofErr w:type="gramEnd"/>
      <w:r w:rsidRPr="00FD4FB7">
        <w:rPr>
          <w:rFonts w:asciiTheme="minorHAnsi" w:hAnsiTheme="minorHAnsi" w:cstheme="minorHAnsi"/>
          <w:iCs/>
          <w:color w:val="000000" w:themeColor="text1"/>
          <w:sz w:val="22"/>
          <w:szCs w:val="22"/>
        </w:rPr>
        <w:t>-62.</w:t>
      </w:r>
    </w:p>
    <w:p w14:paraId="70F1F6F1" w14:textId="69AA26B9" w:rsidR="00932463" w:rsidRPr="00FD4FB7" w:rsidRDefault="00932463" w:rsidP="00932463">
      <w:pPr>
        <w:pStyle w:val="ListParagraph"/>
        <w:numPr>
          <w:ilvl w:val="0"/>
          <w:numId w:val="13"/>
        </w:numPr>
        <w:rPr>
          <w:rFonts w:asciiTheme="minorHAnsi" w:hAnsiTheme="minorHAnsi" w:cstheme="minorHAnsi"/>
          <w:iCs/>
          <w:color w:val="000000" w:themeColor="text1"/>
          <w:sz w:val="22"/>
          <w:szCs w:val="22"/>
        </w:rPr>
      </w:pPr>
      <w:r w:rsidRPr="00FD4FB7">
        <w:rPr>
          <w:rFonts w:asciiTheme="minorHAnsi" w:hAnsiTheme="minorHAnsi" w:cstheme="minorHAnsi"/>
          <w:color w:val="000000" w:themeColor="text1"/>
          <w:sz w:val="22"/>
          <w:szCs w:val="22"/>
        </w:rPr>
        <w:lastRenderedPageBreak/>
        <w:t xml:space="preserve">Thomson AD, Cook CC, Touquet R, </w:t>
      </w:r>
      <w:r w:rsidR="00EA66A4" w:rsidRPr="00FD4FB7">
        <w:rPr>
          <w:rFonts w:asciiTheme="minorHAnsi" w:hAnsiTheme="minorHAnsi" w:cstheme="minorHAnsi"/>
          <w:color w:val="000000" w:themeColor="text1"/>
          <w:sz w:val="22"/>
          <w:szCs w:val="22"/>
        </w:rPr>
        <w:t xml:space="preserve">Henry </w:t>
      </w:r>
      <w:proofErr w:type="gramStart"/>
      <w:r w:rsidR="00EA66A4" w:rsidRPr="00FD4FB7">
        <w:rPr>
          <w:rFonts w:asciiTheme="minorHAnsi" w:hAnsiTheme="minorHAnsi" w:cstheme="minorHAnsi"/>
          <w:color w:val="000000" w:themeColor="text1"/>
          <w:sz w:val="22"/>
          <w:szCs w:val="22"/>
        </w:rPr>
        <w:t>JA;</w:t>
      </w:r>
      <w:proofErr w:type="gramEnd"/>
      <w:r w:rsidR="00EA66A4" w:rsidRPr="00FD4FB7">
        <w:rPr>
          <w:rFonts w:asciiTheme="minorHAnsi" w:hAnsiTheme="minorHAnsi" w:cstheme="minorHAnsi"/>
          <w:color w:val="000000" w:themeColor="text1"/>
          <w:sz w:val="22"/>
          <w:szCs w:val="22"/>
        </w:rPr>
        <w:t xml:space="preserve"> Royal College of Physicians, London</w:t>
      </w:r>
      <w:r w:rsidRPr="00FD4FB7">
        <w:rPr>
          <w:rFonts w:asciiTheme="minorHAnsi" w:hAnsiTheme="minorHAnsi" w:cstheme="minorHAnsi"/>
          <w:color w:val="000000" w:themeColor="text1"/>
          <w:sz w:val="22"/>
          <w:szCs w:val="22"/>
        </w:rPr>
        <w:t xml:space="preserve">. The Royal College of Physicians report on alcohol: guidelines for managing Wernicke's encephalopathy in the accident and Emergency Department. </w:t>
      </w:r>
      <w:r w:rsidRPr="00FD4FB7">
        <w:rPr>
          <w:rFonts w:asciiTheme="minorHAnsi" w:hAnsiTheme="minorHAnsi" w:cstheme="minorHAnsi"/>
          <w:i/>
          <w:iCs/>
          <w:color w:val="000000"/>
          <w:sz w:val="22"/>
          <w:szCs w:val="22"/>
        </w:rPr>
        <w:t>Alcohol and Alcoholism</w:t>
      </w:r>
      <w:r w:rsidRPr="00FD4FB7">
        <w:rPr>
          <w:rFonts w:asciiTheme="minorHAnsi" w:hAnsiTheme="minorHAnsi" w:cstheme="minorHAnsi"/>
          <w:color w:val="000000"/>
          <w:sz w:val="22"/>
          <w:szCs w:val="22"/>
        </w:rPr>
        <w:t xml:space="preserve"> </w:t>
      </w:r>
      <w:proofErr w:type="gramStart"/>
      <w:r w:rsidRPr="00FD4FB7">
        <w:rPr>
          <w:rFonts w:asciiTheme="minorHAnsi" w:hAnsiTheme="minorHAnsi" w:cstheme="minorHAnsi"/>
          <w:color w:val="000000" w:themeColor="text1"/>
          <w:sz w:val="22"/>
          <w:szCs w:val="22"/>
        </w:rPr>
        <w:t>2002;</w:t>
      </w:r>
      <w:r w:rsidRPr="00FD4FB7">
        <w:rPr>
          <w:rFonts w:asciiTheme="minorHAnsi" w:hAnsiTheme="minorHAnsi" w:cstheme="minorHAnsi"/>
          <w:b/>
          <w:bCs/>
          <w:color w:val="000000" w:themeColor="text1"/>
          <w:sz w:val="22"/>
          <w:szCs w:val="22"/>
        </w:rPr>
        <w:t>37</w:t>
      </w:r>
      <w:r w:rsidRPr="00FD4FB7">
        <w:rPr>
          <w:rFonts w:asciiTheme="minorHAnsi" w:hAnsiTheme="minorHAnsi" w:cstheme="minorHAnsi"/>
          <w:color w:val="000000" w:themeColor="text1"/>
          <w:sz w:val="22"/>
          <w:szCs w:val="22"/>
        </w:rPr>
        <w:t>:513</w:t>
      </w:r>
      <w:proofErr w:type="gramEnd"/>
      <w:r w:rsidRPr="00FD4FB7">
        <w:rPr>
          <w:rFonts w:asciiTheme="minorHAnsi" w:hAnsiTheme="minorHAnsi" w:cstheme="minorHAnsi"/>
          <w:color w:val="000000" w:themeColor="text1"/>
          <w:sz w:val="22"/>
          <w:szCs w:val="22"/>
        </w:rPr>
        <w:t>-21.</w:t>
      </w:r>
    </w:p>
    <w:p w14:paraId="71D143E4" w14:textId="3F9C6E9C" w:rsidR="00A94750" w:rsidRPr="00FD4FB7" w:rsidRDefault="00A94750" w:rsidP="00A94750">
      <w:pPr>
        <w:pStyle w:val="ListParagraph"/>
        <w:numPr>
          <w:ilvl w:val="0"/>
          <w:numId w:val="13"/>
        </w:numPr>
        <w:spacing w:before="100" w:beforeAutospacing="1" w:after="100" w:afterAutospacing="1"/>
        <w:rPr>
          <w:rFonts w:asciiTheme="minorHAnsi" w:hAnsiTheme="minorHAnsi" w:cstheme="minorHAnsi"/>
          <w:color w:val="000000" w:themeColor="text1"/>
          <w:sz w:val="22"/>
          <w:szCs w:val="22"/>
        </w:rPr>
      </w:pPr>
      <w:r w:rsidRPr="00FD4FB7">
        <w:rPr>
          <w:rFonts w:asciiTheme="minorHAnsi" w:hAnsiTheme="minorHAnsi" w:cstheme="minorHAnsi"/>
          <w:color w:val="000000"/>
          <w:sz w:val="22"/>
          <w:szCs w:val="22"/>
        </w:rPr>
        <w:t xml:space="preserve">Sinclair JMA, </w:t>
      </w:r>
      <w:proofErr w:type="spellStart"/>
      <w:r w:rsidRPr="00FD4FB7">
        <w:rPr>
          <w:rFonts w:asciiTheme="minorHAnsi" w:hAnsiTheme="minorHAnsi" w:cstheme="minorHAnsi"/>
          <w:color w:val="000000"/>
          <w:sz w:val="22"/>
          <w:szCs w:val="22"/>
        </w:rPr>
        <w:t>Bamrah</w:t>
      </w:r>
      <w:proofErr w:type="spellEnd"/>
      <w:r w:rsidRPr="00FD4FB7">
        <w:rPr>
          <w:rFonts w:asciiTheme="minorHAnsi" w:hAnsiTheme="minorHAnsi" w:cstheme="minorHAnsi"/>
          <w:color w:val="000000"/>
          <w:sz w:val="22"/>
          <w:szCs w:val="22"/>
        </w:rPr>
        <w:t xml:space="preserve"> J, Jones O, </w:t>
      </w:r>
      <w:proofErr w:type="spellStart"/>
      <w:r w:rsidRPr="00FD4FB7">
        <w:rPr>
          <w:rFonts w:asciiTheme="minorHAnsi" w:hAnsiTheme="minorHAnsi" w:cstheme="minorHAnsi"/>
          <w:color w:val="000000"/>
          <w:sz w:val="22"/>
          <w:szCs w:val="22"/>
        </w:rPr>
        <w:t>Burkinshaw</w:t>
      </w:r>
      <w:proofErr w:type="spellEnd"/>
      <w:r w:rsidRPr="00FD4FB7">
        <w:rPr>
          <w:rFonts w:asciiTheme="minorHAnsi" w:hAnsiTheme="minorHAnsi" w:cstheme="minorHAnsi"/>
          <w:color w:val="000000"/>
          <w:sz w:val="22"/>
          <w:szCs w:val="22"/>
        </w:rPr>
        <w:t xml:space="preserve"> P, Crowe A, Fox A, et al. </w:t>
      </w:r>
      <w:r w:rsidRPr="00FD4FB7">
        <w:rPr>
          <w:rFonts w:asciiTheme="minorHAnsi" w:hAnsiTheme="minorHAnsi" w:cstheme="minorHAnsi"/>
          <w:i/>
          <w:iCs/>
          <w:color w:val="000000"/>
          <w:sz w:val="22"/>
          <w:szCs w:val="22"/>
        </w:rPr>
        <w:t>Alcohol and other drugs: core medical competencies.</w:t>
      </w:r>
      <w:r w:rsidRPr="00FD4FB7">
        <w:rPr>
          <w:rFonts w:asciiTheme="minorHAnsi" w:hAnsiTheme="minorHAnsi" w:cstheme="minorHAnsi"/>
          <w:color w:val="000000"/>
          <w:sz w:val="22"/>
          <w:szCs w:val="22"/>
        </w:rPr>
        <w:t xml:space="preserve"> Final report of the working group of the medical Royal Colleges. </w:t>
      </w:r>
      <w:r w:rsidRPr="00FD4FB7">
        <w:rPr>
          <w:rFonts w:asciiTheme="minorHAnsi" w:hAnsiTheme="minorHAnsi" w:cstheme="minorHAnsi"/>
          <w:sz w:val="22"/>
          <w:szCs w:val="22"/>
        </w:rPr>
        <w:t xml:space="preserve">Occasional Paper OP85, 2012. </w:t>
      </w:r>
      <w:hyperlink r:id="rId9" w:history="1">
        <w:r w:rsidRPr="00FD4FB7">
          <w:rPr>
            <w:rFonts w:asciiTheme="minorHAnsi" w:hAnsiTheme="minorHAnsi" w:cstheme="minorHAnsi"/>
            <w:color w:val="094FD1"/>
            <w:sz w:val="22"/>
            <w:szCs w:val="22"/>
            <w:u w:val="single" w:color="094FD1"/>
          </w:rPr>
          <w:t>http://www.aomrc.org.uk/wp-content/uploads/2016/05/Alcohol_Drugs_Competencies_0612.pdf</w:t>
        </w:r>
      </w:hyperlink>
      <w:r w:rsidRPr="00FD4FB7">
        <w:rPr>
          <w:rFonts w:asciiTheme="minorHAnsi" w:hAnsiTheme="minorHAnsi" w:cstheme="minorHAnsi"/>
          <w:color w:val="094FD1"/>
          <w:sz w:val="22"/>
          <w:szCs w:val="22"/>
          <w:u w:val="single" w:color="094FD1"/>
        </w:rPr>
        <w:t xml:space="preserve"> </w:t>
      </w:r>
      <w:r w:rsidRPr="00FD4FB7">
        <w:rPr>
          <w:rFonts w:asciiTheme="minorHAnsi" w:hAnsiTheme="minorHAnsi" w:cstheme="minorHAnsi"/>
          <w:color w:val="000000" w:themeColor="text1"/>
          <w:sz w:val="22"/>
          <w:szCs w:val="22"/>
        </w:rPr>
        <w:t xml:space="preserve">(accessed November 2022). </w:t>
      </w:r>
    </w:p>
    <w:p w14:paraId="1FA8D64C" w14:textId="6F4C239F" w:rsidR="0055548B" w:rsidRPr="00FD4FB7" w:rsidRDefault="00455985" w:rsidP="008E6CAF">
      <w:pPr>
        <w:pStyle w:val="NormalWeb"/>
        <w:numPr>
          <w:ilvl w:val="0"/>
          <w:numId w:val="13"/>
        </w:numPr>
        <w:rPr>
          <w:rFonts w:asciiTheme="minorHAnsi" w:hAnsiTheme="minorHAnsi" w:cstheme="minorHAnsi"/>
          <w:color w:val="000000"/>
          <w:sz w:val="22"/>
          <w:szCs w:val="22"/>
        </w:rPr>
      </w:pPr>
      <w:r w:rsidRPr="00FD4FB7">
        <w:rPr>
          <w:rFonts w:asciiTheme="minorHAnsi" w:hAnsiTheme="minorHAnsi" w:cstheme="minorHAnsi"/>
          <w:color w:val="000000" w:themeColor="text1"/>
          <w:sz w:val="22"/>
          <w:szCs w:val="22"/>
        </w:rPr>
        <w:t xml:space="preserve">Royal College of Psychiatrists Higher Specialty Curriculum (ST4 – ST6), General Psychiatry, version 1.0, August 2022. </w:t>
      </w:r>
      <w:hyperlink r:id="rId10" w:history="1">
        <w:r w:rsidR="0057037E" w:rsidRPr="00FD4FB7">
          <w:rPr>
            <w:rStyle w:val="Hyperlink"/>
            <w:rFonts w:asciiTheme="minorHAnsi" w:hAnsiTheme="minorHAnsi" w:cstheme="minorHAnsi"/>
            <w:sz w:val="22"/>
            <w:szCs w:val="22"/>
          </w:rPr>
          <w:t>https://www.rcpsych.ac.uk/docs/default-source/training/curricula-and-guidance/2022-curricula/general-psychiatry-curriculum-final-16-june-22.pdf?sfvrsn=b0983a16_4</w:t>
        </w:r>
      </w:hyperlink>
      <w:r w:rsidR="0057037E" w:rsidRPr="00FD4FB7">
        <w:rPr>
          <w:rFonts w:asciiTheme="minorHAnsi" w:hAnsiTheme="minorHAnsi" w:cstheme="minorHAnsi"/>
          <w:color w:val="000000" w:themeColor="text1"/>
          <w:sz w:val="22"/>
          <w:szCs w:val="22"/>
        </w:rPr>
        <w:t xml:space="preserve"> </w:t>
      </w:r>
      <w:r w:rsidRPr="00FD4FB7">
        <w:rPr>
          <w:rFonts w:asciiTheme="minorHAnsi" w:hAnsiTheme="minorHAnsi" w:cstheme="minorHAnsi"/>
          <w:color w:val="000000" w:themeColor="text1"/>
          <w:sz w:val="22"/>
          <w:szCs w:val="22"/>
        </w:rPr>
        <w:t>(accessed November 2022).</w:t>
      </w:r>
      <w:r w:rsidR="0055548B" w:rsidRPr="00FD4FB7">
        <w:rPr>
          <w:rFonts w:asciiTheme="minorHAnsi" w:hAnsiTheme="minorHAnsi" w:cstheme="minorHAnsi"/>
          <w:color w:val="000000"/>
          <w:sz w:val="22"/>
          <w:szCs w:val="22"/>
        </w:rPr>
        <w:t xml:space="preserve"> </w:t>
      </w:r>
    </w:p>
    <w:p w14:paraId="042A27F0" w14:textId="56FF7981" w:rsidR="00836E66" w:rsidRPr="00FD4FB7" w:rsidRDefault="0055548B" w:rsidP="00075D83">
      <w:pPr>
        <w:pStyle w:val="NormalWeb"/>
        <w:numPr>
          <w:ilvl w:val="0"/>
          <w:numId w:val="13"/>
        </w:numPr>
        <w:rPr>
          <w:rFonts w:asciiTheme="minorHAnsi" w:hAnsiTheme="minorHAnsi" w:cstheme="minorHAnsi"/>
          <w:color w:val="000000"/>
          <w:sz w:val="22"/>
          <w:szCs w:val="22"/>
        </w:rPr>
      </w:pPr>
      <w:proofErr w:type="spellStart"/>
      <w:r w:rsidRPr="00FD4FB7">
        <w:rPr>
          <w:rFonts w:asciiTheme="minorHAnsi" w:hAnsiTheme="minorHAnsi" w:cstheme="minorHAnsi"/>
          <w:color w:val="000000"/>
          <w:sz w:val="22"/>
          <w:szCs w:val="22"/>
        </w:rPr>
        <w:t>Gilburt</w:t>
      </w:r>
      <w:proofErr w:type="spellEnd"/>
      <w:r w:rsidRPr="00FD4FB7">
        <w:rPr>
          <w:rFonts w:asciiTheme="minorHAnsi" w:hAnsiTheme="minorHAnsi" w:cstheme="minorHAnsi"/>
          <w:color w:val="000000"/>
          <w:sz w:val="22"/>
          <w:szCs w:val="22"/>
        </w:rPr>
        <w:t xml:space="preserve"> H, Drummond C, Sinclair J. Navigating the alcohol treatment pathway: a qualitative study from the service users' perspective. </w:t>
      </w:r>
      <w:r w:rsidRPr="00FD4FB7">
        <w:rPr>
          <w:rFonts w:asciiTheme="minorHAnsi" w:hAnsiTheme="minorHAnsi" w:cstheme="minorHAnsi"/>
          <w:i/>
          <w:iCs/>
          <w:color w:val="000000"/>
          <w:sz w:val="22"/>
          <w:szCs w:val="22"/>
        </w:rPr>
        <w:t>Alcohol and Alcoholism</w:t>
      </w:r>
      <w:r w:rsidRPr="00FD4FB7">
        <w:rPr>
          <w:rFonts w:asciiTheme="minorHAnsi" w:hAnsiTheme="minorHAnsi" w:cstheme="minorHAnsi"/>
          <w:color w:val="000000"/>
          <w:sz w:val="22"/>
          <w:szCs w:val="22"/>
        </w:rPr>
        <w:t xml:space="preserve"> </w:t>
      </w:r>
      <w:proofErr w:type="gramStart"/>
      <w:r w:rsidRPr="00FD4FB7">
        <w:rPr>
          <w:rFonts w:asciiTheme="minorHAnsi" w:hAnsiTheme="minorHAnsi" w:cstheme="minorHAnsi"/>
          <w:color w:val="000000"/>
          <w:sz w:val="22"/>
          <w:szCs w:val="22"/>
        </w:rPr>
        <w:t>2015;</w:t>
      </w:r>
      <w:r w:rsidRPr="00FD4FB7">
        <w:rPr>
          <w:rFonts w:asciiTheme="minorHAnsi" w:hAnsiTheme="minorHAnsi" w:cstheme="minorHAnsi"/>
          <w:b/>
          <w:bCs/>
          <w:color w:val="000000"/>
          <w:sz w:val="22"/>
          <w:szCs w:val="22"/>
        </w:rPr>
        <w:t>50</w:t>
      </w:r>
      <w:r w:rsidRPr="00FD4FB7">
        <w:rPr>
          <w:rFonts w:asciiTheme="minorHAnsi" w:hAnsiTheme="minorHAnsi" w:cstheme="minorHAnsi"/>
          <w:color w:val="000000"/>
          <w:sz w:val="22"/>
          <w:szCs w:val="22"/>
        </w:rPr>
        <w:t>:444</w:t>
      </w:r>
      <w:proofErr w:type="gramEnd"/>
      <w:r w:rsidRPr="00FD4FB7">
        <w:rPr>
          <w:rFonts w:asciiTheme="minorHAnsi" w:hAnsiTheme="minorHAnsi" w:cstheme="minorHAnsi"/>
          <w:color w:val="000000"/>
          <w:sz w:val="22"/>
          <w:szCs w:val="22"/>
        </w:rPr>
        <w:t>-450</w:t>
      </w:r>
    </w:p>
    <w:p w14:paraId="3F49244B" w14:textId="438F00E5" w:rsidR="00DF2A88" w:rsidRPr="00FD4FB7" w:rsidRDefault="00DF2A88">
      <w:pPr>
        <w:rPr>
          <w:rFonts w:ascii="Calibri" w:hAnsi="Calibri" w:cs="Calibri"/>
          <w:b/>
          <w:sz w:val="22"/>
          <w:szCs w:val="22"/>
        </w:rPr>
      </w:pPr>
      <w:r w:rsidRPr="00FD4FB7">
        <w:rPr>
          <w:rFonts w:ascii="Calibri" w:hAnsi="Calibri" w:cs="Calibri"/>
          <w:b/>
          <w:sz w:val="22"/>
          <w:szCs w:val="22"/>
        </w:rPr>
        <w:br w:type="page"/>
      </w:r>
    </w:p>
    <w:p w14:paraId="57B0CD6C" w14:textId="01D8BB1B" w:rsidR="006478B5" w:rsidRPr="00FD4FB7" w:rsidRDefault="006D2631" w:rsidP="000C196B">
      <w:pPr>
        <w:rPr>
          <w:rFonts w:ascii="Calibri" w:hAnsi="Calibri" w:cs="Calibri"/>
          <w:b/>
          <w:bCs/>
          <w:sz w:val="22"/>
          <w:szCs w:val="22"/>
        </w:rPr>
      </w:pPr>
      <w:r w:rsidRPr="00FD4FB7">
        <w:rPr>
          <w:rFonts w:ascii="Calibri" w:hAnsi="Calibri" w:cs="Calibri"/>
          <w:b/>
          <w:bCs/>
          <w:sz w:val="22"/>
          <w:szCs w:val="22"/>
        </w:rPr>
        <w:lastRenderedPageBreak/>
        <w:t xml:space="preserve">TABLE 1. </w:t>
      </w:r>
      <w:r w:rsidR="006478B5" w:rsidRPr="00FD4FB7">
        <w:rPr>
          <w:rFonts w:ascii="Calibri" w:hAnsi="Calibri" w:cs="Calibri"/>
          <w:b/>
          <w:bCs/>
          <w:sz w:val="22"/>
          <w:szCs w:val="22"/>
        </w:rPr>
        <w:t xml:space="preserve">Demographic </w:t>
      </w:r>
      <w:r w:rsidR="00FB3DDE" w:rsidRPr="00FD4FB7">
        <w:rPr>
          <w:rFonts w:ascii="Calibri" w:hAnsi="Calibri" w:cs="Calibri"/>
          <w:b/>
          <w:bCs/>
          <w:sz w:val="22"/>
          <w:szCs w:val="22"/>
        </w:rPr>
        <w:t xml:space="preserve">and clinical </w:t>
      </w:r>
      <w:r w:rsidR="006478B5" w:rsidRPr="00FD4FB7">
        <w:rPr>
          <w:rFonts w:ascii="Calibri" w:hAnsi="Calibri" w:cs="Calibri"/>
          <w:b/>
          <w:bCs/>
          <w:sz w:val="22"/>
          <w:szCs w:val="22"/>
        </w:rPr>
        <w:t xml:space="preserve">characteristics of the </w:t>
      </w:r>
      <w:r w:rsidR="00796352" w:rsidRPr="00FD4FB7">
        <w:rPr>
          <w:rFonts w:ascii="Calibri" w:hAnsi="Calibri" w:cs="Calibri"/>
          <w:b/>
          <w:bCs/>
          <w:sz w:val="22"/>
          <w:szCs w:val="22"/>
        </w:rPr>
        <w:t xml:space="preserve">patients in the </w:t>
      </w:r>
      <w:r w:rsidR="002B2D23" w:rsidRPr="00FD4FB7">
        <w:rPr>
          <w:rFonts w:ascii="Calibri" w:hAnsi="Calibri" w:cs="Calibri"/>
          <w:b/>
          <w:bCs/>
          <w:sz w:val="22"/>
          <w:szCs w:val="22"/>
        </w:rPr>
        <w:t xml:space="preserve">total </w:t>
      </w:r>
      <w:r w:rsidR="006478B5" w:rsidRPr="00FD4FB7">
        <w:rPr>
          <w:rFonts w:ascii="Calibri" w:hAnsi="Calibri" w:cs="Calibri"/>
          <w:b/>
          <w:bCs/>
          <w:sz w:val="22"/>
          <w:szCs w:val="22"/>
        </w:rPr>
        <w:t xml:space="preserve">national </w:t>
      </w:r>
      <w:r w:rsidR="00796352" w:rsidRPr="00FD4FB7">
        <w:rPr>
          <w:rFonts w:ascii="Calibri" w:hAnsi="Calibri" w:cs="Calibri"/>
          <w:b/>
          <w:bCs/>
          <w:sz w:val="22"/>
          <w:szCs w:val="22"/>
        </w:rPr>
        <w:t xml:space="preserve">audit </w:t>
      </w:r>
      <w:r w:rsidR="006478B5" w:rsidRPr="00FD4FB7">
        <w:rPr>
          <w:rFonts w:ascii="Calibri" w:hAnsi="Calibri" w:cs="Calibri"/>
          <w:b/>
          <w:bCs/>
          <w:sz w:val="22"/>
          <w:szCs w:val="22"/>
        </w:rPr>
        <w:t>sample</w:t>
      </w:r>
      <w:r w:rsidR="00796352" w:rsidRPr="00FD4FB7">
        <w:rPr>
          <w:rFonts w:ascii="Calibri" w:hAnsi="Calibri" w:cs="Calibri"/>
          <w:b/>
          <w:bCs/>
          <w:sz w:val="22"/>
          <w:szCs w:val="22"/>
        </w:rPr>
        <w:t xml:space="preserve"> and </w:t>
      </w:r>
      <w:r w:rsidR="002B2D23" w:rsidRPr="00FD4FB7">
        <w:rPr>
          <w:rFonts w:ascii="Calibri" w:hAnsi="Calibri" w:cs="Calibri"/>
          <w:b/>
          <w:bCs/>
          <w:sz w:val="22"/>
          <w:szCs w:val="22"/>
        </w:rPr>
        <w:t xml:space="preserve">three </w:t>
      </w:r>
      <w:r w:rsidR="00796352" w:rsidRPr="00FD4FB7">
        <w:rPr>
          <w:rFonts w:ascii="Calibri" w:hAnsi="Calibri" w:cs="Calibri"/>
          <w:b/>
          <w:bCs/>
          <w:sz w:val="22"/>
          <w:szCs w:val="22"/>
        </w:rPr>
        <w:t xml:space="preserve">service subsamples: treated on an acute adult ward/PICU with or without specialist input, or in a specialist </w:t>
      </w:r>
      <w:r w:rsidR="00557322" w:rsidRPr="00FD4FB7">
        <w:rPr>
          <w:rFonts w:ascii="Calibri" w:hAnsi="Calibri" w:cs="Calibri"/>
          <w:b/>
          <w:bCs/>
          <w:sz w:val="22"/>
          <w:szCs w:val="22"/>
        </w:rPr>
        <w:t>alcohol unit</w:t>
      </w:r>
    </w:p>
    <w:p w14:paraId="728EA969" w14:textId="77777777" w:rsidR="00DC037B" w:rsidRPr="00FD4FB7" w:rsidRDefault="00DC037B" w:rsidP="000C196B">
      <w:pPr>
        <w:rPr>
          <w:rFonts w:ascii="Calibri" w:hAnsi="Calibri" w:cs="Calibri"/>
          <w:b/>
          <w:bCs/>
          <w:sz w:val="22"/>
          <w:szCs w:val="2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276"/>
        <w:gridCol w:w="1559"/>
        <w:gridCol w:w="1418"/>
        <w:gridCol w:w="1417"/>
        <w:gridCol w:w="1134"/>
        <w:gridCol w:w="992"/>
      </w:tblGrid>
      <w:tr w:rsidR="00650DD8" w:rsidRPr="00FD4FB7" w14:paraId="673C411A" w14:textId="77777777" w:rsidTr="00DC037B">
        <w:trPr>
          <w:trHeight w:val="290"/>
        </w:trPr>
        <w:tc>
          <w:tcPr>
            <w:tcW w:w="4106" w:type="dxa"/>
            <w:gridSpan w:val="3"/>
            <w:vMerge w:val="restart"/>
            <w:shd w:val="clear" w:color="auto" w:fill="auto"/>
            <w:vAlign w:val="center"/>
            <w:hideMark/>
          </w:tcPr>
          <w:p w14:paraId="2B268D23" w14:textId="77777777" w:rsidR="00650DD8" w:rsidRPr="00FD4FB7" w:rsidRDefault="00650DD8" w:rsidP="00830528">
            <w:pPr>
              <w:jc w:val="center"/>
              <w:rPr>
                <w:rFonts w:ascii="Calibri" w:hAnsi="Calibri" w:cs="Calibri"/>
                <w:color w:val="000000"/>
                <w:sz w:val="22"/>
                <w:szCs w:val="22"/>
              </w:rPr>
            </w:pPr>
            <w:r w:rsidRPr="00FD4FB7">
              <w:rPr>
                <w:rFonts w:ascii="Calibri" w:hAnsi="Calibri" w:cs="Calibri"/>
                <w:color w:val="000000"/>
                <w:sz w:val="22"/>
                <w:szCs w:val="22"/>
              </w:rPr>
              <w:t> </w:t>
            </w:r>
          </w:p>
        </w:tc>
        <w:tc>
          <w:tcPr>
            <w:tcW w:w="2835" w:type="dxa"/>
            <w:gridSpan w:val="2"/>
            <w:shd w:val="clear" w:color="auto" w:fill="auto"/>
            <w:vAlign w:val="center"/>
            <w:hideMark/>
          </w:tcPr>
          <w:p w14:paraId="01015262" w14:textId="77777777" w:rsidR="00650DD8" w:rsidRPr="00FD4FB7" w:rsidRDefault="00650DD8" w:rsidP="00830528">
            <w:pPr>
              <w:jc w:val="center"/>
              <w:rPr>
                <w:rFonts w:ascii="Calibri" w:hAnsi="Calibri" w:cs="Calibri"/>
                <w:b/>
                <w:bCs/>
                <w:i/>
                <w:iCs/>
                <w:color w:val="000000"/>
                <w:sz w:val="22"/>
                <w:szCs w:val="22"/>
              </w:rPr>
            </w:pPr>
            <w:r w:rsidRPr="00FD4FB7">
              <w:rPr>
                <w:rFonts w:ascii="Calibri" w:hAnsi="Calibri" w:cs="Calibri"/>
                <w:b/>
                <w:bCs/>
                <w:i/>
                <w:iCs/>
                <w:color w:val="000000"/>
                <w:sz w:val="22"/>
                <w:szCs w:val="22"/>
              </w:rPr>
              <w:t>Acute adult wards/PICUs</w:t>
            </w:r>
          </w:p>
        </w:tc>
        <w:tc>
          <w:tcPr>
            <w:tcW w:w="1134" w:type="dxa"/>
            <w:vMerge w:val="restart"/>
            <w:shd w:val="clear" w:color="auto" w:fill="auto"/>
            <w:vAlign w:val="center"/>
            <w:hideMark/>
          </w:tcPr>
          <w:p w14:paraId="56D0C405" w14:textId="62AABA3C" w:rsidR="00650DD8" w:rsidRPr="00FD4FB7" w:rsidRDefault="00650DD8" w:rsidP="00C262C0">
            <w:pPr>
              <w:jc w:val="center"/>
              <w:rPr>
                <w:rFonts w:ascii="Calibri" w:hAnsi="Calibri" w:cs="Calibri"/>
                <w:color w:val="000000"/>
                <w:sz w:val="22"/>
                <w:szCs w:val="22"/>
              </w:rPr>
            </w:pPr>
            <w:r w:rsidRPr="00FD4FB7">
              <w:rPr>
                <w:rFonts w:ascii="Calibri" w:hAnsi="Calibri" w:cs="Calibri"/>
                <w:b/>
                <w:bCs/>
                <w:i/>
                <w:iCs/>
                <w:color w:val="000000"/>
                <w:sz w:val="22"/>
                <w:szCs w:val="22"/>
              </w:rPr>
              <w:t>Specialist alcohol units</w:t>
            </w:r>
          </w:p>
          <w:p w14:paraId="2AC224D6" w14:textId="197C763D" w:rsidR="00650DD8" w:rsidRPr="00FD4FB7" w:rsidRDefault="00650DD8" w:rsidP="00830528">
            <w:pPr>
              <w:jc w:val="center"/>
              <w:rPr>
                <w:rFonts w:ascii="Calibri" w:hAnsi="Calibri" w:cs="Calibri"/>
                <w:b/>
                <w:bCs/>
                <w:i/>
                <w:iCs/>
                <w:color w:val="000000"/>
                <w:sz w:val="22"/>
                <w:szCs w:val="22"/>
              </w:rPr>
            </w:pPr>
            <w:r w:rsidRPr="00FD4FB7">
              <w:rPr>
                <w:rFonts w:ascii="Calibri" w:hAnsi="Calibri" w:cs="Calibri"/>
                <w:color w:val="000000"/>
                <w:sz w:val="22"/>
                <w:szCs w:val="22"/>
              </w:rPr>
              <w:t>n = 347</w:t>
            </w:r>
          </w:p>
        </w:tc>
        <w:tc>
          <w:tcPr>
            <w:tcW w:w="992" w:type="dxa"/>
            <w:vMerge w:val="restart"/>
            <w:shd w:val="clear" w:color="auto" w:fill="auto"/>
            <w:vAlign w:val="center"/>
            <w:hideMark/>
          </w:tcPr>
          <w:p w14:paraId="195E1204" w14:textId="4AB779E5" w:rsidR="00650DD8" w:rsidRPr="00FD4FB7" w:rsidRDefault="00650DD8" w:rsidP="00C262C0">
            <w:pPr>
              <w:jc w:val="center"/>
              <w:rPr>
                <w:rFonts w:ascii="Calibri" w:hAnsi="Calibri" w:cs="Calibri"/>
                <w:color w:val="000000"/>
                <w:sz w:val="22"/>
                <w:szCs w:val="22"/>
              </w:rPr>
            </w:pPr>
            <w:r w:rsidRPr="00FD4FB7">
              <w:rPr>
                <w:rFonts w:ascii="Calibri" w:hAnsi="Calibri" w:cs="Calibri"/>
                <w:b/>
                <w:bCs/>
                <w:i/>
                <w:iCs/>
                <w:color w:val="000000"/>
                <w:sz w:val="22"/>
                <w:szCs w:val="22"/>
              </w:rPr>
              <w:t>Total national sample</w:t>
            </w:r>
          </w:p>
          <w:p w14:paraId="750BF829" w14:textId="4B0852D2" w:rsidR="00650DD8" w:rsidRPr="00FD4FB7" w:rsidRDefault="00650DD8" w:rsidP="00830528">
            <w:pPr>
              <w:jc w:val="center"/>
              <w:rPr>
                <w:rFonts w:ascii="Calibri" w:hAnsi="Calibri" w:cs="Calibri"/>
                <w:b/>
                <w:bCs/>
                <w:i/>
                <w:iCs/>
                <w:color w:val="000000"/>
                <w:sz w:val="22"/>
                <w:szCs w:val="22"/>
              </w:rPr>
            </w:pPr>
            <w:r w:rsidRPr="00FD4FB7">
              <w:rPr>
                <w:rFonts w:ascii="Calibri" w:hAnsi="Calibri" w:cs="Calibri"/>
                <w:color w:val="000000"/>
                <w:sz w:val="22"/>
                <w:szCs w:val="22"/>
              </w:rPr>
              <w:t>n = 1255</w:t>
            </w:r>
          </w:p>
        </w:tc>
      </w:tr>
      <w:tr w:rsidR="00650DD8" w:rsidRPr="00FD4FB7" w14:paraId="700C4633" w14:textId="77777777" w:rsidTr="00DC037B">
        <w:trPr>
          <w:trHeight w:val="951"/>
        </w:trPr>
        <w:tc>
          <w:tcPr>
            <w:tcW w:w="4106" w:type="dxa"/>
            <w:gridSpan w:val="3"/>
            <w:vMerge/>
            <w:vAlign w:val="center"/>
            <w:hideMark/>
          </w:tcPr>
          <w:p w14:paraId="0D9A82F3" w14:textId="77777777" w:rsidR="00650DD8" w:rsidRPr="00FD4FB7" w:rsidRDefault="00650DD8" w:rsidP="00830528">
            <w:pPr>
              <w:rPr>
                <w:rFonts w:ascii="Calibri" w:hAnsi="Calibri" w:cs="Calibri"/>
                <w:color w:val="000000"/>
                <w:sz w:val="22"/>
                <w:szCs w:val="22"/>
              </w:rPr>
            </w:pPr>
          </w:p>
        </w:tc>
        <w:tc>
          <w:tcPr>
            <w:tcW w:w="1418" w:type="dxa"/>
            <w:shd w:val="clear" w:color="auto" w:fill="auto"/>
            <w:vAlign w:val="center"/>
            <w:hideMark/>
          </w:tcPr>
          <w:p w14:paraId="2358D5AC" w14:textId="7BCC27D2" w:rsidR="00C262C0" w:rsidRPr="00FD4FB7" w:rsidRDefault="00650DD8" w:rsidP="00C262C0">
            <w:pPr>
              <w:jc w:val="center"/>
              <w:rPr>
                <w:rFonts w:ascii="Calibri" w:hAnsi="Calibri" w:cs="Calibri"/>
                <w:color w:val="000000"/>
                <w:sz w:val="22"/>
                <w:szCs w:val="22"/>
              </w:rPr>
            </w:pPr>
            <w:r w:rsidRPr="00FD4FB7">
              <w:rPr>
                <w:rFonts w:ascii="Calibri" w:hAnsi="Calibri" w:cs="Calibri"/>
                <w:b/>
                <w:bCs/>
                <w:i/>
                <w:iCs/>
                <w:color w:val="000000"/>
                <w:sz w:val="22"/>
                <w:szCs w:val="22"/>
              </w:rPr>
              <w:t xml:space="preserve">No specialist </w:t>
            </w:r>
            <w:proofErr w:type="gramStart"/>
            <w:r w:rsidRPr="00FD4FB7">
              <w:rPr>
                <w:rFonts w:ascii="Calibri" w:hAnsi="Calibri" w:cs="Calibri"/>
                <w:b/>
                <w:bCs/>
                <w:i/>
                <w:iCs/>
                <w:color w:val="000000"/>
                <w:sz w:val="22"/>
                <w:szCs w:val="22"/>
              </w:rPr>
              <w:t>care</w:t>
            </w:r>
            <w:proofErr w:type="gramEnd"/>
          </w:p>
          <w:p w14:paraId="7B9E6B75" w14:textId="45ECAA94" w:rsidR="00650DD8" w:rsidRPr="00FD4FB7" w:rsidRDefault="00650DD8" w:rsidP="00830528">
            <w:pPr>
              <w:jc w:val="center"/>
              <w:rPr>
                <w:rFonts w:ascii="Calibri" w:hAnsi="Calibri" w:cs="Calibri"/>
                <w:b/>
                <w:bCs/>
                <w:i/>
                <w:iCs/>
                <w:color w:val="000000"/>
                <w:sz w:val="22"/>
                <w:szCs w:val="22"/>
              </w:rPr>
            </w:pPr>
            <w:r w:rsidRPr="00FD4FB7">
              <w:rPr>
                <w:rFonts w:ascii="Calibri" w:hAnsi="Calibri" w:cs="Calibri"/>
                <w:color w:val="000000"/>
                <w:sz w:val="22"/>
                <w:szCs w:val="22"/>
              </w:rPr>
              <w:t>n = 875</w:t>
            </w:r>
          </w:p>
        </w:tc>
        <w:tc>
          <w:tcPr>
            <w:tcW w:w="1417" w:type="dxa"/>
            <w:shd w:val="clear" w:color="auto" w:fill="auto"/>
            <w:vAlign w:val="center"/>
            <w:hideMark/>
          </w:tcPr>
          <w:p w14:paraId="14EE7CFA" w14:textId="62209720" w:rsidR="00650DD8" w:rsidRPr="00FD4FB7" w:rsidRDefault="00650DD8" w:rsidP="00C262C0">
            <w:pPr>
              <w:jc w:val="center"/>
              <w:rPr>
                <w:rFonts w:ascii="Calibri" w:hAnsi="Calibri" w:cs="Calibri"/>
                <w:color w:val="000000"/>
                <w:sz w:val="22"/>
                <w:szCs w:val="22"/>
              </w:rPr>
            </w:pPr>
            <w:r w:rsidRPr="00FD4FB7">
              <w:rPr>
                <w:rFonts w:ascii="Calibri" w:hAnsi="Calibri" w:cs="Calibri"/>
                <w:b/>
                <w:bCs/>
                <w:i/>
                <w:iCs/>
                <w:color w:val="000000"/>
                <w:sz w:val="22"/>
                <w:szCs w:val="22"/>
              </w:rPr>
              <w:t>Specialist care</w:t>
            </w:r>
          </w:p>
          <w:p w14:paraId="078D56C7" w14:textId="5E0F8858" w:rsidR="00650DD8" w:rsidRPr="00FD4FB7" w:rsidRDefault="00650DD8" w:rsidP="00830528">
            <w:pPr>
              <w:jc w:val="center"/>
              <w:rPr>
                <w:rFonts w:ascii="Calibri" w:hAnsi="Calibri" w:cs="Calibri"/>
                <w:b/>
                <w:bCs/>
                <w:i/>
                <w:iCs/>
                <w:color w:val="000000"/>
                <w:sz w:val="22"/>
                <w:szCs w:val="22"/>
              </w:rPr>
            </w:pPr>
            <w:r w:rsidRPr="00FD4FB7">
              <w:rPr>
                <w:rFonts w:ascii="Calibri" w:hAnsi="Calibri" w:cs="Calibri"/>
                <w:color w:val="000000"/>
                <w:sz w:val="22"/>
                <w:szCs w:val="22"/>
              </w:rPr>
              <w:t>n = 33</w:t>
            </w:r>
          </w:p>
        </w:tc>
        <w:tc>
          <w:tcPr>
            <w:tcW w:w="1134" w:type="dxa"/>
            <w:vMerge/>
            <w:vAlign w:val="center"/>
            <w:hideMark/>
          </w:tcPr>
          <w:p w14:paraId="5446B9BA" w14:textId="145B44A2" w:rsidR="00650DD8" w:rsidRPr="00FD4FB7" w:rsidRDefault="00650DD8" w:rsidP="00830528">
            <w:pPr>
              <w:jc w:val="center"/>
              <w:rPr>
                <w:rFonts w:ascii="Calibri" w:hAnsi="Calibri" w:cs="Calibri"/>
                <w:b/>
                <w:bCs/>
                <w:i/>
                <w:iCs/>
                <w:color w:val="000000"/>
                <w:sz w:val="22"/>
                <w:szCs w:val="22"/>
              </w:rPr>
            </w:pPr>
          </w:p>
        </w:tc>
        <w:tc>
          <w:tcPr>
            <w:tcW w:w="992" w:type="dxa"/>
            <w:vMerge/>
            <w:vAlign w:val="center"/>
            <w:hideMark/>
          </w:tcPr>
          <w:p w14:paraId="384FFF92" w14:textId="20BE8C85" w:rsidR="00650DD8" w:rsidRPr="00FD4FB7" w:rsidRDefault="00650DD8" w:rsidP="00830528">
            <w:pPr>
              <w:jc w:val="center"/>
              <w:rPr>
                <w:rFonts w:ascii="Calibri" w:hAnsi="Calibri" w:cs="Calibri"/>
                <w:b/>
                <w:bCs/>
                <w:i/>
                <w:iCs/>
                <w:color w:val="000000"/>
                <w:sz w:val="22"/>
                <w:szCs w:val="22"/>
              </w:rPr>
            </w:pPr>
          </w:p>
        </w:tc>
      </w:tr>
      <w:tr w:rsidR="00332AB0" w:rsidRPr="00FD4FB7" w14:paraId="6432425A" w14:textId="77777777" w:rsidTr="0099535D">
        <w:trPr>
          <w:trHeight w:val="290"/>
        </w:trPr>
        <w:tc>
          <w:tcPr>
            <w:tcW w:w="1271" w:type="dxa"/>
            <w:vMerge w:val="restart"/>
            <w:shd w:val="clear" w:color="auto" w:fill="auto"/>
            <w:vAlign w:val="center"/>
            <w:hideMark/>
          </w:tcPr>
          <w:p w14:paraId="1313F221" w14:textId="77777777" w:rsidR="00321B34" w:rsidRPr="00FD4FB7" w:rsidRDefault="00332AB0" w:rsidP="00830528">
            <w:pPr>
              <w:rPr>
                <w:rFonts w:ascii="Calibri" w:hAnsi="Calibri" w:cs="Calibri"/>
                <w:b/>
                <w:bCs/>
                <w:color w:val="000000"/>
                <w:sz w:val="22"/>
                <w:szCs w:val="22"/>
              </w:rPr>
            </w:pPr>
            <w:r w:rsidRPr="00FD4FB7">
              <w:rPr>
                <w:rFonts w:ascii="Calibri" w:hAnsi="Calibri" w:cs="Calibri"/>
                <w:b/>
                <w:bCs/>
                <w:color w:val="000000"/>
                <w:sz w:val="22"/>
                <w:szCs w:val="22"/>
              </w:rPr>
              <w:t>Sex</w:t>
            </w:r>
          </w:p>
          <w:p w14:paraId="3EDF61FA" w14:textId="53F09C07" w:rsidR="00332AB0" w:rsidRPr="00FD4FB7" w:rsidRDefault="00321B34" w:rsidP="00830528">
            <w:pPr>
              <w:rPr>
                <w:rFonts w:ascii="Calibri" w:hAnsi="Calibri" w:cs="Calibri"/>
                <w:b/>
                <w:bCs/>
                <w:color w:val="000000"/>
                <w:sz w:val="22"/>
                <w:szCs w:val="22"/>
              </w:rPr>
            </w:pPr>
            <w:r w:rsidRPr="00516FC7">
              <w:rPr>
                <w:rFonts w:ascii="Calibri" w:hAnsi="Calibri" w:cs="Calibri"/>
                <w:color w:val="000000"/>
                <w:sz w:val="22"/>
                <w:szCs w:val="22"/>
              </w:rPr>
              <w:t>n (%)</w:t>
            </w:r>
          </w:p>
        </w:tc>
        <w:tc>
          <w:tcPr>
            <w:tcW w:w="2835" w:type="dxa"/>
            <w:gridSpan w:val="2"/>
            <w:shd w:val="clear" w:color="auto" w:fill="auto"/>
            <w:vAlign w:val="center"/>
            <w:hideMark/>
          </w:tcPr>
          <w:p w14:paraId="1ABE7F20"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Male</w:t>
            </w:r>
          </w:p>
        </w:tc>
        <w:tc>
          <w:tcPr>
            <w:tcW w:w="1418" w:type="dxa"/>
            <w:shd w:val="clear" w:color="auto" w:fill="auto"/>
            <w:vAlign w:val="center"/>
            <w:hideMark/>
          </w:tcPr>
          <w:p w14:paraId="191FB72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597 (68)</w:t>
            </w:r>
          </w:p>
        </w:tc>
        <w:tc>
          <w:tcPr>
            <w:tcW w:w="1417" w:type="dxa"/>
            <w:shd w:val="clear" w:color="auto" w:fill="auto"/>
            <w:vAlign w:val="center"/>
            <w:hideMark/>
          </w:tcPr>
          <w:p w14:paraId="70C24CC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18 (55)</w:t>
            </w:r>
          </w:p>
        </w:tc>
        <w:tc>
          <w:tcPr>
            <w:tcW w:w="1134" w:type="dxa"/>
            <w:shd w:val="clear" w:color="auto" w:fill="auto"/>
            <w:vAlign w:val="center"/>
            <w:hideMark/>
          </w:tcPr>
          <w:p w14:paraId="6908409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206 (59)</w:t>
            </w:r>
          </w:p>
        </w:tc>
        <w:tc>
          <w:tcPr>
            <w:tcW w:w="992" w:type="dxa"/>
            <w:shd w:val="clear" w:color="auto" w:fill="auto"/>
            <w:vAlign w:val="center"/>
            <w:hideMark/>
          </w:tcPr>
          <w:p w14:paraId="7CA1BF3B"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821 (65)</w:t>
            </w:r>
          </w:p>
        </w:tc>
      </w:tr>
      <w:tr w:rsidR="00332AB0" w:rsidRPr="00FD4FB7" w14:paraId="35610BE8" w14:textId="77777777" w:rsidTr="0099535D">
        <w:trPr>
          <w:trHeight w:val="290"/>
        </w:trPr>
        <w:tc>
          <w:tcPr>
            <w:tcW w:w="1271" w:type="dxa"/>
            <w:vMerge/>
            <w:vAlign w:val="center"/>
            <w:hideMark/>
          </w:tcPr>
          <w:p w14:paraId="772863B7"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63864855"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Female</w:t>
            </w:r>
          </w:p>
        </w:tc>
        <w:tc>
          <w:tcPr>
            <w:tcW w:w="1418" w:type="dxa"/>
            <w:shd w:val="clear" w:color="auto" w:fill="auto"/>
            <w:vAlign w:val="center"/>
            <w:hideMark/>
          </w:tcPr>
          <w:p w14:paraId="3191D19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278 (32)</w:t>
            </w:r>
          </w:p>
        </w:tc>
        <w:tc>
          <w:tcPr>
            <w:tcW w:w="1417" w:type="dxa"/>
            <w:shd w:val="clear" w:color="auto" w:fill="auto"/>
            <w:vAlign w:val="center"/>
            <w:hideMark/>
          </w:tcPr>
          <w:p w14:paraId="4222C9E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15 (45)</w:t>
            </w:r>
          </w:p>
        </w:tc>
        <w:tc>
          <w:tcPr>
            <w:tcW w:w="1134" w:type="dxa"/>
            <w:shd w:val="clear" w:color="auto" w:fill="auto"/>
            <w:vAlign w:val="center"/>
            <w:hideMark/>
          </w:tcPr>
          <w:p w14:paraId="4BA95FC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141 (41)</w:t>
            </w:r>
          </w:p>
        </w:tc>
        <w:tc>
          <w:tcPr>
            <w:tcW w:w="992" w:type="dxa"/>
            <w:shd w:val="clear" w:color="auto" w:fill="auto"/>
            <w:vAlign w:val="center"/>
            <w:hideMark/>
          </w:tcPr>
          <w:p w14:paraId="3BCCA84B"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434 (35)</w:t>
            </w:r>
          </w:p>
        </w:tc>
      </w:tr>
      <w:tr w:rsidR="00332AB0" w:rsidRPr="00FD4FB7" w14:paraId="34D297F9" w14:textId="77777777" w:rsidTr="0099535D">
        <w:trPr>
          <w:trHeight w:val="290"/>
        </w:trPr>
        <w:tc>
          <w:tcPr>
            <w:tcW w:w="1271" w:type="dxa"/>
            <w:vMerge w:val="restart"/>
            <w:shd w:val="clear" w:color="auto" w:fill="auto"/>
            <w:vAlign w:val="center"/>
            <w:hideMark/>
          </w:tcPr>
          <w:p w14:paraId="671281C5" w14:textId="77777777" w:rsidR="00332AB0" w:rsidRPr="00FD4FB7" w:rsidRDefault="00332AB0" w:rsidP="00830528">
            <w:pPr>
              <w:rPr>
                <w:rFonts w:ascii="Calibri" w:hAnsi="Calibri" w:cs="Calibri"/>
                <w:b/>
                <w:bCs/>
                <w:color w:val="000000"/>
                <w:sz w:val="22"/>
                <w:szCs w:val="22"/>
              </w:rPr>
            </w:pPr>
            <w:r w:rsidRPr="00FD4FB7">
              <w:rPr>
                <w:rFonts w:ascii="Calibri" w:hAnsi="Calibri" w:cs="Calibri"/>
                <w:b/>
                <w:bCs/>
                <w:color w:val="000000"/>
                <w:sz w:val="22"/>
                <w:szCs w:val="22"/>
              </w:rPr>
              <w:t>Age in years</w:t>
            </w:r>
          </w:p>
        </w:tc>
        <w:tc>
          <w:tcPr>
            <w:tcW w:w="2835" w:type="dxa"/>
            <w:gridSpan w:val="2"/>
            <w:shd w:val="clear" w:color="auto" w:fill="auto"/>
            <w:vAlign w:val="center"/>
            <w:hideMark/>
          </w:tcPr>
          <w:p w14:paraId="4C094F23"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Median age</w:t>
            </w:r>
          </w:p>
        </w:tc>
        <w:tc>
          <w:tcPr>
            <w:tcW w:w="1418" w:type="dxa"/>
            <w:shd w:val="clear" w:color="auto" w:fill="auto"/>
            <w:vAlign w:val="center"/>
            <w:hideMark/>
          </w:tcPr>
          <w:p w14:paraId="1C2DD32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44</w:t>
            </w:r>
          </w:p>
        </w:tc>
        <w:tc>
          <w:tcPr>
            <w:tcW w:w="1417" w:type="dxa"/>
            <w:shd w:val="clear" w:color="auto" w:fill="auto"/>
            <w:vAlign w:val="center"/>
            <w:hideMark/>
          </w:tcPr>
          <w:p w14:paraId="25092B3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41</w:t>
            </w:r>
          </w:p>
        </w:tc>
        <w:tc>
          <w:tcPr>
            <w:tcW w:w="1134" w:type="dxa"/>
            <w:shd w:val="clear" w:color="auto" w:fill="auto"/>
            <w:vAlign w:val="center"/>
            <w:hideMark/>
          </w:tcPr>
          <w:p w14:paraId="6BCAFC5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46</w:t>
            </w:r>
          </w:p>
        </w:tc>
        <w:tc>
          <w:tcPr>
            <w:tcW w:w="992" w:type="dxa"/>
            <w:shd w:val="clear" w:color="auto" w:fill="auto"/>
            <w:vAlign w:val="center"/>
            <w:hideMark/>
          </w:tcPr>
          <w:p w14:paraId="653EC9D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45</w:t>
            </w:r>
          </w:p>
        </w:tc>
      </w:tr>
      <w:tr w:rsidR="00332AB0" w:rsidRPr="00FD4FB7" w14:paraId="14F854BC" w14:textId="77777777" w:rsidTr="0099535D">
        <w:trPr>
          <w:trHeight w:val="290"/>
        </w:trPr>
        <w:tc>
          <w:tcPr>
            <w:tcW w:w="1271" w:type="dxa"/>
            <w:vMerge/>
            <w:vAlign w:val="center"/>
            <w:hideMark/>
          </w:tcPr>
          <w:p w14:paraId="0E1CF4E4"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07EB829B"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Range</w:t>
            </w:r>
          </w:p>
        </w:tc>
        <w:tc>
          <w:tcPr>
            <w:tcW w:w="1418" w:type="dxa"/>
            <w:shd w:val="clear" w:color="auto" w:fill="auto"/>
            <w:vAlign w:val="center"/>
            <w:hideMark/>
          </w:tcPr>
          <w:p w14:paraId="70FE3B7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20 - 91</w:t>
            </w:r>
          </w:p>
        </w:tc>
        <w:tc>
          <w:tcPr>
            <w:tcW w:w="1417" w:type="dxa"/>
            <w:shd w:val="clear" w:color="auto" w:fill="auto"/>
            <w:vAlign w:val="center"/>
            <w:hideMark/>
          </w:tcPr>
          <w:p w14:paraId="643D19A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20 - 73</w:t>
            </w:r>
          </w:p>
        </w:tc>
        <w:tc>
          <w:tcPr>
            <w:tcW w:w="1134" w:type="dxa"/>
            <w:shd w:val="clear" w:color="auto" w:fill="auto"/>
            <w:vAlign w:val="center"/>
            <w:hideMark/>
          </w:tcPr>
          <w:p w14:paraId="170EF80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20 - 80</w:t>
            </w:r>
          </w:p>
        </w:tc>
        <w:tc>
          <w:tcPr>
            <w:tcW w:w="992" w:type="dxa"/>
            <w:shd w:val="clear" w:color="auto" w:fill="auto"/>
            <w:noWrap/>
            <w:vAlign w:val="center"/>
            <w:hideMark/>
          </w:tcPr>
          <w:p w14:paraId="344D4FBA" w14:textId="7800A070"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 xml:space="preserve">20 </w:t>
            </w:r>
            <w:r w:rsidR="00190249" w:rsidRPr="00FD4FB7">
              <w:rPr>
                <w:rFonts w:ascii="Calibri" w:hAnsi="Calibri" w:cs="Calibri"/>
                <w:color w:val="000000"/>
                <w:sz w:val="22"/>
                <w:szCs w:val="22"/>
              </w:rPr>
              <w:t>–</w:t>
            </w:r>
            <w:r w:rsidRPr="00FD4FB7">
              <w:rPr>
                <w:rFonts w:ascii="Calibri" w:hAnsi="Calibri" w:cs="Calibri"/>
                <w:color w:val="000000"/>
                <w:sz w:val="22"/>
                <w:szCs w:val="22"/>
              </w:rPr>
              <w:t xml:space="preserve"> 91</w:t>
            </w:r>
          </w:p>
        </w:tc>
      </w:tr>
      <w:tr w:rsidR="00332AB0" w:rsidRPr="00FD4FB7" w14:paraId="0E94E259" w14:textId="77777777" w:rsidTr="00321B34">
        <w:trPr>
          <w:trHeight w:val="290"/>
        </w:trPr>
        <w:tc>
          <w:tcPr>
            <w:tcW w:w="1271" w:type="dxa"/>
            <w:vMerge/>
            <w:vAlign w:val="center"/>
            <w:hideMark/>
          </w:tcPr>
          <w:p w14:paraId="15D772B0" w14:textId="77777777" w:rsidR="00332AB0" w:rsidRPr="00FD4FB7" w:rsidRDefault="00332AB0" w:rsidP="00830528">
            <w:pPr>
              <w:rPr>
                <w:rFonts w:ascii="Calibri" w:hAnsi="Calibri" w:cs="Calibri"/>
                <w:b/>
                <w:bCs/>
                <w:color w:val="000000"/>
                <w:sz w:val="22"/>
                <w:szCs w:val="22"/>
              </w:rPr>
            </w:pPr>
          </w:p>
        </w:tc>
        <w:tc>
          <w:tcPr>
            <w:tcW w:w="1276" w:type="dxa"/>
            <w:vMerge w:val="restart"/>
            <w:shd w:val="clear" w:color="auto" w:fill="auto"/>
            <w:vAlign w:val="center"/>
            <w:hideMark/>
          </w:tcPr>
          <w:p w14:paraId="05577ADF" w14:textId="0AE1EA30"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Age bands</w:t>
            </w:r>
            <w:r w:rsidR="00321B34" w:rsidRPr="00FD4FB7">
              <w:rPr>
                <w:rFonts w:ascii="Calibri" w:hAnsi="Calibri" w:cs="Calibri"/>
                <w:color w:val="000000"/>
                <w:sz w:val="22"/>
                <w:szCs w:val="22"/>
              </w:rPr>
              <w:t xml:space="preserve"> </w:t>
            </w:r>
            <w:r w:rsidR="00321B34" w:rsidRPr="00516FC7">
              <w:rPr>
                <w:rFonts w:ascii="Calibri" w:hAnsi="Calibri" w:cs="Calibri"/>
                <w:color w:val="000000"/>
                <w:sz w:val="22"/>
                <w:szCs w:val="22"/>
              </w:rPr>
              <w:t>n (%)</w:t>
            </w:r>
          </w:p>
        </w:tc>
        <w:tc>
          <w:tcPr>
            <w:tcW w:w="1559" w:type="dxa"/>
            <w:shd w:val="clear" w:color="auto" w:fill="auto"/>
            <w:vAlign w:val="center"/>
            <w:hideMark/>
          </w:tcPr>
          <w:p w14:paraId="08116195"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18-30 years</w:t>
            </w:r>
          </w:p>
        </w:tc>
        <w:tc>
          <w:tcPr>
            <w:tcW w:w="1418" w:type="dxa"/>
            <w:shd w:val="clear" w:color="auto" w:fill="auto"/>
            <w:vAlign w:val="center"/>
            <w:hideMark/>
          </w:tcPr>
          <w:p w14:paraId="1DD936D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105 (12)</w:t>
            </w:r>
          </w:p>
        </w:tc>
        <w:tc>
          <w:tcPr>
            <w:tcW w:w="1417" w:type="dxa"/>
            <w:shd w:val="clear" w:color="auto" w:fill="auto"/>
            <w:vAlign w:val="center"/>
            <w:hideMark/>
          </w:tcPr>
          <w:p w14:paraId="3118D7C7"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 (9)</w:t>
            </w:r>
          </w:p>
        </w:tc>
        <w:tc>
          <w:tcPr>
            <w:tcW w:w="1134" w:type="dxa"/>
            <w:shd w:val="clear" w:color="auto" w:fill="auto"/>
            <w:vAlign w:val="center"/>
            <w:hideMark/>
          </w:tcPr>
          <w:p w14:paraId="211ABDB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19 (5)</w:t>
            </w:r>
          </w:p>
        </w:tc>
        <w:tc>
          <w:tcPr>
            <w:tcW w:w="992" w:type="dxa"/>
            <w:shd w:val="clear" w:color="auto" w:fill="auto"/>
            <w:vAlign w:val="center"/>
            <w:hideMark/>
          </w:tcPr>
          <w:p w14:paraId="19EC055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127 (10)</w:t>
            </w:r>
          </w:p>
        </w:tc>
      </w:tr>
      <w:tr w:rsidR="00332AB0" w:rsidRPr="00FD4FB7" w14:paraId="10AF2678" w14:textId="77777777" w:rsidTr="00321B34">
        <w:trPr>
          <w:trHeight w:val="290"/>
        </w:trPr>
        <w:tc>
          <w:tcPr>
            <w:tcW w:w="1271" w:type="dxa"/>
            <w:vMerge/>
            <w:vAlign w:val="center"/>
            <w:hideMark/>
          </w:tcPr>
          <w:p w14:paraId="00BC35B8" w14:textId="77777777" w:rsidR="00332AB0" w:rsidRPr="00FD4FB7" w:rsidRDefault="00332AB0" w:rsidP="00830528">
            <w:pPr>
              <w:rPr>
                <w:rFonts w:ascii="Calibri" w:hAnsi="Calibri" w:cs="Calibri"/>
                <w:b/>
                <w:bCs/>
                <w:color w:val="000000"/>
                <w:sz w:val="22"/>
                <w:szCs w:val="22"/>
              </w:rPr>
            </w:pPr>
          </w:p>
        </w:tc>
        <w:tc>
          <w:tcPr>
            <w:tcW w:w="1276" w:type="dxa"/>
            <w:vMerge/>
            <w:vAlign w:val="center"/>
            <w:hideMark/>
          </w:tcPr>
          <w:p w14:paraId="4F658EF6" w14:textId="77777777" w:rsidR="00332AB0" w:rsidRPr="00FD4FB7" w:rsidRDefault="00332AB0" w:rsidP="00830528">
            <w:pPr>
              <w:rPr>
                <w:rFonts w:ascii="Calibri" w:hAnsi="Calibri" w:cs="Calibri"/>
                <w:color w:val="000000"/>
                <w:sz w:val="22"/>
                <w:szCs w:val="22"/>
              </w:rPr>
            </w:pPr>
          </w:p>
        </w:tc>
        <w:tc>
          <w:tcPr>
            <w:tcW w:w="1559" w:type="dxa"/>
            <w:shd w:val="clear" w:color="auto" w:fill="auto"/>
            <w:vAlign w:val="center"/>
            <w:hideMark/>
          </w:tcPr>
          <w:p w14:paraId="062A5946"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31-40 years</w:t>
            </w:r>
          </w:p>
        </w:tc>
        <w:tc>
          <w:tcPr>
            <w:tcW w:w="1418" w:type="dxa"/>
            <w:shd w:val="clear" w:color="auto" w:fill="auto"/>
            <w:vAlign w:val="center"/>
            <w:hideMark/>
          </w:tcPr>
          <w:p w14:paraId="21AF929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232 (27)</w:t>
            </w:r>
          </w:p>
        </w:tc>
        <w:tc>
          <w:tcPr>
            <w:tcW w:w="1417" w:type="dxa"/>
            <w:shd w:val="clear" w:color="auto" w:fill="auto"/>
            <w:vAlign w:val="center"/>
            <w:hideMark/>
          </w:tcPr>
          <w:p w14:paraId="6796B11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12 (36)</w:t>
            </w:r>
          </w:p>
        </w:tc>
        <w:tc>
          <w:tcPr>
            <w:tcW w:w="1134" w:type="dxa"/>
            <w:shd w:val="clear" w:color="auto" w:fill="auto"/>
            <w:vAlign w:val="center"/>
            <w:hideMark/>
          </w:tcPr>
          <w:p w14:paraId="1B14DF8E"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82 (24)</w:t>
            </w:r>
          </w:p>
        </w:tc>
        <w:tc>
          <w:tcPr>
            <w:tcW w:w="992" w:type="dxa"/>
            <w:shd w:val="clear" w:color="auto" w:fill="auto"/>
            <w:vAlign w:val="center"/>
            <w:hideMark/>
          </w:tcPr>
          <w:p w14:paraId="0AD10B67"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326 (26)</w:t>
            </w:r>
          </w:p>
        </w:tc>
      </w:tr>
      <w:tr w:rsidR="00332AB0" w:rsidRPr="00FD4FB7" w14:paraId="70CE7900" w14:textId="77777777" w:rsidTr="00321B34">
        <w:trPr>
          <w:trHeight w:val="290"/>
        </w:trPr>
        <w:tc>
          <w:tcPr>
            <w:tcW w:w="1271" w:type="dxa"/>
            <w:vMerge/>
            <w:vAlign w:val="center"/>
            <w:hideMark/>
          </w:tcPr>
          <w:p w14:paraId="2A6377FA" w14:textId="77777777" w:rsidR="00332AB0" w:rsidRPr="00FD4FB7" w:rsidRDefault="00332AB0" w:rsidP="00830528">
            <w:pPr>
              <w:rPr>
                <w:rFonts w:ascii="Calibri" w:hAnsi="Calibri" w:cs="Calibri"/>
                <w:b/>
                <w:bCs/>
                <w:color w:val="000000"/>
                <w:sz w:val="22"/>
                <w:szCs w:val="22"/>
              </w:rPr>
            </w:pPr>
          </w:p>
        </w:tc>
        <w:tc>
          <w:tcPr>
            <w:tcW w:w="1276" w:type="dxa"/>
            <w:vMerge/>
            <w:vAlign w:val="center"/>
            <w:hideMark/>
          </w:tcPr>
          <w:p w14:paraId="44FE7601" w14:textId="77777777" w:rsidR="00332AB0" w:rsidRPr="00FD4FB7" w:rsidRDefault="00332AB0" w:rsidP="00830528">
            <w:pPr>
              <w:rPr>
                <w:rFonts w:ascii="Calibri" w:hAnsi="Calibri" w:cs="Calibri"/>
                <w:color w:val="000000"/>
                <w:sz w:val="22"/>
                <w:szCs w:val="22"/>
              </w:rPr>
            </w:pPr>
          </w:p>
        </w:tc>
        <w:tc>
          <w:tcPr>
            <w:tcW w:w="1559" w:type="dxa"/>
            <w:shd w:val="clear" w:color="auto" w:fill="auto"/>
            <w:vAlign w:val="center"/>
            <w:hideMark/>
          </w:tcPr>
          <w:p w14:paraId="7101E970"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41-50 years</w:t>
            </w:r>
          </w:p>
        </w:tc>
        <w:tc>
          <w:tcPr>
            <w:tcW w:w="1418" w:type="dxa"/>
            <w:shd w:val="clear" w:color="auto" w:fill="auto"/>
            <w:vAlign w:val="center"/>
            <w:hideMark/>
          </w:tcPr>
          <w:p w14:paraId="71656F2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246 (28)</w:t>
            </w:r>
          </w:p>
        </w:tc>
        <w:tc>
          <w:tcPr>
            <w:tcW w:w="1417" w:type="dxa"/>
            <w:shd w:val="clear" w:color="auto" w:fill="auto"/>
            <w:vAlign w:val="center"/>
            <w:hideMark/>
          </w:tcPr>
          <w:p w14:paraId="5B66734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14 (42)</w:t>
            </w:r>
          </w:p>
        </w:tc>
        <w:tc>
          <w:tcPr>
            <w:tcW w:w="1134" w:type="dxa"/>
            <w:shd w:val="clear" w:color="auto" w:fill="auto"/>
            <w:vAlign w:val="center"/>
            <w:hideMark/>
          </w:tcPr>
          <w:p w14:paraId="0462311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115 (33)</w:t>
            </w:r>
          </w:p>
        </w:tc>
        <w:tc>
          <w:tcPr>
            <w:tcW w:w="992" w:type="dxa"/>
            <w:shd w:val="clear" w:color="auto" w:fill="auto"/>
            <w:vAlign w:val="center"/>
            <w:hideMark/>
          </w:tcPr>
          <w:p w14:paraId="4602B45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375 (30)</w:t>
            </w:r>
          </w:p>
        </w:tc>
      </w:tr>
      <w:tr w:rsidR="00332AB0" w:rsidRPr="00FD4FB7" w14:paraId="4FE37EAA" w14:textId="77777777" w:rsidTr="00321B34">
        <w:trPr>
          <w:trHeight w:val="290"/>
        </w:trPr>
        <w:tc>
          <w:tcPr>
            <w:tcW w:w="1271" w:type="dxa"/>
            <w:vMerge/>
            <w:vAlign w:val="center"/>
            <w:hideMark/>
          </w:tcPr>
          <w:p w14:paraId="3C04E2B2" w14:textId="77777777" w:rsidR="00332AB0" w:rsidRPr="00FD4FB7" w:rsidRDefault="00332AB0" w:rsidP="00830528">
            <w:pPr>
              <w:rPr>
                <w:rFonts w:ascii="Calibri" w:hAnsi="Calibri" w:cs="Calibri"/>
                <w:b/>
                <w:bCs/>
                <w:color w:val="000000"/>
                <w:sz w:val="22"/>
                <w:szCs w:val="22"/>
              </w:rPr>
            </w:pPr>
          </w:p>
        </w:tc>
        <w:tc>
          <w:tcPr>
            <w:tcW w:w="1276" w:type="dxa"/>
            <w:vMerge/>
            <w:vAlign w:val="center"/>
            <w:hideMark/>
          </w:tcPr>
          <w:p w14:paraId="22799D82" w14:textId="77777777" w:rsidR="00332AB0" w:rsidRPr="00FD4FB7" w:rsidRDefault="00332AB0" w:rsidP="00830528">
            <w:pPr>
              <w:rPr>
                <w:rFonts w:ascii="Calibri" w:hAnsi="Calibri" w:cs="Calibri"/>
                <w:color w:val="000000"/>
                <w:sz w:val="22"/>
                <w:szCs w:val="22"/>
              </w:rPr>
            </w:pPr>
          </w:p>
        </w:tc>
        <w:tc>
          <w:tcPr>
            <w:tcW w:w="1559" w:type="dxa"/>
            <w:shd w:val="clear" w:color="auto" w:fill="auto"/>
            <w:vAlign w:val="center"/>
            <w:hideMark/>
          </w:tcPr>
          <w:p w14:paraId="2E9C4BB6"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51-60 years</w:t>
            </w:r>
          </w:p>
        </w:tc>
        <w:tc>
          <w:tcPr>
            <w:tcW w:w="1418" w:type="dxa"/>
            <w:shd w:val="clear" w:color="auto" w:fill="auto"/>
            <w:vAlign w:val="center"/>
            <w:hideMark/>
          </w:tcPr>
          <w:p w14:paraId="3D11438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206 (24)</w:t>
            </w:r>
          </w:p>
        </w:tc>
        <w:tc>
          <w:tcPr>
            <w:tcW w:w="1417" w:type="dxa"/>
            <w:shd w:val="clear" w:color="auto" w:fill="auto"/>
            <w:vAlign w:val="center"/>
            <w:hideMark/>
          </w:tcPr>
          <w:p w14:paraId="5A589E0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 (9)</w:t>
            </w:r>
          </w:p>
        </w:tc>
        <w:tc>
          <w:tcPr>
            <w:tcW w:w="1134" w:type="dxa"/>
            <w:shd w:val="clear" w:color="auto" w:fill="auto"/>
            <w:vAlign w:val="center"/>
            <w:hideMark/>
          </w:tcPr>
          <w:p w14:paraId="14B2984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97 (28)</w:t>
            </w:r>
          </w:p>
        </w:tc>
        <w:tc>
          <w:tcPr>
            <w:tcW w:w="992" w:type="dxa"/>
            <w:shd w:val="clear" w:color="auto" w:fill="auto"/>
            <w:vAlign w:val="center"/>
            <w:hideMark/>
          </w:tcPr>
          <w:p w14:paraId="2287D42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306 (24)</w:t>
            </w:r>
          </w:p>
        </w:tc>
      </w:tr>
      <w:tr w:rsidR="00332AB0" w:rsidRPr="00FD4FB7" w14:paraId="55AED244" w14:textId="77777777" w:rsidTr="00321B34">
        <w:trPr>
          <w:trHeight w:val="77"/>
        </w:trPr>
        <w:tc>
          <w:tcPr>
            <w:tcW w:w="1271" w:type="dxa"/>
            <w:vMerge/>
            <w:vAlign w:val="center"/>
            <w:hideMark/>
          </w:tcPr>
          <w:p w14:paraId="657F2210" w14:textId="77777777" w:rsidR="00332AB0" w:rsidRPr="00FD4FB7" w:rsidRDefault="00332AB0" w:rsidP="00830528">
            <w:pPr>
              <w:rPr>
                <w:rFonts w:ascii="Calibri" w:hAnsi="Calibri" w:cs="Calibri"/>
                <w:b/>
                <w:bCs/>
                <w:color w:val="000000"/>
                <w:sz w:val="22"/>
                <w:szCs w:val="22"/>
              </w:rPr>
            </w:pPr>
          </w:p>
        </w:tc>
        <w:tc>
          <w:tcPr>
            <w:tcW w:w="1276" w:type="dxa"/>
            <w:vMerge/>
            <w:vAlign w:val="center"/>
            <w:hideMark/>
          </w:tcPr>
          <w:p w14:paraId="594AA5A4" w14:textId="77777777" w:rsidR="00332AB0" w:rsidRPr="00FD4FB7" w:rsidRDefault="00332AB0" w:rsidP="00830528">
            <w:pPr>
              <w:rPr>
                <w:rFonts w:ascii="Calibri" w:hAnsi="Calibri" w:cs="Calibri"/>
                <w:color w:val="000000"/>
                <w:sz w:val="22"/>
                <w:szCs w:val="22"/>
              </w:rPr>
            </w:pPr>
          </w:p>
        </w:tc>
        <w:tc>
          <w:tcPr>
            <w:tcW w:w="1559" w:type="dxa"/>
            <w:shd w:val="clear" w:color="auto" w:fill="auto"/>
            <w:vAlign w:val="center"/>
            <w:hideMark/>
          </w:tcPr>
          <w:p w14:paraId="1FC158A6"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61+ years</w:t>
            </w:r>
          </w:p>
        </w:tc>
        <w:tc>
          <w:tcPr>
            <w:tcW w:w="1418" w:type="dxa"/>
            <w:shd w:val="clear" w:color="auto" w:fill="auto"/>
            <w:vAlign w:val="center"/>
            <w:hideMark/>
          </w:tcPr>
          <w:p w14:paraId="5772AA8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86 (10)</w:t>
            </w:r>
          </w:p>
        </w:tc>
        <w:tc>
          <w:tcPr>
            <w:tcW w:w="1417" w:type="dxa"/>
            <w:shd w:val="clear" w:color="auto" w:fill="auto"/>
            <w:vAlign w:val="center"/>
            <w:hideMark/>
          </w:tcPr>
          <w:p w14:paraId="6503D44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5EF48C1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34 (10)</w:t>
            </w:r>
          </w:p>
        </w:tc>
        <w:tc>
          <w:tcPr>
            <w:tcW w:w="992" w:type="dxa"/>
            <w:shd w:val="clear" w:color="auto" w:fill="auto"/>
            <w:vAlign w:val="center"/>
            <w:hideMark/>
          </w:tcPr>
          <w:p w14:paraId="66AEA9A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121 (10)</w:t>
            </w:r>
          </w:p>
        </w:tc>
      </w:tr>
      <w:tr w:rsidR="00332AB0" w:rsidRPr="00FD4FB7" w14:paraId="1A0993A3" w14:textId="77777777" w:rsidTr="0099535D">
        <w:trPr>
          <w:trHeight w:val="290"/>
        </w:trPr>
        <w:tc>
          <w:tcPr>
            <w:tcW w:w="1271" w:type="dxa"/>
            <w:vMerge w:val="restart"/>
            <w:shd w:val="clear" w:color="auto" w:fill="auto"/>
            <w:vAlign w:val="center"/>
            <w:hideMark/>
          </w:tcPr>
          <w:p w14:paraId="32E92787" w14:textId="77777777" w:rsidR="00321B34" w:rsidRPr="00FD4FB7" w:rsidRDefault="00332AB0" w:rsidP="00321B34">
            <w:pPr>
              <w:rPr>
                <w:rFonts w:ascii="Calibri" w:hAnsi="Calibri" w:cs="Calibri"/>
                <w:b/>
                <w:bCs/>
                <w:color w:val="000000"/>
                <w:sz w:val="22"/>
                <w:szCs w:val="22"/>
              </w:rPr>
            </w:pPr>
            <w:r w:rsidRPr="00FD4FB7">
              <w:rPr>
                <w:rFonts w:ascii="Calibri" w:hAnsi="Calibri" w:cs="Calibri"/>
                <w:b/>
                <w:bCs/>
                <w:color w:val="000000"/>
                <w:sz w:val="22"/>
                <w:szCs w:val="22"/>
              </w:rPr>
              <w:t>Ethnicity</w:t>
            </w:r>
          </w:p>
          <w:p w14:paraId="2EC564CE" w14:textId="59F8A545" w:rsidR="00321B34" w:rsidRPr="00FD4FB7" w:rsidRDefault="00321B34" w:rsidP="00321B34">
            <w:pPr>
              <w:rPr>
                <w:rFonts w:ascii="Calibri" w:hAnsi="Calibri" w:cs="Calibri"/>
                <w:color w:val="000000"/>
                <w:sz w:val="22"/>
                <w:szCs w:val="22"/>
              </w:rPr>
            </w:pPr>
            <w:r w:rsidRPr="00516FC7">
              <w:rPr>
                <w:rFonts w:ascii="Calibri" w:hAnsi="Calibri" w:cs="Calibri"/>
                <w:color w:val="000000"/>
                <w:sz w:val="22"/>
                <w:szCs w:val="22"/>
              </w:rPr>
              <w:t>n (%)</w:t>
            </w:r>
          </w:p>
        </w:tc>
        <w:tc>
          <w:tcPr>
            <w:tcW w:w="2835" w:type="dxa"/>
            <w:gridSpan w:val="2"/>
            <w:shd w:val="clear" w:color="auto" w:fill="auto"/>
            <w:vAlign w:val="center"/>
            <w:hideMark/>
          </w:tcPr>
          <w:p w14:paraId="65B8EE1A"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White/White British</w:t>
            </w:r>
          </w:p>
        </w:tc>
        <w:tc>
          <w:tcPr>
            <w:tcW w:w="1418" w:type="dxa"/>
            <w:shd w:val="clear" w:color="auto" w:fill="auto"/>
            <w:vAlign w:val="center"/>
            <w:hideMark/>
          </w:tcPr>
          <w:p w14:paraId="02934F4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724 (83)</w:t>
            </w:r>
          </w:p>
        </w:tc>
        <w:tc>
          <w:tcPr>
            <w:tcW w:w="1417" w:type="dxa"/>
            <w:shd w:val="clear" w:color="auto" w:fill="auto"/>
            <w:vAlign w:val="center"/>
            <w:hideMark/>
          </w:tcPr>
          <w:p w14:paraId="6855765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30 (91)</w:t>
            </w:r>
          </w:p>
        </w:tc>
        <w:tc>
          <w:tcPr>
            <w:tcW w:w="1134" w:type="dxa"/>
            <w:shd w:val="clear" w:color="auto" w:fill="auto"/>
            <w:vAlign w:val="center"/>
            <w:hideMark/>
          </w:tcPr>
          <w:p w14:paraId="31A8D04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329 (95)</w:t>
            </w:r>
          </w:p>
        </w:tc>
        <w:tc>
          <w:tcPr>
            <w:tcW w:w="992" w:type="dxa"/>
            <w:shd w:val="clear" w:color="auto" w:fill="auto"/>
            <w:vAlign w:val="center"/>
            <w:hideMark/>
          </w:tcPr>
          <w:p w14:paraId="344A1B6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1083 (86)</w:t>
            </w:r>
          </w:p>
        </w:tc>
      </w:tr>
      <w:tr w:rsidR="00332AB0" w:rsidRPr="00FD4FB7" w14:paraId="5982A63E" w14:textId="77777777" w:rsidTr="0099535D">
        <w:trPr>
          <w:trHeight w:val="290"/>
        </w:trPr>
        <w:tc>
          <w:tcPr>
            <w:tcW w:w="1271" w:type="dxa"/>
            <w:vMerge/>
            <w:vAlign w:val="center"/>
            <w:hideMark/>
          </w:tcPr>
          <w:p w14:paraId="7C71928D"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2C103039"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Black/Black British</w:t>
            </w:r>
          </w:p>
        </w:tc>
        <w:tc>
          <w:tcPr>
            <w:tcW w:w="1418" w:type="dxa"/>
            <w:shd w:val="clear" w:color="auto" w:fill="auto"/>
            <w:vAlign w:val="center"/>
            <w:hideMark/>
          </w:tcPr>
          <w:p w14:paraId="0416BE1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14 (2)</w:t>
            </w:r>
          </w:p>
        </w:tc>
        <w:tc>
          <w:tcPr>
            <w:tcW w:w="1417" w:type="dxa"/>
            <w:shd w:val="clear" w:color="auto" w:fill="auto"/>
            <w:vAlign w:val="center"/>
            <w:hideMark/>
          </w:tcPr>
          <w:p w14:paraId="7786775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7C9CB39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(&lt;1)</w:t>
            </w:r>
          </w:p>
        </w:tc>
        <w:tc>
          <w:tcPr>
            <w:tcW w:w="992" w:type="dxa"/>
            <w:shd w:val="clear" w:color="auto" w:fill="auto"/>
            <w:vAlign w:val="center"/>
            <w:hideMark/>
          </w:tcPr>
          <w:p w14:paraId="22A2C595"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15 (1)</w:t>
            </w:r>
          </w:p>
        </w:tc>
      </w:tr>
      <w:tr w:rsidR="00332AB0" w:rsidRPr="00FD4FB7" w14:paraId="7E1B4356" w14:textId="77777777" w:rsidTr="0099535D">
        <w:trPr>
          <w:trHeight w:val="290"/>
        </w:trPr>
        <w:tc>
          <w:tcPr>
            <w:tcW w:w="1271" w:type="dxa"/>
            <w:vMerge/>
            <w:vAlign w:val="center"/>
            <w:hideMark/>
          </w:tcPr>
          <w:p w14:paraId="04306C72"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50BD15AC"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Asian/Asian British</w:t>
            </w:r>
          </w:p>
        </w:tc>
        <w:tc>
          <w:tcPr>
            <w:tcW w:w="1418" w:type="dxa"/>
            <w:shd w:val="clear" w:color="auto" w:fill="auto"/>
            <w:vAlign w:val="center"/>
            <w:hideMark/>
          </w:tcPr>
          <w:p w14:paraId="00F5538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28 (3)</w:t>
            </w:r>
          </w:p>
        </w:tc>
        <w:tc>
          <w:tcPr>
            <w:tcW w:w="1417" w:type="dxa"/>
            <w:shd w:val="clear" w:color="auto" w:fill="auto"/>
            <w:vAlign w:val="center"/>
            <w:hideMark/>
          </w:tcPr>
          <w:p w14:paraId="5E925F65"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 (6)</w:t>
            </w:r>
          </w:p>
        </w:tc>
        <w:tc>
          <w:tcPr>
            <w:tcW w:w="1134" w:type="dxa"/>
            <w:shd w:val="clear" w:color="auto" w:fill="auto"/>
            <w:vAlign w:val="center"/>
            <w:hideMark/>
          </w:tcPr>
          <w:p w14:paraId="3062A17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5 (1)</w:t>
            </w:r>
          </w:p>
        </w:tc>
        <w:tc>
          <w:tcPr>
            <w:tcW w:w="992" w:type="dxa"/>
            <w:shd w:val="clear" w:color="auto" w:fill="auto"/>
            <w:vAlign w:val="center"/>
            <w:hideMark/>
          </w:tcPr>
          <w:p w14:paraId="52D986F5"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35 (3)</w:t>
            </w:r>
          </w:p>
        </w:tc>
      </w:tr>
      <w:tr w:rsidR="00332AB0" w:rsidRPr="00FD4FB7" w14:paraId="4DADC190" w14:textId="77777777" w:rsidTr="0099535D">
        <w:trPr>
          <w:trHeight w:val="290"/>
        </w:trPr>
        <w:tc>
          <w:tcPr>
            <w:tcW w:w="1271" w:type="dxa"/>
            <w:vMerge/>
            <w:vAlign w:val="center"/>
            <w:hideMark/>
          </w:tcPr>
          <w:p w14:paraId="76F32E61"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6A472E0E"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Mixed or other</w:t>
            </w:r>
          </w:p>
        </w:tc>
        <w:tc>
          <w:tcPr>
            <w:tcW w:w="1418" w:type="dxa"/>
            <w:shd w:val="clear" w:color="auto" w:fill="auto"/>
            <w:vAlign w:val="center"/>
            <w:hideMark/>
          </w:tcPr>
          <w:p w14:paraId="47BEC1C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42 (5)</w:t>
            </w:r>
          </w:p>
        </w:tc>
        <w:tc>
          <w:tcPr>
            <w:tcW w:w="1417" w:type="dxa"/>
            <w:shd w:val="clear" w:color="auto" w:fill="auto"/>
            <w:vAlign w:val="center"/>
            <w:hideMark/>
          </w:tcPr>
          <w:p w14:paraId="7C1DB2D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1A627BA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 (2)</w:t>
            </w:r>
          </w:p>
        </w:tc>
        <w:tc>
          <w:tcPr>
            <w:tcW w:w="992" w:type="dxa"/>
            <w:shd w:val="clear" w:color="auto" w:fill="auto"/>
            <w:vAlign w:val="center"/>
            <w:hideMark/>
          </w:tcPr>
          <w:p w14:paraId="4F2EB39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48 (4)</w:t>
            </w:r>
          </w:p>
        </w:tc>
      </w:tr>
      <w:tr w:rsidR="00332AB0" w:rsidRPr="00FD4FB7" w14:paraId="04835FBD" w14:textId="77777777" w:rsidTr="0099535D">
        <w:trPr>
          <w:trHeight w:val="77"/>
        </w:trPr>
        <w:tc>
          <w:tcPr>
            <w:tcW w:w="1271" w:type="dxa"/>
            <w:vMerge/>
            <w:vAlign w:val="center"/>
            <w:hideMark/>
          </w:tcPr>
          <w:p w14:paraId="1DE7933F"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58089ADF"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Not collected/stated/refused</w:t>
            </w:r>
          </w:p>
        </w:tc>
        <w:tc>
          <w:tcPr>
            <w:tcW w:w="1418" w:type="dxa"/>
            <w:shd w:val="clear" w:color="auto" w:fill="auto"/>
            <w:vAlign w:val="center"/>
            <w:hideMark/>
          </w:tcPr>
          <w:p w14:paraId="5D2A45A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67 (8)</w:t>
            </w:r>
          </w:p>
        </w:tc>
        <w:tc>
          <w:tcPr>
            <w:tcW w:w="1417" w:type="dxa"/>
            <w:shd w:val="clear" w:color="auto" w:fill="auto"/>
            <w:vAlign w:val="center"/>
            <w:hideMark/>
          </w:tcPr>
          <w:p w14:paraId="39C0414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1F94766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 (2)</w:t>
            </w:r>
          </w:p>
        </w:tc>
        <w:tc>
          <w:tcPr>
            <w:tcW w:w="992" w:type="dxa"/>
            <w:shd w:val="clear" w:color="auto" w:fill="auto"/>
            <w:vAlign w:val="center"/>
            <w:hideMark/>
          </w:tcPr>
          <w:p w14:paraId="1D8EA60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74 (6)</w:t>
            </w:r>
          </w:p>
        </w:tc>
      </w:tr>
      <w:tr w:rsidR="00332AB0" w:rsidRPr="00FD4FB7" w14:paraId="4ECA13D3" w14:textId="77777777" w:rsidTr="0099535D">
        <w:trPr>
          <w:trHeight w:val="290"/>
        </w:trPr>
        <w:tc>
          <w:tcPr>
            <w:tcW w:w="1271" w:type="dxa"/>
            <w:vMerge w:val="restart"/>
            <w:shd w:val="clear" w:color="auto" w:fill="auto"/>
            <w:vAlign w:val="center"/>
            <w:hideMark/>
          </w:tcPr>
          <w:p w14:paraId="1DB35FB2" w14:textId="77777777" w:rsidR="00332AB0" w:rsidRPr="00FD4FB7" w:rsidRDefault="00332AB0" w:rsidP="00830528">
            <w:pPr>
              <w:rPr>
                <w:rFonts w:ascii="Calibri" w:hAnsi="Calibri" w:cs="Calibri"/>
                <w:b/>
                <w:bCs/>
                <w:color w:val="000000"/>
                <w:sz w:val="22"/>
                <w:szCs w:val="22"/>
              </w:rPr>
            </w:pPr>
            <w:r w:rsidRPr="00FD4FB7">
              <w:rPr>
                <w:rFonts w:ascii="Calibri" w:hAnsi="Calibri" w:cs="Calibri"/>
                <w:b/>
                <w:bCs/>
                <w:color w:val="000000"/>
                <w:sz w:val="22"/>
                <w:szCs w:val="22"/>
              </w:rPr>
              <w:t>Psychiatric disorders</w:t>
            </w:r>
          </w:p>
          <w:p w14:paraId="3EFC944D" w14:textId="6DFF6568" w:rsidR="00321B34" w:rsidRPr="00FD4FB7" w:rsidRDefault="00321B34" w:rsidP="00830528">
            <w:pPr>
              <w:rPr>
                <w:rFonts w:ascii="Calibri" w:hAnsi="Calibri" w:cs="Calibri"/>
                <w:color w:val="000000"/>
                <w:sz w:val="22"/>
                <w:szCs w:val="22"/>
              </w:rPr>
            </w:pPr>
            <w:r w:rsidRPr="00516FC7">
              <w:rPr>
                <w:rFonts w:ascii="Calibri" w:hAnsi="Calibri" w:cs="Calibri"/>
                <w:color w:val="000000"/>
                <w:sz w:val="22"/>
                <w:szCs w:val="22"/>
              </w:rPr>
              <w:t>n (%)</w:t>
            </w:r>
          </w:p>
        </w:tc>
        <w:tc>
          <w:tcPr>
            <w:tcW w:w="2835" w:type="dxa"/>
            <w:gridSpan w:val="2"/>
            <w:shd w:val="clear" w:color="auto" w:fill="auto"/>
            <w:vAlign w:val="center"/>
            <w:hideMark/>
          </w:tcPr>
          <w:p w14:paraId="7AD2221D"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Mental and behavioural disorders due to use of alcohol (F10)</w:t>
            </w:r>
          </w:p>
        </w:tc>
        <w:tc>
          <w:tcPr>
            <w:tcW w:w="1418" w:type="dxa"/>
            <w:shd w:val="clear" w:color="auto" w:fill="auto"/>
            <w:vAlign w:val="center"/>
            <w:hideMark/>
          </w:tcPr>
          <w:p w14:paraId="6A73B21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634 (72)</w:t>
            </w:r>
          </w:p>
        </w:tc>
        <w:tc>
          <w:tcPr>
            <w:tcW w:w="1417" w:type="dxa"/>
            <w:shd w:val="clear" w:color="auto" w:fill="auto"/>
            <w:vAlign w:val="center"/>
            <w:hideMark/>
          </w:tcPr>
          <w:p w14:paraId="7382EFA5"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29 (88)</w:t>
            </w:r>
          </w:p>
        </w:tc>
        <w:tc>
          <w:tcPr>
            <w:tcW w:w="1134" w:type="dxa"/>
            <w:shd w:val="clear" w:color="auto" w:fill="auto"/>
            <w:vAlign w:val="center"/>
            <w:hideMark/>
          </w:tcPr>
          <w:p w14:paraId="013072F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335 (97)</w:t>
            </w:r>
          </w:p>
        </w:tc>
        <w:tc>
          <w:tcPr>
            <w:tcW w:w="992" w:type="dxa"/>
            <w:shd w:val="clear" w:color="auto" w:fill="auto"/>
            <w:vAlign w:val="center"/>
            <w:hideMark/>
          </w:tcPr>
          <w:p w14:paraId="3AB8636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998 (80)</w:t>
            </w:r>
          </w:p>
        </w:tc>
      </w:tr>
      <w:tr w:rsidR="00332AB0" w:rsidRPr="00FD4FB7" w14:paraId="1D73190E" w14:textId="77777777" w:rsidTr="0099535D">
        <w:trPr>
          <w:trHeight w:val="290"/>
        </w:trPr>
        <w:tc>
          <w:tcPr>
            <w:tcW w:w="1271" w:type="dxa"/>
            <w:vMerge/>
            <w:vAlign w:val="center"/>
            <w:hideMark/>
          </w:tcPr>
          <w:p w14:paraId="39676DCE"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4FEC3DBE"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Mood disorder, other than bipolar affective disorder (F30-F39)</w:t>
            </w:r>
          </w:p>
        </w:tc>
        <w:tc>
          <w:tcPr>
            <w:tcW w:w="1418" w:type="dxa"/>
            <w:shd w:val="clear" w:color="auto" w:fill="auto"/>
            <w:vAlign w:val="center"/>
            <w:hideMark/>
          </w:tcPr>
          <w:p w14:paraId="35098DE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223 (25)</w:t>
            </w:r>
          </w:p>
        </w:tc>
        <w:tc>
          <w:tcPr>
            <w:tcW w:w="1417" w:type="dxa"/>
            <w:shd w:val="clear" w:color="auto" w:fill="auto"/>
            <w:vAlign w:val="center"/>
            <w:hideMark/>
          </w:tcPr>
          <w:p w14:paraId="4A965FC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19 (58)</w:t>
            </w:r>
          </w:p>
        </w:tc>
        <w:tc>
          <w:tcPr>
            <w:tcW w:w="1134" w:type="dxa"/>
            <w:shd w:val="clear" w:color="auto" w:fill="auto"/>
            <w:vAlign w:val="center"/>
            <w:hideMark/>
          </w:tcPr>
          <w:p w14:paraId="05E5A60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114 (33)</w:t>
            </w:r>
          </w:p>
        </w:tc>
        <w:tc>
          <w:tcPr>
            <w:tcW w:w="992" w:type="dxa"/>
            <w:shd w:val="clear" w:color="auto" w:fill="auto"/>
            <w:vAlign w:val="center"/>
            <w:hideMark/>
          </w:tcPr>
          <w:p w14:paraId="561FCFC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356 (28)</w:t>
            </w:r>
          </w:p>
        </w:tc>
      </w:tr>
      <w:tr w:rsidR="00332AB0" w:rsidRPr="00FD4FB7" w14:paraId="608D1EC1" w14:textId="77777777" w:rsidTr="0099535D">
        <w:trPr>
          <w:trHeight w:val="290"/>
        </w:trPr>
        <w:tc>
          <w:tcPr>
            <w:tcW w:w="1271" w:type="dxa"/>
            <w:vMerge/>
            <w:vAlign w:val="center"/>
            <w:hideMark/>
          </w:tcPr>
          <w:p w14:paraId="6394E90D"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62BD960D"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Personality disorder (F60-F69)</w:t>
            </w:r>
          </w:p>
        </w:tc>
        <w:tc>
          <w:tcPr>
            <w:tcW w:w="1418" w:type="dxa"/>
            <w:shd w:val="clear" w:color="auto" w:fill="auto"/>
            <w:vAlign w:val="center"/>
            <w:hideMark/>
          </w:tcPr>
          <w:p w14:paraId="1E32540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210 (24)</w:t>
            </w:r>
          </w:p>
        </w:tc>
        <w:tc>
          <w:tcPr>
            <w:tcW w:w="1417" w:type="dxa"/>
            <w:shd w:val="clear" w:color="auto" w:fill="auto"/>
            <w:vAlign w:val="center"/>
            <w:hideMark/>
          </w:tcPr>
          <w:p w14:paraId="0BCD77B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7 (21)</w:t>
            </w:r>
          </w:p>
        </w:tc>
        <w:tc>
          <w:tcPr>
            <w:tcW w:w="1134" w:type="dxa"/>
            <w:shd w:val="clear" w:color="auto" w:fill="auto"/>
            <w:vAlign w:val="center"/>
            <w:hideMark/>
          </w:tcPr>
          <w:p w14:paraId="6475862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55 (16)</w:t>
            </w:r>
          </w:p>
        </w:tc>
        <w:tc>
          <w:tcPr>
            <w:tcW w:w="992" w:type="dxa"/>
            <w:shd w:val="clear" w:color="auto" w:fill="auto"/>
            <w:vAlign w:val="center"/>
            <w:hideMark/>
          </w:tcPr>
          <w:p w14:paraId="0BA8A9F7"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272 (22)</w:t>
            </w:r>
          </w:p>
        </w:tc>
      </w:tr>
      <w:tr w:rsidR="00332AB0" w:rsidRPr="00FD4FB7" w14:paraId="60CCD023" w14:textId="77777777" w:rsidTr="0099535D">
        <w:trPr>
          <w:trHeight w:val="290"/>
        </w:trPr>
        <w:tc>
          <w:tcPr>
            <w:tcW w:w="1271" w:type="dxa"/>
            <w:vMerge/>
            <w:vAlign w:val="center"/>
            <w:hideMark/>
          </w:tcPr>
          <w:p w14:paraId="20E1AA88"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0C57E3C6"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Neurotic, stress related and somatoform disorders (F40-48)</w:t>
            </w:r>
          </w:p>
        </w:tc>
        <w:tc>
          <w:tcPr>
            <w:tcW w:w="1418" w:type="dxa"/>
            <w:shd w:val="clear" w:color="auto" w:fill="auto"/>
            <w:vAlign w:val="center"/>
            <w:hideMark/>
          </w:tcPr>
          <w:p w14:paraId="22C9D78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155 (18)</w:t>
            </w:r>
          </w:p>
        </w:tc>
        <w:tc>
          <w:tcPr>
            <w:tcW w:w="1417" w:type="dxa"/>
            <w:shd w:val="clear" w:color="auto" w:fill="auto"/>
            <w:vAlign w:val="center"/>
            <w:hideMark/>
          </w:tcPr>
          <w:p w14:paraId="345E438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9 (27)</w:t>
            </w:r>
          </w:p>
        </w:tc>
        <w:tc>
          <w:tcPr>
            <w:tcW w:w="1134" w:type="dxa"/>
            <w:shd w:val="clear" w:color="auto" w:fill="auto"/>
            <w:vAlign w:val="center"/>
            <w:hideMark/>
          </w:tcPr>
          <w:p w14:paraId="1F50E0E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73 (21)</w:t>
            </w:r>
          </w:p>
        </w:tc>
        <w:tc>
          <w:tcPr>
            <w:tcW w:w="992" w:type="dxa"/>
            <w:shd w:val="clear" w:color="auto" w:fill="auto"/>
            <w:vAlign w:val="center"/>
            <w:hideMark/>
          </w:tcPr>
          <w:p w14:paraId="7CD05EAB"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237 (19)</w:t>
            </w:r>
          </w:p>
        </w:tc>
      </w:tr>
      <w:tr w:rsidR="00332AB0" w:rsidRPr="00FD4FB7" w14:paraId="4F9F0C73" w14:textId="77777777" w:rsidTr="0099535D">
        <w:trPr>
          <w:trHeight w:val="290"/>
        </w:trPr>
        <w:tc>
          <w:tcPr>
            <w:tcW w:w="1271" w:type="dxa"/>
            <w:vMerge/>
            <w:vAlign w:val="center"/>
            <w:hideMark/>
          </w:tcPr>
          <w:p w14:paraId="2C59BF09"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0A027A77"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Schizophrenia spectrum disorder (F20-F29)</w:t>
            </w:r>
          </w:p>
        </w:tc>
        <w:tc>
          <w:tcPr>
            <w:tcW w:w="1418" w:type="dxa"/>
            <w:shd w:val="clear" w:color="auto" w:fill="auto"/>
            <w:vAlign w:val="center"/>
            <w:hideMark/>
          </w:tcPr>
          <w:p w14:paraId="1C20D19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178 (20)</w:t>
            </w:r>
          </w:p>
        </w:tc>
        <w:tc>
          <w:tcPr>
            <w:tcW w:w="1417" w:type="dxa"/>
            <w:shd w:val="clear" w:color="auto" w:fill="auto"/>
            <w:vAlign w:val="center"/>
            <w:hideMark/>
          </w:tcPr>
          <w:p w14:paraId="3214733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55946F5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7 (2)</w:t>
            </w:r>
          </w:p>
        </w:tc>
        <w:tc>
          <w:tcPr>
            <w:tcW w:w="992" w:type="dxa"/>
            <w:shd w:val="clear" w:color="auto" w:fill="auto"/>
            <w:vAlign w:val="center"/>
            <w:hideMark/>
          </w:tcPr>
          <w:p w14:paraId="3A7FB06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186 (15)</w:t>
            </w:r>
          </w:p>
        </w:tc>
      </w:tr>
      <w:tr w:rsidR="00332AB0" w:rsidRPr="00FD4FB7" w14:paraId="610D4DCD" w14:textId="77777777" w:rsidTr="0099535D">
        <w:trPr>
          <w:trHeight w:val="290"/>
        </w:trPr>
        <w:tc>
          <w:tcPr>
            <w:tcW w:w="1271" w:type="dxa"/>
            <w:vMerge/>
            <w:vAlign w:val="center"/>
            <w:hideMark/>
          </w:tcPr>
          <w:p w14:paraId="23AD77FD"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50E0E114"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Bipolar affective disorder (F31)</w:t>
            </w:r>
          </w:p>
        </w:tc>
        <w:tc>
          <w:tcPr>
            <w:tcW w:w="1418" w:type="dxa"/>
            <w:shd w:val="clear" w:color="auto" w:fill="auto"/>
            <w:vAlign w:val="center"/>
            <w:hideMark/>
          </w:tcPr>
          <w:p w14:paraId="5E2790A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59 (7)</w:t>
            </w:r>
          </w:p>
        </w:tc>
        <w:tc>
          <w:tcPr>
            <w:tcW w:w="1417" w:type="dxa"/>
            <w:shd w:val="clear" w:color="auto" w:fill="auto"/>
            <w:vAlign w:val="center"/>
            <w:hideMark/>
          </w:tcPr>
          <w:p w14:paraId="2EE484E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0FCC250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8 (2)</w:t>
            </w:r>
          </w:p>
        </w:tc>
        <w:tc>
          <w:tcPr>
            <w:tcW w:w="992" w:type="dxa"/>
            <w:shd w:val="clear" w:color="auto" w:fill="auto"/>
            <w:vAlign w:val="center"/>
            <w:hideMark/>
          </w:tcPr>
          <w:p w14:paraId="25B6635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68 (5)</w:t>
            </w:r>
          </w:p>
        </w:tc>
      </w:tr>
      <w:tr w:rsidR="00332AB0" w:rsidRPr="00FD4FB7" w14:paraId="3AD9B65F" w14:textId="77777777" w:rsidTr="0099535D">
        <w:trPr>
          <w:trHeight w:val="290"/>
        </w:trPr>
        <w:tc>
          <w:tcPr>
            <w:tcW w:w="1271" w:type="dxa"/>
            <w:vMerge/>
            <w:vAlign w:val="center"/>
            <w:hideMark/>
          </w:tcPr>
          <w:p w14:paraId="566EABD4"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6EC2D59B"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Other behavioural syndromes associated with physiological disturbances and physical factors (F50-59)</w:t>
            </w:r>
          </w:p>
        </w:tc>
        <w:tc>
          <w:tcPr>
            <w:tcW w:w="1418" w:type="dxa"/>
            <w:shd w:val="clear" w:color="auto" w:fill="auto"/>
            <w:vAlign w:val="center"/>
            <w:hideMark/>
          </w:tcPr>
          <w:p w14:paraId="4389833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15 (2)</w:t>
            </w:r>
          </w:p>
        </w:tc>
        <w:tc>
          <w:tcPr>
            <w:tcW w:w="1417" w:type="dxa"/>
            <w:shd w:val="clear" w:color="auto" w:fill="auto"/>
            <w:vAlign w:val="center"/>
            <w:hideMark/>
          </w:tcPr>
          <w:p w14:paraId="0D7C6C3E"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7951390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35 (10)</w:t>
            </w:r>
          </w:p>
        </w:tc>
        <w:tc>
          <w:tcPr>
            <w:tcW w:w="992" w:type="dxa"/>
            <w:shd w:val="clear" w:color="auto" w:fill="auto"/>
            <w:vAlign w:val="center"/>
            <w:hideMark/>
          </w:tcPr>
          <w:p w14:paraId="3C05855B"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51 (4)</w:t>
            </w:r>
          </w:p>
        </w:tc>
      </w:tr>
      <w:tr w:rsidR="00332AB0" w:rsidRPr="00FD4FB7" w14:paraId="1C1DF16C" w14:textId="77777777" w:rsidTr="0099535D">
        <w:trPr>
          <w:trHeight w:val="85"/>
        </w:trPr>
        <w:tc>
          <w:tcPr>
            <w:tcW w:w="1271" w:type="dxa"/>
            <w:vMerge/>
            <w:vAlign w:val="center"/>
            <w:hideMark/>
          </w:tcPr>
          <w:p w14:paraId="4D362AD6"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321622CB"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ADHD (F90)</w:t>
            </w:r>
          </w:p>
        </w:tc>
        <w:tc>
          <w:tcPr>
            <w:tcW w:w="1418" w:type="dxa"/>
            <w:shd w:val="clear" w:color="auto" w:fill="auto"/>
            <w:vAlign w:val="center"/>
            <w:hideMark/>
          </w:tcPr>
          <w:p w14:paraId="1641916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13 (1)</w:t>
            </w:r>
          </w:p>
        </w:tc>
        <w:tc>
          <w:tcPr>
            <w:tcW w:w="1417" w:type="dxa"/>
            <w:shd w:val="clear" w:color="auto" w:fill="auto"/>
            <w:vAlign w:val="center"/>
            <w:hideMark/>
          </w:tcPr>
          <w:p w14:paraId="6C74C79B"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571A6A5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 (1)</w:t>
            </w:r>
          </w:p>
        </w:tc>
        <w:tc>
          <w:tcPr>
            <w:tcW w:w="992" w:type="dxa"/>
            <w:shd w:val="clear" w:color="auto" w:fill="auto"/>
            <w:vAlign w:val="center"/>
            <w:hideMark/>
          </w:tcPr>
          <w:p w14:paraId="2B6D5335"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17 (1)</w:t>
            </w:r>
          </w:p>
        </w:tc>
      </w:tr>
      <w:tr w:rsidR="00332AB0" w:rsidRPr="00FD4FB7" w14:paraId="26903D04" w14:textId="77777777" w:rsidTr="0099535D">
        <w:trPr>
          <w:trHeight w:val="290"/>
        </w:trPr>
        <w:tc>
          <w:tcPr>
            <w:tcW w:w="1271" w:type="dxa"/>
            <w:vMerge/>
            <w:vAlign w:val="center"/>
            <w:hideMark/>
          </w:tcPr>
          <w:p w14:paraId="43C3758E"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3C81A0B4"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Disorder of psychological development (F80)</w:t>
            </w:r>
          </w:p>
        </w:tc>
        <w:tc>
          <w:tcPr>
            <w:tcW w:w="1418" w:type="dxa"/>
            <w:shd w:val="clear" w:color="auto" w:fill="auto"/>
            <w:vAlign w:val="center"/>
            <w:hideMark/>
          </w:tcPr>
          <w:p w14:paraId="53FEE43E"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12 (1)</w:t>
            </w:r>
          </w:p>
        </w:tc>
        <w:tc>
          <w:tcPr>
            <w:tcW w:w="1417" w:type="dxa"/>
            <w:shd w:val="clear" w:color="auto" w:fill="auto"/>
            <w:vAlign w:val="center"/>
            <w:hideMark/>
          </w:tcPr>
          <w:p w14:paraId="748709F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7B965B1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5 (1)</w:t>
            </w:r>
          </w:p>
        </w:tc>
        <w:tc>
          <w:tcPr>
            <w:tcW w:w="992" w:type="dxa"/>
            <w:shd w:val="clear" w:color="auto" w:fill="auto"/>
            <w:vAlign w:val="center"/>
            <w:hideMark/>
          </w:tcPr>
          <w:p w14:paraId="52306B4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17 (1)</w:t>
            </w:r>
          </w:p>
        </w:tc>
      </w:tr>
      <w:tr w:rsidR="00332AB0" w:rsidRPr="00FD4FB7" w14:paraId="1786B726" w14:textId="77777777" w:rsidTr="0099535D">
        <w:trPr>
          <w:trHeight w:val="290"/>
        </w:trPr>
        <w:tc>
          <w:tcPr>
            <w:tcW w:w="1271" w:type="dxa"/>
            <w:vMerge/>
            <w:vAlign w:val="center"/>
            <w:hideMark/>
          </w:tcPr>
          <w:p w14:paraId="06817B1A" w14:textId="77777777" w:rsidR="00332AB0" w:rsidRPr="00FD4FB7" w:rsidRDefault="00332AB0" w:rsidP="00830528">
            <w:pPr>
              <w:rPr>
                <w:rFonts w:ascii="Calibri" w:hAnsi="Calibri" w:cs="Calibri"/>
                <w:b/>
                <w:bCs/>
                <w:color w:val="000000"/>
                <w:sz w:val="22"/>
                <w:szCs w:val="22"/>
              </w:rPr>
            </w:pPr>
          </w:p>
        </w:tc>
        <w:tc>
          <w:tcPr>
            <w:tcW w:w="2835" w:type="dxa"/>
            <w:gridSpan w:val="2"/>
            <w:shd w:val="clear" w:color="auto" w:fill="auto"/>
            <w:vAlign w:val="center"/>
            <w:hideMark/>
          </w:tcPr>
          <w:p w14:paraId="305C5436"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Organic mental disorder (F00-F09)</w:t>
            </w:r>
          </w:p>
        </w:tc>
        <w:tc>
          <w:tcPr>
            <w:tcW w:w="1418" w:type="dxa"/>
            <w:shd w:val="clear" w:color="auto" w:fill="auto"/>
            <w:vAlign w:val="center"/>
            <w:hideMark/>
          </w:tcPr>
          <w:p w14:paraId="6117653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13 (1)</w:t>
            </w:r>
          </w:p>
        </w:tc>
        <w:tc>
          <w:tcPr>
            <w:tcW w:w="1417" w:type="dxa"/>
            <w:shd w:val="clear" w:color="auto" w:fill="auto"/>
            <w:vAlign w:val="center"/>
            <w:hideMark/>
          </w:tcPr>
          <w:p w14:paraId="5992173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5492647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(&lt;1)</w:t>
            </w:r>
          </w:p>
        </w:tc>
        <w:tc>
          <w:tcPr>
            <w:tcW w:w="992" w:type="dxa"/>
            <w:shd w:val="clear" w:color="auto" w:fill="auto"/>
            <w:vAlign w:val="center"/>
            <w:hideMark/>
          </w:tcPr>
          <w:p w14:paraId="0F24F2E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14 (1)</w:t>
            </w:r>
          </w:p>
        </w:tc>
      </w:tr>
      <w:tr w:rsidR="00332AB0" w:rsidRPr="00FD4FB7" w14:paraId="5FC8FE69" w14:textId="77777777" w:rsidTr="0099535D">
        <w:trPr>
          <w:trHeight w:val="290"/>
        </w:trPr>
        <w:tc>
          <w:tcPr>
            <w:tcW w:w="1271" w:type="dxa"/>
            <w:vMerge w:val="restart"/>
            <w:shd w:val="clear" w:color="auto" w:fill="auto"/>
            <w:vAlign w:val="center"/>
            <w:hideMark/>
          </w:tcPr>
          <w:p w14:paraId="6A2D3D19" w14:textId="77777777" w:rsidR="0099535D" w:rsidRPr="00FD4FB7" w:rsidRDefault="00332AB0" w:rsidP="00830528">
            <w:pPr>
              <w:rPr>
                <w:rFonts w:ascii="Calibri" w:hAnsi="Calibri" w:cs="Calibri"/>
                <w:b/>
                <w:bCs/>
                <w:color w:val="000000"/>
                <w:sz w:val="22"/>
                <w:szCs w:val="22"/>
              </w:rPr>
            </w:pPr>
            <w:r w:rsidRPr="00FD4FB7">
              <w:rPr>
                <w:rFonts w:ascii="Calibri" w:hAnsi="Calibri" w:cs="Calibri"/>
                <w:b/>
                <w:bCs/>
                <w:color w:val="000000"/>
                <w:sz w:val="22"/>
                <w:szCs w:val="22"/>
              </w:rPr>
              <w:t>Alcohol/</w:t>
            </w:r>
          </w:p>
          <w:p w14:paraId="6F653FA2" w14:textId="77777777" w:rsidR="00332AB0" w:rsidRPr="00FD4FB7" w:rsidRDefault="00332AB0" w:rsidP="00830528">
            <w:pPr>
              <w:rPr>
                <w:rFonts w:ascii="Calibri" w:hAnsi="Calibri" w:cs="Calibri"/>
                <w:b/>
                <w:bCs/>
                <w:color w:val="000000"/>
                <w:sz w:val="22"/>
                <w:szCs w:val="22"/>
              </w:rPr>
            </w:pPr>
            <w:r w:rsidRPr="00FD4FB7">
              <w:rPr>
                <w:rFonts w:ascii="Calibri" w:hAnsi="Calibri" w:cs="Calibri"/>
                <w:b/>
                <w:bCs/>
                <w:color w:val="000000"/>
                <w:sz w:val="22"/>
                <w:szCs w:val="22"/>
              </w:rPr>
              <w:lastRenderedPageBreak/>
              <w:t>substance use disorders</w:t>
            </w:r>
          </w:p>
          <w:p w14:paraId="262CE7A0" w14:textId="4FC0D1EB" w:rsidR="00321B34" w:rsidRPr="00FD4FB7" w:rsidRDefault="00321B34" w:rsidP="00830528">
            <w:pPr>
              <w:rPr>
                <w:rFonts w:ascii="Calibri" w:hAnsi="Calibri" w:cs="Calibri"/>
                <w:color w:val="000000"/>
                <w:sz w:val="22"/>
                <w:szCs w:val="22"/>
              </w:rPr>
            </w:pPr>
            <w:r w:rsidRPr="00516FC7">
              <w:rPr>
                <w:rFonts w:ascii="Calibri" w:hAnsi="Calibri" w:cs="Calibri"/>
                <w:color w:val="000000"/>
                <w:sz w:val="22"/>
                <w:szCs w:val="22"/>
              </w:rPr>
              <w:t>n (%)</w:t>
            </w:r>
          </w:p>
        </w:tc>
        <w:tc>
          <w:tcPr>
            <w:tcW w:w="2835" w:type="dxa"/>
            <w:gridSpan w:val="2"/>
            <w:shd w:val="clear" w:color="auto" w:fill="auto"/>
            <w:vAlign w:val="center"/>
            <w:hideMark/>
          </w:tcPr>
          <w:p w14:paraId="23BEAF28"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lastRenderedPageBreak/>
              <w:t>Alcohol-related liver disease (K70.9)</w:t>
            </w:r>
          </w:p>
        </w:tc>
        <w:tc>
          <w:tcPr>
            <w:tcW w:w="1418" w:type="dxa"/>
            <w:shd w:val="clear" w:color="auto" w:fill="auto"/>
            <w:vAlign w:val="center"/>
            <w:hideMark/>
          </w:tcPr>
          <w:p w14:paraId="655256B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26 (3)</w:t>
            </w:r>
          </w:p>
        </w:tc>
        <w:tc>
          <w:tcPr>
            <w:tcW w:w="1417" w:type="dxa"/>
            <w:shd w:val="clear" w:color="auto" w:fill="auto"/>
            <w:vAlign w:val="center"/>
            <w:hideMark/>
          </w:tcPr>
          <w:p w14:paraId="22D490E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11 (33)</w:t>
            </w:r>
          </w:p>
        </w:tc>
        <w:tc>
          <w:tcPr>
            <w:tcW w:w="1134" w:type="dxa"/>
            <w:shd w:val="clear" w:color="auto" w:fill="auto"/>
            <w:vAlign w:val="center"/>
            <w:hideMark/>
          </w:tcPr>
          <w:p w14:paraId="4FC6D3A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132 (38)</w:t>
            </w:r>
          </w:p>
        </w:tc>
        <w:tc>
          <w:tcPr>
            <w:tcW w:w="992" w:type="dxa"/>
            <w:shd w:val="clear" w:color="auto" w:fill="auto"/>
            <w:vAlign w:val="center"/>
            <w:hideMark/>
          </w:tcPr>
          <w:p w14:paraId="19B2147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169 (13)</w:t>
            </w:r>
          </w:p>
        </w:tc>
      </w:tr>
      <w:tr w:rsidR="00332AB0" w:rsidRPr="00FD4FB7" w14:paraId="7ED3C983" w14:textId="77777777" w:rsidTr="0099535D">
        <w:trPr>
          <w:trHeight w:val="290"/>
        </w:trPr>
        <w:tc>
          <w:tcPr>
            <w:tcW w:w="1271" w:type="dxa"/>
            <w:vMerge/>
            <w:vAlign w:val="center"/>
            <w:hideMark/>
          </w:tcPr>
          <w:p w14:paraId="3CD4FDC7"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521889E4"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Mental and behavioural disorders due to multiple drug use and use of other psychoactive substances (F19)</w:t>
            </w:r>
          </w:p>
        </w:tc>
        <w:tc>
          <w:tcPr>
            <w:tcW w:w="1418" w:type="dxa"/>
            <w:shd w:val="clear" w:color="auto" w:fill="auto"/>
            <w:vAlign w:val="center"/>
            <w:hideMark/>
          </w:tcPr>
          <w:p w14:paraId="126EDE6D"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135 (15)</w:t>
            </w:r>
          </w:p>
        </w:tc>
        <w:tc>
          <w:tcPr>
            <w:tcW w:w="1417" w:type="dxa"/>
            <w:shd w:val="clear" w:color="auto" w:fill="auto"/>
            <w:vAlign w:val="center"/>
            <w:hideMark/>
          </w:tcPr>
          <w:p w14:paraId="4257B2F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10 (30)</w:t>
            </w:r>
          </w:p>
        </w:tc>
        <w:tc>
          <w:tcPr>
            <w:tcW w:w="1134" w:type="dxa"/>
            <w:shd w:val="clear" w:color="auto" w:fill="auto"/>
            <w:vAlign w:val="center"/>
            <w:hideMark/>
          </w:tcPr>
          <w:p w14:paraId="3979B6D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23 (7)</w:t>
            </w:r>
          </w:p>
        </w:tc>
        <w:tc>
          <w:tcPr>
            <w:tcW w:w="992" w:type="dxa"/>
            <w:shd w:val="clear" w:color="auto" w:fill="auto"/>
            <w:vAlign w:val="center"/>
            <w:hideMark/>
          </w:tcPr>
          <w:p w14:paraId="0D688C1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168 (13)</w:t>
            </w:r>
          </w:p>
        </w:tc>
      </w:tr>
      <w:tr w:rsidR="00332AB0" w:rsidRPr="00FD4FB7" w14:paraId="032BE3C0" w14:textId="77777777" w:rsidTr="0099535D">
        <w:trPr>
          <w:trHeight w:val="290"/>
        </w:trPr>
        <w:tc>
          <w:tcPr>
            <w:tcW w:w="1271" w:type="dxa"/>
            <w:vMerge/>
            <w:vAlign w:val="center"/>
            <w:hideMark/>
          </w:tcPr>
          <w:p w14:paraId="1DE6A166"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33CA94CE"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Mental and behavioural disorders due to use of tobacco (F17)</w:t>
            </w:r>
          </w:p>
        </w:tc>
        <w:tc>
          <w:tcPr>
            <w:tcW w:w="1418" w:type="dxa"/>
            <w:shd w:val="clear" w:color="auto" w:fill="auto"/>
            <w:vAlign w:val="center"/>
            <w:hideMark/>
          </w:tcPr>
          <w:p w14:paraId="7DBB790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95 (11)</w:t>
            </w:r>
          </w:p>
        </w:tc>
        <w:tc>
          <w:tcPr>
            <w:tcW w:w="1417" w:type="dxa"/>
            <w:shd w:val="clear" w:color="auto" w:fill="auto"/>
            <w:vAlign w:val="center"/>
            <w:hideMark/>
          </w:tcPr>
          <w:p w14:paraId="1C1DF0D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43ADE52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16 (5)</w:t>
            </w:r>
          </w:p>
        </w:tc>
        <w:tc>
          <w:tcPr>
            <w:tcW w:w="992" w:type="dxa"/>
            <w:shd w:val="clear" w:color="auto" w:fill="auto"/>
            <w:vAlign w:val="center"/>
            <w:hideMark/>
          </w:tcPr>
          <w:p w14:paraId="013C58EB"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111 (9)</w:t>
            </w:r>
          </w:p>
        </w:tc>
      </w:tr>
      <w:tr w:rsidR="00332AB0" w:rsidRPr="00FD4FB7" w14:paraId="53861ED3" w14:textId="77777777" w:rsidTr="0099535D">
        <w:trPr>
          <w:trHeight w:val="77"/>
        </w:trPr>
        <w:tc>
          <w:tcPr>
            <w:tcW w:w="1271" w:type="dxa"/>
            <w:vMerge/>
            <w:vAlign w:val="center"/>
            <w:hideMark/>
          </w:tcPr>
          <w:p w14:paraId="45CCEEF4"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61F7E070"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Mental and behavioural disorders due to use of cannabinoids (F12)</w:t>
            </w:r>
          </w:p>
        </w:tc>
        <w:tc>
          <w:tcPr>
            <w:tcW w:w="1418" w:type="dxa"/>
            <w:shd w:val="clear" w:color="auto" w:fill="auto"/>
            <w:vAlign w:val="center"/>
            <w:hideMark/>
          </w:tcPr>
          <w:p w14:paraId="7D6A197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34 (4)</w:t>
            </w:r>
          </w:p>
        </w:tc>
        <w:tc>
          <w:tcPr>
            <w:tcW w:w="1417" w:type="dxa"/>
            <w:shd w:val="clear" w:color="auto" w:fill="auto"/>
            <w:vAlign w:val="center"/>
            <w:hideMark/>
          </w:tcPr>
          <w:p w14:paraId="6A5F5F2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 (6)</w:t>
            </w:r>
          </w:p>
        </w:tc>
        <w:tc>
          <w:tcPr>
            <w:tcW w:w="1134" w:type="dxa"/>
            <w:shd w:val="clear" w:color="auto" w:fill="auto"/>
            <w:vAlign w:val="center"/>
            <w:hideMark/>
          </w:tcPr>
          <w:p w14:paraId="67D1C66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31 (9)</w:t>
            </w:r>
          </w:p>
        </w:tc>
        <w:tc>
          <w:tcPr>
            <w:tcW w:w="992" w:type="dxa"/>
            <w:shd w:val="clear" w:color="auto" w:fill="auto"/>
            <w:vAlign w:val="center"/>
            <w:hideMark/>
          </w:tcPr>
          <w:p w14:paraId="75B59E4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67 (5)</w:t>
            </w:r>
          </w:p>
        </w:tc>
      </w:tr>
      <w:tr w:rsidR="00332AB0" w:rsidRPr="00FD4FB7" w14:paraId="659F3919" w14:textId="77777777" w:rsidTr="0099535D">
        <w:trPr>
          <w:trHeight w:val="290"/>
        </w:trPr>
        <w:tc>
          <w:tcPr>
            <w:tcW w:w="1271" w:type="dxa"/>
            <w:vMerge/>
            <w:vAlign w:val="center"/>
            <w:hideMark/>
          </w:tcPr>
          <w:p w14:paraId="5B59696E"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102E8691"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Mental and behavioural disorders due to use of opioids (F11)</w:t>
            </w:r>
          </w:p>
        </w:tc>
        <w:tc>
          <w:tcPr>
            <w:tcW w:w="1418" w:type="dxa"/>
            <w:shd w:val="clear" w:color="auto" w:fill="auto"/>
            <w:vAlign w:val="center"/>
            <w:hideMark/>
          </w:tcPr>
          <w:p w14:paraId="63ED27D7"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23 (3)</w:t>
            </w:r>
          </w:p>
        </w:tc>
        <w:tc>
          <w:tcPr>
            <w:tcW w:w="1417" w:type="dxa"/>
            <w:shd w:val="clear" w:color="auto" w:fill="auto"/>
            <w:vAlign w:val="center"/>
            <w:hideMark/>
          </w:tcPr>
          <w:p w14:paraId="1C1E41AB"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 (6)</w:t>
            </w:r>
          </w:p>
        </w:tc>
        <w:tc>
          <w:tcPr>
            <w:tcW w:w="1134" w:type="dxa"/>
            <w:shd w:val="clear" w:color="auto" w:fill="auto"/>
            <w:vAlign w:val="center"/>
            <w:hideMark/>
          </w:tcPr>
          <w:p w14:paraId="4FC9F97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38 (11)</w:t>
            </w:r>
          </w:p>
        </w:tc>
        <w:tc>
          <w:tcPr>
            <w:tcW w:w="992" w:type="dxa"/>
            <w:shd w:val="clear" w:color="auto" w:fill="auto"/>
            <w:vAlign w:val="center"/>
            <w:hideMark/>
          </w:tcPr>
          <w:p w14:paraId="12731FF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63 (5)</w:t>
            </w:r>
          </w:p>
        </w:tc>
      </w:tr>
      <w:tr w:rsidR="00332AB0" w:rsidRPr="00FD4FB7" w14:paraId="6C36E77B" w14:textId="77777777" w:rsidTr="0099535D">
        <w:trPr>
          <w:trHeight w:val="290"/>
        </w:trPr>
        <w:tc>
          <w:tcPr>
            <w:tcW w:w="1271" w:type="dxa"/>
            <w:vMerge/>
            <w:vAlign w:val="center"/>
            <w:hideMark/>
          </w:tcPr>
          <w:p w14:paraId="285E6E84"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49C29026"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Mental and behavioural disorders due to use of cocaine (F14)</w:t>
            </w:r>
          </w:p>
        </w:tc>
        <w:tc>
          <w:tcPr>
            <w:tcW w:w="1418" w:type="dxa"/>
            <w:shd w:val="clear" w:color="auto" w:fill="auto"/>
            <w:vAlign w:val="center"/>
            <w:hideMark/>
          </w:tcPr>
          <w:p w14:paraId="4820E59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26 (3)</w:t>
            </w:r>
          </w:p>
        </w:tc>
        <w:tc>
          <w:tcPr>
            <w:tcW w:w="1417" w:type="dxa"/>
            <w:shd w:val="clear" w:color="auto" w:fill="auto"/>
            <w:vAlign w:val="center"/>
            <w:hideMark/>
          </w:tcPr>
          <w:p w14:paraId="3115696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1D79D5E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24 (7)</w:t>
            </w:r>
          </w:p>
        </w:tc>
        <w:tc>
          <w:tcPr>
            <w:tcW w:w="992" w:type="dxa"/>
            <w:shd w:val="clear" w:color="auto" w:fill="auto"/>
            <w:vAlign w:val="center"/>
            <w:hideMark/>
          </w:tcPr>
          <w:p w14:paraId="660F18C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51 (4)</w:t>
            </w:r>
          </w:p>
        </w:tc>
      </w:tr>
      <w:tr w:rsidR="00332AB0" w:rsidRPr="00FD4FB7" w14:paraId="53A8A386" w14:textId="77777777" w:rsidTr="0099535D">
        <w:trPr>
          <w:trHeight w:val="290"/>
        </w:trPr>
        <w:tc>
          <w:tcPr>
            <w:tcW w:w="1271" w:type="dxa"/>
            <w:vMerge/>
            <w:vAlign w:val="center"/>
            <w:hideMark/>
          </w:tcPr>
          <w:p w14:paraId="115B3B51"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73FF5FF9"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Delirium tremens</w:t>
            </w:r>
          </w:p>
        </w:tc>
        <w:tc>
          <w:tcPr>
            <w:tcW w:w="1418" w:type="dxa"/>
            <w:shd w:val="clear" w:color="auto" w:fill="auto"/>
            <w:vAlign w:val="center"/>
            <w:hideMark/>
          </w:tcPr>
          <w:p w14:paraId="2711D39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13 (1)</w:t>
            </w:r>
          </w:p>
        </w:tc>
        <w:tc>
          <w:tcPr>
            <w:tcW w:w="1417" w:type="dxa"/>
            <w:shd w:val="clear" w:color="auto" w:fill="auto"/>
            <w:vAlign w:val="center"/>
            <w:hideMark/>
          </w:tcPr>
          <w:p w14:paraId="71EEEC5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 (6)</w:t>
            </w:r>
          </w:p>
        </w:tc>
        <w:tc>
          <w:tcPr>
            <w:tcW w:w="1134" w:type="dxa"/>
            <w:shd w:val="clear" w:color="auto" w:fill="auto"/>
            <w:vAlign w:val="center"/>
            <w:hideMark/>
          </w:tcPr>
          <w:p w14:paraId="75EDD76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26 (7)</w:t>
            </w:r>
          </w:p>
        </w:tc>
        <w:tc>
          <w:tcPr>
            <w:tcW w:w="992" w:type="dxa"/>
            <w:shd w:val="clear" w:color="auto" w:fill="auto"/>
            <w:vAlign w:val="center"/>
            <w:hideMark/>
          </w:tcPr>
          <w:p w14:paraId="406DE9A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41 (3)</w:t>
            </w:r>
          </w:p>
        </w:tc>
      </w:tr>
      <w:tr w:rsidR="00332AB0" w:rsidRPr="00FD4FB7" w14:paraId="495DFEFD" w14:textId="77777777" w:rsidTr="0099535D">
        <w:trPr>
          <w:trHeight w:val="290"/>
        </w:trPr>
        <w:tc>
          <w:tcPr>
            <w:tcW w:w="1271" w:type="dxa"/>
            <w:vMerge/>
            <w:vAlign w:val="center"/>
            <w:hideMark/>
          </w:tcPr>
          <w:p w14:paraId="079623F3"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25EDD3B5" w14:textId="6E134D44" w:rsidR="00332AB0" w:rsidRPr="00FD4FB7" w:rsidRDefault="00332AB0" w:rsidP="00830528">
            <w:pPr>
              <w:rPr>
                <w:rFonts w:ascii="Calibri" w:hAnsi="Calibri" w:cs="Calibri"/>
                <w:color w:val="000000"/>
                <w:sz w:val="22"/>
                <w:szCs w:val="22"/>
              </w:rPr>
            </w:pPr>
            <w:r w:rsidRPr="00516FC7">
              <w:rPr>
                <w:rFonts w:ascii="Calibri" w:hAnsi="Calibri" w:cs="Calibri"/>
                <w:color w:val="000000"/>
                <w:sz w:val="22"/>
                <w:szCs w:val="22"/>
              </w:rPr>
              <w:t>Korsako</w:t>
            </w:r>
            <w:r w:rsidR="00A10AE1" w:rsidRPr="00516FC7">
              <w:rPr>
                <w:rFonts w:ascii="Calibri" w:hAnsi="Calibri" w:cs="Calibri"/>
                <w:color w:val="000000"/>
                <w:sz w:val="22"/>
                <w:szCs w:val="22"/>
              </w:rPr>
              <w:t>ff</w:t>
            </w:r>
            <w:r w:rsidRPr="00516FC7">
              <w:rPr>
                <w:rFonts w:ascii="Calibri" w:hAnsi="Calibri" w:cs="Calibri"/>
                <w:color w:val="000000"/>
                <w:sz w:val="22"/>
                <w:szCs w:val="22"/>
              </w:rPr>
              <w:t>'s</w:t>
            </w:r>
            <w:r w:rsidRPr="00FD4FB7">
              <w:rPr>
                <w:rFonts w:ascii="Calibri" w:hAnsi="Calibri" w:cs="Calibri"/>
                <w:color w:val="000000"/>
                <w:sz w:val="22"/>
                <w:szCs w:val="22"/>
              </w:rPr>
              <w:t xml:space="preserve"> syndrome</w:t>
            </w:r>
          </w:p>
        </w:tc>
        <w:tc>
          <w:tcPr>
            <w:tcW w:w="1418" w:type="dxa"/>
            <w:shd w:val="clear" w:color="auto" w:fill="auto"/>
            <w:vAlign w:val="center"/>
            <w:hideMark/>
          </w:tcPr>
          <w:p w14:paraId="2FDF839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9 (1)</w:t>
            </w:r>
          </w:p>
        </w:tc>
        <w:tc>
          <w:tcPr>
            <w:tcW w:w="1417" w:type="dxa"/>
            <w:shd w:val="clear" w:color="auto" w:fill="auto"/>
            <w:vAlign w:val="center"/>
            <w:hideMark/>
          </w:tcPr>
          <w:p w14:paraId="2CC84AF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1AEFC88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26 (7)</w:t>
            </w:r>
          </w:p>
        </w:tc>
        <w:tc>
          <w:tcPr>
            <w:tcW w:w="992" w:type="dxa"/>
            <w:shd w:val="clear" w:color="auto" w:fill="auto"/>
            <w:vAlign w:val="center"/>
            <w:hideMark/>
          </w:tcPr>
          <w:p w14:paraId="7BECE01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35 (3)</w:t>
            </w:r>
          </w:p>
        </w:tc>
      </w:tr>
      <w:tr w:rsidR="00332AB0" w:rsidRPr="00FD4FB7" w14:paraId="606C2389" w14:textId="77777777" w:rsidTr="0099535D">
        <w:trPr>
          <w:trHeight w:val="290"/>
        </w:trPr>
        <w:tc>
          <w:tcPr>
            <w:tcW w:w="1271" w:type="dxa"/>
            <w:vMerge/>
            <w:vAlign w:val="center"/>
            <w:hideMark/>
          </w:tcPr>
          <w:p w14:paraId="360C1CEF"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09BEBB51"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Wernicke's encephalopathy (E51.2)</w:t>
            </w:r>
          </w:p>
        </w:tc>
        <w:tc>
          <w:tcPr>
            <w:tcW w:w="1418" w:type="dxa"/>
            <w:shd w:val="clear" w:color="auto" w:fill="auto"/>
            <w:vAlign w:val="center"/>
            <w:hideMark/>
          </w:tcPr>
          <w:p w14:paraId="7524D8A1"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7 (1)</w:t>
            </w:r>
          </w:p>
        </w:tc>
        <w:tc>
          <w:tcPr>
            <w:tcW w:w="1417" w:type="dxa"/>
            <w:shd w:val="clear" w:color="auto" w:fill="auto"/>
            <w:vAlign w:val="center"/>
            <w:hideMark/>
          </w:tcPr>
          <w:p w14:paraId="2197A04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50EBE2E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27 (8)</w:t>
            </w:r>
          </w:p>
        </w:tc>
        <w:tc>
          <w:tcPr>
            <w:tcW w:w="992" w:type="dxa"/>
            <w:shd w:val="clear" w:color="auto" w:fill="auto"/>
            <w:vAlign w:val="center"/>
            <w:hideMark/>
          </w:tcPr>
          <w:p w14:paraId="046CE3CF"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35 (3)</w:t>
            </w:r>
          </w:p>
        </w:tc>
      </w:tr>
      <w:tr w:rsidR="00332AB0" w:rsidRPr="00FD4FB7" w14:paraId="311B0C0E" w14:textId="77777777" w:rsidTr="0099535D">
        <w:trPr>
          <w:trHeight w:val="290"/>
        </w:trPr>
        <w:tc>
          <w:tcPr>
            <w:tcW w:w="1271" w:type="dxa"/>
            <w:vMerge/>
            <w:vAlign w:val="center"/>
            <w:hideMark/>
          </w:tcPr>
          <w:p w14:paraId="2F9C2679"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147CB26C"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Benzodiazepine dependence (F13.2)</w:t>
            </w:r>
          </w:p>
        </w:tc>
        <w:tc>
          <w:tcPr>
            <w:tcW w:w="1418" w:type="dxa"/>
            <w:shd w:val="clear" w:color="auto" w:fill="auto"/>
            <w:vAlign w:val="center"/>
            <w:hideMark/>
          </w:tcPr>
          <w:p w14:paraId="0ED59122"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8 (1)</w:t>
            </w:r>
          </w:p>
        </w:tc>
        <w:tc>
          <w:tcPr>
            <w:tcW w:w="1417" w:type="dxa"/>
            <w:shd w:val="clear" w:color="auto" w:fill="auto"/>
            <w:vAlign w:val="center"/>
            <w:hideMark/>
          </w:tcPr>
          <w:p w14:paraId="322D8C2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1866CD5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19 (5)</w:t>
            </w:r>
          </w:p>
        </w:tc>
        <w:tc>
          <w:tcPr>
            <w:tcW w:w="992" w:type="dxa"/>
            <w:shd w:val="clear" w:color="auto" w:fill="auto"/>
            <w:vAlign w:val="center"/>
            <w:hideMark/>
          </w:tcPr>
          <w:p w14:paraId="3ADFA71E"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27 (2)</w:t>
            </w:r>
          </w:p>
        </w:tc>
      </w:tr>
      <w:tr w:rsidR="00332AB0" w:rsidRPr="00FD4FB7" w14:paraId="669AC95F" w14:textId="77777777" w:rsidTr="0099535D">
        <w:trPr>
          <w:trHeight w:val="290"/>
        </w:trPr>
        <w:tc>
          <w:tcPr>
            <w:tcW w:w="1271" w:type="dxa"/>
            <w:vMerge w:val="restart"/>
            <w:shd w:val="clear" w:color="auto" w:fill="auto"/>
            <w:vAlign w:val="center"/>
            <w:hideMark/>
          </w:tcPr>
          <w:p w14:paraId="086890C6" w14:textId="77777777" w:rsidR="00332AB0" w:rsidRPr="00FD4FB7" w:rsidRDefault="00332AB0" w:rsidP="00830528">
            <w:pPr>
              <w:rPr>
                <w:rFonts w:ascii="Calibri" w:hAnsi="Calibri" w:cs="Calibri"/>
                <w:b/>
                <w:bCs/>
                <w:color w:val="000000"/>
                <w:sz w:val="22"/>
                <w:szCs w:val="22"/>
              </w:rPr>
            </w:pPr>
            <w:r w:rsidRPr="00FD4FB7">
              <w:rPr>
                <w:rFonts w:ascii="Calibri" w:hAnsi="Calibri" w:cs="Calibri"/>
                <w:b/>
                <w:bCs/>
                <w:color w:val="000000"/>
                <w:sz w:val="22"/>
                <w:szCs w:val="22"/>
              </w:rPr>
              <w:t>Other medical disorders</w:t>
            </w:r>
          </w:p>
          <w:p w14:paraId="75AA4CF9" w14:textId="7CCE2156" w:rsidR="00321B34" w:rsidRPr="00FD4FB7" w:rsidRDefault="00321B34" w:rsidP="00830528">
            <w:pPr>
              <w:rPr>
                <w:rFonts w:ascii="Calibri" w:hAnsi="Calibri" w:cs="Calibri"/>
                <w:color w:val="000000"/>
                <w:sz w:val="22"/>
                <w:szCs w:val="22"/>
              </w:rPr>
            </w:pPr>
            <w:r w:rsidRPr="00516FC7">
              <w:rPr>
                <w:rFonts w:ascii="Calibri" w:hAnsi="Calibri" w:cs="Calibri"/>
                <w:color w:val="000000"/>
                <w:sz w:val="22"/>
                <w:szCs w:val="22"/>
              </w:rPr>
              <w:t>n (%)</w:t>
            </w:r>
          </w:p>
        </w:tc>
        <w:tc>
          <w:tcPr>
            <w:tcW w:w="2835" w:type="dxa"/>
            <w:gridSpan w:val="2"/>
            <w:shd w:val="clear" w:color="auto" w:fill="auto"/>
            <w:vAlign w:val="center"/>
            <w:hideMark/>
          </w:tcPr>
          <w:p w14:paraId="2157EF22"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Epilepsy (G40)</w:t>
            </w:r>
          </w:p>
        </w:tc>
        <w:tc>
          <w:tcPr>
            <w:tcW w:w="1418" w:type="dxa"/>
            <w:shd w:val="clear" w:color="auto" w:fill="auto"/>
            <w:vAlign w:val="center"/>
            <w:hideMark/>
          </w:tcPr>
          <w:p w14:paraId="457DBCCC"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13 (1)</w:t>
            </w:r>
          </w:p>
        </w:tc>
        <w:tc>
          <w:tcPr>
            <w:tcW w:w="1417" w:type="dxa"/>
            <w:shd w:val="clear" w:color="auto" w:fill="auto"/>
            <w:vAlign w:val="center"/>
            <w:hideMark/>
          </w:tcPr>
          <w:p w14:paraId="03C0C8F6"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 (3)</w:t>
            </w:r>
          </w:p>
        </w:tc>
        <w:tc>
          <w:tcPr>
            <w:tcW w:w="1134" w:type="dxa"/>
            <w:shd w:val="clear" w:color="auto" w:fill="auto"/>
            <w:vAlign w:val="center"/>
            <w:hideMark/>
          </w:tcPr>
          <w:p w14:paraId="15EA3998"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3 (1)</w:t>
            </w:r>
          </w:p>
        </w:tc>
        <w:tc>
          <w:tcPr>
            <w:tcW w:w="992" w:type="dxa"/>
            <w:shd w:val="clear" w:color="auto" w:fill="auto"/>
            <w:vAlign w:val="center"/>
            <w:hideMark/>
          </w:tcPr>
          <w:p w14:paraId="55B046D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17 (1)</w:t>
            </w:r>
          </w:p>
        </w:tc>
      </w:tr>
      <w:tr w:rsidR="00332AB0" w:rsidRPr="00FD4FB7" w14:paraId="7360BCC9" w14:textId="77777777" w:rsidTr="0099535D">
        <w:trPr>
          <w:trHeight w:val="290"/>
        </w:trPr>
        <w:tc>
          <w:tcPr>
            <w:tcW w:w="1271" w:type="dxa"/>
            <w:vMerge/>
            <w:vAlign w:val="center"/>
            <w:hideMark/>
          </w:tcPr>
          <w:p w14:paraId="5B2C39D8"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4AB408BB" w14:textId="77777777" w:rsidR="00332AB0" w:rsidRPr="00FD4FB7" w:rsidRDefault="00332AB0" w:rsidP="00830528">
            <w:pPr>
              <w:rPr>
                <w:rFonts w:ascii="Calibri" w:hAnsi="Calibri" w:cs="Calibri"/>
                <w:color w:val="000000"/>
                <w:sz w:val="22"/>
                <w:szCs w:val="22"/>
              </w:rPr>
            </w:pPr>
            <w:r w:rsidRPr="00FD4FB7">
              <w:rPr>
                <w:rFonts w:ascii="Calibri" w:hAnsi="Calibri" w:cs="Calibri"/>
                <w:color w:val="000000"/>
                <w:sz w:val="22"/>
                <w:szCs w:val="22"/>
              </w:rPr>
              <w:t>Sleep disorders (G47)</w:t>
            </w:r>
          </w:p>
        </w:tc>
        <w:tc>
          <w:tcPr>
            <w:tcW w:w="1418" w:type="dxa"/>
            <w:shd w:val="clear" w:color="auto" w:fill="auto"/>
            <w:vAlign w:val="center"/>
            <w:hideMark/>
          </w:tcPr>
          <w:p w14:paraId="77BFD20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 (&lt;1)</w:t>
            </w:r>
          </w:p>
        </w:tc>
        <w:tc>
          <w:tcPr>
            <w:tcW w:w="1417" w:type="dxa"/>
            <w:shd w:val="clear" w:color="auto" w:fill="auto"/>
            <w:vAlign w:val="center"/>
            <w:hideMark/>
          </w:tcPr>
          <w:p w14:paraId="14E996E3"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604E406E"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13 (4)</w:t>
            </w:r>
          </w:p>
        </w:tc>
        <w:tc>
          <w:tcPr>
            <w:tcW w:w="992" w:type="dxa"/>
            <w:shd w:val="clear" w:color="auto" w:fill="auto"/>
            <w:vAlign w:val="center"/>
            <w:hideMark/>
          </w:tcPr>
          <w:p w14:paraId="350A9E1E"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17 (1)</w:t>
            </w:r>
          </w:p>
        </w:tc>
      </w:tr>
      <w:tr w:rsidR="00332AB0" w:rsidRPr="00FD4FB7" w14:paraId="2FA4A169" w14:textId="77777777" w:rsidTr="0099535D">
        <w:trPr>
          <w:trHeight w:val="290"/>
        </w:trPr>
        <w:tc>
          <w:tcPr>
            <w:tcW w:w="1271" w:type="dxa"/>
            <w:vMerge/>
            <w:vAlign w:val="center"/>
            <w:hideMark/>
          </w:tcPr>
          <w:p w14:paraId="61376DB1" w14:textId="77777777" w:rsidR="00332AB0" w:rsidRPr="00FD4FB7" w:rsidRDefault="00332AB0" w:rsidP="00830528">
            <w:pPr>
              <w:rPr>
                <w:rFonts w:ascii="Calibri" w:hAnsi="Calibri" w:cs="Calibri"/>
                <w:color w:val="000000"/>
                <w:sz w:val="22"/>
                <w:szCs w:val="22"/>
              </w:rPr>
            </w:pPr>
          </w:p>
        </w:tc>
        <w:tc>
          <w:tcPr>
            <w:tcW w:w="2835" w:type="dxa"/>
            <w:gridSpan w:val="2"/>
            <w:shd w:val="clear" w:color="auto" w:fill="auto"/>
            <w:vAlign w:val="center"/>
            <w:hideMark/>
          </w:tcPr>
          <w:p w14:paraId="2678171D" w14:textId="77777777" w:rsidR="00332AB0" w:rsidRPr="00FD4FB7" w:rsidRDefault="00332AB0" w:rsidP="00830528">
            <w:pPr>
              <w:ind w:right="-47"/>
              <w:rPr>
                <w:rFonts w:ascii="Calibri" w:hAnsi="Calibri" w:cs="Calibri"/>
                <w:color w:val="000000"/>
                <w:sz w:val="22"/>
                <w:szCs w:val="22"/>
              </w:rPr>
            </w:pPr>
            <w:r w:rsidRPr="00FD4FB7">
              <w:rPr>
                <w:rFonts w:ascii="Calibri" w:hAnsi="Calibri" w:cs="Calibri"/>
                <w:color w:val="000000"/>
                <w:sz w:val="22"/>
                <w:szCs w:val="22"/>
              </w:rPr>
              <w:t>Traumatic brain injury (S06-S07)</w:t>
            </w:r>
          </w:p>
        </w:tc>
        <w:tc>
          <w:tcPr>
            <w:tcW w:w="1418" w:type="dxa"/>
            <w:shd w:val="clear" w:color="auto" w:fill="auto"/>
            <w:vAlign w:val="center"/>
            <w:hideMark/>
          </w:tcPr>
          <w:p w14:paraId="681B7804"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2 (&lt;1)</w:t>
            </w:r>
          </w:p>
        </w:tc>
        <w:tc>
          <w:tcPr>
            <w:tcW w:w="1417" w:type="dxa"/>
            <w:shd w:val="clear" w:color="auto" w:fill="auto"/>
            <w:vAlign w:val="center"/>
            <w:hideMark/>
          </w:tcPr>
          <w:p w14:paraId="00D83269"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w:t>
            </w:r>
          </w:p>
        </w:tc>
        <w:tc>
          <w:tcPr>
            <w:tcW w:w="1134" w:type="dxa"/>
            <w:shd w:val="clear" w:color="auto" w:fill="auto"/>
            <w:vAlign w:val="center"/>
            <w:hideMark/>
          </w:tcPr>
          <w:p w14:paraId="01128A6A"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4 (1)</w:t>
            </w:r>
          </w:p>
        </w:tc>
        <w:tc>
          <w:tcPr>
            <w:tcW w:w="992" w:type="dxa"/>
            <w:shd w:val="clear" w:color="auto" w:fill="auto"/>
            <w:vAlign w:val="center"/>
            <w:hideMark/>
          </w:tcPr>
          <w:p w14:paraId="3F54B4B0" w14:textId="77777777" w:rsidR="00332AB0" w:rsidRPr="00FD4FB7" w:rsidRDefault="00332AB0" w:rsidP="00830528">
            <w:pPr>
              <w:jc w:val="center"/>
              <w:rPr>
                <w:rFonts w:ascii="Calibri" w:hAnsi="Calibri" w:cs="Calibri"/>
                <w:color w:val="000000"/>
                <w:sz w:val="22"/>
                <w:szCs w:val="22"/>
              </w:rPr>
            </w:pPr>
            <w:r w:rsidRPr="00FD4FB7">
              <w:rPr>
                <w:rFonts w:ascii="Calibri" w:hAnsi="Calibri" w:cs="Calibri"/>
                <w:color w:val="000000"/>
                <w:sz w:val="22"/>
                <w:szCs w:val="22"/>
              </w:rPr>
              <w:t>6 (&lt;1)</w:t>
            </w:r>
          </w:p>
        </w:tc>
      </w:tr>
    </w:tbl>
    <w:p w14:paraId="197A8FAC" w14:textId="77777777" w:rsidR="00557322" w:rsidRPr="00FD4FB7" w:rsidRDefault="00557322" w:rsidP="0006108D">
      <w:pPr>
        <w:pStyle w:val="NoSpacing"/>
      </w:pPr>
    </w:p>
    <w:p w14:paraId="4AA8A4BE" w14:textId="77777777" w:rsidR="00557322" w:rsidRPr="00FD4FB7" w:rsidRDefault="00557322" w:rsidP="00BD6DA5">
      <w:pPr>
        <w:spacing w:line="360" w:lineRule="auto"/>
        <w:rPr>
          <w:rFonts w:ascii="Arial" w:hAnsi="Arial" w:cs="Arial"/>
          <w:sz w:val="20"/>
          <w:szCs w:val="20"/>
        </w:rPr>
      </w:pPr>
    </w:p>
    <w:p w14:paraId="2F837913" w14:textId="7D210D15" w:rsidR="00A124A0" w:rsidRPr="00FD4FB7" w:rsidRDefault="00A124A0">
      <w:pPr>
        <w:rPr>
          <w:rFonts w:ascii="Arial" w:hAnsi="Arial" w:cs="Arial"/>
          <w:sz w:val="20"/>
          <w:szCs w:val="20"/>
        </w:rPr>
      </w:pPr>
      <w:r w:rsidRPr="00FD4FB7">
        <w:rPr>
          <w:rFonts w:ascii="Arial" w:hAnsi="Arial" w:cs="Arial"/>
          <w:sz w:val="20"/>
          <w:szCs w:val="20"/>
        </w:rPr>
        <w:br w:type="page"/>
      </w:r>
    </w:p>
    <w:p w14:paraId="46E7F243" w14:textId="0C7943FE" w:rsidR="00A16629" w:rsidRPr="00FD4FB7" w:rsidRDefault="006D2631" w:rsidP="00CE2A33">
      <w:pPr>
        <w:pStyle w:val="NoSpacing"/>
        <w:rPr>
          <w:b/>
          <w:bCs/>
          <w:noProof/>
        </w:rPr>
      </w:pPr>
      <w:r w:rsidRPr="00FD4FB7">
        <w:rPr>
          <w:b/>
          <w:bCs/>
          <w:noProof/>
        </w:rPr>
        <w:lastRenderedPageBreak/>
        <w:t>TABLE 2</w:t>
      </w:r>
      <w:r w:rsidR="00A16629" w:rsidRPr="00FD4FB7">
        <w:rPr>
          <w:b/>
          <w:bCs/>
          <w:noProof/>
        </w:rPr>
        <w:t xml:space="preserve">. Prescription of thiamine </w:t>
      </w:r>
      <w:r w:rsidR="00FD40DA" w:rsidRPr="00FD4FB7">
        <w:rPr>
          <w:b/>
          <w:bCs/>
          <w:noProof/>
        </w:rPr>
        <w:t xml:space="preserve">for patients with and without </w:t>
      </w:r>
      <w:r w:rsidR="00A16629" w:rsidRPr="00FD4FB7">
        <w:rPr>
          <w:b/>
          <w:bCs/>
          <w:noProof/>
        </w:rPr>
        <w:t>specialist care</w:t>
      </w:r>
      <w:r w:rsidR="00FD40DA" w:rsidRPr="00FD4FB7">
        <w:rPr>
          <w:b/>
          <w:bCs/>
          <w:noProof/>
        </w:rPr>
        <w:t xml:space="preserve"> </w:t>
      </w:r>
      <w:r w:rsidR="0069674C" w:rsidRPr="00FD4FB7">
        <w:rPr>
          <w:b/>
          <w:bCs/>
          <w:noProof/>
        </w:rPr>
        <w:t>for</w:t>
      </w:r>
      <w:r w:rsidR="00FD40DA" w:rsidRPr="00FD4FB7">
        <w:rPr>
          <w:b/>
          <w:bCs/>
          <w:noProof/>
        </w:rPr>
        <w:t xml:space="preserve"> alcohol </w:t>
      </w:r>
      <w:r w:rsidR="0016456A" w:rsidRPr="00FD4FB7">
        <w:rPr>
          <w:b/>
          <w:bCs/>
          <w:noProof/>
        </w:rPr>
        <w:t>withdrawal</w:t>
      </w:r>
    </w:p>
    <w:p w14:paraId="23322A1D" w14:textId="77777777" w:rsidR="00CE2A33" w:rsidRPr="00FD4FB7" w:rsidRDefault="00CE2A33" w:rsidP="00CE2A33">
      <w:pPr>
        <w:pStyle w:val="NoSpacing"/>
        <w:rPr>
          <w:noProof/>
        </w:rPr>
      </w:pPr>
    </w:p>
    <w:tbl>
      <w:tblPr>
        <w:tblStyle w:val="TableGrid"/>
        <w:tblW w:w="0" w:type="auto"/>
        <w:tblLayout w:type="fixed"/>
        <w:tblLook w:val="04A0" w:firstRow="1" w:lastRow="0" w:firstColumn="1" w:lastColumn="0" w:noHBand="0" w:noVBand="1"/>
      </w:tblPr>
      <w:tblGrid>
        <w:gridCol w:w="3681"/>
        <w:gridCol w:w="1559"/>
        <w:gridCol w:w="1134"/>
        <w:gridCol w:w="1418"/>
        <w:gridCol w:w="1224"/>
      </w:tblGrid>
      <w:tr w:rsidR="00AD4F0E" w:rsidRPr="00FD4FB7" w14:paraId="28694E49" w14:textId="77777777" w:rsidTr="00CE2A33">
        <w:tc>
          <w:tcPr>
            <w:tcW w:w="3681" w:type="dxa"/>
            <w:vMerge w:val="restart"/>
          </w:tcPr>
          <w:p w14:paraId="290BAA27" w14:textId="77777777" w:rsidR="00AD4F0E" w:rsidRPr="00FD4FB7" w:rsidRDefault="00AD4F0E" w:rsidP="00AD4F0E">
            <w:pPr>
              <w:pStyle w:val="NoSpacing"/>
              <w:rPr>
                <w:rFonts w:cstheme="minorHAnsi"/>
                <w:i/>
                <w:iCs/>
                <w:noProof/>
                <w:sz w:val="24"/>
                <w:szCs w:val="24"/>
                <w:lang w:eastAsia="en-GB"/>
              </w:rPr>
            </w:pPr>
          </w:p>
          <w:p w14:paraId="5F455811" w14:textId="77777777" w:rsidR="00AD4F0E" w:rsidRPr="00FD4FB7" w:rsidRDefault="00AD4F0E" w:rsidP="00AD4F0E">
            <w:pPr>
              <w:pStyle w:val="NoSpacing"/>
              <w:rPr>
                <w:rFonts w:cstheme="minorHAnsi"/>
                <w:i/>
                <w:iCs/>
                <w:noProof/>
                <w:sz w:val="24"/>
                <w:szCs w:val="24"/>
                <w:lang w:eastAsia="en-GB"/>
              </w:rPr>
            </w:pPr>
          </w:p>
          <w:p w14:paraId="5038CD63" w14:textId="77777777" w:rsidR="00ED2FB7" w:rsidRPr="00FD4FB7" w:rsidRDefault="00ED2FB7" w:rsidP="00AD4F0E">
            <w:pPr>
              <w:pStyle w:val="NoSpacing"/>
              <w:rPr>
                <w:rFonts w:cstheme="minorHAnsi"/>
                <w:i/>
                <w:iCs/>
                <w:noProof/>
                <w:sz w:val="24"/>
                <w:szCs w:val="24"/>
                <w:lang w:eastAsia="en-GB"/>
              </w:rPr>
            </w:pPr>
          </w:p>
          <w:p w14:paraId="73777CD8" w14:textId="70643B03" w:rsidR="00AD4F0E" w:rsidRPr="00FD4FB7" w:rsidRDefault="00AD4F0E" w:rsidP="00AD4F0E">
            <w:pPr>
              <w:pStyle w:val="NoSpacing"/>
              <w:rPr>
                <w:rFonts w:cstheme="minorHAnsi"/>
                <w:i/>
                <w:iCs/>
                <w:noProof/>
                <w:sz w:val="24"/>
                <w:szCs w:val="24"/>
                <w:lang w:eastAsia="en-GB"/>
              </w:rPr>
            </w:pPr>
            <w:r w:rsidRPr="00FD4FB7">
              <w:rPr>
                <w:rFonts w:cstheme="minorHAnsi"/>
                <w:i/>
                <w:iCs/>
                <w:noProof/>
                <w:sz w:val="24"/>
                <w:szCs w:val="24"/>
                <w:lang w:eastAsia="en-GB"/>
              </w:rPr>
              <w:t>Prescription of thiamine</w:t>
            </w:r>
          </w:p>
        </w:tc>
        <w:tc>
          <w:tcPr>
            <w:tcW w:w="2693" w:type="dxa"/>
            <w:gridSpan w:val="2"/>
          </w:tcPr>
          <w:p w14:paraId="18262EED" w14:textId="267523C9" w:rsidR="00AD4F0E" w:rsidRPr="00FD4FB7" w:rsidRDefault="00AD4F0E" w:rsidP="00AD4F0E">
            <w:pPr>
              <w:pStyle w:val="NoSpacing"/>
              <w:jc w:val="center"/>
              <w:rPr>
                <w:rFonts w:cstheme="minorHAnsi"/>
                <w:i/>
                <w:iCs/>
                <w:noProof/>
                <w:sz w:val="24"/>
                <w:szCs w:val="24"/>
                <w:lang w:eastAsia="en-GB"/>
              </w:rPr>
            </w:pPr>
            <w:r w:rsidRPr="00FD4FB7">
              <w:rPr>
                <w:rFonts w:cstheme="minorHAnsi"/>
                <w:i/>
                <w:iCs/>
                <w:noProof/>
                <w:sz w:val="24"/>
                <w:szCs w:val="24"/>
                <w:lang w:eastAsia="en-GB"/>
              </w:rPr>
              <w:t>Acute adult services/PICU</w:t>
            </w:r>
            <w:r w:rsidR="00723244" w:rsidRPr="00FD4FB7">
              <w:rPr>
                <w:rFonts w:cstheme="minorHAnsi"/>
                <w:i/>
                <w:iCs/>
                <w:noProof/>
                <w:sz w:val="24"/>
                <w:szCs w:val="24"/>
                <w:lang w:eastAsia="en-GB"/>
              </w:rPr>
              <w:t>s</w:t>
            </w:r>
          </w:p>
        </w:tc>
        <w:tc>
          <w:tcPr>
            <w:tcW w:w="1418" w:type="dxa"/>
            <w:vMerge w:val="restart"/>
          </w:tcPr>
          <w:p w14:paraId="0DB07F25" w14:textId="77777777" w:rsidR="00627557" w:rsidRPr="00FD4FB7" w:rsidRDefault="00627557" w:rsidP="00AD4F0E">
            <w:pPr>
              <w:pStyle w:val="NoSpacing"/>
              <w:jc w:val="center"/>
              <w:rPr>
                <w:rFonts w:cstheme="minorHAnsi"/>
                <w:i/>
                <w:iCs/>
                <w:noProof/>
                <w:sz w:val="24"/>
                <w:szCs w:val="24"/>
                <w:lang w:eastAsia="en-GB"/>
              </w:rPr>
            </w:pPr>
          </w:p>
          <w:p w14:paraId="4BD00890" w14:textId="72276898" w:rsidR="00627557" w:rsidRPr="00FD4FB7" w:rsidRDefault="00AD4F0E" w:rsidP="00CE2A33">
            <w:pPr>
              <w:pStyle w:val="NoSpacing"/>
              <w:jc w:val="center"/>
              <w:rPr>
                <w:rFonts w:cstheme="minorHAnsi"/>
                <w:i/>
                <w:iCs/>
                <w:noProof/>
                <w:sz w:val="24"/>
                <w:szCs w:val="24"/>
                <w:lang w:eastAsia="en-GB"/>
              </w:rPr>
            </w:pPr>
            <w:r w:rsidRPr="00FD4FB7">
              <w:rPr>
                <w:rFonts w:cstheme="minorHAnsi"/>
                <w:i/>
                <w:iCs/>
                <w:noProof/>
                <w:sz w:val="24"/>
                <w:szCs w:val="24"/>
                <w:lang w:eastAsia="en-GB"/>
              </w:rPr>
              <w:t>Specialist alcohol units</w:t>
            </w:r>
          </w:p>
          <w:p w14:paraId="0BE2FB4A" w14:textId="2773750E" w:rsidR="00627557" w:rsidRPr="00FD4FB7" w:rsidRDefault="00627557" w:rsidP="00AD4F0E">
            <w:pPr>
              <w:pStyle w:val="NoSpacing"/>
              <w:jc w:val="center"/>
              <w:rPr>
                <w:rFonts w:cstheme="minorHAnsi"/>
                <w:i/>
                <w:iCs/>
                <w:noProof/>
                <w:sz w:val="24"/>
                <w:szCs w:val="24"/>
                <w:lang w:eastAsia="en-GB"/>
              </w:rPr>
            </w:pPr>
            <w:r w:rsidRPr="00FD4FB7">
              <w:rPr>
                <w:rFonts w:cstheme="minorHAnsi"/>
                <w:i/>
                <w:iCs/>
                <w:noProof/>
                <w:sz w:val="24"/>
                <w:szCs w:val="24"/>
                <w:lang w:eastAsia="en-GB"/>
              </w:rPr>
              <w:t>N=347</w:t>
            </w:r>
          </w:p>
        </w:tc>
        <w:tc>
          <w:tcPr>
            <w:tcW w:w="1224" w:type="dxa"/>
            <w:vMerge w:val="restart"/>
          </w:tcPr>
          <w:p w14:paraId="26284416" w14:textId="77777777" w:rsidR="00627557" w:rsidRPr="00FD4FB7" w:rsidRDefault="00627557" w:rsidP="00211B8E">
            <w:pPr>
              <w:pStyle w:val="NoSpacing"/>
              <w:rPr>
                <w:rFonts w:cstheme="minorHAnsi"/>
                <w:i/>
                <w:iCs/>
                <w:noProof/>
                <w:sz w:val="24"/>
                <w:szCs w:val="24"/>
                <w:lang w:eastAsia="en-GB"/>
              </w:rPr>
            </w:pPr>
          </w:p>
          <w:p w14:paraId="3F4E6997" w14:textId="77777777" w:rsidR="00AD4F0E" w:rsidRPr="00FD4FB7" w:rsidRDefault="00AD4F0E" w:rsidP="00AD4F0E">
            <w:pPr>
              <w:pStyle w:val="NoSpacing"/>
              <w:jc w:val="center"/>
              <w:rPr>
                <w:rFonts w:cstheme="minorHAnsi"/>
                <w:i/>
                <w:iCs/>
                <w:noProof/>
                <w:sz w:val="24"/>
                <w:szCs w:val="24"/>
                <w:lang w:eastAsia="en-GB"/>
              </w:rPr>
            </w:pPr>
            <w:r w:rsidRPr="00FD4FB7">
              <w:rPr>
                <w:rFonts w:cstheme="minorHAnsi"/>
                <w:i/>
                <w:iCs/>
                <w:noProof/>
                <w:sz w:val="24"/>
                <w:szCs w:val="24"/>
                <w:lang w:eastAsia="en-GB"/>
              </w:rPr>
              <w:t>Total national sample</w:t>
            </w:r>
          </w:p>
          <w:p w14:paraId="1DCEFA69" w14:textId="69C08B14" w:rsidR="00627557" w:rsidRPr="00FD4FB7" w:rsidRDefault="00627557" w:rsidP="00AD4F0E">
            <w:pPr>
              <w:pStyle w:val="NoSpacing"/>
              <w:jc w:val="center"/>
              <w:rPr>
                <w:rFonts w:cstheme="minorHAnsi"/>
                <w:i/>
                <w:iCs/>
                <w:noProof/>
                <w:sz w:val="24"/>
                <w:szCs w:val="24"/>
                <w:lang w:eastAsia="en-GB"/>
              </w:rPr>
            </w:pPr>
            <w:r w:rsidRPr="00FD4FB7">
              <w:rPr>
                <w:rFonts w:cstheme="minorHAnsi"/>
                <w:i/>
                <w:iCs/>
                <w:noProof/>
                <w:sz w:val="24"/>
                <w:szCs w:val="24"/>
                <w:lang w:eastAsia="en-GB"/>
              </w:rPr>
              <w:t>N=1,255</w:t>
            </w:r>
          </w:p>
        </w:tc>
      </w:tr>
      <w:tr w:rsidR="00AD4F0E" w:rsidRPr="00FD4FB7" w14:paraId="73CB1E7C" w14:textId="77777777" w:rsidTr="00CE2A33">
        <w:trPr>
          <w:trHeight w:val="1002"/>
        </w:trPr>
        <w:tc>
          <w:tcPr>
            <w:tcW w:w="3681" w:type="dxa"/>
            <w:vMerge/>
          </w:tcPr>
          <w:p w14:paraId="00811D90" w14:textId="739BD5DC" w:rsidR="00AD4F0E" w:rsidRPr="00FD4FB7" w:rsidRDefault="00AD4F0E" w:rsidP="00AD4F0E">
            <w:pPr>
              <w:pStyle w:val="NoSpacing"/>
              <w:jc w:val="center"/>
              <w:rPr>
                <w:rFonts w:cstheme="minorHAnsi"/>
                <w:noProof/>
                <w:sz w:val="24"/>
                <w:szCs w:val="24"/>
                <w:lang w:eastAsia="en-GB"/>
              </w:rPr>
            </w:pPr>
          </w:p>
        </w:tc>
        <w:tc>
          <w:tcPr>
            <w:tcW w:w="1559" w:type="dxa"/>
          </w:tcPr>
          <w:p w14:paraId="3808A0C5" w14:textId="3808DA56" w:rsidR="00AD4F0E" w:rsidRPr="00FD4FB7" w:rsidRDefault="00AD4F0E" w:rsidP="00AD4F0E">
            <w:pPr>
              <w:pStyle w:val="NoSpacing"/>
              <w:jc w:val="center"/>
              <w:rPr>
                <w:rFonts w:cstheme="minorHAnsi"/>
                <w:i/>
                <w:iCs/>
                <w:noProof/>
                <w:sz w:val="24"/>
                <w:szCs w:val="24"/>
                <w:lang w:eastAsia="en-GB"/>
              </w:rPr>
            </w:pPr>
            <w:r w:rsidRPr="00FD4FB7">
              <w:rPr>
                <w:rFonts w:cstheme="minorHAnsi"/>
                <w:i/>
                <w:iCs/>
                <w:noProof/>
                <w:sz w:val="24"/>
                <w:szCs w:val="24"/>
                <w:lang w:eastAsia="en-GB"/>
              </w:rPr>
              <w:t>N</w:t>
            </w:r>
            <w:r w:rsidR="006E433D" w:rsidRPr="00FD4FB7">
              <w:rPr>
                <w:rFonts w:cstheme="minorHAnsi"/>
                <w:i/>
                <w:iCs/>
                <w:noProof/>
                <w:sz w:val="24"/>
                <w:szCs w:val="24"/>
                <w:lang w:eastAsia="en-GB"/>
              </w:rPr>
              <w:t xml:space="preserve">o </w:t>
            </w:r>
            <w:r w:rsidRPr="00FD4FB7">
              <w:rPr>
                <w:rFonts w:cstheme="minorHAnsi"/>
                <w:i/>
                <w:iCs/>
                <w:noProof/>
                <w:sz w:val="24"/>
                <w:szCs w:val="24"/>
                <w:lang w:eastAsia="en-GB"/>
              </w:rPr>
              <w:t>specialist care</w:t>
            </w:r>
          </w:p>
          <w:p w14:paraId="7457D462" w14:textId="0C334960" w:rsidR="00627557" w:rsidRPr="00FD4FB7" w:rsidRDefault="00627557" w:rsidP="00AD4F0E">
            <w:pPr>
              <w:pStyle w:val="NoSpacing"/>
              <w:jc w:val="center"/>
              <w:rPr>
                <w:rFonts w:cstheme="minorHAnsi"/>
                <w:i/>
                <w:iCs/>
                <w:noProof/>
                <w:sz w:val="24"/>
                <w:szCs w:val="24"/>
                <w:lang w:eastAsia="en-GB"/>
              </w:rPr>
            </w:pPr>
            <w:r w:rsidRPr="00FD4FB7">
              <w:rPr>
                <w:rFonts w:cstheme="minorHAnsi"/>
                <w:i/>
                <w:iCs/>
                <w:noProof/>
                <w:sz w:val="24"/>
                <w:szCs w:val="24"/>
                <w:lang w:eastAsia="en-GB"/>
              </w:rPr>
              <w:t>N=875</w:t>
            </w:r>
          </w:p>
        </w:tc>
        <w:tc>
          <w:tcPr>
            <w:tcW w:w="1134" w:type="dxa"/>
          </w:tcPr>
          <w:p w14:paraId="31A0259F" w14:textId="4AF7B85D" w:rsidR="00627557" w:rsidRPr="00FD4FB7" w:rsidRDefault="00AD4F0E" w:rsidP="006E433D">
            <w:pPr>
              <w:pStyle w:val="NoSpacing"/>
              <w:jc w:val="center"/>
              <w:rPr>
                <w:rFonts w:cstheme="minorHAnsi"/>
                <w:i/>
                <w:iCs/>
                <w:noProof/>
                <w:sz w:val="24"/>
                <w:szCs w:val="24"/>
                <w:lang w:eastAsia="en-GB"/>
              </w:rPr>
            </w:pPr>
            <w:r w:rsidRPr="00FD4FB7">
              <w:rPr>
                <w:rFonts w:cstheme="minorHAnsi"/>
                <w:i/>
                <w:iCs/>
                <w:noProof/>
                <w:sz w:val="24"/>
                <w:szCs w:val="24"/>
                <w:lang w:eastAsia="en-GB"/>
              </w:rPr>
              <w:t>Specialist care</w:t>
            </w:r>
          </w:p>
          <w:p w14:paraId="687BA0D9" w14:textId="0297CD4B" w:rsidR="00627557" w:rsidRPr="00FD4FB7" w:rsidRDefault="00627557" w:rsidP="00AD4F0E">
            <w:pPr>
              <w:pStyle w:val="NoSpacing"/>
              <w:jc w:val="center"/>
              <w:rPr>
                <w:rFonts w:cstheme="minorHAnsi"/>
                <w:i/>
                <w:iCs/>
                <w:noProof/>
                <w:sz w:val="24"/>
                <w:szCs w:val="24"/>
                <w:lang w:eastAsia="en-GB"/>
              </w:rPr>
            </w:pPr>
            <w:r w:rsidRPr="00FD4FB7">
              <w:rPr>
                <w:rFonts w:cstheme="minorHAnsi"/>
                <w:i/>
                <w:iCs/>
                <w:noProof/>
                <w:sz w:val="24"/>
                <w:szCs w:val="24"/>
                <w:lang w:eastAsia="en-GB"/>
              </w:rPr>
              <w:t>N=33</w:t>
            </w:r>
          </w:p>
        </w:tc>
        <w:tc>
          <w:tcPr>
            <w:tcW w:w="1418" w:type="dxa"/>
            <w:vMerge/>
          </w:tcPr>
          <w:p w14:paraId="69D683C4" w14:textId="3FBA6A9A" w:rsidR="00AD4F0E" w:rsidRPr="00FD4FB7" w:rsidRDefault="00AD4F0E" w:rsidP="00AD4F0E">
            <w:pPr>
              <w:pStyle w:val="NoSpacing"/>
              <w:jc w:val="center"/>
              <w:rPr>
                <w:rFonts w:cstheme="minorHAnsi"/>
                <w:noProof/>
                <w:sz w:val="24"/>
                <w:szCs w:val="24"/>
                <w:lang w:eastAsia="en-GB"/>
              </w:rPr>
            </w:pPr>
          </w:p>
        </w:tc>
        <w:tc>
          <w:tcPr>
            <w:tcW w:w="1224" w:type="dxa"/>
            <w:vMerge/>
          </w:tcPr>
          <w:p w14:paraId="6589D55C" w14:textId="426E25C0" w:rsidR="00AD4F0E" w:rsidRPr="00FD4FB7" w:rsidRDefault="00AD4F0E" w:rsidP="00AD4F0E">
            <w:pPr>
              <w:pStyle w:val="NoSpacing"/>
              <w:jc w:val="center"/>
              <w:rPr>
                <w:rFonts w:cstheme="minorHAnsi"/>
                <w:noProof/>
                <w:sz w:val="24"/>
                <w:szCs w:val="24"/>
                <w:lang w:eastAsia="en-GB"/>
              </w:rPr>
            </w:pPr>
          </w:p>
        </w:tc>
      </w:tr>
      <w:tr w:rsidR="00941EB0" w:rsidRPr="00FD4FB7" w14:paraId="4F4A98D9" w14:textId="77777777" w:rsidTr="00CE2A33">
        <w:tc>
          <w:tcPr>
            <w:tcW w:w="3681" w:type="dxa"/>
          </w:tcPr>
          <w:p w14:paraId="525D62BF" w14:textId="2529C140" w:rsidR="00AD4F0E" w:rsidRPr="00FD4FB7" w:rsidRDefault="00AD4F0E" w:rsidP="00BD6DA5">
            <w:pPr>
              <w:spacing w:line="360" w:lineRule="auto"/>
              <w:rPr>
                <w:rFonts w:asciiTheme="minorHAnsi" w:hAnsiTheme="minorHAnsi" w:cstheme="minorHAnsi"/>
                <w:b/>
                <w:bCs/>
                <w:noProof/>
              </w:rPr>
            </w:pPr>
            <w:r w:rsidRPr="00FD4FB7">
              <w:rPr>
                <w:rFonts w:asciiTheme="minorHAnsi" w:hAnsiTheme="minorHAnsi" w:cstheme="minorHAnsi"/>
                <w:b/>
                <w:bCs/>
                <w:noProof/>
              </w:rPr>
              <w:t>Parenteral</w:t>
            </w:r>
            <w:r w:rsidR="00A10AE1" w:rsidRPr="00FD4FB7">
              <w:rPr>
                <w:rFonts w:asciiTheme="minorHAnsi" w:hAnsiTheme="minorHAnsi" w:cstheme="minorHAnsi"/>
                <w:b/>
                <w:bCs/>
                <w:noProof/>
              </w:rPr>
              <w:t xml:space="preserve">  </w:t>
            </w:r>
            <w:r w:rsidR="00A10AE1" w:rsidRPr="00516FC7">
              <w:rPr>
                <w:rFonts w:asciiTheme="minorHAnsi" w:hAnsiTheme="minorHAnsi" w:cstheme="minorHAnsi"/>
                <w:noProof/>
              </w:rPr>
              <w:t>n (%)</w:t>
            </w:r>
          </w:p>
        </w:tc>
        <w:tc>
          <w:tcPr>
            <w:tcW w:w="1559" w:type="dxa"/>
          </w:tcPr>
          <w:p w14:paraId="63A22236" w14:textId="77777777" w:rsidR="00AD4F0E" w:rsidRPr="00FD4FB7" w:rsidRDefault="00AD4F0E" w:rsidP="00627557">
            <w:pPr>
              <w:spacing w:line="360" w:lineRule="auto"/>
              <w:jc w:val="center"/>
              <w:rPr>
                <w:rFonts w:asciiTheme="minorHAnsi" w:hAnsiTheme="minorHAnsi" w:cstheme="minorHAnsi"/>
                <w:noProof/>
              </w:rPr>
            </w:pPr>
          </w:p>
        </w:tc>
        <w:tc>
          <w:tcPr>
            <w:tcW w:w="1134" w:type="dxa"/>
          </w:tcPr>
          <w:p w14:paraId="5E074FE0" w14:textId="77777777" w:rsidR="00AD4F0E" w:rsidRPr="00FD4FB7" w:rsidRDefault="00AD4F0E" w:rsidP="00BD6DA5">
            <w:pPr>
              <w:spacing w:line="360" w:lineRule="auto"/>
              <w:rPr>
                <w:rFonts w:asciiTheme="minorHAnsi" w:hAnsiTheme="minorHAnsi" w:cstheme="minorHAnsi"/>
                <w:noProof/>
              </w:rPr>
            </w:pPr>
          </w:p>
        </w:tc>
        <w:tc>
          <w:tcPr>
            <w:tcW w:w="1418" w:type="dxa"/>
          </w:tcPr>
          <w:p w14:paraId="5990318B" w14:textId="77777777" w:rsidR="00AD4F0E" w:rsidRPr="00FD4FB7" w:rsidRDefault="00AD4F0E" w:rsidP="00627557">
            <w:pPr>
              <w:spacing w:line="360" w:lineRule="auto"/>
              <w:jc w:val="center"/>
              <w:rPr>
                <w:rFonts w:asciiTheme="minorHAnsi" w:hAnsiTheme="minorHAnsi" w:cstheme="minorHAnsi"/>
                <w:noProof/>
              </w:rPr>
            </w:pPr>
          </w:p>
        </w:tc>
        <w:tc>
          <w:tcPr>
            <w:tcW w:w="1224" w:type="dxa"/>
          </w:tcPr>
          <w:p w14:paraId="0BC9944A" w14:textId="77777777" w:rsidR="00AD4F0E" w:rsidRPr="00FD4FB7" w:rsidRDefault="00AD4F0E" w:rsidP="00BD6DA5">
            <w:pPr>
              <w:spacing w:line="360" w:lineRule="auto"/>
              <w:rPr>
                <w:rFonts w:asciiTheme="minorHAnsi" w:hAnsiTheme="minorHAnsi" w:cstheme="minorHAnsi"/>
                <w:noProof/>
              </w:rPr>
            </w:pPr>
          </w:p>
        </w:tc>
      </w:tr>
      <w:tr w:rsidR="00941EB0" w:rsidRPr="00FD4FB7" w14:paraId="047D7EF4" w14:textId="77777777" w:rsidTr="00CE2A33">
        <w:tc>
          <w:tcPr>
            <w:tcW w:w="3681" w:type="dxa"/>
          </w:tcPr>
          <w:p w14:paraId="7BD69EFC" w14:textId="62105C1C" w:rsidR="00AD4F0E" w:rsidRPr="00FD4FB7" w:rsidRDefault="00627557" w:rsidP="00BD6DA5">
            <w:pPr>
              <w:spacing w:line="360" w:lineRule="auto"/>
              <w:rPr>
                <w:rFonts w:asciiTheme="minorHAnsi" w:hAnsiTheme="minorHAnsi" w:cstheme="minorHAnsi"/>
                <w:noProof/>
              </w:rPr>
            </w:pPr>
            <w:r w:rsidRPr="00FD4FB7">
              <w:rPr>
                <w:rFonts w:asciiTheme="minorHAnsi" w:hAnsiTheme="minorHAnsi" w:cstheme="minorHAnsi"/>
                <w:noProof/>
              </w:rPr>
              <w:t xml:space="preserve">      </w:t>
            </w:r>
            <w:r w:rsidR="00AD4F0E" w:rsidRPr="00FD4FB7">
              <w:rPr>
                <w:rFonts w:asciiTheme="minorHAnsi" w:hAnsiTheme="minorHAnsi" w:cstheme="minorHAnsi"/>
                <w:noProof/>
              </w:rPr>
              <w:t>IM followed by oral</w:t>
            </w:r>
          </w:p>
        </w:tc>
        <w:tc>
          <w:tcPr>
            <w:tcW w:w="1559" w:type="dxa"/>
          </w:tcPr>
          <w:p w14:paraId="739E27CC" w14:textId="68325F55"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282 (32%)</w:t>
            </w:r>
          </w:p>
        </w:tc>
        <w:tc>
          <w:tcPr>
            <w:tcW w:w="1134" w:type="dxa"/>
          </w:tcPr>
          <w:p w14:paraId="1569BFDD" w14:textId="1FA6D0AC"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26 (79%)</w:t>
            </w:r>
          </w:p>
        </w:tc>
        <w:tc>
          <w:tcPr>
            <w:tcW w:w="1418" w:type="dxa"/>
          </w:tcPr>
          <w:p w14:paraId="14F2336A" w14:textId="34429D8F"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246 (71%)</w:t>
            </w:r>
          </w:p>
        </w:tc>
        <w:tc>
          <w:tcPr>
            <w:tcW w:w="1224" w:type="dxa"/>
          </w:tcPr>
          <w:p w14:paraId="2AAB30D7" w14:textId="66631F83"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554 (44%)</w:t>
            </w:r>
          </w:p>
        </w:tc>
      </w:tr>
      <w:tr w:rsidR="00AD4F0E" w:rsidRPr="00FD4FB7" w14:paraId="46551462" w14:textId="77777777" w:rsidTr="00CE2A33">
        <w:tc>
          <w:tcPr>
            <w:tcW w:w="3681" w:type="dxa"/>
          </w:tcPr>
          <w:p w14:paraId="50AF58F7" w14:textId="082CE5EC" w:rsidR="00AD4F0E" w:rsidRPr="00FD4FB7" w:rsidRDefault="00627557" w:rsidP="00BD6DA5">
            <w:pPr>
              <w:spacing w:line="360" w:lineRule="auto"/>
              <w:rPr>
                <w:rFonts w:asciiTheme="minorHAnsi" w:hAnsiTheme="minorHAnsi" w:cstheme="minorHAnsi"/>
                <w:noProof/>
              </w:rPr>
            </w:pPr>
            <w:r w:rsidRPr="00FD4FB7">
              <w:rPr>
                <w:rFonts w:asciiTheme="minorHAnsi" w:hAnsiTheme="minorHAnsi" w:cstheme="minorHAnsi"/>
                <w:noProof/>
              </w:rPr>
              <w:t xml:space="preserve">      </w:t>
            </w:r>
            <w:r w:rsidR="00AD4F0E" w:rsidRPr="00FD4FB7">
              <w:rPr>
                <w:rFonts w:asciiTheme="minorHAnsi" w:hAnsiTheme="minorHAnsi" w:cstheme="minorHAnsi"/>
                <w:noProof/>
              </w:rPr>
              <w:t>IM only</w:t>
            </w:r>
          </w:p>
        </w:tc>
        <w:tc>
          <w:tcPr>
            <w:tcW w:w="1559" w:type="dxa"/>
          </w:tcPr>
          <w:p w14:paraId="71F4E54D" w14:textId="64C8C731"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63 (7%)</w:t>
            </w:r>
          </w:p>
        </w:tc>
        <w:tc>
          <w:tcPr>
            <w:tcW w:w="1134" w:type="dxa"/>
          </w:tcPr>
          <w:p w14:paraId="5B0DB88D" w14:textId="5DA00B88"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w:t>
            </w:r>
          </w:p>
        </w:tc>
        <w:tc>
          <w:tcPr>
            <w:tcW w:w="1418" w:type="dxa"/>
          </w:tcPr>
          <w:p w14:paraId="386DE38C" w14:textId="036E71B2"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6 (2%)</w:t>
            </w:r>
          </w:p>
        </w:tc>
        <w:tc>
          <w:tcPr>
            <w:tcW w:w="1224" w:type="dxa"/>
          </w:tcPr>
          <w:p w14:paraId="6ABF4208" w14:textId="33EDD4DE"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69 (5%)</w:t>
            </w:r>
          </w:p>
        </w:tc>
      </w:tr>
      <w:tr w:rsidR="00AD4F0E" w:rsidRPr="00FD4FB7" w14:paraId="17A22271" w14:textId="77777777" w:rsidTr="00CE2A33">
        <w:tc>
          <w:tcPr>
            <w:tcW w:w="3681" w:type="dxa"/>
          </w:tcPr>
          <w:p w14:paraId="322730AA" w14:textId="5C0CDD72" w:rsidR="00AD4F0E" w:rsidRPr="00FD4FB7" w:rsidRDefault="00627557" w:rsidP="00BD6DA5">
            <w:pPr>
              <w:spacing w:line="360" w:lineRule="auto"/>
              <w:rPr>
                <w:rFonts w:asciiTheme="minorHAnsi" w:hAnsiTheme="minorHAnsi" w:cstheme="minorHAnsi"/>
                <w:noProof/>
              </w:rPr>
            </w:pPr>
            <w:r w:rsidRPr="00FD4FB7">
              <w:rPr>
                <w:rFonts w:asciiTheme="minorHAnsi" w:hAnsiTheme="minorHAnsi" w:cstheme="minorHAnsi"/>
                <w:noProof/>
              </w:rPr>
              <w:t xml:space="preserve">      </w:t>
            </w:r>
            <w:r w:rsidR="00AD4F0E" w:rsidRPr="00FD4FB7">
              <w:rPr>
                <w:rFonts w:asciiTheme="minorHAnsi" w:hAnsiTheme="minorHAnsi" w:cstheme="minorHAnsi"/>
                <w:noProof/>
              </w:rPr>
              <w:t>IV followed by oral</w:t>
            </w:r>
          </w:p>
        </w:tc>
        <w:tc>
          <w:tcPr>
            <w:tcW w:w="1559" w:type="dxa"/>
          </w:tcPr>
          <w:p w14:paraId="2482A687" w14:textId="567468BF"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9 (1%)</w:t>
            </w:r>
          </w:p>
        </w:tc>
        <w:tc>
          <w:tcPr>
            <w:tcW w:w="1134" w:type="dxa"/>
          </w:tcPr>
          <w:p w14:paraId="433B486F" w14:textId="5FE75152" w:rsidR="00AD4F0E" w:rsidRPr="00FD4FB7" w:rsidRDefault="00627557" w:rsidP="005A3028">
            <w:pPr>
              <w:spacing w:line="360" w:lineRule="auto"/>
              <w:jc w:val="center"/>
              <w:rPr>
                <w:rFonts w:asciiTheme="minorHAnsi" w:hAnsiTheme="minorHAnsi" w:cstheme="minorHAnsi"/>
                <w:noProof/>
              </w:rPr>
            </w:pPr>
            <w:r w:rsidRPr="00FD4FB7">
              <w:rPr>
                <w:rFonts w:asciiTheme="minorHAnsi" w:hAnsiTheme="minorHAnsi" w:cstheme="minorHAnsi"/>
                <w:noProof/>
              </w:rPr>
              <w:t>-</w:t>
            </w:r>
          </w:p>
        </w:tc>
        <w:tc>
          <w:tcPr>
            <w:tcW w:w="1418" w:type="dxa"/>
          </w:tcPr>
          <w:p w14:paraId="5456976D" w14:textId="45C17DF9" w:rsidR="00AD4F0E" w:rsidRPr="00FD4FB7" w:rsidRDefault="00627557" w:rsidP="00627557">
            <w:pPr>
              <w:spacing w:line="360" w:lineRule="auto"/>
              <w:jc w:val="center"/>
              <w:rPr>
                <w:rFonts w:asciiTheme="minorHAnsi" w:hAnsiTheme="minorHAnsi" w:cstheme="minorHAnsi"/>
                <w:noProof/>
              </w:rPr>
            </w:pPr>
            <w:r w:rsidRPr="00FD4FB7">
              <w:rPr>
                <w:rFonts w:asciiTheme="minorHAnsi" w:hAnsiTheme="minorHAnsi" w:cstheme="minorHAnsi"/>
                <w:noProof/>
              </w:rPr>
              <w:t>43 (12%)</w:t>
            </w:r>
          </w:p>
        </w:tc>
        <w:tc>
          <w:tcPr>
            <w:tcW w:w="1224" w:type="dxa"/>
          </w:tcPr>
          <w:p w14:paraId="18FC06EB" w14:textId="16192CB3" w:rsidR="00AD4F0E" w:rsidRPr="00FD4FB7" w:rsidRDefault="00627557" w:rsidP="005A3028">
            <w:pPr>
              <w:spacing w:line="360" w:lineRule="auto"/>
              <w:jc w:val="center"/>
              <w:rPr>
                <w:rFonts w:asciiTheme="minorHAnsi" w:hAnsiTheme="minorHAnsi" w:cstheme="minorHAnsi"/>
                <w:noProof/>
              </w:rPr>
            </w:pPr>
            <w:r w:rsidRPr="00FD4FB7">
              <w:rPr>
                <w:rFonts w:asciiTheme="minorHAnsi" w:hAnsiTheme="minorHAnsi" w:cstheme="minorHAnsi"/>
                <w:noProof/>
              </w:rPr>
              <w:t>52 (4%)</w:t>
            </w:r>
          </w:p>
        </w:tc>
      </w:tr>
      <w:tr w:rsidR="00941EB0" w:rsidRPr="00FD4FB7" w14:paraId="352552B3" w14:textId="77777777" w:rsidTr="00CE2A33">
        <w:tc>
          <w:tcPr>
            <w:tcW w:w="3681" w:type="dxa"/>
          </w:tcPr>
          <w:p w14:paraId="5D7BF7C2" w14:textId="72D2D23E" w:rsidR="00AD4F0E" w:rsidRPr="00FD4FB7" w:rsidRDefault="00627557" w:rsidP="00BD6DA5">
            <w:pPr>
              <w:spacing w:line="360" w:lineRule="auto"/>
              <w:rPr>
                <w:rFonts w:asciiTheme="minorHAnsi" w:hAnsiTheme="minorHAnsi" w:cstheme="minorHAnsi"/>
                <w:noProof/>
              </w:rPr>
            </w:pPr>
            <w:r w:rsidRPr="00FD4FB7">
              <w:rPr>
                <w:rFonts w:asciiTheme="minorHAnsi" w:hAnsiTheme="minorHAnsi" w:cstheme="minorHAnsi"/>
                <w:noProof/>
              </w:rPr>
              <w:t xml:space="preserve">      </w:t>
            </w:r>
            <w:r w:rsidR="00AD4F0E" w:rsidRPr="00FD4FB7">
              <w:rPr>
                <w:rFonts w:asciiTheme="minorHAnsi" w:hAnsiTheme="minorHAnsi" w:cstheme="minorHAnsi"/>
                <w:noProof/>
              </w:rPr>
              <w:t>IV only</w:t>
            </w:r>
          </w:p>
        </w:tc>
        <w:tc>
          <w:tcPr>
            <w:tcW w:w="1559" w:type="dxa"/>
          </w:tcPr>
          <w:p w14:paraId="77DCB241" w14:textId="73235E77" w:rsidR="00AD4F0E" w:rsidRPr="00FD4FB7" w:rsidRDefault="00627557" w:rsidP="005A3028">
            <w:pPr>
              <w:spacing w:line="360" w:lineRule="auto"/>
              <w:jc w:val="center"/>
              <w:rPr>
                <w:rFonts w:asciiTheme="minorHAnsi" w:hAnsiTheme="minorHAnsi" w:cstheme="minorHAnsi"/>
                <w:noProof/>
              </w:rPr>
            </w:pPr>
            <w:r w:rsidRPr="00FD4FB7">
              <w:rPr>
                <w:rFonts w:asciiTheme="minorHAnsi" w:hAnsiTheme="minorHAnsi" w:cstheme="minorHAnsi"/>
                <w:noProof/>
              </w:rPr>
              <w:t>7 (1%)</w:t>
            </w:r>
          </w:p>
        </w:tc>
        <w:tc>
          <w:tcPr>
            <w:tcW w:w="1134" w:type="dxa"/>
          </w:tcPr>
          <w:p w14:paraId="68AF4D37" w14:textId="4827ACBA" w:rsidR="00AD4F0E" w:rsidRPr="00FD4FB7" w:rsidRDefault="00627557" w:rsidP="005A3028">
            <w:pPr>
              <w:spacing w:line="360" w:lineRule="auto"/>
              <w:jc w:val="center"/>
              <w:rPr>
                <w:rFonts w:asciiTheme="minorHAnsi" w:hAnsiTheme="minorHAnsi" w:cstheme="minorHAnsi"/>
                <w:noProof/>
              </w:rPr>
            </w:pPr>
            <w:r w:rsidRPr="00FD4FB7">
              <w:rPr>
                <w:rFonts w:asciiTheme="minorHAnsi" w:hAnsiTheme="minorHAnsi" w:cstheme="minorHAnsi"/>
                <w:noProof/>
              </w:rPr>
              <w:t>-</w:t>
            </w:r>
          </w:p>
        </w:tc>
        <w:tc>
          <w:tcPr>
            <w:tcW w:w="1418" w:type="dxa"/>
          </w:tcPr>
          <w:p w14:paraId="28321C83" w14:textId="486710B8" w:rsidR="00AD4F0E" w:rsidRPr="00FD4FB7" w:rsidRDefault="00627557" w:rsidP="005A3028">
            <w:pPr>
              <w:spacing w:line="360" w:lineRule="auto"/>
              <w:jc w:val="center"/>
              <w:rPr>
                <w:rFonts w:asciiTheme="minorHAnsi" w:hAnsiTheme="minorHAnsi" w:cstheme="minorHAnsi"/>
                <w:noProof/>
              </w:rPr>
            </w:pPr>
            <w:r w:rsidRPr="00FD4FB7">
              <w:rPr>
                <w:rFonts w:asciiTheme="minorHAnsi" w:hAnsiTheme="minorHAnsi" w:cstheme="minorHAnsi"/>
                <w:noProof/>
              </w:rPr>
              <w:t>11 (3%)</w:t>
            </w:r>
          </w:p>
        </w:tc>
        <w:tc>
          <w:tcPr>
            <w:tcW w:w="1224" w:type="dxa"/>
          </w:tcPr>
          <w:p w14:paraId="257C85CA" w14:textId="6684BFAE" w:rsidR="00AD4F0E" w:rsidRPr="00FD4FB7" w:rsidRDefault="00627557" w:rsidP="005A3028">
            <w:pPr>
              <w:spacing w:line="360" w:lineRule="auto"/>
              <w:jc w:val="center"/>
              <w:rPr>
                <w:rFonts w:asciiTheme="minorHAnsi" w:hAnsiTheme="minorHAnsi" w:cstheme="minorHAnsi"/>
                <w:noProof/>
              </w:rPr>
            </w:pPr>
            <w:r w:rsidRPr="00FD4FB7">
              <w:rPr>
                <w:rFonts w:asciiTheme="minorHAnsi" w:hAnsiTheme="minorHAnsi" w:cstheme="minorHAnsi"/>
                <w:noProof/>
              </w:rPr>
              <w:t>18 (1%)</w:t>
            </w:r>
          </w:p>
        </w:tc>
      </w:tr>
      <w:tr w:rsidR="00941EB0" w:rsidRPr="00FD4FB7" w14:paraId="16A2E129" w14:textId="77777777" w:rsidTr="00CE2A33">
        <w:tc>
          <w:tcPr>
            <w:tcW w:w="3681" w:type="dxa"/>
          </w:tcPr>
          <w:p w14:paraId="73E27F55" w14:textId="4DE769E6" w:rsidR="00AD4F0E" w:rsidRPr="00FD4FB7" w:rsidRDefault="00627557" w:rsidP="00BD6DA5">
            <w:pPr>
              <w:spacing w:line="360" w:lineRule="auto"/>
              <w:rPr>
                <w:rFonts w:asciiTheme="minorHAnsi" w:hAnsiTheme="minorHAnsi" w:cstheme="minorHAnsi"/>
                <w:b/>
                <w:bCs/>
                <w:noProof/>
              </w:rPr>
            </w:pPr>
            <w:r w:rsidRPr="00FD4FB7">
              <w:rPr>
                <w:rFonts w:asciiTheme="minorHAnsi" w:hAnsiTheme="minorHAnsi" w:cstheme="minorHAnsi"/>
                <w:b/>
                <w:bCs/>
                <w:noProof/>
              </w:rPr>
              <w:t>Oral</w:t>
            </w:r>
            <w:r w:rsidR="00A10AE1" w:rsidRPr="00FD4FB7">
              <w:rPr>
                <w:rFonts w:asciiTheme="minorHAnsi" w:hAnsiTheme="minorHAnsi" w:cstheme="minorHAnsi"/>
                <w:b/>
                <w:bCs/>
                <w:noProof/>
              </w:rPr>
              <w:t xml:space="preserve">  </w:t>
            </w:r>
            <w:r w:rsidR="00A10AE1" w:rsidRPr="00516FC7">
              <w:rPr>
                <w:rFonts w:asciiTheme="minorHAnsi" w:hAnsiTheme="minorHAnsi" w:cstheme="minorHAnsi"/>
                <w:noProof/>
              </w:rPr>
              <w:t>n (%)</w:t>
            </w:r>
          </w:p>
        </w:tc>
        <w:tc>
          <w:tcPr>
            <w:tcW w:w="1559" w:type="dxa"/>
          </w:tcPr>
          <w:p w14:paraId="533BC5B5" w14:textId="77777777" w:rsidR="00AD4F0E" w:rsidRPr="00FD4FB7" w:rsidRDefault="00AD4F0E" w:rsidP="005A3028">
            <w:pPr>
              <w:spacing w:line="360" w:lineRule="auto"/>
              <w:jc w:val="center"/>
              <w:rPr>
                <w:rFonts w:asciiTheme="minorHAnsi" w:hAnsiTheme="minorHAnsi" w:cstheme="minorHAnsi"/>
                <w:noProof/>
              </w:rPr>
            </w:pPr>
          </w:p>
        </w:tc>
        <w:tc>
          <w:tcPr>
            <w:tcW w:w="1134" w:type="dxa"/>
          </w:tcPr>
          <w:p w14:paraId="371C84E6" w14:textId="77777777" w:rsidR="00AD4F0E" w:rsidRPr="00FD4FB7" w:rsidRDefault="00AD4F0E" w:rsidP="005A3028">
            <w:pPr>
              <w:spacing w:line="360" w:lineRule="auto"/>
              <w:jc w:val="center"/>
              <w:rPr>
                <w:rFonts w:asciiTheme="minorHAnsi" w:hAnsiTheme="minorHAnsi" w:cstheme="minorHAnsi"/>
                <w:noProof/>
              </w:rPr>
            </w:pPr>
          </w:p>
        </w:tc>
        <w:tc>
          <w:tcPr>
            <w:tcW w:w="1418" w:type="dxa"/>
          </w:tcPr>
          <w:p w14:paraId="5C2344B8" w14:textId="77777777" w:rsidR="00AD4F0E" w:rsidRPr="00FD4FB7" w:rsidRDefault="00AD4F0E" w:rsidP="005A3028">
            <w:pPr>
              <w:spacing w:line="360" w:lineRule="auto"/>
              <w:jc w:val="center"/>
              <w:rPr>
                <w:rFonts w:asciiTheme="minorHAnsi" w:hAnsiTheme="minorHAnsi" w:cstheme="minorHAnsi"/>
                <w:noProof/>
              </w:rPr>
            </w:pPr>
          </w:p>
        </w:tc>
        <w:tc>
          <w:tcPr>
            <w:tcW w:w="1224" w:type="dxa"/>
          </w:tcPr>
          <w:p w14:paraId="50102687" w14:textId="77777777" w:rsidR="00AD4F0E" w:rsidRPr="00FD4FB7" w:rsidRDefault="00AD4F0E" w:rsidP="005A3028">
            <w:pPr>
              <w:spacing w:line="360" w:lineRule="auto"/>
              <w:jc w:val="center"/>
              <w:rPr>
                <w:rFonts w:asciiTheme="minorHAnsi" w:hAnsiTheme="minorHAnsi" w:cstheme="minorHAnsi"/>
                <w:noProof/>
              </w:rPr>
            </w:pPr>
          </w:p>
        </w:tc>
      </w:tr>
      <w:tr w:rsidR="00941EB0" w:rsidRPr="00FD4FB7" w14:paraId="41D69B0C" w14:textId="77777777" w:rsidTr="00CE2A33">
        <w:tc>
          <w:tcPr>
            <w:tcW w:w="3681" w:type="dxa"/>
          </w:tcPr>
          <w:p w14:paraId="01A4ACC1" w14:textId="1216B6AC" w:rsidR="00AD4F0E" w:rsidRPr="00FD4FB7" w:rsidRDefault="00665ABD" w:rsidP="00BD6DA5">
            <w:pPr>
              <w:spacing w:line="360" w:lineRule="auto"/>
              <w:rPr>
                <w:rFonts w:asciiTheme="minorHAnsi" w:hAnsiTheme="minorHAnsi" w:cstheme="minorHAnsi"/>
                <w:noProof/>
              </w:rPr>
            </w:pPr>
            <w:r w:rsidRPr="00FD4FB7">
              <w:rPr>
                <w:rFonts w:asciiTheme="minorHAnsi" w:hAnsiTheme="minorHAnsi" w:cstheme="minorHAnsi"/>
                <w:noProof/>
              </w:rPr>
              <w:t xml:space="preserve">      </w:t>
            </w:r>
            <w:r w:rsidR="00094403" w:rsidRPr="00FD4FB7">
              <w:rPr>
                <w:rFonts w:asciiTheme="minorHAnsi" w:hAnsiTheme="minorHAnsi" w:cstheme="minorHAnsi"/>
                <w:noProof/>
              </w:rPr>
              <w:t>Oral only</w:t>
            </w:r>
          </w:p>
        </w:tc>
        <w:tc>
          <w:tcPr>
            <w:tcW w:w="1559" w:type="dxa"/>
          </w:tcPr>
          <w:p w14:paraId="258406D6" w14:textId="7C68988D" w:rsidR="00AD4F0E" w:rsidRPr="00FD4FB7" w:rsidRDefault="00094403" w:rsidP="005A3028">
            <w:pPr>
              <w:spacing w:line="360" w:lineRule="auto"/>
              <w:jc w:val="center"/>
              <w:rPr>
                <w:rFonts w:asciiTheme="minorHAnsi" w:hAnsiTheme="minorHAnsi" w:cstheme="minorHAnsi"/>
                <w:noProof/>
              </w:rPr>
            </w:pPr>
            <w:r w:rsidRPr="00FD4FB7">
              <w:rPr>
                <w:rFonts w:asciiTheme="minorHAnsi" w:hAnsiTheme="minorHAnsi" w:cstheme="minorHAnsi"/>
                <w:noProof/>
              </w:rPr>
              <w:t>367 (42%)</w:t>
            </w:r>
          </w:p>
        </w:tc>
        <w:tc>
          <w:tcPr>
            <w:tcW w:w="1134" w:type="dxa"/>
          </w:tcPr>
          <w:p w14:paraId="5507055A" w14:textId="635F1417" w:rsidR="00AD4F0E" w:rsidRPr="00FD4FB7" w:rsidRDefault="00094403" w:rsidP="005A3028">
            <w:pPr>
              <w:spacing w:line="360" w:lineRule="auto"/>
              <w:jc w:val="center"/>
              <w:rPr>
                <w:rFonts w:asciiTheme="minorHAnsi" w:hAnsiTheme="minorHAnsi" w:cstheme="minorHAnsi"/>
                <w:noProof/>
              </w:rPr>
            </w:pPr>
            <w:r w:rsidRPr="00FD4FB7">
              <w:rPr>
                <w:rFonts w:asciiTheme="minorHAnsi" w:hAnsiTheme="minorHAnsi" w:cstheme="minorHAnsi"/>
                <w:noProof/>
              </w:rPr>
              <w:t>4 (12%)</w:t>
            </w:r>
          </w:p>
        </w:tc>
        <w:tc>
          <w:tcPr>
            <w:tcW w:w="1418" w:type="dxa"/>
          </w:tcPr>
          <w:p w14:paraId="09652939" w14:textId="1D46157A" w:rsidR="00AD4F0E" w:rsidRPr="00FD4FB7" w:rsidRDefault="00094403" w:rsidP="005A3028">
            <w:pPr>
              <w:spacing w:line="360" w:lineRule="auto"/>
              <w:jc w:val="center"/>
              <w:rPr>
                <w:rFonts w:asciiTheme="minorHAnsi" w:hAnsiTheme="minorHAnsi" w:cstheme="minorHAnsi"/>
                <w:noProof/>
              </w:rPr>
            </w:pPr>
            <w:r w:rsidRPr="00FD4FB7">
              <w:rPr>
                <w:rFonts w:asciiTheme="minorHAnsi" w:hAnsiTheme="minorHAnsi" w:cstheme="minorHAnsi"/>
                <w:noProof/>
              </w:rPr>
              <w:t>38 (11%)</w:t>
            </w:r>
          </w:p>
        </w:tc>
        <w:tc>
          <w:tcPr>
            <w:tcW w:w="1224" w:type="dxa"/>
          </w:tcPr>
          <w:p w14:paraId="08EB317F" w14:textId="1F4096CB" w:rsidR="00AD4F0E" w:rsidRPr="00FD4FB7" w:rsidRDefault="005A3028" w:rsidP="005A3028">
            <w:pPr>
              <w:spacing w:line="360" w:lineRule="auto"/>
              <w:jc w:val="center"/>
              <w:rPr>
                <w:rFonts w:asciiTheme="minorHAnsi" w:hAnsiTheme="minorHAnsi" w:cstheme="minorHAnsi"/>
                <w:noProof/>
              </w:rPr>
            </w:pPr>
            <w:r w:rsidRPr="00FD4FB7">
              <w:rPr>
                <w:rFonts w:asciiTheme="minorHAnsi" w:hAnsiTheme="minorHAnsi" w:cstheme="minorHAnsi"/>
                <w:noProof/>
              </w:rPr>
              <w:t>409 (33%)</w:t>
            </w:r>
          </w:p>
        </w:tc>
      </w:tr>
      <w:tr w:rsidR="00941EB0" w:rsidRPr="00FD4FB7" w14:paraId="1B47E79E" w14:textId="77777777" w:rsidTr="00CE2A33">
        <w:tc>
          <w:tcPr>
            <w:tcW w:w="3681" w:type="dxa"/>
          </w:tcPr>
          <w:p w14:paraId="0942005F" w14:textId="41D6787E" w:rsidR="00AD4F0E" w:rsidRPr="00FD4FB7" w:rsidRDefault="005A3028" w:rsidP="005A3028">
            <w:pPr>
              <w:pStyle w:val="NoSpacing"/>
              <w:rPr>
                <w:rFonts w:cstheme="minorHAnsi"/>
                <w:b/>
                <w:bCs/>
                <w:noProof/>
                <w:sz w:val="24"/>
                <w:szCs w:val="24"/>
                <w:lang w:eastAsia="en-GB"/>
              </w:rPr>
            </w:pPr>
            <w:r w:rsidRPr="00FD4FB7">
              <w:rPr>
                <w:rFonts w:cstheme="minorHAnsi"/>
                <w:b/>
                <w:bCs/>
                <w:noProof/>
                <w:sz w:val="24"/>
                <w:szCs w:val="24"/>
                <w:lang w:eastAsia="en-GB"/>
              </w:rPr>
              <w:t>No documented thiamine prescription</w:t>
            </w:r>
            <w:r w:rsidR="00A10AE1" w:rsidRPr="00FD4FB7">
              <w:rPr>
                <w:rFonts w:cstheme="minorHAnsi"/>
                <w:b/>
                <w:bCs/>
                <w:noProof/>
                <w:sz w:val="24"/>
                <w:szCs w:val="24"/>
                <w:lang w:eastAsia="en-GB"/>
              </w:rPr>
              <w:t xml:space="preserve">  </w:t>
            </w:r>
            <w:r w:rsidR="00A10AE1" w:rsidRPr="00516FC7">
              <w:rPr>
                <w:rFonts w:cstheme="minorHAnsi"/>
                <w:noProof/>
                <w:sz w:val="24"/>
                <w:szCs w:val="24"/>
                <w:lang w:eastAsia="en-GB"/>
              </w:rPr>
              <w:t>n (%)</w:t>
            </w:r>
          </w:p>
        </w:tc>
        <w:tc>
          <w:tcPr>
            <w:tcW w:w="1559" w:type="dxa"/>
          </w:tcPr>
          <w:p w14:paraId="4414F96E" w14:textId="7E018388" w:rsidR="00AD4F0E" w:rsidRPr="00FD4FB7" w:rsidRDefault="00ED2FB7" w:rsidP="005A3028">
            <w:pPr>
              <w:spacing w:line="360" w:lineRule="auto"/>
              <w:jc w:val="center"/>
              <w:rPr>
                <w:rFonts w:asciiTheme="minorHAnsi" w:hAnsiTheme="minorHAnsi" w:cstheme="minorHAnsi"/>
                <w:noProof/>
              </w:rPr>
            </w:pPr>
            <w:r w:rsidRPr="00FD4FB7">
              <w:rPr>
                <w:rFonts w:asciiTheme="minorHAnsi" w:hAnsiTheme="minorHAnsi" w:cstheme="minorHAnsi"/>
                <w:noProof/>
              </w:rPr>
              <w:t>147 (17%)</w:t>
            </w:r>
          </w:p>
        </w:tc>
        <w:tc>
          <w:tcPr>
            <w:tcW w:w="1134" w:type="dxa"/>
          </w:tcPr>
          <w:p w14:paraId="73B1BE49" w14:textId="62CF1C29" w:rsidR="00AD4F0E" w:rsidRPr="00FD4FB7" w:rsidRDefault="00ED2FB7" w:rsidP="005A3028">
            <w:pPr>
              <w:spacing w:line="360" w:lineRule="auto"/>
              <w:jc w:val="center"/>
              <w:rPr>
                <w:rFonts w:asciiTheme="minorHAnsi" w:hAnsiTheme="minorHAnsi" w:cstheme="minorHAnsi"/>
                <w:noProof/>
              </w:rPr>
            </w:pPr>
            <w:r w:rsidRPr="00FD4FB7">
              <w:rPr>
                <w:rFonts w:asciiTheme="minorHAnsi" w:hAnsiTheme="minorHAnsi" w:cstheme="minorHAnsi"/>
                <w:noProof/>
              </w:rPr>
              <w:t>3 (9%)</w:t>
            </w:r>
          </w:p>
        </w:tc>
        <w:tc>
          <w:tcPr>
            <w:tcW w:w="1418" w:type="dxa"/>
          </w:tcPr>
          <w:p w14:paraId="04DDE1BF" w14:textId="67867F7B" w:rsidR="00AD4F0E" w:rsidRPr="00FD4FB7" w:rsidRDefault="00ED2FB7" w:rsidP="005A3028">
            <w:pPr>
              <w:spacing w:line="360" w:lineRule="auto"/>
              <w:jc w:val="center"/>
              <w:rPr>
                <w:rFonts w:asciiTheme="minorHAnsi" w:hAnsiTheme="minorHAnsi" w:cstheme="minorHAnsi"/>
                <w:noProof/>
              </w:rPr>
            </w:pPr>
            <w:r w:rsidRPr="00FD4FB7">
              <w:rPr>
                <w:rFonts w:asciiTheme="minorHAnsi" w:hAnsiTheme="minorHAnsi" w:cstheme="minorHAnsi"/>
                <w:noProof/>
              </w:rPr>
              <w:t>3 (1%)</w:t>
            </w:r>
          </w:p>
        </w:tc>
        <w:tc>
          <w:tcPr>
            <w:tcW w:w="1224" w:type="dxa"/>
          </w:tcPr>
          <w:p w14:paraId="4F2A0D2A" w14:textId="4136DA5F" w:rsidR="00AD4F0E" w:rsidRPr="00FD4FB7" w:rsidRDefault="00ED2FB7" w:rsidP="005A3028">
            <w:pPr>
              <w:spacing w:line="360" w:lineRule="auto"/>
              <w:jc w:val="center"/>
              <w:rPr>
                <w:rFonts w:asciiTheme="minorHAnsi" w:hAnsiTheme="minorHAnsi" w:cstheme="minorHAnsi"/>
                <w:noProof/>
              </w:rPr>
            </w:pPr>
            <w:r w:rsidRPr="00FD4FB7">
              <w:rPr>
                <w:rFonts w:asciiTheme="minorHAnsi" w:hAnsiTheme="minorHAnsi" w:cstheme="minorHAnsi"/>
                <w:noProof/>
              </w:rPr>
              <w:t>153 (12%)</w:t>
            </w:r>
          </w:p>
        </w:tc>
      </w:tr>
    </w:tbl>
    <w:p w14:paraId="4B45C2CA" w14:textId="77777777" w:rsidR="00A16629" w:rsidRPr="00FD4FB7" w:rsidRDefault="00A16629" w:rsidP="00BD6DA5">
      <w:pPr>
        <w:spacing w:line="360" w:lineRule="auto"/>
        <w:rPr>
          <w:rFonts w:ascii="Arial" w:hAnsi="Arial" w:cs="Arial"/>
          <w:noProof/>
          <w:sz w:val="20"/>
          <w:szCs w:val="20"/>
        </w:rPr>
      </w:pPr>
    </w:p>
    <w:p w14:paraId="4E4EA00A" w14:textId="57CE4D04" w:rsidR="00A124A0" w:rsidRPr="00FD4FB7" w:rsidRDefault="00A124A0">
      <w:pPr>
        <w:rPr>
          <w:rFonts w:ascii="Arial" w:hAnsi="Arial" w:cs="Arial"/>
          <w:noProof/>
          <w:sz w:val="20"/>
          <w:szCs w:val="20"/>
        </w:rPr>
      </w:pPr>
      <w:r w:rsidRPr="00FD4FB7">
        <w:rPr>
          <w:rFonts w:ascii="Arial" w:hAnsi="Arial" w:cs="Arial"/>
          <w:noProof/>
          <w:sz w:val="20"/>
          <w:szCs w:val="20"/>
        </w:rPr>
        <w:br w:type="page"/>
      </w:r>
    </w:p>
    <w:p w14:paraId="133A5487" w14:textId="6FB0B471" w:rsidR="00A124A0" w:rsidRPr="00FD4FB7" w:rsidRDefault="006D2631" w:rsidP="00CE2A33">
      <w:pPr>
        <w:pStyle w:val="NoSpacing"/>
        <w:rPr>
          <w:b/>
          <w:bCs/>
        </w:rPr>
      </w:pPr>
      <w:r w:rsidRPr="00FD4FB7">
        <w:rPr>
          <w:b/>
          <w:bCs/>
        </w:rPr>
        <w:lastRenderedPageBreak/>
        <w:t>TABLE 3</w:t>
      </w:r>
      <w:r w:rsidR="00A124A0" w:rsidRPr="00FD4FB7">
        <w:rPr>
          <w:b/>
          <w:bCs/>
        </w:rPr>
        <w:t>. Multivariable analysis associated with the documented use of parenteral thiamine</w:t>
      </w:r>
    </w:p>
    <w:p w14:paraId="6907422B" w14:textId="77777777" w:rsidR="00CE2A33" w:rsidRPr="00FD4FB7" w:rsidRDefault="00CE2A33" w:rsidP="00CE2A33">
      <w:pPr>
        <w:pStyle w:val="NoSpacing"/>
      </w:pPr>
    </w:p>
    <w:tbl>
      <w:tblPr>
        <w:tblStyle w:val="TableGrid"/>
        <w:tblpPr w:leftFromText="180" w:rightFromText="180" w:vertAnchor="text" w:horzAnchor="margin" w:tblpX="-147" w:tblpY="42"/>
        <w:tblW w:w="9163" w:type="dxa"/>
        <w:tblLook w:val="04A0" w:firstRow="1" w:lastRow="0" w:firstColumn="1" w:lastColumn="0" w:noHBand="0" w:noVBand="1"/>
      </w:tblPr>
      <w:tblGrid>
        <w:gridCol w:w="3397"/>
        <w:gridCol w:w="2268"/>
        <w:gridCol w:w="2268"/>
        <w:gridCol w:w="1230"/>
      </w:tblGrid>
      <w:tr w:rsidR="00A124A0" w:rsidRPr="00FD4FB7" w14:paraId="1686C9EE" w14:textId="77777777" w:rsidTr="004E33C1">
        <w:tc>
          <w:tcPr>
            <w:tcW w:w="3397" w:type="dxa"/>
          </w:tcPr>
          <w:p w14:paraId="3FC96D93" w14:textId="77777777" w:rsidR="00A124A0" w:rsidRPr="00FD4FB7" w:rsidRDefault="00A124A0" w:rsidP="00936C70">
            <w:pPr>
              <w:spacing w:line="360" w:lineRule="auto"/>
              <w:jc w:val="center"/>
              <w:rPr>
                <w:rFonts w:asciiTheme="minorHAnsi" w:hAnsiTheme="minorHAnsi" w:cstheme="minorHAnsi"/>
                <w:i/>
                <w:iCs/>
                <w:color w:val="000000" w:themeColor="text1"/>
              </w:rPr>
            </w:pPr>
            <w:r w:rsidRPr="00FD4FB7">
              <w:rPr>
                <w:rFonts w:asciiTheme="minorHAnsi" w:hAnsiTheme="minorHAnsi" w:cstheme="minorHAnsi"/>
                <w:i/>
                <w:iCs/>
                <w:color w:val="000000" w:themeColor="text1"/>
              </w:rPr>
              <w:t>Variable</w:t>
            </w:r>
          </w:p>
        </w:tc>
        <w:tc>
          <w:tcPr>
            <w:tcW w:w="2268" w:type="dxa"/>
          </w:tcPr>
          <w:p w14:paraId="2D7D7286" w14:textId="77777777" w:rsidR="00A124A0" w:rsidRPr="00FD4FB7" w:rsidRDefault="00A124A0" w:rsidP="00936C70">
            <w:pPr>
              <w:spacing w:line="360" w:lineRule="auto"/>
              <w:jc w:val="center"/>
              <w:rPr>
                <w:rFonts w:asciiTheme="minorHAnsi" w:hAnsiTheme="minorHAnsi" w:cstheme="minorHAnsi"/>
                <w:i/>
                <w:iCs/>
                <w:color w:val="000000" w:themeColor="text1"/>
              </w:rPr>
            </w:pPr>
            <w:r w:rsidRPr="00FD4FB7">
              <w:rPr>
                <w:rFonts w:asciiTheme="minorHAnsi" w:hAnsiTheme="minorHAnsi" w:cstheme="minorHAnsi"/>
                <w:i/>
                <w:iCs/>
                <w:color w:val="000000" w:themeColor="text1"/>
              </w:rPr>
              <w:t>Category</w:t>
            </w:r>
          </w:p>
        </w:tc>
        <w:tc>
          <w:tcPr>
            <w:tcW w:w="2268" w:type="dxa"/>
          </w:tcPr>
          <w:p w14:paraId="409F5B84" w14:textId="77777777" w:rsidR="00A124A0" w:rsidRPr="00FD4FB7" w:rsidRDefault="00A124A0" w:rsidP="00936C70">
            <w:pPr>
              <w:spacing w:line="360" w:lineRule="auto"/>
              <w:jc w:val="center"/>
              <w:rPr>
                <w:rFonts w:asciiTheme="minorHAnsi" w:hAnsiTheme="minorHAnsi" w:cstheme="minorHAnsi"/>
                <w:i/>
                <w:iCs/>
                <w:color w:val="000000" w:themeColor="text1"/>
              </w:rPr>
            </w:pPr>
            <w:r w:rsidRPr="00FD4FB7">
              <w:rPr>
                <w:rFonts w:asciiTheme="minorHAnsi" w:hAnsiTheme="minorHAnsi" w:cstheme="minorHAnsi"/>
                <w:i/>
                <w:iCs/>
                <w:color w:val="000000" w:themeColor="text1"/>
              </w:rPr>
              <w:t>Odds ratio (95% CI)</w:t>
            </w:r>
          </w:p>
        </w:tc>
        <w:tc>
          <w:tcPr>
            <w:tcW w:w="1230" w:type="dxa"/>
          </w:tcPr>
          <w:p w14:paraId="3C86B2D1" w14:textId="77777777" w:rsidR="00A124A0" w:rsidRPr="00FD4FB7" w:rsidRDefault="00A124A0" w:rsidP="00936C70">
            <w:pPr>
              <w:spacing w:line="360" w:lineRule="auto"/>
              <w:jc w:val="center"/>
              <w:rPr>
                <w:rFonts w:asciiTheme="minorHAnsi" w:hAnsiTheme="minorHAnsi" w:cstheme="minorHAnsi"/>
                <w:i/>
                <w:iCs/>
                <w:color w:val="000000" w:themeColor="text1"/>
              </w:rPr>
            </w:pPr>
            <w:r w:rsidRPr="00FD4FB7">
              <w:rPr>
                <w:rFonts w:asciiTheme="minorHAnsi" w:hAnsiTheme="minorHAnsi" w:cstheme="minorHAnsi"/>
                <w:i/>
                <w:iCs/>
                <w:color w:val="000000" w:themeColor="text1"/>
              </w:rPr>
              <w:t>P-value</w:t>
            </w:r>
          </w:p>
        </w:tc>
      </w:tr>
      <w:tr w:rsidR="00A124A0" w:rsidRPr="00FD4FB7" w14:paraId="2F90E287" w14:textId="77777777" w:rsidTr="004E33C1">
        <w:tc>
          <w:tcPr>
            <w:tcW w:w="3397" w:type="dxa"/>
          </w:tcPr>
          <w:p w14:paraId="4BFD664F"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Specialist care</w:t>
            </w:r>
          </w:p>
        </w:tc>
        <w:tc>
          <w:tcPr>
            <w:tcW w:w="2268" w:type="dxa"/>
          </w:tcPr>
          <w:p w14:paraId="534ABD0A"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 xml:space="preserve">No specialist </w:t>
            </w:r>
            <w:proofErr w:type="gramStart"/>
            <w:r w:rsidRPr="00FD4FB7">
              <w:rPr>
                <w:rFonts w:cstheme="minorHAnsi"/>
                <w:sz w:val="24"/>
                <w:szCs w:val="24"/>
                <w:lang w:eastAsia="en-GB"/>
              </w:rPr>
              <w:t>care</w:t>
            </w:r>
            <w:proofErr w:type="gramEnd"/>
          </w:p>
          <w:p w14:paraId="75430863"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Specialist care</w:t>
            </w:r>
          </w:p>
        </w:tc>
        <w:tc>
          <w:tcPr>
            <w:tcW w:w="2268" w:type="dxa"/>
          </w:tcPr>
          <w:p w14:paraId="27A5C36A"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1</w:t>
            </w:r>
          </w:p>
          <w:p w14:paraId="1D468051"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7.11 (5.03, 10.0)</w:t>
            </w:r>
          </w:p>
        </w:tc>
        <w:tc>
          <w:tcPr>
            <w:tcW w:w="1230" w:type="dxa"/>
            <w:vAlign w:val="center"/>
          </w:tcPr>
          <w:p w14:paraId="34B56FDB" w14:textId="77777777" w:rsidR="00A124A0" w:rsidRPr="00FD4FB7" w:rsidRDefault="00A124A0" w:rsidP="00936C70">
            <w:pPr>
              <w:pStyle w:val="NoSpacing"/>
              <w:jc w:val="center"/>
              <w:rPr>
                <w:rFonts w:cstheme="minorHAnsi"/>
                <w:sz w:val="24"/>
                <w:szCs w:val="24"/>
                <w:lang w:eastAsia="en-GB"/>
              </w:rPr>
            </w:pPr>
            <w:r w:rsidRPr="00FD4FB7">
              <w:rPr>
                <w:rFonts w:cstheme="minorHAnsi"/>
                <w:sz w:val="24"/>
                <w:szCs w:val="24"/>
                <w:lang w:eastAsia="en-GB"/>
              </w:rPr>
              <w:t>&lt;0.001</w:t>
            </w:r>
          </w:p>
        </w:tc>
      </w:tr>
      <w:tr w:rsidR="00A124A0" w:rsidRPr="00FD4FB7" w14:paraId="758F3E73" w14:textId="77777777" w:rsidTr="004E33C1">
        <w:tc>
          <w:tcPr>
            <w:tcW w:w="3397" w:type="dxa"/>
          </w:tcPr>
          <w:p w14:paraId="644F10D5" w14:textId="0951E8F8"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ICD10</w:t>
            </w:r>
            <w:r w:rsidR="00644AEB" w:rsidRPr="00FD4FB7">
              <w:rPr>
                <w:rFonts w:cstheme="minorHAnsi"/>
                <w:sz w:val="24"/>
                <w:szCs w:val="24"/>
                <w:lang w:eastAsia="en-GB"/>
              </w:rPr>
              <w:t xml:space="preserve"> </w:t>
            </w:r>
            <w:r w:rsidRPr="00FD4FB7">
              <w:rPr>
                <w:rFonts w:cstheme="minorHAnsi"/>
                <w:sz w:val="24"/>
                <w:szCs w:val="24"/>
                <w:lang w:eastAsia="en-GB"/>
              </w:rPr>
              <w:t>F10 diagnosis</w:t>
            </w:r>
            <w:r w:rsidR="00644AEB" w:rsidRPr="00FD4FB7">
              <w:rPr>
                <w:rFonts w:cstheme="minorHAnsi"/>
                <w:sz w:val="24"/>
                <w:szCs w:val="24"/>
                <w:lang w:eastAsia="en-GB"/>
              </w:rPr>
              <w:t>: alcohol-related disorders</w:t>
            </w:r>
          </w:p>
        </w:tc>
        <w:tc>
          <w:tcPr>
            <w:tcW w:w="2268" w:type="dxa"/>
          </w:tcPr>
          <w:p w14:paraId="4845B9A2"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No</w:t>
            </w:r>
          </w:p>
          <w:p w14:paraId="35EF582A"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Yes</w:t>
            </w:r>
          </w:p>
        </w:tc>
        <w:tc>
          <w:tcPr>
            <w:tcW w:w="2268" w:type="dxa"/>
          </w:tcPr>
          <w:p w14:paraId="3A1614B5"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1</w:t>
            </w:r>
          </w:p>
          <w:p w14:paraId="7C25283C"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1.89 (1.38, 2.58)</w:t>
            </w:r>
          </w:p>
        </w:tc>
        <w:tc>
          <w:tcPr>
            <w:tcW w:w="1230" w:type="dxa"/>
            <w:vAlign w:val="center"/>
          </w:tcPr>
          <w:p w14:paraId="388586C0" w14:textId="77777777" w:rsidR="00A124A0" w:rsidRPr="00FD4FB7" w:rsidRDefault="00A124A0" w:rsidP="00936C70">
            <w:pPr>
              <w:pStyle w:val="NoSpacing"/>
              <w:jc w:val="center"/>
              <w:rPr>
                <w:rFonts w:cstheme="minorHAnsi"/>
                <w:sz w:val="24"/>
                <w:szCs w:val="24"/>
                <w:lang w:eastAsia="en-GB"/>
              </w:rPr>
            </w:pPr>
            <w:r w:rsidRPr="00FD4FB7">
              <w:rPr>
                <w:rFonts w:cstheme="minorHAnsi"/>
                <w:sz w:val="24"/>
                <w:szCs w:val="24"/>
                <w:lang w:eastAsia="en-GB"/>
              </w:rPr>
              <w:t>&lt;0.001</w:t>
            </w:r>
          </w:p>
        </w:tc>
      </w:tr>
      <w:tr w:rsidR="00A124A0" w:rsidRPr="00FD4FB7" w14:paraId="05768774" w14:textId="77777777" w:rsidTr="004E33C1">
        <w:tc>
          <w:tcPr>
            <w:tcW w:w="3397" w:type="dxa"/>
          </w:tcPr>
          <w:p w14:paraId="135BC5A7"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Assessment of signs/symptoms of Wernicke’s encephalopathy</w:t>
            </w:r>
          </w:p>
        </w:tc>
        <w:tc>
          <w:tcPr>
            <w:tcW w:w="2268" w:type="dxa"/>
          </w:tcPr>
          <w:p w14:paraId="42BA6585"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None</w:t>
            </w:r>
          </w:p>
          <w:p w14:paraId="03D56E98"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Partial assessment</w:t>
            </w:r>
          </w:p>
          <w:p w14:paraId="2E007771"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Full assessment</w:t>
            </w:r>
          </w:p>
        </w:tc>
        <w:tc>
          <w:tcPr>
            <w:tcW w:w="2268" w:type="dxa"/>
          </w:tcPr>
          <w:p w14:paraId="62F2E2B2"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1</w:t>
            </w:r>
          </w:p>
          <w:p w14:paraId="1AEFACCB" w14:textId="77777777" w:rsidR="00A124A0" w:rsidRPr="00FD4FB7" w:rsidRDefault="00A124A0" w:rsidP="00936C70">
            <w:pPr>
              <w:pStyle w:val="NoSpacing"/>
              <w:numPr>
                <w:ilvl w:val="0"/>
                <w:numId w:val="5"/>
              </w:numPr>
              <w:rPr>
                <w:rFonts w:cstheme="minorHAnsi"/>
                <w:sz w:val="24"/>
                <w:szCs w:val="24"/>
                <w:lang w:eastAsia="en-GB"/>
              </w:rPr>
            </w:pPr>
            <w:r w:rsidRPr="00FD4FB7">
              <w:rPr>
                <w:rFonts w:cstheme="minorHAnsi"/>
                <w:sz w:val="24"/>
                <w:szCs w:val="24"/>
                <w:lang w:eastAsia="en-GB"/>
              </w:rPr>
              <w:t>(0.75, 1.33)</w:t>
            </w:r>
          </w:p>
          <w:p w14:paraId="77C4B153"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1.72 (1.24, 2.39)</w:t>
            </w:r>
          </w:p>
        </w:tc>
        <w:tc>
          <w:tcPr>
            <w:tcW w:w="1230" w:type="dxa"/>
            <w:vAlign w:val="center"/>
          </w:tcPr>
          <w:p w14:paraId="4FD3A53A" w14:textId="77777777" w:rsidR="00A124A0" w:rsidRPr="00FD4FB7" w:rsidRDefault="00A124A0" w:rsidP="00936C70">
            <w:pPr>
              <w:pStyle w:val="NoSpacing"/>
              <w:jc w:val="center"/>
              <w:rPr>
                <w:rFonts w:cstheme="minorHAnsi"/>
                <w:sz w:val="24"/>
                <w:szCs w:val="24"/>
                <w:lang w:eastAsia="en-GB"/>
              </w:rPr>
            </w:pPr>
            <w:r w:rsidRPr="00FD4FB7">
              <w:rPr>
                <w:rFonts w:cstheme="minorHAnsi"/>
                <w:sz w:val="24"/>
                <w:szCs w:val="24"/>
                <w:lang w:eastAsia="en-GB"/>
              </w:rPr>
              <w:t>0.002</w:t>
            </w:r>
          </w:p>
        </w:tc>
      </w:tr>
      <w:tr w:rsidR="00A124A0" w:rsidRPr="00CE2A33" w14:paraId="506BE515" w14:textId="77777777" w:rsidTr="004E33C1">
        <w:tc>
          <w:tcPr>
            <w:tcW w:w="3397" w:type="dxa"/>
          </w:tcPr>
          <w:p w14:paraId="2F371767"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Documented delirium tremens/Korsakoff’s syndrome</w:t>
            </w:r>
          </w:p>
        </w:tc>
        <w:tc>
          <w:tcPr>
            <w:tcW w:w="2268" w:type="dxa"/>
          </w:tcPr>
          <w:p w14:paraId="6F898EFA"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No</w:t>
            </w:r>
          </w:p>
          <w:p w14:paraId="0B3EEE61"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Yes</w:t>
            </w:r>
          </w:p>
        </w:tc>
        <w:tc>
          <w:tcPr>
            <w:tcW w:w="2268" w:type="dxa"/>
          </w:tcPr>
          <w:p w14:paraId="084BC5E6"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1</w:t>
            </w:r>
          </w:p>
          <w:p w14:paraId="5DF3C70B" w14:textId="77777777" w:rsidR="00A124A0" w:rsidRPr="00FD4FB7" w:rsidRDefault="00A124A0" w:rsidP="00936C70">
            <w:pPr>
              <w:pStyle w:val="NoSpacing"/>
              <w:rPr>
                <w:rFonts w:cstheme="minorHAnsi"/>
                <w:sz w:val="24"/>
                <w:szCs w:val="24"/>
                <w:lang w:eastAsia="en-GB"/>
              </w:rPr>
            </w:pPr>
            <w:r w:rsidRPr="00FD4FB7">
              <w:rPr>
                <w:rFonts w:cstheme="minorHAnsi"/>
                <w:sz w:val="24"/>
                <w:szCs w:val="24"/>
                <w:lang w:eastAsia="en-GB"/>
              </w:rPr>
              <w:t>2.35 (1.20, 4.60)</w:t>
            </w:r>
          </w:p>
        </w:tc>
        <w:tc>
          <w:tcPr>
            <w:tcW w:w="1230" w:type="dxa"/>
            <w:vAlign w:val="center"/>
          </w:tcPr>
          <w:p w14:paraId="6C27DD91" w14:textId="77777777" w:rsidR="00A124A0" w:rsidRPr="00CE2A33" w:rsidRDefault="00A124A0" w:rsidP="00936C70">
            <w:pPr>
              <w:pStyle w:val="NoSpacing"/>
              <w:jc w:val="center"/>
              <w:rPr>
                <w:rFonts w:cstheme="minorHAnsi"/>
                <w:sz w:val="24"/>
                <w:szCs w:val="24"/>
                <w:lang w:eastAsia="en-GB"/>
              </w:rPr>
            </w:pPr>
            <w:r w:rsidRPr="00FD4FB7">
              <w:rPr>
                <w:rFonts w:cstheme="minorHAnsi"/>
                <w:sz w:val="24"/>
                <w:szCs w:val="24"/>
                <w:lang w:eastAsia="en-GB"/>
              </w:rPr>
              <w:t>0.01</w:t>
            </w:r>
          </w:p>
        </w:tc>
      </w:tr>
    </w:tbl>
    <w:p w14:paraId="56403590" w14:textId="77777777" w:rsidR="00A124A0" w:rsidRDefault="00A124A0" w:rsidP="00A124A0">
      <w:pPr>
        <w:spacing w:line="360" w:lineRule="auto"/>
        <w:rPr>
          <w:rFonts w:cstheme="minorHAnsi"/>
          <w:b/>
          <w:color w:val="000000" w:themeColor="text1"/>
        </w:rPr>
      </w:pPr>
    </w:p>
    <w:p w14:paraId="7A3893AD" w14:textId="77777777" w:rsidR="006478B5" w:rsidRDefault="006478B5" w:rsidP="00BD6DA5">
      <w:pPr>
        <w:spacing w:line="360" w:lineRule="auto"/>
        <w:rPr>
          <w:rFonts w:ascii="Arial" w:hAnsi="Arial" w:cs="Arial"/>
          <w:sz w:val="20"/>
          <w:szCs w:val="20"/>
        </w:rPr>
      </w:pPr>
    </w:p>
    <w:p w14:paraId="6786442A" w14:textId="77777777" w:rsidR="00071CE8" w:rsidRDefault="00071CE8" w:rsidP="00BD6DA5">
      <w:pPr>
        <w:spacing w:line="360" w:lineRule="auto"/>
        <w:rPr>
          <w:rFonts w:ascii="Arial" w:hAnsi="Arial" w:cs="Arial"/>
          <w:sz w:val="20"/>
          <w:szCs w:val="20"/>
        </w:rPr>
      </w:pPr>
    </w:p>
    <w:p w14:paraId="24F1E3E3" w14:textId="77777777" w:rsidR="00071CE8" w:rsidRDefault="00071CE8" w:rsidP="00BD6DA5">
      <w:pPr>
        <w:spacing w:line="360" w:lineRule="auto"/>
        <w:rPr>
          <w:rFonts w:ascii="Arial" w:hAnsi="Arial" w:cs="Arial"/>
          <w:sz w:val="20"/>
          <w:szCs w:val="20"/>
        </w:rPr>
      </w:pPr>
    </w:p>
    <w:p w14:paraId="6EC05321" w14:textId="77777777" w:rsidR="00071CE8" w:rsidRDefault="00071CE8" w:rsidP="00BD6DA5">
      <w:pPr>
        <w:spacing w:line="360" w:lineRule="auto"/>
        <w:rPr>
          <w:rFonts w:ascii="Arial" w:hAnsi="Arial" w:cs="Arial"/>
          <w:sz w:val="20"/>
          <w:szCs w:val="20"/>
        </w:rPr>
      </w:pPr>
    </w:p>
    <w:p w14:paraId="634206C2" w14:textId="77777777" w:rsidR="00071CE8" w:rsidRDefault="00071CE8" w:rsidP="00BD6DA5">
      <w:pPr>
        <w:spacing w:line="360" w:lineRule="auto"/>
        <w:rPr>
          <w:rFonts w:ascii="Arial" w:hAnsi="Arial" w:cs="Arial"/>
          <w:sz w:val="20"/>
          <w:szCs w:val="20"/>
        </w:rPr>
      </w:pPr>
    </w:p>
    <w:p w14:paraId="770A1E5C" w14:textId="77777777" w:rsidR="00071CE8" w:rsidRDefault="00071CE8" w:rsidP="00BD6DA5">
      <w:pPr>
        <w:spacing w:line="360" w:lineRule="auto"/>
        <w:rPr>
          <w:rFonts w:ascii="Arial" w:hAnsi="Arial" w:cs="Arial"/>
          <w:sz w:val="20"/>
          <w:szCs w:val="20"/>
        </w:rPr>
      </w:pPr>
    </w:p>
    <w:p w14:paraId="5A3BA01D" w14:textId="77777777" w:rsidR="00071CE8" w:rsidRDefault="00071CE8" w:rsidP="00BD6DA5">
      <w:pPr>
        <w:spacing w:line="360" w:lineRule="auto"/>
        <w:rPr>
          <w:rFonts w:ascii="Arial" w:hAnsi="Arial" w:cs="Arial"/>
          <w:sz w:val="20"/>
          <w:szCs w:val="20"/>
        </w:rPr>
      </w:pPr>
    </w:p>
    <w:p w14:paraId="3C7A5991" w14:textId="77777777" w:rsidR="00071CE8" w:rsidRDefault="00071CE8" w:rsidP="00BD6DA5">
      <w:pPr>
        <w:spacing w:line="360" w:lineRule="auto"/>
        <w:rPr>
          <w:rFonts w:ascii="Arial" w:hAnsi="Arial" w:cs="Arial"/>
          <w:sz w:val="20"/>
          <w:szCs w:val="20"/>
        </w:rPr>
      </w:pPr>
    </w:p>
    <w:p w14:paraId="3CCAF222" w14:textId="77777777" w:rsidR="00071CE8" w:rsidRDefault="00071CE8" w:rsidP="00BD6DA5">
      <w:pPr>
        <w:spacing w:line="360" w:lineRule="auto"/>
        <w:rPr>
          <w:rFonts w:ascii="Arial" w:hAnsi="Arial" w:cs="Arial"/>
          <w:sz w:val="20"/>
          <w:szCs w:val="20"/>
        </w:rPr>
      </w:pPr>
    </w:p>
    <w:p w14:paraId="12AFBF65" w14:textId="12A01481" w:rsidR="00071CE8" w:rsidRDefault="00071CE8" w:rsidP="00BD6DA5">
      <w:pPr>
        <w:spacing w:line="360" w:lineRule="auto"/>
        <w:rPr>
          <w:rFonts w:ascii="Arial" w:hAnsi="Arial" w:cs="Arial"/>
          <w:sz w:val="20"/>
          <w:szCs w:val="20"/>
        </w:rPr>
      </w:pPr>
    </w:p>
    <w:sectPr w:rsidR="00071CE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F9949" w14:textId="77777777" w:rsidR="00147F38" w:rsidRDefault="00147F38" w:rsidP="006E2C40">
      <w:r>
        <w:separator/>
      </w:r>
    </w:p>
  </w:endnote>
  <w:endnote w:type="continuationSeparator" w:id="0">
    <w:p w14:paraId="7B42402D" w14:textId="77777777" w:rsidR="00147F38" w:rsidRDefault="00147F38" w:rsidP="006E2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IN">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alibri (Body)">
    <w:altName w:val="Calibri"/>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47461351"/>
      <w:docPartObj>
        <w:docPartGallery w:val="Page Numbers (Bottom of Page)"/>
        <w:docPartUnique/>
      </w:docPartObj>
    </w:sdtPr>
    <w:sdtContent>
      <w:p w14:paraId="1B48F604" w14:textId="3EFA3E31" w:rsidR="00696FE3" w:rsidRDefault="00696FE3" w:rsidP="00496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D7FE71" w14:textId="77777777" w:rsidR="00696FE3" w:rsidRDefault="00696FE3" w:rsidP="006E2C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33261366"/>
      <w:docPartObj>
        <w:docPartGallery w:val="Page Numbers (Bottom of Page)"/>
        <w:docPartUnique/>
      </w:docPartObj>
    </w:sdtPr>
    <w:sdtContent>
      <w:p w14:paraId="2513B195" w14:textId="5105A126" w:rsidR="00696FE3" w:rsidRDefault="00696FE3" w:rsidP="00496B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1E3722">
          <w:rPr>
            <w:rStyle w:val="PageNumber"/>
            <w:noProof/>
          </w:rPr>
          <w:t>15</w:t>
        </w:r>
        <w:r>
          <w:rPr>
            <w:rStyle w:val="PageNumber"/>
          </w:rPr>
          <w:fldChar w:fldCharType="end"/>
        </w:r>
      </w:p>
    </w:sdtContent>
  </w:sdt>
  <w:p w14:paraId="7103424F" w14:textId="77777777" w:rsidR="00696FE3" w:rsidRDefault="00696FE3" w:rsidP="006E2C4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B883" w14:textId="77777777" w:rsidR="00696FE3" w:rsidRDefault="00696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17F21" w14:textId="77777777" w:rsidR="00147F38" w:rsidRDefault="00147F38" w:rsidP="006E2C40">
      <w:r>
        <w:separator/>
      </w:r>
    </w:p>
  </w:footnote>
  <w:footnote w:type="continuationSeparator" w:id="0">
    <w:p w14:paraId="6B790045" w14:textId="77777777" w:rsidR="00147F38" w:rsidRDefault="00147F38" w:rsidP="006E2C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CC85" w14:textId="77777777" w:rsidR="00696FE3" w:rsidRDefault="00696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508BB" w14:textId="77777777" w:rsidR="00696FE3" w:rsidRDefault="00696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8D928" w14:textId="77777777" w:rsidR="00696FE3" w:rsidRDefault="00696F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825A2"/>
    <w:multiLevelType w:val="multilevel"/>
    <w:tmpl w:val="007A8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8A5CBA"/>
    <w:multiLevelType w:val="multilevel"/>
    <w:tmpl w:val="0612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70B6E"/>
    <w:multiLevelType w:val="hybridMultilevel"/>
    <w:tmpl w:val="47F02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81011"/>
    <w:multiLevelType w:val="multilevel"/>
    <w:tmpl w:val="024426D2"/>
    <w:lvl w:ilvl="0">
      <w:start w:val="1"/>
      <w:numFmt w:val="decimal"/>
      <w:lvlText w:val="%1.0"/>
      <w:lvlJc w:val="left"/>
      <w:pPr>
        <w:ind w:left="440" w:hanging="440"/>
      </w:pPr>
      <w:rPr>
        <w:rFonts w:hint="default"/>
      </w:rPr>
    </w:lvl>
    <w:lvl w:ilvl="1">
      <w:start w:val="1"/>
      <w:numFmt w:val="decimalZero"/>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C5D63CF"/>
    <w:multiLevelType w:val="hybridMultilevel"/>
    <w:tmpl w:val="91E21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2B1D3D"/>
    <w:multiLevelType w:val="hybridMultilevel"/>
    <w:tmpl w:val="D7F8F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F7108"/>
    <w:multiLevelType w:val="multilevel"/>
    <w:tmpl w:val="1796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E76B25"/>
    <w:multiLevelType w:val="multilevel"/>
    <w:tmpl w:val="6F300E2E"/>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5C0D2BBB"/>
    <w:multiLevelType w:val="hybridMultilevel"/>
    <w:tmpl w:val="CB086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49785B"/>
    <w:multiLevelType w:val="hybridMultilevel"/>
    <w:tmpl w:val="FC785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9D41AC"/>
    <w:multiLevelType w:val="multilevel"/>
    <w:tmpl w:val="4AD2D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81386B"/>
    <w:multiLevelType w:val="hybridMultilevel"/>
    <w:tmpl w:val="4D508648"/>
    <w:lvl w:ilvl="0" w:tplc="F8F0A988">
      <w:start w:val="1"/>
      <w:numFmt w:val="decimal"/>
      <w:lvlText w:val="%1."/>
      <w:lvlJc w:val="left"/>
      <w:pPr>
        <w:ind w:left="360" w:hanging="360"/>
      </w:pPr>
      <w:rPr>
        <w:rFonts w:cstheme="minorHAnsi" w:hint="default"/>
        <w:color w:val="21212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E7B36F5"/>
    <w:multiLevelType w:val="multilevel"/>
    <w:tmpl w:val="35BE3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9527D2"/>
    <w:multiLevelType w:val="hybridMultilevel"/>
    <w:tmpl w:val="F2E2625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2736F9E"/>
    <w:multiLevelType w:val="hybridMultilevel"/>
    <w:tmpl w:val="B3A8C6EE"/>
    <w:lvl w:ilvl="0" w:tplc="6A1406A8">
      <w:start w:val="1"/>
      <w:numFmt w:val="decimal"/>
      <w:lvlText w:val="%1."/>
      <w:lvlJc w:val="left"/>
      <w:pPr>
        <w:ind w:left="360" w:hanging="360"/>
      </w:pPr>
      <w:rPr>
        <w:rFonts w:ascii="DIN" w:hAnsi="DIN" w:hint="default"/>
        <w:sz w:val="1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31128F0"/>
    <w:multiLevelType w:val="multilevel"/>
    <w:tmpl w:val="71901CC4"/>
    <w:lvl w:ilvl="0">
      <w:start w:val="1"/>
      <w:numFmt w:val="decimal"/>
      <w:lvlText w:val="%1.0"/>
      <w:lvlJc w:val="left"/>
      <w:pPr>
        <w:ind w:left="400" w:hanging="400"/>
      </w:pPr>
      <w:rPr>
        <w:rFonts w:hint="default"/>
      </w:rPr>
    </w:lvl>
    <w:lvl w:ilvl="1">
      <w:start w:val="1"/>
      <w:numFmt w:val="decimalZero"/>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757335203">
    <w:abstractNumId w:val="8"/>
  </w:num>
  <w:num w:numId="2" w16cid:durableId="1340960042">
    <w:abstractNumId w:val="14"/>
  </w:num>
  <w:num w:numId="3" w16cid:durableId="717706661">
    <w:abstractNumId w:val="3"/>
  </w:num>
  <w:num w:numId="4" w16cid:durableId="879051248">
    <w:abstractNumId w:val="15"/>
  </w:num>
  <w:num w:numId="5" w16cid:durableId="807824920">
    <w:abstractNumId w:val="7"/>
  </w:num>
  <w:num w:numId="6" w16cid:durableId="1651133149">
    <w:abstractNumId w:val="9"/>
  </w:num>
  <w:num w:numId="7" w16cid:durableId="1813981111">
    <w:abstractNumId w:val="4"/>
  </w:num>
  <w:num w:numId="8" w16cid:durableId="1861313704">
    <w:abstractNumId w:val="0"/>
  </w:num>
  <w:num w:numId="9" w16cid:durableId="1281032732">
    <w:abstractNumId w:val="1"/>
  </w:num>
  <w:num w:numId="10" w16cid:durableId="348219178">
    <w:abstractNumId w:val="2"/>
  </w:num>
  <w:num w:numId="11" w16cid:durableId="1406106779">
    <w:abstractNumId w:val="13"/>
  </w:num>
  <w:num w:numId="12" w16cid:durableId="543181068">
    <w:abstractNumId w:val="5"/>
  </w:num>
  <w:num w:numId="13" w16cid:durableId="1285697621">
    <w:abstractNumId w:val="11"/>
  </w:num>
  <w:num w:numId="14" w16cid:durableId="51739676">
    <w:abstractNumId w:val="6"/>
  </w:num>
  <w:num w:numId="15" w16cid:durableId="1328439867">
    <w:abstractNumId w:val="10"/>
  </w:num>
  <w:num w:numId="16" w16cid:durableId="1026128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20F"/>
    <w:rsid w:val="00005F64"/>
    <w:rsid w:val="00007809"/>
    <w:rsid w:val="00010985"/>
    <w:rsid w:val="00010ABA"/>
    <w:rsid w:val="000121CF"/>
    <w:rsid w:val="00014AF0"/>
    <w:rsid w:val="00014DCA"/>
    <w:rsid w:val="00015EC8"/>
    <w:rsid w:val="00020DF4"/>
    <w:rsid w:val="00021846"/>
    <w:rsid w:val="000220C4"/>
    <w:rsid w:val="0002238A"/>
    <w:rsid w:val="00024398"/>
    <w:rsid w:val="00026AB3"/>
    <w:rsid w:val="00026CE0"/>
    <w:rsid w:val="00027422"/>
    <w:rsid w:val="00030C50"/>
    <w:rsid w:val="0003211D"/>
    <w:rsid w:val="00033548"/>
    <w:rsid w:val="0003664C"/>
    <w:rsid w:val="0003794E"/>
    <w:rsid w:val="00043032"/>
    <w:rsid w:val="00043F60"/>
    <w:rsid w:val="000468B5"/>
    <w:rsid w:val="00047347"/>
    <w:rsid w:val="00051250"/>
    <w:rsid w:val="000518C9"/>
    <w:rsid w:val="00053EB1"/>
    <w:rsid w:val="00054A8F"/>
    <w:rsid w:val="000553DB"/>
    <w:rsid w:val="0006108D"/>
    <w:rsid w:val="00070719"/>
    <w:rsid w:val="00071CE8"/>
    <w:rsid w:val="000722F8"/>
    <w:rsid w:val="000735AF"/>
    <w:rsid w:val="000741DE"/>
    <w:rsid w:val="0007425D"/>
    <w:rsid w:val="000743EF"/>
    <w:rsid w:val="00075D83"/>
    <w:rsid w:val="0007659C"/>
    <w:rsid w:val="00076B95"/>
    <w:rsid w:val="00077462"/>
    <w:rsid w:val="00077F3E"/>
    <w:rsid w:val="00081C0B"/>
    <w:rsid w:val="000839CF"/>
    <w:rsid w:val="00086583"/>
    <w:rsid w:val="00086B98"/>
    <w:rsid w:val="00087AEB"/>
    <w:rsid w:val="000909D4"/>
    <w:rsid w:val="00090CE1"/>
    <w:rsid w:val="000923B4"/>
    <w:rsid w:val="00093636"/>
    <w:rsid w:val="00094403"/>
    <w:rsid w:val="000949F8"/>
    <w:rsid w:val="000952F8"/>
    <w:rsid w:val="00095723"/>
    <w:rsid w:val="00096AC5"/>
    <w:rsid w:val="000A23CC"/>
    <w:rsid w:val="000A3DEE"/>
    <w:rsid w:val="000A443C"/>
    <w:rsid w:val="000A58A8"/>
    <w:rsid w:val="000A5B02"/>
    <w:rsid w:val="000B4E62"/>
    <w:rsid w:val="000B5B20"/>
    <w:rsid w:val="000B6C7B"/>
    <w:rsid w:val="000C196B"/>
    <w:rsid w:val="000C2A23"/>
    <w:rsid w:val="000C50B0"/>
    <w:rsid w:val="000D0728"/>
    <w:rsid w:val="000D18DD"/>
    <w:rsid w:val="000D285A"/>
    <w:rsid w:val="000E20D8"/>
    <w:rsid w:val="000E5CF6"/>
    <w:rsid w:val="000E64AA"/>
    <w:rsid w:val="000F0B4D"/>
    <w:rsid w:val="000F1C3D"/>
    <w:rsid w:val="000F479E"/>
    <w:rsid w:val="000F65BF"/>
    <w:rsid w:val="00100BDD"/>
    <w:rsid w:val="00102EC1"/>
    <w:rsid w:val="00104855"/>
    <w:rsid w:val="00104CC1"/>
    <w:rsid w:val="00104F4E"/>
    <w:rsid w:val="00105B13"/>
    <w:rsid w:val="001072AC"/>
    <w:rsid w:val="00107359"/>
    <w:rsid w:val="001108FE"/>
    <w:rsid w:val="00110EA8"/>
    <w:rsid w:val="001110A9"/>
    <w:rsid w:val="001121A5"/>
    <w:rsid w:val="00112A59"/>
    <w:rsid w:val="001134B6"/>
    <w:rsid w:val="00114D26"/>
    <w:rsid w:val="00126486"/>
    <w:rsid w:val="00127A56"/>
    <w:rsid w:val="00133C08"/>
    <w:rsid w:val="00133CCB"/>
    <w:rsid w:val="00134CE9"/>
    <w:rsid w:val="00136999"/>
    <w:rsid w:val="00142B3D"/>
    <w:rsid w:val="001441EC"/>
    <w:rsid w:val="0014612E"/>
    <w:rsid w:val="00147F38"/>
    <w:rsid w:val="00150D42"/>
    <w:rsid w:val="00152D31"/>
    <w:rsid w:val="001532C9"/>
    <w:rsid w:val="001563B3"/>
    <w:rsid w:val="00161D3C"/>
    <w:rsid w:val="0016260F"/>
    <w:rsid w:val="00163473"/>
    <w:rsid w:val="00163B96"/>
    <w:rsid w:val="0016456A"/>
    <w:rsid w:val="00164713"/>
    <w:rsid w:val="0016653C"/>
    <w:rsid w:val="00171A89"/>
    <w:rsid w:val="00175E9D"/>
    <w:rsid w:val="00176169"/>
    <w:rsid w:val="00177E04"/>
    <w:rsid w:val="0018000A"/>
    <w:rsid w:val="001827B2"/>
    <w:rsid w:val="00182BB1"/>
    <w:rsid w:val="00183B51"/>
    <w:rsid w:val="001848C8"/>
    <w:rsid w:val="00184C10"/>
    <w:rsid w:val="00184E72"/>
    <w:rsid w:val="00184FC1"/>
    <w:rsid w:val="001874D4"/>
    <w:rsid w:val="00187E66"/>
    <w:rsid w:val="00190249"/>
    <w:rsid w:val="00191813"/>
    <w:rsid w:val="0019183C"/>
    <w:rsid w:val="00192BA4"/>
    <w:rsid w:val="00197FB8"/>
    <w:rsid w:val="001A4760"/>
    <w:rsid w:val="001A51ED"/>
    <w:rsid w:val="001B0AFA"/>
    <w:rsid w:val="001B1184"/>
    <w:rsid w:val="001B138C"/>
    <w:rsid w:val="001B5C28"/>
    <w:rsid w:val="001B71C0"/>
    <w:rsid w:val="001C23CA"/>
    <w:rsid w:val="001C5AA8"/>
    <w:rsid w:val="001C61EF"/>
    <w:rsid w:val="001D1C64"/>
    <w:rsid w:val="001D441C"/>
    <w:rsid w:val="001D67F2"/>
    <w:rsid w:val="001D6AAF"/>
    <w:rsid w:val="001D7F5F"/>
    <w:rsid w:val="001E2EFF"/>
    <w:rsid w:val="001E3722"/>
    <w:rsid w:val="001E37A5"/>
    <w:rsid w:val="001E39AB"/>
    <w:rsid w:val="001E5DB5"/>
    <w:rsid w:val="001F04D3"/>
    <w:rsid w:val="001F1FB0"/>
    <w:rsid w:val="001F48E5"/>
    <w:rsid w:val="0020066C"/>
    <w:rsid w:val="002011B6"/>
    <w:rsid w:val="00206B30"/>
    <w:rsid w:val="00211435"/>
    <w:rsid w:val="00211B8E"/>
    <w:rsid w:val="00212CF0"/>
    <w:rsid w:val="00214710"/>
    <w:rsid w:val="002162F9"/>
    <w:rsid w:val="00217807"/>
    <w:rsid w:val="0021799A"/>
    <w:rsid w:val="0022519E"/>
    <w:rsid w:val="002304B5"/>
    <w:rsid w:val="0024237A"/>
    <w:rsid w:val="00242775"/>
    <w:rsid w:val="00247651"/>
    <w:rsid w:val="002477D8"/>
    <w:rsid w:val="00250EC5"/>
    <w:rsid w:val="002513AF"/>
    <w:rsid w:val="0025281D"/>
    <w:rsid w:val="002530F7"/>
    <w:rsid w:val="00256E27"/>
    <w:rsid w:val="002577B4"/>
    <w:rsid w:val="00261293"/>
    <w:rsid w:val="00261FD7"/>
    <w:rsid w:val="00263FC5"/>
    <w:rsid w:val="00264473"/>
    <w:rsid w:val="00264923"/>
    <w:rsid w:val="0026758E"/>
    <w:rsid w:val="00270D2E"/>
    <w:rsid w:val="00271292"/>
    <w:rsid w:val="002731DB"/>
    <w:rsid w:val="0027465E"/>
    <w:rsid w:val="00277650"/>
    <w:rsid w:val="00281FD2"/>
    <w:rsid w:val="002820EE"/>
    <w:rsid w:val="0028222F"/>
    <w:rsid w:val="00283ACE"/>
    <w:rsid w:val="002842E8"/>
    <w:rsid w:val="002852DE"/>
    <w:rsid w:val="002863F1"/>
    <w:rsid w:val="00286FD9"/>
    <w:rsid w:val="00287FA3"/>
    <w:rsid w:val="0029106B"/>
    <w:rsid w:val="00292F14"/>
    <w:rsid w:val="002952E6"/>
    <w:rsid w:val="00295B66"/>
    <w:rsid w:val="00296854"/>
    <w:rsid w:val="00296C83"/>
    <w:rsid w:val="002A0D8E"/>
    <w:rsid w:val="002A2AF0"/>
    <w:rsid w:val="002A2D80"/>
    <w:rsid w:val="002A3254"/>
    <w:rsid w:val="002A3A13"/>
    <w:rsid w:val="002B09AE"/>
    <w:rsid w:val="002B1223"/>
    <w:rsid w:val="002B2CA6"/>
    <w:rsid w:val="002B2D23"/>
    <w:rsid w:val="002B38DB"/>
    <w:rsid w:val="002B3C6D"/>
    <w:rsid w:val="002B608D"/>
    <w:rsid w:val="002B6535"/>
    <w:rsid w:val="002B7AA0"/>
    <w:rsid w:val="002B7D40"/>
    <w:rsid w:val="002C18B9"/>
    <w:rsid w:val="002C1FF9"/>
    <w:rsid w:val="002C3ABA"/>
    <w:rsid w:val="002C4DF1"/>
    <w:rsid w:val="002C6755"/>
    <w:rsid w:val="002C6DD0"/>
    <w:rsid w:val="002D165C"/>
    <w:rsid w:val="002D6EF6"/>
    <w:rsid w:val="002D7EEF"/>
    <w:rsid w:val="002E1D77"/>
    <w:rsid w:val="002E2B94"/>
    <w:rsid w:val="002E4F7C"/>
    <w:rsid w:val="002E600D"/>
    <w:rsid w:val="002E7B12"/>
    <w:rsid w:val="002F12B9"/>
    <w:rsid w:val="002F16B0"/>
    <w:rsid w:val="002F27D1"/>
    <w:rsid w:val="002F2872"/>
    <w:rsid w:val="003004EF"/>
    <w:rsid w:val="00304440"/>
    <w:rsid w:val="003060A7"/>
    <w:rsid w:val="003073CC"/>
    <w:rsid w:val="003079D2"/>
    <w:rsid w:val="003130CA"/>
    <w:rsid w:val="003133E7"/>
    <w:rsid w:val="00314805"/>
    <w:rsid w:val="0031621F"/>
    <w:rsid w:val="003162E7"/>
    <w:rsid w:val="00316E9E"/>
    <w:rsid w:val="00317321"/>
    <w:rsid w:val="00317877"/>
    <w:rsid w:val="00320BDE"/>
    <w:rsid w:val="00321B34"/>
    <w:rsid w:val="0032321A"/>
    <w:rsid w:val="00324583"/>
    <w:rsid w:val="0032478B"/>
    <w:rsid w:val="003253C7"/>
    <w:rsid w:val="00326D09"/>
    <w:rsid w:val="00326F8C"/>
    <w:rsid w:val="0032742F"/>
    <w:rsid w:val="00332AB0"/>
    <w:rsid w:val="00332B3C"/>
    <w:rsid w:val="0033501D"/>
    <w:rsid w:val="0033546C"/>
    <w:rsid w:val="00335760"/>
    <w:rsid w:val="003357D3"/>
    <w:rsid w:val="003359D8"/>
    <w:rsid w:val="00336FD0"/>
    <w:rsid w:val="003373BD"/>
    <w:rsid w:val="0034054E"/>
    <w:rsid w:val="003422F9"/>
    <w:rsid w:val="00345C7B"/>
    <w:rsid w:val="003505C9"/>
    <w:rsid w:val="00351503"/>
    <w:rsid w:val="00351EE4"/>
    <w:rsid w:val="00357603"/>
    <w:rsid w:val="00357F5A"/>
    <w:rsid w:val="00360228"/>
    <w:rsid w:val="00361B0C"/>
    <w:rsid w:val="00362C4A"/>
    <w:rsid w:val="00363999"/>
    <w:rsid w:val="00364310"/>
    <w:rsid w:val="00365387"/>
    <w:rsid w:val="00365BD3"/>
    <w:rsid w:val="00366613"/>
    <w:rsid w:val="00367380"/>
    <w:rsid w:val="00367639"/>
    <w:rsid w:val="003678FC"/>
    <w:rsid w:val="00370DCF"/>
    <w:rsid w:val="00372712"/>
    <w:rsid w:val="00376601"/>
    <w:rsid w:val="0037672E"/>
    <w:rsid w:val="003819AD"/>
    <w:rsid w:val="00386B03"/>
    <w:rsid w:val="003870DC"/>
    <w:rsid w:val="003904CB"/>
    <w:rsid w:val="0039333D"/>
    <w:rsid w:val="00393A3B"/>
    <w:rsid w:val="00395086"/>
    <w:rsid w:val="003A145C"/>
    <w:rsid w:val="003A2E29"/>
    <w:rsid w:val="003A3088"/>
    <w:rsid w:val="003A3C55"/>
    <w:rsid w:val="003A4C96"/>
    <w:rsid w:val="003B05DB"/>
    <w:rsid w:val="003B0CF4"/>
    <w:rsid w:val="003B1CE6"/>
    <w:rsid w:val="003B31D3"/>
    <w:rsid w:val="003B35E9"/>
    <w:rsid w:val="003B6372"/>
    <w:rsid w:val="003B6CD6"/>
    <w:rsid w:val="003B7E02"/>
    <w:rsid w:val="003C24DC"/>
    <w:rsid w:val="003C2BFE"/>
    <w:rsid w:val="003C5AED"/>
    <w:rsid w:val="003C7FF8"/>
    <w:rsid w:val="003D157E"/>
    <w:rsid w:val="003E3236"/>
    <w:rsid w:val="003E4662"/>
    <w:rsid w:val="003E4CD5"/>
    <w:rsid w:val="003F10D3"/>
    <w:rsid w:val="003F2EC8"/>
    <w:rsid w:val="003F4BDF"/>
    <w:rsid w:val="003F6C0E"/>
    <w:rsid w:val="00403D87"/>
    <w:rsid w:val="00405ED9"/>
    <w:rsid w:val="0041007F"/>
    <w:rsid w:val="004113B4"/>
    <w:rsid w:val="00412592"/>
    <w:rsid w:val="00412E00"/>
    <w:rsid w:val="00413982"/>
    <w:rsid w:val="00413EDF"/>
    <w:rsid w:val="00416B12"/>
    <w:rsid w:val="00416F55"/>
    <w:rsid w:val="00421F79"/>
    <w:rsid w:val="00422DD9"/>
    <w:rsid w:val="00423E10"/>
    <w:rsid w:val="00426BB4"/>
    <w:rsid w:val="0043184D"/>
    <w:rsid w:val="00432A70"/>
    <w:rsid w:val="004375B0"/>
    <w:rsid w:val="004378FE"/>
    <w:rsid w:val="00440763"/>
    <w:rsid w:val="00442C92"/>
    <w:rsid w:val="00443DD6"/>
    <w:rsid w:val="00443F96"/>
    <w:rsid w:val="00444021"/>
    <w:rsid w:val="00445F2B"/>
    <w:rsid w:val="004468C3"/>
    <w:rsid w:val="00450162"/>
    <w:rsid w:val="00450A86"/>
    <w:rsid w:val="00455985"/>
    <w:rsid w:val="004661F3"/>
    <w:rsid w:val="0046768D"/>
    <w:rsid w:val="00467866"/>
    <w:rsid w:val="00472710"/>
    <w:rsid w:val="004732C0"/>
    <w:rsid w:val="004755FD"/>
    <w:rsid w:val="0047759B"/>
    <w:rsid w:val="004813B4"/>
    <w:rsid w:val="004875FA"/>
    <w:rsid w:val="004905D5"/>
    <w:rsid w:val="00496BA9"/>
    <w:rsid w:val="0049759D"/>
    <w:rsid w:val="004A1946"/>
    <w:rsid w:val="004A1F4C"/>
    <w:rsid w:val="004A25FB"/>
    <w:rsid w:val="004A4247"/>
    <w:rsid w:val="004A42CB"/>
    <w:rsid w:val="004A7E5C"/>
    <w:rsid w:val="004B064F"/>
    <w:rsid w:val="004B098F"/>
    <w:rsid w:val="004B748B"/>
    <w:rsid w:val="004C32B0"/>
    <w:rsid w:val="004C4A2E"/>
    <w:rsid w:val="004C7246"/>
    <w:rsid w:val="004D4586"/>
    <w:rsid w:val="004D63A0"/>
    <w:rsid w:val="004D6790"/>
    <w:rsid w:val="004E33C1"/>
    <w:rsid w:val="004E5945"/>
    <w:rsid w:val="004E633E"/>
    <w:rsid w:val="004F1DB5"/>
    <w:rsid w:val="004F2561"/>
    <w:rsid w:val="004F4357"/>
    <w:rsid w:val="004F71B6"/>
    <w:rsid w:val="0050042F"/>
    <w:rsid w:val="0050087F"/>
    <w:rsid w:val="00501BE6"/>
    <w:rsid w:val="00502269"/>
    <w:rsid w:val="005026C9"/>
    <w:rsid w:val="00502FED"/>
    <w:rsid w:val="0050491F"/>
    <w:rsid w:val="00504AEB"/>
    <w:rsid w:val="005059DE"/>
    <w:rsid w:val="00505F7A"/>
    <w:rsid w:val="00510E16"/>
    <w:rsid w:val="0051164D"/>
    <w:rsid w:val="00512847"/>
    <w:rsid w:val="005144B7"/>
    <w:rsid w:val="005149AF"/>
    <w:rsid w:val="005151A7"/>
    <w:rsid w:val="00516365"/>
    <w:rsid w:val="00516FC7"/>
    <w:rsid w:val="0051790A"/>
    <w:rsid w:val="00523C46"/>
    <w:rsid w:val="00523DF8"/>
    <w:rsid w:val="00524789"/>
    <w:rsid w:val="00525C1F"/>
    <w:rsid w:val="0053220F"/>
    <w:rsid w:val="005328C2"/>
    <w:rsid w:val="0053372C"/>
    <w:rsid w:val="00535254"/>
    <w:rsid w:val="00535CA9"/>
    <w:rsid w:val="00535F3A"/>
    <w:rsid w:val="0053751A"/>
    <w:rsid w:val="00542B01"/>
    <w:rsid w:val="00543125"/>
    <w:rsid w:val="00543972"/>
    <w:rsid w:val="00545006"/>
    <w:rsid w:val="00546A5F"/>
    <w:rsid w:val="00547A1C"/>
    <w:rsid w:val="005506A0"/>
    <w:rsid w:val="0055548B"/>
    <w:rsid w:val="00556A97"/>
    <w:rsid w:val="00557322"/>
    <w:rsid w:val="005639BE"/>
    <w:rsid w:val="005639C7"/>
    <w:rsid w:val="00564F76"/>
    <w:rsid w:val="005678B8"/>
    <w:rsid w:val="0057037E"/>
    <w:rsid w:val="00572069"/>
    <w:rsid w:val="0057557C"/>
    <w:rsid w:val="00577D6B"/>
    <w:rsid w:val="00580D79"/>
    <w:rsid w:val="00581BA3"/>
    <w:rsid w:val="00582F49"/>
    <w:rsid w:val="005841C0"/>
    <w:rsid w:val="00585DC1"/>
    <w:rsid w:val="00590269"/>
    <w:rsid w:val="00591906"/>
    <w:rsid w:val="00592B9E"/>
    <w:rsid w:val="00592E2B"/>
    <w:rsid w:val="005948EE"/>
    <w:rsid w:val="005A0100"/>
    <w:rsid w:val="005A0724"/>
    <w:rsid w:val="005A2B43"/>
    <w:rsid w:val="005A3028"/>
    <w:rsid w:val="005B2106"/>
    <w:rsid w:val="005B2422"/>
    <w:rsid w:val="005B2B1D"/>
    <w:rsid w:val="005B3858"/>
    <w:rsid w:val="005B45E7"/>
    <w:rsid w:val="005B5826"/>
    <w:rsid w:val="005B76F8"/>
    <w:rsid w:val="005C1EA7"/>
    <w:rsid w:val="005C20BA"/>
    <w:rsid w:val="005C47C8"/>
    <w:rsid w:val="005D06AE"/>
    <w:rsid w:val="005D25C5"/>
    <w:rsid w:val="005D3118"/>
    <w:rsid w:val="005D3441"/>
    <w:rsid w:val="005D6B33"/>
    <w:rsid w:val="005E1D9A"/>
    <w:rsid w:val="005E2095"/>
    <w:rsid w:val="005E2A10"/>
    <w:rsid w:val="005E30B1"/>
    <w:rsid w:val="005E38FB"/>
    <w:rsid w:val="005E3B6A"/>
    <w:rsid w:val="005E4F20"/>
    <w:rsid w:val="005E522D"/>
    <w:rsid w:val="005E768C"/>
    <w:rsid w:val="005E7F87"/>
    <w:rsid w:val="005F126C"/>
    <w:rsid w:val="005F167E"/>
    <w:rsid w:val="005F42CB"/>
    <w:rsid w:val="005F58FD"/>
    <w:rsid w:val="005F769F"/>
    <w:rsid w:val="005F76E6"/>
    <w:rsid w:val="006013E4"/>
    <w:rsid w:val="00601C65"/>
    <w:rsid w:val="00602EAE"/>
    <w:rsid w:val="006039C0"/>
    <w:rsid w:val="00603B59"/>
    <w:rsid w:val="006047D2"/>
    <w:rsid w:val="00604DC9"/>
    <w:rsid w:val="006054AA"/>
    <w:rsid w:val="006061A6"/>
    <w:rsid w:val="00606BAF"/>
    <w:rsid w:val="006071D8"/>
    <w:rsid w:val="0060763F"/>
    <w:rsid w:val="00607659"/>
    <w:rsid w:val="00607DB5"/>
    <w:rsid w:val="006101DD"/>
    <w:rsid w:val="006149BC"/>
    <w:rsid w:val="006165DF"/>
    <w:rsid w:val="00616A14"/>
    <w:rsid w:val="00620AC8"/>
    <w:rsid w:val="00623F8A"/>
    <w:rsid w:val="0062401F"/>
    <w:rsid w:val="006247D4"/>
    <w:rsid w:val="006256DD"/>
    <w:rsid w:val="00626ED3"/>
    <w:rsid w:val="00627557"/>
    <w:rsid w:val="00630836"/>
    <w:rsid w:val="006314A8"/>
    <w:rsid w:val="006320B4"/>
    <w:rsid w:val="00632AB0"/>
    <w:rsid w:val="006347FB"/>
    <w:rsid w:val="006354E9"/>
    <w:rsid w:val="00636C2B"/>
    <w:rsid w:val="006370CC"/>
    <w:rsid w:val="00640171"/>
    <w:rsid w:val="00640E51"/>
    <w:rsid w:val="0064180E"/>
    <w:rsid w:val="00643747"/>
    <w:rsid w:val="00644AEB"/>
    <w:rsid w:val="00646406"/>
    <w:rsid w:val="006478B5"/>
    <w:rsid w:val="00650DD8"/>
    <w:rsid w:val="00655A2E"/>
    <w:rsid w:val="00656EDC"/>
    <w:rsid w:val="0066193F"/>
    <w:rsid w:val="006631D4"/>
    <w:rsid w:val="00665ABD"/>
    <w:rsid w:val="0066790D"/>
    <w:rsid w:val="006761F9"/>
    <w:rsid w:val="006770C1"/>
    <w:rsid w:val="006817B9"/>
    <w:rsid w:val="00694514"/>
    <w:rsid w:val="006957DF"/>
    <w:rsid w:val="00695D6E"/>
    <w:rsid w:val="00695FE8"/>
    <w:rsid w:val="0069674C"/>
    <w:rsid w:val="00696FE3"/>
    <w:rsid w:val="00697260"/>
    <w:rsid w:val="006A0C97"/>
    <w:rsid w:val="006A248A"/>
    <w:rsid w:val="006A41E2"/>
    <w:rsid w:val="006A572C"/>
    <w:rsid w:val="006B07A2"/>
    <w:rsid w:val="006B3AD8"/>
    <w:rsid w:val="006B688A"/>
    <w:rsid w:val="006C2BEF"/>
    <w:rsid w:val="006C37AC"/>
    <w:rsid w:val="006C3A1F"/>
    <w:rsid w:val="006C4C59"/>
    <w:rsid w:val="006C5654"/>
    <w:rsid w:val="006C731E"/>
    <w:rsid w:val="006C7775"/>
    <w:rsid w:val="006C7FEB"/>
    <w:rsid w:val="006D2631"/>
    <w:rsid w:val="006D5A8A"/>
    <w:rsid w:val="006D6550"/>
    <w:rsid w:val="006D6C12"/>
    <w:rsid w:val="006E11F5"/>
    <w:rsid w:val="006E19C8"/>
    <w:rsid w:val="006E2C40"/>
    <w:rsid w:val="006E3046"/>
    <w:rsid w:val="006E3CA4"/>
    <w:rsid w:val="006E433D"/>
    <w:rsid w:val="006E4CA7"/>
    <w:rsid w:val="006E5504"/>
    <w:rsid w:val="006E558D"/>
    <w:rsid w:val="006E5936"/>
    <w:rsid w:val="006F1B80"/>
    <w:rsid w:val="006F41F3"/>
    <w:rsid w:val="006F4667"/>
    <w:rsid w:val="006F4D9F"/>
    <w:rsid w:val="00701F2A"/>
    <w:rsid w:val="00702881"/>
    <w:rsid w:val="00702F27"/>
    <w:rsid w:val="007033A9"/>
    <w:rsid w:val="007035FE"/>
    <w:rsid w:val="007059FD"/>
    <w:rsid w:val="00711B0A"/>
    <w:rsid w:val="007136B9"/>
    <w:rsid w:val="007141F2"/>
    <w:rsid w:val="00716060"/>
    <w:rsid w:val="00717FD0"/>
    <w:rsid w:val="007203B0"/>
    <w:rsid w:val="007221C2"/>
    <w:rsid w:val="007231C1"/>
    <w:rsid w:val="00723244"/>
    <w:rsid w:val="00727F11"/>
    <w:rsid w:val="007308C6"/>
    <w:rsid w:val="0073119E"/>
    <w:rsid w:val="00732330"/>
    <w:rsid w:val="00732DC2"/>
    <w:rsid w:val="0073455F"/>
    <w:rsid w:val="00734A6B"/>
    <w:rsid w:val="00734D7F"/>
    <w:rsid w:val="00735A96"/>
    <w:rsid w:val="007368CF"/>
    <w:rsid w:val="00736DB8"/>
    <w:rsid w:val="007373DC"/>
    <w:rsid w:val="00740378"/>
    <w:rsid w:val="00740A0A"/>
    <w:rsid w:val="00740B20"/>
    <w:rsid w:val="00741A30"/>
    <w:rsid w:val="00742194"/>
    <w:rsid w:val="00744354"/>
    <w:rsid w:val="00746147"/>
    <w:rsid w:val="007466E0"/>
    <w:rsid w:val="0075115C"/>
    <w:rsid w:val="007532B8"/>
    <w:rsid w:val="007565FA"/>
    <w:rsid w:val="00760C6F"/>
    <w:rsid w:val="00760D76"/>
    <w:rsid w:val="00760EB3"/>
    <w:rsid w:val="00763461"/>
    <w:rsid w:val="00763A5B"/>
    <w:rsid w:val="00763D4A"/>
    <w:rsid w:val="00764473"/>
    <w:rsid w:val="00767ED3"/>
    <w:rsid w:val="00772BBA"/>
    <w:rsid w:val="00772FEA"/>
    <w:rsid w:val="0077307A"/>
    <w:rsid w:val="0077510C"/>
    <w:rsid w:val="00776EC6"/>
    <w:rsid w:val="007771BF"/>
    <w:rsid w:val="00777422"/>
    <w:rsid w:val="007775DA"/>
    <w:rsid w:val="00777CC6"/>
    <w:rsid w:val="0078015A"/>
    <w:rsid w:val="007817B6"/>
    <w:rsid w:val="00782D3C"/>
    <w:rsid w:val="00784531"/>
    <w:rsid w:val="00784AE4"/>
    <w:rsid w:val="00784B6E"/>
    <w:rsid w:val="0078548C"/>
    <w:rsid w:val="00792252"/>
    <w:rsid w:val="00794149"/>
    <w:rsid w:val="0079471F"/>
    <w:rsid w:val="0079592C"/>
    <w:rsid w:val="00796352"/>
    <w:rsid w:val="00796795"/>
    <w:rsid w:val="0079726A"/>
    <w:rsid w:val="00797726"/>
    <w:rsid w:val="007A0D4C"/>
    <w:rsid w:val="007A162B"/>
    <w:rsid w:val="007A1906"/>
    <w:rsid w:val="007A66BA"/>
    <w:rsid w:val="007A767F"/>
    <w:rsid w:val="007B1D54"/>
    <w:rsid w:val="007B39DC"/>
    <w:rsid w:val="007B4B4E"/>
    <w:rsid w:val="007B5686"/>
    <w:rsid w:val="007B5F0A"/>
    <w:rsid w:val="007B76F2"/>
    <w:rsid w:val="007B77F7"/>
    <w:rsid w:val="007C4AA8"/>
    <w:rsid w:val="007D1243"/>
    <w:rsid w:val="007D3A00"/>
    <w:rsid w:val="007D44C5"/>
    <w:rsid w:val="007D5CD2"/>
    <w:rsid w:val="007D64E9"/>
    <w:rsid w:val="007E1514"/>
    <w:rsid w:val="007E4963"/>
    <w:rsid w:val="007E6624"/>
    <w:rsid w:val="007E7210"/>
    <w:rsid w:val="007E76B2"/>
    <w:rsid w:val="007F0F2F"/>
    <w:rsid w:val="007F24E3"/>
    <w:rsid w:val="007F45A8"/>
    <w:rsid w:val="007F5083"/>
    <w:rsid w:val="007F7B54"/>
    <w:rsid w:val="00806C7C"/>
    <w:rsid w:val="00807B14"/>
    <w:rsid w:val="00812D80"/>
    <w:rsid w:val="00813611"/>
    <w:rsid w:val="00813E51"/>
    <w:rsid w:val="0081593E"/>
    <w:rsid w:val="00816FCA"/>
    <w:rsid w:val="00817654"/>
    <w:rsid w:val="00822734"/>
    <w:rsid w:val="008233D9"/>
    <w:rsid w:val="00825E59"/>
    <w:rsid w:val="00830528"/>
    <w:rsid w:val="00831E72"/>
    <w:rsid w:val="008335C6"/>
    <w:rsid w:val="0083498D"/>
    <w:rsid w:val="00836AAA"/>
    <w:rsid w:val="00836E66"/>
    <w:rsid w:val="008375B5"/>
    <w:rsid w:val="00846C53"/>
    <w:rsid w:val="00856E09"/>
    <w:rsid w:val="0085716E"/>
    <w:rsid w:val="00862C99"/>
    <w:rsid w:val="00862FE8"/>
    <w:rsid w:val="00867906"/>
    <w:rsid w:val="00867DEA"/>
    <w:rsid w:val="00871AFA"/>
    <w:rsid w:val="00875E20"/>
    <w:rsid w:val="0087601F"/>
    <w:rsid w:val="008767DD"/>
    <w:rsid w:val="00876B57"/>
    <w:rsid w:val="00883021"/>
    <w:rsid w:val="00884CE1"/>
    <w:rsid w:val="00885EB6"/>
    <w:rsid w:val="0088685B"/>
    <w:rsid w:val="00891D6A"/>
    <w:rsid w:val="00893D89"/>
    <w:rsid w:val="00896C8D"/>
    <w:rsid w:val="008A38F0"/>
    <w:rsid w:val="008A4C29"/>
    <w:rsid w:val="008A6F3B"/>
    <w:rsid w:val="008B0263"/>
    <w:rsid w:val="008B07C8"/>
    <w:rsid w:val="008B158C"/>
    <w:rsid w:val="008B1940"/>
    <w:rsid w:val="008B20BA"/>
    <w:rsid w:val="008B3DA1"/>
    <w:rsid w:val="008B4413"/>
    <w:rsid w:val="008B59A1"/>
    <w:rsid w:val="008C1BC7"/>
    <w:rsid w:val="008C2EEA"/>
    <w:rsid w:val="008C36E5"/>
    <w:rsid w:val="008C6F9D"/>
    <w:rsid w:val="008C7ADB"/>
    <w:rsid w:val="008C7BA0"/>
    <w:rsid w:val="008C7E3B"/>
    <w:rsid w:val="008D1E07"/>
    <w:rsid w:val="008D25B7"/>
    <w:rsid w:val="008D5F35"/>
    <w:rsid w:val="008D6808"/>
    <w:rsid w:val="008D74FD"/>
    <w:rsid w:val="008E231C"/>
    <w:rsid w:val="008E341A"/>
    <w:rsid w:val="008E6CAF"/>
    <w:rsid w:val="008F37E2"/>
    <w:rsid w:val="008F741F"/>
    <w:rsid w:val="0090053E"/>
    <w:rsid w:val="00901300"/>
    <w:rsid w:val="009124C3"/>
    <w:rsid w:val="00913933"/>
    <w:rsid w:val="00913F2B"/>
    <w:rsid w:val="0091600D"/>
    <w:rsid w:val="00916377"/>
    <w:rsid w:val="009171EC"/>
    <w:rsid w:val="0092160B"/>
    <w:rsid w:val="0092162D"/>
    <w:rsid w:val="0092652E"/>
    <w:rsid w:val="009268AD"/>
    <w:rsid w:val="00932043"/>
    <w:rsid w:val="00932463"/>
    <w:rsid w:val="0093321F"/>
    <w:rsid w:val="00934181"/>
    <w:rsid w:val="00935463"/>
    <w:rsid w:val="00936991"/>
    <w:rsid w:val="00936C70"/>
    <w:rsid w:val="00937328"/>
    <w:rsid w:val="00941E45"/>
    <w:rsid w:val="00941EB0"/>
    <w:rsid w:val="009425D6"/>
    <w:rsid w:val="00943227"/>
    <w:rsid w:val="0094441D"/>
    <w:rsid w:val="00944AEA"/>
    <w:rsid w:val="0094621F"/>
    <w:rsid w:val="0094622D"/>
    <w:rsid w:val="00952E40"/>
    <w:rsid w:val="0095565B"/>
    <w:rsid w:val="00957661"/>
    <w:rsid w:val="009677E9"/>
    <w:rsid w:val="009754B5"/>
    <w:rsid w:val="00976766"/>
    <w:rsid w:val="009807E8"/>
    <w:rsid w:val="00980DAE"/>
    <w:rsid w:val="00980E12"/>
    <w:rsid w:val="00982315"/>
    <w:rsid w:val="0098591A"/>
    <w:rsid w:val="00986F73"/>
    <w:rsid w:val="009927EC"/>
    <w:rsid w:val="00992A5D"/>
    <w:rsid w:val="0099535D"/>
    <w:rsid w:val="00995C48"/>
    <w:rsid w:val="00995D08"/>
    <w:rsid w:val="009962A3"/>
    <w:rsid w:val="009963F1"/>
    <w:rsid w:val="00996C85"/>
    <w:rsid w:val="00996DA2"/>
    <w:rsid w:val="00997404"/>
    <w:rsid w:val="009A2F69"/>
    <w:rsid w:val="009A72C9"/>
    <w:rsid w:val="009B0FBF"/>
    <w:rsid w:val="009B1023"/>
    <w:rsid w:val="009B407A"/>
    <w:rsid w:val="009B453A"/>
    <w:rsid w:val="009B653A"/>
    <w:rsid w:val="009B7D63"/>
    <w:rsid w:val="009C0B49"/>
    <w:rsid w:val="009C0DA3"/>
    <w:rsid w:val="009C1730"/>
    <w:rsid w:val="009C2224"/>
    <w:rsid w:val="009D0DCD"/>
    <w:rsid w:val="009D27F9"/>
    <w:rsid w:val="009D4D3A"/>
    <w:rsid w:val="009D6383"/>
    <w:rsid w:val="009E18D2"/>
    <w:rsid w:val="009E28F3"/>
    <w:rsid w:val="009E4E0C"/>
    <w:rsid w:val="009E5229"/>
    <w:rsid w:val="009E556B"/>
    <w:rsid w:val="009F09BA"/>
    <w:rsid w:val="009F34F4"/>
    <w:rsid w:val="009F4375"/>
    <w:rsid w:val="009F5209"/>
    <w:rsid w:val="00A00242"/>
    <w:rsid w:val="00A0149F"/>
    <w:rsid w:val="00A02F1D"/>
    <w:rsid w:val="00A03E91"/>
    <w:rsid w:val="00A06563"/>
    <w:rsid w:val="00A10388"/>
    <w:rsid w:val="00A10AE1"/>
    <w:rsid w:val="00A124A0"/>
    <w:rsid w:val="00A12AC9"/>
    <w:rsid w:val="00A12DD0"/>
    <w:rsid w:val="00A1538C"/>
    <w:rsid w:val="00A16629"/>
    <w:rsid w:val="00A17049"/>
    <w:rsid w:val="00A209CA"/>
    <w:rsid w:val="00A21AD0"/>
    <w:rsid w:val="00A302B4"/>
    <w:rsid w:val="00A36D4C"/>
    <w:rsid w:val="00A37BCB"/>
    <w:rsid w:val="00A4485A"/>
    <w:rsid w:val="00A449EE"/>
    <w:rsid w:val="00A45488"/>
    <w:rsid w:val="00A45A0B"/>
    <w:rsid w:val="00A45D7D"/>
    <w:rsid w:val="00A460C5"/>
    <w:rsid w:val="00A473AD"/>
    <w:rsid w:val="00A50D5A"/>
    <w:rsid w:val="00A5351C"/>
    <w:rsid w:val="00A538D8"/>
    <w:rsid w:val="00A571BF"/>
    <w:rsid w:val="00A6174D"/>
    <w:rsid w:val="00A628BC"/>
    <w:rsid w:val="00A62C61"/>
    <w:rsid w:val="00A65D88"/>
    <w:rsid w:val="00A66EF5"/>
    <w:rsid w:val="00A67247"/>
    <w:rsid w:val="00A70EA0"/>
    <w:rsid w:val="00A71B83"/>
    <w:rsid w:val="00A74000"/>
    <w:rsid w:val="00A75DA3"/>
    <w:rsid w:val="00A76806"/>
    <w:rsid w:val="00A828AE"/>
    <w:rsid w:val="00A87E61"/>
    <w:rsid w:val="00A90751"/>
    <w:rsid w:val="00A92309"/>
    <w:rsid w:val="00A94750"/>
    <w:rsid w:val="00A94A67"/>
    <w:rsid w:val="00A955C6"/>
    <w:rsid w:val="00A967D3"/>
    <w:rsid w:val="00A979C4"/>
    <w:rsid w:val="00AA0B2B"/>
    <w:rsid w:val="00AA166F"/>
    <w:rsid w:val="00AA2439"/>
    <w:rsid w:val="00AA333E"/>
    <w:rsid w:val="00AA659F"/>
    <w:rsid w:val="00AA76E4"/>
    <w:rsid w:val="00AB1F0B"/>
    <w:rsid w:val="00AB2127"/>
    <w:rsid w:val="00AB320E"/>
    <w:rsid w:val="00AB4D2B"/>
    <w:rsid w:val="00AB532D"/>
    <w:rsid w:val="00AB737F"/>
    <w:rsid w:val="00AC2189"/>
    <w:rsid w:val="00AC4303"/>
    <w:rsid w:val="00AC5F44"/>
    <w:rsid w:val="00AC6E87"/>
    <w:rsid w:val="00AC7EAD"/>
    <w:rsid w:val="00AD000D"/>
    <w:rsid w:val="00AD1FA0"/>
    <w:rsid w:val="00AD4F0E"/>
    <w:rsid w:val="00AD5078"/>
    <w:rsid w:val="00AE0DA6"/>
    <w:rsid w:val="00AE1001"/>
    <w:rsid w:val="00AE140C"/>
    <w:rsid w:val="00AE1EAA"/>
    <w:rsid w:val="00AE249D"/>
    <w:rsid w:val="00AE4303"/>
    <w:rsid w:val="00AE6F90"/>
    <w:rsid w:val="00AF0B77"/>
    <w:rsid w:val="00AF24A8"/>
    <w:rsid w:val="00AF29C6"/>
    <w:rsid w:val="00AF46CA"/>
    <w:rsid w:val="00AF4870"/>
    <w:rsid w:val="00AF4D2F"/>
    <w:rsid w:val="00AF63FF"/>
    <w:rsid w:val="00AF7D31"/>
    <w:rsid w:val="00B03935"/>
    <w:rsid w:val="00B03AD0"/>
    <w:rsid w:val="00B0537B"/>
    <w:rsid w:val="00B0559F"/>
    <w:rsid w:val="00B06DB4"/>
    <w:rsid w:val="00B10FB8"/>
    <w:rsid w:val="00B111FF"/>
    <w:rsid w:val="00B11DE8"/>
    <w:rsid w:val="00B12707"/>
    <w:rsid w:val="00B146E9"/>
    <w:rsid w:val="00B161F4"/>
    <w:rsid w:val="00B22C0D"/>
    <w:rsid w:val="00B23724"/>
    <w:rsid w:val="00B246A1"/>
    <w:rsid w:val="00B31364"/>
    <w:rsid w:val="00B33FCF"/>
    <w:rsid w:val="00B44D0A"/>
    <w:rsid w:val="00B45953"/>
    <w:rsid w:val="00B51DF1"/>
    <w:rsid w:val="00B55D41"/>
    <w:rsid w:val="00B5695D"/>
    <w:rsid w:val="00B60E30"/>
    <w:rsid w:val="00B60F49"/>
    <w:rsid w:val="00B762FB"/>
    <w:rsid w:val="00B80B3A"/>
    <w:rsid w:val="00B828BE"/>
    <w:rsid w:val="00B864C5"/>
    <w:rsid w:val="00B87031"/>
    <w:rsid w:val="00B879A9"/>
    <w:rsid w:val="00B87BA0"/>
    <w:rsid w:val="00B87EB3"/>
    <w:rsid w:val="00B93A2D"/>
    <w:rsid w:val="00B94CD0"/>
    <w:rsid w:val="00B94D9B"/>
    <w:rsid w:val="00B95427"/>
    <w:rsid w:val="00B97A7E"/>
    <w:rsid w:val="00BA0C4C"/>
    <w:rsid w:val="00BA2631"/>
    <w:rsid w:val="00BA4585"/>
    <w:rsid w:val="00BA4589"/>
    <w:rsid w:val="00BA5773"/>
    <w:rsid w:val="00BA58C8"/>
    <w:rsid w:val="00BB19FA"/>
    <w:rsid w:val="00BB6B31"/>
    <w:rsid w:val="00BB6CB6"/>
    <w:rsid w:val="00BC0818"/>
    <w:rsid w:val="00BC343B"/>
    <w:rsid w:val="00BC69A8"/>
    <w:rsid w:val="00BD08CB"/>
    <w:rsid w:val="00BD1BF5"/>
    <w:rsid w:val="00BD6DA5"/>
    <w:rsid w:val="00BD70F3"/>
    <w:rsid w:val="00BE1192"/>
    <w:rsid w:val="00BE1623"/>
    <w:rsid w:val="00BE25C0"/>
    <w:rsid w:val="00BE4203"/>
    <w:rsid w:val="00BE47C9"/>
    <w:rsid w:val="00BE47E2"/>
    <w:rsid w:val="00BE4826"/>
    <w:rsid w:val="00BE49E8"/>
    <w:rsid w:val="00BE64A2"/>
    <w:rsid w:val="00BF4A52"/>
    <w:rsid w:val="00BF6B5E"/>
    <w:rsid w:val="00BF6BC0"/>
    <w:rsid w:val="00BF7B49"/>
    <w:rsid w:val="00C02EF9"/>
    <w:rsid w:val="00C032B9"/>
    <w:rsid w:val="00C0451E"/>
    <w:rsid w:val="00C06D89"/>
    <w:rsid w:val="00C06F2F"/>
    <w:rsid w:val="00C07101"/>
    <w:rsid w:val="00C12DDE"/>
    <w:rsid w:val="00C130DF"/>
    <w:rsid w:val="00C14B66"/>
    <w:rsid w:val="00C16CE5"/>
    <w:rsid w:val="00C173CA"/>
    <w:rsid w:val="00C209AD"/>
    <w:rsid w:val="00C21121"/>
    <w:rsid w:val="00C22DB2"/>
    <w:rsid w:val="00C23132"/>
    <w:rsid w:val="00C237FC"/>
    <w:rsid w:val="00C262C0"/>
    <w:rsid w:val="00C30406"/>
    <w:rsid w:val="00C30AEB"/>
    <w:rsid w:val="00C32533"/>
    <w:rsid w:val="00C373FB"/>
    <w:rsid w:val="00C37724"/>
    <w:rsid w:val="00C41798"/>
    <w:rsid w:val="00C44811"/>
    <w:rsid w:val="00C44E06"/>
    <w:rsid w:val="00C52BD7"/>
    <w:rsid w:val="00C536A2"/>
    <w:rsid w:val="00C5374B"/>
    <w:rsid w:val="00C5485D"/>
    <w:rsid w:val="00C560CD"/>
    <w:rsid w:val="00C61C2A"/>
    <w:rsid w:val="00C63911"/>
    <w:rsid w:val="00C63AED"/>
    <w:rsid w:val="00C64312"/>
    <w:rsid w:val="00C6742D"/>
    <w:rsid w:val="00C70A12"/>
    <w:rsid w:val="00C70C20"/>
    <w:rsid w:val="00C753F7"/>
    <w:rsid w:val="00C75B5D"/>
    <w:rsid w:val="00C826FC"/>
    <w:rsid w:val="00C8284B"/>
    <w:rsid w:val="00C83361"/>
    <w:rsid w:val="00C83B24"/>
    <w:rsid w:val="00C84205"/>
    <w:rsid w:val="00C84529"/>
    <w:rsid w:val="00C87618"/>
    <w:rsid w:val="00C90EC4"/>
    <w:rsid w:val="00C934CF"/>
    <w:rsid w:val="00C94C49"/>
    <w:rsid w:val="00C95690"/>
    <w:rsid w:val="00C956F6"/>
    <w:rsid w:val="00C96F33"/>
    <w:rsid w:val="00CA2296"/>
    <w:rsid w:val="00CA47AD"/>
    <w:rsid w:val="00CA54D7"/>
    <w:rsid w:val="00CA780B"/>
    <w:rsid w:val="00CB008D"/>
    <w:rsid w:val="00CB010D"/>
    <w:rsid w:val="00CB2692"/>
    <w:rsid w:val="00CB5557"/>
    <w:rsid w:val="00CB758B"/>
    <w:rsid w:val="00CC0EB6"/>
    <w:rsid w:val="00CC2636"/>
    <w:rsid w:val="00CC3F9D"/>
    <w:rsid w:val="00CD0ED9"/>
    <w:rsid w:val="00CD153E"/>
    <w:rsid w:val="00CD2578"/>
    <w:rsid w:val="00CD3255"/>
    <w:rsid w:val="00CD5F24"/>
    <w:rsid w:val="00CD7CA4"/>
    <w:rsid w:val="00CE2A33"/>
    <w:rsid w:val="00CE3CFF"/>
    <w:rsid w:val="00CE49EB"/>
    <w:rsid w:val="00CE6139"/>
    <w:rsid w:val="00CF1010"/>
    <w:rsid w:val="00CF53B3"/>
    <w:rsid w:val="00D01C37"/>
    <w:rsid w:val="00D01FE7"/>
    <w:rsid w:val="00D05B06"/>
    <w:rsid w:val="00D10047"/>
    <w:rsid w:val="00D10469"/>
    <w:rsid w:val="00D10F3A"/>
    <w:rsid w:val="00D11661"/>
    <w:rsid w:val="00D1242E"/>
    <w:rsid w:val="00D1347F"/>
    <w:rsid w:val="00D1417F"/>
    <w:rsid w:val="00D144A0"/>
    <w:rsid w:val="00D14713"/>
    <w:rsid w:val="00D1474F"/>
    <w:rsid w:val="00D20255"/>
    <w:rsid w:val="00D206E6"/>
    <w:rsid w:val="00D22CE0"/>
    <w:rsid w:val="00D274DB"/>
    <w:rsid w:val="00D30AC3"/>
    <w:rsid w:val="00D3257B"/>
    <w:rsid w:val="00D327F0"/>
    <w:rsid w:val="00D33D88"/>
    <w:rsid w:val="00D33E56"/>
    <w:rsid w:val="00D35137"/>
    <w:rsid w:val="00D40317"/>
    <w:rsid w:val="00D42D98"/>
    <w:rsid w:val="00D4372A"/>
    <w:rsid w:val="00D44AEB"/>
    <w:rsid w:val="00D45169"/>
    <w:rsid w:val="00D45CB9"/>
    <w:rsid w:val="00D50541"/>
    <w:rsid w:val="00D50743"/>
    <w:rsid w:val="00D53122"/>
    <w:rsid w:val="00D559AD"/>
    <w:rsid w:val="00D56FAF"/>
    <w:rsid w:val="00D57DC3"/>
    <w:rsid w:val="00D612BD"/>
    <w:rsid w:val="00D61735"/>
    <w:rsid w:val="00D6300B"/>
    <w:rsid w:val="00D63245"/>
    <w:rsid w:val="00D654F2"/>
    <w:rsid w:val="00D65A39"/>
    <w:rsid w:val="00D65C23"/>
    <w:rsid w:val="00D65E7F"/>
    <w:rsid w:val="00D67199"/>
    <w:rsid w:val="00D73523"/>
    <w:rsid w:val="00D73D6B"/>
    <w:rsid w:val="00D73DE7"/>
    <w:rsid w:val="00D80643"/>
    <w:rsid w:val="00D86B74"/>
    <w:rsid w:val="00D926AA"/>
    <w:rsid w:val="00D92EC2"/>
    <w:rsid w:val="00D972F3"/>
    <w:rsid w:val="00DA0FB7"/>
    <w:rsid w:val="00DA1D76"/>
    <w:rsid w:val="00DA270B"/>
    <w:rsid w:val="00DA2829"/>
    <w:rsid w:val="00DA4AB4"/>
    <w:rsid w:val="00DA7551"/>
    <w:rsid w:val="00DB0C7F"/>
    <w:rsid w:val="00DB1EA2"/>
    <w:rsid w:val="00DB38A4"/>
    <w:rsid w:val="00DB3D74"/>
    <w:rsid w:val="00DB3E59"/>
    <w:rsid w:val="00DB5D5B"/>
    <w:rsid w:val="00DC037B"/>
    <w:rsid w:val="00DC0DE8"/>
    <w:rsid w:val="00DC4279"/>
    <w:rsid w:val="00DC590A"/>
    <w:rsid w:val="00DC7BCE"/>
    <w:rsid w:val="00DD06DC"/>
    <w:rsid w:val="00DD20A5"/>
    <w:rsid w:val="00DD6A40"/>
    <w:rsid w:val="00DD73FE"/>
    <w:rsid w:val="00DD7FA1"/>
    <w:rsid w:val="00DE04BA"/>
    <w:rsid w:val="00DE6E39"/>
    <w:rsid w:val="00DF0A79"/>
    <w:rsid w:val="00DF2907"/>
    <w:rsid w:val="00DF2A88"/>
    <w:rsid w:val="00DF38AF"/>
    <w:rsid w:val="00DF3AE8"/>
    <w:rsid w:val="00DF6ED0"/>
    <w:rsid w:val="00DF71D4"/>
    <w:rsid w:val="00E063A8"/>
    <w:rsid w:val="00E07423"/>
    <w:rsid w:val="00E07815"/>
    <w:rsid w:val="00E13358"/>
    <w:rsid w:val="00E1682D"/>
    <w:rsid w:val="00E20889"/>
    <w:rsid w:val="00E23BB5"/>
    <w:rsid w:val="00E2649B"/>
    <w:rsid w:val="00E26BC6"/>
    <w:rsid w:val="00E27671"/>
    <w:rsid w:val="00E3128F"/>
    <w:rsid w:val="00E32C7D"/>
    <w:rsid w:val="00E34E76"/>
    <w:rsid w:val="00E402AB"/>
    <w:rsid w:val="00E4119C"/>
    <w:rsid w:val="00E4130B"/>
    <w:rsid w:val="00E452EA"/>
    <w:rsid w:val="00E4616F"/>
    <w:rsid w:val="00E564E6"/>
    <w:rsid w:val="00E62D54"/>
    <w:rsid w:val="00E62FF2"/>
    <w:rsid w:val="00E63258"/>
    <w:rsid w:val="00E63B2B"/>
    <w:rsid w:val="00E65B34"/>
    <w:rsid w:val="00E65E35"/>
    <w:rsid w:val="00E6654D"/>
    <w:rsid w:val="00E67CFE"/>
    <w:rsid w:val="00E76C7D"/>
    <w:rsid w:val="00E802FA"/>
    <w:rsid w:val="00E805ED"/>
    <w:rsid w:val="00E80EE1"/>
    <w:rsid w:val="00E91D01"/>
    <w:rsid w:val="00E929E5"/>
    <w:rsid w:val="00E95CA3"/>
    <w:rsid w:val="00E97D51"/>
    <w:rsid w:val="00EA66A4"/>
    <w:rsid w:val="00EA74D0"/>
    <w:rsid w:val="00EB0483"/>
    <w:rsid w:val="00EB2BA2"/>
    <w:rsid w:val="00EB2CEA"/>
    <w:rsid w:val="00EB3163"/>
    <w:rsid w:val="00EB40D5"/>
    <w:rsid w:val="00EB48A8"/>
    <w:rsid w:val="00EB4B99"/>
    <w:rsid w:val="00EB7D99"/>
    <w:rsid w:val="00EC15CB"/>
    <w:rsid w:val="00EC1C5C"/>
    <w:rsid w:val="00ED2FB7"/>
    <w:rsid w:val="00ED561F"/>
    <w:rsid w:val="00ED7782"/>
    <w:rsid w:val="00EE023A"/>
    <w:rsid w:val="00EE0574"/>
    <w:rsid w:val="00EE13EB"/>
    <w:rsid w:val="00EE4D03"/>
    <w:rsid w:val="00EE7CE4"/>
    <w:rsid w:val="00EE7F57"/>
    <w:rsid w:val="00EF3031"/>
    <w:rsid w:val="00EF445B"/>
    <w:rsid w:val="00EF68C8"/>
    <w:rsid w:val="00EF6FD0"/>
    <w:rsid w:val="00EF7EDE"/>
    <w:rsid w:val="00F005C3"/>
    <w:rsid w:val="00F03002"/>
    <w:rsid w:val="00F07C0D"/>
    <w:rsid w:val="00F1134B"/>
    <w:rsid w:val="00F1668D"/>
    <w:rsid w:val="00F21200"/>
    <w:rsid w:val="00F24E3F"/>
    <w:rsid w:val="00F253C2"/>
    <w:rsid w:val="00F278EC"/>
    <w:rsid w:val="00F27F68"/>
    <w:rsid w:val="00F3057D"/>
    <w:rsid w:val="00F31757"/>
    <w:rsid w:val="00F327AD"/>
    <w:rsid w:val="00F33761"/>
    <w:rsid w:val="00F34513"/>
    <w:rsid w:val="00F34C53"/>
    <w:rsid w:val="00F3520C"/>
    <w:rsid w:val="00F356A3"/>
    <w:rsid w:val="00F36A39"/>
    <w:rsid w:val="00F4097D"/>
    <w:rsid w:val="00F4120F"/>
    <w:rsid w:val="00F439B6"/>
    <w:rsid w:val="00F43AAE"/>
    <w:rsid w:val="00F44050"/>
    <w:rsid w:val="00F4508C"/>
    <w:rsid w:val="00F46619"/>
    <w:rsid w:val="00F4695B"/>
    <w:rsid w:val="00F47AC6"/>
    <w:rsid w:val="00F50B57"/>
    <w:rsid w:val="00F53BA9"/>
    <w:rsid w:val="00F53BBB"/>
    <w:rsid w:val="00F55BA9"/>
    <w:rsid w:val="00F55DB0"/>
    <w:rsid w:val="00F570E9"/>
    <w:rsid w:val="00F57C80"/>
    <w:rsid w:val="00F643CE"/>
    <w:rsid w:val="00F648A9"/>
    <w:rsid w:val="00F65C4B"/>
    <w:rsid w:val="00F664F9"/>
    <w:rsid w:val="00F73121"/>
    <w:rsid w:val="00F73395"/>
    <w:rsid w:val="00F74026"/>
    <w:rsid w:val="00F7445A"/>
    <w:rsid w:val="00F74B67"/>
    <w:rsid w:val="00F775BC"/>
    <w:rsid w:val="00F80EA8"/>
    <w:rsid w:val="00F81D77"/>
    <w:rsid w:val="00F84AF1"/>
    <w:rsid w:val="00F85022"/>
    <w:rsid w:val="00F873BD"/>
    <w:rsid w:val="00F904BA"/>
    <w:rsid w:val="00F91F3D"/>
    <w:rsid w:val="00F925B9"/>
    <w:rsid w:val="00F93EE2"/>
    <w:rsid w:val="00F950DF"/>
    <w:rsid w:val="00F97BFE"/>
    <w:rsid w:val="00FA406A"/>
    <w:rsid w:val="00FA407B"/>
    <w:rsid w:val="00FA4FF2"/>
    <w:rsid w:val="00FA6CD6"/>
    <w:rsid w:val="00FA7B73"/>
    <w:rsid w:val="00FB0056"/>
    <w:rsid w:val="00FB027E"/>
    <w:rsid w:val="00FB217B"/>
    <w:rsid w:val="00FB2B3E"/>
    <w:rsid w:val="00FB33FA"/>
    <w:rsid w:val="00FB3DDE"/>
    <w:rsid w:val="00FC1152"/>
    <w:rsid w:val="00FC1366"/>
    <w:rsid w:val="00FC4338"/>
    <w:rsid w:val="00FD0975"/>
    <w:rsid w:val="00FD18CE"/>
    <w:rsid w:val="00FD40DA"/>
    <w:rsid w:val="00FD4FB7"/>
    <w:rsid w:val="00FD6352"/>
    <w:rsid w:val="00FD67DD"/>
    <w:rsid w:val="00FD7F1B"/>
    <w:rsid w:val="00FE162C"/>
    <w:rsid w:val="00FE2F5B"/>
    <w:rsid w:val="00FE3D79"/>
    <w:rsid w:val="00FE3F26"/>
    <w:rsid w:val="00FE576D"/>
    <w:rsid w:val="00FE5E81"/>
    <w:rsid w:val="00FF1430"/>
    <w:rsid w:val="00FF1C99"/>
    <w:rsid w:val="00FF23B4"/>
    <w:rsid w:val="00FF477D"/>
    <w:rsid w:val="00FF598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2EC288"/>
  <w15:docId w15:val="{90BE1884-75EC-6E44-BCE9-D2F0242F7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56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416F55"/>
    <w:pPr>
      <w:keepNext/>
      <w:keepLines/>
      <w:spacing w:before="240" w:line="276" w:lineRule="auto"/>
      <w:outlineLvl w:val="0"/>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link w:val="Heading3Char"/>
    <w:uiPriority w:val="9"/>
    <w:qFormat/>
    <w:rsid w:val="00176169"/>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25B9"/>
    <w:pPr>
      <w:autoSpaceDE w:val="0"/>
      <w:autoSpaceDN w:val="0"/>
      <w:adjustRightInd w:val="0"/>
      <w:spacing w:after="0" w:line="240" w:lineRule="auto"/>
    </w:pPr>
    <w:rPr>
      <w:rFonts w:ascii="Verdana" w:hAnsi="Verdana" w:cs="Verdana"/>
      <w:color w:val="000000"/>
      <w:sz w:val="24"/>
      <w:szCs w:val="24"/>
    </w:rPr>
  </w:style>
  <w:style w:type="paragraph" w:styleId="NoSpacing">
    <w:name w:val="No Spacing"/>
    <w:uiPriority w:val="1"/>
    <w:qFormat/>
    <w:rsid w:val="00F648A9"/>
    <w:pPr>
      <w:spacing w:after="0" w:line="240" w:lineRule="auto"/>
    </w:pPr>
  </w:style>
  <w:style w:type="table" w:styleId="TableGrid">
    <w:name w:val="Table Grid"/>
    <w:basedOn w:val="TableNormal"/>
    <w:uiPriority w:val="59"/>
    <w:rsid w:val="00AD4F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C10"/>
    <w:pPr>
      <w:ind w:left="720"/>
      <w:contextualSpacing/>
    </w:pPr>
  </w:style>
  <w:style w:type="paragraph" w:styleId="Footer">
    <w:name w:val="footer"/>
    <w:basedOn w:val="Normal"/>
    <w:link w:val="FooterChar"/>
    <w:uiPriority w:val="99"/>
    <w:unhideWhenUsed/>
    <w:rsid w:val="0041007F"/>
    <w:pPr>
      <w:tabs>
        <w:tab w:val="center" w:pos="4513"/>
        <w:tab w:val="right" w:pos="9026"/>
      </w:tabs>
    </w:pPr>
  </w:style>
  <w:style w:type="character" w:customStyle="1" w:styleId="FooterChar">
    <w:name w:val="Footer Char"/>
    <w:basedOn w:val="DefaultParagraphFont"/>
    <w:link w:val="Footer"/>
    <w:uiPriority w:val="99"/>
    <w:rsid w:val="0041007F"/>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176169"/>
    <w:rPr>
      <w:rFonts w:ascii="Times New Roman" w:eastAsia="Times New Roman" w:hAnsi="Times New Roman" w:cs="Times New Roman"/>
      <w:b/>
      <w:bCs/>
      <w:sz w:val="27"/>
      <w:szCs w:val="27"/>
      <w:lang w:eastAsia="en-GB"/>
    </w:rPr>
  </w:style>
  <w:style w:type="paragraph" w:customStyle="1" w:styleId="p">
    <w:name w:val="p"/>
    <w:basedOn w:val="Normal"/>
    <w:rsid w:val="00176169"/>
    <w:pPr>
      <w:spacing w:before="100" w:beforeAutospacing="1" w:after="100" w:afterAutospacing="1"/>
    </w:pPr>
  </w:style>
  <w:style w:type="character" w:styleId="Emphasis">
    <w:name w:val="Emphasis"/>
    <w:basedOn w:val="DefaultParagraphFont"/>
    <w:uiPriority w:val="20"/>
    <w:qFormat/>
    <w:rsid w:val="00176169"/>
    <w:rPr>
      <w:i/>
      <w:iCs/>
    </w:rPr>
  </w:style>
  <w:style w:type="character" w:styleId="Hyperlink">
    <w:name w:val="Hyperlink"/>
    <w:basedOn w:val="DefaultParagraphFont"/>
    <w:uiPriority w:val="99"/>
    <w:unhideWhenUsed/>
    <w:rsid w:val="00176169"/>
    <w:rPr>
      <w:color w:val="0000FF"/>
      <w:u w:val="single"/>
    </w:rPr>
  </w:style>
  <w:style w:type="character" w:styleId="CommentReference">
    <w:name w:val="annotation reference"/>
    <w:basedOn w:val="DefaultParagraphFont"/>
    <w:uiPriority w:val="99"/>
    <w:semiHidden/>
    <w:unhideWhenUsed/>
    <w:rsid w:val="007817B6"/>
    <w:rPr>
      <w:sz w:val="16"/>
      <w:szCs w:val="16"/>
    </w:rPr>
  </w:style>
  <w:style w:type="paragraph" w:styleId="CommentText">
    <w:name w:val="annotation text"/>
    <w:basedOn w:val="Normal"/>
    <w:link w:val="CommentTextChar"/>
    <w:uiPriority w:val="99"/>
    <w:semiHidden/>
    <w:unhideWhenUsed/>
    <w:rsid w:val="007817B6"/>
    <w:pPr>
      <w:spacing w:after="200"/>
    </w:pPr>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7817B6"/>
    <w:rPr>
      <w:sz w:val="20"/>
      <w:szCs w:val="20"/>
    </w:rPr>
  </w:style>
  <w:style w:type="paragraph" w:styleId="CommentSubject">
    <w:name w:val="annotation subject"/>
    <w:basedOn w:val="CommentText"/>
    <w:next w:val="CommentText"/>
    <w:link w:val="CommentSubjectChar"/>
    <w:uiPriority w:val="99"/>
    <w:semiHidden/>
    <w:unhideWhenUsed/>
    <w:rsid w:val="007817B6"/>
    <w:rPr>
      <w:b/>
      <w:bCs/>
    </w:rPr>
  </w:style>
  <w:style w:type="character" w:customStyle="1" w:styleId="CommentSubjectChar">
    <w:name w:val="Comment Subject Char"/>
    <w:basedOn w:val="CommentTextChar"/>
    <w:link w:val="CommentSubject"/>
    <w:uiPriority w:val="99"/>
    <w:semiHidden/>
    <w:rsid w:val="007817B6"/>
    <w:rPr>
      <w:b/>
      <w:bCs/>
      <w:sz w:val="20"/>
      <w:szCs w:val="20"/>
    </w:rPr>
  </w:style>
  <w:style w:type="paragraph" w:styleId="Revision">
    <w:name w:val="Revision"/>
    <w:hidden/>
    <w:uiPriority w:val="99"/>
    <w:semiHidden/>
    <w:rsid w:val="0090053E"/>
    <w:pPr>
      <w:spacing w:after="0" w:line="240" w:lineRule="auto"/>
    </w:pPr>
  </w:style>
  <w:style w:type="paragraph" w:styleId="NormalWeb">
    <w:name w:val="Normal (Web)"/>
    <w:basedOn w:val="Normal"/>
    <w:uiPriority w:val="99"/>
    <w:unhideWhenUsed/>
    <w:rsid w:val="00995C48"/>
    <w:pPr>
      <w:spacing w:before="100" w:beforeAutospacing="1" w:after="100" w:afterAutospacing="1"/>
    </w:pPr>
  </w:style>
  <w:style w:type="paragraph" w:styleId="BalloonText">
    <w:name w:val="Balloon Text"/>
    <w:basedOn w:val="Normal"/>
    <w:link w:val="BalloonTextChar"/>
    <w:uiPriority w:val="99"/>
    <w:semiHidden/>
    <w:unhideWhenUsed/>
    <w:rsid w:val="00A45A0B"/>
    <w:rPr>
      <w:rFonts w:ascii="Lucida Grande" w:hAnsi="Lucida Grande"/>
      <w:sz w:val="18"/>
      <w:szCs w:val="18"/>
    </w:rPr>
  </w:style>
  <w:style w:type="character" w:customStyle="1" w:styleId="BalloonTextChar">
    <w:name w:val="Balloon Text Char"/>
    <w:basedOn w:val="DefaultParagraphFont"/>
    <w:link w:val="BalloonText"/>
    <w:uiPriority w:val="99"/>
    <w:semiHidden/>
    <w:rsid w:val="00A45A0B"/>
    <w:rPr>
      <w:rFonts w:ascii="Lucida Grande" w:hAnsi="Lucida Grande"/>
      <w:sz w:val="18"/>
      <w:szCs w:val="18"/>
    </w:rPr>
  </w:style>
  <w:style w:type="character" w:customStyle="1" w:styleId="apple-converted-space">
    <w:name w:val="apple-converted-space"/>
    <w:basedOn w:val="DefaultParagraphFont"/>
    <w:rsid w:val="00763461"/>
  </w:style>
  <w:style w:type="character" w:customStyle="1" w:styleId="ref-journal">
    <w:name w:val="ref-journal"/>
    <w:basedOn w:val="DefaultParagraphFont"/>
    <w:rsid w:val="00763461"/>
  </w:style>
  <w:style w:type="character" w:styleId="Strong">
    <w:name w:val="Strong"/>
    <w:basedOn w:val="DefaultParagraphFont"/>
    <w:uiPriority w:val="22"/>
    <w:qFormat/>
    <w:rsid w:val="00763461"/>
    <w:rPr>
      <w:b/>
      <w:bCs/>
    </w:rPr>
  </w:style>
  <w:style w:type="character" w:customStyle="1" w:styleId="UnresolvedMention1">
    <w:name w:val="Unresolved Mention1"/>
    <w:basedOn w:val="DefaultParagraphFont"/>
    <w:uiPriority w:val="99"/>
    <w:semiHidden/>
    <w:unhideWhenUsed/>
    <w:rsid w:val="002162F9"/>
    <w:rPr>
      <w:color w:val="605E5C"/>
      <w:shd w:val="clear" w:color="auto" w:fill="E1DFDD"/>
    </w:rPr>
  </w:style>
  <w:style w:type="paragraph" w:customStyle="1" w:styleId="volume-issue">
    <w:name w:val="volume-issue"/>
    <w:basedOn w:val="Normal"/>
    <w:rsid w:val="00416F55"/>
    <w:pPr>
      <w:spacing w:before="100" w:beforeAutospacing="1" w:after="100" w:afterAutospacing="1"/>
    </w:pPr>
  </w:style>
  <w:style w:type="character" w:customStyle="1" w:styleId="val">
    <w:name w:val="val"/>
    <w:basedOn w:val="DefaultParagraphFont"/>
    <w:rsid w:val="00416F55"/>
  </w:style>
  <w:style w:type="paragraph" w:customStyle="1" w:styleId="page-range">
    <w:name w:val="page-range"/>
    <w:basedOn w:val="Normal"/>
    <w:rsid w:val="00416F55"/>
    <w:pPr>
      <w:spacing w:before="100" w:beforeAutospacing="1" w:after="100" w:afterAutospacing="1"/>
    </w:pPr>
  </w:style>
  <w:style w:type="character" w:customStyle="1" w:styleId="Heading1Char">
    <w:name w:val="Heading 1 Char"/>
    <w:basedOn w:val="DefaultParagraphFont"/>
    <w:link w:val="Heading1"/>
    <w:uiPriority w:val="9"/>
    <w:rsid w:val="00416F55"/>
    <w:rPr>
      <w:rFonts w:asciiTheme="majorHAnsi" w:eastAsiaTheme="majorEastAsia" w:hAnsiTheme="majorHAnsi" w:cstheme="majorBidi"/>
      <w:color w:val="365F91" w:themeColor="accent1" w:themeShade="BF"/>
      <w:sz w:val="32"/>
      <w:szCs w:val="32"/>
    </w:rPr>
  </w:style>
  <w:style w:type="character" w:customStyle="1" w:styleId="period">
    <w:name w:val="period"/>
    <w:basedOn w:val="DefaultParagraphFont"/>
    <w:rsid w:val="00E32C7D"/>
  </w:style>
  <w:style w:type="character" w:customStyle="1" w:styleId="cit">
    <w:name w:val="cit"/>
    <w:basedOn w:val="DefaultParagraphFont"/>
    <w:rsid w:val="00E32C7D"/>
  </w:style>
  <w:style w:type="character" w:customStyle="1" w:styleId="contentpasted1">
    <w:name w:val="contentpasted1"/>
    <w:basedOn w:val="DefaultParagraphFont"/>
    <w:rsid w:val="002A2D80"/>
  </w:style>
  <w:style w:type="character" w:customStyle="1" w:styleId="contentpasted0">
    <w:name w:val="contentpasted0"/>
    <w:basedOn w:val="DefaultParagraphFont"/>
    <w:rsid w:val="002A2D80"/>
  </w:style>
  <w:style w:type="character" w:styleId="PageNumber">
    <w:name w:val="page number"/>
    <w:basedOn w:val="DefaultParagraphFont"/>
    <w:uiPriority w:val="99"/>
    <w:semiHidden/>
    <w:unhideWhenUsed/>
    <w:rsid w:val="006E2C40"/>
  </w:style>
  <w:style w:type="paragraph" w:styleId="Header">
    <w:name w:val="header"/>
    <w:basedOn w:val="Normal"/>
    <w:link w:val="HeaderChar"/>
    <w:uiPriority w:val="99"/>
    <w:unhideWhenUsed/>
    <w:rsid w:val="00C84529"/>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84529"/>
  </w:style>
  <w:style w:type="character" w:customStyle="1" w:styleId="accordion-tabbedtab-mobile">
    <w:name w:val="accordion-tabbed__tab-mobile"/>
    <w:basedOn w:val="DefaultParagraphFont"/>
    <w:rsid w:val="00A06563"/>
  </w:style>
  <w:style w:type="character" w:customStyle="1" w:styleId="comma-separator">
    <w:name w:val="comma-separator"/>
    <w:basedOn w:val="DefaultParagraphFont"/>
    <w:rsid w:val="00A06563"/>
  </w:style>
  <w:style w:type="character" w:customStyle="1" w:styleId="epub-state">
    <w:name w:val="epub-state"/>
    <w:basedOn w:val="DefaultParagraphFont"/>
    <w:rsid w:val="00A06563"/>
  </w:style>
  <w:style w:type="character" w:customStyle="1" w:styleId="separator">
    <w:name w:val="separator"/>
    <w:basedOn w:val="DefaultParagraphFont"/>
    <w:rsid w:val="00043032"/>
  </w:style>
  <w:style w:type="character" w:customStyle="1" w:styleId="authors-list-item">
    <w:name w:val="authors-list-item"/>
    <w:basedOn w:val="DefaultParagraphFont"/>
    <w:rsid w:val="00FE162C"/>
  </w:style>
  <w:style w:type="character" w:customStyle="1" w:styleId="author-sup-separator">
    <w:name w:val="author-sup-separator"/>
    <w:basedOn w:val="DefaultParagraphFont"/>
    <w:rsid w:val="00FE162C"/>
  </w:style>
  <w:style w:type="character" w:customStyle="1" w:styleId="comma">
    <w:name w:val="comma"/>
    <w:basedOn w:val="DefaultParagraphFont"/>
    <w:rsid w:val="00FE162C"/>
  </w:style>
  <w:style w:type="paragraph" w:customStyle="1" w:styleId="author">
    <w:name w:val="author"/>
    <w:basedOn w:val="Normal"/>
    <w:rsid w:val="006B688A"/>
    <w:pPr>
      <w:spacing w:before="100" w:beforeAutospacing="1" w:after="100" w:afterAutospacing="1"/>
    </w:pPr>
  </w:style>
  <w:style w:type="character" w:customStyle="1" w:styleId="highwire-citation-author">
    <w:name w:val="highwire-citation-author"/>
    <w:basedOn w:val="DefaultParagraphFont"/>
    <w:rsid w:val="00D73D6B"/>
  </w:style>
  <w:style w:type="paragraph" w:customStyle="1" w:styleId="paper-meta-item">
    <w:name w:val="paper-meta-item"/>
    <w:basedOn w:val="Normal"/>
    <w:rsid w:val="00A94750"/>
    <w:pPr>
      <w:spacing w:before="100" w:beforeAutospacing="1" w:after="100" w:afterAutospacing="1"/>
    </w:pPr>
  </w:style>
  <w:style w:type="character" w:customStyle="1" w:styleId="author-list">
    <w:name w:val="author-list"/>
    <w:basedOn w:val="DefaultParagraphFont"/>
    <w:rsid w:val="00A94750"/>
  </w:style>
  <w:style w:type="character" w:customStyle="1" w:styleId="cl-buttonlabel">
    <w:name w:val="cl-button__label"/>
    <w:basedOn w:val="DefaultParagraphFont"/>
    <w:rsid w:val="00A94750"/>
  </w:style>
  <w:style w:type="character" w:styleId="FollowedHyperlink">
    <w:name w:val="FollowedHyperlink"/>
    <w:basedOn w:val="DefaultParagraphFont"/>
    <w:uiPriority w:val="99"/>
    <w:semiHidden/>
    <w:unhideWhenUsed/>
    <w:rsid w:val="00455985"/>
    <w:rPr>
      <w:color w:val="800080" w:themeColor="followedHyperlink"/>
      <w:u w:val="single"/>
    </w:rPr>
  </w:style>
  <w:style w:type="character" w:customStyle="1" w:styleId="citation-doi">
    <w:name w:val="citation-doi"/>
    <w:basedOn w:val="DefaultParagraphFont"/>
    <w:rsid w:val="00941E45"/>
  </w:style>
  <w:style w:type="character" w:customStyle="1" w:styleId="xcontentpasted0">
    <w:name w:val="x_contentpasted0"/>
    <w:basedOn w:val="DefaultParagraphFont"/>
    <w:rsid w:val="00C0451E"/>
  </w:style>
  <w:style w:type="paragraph" w:customStyle="1" w:styleId="default0">
    <w:name w:val="default"/>
    <w:basedOn w:val="Normal"/>
    <w:rsid w:val="00FF143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73538">
      <w:bodyDiv w:val="1"/>
      <w:marLeft w:val="0"/>
      <w:marRight w:val="0"/>
      <w:marTop w:val="0"/>
      <w:marBottom w:val="0"/>
      <w:divBdr>
        <w:top w:val="none" w:sz="0" w:space="0" w:color="auto"/>
        <w:left w:val="none" w:sz="0" w:space="0" w:color="auto"/>
        <w:bottom w:val="none" w:sz="0" w:space="0" w:color="auto"/>
        <w:right w:val="none" w:sz="0" w:space="0" w:color="auto"/>
      </w:divBdr>
    </w:div>
    <w:div w:id="175703781">
      <w:bodyDiv w:val="1"/>
      <w:marLeft w:val="0"/>
      <w:marRight w:val="0"/>
      <w:marTop w:val="0"/>
      <w:marBottom w:val="0"/>
      <w:divBdr>
        <w:top w:val="none" w:sz="0" w:space="0" w:color="auto"/>
        <w:left w:val="none" w:sz="0" w:space="0" w:color="auto"/>
        <w:bottom w:val="none" w:sz="0" w:space="0" w:color="auto"/>
        <w:right w:val="none" w:sz="0" w:space="0" w:color="auto"/>
      </w:divBdr>
    </w:div>
    <w:div w:id="193082083">
      <w:bodyDiv w:val="1"/>
      <w:marLeft w:val="0"/>
      <w:marRight w:val="0"/>
      <w:marTop w:val="0"/>
      <w:marBottom w:val="0"/>
      <w:divBdr>
        <w:top w:val="none" w:sz="0" w:space="0" w:color="auto"/>
        <w:left w:val="none" w:sz="0" w:space="0" w:color="auto"/>
        <w:bottom w:val="none" w:sz="0" w:space="0" w:color="auto"/>
        <w:right w:val="none" w:sz="0" w:space="0" w:color="auto"/>
      </w:divBdr>
    </w:div>
    <w:div w:id="274094820">
      <w:bodyDiv w:val="1"/>
      <w:marLeft w:val="0"/>
      <w:marRight w:val="0"/>
      <w:marTop w:val="0"/>
      <w:marBottom w:val="0"/>
      <w:divBdr>
        <w:top w:val="none" w:sz="0" w:space="0" w:color="auto"/>
        <w:left w:val="none" w:sz="0" w:space="0" w:color="auto"/>
        <w:bottom w:val="none" w:sz="0" w:space="0" w:color="auto"/>
        <w:right w:val="none" w:sz="0" w:space="0" w:color="auto"/>
      </w:divBdr>
      <w:divsChild>
        <w:div w:id="60299076">
          <w:marLeft w:val="0"/>
          <w:marRight w:val="0"/>
          <w:marTop w:val="0"/>
          <w:marBottom w:val="0"/>
          <w:divBdr>
            <w:top w:val="none" w:sz="0" w:space="0" w:color="auto"/>
            <w:left w:val="none" w:sz="0" w:space="0" w:color="auto"/>
            <w:bottom w:val="none" w:sz="0" w:space="0" w:color="auto"/>
            <w:right w:val="none" w:sz="0" w:space="0" w:color="auto"/>
          </w:divBdr>
          <w:divsChild>
            <w:div w:id="1611353267">
              <w:marLeft w:val="0"/>
              <w:marRight w:val="0"/>
              <w:marTop w:val="0"/>
              <w:marBottom w:val="0"/>
              <w:divBdr>
                <w:top w:val="none" w:sz="0" w:space="0" w:color="auto"/>
                <w:left w:val="none" w:sz="0" w:space="0" w:color="auto"/>
                <w:bottom w:val="none" w:sz="0" w:space="0" w:color="auto"/>
                <w:right w:val="none" w:sz="0" w:space="0" w:color="auto"/>
              </w:divBdr>
              <w:divsChild>
                <w:div w:id="11692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648979">
      <w:bodyDiv w:val="1"/>
      <w:marLeft w:val="0"/>
      <w:marRight w:val="0"/>
      <w:marTop w:val="0"/>
      <w:marBottom w:val="0"/>
      <w:divBdr>
        <w:top w:val="none" w:sz="0" w:space="0" w:color="auto"/>
        <w:left w:val="none" w:sz="0" w:space="0" w:color="auto"/>
        <w:bottom w:val="none" w:sz="0" w:space="0" w:color="auto"/>
        <w:right w:val="none" w:sz="0" w:space="0" w:color="auto"/>
      </w:divBdr>
    </w:div>
    <w:div w:id="414936996">
      <w:bodyDiv w:val="1"/>
      <w:marLeft w:val="0"/>
      <w:marRight w:val="0"/>
      <w:marTop w:val="0"/>
      <w:marBottom w:val="0"/>
      <w:divBdr>
        <w:top w:val="none" w:sz="0" w:space="0" w:color="auto"/>
        <w:left w:val="none" w:sz="0" w:space="0" w:color="auto"/>
        <w:bottom w:val="none" w:sz="0" w:space="0" w:color="auto"/>
        <w:right w:val="none" w:sz="0" w:space="0" w:color="auto"/>
      </w:divBdr>
      <w:divsChild>
        <w:div w:id="1678003119">
          <w:marLeft w:val="0"/>
          <w:marRight w:val="0"/>
          <w:marTop w:val="0"/>
          <w:marBottom w:val="0"/>
          <w:divBdr>
            <w:top w:val="none" w:sz="0" w:space="0" w:color="auto"/>
            <w:left w:val="none" w:sz="0" w:space="0" w:color="auto"/>
            <w:bottom w:val="none" w:sz="0" w:space="0" w:color="auto"/>
            <w:right w:val="none" w:sz="0" w:space="0" w:color="auto"/>
          </w:divBdr>
          <w:divsChild>
            <w:div w:id="403723509">
              <w:marLeft w:val="0"/>
              <w:marRight w:val="0"/>
              <w:marTop w:val="0"/>
              <w:marBottom w:val="0"/>
              <w:divBdr>
                <w:top w:val="none" w:sz="0" w:space="0" w:color="auto"/>
                <w:left w:val="none" w:sz="0" w:space="0" w:color="auto"/>
                <w:bottom w:val="none" w:sz="0" w:space="0" w:color="auto"/>
                <w:right w:val="none" w:sz="0" w:space="0" w:color="auto"/>
              </w:divBdr>
              <w:divsChild>
                <w:div w:id="71776537">
                  <w:marLeft w:val="0"/>
                  <w:marRight w:val="0"/>
                  <w:marTop w:val="0"/>
                  <w:marBottom w:val="0"/>
                  <w:divBdr>
                    <w:top w:val="none" w:sz="0" w:space="0" w:color="auto"/>
                    <w:left w:val="none" w:sz="0" w:space="0" w:color="auto"/>
                    <w:bottom w:val="none" w:sz="0" w:space="0" w:color="auto"/>
                    <w:right w:val="none" w:sz="0" w:space="0" w:color="auto"/>
                  </w:divBdr>
                  <w:divsChild>
                    <w:div w:id="62154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739551">
      <w:bodyDiv w:val="1"/>
      <w:marLeft w:val="0"/>
      <w:marRight w:val="0"/>
      <w:marTop w:val="0"/>
      <w:marBottom w:val="0"/>
      <w:divBdr>
        <w:top w:val="none" w:sz="0" w:space="0" w:color="auto"/>
        <w:left w:val="none" w:sz="0" w:space="0" w:color="auto"/>
        <w:bottom w:val="none" w:sz="0" w:space="0" w:color="auto"/>
        <w:right w:val="none" w:sz="0" w:space="0" w:color="auto"/>
      </w:divBdr>
    </w:div>
    <w:div w:id="660894761">
      <w:bodyDiv w:val="1"/>
      <w:marLeft w:val="0"/>
      <w:marRight w:val="0"/>
      <w:marTop w:val="0"/>
      <w:marBottom w:val="0"/>
      <w:divBdr>
        <w:top w:val="none" w:sz="0" w:space="0" w:color="auto"/>
        <w:left w:val="none" w:sz="0" w:space="0" w:color="auto"/>
        <w:bottom w:val="none" w:sz="0" w:space="0" w:color="auto"/>
        <w:right w:val="none" w:sz="0" w:space="0" w:color="auto"/>
      </w:divBdr>
    </w:div>
    <w:div w:id="685638324">
      <w:bodyDiv w:val="1"/>
      <w:marLeft w:val="0"/>
      <w:marRight w:val="0"/>
      <w:marTop w:val="0"/>
      <w:marBottom w:val="0"/>
      <w:divBdr>
        <w:top w:val="none" w:sz="0" w:space="0" w:color="auto"/>
        <w:left w:val="none" w:sz="0" w:space="0" w:color="auto"/>
        <w:bottom w:val="none" w:sz="0" w:space="0" w:color="auto"/>
        <w:right w:val="none" w:sz="0" w:space="0" w:color="auto"/>
      </w:divBdr>
    </w:div>
    <w:div w:id="773942765">
      <w:bodyDiv w:val="1"/>
      <w:marLeft w:val="0"/>
      <w:marRight w:val="0"/>
      <w:marTop w:val="0"/>
      <w:marBottom w:val="0"/>
      <w:divBdr>
        <w:top w:val="none" w:sz="0" w:space="0" w:color="auto"/>
        <w:left w:val="none" w:sz="0" w:space="0" w:color="auto"/>
        <w:bottom w:val="none" w:sz="0" w:space="0" w:color="auto"/>
        <w:right w:val="none" w:sz="0" w:space="0" w:color="auto"/>
      </w:divBdr>
      <w:divsChild>
        <w:div w:id="620191632">
          <w:marLeft w:val="0"/>
          <w:marRight w:val="0"/>
          <w:marTop w:val="0"/>
          <w:marBottom w:val="0"/>
          <w:divBdr>
            <w:top w:val="none" w:sz="0" w:space="0" w:color="auto"/>
            <w:left w:val="none" w:sz="0" w:space="0" w:color="auto"/>
            <w:bottom w:val="none" w:sz="0" w:space="0" w:color="auto"/>
            <w:right w:val="none" w:sz="0" w:space="0" w:color="auto"/>
          </w:divBdr>
          <w:divsChild>
            <w:div w:id="1907958812">
              <w:marLeft w:val="0"/>
              <w:marRight w:val="0"/>
              <w:marTop w:val="0"/>
              <w:marBottom w:val="0"/>
              <w:divBdr>
                <w:top w:val="none" w:sz="0" w:space="0" w:color="auto"/>
                <w:left w:val="none" w:sz="0" w:space="0" w:color="auto"/>
                <w:bottom w:val="none" w:sz="0" w:space="0" w:color="auto"/>
                <w:right w:val="none" w:sz="0" w:space="0" w:color="auto"/>
              </w:divBdr>
              <w:divsChild>
                <w:div w:id="765272493">
                  <w:marLeft w:val="0"/>
                  <w:marRight w:val="0"/>
                  <w:marTop w:val="0"/>
                  <w:marBottom w:val="0"/>
                  <w:divBdr>
                    <w:top w:val="none" w:sz="0" w:space="0" w:color="auto"/>
                    <w:left w:val="none" w:sz="0" w:space="0" w:color="auto"/>
                    <w:bottom w:val="none" w:sz="0" w:space="0" w:color="auto"/>
                    <w:right w:val="none" w:sz="0" w:space="0" w:color="auto"/>
                  </w:divBdr>
                  <w:divsChild>
                    <w:div w:id="890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23547">
              <w:marLeft w:val="0"/>
              <w:marRight w:val="0"/>
              <w:marTop w:val="0"/>
              <w:marBottom w:val="0"/>
              <w:divBdr>
                <w:top w:val="none" w:sz="0" w:space="0" w:color="auto"/>
                <w:left w:val="none" w:sz="0" w:space="0" w:color="auto"/>
                <w:bottom w:val="none" w:sz="0" w:space="0" w:color="auto"/>
                <w:right w:val="none" w:sz="0" w:space="0" w:color="auto"/>
              </w:divBdr>
              <w:divsChild>
                <w:div w:id="16414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82898">
      <w:bodyDiv w:val="1"/>
      <w:marLeft w:val="0"/>
      <w:marRight w:val="0"/>
      <w:marTop w:val="0"/>
      <w:marBottom w:val="0"/>
      <w:divBdr>
        <w:top w:val="none" w:sz="0" w:space="0" w:color="auto"/>
        <w:left w:val="none" w:sz="0" w:space="0" w:color="auto"/>
        <w:bottom w:val="none" w:sz="0" w:space="0" w:color="auto"/>
        <w:right w:val="none" w:sz="0" w:space="0" w:color="auto"/>
      </w:divBdr>
      <w:divsChild>
        <w:div w:id="214123152">
          <w:marLeft w:val="0"/>
          <w:marRight w:val="0"/>
          <w:marTop w:val="0"/>
          <w:marBottom w:val="0"/>
          <w:divBdr>
            <w:top w:val="none" w:sz="0" w:space="0" w:color="auto"/>
            <w:left w:val="none" w:sz="0" w:space="0" w:color="auto"/>
            <w:bottom w:val="none" w:sz="0" w:space="0" w:color="auto"/>
            <w:right w:val="none" w:sz="0" w:space="0" w:color="auto"/>
          </w:divBdr>
          <w:divsChild>
            <w:div w:id="1063989241">
              <w:marLeft w:val="0"/>
              <w:marRight w:val="0"/>
              <w:marTop w:val="0"/>
              <w:marBottom w:val="0"/>
              <w:divBdr>
                <w:top w:val="none" w:sz="0" w:space="0" w:color="auto"/>
                <w:left w:val="none" w:sz="0" w:space="0" w:color="auto"/>
                <w:bottom w:val="none" w:sz="0" w:space="0" w:color="auto"/>
                <w:right w:val="none" w:sz="0" w:space="0" w:color="auto"/>
              </w:divBdr>
              <w:divsChild>
                <w:div w:id="1193961654">
                  <w:marLeft w:val="0"/>
                  <w:marRight w:val="0"/>
                  <w:marTop w:val="0"/>
                  <w:marBottom w:val="0"/>
                  <w:divBdr>
                    <w:top w:val="none" w:sz="0" w:space="0" w:color="auto"/>
                    <w:left w:val="none" w:sz="0" w:space="0" w:color="auto"/>
                    <w:bottom w:val="none" w:sz="0" w:space="0" w:color="auto"/>
                    <w:right w:val="none" w:sz="0" w:space="0" w:color="auto"/>
                  </w:divBdr>
                  <w:divsChild>
                    <w:div w:id="8466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691913">
      <w:bodyDiv w:val="1"/>
      <w:marLeft w:val="0"/>
      <w:marRight w:val="0"/>
      <w:marTop w:val="0"/>
      <w:marBottom w:val="0"/>
      <w:divBdr>
        <w:top w:val="none" w:sz="0" w:space="0" w:color="auto"/>
        <w:left w:val="none" w:sz="0" w:space="0" w:color="auto"/>
        <w:bottom w:val="none" w:sz="0" w:space="0" w:color="auto"/>
        <w:right w:val="none" w:sz="0" w:space="0" w:color="auto"/>
      </w:divBdr>
      <w:divsChild>
        <w:div w:id="2087530704">
          <w:marLeft w:val="0"/>
          <w:marRight w:val="0"/>
          <w:marTop w:val="0"/>
          <w:marBottom w:val="0"/>
          <w:divBdr>
            <w:top w:val="none" w:sz="0" w:space="0" w:color="auto"/>
            <w:left w:val="none" w:sz="0" w:space="0" w:color="auto"/>
            <w:bottom w:val="none" w:sz="0" w:space="0" w:color="auto"/>
            <w:right w:val="none" w:sz="0" w:space="0" w:color="auto"/>
          </w:divBdr>
          <w:divsChild>
            <w:div w:id="2041738328">
              <w:marLeft w:val="0"/>
              <w:marRight w:val="0"/>
              <w:marTop w:val="0"/>
              <w:marBottom w:val="0"/>
              <w:divBdr>
                <w:top w:val="none" w:sz="0" w:space="0" w:color="auto"/>
                <w:left w:val="none" w:sz="0" w:space="0" w:color="auto"/>
                <w:bottom w:val="none" w:sz="0" w:space="0" w:color="auto"/>
                <w:right w:val="none" w:sz="0" w:space="0" w:color="auto"/>
              </w:divBdr>
              <w:divsChild>
                <w:div w:id="1210456296">
                  <w:marLeft w:val="0"/>
                  <w:marRight w:val="0"/>
                  <w:marTop w:val="0"/>
                  <w:marBottom w:val="0"/>
                  <w:divBdr>
                    <w:top w:val="none" w:sz="0" w:space="0" w:color="auto"/>
                    <w:left w:val="none" w:sz="0" w:space="0" w:color="auto"/>
                    <w:bottom w:val="none" w:sz="0" w:space="0" w:color="auto"/>
                    <w:right w:val="none" w:sz="0" w:space="0" w:color="auto"/>
                  </w:divBdr>
                </w:div>
              </w:divsChild>
            </w:div>
            <w:div w:id="1310747228">
              <w:marLeft w:val="0"/>
              <w:marRight w:val="0"/>
              <w:marTop w:val="0"/>
              <w:marBottom w:val="0"/>
              <w:divBdr>
                <w:top w:val="none" w:sz="0" w:space="0" w:color="auto"/>
                <w:left w:val="none" w:sz="0" w:space="0" w:color="auto"/>
                <w:bottom w:val="none" w:sz="0" w:space="0" w:color="auto"/>
                <w:right w:val="none" w:sz="0" w:space="0" w:color="auto"/>
              </w:divBdr>
              <w:divsChild>
                <w:div w:id="10866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15326">
      <w:bodyDiv w:val="1"/>
      <w:marLeft w:val="0"/>
      <w:marRight w:val="0"/>
      <w:marTop w:val="0"/>
      <w:marBottom w:val="0"/>
      <w:divBdr>
        <w:top w:val="none" w:sz="0" w:space="0" w:color="auto"/>
        <w:left w:val="none" w:sz="0" w:space="0" w:color="auto"/>
        <w:bottom w:val="none" w:sz="0" w:space="0" w:color="auto"/>
        <w:right w:val="none" w:sz="0" w:space="0" w:color="auto"/>
      </w:divBdr>
      <w:divsChild>
        <w:div w:id="1284115165">
          <w:marLeft w:val="0"/>
          <w:marRight w:val="0"/>
          <w:marTop w:val="0"/>
          <w:marBottom w:val="0"/>
          <w:divBdr>
            <w:top w:val="none" w:sz="0" w:space="0" w:color="auto"/>
            <w:left w:val="none" w:sz="0" w:space="0" w:color="auto"/>
            <w:bottom w:val="none" w:sz="0" w:space="0" w:color="auto"/>
            <w:right w:val="none" w:sz="0" w:space="0" w:color="auto"/>
          </w:divBdr>
          <w:divsChild>
            <w:div w:id="331297497">
              <w:marLeft w:val="0"/>
              <w:marRight w:val="0"/>
              <w:marTop w:val="0"/>
              <w:marBottom w:val="0"/>
              <w:divBdr>
                <w:top w:val="none" w:sz="0" w:space="0" w:color="auto"/>
                <w:left w:val="none" w:sz="0" w:space="0" w:color="auto"/>
                <w:bottom w:val="none" w:sz="0" w:space="0" w:color="auto"/>
                <w:right w:val="none" w:sz="0" w:space="0" w:color="auto"/>
              </w:divBdr>
              <w:divsChild>
                <w:div w:id="212896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351506">
      <w:bodyDiv w:val="1"/>
      <w:marLeft w:val="0"/>
      <w:marRight w:val="0"/>
      <w:marTop w:val="0"/>
      <w:marBottom w:val="0"/>
      <w:divBdr>
        <w:top w:val="none" w:sz="0" w:space="0" w:color="auto"/>
        <w:left w:val="none" w:sz="0" w:space="0" w:color="auto"/>
        <w:bottom w:val="none" w:sz="0" w:space="0" w:color="auto"/>
        <w:right w:val="none" w:sz="0" w:space="0" w:color="auto"/>
      </w:divBdr>
    </w:div>
    <w:div w:id="1113743139">
      <w:bodyDiv w:val="1"/>
      <w:marLeft w:val="0"/>
      <w:marRight w:val="0"/>
      <w:marTop w:val="0"/>
      <w:marBottom w:val="0"/>
      <w:divBdr>
        <w:top w:val="none" w:sz="0" w:space="0" w:color="auto"/>
        <w:left w:val="none" w:sz="0" w:space="0" w:color="auto"/>
        <w:bottom w:val="none" w:sz="0" w:space="0" w:color="auto"/>
        <w:right w:val="none" w:sz="0" w:space="0" w:color="auto"/>
      </w:divBdr>
    </w:div>
    <w:div w:id="1220359719">
      <w:bodyDiv w:val="1"/>
      <w:marLeft w:val="0"/>
      <w:marRight w:val="0"/>
      <w:marTop w:val="0"/>
      <w:marBottom w:val="0"/>
      <w:divBdr>
        <w:top w:val="none" w:sz="0" w:space="0" w:color="auto"/>
        <w:left w:val="none" w:sz="0" w:space="0" w:color="auto"/>
        <w:bottom w:val="none" w:sz="0" w:space="0" w:color="auto"/>
        <w:right w:val="none" w:sz="0" w:space="0" w:color="auto"/>
      </w:divBdr>
    </w:div>
    <w:div w:id="1230650632">
      <w:bodyDiv w:val="1"/>
      <w:marLeft w:val="0"/>
      <w:marRight w:val="0"/>
      <w:marTop w:val="0"/>
      <w:marBottom w:val="0"/>
      <w:divBdr>
        <w:top w:val="none" w:sz="0" w:space="0" w:color="auto"/>
        <w:left w:val="none" w:sz="0" w:space="0" w:color="auto"/>
        <w:bottom w:val="none" w:sz="0" w:space="0" w:color="auto"/>
        <w:right w:val="none" w:sz="0" w:space="0" w:color="auto"/>
      </w:divBdr>
    </w:div>
    <w:div w:id="1260218160">
      <w:bodyDiv w:val="1"/>
      <w:marLeft w:val="0"/>
      <w:marRight w:val="0"/>
      <w:marTop w:val="0"/>
      <w:marBottom w:val="0"/>
      <w:divBdr>
        <w:top w:val="none" w:sz="0" w:space="0" w:color="auto"/>
        <w:left w:val="none" w:sz="0" w:space="0" w:color="auto"/>
        <w:bottom w:val="none" w:sz="0" w:space="0" w:color="auto"/>
        <w:right w:val="none" w:sz="0" w:space="0" w:color="auto"/>
      </w:divBdr>
    </w:div>
    <w:div w:id="1279218274">
      <w:bodyDiv w:val="1"/>
      <w:marLeft w:val="0"/>
      <w:marRight w:val="0"/>
      <w:marTop w:val="0"/>
      <w:marBottom w:val="0"/>
      <w:divBdr>
        <w:top w:val="none" w:sz="0" w:space="0" w:color="auto"/>
        <w:left w:val="none" w:sz="0" w:space="0" w:color="auto"/>
        <w:bottom w:val="none" w:sz="0" w:space="0" w:color="auto"/>
        <w:right w:val="none" w:sz="0" w:space="0" w:color="auto"/>
      </w:divBdr>
    </w:div>
    <w:div w:id="1419257192">
      <w:bodyDiv w:val="1"/>
      <w:marLeft w:val="0"/>
      <w:marRight w:val="0"/>
      <w:marTop w:val="0"/>
      <w:marBottom w:val="0"/>
      <w:divBdr>
        <w:top w:val="none" w:sz="0" w:space="0" w:color="auto"/>
        <w:left w:val="none" w:sz="0" w:space="0" w:color="auto"/>
        <w:bottom w:val="none" w:sz="0" w:space="0" w:color="auto"/>
        <w:right w:val="none" w:sz="0" w:space="0" w:color="auto"/>
      </w:divBdr>
    </w:div>
    <w:div w:id="1465194503">
      <w:bodyDiv w:val="1"/>
      <w:marLeft w:val="0"/>
      <w:marRight w:val="0"/>
      <w:marTop w:val="0"/>
      <w:marBottom w:val="0"/>
      <w:divBdr>
        <w:top w:val="none" w:sz="0" w:space="0" w:color="auto"/>
        <w:left w:val="none" w:sz="0" w:space="0" w:color="auto"/>
        <w:bottom w:val="none" w:sz="0" w:space="0" w:color="auto"/>
        <w:right w:val="none" w:sz="0" w:space="0" w:color="auto"/>
      </w:divBdr>
      <w:divsChild>
        <w:div w:id="1687512971">
          <w:marLeft w:val="0"/>
          <w:marRight w:val="0"/>
          <w:marTop w:val="0"/>
          <w:marBottom w:val="0"/>
          <w:divBdr>
            <w:top w:val="none" w:sz="0" w:space="0" w:color="auto"/>
            <w:left w:val="none" w:sz="0" w:space="0" w:color="auto"/>
            <w:bottom w:val="none" w:sz="0" w:space="0" w:color="auto"/>
            <w:right w:val="none" w:sz="0" w:space="0" w:color="auto"/>
          </w:divBdr>
          <w:divsChild>
            <w:div w:id="1428765803">
              <w:marLeft w:val="0"/>
              <w:marRight w:val="0"/>
              <w:marTop w:val="0"/>
              <w:marBottom w:val="0"/>
              <w:divBdr>
                <w:top w:val="none" w:sz="0" w:space="0" w:color="auto"/>
                <w:left w:val="none" w:sz="0" w:space="0" w:color="auto"/>
                <w:bottom w:val="none" w:sz="0" w:space="0" w:color="auto"/>
                <w:right w:val="none" w:sz="0" w:space="0" w:color="auto"/>
              </w:divBdr>
              <w:divsChild>
                <w:div w:id="8410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840401">
      <w:bodyDiv w:val="1"/>
      <w:marLeft w:val="0"/>
      <w:marRight w:val="0"/>
      <w:marTop w:val="0"/>
      <w:marBottom w:val="0"/>
      <w:divBdr>
        <w:top w:val="none" w:sz="0" w:space="0" w:color="auto"/>
        <w:left w:val="none" w:sz="0" w:space="0" w:color="auto"/>
        <w:bottom w:val="none" w:sz="0" w:space="0" w:color="auto"/>
        <w:right w:val="none" w:sz="0" w:space="0" w:color="auto"/>
      </w:divBdr>
      <w:divsChild>
        <w:div w:id="457844618">
          <w:marLeft w:val="0"/>
          <w:marRight w:val="0"/>
          <w:marTop w:val="0"/>
          <w:marBottom w:val="0"/>
          <w:divBdr>
            <w:top w:val="none" w:sz="0" w:space="0" w:color="auto"/>
            <w:left w:val="none" w:sz="0" w:space="0" w:color="auto"/>
            <w:bottom w:val="none" w:sz="0" w:space="0" w:color="auto"/>
            <w:right w:val="none" w:sz="0" w:space="0" w:color="auto"/>
          </w:divBdr>
          <w:divsChild>
            <w:div w:id="673412622">
              <w:marLeft w:val="0"/>
              <w:marRight w:val="0"/>
              <w:marTop w:val="0"/>
              <w:marBottom w:val="0"/>
              <w:divBdr>
                <w:top w:val="none" w:sz="0" w:space="0" w:color="auto"/>
                <w:left w:val="none" w:sz="0" w:space="0" w:color="auto"/>
                <w:bottom w:val="none" w:sz="0" w:space="0" w:color="auto"/>
                <w:right w:val="none" w:sz="0" w:space="0" w:color="auto"/>
              </w:divBdr>
              <w:divsChild>
                <w:div w:id="1830444373">
                  <w:marLeft w:val="0"/>
                  <w:marRight w:val="0"/>
                  <w:marTop w:val="0"/>
                  <w:marBottom w:val="0"/>
                  <w:divBdr>
                    <w:top w:val="none" w:sz="0" w:space="0" w:color="auto"/>
                    <w:left w:val="none" w:sz="0" w:space="0" w:color="auto"/>
                    <w:bottom w:val="none" w:sz="0" w:space="0" w:color="auto"/>
                    <w:right w:val="none" w:sz="0" w:space="0" w:color="auto"/>
                  </w:divBdr>
                  <w:divsChild>
                    <w:div w:id="160164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44715">
          <w:marLeft w:val="0"/>
          <w:marRight w:val="0"/>
          <w:marTop w:val="0"/>
          <w:marBottom w:val="0"/>
          <w:divBdr>
            <w:top w:val="none" w:sz="0" w:space="0" w:color="auto"/>
            <w:left w:val="none" w:sz="0" w:space="0" w:color="auto"/>
            <w:bottom w:val="none" w:sz="0" w:space="0" w:color="auto"/>
            <w:right w:val="none" w:sz="0" w:space="0" w:color="auto"/>
          </w:divBdr>
          <w:divsChild>
            <w:div w:id="1429810318">
              <w:marLeft w:val="0"/>
              <w:marRight w:val="0"/>
              <w:marTop w:val="0"/>
              <w:marBottom w:val="0"/>
              <w:divBdr>
                <w:top w:val="none" w:sz="0" w:space="0" w:color="auto"/>
                <w:left w:val="none" w:sz="0" w:space="0" w:color="auto"/>
                <w:bottom w:val="none" w:sz="0" w:space="0" w:color="auto"/>
                <w:right w:val="none" w:sz="0" w:space="0" w:color="auto"/>
              </w:divBdr>
              <w:divsChild>
                <w:div w:id="170413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45943">
      <w:bodyDiv w:val="1"/>
      <w:marLeft w:val="0"/>
      <w:marRight w:val="0"/>
      <w:marTop w:val="0"/>
      <w:marBottom w:val="0"/>
      <w:divBdr>
        <w:top w:val="none" w:sz="0" w:space="0" w:color="auto"/>
        <w:left w:val="none" w:sz="0" w:space="0" w:color="auto"/>
        <w:bottom w:val="none" w:sz="0" w:space="0" w:color="auto"/>
        <w:right w:val="none" w:sz="0" w:space="0" w:color="auto"/>
      </w:divBdr>
      <w:divsChild>
        <w:div w:id="1209030751">
          <w:marLeft w:val="0"/>
          <w:marRight w:val="0"/>
          <w:marTop w:val="0"/>
          <w:marBottom w:val="0"/>
          <w:divBdr>
            <w:top w:val="none" w:sz="0" w:space="0" w:color="auto"/>
            <w:left w:val="none" w:sz="0" w:space="0" w:color="auto"/>
            <w:bottom w:val="none" w:sz="0" w:space="0" w:color="auto"/>
            <w:right w:val="none" w:sz="0" w:space="0" w:color="auto"/>
          </w:divBdr>
          <w:divsChild>
            <w:div w:id="7402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7600">
      <w:bodyDiv w:val="1"/>
      <w:marLeft w:val="0"/>
      <w:marRight w:val="0"/>
      <w:marTop w:val="0"/>
      <w:marBottom w:val="0"/>
      <w:divBdr>
        <w:top w:val="none" w:sz="0" w:space="0" w:color="auto"/>
        <w:left w:val="none" w:sz="0" w:space="0" w:color="auto"/>
        <w:bottom w:val="none" w:sz="0" w:space="0" w:color="auto"/>
        <w:right w:val="none" w:sz="0" w:space="0" w:color="auto"/>
      </w:divBdr>
    </w:div>
    <w:div w:id="1710257617">
      <w:bodyDiv w:val="1"/>
      <w:marLeft w:val="0"/>
      <w:marRight w:val="0"/>
      <w:marTop w:val="0"/>
      <w:marBottom w:val="0"/>
      <w:divBdr>
        <w:top w:val="none" w:sz="0" w:space="0" w:color="auto"/>
        <w:left w:val="none" w:sz="0" w:space="0" w:color="auto"/>
        <w:bottom w:val="none" w:sz="0" w:space="0" w:color="auto"/>
        <w:right w:val="none" w:sz="0" w:space="0" w:color="auto"/>
      </w:divBdr>
      <w:divsChild>
        <w:div w:id="947393647">
          <w:marLeft w:val="0"/>
          <w:marRight w:val="0"/>
          <w:marTop w:val="0"/>
          <w:marBottom w:val="0"/>
          <w:divBdr>
            <w:top w:val="none" w:sz="0" w:space="0" w:color="auto"/>
            <w:left w:val="none" w:sz="0" w:space="0" w:color="auto"/>
            <w:bottom w:val="none" w:sz="0" w:space="0" w:color="auto"/>
            <w:right w:val="none" w:sz="0" w:space="0" w:color="auto"/>
          </w:divBdr>
          <w:divsChild>
            <w:div w:id="12277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4243">
      <w:bodyDiv w:val="1"/>
      <w:marLeft w:val="0"/>
      <w:marRight w:val="0"/>
      <w:marTop w:val="0"/>
      <w:marBottom w:val="0"/>
      <w:divBdr>
        <w:top w:val="none" w:sz="0" w:space="0" w:color="auto"/>
        <w:left w:val="none" w:sz="0" w:space="0" w:color="auto"/>
        <w:bottom w:val="none" w:sz="0" w:space="0" w:color="auto"/>
        <w:right w:val="none" w:sz="0" w:space="0" w:color="auto"/>
      </w:divBdr>
    </w:div>
    <w:div w:id="1846092549">
      <w:bodyDiv w:val="1"/>
      <w:marLeft w:val="0"/>
      <w:marRight w:val="0"/>
      <w:marTop w:val="0"/>
      <w:marBottom w:val="0"/>
      <w:divBdr>
        <w:top w:val="none" w:sz="0" w:space="0" w:color="auto"/>
        <w:left w:val="none" w:sz="0" w:space="0" w:color="auto"/>
        <w:bottom w:val="none" w:sz="0" w:space="0" w:color="auto"/>
        <w:right w:val="none" w:sz="0" w:space="0" w:color="auto"/>
      </w:divBdr>
    </w:div>
    <w:div w:id="1861435634">
      <w:bodyDiv w:val="1"/>
      <w:marLeft w:val="0"/>
      <w:marRight w:val="0"/>
      <w:marTop w:val="0"/>
      <w:marBottom w:val="0"/>
      <w:divBdr>
        <w:top w:val="none" w:sz="0" w:space="0" w:color="auto"/>
        <w:left w:val="none" w:sz="0" w:space="0" w:color="auto"/>
        <w:bottom w:val="none" w:sz="0" w:space="0" w:color="auto"/>
        <w:right w:val="none" w:sz="0" w:space="0" w:color="auto"/>
      </w:divBdr>
    </w:div>
    <w:div w:id="2002656791">
      <w:bodyDiv w:val="1"/>
      <w:marLeft w:val="0"/>
      <w:marRight w:val="0"/>
      <w:marTop w:val="0"/>
      <w:marBottom w:val="0"/>
      <w:divBdr>
        <w:top w:val="none" w:sz="0" w:space="0" w:color="auto"/>
        <w:left w:val="none" w:sz="0" w:space="0" w:color="auto"/>
        <w:bottom w:val="none" w:sz="0" w:space="0" w:color="auto"/>
        <w:right w:val="none" w:sz="0" w:space="0" w:color="auto"/>
      </w:divBdr>
    </w:div>
    <w:div w:id="2007516806">
      <w:bodyDiv w:val="1"/>
      <w:marLeft w:val="0"/>
      <w:marRight w:val="0"/>
      <w:marTop w:val="0"/>
      <w:marBottom w:val="0"/>
      <w:divBdr>
        <w:top w:val="none" w:sz="0" w:space="0" w:color="auto"/>
        <w:left w:val="none" w:sz="0" w:space="0" w:color="auto"/>
        <w:bottom w:val="none" w:sz="0" w:space="0" w:color="auto"/>
        <w:right w:val="none" w:sz="0" w:space="0" w:color="auto"/>
      </w:divBdr>
      <w:divsChild>
        <w:div w:id="1728647285">
          <w:marLeft w:val="0"/>
          <w:marRight w:val="0"/>
          <w:marTop w:val="200"/>
          <w:marBottom w:val="200"/>
          <w:divBdr>
            <w:top w:val="none" w:sz="0" w:space="0" w:color="auto"/>
            <w:left w:val="none" w:sz="0" w:space="0" w:color="auto"/>
            <w:bottom w:val="none" w:sz="0" w:space="0" w:color="auto"/>
            <w:right w:val="none" w:sz="0" w:space="0" w:color="auto"/>
          </w:divBdr>
          <w:divsChild>
            <w:div w:id="152058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54922">
      <w:bodyDiv w:val="1"/>
      <w:marLeft w:val="0"/>
      <w:marRight w:val="0"/>
      <w:marTop w:val="0"/>
      <w:marBottom w:val="0"/>
      <w:divBdr>
        <w:top w:val="none" w:sz="0" w:space="0" w:color="auto"/>
        <w:left w:val="none" w:sz="0" w:space="0" w:color="auto"/>
        <w:bottom w:val="none" w:sz="0" w:space="0" w:color="auto"/>
        <w:right w:val="none" w:sz="0" w:space="0" w:color="auto"/>
      </w:divBdr>
      <w:divsChild>
        <w:div w:id="482044241">
          <w:marLeft w:val="0"/>
          <w:marRight w:val="0"/>
          <w:marTop w:val="200"/>
          <w:marBottom w:val="200"/>
          <w:divBdr>
            <w:top w:val="none" w:sz="0" w:space="0" w:color="auto"/>
            <w:left w:val="none" w:sz="0" w:space="0" w:color="auto"/>
            <w:bottom w:val="none" w:sz="0" w:space="0" w:color="auto"/>
            <w:right w:val="none" w:sz="0" w:space="0" w:color="auto"/>
          </w:divBdr>
          <w:divsChild>
            <w:div w:id="174714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3824">
      <w:bodyDiv w:val="1"/>
      <w:marLeft w:val="0"/>
      <w:marRight w:val="0"/>
      <w:marTop w:val="0"/>
      <w:marBottom w:val="0"/>
      <w:divBdr>
        <w:top w:val="none" w:sz="0" w:space="0" w:color="auto"/>
        <w:left w:val="none" w:sz="0" w:space="0" w:color="auto"/>
        <w:bottom w:val="none" w:sz="0" w:space="0" w:color="auto"/>
        <w:right w:val="none" w:sz="0" w:space="0" w:color="auto"/>
      </w:divBdr>
      <w:divsChild>
        <w:div w:id="1251618902">
          <w:marLeft w:val="0"/>
          <w:marRight w:val="0"/>
          <w:marTop w:val="0"/>
          <w:marBottom w:val="0"/>
          <w:divBdr>
            <w:top w:val="none" w:sz="0" w:space="0" w:color="auto"/>
            <w:left w:val="none" w:sz="0" w:space="0" w:color="auto"/>
            <w:bottom w:val="none" w:sz="0" w:space="0" w:color="auto"/>
            <w:right w:val="none" w:sz="0" w:space="0" w:color="auto"/>
          </w:divBdr>
          <w:divsChild>
            <w:div w:id="1126585418">
              <w:marLeft w:val="0"/>
              <w:marRight w:val="0"/>
              <w:marTop w:val="0"/>
              <w:marBottom w:val="0"/>
              <w:divBdr>
                <w:top w:val="none" w:sz="0" w:space="0" w:color="auto"/>
                <w:left w:val="none" w:sz="0" w:space="0" w:color="auto"/>
                <w:bottom w:val="none" w:sz="0" w:space="0" w:color="auto"/>
                <w:right w:val="none" w:sz="0" w:space="0" w:color="auto"/>
              </w:divBdr>
              <w:divsChild>
                <w:div w:id="98457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gital.nhs.uk/data-and-information/publications/statistical/statistics-on-alcohol/202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rcpsych.ac.uk/docs/default-source/training/curricula-and-guidance/2022-curricula/general-psychiatry-curriculum-final-16-june-22.pdf?sfvrsn=b0983a16_4" TargetMode="External"/><Relationship Id="rId4" Type="http://schemas.openxmlformats.org/officeDocument/2006/relationships/settings" Target="settings.xml"/><Relationship Id="rId9" Type="http://schemas.openxmlformats.org/officeDocument/2006/relationships/hyperlink" Target="http://www.aomrc.org.uk/wp-content/uploads/2016/05/Alcohol_Drugs_Competencies_0612.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C2E49F-2C40-444C-BB7E-DA5F8107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7157</Words>
  <Characters>40798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Barnes, Thomas R E</dc:creator>
  <cp:lastModifiedBy>Barnes, Thomas R E</cp:lastModifiedBy>
  <cp:revision>2</cp:revision>
  <dcterms:created xsi:type="dcterms:W3CDTF">2023-04-12T15:27:00Z</dcterms:created>
  <dcterms:modified xsi:type="dcterms:W3CDTF">2023-04-12T15:27:00Z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238a98-5de3-4afa-b492-e6339810853c_Enabled">
    <vt:lpwstr>True</vt:lpwstr>
  </property>
  <property fmtid="{D5CDD505-2E9C-101B-9397-08002B2CF9AE}" pid="3" name="MSIP_Label_bd238a98-5de3-4afa-b492-e6339810853c_SiteId">
    <vt:lpwstr>75aac48a-29ab-4230-adac-69d3e7ed3e77</vt:lpwstr>
  </property>
  <property fmtid="{D5CDD505-2E9C-101B-9397-08002B2CF9AE}" pid="4" name="MSIP_Label_bd238a98-5de3-4afa-b492-e6339810853c_Owner">
    <vt:lpwstr>Olivia.Rendora@rcpsych.ac.uk</vt:lpwstr>
  </property>
  <property fmtid="{D5CDD505-2E9C-101B-9397-08002B2CF9AE}" pid="5" name="MSIP_Label_bd238a98-5de3-4afa-b492-e6339810853c_SetDate">
    <vt:lpwstr>2022-11-22T17:10:38.8210442Z</vt:lpwstr>
  </property>
  <property fmtid="{D5CDD505-2E9C-101B-9397-08002B2CF9AE}" pid="6" name="MSIP_Label_bd238a98-5de3-4afa-b492-e6339810853c_Name">
    <vt:lpwstr>General</vt:lpwstr>
  </property>
  <property fmtid="{D5CDD505-2E9C-101B-9397-08002B2CF9AE}" pid="7" name="MSIP_Label_bd238a98-5de3-4afa-b492-e6339810853c_Application">
    <vt:lpwstr>Microsoft Azure Information Protection</vt:lpwstr>
  </property>
  <property fmtid="{D5CDD505-2E9C-101B-9397-08002B2CF9AE}" pid="8" name="MSIP_Label_bd238a98-5de3-4afa-b492-e6339810853c_ActionId">
    <vt:lpwstr>1f90a77f-c78a-47d4-9207-6acee3049c9e</vt:lpwstr>
  </property>
  <property fmtid="{D5CDD505-2E9C-101B-9397-08002B2CF9AE}" pid="9" name="MSIP_Label_bd238a98-5de3-4afa-b492-e6339810853c_Extended_MSFT_Method">
    <vt:lpwstr>Automatic</vt:lpwstr>
  </property>
  <property fmtid="{D5CDD505-2E9C-101B-9397-08002B2CF9AE}" pid="10" name="Sensitivity">
    <vt:lpwstr>General</vt:lpwstr>
  </property>
</Properties>
</file>