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ascii="Calibri" w:hAnsi="Calibri" w:cs="Calibri"/>
          <w:sz w:val="32"/>
          <w:szCs w:val="32"/>
          <w:lang w:val="en-GB"/>
        </w:rPr>
      </w:pPr>
      <w:r>
        <w:rPr>
          <w:rFonts w:ascii="Calibri" w:hAnsi="Calibri" w:cs="Calibri"/>
          <w:sz w:val="32"/>
          <w:szCs w:val="32"/>
          <w:lang w:val="en-GB"/>
        </w:rPr>
        <w:t>Modified T</w:t>
      </w:r>
      <w:r>
        <w:rPr>
          <w:rFonts w:ascii="Calibri" w:hAnsi="Calibri" w:cs="Calibri"/>
          <w:sz w:val="32"/>
          <w:szCs w:val="32"/>
          <w:vertAlign w:val="superscript"/>
          <w:lang w:val="en-GB"/>
        </w:rPr>
        <w:t>2</w:t>
      </w:r>
      <w:r>
        <w:rPr>
          <w:rFonts w:ascii="Calibri" w:hAnsi="Calibri" w:cs="Calibri"/>
          <w:sz w:val="32"/>
          <w:szCs w:val="32"/>
          <w:lang w:val="en-GB"/>
        </w:rPr>
        <w:t xml:space="preserve"> statistics for improved detection of aided Cortical Auditory Evoked Potentials in hearing-impaired infants</w:t>
      </w:r>
    </w:p>
    <w:p>
      <w:pPr>
        <w:spacing w:line="240" w:lineRule="auto"/>
        <w:rPr>
          <w:rFonts w:ascii="Calibri" w:hAnsi="Calibri" w:eastAsia="Times-Roman" w:cs="Calibri"/>
          <w:sz w:val="22"/>
          <w:szCs w:val="22"/>
          <w:lang w:val="en-GB" w:bidi="ar"/>
        </w:rPr>
      </w:pPr>
      <w:r>
        <w:rPr>
          <w:rFonts w:ascii="Calibri" w:hAnsi="Calibri" w:eastAsia="Times-Roman" w:cs="Calibri"/>
          <w:sz w:val="22"/>
          <w:szCs w:val="22"/>
          <w:lang w:bidi="ar"/>
        </w:rPr>
        <w:t>Michael Alexander Chesnaye</w:t>
      </w:r>
      <w:r>
        <w:rPr>
          <w:rFonts w:ascii="Calibri" w:hAnsi="Calibri" w:eastAsia="Times-Roman" w:cs="Calibri"/>
          <w:sz w:val="22"/>
          <w:szCs w:val="22"/>
          <w:vertAlign w:val="superscript"/>
          <w:lang w:val="en-GB" w:bidi="ar"/>
        </w:rPr>
        <w:t>1</w:t>
      </w:r>
      <w:r>
        <w:rPr>
          <w:rFonts w:ascii="Calibri" w:hAnsi="Calibri" w:eastAsia="Times-Roman" w:cs="Calibri"/>
          <w:sz w:val="22"/>
          <w:szCs w:val="22"/>
          <w:lang w:bidi="ar"/>
        </w:rPr>
        <w:t>,</w:t>
      </w:r>
      <w:r>
        <w:rPr>
          <w:rFonts w:ascii="Calibri" w:hAnsi="Calibri" w:eastAsia="Times-Roman" w:cs="Calibri"/>
          <w:sz w:val="22"/>
          <w:szCs w:val="22"/>
          <w:lang w:val="en-GB" w:bidi="ar"/>
        </w:rPr>
        <w:t xml:space="preserve"> </w:t>
      </w:r>
      <w:r>
        <w:rPr>
          <w:rFonts w:ascii="Calibri" w:hAnsi="Calibri" w:eastAsia="Times-Roman" w:cs="Calibri"/>
          <w:sz w:val="22"/>
          <w:szCs w:val="22"/>
          <w:lang w:bidi="ar"/>
        </w:rPr>
        <w:t>Steven Lewis Bell</w:t>
      </w:r>
      <w:r>
        <w:rPr>
          <w:rFonts w:ascii="Calibri" w:hAnsi="Calibri" w:eastAsia="Times-Roman" w:cs="Calibri"/>
          <w:sz w:val="22"/>
          <w:szCs w:val="22"/>
          <w:vertAlign w:val="superscript"/>
          <w:lang w:val="en-GB" w:bidi="ar"/>
        </w:rPr>
        <w:t>1</w:t>
      </w:r>
      <w:r>
        <w:rPr>
          <w:rFonts w:ascii="Calibri" w:hAnsi="Calibri" w:eastAsia="Times-Roman" w:cs="Calibri"/>
          <w:sz w:val="22"/>
          <w:szCs w:val="22"/>
          <w:lang w:bidi="ar"/>
        </w:rPr>
        <w:t>,</w:t>
      </w:r>
      <w:r>
        <w:rPr>
          <w:rFonts w:ascii="Calibri" w:hAnsi="Calibri" w:eastAsia="Times-Roman" w:cs="Calibri"/>
          <w:sz w:val="22"/>
          <w:szCs w:val="22"/>
          <w:lang w:val="en-GB" w:bidi="ar"/>
        </w:rPr>
        <w:t xml:space="preserve"> </w:t>
      </w:r>
      <w:r>
        <w:rPr>
          <w:rFonts w:ascii="Calibri" w:hAnsi="Calibri" w:eastAsia="Times-Roman" w:cs="Calibri"/>
          <w:sz w:val="22"/>
          <w:szCs w:val="22"/>
          <w:lang w:bidi="ar"/>
        </w:rPr>
        <w:t>James Michael Harte</w:t>
      </w:r>
      <w:r>
        <w:rPr>
          <w:rFonts w:ascii="Calibri" w:hAnsi="Calibri" w:eastAsia="Times-Roman" w:cs="Calibri"/>
          <w:sz w:val="22"/>
          <w:szCs w:val="22"/>
          <w:vertAlign w:val="superscript"/>
          <w:lang w:val="en-GB" w:bidi="ar"/>
        </w:rPr>
        <w:t>2,3</w:t>
      </w:r>
      <w:r>
        <w:rPr>
          <w:rFonts w:ascii="Calibri" w:hAnsi="Calibri" w:eastAsia="Times-Roman" w:cs="Calibri"/>
          <w:sz w:val="22"/>
          <w:szCs w:val="22"/>
          <w:lang w:bidi="ar"/>
        </w:rPr>
        <w:t>,</w:t>
      </w:r>
      <w:r>
        <w:rPr>
          <w:rFonts w:ascii="Calibri" w:hAnsi="Calibri" w:eastAsia="Times-Roman" w:cs="Calibri"/>
          <w:sz w:val="22"/>
          <w:szCs w:val="22"/>
          <w:lang w:val="en-GB" w:bidi="ar"/>
        </w:rPr>
        <w:t xml:space="preserve"> </w:t>
      </w:r>
      <w:r>
        <w:rPr>
          <w:rFonts w:ascii="Calibri" w:hAnsi="Calibri" w:eastAsia="Times-Roman" w:cs="Calibri"/>
          <w:sz w:val="22"/>
          <w:szCs w:val="22"/>
          <w:lang w:bidi="ar"/>
        </w:rPr>
        <w:t>Lisbeth Birkelund Simonsen</w:t>
      </w:r>
      <w:r>
        <w:rPr>
          <w:rFonts w:ascii="Calibri" w:hAnsi="Calibri" w:eastAsia="Times-Roman" w:cs="Calibri"/>
          <w:sz w:val="22"/>
          <w:szCs w:val="22"/>
          <w:vertAlign w:val="superscript"/>
          <w:lang w:val="en-GB" w:bidi="ar"/>
        </w:rPr>
        <w:t>2</w:t>
      </w:r>
      <w:r>
        <w:rPr>
          <w:rFonts w:ascii="Calibri" w:hAnsi="Calibri" w:eastAsia="Times-Roman" w:cs="Calibri"/>
          <w:sz w:val="22"/>
          <w:szCs w:val="22"/>
          <w:lang w:bidi="ar"/>
        </w:rPr>
        <w:t>,</w:t>
      </w:r>
      <w:r>
        <w:rPr>
          <w:rFonts w:ascii="Calibri" w:hAnsi="Calibri" w:eastAsia="Times-Roman" w:cs="Calibri"/>
          <w:sz w:val="22"/>
          <w:szCs w:val="22"/>
          <w:lang w:val="en-GB" w:bidi="ar"/>
        </w:rPr>
        <w:t xml:space="preserve"> </w:t>
      </w:r>
      <w:r>
        <w:rPr>
          <w:rFonts w:ascii="Calibri" w:hAnsi="Calibri" w:eastAsia="Times-Roman" w:cs="Calibri"/>
          <w:sz w:val="22"/>
          <w:szCs w:val="22"/>
          <w:lang w:bidi="ar"/>
        </w:rPr>
        <w:t>Anisa Sadru Visram</w:t>
      </w:r>
      <w:r>
        <w:rPr>
          <w:rFonts w:ascii="Calibri" w:hAnsi="Calibri" w:eastAsia="Times-Roman" w:cs="Calibri"/>
          <w:sz w:val="22"/>
          <w:szCs w:val="22"/>
          <w:vertAlign w:val="superscript"/>
          <w:lang w:val="en-GB" w:bidi="ar"/>
        </w:rPr>
        <w:t>4,5</w:t>
      </w:r>
      <w:r>
        <w:rPr>
          <w:rFonts w:ascii="Calibri" w:hAnsi="Calibri" w:eastAsia="Times-Roman" w:cs="Calibri"/>
          <w:sz w:val="22"/>
          <w:szCs w:val="22"/>
          <w:lang w:bidi="ar"/>
        </w:rPr>
        <w:t>,</w:t>
      </w:r>
      <w:r>
        <w:rPr>
          <w:rFonts w:ascii="Calibri" w:hAnsi="Calibri" w:eastAsia="Times-Roman" w:cs="Calibri"/>
          <w:sz w:val="22"/>
          <w:szCs w:val="22"/>
          <w:lang w:val="en-GB" w:bidi="ar"/>
        </w:rPr>
        <w:t xml:space="preserve"> </w:t>
      </w:r>
      <w:r>
        <w:rPr>
          <w:rFonts w:ascii="Calibri" w:hAnsi="Calibri" w:eastAsia="Times-Roman" w:cs="Calibri"/>
          <w:sz w:val="22"/>
          <w:szCs w:val="22"/>
          <w:lang w:bidi="ar"/>
        </w:rPr>
        <w:t>Michael Anthony Stone</w:t>
      </w:r>
      <w:r>
        <w:rPr>
          <w:rFonts w:ascii="Calibri" w:hAnsi="Calibri" w:eastAsia="Times-Roman" w:cs="Calibri"/>
          <w:sz w:val="22"/>
          <w:szCs w:val="22"/>
          <w:vertAlign w:val="superscript"/>
          <w:lang w:val="en-GB" w:bidi="ar"/>
        </w:rPr>
        <w:t>4,5</w:t>
      </w:r>
      <w:r>
        <w:rPr>
          <w:rFonts w:ascii="Calibri" w:hAnsi="Calibri" w:eastAsia="Times-Roman" w:cs="Calibri"/>
          <w:sz w:val="22"/>
          <w:szCs w:val="22"/>
          <w:lang w:bidi="ar"/>
        </w:rPr>
        <w:t>, Kevin James Munro</w:t>
      </w:r>
      <w:r>
        <w:rPr>
          <w:rFonts w:ascii="Calibri" w:hAnsi="Calibri" w:eastAsia="Times-Roman" w:cs="Calibri"/>
          <w:sz w:val="22"/>
          <w:szCs w:val="22"/>
          <w:vertAlign w:val="superscript"/>
          <w:lang w:val="en-GB" w:bidi="ar"/>
        </w:rPr>
        <w:t>4,5</w:t>
      </w:r>
      <w:r>
        <w:rPr>
          <w:rFonts w:ascii="Calibri" w:hAnsi="Calibri" w:eastAsia="Times-Roman" w:cs="Calibri"/>
          <w:sz w:val="22"/>
          <w:szCs w:val="22"/>
          <w:lang w:val="en-GB" w:bidi="ar"/>
        </w:rPr>
        <w:t xml:space="preserve">, </w:t>
      </w:r>
      <w:r>
        <w:rPr>
          <w:rFonts w:ascii="Calibri" w:hAnsi="Calibri" w:eastAsia="Times-Roman" w:cs="Calibri"/>
          <w:sz w:val="22"/>
          <w:szCs w:val="22"/>
          <w:lang w:bidi="ar"/>
        </w:rPr>
        <w:t>David Martin Simpson</w:t>
      </w:r>
      <w:r>
        <w:rPr>
          <w:rFonts w:ascii="Calibri" w:hAnsi="Calibri" w:eastAsia="Times-Roman" w:cs="Calibri"/>
          <w:sz w:val="22"/>
          <w:szCs w:val="22"/>
          <w:vertAlign w:val="superscript"/>
          <w:lang w:val="en-GB" w:bidi="ar"/>
        </w:rPr>
        <w:t>1</w:t>
      </w:r>
    </w:p>
    <w:p>
      <w:pPr>
        <w:spacing w:line="240" w:lineRule="auto"/>
        <w:rPr>
          <w:rFonts w:ascii="Calibri" w:hAnsi="Calibri" w:eastAsia="Times-Roman" w:cs="Calibri"/>
          <w:sz w:val="16"/>
          <w:szCs w:val="16"/>
          <w:lang w:bidi="ar"/>
        </w:rPr>
      </w:pPr>
    </w:p>
    <w:p>
      <w:pPr>
        <w:spacing w:line="240" w:lineRule="auto"/>
        <w:rPr>
          <w:rFonts w:ascii="Calibri" w:hAnsi="Calibri" w:eastAsia="Times-Roman" w:cs="Calibri"/>
          <w:color w:val="231F20"/>
          <w:sz w:val="16"/>
          <w:szCs w:val="16"/>
          <w:lang w:bidi="ar"/>
        </w:rPr>
      </w:pPr>
      <w:r>
        <w:rPr>
          <w:rFonts w:ascii="Calibri" w:hAnsi="Calibri" w:eastAsia="Times-Roman" w:cs="Calibri"/>
          <w:color w:val="231F20"/>
          <w:sz w:val="16"/>
          <w:szCs w:val="16"/>
          <w:vertAlign w:val="superscript"/>
          <w:lang w:val="en-GB" w:bidi="ar"/>
        </w:rPr>
        <w:t xml:space="preserve">1 </w:t>
      </w:r>
      <w:r>
        <w:rPr>
          <w:rFonts w:ascii="Calibri" w:hAnsi="Calibri" w:eastAsia="Times-Roman" w:cs="Calibri"/>
          <w:color w:val="231F20"/>
          <w:sz w:val="16"/>
          <w:szCs w:val="16"/>
          <w:lang w:bidi="ar"/>
        </w:rPr>
        <w:t>Institute of Sound and Vibration Research, Faculty of Engineering and the</w:t>
      </w:r>
      <w:r>
        <w:rPr>
          <w:rFonts w:ascii="Calibri" w:hAnsi="Calibri" w:eastAsia="Times-Roman" w:cs="Calibri"/>
          <w:color w:val="231F20"/>
          <w:sz w:val="16"/>
          <w:szCs w:val="16"/>
          <w:lang w:val="en-GB" w:bidi="ar"/>
        </w:rPr>
        <w:t xml:space="preserve"> </w:t>
      </w:r>
      <w:r>
        <w:rPr>
          <w:rFonts w:ascii="Calibri" w:hAnsi="Calibri" w:eastAsia="Times-Roman" w:cs="Calibri"/>
          <w:color w:val="231F20"/>
          <w:sz w:val="16"/>
          <w:szCs w:val="16"/>
          <w:lang w:bidi="ar"/>
        </w:rPr>
        <w:t>Environment, University of Southampton, United Kingdom</w:t>
      </w:r>
    </w:p>
    <w:p>
      <w:pPr>
        <w:spacing w:line="240" w:lineRule="auto"/>
        <w:rPr>
          <w:rFonts w:ascii="Calibri" w:hAnsi="Calibri" w:eastAsia="Times-Roman" w:cs="Calibri"/>
          <w:color w:val="231F20"/>
          <w:sz w:val="16"/>
          <w:szCs w:val="16"/>
          <w:lang w:bidi="ar"/>
        </w:rPr>
      </w:pPr>
      <w:r>
        <w:rPr>
          <w:rFonts w:ascii="Calibri" w:hAnsi="Calibri" w:eastAsia="Times-Roman" w:cs="Calibri"/>
          <w:color w:val="231F20"/>
          <w:sz w:val="16"/>
          <w:szCs w:val="16"/>
          <w:vertAlign w:val="superscript"/>
          <w:lang w:val="en-GB" w:bidi="ar"/>
        </w:rPr>
        <w:t>2</w:t>
      </w:r>
      <w:r>
        <w:rPr>
          <w:rFonts w:ascii="Calibri" w:hAnsi="Calibri" w:eastAsia="Times-Roman" w:cs="Calibri"/>
          <w:color w:val="231F20"/>
          <w:sz w:val="16"/>
          <w:szCs w:val="16"/>
          <w:lang w:val="en-GB" w:bidi="ar"/>
        </w:rPr>
        <w:t xml:space="preserve"> In</w:t>
      </w:r>
      <w:r>
        <w:rPr>
          <w:rFonts w:ascii="Calibri" w:hAnsi="Calibri" w:eastAsia="Times-Roman" w:cs="Calibri"/>
          <w:color w:val="231F20"/>
          <w:sz w:val="16"/>
          <w:szCs w:val="16"/>
          <w:lang w:bidi="ar"/>
        </w:rPr>
        <w:t>teracoustics</w:t>
      </w:r>
      <w:r>
        <w:rPr>
          <w:rFonts w:ascii="Calibri" w:hAnsi="Calibri" w:eastAsia="Times-Roman" w:cs="Calibri"/>
          <w:color w:val="231F20"/>
          <w:sz w:val="16"/>
          <w:szCs w:val="16"/>
          <w:lang w:val="en-GB" w:bidi="ar"/>
        </w:rPr>
        <w:t xml:space="preserve"> </w:t>
      </w:r>
      <w:r>
        <w:rPr>
          <w:rFonts w:ascii="Calibri" w:hAnsi="Calibri" w:eastAsia="Times-Roman" w:cs="Calibri"/>
          <w:color w:val="231F20"/>
          <w:sz w:val="16"/>
          <w:szCs w:val="16"/>
          <w:lang w:bidi="ar"/>
        </w:rPr>
        <w:t>Research Unit, c/o Technical University of Denmark, Denmark.</w:t>
      </w:r>
    </w:p>
    <w:p>
      <w:pPr>
        <w:spacing w:line="240" w:lineRule="auto"/>
        <w:rPr>
          <w:rFonts w:ascii="Calibri" w:hAnsi="Calibri" w:eastAsia="Times-Roman" w:cs="Calibri"/>
          <w:color w:val="5B9BD5" w:themeColor="accent1"/>
          <w:sz w:val="16"/>
          <w:szCs w:val="16"/>
          <w:lang w:val="en-GB" w:bidi="ar"/>
          <w14:textFill>
            <w14:solidFill>
              <w14:schemeClr w14:val="accent1"/>
            </w14:solidFill>
          </w14:textFill>
        </w:rPr>
      </w:pPr>
      <w:r>
        <w:rPr>
          <w:rFonts w:ascii="Calibri" w:hAnsi="Calibri" w:eastAsia="Times-Roman" w:cs="Calibri"/>
          <w:sz w:val="16"/>
          <w:szCs w:val="16"/>
          <w:vertAlign w:val="superscript"/>
          <w:lang w:val="en-GB" w:bidi="ar"/>
        </w:rPr>
        <w:t>3</w:t>
      </w:r>
      <w:r>
        <w:rPr>
          <w:rFonts w:ascii="Calibri" w:hAnsi="Calibri" w:eastAsia="Times-Roman" w:cs="Calibri"/>
          <w:sz w:val="16"/>
          <w:szCs w:val="16"/>
          <w:lang w:val="en-GB" w:bidi="ar"/>
        </w:rPr>
        <w:t xml:space="preserve"> Eriksholm Research Centre, Snekkersten, Denmark. </w:t>
      </w:r>
    </w:p>
    <w:p>
      <w:pPr>
        <w:spacing w:line="240" w:lineRule="auto"/>
        <w:rPr>
          <w:rFonts w:ascii="Calibri" w:hAnsi="Calibri" w:eastAsia="Times-Roman" w:cs="Calibri"/>
          <w:color w:val="231F20"/>
          <w:sz w:val="16"/>
          <w:szCs w:val="16"/>
          <w:lang w:bidi="ar"/>
        </w:rPr>
      </w:pPr>
      <w:r>
        <w:rPr>
          <w:rFonts w:ascii="Calibri" w:hAnsi="Calibri" w:eastAsia="Times-Roman" w:cs="Calibri"/>
          <w:color w:val="231F20"/>
          <w:sz w:val="16"/>
          <w:szCs w:val="16"/>
          <w:vertAlign w:val="superscript"/>
          <w:lang w:val="en-GB" w:bidi="ar"/>
        </w:rPr>
        <w:t>4</w:t>
      </w:r>
      <w:r>
        <w:rPr>
          <w:rFonts w:ascii="Calibri" w:hAnsi="Calibri" w:eastAsia="Times-Roman" w:cs="Calibri"/>
          <w:color w:val="231F20"/>
          <w:sz w:val="16"/>
          <w:szCs w:val="16"/>
          <w:lang w:val="en-GB" w:bidi="ar"/>
        </w:rPr>
        <w:t xml:space="preserve"> </w:t>
      </w:r>
      <w:r>
        <w:rPr>
          <w:rFonts w:ascii="Calibri" w:hAnsi="Calibri" w:eastAsia="Times-Roman" w:cs="Calibri"/>
          <w:color w:val="231F20"/>
          <w:sz w:val="16"/>
          <w:szCs w:val="16"/>
          <w:lang w:bidi="ar"/>
        </w:rPr>
        <w:t>Manchester Centre for Audiology and Deafness, School of Health Sciences, University</w:t>
      </w:r>
      <w:r>
        <w:rPr>
          <w:rFonts w:ascii="Calibri" w:hAnsi="Calibri" w:eastAsia="Times-Roman" w:cs="Calibri"/>
          <w:color w:val="231F20"/>
          <w:sz w:val="16"/>
          <w:szCs w:val="16"/>
          <w:lang w:val="en-GB" w:bidi="ar"/>
        </w:rPr>
        <w:t xml:space="preserve"> </w:t>
      </w:r>
      <w:r>
        <w:rPr>
          <w:rFonts w:ascii="Calibri" w:hAnsi="Calibri" w:eastAsia="Times-Roman" w:cs="Calibri"/>
          <w:color w:val="231F20"/>
          <w:sz w:val="16"/>
          <w:szCs w:val="16"/>
          <w:lang w:bidi="ar"/>
        </w:rPr>
        <w:t>of Manchester, United Kingdom</w:t>
      </w:r>
    </w:p>
    <w:p>
      <w:pPr>
        <w:spacing w:line="240" w:lineRule="auto"/>
        <w:rPr>
          <w:rFonts w:ascii="Calibri" w:hAnsi="Calibri" w:cs="Calibri"/>
          <w:sz w:val="16"/>
          <w:szCs w:val="16"/>
        </w:rPr>
      </w:pPr>
      <w:r>
        <w:rPr>
          <w:rFonts w:ascii="Calibri" w:hAnsi="Calibri" w:eastAsia="Times-Roman" w:cs="Calibri"/>
          <w:color w:val="231F20"/>
          <w:sz w:val="16"/>
          <w:szCs w:val="16"/>
          <w:vertAlign w:val="superscript"/>
          <w:lang w:val="en-GB" w:bidi="ar"/>
        </w:rPr>
        <w:t>5</w:t>
      </w:r>
      <w:r>
        <w:rPr>
          <w:rFonts w:ascii="Calibri" w:hAnsi="Calibri" w:eastAsia="Times-Roman" w:cs="Calibri"/>
          <w:color w:val="231F20"/>
          <w:sz w:val="16"/>
          <w:szCs w:val="16"/>
          <w:lang w:val="en-GB" w:bidi="ar"/>
        </w:rPr>
        <w:t xml:space="preserve"> </w:t>
      </w:r>
      <w:r>
        <w:rPr>
          <w:rFonts w:ascii="Calibri" w:hAnsi="Calibri" w:eastAsia="Times-Roman" w:cs="Calibri"/>
          <w:color w:val="231F20"/>
          <w:sz w:val="16"/>
          <w:szCs w:val="16"/>
          <w:lang w:bidi="ar"/>
        </w:rPr>
        <w:t>Manchester University Hospitals NHS Foundation Trust, Manchester Academic Health Science Centre,</w:t>
      </w:r>
      <w:r>
        <w:rPr>
          <w:rFonts w:ascii="Calibri" w:hAnsi="Calibri" w:eastAsia="Times-Roman" w:cs="Calibri"/>
          <w:color w:val="231F20"/>
          <w:sz w:val="16"/>
          <w:szCs w:val="16"/>
          <w:lang w:val="en-GB" w:bidi="ar"/>
        </w:rPr>
        <w:t xml:space="preserve"> </w:t>
      </w:r>
      <w:r>
        <w:rPr>
          <w:rFonts w:ascii="Calibri" w:hAnsi="Calibri" w:eastAsia="Times-Roman" w:cs="Calibri"/>
          <w:color w:val="231F20"/>
          <w:sz w:val="16"/>
          <w:szCs w:val="16"/>
          <w:lang w:bidi="ar"/>
        </w:rPr>
        <w:t xml:space="preserve">Manchester, United Kingdom. </w:t>
      </w:r>
    </w:p>
    <w:p>
      <w:pPr>
        <w:spacing w:line="240" w:lineRule="auto"/>
        <w:rPr>
          <w:rFonts w:ascii="Calibri" w:hAnsi="Calibri" w:cs="Calibri"/>
          <w:lang w:val="en-GB"/>
        </w:rPr>
      </w:pPr>
    </w:p>
    <w:p>
      <w:pPr>
        <w:spacing w:line="240" w:lineRule="auto"/>
        <w:rPr>
          <w:rFonts w:ascii="Calibri" w:hAnsi="Calibri" w:cs="Calibri"/>
          <w:b/>
          <w:bCs/>
          <w:sz w:val="24"/>
          <w:szCs w:val="24"/>
          <w:lang w:val="en-GB"/>
        </w:rPr>
      </w:pPr>
      <w:r>
        <w:rPr>
          <w:rFonts w:ascii="Calibri" w:hAnsi="Calibri" w:cs="Calibri"/>
          <w:b/>
          <w:bCs/>
          <w:sz w:val="24"/>
          <w:szCs w:val="24"/>
          <w:lang w:val="en-GB"/>
        </w:rPr>
        <w:t>Abstract</w:t>
      </w:r>
    </w:p>
    <w:p>
      <w:pPr>
        <w:spacing w:line="240" w:lineRule="auto"/>
        <w:jc w:val="both"/>
        <w:rPr>
          <w:lang w:val="en-GB"/>
        </w:rPr>
      </w:pPr>
      <w:r>
        <w:rPr>
          <w:rFonts w:ascii="Calibri" w:hAnsi="Calibri" w:cs="Calibri"/>
          <w:sz w:val="21"/>
          <w:szCs w:val="21"/>
          <w:lang w:val="en-GB"/>
        </w:rPr>
        <w:t>The Cortical Auditory Evoked Potential (CAEP) is a change in neural activity in response to sound, and is of interest for audiological assessment of infants, especially those who use hearing aids. Within this population, CAEP waveforms are known to vary substantially across individuals, which makes detecting the CAEP through visual inspection a challenging task. It also means that some of the best automated CAEP detection methods used in adults are probably not suitable for this population. This study therefore evaluates and optimises the performance of new and existing methods for aided (i.e. the stimuli are presented through subjects’ hearing aid(s)) CAEP detection in infants with hearing loss. Methods include the conventional Hotellings T</w:t>
      </w:r>
      <w:r>
        <w:rPr>
          <w:rFonts w:ascii="Calibri" w:hAnsi="Calibri" w:cs="Calibri"/>
          <w:sz w:val="21"/>
          <w:szCs w:val="21"/>
          <w:vertAlign w:val="superscript"/>
          <w:lang w:val="en-GB"/>
        </w:rPr>
        <w:t>2</w:t>
      </w:r>
      <w:r>
        <w:rPr>
          <w:rFonts w:ascii="Calibri" w:hAnsi="Calibri" w:cs="Calibri"/>
          <w:sz w:val="21"/>
          <w:szCs w:val="21"/>
          <w:lang w:val="en-GB"/>
        </w:rPr>
        <w:t xml:space="preserve"> test, various modified q-sample statistics, and two novel variants of T</w:t>
      </w:r>
      <w:r>
        <w:rPr>
          <w:rFonts w:ascii="Calibri" w:hAnsi="Calibri" w:cs="Calibri"/>
          <w:sz w:val="21"/>
          <w:szCs w:val="21"/>
          <w:vertAlign w:val="superscript"/>
          <w:lang w:val="en-GB"/>
        </w:rPr>
        <w:t>2</w:t>
      </w:r>
      <w:r>
        <w:rPr>
          <w:rFonts w:ascii="Calibri" w:hAnsi="Calibri" w:cs="Calibri"/>
          <w:sz w:val="21"/>
          <w:szCs w:val="21"/>
          <w:lang w:val="en-GB"/>
        </w:rPr>
        <w:t xml:space="preserve"> statistics, which were designed to exploit the correlation structure underlying the data. Various additional methods from the literature were also evaluated, including the previously best-performing methods for adult CAEP detection. Data for the assessment consisted of aided CAEPs recorded from 59 infant hearing aid users with mild to profound bilateral hearing loss, and simulated signals. The highest test sensitivities were observed for the modified T</w:t>
      </w:r>
      <w:r>
        <w:rPr>
          <w:rFonts w:ascii="Calibri" w:hAnsi="Calibri" w:cs="Calibri"/>
          <w:sz w:val="21"/>
          <w:szCs w:val="21"/>
          <w:vertAlign w:val="superscript"/>
          <w:lang w:val="en-GB"/>
        </w:rPr>
        <w:t>2</w:t>
      </w:r>
      <w:r>
        <w:rPr>
          <w:rFonts w:ascii="Calibri" w:hAnsi="Calibri" w:cs="Calibri"/>
          <w:sz w:val="21"/>
          <w:szCs w:val="21"/>
          <w:lang w:val="en-GB"/>
        </w:rPr>
        <w:t xml:space="preserve"> statistics, followed by the modified q-sample statistics, and lastly by the conventional Hotelling’s T</w:t>
      </w:r>
      <w:r>
        <w:rPr>
          <w:rFonts w:ascii="Calibri" w:hAnsi="Calibri" w:cs="Calibri"/>
          <w:sz w:val="21"/>
          <w:szCs w:val="21"/>
          <w:vertAlign w:val="superscript"/>
          <w:lang w:val="en-GB"/>
        </w:rPr>
        <w:t>2</w:t>
      </w:r>
      <w:r>
        <w:rPr>
          <w:rFonts w:ascii="Calibri" w:hAnsi="Calibri" w:cs="Calibri"/>
          <w:sz w:val="21"/>
          <w:szCs w:val="21"/>
          <w:lang w:val="en-GB"/>
        </w:rPr>
        <w:t xml:space="preserve"> test, which showed low detection rates for ensemble sizes &lt;80 epochs. The high test sensitivities at small ensemble sizes observed for the modified T</w:t>
      </w:r>
      <w:r>
        <w:rPr>
          <w:rFonts w:ascii="Calibri" w:hAnsi="Calibri" w:cs="Calibri"/>
          <w:sz w:val="21"/>
          <w:szCs w:val="21"/>
          <w:vertAlign w:val="superscript"/>
          <w:lang w:val="en-GB"/>
        </w:rPr>
        <w:t>2</w:t>
      </w:r>
      <w:r>
        <w:rPr>
          <w:rFonts w:ascii="Calibri" w:hAnsi="Calibri" w:cs="Calibri"/>
          <w:sz w:val="21"/>
          <w:szCs w:val="21"/>
          <w:lang w:val="en-GB"/>
        </w:rPr>
        <w:t xml:space="preserve"> and </w:t>
      </w:r>
      <w:r>
        <w:rPr>
          <w:rFonts w:hint="default" w:ascii="Calibri" w:hAnsi="Calibri" w:cs="Calibri"/>
          <w:sz w:val="21"/>
          <w:szCs w:val="21"/>
          <w:lang w:val="en-GB"/>
        </w:rPr>
        <w:t>q-</w:t>
      </w:r>
      <w:r>
        <w:rPr>
          <w:rFonts w:ascii="Calibri" w:hAnsi="Calibri" w:cs="Calibri"/>
          <w:sz w:val="21"/>
          <w:szCs w:val="21"/>
          <w:lang w:val="en-GB"/>
        </w:rPr>
        <w:t xml:space="preserve">sample statistics are especially </w:t>
      </w:r>
      <w:r>
        <w:rPr>
          <w:rFonts w:ascii="Calibri"/>
          <w:lang w:val="en-GB"/>
        </w:rPr>
        <w:t xml:space="preserve">relevant for infant testing, as the </w:t>
      </w:r>
      <w:r>
        <w:rPr>
          <w:lang w:val="en-GB"/>
        </w:rPr>
        <w:t xml:space="preserve">time </w:t>
      </w:r>
      <w:r>
        <w:rPr>
          <w:rFonts w:hint="default"/>
          <w:lang w:val="en-GB"/>
        </w:rPr>
        <w:t xml:space="preserve">available </w:t>
      </w:r>
      <w:r>
        <w:rPr>
          <w:lang w:val="en-GB"/>
        </w:rPr>
        <w:t>for data collection tend</w:t>
      </w:r>
      <w:r>
        <w:rPr>
          <w:rFonts w:hint="default"/>
          <w:lang w:val="en-GB"/>
        </w:rPr>
        <w:t>s</w:t>
      </w:r>
      <w:r>
        <w:rPr>
          <w:lang w:val="en-GB"/>
        </w:rPr>
        <w:t xml:space="preserve"> to be limited in this population. </w:t>
      </w:r>
    </w:p>
    <w:p>
      <w:pPr>
        <w:pStyle w:val="17"/>
        <w:spacing w:line="240" w:lineRule="auto"/>
        <w:rPr>
          <w:rFonts w:ascii="Calibri" w:hAnsi="Calibri" w:cs="Calibri"/>
          <w:b/>
          <w:sz w:val="20"/>
          <w:szCs w:val="20"/>
          <w:lang w:val="en-GB"/>
        </w:rPr>
      </w:pPr>
    </w:p>
    <w:p>
      <w:pPr>
        <w:pStyle w:val="17"/>
        <w:spacing w:line="240" w:lineRule="auto"/>
        <w:rPr>
          <w:rFonts w:ascii="Calibri" w:hAnsi="Calibri" w:cs="Calibri"/>
          <w:b/>
          <w:sz w:val="20"/>
          <w:szCs w:val="20"/>
          <w:lang w:val="en-GB"/>
        </w:rPr>
      </w:pPr>
      <w:r>
        <w:rPr>
          <w:rFonts w:ascii="Calibri" w:hAnsi="Calibri" w:cs="Calibri"/>
          <w:b/>
          <w:sz w:val="20"/>
          <w:szCs w:val="20"/>
          <w:lang w:val="en-GB"/>
        </w:rPr>
        <w:t>Keywords</w:t>
      </w:r>
    </w:p>
    <w:p>
      <w:pPr>
        <w:pStyle w:val="17"/>
        <w:spacing w:line="240" w:lineRule="auto"/>
        <w:rPr>
          <w:rFonts w:ascii="Calibri" w:hAnsi="Calibri" w:cs="Calibri"/>
          <w:sz w:val="20"/>
          <w:szCs w:val="20"/>
          <w:lang w:val="en-GB"/>
        </w:rPr>
      </w:pPr>
      <w:r>
        <w:rPr>
          <w:rFonts w:ascii="Calibri" w:hAnsi="Calibri" w:cs="Calibri"/>
          <w:sz w:val="20"/>
          <w:szCs w:val="20"/>
          <w:lang w:val="en-GB"/>
        </w:rPr>
        <w:t>Evoked potentials, Aided CAEP detection, hearing-impaired infants, Hotelling’s T</w:t>
      </w:r>
      <w:r>
        <w:rPr>
          <w:rFonts w:ascii="Calibri" w:hAnsi="Calibri" w:cs="Calibri"/>
          <w:sz w:val="20"/>
          <w:szCs w:val="20"/>
          <w:vertAlign w:val="superscript"/>
          <w:lang w:val="en-GB"/>
        </w:rPr>
        <w:t>2</w:t>
      </w:r>
      <w:r>
        <w:rPr>
          <w:rFonts w:ascii="Calibri" w:hAnsi="Calibri" w:cs="Calibri"/>
          <w:sz w:val="20"/>
          <w:szCs w:val="20"/>
          <w:lang w:val="en-GB"/>
        </w:rPr>
        <w:t xml:space="preserve"> test</w:t>
      </w:r>
    </w:p>
    <w:p>
      <w:pPr>
        <w:spacing w:line="240" w:lineRule="auto"/>
        <w:rPr>
          <w:rFonts w:ascii="Calibri" w:hAnsi="Calibri" w:cs="Calibri"/>
          <w:lang w:val="en-GB"/>
        </w:rPr>
      </w:pPr>
    </w:p>
    <w:p>
      <w:pPr>
        <w:spacing w:line="240" w:lineRule="auto"/>
        <w:rPr>
          <w:rFonts w:ascii="Calibri" w:hAnsi="Calibri" w:cs="Calibri"/>
          <w:lang w:val="en-GB"/>
        </w:rPr>
      </w:pPr>
    </w:p>
    <w:p>
      <w:pPr>
        <w:pStyle w:val="17"/>
        <w:numPr>
          <w:ilvl w:val="0"/>
          <w:numId w:val="1"/>
        </w:numPr>
        <w:spacing w:line="240" w:lineRule="auto"/>
        <w:rPr>
          <w:rFonts w:ascii="Calibri" w:hAnsi="Calibri" w:cs="Calibri"/>
          <w:b/>
          <w:sz w:val="28"/>
          <w:szCs w:val="28"/>
          <w:lang w:val="en-GB"/>
        </w:rPr>
      </w:pPr>
      <w:r>
        <w:rPr>
          <w:rFonts w:ascii="Calibri" w:hAnsi="Calibri" w:cs="Calibri"/>
          <w:b/>
          <w:sz w:val="28"/>
          <w:szCs w:val="28"/>
          <w:lang w:val="en-GB"/>
        </w:rPr>
        <w:t>Introduction</w:t>
      </w:r>
    </w:p>
    <w:p>
      <w:pPr>
        <w:pStyle w:val="17"/>
        <w:spacing w:line="240" w:lineRule="auto"/>
        <w:jc w:val="both"/>
        <w:rPr>
          <w:rFonts w:ascii="Calibri" w:cs="Calibri"/>
          <w:lang w:val="en-GB"/>
        </w:rPr>
      </w:pPr>
      <w:r>
        <w:rPr>
          <w:rFonts w:cs="Calibri"/>
          <w:lang w:val="en-GB"/>
        </w:rPr>
        <w:t>Approximately 1 in 1000 infants are born each year with permanent bilateral hearing loss (</w:t>
      </w:r>
      <w:r>
        <w:rPr>
          <w:rFonts w:cs="Calibri"/>
          <w:color w:val="4472C4" w:themeColor="accent5"/>
          <w:lang w:val="en-GB"/>
          <w14:textFill>
            <w14:solidFill>
              <w14:schemeClr w14:val="accent5"/>
            </w14:solidFill>
          </w14:textFill>
        </w:rPr>
        <w:t xml:space="preserve">Davis et al, 1997; </w:t>
      </w:r>
      <w:r>
        <w:rPr>
          <w:color w:val="4472C4" w:themeColor="accent5"/>
          <w:lang w:val="en-US"/>
          <w14:textFill>
            <w14:solidFill>
              <w14:schemeClr w14:val="accent5"/>
            </w14:solidFill>
          </w14:textFill>
        </w:rPr>
        <w:t>Fortnum et al</w:t>
      </w:r>
      <w:r>
        <w:rPr>
          <w:color w:val="4472C4" w:themeColor="accent5"/>
          <w:lang w:val="en-GB"/>
          <w14:textFill>
            <w14:solidFill>
              <w14:schemeClr w14:val="accent5"/>
            </w14:solidFill>
          </w14:textFill>
        </w:rPr>
        <w:t>,</w:t>
      </w:r>
      <w:r>
        <w:rPr>
          <w:color w:val="4472C4" w:themeColor="accent5"/>
          <w:lang w:val="en-US"/>
          <w14:textFill>
            <w14:solidFill>
              <w14:schemeClr w14:val="accent5"/>
            </w14:solidFill>
          </w14:textFill>
        </w:rPr>
        <w:t xml:space="preserve"> 1997</w:t>
      </w:r>
      <w:r>
        <w:rPr>
          <w:rFonts w:cs="Calibri"/>
          <w:lang w:val="en-GB"/>
        </w:rPr>
        <w:t>). When left untreated, hearing loss has been associated with a cascade of long-lasting detrimental effects (</w:t>
      </w:r>
      <w:r>
        <w:rPr>
          <w:rFonts w:cs="Calibri"/>
          <w:color w:val="2E75B6" w:themeColor="accent1" w:themeShade="BF"/>
          <w:lang w:val="en-US"/>
        </w:rPr>
        <w:t xml:space="preserve">Ramkalawan and Davis, 1992; </w:t>
      </w:r>
      <w:r>
        <w:rPr>
          <w:rFonts w:cs="Calibri"/>
          <w:color w:val="2E75B6" w:themeColor="accent1" w:themeShade="BF"/>
          <w:lang w:val="en-GB"/>
        </w:rPr>
        <w:t>Yoshinaga-Itano et al. 1998</w:t>
      </w:r>
      <w:r>
        <w:rPr>
          <w:rFonts w:cs="Calibri"/>
          <w:lang w:val="en-GB"/>
        </w:rPr>
        <w:t xml:space="preserve">; </w:t>
      </w:r>
      <w:r>
        <w:rPr>
          <w:rFonts w:cs="Calibri"/>
          <w:color w:val="2E75B6" w:themeColor="accent1" w:themeShade="BF"/>
          <w:lang w:val="en-GB"/>
        </w:rPr>
        <w:t xml:space="preserve">Moeller 2007; </w:t>
      </w:r>
      <w:r>
        <w:rPr>
          <w:rFonts w:cs="Calibri"/>
          <w:color w:val="2E75B6" w:themeColor="accent1" w:themeShade="BF"/>
          <w:lang w:val="en-US"/>
        </w:rPr>
        <w:t xml:space="preserve">Theunissen </w:t>
      </w:r>
      <w:r>
        <w:rPr>
          <w:rFonts w:cs="Calibri"/>
          <w:color w:val="2E75B6" w:themeColor="accent1" w:themeShade="BF"/>
          <w:lang w:val="en-GB"/>
        </w:rPr>
        <w:t xml:space="preserve">et al, 2014; </w:t>
      </w:r>
      <w:r>
        <w:rPr>
          <w:rFonts w:cs="Calibri"/>
          <w:color w:val="2E75B6" w:themeColor="accent1" w:themeShade="BF"/>
          <w:lang w:val="en-US"/>
        </w:rPr>
        <w:t xml:space="preserve">Hogan </w:t>
      </w:r>
      <w:r>
        <w:rPr>
          <w:rFonts w:cs="Calibri"/>
          <w:color w:val="2E75B6" w:themeColor="accent1" w:themeShade="BF"/>
          <w:lang w:val="en-GB"/>
        </w:rPr>
        <w:t xml:space="preserve">et al, 2014; </w:t>
      </w:r>
      <w:r>
        <w:rPr>
          <w:rFonts w:cs="Calibri"/>
          <w:color w:val="2E75B6" w:themeColor="accent1" w:themeShade="BF"/>
          <w:lang w:val="en-US"/>
        </w:rPr>
        <w:t xml:space="preserve">Stevenson </w:t>
      </w:r>
      <w:r>
        <w:rPr>
          <w:rFonts w:cs="Calibri"/>
          <w:color w:val="2E75B6" w:themeColor="accent1" w:themeShade="BF"/>
          <w:lang w:val="en-GB"/>
        </w:rPr>
        <w:t>et al, 2015; Idstad et al, 2019</w:t>
      </w:r>
      <w:r>
        <w:rPr>
          <w:rFonts w:cs="Calibri"/>
          <w:lang w:val="en-GB"/>
        </w:rPr>
        <w:t>). It is therefore important that hearing loss is diagnosed and treated (e.g. by fitting a hearing aid) at a young age, ideally within the first 3 months of life (</w:t>
      </w:r>
      <w:r>
        <w:rPr>
          <w:rFonts w:cs="Calibri"/>
          <w:color w:val="2E75B6" w:themeColor="accent1" w:themeShade="BF"/>
          <w:lang w:val="en-GB"/>
        </w:rPr>
        <w:t xml:space="preserve">Yoshinaga-Itano et al. 1998; </w:t>
      </w:r>
      <w:r>
        <w:rPr>
          <w:rFonts w:cs="Calibri"/>
          <w:color w:val="0070C0"/>
          <w:lang w:val="en-GB"/>
        </w:rPr>
        <w:t xml:space="preserve">Ching </w:t>
      </w:r>
      <w:r>
        <w:rPr>
          <w:rFonts w:cs="Calibri"/>
          <w:color w:val="0070C0"/>
          <w:lang w:val="en-US"/>
        </w:rPr>
        <w:t>et al, 2013</w:t>
      </w:r>
      <w:r>
        <w:rPr>
          <w:rFonts w:cs="Calibri"/>
          <w:lang w:val="en-GB"/>
        </w:rPr>
        <w:t>). However, this poses some challenges, as behavioural hearing tests cannot be reliably performed until a developmental age of 7-9 months (</w:t>
      </w:r>
      <w:r>
        <w:rPr>
          <w:rFonts w:cs="Calibri"/>
          <w:color w:val="0070C0"/>
          <w:lang w:val="en-GB"/>
        </w:rPr>
        <w:t>Widen, 1993</w:t>
      </w:r>
      <w:r>
        <w:rPr>
          <w:rFonts w:cs="Calibri"/>
          <w:lang w:val="en-GB"/>
        </w:rPr>
        <w:t>). Early audiological intervention procedures have therefore been built around objective measures of hearing that do not require voluntary responses, such as auditory evoked potentials (AEPs)</w:t>
      </w:r>
      <w:r>
        <w:rPr>
          <w:rFonts w:ascii="Calibri" w:cs="Calibri"/>
          <w:lang w:val="en-GB"/>
        </w:rPr>
        <w:t>.</w:t>
      </w:r>
    </w:p>
    <w:p>
      <w:pPr>
        <w:pStyle w:val="17"/>
        <w:spacing w:line="240" w:lineRule="auto"/>
        <w:jc w:val="both"/>
        <w:rPr>
          <w:rFonts w:ascii="Calibri" w:cs="Calibri"/>
          <w:lang w:val="en-GB"/>
        </w:rPr>
      </w:pPr>
    </w:p>
    <w:p>
      <w:pPr>
        <w:pStyle w:val="17"/>
        <w:spacing w:line="240" w:lineRule="auto"/>
        <w:jc w:val="both"/>
        <w:rPr>
          <w:rFonts w:ascii="Calibri" w:hAnsi="Calibri" w:cs="Calibri"/>
          <w:color w:val="000000"/>
          <w:lang w:val="en-US" w:eastAsia="en-GB"/>
        </w:rPr>
      </w:pPr>
      <w:r>
        <w:rPr>
          <w:rFonts w:ascii="Calibri" w:hAnsi="Calibri" w:cs="Calibri"/>
          <w:lang w:val="en-GB"/>
        </w:rPr>
        <w:t>AEPs are defined as changes in brain activity in response to acoustic stimuli (</w:t>
      </w:r>
      <w:r>
        <w:rPr>
          <w:rFonts w:ascii="Calibri" w:hAnsi="Calibri" w:cs="Calibri"/>
          <w:color w:val="2E75B6" w:themeColor="accent1" w:themeShade="BF"/>
          <w:lang w:val="en-US" w:eastAsia="en-GB"/>
        </w:rPr>
        <w:t>Picton 2011</w:t>
      </w:r>
      <w:r>
        <w:rPr>
          <w:rFonts w:ascii="Calibri" w:hAnsi="Calibri" w:cs="Calibri"/>
          <w:lang w:val="en-GB"/>
        </w:rPr>
        <w:t xml:space="preserve">). </w:t>
      </w:r>
      <w:r>
        <w:rPr>
          <w:rFonts w:ascii="Calibri" w:hAnsi="Calibri" w:cs="Calibri"/>
          <w:color w:val="000000"/>
          <w:lang w:val="en-US" w:eastAsia="en-GB"/>
        </w:rPr>
        <w:t xml:space="preserve">They are typically recorded non-invasively using the electroencephalogram (EEG), and comprise a series of peak and trough voltage amplitudes falling within the first ~1 second interval following stimulus onset. The AEP can also be sub-categorised into various components based on the underlying neural generators along the auditory pathway. These components can be identified by the latencies (time following stimulus onset) of various peaks and troughs; thus the cochlear microphonic, the auditory brainstem response (ABR), the mid-latency response, and the cortical auditory evoked potential (CAEP) have been defined (e.g. </w:t>
      </w:r>
      <w:r>
        <w:rPr>
          <w:rFonts w:ascii="Calibri" w:hAnsi="Calibri" w:cs="Calibri"/>
          <w:color w:val="2E75B6" w:themeColor="accent1" w:themeShade="BF"/>
          <w:lang w:val="en-US" w:eastAsia="en-GB"/>
        </w:rPr>
        <w:t>Picton 2011</w:t>
      </w:r>
      <w:r>
        <w:rPr>
          <w:rFonts w:ascii="Calibri" w:hAnsi="Calibri" w:cs="Calibri"/>
          <w:color w:val="000000"/>
          <w:lang w:val="en-US" w:eastAsia="en-GB"/>
        </w:rPr>
        <w:t xml:space="preserve">), in order of their peak and trough latencies. </w:t>
      </w:r>
    </w:p>
    <w:p>
      <w:pPr>
        <w:pStyle w:val="17"/>
        <w:spacing w:line="240" w:lineRule="auto"/>
        <w:jc w:val="both"/>
        <w:rPr>
          <w:rFonts w:ascii="Calibri" w:hAnsi="Calibri" w:cs="Calibri"/>
          <w:color w:val="000000"/>
          <w:lang w:val="en-US" w:eastAsia="en-GB"/>
        </w:rPr>
      </w:pPr>
    </w:p>
    <w:p>
      <w:pPr>
        <w:pStyle w:val="17"/>
        <w:spacing w:line="240" w:lineRule="auto"/>
        <w:jc w:val="both"/>
        <w:rPr>
          <w:rFonts w:ascii="Calibri" w:hAnsi="Calibri" w:cs="Calibri"/>
          <w:lang w:val="en-GB"/>
        </w:rPr>
      </w:pPr>
      <w:r>
        <w:rPr>
          <w:rFonts w:ascii="Calibri" w:hAnsi="Calibri" w:cs="Calibri"/>
          <w:color w:val="000000"/>
          <w:lang w:val="en-US" w:eastAsia="en-GB"/>
        </w:rPr>
        <w:t>For evaluating hearing function in infants, the most commonly used AEPs are the ABR and the CAEP (</w:t>
      </w:r>
      <w:r>
        <w:rPr>
          <w:rFonts w:ascii="Calibri" w:hAnsi="Calibri" w:cs="Calibri"/>
          <w:color w:val="2E75B6" w:themeColor="accent1" w:themeShade="BF"/>
          <w:lang w:val="en-US" w:eastAsia="en-GB"/>
        </w:rPr>
        <w:t>Lightfoot et al, 2016; Lightfoot et al, 2019</w:t>
      </w:r>
      <w:r>
        <w:rPr>
          <w:rFonts w:ascii="Calibri" w:hAnsi="Calibri" w:cs="Calibri"/>
          <w:color w:val="000000"/>
          <w:lang w:val="en-US" w:eastAsia="en-GB"/>
        </w:rPr>
        <w:t xml:space="preserve">). A potential advantage for the ABR over the CAEP is that it can be reliably recorded during sleep (e.g. </w:t>
      </w:r>
      <w:r>
        <w:rPr>
          <w:rFonts w:ascii="Calibri" w:hAnsi="Calibri" w:cs="Calibri"/>
          <w:color w:val="2E75B6" w:themeColor="accent1" w:themeShade="BF"/>
          <w:lang w:val="en-US" w:eastAsia="en-GB"/>
        </w:rPr>
        <w:t>Jewett &amp; Williston, 1971</w:t>
      </w:r>
      <w:r>
        <w:rPr>
          <w:rFonts w:ascii="Calibri" w:hAnsi="Calibri" w:cs="Calibri"/>
          <w:color w:val="000000"/>
          <w:lang w:val="en-US" w:eastAsia="en-GB"/>
        </w:rPr>
        <w:t>) and is unaffected by attention (</w:t>
      </w:r>
      <w:r>
        <w:rPr>
          <w:rFonts w:ascii="Calibri" w:hAnsi="Calibri" w:cs="Calibri"/>
          <w:color w:val="2E75B6" w:themeColor="accent1" w:themeShade="BF"/>
          <w:lang w:val="en-GB"/>
        </w:rPr>
        <w:t>Picton &amp; Hillyard, 1974</w:t>
      </w:r>
      <w:r>
        <w:rPr>
          <w:rFonts w:ascii="Calibri" w:hAnsi="Calibri" w:cs="Calibri"/>
          <w:color w:val="000000"/>
          <w:lang w:val="en-US" w:eastAsia="en-GB"/>
        </w:rPr>
        <w:t xml:space="preserve">). The drawback </w:t>
      </w:r>
      <w:r>
        <w:rPr>
          <w:rFonts w:ascii="Calibri" w:hAnsi="Calibri" w:cs="Calibri"/>
          <w:lang w:val="en-GB"/>
        </w:rPr>
        <w:t>is that it cannot be reliably recorded in some patients, such as those with auditory neuropathy spectrum disorder (</w:t>
      </w:r>
      <w:r>
        <w:rPr>
          <w:rFonts w:ascii="Calibri" w:hAnsi="Calibri" w:cs="Calibri"/>
          <w:color w:val="0070C0"/>
          <w:lang w:val="en-US"/>
        </w:rPr>
        <w:t>Roush et al. 2011</w:t>
      </w:r>
      <w:r>
        <w:rPr>
          <w:rFonts w:ascii="Calibri" w:hAnsi="Calibri" w:cs="Calibri"/>
          <w:lang w:val="en-GB"/>
        </w:rPr>
        <w:t xml:space="preserve">). Furthermore, when testing patients with their hearing aids on, results may not reflect patients’ hearing, as the hearing aids </w:t>
      </w:r>
      <w:r>
        <w:t xml:space="preserve">do not respond </w:t>
      </w:r>
      <w:r>
        <w:rPr>
          <w:lang w:val="en-GB"/>
        </w:rPr>
        <w:t xml:space="preserve">well </w:t>
      </w:r>
      <w:r>
        <w:t>to the rapid presentation rate</w:t>
      </w:r>
      <w:r>
        <w:rPr>
          <w:lang w:val="en-GB"/>
        </w:rPr>
        <w:t xml:space="preserve"> of ABRs which confuse noise reduction algorithms. </w:t>
      </w:r>
      <w:r>
        <w:rPr>
          <w:rFonts w:ascii="Calibri" w:hAnsi="Calibri" w:cs="Calibri"/>
          <w:lang w:val="en-GB"/>
        </w:rPr>
        <w:t xml:space="preserve">It might also be argued that the ABR provides a limited assessment of the integrity of the auditory pathway, as it represents neural activity generated by just the early components of the pathway. This contrasts with the CAEP, which represents neural activity generated </w:t>
      </w:r>
      <w:r>
        <w:rPr>
          <w:rFonts w:hint="default" w:ascii="Calibri" w:hAnsi="Calibri" w:eastAsia="SimSun" w:cs="Calibri"/>
          <w:b w:val="0"/>
          <w:bCs w:val="0"/>
          <w:color w:val="auto"/>
          <w:kern w:val="0"/>
          <w:sz w:val="22"/>
          <w:szCs w:val="22"/>
          <w:lang w:val="en-GB" w:eastAsia="zh-CN" w:bidi="ar"/>
        </w:rPr>
        <w:t>by brain regions located mostly at the end of the auditory pathway</w:t>
      </w:r>
      <w:r>
        <w:rPr>
          <w:rFonts w:hint="default" w:ascii="Calibri" w:hAnsi="Calibri" w:eastAsia="SimSun" w:cs="Calibri"/>
          <w:b w:val="0"/>
          <w:bCs w:val="0"/>
          <w:color w:val="000000"/>
          <w:kern w:val="0"/>
          <w:sz w:val="22"/>
          <w:szCs w:val="22"/>
          <w:lang w:val="en-GB" w:eastAsia="zh-CN" w:bidi="ar"/>
        </w:rPr>
        <w:t>.</w:t>
      </w:r>
    </w:p>
    <w:p>
      <w:pPr>
        <w:pStyle w:val="17"/>
        <w:spacing w:line="240" w:lineRule="auto"/>
        <w:jc w:val="both"/>
        <w:rPr>
          <w:rFonts w:ascii="Calibri" w:hAnsi="Calibri" w:cs="Calibri"/>
          <w:lang w:val="en-GB"/>
        </w:rPr>
      </w:pPr>
    </w:p>
    <w:p>
      <w:pPr>
        <w:pStyle w:val="17"/>
        <w:spacing w:line="240" w:lineRule="auto"/>
        <w:jc w:val="both"/>
        <w:rPr>
          <w:rFonts w:ascii="Calibri" w:hAnsi="Calibri" w:cs="Calibri"/>
          <w:lang w:val="en-GB"/>
        </w:rPr>
      </w:pPr>
      <w:r>
        <w:rPr>
          <w:rFonts w:ascii="Calibri" w:hAnsi="Calibri" w:cs="Calibri"/>
          <w:lang w:val="en-GB"/>
        </w:rPr>
        <w:t xml:space="preserve">Early audiological assessment using CAEPs is a challenging procedure, both in terms of evoking the CAEP, and in accurately detecting it within clinically acceptable test times. In terms of </w:t>
      </w:r>
      <w:r>
        <w:rPr>
          <w:rFonts w:cs="Calibri"/>
          <w:lang w:val="en-GB"/>
        </w:rPr>
        <w:t xml:space="preserve">signal to noise ratios (SNRs), the </w:t>
      </w:r>
      <w:r>
        <w:rPr>
          <w:rFonts w:ascii="Calibri" w:hAnsi="Calibri" w:cs="Calibri"/>
          <w:lang w:val="en-GB"/>
        </w:rPr>
        <w:t xml:space="preserve">CAEP has typical peak amplitudes in the 5-10 µV range (e.g. </w:t>
      </w:r>
      <w:r>
        <w:rPr>
          <w:rFonts w:ascii="Calibri" w:hAnsi="Calibri" w:cs="Calibri"/>
          <w:color w:val="2E75B6" w:themeColor="accent1" w:themeShade="BF"/>
          <w:lang w:val="en-US" w:eastAsia="en-GB"/>
        </w:rPr>
        <w:t>Picton 2011</w:t>
      </w:r>
      <w:r>
        <w:rPr>
          <w:rFonts w:ascii="Calibri" w:hAnsi="Calibri" w:cs="Calibri"/>
          <w:color w:val="2E75B6" w:themeColor="accent1" w:themeShade="BF"/>
          <w:lang w:val="en-GB"/>
        </w:rPr>
        <w:t xml:space="preserve">; </w:t>
      </w:r>
      <w:r>
        <w:rPr>
          <w:rFonts w:ascii="Calibri" w:hAnsi="Calibri" w:cs="Calibri"/>
          <w:color w:val="2E75B6" w:themeColor="accent1" w:themeShade="BF"/>
          <w:lang w:val="en-US" w:eastAsia="en-GB"/>
        </w:rPr>
        <w:t>Munro et al, 2020</w:t>
      </w:r>
      <w:r>
        <w:rPr>
          <w:rFonts w:ascii="Calibri" w:hAnsi="Calibri" w:cs="Calibri"/>
          <w:lang w:val="en-GB"/>
        </w:rPr>
        <w:t>), whereas the background activity tends to be in the ~50 µV range after pre-processing and artefact rejection. It is therefore common practice to record an ensemble of CAEPs following repeated stimuli, and to average the recorded waveforms to reduce "noise". Clinicians are then given the task to visually inspect the waveforms, and to determine whether a CAEP is absent or present. This is especially challenging for hearing-impaired infants, as waveforms can vary substantially across individuals due to different degrees of hearing-impairment (</w:t>
      </w:r>
      <w:r>
        <w:rPr>
          <w:rFonts w:ascii="Calibri" w:hAnsi="Calibri" w:cs="Calibri"/>
          <w:color w:val="0070C0"/>
          <w:lang w:val="en-GB"/>
        </w:rPr>
        <w:t>Oates et al. 2002</w:t>
      </w:r>
      <w:r>
        <w:rPr>
          <w:rFonts w:ascii="Calibri" w:hAnsi="Calibri" w:cs="Calibri"/>
          <w:lang w:val="en-GB"/>
        </w:rPr>
        <w:t>) and/or lack of maturation of the auditory system (</w:t>
      </w:r>
      <w:r>
        <w:rPr>
          <w:rFonts w:ascii="Calibri" w:hAnsi="Calibri" w:cs="Calibri"/>
          <w:color w:val="0070C0"/>
          <w:lang w:val="en-GB"/>
        </w:rPr>
        <w:t>Ponton and Eggermont, 2007</w:t>
      </w:r>
      <w:r>
        <w:rPr>
          <w:rFonts w:ascii="Calibri" w:hAnsi="Calibri" w:cs="Calibri"/>
          <w:lang w:val="en-GB"/>
        </w:rPr>
        <w:t>). As such, it is not always clear to the examiners what to look for in the displayed waveforms. Various objective methods have therefore been proposed to assist the clinicians with this task, and improve the accuracy and efficiency of the test. However, the challenges for visual CAEP inspection arising from the variability in infant responses also impact objective detection methods: infant responses can be considerably different from adult responses, and template matching methods that performed best in adults (</w:t>
      </w:r>
      <w:r>
        <w:rPr>
          <w:rFonts w:ascii="Calibri" w:hAnsi="Calibri" w:cs="Calibri"/>
          <w:color w:val="4472C4" w:themeColor="accent5"/>
          <w:lang w:val="en-GB"/>
          <w14:textFill>
            <w14:solidFill>
              <w14:schemeClr w14:val="accent5"/>
            </w14:solidFill>
          </w14:textFill>
        </w:rPr>
        <w:t>Chesnaye et al, 202</w:t>
      </w:r>
      <w:r>
        <w:rPr>
          <w:rFonts w:hint="default" w:ascii="Calibri" w:hAnsi="Calibri" w:cs="Calibri"/>
          <w:color w:val="4472C4" w:themeColor="accent5"/>
          <w:lang w:val="en-GB"/>
          <w14:textFill>
            <w14:solidFill>
              <w14:schemeClr w14:val="accent5"/>
            </w14:solidFill>
          </w14:textFill>
        </w:rPr>
        <w:t>1a</w:t>
      </w:r>
      <w:r>
        <w:rPr>
          <w:rFonts w:ascii="Calibri" w:hAnsi="Calibri" w:cs="Calibri"/>
          <w:lang w:val="en-GB"/>
        </w:rPr>
        <w:t>) are unlikely to work well in this young population.</w:t>
      </w:r>
    </w:p>
    <w:p>
      <w:pPr>
        <w:pStyle w:val="17"/>
        <w:spacing w:line="240" w:lineRule="auto"/>
        <w:jc w:val="both"/>
        <w:rPr>
          <w:rFonts w:ascii="Calibri" w:hAnsi="Calibri" w:cs="Calibri"/>
          <w:lang w:val="en-GB"/>
        </w:rPr>
      </w:pPr>
    </w:p>
    <w:p>
      <w:pPr>
        <w:spacing w:line="240" w:lineRule="auto"/>
        <w:jc w:val="both"/>
        <w:rPr>
          <w:rStyle w:val="7"/>
          <w:b/>
          <w:bCs/>
          <w:sz w:val="24"/>
          <w:szCs w:val="24"/>
        </w:rPr>
      </w:pPr>
      <w:r>
        <w:rPr>
          <w:rFonts w:ascii="Calibri" w:hAnsi="Calibri" w:cs="Calibri"/>
          <w:sz w:val="22"/>
          <w:szCs w:val="22"/>
          <w:lang w:val="en-GB"/>
        </w:rPr>
        <w:t>Perhaps the most commonly used objective method for CAEP detection is the Hotelling’s T</w:t>
      </w:r>
      <w:r>
        <w:rPr>
          <w:rFonts w:ascii="Calibri" w:hAnsi="Calibri" w:cs="Calibri"/>
          <w:sz w:val="22"/>
          <w:szCs w:val="22"/>
          <w:vertAlign w:val="superscript"/>
          <w:lang w:val="en-GB"/>
        </w:rPr>
        <w:t>2</w:t>
      </w:r>
      <w:r>
        <w:rPr>
          <w:rFonts w:ascii="Calibri" w:hAnsi="Calibri" w:cs="Calibri"/>
          <w:sz w:val="22"/>
          <w:szCs w:val="22"/>
          <w:lang w:val="en-GB"/>
        </w:rPr>
        <w:t xml:space="preserve"> (HT</w:t>
      </w:r>
      <w:r>
        <w:rPr>
          <w:rFonts w:ascii="Calibri" w:hAnsi="Calibri" w:cs="Calibri"/>
          <w:sz w:val="22"/>
          <w:szCs w:val="22"/>
          <w:vertAlign w:val="superscript"/>
          <w:lang w:val="en-GB"/>
        </w:rPr>
        <w:t>2</w:t>
      </w:r>
      <w:r>
        <w:rPr>
          <w:rFonts w:ascii="Calibri" w:hAnsi="Calibri" w:cs="Calibri"/>
          <w:sz w:val="22"/>
          <w:szCs w:val="22"/>
          <w:lang w:val="en-GB"/>
        </w:rPr>
        <w:t>) test, applied in the time domain (</w:t>
      </w:r>
      <w:r>
        <w:rPr>
          <w:rFonts w:ascii="Calibri" w:hAnsi="Calibri" w:cs="Calibri"/>
          <w:color w:val="2E75B6" w:themeColor="accent1" w:themeShade="BF"/>
          <w:sz w:val="22"/>
          <w:szCs w:val="22"/>
          <w:lang w:val="en-GB"/>
        </w:rPr>
        <w:t>Golding et al, 2009</w:t>
      </w:r>
      <w:r>
        <w:rPr>
          <w:rFonts w:ascii="Calibri" w:hAnsi="Calibri" w:cs="Calibri"/>
          <w:sz w:val="22"/>
          <w:szCs w:val="22"/>
          <w:lang w:val="en-GB"/>
        </w:rPr>
        <w:t>). The HT</w:t>
      </w:r>
      <w:r>
        <w:rPr>
          <w:rFonts w:ascii="Calibri" w:hAnsi="Calibri" w:cs="Calibri"/>
          <w:sz w:val="22"/>
          <w:szCs w:val="22"/>
          <w:vertAlign w:val="superscript"/>
          <w:lang w:val="en-GB"/>
        </w:rPr>
        <w:t>2</w:t>
      </w:r>
      <w:r>
        <w:rPr>
          <w:rFonts w:hint="default" w:ascii="Calibri" w:hAnsi="Calibri" w:cs="Calibri"/>
          <w:sz w:val="22"/>
          <w:szCs w:val="22"/>
          <w:lang w:val="en-GB"/>
        </w:rPr>
        <w:t xml:space="preserve"> </w:t>
      </w:r>
      <w:r>
        <w:rPr>
          <w:rFonts w:ascii="Calibri" w:hAnsi="Calibri" w:cs="Calibri"/>
          <w:sz w:val="22"/>
          <w:szCs w:val="22"/>
          <w:lang w:val="en-GB"/>
        </w:rPr>
        <w:t>test was previously shown to have a test sensitivity similar to experienced clinicians when detecting CAEPs in infants (</w:t>
      </w:r>
      <w:r>
        <w:rPr>
          <w:rFonts w:ascii="Calibri" w:hAnsi="Calibri" w:cs="Calibri"/>
          <w:color w:val="2E75B6" w:themeColor="accent1" w:themeShade="BF"/>
          <w:sz w:val="22"/>
          <w:szCs w:val="22"/>
          <w:lang w:val="en-GB"/>
        </w:rPr>
        <w:t>Carter et al, 2010</w:t>
      </w:r>
      <w:r>
        <w:rPr>
          <w:rFonts w:ascii="Calibri" w:hAnsi="Calibri" w:cs="Calibri"/>
          <w:sz w:val="22"/>
          <w:szCs w:val="22"/>
          <w:lang w:val="en-GB"/>
        </w:rPr>
        <w:t>), and has some desirable properties in terms of statistical power (</w:t>
      </w:r>
      <w:r>
        <w:rPr>
          <w:rFonts w:ascii="Calibri" w:hAnsi="Calibri" w:cs="Calibri"/>
          <w:color w:val="2E75B6" w:themeColor="accent1" w:themeShade="BF"/>
          <w:sz w:val="22"/>
          <w:szCs w:val="22"/>
        </w:rPr>
        <w:t>Anderson, 2003</w:t>
      </w:r>
      <w:r>
        <w:rPr>
          <w:rFonts w:ascii="Calibri" w:hAnsi="Calibri" w:cs="Calibri"/>
          <w:sz w:val="22"/>
          <w:szCs w:val="22"/>
        </w:rPr>
        <w:t>)</w:t>
      </w:r>
      <w:r>
        <w:rPr>
          <w:rFonts w:ascii="Calibri" w:hAnsi="Calibri" w:cs="Calibri"/>
          <w:sz w:val="22"/>
          <w:szCs w:val="22"/>
          <w:lang w:val="en-GB"/>
        </w:rPr>
        <w:t>. A drawback for the HT</w:t>
      </w:r>
      <w:r>
        <w:rPr>
          <w:rFonts w:ascii="Calibri" w:hAnsi="Calibri" w:cs="Calibri"/>
          <w:sz w:val="22"/>
          <w:szCs w:val="22"/>
          <w:vertAlign w:val="superscript"/>
          <w:lang w:val="en-GB"/>
        </w:rPr>
        <w:t>2</w:t>
      </w:r>
      <w:r>
        <w:rPr>
          <w:rFonts w:hint="default" w:ascii="Calibri" w:hAnsi="Calibri" w:cs="Calibri"/>
          <w:sz w:val="22"/>
          <w:szCs w:val="22"/>
          <w:lang w:val="en-GB"/>
        </w:rPr>
        <w:t xml:space="preserve"> </w:t>
      </w:r>
      <w:r>
        <w:rPr>
          <w:rFonts w:ascii="Calibri" w:hAnsi="Calibri" w:cs="Calibri"/>
          <w:sz w:val="22"/>
          <w:szCs w:val="22"/>
          <w:lang w:val="en-GB"/>
        </w:rPr>
        <w:t>test, however, is that it is known to suffer from low test sensitivities at relatively small sample sizes. The latter is also known as the “large p small n” problem (</w:t>
      </w:r>
      <w:r>
        <w:rPr>
          <w:rFonts w:ascii="Calibri" w:hAnsi="Calibri" w:cs="Calibri"/>
          <w:color w:val="2E75B6" w:themeColor="accent1" w:themeShade="BF"/>
          <w:sz w:val="22"/>
          <w:szCs w:val="22"/>
          <w:lang w:val="en-GB"/>
        </w:rPr>
        <w:t>Li et al, 2017</w:t>
      </w:r>
      <w:r>
        <w:rPr>
          <w:rFonts w:ascii="Calibri" w:hAnsi="Calibri" w:cs="Calibri"/>
          <w:sz w:val="22"/>
          <w:szCs w:val="22"/>
          <w:lang w:val="en-GB"/>
        </w:rPr>
        <w:t>) or the “effect of high dimension”, and has been hypothesised to be due to poor estimates of the feature covariance matrix (</w:t>
      </w:r>
      <w:r>
        <w:rPr>
          <w:rFonts w:ascii="Calibri" w:hAnsi="Calibri" w:cs="Calibri"/>
          <w:color w:val="2E75B6" w:themeColor="accent1" w:themeShade="BF"/>
          <w:sz w:val="22"/>
          <w:szCs w:val="22"/>
          <w:lang w:val="en-GB"/>
        </w:rPr>
        <w:t>Bai &amp; Saranadasa, 1996</w:t>
      </w:r>
      <w:r>
        <w:rPr>
          <w:rFonts w:ascii="Calibri" w:hAnsi="Calibri" w:cs="Calibri"/>
          <w:sz w:val="22"/>
          <w:szCs w:val="22"/>
          <w:lang w:val="en-GB"/>
        </w:rPr>
        <w:t>), which is a key component in calculating the T</w:t>
      </w:r>
      <w:r>
        <w:rPr>
          <w:rFonts w:ascii="Calibri" w:hAnsi="Calibri" w:cs="Calibri"/>
          <w:sz w:val="22"/>
          <w:szCs w:val="22"/>
          <w:vertAlign w:val="superscript"/>
          <w:lang w:val="en-GB"/>
        </w:rPr>
        <w:t>2</w:t>
      </w:r>
      <w:r>
        <w:rPr>
          <w:rFonts w:ascii="Calibri" w:hAnsi="Calibri" w:cs="Calibri"/>
          <w:sz w:val="22"/>
          <w:szCs w:val="22"/>
          <w:lang w:val="en-GB"/>
        </w:rPr>
        <w:t xml:space="preserve"> statistic. The low test sensitivity for the HT</w:t>
      </w:r>
      <w:r>
        <w:rPr>
          <w:rFonts w:ascii="Calibri" w:hAnsi="Calibri" w:cs="Calibri"/>
          <w:sz w:val="22"/>
          <w:szCs w:val="22"/>
          <w:vertAlign w:val="superscript"/>
          <w:lang w:val="en-GB"/>
        </w:rPr>
        <w:t>2</w:t>
      </w:r>
      <w:r>
        <w:rPr>
          <w:rFonts w:hint="default" w:ascii="Calibri" w:hAnsi="Calibri" w:cs="Calibri"/>
          <w:sz w:val="22"/>
          <w:szCs w:val="22"/>
          <w:lang w:val="en-GB"/>
        </w:rPr>
        <w:t xml:space="preserve"> </w:t>
      </w:r>
      <w:r>
        <w:rPr>
          <w:rFonts w:ascii="Calibri" w:hAnsi="Calibri" w:cs="Calibri"/>
          <w:sz w:val="22"/>
          <w:szCs w:val="22"/>
          <w:lang w:val="en-GB"/>
        </w:rPr>
        <w:t>test was previously also observed for CAEP detection in adults with normal hearing where it was outperformed by various alternative detection methods for ensemble sizes of ~40 epochs or less (</w:t>
      </w:r>
      <w:r>
        <w:rPr>
          <w:rFonts w:ascii="Calibri" w:hAnsi="Calibri" w:cs="Calibri"/>
          <w:color w:val="2E75B6" w:themeColor="accent1" w:themeShade="BF"/>
          <w:sz w:val="22"/>
          <w:szCs w:val="22"/>
          <w:lang w:val="en-GB"/>
        </w:rPr>
        <w:t>Chesnaye et al, 202</w:t>
      </w:r>
      <w:r>
        <w:rPr>
          <w:rFonts w:hint="default" w:ascii="Calibri" w:hAnsi="Calibri" w:cs="Calibri"/>
          <w:color w:val="2E75B6" w:themeColor="accent1" w:themeShade="BF"/>
          <w:sz w:val="22"/>
          <w:szCs w:val="22"/>
          <w:lang w:val="en-GB"/>
        </w:rPr>
        <w:t>1a</w:t>
      </w:r>
      <w:r>
        <w:rPr>
          <w:rFonts w:ascii="Calibri" w:hAnsi="Calibri" w:cs="Calibri"/>
          <w:sz w:val="22"/>
          <w:szCs w:val="22"/>
          <w:lang w:val="en-GB"/>
        </w:rPr>
        <w:t>). Note that high test sensitivities for small ensemble sizes are of particular interest for infant CAEP detection as the time windows for high quality data collection tend to be limited.</w:t>
      </w:r>
    </w:p>
    <w:p>
      <w:pPr>
        <w:pStyle w:val="17"/>
        <w:spacing w:line="240" w:lineRule="auto"/>
        <w:jc w:val="both"/>
        <w:rPr>
          <w:rFonts w:ascii="Calibri" w:hAnsi="Calibri" w:cs="Calibri"/>
          <w:lang w:val="en-GB"/>
        </w:rPr>
      </w:pPr>
    </w:p>
    <w:p>
      <w:pPr>
        <w:pStyle w:val="17"/>
        <w:spacing w:line="240" w:lineRule="auto"/>
        <w:jc w:val="both"/>
        <w:rPr>
          <w:rFonts w:ascii="Calibri" w:hAnsi="Calibri" w:cs="Calibri"/>
          <w:lang w:val="en-GB"/>
        </w:rPr>
      </w:pPr>
      <w:r>
        <w:rPr>
          <w:rFonts w:ascii="Calibri" w:hAnsi="Calibri" w:cs="Calibri"/>
          <w:lang w:val="en-GB"/>
        </w:rPr>
        <w:t xml:space="preserve">The present study aims to overcome the low test sensitivity of the </w:t>
      </w:r>
      <w:r>
        <w:rPr>
          <w:rFonts w:ascii="Calibri" w:hAnsi="Calibri" w:cs="Calibri"/>
          <w:sz w:val="22"/>
          <w:szCs w:val="22"/>
          <w:lang w:val="en-GB"/>
        </w:rPr>
        <w:t>HT</w:t>
      </w:r>
      <w:r>
        <w:rPr>
          <w:rFonts w:ascii="Calibri" w:hAnsi="Calibri" w:cs="Calibri"/>
          <w:sz w:val="22"/>
          <w:szCs w:val="22"/>
          <w:vertAlign w:val="superscript"/>
          <w:lang w:val="en-GB"/>
        </w:rPr>
        <w:t>2</w:t>
      </w:r>
      <w:r>
        <w:rPr>
          <w:rFonts w:hint="default" w:ascii="Calibri" w:hAnsi="Calibri" w:cs="Calibri"/>
          <w:sz w:val="22"/>
          <w:szCs w:val="22"/>
          <w:lang w:val="en-GB"/>
        </w:rPr>
        <w:t xml:space="preserve"> </w:t>
      </w:r>
      <w:r>
        <w:rPr>
          <w:rFonts w:ascii="Calibri" w:hAnsi="Calibri" w:cs="Calibri"/>
          <w:lang w:val="en-GB"/>
        </w:rPr>
        <w:t>test by exploiting the correlation structure underlying the data to allow improved feature covariance matrix estimation (Section 2.2.2). The T</w:t>
      </w:r>
      <w:r>
        <w:rPr>
          <w:rFonts w:ascii="Calibri" w:hAnsi="Calibri" w:cs="Calibri"/>
          <w:vertAlign w:val="superscript"/>
          <w:lang w:val="en-GB"/>
        </w:rPr>
        <w:t>2</w:t>
      </w:r>
      <w:r>
        <w:rPr>
          <w:rFonts w:ascii="Calibri" w:hAnsi="Calibri" w:cs="Calibri"/>
          <w:lang w:val="en-GB"/>
        </w:rPr>
        <w:t xml:space="preserve"> statistics with modified covariance matrices were compared against the conventional HT</w:t>
      </w:r>
      <w:r>
        <w:rPr>
          <w:rFonts w:ascii="Calibri" w:hAnsi="Calibri" w:cs="Calibri"/>
          <w:vertAlign w:val="superscript"/>
          <w:lang w:val="en-GB"/>
        </w:rPr>
        <w:t>2</w:t>
      </w:r>
      <w:r>
        <w:rPr>
          <w:rFonts w:ascii="Calibri" w:hAnsi="Calibri" w:cs="Calibri"/>
          <w:lang w:val="en-GB"/>
        </w:rPr>
        <w:t xml:space="preserve"> test, along with various alternative detection methods from the literature. To keep this work concise, results (Section 3) are presented for just the best-performing methods from the literature, which were the modified q-sample uniform scores statistics from Stűrzebecher et al (1999) and Cebulla et al (2006). Methods that were excluded from the results section are instead considered in the Discussion. This includes the previously best-performing adult CAEP detection method, i.e. a template-based dynamic time warping approach (</w:t>
      </w:r>
      <w:r>
        <w:rPr>
          <w:rFonts w:ascii="Calibri" w:hAnsi="Calibri" w:cs="Calibri"/>
          <w:color w:val="5B9BD5" w:themeColor="accent1"/>
          <w:lang w:val="en-GB"/>
          <w14:textFill>
            <w14:solidFill>
              <w14:schemeClr w14:val="accent1"/>
            </w14:solidFill>
          </w14:textFill>
        </w:rPr>
        <w:t>Chesnaye et al, 2021</w:t>
      </w:r>
      <w:r>
        <w:rPr>
          <w:rFonts w:hint="default" w:ascii="Calibri" w:hAnsi="Calibri" w:cs="Calibri"/>
          <w:color w:val="5B9BD5" w:themeColor="accent1"/>
          <w:lang w:val="en-GB"/>
          <w14:textFill>
            <w14:solidFill>
              <w14:schemeClr w14:val="accent1"/>
            </w14:solidFill>
          </w14:textFill>
        </w:rPr>
        <w:t>a</w:t>
      </w:r>
      <w:r>
        <w:rPr>
          <w:rFonts w:ascii="Calibri" w:hAnsi="Calibri" w:cs="Calibri"/>
          <w:lang w:val="en-GB"/>
        </w:rPr>
        <w:t>) and some of its variations. Comparisons were also drawn with visual inspection results from three experienced audiologists. Finally, test significance was evaluated using a recently developed frequency-domain bootstrap approach (</w:t>
      </w:r>
      <w:r>
        <w:rPr>
          <w:rFonts w:ascii="Calibri" w:hAnsi="Calibri" w:cs="Calibri"/>
          <w:color w:val="4472C4" w:themeColor="accent5"/>
          <w:lang w:val="en-GB"/>
          <w14:textFill>
            <w14:solidFill>
              <w14:schemeClr w14:val="accent5"/>
            </w14:solidFill>
          </w14:textFill>
        </w:rPr>
        <w:t>Chesnaye et al, 2021</w:t>
      </w:r>
      <w:r>
        <w:rPr>
          <w:rFonts w:hint="default" w:ascii="Calibri" w:hAnsi="Calibri" w:cs="Calibri"/>
          <w:color w:val="4472C4" w:themeColor="accent5"/>
          <w:lang w:val="en-GB"/>
          <w14:textFill>
            <w14:solidFill>
              <w14:schemeClr w14:val="accent5"/>
            </w14:solidFill>
          </w14:textFill>
        </w:rPr>
        <w:t>b</w:t>
      </w:r>
      <w:r>
        <w:rPr>
          <w:rFonts w:ascii="Calibri" w:hAnsi="Calibri" w:cs="Calibri"/>
          <w:lang w:val="en-GB"/>
        </w:rPr>
        <w:t>; Section 2.2.4), and the assessment was carried out using aided CAEP measurements from 59 infant hearing aid users, as well as simulated signals.</w:t>
      </w:r>
    </w:p>
    <w:p>
      <w:pPr>
        <w:spacing w:line="240" w:lineRule="auto"/>
        <w:rPr>
          <w:rFonts w:ascii="Calibri" w:hAnsi="Calibri" w:cs="Calibri"/>
          <w:lang w:val="en-GB"/>
        </w:rPr>
      </w:pPr>
    </w:p>
    <w:p>
      <w:pPr>
        <w:spacing w:line="240" w:lineRule="auto"/>
        <w:rPr>
          <w:rFonts w:ascii="Calibri" w:hAnsi="Calibri" w:cs="Calibri"/>
          <w:sz w:val="28"/>
          <w:szCs w:val="28"/>
          <w:lang w:val="en-GB"/>
        </w:rPr>
      </w:pPr>
      <w:r>
        <w:rPr>
          <w:rFonts w:ascii="Calibri" w:hAnsi="Calibri" w:cs="Calibri"/>
          <w:b/>
          <w:bCs/>
          <w:sz w:val="28"/>
          <w:szCs w:val="28"/>
          <w:lang w:val="en-GB"/>
        </w:rPr>
        <w:t>2. Methods</w:t>
      </w:r>
    </w:p>
    <w:p>
      <w:pPr>
        <w:pStyle w:val="17"/>
        <w:spacing w:line="240" w:lineRule="auto"/>
        <w:jc w:val="both"/>
        <w:rPr>
          <w:rFonts w:ascii="Calibri" w:hAnsi="Calibri" w:cs="Calibri"/>
          <w:lang w:val="en-GB"/>
        </w:rPr>
      </w:pPr>
      <w:r>
        <w:rPr>
          <w:rFonts w:ascii="Calibri" w:hAnsi="Calibri" w:cs="Calibri"/>
          <w:lang w:val="en-GB"/>
        </w:rPr>
        <w:t xml:space="preserve">This section describes the infant CAEP data and the objective detection methods, after which the procedures for evaluating test performance are described, which include an assessment of specificity, sensitivity, and reliability. </w:t>
      </w:r>
    </w:p>
    <w:p>
      <w:pPr>
        <w:spacing w:line="240" w:lineRule="auto"/>
        <w:rPr>
          <w:rFonts w:ascii="Calibri" w:hAnsi="Calibri" w:cs="Calibri"/>
          <w:b/>
          <w:bCs/>
          <w:sz w:val="22"/>
          <w:szCs w:val="22"/>
          <w:lang w:val="en-GB"/>
        </w:rPr>
      </w:pPr>
    </w:p>
    <w:p>
      <w:pPr>
        <w:spacing w:line="240" w:lineRule="auto"/>
        <w:rPr>
          <w:rFonts w:ascii="Calibri" w:hAnsi="Calibri" w:cs="Calibri"/>
          <w:sz w:val="24"/>
          <w:szCs w:val="24"/>
          <w:lang w:val="en-GB"/>
        </w:rPr>
      </w:pPr>
      <w:r>
        <w:rPr>
          <w:rFonts w:ascii="Calibri" w:hAnsi="Calibri" w:cs="Calibri"/>
          <w:b/>
          <w:bCs/>
          <w:sz w:val="24"/>
          <w:szCs w:val="24"/>
          <w:lang w:val="en-GB"/>
        </w:rPr>
        <w:t>2.1. CAEP Data</w:t>
      </w:r>
    </w:p>
    <w:p>
      <w:pPr>
        <w:spacing w:line="240" w:lineRule="auto"/>
        <w:jc w:val="both"/>
        <w:rPr>
          <w:rFonts w:ascii="Calibri" w:hAnsi="Calibri" w:cs="Calibri"/>
          <w:sz w:val="22"/>
          <w:szCs w:val="22"/>
          <w:lang w:val="en-GB"/>
        </w:rPr>
      </w:pPr>
      <w:r>
        <w:rPr>
          <w:rFonts w:ascii="Calibri" w:hAnsi="Calibri" w:cs="Calibri"/>
          <w:sz w:val="22"/>
          <w:szCs w:val="22"/>
          <w:lang w:val="en-GB"/>
        </w:rPr>
        <w:t>Aided CAEP measurements were previously recorded from 103 infants (aged 3-7 months) with mild to profound bilateral hearing loss. Standard o</w:t>
      </w:r>
      <w:r>
        <w:rPr>
          <w:rFonts w:ascii="Calibri" w:hAnsi="Calibri" w:cs="Calibri"/>
          <w:sz w:val="22"/>
          <w:szCs w:val="22"/>
        </w:rPr>
        <w:t>toscopy</w:t>
      </w:r>
      <w:r>
        <w:rPr>
          <w:rFonts w:ascii="Calibri" w:hAnsi="Calibri" w:cs="Calibri"/>
          <w:sz w:val="22"/>
          <w:szCs w:val="22"/>
          <w:lang w:val="en-GB"/>
        </w:rPr>
        <w:t xml:space="preserve"> and </w:t>
      </w:r>
      <w:r>
        <w:rPr>
          <w:rFonts w:ascii="Calibri" w:hAnsi="Calibri" w:cs="Calibri"/>
          <w:sz w:val="22"/>
          <w:szCs w:val="22"/>
        </w:rPr>
        <w:t xml:space="preserve">tympanometry </w:t>
      </w:r>
      <w:r>
        <w:rPr>
          <w:rFonts w:ascii="Calibri" w:hAnsi="Calibri" w:cs="Calibri"/>
          <w:sz w:val="22"/>
          <w:szCs w:val="22"/>
          <w:lang w:val="en-GB"/>
        </w:rPr>
        <w:t xml:space="preserve">examinations were carried out, and hearing aids were checked to confirm that these were working as intended. For the CAEP examination, the infants were seated </w:t>
      </w:r>
      <w:r>
        <w:rPr>
          <w:rFonts w:ascii="Calibri" w:hAnsi="Calibri" w:cs="Calibri"/>
          <w:sz w:val="22"/>
          <w:szCs w:val="22"/>
        </w:rPr>
        <w:t>in a soundproof booth</w:t>
      </w:r>
      <w:r>
        <w:rPr>
          <w:rFonts w:ascii="Calibri" w:hAnsi="Calibri" w:cs="Calibri"/>
          <w:sz w:val="22"/>
          <w:szCs w:val="22"/>
          <w:lang w:val="en-GB"/>
        </w:rPr>
        <w:t xml:space="preserve"> on their caregiver’s lap, approximately 1.1 meters directly in front of an </w:t>
      </w:r>
      <w:r>
        <w:rPr>
          <w:rFonts w:ascii="Calibri" w:hAnsi="Calibri" w:cs="Calibri"/>
          <w:sz w:val="22"/>
          <w:szCs w:val="22"/>
        </w:rPr>
        <w:t xml:space="preserve">Eminence Alpha-6A 8 </w:t>
      </w:r>
      <w:r>
        <w:rPr>
          <w:rFonts w:ascii="Calibri" w:hAnsi="Calibri" w:cs="Calibri"/>
          <w:sz w:val="22"/>
          <w:szCs w:val="22"/>
          <w:lang w:val="en-GB"/>
        </w:rPr>
        <w:t xml:space="preserve">Ω </w:t>
      </w:r>
      <w:r>
        <w:rPr>
          <w:rFonts w:ascii="Calibri" w:hAnsi="Calibri" w:cs="Calibri"/>
          <w:sz w:val="22"/>
          <w:szCs w:val="22"/>
        </w:rPr>
        <w:t>loudspeaker (Eminence Speaker LLC, Eminence, KY)</w:t>
      </w:r>
      <w:r>
        <w:rPr>
          <w:rFonts w:ascii="Calibri" w:hAnsi="Calibri" w:cs="Calibri"/>
          <w:sz w:val="22"/>
          <w:szCs w:val="22"/>
          <w:lang w:val="en-GB"/>
        </w:rPr>
        <w:t xml:space="preserve">. CAEPs were then </w:t>
      </w:r>
      <w:r>
        <w:rPr>
          <w:rFonts w:ascii="Calibri" w:hAnsi="Calibri"/>
          <w:sz w:val="22"/>
          <w:szCs w:val="22"/>
          <w:lang w:val="en-GB"/>
        </w:rPr>
        <w:t xml:space="preserve">evoked using 70 ms duration synthetic speech tokens with 10-ms duration raised-cosine onset and offset ramps, presented at a rate of approximately 0.9 Hz. These synthetic stimuli comprised either harmonics 6-11 of a tone with a 140-Hz fundamental - henceforth denoted as the mid-frequency stimulus, or MF - or an inharmonic series of closely-spaced tones spanning 2800 to 4500 Hz, to produce a fricative-like phoneme - henceforth denoted as the mid-high frequency stimulus, or HF. The levels of the individual components in each stimulus were chosen so as to produce a uniform excitation of the cochlea in a bandwidth that was at least the width of </w:t>
      </w:r>
      <w:r>
        <w:rPr>
          <w:rFonts w:ascii="Calibri" w:hAnsi="Calibri" w:cs="Calibri"/>
          <w:sz w:val="22"/>
          <w:szCs w:val="22"/>
          <w:lang w:val="en-GB"/>
        </w:rPr>
        <w:t>four normal auditory filters (</w:t>
      </w:r>
      <w:r>
        <w:rPr>
          <w:rFonts w:ascii="Calibri" w:hAnsi="Calibri" w:cs="Calibri"/>
          <w:color w:val="5B9BD5" w:themeColor="accent1"/>
          <w:sz w:val="22"/>
          <w:szCs w:val="22"/>
          <w:lang w:val="en-GB"/>
          <w14:textFill>
            <w14:solidFill>
              <w14:schemeClr w14:val="accent1"/>
            </w14:solidFill>
          </w14:textFill>
        </w:rPr>
        <w:t>Glasberg &amp; Moore, 1990</w:t>
      </w:r>
      <w:r>
        <w:rPr>
          <w:rFonts w:ascii="Calibri" w:hAnsi="Calibri" w:cs="Calibri"/>
          <w:sz w:val="22"/>
          <w:szCs w:val="22"/>
          <w:lang w:val="en-GB"/>
        </w:rPr>
        <w:t xml:space="preserve">). The relative levels of the stimuli were referenced to the power contained within the same bandwidth of the International Speech Test Signal (ISTS, </w:t>
      </w:r>
      <w:r>
        <w:rPr>
          <w:rFonts w:ascii="Calibri" w:hAnsi="Calibri" w:cs="Calibri"/>
          <w:color w:val="5B9BD5" w:themeColor="accent1"/>
          <w:sz w:val="22"/>
          <w:szCs w:val="22"/>
          <w:lang w:val="en-GB"/>
          <w14:textFill>
            <w14:solidFill>
              <w14:schemeClr w14:val="accent1"/>
            </w14:solidFill>
          </w14:textFill>
        </w:rPr>
        <w:t>Holube et al, 2010</w:t>
      </w:r>
      <w:r>
        <w:rPr>
          <w:rFonts w:ascii="Calibri" w:hAnsi="Calibri" w:cs="Calibri"/>
          <w:sz w:val="22"/>
          <w:szCs w:val="22"/>
          <w:lang w:val="en-GB"/>
        </w:rPr>
        <w:t>) compared to the overall level of the full-bandwidth level of the ISTS. The relative levels were -14.5 and -20.6 dB for the MF and HF signals, respectively, compared to the full-bandwidth level. For clarity, we reference the presentation levels of each stimulus to the full bandwidth level of the ISTS from which they would have been derived, and label this the 'Speech Reference Level' (</w:t>
      </w:r>
      <w:r>
        <w:rPr>
          <w:rFonts w:ascii="Calibri" w:hAnsi="Calibri" w:cs="Calibri"/>
          <w:sz w:val="22"/>
          <w:szCs w:val="22"/>
        </w:rPr>
        <w:t>SpRefL</w:t>
      </w:r>
      <w:r>
        <w:rPr>
          <w:rFonts w:ascii="Calibri" w:hAnsi="Calibri" w:cs="Calibri"/>
          <w:sz w:val="22"/>
          <w:szCs w:val="22"/>
          <w:lang w:val="en-GB"/>
        </w:rPr>
        <w:t xml:space="preserve">). So, for the MF stimulus presented at 65 dB </w:t>
      </w:r>
      <w:r>
        <w:rPr>
          <w:rFonts w:ascii="Calibri" w:hAnsi="Calibri" w:cs="Calibri"/>
          <w:sz w:val="22"/>
          <w:szCs w:val="22"/>
        </w:rPr>
        <w:t>SpRefL</w:t>
      </w:r>
      <w:r>
        <w:rPr>
          <w:rFonts w:ascii="Calibri" w:hAnsi="Calibri" w:cs="Calibri"/>
          <w:sz w:val="22"/>
          <w:szCs w:val="22"/>
          <w:lang w:val="en-GB"/>
        </w:rPr>
        <w:t>, the actual level of the stimulus during its steady-state portion was (65-14.5) = 50.5 dB SPL. A more extensive description and rationale for the design of the stimuli is described in Stone et al. (2019).</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 xml:space="preserve">The stimuli were presented at 65 dB </w:t>
      </w:r>
      <w:r>
        <w:rPr>
          <w:rFonts w:ascii="Calibri" w:hAnsi="Calibri" w:cs="Calibri"/>
          <w:sz w:val="22"/>
          <w:szCs w:val="22"/>
        </w:rPr>
        <w:t>SpRefL</w:t>
      </w:r>
      <w:r>
        <w:rPr>
          <w:rFonts w:ascii="Calibri" w:hAnsi="Calibri" w:cs="Calibri"/>
          <w:sz w:val="22"/>
          <w:szCs w:val="22"/>
          <w:lang w:val="en-GB"/>
        </w:rPr>
        <w:t xml:space="preserve"> (for 66 infants), 75 dB </w:t>
      </w:r>
      <w:r>
        <w:rPr>
          <w:rFonts w:ascii="Calibri" w:hAnsi="Calibri" w:cs="Calibri"/>
          <w:sz w:val="22"/>
          <w:szCs w:val="22"/>
        </w:rPr>
        <w:t>SpRefL</w:t>
      </w:r>
      <w:r>
        <w:rPr>
          <w:rFonts w:ascii="Calibri" w:hAnsi="Calibri" w:cs="Calibri"/>
          <w:sz w:val="22"/>
          <w:szCs w:val="22"/>
          <w:lang w:val="en-GB"/>
        </w:rPr>
        <w:t xml:space="preserve"> (29 infants) and either 79 dB </w:t>
      </w:r>
      <w:r>
        <w:rPr>
          <w:rFonts w:ascii="Calibri" w:hAnsi="Calibri" w:cs="Calibri"/>
          <w:sz w:val="22"/>
          <w:szCs w:val="22"/>
        </w:rPr>
        <w:t>SpRefL</w:t>
      </w:r>
      <w:r>
        <w:rPr>
          <w:rFonts w:ascii="Calibri" w:hAnsi="Calibri" w:cs="Calibri"/>
          <w:sz w:val="22"/>
          <w:szCs w:val="22"/>
          <w:lang w:val="en-GB"/>
        </w:rPr>
        <w:t xml:space="preserve"> (MF stimulus, 8 infants) or 85 dB </w:t>
      </w:r>
      <w:r>
        <w:rPr>
          <w:rFonts w:ascii="Calibri" w:hAnsi="Calibri" w:cs="Calibri"/>
          <w:sz w:val="22"/>
          <w:szCs w:val="22"/>
        </w:rPr>
        <w:t>SpRefL</w:t>
      </w:r>
      <w:r>
        <w:rPr>
          <w:rFonts w:ascii="Calibri" w:hAnsi="Calibri" w:cs="Calibri"/>
          <w:sz w:val="22"/>
          <w:szCs w:val="22"/>
          <w:lang w:val="en-GB"/>
        </w:rPr>
        <w:t xml:space="preserve"> (HF stimulus, 8 infants). Throughout the CAEP test, an experienced </w:t>
      </w:r>
      <w:r>
        <w:rPr>
          <w:rFonts w:ascii="Calibri" w:hAnsi="Calibri" w:cs="Calibri"/>
          <w:sz w:val="22"/>
          <w:szCs w:val="22"/>
        </w:rPr>
        <w:t>paediatric audiologist</w:t>
      </w:r>
      <w:r>
        <w:rPr>
          <w:rFonts w:ascii="Calibri" w:hAnsi="Calibri" w:cs="Calibri"/>
          <w:sz w:val="22"/>
          <w:szCs w:val="22"/>
          <w:lang w:val="en-GB"/>
        </w:rPr>
        <w:t xml:space="preserve"> aimed to keep the infant’s attention facing towards the loudspeaker by using a selection of silent toys. The stimuli were then presented repeatedly until 20 artefact-free epochs had been recorded using an artefact rejection threshold of ±</w:t>
      </w:r>
      <w:r>
        <w:rPr>
          <w:rFonts w:ascii="Calibri" w:hAnsi="Calibri" w:cs="Calibri"/>
          <w:sz w:val="22"/>
          <w:szCs w:val="22"/>
        </w:rPr>
        <w:t>110 μV</w:t>
      </w:r>
      <w:r>
        <w:rPr>
          <w:rFonts w:ascii="Calibri" w:hAnsi="Calibri" w:cs="Calibri"/>
          <w:sz w:val="22"/>
          <w:szCs w:val="22"/>
          <w:lang w:val="en-GB"/>
        </w:rPr>
        <w:t xml:space="preserve"> and a band-pass filter of 1-100 Hz . A total of 4 blocks for the MF stimulus and 4 for the HF stimulus were presented using an interleaved approach. This procedure was then repeated, with the stimulus order reversed, giving 160 artefact-free epochs, per stimulus (although in some recordings there were 159 epochs). The full CAEP test procedure was repeated </w:t>
      </w:r>
      <w:r>
        <w:rPr>
          <w:rFonts w:ascii="Calibri" w:hAnsi="Calibri" w:cs="Calibri"/>
          <w:sz w:val="22"/>
          <w:szCs w:val="22"/>
        </w:rPr>
        <w:t>within seven days</w:t>
      </w:r>
      <w:r>
        <w:rPr>
          <w:rFonts w:ascii="Calibri" w:hAnsi="Calibri" w:cs="Calibri"/>
          <w:sz w:val="22"/>
          <w:szCs w:val="22"/>
          <w:lang w:val="en-GB"/>
        </w:rPr>
        <w:t xml:space="preserve">. </w:t>
      </w:r>
      <w:r>
        <w:rPr>
          <w:rFonts w:ascii="Calibri" w:hAnsi="Calibri" w:cs="Calibri"/>
          <w:sz w:val="22"/>
          <w:szCs w:val="22"/>
        </w:rPr>
        <w:t>If the repeat session was on the same day</w:t>
      </w:r>
      <w:r>
        <w:rPr>
          <w:rFonts w:ascii="Calibri" w:hAnsi="Calibri" w:cs="Calibri"/>
          <w:sz w:val="22"/>
          <w:szCs w:val="22"/>
          <w:lang w:val="en-GB"/>
        </w:rPr>
        <w:t>,</w:t>
      </w:r>
      <w:r>
        <w:rPr>
          <w:rFonts w:ascii="Calibri" w:hAnsi="Calibri" w:cs="Calibri"/>
          <w:sz w:val="22"/>
          <w:szCs w:val="22"/>
        </w:rPr>
        <w:t xml:space="preserve"> a break of at least one hour was given </w:t>
      </w:r>
      <w:r>
        <w:rPr>
          <w:rFonts w:ascii="Calibri" w:hAnsi="Calibri" w:cs="Calibri"/>
          <w:sz w:val="22"/>
          <w:szCs w:val="22"/>
          <w:lang w:val="en-GB"/>
        </w:rPr>
        <w:t xml:space="preserve">before starting the next session. Finally, CAEP measurements were made using electrodes placed at the high forehead (FPz; active electrode), the right mastoid (reference electrode), and the left mastoid (ground electrode), and were recorded at a sampling rate of 30 kHz (downsampled to 500 Hz for further analysis) using the </w:t>
      </w:r>
      <w:r>
        <w:rPr>
          <w:rFonts w:ascii="Calibri" w:hAnsi="Calibri" w:cs="Calibri"/>
          <w:sz w:val="22"/>
          <w:szCs w:val="22"/>
        </w:rPr>
        <w:t xml:space="preserve">Eclipse system (Interacoustics, </w:t>
      </w:r>
      <w:r>
        <w:rPr>
          <w:rFonts w:ascii="Calibri" w:hAnsi="Calibri" w:cs="Calibri"/>
          <w:sz w:val="22"/>
          <w:szCs w:val="22"/>
          <w:lang w:val="en-GB"/>
        </w:rPr>
        <w:t>Middelfart, Denmark). Data were filtered offline from 1-15 Hz using 3</w:t>
      </w:r>
      <w:r>
        <w:rPr>
          <w:rFonts w:ascii="Calibri" w:hAnsi="Calibri" w:cs="Calibri"/>
          <w:sz w:val="22"/>
          <w:szCs w:val="22"/>
          <w:vertAlign w:val="superscript"/>
          <w:lang w:val="en-GB"/>
        </w:rPr>
        <w:t>rd</w:t>
      </w:r>
      <w:r>
        <w:rPr>
          <w:rFonts w:ascii="Calibri" w:hAnsi="Calibri" w:cs="Calibri"/>
          <w:sz w:val="22"/>
          <w:szCs w:val="22"/>
          <w:lang w:val="en-GB"/>
        </w:rPr>
        <w:t xml:space="preserve"> order Butterworth filters. Ethics approval was obtained </w:t>
      </w:r>
      <w:r>
        <w:rPr>
          <w:rFonts w:ascii="Calibri" w:hAnsi="Calibri" w:cs="Calibri"/>
          <w:lang w:val="en-GB"/>
        </w:rPr>
        <w:t xml:space="preserve">from </w:t>
      </w:r>
      <w:r>
        <w:rPr>
          <w:rFonts w:ascii="Calibri" w:hAnsi="Calibri" w:cs="Calibri"/>
          <w:sz w:val="22"/>
          <w:szCs w:val="22"/>
        </w:rPr>
        <w:t xml:space="preserve">the North West National Research Ethics Service Ethics Committee (reference </w:t>
      </w:r>
      <w:r>
        <w:rPr>
          <w:sz w:val="22"/>
          <w:szCs w:val="22"/>
        </w:rPr>
        <w:t>15/NW/0736</w:t>
      </w:r>
      <w:r>
        <w:rPr>
          <w:rFonts w:ascii="Calibri" w:hAnsi="Calibri" w:cs="Calibri"/>
          <w:sz w:val="22"/>
          <w:szCs w:val="22"/>
        </w:rPr>
        <w:t>).</w:t>
      </w:r>
      <w:r>
        <w:rPr>
          <w:rFonts w:ascii="Calibri" w:hAnsi="Calibri" w:cs="Calibri"/>
          <w:sz w:val="22"/>
          <w:szCs w:val="22"/>
          <w:lang w:val="en-GB"/>
        </w:rPr>
        <w:t xml:space="preserve"> </w:t>
      </w:r>
    </w:p>
    <w:p>
      <w:pPr>
        <w:spacing w:line="240" w:lineRule="auto"/>
        <w:rPr>
          <w:rFonts w:ascii="Calibri" w:hAnsi="Calibri" w:cs="Calibri"/>
          <w:sz w:val="22"/>
          <w:szCs w:val="22"/>
        </w:rPr>
      </w:pPr>
    </w:p>
    <w:p>
      <w:pPr>
        <w:spacing w:line="240" w:lineRule="auto"/>
        <w:rPr>
          <w:rFonts w:ascii="Calibri" w:hAnsi="Calibri" w:cs="Calibri"/>
          <w:b/>
          <w:bCs/>
          <w:iCs/>
          <w:sz w:val="22"/>
          <w:szCs w:val="22"/>
          <w:u w:val="single"/>
          <w:lang w:val="en-GB"/>
        </w:rPr>
      </w:pPr>
      <w:r>
        <w:rPr>
          <w:rFonts w:ascii="Calibri" w:hAnsi="Calibri" w:cs="Calibri"/>
          <w:iCs/>
          <w:sz w:val="22"/>
          <w:szCs w:val="22"/>
          <w:u w:val="single"/>
          <w:lang w:val="en-GB"/>
        </w:rPr>
        <w:t>Visual reinforcement audiometry</w:t>
      </w:r>
    </w:p>
    <w:p>
      <w:pPr>
        <w:spacing w:line="240" w:lineRule="auto"/>
        <w:jc w:val="both"/>
        <w:rPr>
          <w:rFonts w:ascii="Calibri" w:hAnsi="Calibri" w:cs="Calibri"/>
          <w:iCs/>
          <w:sz w:val="22"/>
          <w:szCs w:val="22"/>
          <w:lang w:val="en-GB"/>
        </w:rPr>
      </w:pPr>
      <w:r>
        <w:rPr>
          <w:rFonts w:ascii="Calibri" w:hAnsi="Calibri" w:cs="Calibri"/>
          <w:iCs/>
          <w:sz w:val="22"/>
          <w:szCs w:val="22"/>
          <w:lang w:val="en-GB"/>
        </w:rPr>
        <w:t xml:space="preserve">To determine the audibility of the stimuli presented during the CAEP sessions, aided behavioural hearing thresholds to the same stimuli were estimated using visual reinforcement audiometry (VRA; </w:t>
      </w:r>
      <w:r>
        <w:rPr>
          <w:rFonts w:ascii="Calibri" w:hAnsi="Calibri" w:cs="Calibri"/>
          <w:iCs/>
          <w:color w:val="4472C4" w:themeColor="accent5"/>
          <w:sz w:val="22"/>
          <w:szCs w:val="22"/>
          <w:lang w:val="en-GB"/>
          <w14:textFill>
            <w14:solidFill>
              <w14:schemeClr w14:val="accent5"/>
            </w14:solidFill>
          </w14:textFill>
        </w:rPr>
        <w:t>BSA, 2014</w:t>
      </w:r>
      <w:r>
        <w:rPr>
          <w:rFonts w:ascii="Calibri" w:hAnsi="Calibri" w:cs="Calibri"/>
          <w:iCs/>
          <w:sz w:val="22"/>
          <w:szCs w:val="22"/>
          <w:lang w:val="en-GB"/>
        </w:rPr>
        <w:t>). As VRA requires behavioural conditioning, it was performed several months after the CAEP sessions. Infants were aged between 7.4 and 21 months, with a mean age of 10.8 months. VRA was performed by two experienced paediatric audiologists</w:t>
      </w:r>
      <w:r>
        <w:rPr>
          <w:rFonts w:hint="default" w:ascii="Calibri" w:hAnsi="Calibri" w:cs="Calibri"/>
          <w:iCs/>
          <w:sz w:val="22"/>
          <w:szCs w:val="22"/>
          <w:lang w:val="en-GB"/>
        </w:rPr>
        <w:t xml:space="preserve"> who </w:t>
      </w:r>
      <w:r>
        <w:rPr>
          <w:rFonts w:ascii="Calibri" w:hAnsi="Calibri" w:cs="Calibri"/>
          <w:iCs/>
          <w:sz w:val="22"/>
          <w:szCs w:val="22"/>
          <w:lang w:val="en-GB"/>
        </w:rPr>
        <w:t>follow</w:t>
      </w:r>
      <w:r>
        <w:rPr>
          <w:rFonts w:hint="default" w:ascii="Calibri" w:hAnsi="Calibri" w:cs="Calibri"/>
          <w:iCs/>
          <w:sz w:val="22"/>
          <w:szCs w:val="22"/>
          <w:lang w:val="en-GB"/>
        </w:rPr>
        <w:t xml:space="preserve">ed </w:t>
      </w:r>
      <w:r>
        <w:rPr>
          <w:rFonts w:ascii="Calibri" w:hAnsi="Calibri" w:cs="Calibri"/>
          <w:iCs/>
          <w:sz w:val="22"/>
          <w:szCs w:val="22"/>
          <w:lang w:val="en-GB"/>
        </w:rPr>
        <w:t>the British Society of Audiology recommended procedure as a guideline (</w:t>
      </w:r>
      <w:r>
        <w:rPr>
          <w:rFonts w:ascii="Calibri" w:hAnsi="Calibri" w:cs="Calibri"/>
          <w:iCs/>
          <w:color w:val="5B9BD5" w:themeColor="accent1"/>
          <w:sz w:val="22"/>
          <w:szCs w:val="22"/>
          <w:lang w:val="en-GB"/>
          <w14:textFill>
            <w14:solidFill>
              <w14:schemeClr w14:val="accent1"/>
            </w14:solidFill>
          </w14:textFill>
        </w:rPr>
        <w:t>BSA, 2014</w:t>
      </w:r>
      <w:r>
        <w:rPr>
          <w:rFonts w:ascii="Calibri" w:hAnsi="Calibri" w:cs="Calibri"/>
          <w:iCs/>
          <w:sz w:val="22"/>
          <w:szCs w:val="22"/>
          <w:lang w:val="en-GB"/>
        </w:rPr>
        <w:t xml:space="preserve">). During the VRA sessions, stimuli were presented at a rate of 4 Hz using the same set-up previously described for the aided CAEP sessions. Infants were first conditioned at a high test level with simultaneous presentation of a visual reinforcer. An adaptive procedure was then used to find threshold in 5 dB step sizes. One audiologist kept the child’s quiet attention in the room, and the other controlled the sounds from the observation room, and judged when a response was present. Intermittent control trials and long gaps were included to judge for false responses, but the tester was not blind to these. At the VRA session, standard hearing aid checks, </w:t>
      </w:r>
      <w:r>
        <w:rPr>
          <w:rFonts w:ascii="Calibri" w:hAnsi="Calibri" w:cs="Calibri"/>
          <w:sz w:val="22"/>
          <w:szCs w:val="22"/>
          <w:lang w:val="en-GB"/>
        </w:rPr>
        <w:t>o</w:t>
      </w:r>
      <w:r>
        <w:rPr>
          <w:rFonts w:ascii="Calibri" w:hAnsi="Calibri" w:cs="Calibri"/>
          <w:sz w:val="22"/>
          <w:szCs w:val="22"/>
        </w:rPr>
        <w:t>toscopy</w:t>
      </w:r>
      <w:r>
        <w:rPr>
          <w:rFonts w:ascii="Calibri" w:hAnsi="Calibri" w:cs="Calibri"/>
          <w:sz w:val="22"/>
          <w:szCs w:val="22"/>
          <w:lang w:val="en-GB"/>
        </w:rPr>
        <w:t xml:space="preserve"> examinations and </w:t>
      </w:r>
      <w:r>
        <w:rPr>
          <w:rFonts w:ascii="Calibri" w:hAnsi="Calibri" w:cs="Calibri"/>
          <w:sz w:val="22"/>
          <w:szCs w:val="22"/>
        </w:rPr>
        <w:t xml:space="preserve">tympanometry </w:t>
      </w:r>
      <w:r>
        <w:rPr>
          <w:rFonts w:ascii="Calibri" w:hAnsi="Calibri" w:cs="Calibri"/>
          <w:sz w:val="22"/>
          <w:szCs w:val="22"/>
          <w:lang w:val="en-GB"/>
        </w:rPr>
        <w:t xml:space="preserve">examinations were again carried out. If hearing aid settings had changed since the CAEP sessions, </w:t>
      </w:r>
      <w:r>
        <w:rPr>
          <w:rFonts w:cs="Calibri"/>
          <w:sz w:val="22"/>
          <w:szCs w:val="22"/>
          <w:lang w:val="en-GB"/>
        </w:rPr>
        <w:t>the VRA was performed while wearing temporary hearing aids of the same model as used during the CAEP session and set to their previous settings</w:t>
      </w:r>
      <w:r>
        <w:rPr>
          <w:rFonts w:ascii="Calibri" w:hAnsi="Calibri" w:cs="Calibri"/>
          <w:sz w:val="22"/>
          <w:szCs w:val="22"/>
          <w:lang w:val="en-GB"/>
        </w:rPr>
        <w:t xml:space="preserve">. Hearing aid settings were also checked in a test box for consistency between the CAEP and VRA sessions. The decibel </w:t>
      </w:r>
      <w:r>
        <w:rPr>
          <w:sz w:val="22"/>
          <w:szCs w:val="22"/>
        </w:rPr>
        <w:t xml:space="preserve">Sensation </w:t>
      </w:r>
      <w:r>
        <w:rPr>
          <w:rFonts w:hint="default"/>
          <w:sz w:val="22"/>
          <w:szCs w:val="22"/>
          <w:lang w:val="en-GB"/>
        </w:rPr>
        <w:t>L</w:t>
      </w:r>
      <w:r>
        <w:rPr>
          <w:sz w:val="22"/>
          <w:szCs w:val="22"/>
        </w:rPr>
        <w:t xml:space="preserve">evel </w:t>
      </w:r>
      <w:r>
        <w:rPr>
          <w:sz w:val="22"/>
          <w:szCs w:val="22"/>
          <w:lang w:val="en-GB"/>
        </w:rPr>
        <w:t xml:space="preserve">(dB SL) </w:t>
      </w:r>
      <w:r>
        <w:rPr>
          <w:sz w:val="22"/>
          <w:szCs w:val="22"/>
        </w:rPr>
        <w:t xml:space="preserve">was </w:t>
      </w:r>
      <w:r>
        <w:rPr>
          <w:sz w:val="22"/>
          <w:szCs w:val="22"/>
          <w:lang w:val="en-GB"/>
        </w:rPr>
        <w:t xml:space="preserve">estimated </w:t>
      </w:r>
      <w:r>
        <w:rPr>
          <w:sz w:val="22"/>
          <w:szCs w:val="22"/>
        </w:rPr>
        <w:t xml:space="preserve">as CAEP presentation level minus the aided </w:t>
      </w:r>
      <w:r>
        <w:rPr>
          <w:sz w:val="22"/>
          <w:szCs w:val="22"/>
          <w:lang w:val="en-GB"/>
        </w:rPr>
        <w:t xml:space="preserve">VRA-estimated </w:t>
      </w:r>
      <w:r>
        <w:rPr>
          <w:sz w:val="22"/>
          <w:szCs w:val="22"/>
        </w:rPr>
        <w:t>behavioural threshold, both recorded in dB SpRefL</w:t>
      </w:r>
      <w:r>
        <w:rPr>
          <w:sz w:val="22"/>
          <w:szCs w:val="22"/>
          <w:lang w:val="en-GB"/>
        </w:rPr>
        <w:t xml:space="preserve"> </w:t>
      </w:r>
      <w:r>
        <w:rPr>
          <w:sz w:val="22"/>
          <w:szCs w:val="22"/>
        </w:rPr>
        <w:t>in the sound field</w:t>
      </w:r>
      <w:r>
        <w:rPr>
          <w:sz w:val="22"/>
          <w:szCs w:val="22"/>
          <w:lang w:val="en-GB"/>
        </w:rPr>
        <w:t xml:space="preserve">. </w:t>
      </w:r>
    </w:p>
    <w:p>
      <w:pPr>
        <w:spacing w:line="240" w:lineRule="auto"/>
        <w:jc w:val="both"/>
        <w:rPr>
          <w:rFonts w:ascii="Calibri" w:hAnsi="Calibri" w:cs="Calibri"/>
          <w:iCs/>
          <w:sz w:val="22"/>
          <w:szCs w:val="22"/>
          <w:lang w:val="en-GB"/>
        </w:rPr>
      </w:pPr>
    </w:p>
    <w:p>
      <w:pPr>
        <w:bidi w:val="0"/>
        <w:rPr>
          <w:b/>
          <w:bCs/>
          <w:sz w:val="22"/>
          <w:szCs w:val="22"/>
          <w:lang w:val="en-GB"/>
        </w:rPr>
      </w:pPr>
      <w:r>
        <w:rPr>
          <w:b/>
          <w:bCs/>
          <w:sz w:val="22"/>
          <w:szCs w:val="22"/>
          <w:lang w:val="en-GB"/>
        </w:rPr>
        <w:t>Which participants to include</w:t>
      </w:r>
    </w:p>
    <w:p>
      <w:pPr>
        <w:bidi w:val="0"/>
        <w:jc w:val="both"/>
        <w:rPr>
          <w:sz w:val="22"/>
          <w:szCs w:val="22"/>
          <w:lang w:val="en-GB"/>
        </w:rPr>
      </w:pPr>
      <w:r>
        <w:rPr>
          <w:sz w:val="22"/>
          <w:szCs w:val="22"/>
          <w:lang w:val="en-GB"/>
        </w:rPr>
        <w:t>To accurately evaluate the performance of the detection methods, it is important that the estimated audibility of the CAEP stimuli is accurate. Participants were therefore excluded if the dB SL of the CAEP stimulus could not be accurately estimated. More specifically, the criteria for exclusion were: (i) middle ear dysfunction during CAEP or VRA test sessions, which could affect the recorded sensation level, (ii) progressive or fluctuating hearing loss between the sessions, and/or (iii) unreliable or missing behavioural thresholds. Additionally, one infant was excluded who was not aided at the time of the CAEP test, and another who used a bone conduction hearing aid. This resulted in a total of 59 and 57 infants with reliable dB SL estimates for the MF and HF stimuli, respectively (Table 1).</w:t>
      </w:r>
    </w:p>
    <w:p>
      <w:pPr>
        <w:bidi w:val="0"/>
        <w:rPr>
          <w:rFonts w:hint="default"/>
          <w:sz w:val="22"/>
          <w:szCs w:val="22"/>
          <w:lang w:val="en-GB"/>
        </w:rPr>
      </w:pPr>
    </w:p>
    <w:tbl>
      <w:tblPr>
        <w:tblStyle w:val="4"/>
        <w:tblW w:w="6058" w:type="dxa"/>
        <w:tblInd w:w="113" w:type="dxa"/>
        <w:tblLayout w:type="fixed"/>
        <w:tblCellMar>
          <w:top w:w="0" w:type="dxa"/>
          <w:left w:w="108" w:type="dxa"/>
          <w:bottom w:w="0" w:type="dxa"/>
          <w:right w:w="108" w:type="dxa"/>
        </w:tblCellMar>
      </w:tblPr>
      <w:tblGrid>
        <w:gridCol w:w="1940"/>
        <w:gridCol w:w="1029"/>
        <w:gridCol w:w="1029"/>
        <w:gridCol w:w="1029"/>
        <w:gridCol w:w="1031"/>
      </w:tblGrid>
      <w:tr>
        <w:trPr>
          <w:trHeight w:val="300" w:hRule="atLeast"/>
        </w:trPr>
        <w:tc>
          <w:tcPr>
            <w:tcW w:w="194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rPr>
                <w:rFonts w:hint="default"/>
                <w:sz w:val="22"/>
                <w:szCs w:val="22"/>
                <w:lang w:val="en-US" w:eastAsia="en-GB"/>
              </w:rPr>
            </w:pPr>
            <w:r>
              <w:rPr>
                <w:rFonts w:hint="default"/>
                <w:sz w:val="22"/>
                <w:szCs w:val="22"/>
                <w:lang w:val="en-US" w:eastAsia="en-GB"/>
              </w:rPr>
              <w:t>Stimulus</w:t>
            </w:r>
          </w:p>
        </w:tc>
        <w:tc>
          <w:tcPr>
            <w:tcW w:w="4118" w:type="dxa"/>
            <w:gridSpan w:val="4"/>
            <w:tcBorders>
              <w:top w:val="single" w:color="auto" w:sz="4" w:space="0"/>
              <w:left w:val="nil"/>
              <w:bottom w:val="single" w:color="auto" w:sz="4" w:space="0"/>
              <w:right w:val="single" w:color="auto" w:sz="4" w:space="0"/>
            </w:tcBorders>
            <w:shd w:val="clear" w:color="auto" w:fill="auto"/>
            <w:noWrap/>
            <w:vAlign w:val="bottom"/>
          </w:tcPr>
          <w:p>
            <w:pPr>
              <w:bidi w:val="0"/>
              <w:rPr>
                <w:rFonts w:hint="default"/>
                <w:sz w:val="22"/>
                <w:szCs w:val="22"/>
                <w:lang w:val="en-GB" w:eastAsia="en-GB"/>
              </w:rPr>
            </w:pPr>
            <w:r>
              <w:rPr>
                <w:rFonts w:hint="default"/>
                <w:sz w:val="22"/>
                <w:szCs w:val="22"/>
                <w:lang w:eastAsia="en-GB"/>
              </w:rPr>
              <w:t>Decibel s</w:t>
            </w:r>
            <w:r>
              <w:rPr>
                <w:rFonts w:hint="default"/>
                <w:sz w:val="22"/>
                <w:szCs w:val="22"/>
                <w:lang w:val="en-GB" w:eastAsia="en-GB"/>
              </w:rPr>
              <w:t>ensation level (dB SL)</w:t>
            </w:r>
          </w:p>
        </w:tc>
      </w:tr>
      <w:tr>
        <w:tblPrEx>
          <w:tblCellMar>
            <w:top w:w="0" w:type="dxa"/>
            <w:left w:w="108" w:type="dxa"/>
            <w:bottom w:w="0" w:type="dxa"/>
            <w:right w:w="108" w:type="dxa"/>
          </w:tblCellMar>
        </w:tblPrEx>
        <w:trPr>
          <w:trHeight w:val="300" w:hRule="atLeast"/>
        </w:trPr>
        <w:tc>
          <w:tcPr>
            <w:tcW w:w="1940" w:type="dxa"/>
            <w:vMerge w:val="continue"/>
            <w:tcBorders>
              <w:top w:val="single" w:color="auto" w:sz="4" w:space="0"/>
              <w:left w:val="single" w:color="auto" w:sz="4" w:space="0"/>
              <w:bottom w:val="single" w:color="auto" w:sz="4" w:space="0"/>
              <w:right w:val="single" w:color="auto" w:sz="4" w:space="0"/>
            </w:tcBorders>
            <w:vAlign w:val="center"/>
          </w:tcPr>
          <w:p>
            <w:pPr>
              <w:bidi w:val="0"/>
              <w:rPr>
                <w:rFonts w:hint="default"/>
                <w:sz w:val="22"/>
                <w:szCs w:val="22"/>
                <w:lang w:val="en-GB" w:eastAsia="en-GB"/>
              </w:rPr>
            </w:pPr>
          </w:p>
        </w:tc>
        <w:tc>
          <w:tcPr>
            <w:tcW w:w="1029" w:type="dxa"/>
            <w:tcBorders>
              <w:top w:val="nil"/>
              <w:left w:val="nil"/>
              <w:bottom w:val="single" w:color="auto" w:sz="4" w:space="0"/>
              <w:right w:val="single" w:color="auto" w:sz="4" w:space="0"/>
            </w:tcBorders>
            <w:shd w:val="clear" w:color="auto" w:fill="auto"/>
            <w:noWrap/>
          </w:tcPr>
          <w:p>
            <w:pPr>
              <w:bidi w:val="0"/>
              <w:rPr>
                <w:rFonts w:hint="default"/>
                <w:sz w:val="22"/>
                <w:szCs w:val="22"/>
                <w:lang w:val="en-GB" w:eastAsia="en-GB"/>
              </w:rPr>
            </w:pPr>
            <w:r>
              <w:rPr>
                <w:rFonts w:hint="default"/>
                <w:sz w:val="22"/>
                <w:szCs w:val="22"/>
                <w:lang w:val="en-GB" w:eastAsia="en-GB"/>
              </w:rPr>
              <w:t>&lt;0</w:t>
            </w:r>
          </w:p>
        </w:tc>
        <w:tc>
          <w:tcPr>
            <w:tcW w:w="1029" w:type="dxa"/>
            <w:tcBorders>
              <w:top w:val="nil"/>
              <w:left w:val="nil"/>
              <w:bottom w:val="single" w:color="auto" w:sz="4" w:space="0"/>
              <w:right w:val="single" w:color="auto" w:sz="4" w:space="0"/>
            </w:tcBorders>
            <w:shd w:val="clear" w:color="auto" w:fill="auto"/>
            <w:noWrap/>
          </w:tcPr>
          <w:p>
            <w:pPr>
              <w:bidi w:val="0"/>
              <w:rPr>
                <w:rFonts w:hint="default"/>
                <w:sz w:val="22"/>
                <w:szCs w:val="22"/>
                <w:lang w:eastAsia="en-GB"/>
              </w:rPr>
            </w:pPr>
            <w:r>
              <w:rPr>
                <w:rFonts w:hint="default"/>
                <w:sz w:val="22"/>
                <w:szCs w:val="22"/>
                <w:lang w:val="en-GB" w:eastAsia="en-GB"/>
              </w:rPr>
              <w:t>0-</w:t>
            </w:r>
            <w:r>
              <w:rPr>
                <w:rFonts w:hint="default"/>
                <w:sz w:val="22"/>
                <w:szCs w:val="22"/>
                <w:lang w:eastAsia="en-GB"/>
              </w:rPr>
              <w:t>10</w:t>
            </w:r>
          </w:p>
        </w:tc>
        <w:tc>
          <w:tcPr>
            <w:tcW w:w="1029" w:type="dxa"/>
            <w:tcBorders>
              <w:top w:val="nil"/>
              <w:left w:val="nil"/>
              <w:bottom w:val="single" w:color="auto" w:sz="4" w:space="0"/>
              <w:right w:val="single" w:color="auto" w:sz="4" w:space="0"/>
            </w:tcBorders>
            <w:shd w:val="clear" w:color="auto" w:fill="auto"/>
            <w:noWrap/>
          </w:tcPr>
          <w:p>
            <w:pPr>
              <w:bidi w:val="0"/>
              <w:rPr>
                <w:rFonts w:hint="default"/>
                <w:sz w:val="22"/>
                <w:szCs w:val="22"/>
                <w:lang w:eastAsia="en-GB"/>
              </w:rPr>
            </w:pPr>
            <w:r>
              <w:rPr>
                <w:rFonts w:hint="default"/>
                <w:sz w:val="22"/>
                <w:szCs w:val="22"/>
                <w:lang w:val="en-GB" w:eastAsia="en-GB"/>
              </w:rPr>
              <w:t>10</w:t>
            </w:r>
            <w:r>
              <w:rPr>
                <w:rFonts w:hint="default"/>
                <w:sz w:val="22"/>
                <w:szCs w:val="22"/>
                <w:lang w:eastAsia="en-GB"/>
              </w:rPr>
              <w:t>.1</w:t>
            </w:r>
            <w:r>
              <w:rPr>
                <w:rFonts w:hint="default"/>
                <w:sz w:val="22"/>
                <w:szCs w:val="22"/>
                <w:lang w:val="en-GB" w:eastAsia="en-GB"/>
              </w:rPr>
              <w:t>-</w:t>
            </w:r>
            <w:r>
              <w:rPr>
                <w:rFonts w:hint="default"/>
                <w:sz w:val="22"/>
                <w:szCs w:val="22"/>
                <w:lang w:eastAsia="en-GB"/>
              </w:rPr>
              <w:t>20</w:t>
            </w:r>
          </w:p>
        </w:tc>
        <w:tc>
          <w:tcPr>
            <w:tcW w:w="1031" w:type="dxa"/>
            <w:tcBorders>
              <w:top w:val="nil"/>
              <w:left w:val="nil"/>
              <w:bottom w:val="single" w:color="auto" w:sz="4" w:space="0"/>
              <w:right w:val="single" w:color="auto" w:sz="4" w:space="0"/>
            </w:tcBorders>
            <w:shd w:val="clear" w:color="auto" w:fill="auto"/>
            <w:noWrap/>
          </w:tcPr>
          <w:p>
            <w:pPr>
              <w:bidi w:val="0"/>
              <w:rPr>
                <w:rFonts w:hint="default"/>
                <w:sz w:val="22"/>
                <w:szCs w:val="22"/>
                <w:lang w:val="en-GB" w:eastAsia="en-GB"/>
              </w:rPr>
            </w:pPr>
            <w:r>
              <w:rPr>
                <w:rFonts w:hint="default"/>
                <w:sz w:val="22"/>
                <w:szCs w:val="22"/>
                <w:lang w:eastAsia="en-GB"/>
              </w:rPr>
              <w:t>&gt;</w:t>
            </w:r>
            <w:r>
              <w:rPr>
                <w:rFonts w:hint="default"/>
                <w:sz w:val="22"/>
                <w:szCs w:val="22"/>
                <w:lang w:val="en-GB" w:eastAsia="en-GB"/>
              </w:rPr>
              <w:t>20</w:t>
            </w:r>
          </w:p>
        </w:tc>
      </w:tr>
      <w:tr>
        <w:tblPrEx>
          <w:tblCellMar>
            <w:top w:w="0" w:type="dxa"/>
            <w:left w:w="108" w:type="dxa"/>
            <w:bottom w:w="0" w:type="dxa"/>
            <w:right w:w="108" w:type="dxa"/>
          </w:tblCellMar>
        </w:tblPrEx>
        <w:trPr>
          <w:trHeight w:val="286" w:hRule="atLeast"/>
        </w:trPr>
        <w:tc>
          <w:tcPr>
            <w:tcW w:w="1940" w:type="dxa"/>
            <w:tcBorders>
              <w:top w:val="nil"/>
              <w:left w:val="single" w:color="auto" w:sz="4" w:space="0"/>
              <w:bottom w:val="single" w:color="auto" w:sz="4" w:space="0"/>
              <w:right w:val="single" w:color="auto" w:sz="4" w:space="0"/>
            </w:tcBorders>
            <w:shd w:val="clear" w:color="auto" w:fill="auto"/>
            <w:noWrap/>
            <w:vAlign w:val="center"/>
          </w:tcPr>
          <w:p>
            <w:pPr>
              <w:bidi w:val="0"/>
              <w:rPr>
                <w:rFonts w:hint="default"/>
                <w:sz w:val="22"/>
                <w:szCs w:val="22"/>
                <w:lang w:val="en-US" w:eastAsia="en-GB"/>
              </w:rPr>
            </w:pPr>
            <w:r>
              <w:rPr>
                <w:rFonts w:hint="default"/>
                <w:sz w:val="22"/>
                <w:szCs w:val="22"/>
                <w:lang w:val="en-US" w:eastAsia="en-GB"/>
              </w:rPr>
              <w:t>MF</w:t>
            </w:r>
          </w:p>
        </w:tc>
        <w:tc>
          <w:tcPr>
            <w:tcW w:w="1029" w:type="dxa"/>
            <w:tcBorders>
              <w:top w:val="nil"/>
              <w:left w:val="nil"/>
              <w:bottom w:val="single" w:color="auto" w:sz="4" w:space="0"/>
              <w:right w:val="single" w:color="auto" w:sz="4" w:space="0"/>
            </w:tcBorders>
            <w:shd w:val="clear" w:color="auto" w:fill="auto"/>
            <w:noWrap/>
          </w:tcPr>
          <w:p>
            <w:pPr>
              <w:bidi w:val="0"/>
              <w:rPr>
                <w:rFonts w:hint="default"/>
                <w:sz w:val="22"/>
                <w:szCs w:val="22"/>
                <w:lang w:eastAsia="en-GB"/>
              </w:rPr>
            </w:pPr>
            <w:r>
              <w:rPr>
                <w:rFonts w:hint="default"/>
                <w:sz w:val="22"/>
                <w:szCs w:val="22"/>
                <w:lang w:eastAsia="en-GB"/>
              </w:rPr>
              <w:t>22</w:t>
            </w:r>
          </w:p>
        </w:tc>
        <w:tc>
          <w:tcPr>
            <w:tcW w:w="1029" w:type="dxa"/>
            <w:tcBorders>
              <w:top w:val="nil"/>
              <w:left w:val="nil"/>
              <w:bottom w:val="single" w:color="auto" w:sz="4" w:space="0"/>
              <w:right w:val="single" w:color="auto" w:sz="4" w:space="0"/>
            </w:tcBorders>
            <w:shd w:val="clear" w:color="auto" w:fill="auto"/>
            <w:noWrap/>
          </w:tcPr>
          <w:p>
            <w:pPr>
              <w:bidi w:val="0"/>
              <w:rPr>
                <w:rFonts w:hint="default"/>
                <w:sz w:val="22"/>
                <w:szCs w:val="22"/>
                <w:lang w:eastAsia="en-GB"/>
              </w:rPr>
            </w:pPr>
            <w:r>
              <w:rPr>
                <w:rFonts w:hint="default"/>
                <w:sz w:val="22"/>
                <w:szCs w:val="22"/>
                <w:lang w:eastAsia="en-GB"/>
              </w:rPr>
              <w:t>42</w:t>
            </w:r>
          </w:p>
        </w:tc>
        <w:tc>
          <w:tcPr>
            <w:tcW w:w="1029" w:type="dxa"/>
            <w:tcBorders>
              <w:top w:val="nil"/>
              <w:left w:val="nil"/>
              <w:bottom w:val="single" w:color="auto" w:sz="4" w:space="0"/>
              <w:right w:val="single" w:color="auto" w:sz="4" w:space="0"/>
            </w:tcBorders>
            <w:shd w:val="clear" w:color="auto" w:fill="auto"/>
            <w:noWrap/>
          </w:tcPr>
          <w:p>
            <w:pPr>
              <w:bidi w:val="0"/>
              <w:rPr>
                <w:rFonts w:hint="default"/>
                <w:sz w:val="22"/>
                <w:szCs w:val="22"/>
                <w:lang w:eastAsia="en-GB"/>
              </w:rPr>
            </w:pPr>
            <w:r>
              <w:rPr>
                <w:rFonts w:hint="default"/>
                <w:sz w:val="22"/>
                <w:szCs w:val="22"/>
                <w:lang w:eastAsia="en-GB"/>
              </w:rPr>
              <w:t>36</w:t>
            </w:r>
          </w:p>
        </w:tc>
        <w:tc>
          <w:tcPr>
            <w:tcW w:w="1031" w:type="dxa"/>
            <w:tcBorders>
              <w:top w:val="nil"/>
              <w:left w:val="nil"/>
              <w:bottom w:val="single" w:color="auto" w:sz="4" w:space="0"/>
              <w:right w:val="single" w:color="auto" w:sz="4" w:space="0"/>
            </w:tcBorders>
            <w:shd w:val="clear" w:color="auto" w:fill="auto"/>
            <w:noWrap/>
          </w:tcPr>
          <w:p>
            <w:pPr>
              <w:bidi w:val="0"/>
              <w:rPr>
                <w:rFonts w:hint="default"/>
                <w:sz w:val="22"/>
                <w:szCs w:val="22"/>
                <w:lang w:eastAsia="en-GB"/>
              </w:rPr>
            </w:pPr>
            <w:r>
              <w:rPr>
                <w:rFonts w:hint="default"/>
                <w:sz w:val="22"/>
                <w:szCs w:val="22"/>
                <w:lang w:eastAsia="en-GB"/>
              </w:rPr>
              <w:t>18</w:t>
            </w:r>
          </w:p>
        </w:tc>
      </w:tr>
      <w:tr>
        <w:tblPrEx>
          <w:tblCellMar>
            <w:top w:w="0" w:type="dxa"/>
            <w:left w:w="108" w:type="dxa"/>
            <w:bottom w:w="0" w:type="dxa"/>
            <w:right w:w="108" w:type="dxa"/>
          </w:tblCellMar>
        </w:tblPrEx>
        <w:trPr>
          <w:trHeight w:val="300" w:hRule="atLeast"/>
        </w:trPr>
        <w:tc>
          <w:tcPr>
            <w:tcW w:w="1940" w:type="dxa"/>
            <w:tcBorders>
              <w:top w:val="nil"/>
              <w:left w:val="single" w:color="auto" w:sz="4" w:space="0"/>
              <w:bottom w:val="single" w:color="auto" w:sz="4" w:space="0"/>
              <w:right w:val="single" w:color="auto" w:sz="4" w:space="0"/>
            </w:tcBorders>
            <w:shd w:val="clear" w:color="auto" w:fill="auto"/>
            <w:noWrap/>
            <w:vAlign w:val="center"/>
          </w:tcPr>
          <w:p>
            <w:pPr>
              <w:bidi w:val="0"/>
              <w:rPr>
                <w:rFonts w:hint="default"/>
                <w:sz w:val="22"/>
                <w:szCs w:val="22"/>
                <w:lang w:val="en-US" w:eastAsia="en-GB"/>
              </w:rPr>
            </w:pPr>
            <w:r>
              <w:rPr>
                <w:rFonts w:hint="default"/>
                <w:sz w:val="22"/>
                <w:szCs w:val="22"/>
                <w:lang w:val="en-US" w:eastAsia="en-GB"/>
              </w:rPr>
              <w:t>HF</w:t>
            </w:r>
          </w:p>
        </w:tc>
        <w:tc>
          <w:tcPr>
            <w:tcW w:w="1029" w:type="dxa"/>
            <w:tcBorders>
              <w:top w:val="nil"/>
              <w:left w:val="nil"/>
              <w:bottom w:val="single" w:color="auto" w:sz="4" w:space="0"/>
              <w:right w:val="single" w:color="auto" w:sz="4" w:space="0"/>
            </w:tcBorders>
            <w:shd w:val="clear" w:color="auto" w:fill="auto"/>
            <w:noWrap/>
          </w:tcPr>
          <w:p>
            <w:pPr>
              <w:bidi w:val="0"/>
              <w:rPr>
                <w:rFonts w:hint="default"/>
                <w:sz w:val="22"/>
                <w:szCs w:val="22"/>
                <w:lang w:eastAsia="en-GB"/>
              </w:rPr>
            </w:pPr>
            <w:r>
              <w:rPr>
                <w:rFonts w:hint="default"/>
                <w:sz w:val="22"/>
                <w:szCs w:val="22"/>
                <w:lang w:eastAsia="en-GB"/>
              </w:rPr>
              <w:t>22</w:t>
            </w:r>
          </w:p>
        </w:tc>
        <w:tc>
          <w:tcPr>
            <w:tcW w:w="1029" w:type="dxa"/>
            <w:tcBorders>
              <w:top w:val="nil"/>
              <w:left w:val="nil"/>
              <w:bottom w:val="single" w:color="auto" w:sz="4" w:space="0"/>
              <w:right w:val="single" w:color="auto" w:sz="4" w:space="0"/>
            </w:tcBorders>
            <w:shd w:val="clear" w:color="auto" w:fill="auto"/>
            <w:noWrap/>
          </w:tcPr>
          <w:p>
            <w:pPr>
              <w:bidi w:val="0"/>
              <w:rPr>
                <w:rFonts w:hint="default"/>
                <w:sz w:val="22"/>
                <w:szCs w:val="22"/>
                <w:lang w:eastAsia="en-GB"/>
              </w:rPr>
            </w:pPr>
            <w:r>
              <w:rPr>
                <w:rFonts w:hint="default"/>
                <w:sz w:val="22"/>
                <w:szCs w:val="22"/>
                <w:lang w:eastAsia="en-GB"/>
              </w:rPr>
              <w:t>34</w:t>
            </w:r>
          </w:p>
        </w:tc>
        <w:tc>
          <w:tcPr>
            <w:tcW w:w="1029" w:type="dxa"/>
            <w:tcBorders>
              <w:top w:val="nil"/>
              <w:left w:val="nil"/>
              <w:bottom w:val="single" w:color="auto" w:sz="4" w:space="0"/>
              <w:right w:val="single" w:color="auto" w:sz="4" w:space="0"/>
            </w:tcBorders>
            <w:shd w:val="clear" w:color="auto" w:fill="auto"/>
            <w:noWrap/>
          </w:tcPr>
          <w:p>
            <w:pPr>
              <w:bidi w:val="0"/>
              <w:rPr>
                <w:rFonts w:hint="default"/>
                <w:sz w:val="22"/>
                <w:szCs w:val="22"/>
                <w:lang w:eastAsia="en-GB"/>
              </w:rPr>
            </w:pPr>
            <w:r>
              <w:rPr>
                <w:rFonts w:hint="default"/>
                <w:sz w:val="22"/>
                <w:szCs w:val="22"/>
                <w:lang w:eastAsia="en-GB"/>
              </w:rPr>
              <w:t>44</w:t>
            </w:r>
          </w:p>
        </w:tc>
        <w:tc>
          <w:tcPr>
            <w:tcW w:w="1031" w:type="dxa"/>
            <w:tcBorders>
              <w:top w:val="nil"/>
              <w:left w:val="nil"/>
              <w:bottom w:val="single" w:color="auto" w:sz="4" w:space="0"/>
              <w:right w:val="single" w:color="auto" w:sz="4" w:space="0"/>
            </w:tcBorders>
            <w:shd w:val="clear" w:color="auto" w:fill="auto"/>
            <w:noWrap/>
          </w:tcPr>
          <w:p>
            <w:pPr>
              <w:bidi w:val="0"/>
              <w:rPr>
                <w:rFonts w:hint="default"/>
                <w:sz w:val="22"/>
                <w:szCs w:val="22"/>
                <w:lang w:eastAsia="en-GB"/>
              </w:rPr>
            </w:pPr>
            <w:r>
              <w:rPr>
                <w:rFonts w:hint="default"/>
                <w:sz w:val="22"/>
                <w:szCs w:val="22"/>
                <w:lang w:eastAsia="en-GB"/>
              </w:rPr>
              <w:t>14</w:t>
            </w:r>
          </w:p>
        </w:tc>
      </w:tr>
    </w:tbl>
    <w:p>
      <w:pPr>
        <w:bidi w:val="0"/>
        <w:rPr>
          <w:sz w:val="22"/>
          <w:szCs w:val="22"/>
        </w:rPr>
      </w:pPr>
    </w:p>
    <w:p>
      <w:pPr>
        <w:bidi w:val="0"/>
        <w:rPr>
          <w:sz w:val="22"/>
          <w:szCs w:val="22"/>
          <w:lang w:val="en-GB"/>
        </w:rPr>
      </w:pPr>
      <w:r>
        <w:rPr>
          <w:b/>
          <w:bCs/>
          <w:sz w:val="22"/>
          <w:szCs w:val="22"/>
        </w:rPr>
        <w:t xml:space="preserve">Table </w:t>
      </w:r>
      <w:r>
        <w:rPr>
          <w:b/>
          <w:bCs/>
          <w:sz w:val="22"/>
          <w:szCs w:val="22"/>
        </w:rPr>
        <w:fldChar w:fldCharType="begin"/>
      </w:r>
      <w:r>
        <w:rPr>
          <w:b/>
          <w:bCs/>
          <w:sz w:val="22"/>
          <w:szCs w:val="22"/>
        </w:rPr>
        <w:instrText xml:space="preserve"> SEQ Table \* ARABIC </w:instrText>
      </w:r>
      <w:r>
        <w:rPr>
          <w:b/>
          <w:bCs/>
          <w:sz w:val="22"/>
          <w:szCs w:val="22"/>
        </w:rPr>
        <w:fldChar w:fldCharType="separate"/>
      </w:r>
      <w:r>
        <w:rPr>
          <w:b/>
          <w:bCs/>
          <w:sz w:val="22"/>
          <w:szCs w:val="22"/>
        </w:rPr>
        <w:t>1</w:t>
      </w:r>
      <w:r>
        <w:rPr>
          <w:b/>
          <w:bCs/>
          <w:sz w:val="22"/>
          <w:szCs w:val="22"/>
        </w:rPr>
        <w:fldChar w:fldCharType="end"/>
      </w:r>
      <w:r>
        <w:rPr>
          <w:b/>
          <w:bCs/>
          <w:sz w:val="22"/>
          <w:szCs w:val="22"/>
          <w:lang w:val="en-GB"/>
        </w:rPr>
        <w:t>.</w:t>
      </w:r>
      <w:r>
        <w:rPr>
          <w:sz w:val="22"/>
          <w:szCs w:val="22"/>
          <w:lang w:val="en-GB"/>
        </w:rPr>
        <w:t xml:space="preserve"> An overview of the number of recordings available for the analysis, per dB SL category and per stimulus type. Two recordings were available per participant giving a total of 118 recordings from 59 participants for MF, and 114 recordings from 57 infants for HF.</w:t>
      </w:r>
    </w:p>
    <w:p>
      <w:pPr>
        <w:spacing w:line="240" w:lineRule="auto"/>
        <w:jc w:val="both"/>
        <w:rPr>
          <w:rFonts w:ascii="Calibri" w:hAnsi="Calibri" w:cs="Calibri"/>
          <w:iCs/>
          <w:sz w:val="22"/>
          <w:szCs w:val="22"/>
          <w:lang w:val="en-GB"/>
        </w:rPr>
      </w:pPr>
    </w:p>
    <w:p>
      <w:pPr>
        <w:pStyle w:val="17"/>
        <w:spacing w:line="240" w:lineRule="auto"/>
        <w:rPr>
          <w:rFonts w:ascii="Calibri" w:hAnsi="Calibri" w:cs="Calibri"/>
          <w:b/>
          <w:sz w:val="24"/>
          <w:szCs w:val="24"/>
          <w:lang w:val="en-GB"/>
        </w:rPr>
      </w:pPr>
      <w:r>
        <w:rPr>
          <w:rFonts w:ascii="Calibri" w:hAnsi="Calibri" w:cs="Calibri"/>
          <w:b/>
          <w:sz w:val="24"/>
          <w:szCs w:val="24"/>
          <w:lang w:val="en-GB"/>
        </w:rPr>
        <w:t>2.2. Objective detection methods</w:t>
      </w:r>
    </w:p>
    <w:p>
      <w:pPr>
        <w:pStyle w:val="17"/>
        <w:spacing w:line="240" w:lineRule="auto"/>
        <w:jc w:val="both"/>
        <w:rPr>
          <w:rFonts w:ascii="Calibri" w:hAnsi="Calibri" w:cs="Calibri"/>
          <w:lang w:val="en-GB"/>
        </w:rPr>
      </w:pPr>
      <w:r>
        <w:rPr>
          <w:rFonts w:ascii="Calibri" w:hAnsi="Calibri" w:cs="Calibri"/>
          <w:lang w:val="en-GB"/>
        </w:rPr>
        <w:t>All objective detection methods were applied to the 700 ms windows following stimulus onset, as some infants had relatively late and/or long-lasting responses (see also Figure 1). For the frequency-domain detection methods, all 700 ms windows following stimulus onset were transformed to the frequency domain using the Fast Fourier Transform (FFT), giving a spectral resolution of ~1.43 Hz. Note that the FFT was applied to the individual epochs, and not to their coherent average</w:t>
      </w:r>
      <w:r>
        <w:rPr>
          <w:rFonts w:hint="default" w:ascii="Calibri" w:hAnsi="Calibri" w:cs="Calibri"/>
          <w:lang w:val="en-GB"/>
        </w:rPr>
        <w:t xml:space="preserve"> </w:t>
      </w:r>
      <w:r>
        <w:rPr>
          <w:rFonts w:ascii="Calibri" w:hAnsi="Calibri" w:cs="Calibri"/>
          <w:lang w:val="en-GB"/>
        </w:rPr>
        <w:t xml:space="preserve">data. </w:t>
      </w:r>
    </w:p>
    <w:p>
      <w:pPr>
        <w:pStyle w:val="17"/>
        <w:spacing w:line="240" w:lineRule="auto"/>
        <w:rPr>
          <w:rFonts w:ascii="Calibri" w:hAnsi="Calibri" w:cs="Calibri"/>
          <w:lang w:val="en-GB"/>
        </w:rPr>
      </w:pPr>
    </w:p>
    <w:p>
      <w:pPr>
        <w:pStyle w:val="17"/>
        <w:spacing w:line="240" w:lineRule="auto"/>
        <w:rPr>
          <w:rFonts w:ascii="Calibri" w:hAnsi="Calibri" w:cs="Calibri"/>
          <w:b/>
          <w:bCs/>
          <w:lang w:val="en-GB"/>
        </w:rPr>
      </w:pPr>
      <w:r>
        <w:rPr>
          <w:rFonts w:ascii="Calibri" w:hAnsi="Calibri" w:cs="Calibri"/>
          <w:b/>
          <w:bCs/>
          <w:lang w:val="en-GB"/>
        </w:rPr>
        <w:t>2.2.1 The one-sample Hotelling's T</w:t>
      </w:r>
      <w:r>
        <w:rPr>
          <w:rFonts w:ascii="Calibri" w:hAnsi="Calibri" w:cs="Calibri"/>
          <w:b/>
          <w:bCs/>
          <w:vertAlign w:val="superscript"/>
          <w:lang w:val="en-GB"/>
        </w:rPr>
        <w:t>2</w:t>
      </w:r>
      <w:r>
        <w:rPr>
          <w:rFonts w:ascii="Calibri" w:hAnsi="Calibri" w:cs="Calibri"/>
          <w:b/>
          <w:bCs/>
          <w:lang w:val="en-GB"/>
        </w:rPr>
        <w:t xml:space="preserve"> test </w:t>
      </w:r>
    </w:p>
    <w:p>
      <w:pPr>
        <w:pStyle w:val="17"/>
        <w:spacing w:line="240" w:lineRule="auto"/>
        <w:jc w:val="both"/>
        <w:rPr>
          <w:rFonts w:ascii="Calibri" w:hAnsi="Calibri" w:cs="Calibri" w:eastAsiaTheme="minorEastAsia"/>
          <w:lang w:val="en-GB"/>
        </w:rPr>
      </w:pPr>
      <w:r>
        <w:rPr>
          <w:rFonts w:ascii="Calibri" w:hAnsi="Calibri" w:cs="Calibri"/>
          <w:lang w:val="en-GB"/>
        </w:rPr>
        <w:t>The one-sample Hotelling's T</w:t>
      </w:r>
      <w:r>
        <w:rPr>
          <w:rFonts w:ascii="Calibri" w:hAnsi="Calibri" w:cs="Calibri"/>
          <w:vertAlign w:val="superscript"/>
          <w:lang w:val="en-GB"/>
        </w:rPr>
        <w:t>2</w:t>
      </w:r>
      <w:r>
        <w:rPr>
          <w:rFonts w:ascii="Calibri" w:hAnsi="Calibri" w:cs="Calibri"/>
          <w:lang w:val="en-GB"/>
        </w:rPr>
        <w:t xml:space="preserve"> (</w:t>
      </w:r>
      <w:r>
        <w:rPr>
          <w:rFonts w:ascii="Calibri" w:hAnsi="Calibri" w:cs="Calibri"/>
          <w:sz w:val="22"/>
          <w:szCs w:val="22"/>
          <w:lang w:val="en-GB"/>
        </w:rPr>
        <w:t>HT</w:t>
      </w:r>
      <w:r>
        <w:rPr>
          <w:rFonts w:ascii="Calibri" w:hAnsi="Calibri" w:cs="Calibri"/>
          <w:sz w:val="22"/>
          <w:szCs w:val="22"/>
          <w:vertAlign w:val="superscript"/>
          <w:lang w:val="en-GB"/>
        </w:rPr>
        <w:t>2</w:t>
      </w:r>
      <w:r>
        <w:rPr>
          <w:rFonts w:ascii="Calibri" w:hAnsi="Calibri" w:cs="Calibri"/>
          <w:lang w:val="en-GB"/>
        </w:rPr>
        <w:t>) test is the multivariate equivalent to Student’s one-sample t-test (</w:t>
      </w:r>
      <w:r>
        <w:rPr>
          <w:rFonts w:ascii="Calibri" w:hAnsi="Calibri" w:cs="Calibri"/>
          <w:color w:val="0070C0"/>
          <w:lang w:val="en-GB"/>
        </w:rPr>
        <w:t>Hotelling, 1931</w:t>
      </w:r>
      <w:r>
        <w:rPr>
          <w:rFonts w:ascii="Calibri" w:hAnsi="Calibri" w:cs="Calibri"/>
          <w:lang w:val="en-GB"/>
        </w:rPr>
        <w:t xml:space="preserve">), and is one of the more commonly used methods for CAEP detection (e.g. </w:t>
      </w:r>
      <w:r>
        <w:rPr>
          <w:rFonts w:ascii="Calibri" w:hAnsi="Calibri" w:cs="Calibri"/>
          <w:color w:val="2E75B6" w:themeColor="accent1" w:themeShade="BF"/>
          <w:lang w:val="en-GB"/>
        </w:rPr>
        <w:t>Golding et al, 2009; Carter et al, 2010; Chang et al, 2012; Van Dun et al, 2012; Chesnaye et al, 202</w:t>
      </w:r>
      <w:r>
        <w:rPr>
          <w:rFonts w:hint="default" w:ascii="Calibri" w:hAnsi="Calibri" w:cs="Calibri"/>
          <w:color w:val="2E75B6" w:themeColor="accent1" w:themeShade="BF"/>
          <w:lang w:val="en-GB"/>
        </w:rPr>
        <w:t>1a</w:t>
      </w:r>
      <w:r>
        <w:rPr>
          <w:rFonts w:ascii="Calibri" w:hAnsi="Calibri" w:cs="Calibri"/>
          <w:lang w:val="en-GB"/>
        </w:rPr>
        <w:t xml:space="preserve">). When applied in the time domain, features consist of mean voltages, taken across short time intervals within epochs, henceforth referred to as “voltage means”. </w:t>
      </w:r>
      <w:r>
        <w:rPr>
          <w:rFonts w:ascii="Calibri" w:hAnsi="Calibri" w:cs="Calibri" w:eastAsiaTheme="minorEastAsia"/>
          <w:lang w:val="en-GB"/>
        </w:rPr>
        <w:t xml:space="preserve">Extracting </w:t>
      </w:r>
      <w:r>
        <w:rPr>
          <w:rFonts w:ascii="Calibri" w:hAnsi="Calibri" w:cs="Calibri" w:eastAsiaTheme="minorEastAsia"/>
          <w:i/>
          <w:iCs/>
          <w:lang w:val="en-GB"/>
        </w:rPr>
        <w:t>Q</w:t>
      </w:r>
      <w:r>
        <w:rPr>
          <w:rFonts w:ascii="Calibri" w:hAnsi="Calibri" w:cs="Calibri" w:eastAsiaTheme="minorEastAsia"/>
          <w:lang w:val="en-GB"/>
        </w:rPr>
        <w:t xml:space="preserve"> voltage means from an ensemble of </w:t>
      </w:r>
      <w:r>
        <w:rPr>
          <w:rFonts w:ascii="Calibri" w:hAnsi="Calibri" w:cs="Calibri" w:eastAsiaTheme="minorEastAsia"/>
          <w:i/>
          <w:iCs/>
          <w:lang w:val="en-GB"/>
        </w:rPr>
        <w:t>N</w:t>
      </w:r>
      <w:r>
        <w:rPr>
          <w:rFonts w:ascii="Calibri" w:hAnsi="Calibri" w:cs="Calibri" w:eastAsiaTheme="minorEastAsia"/>
          <w:lang w:val="en-GB"/>
        </w:rPr>
        <w:t xml:space="preserve"> epochs gives an </w:t>
      </w:r>
      <w:r>
        <w:rPr>
          <w:rFonts w:ascii="Calibri" w:hAnsi="Calibri" w:cs="Calibri"/>
          <w:i/>
          <w:iCs/>
          <w:lang w:val="en-GB"/>
        </w:rPr>
        <w:t>N</w:t>
      </w:r>
      <w:r>
        <w:rPr>
          <w:rFonts w:ascii="Calibri" w:hAnsi="Calibri" w:cs="Calibri"/>
          <w:lang w:val="en-GB"/>
        </w:rPr>
        <w:t>x</w:t>
      </w:r>
      <w:r>
        <w:rPr>
          <w:rFonts w:ascii="Calibri" w:hAnsi="Calibri" w:cs="Calibri"/>
          <w:i/>
          <w:iCs/>
          <w:lang w:val="en-GB"/>
        </w:rPr>
        <w:t>Q</w:t>
      </w:r>
      <w:r>
        <w:rPr>
          <w:rFonts w:ascii="Calibri" w:hAnsi="Calibri" w:cs="Calibri"/>
          <w:lang w:val="en-GB"/>
        </w:rPr>
        <w:t xml:space="preserve">-dimensional matrix of features, say </w:t>
      </w:r>
      <w:r>
        <w:rPr>
          <w:rFonts w:ascii="Calibri" w:hAnsi="Calibri" w:cs="Calibri"/>
          <w:b/>
          <w:lang w:val="en-GB"/>
        </w:rPr>
        <w:t>V</w:t>
      </w:r>
      <w:r>
        <w:rPr>
          <w:rFonts w:ascii="Calibri" w:hAnsi="Calibri" w:cs="Calibri"/>
          <w:lang w:val="en-GB"/>
        </w:rPr>
        <w:t xml:space="preserve">. A vector of </w:t>
      </w:r>
      <w:r>
        <w:rPr>
          <w:rFonts w:ascii="Calibri" w:hAnsi="Calibri" w:cs="Calibri"/>
          <w:i/>
          <w:iCs/>
          <w:lang w:val="en-GB"/>
        </w:rPr>
        <w:t>Q</w:t>
      </w:r>
      <w:r>
        <w:rPr>
          <w:rFonts w:ascii="Calibri" w:hAnsi="Calibri" w:cs="Calibri"/>
          <w:lang w:val="en-GB"/>
        </w:rPr>
        <w:t xml:space="preserve"> mean feature values, say </w:t>
      </w:r>
      <m:oMath>
        <m:acc>
          <m:accPr>
            <m:chr m:val="̅"/>
            <m:ctrlPr>
              <w:rPr>
                <w:rFonts w:ascii="Cambria Math" w:hAnsi="Cambria Math" w:cs="Calibri"/>
                <w:b/>
                <w:bCs/>
                <w:i/>
                <w:iCs/>
                <w:lang w:val="en-GB"/>
              </w:rPr>
            </m:ctrlPr>
          </m:accPr>
          <m:e>
            <m:r>
              <m:rPr>
                <m:sty m:val="b"/>
              </m:rPr>
              <w:rPr>
                <w:rFonts w:ascii="Cambria Math" w:hAnsi="Cambria Math" w:cs="Calibri"/>
                <w:lang w:val="en-GB"/>
              </w:rPr>
              <m:t>x</m:t>
            </m:r>
            <m:ctrlPr>
              <w:rPr>
                <w:rFonts w:ascii="Cambria Math" w:hAnsi="Cambria Math" w:cs="Calibri"/>
                <w:b/>
                <w:bCs/>
                <w:i/>
                <w:iCs/>
                <w:lang w:val="en-GB"/>
              </w:rPr>
            </m:ctrlPr>
          </m:e>
        </m:acc>
      </m:oMath>
      <w:r>
        <w:rPr>
          <w:rFonts w:ascii="Calibri" w:hAnsi="Calibri" w:cs="Calibri"/>
          <w:lang w:val="en-GB"/>
        </w:rPr>
        <w:t xml:space="preserve">, is then found by averaging </w:t>
      </w:r>
      <w:r>
        <w:rPr>
          <w:rFonts w:ascii="Calibri" w:hAnsi="Calibri" w:cs="Calibri" w:eastAsiaTheme="minorEastAsia"/>
          <w:lang w:val="en-GB"/>
        </w:rPr>
        <w:t xml:space="preserve">down the </w:t>
      </w:r>
      <w:r>
        <w:rPr>
          <w:rFonts w:ascii="Calibri" w:hAnsi="Calibri" w:cs="Calibri" w:eastAsiaTheme="minorEastAsia"/>
          <w:i/>
          <w:iCs/>
          <w:lang w:val="en-GB"/>
        </w:rPr>
        <w:t>Q</w:t>
      </w:r>
      <w:r>
        <w:rPr>
          <w:rFonts w:ascii="Calibri" w:hAnsi="Calibri" w:cs="Calibri" w:eastAsiaTheme="minorEastAsia"/>
          <w:lang w:val="en-GB"/>
        </w:rPr>
        <w:t xml:space="preserve"> columns of </w:t>
      </w:r>
      <w:r>
        <w:rPr>
          <w:rFonts w:ascii="Calibri" w:hAnsi="Calibri" w:cs="Calibri" w:eastAsiaTheme="minorEastAsia"/>
          <w:b/>
          <w:lang w:val="en-GB"/>
        </w:rPr>
        <w:t>V.</w:t>
      </w:r>
      <w:r>
        <w:rPr>
          <w:rFonts w:ascii="Calibri" w:hAnsi="Calibri" w:cs="Calibri" w:eastAsiaTheme="minorEastAsia"/>
          <w:lang w:val="en-GB"/>
        </w:rPr>
        <w:t xml:space="preserve"> </w:t>
      </w:r>
      <w:r>
        <w:rPr>
          <w:rFonts w:ascii="Calibri" w:hAnsi="Calibri" w:cs="Calibri"/>
          <w:lang w:val="en-GB"/>
        </w:rPr>
        <w:t xml:space="preserve">The one sample </w:t>
      </w:r>
      <w:r>
        <w:rPr>
          <w:rFonts w:ascii="Calibri" w:hAnsi="Calibri" w:cs="Calibri"/>
          <w:sz w:val="22"/>
          <w:szCs w:val="22"/>
          <w:lang w:val="en-GB"/>
        </w:rPr>
        <w:t>HT</w:t>
      </w:r>
      <w:r>
        <w:rPr>
          <w:rFonts w:ascii="Calibri" w:hAnsi="Calibri" w:cs="Calibri"/>
          <w:sz w:val="22"/>
          <w:szCs w:val="22"/>
          <w:vertAlign w:val="superscript"/>
          <w:lang w:val="en-GB"/>
        </w:rPr>
        <w:t>2</w:t>
      </w:r>
      <w:r>
        <w:rPr>
          <w:rFonts w:hint="default" w:ascii="Calibri" w:hAnsi="Calibri" w:cs="Calibri"/>
          <w:sz w:val="22"/>
          <w:szCs w:val="22"/>
          <w:lang w:val="en-GB"/>
        </w:rPr>
        <w:t xml:space="preserve"> </w:t>
      </w:r>
      <w:r>
        <w:rPr>
          <w:rFonts w:ascii="Calibri" w:hAnsi="Calibri" w:cs="Calibri"/>
          <w:lang w:val="en-GB"/>
        </w:rPr>
        <w:t xml:space="preserve">test evaluates the hypothesis that the </w:t>
      </w:r>
      <m:oMath>
        <m:acc>
          <m:accPr>
            <m:chr m:val="̅"/>
            <m:ctrlPr>
              <w:rPr>
                <w:rFonts w:ascii="Cambria Math" w:hAnsi="Cambria Math" w:cs="Calibri"/>
                <w:b/>
                <w:bCs/>
                <w:lang w:val="en-GB"/>
              </w:rPr>
            </m:ctrlPr>
          </m:accPr>
          <m:e>
            <m:r>
              <m:rPr>
                <m:sty m:val="b"/>
              </m:rPr>
              <w:rPr>
                <w:rFonts w:ascii="Cambria Math" w:hAnsi="Cambria Math" w:cs="Calibri"/>
                <w:lang w:val="en-GB"/>
              </w:rPr>
              <m:t>x</m:t>
            </m:r>
            <m:ctrlPr>
              <w:rPr>
                <w:rFonts w:ascii="Cambria Math" w:hAnsi="Cambria Math" w:cs="Calibri"/>
                <w:b/>
                <w:bCs/>
                <w:lang w:val="en-GB"/>
              </w:rPr>
            </m:ctrlPr>
          </m:e>
        </m:acc>
      </m:oMath>
      <w:r>
        <w:rPr>
          <w:rFonts w:ascii="Calibri" w:hAnsi="Calibri" w:cs="Calibri"/>
          <w:lang w:val="en-GB"/>
        </w:rPr>
        <w:t xml:space="preserve"> values are equal to </w:t>
      </w:r>
      <w:r>
        <w:rPr>
          <w:rFonts w:ascii="Calibri" w:hAnsi="Calibri" w:cs="Calibri"/>
          <w:i/>
          <w:iCs/>
          <w:lang w:val="en-GB"/>
        </w:rPr>
        <w:t>Q</w:t>
      </w:r>
      <w:r>
        <w:rPr>
          <w:rFonts w:ascii="Calibri" w:hAnsi="Calibri" w:cs="Calibri"/>
          <w:lang w:val="en-GB"/>
        </w:rPr>
        <w:t xml:space="preserve"> hypothesised values, say </w:t>
      </w:r>
      <w:r>
        <w:rPr>
          <w:rFonts w:ascii="Calibri" w:hAnsi="Calibri" w:cs="Calibri"/>
          <w:position w:val="-10"/>
          <w:lang w:val="en-GB"/>
        </w:rPr>
        <w:object>
          <v:shape id="_x0000_i1025" o:spt="75" type="#_x0000_t75" style="height:13.1pt;width:9.9pt;" o:ole="t" filled="f" o:preferrelative="t" stroked="f" coordsize="21600,21600">
            <v:path/>
            <v:fill on="f" focussize="0,0"/>
            <v:stroke on="f"/>
            <v:imagedata r:id="rId5" o:title=""/>
            <o:lock v:ext="edit" aspectratio="t"/>
            <w10:wrap type="none"/>
            <w10:anchorlock/>
          </v:shape>
          <o:OLEObject Type="Embed" ProgID="Equation.KSEE3" ShapeID="_x0000_i1025" DrawAspect="Content" ObjectID="_1468075725" r:id="rId4">
            <o:LockedField>false</o:LockedField>
          </o:OLEObject>
        </w:object>
      </w:r>
      <w:r>
        <w:rPr>
          <w:rFonts w:ascii="Calibri" w:hAnsi="Calibri" w:cs="Calibri"/>
          <w:lang w:val="en-GB"/>
        </w:rPr>
        <w:t>. Under the null hypothesis H0 of “no CAEP present”, the</w:t>
      </w:r>
      <w:r>
        <w:rPr>
          <w:rFonts w:hint="default" w:ascii="Calibri" w:hAnsi="Calibri" w:cs="Calibri"/>
          <w:lang w:val="en-GB"/>
        </w:rPr>
        <w:t xml:space="preserve"> </w:t>
      </w:r>
      <w:r>
        <w:rPr>
          <w:rFonts w:ascii="Calibri" w:hAnsi="Calibri" w:cs="Calibri"/>
          <w:position w:val="-10"/>
          <w:lang w:val="en-GB"/>
        </w:rPr>
        <w:object>
          <v:shape id="_x0000_i1026" o:spt="75" type="#_x0000_t75" style="height:13.1pt;width:9.9pt;" o:ole="t" filled="f" o:preferrelative="t" stroked="f" coordsize="21600,21600">
            <v:path/>
            <v:fill on="f" focussize="0,0"/>
            <v:stroke on="f"/>
            <v:imagedata r:id="rId5" o:title=""/>
            <o:lock v:ext="edit" aspectratio="t"/>
            <w10:wrap type="none"/>
            <w10:anchorlock/>
          </v:shape>
          <o:OLEObject Type="Embed" ProgID="Equation.KSEE3" ShapeID="_x0000_i1026" DrawAspect="Content" ObjectID="_1468075726" r:id="rId6">
            <o:LockedField>false</o:LockedField>
          </o:OLEObject>
        </w:object>
      </w:r>
      <w:r>
        <w:rPr>
          <w:rFonts w:hint="default" w:ascii="Calibri" w:hAnsi="Calibri" w:cs="Calibri"/>
          <w:position w:val="-10"/>
          <w:lang w:val="en-GB"/>
        </w:rPr>
        <w:t xml:space="preserve"> </w:t>
      </w:r>
      <w:r>
        <w:rPr>
          <w:rFonts w:ascii="Calibri" w:hAnsi="Calibri" w:cs="Calibri"/>
          <w:lang w:val="en-GB"/>
        </w:rPr>
        <w:t>hypothesised values are all zero, because the mean of the recordings are shifted to zero due to the high-pass filter. T</w:t>
      </w:r>
      <w:r>
        <w:rPr>
          <w:rFonts w:ascii="Calibri" w:hAnsi="Calibri" w:cs="Calibri" w:eastAsiaTheme="minorEastAsia"/>
          <w:lang w:val="en-GB"/>
        </w:rPr>
        <w:t xml:space="preserve">he </w:t>
      </w:r>
      <w:r>
        <w:rPr>
          <w:rFonts w:ascii="Calibri" w:hAnsi="Calibri" w:cs="Calibri"/>
          <w:lang w:val="en-GB"/>
        </w:rPr>
        <w:t>T</w:t>
      </w:r>
      <w:r>
        <w:rPr>
          <w:rFonts w:ascii="Calibri" w:hAnsi="Calibri" w:cs="Calibri"/>
          <w:vertAlign w:val="superscript"/>
          <w:lang w:val="en-GB"/>
        </w:rPr>
        <w:t xml:space="preserve">2 </w:t>
      </w:r>
      <w:r>
        <w:rPr>
          <w:rFonts w:ascii="Calibri" w:hAnsi="Calibri" w:cs="Calibri" w:eastAsiaTheme="minorEastAsia"/>
          <w:lang w:val="en-GB"/>
        </w:rPr>
        <w:t>statistic itself is given by (</w:t>
      </w:r>
      <w:r>
        <w:rPr>
          <w:rFonts w:ascii="Calibri" w:hAnsi="Calibri" w:cs="Calibri" w:eastAsiaTheme="minorEastAsia"/>
          <w:color w:val="0070C0"/>
          <w:lang w:val="en-GB"/>
        </w:rPr>
        <w:t>Rencher 2001</w:t>
      </w:r>
      <w:r>
        <w:rPr>
          <w:rFonts w:ascii="Calibri" w:hAnsi="Calibri" w:cs="Calibri" w:eastAsiaTheme="minorEastAsia"/>
          <w:lang w:val="en-GB"/>
        </w:rPr>
        <w:t>):</w:t>
      </w:r>
    </w:p>
    <w:p>
      <w:pPr>
        <w:spacing w:line="240" w:lineRule="auto"/>
        <w:rPr>
          <w:rFonts w:ascii="Calibri" w:hAnsi="Calibri" w:cs="Calibri"/>
        </w:rPr>
      </w:pPr>
      <w:r>
        <w:rPr>
          <w:rFonts w:ascii="Calibri" w:hAnsi="Calibri" w:cs="Calibri"/>
          <w:position w:val="-10"/>
        </w:rPr>
        <w:object>
          <v:shape id="_x0000_i1027" o:spt="75" type="#_x0000_t75" style="height:18.9pt;width:127.1pt;" o:ole="t" filled="f" o:preferrelative="t" stroked="f" coordsize="21600,21600">
            <v:path/>
            <v:fill on="f" focussize="0,0"/>
            <v:stroke on="f"/>
            <v:imagedata r:id="rId8" o:title=""/>
            <o:lock v:ext="edit" aspectratio="t"/>
            <w10:wrap type="none"/>
            <w10:anchorlock/>
          </v:shape>
          <o:OLEObject Type="Embed" ProgID="Equation.KSEE3" ShapeID="_x0000_i1027" DrawAspect="Content" ObjectID="_1468075727" r:id="rId7">
            <o:LockedField>false</o:LockedField>
          </o:OLEObject>
        </w:object>
      </w:r>
      <w:r>
        <w:rPr>
          <w:rFonts w:ascii="Calibri" w:hAnsi="Calibri" w:cs="Calibri"/>
        </w:rPr>
        <w:tab/>
      </w:r>
      <w:r>
        <w:rPr>
          <w:rFonts w:ascii="Calibri" w:hAnsi="Calibri" w:cs="Calibri"/>
        </w:rPr>
        <w:tab/>
      </w:r>
      <w:r>
        <w:rPr>
          <w:rFonts w:ascii="Calibri" w:hAnsi="Calibri" w:cs="Calibri"/>
          <w:i/>
        </w:rPr>
        <w:t>Eq. 1</w:t>
      </w:r>
    </w:p>
    <w:p>
      <w:pPr>
        <w:pStyle w:val="17"/>
        <w:spacing w:line="240" w:lineRule="auto"/>
        <w:jc w:val="both"/>
        <w:rPr>
          <w:rFonts w:ascii="Calibri" w:hAnsi="Calibri" w:cs="Calibri"/>
          <w:color w:val="FF0000"/>
          <w:lang w:val="en-GB"/>
        </w:rPr>
      </w:pPr>
      <w:r>
        <w:rPr>
          <w:rFonts w:ascii="Calibri" w:hAnsi="Calibri" w:cs="Calibri"/>
          <w:lang w:val="en-GB"/>
        </w:rPr>
        <w:t xml:space="preserve">where </w:t>
      </w:r>
      <w:r>
        <w:rPr>
          <w:rFonts w:ascii="Calibri" w:hAnsi="Calibri" w:cs="Calibri"/>
          <w:position w:val="-6"/>
        </w:rPr>
        <w:object>
          <v:shape id="_x0000_i1028" o:spt="75" type="#_x0000_t75" style="height:17.3pt;width:17.9pt;" o:ole="t" filled="f" o:preferrelative="t" stroked="f" coordsize="21600,21600">
            <v:path/>
            <v:fill on="f" focussize="0,0"/>
            <v:stroke on="f" joinstyle="miter"/>
            <v:imagedata r:id="rId10" o:title=""/>
            <o:lock v:ext="edit" aspectratio="t"/>
            <w10:wrap type="none"/>
            <w10:anchorlock/>
          </v:shape>
          <o:OLEObject Type="Embed" ProgID="Equation.KSEE3" ShapeID="_x0000_i1028" DrawAspect="Content" ObjectID="_1468075728" r:id="rId9">
            <o:LockedField>false</o:LockedField>
          </o:OLEObject>
        </w:object>
      </w:r>
      <w:r>
        <w:rPr>
          <w:rFonts w:ascii="Calibri" w:hAnsi="Calibri" w:cs="Calibri"/>
          <w:lang w:val="en-GB"/>
        </w:rPr>
        <w:t xml:space="preserve"> is the inverse of the covariance matrix of </w:t>
      </w:r>
      <w:r>
        <w:rPr>
          <w:rFonts w:ascii="Calibri" w:hAnsi="Calibri" w:cs="Calibri"/>
          <w:b/>
          <w:lang w:val="en-GB"/>
        </w:rPr>
        <w:t>V</w:t>
      </w:r>
      <w:r>
        <w:rPr>
          <w:rFonts w:ascii="Calibri" w:hAnsi="Calibri" w:cs="Calibri"/>
          <w:lang w:val="en-GB"/>
        </w:rPr>
        <w:t xml:space="preserve">, and </w:t>
      </w:r>
      <w:r>
        <w:rPr>
          <w:rFonts w:ascii="Calibri" w:hAnsi="Calibri" w:cs="Calibri"/>
          <w:i/>
          <w:iCs/>
          <w:vertAlign w:val="superscript"/>
          <w:lang w:val="en-GB"/>
        </w:rPr>
        <w:t>H</w:t>
      </w:r>
      <w:r>
        <w:rPr>
          <w:rFonts w:ascii="Calibri" w:hAnsi="Calibri" w:cs="Calibri"/>
          <w:lang w:val="en-GB"/>
        </w:rPr>
        <w:t xml:space="preserve"> denotes Hermitian transpose. With respect to the choice for </w:t>
      </w:r>
      <w:r>
        <w:rPr>
          <w:rFonts w:ascii="Calibri" w:hAnsi="Calibri" w:cs="Calibri"/>
          <w:i/>
          <w:iCs/>
          <w:lang w:val="en-GB"/>
        </w:rPr>
        <w:t>Q</w:t>
      </w:r>
      <w:r>
        <w:rPr>
          <w:rFonts w:ascii="Calibri" w:hAnsi="Calibri" w:cs="Calibri"/>
          <w:lang w:val="en-GB"/>
        </w:rPr>
        <w:t xml:space="preserve">, additional simulations presented in the Supplemental Digital Content demonstrate a good performance when taking voltage means across 50 ms intervals, giving </w:t>
      </w:r>
      <w:r>
        <w:rPr>
          <w:rFonts w:ascii="Calibri" w:hAnsi="Calibri" w:cs="Calibri"/>
          <w:i/>
          <w:iCs/>
          <w:lang w:val="en-GB"/>
        </w:rPr>
        <w:t>Q</w:t>
      </w:r>
      <w:r>
        <w:rPr>
          <w:rFonts w:ascii="Calibri" w:hAnsi="Calibri" w:cs="Calibri"/>
          <w:lang w:val="en-GB"/>
        </w:rPr>
        <w:t xml:space="preserve">=14 for the 700 ms analysis window. The </w:t>
      </w:r>
      <w:r>
        <w:rPr>
          <w:rFonts w:ascii="Calibri" w:hAnsi="Calibri" w:cs="Calibri"/>
          <w:sz w:val="22"/>
          <w:szCs w:val="22"/>
          <w:lang w:val="en-GB"/>
        </w:rPr>
        <w:t>HT</w:t>
      </w:r>
      <w:r>
        <w:rPr>
          <w:rFonts w:ascii="Calibri" w:hAnsi="Calibri" w:cs="Calibri"/>
          <w:sz w:val="22"/>
          <w:szCs w:val="22"/>
          <w:vertAlign w:val="superscript"/>
          <w:lang w:val="en-GB"/>
        </w:rPr>
        <w:t>2</w:t>
      </w:r>
      <w:r>
        <w:rPr>
          <w:rFonts w:hint="default" w:ascii="Calibri" w:hAnsi="Calibri" w:cs="Calibri"/>
          <w:sz w:val="22"/>
          <w:szCs w:val="22"/>
          <w:lang w:val="en-GB"/>
        </w:rPr>
        <w:t xml:space="preserve"> </w:t>
      </w:r>
      <w:r>
        <w:rPr>
          <w:rFonts w:ascii="Calibri" w:hAnsi="Calibri" w:cs="Calibri"/>
          <w:lang w:val="en-GB"/>
        </w:rPr>
        <w:t xml:space="preserve">test applied to </w:t>
      </w:r>
      <w:r>
        <w:rPr>
          <w:rFonts w:ascii="Calibri" w:hAnsi="Calibri" w:cs="Calibri"/>
          <w:i/>
          <w:iCs/>
          <w:lang w:val="en-GB"/>
        </w:rPr>
        <w:t>Q</w:t>
      </w:r>
      <w:r>
        <w:rPr>
          <w:rFonts w:ascii="Calibri" w:hAnsi="Calibri" w:cs="Calibri"/>
          <w:lang w:val="en-GB"/>
        </w:rPr>
        <w:t>=14 voltage means is henceforth referred to as “T</w:t>
      </w:r>
      <w:r>
        <w:rPr>
          <w:rFonts w:ascii="Calibri" w:hAnsi="Calibri" w:cs="Calibri"/>
          <w:vertAlign w:val="superscript"/>
          <w:lang w:val="en-GB"/>
        </w:rPr>
        <w:t>2</w:t>
      </w:r>
      <w:r>
        <w:rPr>
          <w:rFonts w:ascii="Calibri" w:hAnsi="Calibri" w:cs="Calibri"/>
          <w:vertAlign w:val="subscript"/>
          <w:lang w:val="en-GB"/>
        </w:rPr>
        <w:t>Time</w:t>
      </w:r>
      <w:r>
        <w:rPr>
          <w:rFonts w:ascii="Calibri" w:hAnsi="Calibri" w:cs="Calibri"/>
          <w:lang w:val="en-GB"/>
        </w:rPr>
        <w:t xml:space="preserve">”. </w:t>
      </w:r>
    </w:p>
    <w:p>
      <w:pPr>
        <w:pStyle w:val="17"/>
        <w:spacing w:line="240" w:lineRule="auto"/>
        <w:jc w:val="both"/>
        <w:rPr>
          <w:rFonts w:ascii="Calibri" w:hAnsi="Calibri" w:cs="Calibri"/>
          <w:lang w:val="en-GB"/>
        </w:rPr>
      </w:pPr>
    </w:p>
    <w:p>
      <w:pPr>
        <w:pStyle w:val="17"/>
        <w:spacing w:line="240" w:lineRule="auto"/>
        <w:jc w:val="both"/>
        <w:rPr>
          <w:rFonts w:ascii="Calibri" w:hAnsi="Calibri" w:cs="Calibri"/>
          <w:u w:val="single"/>
          <w:lang w:val="en-GB"/>
        </w:rPr>
      </w:pPr>
      <w:r>
        <w:rPr>
          <w:rFonts w:cs="Calibri"/>
          <w:u w:val="single"/>
          <w:lang w:val="en-GB"/>
        </w:rPr>
        <w:t>Frequency domain features for T</w:t>
      </w:r>
      <w:r>
        <w:rPr>
          <w:rFonts w:cs="Calibri"/>
          <w:u w:val="single"/>
          <w:vertAlign w:val="superscript"/>
          <w:lang w:val="en-GB"/>
        </w:rPr>
        <w:t>2</w:t>
      </w:r>
      <w:r>
        <w:rPr>
          <w:rFonts w:cs="Calibri"/>
          <w:u w:val="single"/>
          <w:vertAlign w:val="subscript"/>
          <w:lang w:val="en-GB"/>
        </w:rPr>
        <w:t>Freq</w:t>
      </w:r>
    </w:p>
    <w:p>
      <w:pPr>
        <w:pStyle w:val="17"/>
        <w:spacing w:line="240" w:lineRule="auto"/>
        <w:jc w:val="both"/>
        <w:rPr>
          <w:rFonts w:ascii="Calibri" w:hAnsi="Calibri" w:cs="Calibri"/>
          <w:lang w:val="en-GB"/>
        </w:rPr>
      </w:pPr>
      <w:r>
        <w:rPr>
          <w:rFonts w:cs="Calibri"/>
          <w:lang w:val="en-GB"/>
        </w:rPr>
        <w:t xml:space="preserve">When the </w:t>
      </w:r>
      <w:r>
        <w:rPr>
          <w:rFonts w:ascii="Calibri" w:hAnsi="Calibri" w:cs="Calibri"/>
          <w:sz w:val="22"/>
          <w:szCs w:val="22"/>
          <w:lang w:val="en-GB"/>
        </w:rPr>
        <w:t>HT</w:t>
      </w:r>
      <w:r>
        <w:rPr>
          <w:rFonts w:ascii="Calibri" w:hAnsi="Calibri" w:cs="Calibri"/>
          <w:sz w:val="22"/>
          <w:szCs w:val="22"/>
          <w:vertAlign w:val="superscript"/>
          <w:lang w:val="en-GB"/>
        </w:rPr>
        <w:t>2</w:t>
      </w:r>
      <w:r>
        <w:rPr>
          <w:rFonts w:hint="default" w:ascii="Calibri" w:hAnsi="Calibri" w:cs="Calibri"/>
          <w:sz w:val="22"/>
          <w:szCs w:val="22"/>
          <w:lang w:val="en-GB"/>
        </w:rPr>
        <w:t xml:space="preserve"> </w:t>
      </w:r>
      <w:r>
        <w:rPr>
          <w:rFonts w:cs="Calibri"/>
          <w:lang w:val="en-GB"/>
        </w:rPr>
        <w:t>test is applied in the frequency domain</w:t>
      </w:r>
      <w:r>
        <w:rPr>
          <w:rFonts w:hint="default" w:cs="Calibri"/>
          <w:lang w:val="en-GB"/>
        </w:rPr>
        <w:t xml:space="preserve"> -</w:t>
      </w:r>
      <w:r>
        <w:rPr>
          <w:rFonts w:cs="Calibri"/>
          <w:lang w:val="en-GB"/>
        </w:rPr>
        <w:t xml:space="preserve"> henceforth referred to as “</w:t>
      </w:r>
      <w:r>
        <w:rPr>
          <w:rFonts w:cs="Calibri"/>
          <w:u w:val="single"/>
          <w:lang w:val="en-GB"/>
        </w:rPr>
        <w:t>T</w:t>
      </w:r>
      <w:r>
        <w:rPr>
          <w:rFonts w:cs="Calibri"/>
          <w:u w:val="single"/>
          <w:vertAlign w:val="superscript"/>
          <w:lang w:val="en-GB"/>
        </w:rPr>
        <w:t>2</w:t>
      </w:r>
      <w:r>
        <w:rPr>
          <w:rFonts w:cs="Calibri"/>
          <w:u w:val="single"/>
          <w:vertAlign w:val="subscript"/>
          <w:lang w:val="en-GB"/>
        </w:rPr>
        <w:t>Freq</w:t>
      </w:r>
      <w:r>
        <w:rPr>
          <w:rFonts w:cs="Calibri"/>
          <w:lang w:val="en-GB"/>
        </w:rPr>
        <w:t>”</w:t>
      </w:r>
      <w:r>
        <w:rPr>
          <w:rFonts w:hint="default" w:cs="Calibri"/>
          <w:lang w:val="en-GB"/>
        </w:rPr>
        <w:t xml:space="preserve"> -</w:t>
      </w:r>
      <w:r>
        <w:rPr>
          <w:rFonts w:cs="Calibri"/>
          <w:lang w:val="en-GB"/>
        </w:rPr>
        <w:t xml:space="preserve"> features are the real and imaginary parts of the Fourier components of </w:t>
      </w:r>
      <w:r>
        <w:rPr>
          <w:rFonts w:cs="Calibri"/>
          <w:i/>
          <w:iCs/>
          <w:lang w:val="en-GB"/>
        </w:rPr>
        <w:t>W</w:t>
      </w:r>
      <w:r>
        <w:rPr>
          <w:rFonts w:cs="Calibri"/>
          <w:lang w:val="en-GB"/>
        </w:rPr>
        <w:t xml:space="preserve"> spectral bands (e.g. </w:t>
      </w:r>
      <w:r>
        <w:rPr>
          <w:rFonts w:cs="Calibri"/>
          <w:color w:val="2E75B6" w:themeColor="accent1" w:themeShade="BF"/>
          <w:lang w:val="en-GB"/>
        </w:rPr>
        <w:t>Chesnaye et al, 2018</w:t>
      </w:r>
      <w:r>
        <w:rPr>
          <w:rFonts w:cs="Calibri"/>
          <w:lang w:val="en-GB"/>
        </w:rPr>
        <w:t xml:space="preserve">), and form the </w:t>
      </w:r>
      <w:r>
        <w:rPr>
          <w:rFonts w:cs="Calibri"/>
          <w:i/>
          <w:iCs/>
          <w:lang w:val="en-GB"/>
        </w:rPr>
        <w:t>N</w:t>
      </w:r>
      <w:r>
        <w:rPr>
          <w:rFonts w:cs="Calibri"/>
          <w:lang w:val="en-GB"/>
        </w:rPr>
        <w:t>x2</w:t>
      </w:r>
      <w:r>
        <w:rPr>
          <w:rFonts w:cs="Calibri"/>
          <w:i/>
          <w:iCs/>
          <w:lang w:val="en-GB"/>
        </w:rPr>
        <w:t>W</w:t>
      </w:r>
      <w:r>
        <w:rPr>
          <w:rFonts w:cs="Calibri"/>
          <w:lang w:val="en-GB"/>
        </w:rPr>
        <w:t xml:space="preserve">-dimensional feature matrix </w:t>
      </w:r>
      <w:r>
        <w:rPr>
          <w:rFonts w:cs="Calibri"/>
          <w:b/>
          <w:bCs/>
          <w:lang w:val="en-GB"/>
        </w:rPr>
        <w:t>V</w:t>
      </w:r>
      <w:r>
        <w:rPr>
          <w:rFonts w:cs="Calibri"/>
          <w:lang w:val="en-GB"/>
        </w:rPr>
        <w:t xml:space="preserve">. The mean feature vector </w:t>
      </w:r>
      <m:oMath>
        <m:acc>
          <m:accPr>
            <m:chr m:val="̅"/>
            <m:ctrlPr>
              <w:rPr>
                <w:rFonts w:ascii="Cambria Math" w:hAnsi="Cambria Math" w:cs="Calibri"/>
                <w:b/>
                <w:bCs/>
                <w:i/>
                <w:iCs/>
                <w:lang w:val="en-GB"/>
              </w:rPr>
            </m:ctrlPr>
          </m:accPr>
          <m:e>
            <m:r>
              <m:rPr>
                <m:sty m:val="b"/>
              </m:rPr>
              <w:rPr>
                <w:rFonts w:ascii="Cambria Math" w:hAnsi="Cambria Math" w:cs="Calibri"/>
                <w:lang w:val="en-GB"/>
              </w:rPr>
              <m:t>x</m:t>
            </m:r>
            <m:ctrlPr>
              <w:rPr>
                <w:rFonts w:ascii="Cambria Math" w:hAnsi="Cambria Math" w:cs="Calibri"/>
                <w:b/>
                <w:bCs/>
                <w:i/>
                <w:iCs/>
                <w:lang w:val="en-GB"/>
              </w:rPr>
            </m:ctrlPr>
          </m:e>
        </m:acc>
      </m:oMath>
      <w:r>
        <w:rPr>
          <w:rFonts w:ascii="Calibri" w:hAnsi="Calibri" w:cs="Calibri"/>
          <w:lang w:val="en-GB"/>
        </w:rPr>
        <w:t xml:space="preserve"> is then again found by averaging </w:t>
      </w:r>
      <w:r>
        <w:rPr>
          <w:rFonts w:ascii="Calibri" w:hAnsi="Calibri" w:cs="Calibri" w:eastAsiaTheme="minorEastAsia"/>
          <w:lang w:val="en-GB"/>
        </w:rPr>
        <w:t xml:space="preserve">down the </w:t>
      </w:r>
      <w:r>
        <w:rPr>
          <w:rFonts w:ascii="Calibri" w:hAnsi="Calibri" w:cs="Calibri" w:eastAsiaTheme="minorEastAsia"/>
          <w:i/>
          <w:iCs/>
          <w:lang w:val="en-GB"/>
        </w:rPr>
        <w:t>2W</w:t>
      </w:r>
      <w:r>
        <w:rPr>
          <w:rFonts w:ascii="Calibri" w:hAnsi="Calibri" w:cs="Calibri" w:eastAsiaTheme="minorEastAsia"/>
          <w:lang w:val="en-GB"/>
        </w:rPr>
        <w:t xml:space="preserve"> columns of </w:t>
      </w:r>
      <w:r>
        <w:rPr>
          <w:rFonts w:ascii="Calibri" w:hAnsi="Calibri" w:cs="Calibri" w:eastAsiaTheme="minorEastAsia"/>
          <w:b/>
          <w:lang w:val="en-GB"/>
        </w:rPr>
        <w:t>V</w:t>
      </w:r>
      <w:r>
        <w:rPr>
          <w:rFonts w:ascii="Calibri" w:hAnsi="Calibri" w:cs="Calibri" w:eastAsiaTheme="minorEastAsia"/>
          <w:bCs/>
          <w:lang w:val="en-GB"/>
        </w:rPr>
        <w:t xml:space="preserve">. </w:t>
      </w:r>
      <w:r>
        <w:rPr>
          <w:rFonts w:cs="Calibri"/>
          <w:lang w:val="en-GB"/>
        </w:rPr>
        <w:t xml:space="preserve">Under the null hypothesis of "no CAEP present", it is assumed that the phases of each spectral band are uniformly distributed between 0 and 2π, and hence that the real and imaginary parts are randomly distributed around zero. The hypothesised values to test against (i.e. </w:t>
      </w:r>
      <w:r>
        <w:rPr>
          <w:rFonts w:ascii="Calibri" w:hAnsi="Calibri" w:cs="Calibri"/>
          <w:position w:val="-10"/>
          <w:lang w:val="en-GB"/>
        </w:rPr>
        <w:object>
          <v:shape id="_x0000_i1029" o:spt="75" type="#_x0000_t75" style="height:13.1pt;width:9.9pt;" o:ole="t" filled="f" o:preferrelative="t" stroked="f" coordsize="21600,21600">
            <v:path/>
            <v:fill on="f" focussize="0,0"/>
            <v:stroke on="f"/>
            <v:imagedata r:id="rId5" o:title=""/>
            <o:lock v:ext="edit" aspectratio="t"/>
            <w10:wrap type="none"/>
            <w10:anchorlock/>
          </v:shape>
          <o:OLEObject Type="Embed" ProgID="Equation.KSEE3" ShapeID="_x0000_i1029" DrawAspect="Content" ObjectID="_1468075729" r:id="rId11">
            <o:LockedField>false</o:LockedField>
          </o:OLEObject>
        </w:object>
      </w:r>
      <w:r>
        <w:rPr>
          <w:rFonts w:cs="Calibri"/>
          <w:lang w:val="en-GB"/>
        </w:rPr>
        <w:t>) are therefore given by a 2</w:t>
      </w:r>
      <w:r>
        <w:rPr>
          <w:rFonts w:cs="Calibri"/>
          <w:i/>
          <w:iCs/>
          <w:lang w:val="en-GB"/>
        </w:rPr>
        <w:t>W</w:t>
      </w:r>
      <w:r>
        <w:rPr>
          <w:rFonts w:cs="Calibri"/>
          <w:lang w:val="en-GB"/>
        </w:rPr>
        <w:t xml:space="preserve">-dimensional vector of zeros. Additional simulations, presented in the Supplemental Digital Content, were carried out to determine which spectral bands to include in the analysis. Results show a good performance when using the </w:t>
      </w:r>
      <w:r>
        <w:rPr>
          <w:rFonts w:cs="Calibri"/>
          <w:lang w:val="en-GB" w:eastAsia="zh-CN"/>
        </w:rPr>
        <w:t>5.7, 4.3, 7.1, 2.9, 1.4, and 8.6 Hz</w:t>
      </w:r>
      <w:r>
        <w:rPr>
          <w:rFonts w:cs="Calibri"/>
          <w:lang w:val="en-GB"/>
        </w:rPr>
        <w:t xml:space="preserve"> bands (</w:t>
      </w:r>
      <w:r>
        <w:rPr>
          <w:rFonts w:hint="default" w:cs="Calibri"/>
          <w:lang w:val="en-GB"/>
        </w:rPr>
        <w:t>in rank order</w:t>
      </w:r>
      <w:r>
        <w:rPr>
          <w:rFonts w:cs="Calibri"/>
          <w:lang w:val="en-GB"/>
        </w:rPr>
        <w:t xml:space="preserve">), which were the six top-ranking spectral bands in terms of their estimated SNRs. </w:t>
      </w:r>
    </w:p>
    <w:p>
      <w:pPr>
        <w:pStyle w:val="17"/>
        <w:spacing w:line="240" w:lineRule="auto"/>
        <w:jc w:val="both"/>
        <w:rPr>
          <w:rFonts w:ascii="Calibri" w:hAnsi="Calibri" w:cs="Calibri"/>
          <w:lang w:val="en-GB"/>
        </w:rPr>
      </w:pPr>
    </w:p>
    <w:p>
      <w:pPr>
        <w:pStyle w:val="17"/>
        <w:spacing w:line="240" w:lineRule="auto"/>
        <w:jc w:val="both"/>
        <w:rPr>
          <w:rFonts w:ascii="Calibri" w:hAnsi="Calibri" w:cs="Calibri"/>
          <w:lang w:val="en-GB"/>
        </w:rPr>
      </w:pPr>
      <w:r>
        <w:rPr>
          <w:rFonts w:ascii="Calibri" w:hAnsi="Calibri" w:cs="Calibri"/>
          <w:u w:val="single"/>
          <w:lang w:val="en-GB"/>
        </w:rPr>
        <w:t>Evaluating test significance</w:t>
      </w:r>
    </w:p>
    <w:p>
      <w:pPr>
        <w:pStyle w:val="17"/>
        <w:spacing w:line="240" w:lineRule="auto"/>
        <w:jc w:val="both"/>
        <w:rPr>
          <w:rFonts w:ascii="Calibri" w:hAnsi="Calibri" w:cs="Calibri"/>
          <w:lang w:val="en-GB"/>
        </w:rPr>
      </w:pPr>
      <w:r>
        <w:rPr>
          <w:rFonts w:ascii="Calibri" w:hAnsi="Calibri" w:cs="Calibri"/>
          <w:lang w:val="en-GB"/>
        </w:rPr>
        <w:t>Statistical inference on the T</w:t>
      </w:r>
      <w:r>
        <w:rPr>
          <w:rFonts w:ascii="Calibri" w:hAnsi="Calibri" w:cs="Calibri"/>
          <w:vertAlign w:val="superscript"/>
          <w:lang w:val="en-GB"/>
        </w:rPr>
        <w:t xml:space="preserve">2 </w:t>
      </w:r>
      <w:r>
        <w:rPr>
          <w:rFonts w:ascii="Calibri" w:hAnsi="Calibri" w:cs="Calibri"/>
          <w:lang w:val="en-GB"/>
        </w:rPr>
        <w:t>statistic was carried out using conventional F-distributions, which can be derived from theory based on the assumption that epochs are independent, and that data are stationary and normally distributed. The T</w:t>
      </w:r>
      <w:r>
        <w:rPr>
          <w:rFonts w:ascii="Calibri" w:hAnsi="Calibri" w:cs="Calibri"/>
          <w:vertAlign w:val="superscript"/>
          <w:lang w:val="en-GB"/>
        </w:rPr>
        <w:t>2</w:t>
      </w:r>
      <w:r>
        <w:rPr>
          <w:rFonts w:ascii="Calibri" w:hAnsi="Calibri" w:cs="Calibri"/>
          <w:lang w:val="en-GB"/>
        </w:rPr>
        <w:t xml:space="preserve"> statistic is transformed into an F-statistic using </w:t>
      </w:r>
      <w:r>
        <w:rPr>
          <w:rFonts w:ascii="Calibri" w:hAnsi="Calibri" w:cs="Calibri"/>
          <w:position w:val="-28"/>
        </w:rPr>
        <w:object>
          <v:shape id="_x0000_i1030" o:spt="75" type="#_x0000_t75" style="height:32.95pt;width:60.8pt;" o:ole="t" filled="f" o:preferrelative="t" stroked="f" coordsize="21600,21600">
            <v:path/>
            <v:fill on="f" focussize="0,0"/>
            <v:stroke on="f" joinstyle="miter"/>
            <v:imagedata r:id="rId13" o:title=""/>
            <o:lock v:ext="edit" aspectratio="t"/>
            <w10:wrap type="none"/>
            <w10:anchorlock/>
          </v:shape>
          <o:OLEObject Type="Embed" ProgID="Equation.KSEE3" ShapeID="_x0000_i1030" DrawAspect="Content" ObjectID="_1468075730" r:id="rId12">
            <o:LockedField>false</o:LockedField>
          </o:OLEObject>
        </w:object>
      </w:r>
      <w:r>
        <w:rPr>
          <w:rFonts w:ascii="Calibri" w:hAnsi="Calibri" w:cs="Calibri" w:eastAsiaTheme="minorEastAsia"/>
          <w:lang w:val="en-GB"/>
        </w:rPr>
        <w:t xml:space="preserve">, which is F-distributed </w:t>
      </w:r>
      <w:r>
        <w:rPr>
          <w:rFonts w:ascii="Calibri" w:hAnsi="Calibri" w:cs="Calibri"/>
          <w:lang w:val="en-GB"/>
        </w:rPr>
        <w:t>with v</w:t>
      </w:r>
      <w:r>
        <w:rPr>
          <w:rFonts w:ascii="Calibri" w:hAnsi="Calibri" w:cs="Calibri"/>
          <w:vertAlign w:val="subscript"/>
          <w:lang w:val="en-GB"/>
        </w:rPr>
        <w:t>1</w:t>
      </w:r>
      <w:r>
        <w:rPr>
          <w:rFonts w:ascii="Calibri" w:hAnsi="Calibri" w:cs="Calibri"/>
          <w:lang w:val="en-GB"/>
        </w:rPr>
        <w:t xml:space="preserve"> and v</w:t>
      </w:r>
      <w:r>
        <w:rPr>
          <w:rFonts w:ascii="Calibri" w:hAnsi="Calibri" w:cs="Calibri"/>
          <w:vertAlign w:val="subscript"/>
          <w:lang w:val="en-GB"/>
        </w:rPr>
        <w:t>2</w:t>
      </w:r>
      <w:r>
        <w:rPr>
          <w:rFonts w:ascii="Calibri" w:hAnsi="Calibri" w:cs="Calibri"/>
          <w:lang w:val="en-GB"/>
        </w:rPr>
        <w:t xml:space="preserve"> degrees of freedom under H0. When using </w:t>
      </w:r>
      <w:r>
        <w:rPr>
          <w:rFonts w:ascii="Calibri" w:hAnsi="Calibri" w:cs="Calibri"/>
          <w:i/>
          <w:iCs/>
          <w:lang w:val="en-GB"/>
        </w:rPr>
        <w:t>Q</w:t>
      </w:r>
      <w:r>
        <w:rPr>
          <w:rFonts w:ascii="Calibri" w:hAnsi="Calibri" w:cs="Calibri"/>
          <w:lang w:val="en-GB"/>
        </w:rPr>
        <w:t xml:space="preserve"> voltage means, v</w:t>
      </w:r>
      <w:r>
        <w:rPr>
          <w:rFonts w:ascii="Calibri" w:hAnsi="Calibri" w:cs="Calibri"/>
          <w:vertAlign w:val="subscript"/>
          <w:lang w:val="en-GB"/>
        </w:rPr>
        <w:t>1</w:t>
      </w:r>
      <w:r>
        <w:rPr>
          <w:rFonts w:ascii="Calibri" w:hAnsi="Calibri" w:cs="Calibri"/>
          <w:lang w:val="en-GB"/>
        </w:rPr>
        <w:t xml:space="preserve"> = </w:t>
      </w:r>
      <w:r>
        <w:rPr>
          <w:rFonts w:ascii="Calibri" w:hAnsi="Calibri" w:cs="Calibri"/>
          <w:i/>
          <w:iCs/>
          <w:lang w:val="en-GB"/>
        </w:rPr>
        <w:t>Q</w:t>
      </w:r>
      <w:r>
        <w:rPr>
          <w:rFonts w:ascii="Calibri" w:hAnsi="Calibri" w:cs="Calibri"/>
          <w:lang w:val="en-GB"/>
        </w:rPr>
        <w:t xml:space="preserve"> and v</w:t>
      </w:r>
      <w:r>
        <w:rPr>
          <w:rFonts w:ascii="Calibri" w:hAnsi="Calibri" w:cs="Calibri"/>
          <w:vertAlign w:val="subscript"/>
          <w:lang w:val="en-GB"/>
        </w:rPr>
        <w:t>2</w:t>
      </w:r>
      <w:r>
        <w:rPr>
          <w:rFonts w:ascii="Calibri" w:hAnsi="Calibri" w:cs="Calibri"/>
          <w:lang w:val="en-GB"/>
        </w:rPr>
        <w:t xml:space="preserve"> = </w:t>
      </w:r>
      <w:r>
        <w:rPr>
          <w:rFonts w:ascii="Calibri" w:hAnsi="Calibri" w:cs="Calibri"/>
          <w:i/>
          <w:iCs/>
          <w:lang w:val="en-GB"/>
        </w:rPr>
        <w:t>N</w:t>
      </w:r>
      <w:r>
        <w:rPr>
          <w:rFonts w:ascii="Calibri" w:hAnsi="Calibri" w:cs="Calibri"/>
          <w:lang w:val="en-GB"/>
        </w:rPr>
        <w:t>-</w:t>
      </w:r>
      <w:r>
        <w:rPr>
          <w:rFonts w:ascii="Calibri" w:hAnsi="Calibri" w:cs="Calibri"/>
          <w:i/>
          <w:iCs/>
          <w:lang w:val="en-GB"/>
        </w:rPr>
        <w:t>Q</w:t>
      </w:r>
      <w:r>
        <w:rPr>
          <w:rFonts w:ascii="Calibri" w:hAnsi="Calibri" w:cs="Calibri"/>
          <w:lang w:val="en-GB"/>
        </w:rPr>
        <w:t xml:space="preserve">, whereas when using </w:t>
      </w:r>
      <w:r>
        <w:rPr>
          <w:rFonts w:ascii="Calibri" w:hAnsi="Calibri" w:cs="Calibri"/>
          <w:i/>
          <w:iCs/>
          <w:lang w:val="en-GB"/>
        </w:rPr>
        <w:t>W</w:t>
      </w:r>
      <w:r>
        <w:rPr>
          <w:rFonts w:ascii="Calibri" w:hAnsi="Calibri" w:cs="Calibri"/>
          <w:lang w:val="en-GB"/>
        </w:rPr>
        <w:t xml:space="preserve"> spectral bands, v</w:t>
      </w:r>
      <w:r>
        <w:rPr>
          <w:rFonts w:ascii="Calibri" w:hAnsi="Calibri" w:cs="Calibri"/>
          <w:vertAlign w:val="subscript"/>
          <w:lang w:val="en-GB"/>
        </w:rPr>
        <w:t>1</w:t>
      </w:r>
      <w:r>
        <w:rPr>
          <w:rFonts w:ascii="Calibri" w:hAnsi="Calibri" w:cs="Calibri"/>
          <w:lang w:val="en-GB"/>
        </w:rPr>
        <w:t xml:space="preserve"> = 2</w:t>
      </w:r>
      <w:r>
        <w:rPr>
          <w:rFonts w:ascii="Calibri" w:hAnsi="Calibri" w:cs="Calibri"/>
          <w:i/>
          <w:iCs/>
          <w:lang w:val="en-GB"/>
        </w:rPr>
        <w:t>W</w:t>
      </w:r>
      <w:r>
        <w:rPr>
          <w:rFonts w:ascii="Calibri" w:hAnsi="Calibri" w:cs="Calibri"/>
          <w:lang w:val="en-GB"/>
        </w:rPr>
        <w:t xml:space="preserve"> and v</w:t>
      </w:r>
      <w:r>
        <w:rPr>
          <w:rFonts w:ascii="Calibri" w:hAnsi="Calibri" w:cs="Calibri"/>
          <w:vertAlign w:val="subscript"/>
          <w:lang w:val="en-GB"/>
        </w:rPr>
        <w:t>2</w:t>
      </w:r>
      <w:r>
        <w:rPr>
          <w:rFonts w:ascii="Calibri" w:hAnsi="Calibri" w:cs="Calibri"/>
          <w:lang w:val="en-GB"/>
        </w:rPr>
        <w:t xml:space="preserve"> = </w:t>
      </w:r>
      <w:r>
        <w:rPr>
          <w:rFonts w:ascii="Calibri" w:hAnsi="Calibri" w:cs="Calibri"/>
          <w:i/>
          <w:iCs/>
          <w:lang w:val="en-GB"/>
        </w:rPr>
        <w:t>N</w:t>
      </w:r>
      <w:r>
        <w:rPr>
          <w:rFonts w:ascii="Calibri" w:hAnsi="Calibri" w:cs="Calibri"/>
          <w:lang w:val="en-GB"/>
        </w:rPr>
        <w:t>-2</w:t>
      </w:r>
      <w:r>
        <w:rPr>
          <w:rFonts w:ascii="Calibri" w:hAnsi="Calibri" w:cs="Calibri"/>
          <w:i/>
          <w:iCs/>
          <w:lang w:val="en-GB"/>
        </w:rPr>
        <w:t>W</w:t>
      </w:r>
      <w:r>
        <w:rPr>
          <w:rFonts w:ascii="Calibri" w:hAnsi="Calibri" w:cs="Calibri"/>
          <w:lang w:val="en-GB"/>
        </w:rPr>
        <w:t>. For the remaining detection methods, test significance was evaluated using a bootstrap, described in Section 2.2.4.</w:t>
      </w:r>
    </w:p>
    <w:p>
      <w:pPr>
        <w:pStyle w:val="17"/>
        <w:spacing w:line="240" w:lineRule="auto"/>
        <w:jc w:val="both"/>
        <w:rPr>
          <w:rFonts w:ascii="Calibri" w:hAnsi="Calibri" w:cs="Calibri"/>
          <w:lang w:val="en-GB"/>
        </w:rPr>
      </w:pPr>
    </w:p>
    <w:p>
      <w:pPr>
        <w:pStyle w:val="17"/>
        <w:spacing w:line="240" w:lineRule="auto"/>
        <w:rPr>
          <w:rFonts w:ascii="Calibri" w:hAnsi="Calibri" w:cs="Calibri"/>
          <w:b/>
          <w:bCs/>
          <w:lang w:val="en-GB"/>
        </w:rPr>
      </w:pPr>
      <w:r>
        <w:rPr>
          <w:rFonts w:ascii="Calibri" w:hAnsi="Calibri" w:cs="Calibri"/>
          <w:b/>
          <w:bCs/>
          <w:lang w:val="en-GB"/>
        </w:rPr>
        <w:t>2.2.2 Modified T</w:t>
      </w:r>
      <w:r>
        <w:rPr>
          <w:rFonts w:ascii="Calibri" w:hAnsi="Calibri" w:cs="Calibri"/>
          <w:b/>
          <w:bCs/>
          <w:vertAlign w:val="superscript"/>
          <w:lang w:val="en-GB"/>
        </w:rPr>
        <w:t>2</w:t>
      </w:r>
      <w:r>
        <w:rPr>
          <w:rFonts w:ascii="Calibri" w:hAnsi="Calibri" w:cs="Calibri"/>
          <w:b/>
          <w:bCs/>
          <w:lang w:val="en-GB"/>
        </w:rPr>
        <w:t xml:space="preserve"> statistics</w:t>
      </w:r>
    </w:p>
    <w:p>
      <w:pPr>
        <w:spacing w:line="240" w:lineRule="auto"/>
        <w:jc w:val="both"/>
        <w:rPr>
          <w:rFonts w:ascii="Calibri" w:hAnsi="Calibri" w:cs="Calibri"/>
          <w:sz w:val="22"/>
          <w:szCs w:val="22"/>
          <w:lang w:val="en-GB"/>
        </w:rPr>
      </w:pPr>
      <w:r>
        <w:rPr>
          <w:rFonts w:ascii="Calibri" w:hAnsi="Calibri" w:cs="Calibri"/>
          <w:sz w:val="22"/>
          <w:szCs w:val="22"/>
          <w:lang w:val="en-GB"/>
        </w:rPr>
        <w:t>The aim for the modified T</w:t>
      </w:r>
      <w:r>
        <w:rPr>
          <w:rFonts w:ascii="Calibri" w:hAnsi="Calibri" w:cs="Calibri"/>
          <w:sz w:val="22"/>
          <w:szCs w:val="22"/>
          <w:vertAlign w:val="superscript"/>
          <w:lang w:val="en-GB"/>
        </w:rPr>
        <w:t>2</w:t>
      </w:r>
      <w:r>
        <w:rPr>
          <w:rFonts w:ascii="Calibri" w:hAnsi="Calibri" w:cs="Calibri"/>
          <w:sz w:val="22"/>
          <w:szCs w:val="22"/>
          <w:lang w:val="en-GB"/>
        </w:rPr>
        <w:t xml:space="preserve"> statistics is to prevent low HT</w:t>
      </w:r>
      <w:r>
        <w:rPr>
          <w:rFonts w:ascii="Calibri" w:hAnsi="Calibri" w:cs="Calibri"/>
          <w:sz w:val="22"/>
          <w:szCs w:val="22"/>
          <w:vertAlign w:val="superscript"/>
          <w:lang w:val="en-GB"/>
        </w:rPr>
        <w:t>2</w:t>
      </w:r>
      <w:r>
        <w:rPr>
          <w:rFonts w:hint="default" w:ascii="Calibri" w:hAnsi="Calibri" w:cs="Calibri"/>
          <w:sz w:val="22"/>
          <w:szCs w:val="22"/>
          <w:lang w:val="en-GB"/>
        </w:rPr>
        <w:t xml:space="preserve"> </w:t>
      </w:r>
      <w:r>
        <w:rPr>
          <w:rFonts w:ascii="Calibri" w:hAnsi="Calibri" w:cs="Calibri"/>
          <w:sz w:val="22"/>
          <w:szCs w:val="22"/>
          <w:lang w:val="en-GB"/>
        </w:rPr>
        <w:t>test sensitivities at small sample sizes</w:t>
      </w:r>
      <w:r>
        <w:rPr>
          <w:rFonts w:ascii="Calibri" w:hAnsi="Calibri" w:cs="Calibri"/>
          <w:b/>
          <w:bCs/>
          <w:sz w:val="22"/>
          <w:szCs w:val="22"/>
          <w:lang w:val="en-GB"/>
        </w:rPr>
        <w:t xml:space="preserve"> </w:t>
      </w:r>
      <w:r>
        <w:rPr>
          <w:rFonts w:ascii="Calibri" w:hAnsi="Calibri" w:cs="Calibri"/>
          <w:sz w:val="22"/>
          <w:szCs w:val="22"/>
          <w:lang w:val="en-GB"/>
        </w:rPr>
        <w:t>by exploiting prior knowledge of the correlation structure underlying the data, which allows an improved estimate of the feature covariance matrix. In the time domain, data is assumed to follow a Toeplitz covariance structure, whereas in the frequency domain, independence between spectral bands is assumed.</w:t>
      </w:r>
    </w:p>
    <w:p>
      <w:pPr>
        <w:pStyle w:val="17"/>
        <w:spacing w:line="240" w:lineRule="auto"/>
        <w:jc w:val="both"/>
        <w:rPr>
          <w:rFonts w:hint="default" w:ascii="Calibri" w:hAnsi="Calibri" w:cs="Calibri"/>
          <w:lang w:val="en-GB"/>
        </w:rPr>
      </w:pPr>
    </w:p>
    <w:p>
      <w:pPr>
        <w:pStyle w:val="17"/>
        <w:spacing w:line="240" w:lineRule="auto"/>
        <w:jc w:val="both"/>
        <w:rPr>
          <w:rFonts w:ascii="Calibri" w:hAnsi="Calibri" w:cs="Calibri"/>
          <w:u w:val="single"/>
          <w:lang w:val="en-GB"/>
        </w:rPr>
      </w:pPr>
      <w:r>
        <w:rPr>
          <w:rFonts w:ascii="Calibri" w:hAnsi="Calibri" w:cs="Calibri"/>
          <w:u w:val="single"/>
          <w:lang w:val="en-GB"/>
        </w:rPr>
        <w:t>(a) Time domain modification T</w:t>
      </w:r>
      <w:r>
        <w:rPr>
          <w:rFonts w:ascii="Calibri" w:hAnsi="Calibri" w:cs="Calibri"/>
          <w:u w:val="single"/>
          <w:vertAlign w:val="superscript"/>
          <w:lang w:val="en-GB"/>
        </w:rPr>
        <w:t>2</w:t>
      </w:r>
      <w:r>
        <w:rPr>
          <w:rFonts w:ascii="Calibri" w:hAnsi="Calibri" w:cs="Calibri"/>
          <w:u w:val="single"/>
          <w:vertAlign w:val="subscript"/>
          <w:lang w:val="en-GB"/>
        </w:rPr>
        <w:t>Toep</w:t>
      </w:r>
      <w:r>
        <w:rPr>
          <w:rFonts w:ascii="Calibri" w:hAnsi="Calibri" w:cs="Calibri"/>
          <w:u w:val="single"/>
          <w:lang w:val="en-GB"/>
        </w:rPr>
        <w:t xml:space="preserve"> </w:t>
      </w:r>
    </w:p>
    <w:p>
      <w:pPr>
        <w:pStyle w:val="17"/>
        <w:spacing w:line="240" w:lineRule="auto"/>
        <w:jc w:val="both"/>
        <w:rPr>
          <w:rFonts w:hint="default"/>
          <w:lang w:val="en-GB"/>
        </w:rPr>
      </w:pPr>
      <w:r>
        <w:rPr>
          <w:rFonts w:ascii="Calibri" w:hAnsi="Calibri" w:cs="Calibri"/>
          <w:lang w:val="en-GB"/>
        </w:rPr>
        <w:t>A time series with Toeplitz covariance implies that the expected covariance between any two data points is dependent only on their time difference (</w:t>
      </w:r>
      <w:r>
        <w:rPr>
          <w:rFonts w:ascii="Calibri" w:hAnsi="Calibri" w:cs="Calibri"/>
          <w:color w:val="2E75B6" w:themeColor="accent1" w:themeShade="BF"/>
          <w:lang w:val="en-GB"/>
        </w:rPr>
        <w:t>Mukherjee &amp; Maiti, 1988</w:t>
      </w:r>
      <w:r>
        <w:rPr>
          <w:rFonts w:ascii="Calibri" w:hAnsi="Calibri" w:cs="Calibri"/>
          <w:lang w:val="en-GB"/>
        </w:rPr>
        <w:t>)</w:t>
      </w:r>
      <w:r>
        <w:rPr>
          <w:rFonts w:hint="default" w:ascii="Calibri" w:hAnsi="Calibri" w:cs="Calibri"/>
          <w:lang w:val="en-GB"/>
        </w:rPr>
        <w:t>,</w:t>
      </w:r>
      <w:r>
        <w:rPr>
          <w:rFonts w:ascii="Calibri" w:hAnsi="Calibri" w:cs="Calibri"/>
          <w:i/>
          <w:iCs/>
          <w:lang w:val="en-GB"/>
        </w:rPr>
        <w:t xml:space="preserve"> </w:t>
      </w:r>
      <w:r>
        <w:rPr>
          <w:rFonts w:ascii="Calibri" w:hAnsi="Calibri" w:cs="Calibri"/>
          <w:lang w:val="en-GB"/>
        </w:rPr>
        <w:t xml:space="preserve">which is satisfied </w:t>
      </w:r>
      <w:r>
        <w:rPr>
          <w:rFonts w:hint="default" w:ascii="Calibri" w:hAnsi="Calibri" w:cs="Calibri"/>
          <w:lang w:val="en-GB"/>
        </w:rPr>
        <w:t xml:space="preserve">for random </w:t>
      </w:r>
      <w:r>
        <w:rPr>
          <w:rFonts w:ascii="Calibri" w:hAnsi="Calibri" w:cs="Calibri"/>
          <w:lang w:val="en-GB"/>
        </w:rPr>
        <w:t>stationary</w:t>
      </w:r>
      <w:r>
        <w:rPr>
          <w:rFonts w:hint="default" w:ascii="Calibri" w:hAnsi="Calibri" w:cs="Calibri"/>
          <w:lang w:val="en-GB"/>
        </w:rPr>
        <w:t xml:space="preserve"> signals. When </w:t>
      </w:r>
      <w:r>
        <w:rPr>
          <w:rFonts w:ascii="Calibri" w:hAnsi="Calibri" w:cs="Calibri"/>
          <w:lang w:val="en-GB"/>
        </w:rPr>
        <w:t>Toeplitz covariance</w:t>
      </w:r>
      <w:r>
        <w:rPr>
          <w:rFonts w:hint="default" w:ascii="Calibri" w:hAnsi="Calibri" w:cs="Calibri"/>
          <w:lang w:val="en-GB"/>
        </w:rPr>
        <w:t xml:space="preserve"> is met, then the covariance matrix of the voltage means (previously denoted by </w:t>
      </w:r>
      <w:r>
        <w:rPr>
          <w:rFonts w:hint="default" w:ascii="Calibri" w:hAnsi="Calibri" w:cs="Calibri"/>
          <w:b/>
          <w:bCs/>
          <w:lang w:val="en-GB"/>
        </w:rPr>
        <w:t>S</w:t>
      </w:r>
      <w:r>
        <w:rPr>
          <w:rFonts w:hint="default" w:ascii="Calibri" w:hAnsi="Calibri" w:cs="Calibri"/>
          <w:lang w:val="en-GB"/>
        </w:rPr>
        <w:t xml:space="preserve">) can </w:t>
      </w:r>
      <w:r>
        <w:t>be found from the autocorrelation function</w:t>
      </w:r>
      <w:r>
        <w:rPr>
          <w:rFonts w:hint="default"/>
          <w:lang w:val="en-GB"/>
        </w:rPr>
        <w:t xml:space="preserve"> of the continuous recording (further described below). </w:t>
      </w:r>
      <w:r>
        <w:t>This contrasts with the usual method</w:t>
      </w:r>
      <w:r>
        <w:rPr>
          <w:rFonts w:hint="default"/>
          <w:lang w:val="en-GB"/>
        </w:rPr>
        <w:t>,</w:t>
      </w:r>
      <w:r>
        <w:t xml:space="preserve"> where each value in </w:t>
      </w:r>
      <w:r>
        <w:rPr>
          <w:rFonts w:hint="default"/>
          <w:b/>
          <w:bCs/>
          <w:lang w:val="en-GB"/>
        </w:rPr>
        <w:t>S</w:t>
      </w:r>
      <w:r>
        <w:rPr>
          <w:rFonts w:hint="default"/>
          <w:lang w:val="en-GB"/>
        </w:rPr>
        <w:t xml:space="preserve"> </w:t>
      </w:r>
      <w:r>
        <w:t>is estimated individually from pairs of columns in the epoched data</w:t>
      </w:r>
      <w:r>
        <w:rPr>
          <w:rFonts w:hint="default"/>
          <w:lang w:val="en-GB"/>
        </w:rPr>
        <w:t>,</w:t>
      </w:r>
      <w:r>
        <w:t xml:space="preserve"> and thus from a much smaller set of samples. The latter leads to less accurate estimates of </w:t>
      </w:r>
      <w:r>
        <w:rPr>
          <w:rFonts w:hint="default"/>
          <w:b/>
          <w:bCs/>
          <w:lang w:val="en-GB"/>
        </w:rPr>
        <w:t>S</w:t>
      </w:r>
      <w:r>
        <w:rPr>
          <w:rFonts w:hint="default"/>
          <w:lang w:val="en-GB"/>
        </w:rPr>
        <w:t xml:space="preserve"> </w:t>
      </w:r>
      <w:r>
        <w:t>than when exploiting the Toeplitz property of the covariance matrix</w:t>
      </w:r>
      <w:r>
        <w:rPr>
          <w:rFonts w:hint="default"/>
          <w:lang w:val="en-GB"/>
        </w:rPr>
        <w:t>.</w:t>
      </w:r>
    </w:p>
    <w:p>
      <w:pPr>
        <w:pStyle w:val="17"/>
        <w:spacing w:line="240" w:lineRule="auto"/>
        <w:jc w:val="both"/>
        <w:rPr>
          <w:rFonts w:hint="default"/>
          <w:lang w:val="en-GB"/>
        </w:rPr>
      </w:pPr>
    </w:p>
    <w:p>
      <w:pPr>
        <w:pStyle w:val="17"/>
        <w:spacing w:line="240" w:lineRule="auto"/>
        <w:jc w:val="both"/>
        <w:rPr>
          <w:rFonts w:ascii="Calibri" w:hAnsi="Calibri" w:cs="Calibri"/>
          <w:lang w:val="en-GB"/>
        </w:rPr>
      </w:pPr>
      <w:r>
        <w:rPr>
          <w:rFonts w:ascii="Calibri" w:hAnsi="Calibri" w:cs="Calibri"/>
          <w:lang w:val="en-GB"/>
        </w:rPr>
        <w:t xml:space="preserve">In what follows, a distinction is made between voltage means extracted from the epochs (previously denoted by feature matrix </w:t>
      </w:r>
      <w:r>
        <w:rPr>
          <w:rFonts w:ascii="Calibri" w:hAnsi="Calibri" w:cs="Calibri"/>
          <w:b/>
          <w:bCs/>
          <w:lang w:val="en-GB"/>
        </w:rPr>
        <w:t>V</w:t>
      </w:r>
      <w:r>
        <w:rPr>
          <w:rFonts w:ascii="Calibri" w:hAnsi="Calibri" w:cs="Calibri"/>
          <w:lang w:val="en-GB"/>
        </w:rPr>
        <w:t xml:space="preserve">) and </w:t>
      </w:r>
      <w:r>
        <w:rPr>
          <w:rFonts w:hint="default" w:ascii="Calibri" w:hAnsi="Calibri" w:cs="Calibri"/>
          <w:lang w:val="en-GB"/>
        </w:rPr>
        <w:t xml:space="preserve">the </w:t>
      </w:r>
      <w:r>
        <w:rPr>
          <w:rFonts w:ascii="Calibri" w:hAnsi="Calibri" w:cs="Calibri"/>
          <w:lang w:val="en-GB"/>
        </w:rPr>
        <w:t xml:space="preserve">voltage means extracted from the continuous recording. </w:t>
      </w:r>
      <w:r>
        <w:rPr>
          <w:rFonts w:hint="default" w:ascii="Calibri" w:hAnsi="Calibri" w:cs="Calibri"/>
          <w:lang w:val="en-GB"/>
        </w:rPr>
        <w:t xml:space="preserve">For the voltage means </w:t>
      </w:r>
      <w:r>
        <w:rPr>
          <w:rFonts w:ascii="Calibri" w:hAnsi="Calibri" w:cs="Calibri"/>
          <w:lang w:val="en-GB"/>
        </w:rPr>
        <w:t>extracted from the continuous recording, Toeplitz covariance implies the following property:</w:t>
      </w:r>
    </w:p>
    <w:p>
      <w:pPr>
        <w:pStyle w:val="17"/>
        <w:spacing w:line="240" w:lineRule="auto"/>
        <w:jc w:val="both"/>
        <w:rPr>
          <w:rFonts w:ascii="Calibri" w:hAnsi="Calibri" w:cs="Calibri"/>
          <w:lang w:val="en-GB"/>
        </w:rPr>
      </w:pPr>
    </w:p>
    <w:p>
      <w:pPr>
        <w:spacing w:line="240" w:lineRule="auto"/>
        <w:rPr>
          <w:rFonts w:ascii="Calibri" w:hAnsi="Calibri" w:cs="Calibri"/>
          <w:lang w:val="en-GB"/>
        </w:rPr>
      </w:pPr>
      <w:r>
        <w:rPr>
          <w:rFonts w:ascii="Calibri" w:hAnsi="Calibri" w:cs="Calibri"/>
          <w:lang w:val="en-GB"/>
        </w:rPr>
        <w:t xml:space="preserve"> </w:t>
      </w:r>
      <w:r>
        <w:rPr>
          <w:rFonts w:ascii="Calibri" w:hAnsi="Calibri" w:cs="Calibri"/>
          <w:position w:val="-10"/>
          <w:lang w:val="en-GB"/>
        </w:rPr>
        <w:object>
          <v:shape id="_x0000_i1031" o:spt="75" type="#_x0000_t75" style="height:17.3pt;width:210.9pt;" o:ole="t" filled="f" o:preferrelative="t" stroked="f" coordsize="21600,21600">
            <v:path/>
            <v:fill on="f" focussize="0,0"/>
            <v:stroke on="f" joinstyle="miter"/>
            <v:imagedata r:id="rId15" o:title=""/>
            <o:lock v:ext="edit" aspectratio="t"/>
            <w10:wrap type="none"/>
            <w10:anchorlock/>
          </v:shape>
          <o:OLEObject Type="Embed" ProgID="Equation.KSEE3" ShapeID="_x0000_i1031" DrawAspect="Content" ObjectID="_1468075731" r:id="rId14">
            <o:LockedField>false</o:LockedField>
          </o:OLEObject>
        </w:object>
      </w:r>
      <w:r>
        <w:rPr>
          <w:rFonts w:ascii="Calibri" w:hAnsi="Calibri" w:cs="Calibri"/>
          <w:lang w:val="en-GB"/>
        </w:rPr>
        <w:t xml:space="preserve"> </w:t>
      </w:r>
      <w:r>
        <w:rPr>
          <w:rFonts w:ascii="Calibri" w:hAnsi="Calibri" w:cs="Calibri"/>
          <w:i/>
        </w:rPr>
        <w:t xml:space="preserve">Eq. </w:t>
      </w:r>
      <w:r>
        <w:rPr>
          <w:rFonts w:ascii="Calibri" w:hAnsi="Calibri" w:cs="Calibri"/>
          <w:i/>
          <w:lang w:val="en-GB"/>
        </w:rPr>
        <w:t>2</w:t>
      </w:r>
    </w:p>
    <w:p>
      <w:pPr>
        <w:pStyle w:val="17"/>
        <w:spacing w:line="240" w:lineRule="auto"/>
        <w:jc w:val="both"/>
        <w:rPr>
          <w:rFonts w:ascii="Calibri" w:hAnsi="Calibri" w:cs="Calibri"/>
          <w:lang w:val="en-GB"/>
        </w:rPr>
      </w:pPr>
    </w:p>
    <w:p>
      <w:pPr>
        <w:pStyle w:val="17"/>
        <w:spacing w:line="240" w:lineRule="auto"/>
        <w:jc w:val="both"/>
        <w:rPr>
          <w:rFonts w:ascii="Calibri" w:hAnsi="Calibri" w:cs="Calibri"/>
          <w:lang w:val="en-GB"/>
        </w:rPr>
      </w:pPr>
      <w:r>
        <w:rPr>
          <w:rFonts w:ascii="Calibri" w:hAnsi="Calibri" w:cs="Calibri"/>
          <w:lang w:val="en-GB"/>
        </w:rPr>
        <w:t xml:space="preserve">where </w:t>
      </w:r>
      <w:r>
        <w:rPr>
          <w:rFonts w:ascii="Calibri" w:hAnsi="Calibri" w:cs="Calibri"/>
          <w:position w:val="-4"/>
          <w:lang w:val="en-GB"/>
        </w:rPr>
        <w:object>
          <v:shape id="_x0000_i1032" o:spt="75" type="#_x0000_t75" style="height:10.2pt;width:12.8pt;" o:ole="t" filled="f" o:preferrelative="t" stroked="f" coordsize="21600,21600">
            <v:path/>
            <v:fill on="f" focussize="0,0"/>
            <v:stroke on="f"/>
            <v:imagedata r:id="rId17" o:title=""/>
            <o:lock v:ext="edit" aspectratio="t"/>
            <w10:wrap type="none"/>
            <w10:anchorlock/>
          </v:shape>
          <o:OLEObject Type="Embed" ProgID="Equation.KSEE3" ShapeID="_x0000_i1032" DrawAspect="Content" ObjectID="_1468075732" r:id="rId16">
            <o:LockedField>false</o:LockedField>
          </o:OLEObject>
        </w:object>
      </w:r>
      <w:r>
        <w:rPr>
          <w:rFonts w:ascii="Calibri" w:hAnsi="Calibri" w:cs="Calibri"/>
          <w:lang w:val="en-GB"/>
        </w:rPr>
        <w:t xml:space="preserve"> is the </w:t>
      </w:r>
      <w:r>
        <w:rPr>
          <w:rFonts w:ascii="Calibri" w:hAnsi="Calibri" w:cs="Calibri"/>
          <w:i w:val="0"/>
          <w:iCs w:val="0"/>
          <w:lang w:val="en-GB"/>
        </w:rPr>
        <w:t>i</w:t>
      </w:r>
      <w:r>
        <w:rPr>
          <w:rFonts w:ascii="Calibri" w:hAnsi="Calibri" w:cs="Calibri"/>
          <w:vertAlign w:val="superscript"/>
          <w:lang w:val="en-GB"/>
        </w:rPr>
        <w:t>th</w:t>
      </w:r>
      <w:r>
        <w:rPr>
          <w:rFonts w:ascii="Calibri" w:hAnsi="Calibri" w:cs="Calibri"/>
          <w:lang w:val="en-GB"/>
        </w:rPr>
        <w:t xml:space="preserve"> voltage mean, cov denotes covariance, E is the expectation operator, and </w:t>
      </w:r>
      <w:r>
        <w:rPr>
          <w:rFonts w:ascii="Calibri" w:hAnsi="Calibri" w:cs="Calibri"/>
          <w:position w:val="-10"/>
          <w:lang w:val="en-GB"/>
        </w:rPr>
        <w:object>
          <v:shape id="_x0000_i1033" o:spt="75" type="#_x0000_t75" style="height:16.65pt;width:13.1pt;" o:ole="t" filled="f" o:preferrelative="t" stroked="f" coordsize="21600,21600">
            <v:path/>
            <v:fill on="f" focussize="0,0"/>
            <v:stroke on="f" joinstyle="miter"/>
            <v:imagedata r:id="rId19" o:title=""/>
            <o:lock v:ext="edit" aspectratio="t"/>
            <w10:wrap type="none"/>
            <w10:anchorlock/>
          </v:shape>
          <o:OLEObject Type="Embed" ProgID="Equation.KSEE3" ShapeID="_x0000_i1033" DrawAspect="Content" ObjectID="_1468075733" r:id="rId18">
            <o:LockedField>false</o:LockedField>
          </o:OLEObject>
        </w:object>
      </w:r>
      <w:r>
        <w:rPr>
          <w:rFonts w:ascii="Calibri" w:hAnsi="Calibri" w:cs="Calibri"/>
          <w:lang w:val="en-GB"/>
        </w:rPr>
        <w:t xml:space="preserve"> and </w:t>
      </w:r>
      <w:r>
        <w:rPr>
          <w:rFonts w:ascii="Calibri" w:hAnsi="Calibri" w:cs="Calibri"/>
          <w:position w:val="-10"/>
          <w:lang w:val="en-GB"/>
        </w:rPr>
        <w:object>
          <v:shape id="_x0000_i1034" o:spt="75" type="#_x0000_t75" style="height:16.65pt;width:13.75pt;" o:ole="t" filled="f" o:preferrelative="t" stroked="f" coordsize="21600,21600">
            <v:path/>
            <v:fill on="f" focussize="0,0"/>
            <v:stroke on="f" joinstyle="miter"/>
            <v:imagedata r:id="rId21" o:title=""/>
            <o:lock v:ext="edit" aspectratio="t"/>
            <w10:wrap type="none"/>
            <w10:anchorlock/>
          </v:shape>
          <o:OLEObject Type="Embed" ProgID="Equation.KSEE3" ShapeID="_x0000_i1034" DrawAspect="Content" ObjectID="_1468075734" r:id="rId20">
            <o:LockedField>false</o:LockedField>
          </o:OLEObject>
        </w:object>
      </w:r>
      <w:r>
        <w:rPr>
          <w:lang w:val="en-GB"/>
        </w:rPr>
        <w:t xml:space="preserve"> </w:t>
      </w:r>
      <w:r>
        <w:rPr>
          <w:rFonts w:ascii="Calibri" w:hAnsi="Calibri" w:cs="Calibri"/>
          <w:lang w:val="en-GB"/>
        </w:rPr>
        <w:t xml:space="preserve">denote time lags, which can take any integer value (in samples for digital signals). Note that the expected covariance is not dependent on time lag </w:t>
      </w:r>
      <w:r>
        <w:rPr>
          <w:rFonts w:ascii="Calibri" w:hAnsi="Calibri" w:cs="Calibri"/>
          <w:position w:val="-10"/>
          <w:lang w:val="en-GB"/>
        </w:rPr>
        <w:object>
          <v:shape id="_x0000_i1035" o:spt="75" type="#_x0000_t75" style="height:16.65pt;width:13.75pt;" o:ole="t" filled="f" o:preferrelative="t" stroked="f" coordsize="21600,21600">
            <v:path/>
            <v:fill on="f" focussize="0,0"/>
            <v:stroke on="f" joinstyle="miter"/>
            <v:imagedata r:id="rId23" o:title=""/>
            <o:lock v:ext="edit" aspectratio="t"/>
            <w10:wrap type="none"/>
            <w10:anchorlock/>
          </v:shape>
          <o:OLEObject Type="Embed" ProgID="Equation.KSEE3" ShapeID="_x0000_i1035" DrawAspect="Content" ObjectID="_1468075735" r:id="rId22">
            <o:LockedField>false</o:LockedField>
          </o:OLEObject>
        </w:object>
      </w:r>
      <w:r>
        <w:rPr>
          <w:rFonts w:ascii="Calibri" w:hAnsi="Calibri" w:cs="Calibri"/>
          <w:lang w:val="en-GB"/>
        </w:rPr>
        <w:t xml:space="preserve">. </w:t>
      </w:r>
    </w:p>
    <w:p>
      <w:pPr>
        <w:pStyle w:val="17"/>
        <w:spacing w:line="240" w:lineRule="auto"/>
        <w:jc w:val="both"/>
        <w:rPr>
          <w:rFonts w:ascii="Calibri" w:hAnsi="Calibri" w:cs="Calibri"/>
          <w:lang w:val="en-GB"/>
        </w:rPr>
      </w:pPr>
    </w:p>
    <w:p>
      <w:pPr>
        <w:pStyle w:val="17"/>
        <w:spacing w:line="240" w:lineRule="auto"/>
        <w:jc w:val="both"/>
        <w:rPr>
          <w:rFonts w:ascii="Calibri" w:hAnsi="Calibri" w:cs="Calibri"/>
          <w:lang w:val="en-GB"/>
        </w:rPr>
      </w:pPr>
      <w:r>
        <w:rPr>
          <w:rFonts w:ascii="Calibri" w:hAnsi="Calibri" w:cs="Calibri"/>
          <w:lang w:val="en-GB"/>
        </w:rPr>
        <w:t xml:space="preserve">When Toeplitz covariance </w:t>
      </w:r>
      <w:r>
        <w:rPr>
          <w:rFonts w:hint="default" w:ascii="Calibri" w:hAnsi="Calibri" w:cs="Calibri"/>
          <w:lang w:val="en-GB"/>
        </w:rPr>
        <w:t xml:space="preserve">(Eq. 2) </w:t>
      </w:r>
      <w:r>
        <w:rPr>
          <w:rFonts w:ascii="Calibri" w:hAnsi="Calibri" w:cs="Calibri"/>
          <w:lang w:val="en-GB"/>
        </w:rPr>
        <w:t xml:space="preserve">is met, then covariance matrix </w:t>
      </w:r>
      <w:r>
        <w:rPr>
          <w:rFonts w:ascii="Calibri" w:hAnsi="Calibri" w:cs="Calibri"/>
          <w:b/>
          <w:bCs/>
          <w:lang w:val="en-GB"/>
        </w:rPr>
        <w:t xml:space="preserve">S </w:t>
      </w:r>
      <w:r>
        <w:rPr>
          <w:rFonts w:ascii="Calibri" w:hAnsi="Calibri" w:cs="Calibri"/>
          <w:lang w:val="en-GB"/>
        </w:rPr>
        <w:t xml:space="preserve">(i.e. the covariance matrix estimated from </w:t>
      </w:r>
      <w:r>
        <w:rPr>
          <w:rFonts w:ascii="Calibri" w:hAnsi="Calibri" w:cs="Calibri"/>
          <w:b/>
          <w:bCs/>
          <w:lang w:val="en-GB"/>
        </w:rPr>
        <w:t>V</w:t>
      </w:r>
      <w:r>
        <w:rPr>
          <w:rFonts w:ascii="Calibri" w:hAnsi="Calibri" w:cs="Calibri"/>
          <w:lang w:val="en-GB"/>
        </w:rPr>
        <w:t xml:space="preserve">) has the property that the diagonals (descending from left to right) are constant, and can be derived from the autocovariance function of the voltage means of the continuous recording. More specifically, the first row of </w:t>
      </w:r>
      <w:r>
        <w:rPr>
          <w:rFonts w:ascii="Calibri" w:hAnsi="Calibri" w:cs="Calibri"/>
          <w:b/>
          <w:bCs/>
          <w:lang w:val="en-GB"/>
        </w:rPr>
        <w:t>S</w:t>
      </w:r>
      <w:r>
        <w:rPr>
          <w:rFonts w:ascii="Calibri" w:hAnsi="Calibri" w:cs="Calibri"/>
          <w:lang w:val="en-GB"/>
        </w:rPr>
        <w:t xml:space="preserve"> is given by the first </w:t>
      </w:r>
      <w:r>
        <w:rPr>
          <w:rFonts w:ascii="Calibri" w:hAnsi="Calibri" w:cs="Calibri"/>
          <w:i/>
          <w:iCs/>
          <w:lang w:val="en-GB"/>
        </w:rPr>
        <w:t>Q</w:t>
      </w:r>
      <w:r>
        <w:rPr>
          <w:rFonts w:ascii="Calibri" w:hAnsi="Calibri" w:cs="Calibri"/>
          <w:lang w:val="en-GB"/>
        </w:rPr>
        <w:t>-1 time lags of the autocovariance function using (</w:t>
      </w:r>
      <w:r>
        <w:rPr>
          <w:rFonts w:ascii="Calibri" w:hAnsi="Calibri" w:cs="Calibri"/>
          <w:color w:val="2E75B6" w:themeColor="accent1" w:themeShade="BF"/>
          <w:lang w:val="en-GB"/>
        </w:rPr>
        <w:t>Xiao &amp; Wu, 2012</w:t>
      </w:r>
      <w:r>
        <w:rPr>
          <w:rFonts w:ascii="Calibri" w:hAnsi="Calibri" w:cs="Calibri"/>
          <w:lang w:val="en-GB"/>
        </w:rPr>
        <w:t>):</w:t>
      </w:r>
    </w:p>
    <w:p>
      <w:pPr>
        <w:pStyle w:val="17"/>
        <w:spacing w:line="240" w:lineRule="auto"/>
        <w:jc w:val="both"/>
        <w:rPr>
          <w:rFonts w:ascii="Calibri" w:hAnsi="Calibri" w:cs="Calibri"/>
          <w:lang w:val="en-GB"/>
        </w:rPr>
      </w:pPr>
    </w:p>
    <w:p>
      <w:pPr>
        <w:pStyle w:val="17"/>
        <w:spacing w:line="240" w:lineRule="auto"/>
        <w:jc w:val="both"/>
        <w:rPr>
          <w:rFonts w:ascii="Calibri" w:hAnsi="Calibri" w:cs="Calibri"/>
          <w:lang w:val="en-GB"/>
        </w:rPr>
      </w:pPr>
      <w:r>
        <w:rPr>
          <w:rFonts w:ascii="Calibri" w:hAnsi="Calibri" w:cs="Calibri"/>
          <w:position w:val="-10"/>
          <w:lang w:val="en-GB"/>
        </w:rPr>
        <w:object>
          <v:shape id="_x0000_i1036" o:spt="75" type="#_x0000_t75" style="height:17.3pt;width:102.4pt;" o:ole="t" filled="f" o:preferrelative="t" stroked="f" coordsize="21600,21600">
            <v:path/>
            <v:fill on="f" focussize="0,0"/>
            <v:stroke on="f" joinstyle="miter"/>
            <v:imagedata r:id="rId25" o:title=""/>
            <o:lock v:ext="edit" aspectratio="t"/>
            <w10:wrap type="none"/>
            <w10:anchorlock/>
          </v:shape>
          <o:OLEObject Type="Embed" ProgID="Equation.KSEE3" ShapeID="_x0000_i1036" DrawAspect="Content" ObjectID="_1468075736" r:id="rId24">
            <o:LockedField>false</o:LockedField>
          </o:OLEObject>
        </w:object>
      </w:r>
      <w:r>
        <w:rPr>
          <w:rFonts w:ascii="Calibri" w:hAnsi="Calibri" w:cs="Calibri"/>
          <w:lang w:val="en-GB"/>
        </w:rPr>
        <w:tab/>
      </w:r>
      <w:r>
        <w:rPr>
          <w:rFonts w:ascii="Calibri" w:hAnsi="Calibri" w:cs="Calibri"/>
          <w:lang w:val="en-GB"/>
        </w:rPr>
        <w:tab/>
      </w:r>
      <w:r>
        <w:rPr>
          <w:rFonts w:ascii="Calibri" w:hAnsi="Calibri" w:cs="Calibri"/>
          <w:i/>
          <w:iCs/>
          <w:sz w:val="20"/>
          <w:szCs w:val="20"/>
          <w:lang w:val="en-GB"/>
        </w:rPr>
        <w:t>Eq. 3</w:t>
      </w:r>
    </w:p>
    <w:p>
      <w:pPr>
        <w:pStyle w:val="17"/>
        <w:spacing w:line="240" w:lineRule="auto"/>
        <w:jc w:val="both"/>
        <w:rPr>
          <w:rFonts w:ascii="Calibri" w:hAnsi="Calibri" w:cs="Calibri"/>
          <w:lang w:val="en-GB"/>
        </w:rPr>
      </w:pPr>
    </w:p>
    <w:p>
      <w:pPr>
        <w:pStyle w:val="17"/>
        <w:spacing w:line="240" w:lineRule="auto"/>
        <w:jc w:val="both"/>
        <w:rPr>
          <w:rFonts w:ascii="Calibri" w:hAnsi="Calibri" w:cs="Calibri"/>
          <w:lang w:val="en-GB"/>
        </w:rPr>
      </w:pPr>
      <w:r>
        <w:rPr>
          <w:rFonts w:ascii="Calibri" w:hAnsi="Calibri" w:cs="Calibri"/>
          <w:lang w:val="en-GB"/>
        </w:rPr>
        <w:t xml:space="preserve">where time lag </w:t>
      </w:r>
      <w:r>
        <w:rPr>
          <w:rFonts w:ascii="Calibri" w:hAnsi="Calibri" w:cs="Calibri"/>
          <w:position w:val="-10"/>
          <w:lang w:val="en-GB"/>
        </w:rPr>
        <w:object>
          <v:shape id="_x0000_i1037" o:spt="75" type="#_x0000_t75" style="height:16.65pt;width:13.1pt;" o:ole="t" filled="f" o:preferrelative="t" stroked="f" coordsize="21600,21600">
            <v:path/>
            <v:fill on="f" focussize="0,0"/>
            <v:stroke on="f" joinstyle="miter"/>
            <v:imagedata r:id="rId19" o:title=""/>
            <o:lock v:ext="edit" aspectratio="t"/>
            <w10:wrap type="none"/>
            <w10:anchorlock/>
          </v:shape>
          <o:OLEObject Type="Embed" ProgID="Equation.KSEE3" ShapeID="_x0000_i1037" DrawAspect="Content" ObjectID="_1468075737" r:id="rId26">
            <o:LockedField>false</o:LockedField>
          </o:OLEObject>
        </w:object>
      </w:r>
      <w:r>
        <w:rPr>
          <w:rFonts w:ascii="Calibri" w:hAnsi="Calibri" w:cs="Calibri"/>
          <w:position w:val="-6"/>
          <w:lang w:val="en-GB"/>
        </w:rPr>
        <w:t xml:space="preserve"> </w:t>
      </w:r>
      <w:r>
        <w:rPr>
          <w:rFonts w:ascii="Calibri" w:hAnsi="Calibri" w:cs="Calibri"/>
          <w:lang w:val="en-GB"/>
        </w:rPr>
        <w:t xml:space="preserve">takes values of </w:t>
      </w:r>
      <w:r>
        <w:rPr>
          <w:rFonts w:ascii="Calibri" w:hAnsi="Calibri" w:cs="Calibri"/>
          <w:position w:val="-10"/>
          <w:lang w:val="en-GB"/>
        </w:rPr>
        <w:object>
          <v:shape id="_x0000_i1038" o:spt="75" type="#_x0000_t75" style="height:16.65pt;width:87.7pt;" o:ole="t" filled="f" o:preferrelative="t" stroked="f" coordsize="21600,21600">
            <v:path/>
            <v:fill on="f" focussize="0,0"/>
            <v:stroke on="f" joinstyle="miter"/>
            <v:imagedata r:id="rId28" o:title=""/>
            <o:lock v:ext="edit" aspectratio="t"/>
            <w10:wrap type="none"/>
            <w10:anchorlock/>
          </v:shape>
          <o:OLEObject Type="Embed" ProgID="Equation.KSEE3" ShapeID="_x0000_i1038" DrawAspect="Content" ObjectID="_1468075738" r:id="rId27">
            <o:LockedField>false</o:LockedField>
          </o:OLEObject>
        </w:object>
      </w:r>
      <w:r>
        <w:rPr>
          <w:rFonts w:ascii="Calibri" w:hAnsi="Calibri" w:cs="Calibri"/>
          <w:lang w:val="en-GB"/>
        </w:rPr>
        <w:t xml:space="preserve">. The remaining rows of </w:t>
      </w:r>
      <w:r>
        <w:rPr>
          <w:rFonts w:ascii="Calibri" w:hAnsi="Calibri" w:cs="Calibri"/>
          <w:b/>
          <w:bCs/>
          <w:lang w:val="en-GB"/>
        </w:rPr>
        <w:t>S</w:t>
      </w:r>
      <w:r>
        <w:rPr>
          <w:rFonts w:ascii="Calibri" w:hAnsi="Calibri" w:cs="Calibri"/>
          <w:lang w:val="en-GB"/>
        </w:rPr>
        <w:t xml:space="preserve"> are then rotated versions of </w:t>
      </w:r>
      <w:r>
        <w:rPr>
          <w:rFonts w:ascii="Calibri" w:hAnsi="Calibri" w:cs="Calibri"/>
          <w:position w:val="-10"/>
          <w:lang w:val="en-GB"/>
        </w:rPr>
        <w:object>
          <v:shape id="_x0000_i1039" o:spt="75" type="#_x0000_t75" style="height:16.3pt;width:21.75pt;" o:ole="t" filled="f" o:preferrelative="t" stroked="f" coordsize="21600,21600">
            <v:path/>
            <v:fill on="f" focussize="0,0"/>
            <v:stroke on="f" joinstyle="miter"/>
            <v:imagedata r:id="rId30" o:title=""/>
            <o:lock v:ext="edit" aspectratio="t"/>
            <w10:wrap type="none"/>
            <w10:anchorlock/>
          </v:shape>
          <o:OLEObject Type="Embed" ProgID="Equation.KSEE3" ShapeID="_x0000_i1039" DrawAspect="Content" ObjectID="_1468075739" r:id="rId29">
            <o:LockedField>false</o:LockedField>
          </o:OLEObject>
        </w:object>
      </w:r>
      <w:r>
        <w:rPr>
          <w:rFonts w:ascii="Calibri" w:hAnsi="Calibri" w:cs="Calibri"/>
          <w:lang w:val="en-GB"/>
        </w:rPr>
        <w:t>, which becomes evident when inspecting the following characteristic Toeplitz covariance structure (</w:t>
      </w:r>
      <w:r>
        <w:rPr>
          <w:rFonts w:ascii="Calibri" w:hAnsi="Calibri" w:cs="Calibri"/>
          <w:color w:val="2E75B6" w:themeColor="accent1" w:themeShade="BF"/>
          <w:lang w:val="en-GB"/>
        </w:rPr>
        <w:t>Mukherjee &amp; Maiti, 1988</w:t>
      </w:r>
      <w:r>
        <w:rPr>
          <w:rFonts w:ascii="Calibri" w:hAnsi="Calibri" w:cs="Calibri"/>
          <w:lang w:val="en-GB"/>
        </w:rPr>
        <w:t>):</w:t>
      </w:r>
    </w:p>
    <w:p>
      <w:pPr>
        <w:pStyle w:val="17"/>
        <w:spacing w:line="240" w:lineRule="auto"/>
        <w:jc w:val="both"/>
        <w:rPr>
          <w:rFonts w:ascii="Calibri" w:hAnsi="Calibri" w:cs="Calibri"/>
          <w:lang w:val="en-GB"/>
        </w:rPr>
      </w:pPr>
    </w:p>
    <w:p>
      <w:pPr>
        <w:pStyle w:val="17"/>
        <w:spacing w:line="240" w:lineRule="auto"/>
        <w:jc w:val="both"/>
        <w:rPr>
          <w:rFonts w:ascii="Calibri" w:hAnsi="Calibri" w:cs="Calibri"/>
          <w:lang w:val="en-GB"/>
        </w:rPr>
      </w:pPr>
      <w:r>
        <w:rPr>
          <w:rFonts w:ascii="Calibri" w:hAnsi="Calibri" w:cs="Calibri"/>
          <w:position w:val="-84"/>
          <w:lang w:val="en-GB"/>
        </w:rPr>
        <w:object>
          <v:shape id="_x0000_i1040" o:spt="75" type="#_x0000_t75" style="height:89.9pt;width:233.3pt;" o:ole="t" filled="f" o:preferrelative="t" stroked="f" coordsize="21600,21600">
            <v:path/>
            <v:fill on="f" focussize="0,0"/>
            <v:stroke on="f" joinstyle="miter"/>
            <v:imagedata r:id="rId32" o:title=""/>
            <o:lock v:ext="edit" aspectratio="t"/>
            <w10:wrap type="none"/>
            <w10:anchorlock/>
          </v:shape>
          <o:OLEObject Type="Embed" ProgID="Equation.KSEE3" ShapeID="_x0000_i1040" DrawAspect="Content" ObjectID="_1468075740" r:id="rId31">
            <o:LockedField>false</o:LockedField>
          </o:OLEObject>
        </w:object>
      </w:r>
      <w:r>
        <w:rPr>
          <w:rFonts w:ascii="Calibri" w:hAnsi="Calibri" w:cs="Calibri"/>
          <w:lang w:val="en-GB"/>
        </w:rPr>
        <w:t xml:space="preserve"> </w:t>
      </w:r>
      <w:r>
        <w:rPr>
          <w:rFonts w:ascii="Calibri" w:hAnsi="Calibri" w:cs="Calibri"/>
          <w:lang w:val="en-GB"/>
        </w:rPr>
        <w:tab/>
      </w:r>
      <w:r>
        <w:rPr>
          <w:rFonts w:ascii="Calibri" w:hAnsi="Calibri" w:cs="Calibri"/>
          <w:lang w:val="en-GB"/>
        </w:rPr>
        <w:tab/>
      </w:r>
      <w:r>
        <w:rPr>
          <w:rFonts w:ascii="Calibri" w:hAnsi="Calibri" w:cs="Calibri"/>
          <w:i/>
          <w:iCs/>
          <w:sz w:val="20"/>
          <w:szCs w:val="20"/>
          <w:lang w:val="en-GB"/>
        </w:rPr>
        <w:t>Eq. 4</w:t>
      </w:r>
    </w:p>
    <w:p>
      <w:pPr>
        <w:pStyle w:val="17"/>
        <w:spacing w:line="240" w:lineRule="auto"/>
        <w:jc w:val="both"/>
        <w:rPr>
          <w:rFonts w:ascii="Calibri" w:hAnsi="Calibri" w:cs="Calibri"/>
          <w:lang w:val="en-GB"/>
        </w:rPr>
      </w:pPr>
    </w:p>
    <w:p>
      <w:pPr>
        <w:pStyle w:val="17"/>
        <w:spacing w:line="240" w:lineRule="auto"/>
        <w:jc w:val="both"/>
        <w:rPr>
          <w:rFonts w:ascii="Calibri" w:hAnsi="Calibri" w:cs="Calibri"/>
          <w:lang w:val="en-GB"/>
        </w:rPr>
      </w:pPr>
      <w:r>
        <w:rPr>
          <w:rFonts w:ascii="Calibri" w:hAnsi="Calibri" w:cs="Calibri"/>
          <w:lang w:val="en-GB"/>
        </w:rPr>
        <w:t xml:space="preserve">Note that the number of unknown parameters in </w:t>
      </w:r>
      <w:r>
        <w:rPr>
          <w:rFonts w:ascii="Calibri" w:hAnsi="Calibri" w:cs="Calibri"/>
          <w:position w:val="-8"/>
          <w:lang w:val="en-GB"/>
        </w:rPr>
        <w:object>
          <v:shape id="_x0000_i1041" o:spt="75" type="#_x0000_t75" style="height:15.05pt;width:28.15pt;" o:ole="t" filled="f" o:preferrelative="t" stroked="f" coordsize="21600,21600">
            <v:path/>
            <v:fill on="f" focussize="0,0"/>
            <v:stroke on="f" joinstyle="miter"/>
            <v:imagedata r:id="rId34" o:title=""/>
            <o:lock v:ext="edit" aspectratio="t"/>
            <w10:wrap type="none"/>
            <w10:anchorlock/>
          </v:shape>
          <o:OLEObject Type="Embed" ProgID="Equation.KSEE3" ShapeID="_x0000_i1041" DrawAspect="Content" ObjectID="_1468075741" r:id="rId33">
            <o:LockedField>false</o:LockedField>
          </o:OLEObject>
        </w:object>
      </w:r>
      <w:r>
        <w:rPr>
          <w:rFonts w:ascii="Calibri" w:hAnsi="Calibri" w:cs="Calibri"/>
          <w:lang w:val="en-GB"/>
        </w:rPr>
        <w:t xml:space="preserve"> is now </w:t>
      </w:r>
      <w:r>
        <w:rPr>
          <w:rFonts w:ascii="Calibri" w:hAnsi="Calibri" w:cs="Calibri"/>
          <w:i/>
          <w:iCs/>
          <w:lang w:val="en-GB"/>
        </w:rPr>
        <w:t>Q</w:t>
      </w:r>
      <w:r>
        <w:rPr>
          <w:rFonts w:ascii="Calibri" w:hAnsi="Calibri" w:cs="Calibri"/>
          <w:lang w:val="en-GB"/>
        </w:rPr>
        <w:t xml:space="preserve">, as opposed to </w:t>
      </w:r>
      <w:r>
        <w:rPr>
          <w:rFonts w:ascii="Calibri" w:hAnsi="Calibri" w:cs="Calibri"/>
          <w:i/>
          <w:iCs/>
          <w:lang w:val="en-GB"/>
        </w:rPr>
        <w:t>Q</w:t>
      </w:r>
      <w:r>
        <w:rPr>
          <w:rFonts w:ascii="Calibri" w:hAnsi="Calibri" w:cs="Calibri"/>
          <w:lang w:val="en-GB"/>
        </w:rPr>
        <w:t>(</w:t>
      </w:r>
      <w:r>
        <w:rPr>
          <w:rFonts w:ascii="Calibri" w:hAnsi="Calibri" w:cs="Calibri"/>
          <w:i/>
          <w:iCs/>
          <w:lang w:val="en-GB"/>
        </w:rPr>
        <w:t>Q</w:t>
      </w:r>
      <w:r>
        <w:rPr>
          <w:rFonts w:ascii="Calibri" w:hAnsi="Calibri" w:cs="Calibri"/>
          <w:lang w:val="en-GB"/>
        </w:rPr>
        <w:t xml:space="preserve">+1)/2 in </w:t>
      </w:r>
      <w:r>
        <w:rPr>
          <w:rFonts w:ascii="Calibri" w:hAnsi="Calibri" w:cs="Calibri"/>
          <w:b/>
          <w:bCs/>
          <w:lang w:val="en-GB"/>
        </w:rPr>
        <w:t>S</w:t>
      </w:r>
      <w:r>
        <w:rPr>
          <w:rFonts w:ascii="Calibri" w:hAnsi="Calibri" w:cs="Calibri"/>
          <w:lang w:val="en-GB"/>
        </w:rPr>
        <w:t>. The final test statistic, say T</w:t>
      </w:r>
      <w:r>
        <w:rPr>
          <w:rFonts w:ascii="Calibri" w:hAnsi="Calibri" w:cs="Calibri"/>
          <w:vertAlign w:val="superscript"/>
          <w:lang w:val="en-GB"/>
        </w:rPr>
        <w:t>2</w:t>
      </w:r>
      <w:r>
        <w:rPr>
          <w:rFonts w:ascii="Calibri" w:hAnsi="Calibri" w:cs="Calibri"/>
          <w:vertAlign w:val="subscript"/>
          <w:lang w:val="en-GB"/>
        </w:rPr>
        <w:t>Toep</w:t>
      </w:r>
      <w:r>
        <w:rPr>
          <w:rFonts w:ascii="Calibri" w:hAnsi="Calibri" w:cs="Calibri"/>
          <w:lang w:val="en-GB"/>
        </w:rPr>
        <w:t xml:space="preserve"> , is given by </w:t>
      </w:r>
      <w:r>
        <w:rPr>
          <w:rFonts w:ascii="Calibri" w:hAnsi="Calibri" w:cs="Calibri"/>
          <w:i/>
          <w:iCs/>
          <w:lang w:val="en-GB"/>
        </w:rPr>
        <w:t>Eq. 1</w:t>
      </w:r>
      <w:r>
        <w:rPr>
          <w:rFonts w:ascii="Calibri" w:hAnsi="Calibri" w:cs="Calibri"/>
          <w:lang w:val="en-GB"/>
        </w:rPr>
        <w:t xml:space="preserve">, after replacing  </w:t>
      </w:r>
      <w:r>
        <w:rPr>
          <w:rFonts w:ascii="Calibri" w:hAnsi="Calibri" w:cs="Calibri"/>
          <w:b/>
          <w:bCs/>
          <w:lang w:val="en-GB"/>
        </w:rPr>
        <w:t>S</w:t>
      </w:r>
      <w:r>
        <w:rPr>
          <w:rFonts w:ascii="Calibri" w:hAnsi="Calibri" w:cs="Calibri"/>
          <w:lang w:val="en-GB"/>
        </w:rPr>
        <w:t xml:space="preserve">  with </w:t>
      </w:r>
      <w:r>
        <w:rPr>
          <w:rFonts w:ascii="Calibri" w:hAnsi="Calibri" w:cs="Calibri"/>
          <w:position w:val="-8"/>
          <w:lang w:val="en-GB"/>
        </w:rPr>
        <w:object>
          <v:shape id="_x0000_i1042" o:spt="75" type="#_x0000_t75" style="height:15.05pt;width:28.15pt;" o:ole="t" filled="f" o:preferrelative="t" stroked="f" coordsize="21600,21600">
            <v:path/>
            <v:fill on="f" focussize="0,0"/>
            <v:stroke on="f" joinstyle="miter"/>
            <v:imagedata r:id="rId36" o:title=""/>
            <o:lock v:ext="edit" aspectratio="t"/>
            <w10:wrap type="none"/>
            <w10:anchorlock/>
          </v:shape>
          <o:OLEObject Type="Embed" ProgID="Equation.KSEE3" ShapeID="_x0000_i1042" DrawAspect="Content" ObjectID="_1468075742" r:id="rId35">
            <o:LockedField>false</o:LockedField>
          </o:OLEObject>
        </w:object>
      </w:r>
      <w:r>
        <w:rPr>
          <w:rFonts w:ascii="Calibri" w:hAnsi="Calibri" w:cs="Calibri"/>
          <w:lang w:val="en-GB"/>
        </w:rPr>
        <w:t xml:space="preserve">: </w:t>
      </w:r>
    </w:p>
    <w:p>
      <w:pPr>
        <w:pStyle w:val="17"/>
        <w:spacing w:line="240" w:lineRule="auto"/>
        <w:jc w:val="both"/>
        <w:rPr>
          <w:rFonts w:ascii="Calibri" w:hAnsi="Calibri" w:cs="Calibri"/>
          <w:lang w:val="en-GB"/>
        </w:rPr>
      </w:pPr>
    </w:p>
    <w:p>
      <w:pPr>
        <w:pStyle w:val="17"/>
        <w:spacing w:line="240" w:lineRule="auto"/>
        <w:jc w:val="both"/>
        <w:rPr>
          <w:rFonts w:ascii="Calibri" w:hAnsi="Calibri" w:cs="Calibri"/>
          <w:lang w:val="en-GB"/>
        </w:rPr>
      </w:pPr>
      <w:r>
        <w:rPr>
          <w:rFonts w:ascii="Calibri" w:hAnsi="Calibri" w:cs="Calibri"/>
          <w:position w:val="-14"/>
        </w:rPr>
        <w:object>
          <v:shape id="_x0000_i1043" o:spt="75" type="#_x0000_t75" style="height:20.8pt;width:146.1pt;" o:ole="t" filled="f" o:preferrelative="t" stroked="f" coordsize="21600,21600">
            <v:path/>
            <v:fill on="f" focussize="0,0"/>
            <v:stroke on="f"/>
            <v:imagedata r:id="rId38" o:title=""/>
            <o:lock v:ext="edit" aspectratio="t"/>
            <w10:wrap type="none"/>
            <w10:anchorlock/>
          </v:shape>
          <o:OLEObject Type="Embed" ProgID="Equation.KSEE3" ShapeID="_x0000_i1043" DrawAspect="Content" ObjectID="_1468075743" r:id="rId37">
            <o:LockedField>false</o:LockedField>
          </o:OLEObject>
        </w:object>
      </w:r>
      <w:r>
        <w:rPr>
          <w:rFonts w:ascii="Calibri" w:hAnsi="Calibri" w:cs="Calibri"/>
          <w:position w:val="-10"/>
          <w:lang w:val="en-GB"/>
        </w:rPr>
        <w:t xml:space="preserve"> </w:t>
      </w:r>
      <w:r>
        <w:rPr>
          <w:rFonts w:ascii="Calibri" w:hAnsi="Calibri" w:cs="Calibri"/>
          <w:position w:val="-10"/>
          <w:lang w:val="en-GB"/>
        </w:rPr>
        <w:tab/>
      </w:r>
      <w:r>
        <w:rPr>
          <w:rFonts w:ascii="Calibri" w:hAnsi="Calibri" w:cs="Calibri"/>
          <w:i/>
          <w:iCs/>
          <w:position w:val="-10"/>
          <w:lang w:val="en-GB"/>
        </w:rPr>
        <w:t>Eq. 5</w:t>
      </w:r>
    </w:p>
    <w:p>
      <w:pPr>
        <w:pStyle w:val="17"/>
        <w:spacing w:line="240" w:lineRule="auto"/>
        <w:jc w:val="both"/>
        <w:rPr>
          <w:rFonts w:ascii="Calibri" w:hAnsi="Calibri" w:cs="Calibri"/>
          <w:lang w:val="en-GB"/>
        </w:rPr>
      </w:pPr>
    </w:p>
    <w:p>
      <w:pPr>
        <w:pStyle w:val="17"/>
        <w:spacing w:line="240" w:lineRule="auto"/>
        <w:jc w:val="both"/>
        <w:rPr>
          <w:rFonts w:ascii="Calibri" w:hAnsi="Calibri" w:cs="Calibri"/>
          <w:lang w:val="en-GB"/>
        </w:rPr>
      </w:pPr>
      <w:r>
        <w:rPr>
          <w:rFonts w:ascii="Calibri" w:hAnsi="Calibri" w:cs="Calibri"/>
          <w:lang w:val="en-GB"/>
        </w:rPr>
        <w:t xml:space="preserve">The degrees of freedom for this modified version of </w:t>
      </w:r>
      <w:r>
        <w:rPr>
          <w:rFonts w:ascii="Calibri" w:hAnsi="Calibri" w:cs="Calibri"/>
          <w:sz w:val="22"/>
          <w:szCs w:val="22"/>
          <w:lang w:val="en-GB"/>
        </w:rPr>
        <w:t>HT</w:t>
      </w:r>
      <w:r>
        <w:rPr>
          <w:rFonts w:ascii="Calibri" w:hAnsi="Calibri" w:cs="Calibri"/>
          <w:sz w:val="22"/>
          <w:szCs w:val="22"/>
          <w:vertAlign w:val="superscript"/>
          <w:lang w:val="en-GB"/>
        </w:rPr>
        <w:t>2</w:t>
      </w:r>
      <w:r>
        <w:rPr>
          <w:rFonts w:hint="default" w:ascii="Calibri" w:hAnsi="Calibri" w:cs="Calibri"/>
          <w:sz w:val="22"/>
          <w:szCs w:val="22"/>
          <w:lang w:val="en-GB"/>
        </w:rPr>
        <w:t xml:space="preserve"> </w:t>
      </w:r>
      <w:r>
        <w:rPr>
          <w:rFonts w:ascii="Calibri" w:hAnsi="Calibri" w:cs="Calibri"/>
          <w:lang w:val="en-GB"/>
        </w:rPr>
        <w:t xml:space="preserve">test </w:t>
      </w:r>
      <w:r>
        <w:rPr>
          <w:rFonts w:hint="default" w:ascii="Calibri" w:hAnsi="Calibri" w:cs="Calibri"/>
          <w:lang w:val="en-GB"/>
        </w:rPr>
        <w:t xml:space="preserve">differ from the conventional </w:t>
      </w:r>
      <w:r>
        <w:rPr>
          <w:rFonts w:ascii="Calibri" w:hAnsi="Calibri" w:cs="Calibri"/>
          <w:sz w:val="22"/>
          <w:szCs w:val="22"/>
          <w:lang w:val="en-GB"/>
        </w:rPr>
        <w:t>HT</w:t>
      </w:r>
      <w:r>
        <w:rPr>
          <w:rFonts w:ascii="Calibri" w:hAnsi="Calibri" w:cs="Calibri"/>
          <w:sz w:val="22"/>
          <w:szCs w:val="22"/>
          <w:vertAlign w:val="superscript"/>
          <w:lang w:val="en-GB"/>
        </w:rPr>
        <w:t>2</w:t>
      </w:r>
      <w:r>
        <w:rPr>
          <w:rFonts w:hint="default" w:ascii="Calibri" w:hAnsi="Calibri" w:cs="Calibri"/>
          <w:lang w:val="en-GB"/>
        </w:rPr>
        <w:t xml:space="preserve"> test</w:t>
      </w:r>
      <w:r>
        <w:rPr>
          <w:rFonts w:ascii="Calibri" w:hAnsi="Calibri" w:cs="Calibri"/>
          <w:lang w:val="en-GB"/>
        </w:rPr>
        <w:t xml:space="preserve">, which prevents the convenient use of the F-statistic usually employed with </w:t>
      </w:r>
      <w:r>
        <w:rPr>
          <w:rFonts w:ascii="Calibri" w:hAnsi="Calibri" w:cs="Calibri"/>
          <w:sz w:val="22"/>
          <w:szCs w:val="22"/>
          <w:lang w:val="en-GB"/>
        </w:rPr>
        <w:t>HT</w:t>
      </w:r>
      <w:r>
        <w:rPr>
          <w:rFonts w:ascii="Calibri" w:hAnsi="Calibri" w:cs="Calibri"/>
          <w:sz w:val="22"/>
          <w:szCs w:val="22"/>
          <w:vertAlign w:val="superscript"/>
          <w:lang w:val="en-GB"/>
        </w:rPr>
        <w:t>2</w:t>
      </w:r>
      <w:r>
        <w:rPr>
          <w:rFonts w:ascii="Calibri" w:hAnsi="Calibri" w:cs="Calibri"/>
          <w:lang w:val="en-GB"/>
        </w:rPr>
        <w:t xml:space="preserve">, but the bootstrap approach provides a simple, albeit computationally intensive, alternative (Section 2.2.4). </w:t>
      </w:r>
    </w:p>
    <w:p>
      <w:pPr>
        <w:pStyle w:val="17"/>
        <w:spacing w:line="240" w:lineRule="auto"/>
        <w:jc w:val="both"/>
        <w:rPr>
          <w:rFonts w:ascii="Calibri" w:hAnsi="Calibri" w:cs="Calibri"/>
          <w:lang w:val="en-GB"/>
        </w:rPr>
      </w:pPr>
    </w:p>
    <w:p>
      <w:pPr>
        <w:pStyle w:val="17"/>
        <w:spacing w:line="240" w:lineRule="auto"/>
        <w:jc w:val="both"/>
        <w:rPr>
          <w:rFonts w:ascii="Calibri" w:hAnsi="Calibri" w:cs="Calibri"/>
          <w:lang w:val="en-GB"/>
        </w:rPr>
      </w:pPr>
      <w:r>
        <w:rPr>
          <w:rFonts w:ascii="Calibri" w:hAnsi="Calibri" w:cs="Calibri"/>
          <w:u w:val="single"/>
          <w:lang w:val="en-GB"/>
        </w:rPr>
        <w:t>(b) Frequency domain modification T</w:t>
      </w:r>
      <w:r>
        <w:rPr>
          <w:rFonts w:ascii="Calibri" w:hAnsi="Calibri" w:cs="Calibri"/>
          <w:u w:val="single"/>
          <w:vertAlign w:val="superscript"/>
          <w:lang w:val="en-GB"/>
        </w:rPr>
        <w:t>2</w:t>
      </w:r>
      <w:r>
        <w:rPr>
          <w:rFonts w:ascii="Calibri" w:hAnsi="Calibri" w:cs="Calibri"/>
          <w:u w:val="single"/>
          <w:vertAlign w:val="subscript"/>
          <w:lang w:val="en-GB"/>
        </w:rPr>
        <w:t>Diag</w:t>
      </w:r>
    </w:p>
    <w:p>
      <w:pPr>
        <w:pStyle w:val="17"/>
        <w:spacing w:line="240" w:lineRule="auto"/>
        <w:jc w:val="both"/>
        <w:rPr>
          <w:rFonts w:ascii="Calibri" w:hAnsi="Calibri" w:cs="Calibri"/>
          <w:lang w:val="en-GB"/>
        </w:rPr>
      </w:pPr>
      <w:r>
        <w:rPr>
          <w:rFonts w:ascii="Calibri" w:hAnsi="Calibri" w:cs="Calibri"/>
          <w:lang w:val="en-GB"/>
        </w:rPr>
        <w:t xml:space="preserve">For the frequency domain </w:t>
      </w:r>
      <w:r>
        <w:rPr>
          <w:rFonts w:ascii="Calibri" w:hAnsi="Calibri" w:cs="Calibri"/>
          <w:sz w:val="22"/>
          <w:szCs w:val="22"/>
          <w:lang w:val="en-GB"/>
        </w:rPr>
        <w:t>HT</w:t>
      </w:r>
      <w:r>
        <w:rPr>
          <w:rFonts w:ascii="Calibri" w:hAnsi="Calibri" w:cs="Calibri"/>
          <w:sz w:val="22"/>
          <w:szCs w:val="22"/>
          <w:vertAlign w:val="superscript"/>
          <w:lang w:val="en-GB"/>
        </w:rPr>
        <w:t>2</w:t>
      </w:r>
      <w:r>
        <w:rPr>
          <w:rFonts w:hint="default" w:ascii="Calibri" w:hAnsi="Calibri" w:cs="Calibri"/>
          <w:sz w:val="22"/>
          <w:szCs w:val="22"/>
          <w:lang w:val="en-GB"/>
        </w:rPr>
        <w:t xml:space="preserve"> </w:t>
      </w:r>
      <w:r>
        <w:rPr>
          <w:rFonts w:ascii="Calibri" w:hAnsi="Calibri" w:cs="Calibri"/>
          <w:lang w:val="en-GB"/>
        </w:rPr>
        <w:t>modification, the asymptotic independence between spectral bands and real and imaginary components, expected from theory for stationary signals, is exploited. This leads to all covariances being zero, giving the following diagonal covariance matrix:</w:t>
      </w:r>
    </w:p>
    <w:p>
      <w:pPr>
        <w:pStyle w:val="17"/>
        <w:spacing w:line="240" w:lineRule="auto"/>
        <w:jc w:val="both"/>
        <w:rPr>
          <w:rFonts w:ascii="Calibri" w:hAnsi="Calibri" w:cs="Calibri"/>
          <w:lang w:val="en-GB"/>
        </w:rPr>
      </w:pPr>
    </w:p>
    <w:p>
      <w:pPr>
        <w:pStyle w:val="17"/>
        <w:spacing w:line="240" w:lineRule="auto"/>
        <w:jc w:val="both"/>
        <w:rPr>
          <w:rFonts w:ascii="Calibri" w:hAnsi="Calibri" w:cs="Calibri"/>
          <w:lang w:val="en-GB"/>
        </w:rPr>
      </w:pPr>
      <w:r>
        <w:rPr>
          <w:rFonts w:ascii="Calibri" w:hAnsi="Calibri" w:cs="Calibri"/>
          <w:position w:val="-84"/>
          <w:lang w:val="en-GB"/>
        </w:rPr>
        <w:object>
          <v:shape id="_x0000_i1044" o:spt="75" type="#_x0000_t75" style="height:89.9pt;width:181.1pt;" o:ole="t" filled="f" o:preferrelative="t" stroked="f" coordsize="21600,21600">
            <v:path/>
            <v:fill on="f" focussize="0,0"/>
            <v:stroke on="f" joinstyle="miter"/>
            <v:imagedata r:id="rId40" o:title=""/>
            <o:lock v:ext="edit" aspectratio="t"/>
            <w10:wrap type="none"/>
            <w10:anchorlock/>
          </v:shape>
          <o:OLEObject Type="Embed" ProgID="Equation.KSEE3" ShapeID="_x0000_i1044" DrawAspect="Content" ObjectID="_1468075744" r:id="rId39">
            <o:LockedField>false</o:LockedField>
          </o:OLEObject>
        </w:object>
      </w:r>
      <w:r>
        <w:rPr>
          <w:rFonts w:ascii="Calibri" w:hAnsi="Calibri" w:cs="Calibri"/>
          <w:lang w:val="en-GB"/>
        </w:rPr>
        <w:t xml:space="preserve"> </w:t>
      </w:r>
      <w:r>
        <w:rPr>
          <w:rFonts w:ascii="Calibri" w:hAnsi="Calibri" w:cs="Calibri"/>
          <w:lang w:val="en-GB"/>
        </w:rPr>
        <w:tab/>
      </w:r>
      <w:r>
        <w:rPr>
          <w:rFonts w:ascii="Calibri" w:hAnsi="Calibri" w:cs="Calibri"/>
          <w:i/>
          <w:iCs/>
          <w:lang w:val="en-GB"/>
        </w:rPr>
        <w:t>Eq. 6</w:t>
      </w:r>
    </w:p>
    <w:p>
      <w:pPr>
        <w:pStyle w:val="17"/>
        <w:spacing w:line="240" w:lineRule="auto"/>
        <w:jc w:val="both"/>
        <w:rPr>
          <w:rFonts w:ascii="Calibri" w:hAnsi="Calibri" w:cs="Calibri"/>
          <w:lang w:val="en-GB"/>
        </w:rPr>
      </w:pPr>
    </w:p>
    <w:p>
      <w:pPr>
        <w:pStyle w:val="17"/>
        <w:spacing w:line="240" w:lineRule="auto"/>
        <w:jc w:val="both"/>
        <w:rPr>
          <w:rFonts w:ascii="Calibri" w:hAnsi="Calibri" w:cs="Calibri"/>
          <w:lang w:val="en-GB"/>
        </w:rPr>
      </w:pPr>
      <w:r>
        <w:rPr>
          <w:rFonts w:ascii="Calibri" w:hAnsi="Calibri" w:cs="Calibri"/>
          <w:lang w:val="en-GB"/>
        </w:rPr>
        <w:t xml:space="preserve">where </w:t>
      </w:r>
      <w:r>
        <w:rPr>
          <w:rFonts w:ascii="Calibri" w:hAnsi="Calibri" w:cs="Calibri"/>
          <w:position w:val="-6"/>
          <w:lang w:val="en-GB"/>
        </w:rPr>
        <w:object>
          <v:shape id="_x0000_i1045" o:spt="75" type="#_x0000_t75" style="height:13.1pt;width:13.1pt;" o:ole="t" filled="f" o:preferrelative="t" stroked="f" coordsize="21600,21600">
            <v:path/>
            <v:fill on="f" focussize="0,0"/>
            <v:stroke on="f" joinstyle="miter"/>
            <v:imagedata r:id="rId42" o:title=""/>
            <o:lock v:ext="edit" aspectratio="t"/>
            <w10:wrap type="none"/>
            <w10:anchorlock/>
          </v:shape>
          <o:OLEObject Type="Embed" ProgID="Equation.KSEE3" ShapeID="_x0000_i1045" DrawAspect="Content" ObjectID="_1468075745" r:id="rId41">
            <o:LockedField>false</o:LockedField>
          </o:OLEObject>
        </w:object>
      </w:r>
      <w:r>
        <w:rPr>
          <w:rFonts w:ascii="Calibri" w:hAnsi="Calibri" w:cs="Calibri"/>
          <w:lang w:val="en-GB"/>
        </w:rPr>
        <w:t xml:space="preserve"> is the variance of the </w:t>
      </w:r>
      <w:r>
        <w:rPr>
          <w:rFonts w:ascii="Calibri" w:hAnsi="Calibri" w:cs="Calibri"/>
          <w:i/>
          <w:iCs/>
          <w:lang w:val="en-GB"/>
        </w:rPr>
        <w:t>i</w:t>
      </w:r>
      <w:r>
        <w:rPr>
          <w:rFonts w:ascii="Calibri" w:hAnsi="Calibri" w:cs="Calibri"/>
          <w:vertAlign w:val="superscript"/>
          <w:lang w:val="en-GB"/>
        </w:rPr>
        <w:t>th</w:t>
      </w:r>
      <w:r>
        <w:rPr>
          <w:rFonts w:ascii="Calibri" w:hAnsi="Calibri" w:cs="Calibri"/>
          <w:lang w:val="en-GB"/>
        </w:rPr>
        <w:t xml:space="preserve"> feature, e.g. </w:t>
      </w:r>
      <w:r>
        <w:rPr>
          <w:rFonts w:ascii="Calibri" w:hAnsi="Calibri" w:cs="Calibri"/>
          <w:position w:val="-6"/>
          <w:lang w:val="en-GB"/>
        </w:rPr>
        <w:object>
          <v:shape id="_x0000_i1046" o:spt="75" type="#_x0000_t75" style="height:13.1pt;width:13.1pt;" o:ole="t" filled="f" o:preferrelative="t" stroked="f" coordsize="21600,21600">
            <v:path/>
            <v:fill on="f" focussize="0,0"/>
            <v:stroke on="f" joinstyle="miter"/>
            <v:imagedata r:id="rId44" o:title=""/>
            <o:lock v:ext="edit" aspectratio="t"/>
            <w10:wrap type="none"/>
            <w10:anchorlock/>
          </v:shape>
          <o:OLEObject Type="Embed" ProgID="Equation.KSEE3" ShapeID="_x0000_i1046" DrawAspect="Content" ObjectID="_1468075746" r:id="rId43">
            <o:LockedField>false</o:LockedField>
          </o:OLEObject>
        </w:object>
      </w:r>
      <w:r>
        <w:rPr>
          <w:rFonts w:ascii="Calibri" w:hAnsi="Calibri" w:cs="Calibri"/>
          <w:lang w:val="en-GB"/>
        </w:rPr>
        <w:t xml:space="preserve"> and </w:t>
      </w:r>
      <w:r>
        <w:rPr>
          <w:rFonts w:ascii="Calibri" w:hAnsi="Calibri" w:cs="Calibri"/>
          <w:position w:val="-6"/>
          <w:lang w:val="en-GB"/>
        </w:rPr>
        <w:object>
          <v:shape id="_x0000_i1047" o:spt="75" type="#_x0000_t75" style="height:13.1pt;width:15.05pt;" o:ole="t" filled="f" o:preferrelative="t" stroked="f" coordsize="21600,21600">
            <v:path/>
            <v:fill on="f" focussize="0,0"/>
            <v:stroke on="f" joinstyle="miter"/>
            <v:imagedata r:id="rId46" o:title=""/>
            <o:lock v:ext="edit" aspectratio="t"/>
            <w10:wrap type="none"/>
            <w10:anchorlock/>
          </v:shape>
          <o:OLEObject Type="Embed" ProgID="Equation.KSEE3" ShapeID="_x0000_i1047" DrawAspect="Content" ObjectID="_1468075747" r:id="rId45">
            <o:LockedField>false</o:LockedField>
          </o:OLEObject>
        </w:object>
      </w:r>
      <w:r>
        <w:rPr>
          <w:rFonts w:ascii="Calibri" w:hAnsi="Calibri" w:cs="Calibri"/>
          <w:lang w:val="en-GB"/>
        </w:rPr>
        <w:t xml:space="preserve"> would be the variance of the real and imaginary parts, respectively, of the Fourier components of the 1</w:t>
      </w:r>
      <w:r>
        <w:rPr>
          <w:rFonts w:ascii="Calibri" w:hAnsi="Calibri" w:cs="Calibri"/>
          <w:vertAlign w:val="superscript"/>
          <w:lang w:val="en-GB"/>
        </w:rPr>
        <w:t>st</w:t>
      </w:r>
      <w:r>
        <w:rPr>
          <w:rFonts w:ascii="Calibri" w:hAnsi="Calibri" w:cs="Calibri"/>
          <w:lang w:val="en-GB"/>
        </w:rPr>
        <w:t xml:space="preserve"> spectral band (the ~1.43 Hz band), </w:t>
      </w:r>
      <w:r>
        <w:rPr>
          <w:rFonts w:ascii="Calibri" w:hAnsi="Calibri" w:cs="Calibri"/>
          <w:position w:val="-6"/>
          <w:lang w:val="en-GB"/>
        </w:rPr>
        <w:object>
          <v:shape id="_x0000_i1048" o:spt="75" type="#_x0000_t75" style="height:13.1pt;width:15.05pt;" o:ole="t" filled="f" o:preferrelative="t" stroked="f" coordsize="21600,21600">
            <v:path/>
            <v:fill on="f" focussize="0,0"/>
            <v:stroke on="f" joinstyle="miter"/>
            <v:imagedata r:id="rId48" o:title=""/>
            <o:lock v:ext="edit" aspectratio="t"/>
            <w10:wrap type="none"/>
            <w10:anchorlock/>
          </v:shape>
          <o:OLEObject Type="Embed" ProgID="Equation.KSEE3" ShapeID="_x0000_i1048" DrawAspect="Content" ObjectID="_1468075748" r:id="rId47">
            <o:LockedField>false</o:LockedField>
          </o:OLEObject>
        </w:object>
      </w:r>
      <w:r>
        <w:rPr>
          <w:rFonts w:ascii="Calibri" w:hAnsi="Calibri" w:cs="Calibri"/>
          <w:lang w:val="en-GB"/>
        </w:rPr>
        <w:t xml:space="preserve"> and </w:t>
      </w:r>
      <w:r>
        <w:rPr>
          <w:rFonts w:ascii="Calibri" w:hAnsi="Calibri" w:cs="Calibri"/>
          <w:position w:val="-6"/>
          <w:lang w:val="en-GB"/>
        </w:rPr>
        <w:object>
          <v:shape id="_x0000_i1049" o:spt="75" type="#_x0000_t75" style="height:13.1pt;width:15.05pt;" o:ole="t" filled="f" o:preferrelative="t" stroked="f" coordsize="21600,21600">
            <v:path/>
            <v:fill on="f" focussize="0,0"/>
            <v:stroke on="f" joinstyle="miter"/>
            <v:imagedata r:id="rId50" o:title=""/>
            <o:lock v:ext="edit" aspectratio="t"/>
            <w10:wrap type="none"/>
            <w10:anchorlock/>
          </v:shape>
          <o:OLEObject Type="Embed" ProgID="Equation.KSEE3" ShapeID="_x0000_i1049" DrawAspect="Content" ObjectID="_1468075749" r:id="rId49">
            <o:LockedField>false</o:LockedField>
          </o:OLEObject>
        </w:object>
      </w:r>
      <w:r>
        <w:rPr>
          <w:rFonts w:ascii="Calibri" w:hAnsi="Calibri" w:cs="Calibri"/>
          <w:lang w:val="en-GB"/>
        </w:rPr>
        <w:t xml:space="preserve"> would be the variances of the real and imaginary parts, respectively, of the second spectral band (~2.66 Hz), etc. </w:t>
      </w:r>
    </w:p>
    <w:p>
      <w:pPr>
        <w:pStyle w:val="17"/>
        <w:spacing w:line="240" w:lineRule="auto"/>
        <w:jc w:val="both"/>
        <w:rPr>
          <w:rFonts w:ascii="Calibri" w:hAnsi="Calibri" w:cs="Calibri"/>
          <w:lang w:val="en-GB"/>
        </w:rPr>
      </w:pPr>
    </w:p>
    <w:p>
      <w:pPr>
        <w:pStyle w:val="17"/>
        <w:spacing w:line="240" w:lineRule="auto"/>
        <w:jc w:val="both"/>
        <w:rPr>
          <w:rFonts w:ascii="Calibri" w:hAnsi="Calibri" w:cs="Calibri"/>
          <w:lang w:val="en-GB"/>
        </w:rPr>
      </w:pPr>
      <w:r>
        <w:rPr>
          <w:rFonts w:ascii="Calibri" w:hAnsi="Calibri" w:cs="Calibri"/>
          <w:lang w:val="en-GB"/>
        </w:rPr>
        <w:t>Additional analysis presented in the Supplemental Digital Content shows that the SNR was not equal across spectral bands, which suggests that it may be beneficial to include band-specific weights, with larger weights being placed on the high SNR bands relative to the low SNR bands. The weighted T</w:t>
      </w:r>
      <w:r>
        <w:rPr>
          <w:rFonts w:ascii="Calibri" w:hAnsi="Calibri" w:cs="Calibri"/>
          <w:vertAlign w:val="superscript"/>
          <w:lang w:val="en-GB"/>
        </w:rPr>
        <w:t>2</w:t>
      </w:r>
      <w:r>
        <w:rPr>
          <w:rFonts w:ascii="Calibri" w:hAnsi="Calibri" w:cs="Calibri"/>
          <w:lang w:val="en-GB"/>
        </w:rPr>
        <w:t xml:space="preserve"> statistic is then given by:</w:t>
      </w:r>
    </w:p>
    <w:p>
      <w:pPr>
        <w:pStyle w:val="17"/>
        <w:spacing w:line="240" w:lineRule="auto"/>
        <w:jc w:val="both"/>
        <w:rPr>
          <w:rFonts w:ascii="Calibri" w:hAnsi="Calibri" w:cs="Calibri"/>
          <w:lang w:val="en-GB"/>
        </w:rPr>
      </w:pPr>
    </w:p>
    <w:p>
      <w:pPr>
        <w:pStyle w:val="17"/>
        <w:spacing w:line="240" w:lineRule="auto"/>
        <w:jc w:val="both"/>
        <w:rPr>
          <w:rFonts w:ascii="Calibri" w:hAnsi="Calibri" w:cs="Calibri"/>
          <w:lang w:val="en-GB"/>
        </w:rPr>
      </w:pPr>
      <w:r>
        <w:rPr>
          <w:rFonts w:ascii="Calibri" w:hAnsi="Calibri" w:cs="Calibri"/>
          <w:position w:val="-14"/>
        </w:rPr>
        <w:object>
          <v:shape id="_x0000_i1050" o:spt="75" type="#_x0000_t75" style="height:20.8pt;width:161pt;" o:ole="t" filled="f" o:preferrelative="t" stroked="f" coordsize="21600,21600">
            <v:path/>
            <v:fill on="f" focussize="0,0"/>
            <v:stroke on="f"/>
            <v:imagedata r:id="rId52" o:title=""/>
            <o:lock v:ext="edit" aspectratio="t"/>
            <w10:wrap type="none"/>
            <w10:anchorlock/>
          </v:shape>
          <o:OLEObject Type="Embed" ProgID="Equation.KSEE3" ShapeID="_x0000_i1050" DrawAspect="Content" ObjectID="_1468075750" r:id="rId51">
            <o:LockedField>false</o:LockedField>
          </o:OLEObject>
        </w:object>
      </w:r>
      <w:r>
        <w:rPr>
          <w:rFonts w:ascii="Calibri" w:hAnsi="Calibri" w:cs="Calibri"/>
          <w:lang w:val="en-GB"/>
        </w:rPr>
        <w:t xml:space="preserve">  </w:t>
      </w:r>
      <w:r>
        <w:rPr>
          <w:rFonts w:ascii="Calibri" w:hAnsi="Calibri" w:cs="Calibri"/>
          <w:lang w:val="en-GB"/>
        </w:rPr>
        <w:tab/>
      </w:r>
      <w:r>
        <w:rPr>
          <w:rFonts w:ascii="Calibri" w:hAnsi="Calibri" w:cs="Calibri"/>
          <w:i/>
          <w:iCs/>
          <w:lang w:val="en-GB"/>
        </w:rPr>
        <w:t>Eq. 7</w:t>
      </w:r>
    </w:p>
    <w:p>
      <w:pPr>
        <w:pStyle w:val="17"/>
        <w:spacing w:line="240" w:lineRule="auto"/>
        <w:jc w:val="both"/>
        <w:rPr>
          <w:rFonts w:ascii="Calibri" w:hAnsi="Calibri" w:cs="Calibri"/>
          <w:lang w:val="en-GB"/>
        </w:rPr>
      </w:pPr>
    </w:p>
    <w:p>
      <w:pPr>
        <w:pStyle w:val="17"/>
        <w:spacing w:line="240" w:lineRule="auto"/>
        <w:jc w:val="both"/>
        <w:rPr>
          <w:rFonts w:ascii="Calibri" w:hAnsi="Calibri" w:cs="Calibri"/>
          <w:lang w:val="en-GB"/>
        </w:rPr>
      </w:pPr>
      <w:r>
        <w:rPr>
          <w:rFonts w:ascii="Calibri" w:hAnsi="Calibri" w:cs="Calibri"/>
          <w:lang w:val="en-GB"/>
        </w:rPr>
        <w:t xml:space="preserve">where </w:t>
      </w:r>
      <w:r>
        <w:rPr>
          <w:rFonts w:ascii="Calibri" w:hAnsi="Calibri" w:cs="Calibri"/>
          <w:b/>
          <w:bCs/>
          <w:i w:val="0"/>
          <w:iCs w:val="0"/>
          <w:lang w:val="en-GB"/>
        </w:rPr>
        <w:t>w</w:t>
      </w:r>
      <w:r>
        <w:rPr>
          <w:rFonts w:ascii="Calibri" w:hAnsi="Calibri" w:cs="Calibri"/>
          <w:lang w:val="en-GB"/>
        </w:rPr>
        <w:t xml:space="preserve"> is a 2</w:t>
      </w:r>
      <w:r>
        <w:rPr>
          <w:rFonts w:ascii="Calibri" w:hAnsi="Calibri" w:cs="Calibri"/>
          <w:i/>
          <w:iCs/>
          <w:lang w:val="en-GB"/>
        </w:rPr>
        <w:t>W</w:t>
      </w:r>
      <w:r>
        <w:rPr>
          <w:rFonts w:ascii="Calibri" w:hAnsi="Calibri" w:cs="Calibri"/>
          <w:lang w:val="en-GB"/>
        </w:rPr>
        <w:t xml:space="preserve">-dimensional vector of weights. The weight vector was previously optimised in terms of statistical power in the Supplemental Digital Content (Table A.1), and was later simplified to the following rules of thumb: (i) All bands between 1 and 8 Hz received a weight of 1, (ii) all bands between 8 and 9 Hz received a weight of 0.75, and (iii) all bands between 9 and 15 Hz a weight of 0.5. As was the case with </w:t>
      </w:r>
      <w:r>
        <w:rPr>
          <w:rFonts w:ascii="Calibri" w:hAnsi="Calibri" w:cs="Calibri"/>
          <w:u w:val="none"/>
          <w:lang w:val="en-GB"/>
        </w:rPr>
        <w:t>T</w:t>
      </w:r>
      <w:r>
        <w:rPr>
          <w:rFonts w:ascii="Calibri" w:hAnsi="Calibri" w:cs="Calibri"/>
          <w:u w:val="none"/>
          <w:vertAlign w:val="superscript"/>
          <w:lang w:val="en-GB"/>
        </w:rPr>
        <w:t>2</w:t>
      </w:r>
      <w:r>
        <w:rPr>
          <w:rFonts w:ascii="Calibri" w:hAnsi="Calibri" w:cs="Calibri"/>
          <w:u w:val="none"/>
          <w:vertAlign w:val="subscript"/>
          <w:lang w:val="en-GB"/>
        </w:rPr>
        <w:t>Toep,</w:t>
      </w:r>
      <w:r>
        <w:rPr>
          <w:rFonts w:ascii="Calibri" w:hAnsi="Calibri" w:cs="Calibri"/>
          <w:lang w:val="en-GB"/>
        </w:rPr>
        <w:t xml:space="preserve">, the statistical significance of </w:t>
      </w:r>
      <w:r>
        <w:rPr>
          <w:rFonts w:ascii="Calibri" w:hAnsi="Calibri" w:cs="Calibri"/>
          <w:u w:val="none"/>
          <w:lang w:val="en-GB"/>
        </w:rPr>
        <w:t>T</w:t>
      </w:r>
      <w:r>
        <w:rPr>
          <w:rFonts w:ascii="Calibri" w:hAnsi="Calibri" w:cs="Calibri"/>
          <w:u w:val="none"/>
          <w:vertAlign w:val="superscript"/>
          <w:lang w:val="en-GB"/>
        </w:rPr>
        <w:t>2</w:t>
      </w:r>
      <w:r>
        <w:rPr>
          <w:rFonts w:ascii="Calibri" w:hAnsi="Calibri" w:cs="Calibri"/>
          <w:u w:val="none"/>
          <w:vertAlign w:val="subscript"/>
          <w:lang w:val="en-GB"/>
        </w:rPr>
        <w:t>Diag</w:t>
      </w:r>
      <w:r>
        <w:rPr>
          <w:rFonts w:ascii="Calibri" w:hAnsi="Calibri" w:cs="Calibri"/>
          <w:lang w:val="en-GB"/>
        </w:rPr>
        <w:t xml:space="preserve"> w</w:t>
      </w:r>
      <w:r>
        <w:rPr>
          <w:rFonts w:ascii="Calibri" w:hAnsi="Calibri" w:cs="Calibri"/>
          <w:b w:val="0"/>
          <w:bCs w:val="0"/>
          <w:lang w:val="en-GB"/>
        </w:rPr>
        <w:t xml:space="preserve">as </w:t>
      </w:r>
      <w:r>
        <w:rPr>
          <w:rFonts w:ascii="Calibri" w:hAnsi="Calibri" w:cs="Calibri"/>
          <w:lang w:val="en-GB"/>
        </w:rPr>
        <w:t>evaluated using a bootstrap approach (Section 2.2.4).</w:t>
      </w:r>
    </w:p>
    <w:p>
      <w:pPr>
        <w:pStyle w:val="17"/>
        <w:spacing w:line="240" w:lineRule="auto"/>
        <w:jc w:val="both"/>
        <w:rPr>
          <w:rFonts w:ascii="Calibri" w:hAnsi="Calibri" w:cs="Calibri"/>
          <w:lang w:val="en-GB"/>
        </w:rPr>
      </w:pPr>
    </w:p>
    <w:p>
      <w:pPr>
        <w:pStyle w:val="17"/>
        <w:spacing w:line="240" w:lineRule="auto"/>
        <w:rPr>
          <w:rFonts w:ascii="Calibri" w:hAnsi="Calibri" w:cs="Calibri"/>
          <w:b/>
          <w:bCs/>
          <w:lang w:val="en-GB"/>
        </w:rPr>
      </w:pPr>
      <w:r>
        <w:rPr>
          <w:rFonts w:ascii="Calibri" w:hAnsi="Calibri" w:cs="Calibri"/>
          <w:b/>
          <w:bCs/>
          <w:lang w:val="en-GB"/>
        </w:rPr>
        <w:t>2.2.3 Modified q-sample uniform scores test</w:t>
      </w:r>
    </w:p>
    <w:p>
      <w:pPr>
        <w:pStyle w:val="17"/>
        <w:spacing w:line="240" w:lineRule="auto"/>
        <w:jc w:val="both"/>
        <w:rPr>
          <w:rFonts w:ascii="Calibri" w:hAnsi="Calibri" w:cs="Calibri"/>
          <w:lang w:val="en-GB"/>
        </w:rPr>
      </w:pPr>
      <w:r>
        <w:rPr>
          <w:rFonts w:ascii="Calibri" w:hAnsi="Calibri" w:cs="Calibri"/>
          <w:lang w:val="en-GB"/>
        </w:rPr>
        <w:t>The original q-sample uniform scores test (</w:t>
      </w:r>
      <w:r>
        <w:rPr>
          <w:rFonts w:ascii="Calibri" w:hAnsi="Calibri" w:cs="Calibri"/>
          <w:color w:val="0070C0"/>
          <w:lang w:val="en-GB"/>
        </w:rPr>
        <w:t>Mardia, 1972</w:t>
      </w:r>
      <w:r>
        <w:rPr>
          <w:rFonts w:ascii="Calibri" w:hAnsi="Calibri" w:cs="Calibri"/>
          <w:lang w:val="en-GB"/>
        </w:rPr>
        <w:t>) can be used to test whether the phases of multiple spectral bands share the same underlying distribution. The modifications proposed by St</w:t>
      </w:r>
      <w:r>
        <w:rPr>
          <w:rFonts w:ascii="Calibri" w:hAnsi="Calibri" w:cs="Calibri"/>
          <w:lang w:val="en-US"/>
        </w:rPr>
        <w:t>ü</w:t>
      </w:r>
      <w:r>
        <w:rPr>
          <w:rFonts w:ascii="Calibri" w:hAnsi="Calibri" w:cs="Calibri"/>
          <w:lang w:val="en-GB"/>
        </w:rPr>
        <w:t xml:space="preserve">rzebecher et al (1999) and Cebulla et al (2006) consider the amplitudes of the spectral bands, in addition to the phases. The modifications are furthermore applied either to the actual values, or to the ranks of the phases and amplitudes, where the ranking is performed across all spectral bands and all epochs, i.e. rank values (for either the phases or the amplitudes) range from 1 to </w:t>
      </w:r>
      <w:r>
        <w:rPr>
          <w:rFonts w:ascii="Calibri" w:hAnsi="Calibri" w:cs="Calibri"/>
          <w:i/>
          <w:iCs/>
          <w:lang w:val="en-GB"/>
        </w:rPr>
        <w:t>N</w:t>
      </w:r>
      <w:r>
        <w:rPr>
          <w:rStyle w:val="21"/>
          <w:rFonts w:ascii="Calibri" w:hAnsi="Calibri"/>
          <w:lang w:val="en-GB"/>
        </w:rPr>
        <w:t>·</w:t>
      </w:r>
      <w:r>
        <w:rPr>
          <w:rFonts w:ascii="Calibri" w:hAnsi="Calibri" w:cs="Calibri"/>
          <w:i/>
          <w:iCs/>
          <w:lang w:val="en-GB"/>
        </w:rPr>
        <w:t>W</w:t>
      </w:r>
      <w:r>
        <w:rPr>
          <w:rFonts w:ascii="Calibri" w:hAnsi="Calibri" w:cs="Calibri"/>
          <w:lang w:val="en-GB"/>
        </w:rPr>
        <w:t xml:space="preserve">, where </w:t>
      </w:r>
      <w:r>
        <w:rPr>
          <w:rFonts w:ascii="Calibri" w:hAnsi="Calibri" w:cs="Calibri"/>
          <w:i/>
          <w:iCs/>
          <w:lang w:val="en-GB"/>
        </w:rPr>
        <w:t>W</w:t>
      </w:r>
      <w:r>
        <w:rPr>
          <w:rFonts w:ascii="Calibri" w:hAnsi="Calibri" w:cs="Calibri"/>
          <w:lang w:val="en-GB"/>
        </w:rPr>
        <w:t xml:space="preserve"> is the number of frequency bands included in the analysis. The current study includes four variations: (i) QMod V1, applied to phase ranks and amplitude values, (ii) QMod V2, applied to phase ranks and amplitude ranks, (iii) QMod V3, applied to phase values and amplitude ranks, and (iv) QMod V4, applied to phase values and amplitude values. The test statistic, say</w:t>
      </w:r>
      <w:r>
        <w:rPr>
          <w:rFonts w:ascii="Calibri" w:hAnsi="Calibri" w:cs="Calibri" w:eastAsiaTheme="minorEastAsia"/>
          <w:lang w:val="en-GB"/>
        </w:rPr>
        <w:t xml:space="preserve"> QMod, is given by (</w:t>
      </w:r>
      <w:r>
        <w:rPr>
          <w:rFonts w:ascii="Calibri" w:hAnsi="Calibri" w:cs="Calibri" w:eastAsiaTheme="minorEastAsia"/>
          <w:color w:val="0070C0"/>
          <w:lang w:val="en-GB"/>
        </w:rPr>
        <w:t>Cebulla et al, 2006</w:t>
      </w:r>
      <w:r>
        <w:rPr>
          <w:rFonts w:ascii="Calibri" w:hAnsi="Calibri" w:cs="Calibri" w:eastAsiaTheme="minorEastAsia"/>
          <w:lang w:val="en-GB"/>
        </w:rPr>
        <w:t>):</w:t>
      </w:r>
    </w:p>
    <w:p>
      <w:pPr>
        <w:pStyle w:val="17"/>
        <w:spacing w:line="240" w:lineRule="auto"/>
        <w:rPr>
          <w:rFonts w:ascii="Calibri" w:hAnsi="Calibri" w:cs="Calibri"/>
          <w:lang w:val="en-GB"/>
        </w:rPr>
      </w:pPr>
    </w:p>
    <w:p>
      <w:pPr>
        <w:spacing w:line="240" w:lineRule="auto"/>
        <w:rPr>
          <w:rFonts w:ascii="Calibri" w:hAnsi="Calibri" w:cs="Calibri"/>
          <w:lang w:val="en-GB"/>
        </w:rPr>
      </w:pPr>
      <m:oMath>
        <m:r>
          <m:rPr>
            <m:sty m:val="p"/>
          </m:rPr>
          <w:rPr>
            <w:rFonts w:ascii="Cambria Math" w:hAnsi="Cambria Math" w:cs="Calibri"/>
            <w:lang w:val="en-GB"/>
          </w:rPr>
          <m:t>QMod</m:t>
        </m:r>
        <m:r>
          <m:rPr>
            <m:sty m:val="p"/>
          </m:rPr>
          <w:rPr>
            <w:rFonts w:ascii="Cambria Math" w:hAnsi="Cambria Math" w:cs="Calibri"/>
          </w:rPr>
          <m:t>=</m:t>
        </m:r>
        <m:nary>
          <m:naryPr>
            <m:chr m:val="∑"/>
            <m:limLoc m:val="subSup"/>
            <m:ctrlPr>
              <w:rPr>
                <w:rFonts w:ascii="Cambria Math" w:hAnsi="Cambria Math" w:cs="Calibri"/>
              </w:rPr>
            </m:ctrlPr>
          </m:naryPr>
          <m:sub>
            <m:r>
              <m:rPr/>
              <w:rPr>
                <w:rFonts w:ascii="Cambria Math" w:hAnsi="Cambria Math" w:cs="Calibri"/>
              </w:rPr>
              <m:t>j</m:t>
            </m:r>
            <m:r>
              <m:rPr>
                <m:sty m:val="p"/>
              </m:rPr>
              <w:rPr>
                <w:rFonts w:ascii="Cambria Math" w:hAnsi="Cambria Math" w:cs="Calibri"/>
              </w:rPr>
              <m:t>=1</m:t>
            </m:r>
            <m:ctrlPr>
              <w:rPr>
                <w:rFonts w:ascii="Cambria Math" w:hAnsi="Cambria Math" w:cs="Calibri"/>
              </w:rPr>
            </m:ctrlPr>
          </m:sub>
          <m:sup>
            <m:r>
              <m:rPr/>
              <w:rPr>
                <w:rFonts w:ascii="Cambria Math" w:hAnsi="Cambria Math" w:cs="Calibri"/>
              </w:rPr>
              <m:t>W</m:t>
            </m:r>
            <m:ctrlPr>
              <w:rPr>
                <w:rFonts w:ascii="Cambria Math" w:hAnsi="Cambria Math" w:cs="Calibri"/>
              </w:rPr>
            </m:ctrlPr>
          </m:sup>
          <m:e>
            <m:d>
              <m:dPr>
                <m:begChr m:val="["/>
                <m:endChr m:val=""/>
                <m:ctrlPr>
                  <w:rPr>
                    <w:rFonts w:ascii="Cambria Math" w:hAnsi="Cambria Math" w:cs="Calibri"/>
                  </w:rPr>
                </m:ctrlPr>
              </m:dPr>
              <m:e>
                <m:r>
                  <m:rPr>
                    <m:sty m:val="p"/>
                  </m:rPr>
                  <w:rPr>
                    <w:rFonts w:ascii="Cambria Math" w:hAnsi="Cambria Math" w:cs="Calibri"/>
                  </w:rPr>
                  <m:t xml:space="preserve"> </m:t>
                </m:r>
                <m:sSup>
                  <m:sSupPr>
                    <m:ctrlPr>
                      <w:rPr>
                        <w:rFonts w:ascii="Cambria Math" w:hAnsi="Cambria Math" w:cs="Calibri"/>
                      </w:rPr>
                    </m:ctrlPr>
                  </m:sSupPr>
                  <m:e>
                    <m:d>
                      <m:dPr>
                        <m:ctrlPr>
                          <w:rPr>
                            <w:rFonts w:ascii="Cambria Math" w:hAnsi="Cambria Math" w:cs="Calibri"/>
                          </w:rPr>
                        </m:ctrlPr>
                      </m:dPr>
                      <m:e>
                        <m:nary>
                          <m:naryPr>
                            <m:chr m:val="∑"/>
                            <m:limLoc m:val="undOvr"/>
                            <m:ctrlPr>
                              <w:rPr>
                                <w:rFonts w:ascii="Cambria Math" w:hAnsi="Cambria Math" w:cs="Calibri"/>
                              </w:rPr>
                            </m:ctrlPr>
                          </m:naryPr>
                          <m:sub>
                            <m:r>
                              <m:rPr/>
                              <w:rPr>
                                <w:rFonts w:ascii="Cambria Math" w:hAnsi="Cambria Math" w:cs="Calibri"/>
                              </w:rPr>
                              <m:t>i</m:t>
                            </m:r>
                            <m:r>
                              <m:rPr>
                                <m:sty m:val="p"/>
                              </m:rPr>
                              <w:rPr>
                                <w:rFonts w:ascii="Cambria Math" w:hAnsi="Cambria Math" w:cs="Calibri"/>
                              </w:rPr>
                              <m:t>=1</m:t>
                            </m:r>
                            <m:ctrlPr>
                              <w:rPr>
                                <w:rFonts w:ascii="Cambria Math" w:hAnsi="Cambria Math" w:cs="Calibri"/>
                              </w:rPr>
                            </m:ctrlPr>
                          </m:sub>
                          <m:sup>
                            <m:r>
                              <m:rPr/>
                              <w:rPr>
                                <w:rFonts w:ascii="Cambria Math" w:hAnsi="Cambria Math" w:cs="Calibri"/>
                              </w:rPr>
                              <m:t>N</m:t>
                            </m:r>
                            <m:ctrlPr>
                              <w:rPr>
                                <w:rFonts w:ascii="Cambria Math" w:hAnsi="Cambria Math" w:cs="Calibri"/>
                              </w:rPr>
                            </m:ctrlPr>
                          </m:sup>
                          <m:e>
                            <m:sSub>
                              <m:sSubPr>
                                <m:ctrlPr>
                                  <w:rPr>
                                    <w:rFonts w:ascii="Cambria Math" w:hAnsi="Cambria Math" w:cs="Calibri"/>
                                  </w:rPr>
                                </m:ctrlPr>
                              </m:sSubPr>
                              <m:e>
                                <m:r>
                                  <m:rPr>
                                    <m:sty m:val="p"/>
                                  </m:rPr>
                                  <w:rPr>
                                    <w:rFonts w:ascii="Cambria Math" w:hAnsi="Cambria Math" w:cs="Calibri"/>
                                  </w:rPr>
                                  <m:t>r</m:t>
                                </m:r>
                                <m:ctrlPr>
                                  <w:rPr>
                                    <w:rFonts w:ascii="Cambria Math" w:hAnsi="Cambria Math" w:cs="Calibri"/>
                                  </w:rPr>
                                </m:ctrlPr>
                              </m:e>
                              <m:sub>
                                <m:r>
                                  <m:rPr/>
                                  <w:rPr>
                                    <w:rFonts w:ascii="Cambria Math" w:hAnsi="Cambria Math" w:cs="Calibri"/>
                                  </w:rPr>
                                  <m:t>ij</m:t>
                                </m:r>
                                <m:ctrlPr>
                                  <w:rPr>
                                    <w:rFonts w:ascii="Cambria Math" w:hAnsi="Cambria Math" w:cs="Calibri"/>
                                  </w:rPr>
                                </m:ctrlPr>
                              </m:sub>
                            </m:sSub>
                            <m:func>
                              <m:funcPr>
                                <m:ctrlPr>
                                  <w:rPr>
                                    <w:rFonts w:ascii="Cambria Math" w:hAnsi="Cambria Math" w:cs="Calibri"/>
                                  </w:rPr>
                                </m:ctrlPr>
                              </m:funcPr>
                              <m:fName>
                                <m:r>
                                  <m:rPr>
                                    <m:sty m:val="p"/>
                                  </m:rPr>
                                  <w:rPr>
                                    <w:rFonts w:ascii="Cambria Math" w:hAnsi="Cambria Math" w:cs="Calibri"/>
                                  </w:rPr>
                                  <m:t>cos</m:t>
                                </m:r>
                                <m:ctrlPr>
                                  <w:rPr>
                                    <w:rFonts w:ascii="Cambria Math" w:hAnsi="Cambria Math" w:cs="Calibri"/>
                                  </w:rPr>
                                </m:ctrlPr>
                              </m:fName>
                              <m:e>
                                <m:f>
                                  <m:fPr>
                                    <m:ctrlPr>
                                      <w:rPr>
                                        <w:rFonts w:ascii="Cambria Math" w:hAnsi="Cambria Math" w:cs="Calibri"/>
                                      </w:rPr>
                                    </m:ctrlPr>
                                  </m:fPr>
                                  <m:num>
                                    <m:sSub>
                                      <m:sSubPr>
                                        <m:ctrlPr>
                                          <w:rPr>
                                            <w:rFonts w:ascii="Cambria Math" w:hAnsi="Cambria Math" w:cs="Calibri"/>
                                          </w:rPr>
                                        </m:ctrlPr>
                                      </m:sSubPr>
                                      <m:e>
                                        <m:r>
                                          <m:rPr>
                                            <m:sty m:val="p"/>
                                          </m:rPr>
                                          <w:rPr>
                                            <w:rFonts w:ascii="Cambria Math" w:hAnsi="Cambria Math" w:cs="Calibri"/>
                                          </w:rPr>
                                          <m:t>a</m:t>
                                        </m:r>
                                        <m:ctrlPr>
                                          <w:rPr>
                                            <w:rFonts w:ascii="Cambria Math" w:hAnsi="Cambria Math" w:cs="Calibri"/>
                                          </w:rPr>
                                        </m:ctrlPr>
                                      </m:e>
                                      <m:sub>
                                        <m:r>
                                          <m:rPr/>
                                          <w:rPr>
                                            <w:rFonts w:ascii="Cambria Math" w:hAnsi="Cambria Math" w:cs="Calibri"/>
                                          </w:rPr>
                                          <m:t>ij</m:t>
                                        </m:r>
                                        <m:ctrlPr>
                                          <w:rPr>
                                            <w:rFonts w:ascii="Cambria Math" w:hAnsi="Cambria Math" w:cs="Calibri"/>
                                          </w:rPr>
                                        </m:ctrlPr>
                                      </m:sub>
                                    </m:sSub>
                                    <m:r>
                                      <m:rPr>
                                        <m:sty m:val="p"/>
                                      </m:rPr>
                                      <w:rPr>
                                        <w:rFonts w:ascii="Cambria Math" w:hAnsi="Cambria Math" w:cs="Calibri"/>
                                      </w:rPr>
                                      <m:t>2π</m:t>
                                    </m:r>
                                    <m:ctrlPr>
                                      <w:rPr>
                                        <w:rFonts w:ascii="Cambria Math" w:hAnsi="Cambria Math" w:cs="Calibri"/>
                                      </w:rPr>
                                    </m:ctrlPr>
                                  </m:num>
                                  <m:den>
                                    <m:r>
                                      <m:rPr/>
                                      <w:rPr>
                                        <w:rFonts w:ascii="Calibri" w:hAnsi="Calibri" w:cs="Calibri"/>
                                        <w:lang w:val="en-GB"/>
                                      </w:rPr>
                                      <m:t>N</m:t>
                                    </m:r>
                                    <m:r>
                                      <m:rPr>
                                        <m:sty m:val="p"/>
                                      </m:rPr>
                                      <w:rPr>
                                        <w:rStyle w:val="21"/>
                                        <w:rFonts w:ascii="Calibri" w:hAnsi="Calibri"/>
                                        <w:lang w:val="en-GB"/>
                                      </w:rPr>
                                      <m:t>·</m:t>
                                    </m:r>
                                    <m:r>
                                      <m:rPr/>
                                      <w:rPr>
                                        <w:rFonts w:ascii="Calibri" w:hAnsi="Calibri" w:cs="Calibri"/>
                                        <w:lang w:val="en-GB"/>
                                      </w:rPr>
                                      <m:t>W</m:t>
                                    </m:r>
                                    <m:ctrlPr>
                                      <w:rPr>
                                        <w:rFonts w:ascii="Cambria Math" w:hAnsi="Cambria Math" w:cs="Calibri"/>
                                      </w:rPr>
                                    </m:ctrlPr>
                                  </m:den>
                                </m:f>
                                <m:ctrlPr>
                                  <w:rPr>
                                    <w:rFonts w:ascii="Cambria Math" w:hAnsi="Cambria Math" w:cs="Calibri"/>
                                  </w:rPr>
                                </m:ctrlPr>
                              </m:e>
                            </m:func>
                            <m:ctrlPr>
                              <w:rPr>
                                <w:rFonts w:ascii="Cambria Math" w:hAnsi="Cambria Math" w:cs="Calibri"/>
                              </w:rPr>
                            </m:ctrlPr>
                          </m:e>
                        </m:nary>
                        <m:ctrlPr>
                          <w:rPr>
                            <w:rFonts w:ascii="Cambria Math" w:hAnsi="Cambria Math" w:cs="Calibri"/>
                          </w:rPr>
                        </m:ctrlPr>
                      </m:e>
                    </m:d>
                    <m:ctrlPr>
                      <w:rPr>
                        <w:rFonts w:ascii="Cambria Math" w:hAnsi="Cambria Math" w:cs="Calibri"/>
                      </w:rPr>
                    </m:ctrlPr>
                  </m:e>
                  <m:sup>
                    <m:r>
                      <m:rPr>
                        <m:sty m:val="p"/>
                      </m:rPr>
                      <w:rPr>
                        <w:rFonts w:ascii="Cambria Math" w:hAnsi="Cambria Math" w:cs="Calibri"/>
                      </w:rPr>
                      <m:t>2</m:t>
                    </m:r>
                    <m:ctrlPr>
                      <w:rPr>
                        <w:rFonts w:ascii="Cambria Math" w:hAnsi="Cambria Math" w:cs="Calibri"/>
                      </w:rPr>
                    </m:ctrlPr>
                  </m:sup>
                </m:sSup>
                <m:ctrlPr>
                  <w:rPr>
                    <w:rFonts w:ascii="Cambria Math" w:hAnsi="Cambria Math" w:cs="Calibri"/>
                  </w:rPr>
                </m:ctrlPr>
              </m:e>
            </m:d>
            <m:ctrlPr>
              <w:rPr>
                <w:rFonts w:ascii="Cambria Math" w:hAnsi="Cambria Math" w:cs="Calibri"/>
              </w:rPr>
            </m:ctrlPr>
          </m:e>
        </m:nary>
        <m:r>
          <m:rPr>
            <m:sty m:val="p"/>
          </m:rPr>
          <w:rPr>
            <w:rFonts w:ascii="Cambria Math" w:hAnsi="Cambria Math" w:cs="Calibri"/>
          </w:rPr>
          <m:t xml:space="preserve">+ </m:t>
        </m:r>
        <m:d>
          <m:dPr>
            <m:begChr m:val=""/>
            <m:endChr m:val="]"/>
            <m:ctrlPr>
              <w:rPr>
                <w:rFonts w:ascii="Cambria Math" w:hAnsi="Cambria Math" w:cs="Calibri"/>
              </w:rPr>
            </m:ctrlPr>
          </m:dPr>
          <m:e>
            <m:sSup>
              <m:sSupPr>
                <m:ctrlPr>
                  <w:rPr>
                    <w:rFonts w:ascii="Cambria Math" w:hAnsi="Cambria Math" w:cs="Calibri"/>
                  </w:rPr>
                </m:ctrlPr>
              </m:sSupPr>
              <m:e>
                <m:d>
                  <m:dPr>
                    <m:ctrlPr>
                      <w:rPr>
                        <w:rFonts w:ascii="Cambria Math" w:hAnsi="Cambria Math" w:cs="Calibri"/>
                      </w:rPr>
                    </m:ctrlPr>
                  </m:dPr>
                  <m:e>
                    <m:nary>
                      <m:naryPr>
                        <m:chr m:val="∑"/>
                        <m:limLoc m:val="undOvr"/>
                        <m:ctrlPr>
                          <w:rPr>
                            <w:rFonts w:ascii="Cambria Math" w:hAnsi="Cambria Math" w:cs="Calibri"/>
                          </w:rPr>
                        </m:ctrlPr>
                      </m:naryPr>
                      <m:sub>
                        <m:r>
                          <m:rPr/>
                          <w:rPr>
                            <w:rFonts w:ascii="Cambria Math" w:hAnsi="Cambria Math" w:cs="Calibri"/>
                          </w:rPr>
                          <m:t>i</m:t>
                        </m:r>
                        <m:r>
                          <m:rPr>
                            <m:sty m:val="p"/>
                          </m:rPr>
                          <w:rPr>
                            <w:rFonts w:ascii="Cambria Math" w:hAnsi="Cambria Math" w:cs="Calibri"/>
                          </w:rPr>
                          <m:t>=1</m:t>
                        </m:r>
                        <m:ctrlPr>
                          <w:rPr>
                            <w:rFonts w:ascii="Cambria Math" w:hAnsi="Cambria Math" w:cs="Calibri"/>
                          </w:rPr>
                        </m:ctrlPr>
                      </m:sub>
                      <m:sup>
                        <m:r>
                          <m:rPr/>
                          <w:rPr>
                            <w:rFonts w:ascii="Cambria Math" w:hAnsi="Cambria Math" w:cs="Calibri"/>
                          </w:rPr>
                          <m:t>N</m:t>
                        </m:r>
                        <m:ctrlPr>
                          <w:rPr>
                            <w:rFonts w:ascii="Cambria Math" w:hAnsi="Cambria Math" w:cs="Calibri"/>
                          </w:rPr>
                        </m:ctrlPr>
                      </m:sup>
                      <m:e>
                        <m:sSub>
                          <m:sSubPr>
                            <m:ctrlPr>
                              <w:rPr>
                                <w:rFonts w:ascii="Cambria Math" w:hAnsi="Cambria Math" w:cs="Calibri"/>
                              </w:rPr>
                            </m:ctrlPr>
                          </m:sSubPr>
                          <m:e>
                            <m:r>
                              <m:rPr>
                                <m:sty m:val="p"/>
                              </m:rPr>
                              <w:rPr>
                                <w:rFonts w:ascii="Cambria Math" w:hAnsi="Cambria Math" w:cs="Calibri"/>
                              </w:rPr>
                              <m:t>r</m:t>
                            </m:r>
                            <m:ctrlPr>
                              <w:rPr>
                                <w:rFonts w:ascii="Cambria Math" w:hAnsi="Cambria Math" w:cs="Calibri"/>
                              </w:rPr>
                            </m:ctrlPr>
                          </m:e>
                          <m:sub>
                            <m:r>
                              <m:rPr/>
                              <w:rPr>
                                <w:rFonts w:ascii="Cambria Math" w:hAnsi="Cambria Math" w:cs="Calibri"/>
                              </w:rPr>
                              <m:t>ij</m:t>
                            </m:r>
                            <m:ctrlPr>
                              <w:rPr>
                                <w:rFonts w:ascii="Cambria Math" w:hAnsi="Cambria Math" w:cs="Calibri"/>
                              </w:rPr>
                            </m:ctrlPr>
                          </m:sub>
                        </m:sSub>
                        <m:ctrlPr>
                          <w:rPr>
                            <w:rFonts w:ascii="Cambria Math" w:hAnsi="Cambria Math" w:cs="Calibri"/>
                          </w:rPr>
                        </m:ctrlPr>
                      </m:e>
                    </m:nary>
                    <m:func>
                      <m:funcPr>
                        <m:ctrlPr>
                          <w:rPr>
                            <w:rFonts w:ascii="Cambria Math" w:hAnsi="Cambria Math" w:cs="Calibri"/>
                          </w:rPr>
                        </m:ctrlPr>
                      </m:funcPr>
                      <m:fName>
                        <m:r>
                          <m:rPr>
                            <m:sty m:val="p"/>
                          </m:rPr>
                          <w:rPr>
                            <w:rFonts w:ascii="Cambria Math" w:hAnsi="Cambria Math" w:cs="Calibri"/>
                          </w:rPr>
                          <m:t>sin</m:t>
                        </m:r>
                        <m:ctrlPr>
                          <w:rPr>
                            <w:rFonts w:ascii="Cambria Math" w:hAnsi="Cambria Math" w:cs="Calibri"/>
                          </w:rPr>
                        </m:ctrlPr>
                      </m:fName>
                      <m:e>
                        <m:f>
                          <m:fPr>
                            <m:ctrlPr>
                              <w:rPr>
                                <w:rFonts w:ascii="Cambria Math" w:hAnsi="Cambria Math" w:cs="Calibri"/>
                              </w:rPr>
                            </m:ctrlPr>
                          </m:fPr>
                          <m:num>
                            <m:sSub>
                              <m:sSubPr>
                                <m:ctrlPr>
                                  <w:rPr>
                                    <w:rFonts w:ascii="Cambria Math" w:hAnsi="Cambria Math" w:cs="Calibri"/>
                                  </w:rPr>
                                </m:ctrlPr>
                              </m:sSubPr>
                              <m:e>
                                <m:r>
                                  <m:rPr>
                                    <m:sty m:val="p"/>
                                  </m:rPr>
                                  <w:rPr>
                                    <w:rFonts w:ascii="Cambria Math" w:hAnsi="Cambria Math" w:cs="Calibri"/>
                                  </w:rPr>
                                  <m:t>a</m:t>
                                </m:r>
                                <m:ctrlPr>
                                  <w:rPr>
                                    <w:rFonts w:ascii="Cambria Math" w:hAnsi="Cambria Math" w:cs="Calibri"/>
                                  </w:rPr>
                                </m:ctrlPr>
                              </m:e>
                              <m:sub>
                                <m:r>
                                  <m:rPr/>
                                  <w:rPr>
                                    <w:rFonts w:ascii="Cambria Math" w:hAnsi="Cambria Math" w:cs="Calibri"/>
                                  </w:rPr>
                                  <m:t>ij</m:t>
                                </m:r>
                                <m:ctrlPr>
                                  <w:rPr>
                                    <w:rFonts w:ascii="Cambria Math" w:hAnsi="Cambria Math" w:cs="Calibri"/>
                                  </w:rPr>
                                </m:ctrlPr>
                              </m:sub>
                            </m:sSub>
                            <m:r>
                              <m:rPr>
                                <m:sty m:val="p"/>
                              </m:rPr>
                              <w:rPr>
                                <w:rFonts w:ascii="Cambria Math" w:hAnsi="Cambria Math" w:cs="Calibri"/>
                              </w:rPr>
                              <m:t>2π</m:t>
                            </m:r>
                            <m:ctrlPr>
                              <w:rPr>
                                <w:rFonts w:ascii="Cambria Math" w:hAnsi="Cambria Math" w:cs="Calibri"/>
                              </w:rPr>
                            </m:ctrlPr>
                          </m:num>
                          <m:den>
                            <m:r>
                              <m:rPr/>
                              <w:rPr>
                                <w:rFonts w:ascii="Calibri" w:hAnsi="Calibri" w:cs="Calibri"/>
                                <w:lang w:val="en-GB"/>
                              </w:rPr>
                              <m:t>N</m:t>
                            </m:r>
                            <m:r>
                              <m:rPr>
                                <m:sty m:val="p"/>
                              </m:rPr>
                              <w:rPr>
                                <w:rStyle w:val="21"/>
                                <w:rFonts w:ascii="Calibri" w:hAnsi="Calibri"/>
                                <w:lang w:val="en-GB"/>
                              </w:rPr>
                              <m:t>·</m:t>
                            </m:r>
                            <m:r>
                              <m:rPr/>
                              <w:rPr>
                                <w:rFonts w:ascii="Calibri" w:hAnsi="Calibri" w:cs="Calibri"/>
                                <w:lang w:val="en-GB"/>
                              </w:rPr>
                              <m:t>W</m:t>
                            </m:r>
                            <m:ctrlPr>
                              <w:rPr>
                                <w:rFonts w:ascii="Cambria Math" w:hAnsi="Cambria Math" w:cs="Calibri"/>
                              </w:rPr>
                            </m:ctrlPr>
                          </m:den>
                        </m:f>
                        <m:ctrlPr>
                          <w:rPr>
                            <w:rFonts w:ascii="Cambria Math" w:hAnsi="Cambria Math" w:cs="Calibri"/>
                          </w:rPr>
                        </m:ctrlPr>
                      </m:e>
                    </m:func>
                    <m:r>
                      <m:rPr>
                        <m:sty m:val="p"/>
                      </m:rPr>
                      <w:rPr>
                        <w:rFonts w:ascii="Cambria Math" w:hAnsi="Cambria Math" w:cs="Calibri"/>
                      </w:rPr>
                      <m:t xml:space="preserve"> </m:t>
                    </m:r>
                    <m:ctrlPr>
                      <w:rPr>
                        <w:rFonts w:ascii="Cambria Math" w:hAnsi="Cambria Math" w:cs="Calibri"/>
                      </w:rPr>
                    </m:ctrlPr>
                  </m:e>
                </m:d>
                <m:ctrlPr>
                  <w:rPr>
                    <w:rFonts w:ascii="Cambria Math" w:hAnsi="Cambria Math" w:cs="Calibri"/>
                  </w:rPr>
                </m:ctrlPr>
              </m:e>
              <m:sup>
                <m:r>
                  <m:rPr>
                    <m:sty m:val="p"/>
                  </m:rPr>
                  <w:rPr>
                    <w:rFonts w:ascii="Cambria Math" w:hAnsi="Cambria Math" w:cs="Calibri"/>
                  </w:rPr>
                  <m:t>2</m:t>
                </m:r>
                <m:ctrlPr>
                  <w:rPr>
                    <w:rFonts w:ascii="Cambria Math" w:hAnsi="Cambria Math" w:cs="Calibri"/>
                  </w:rPr>
                </m:ctrlPr>
              </m:sup>
            </m:sSup>
            <m:r>
              <m:rPr>
                <m:sty m:val="p"/>
              </m:rPr>
              <w:rPr>
                <w:rFonts w:ascii="Cambria Math" w:hAnsi="Cambria Math" w:cs="Calibri"/>
              </w:rPr>
              <m:t xml:space="preserve"> </m:t>
            </m:r>
            <m:ctrlPr>
              <w:rPr>
                <w:rFonts w:ascii="Cambria Math" w:hAnsi="Cambria Math" w:cs="Calibri"/>
              </w:rPr>
            </m:ctrlPr>
          </m:e>
        </m:d>
      </m:oMath>
      <w:r>
        <w:rPr>
          <w:rFonts w:ascii="Calibri" w:hAnsi="Calibri" w:cs="Calibri"/>
        </w:rPr>
        <w:t xml:space="preserve"> </w:t>
      </w:r>
      <w:r>
        <w:rPr>
          <w:rFonts w:ascii="Calibri" w:hAnsi="Calibri" w:cs="Calibri"/>
        </w:rPr>
        <w:tab/>
      </w:r>
      <w:r>
        <w:rPr>
          <w:rFonts w:ascii="Calibri" w:hAnsi="Calibri" w:cs="Calibri"/>
          <w:i/>
        </w:rPr>
        <w:t xml:space="preserve">Eq. </w:t>
      </w:r>
      <w:r>
        <w:rPr>
          <w:rFonts w:ascii="Calibri" w:hAnsi="Calibri" w:cs="Calibri"/>
          <w:i/>
          <w:lang w:val="en-GB"/>
        </w:rPr>
        <w:t>8</w:t>
      </w:r>
    </w:p>
    <w:p>
      <w:pPr>
        <w:pStyle w:val="17"/>
        <w:spacing w:line="240" w:lineRule="auto"/>
        <w:jc w:val="both"/>
        <w:rPr>
          <w:rFonts w:ascii="Calibri" w:hAnsi="Calibri" w:cs="Calibri" w:eastAsiaTheme="minorEastAsia"/>
          <w:lang w:val="en-GB"/>
        </w:rPr>
      </w:pPr>
      <w:r>
        <w:rPr>
          <w:rFonts w:ascii="Calibri" w:hAnsi="Calibri" w:cs="Calibri"/>
          <w:lang w:val="en-GB"/>
        </w:rPr>
        <w:t>where</w:t>
      </w:r>
      <m:oMath>
        <m:r>
          <m:rPr/>
          <w:rPr>
            <w:rFonts w:ascii="Cambria Math" w:hAnsi="Cambria Math" w:cs="Calibri"/>
            <w:lang w:val="en-GB"/>
          </w:rPr>
          <m:t xml:space="preserve"> </m:t>
        </m:r>
        <m:sSub>
          <m:sSubPr>
            <m:ctrlPr>
              <w:rPr>
                <w:rFonts w:ascii="Cambria Math" w:hAnsi="Cambria Math" w:cs="Calibri"/>
                <w:lang w:val="en-GB"/>
              </w:rPr>
            </m:ctrlPr>
          </m:sSubPr>
          <m:e>
            <m:r>
              <m:rPr>
                <m:sty m:val="p"/>
              </m:rPr>
              <w:rPr>
                <w:rFonts w:ascii="Cambria Math" w:hAnsi="Cambria Math" w:cs="Calibri"/>
                <w:lang w:val="en-GB"/>
              </w:rPr>
              <m:t>r</m:t>
            </m:r>
            <m:ctrlPr>
              <w:rPr>
                <w:rFonts w:ascii="Cambria Math" w:hAnsi="Cambria Math" w:cs="Calibri"/>
                <w:lang w:val="en-GB"/>
              </w:rPr>
            </m:ctrlPr>
          </m:e>
          <m:sub>
            <m:r>
              <m:rPr/>
              <w:rPr>
                <w:rFonts w:ascii="Cambria Math" w:hAnsi="Cambria Math" w:cs="Calibri"/>
                <w:lang w:val="en-GB"/>
              </w:rPr>
              <m:t>ij</m:t>
            </m:r>
            <m:ctrlPr>
              <w:rPr>
                <w:rFonts w:ascii="Cambria Math" w:hAnsi="Cambria Math" w:cs="Calibri"/>
                <w:lang w:val="en-GB"/>
              </w:rPr>
            </m:ctrlPr>
          </m:sub>
        </m:sSub>
      </m:oMath>
      <w:r>
        <w:rPr>
          <w:rFonts w:ascii="Calibri" w:hAnsi="Calibri" w:cs="Calibri" w:eastAsiaTheme="minorEastAsia"/>
          <w:lang w:val="en-GB"/>
        </w:rPr>
        <w:t xml:space="preserve"> </w:t>
      </w:r>
      <w:r>
        <w:rPr>
          <w:rFonts w:ascii="Calibri" w:hAnsi="Calibri" w:cs="Calibri"/>
          <w:lang w:val="en-GB"/>
        </w:rPr>
        <w:t xml:space="preserve">is either the rank or the actual value of the amplitude of the </w:t>
      </w:r>
      <w:r>
        <w:rPr>
          <w:rFonts w:ascii="Calibri" w:hAnsi="Calibri" w:cs="Calibri"/>
          <w:i/>
          <w:iCs/>
          <w:lang w:val="en-GB"/>
        </w:rPr>
        <w:t>j</w:t>
      </w:r>
      <w:r>
        <w:rPr>
          <w:rFonts w:ascii="Calibri" w:hAnsi="Calibri" w:cs="Calibri"/>
          <w:vertAlign w:val="superscript"/>
          <w:lang w:val="en-GB"/>
        </w:rPr>
        <w:t>th</w:t>
      </w:r>
      <w:r>
        <w:rPr>
          <w:rFonts w:ascii="Calibri" w:hAnsi="Calibri" w:cs="Calibri"/>
          <w:lang w:val="en-GB"/>
        </w:rPr>
        <w:t xml:space="preserve"> spectral band from the </w:t>
      </w:r>
      <w:r>
        <w:rPr>
          <w:rFonts w:ascii="Calibri" w:hAnsi="Calibri" w:cs="Calibri"/>
          <w:i/>
          <w:iCs/>
          <w:lang w:val="en-GB"/>
        </w:rPr>
        <w:t>i</w:t>
      </w:r>
      <w:r>
        <w:rPr>
          <w:rFonts w:ascii="Calibri" w:hAnsi="Calibri" w:cs="Calibri"/>
          <w:vertAlign w:val="superscript"/>
          <w:lang w:val="en-GB"/>
        </w:rPr>
        <w:t>th</w:t>
      </w:r>
      <w:r>
        <w:rPr>
          <w:rFonts w:ascii="Calibri" w:hAnsi="Calibri" w:cs="Calibri"/>
          <w:lang w:val="en-GB"/>
        </w:rPr>
        <w:t xml:space="preserve"> epoch, </w:t>
      </w:r>
      <w:r>
        <w:rPr>
          <w:rFonts w:ascii="Calibri" w:hAnsi="Calibri" w:cs="Calibri" w:eastAsiaTheme="minorEastAsia"/>
          <w:lang w:val="en-GB"/>
        </w:rPr>
        <w:t xml:space="preserve">and where </w:t>
      </w:r>
      <m:oMath>
        <m:sSub>
          <m:sSubPr>
            <m:ctrlPr>
              <w:rPr>
                <w:rFonts w:ascii="Cambria Math" w:hAnsi="Cambria Math" w:cs="Calibri"/>
                <w:lang w:val="en-GB"/>
              </w:rPr>
            </m:ctrlPr>
          </m:sSubPr>
          <m:e>
            <m:r>
              <m:rPr>
                <m:sty m:val="p"/>
              </m:rPr>
              <w:rPr>
                <w:rFonts w:ascii="Cambria Math" w:hAnsi="Cambria Math" w:cs="Calibri"/>
                <w:lang w:val="en-GB"/>
              </w:rPr>
              <m:t>a</m:t>
            </m:r>
            <m:ctrlPr>
              <w:rPr>
                <w:rFonts w:ascii="Cambria Math" w:hAnsi="Cambria Math" w:cs="Calibri"/>
                <w:lang w:val="en-GB"/>
              </w:rPr>
            </m:ctrlPr>
          </m:e>
          <m:sub>
            <m:r>
              <m:rPr/>
              <w:rPr>
                <w:rFonts w:hint="default" w:ascii="Cambria Math" w:hAnsi="Cambria Math" w:cs="Calibri"/>
                <w:lang w:val="en-GB"/>
              </w:rPr>
              <m:t>ij</m:t>
            </m:r>
            <m:ctrlPr>
              <w:rPr>
                <w:rFonts w:ascii="Cambria Math" w:hAnsi="Cambria Math" w:cs="Calibri"/>
                <w:lang w:val="en-GB"/>
              </w:rPr>
            </m:ctrlPr>
          </m:sub>
        </m:sSub>
      </m:oMath>
      <w:r>
        <w:rPr>
          <w:rFonts w:ascii="Calibri" w:hAnsi="Calibri" w:cs="Calibri" w:eastAsiaTheme="minorEastAsia"/>
          <w:lang w:val="en-GB"/>
        </w:rPr>
        <w:t xml:space="preserve"> </w:t>
      </w:r>
      <w:r>
        <w:rPr>
          <w:rFonts w:ascii="Calibri" w:hAnsi="Calibri" w:cs="Calibri"/>
          <w:lang w:val="en-GB"/>
        </w:rPr>
        <w:t xml:space="preserve">is either the rank or the actual value of the phase of the </w:t>
      </w:r>
      <w:r>
        <w:rPr>
          <w:rFonts w:ascii="Calibri" w:hAnsi="Calibri" w:cs="Calibri"/>
          <w:i/>
          <w:iCs/>
          <w:lang w:val="en-GB"/>
        </w:rPr>
        <w:t>j</w:t>
      </w:r>
      <w:r>
        <w:rPr>
          <w:rFonts w:ascii="Calibri" w:hAnsi="Calibri" w:cs="Calibri"/>
          <w:vertAlign w:val="superscript"/>
          <w:lang w:val="en-GB"/>
        </w:rPr>
        <w:t>th</w:t>
      </w:r>
      <w:r>
        <w:rPr>
          <w:rFonts w:ascii="Calibri" w:hAnsi="Calibri" w:cs="Calibri"/>
          <w:lang w:val="en-GB"/>
        </w:rPr>
        <w:t xml:space="preserve"> spectral band from the </w:t>
      </w:r>
      <w:r>
        <w:rPr>
          <w:rFonts w:ascii="Calibri" w:hAnsi="Calibri" w:cs="Calibri"/>
          <w:i/>
          <w:iCs/>
          <w:lang w:val="en-GB"/>
        </w:rPr>
        <w:t>i</w:t>
      </w:r>
      <w:r>
        <w:rPr>
          <w:rFonts w:ascii="Calibri" w:hAnsi="Calibri" w:cs="Calibri"/>
          <w:vertAlign w:val="superscript"/>
          <w:lang w:val="en-GB"/>
        </w:rPr>
        <w:t>th</w:t>
      </w:r>
      <w:r>
        <w:rPr>
          <w:rFonts w:ascii="Calibri" w:hAnsi="Calibri" w:cs="Calibri"/>
          <w:lang w:val="en-GB"/>
        </w:rPr>
        <w:t xml:space="preserve"> epoch. The modified q-sample statistics were applied to the 1.4, 2.8, 4.3, 5.7, 7.1, 8.6, and 10 Hz frequency bands, chosen based on additional simulations presented in the supplemental digital content. The significance of QMod</w:t>
      </w:r>
      <w:r>
        <w:rPr>
          <w:rFonts w:ascii="Calibri" w:hAnsi="Calibri" w:cs="Calibri" w:eastAsiaTheme="minorEastAsia"/>
          <w:lang w:val="en-GB"/>
        </w:rPr>
        <w:t xml:space="preserve"> was evaluated using a bootstrap, as described next.</w:t>
      </w:r>
    </w:p>
    <w:p>
      <w:pPr>
        <w:pStyle w:val="17"/>
        <w:spacing w:line="240" w:lineRule="auto"/>
        <w:jc w:val="both"/>
        <w:rPr>
          <w:rFonts w:ascii="Calibri" w:hAnsi="Calibri" w:cs="Calibri" w:eastAsiaTheme="minorEastAsia"/>
          <w:lang w:val="en-GB"/>
        </w:rPr>
      </w:pPr>
    </w:p>
    <w:p>
      <w:pPr>
        <w:spacing w:line="240" w:lineRule="auto"/>
        <w:rPr>
          <w:rFonts w:ascii="Calibri" w:hAnsi="Calibri" w:cs="Calibri"/>
          <w:sz w:val="22"/>
          <w:szCs w:val="22"/>
          <w:lang w:val="en-GB"/>
        </w:rPr>
      </w:pPr>
      <w:r>
        <w:rPr>
          <w:rFonts w:ascii="Calibri" w:hAnsi="Calibri" w:cs="Calibri"/>
          <w:b/>
          <w:bCs/>
          <w:sz w:val="22"/>
          <w:szCs w:val="22"/>
          <w:lang w:val="en-GB"/>
        </w:rPr>
        <w:t>2.2.4 Frequency domain bootstrap</w:t>
      </w:r>
    </w:p>
    <w:p>
      <w:pPr>
        <w:spacing w:line="240" w:lineRule="auto"/>
        <w:jc w:val="both"/>
        <w:rPr>
          <w:rFonts w:ascii="Calibri" w:hAnsi="Calibri" w:cs="Calibri"/>
          <w:sz w:val="22"/>
          <w:szCs w:val="22"/>
          <w:lang w:val="en-GB"/>
        </w:rPr>
      </w:pPr>
      <w:r>
        <w:rPr>
          <w:rFonts w:ascii="Calibri" w:hAnsi="Calibri" w:cs="Calibri"/>
          <w:sz w:val="22"/>
          <w:szCs w:val="22"/>
          <w:lang w:val="en-GB"/>
        </w:rPr>
        <w:t>The frequency domain bootstrap (FDB) is an approach for generating many additional recordings, or “surrogates” (</w:t>
      </w:r>
      <w:r>
        <w:rPr>
          <w:rFonts w:ascii="Calibri" w:hAnsi="Calibri" w:cs="Calibri"/>
          <w:color w:val="0070C0"/>
          <w:sz w:val="22"/>
          <w:szCs w:val="22"/>
          <w:lang w:val="en-GB"/>
        </w:rPr>
        <w:t xml:space="preserve">Dahlhaus &amp; Janas, 1996; </w:t>
      </w:r>
      <w:r>
        <w:rPr>
          <w:rFonts w:ascii="Calibri" w:hAnsi="Calibri" w:cs="Calibri"/>
          <w:color w:val="2E75B6" w:themeColor="accent1" w:themeShade="BF"/>
          <w:sz w:val="22"/>
          <w:szCs w:val="22"/>
          <w:lang w:val="en-GB"/>
        </w:rPr>
        <w:t>Chesnaye et al, 2021</w:t>
      </w:r>
      <w:r>
        <w:rPr>
          <w:rFonts w:hint="default" w:ascii="Calibri" w:hAnsi="Calibri" w:cs="Calibri"/>
          <w:color w:val="2E75B6" w:themeColor="accent1" w:themeShade="BF"/>
          <w:sz w:val="22"/>
          <w:szCs w:val="22"/>
          <w:lang w:val="en-GB"/>
        </w:rPr>
        <w:t>b</w:t>
      </w:r>
      <w:r>
        <w:rPr>
          <w:rFonts w:ascii="Calibri" w:hAnsi="Calibri" w:cs="Calibri"/>
          <w:sz w:val="22"/>
          <w:szCs w:val="22"/>
          <w:lang w:val="en-GB"/>
        </w:rPr>
        <w:t xml:space="preserve">). By applying the adopted detection method to a large number of surrogate recordings that satisfy the null hypothesis (i.e. no response present), a distribution of test statistics can be generated, henceforth the “bootstrapped distribution”. </w:t>
      </w:r>
      <w:r>
        <w:rPr>
          <w:rFonts w:hint="default" w:ascii="Calibri" w:hAnsi="Calibri" w:cs="Calibri"/>
          <w:sz w:val="22"/>
          <w:szCs w:val="22"/>
          <w:lang w:val="en-GB"/>
        </w:rPr>
        <w:t xml:space="preserve">It is </w:t>
      </w:r>
      <w:r>
        <w:rPr>
          <w:rFonts w:ascii="Calibri" w:hAnsi="Calibri" w:cs="Calibri"/>
          <w:sz w:val="22"/>
          <w:szCs w:val="22"/>
          <w:lang w:val="en-GB"/>
        </w:rPr>
        <w:t xml:space="preserve">assumed </w:t>
      </w:r>
      <w:r>
        <w:rPr>
          <w:rFonts w:hint="default" w:ascii="Calibri" w:hAnsi="Calibri" w:cs="Calibri"/>
          <w:sz w:val="22"/>
          <w:szCs w:val="22"/>
          <w:lang w:val="en-GB"/>
        </w:rPr>
        <w:t xml:space="preserve">than the bootstrapped distribution </w:t>
      </w:r>
      <w:r>
        <w:rPr>
          <w:rFonts w:ascii="Calibri" w:hAnsi="Calibri" w:cs="Calibri"/>
          <w:sz w:val="22"/>
          <w:szCs w:val="22"/>
          <w:lang w:val="en-GB"/>
        </w:rPr>
        <w:t>approximate</w:t>
      </w:r>
      <w:r>
        <w:rPr>
          <w:rFonts w:hint="default" w:ascii="Calibri" w:hAnsi="Calibri" w:cs="Calibri"/>
          <w:sz w:val="22"/>
          <w:szCs w:val="22"/>
          <w:lang w:val="en-GB"/>
        </w:rPr>
        <w:t>s</w:t>
      </w:r>
      <w:r>
        <w:rPr>
          <w:rFonts w:ascii="Calibri" w:hAnsi="Calibri" w:cs="Calibri"/>
          <w:sz w:val="22"/>
          <w:szCs w:val="22"/>
          <w:lang w:val="en-GB"/>
        </w:rPr>
        <w:t xml:space="preserve"> the </w:t>
      </w:r>
      <w:r>
        <w:rPr>
          <w:rFonts w:hint="default" w:ascii="Calibri" w:hAnsi="Calibri" w:cs="Calibri"/>
          <w:sz w:val="22"/>
          <w:szCs w:val="22"/>
          <w:lang w:val="en-GB"/>
        </w:rPr>
        <w:t xml:space="preserve">true </w:t>
      </w:r>
      <w:r>
        <w:rPr>
          <w:rFonts w:ascii="Calibri" w:hAnsi="Calibri" w:cs="Calibri"/>
          <w:sz w:val="22"/>
          <w:szCs w:val="22"/>
          <w:lang w:val="en-GB"/>
        </w:rPr>
        <w:t xml:space="preserve">null distribution underlying the test statistic. In order to obtain a good approximation, it is important that the surrogate recordings are representative of data under the null hypothesis, which requires certain data characteristics to be emulated, such as power and serial correlation between samples in each recording. In particular, for a given recording, say </w:t>
      </w:r>
      <w:r>
        <w:rPr>
          <w:rFonts w:ascii="Calibri" w:hAnsi="Calibri" w:cs="Calibri"/>
          <w:position w:val="-6"/>
          <w:sz w:val="22"/>
          <w:szCs w:val="22"/>
          <w:lang w:val="en-GB"/>
        </w:rPr>
        <w:object>
          <v:shape id="_x0000_i1051" o:spt="75" type="#_x0000_t75" style="height:13.1pt;width:16.3pt;" o:ole="t" filled="f" o:preferrelative="t" stroked="f" coordsize="21600,21600">
            <v:path/>
            <v:fill on="f" focussize="0,0"/>
            <v:stroke on="f" joinstyle="miter"/>
            <v:imagedata r:id="rId54" o:title=""/>
            <o:lock v:ext="edit" aspectratio="t"/>
            <w10:wrap type="none"/>
            <w10:anchorlock/>
          </v:shape>
          <o:OLEObject Type="Embed" ProgID="Equation.KSEE3" ShapeID="_x0000_i1051" DrawAspect="Content" ObjectID="_1468075751" r:id="rId53">
            <o:LockedField>false</o:LockedField>
          </o:OLEObject>
        </w:object>
      </w:r>
      <w:r>
        <w:rPr>
          <w:rFonts w:ascii="Calibri" w:hAnsi="Calibri" w:cs="Calibri"/>
          <w:sz w:val="22"/>
          <w:szCs w:val="22"/>
          <w:lang w:val="en-GB"/>
        </w:rPr>
        <w:t xml:space="preserve">, the FDB aims to generate surrogate recordings with similar power and serial correlation as </w:t>
      </w:r>
      <w:r>
        <w:rPr>
          <w:rFonts w:ascii="Calibri" w:hAnsi="Calibri" w:cs="Calibri"/>
          <w:position w:val="-6"/>
          <w:sz w:val="22"/>
          <w:szCs w:val="22"/>
          <w:lang w:val="en-GB"/>
        </w:rPr>
        <w:object>
          <v:shape id="_x0000_i1052" o:spt="75" type="#_x0000_t75" style="height:13.1pt;width:16.3pt;" o:ole="t" filled="f" o:preferrelative="t" stroked="f" coordsize="21600,21600">
            <v:path/>
            <v:fill on="f" focussize="0,0"/>
            <v:stroke on="f" joinstyle="miter"/>
            <v:imagedata r:id="rId54" o:title=""/>
            <o:lock v:ext="edit" aspectratio="t"/>
            <w10:wrap type="none"/>
            <w10:anchorlock/>
          </v:shape>
          <o:OLEObject Type="Embed" ProgID="Equation.KSEE3" ShapeID="_x0000_i1052" DrawAspect="Content" ObjectID="_1468075752" r:id="rId55">
            <o:LockedField>false</o:LockedField>
          </o:OLEObject>
        </w:object>
      </w:r>
      <w:r>
        <w:rPr>
          <w:rFonts w:ascii="Calibri" w:hAnsi="Calibri" w:cs="Calibri"/>
          <w:sz w:val="22"/>
          <w:szCs w:val="22"/>
          <w:lang w:val="en-GB"/>
        </w:rPr>
        <w:t xml:space="preserve"> using the following steps (</w:t>
      </w:r>
      <w:r>
        <w:rPr>
          <w:rFonts w:ascii="Calibri" w:hAnsi="Calibri" w:cs="Calibri"/>
          <w:color w:val="2E75B6" w:themeColor="accent1" w:themeShade="BF"/>
          <w:sz w:val="22"/>
          <w:szCs w:val="22"/>
          <w:lang w:val="en-GB"/>
        </w:rPr>
        <w:t>Chesnaye et al, 2021</w:t>
      </w:r>
      <w:r>
        <w:rPr>
          <w:rFonts w:hint="default" w:ascii="Calibri" w:hAnsi="Calibri" w:cs="Calibri"/>
          <w:color w:val="2E75B6" w:themeColor="accent1" w:themeShade="BF"/>
          <w:sz w:val="22"/>
          <w:szCs w:val="22"/>
          <w:lang w:val="en-GB"/>
        </w:rPr>
        <w:t>b</w:t>
      </w:r>
      <w:r>
        <w:rPr>
          <w:rFonts w:ascii="Calibri" w:hAnsi="Calibri" w:cs="Calibri"/>
          <w:color w:val="auto"/>
          <w:sz w:val="22"/>
          <w:szCs w:val="22"/>
          <w:lang w:val="en-GB"/>
        </w:rPr>
        <w:t>)</w:t>
      </w:r>
      <w:r>
        <w:rPr>
          <w:rFonts w:ascii="Calibri" w:hAnsi="Calibri" w:cs="Calibri"/>
          <w:sz w:val="22"/>
          <w:szCs w:val="22"/>
          <w:lang w:val="en-GB"/>
        </w:rPr>
        <w:t>:</w:t>
      </w:r>
    </w:p>
    <w:p>
      <w:pPr>
        <w:spacing w:line="240" w:lineRule="auto"/>
        <w:jc w:val="both"/>
        <w:rPr>
          <w:rFonts w:ascii="Calibri" w:hAnsi="Calibri" w:cs="Calibri"/>
          <w:sz w:val="22"/>
          <w:szCs w:val="22"/>
          <w:lang w:val="en-GB"/>
        </w:rPr>
      </w:pPr>
    </w:p>
    <w:p>
      <w:pPr>
        <w:numPr>
          <w:ilvl w:val="0"/>
          <w:numId w:val="2"/>
        </w:numPr>
        <w:spacing w:line="240" w:lineRule="auto"/>
        <w:jc w:val="both"/>
        <w:rPr>
          <w:rFonts w:ascii="Calibri" w:hAnsi="Calibri" w:cs="Calibri"/>
          <w:sz w:val="22"/>
          <w:szCs w:val="22"/>
          <w:lang w:val="en-GB"/>
        </w:rPr>
      </w:pPr>
      <w:r>
        <w:rPr>
          <w:rFonts w:ascii="Calibri" w:hAnsi="Calibri" w:cs="Calibri"/>
          <w:sz w:val="22"/>
          <w:szCs w:val="22"/>
          <w:lang w:val="en-GB"/>
        </w:rPr>
        <w:t xml:space="preserve">Estimate the power spectral density (PSD) underlying </w:t>
      </w:r>
      <w:r>
        <w:rPr>
          <w:rFonts w:ascii="Calibri" w:hAnsi="Calibri" w:cs="Calibri"/>
          <w:position w:val="-6"/>
          <w:sz w:val="22"/>
          <w:szCs w:val="22"/>
          <w:lang w:val="en-GB"/>
        </w:rPr>
        <w:object>
          <v:shape id="_x0000_i1053" o:spt="75" type="#_x0000_t75" style="height:13.1pt;width:16.3pt;" o:ole="t" filled="f" o:preferrelative="t" stroked="f" coordsize="21600,21600">
            <v:path/>
            <v:fill on="f" focussize="0,0"/>
            <v:stroke on="f" joinstyle="miter"/>
            <v:imagedata r:id="rId54" o:title=""/>
            <o:lock v:ext="edit" aspectratio="t"/>
            <w10:wrap type="none"/>
            <w10:anchorlock/>
          </v:shape>
          <o:OLEObject Type="Embed" ProgID="Equation.KSEE3" ShapeID="_x0000_i1053" DrawAspect="Content" ObjectID="_1468075753" r:id="rId56">
            <o:LockedField>false</o:LockedField>
          </o:OLEObject>
        </w:object>
      </w:r>
      <w:r>
        <w:rPr>
          <w:rFonts w:ascii="Calibri" w:hAnsi="Calibri" w:cs="Calibri"/>
          <w:sz w:val="22"/>
          <w:szCs w:val="22"/>
          <w:lang w:val="en-GB"/>
        </w:rPr>
        <w:t xml:space="preserve">, say </w:t>
      </w:r>
      <w:r>
        <w:rPr>
          <w:rFonts w:ascii="Calibri" w:hAnsi="Calibri" w:cs="Calibri"/>
          <w:position w:val="-8"/>
          <w:sz w:val="22"/>
          <w:szCs w:val="22"/>
          <w:lang w:val="en-GB"/>
        </w:rPr>
        <w:object>
          <v:shape id="_x0000_i1054" o:spt="75" type="#_x0000_t75" style="height:15.05pt;width:13.1pt;" o:ole="t" filled="f" o:preferrelative="t" stroked="f" coordsize="21600,21600">
            <v:path/>
            <v:fill on="f" focussize="0,0"/>
            <v:stroke on="f" joinstyle="miter"/>
            <v:imagedata r:id="rId58" o:title=""/>
            <o:lock v:ext="edit" aspectratio="t"/>
            <w10:wrap type="none"/>
            <w10:anchorlock/>
          </v:shape>
          <o:OLEObject Type="Embed" ProgID="Equation.KSEE3" ShapeID="_x0000_i1054" DrawAspect="Content" ObjectID="_1468075754" r:id="rId57">
            <o:LockedField>false</o:LockedField>
          </o:OLEObject>
        </w:object>
      </w:r>
      <w:r>
        <w:rPr>
          <w:rFonts w:ascii="Calibri" w:hAnsi="Calibri" w:cs="Calibri"/>
          <w:sz w:val="22"/>
          <w:szCs w:val="22"/>
          <w:lang w:val="en-GB"/>
        </w:rPr>
        <w:t xml:space="preserve">, where </w:t>
      </w:r>
      <w:r>
        <w:rPr>
          <w:rFonts w:ascii="Calibri" w:hAnsi="Calibri" w:cs="Calibri"/>
          <w:i/>
          <w:iCs/>
          <w:sz w:val="22"/>
          <w:szCs w:val="22"/>
          <w:lang w:val="en-GB"/>
        </w:rPr>
        <w:t>j</w:t>
      </w:r>
      <w:r>
        <w:rPr>
          <w:rFonts w:ascii="Calibri" w:hAnsi="Calibri" w:cs="Calibri"/>
          <w:sz w:val="22"/>
          <w:szCs w:val="22"/>
          <w:lang w:val="en-GB"/>
        </w:rPr>
        <w:t xml:space="preserve"> is the index of the frequency bin (</w:t>
      </w:r>
      <w:r>
        <w:rPr>
          <w:rFonts w:ascii="Calibri" w:hAnsi="Calibri" w:cs="Calibri"/>
          <w:i/>
          <w:iCs/>
          <w:sz w:val="22"/>
          <w:szCs w:val="22"/>
          <w:lang w:val="en-GB"/>
        </w:rPr>
        <w:t xml:space="preserve">j </w:t>
      </w:r>
      <w:r>
        <w:rPr>
          <w:rFonts w:ascii="Calibri" w:hAnsi="Calibri" w:cs="Calibri"/>
          <w:sz w:val="22"/>
          <w:szCs w:val="22"/>
          <w:lang w:val="en-GB"/>
        </w:rPr>
        <w:t>= 1, 2, …, T). Welch’s method (</w:t>
      </w:r>
      <w:r>
        <w:rPr>
          <w:rFonts w:ascii="Calibri" w:hAnsi="Calibri" w:cs="Calibri"/>
          <w:color w:val="2E75B6" w:themeColor="accent1" w:themeShade="BF"/>
          <w:sz w:val="22"/>
          <w:szCs w:val="22"/>
          <w:lang w:val="en-GB"/>
        </w:rPr>
        <w:t>Welch, 1967</w:t>
      </w:r>
      <w:r>
        <w:rPr>
          <w:rFonts w:ascii="Calibri" w:hAnsi="Calibri" w:cs="Calibri"/>
          <w:sz w:val="22"/>
          <w:szCs w:val="22"/>
          <w:lang w:val="en-GB"/>
        </w:rPr>
        <w:t xml:space="preserve">) was used in the present study to estimate </w:t>
      </w:r>
      <w:r>
        <w:rPr>
          <w:rFonts w:ascii="Calibri" w:hAnsi="Calibri" w:cs="Calibri"/>
          <w:position w:val="-8"/>
          <w:sz w:val="22"/>
          <w:szCs w:val="22"/>
          <w:lang w:val="en-GB"/>
        </w:rPr>
        <w:object>
          <v:shape id="_x0000_i1055" o:spt="75" type="#_x0000_t75" style="height:15.05pt;width:13.1pt;" o:ole="t" filled="f" o:preferrelative="t" stroked="f" coordsize="21600,21600">
            <v:path/>
            <v:fill on="f" focussize="0,0"/>
            <v:stroke on="f" joinstyle="miter"/>
            <v:imagedata r:id="rId60" o:title=""/>
            <o:lock v:ext="edit" aspectratio="t"/>
            <w10:wrap type="none"/>
            <w10:anchorlock/>
          </v:shape>
          <o:OLEObject Type="Embed" ProgID="Equation.KSEE3" ShapeID="_x0000_i1055" DrawAspect="Content" ObjectID="_1468075755" r:id="rId59">
            <o:LockedField>false</o:LockedField>
          </o:OLEObject>
        </w:object>
      </w:r>
      <w:r>
        <w:rPr>
          <w:rFonts w:ascii="Calibri" w:hAnsi="Calibri" w:cs="Calibri"/>
          <w:sz w:val="22"/>
          <w:szCs w:val="22"/>
          <w:lang w:val="en-GB"/>
        </w:rPr>
        <w:t xml:space="preserve"> (further details below).</w:t>
      </w:r>
    </w:p>
    <w:p>
      <w:pPr>
        <w:numPr>
          <w:ilvl w:val="0"/>
          <w:numId w:val="2"/>
        </w:numPr>
        <w:spacing w:line="240" w:lineRule="auto"/>
        <w:jc w:val="both"/>
        <w:rPr>
          <w:rFonts w:ascii="Calibri" w:hAnsi="Calibri" w:cs="Calibri"/>
          <w:sz w:val="22"/>
          <w:szCs w:val="22"/>
          <w:lang w:val="en-GB"/>
        </w:rPr>
      </w:pPr>
      <w:r>
        <w:rPr>
          <w:rFonts w:ascii="Calibri" w:hAnsi="Calibri" w:cs="Calibri"/>
          <w:sz w:val="22"/>
          <w:szCs w:val="22"/>
          <w:lang w:val="en-GB"/>
        </w:rPr>
        <w:t xml:space="preserve">Generate random surrogate PSDs by adding random variation to the estimated PSD through: </w:t>
      </w:r>
      <w:r>
        <w:rPr>
          <w:rFonts w:ascii="Calibri" w:hAnsi="Calibri" w:cs="Calibri"/>
          <w:color w:val="0070C0"/>
          <w:position w:val="-8"/>
          <w:sz w:val="22"/>
          <w:szCs w:val="22"/>
          <w:lang w:val="en-GB"/>
        </w:rPr>
        <w:object>
          <v:shape id="_x0000_i1056" o:spt="75" type="#_x0000_t75" style="height:17.9pt;width:58.9pt;" o:ole="t" filled="f" o:preferrelative="t" stroked="f" coordsize="21600,21600">
            <v:path/>
            <v:fill on="f" focussize="0,0"/>
            <v:stroke on="f" joinstyle="miter"/>
            <v:imagedata r:id="rId62" o:title=""/>
            <o:lock v:ext="edit" aspectratio="t"/>
            <w10:wrap type="none"/>
            <w10:anchorlock/>
          </v:shape>
          <o:OLEObject Type="Embed" ProgID="Equation.KSEE3" ShapeID="_x0000_i1056" DrawAspect="Content" ObjectID="_1468075756" r:id="rId61">
            <o:LockedField>false</o:LockedField>
          </o:OLEObject>
        </w:object>
      </w:r>
      <w:r>
        <w:rPr>
          <w:rFonts w:ascii="Calibri" w:hAnsi="Calibri" w:cs="Calibri"/>
          <w:sz w:val="22"/>
          <w:szCs w:val="22"/>
          <w:lang w:val="en-GB"/>
        </w:rPr>
        <w:t xml:space="preserve">, where </w:t>
      </w:r>
      <w:r>
        <w:rPr>
          <w:rFonts w:ascii="Calibri" w:hAnsi="Calibri" w:cs="Calibri"/>
          <w:color w:val="0070C0"/>
          <w:position w:val="-8"/>
          <w:sz w:val="22"/>
          <w:szCs w:val="22"/>
          <w:lang w:val="en-GB"/>
        </w:rPr>
        <w:object>
          <v:shape id="_x0000_i1057" o:spt="75" type="#_x0000_t75" style="height:17.9pt;width:13.1pt;" o:ole="t" filled="f" o:preferrelative="t" stroked="f" coordsize="21600,21600">
            <v:path/>
            <v:fill on="f" focussize="0,0"/>
            <v:stroke on="f" joinstyle="miter"/>
            <v:imagedata r:id="rId64" o:title=""/>
            <o:lock v:ext="edit" aspectratio="t"/>
            <w10:wrap type="none"/>
            <w10:anchorlock/>
          </v:shape>
          <o:OLEObject Type="Embed" ProgID="Equation.KSEE3" ShapeID="_x0000_i1057" DrawAspect="Content" ObjectID="_1468075757" r:id="rId63">
            <o:LockedField>false</o:LockedField>
          </o:OLEObject>
        </w:object>
      </w:r>
      <w:r>
        <w:rPr>
          <w:rFonts w:ascii="Calibri" w:hAnsi="Calibri" w:cs="Calibri"/>
          <w:sz w:val="22"/>
          <w:szCs w:val="22"/>
          <w:lang w:val="en-GB"/>
        </w:rPr>
        <w:t xml:space="preserve"> is an estimate of </w:t>
      </w:r>
      <w:r>
        <w:rPr>
          <w:rFonts w:ascii="Calibri" w:hAnsi="Calibri" w:cs="Calibri"/>
          <w:color w:val="0070C0"/>
          <w:position w:val="-8"/>
          <w:sz w:val="22"/>
          <w:szCs w:val="22"/>
          <w:lang w:val="en-GB"/>
        </w:rPr>
        <w:object>
          <v:shape id="_x0000_i1058" o:spt="75" type="#_x0000_t75" style="height:15.05pt;width:13.1pt;" o:ole="t" filled="f" o:preferrelative="t" stroked="f" coordsize="21600,21600">
            <v:path/>
            <v:fill on="f" focussize="0,0"/>
            <v:stroke on="f" joinstyle="miter"/>
            <v:imagedata r:id="rId66" o:title=""/>
            <o:lock v:ext="edit" aspectratio="t"/>
            <w10:wrap type="none"/>
            <w10:anchorlock/>
          </v:shape>
          <o:OLEObject Type="Embed" ProgID="Equation.KSEE3" ShapeID="_x0000_i1058" DrawAspect="Content" ObjectID="_1468075758" r:id="rId65">
            <o:LockedField>false</o:LockedField>
          </o:OLEObject>
        </w:object>
      </w:r>
      <w:r>
        <w:rPr>
          <w:rFonts w:ascii="Calibri" w:hAnsi="Calibri" w:cs="Calibri"/>
          <w:sz w:val="22"/>
          <w:szCs w:val="22"/>
          <w:lang w:val="en-GB"/>
        </w:rPr>
        <w:t xml:space="preserve">, and </w:t>
      </w:r>
      <w:r>
        <w:rPr>
          <w:rFonts w:ascii="Calibri" w:hAnsi="Calibri" w:cs="Calibri"/>
          <w:position w:val="-8"/>
          <w:sz w:val="22"/>
          <w:szCs w:val="22"/>
          <w:lang w:val="en-GB"/>
        </w:rPr>
        <w:object>
          <v:shape id="_x0000_i1059" o:spt="75" type="#_x0000_t75" style="height:17.9pt;width:15.05pt;" o:ole="t" filled="f" o:preferrelative="t" stroked="f" coordsize="21600,21600">
            <v:path/>
            <v:fill on="f" focussize="0,0"/>
            <v:stroke on="f" joinstyle="miter"/>
            <v:imagedata r:id="rId68" o:title=""/>
            <o:lock v:ext="edit" aspectratio="t"/>
            <w10:wrap type="none"/>
            <w10:anchorlock/>
          </v:shape>
          <o:OLEObject Type="Embed" ProgID="Equation.KSEE3" ShapeID="_x0000_i1059" DrawAspect="Content" ObjectID="_1468075759" r:id="rId67">
            <o:LockedField>false</o:LockedField>
          </o:OLEObject>
        </w:object>
      </w:r>
      <w:r>
        <w:rPr>
          <w:rFonts w:ascii="Calibri" w:hAnsi="Calibri" w:cs="Calibri"/>
          <w:sz w:val="22"/>
          <w:szCs w:val="22"/>
          <w:lang w:val="en-GB"/>
        </w:rPr>
        <w:t>is randomly sampled from a standard exponential distribution with a mean of one (</w:t>
      </w:r>
      <w:r>
        <w:rPr>
          <w:rFonts w:ascii="Calibri" w:hAnsi="Calibri" w:cs="Calibri"/>
          <w:color w:val="0070C0"/>
          <w:sz w:val="22"/>
          <w:szCs w:val="22"/>
          <w:lang w:val="en-GB"/>
        </w:rPr>
        <w:t>Dahlhaus &amp; Janas, 1996)</w:t>
      </w:r>
      <w:r>
        <w:rPr>
          <w:rFonts w:ascii="Calibri" w:hAnsi="Calibri" w:cs="Calibri"/>
          <w:sz w:val="22"/>
          <w:szCs w:val="22"/>
          <w:lang w:val="en-GB"/>
        </w:rPr>
        <w:t xml:space="preserve">. </w:t>
      </w:r>
      <w:r>
        <w:rPr>
          <w:sz w:val="22"/>
          <w:szCs w:val="22"/>
        </w:rPr>
        <w:t xml:space="preserve">To clarify, note that the </w:t>
      </w:r>
      <w:r>
        <w:rPr>
          <w:sz w:val="22"/>
          <w:szCs w:val="22"/>
          <w:lang w:val="en-GB"/>
        </w:rPr>
        <w:t xml:space="preserve">standard exponential distribution is related to the </w:t>
      </w:r>
      <w:r>
        <w:rPr>
          <w:position w:val="-10"/>
          <w:sz w:val="22"/>
          <w:szCs w:val="22"/>
        </w:rPr>
        <w:object>
          <v:shape id="_x0000_i1060" o:spt="75" type="#_x0000_t75" style="height:18.9pt;width:16.3pt;" o:ole="t" filled="f" o:preferrelative="t" stroked="f" coordsize="21600,21600">
            <v:path/>
            <v:fill on="f" focussize="0,0"/>
            <v:stroke on="f" joinstyle="miter"/>
            <v:imagedata r:id="rId70" o:title=""/>
            <o:lock v:ext="edit" aspectratio="t"/>
            <w10:wrap type="none"/>
            <w10:anchorlock/>
          </v:shape>
          <o:OLEObject Type="Embed" ProgID="Equation.KSEE3" ShapeID="_x0000_i1060" DrawAspect="Content" ObjectID="_1468075760" r:id="rId69">
            <o:LockedField>false</o:LockedField>
          </o:OLEObject>
        </w:object>
      </w:r>
      <w:r>
        <w:rPr>
          <w:sz w:val="22"/>
          <w:szCs w:val="22"/>
        </w:rPr>
        <w:t xml:space="preserve"> distribution through </w:t>
      </w:r>
      <w:r>
        <w:rPr>
          <w:position w:val="-10"/>
          <w:sz w:val="22"/>
          <w:szCs w:val="22"/>
        </w:rPr>
        <w:object>
          <v:shape id="_x0000_i1061" o:spt="75" type="#_x0000_t75" style="height:18.9pt;width:76.15pt;" o:ole="t" filled="f" o:preferrelative="t" stroked="f" coordsize="21600,21600">
            <v:path/>
            <v:fill on="f" focussize="0,0"/>
            <v:stroke on="f" joinstyle="miter"/>
            <v:imagedata r:id="rId72" o:title=""/>
            <o:lock v:ext="edit" aspectratio="t"/>
            <w10:wrap type="none"/>
            <w10:anchorlock/>
          </v:shape>
          <o:OLEObject Type="Embed" ProgID="Equation.KSEE3" ShapeID="_x0000_i1061" DrawAspect="Content" ObjectID="_1468075761" r:id="rId71">
            <o:LockedField>false</o:LockedField>
          </o:OLEObject>
        </w:object>
      </w:r>
      <w:r>
        <w:rPr>
          <w:position w:val="-10"/>
          <w:sz w:val="22"/>
          <w:szCs w:val="22"/>
          <w:lang w:val="en-GB"/>
        </w:rPr>
        <w:t xml:space="preserve"> </w:t>
      </w:r>
      <w:r>
        <w:rPr>
          <w:sz w:val="22"/>
          <w:szCs w:val="22"/>
        </w:rPr>
        <w:t>(</w:t>
      </w:r>
      <w:r>
        <w:rPr>
          <w:color w:val="2E75B5"/>
          <w:sz w:val="22"/>
          <w:szCs w:val="22"/>
        </w:rPr>
        <w:t>Leemis &amp; Mc</w:t>
      </w:r>
      <w:r>
        <w:rPr>
          <w:rFonts w:hint="default"/>
          <w:color w:val="2E75B5"/>
          <w:sz w:val="22"/>
          <w:szCs w:val="22"/>
          <w:lang w:val="en-GB"/>
        </w:rPr>
        <w:t>Q</w:t>
      </w:r>
      <w:r>
        <w:rPr>
          <w:color w:val="2E75B5"/>
          <w:sz w:val="22"/>
          <w:szCs w:val="22"/>
        </w:rPr>
        <w:t>uestion, 2008</w:t>
      </w:r>
      <w:r>
        <w:rPr>
          <w:sz w:val="22"/>
          <w:szCs w:val="22"/>
        </w:rPr>
        <w:t>)</w:t>
      </w:r>
      <w:r>
        <w:rPr>
          <w:sz w:val="22"/>
          <w:szCs w:val="22"/>
          <w:lang w:val="en-GB"/>
        </w:rPr>
        <w:t xml:space="preserve">, and that the </w:t>
      </w:r>
      <w:r>
        <w:rPr>
          <w:position w:val="-10"/>
          <w:sz w:val="22"/>
          <w:szCs w:val="22"/>
        </w:rPr>
        <w:object>
          <v:shape id="_x0000_i1062" o:spt="75" type="#_x0000_t75" style="height:18.9pt;width:16.3pt;" o:ole="t" filled="f" o:preferrelative="t" stroked="f" coordsize="21600,21600">
            <v:path/>
            <v:fill on="f" focussize="0,0"/>
            <v:stroke on="f" joinstyle="miter"/>
            <v:imagedata r:id="rId70" o:title=""/>
            <o:lock v:ext="edit" aspectratio="t"/>
            <w10:wrap type="none"/>
            <w10:anchorlock/>
          </v:shape>
          <o:OLEObject Type="Embed" ProgID="Equation.KSEE3" ShapeID="_x0000_i1062" DrawAspect="Content" ObjectID="_1468075762" r:id="rId73">
            <o:LockedField>false</o:LockedField>
          </o:OLEObject>
        </w:object>
      </w:r>
      <w:r>
        <w:rPr>
          <w:sz w:val="22"/>
          <w:szCs w:val="22"/>
          <w:lang w:val="en-GB"/>
        </w:rPr>
        <w:t xml:space="preserve"> distribution describes the </w:t>
      </w:r>
      <w:r>
        <w:rPr>
          <w:sz w:val="22"/>
          <w:szCs w:val="22"/>
        </w:rPr>
        <w:t xml:space="preserve">sum of the squared real and imaginary parts </w:t>
      </w:r>
      <w:r>
        <w:rPr>
          <w:sz w:val="22"/>
          <w:szCs w:val="22"/>
          <w:lang w:val="en-GB"/>
        </w:rPr>
        <w:t xml:space="preserve">(i.e. a sum of squares or the square of the amplitude) </w:t>
      </w:r>
      <w:r>
        <w:rPr>
          <w:sz w:val="22"/>
          <w:szCs w:val="22"/>
        </w:rPr>
        <w:t>of the FFT</w:t>
      </w:r>
      <w:r>
        <w:rPr>
          <w:sz w:val="22"/>
          <w:szCs w:val="22"/>
          <w:lang w:val="en-GB"/>
        </w:rPr>
        <w:t xml:space="preserve"> components at frequency </w:t>
      </w:r>
      <w:r>
        <w:rPr>
          <w:i/>
          <w:iCs/>
          <w:sz w:val="22"/>
          <w:szCs w:val="22"/>
          <w:lang w:val="en-GB"/>
        </w:rPr>
        <w:t>j</w:t>
      </w:r>
      <w:r>
        <w:rPr>
          <w:sz w:val="22"/>
          <w:szCs w:val="22"/>
          <w:lang w:val="en-GB"/>
        </w:rPr>
        <w:t xml:space="preserve">. </w:t>
      </w:r>
    </w:p>
    <w:p>
      <w:pPr>
        <w:numPr>
          <w:ilvl w:val="0"/>
          <w:numId w:val="2"/>
        </w:numPr>
        <w:spacing w:line="240" w:lineRule="auto"/>
        <w:jc w:val="both"/>
        <w:rPr>
          <w:rFonts w:ascii="Calibri" w:hAnsi="Calibri" w:cs="Calibri"/>
          <w:sz w:val="22"/>
          <w:szCs w:val="22"/>
          <w:lang w:val="en-GB"/>
        </w:rPr>
      </w:pPr>
      <w:r>
        <w:rPr>
          <w:rFonts w:ascii="Calibri" w:hAnsi="Calibri" w:cs="Calibri"/>
          <w:sz w:val="22"/>
          <w:szCs w:val="22"/>
          <w:lang w:val="en-GB"/>
        </w:rPr>
        <w:t xml:space="preserve">Transform the random surrogate PSDs to magnitudes, and assign a random phase to each frequency bin where the phases are randomly sampled from a uniform distribution on the [-π, π] interval. For the time domain detection methods, take the inverse FFT to obtain time-domain surrogates. </w:t>
      </w:r>
    </w:p>
    <w:p>
      <w:pPr>
        <w:spacing w:line="240" w:lineRule="auto"/>
        <w:jc w:val="both"/>
        <w:rPr>
          <w:rFonts w:ascii="Calibri" w:hAnsi="Calibri" w:cs="Calibri"/>
          <w:sz w:val="22"/>
          <w:szCs w:val="22"/>
          <w:lang w:val="en-GB"/>
        </w:rPr>
      </w:pPr>
      <w:r>
        <w:rPr>
          <w:rFonts w:ascii="Calibri" w:hAnsi="Calibri" w:cs="Calibri"/>
          <w:sz w:val="22"/>
          <w:szCs w:val="22"/>
          <w:lang w:val="en-GB"/>
        </w:rPr>
        <w:t xml:space="preserve">4) Analyse the random surrogates with the detection method to generate a distribution of test statistics, which can be assumed to approximate the recording-dependent null distribution underlying the test statistic. </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 xml:space="preserve">A crucial parameter underlying the performance of the FDB is the length of the sliding window within Welch’s method, applied to </w:t>
      </w:r>
      <w:r>
        <w:rPr>
          <w:rFonts w:ascii="Calibri" w:hAnsi="Calibri" w:cs="Calibri"/>
          <w:position w:val="-6"/>
          <w:sz w:val="22"/>
          <w:szCs w:val="22"/>
          <w:lang w:val="en-GB"/>
        </w:rPr>
        <w:object>
          <v:shape id="_x0000_i1063" o:spt="75" type="#_x0000_t75" style="height:13.1pt;width:16.3pt;" o:ole="t" filled="f" o:preferrelative="t" stroked="f" coordsize="21600,21600">
            <v:path/>
            <v:fill on="f" focussize="0,0"/>
            <v:stroke on="f" joinstyle="miter"/>
            <v:imagedata r:id="rId54" o:title=""/>
            <o:lock v:ext="edit" aspectratio="t"/>
            <w10:wrap type="none"/>
            <w10:anchorlock/>
          </v:shape>
          <o:OLEObject Type="Embed" ProgID="Equation.KSEE3" ShapeID="_x0000_i1063" DrawAspect="Content" ObjectID="_1468075763" r:id="rId74">
            <o:LockedField>false</o:LockedField>
          </o:OLEObject>
        </w:object>
      </w:r>
      <w:r>
        <w:rPr>
          <w:rFonts w:ascii="Calibri" w:hAnsi="Calibri" w:cs="Calibri"/>
          <w:sz w:val="22"/>
          <w:szCs w:val="22"/>
          <w:lang w:val="en-GB"/>
        </w:rPr>
        <w:t xml:space="preserve">, which determines the spectral resolution and hence the “smoothness” of </w:t>
      </w:r>
      <w:r>
        <w:rPr>
          <w:rFonts w:ascii="Calibri" w:hAnsi="Calibri" w:cs="Calibri"/>
          <w:color w:val="0070C0"/>
          <w:position w:val="-8"/>
          <w:sz w:val="22"/>
          <w:szCs w:val="22"/>
          <w:lang w:val="en-GB"/>
        </w:rPr>
        <w:object>
          <v:shape id="_x0000_i1064" o:spt="75" type="#_x0000_t75" style="height:17.9pt;width:13.1pt;" o:ole="t" filled="f" o:preferrelative="t" stroked="f" coordsize="21600,21600">
            <v:path/>
            <v:fill on="f" focussize="0,0"/>
            <v:stroke on="f" joinstyle="miter"/>
            <v:imagedata r:id="rId64" o:title=""/>
            <o:lock v:ext="edit" aspectratio="t"/>
            <w10:wrap type="none"/>
            <w10:anchorlock/>
          </v:shape>
          <o:OLEObject Type="Embed" ProgID="Equation.KSEE3" ShapeID="_x0000_i1064" DrawAspect="Content" ObjectID="_1468075764" r:id="rId75">
            <o:LockedField>false</o:LockedField>
          </o:OLEObject>
        </w:object>
      </w:r>
      <w:r>
        <w:rPr>
          <w:rFonts w:ascii="Calibri" w:hAnsi="Calibri" w:cs="Calibri"/>
          <w:sz w:val="22"/>
          <w:szCs w:val="22"/>
          <w:lang w:val="en-GB"/>
        </w:rPr>
        <w:t xml:space="preserve">. Smoothing helps to reduce variance in the </w:t>
      </w:r>
      <w:r>
        <w:rPr>
          <w:rFonts w:ascii="Calibri" w:hAnsi="Calibri" w:cs="Calibri"/>
          <w:color w:val="0070C0"/>
          <w:position w:val="-8"/>
          <w:sz w:val="22"/>
          <w:szCs w:val="22"/>
          <w:lang w:val="en-GB"/>
        </w:rPr>
        <w:object>
          <v:shape id="_x0000_i1065" o:spt="75" type="#_x0000_t75" style="height:17.9pt;width:13.1pt;" o:ole="t" filled="f" o:preferrelative="t" stroked="f" coordsize="21600,21600">
            <v:path/>
            <v:fill on="f" focussize="0,0"/>
            <v:stroke on="f" joinstyle="miter"/>
            <v:imagedata r:id="rId64" o:title=""/>
            <o:lock v:ext="edit" aspectratio="t"/>
            <w10:wrap type="none"/>
            <w10:anchorlock/>
          </v:shape>
          <o:OLEObject Type="Embed" ProgID="Equation.KSEE3" ShapeID="_x0000_i1065" DrawAspect="Content" ObjectID="_1468075765" r:id="rId76">
            <o:LockedField>false</o:LockedField>
          </o:OLEObject>
        </w:object>
      </w:r>
      <w:r>
        <w:rPr>
          <w:rFonts w:ascii="Calibri" w:hAnsi="Calibri" w:cs="Calibri"/>
          <w:sz w:val="22"/>
          <w:szCs w:val="22"/>
          <w:lang w:val="en-GB"/>
        </w:rPr>
        <w:t xml:space="preserve"> estimate, and helps to mitigate stimulus-induced peaks, which would otherwise bias </w:t>
      </w:r>
      <w:r>
        <w:rPr>
          <w:rFonts w:ascii="Calibri" w:hAnsi="Calibri" w:cs="Calibri"/>
          <w:color w:val="0070C0"/>
          <w:position w:val="-8"/>
          <w:sz w:val="22"/>
          <w:szCs w:val="22"/>
          <w:lang w:val="en-GB"/>
        </w:rPr>
        <w:object>
          <v:shape id="_x0000_i1066" o:spt="75" type="#_x0000_t75" style="height:17.9pt;width:13.1pt;" o:ole="t" filled="f" o:preferrelative="t" stroked="f" coordsize="21600,21600">
            <v:path/>
            <v:fill on="f" focussize="0,0"/>
            <v:stroke on="f" joinstyle="miter"/>
            <v:imagedata r:id="rId64" o:title=""/>
            <o:lock v:ext="edit" aspectratio="t"/>
            <w10:wrap type="none"/>
            <w10:anchorlock/>
          </v:shape>
          <o:OLEObject Type="Embed" ProgID="Equation.KSEE3" ShapeID="_x0000_i1066" DrawAspect="Content" ObjectID="_1468075766" r:id="rId77">
            <o:LockedField>false</o:LockedField>
          </o:OLEObject>
        </w:object>
      </w:r>
      <w:r>
        <w:rPr>
          <w:rFonts w:ascii="Calibri" w:hAnsi="Calibri" w:cs="Calibri"/>
          <w:position w:val="-8"/>
          <w:sz w:val="22"/>
          <w:szCs w:val="22"/>
          <w:lang w:val="en-GB"/>
        </w:rPr>
        <w:t xml:space="preserve"> </w:t>
      </w:r>
      <w:r>
        <w:rPr>
          <w:rFonts w:ascii="Calibri" w:hAnsi="Calibri" w:cs="Calibri"/>
          <w:sz w:val="22"/>
          <w:szCs w:val="22"/>
          <w:lang w:val="en-GB"/>
        </w:rPr>
        <w:t>towards the PSD of the alternative hypothesis of “CAEP present”, as opposed to the null hypothesis of “no CAEP present”. The current study used a window length of 2 seconds, which was chosen based on pilot simulations (details not presented). Each bootstrapped distribution was generated from a total of 1000 surrogates. A more formal description along with an illustrative example can be found in Chesnaye et al (2021</w:t>
      </w:r>
      <w:r>
        <w:rPr>
          <w:rFonts w:hint="default" w:ascii="Calibri" w:hAnsi="Calibri" w:cs="Calibri"/>
          <w:sz w:val="22"/>
          <w:szCs w:val="22"/>
          <w:lang w:val="en-GB"/>
        </w:rPr>
        <w:t>b</w:t>
      </w:r>
      <w:r>
        <w:rPr>
          <w:rFonts w:ascii="Calibri" w:hAnsi="Calibri" w:cs="Calibri"/>
          <w:sz w:val="22"/>
          <w:szCs w:val="22"/>
          <w:lang w:val="en-GB"/>
        </w:rPr>
        <w:t>).</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4"/>
          <w:szCs w:val="24"/>
          <w:lang w:val="en-GB"/>
        </w:rPr>
      </w:pPr>
      <w:r>
        <w:rPr>
          <w:rFonts w:ascii="Calibri" w:hAnsi="Calibri" w:cs="Calibri"/>
          <w:b/>
          <w:bCs/>
          <w:sz w:val="24"/>
          <w:szCs w:val="24"/>
          <w:lang w:val="en-GB"/>
        </w:rPr>
        <w:t>2.3 Visual inspection by audiologists</w:t>
      </w:r>
    </w:p>
    <w:p>
      <w:pPr>
        <w:pStyle w:val="17"/>
        <w:spacing w:line="240" w:lineRule="auto"/>
        <w:jc w:val="both"/>
        <w:rPr>
          <w:rFonts w:ascii="Calibri" w:hAnsi="Calibri" w:cs="Calibri"/>
          <w:lang w:val="en-GB"/>
        </w:rPr>
      </w:pPr>
      <w:r>
        <w:rPr>
          <w:rFonts w:ascii="Calibri" w:hAnsi="Calibri" w:cs="Calibri"/>
          <w:lang w:val="en-GB"/>
        </w:rPr>
        <w:t>The infant CAEP data were first evaluated by three experienced audiologists who determined whether a CAEP was present or absent in accordance with guidelines provided by the British Society of Audiology (</w:t>
      </w:r>
      <w:r>
        <w:rPr>
          <w:rFonts w:ascii="Calibri" w:hAnsi="Calibri" w:cs="Calibri"/>
          <w:color w:val="0070C0"/>
          <w:lang w:val="en-GB"/>
        </w:rPr>
        <w:t>Lightfoot et al, 2016</w:t>
      </w:r>
      <w:r>
        <w:rPr>
          <w:rFonts w:ascii="Calibri" w:hAnsi="Calibri" w:cs="Calibri"/>
          <w:lang w:val="en-GB"/>
        </w:rPr>
        <w:t xml:space="preserve">). Data were presented to the audiologists as two replicates of the coherently averaged epoch where each replicate was obtained by averaging 80 epochs. The coherent average replicates were presented from -150 to +750 ms relative to stimulus onset, with the y-axis fixed at –15 to +15 </w:t>
      </w:r>
      <w:r>
        <w:rPr>
          <w:rFonts w:hint="default" w:ascii="Calibri" w:hAnsi="Calibri"/>
          <w:lang w:val="en-GB"/>
        </w:rPr>
        <w:t>μ</w:t>
      </w:r>
      <w:r>
        <w:rPr>
          <w:rFonts w:ascii="Calibri" w:hAnsi="Calibri" w:cs="Calibri"/>
          <w:lang w:val="en-GB"/>
        </w:rPr>
        <w:t>V. The examiners then made the decision of either (i) response present, (ii) response absent, or (iii) ambiguous. The ambiguous option was included to more accurately represent real world test conditions where clinician’s similarly have the choice to remain undecided, and potentially collect more data</w:t>
      </w:r>
      <w:r>
        <w:rPr>
          <w:rFonts w:hint="default" w:ascii="Calibri" w:hAnsi="Calibri" w:cs="Calibri"/>
          <w:lang w:val="en-GB"/>
        </w:rPr>
        <w:t xml:space="preserve"> to resolve any ambiguities (</w:t>
      </w:r>
      <w:r>
        <w:rPr>
          <w:rFonts w:ascii="Calibri" w:hAnsi="Calibri" w:cs="Calibri"/>
          <w:color w:val="0070C0"/>
          <w:lang w:val="en-GB"/>
        </w:rPr>
        <w:t>Lightfoot et al, 2016</w:t>
      </w:r>
      <w:r>
        <w:rPr>
          <w:rFonts w:hint="default" w:ascii="Calibri" w:hAnsi="Calibri" w:cs="Calibri"/>
          <w:lang w:val="en-GB"/>
        </w:rPr>
        <w:t>)</w:t>
      </w:r>
      <w:r>
        <w:rPr>
          <w:rFonts w:ascii="Calibri" w:hAnsi="Calibri" w:cs="Calibri"/>
          <w:lang w:val="en-GB"/>
        </w:rPr>
        <w:t xml:space="preserve">. Data </w:t>
      </w:r>
      <w:r>
        <w:rPr>
          <w:rFonts w:hint="default" w:ascii="Calibri" w:hAnsi="Calibri" w:cs="Calibri"/>
          <w:lang w:val="en-GB"/>
        </w:rPr>
        <w:t xml:space="preserve">were furthermore </w:t>
      </w:r>
      <w:r>
        <w:rPr>
          <w:rFonts w:ascii="Calibri" w:hAnsi="Calibri" w:cs="Calibri"/>
          <w:lang w:val="en-GB"/>
        </w:rPr>
        <w:t xml:space="preserve">presented to the examiners randomly, with no knowledge of subject ID or stimulus level, and with no knowledge of the output of the statistical detection methods. The aim for the visual inspection was to obtain a score to compare the performance of the objective detection methods against. Audiologists’ assessments also formed the basis </w:t>
      </w:r>
      <w:r>
        <w:rPr>
          <w:rFonts w:hint="default" w:ascii="Calibri" w:hAnsi="Calibri" w:cs="Calibri"/>
          <w:lang w:val="en-GB"/>
        </w:rPr>
        <w:t xml:space="preserve">for </w:t>
      </w:r>
      <w:r>
        <w:rPr>
          <w:rFonts w:ascii="Calibri" w:hAnsi="Calibri" w:cs="Calibri"/>
          <w:lang w:val="en-GB"/>
        </w:rPr>
        <w:t xml:space="preserve">constructing a sample of CAEP waveforms, which were later used to emulate CAEP signals in simulations, as described in Section 2.5 below. </w:t>
      </w:r>
    </w:p>
    <w:p>
      <w:pPr>
        <w:spacing w:line="240" w:lineRule="auto"/>
        <w:jc w:val="both"/>
        <w:rPr>
          <w:rFonts w:ascii="Calibri" w:hAnsi="Calibri" w:cs="Calibri"/>
          <w:sz w:val="22"/>
          <w:szCs w:val="22"/>
          <w:lang w:val="en-GB"/>
        </w:rPr>
      </w:pPr>
      <w:r>
        <w:rPr>
          <w:rFonts w:ascii="Calibri" w:hAnsi="Calibri" w:cs="Calibri"/>
          <w:sz w:val="22"/>
          <w:szCs w:val="22"/>
          <w:lang w:val="en-GB"/>
        </w:rPr>
        <w:t xml:space="preserve"> </w:t>
      </w:r>
    </w:p>
    <w:p>
      <w:pPr>
        <w:spacing w:line="240" w:lineRule="auto"/>
        <w:jc w:val="both"/>
        <w:rPr>
          <w:rFonts w:ascii="Calibri" w:hAnsi="Calibri" w:cs="Calibri"/>
          <w:b/>
          <w:bCs/>
          <w:sz w:val="24"/>
          <w:szCs w:val="24"/>
          <w:lang w:val="en-GB"/>
        </w:rPr>
      </w:pPr>
      <w:r>
        <w:rPr>
          <w:rFonts w:ascii="Calibri" w:hAnsi="Calibri" w:cs="Calibri"/>
          <w:b/>
          <w:bCs/>
          <w:sz w:val="24"/>
          <w:szCs w:val="24"/>
          <w:lang w:val="en-GB"/>
        </w:rPr>
        <w:t>2.4 Test specificity</w:t>
      </w:r>
    </w:p>
    <w:p>
      <w:pPr>
        <w:spacing w:line="240" w:lineRule="auto"/>
        <w:jc w:val="both"/>
        <w:rPr>
          <w:rFonts w:ascii="Calibri" w:hAnsi="Calibri" w:cs="Calibri"/>
          <w:sz w:val="22"/>
          <w:szCs w:val="22"/>
          <w:lang w:val="en-GB"/>
        </w:rPr>
      </w:pPr>
      <w:r>
        <w:rPr>
          <w:rFonts w:ascii="Calibri" w:hAnsi="Calibri" w:cs="Calibri"/>
          <w:sz w:val="22"/>
          <w:szCs w:val="22"/>
          <w:lang w:val="en-GB"/>
        </w:rPr>
        <w:t>The specificity of the detection methods was evaluated using false-positive rates (FPRs), defined as the rate at which H0 is rejected when H0 is true. Ideally, the FPR should equal the significance level of the test, also known as the nominal α-level, set here to 0.01. Data for the specificity assessment consisted of the inaudible (&lt;0 dB SL) CAEP recordings, as well as simulated data to provide a more powerful assessment using a large number of tests where the ground truth of response absen</w:t>
      </w:r>
      <w:r>
        <w:rPr>
          <w:rFonts w:hint="default" w:ascii="Calibri" w:hAnsi="Calibri" w:cs="Calibri"/>
          <w:sz w:val="22"/>
          <w:szCs w:val="22"/>
          <w:lang w:val="en-GB"/>
        </w:rPr>
        <w:t>ce</w:t>
      </w:r>
      <w:r>
        <w:rPr>
          <w:rFonts w:ascii="Calibri" w:hAnsi="Calibri" w:cs="Calibri"/>
          <w:sz w:val="22"/>
          <w:szCs w:val="22"/>
          <w:lang w:val="en-GB"/>
        </w:rPr>
        <w:t xml:space="preserve"> was known.</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u w:val="single"/>
          <w:lang w:val="en-GB"/>
        </w:rPr>
        <w:t>Simulations</w:t>
      </w:r>
    </w:p>
    <w:p>
      <w:pPr>
        <w:spacing w:line="240" w:lineRule="auto"/>
        <w:jc w:val="both"/>
        <w:rPr>
          <w:rFonts w:ascii="Calibri" w:hAnsi="Calibri" w:cs="Calibri"/>
          <w:sz w:val="22"/>
          <w:szCs w:val="22"/>
          <w:lang w:val="en-GB"/>
        </w:rPr>
      </w:pPr>
      <w:r>
        <w:rPr>
          <w:rFonts w:ascii="Calibri" w:hAnsi="Calibri" w:cs="Calibri"/>
          <w:sz w:val="22"/>
          <w:szCs w:val="22"/>
          <w:lang w:val="en-GB"/>
        </w:rPr>
        <w:t>Data for the simulations consisted of stationary, Gaussian-distributed coloured noise with spectral content similar to the inaudible (&lt;0 dB SL) infant CAEP recordings. The coloured noise was generated by filtering Gaussian white noise with all-pole filters, where the poles of the filters were given by the parameters of 20</w:t>
      </w:r>
      <w:r>
        <w:rPr>
          <w:rFonts w:ascii="Calibri" w:hAnsi="Calibri" w:cs="Calibri"/>
          <w:sz w:val="22"/>
          <w:szCs w:val="22"/>
          <w:vertAlign w:val="superscript"/>
          <w:lang w:val="en-GB"/>
        </w:rPr>
        <w:t>th</w:t>
      </w:r>
      <w:r>
        <w:rPr>
          <w:rFonts w:ascii="Calibri" w:hAnsi="Calibri" w:cs="Calibri"/>
          <w:sz w:val="22"/>
          <w:szCs w:val="22"/>
          <w:lang w:val="en-GB"/>
        </w:rPr>
        <w:t xml:space="preserve"> order autoregressive (AR) models. The AR parameters were estimated using the Yule-Walker approach (</w:t>
      </w:r>
      <w:r>
        <w:rPr>
          <w:rFonts w:ascii="Calibri" w:hAnsi="Calibri" w:cs="Calibri"/>
          <w:color w:val="2E75B6" w:themeColor="accent1" w:themeShade="BF"/>
          <w:sz w:val="22"/>
          <w:szCs w:val="22"/>
          <w:lang w:val="en-GB"/>
        </w:rPr>
        <w:t>Hayes, 1996</w:t>
      </w:r>
      <w:r>
        <w:rPr>
          <w:rFonts w:ascii="Calibri" w:hAnsi="Calibri" w:cs="Calibri"/>
          <w:sz w:val="22"/>
          <w:szCs w:val="22"/>
          <w:lang w:val="en-GB"/>
        </w:rPr>
        <w:t>) with a new model being fitted to the EEG signals of each inaudible CAEP recording (44 in total). The resulting coloured noise was then processed in a manner similar to the recorded EEG signals, i.e. band-pass filtered from 1-15 Hz using a 3</w:t>
      </w:r>
      <w:r>
        <w:rPr>
          <w:rFonts w:ascii="Calibri" w:hAnsi="Calibri" w:cs="Calibri"/>
          <w:sz w:val="22"/>
          <w:szCs w:val="22"/>
          <w:vertAlign w:val="superscript"/>
          <w:lang w:val="en-GB"/>
        </w:rPr>
        <w:t>rd</w:t>
      </w:r>
      <w:r>
        <w:rPr>
          <w:rFonts w:ascii="Calibri" w:hAnsi="Calibri" w:cs="Calibri"/>
          <w:sz w:val="22"/>
          <w:szCs w:val="22"/>
          <w:lang w:val="en-GB"/>
        </w:rPr>
        <w:t xml:space="preserve"> order Butterworth filter, and structured into ensembles of either </w:t>
      </w:r>
      <w:r>
        <w:rPr>
          <w:rFonts w:ascii="Calibri" w:hAnsi="Calibri" w:cs="Calibri"/>
          <w:i/>
          <w:iCs/>
          <w:sz w:val="22"/>
          <w:szCs w:val="22"/>
          <w:lang w:val="en-GB"/>
        </w:rPr>
        <w:t>N</w:t>
      </w:r>
      <w:r>
        <w:rPr>
          <w:rFonts w:ascii="Calibri" w:hAnsi="Calibri" w:cs="Calibri"/>
          <w:sz w:val="22"/>
          <w:szCs w:val="22"/>
          <w:lang w:val="en-GB"/>
        </w:rPr>
        <w:t xml:space="preserve">=20, </w:t>
      </w:r>
      <w:r>
        <w:rPr>
          <w:rFonts w:ascii="Calibri" w:hAnsi="Calibri" w:cs="Calibri"/>
          <w:i/>
          <w:iCs/>
          <w:sz w:val="22"/>
          <w:szCs w:val="22"/>
          <w:lang w:val="en-GB"/>
        </w:rPr>
        <w:t>N</w:t>
      </w:r>
      <w:r>
        <w:rPr>
          <w:rFonts w:ascii="Calibri" w:hAnsi="Calibri" w:cs="Calibri"/>
          <w:sz w:val="22"/>
          <w:szCs w:val="22"/>
          <w:lang w:val="en-GB"/>
        </w:rPr>
        <w:t xml:space="preserve">=40, </w:t>
      </w:r>
      <w:r>
        <w:rPr>
          <w:rFonts w:ascii="Calibri" w:hAnsi="Calibri" w:cs="Calibri"/>
          <w:i/>
          <w:iCs/>
          <w:sz w:val="22"/>
          <w:szCs w:val="22"/>
          <w:lang w:val="en-GB"/>
        </w:rPr>
        <w:t>N</w:t>
      </w:r>
      <w:r>
        <w:rPr>
          <w:rFonts w:ascii="Calibri" w:hAnsi="Calibri" w:cs="Calibri"/>
          <w:sz w:val="22"/>
          <w:szCs w:val="22"/>
          <w:lang w:val="en-GB"/>
        </w:rPr>
        <w:t xml:space="preserve">=80, or </w:t>
      </w:r>
      <w:r>
        <w:rPr>
          <w:rFonts w:ascii="Calibri" w:hAnsi="Calibri" w:cs="Calibri"/>
          <w:i/>
          <w:iCs/>
          <w:sz w:val="22"/>
          <w:szCs w:val="22"/>
          <w:lang w:val="en-GB"/>
        </w:rPr>
        <w:t>N</w:t>
      </w:r>
      <w:r>
        <w:rPr>
          <w:rFonts w:ascii="Calibri" w:hAnsi="Calibri" w:cs="Calibri"/>
          <w:sz w:val="22"/>
          <w:szCs w:val="22"/>
          <w:lang w:val="en-GB"/>
        </w:rPr>
        <w:t xml:space="preserve">=160 approximately 1111 ms long epochs, corresponding to an approximately 0.9 Hz stimulus rate. The initial 700 ms windows of the ensembles were then analysed with the detection methods. A total of 10,000 ensembles were simulated, per ensemble size. </w:t>
      </w:r>
    </w:p>
    <w:p>
      <w:pPr>
        <w:spacing w:line="240" w:lineRule="auto"/>
        <w:jc w:val="both"/>
        <w:rPr>
          <w:rFonts w:ascii="Calibri" w:hAnsi="Calibri" w:cs="Calibri"/>
          <w:sz w:val="22"/>
          <w:szCs w:val="22"/>
          <w:lang w:val="en-GB"/>
        </w:rPr>
      </w:pPr>
    </w:p>
    <w:p>
      <w:pPr>
        <w:pStyle w:val="17"/>
        <w:spacing w:line="240" w:lineRule="auto"/>
        <w:jc w:val="both"/>
        <w:rPr>
          <w:rFonts w:ascii="Calibri" w:hAnsi="Calibri" w:cs="Calibri"/>
          <w:u w:val="single"/>
          <w:lang w:val="en-GB"/>
        </w:rPr>
      </w:pPr>
      <w:r>
        <w:rPr>
          <w:rFonts w:ascii="Calibri" w:hAnsi="Calibri" w:cs="Calibri"/>
          <w:u w:val="single"/>
          <w:lang w:val="en-GB"/>
        </w:rPr>
        <w:t>Infant CAEP data</w:t>
      </w:r>
    </w:p>
    <w:p>
      <w:pPr>
        <w:pStyle w:val="17"/>
        <w:spacing w:line="240" w:lineRule="auto"/>
        <w:jc w:val="both"/>
        <w:rPr>
          <w:rFonts w:ascii="Calibri" w:hAnsi="Calibri" w:cs="Calibri"/>
          <w:lang w:val="en-GB"/>
        </w:rPr>
      </w:pPr>
      <w:r>
        <w:rPr>
          <w:rFonts w:ascii="Calibri" w:hAnsi="Calibri" w:cs="Calibri"/>
          <w:lang w:val="en-GB"/>
        </w:rPr>
        <w:t xml:space="preserve">The inaudible CAEP recordings were structured into ensembles of </w:t>
      </w:r>
      <w:r>
        <w:rPr>
          <w:rFonts w:ascii="Calibri" w:hAnsi="Calibri" w:cs="Calibri"/>
          <w:i/>
          <w:iCs/>
          <w:lang w:val="en-GB"/>
        </w:rPr>
        <w:t>N</w:t>
      </w:r>
      <w:r>
        <w:rPr>
          <w:rFonts w:ascii="Calibri" w:hAnsi="Calibri" w:cs="Calibri"/>
          <w:lang w:val="en-GB"/>
        </w:rPr>
        <w:t xml:space="preserve"> epochs, where </w:t>
      </w:r>
      <w:r>
        <w:rPr>
          <w:rFonts w:ascii="Calibri" w:hAnsi="Calibri" w:cs="Calibri"/>
          <w:i/>
          <w:iCs/>
          <w:lang w:val="en-GB"/>
        </w:rPr>
        <w:t>N</w:t>
      </w:r>
      <w:r>
        <w:rPr>
          <w:rFonts w:ascii="Calibri" w:hAnsi="Calibri" w:cs="Calibri"/>
          <w:lang w:val="en-GB"/>
        </w:rPr>
        <w:t xml:space="preserve"> again took values of either 20, 40, 80, or 160 epochs, to probe specificity with clinically more desirable small numbers of epochs. As the stimuli were deemed inaudible (&lt;0 dB SL), no distinction was made between data from the MF and HF stimuli, nor between test sessions. There were sufficient data to assemble 347, 171, 83, and 44 ensembles, for </w:t>
      </w:r>
      <w:r>
        <w:rPr>
          <w:rFonts w:ascii="Calibri" w:hAnsi="Calibri" w:cs="Calibri"/>
          <w:i/>
          <w:iCs/>
          <w:lang w:val="en-GB"/>
        </w:rPr>
        <w:t>N</w:t>
      </w:r>
      <w:r>
        <w:rPr>
          <w:rFonts w:ascii="Calibri" w:hAnsi="Calibri" w:cs="Calibri"/>
          <w:lang w:val="en-GB"/>
        </w:rPr>
        <w:t xml:space="preserve">=20, 40, 80, and 160 epochs, respectively. The 700 ms </w:t>
      </w:r>
      <w:r>
        <w:rPr>
          <w:rFonts w:hint="default" w:ascii="Calibri" w:hAnsi="Calibri" w:cs="Calibri"/>
          <w:lang w:val="en-GB"/>
        </w:rPr>
        <w:t xml:space="preserve">post-stimulus </w:t>
      </w:r>
      <w:r>
        <w:rPr>
          <w:rFonts w:ascii="Calibri" w:hAnsi="Calibri" w:cs="Calibri"/>
          <w:lang w:val="en-GB"/>
        </w:rPr>
        <w:t xml:space="preserve">windows of the ensembles were analysed with the objective detection methods. For the visual assessments, FPRs were evaluated for the </w:t>
      </w:r>
      <w:r>
        <w:rPr>
          <w:rFonts w:ascii="Calibri" w:hAnsi="Calibri" w:cs="Calibri"/>
          <w:i/>
          <w:iCs/>
          <w:lang w:val="en-GB"/>
        </w:rPr>
        <w:t>N</w:t>
      </w:r>
      <w:r>
        <w:rPr>
          <w:rFonts w:ascii="Calibri" w:hAnsi="Calibri" w:cs="Calibri"/>
          <w:lang w:val="en-GB"/>
        </w:rPr>
        <w:t>=160 test condition, i.e. 44 waveforms were visually inspected by each examiner.</w:t>
      </w:r>
    </w:p>
    <w:p>
      <w:pPr>
        <w:pStyle w:val="17"/>
        <w:spacing w:line="240" w:lineRule="auto"/>
        <w:jc w:val="both"/>
        <w:rPr>
          <w:rFonts w:ascii="Calibri" w:hAnsi="Calibri" w:cs="Calibri"/>
          <w:lang w:val="en-GB"/>
        </w:rPr>
      </w:pPr>
    </w:p>
    <w:p>
      <w:pPr>
        <w:pStyle w:val="17"/>
        <w:spacing w:line="240" w:lineRule="auto"/>
        <w:jc w:val="both"/>
        <w:rPr>
          <w:rFonts w:ascii="Calibri" w:hAnsi="Calibri" w:cs="Calibri"/>
          <w:u w:val="single"/>
          <w:lang w:val="en-GB"/>
        </w:rPr>
      </w:pPr>
      <w:r>
        <w:rPr>
          <w:rFonts w:ascii="Calibri" w:hAnsi="Calibri" w:cs="Calibri"/>
          <w:u w:val="single"/>
          <w:lang w:val="en-GB"/>
        </w:rPr>
        <w:t>Post-hoc analysis</w:t>
      </w:r>
    </w:p>
    <w:p>
      <w:pPr>
        <w:pStyle w:val="17"/>
        <w:spacing w:line="240" w:lineRule="auto"/>
        <w:jc w:val="both"/>
        <w:rPr>
          <w:rFonts w:ascii="Calibri" w:hAnsi="Calibri" w:cs="Calibri"/>
          <w:lang w:val="en-GB"/>
        </w:rPr>
      </w:pPr>
      <w:r>
        <w:rPr>
          <w:rFonts w:ascii="Calibri" w:hAnsi="Calibri" w:cs="Calibri"/>
          <w:lang w:val="en-GB"/>
        </w:rPr>
        <w:t xml:space="preserve">To determine whether the FPRs deviated significantly from the 0.01 α-level, 99% confidence intervals were constructed using binomial distributions. A binomial distribution represents the distribution of </w:t>
      </w:r>
      <w:r>
        <w:rPr>
          <w:rFonts w:ascii="Calibri" w:hAnsi="Calibri" w:cs="Calibri"/>
          <w:i/>
          <w:iCs/>
          <w:lang w:val="en-GB"/>
        </w:rPr>
        <w:t>m</w:t>
      </w:r>
      <w:r>
        <w:rPr>
          <w:rFonts w:ascii="Calibri" w:hAnsi="Calibri" w:cs="Calibri"/>
          <w:lang w:val="en-GB"/>
        </w:rPr>
        <w:t xml:space="preserve"> “successful” Bernoulli trials out of </w:t>
      </w:r>
      <w:r>
        <w:rPr>
          <w:rFonts w:ascii="Calibri" w:hAnsi="Calibri" w:cs="Calibri"/>
          <w:i/>
          <w:iCs/>
          <w:lang w:val="en-GB"/>
        </w:rPr>
        <w:t>M</w:t>
      </w:r>
      <w:r>
        <w:rPr>
          <w:rFonts w:ascii="Calibri" w:hAnsi="Calibri" w:cs="Calibri"/>
          <w:lang w:val="en-GB"/>
        </w:rPr>
        <w:t xml:space="preserve"> total trials performed. For the current analysis, a successful Bernoulli trial is defined as a false-positive, and hence has a theoretical probability equal to the nominal α-level of 1%. The total number of Bernoulli trials </w:t>
      </w:r>
      <w:r>
        <w:rPr>
          <w:rFonts w:ascii="Calibri" w:hAnsi="Calibri" w:cs="Calibri"/>
          <w:i/>
          <w:iCs/>
          <w:lang w:val="en-GB"/>
        </w:rPr>
        <w:t>M</w:t>
      </w:r>
      <w:r>
        <w:rPr>
          <w:rFonts w:ascii="Calibri" w:hAnsi="Calibri" w:cs="Calibri"/>
          <w:lang w:val="en-GB"/>
        </w:rPr>
        <w:t xml:space="preserve"> is furthermore given by the total number of tests performed, and equals 10,000 for the simulations, which resulted in 99% confidence intervals of </w:t>
      </w:r>
      <w:r>
        <w:rPr>
          <w:rFonts w:cs="Calibri"/>
          <w:lang w:val="en-GB"/>
        </w:rPr>
        <w:t xml:space="preserve">[0.0076, 0.0127] for </w:t>
      </w:r>
      <w:r>
        <w:rPr>
          <w:rFonts w:ascii="Calibri" w:hAnsi="Calibri" w:cs="Calibri"/>
          <w:lang w:val="en-GB"/>
        </w:rPr>
        <w:t>α=0.01</w:t>
      </w:r>
      <w:r>
        <w:rPr>
          <w:rFonts w:cs="Calibri"/>
          <w:lang w:val="en-GB"/>
        </w:rPr>
        <w:t xml:space="preserve">. For the infant CAEP recordings, there were </w:t>
      </w:r>
      <w:r>
        <w:rPr>
          <w:rFonts w:ascii="Calibri" w:hAnsi="Calibri" w:cs="Calibri"/>
          <w:lang w:val="en-GB"/>
        </w:rPr>
        <w:t>sufficient data for 44 tests (</w:t>
      </w:r>
      <w:r>
        <w:rPr>
          <w:rFonts w:ascii="Calibri" w:hAnsi="Calibri" w:cs="Calibri"/>
          <w:i/>
          <w:iCs/>
          <w:lang w:val="en-GB"/>
        </w:rPr>
        <w:t>N</w:t>
      </w:r>
      <w:r>
        <w:rPr>
          <w:rFonts w:ascii="Calibri" w:hAnsi="Calibri" w:cs="Calibri"/>
          <w:lang w:val="en-GB"/>
        </w:rPr>
        <w:t>=160), 83 tests (</w:t>
      </w:r>
      <w:r>
        <w:rPr>
          <w:rFonts w:ascii="Calibri" w:hAnsi="Calibri" w:cs="Calibri"/>
          <w:i/>
          <w:iCs/>
          <w:lang w:val="en-GB"/>
        </w:rPr>
        <w:t>N</w:t>
      </w:r>
      <w:r>
        <w:rPr>
          <w:rFonts w:ascii="Calibri" w:hAnsi="Calibri" w:cs="Calibri"/>
          <w:lang w:val="en-GB"/>
        </w:rPr>
        <w:t>=80), 171 tests (</w:t>
      </w:r>
      <w:r>
        <w:rPr>
          <w:rFonts w:ascii="Calibri" w:hAnsi="Calibri" w:cs="Calibri"/>
          <w:i/>
          <w:iCs/>
          <w:lang w:val="en-GB"/>
        </w:rPr>
        <w:t>N</w:t>
      </w:r>
      <w:r>
        <w:rPr>
          <w:rFonts w:ascii="Calibri" w:hAnsi="Calibri" w:cs="Calibri"/>
          <w:lang w:val="en-GB"/>
        </w:rPr>
        <w:t>=40) and 347 tests (</w:t>
      </w:r>
      <w:r>
        <w:rPr>
          <w:rFonts w:ascii="Calibri" w:hAnsi="Calibri" w:cs="Calibri"/>
          <w:i/>
          <w:iCs/>
          <w:lang w:val="en-GB"/>
        </w:rPr>
        <w:t>N</w:t>
      </w:r>
      <w:r>
        <w:rPr>
          <w:rFonts w:ascii="Calibri" w:hAnsi="Calibri" w:cs="Calibri"/>
          <w:lang w:val="en-GB"/>
        </w:rPr>
        <w:t>=20), giving 99% confidence intervals of [~0, 0.0</w:t>
      </w:r>
      <w:r>
        <w:rPr>
          <w:rFonts w:hint="default" w:ascii="Calibri" w:hAnsi="Calibri" w:cs="Calibri"/>
          <w:lang w:val="en-GB"/>
        </w:rPr>
        <w:t>81</w:t>
      </w:r>
      <w:r>
        <w:rPr>
          <w:rFonts w:ascii="Calibri" w:hAnsi="Calibri" w:cs="Calibri"/>
          <w:lang w:val="en-GB"/>
        </w:rPr>
        <w:t>], [~0, 0.0</w:t>
      </w:r>
      <w:r>
        <w:rPr>
          <w:rFonts w:hint="default" w:ascii="Calibri" w:hAnsi="Calibri" w:cs="Calibri"/>
          <w:lang w:val="en-GB"/>
        </w:rPr>
        <w:t>55</w:t>
      </w:r>
      <w:r>
        <w:rPr>
          <w:rFonts w:ascii="Calibri" w:hAnsi="Calibri" w:cs="Calibri"/>
          <w:lang w:val="en-GB"/>
        </w:rPr>
        <w:t>], [~0, 0.0</w:t>
      </w:r>
      <w:r>
        <w:rPr>
          <w:rFonts w:hint="default" w:ascii="Calibri" w:hAnsi="Calibri" w:cs="Calibri"/>
          <w:lang w:val="en-GB"/>
        </w:rPr>
        <w:t>38</w:t>
      </w:r>
      <w:r>
        <w:rPr>
          <w:rFonts w:ascii="Calibri" w:hAnsi="Calibri" w:cs="Calibri"/>
          <w:lang w:val="en-GB"/>
        </w:rPr>
        <w:t>], and [~0, 0.0</w:t>
      </w:r>
      <w:r>
        <w:rPr>
          <w:rFonts w:hint="default" w:ascii="Calibri" w:hAnsi="Calibri" w:cs="Calibri"/>
          <w:lang w:val="en-GB"/>
        </w:rPr>
        <w:t>28</w:t>
      </w:r>
      <w:r>
        <w:rPr>
          <w:rFonts w:ascii="Calibri" w:hAnsi="Calibri" w:cs="Calibri"/>
          <w:lang w:val="en-GB"/>
        </w:rPr>
        <w:t xml:space="preserve">], respectively. </w:t>
      </w:r>
    </w:p>
    <w:p>
      <w:pPr>
        <w:pStyle w:val="17"/>
        <w:spacing w:line="240" w:lineRule="auto"/>
        <w:jc w:val="both"/>
        <w:rPr>
          <w:rFonts w:ascii="Calibri" w:hAnsi="Calibri" w:cs="Calibri"/>
          <w:lang w:val="en-GB"/>
        </w:rPr>
      </w:pPr>
    </w:p>
    <w:p>
      <w:pPr>
        <w:spacing w:line="240" w:lineRule="auto"/>
        <w:jc w:val="both"/>
        <w:rPr>
          <w:rFonts w:ascii="Calibri" w:hAnsi="Calibri" w:cs="Calibri"/>
          <w:b/>
          <w:bCs/>
          <w:sz w:val="24"/>
          <w:szCs w:val="24"/>
          <w:lang w:val="en-GB"/>
        </w:rPr>
      </w:pPr>
      <w:r>
        <w:rPr>
          <w:rFonts w:ascii="Calibri" w:hAnsi="Calibri" w:cs="Calibri"/>
          <w:b/>
          <w:bCs/>
          <w:sz w:val="24"/>
          <w:szCs w:val="24"/>
          <w:lang w:val="en-GB"/>
        </w:rPr>
        <w:t>2.5 Test sensitivity</w:t>
      </w:r>
    </w:p>
    <w:p>
      <w:pPr>
        <w:pStyle w:val="17"/>
        <w:spacing w:line="240" w:lineRule="auto"/>
        <w:jc w:val="both"/>
        <w:rPr>
          <w:rFonts w:ascii="Calibri" w:hAnsi="Calibri" w:cs="Calibri"/>
          <w:lang w:val="en-GB"/>
        </w:rPr>
      </w:pPr>
      <w:r>
        <w:rPr>
          <w:rFonts w:ascii="Calibri" w:hAnsi="Calibri" w:cs="Calibri"/>
          <w:lang w:val="en-GB"/>
        </w:rPr>
        <w:t xml:space="preserve">Test sensitivity was evaluated using the true-positive rate (TPR), defined as the rate at which H0 </w:t>
      </w:r>
      <w:r>
        <w:rPr>
          <w:rFonts w:hint="default" w:ascii="Calibri" w:hAnsi="Calibri" w:cs="Calibri"/>
          <w:lang w:val="en-GB"/>
        </w:rPr>
        <w:t xml:space="preserve">is </w:t>
      </w:r>
      <w:r>
        <w:rPr>
          <w:rFonts w:ascii="Calibri" w:hAnsi="Calibri" w:cs="Calibri"/>
          <w:lang w:val="en-GB"/>
        </w:rPr>
        <w:t xml:space="preserve">rejected when H0 </w:t>
      </w:r>
      <w:r>
        <w:rPr>
          <w:rFonts w:hint="default" w:ascii="Calibri" w:hAnsi="Calibri" w:cs="Calibri"/>
          <w:lang w:val="en-GB"/>
        </w:rPr>
        <w:t>is</w:t>
      </w:r>
      <w:r>
        <w:rPr>
          <w:rFonts w:ascii="Calibri" w:hAnsi="Calibri" w:cs="Calibri"/>
          <w:lang w:val="en-GB"/>
        </w:rPr>
        <w:t xml:space="preserve"> indeed false. Test sensitivity should ideally be as high as possible, albeit for a fixed FPR and ensemble size </w:t>
      </w:r>
      <w:r>
        <w:rPr>
          <w:rFonts w:ascii="Calibri" w:hAnsi="Calibri" w:cs="Calibri"/>
          <w:i/>
          <w:iCs/>
          <w:lang w:val="en-GB"/>
        </w:rPr>
        <w:t>N</w:t>
      </w:r>
      <w:r>
        <w:rPr>
          <w:rFonts w:ascii="Calibri" w:hAnsi="Calibri" w:cs="Calibri"/>
          <w:lang w:val="en-GB"/>
        </w:rPr>
        <w:t xml:space="preserve">. Test sensitivity was evaluated </w:t>
      </w:r>
      <w:r>
        <w:rPr>
          <w:rFonts w:ascii="Calibri" w:hAnsi="Calibri" w:cs="Calibri"/>
          <w:lang w:val="en-US"/>
        </w:rPr>
        <w:t xml:space="preserve">using </w:t>
      </w:r>
      <w:r>
        <w:rPr>
          <w:rFonts w:ascii="Calibri" w:hAnsi="Calibri" w:cs="Calibri"/>
          <w:lang w:val="en-GB"/>
        </w:rPr>
        <w:t xml:space="preserve">the audible (≥0 dB SL) CAEP recordings and simulated signals. </w:t>
      </w:r>
    </w:p>
    <w:p>
      <w:pPr>
        <w:pStyle w:val="17"/>
        <w:spacing w:line="240" w:lineRule="auto"/>
        <w:jc w:val="both"/>
        <w:rPr>
          <w:rFonts w:ascii="Calibri" w:hAnsi="Calibri" w:cs="Calibri"/>
          <w:lang w:val="en-GB"/>
        </w:rPr>
      </w:pPr>
    </w:p>
    <w:p>
      <w:pPr>
        <w:pStyle w:val="17"/>
        <w:spacing w:line="240" w:lineRule="auto"/>
        <w:jc w:val="both"/>
        <w:rPr>
          <w:rFonts w:ascii="Calibri" w:hAnsi="Calibri" w:cs="Calibri"/>
          <w:lang w:val="en-GB"/>
        </w:rPr>
      </w:pPr>
      <w:r>
        <w:rPr>
          <w:rFonts w:ascii="Calibri" w:hAnsi="Calibri" w:cs="Calibri"/>
          <w:u w:val="single"/>
          <w:lang w:val="en-GB"/>
        </w:rPr>
        <w:t>Simulations</w:t>
      </w:r>
    </w:p>
    <w:p>
      <w:pPr>
        <w:spacing w:line="240" w:lineRule="auto"/>
        <w:jc w:val="both"/>
        <w:rPr>
          <w:rFonts w:ascii="Calibri" w:hAnsi="Calibri" w:cs="Calibri"/>
          <w:sz w:val="22"/>
          <w:szCs w:val="22"/>
          <w:lang w:val="en-GB"/>
        </w:rPr>
      </w:pPr>
      <w:r>
        <w:rPr>
          <w:rFonts w:ascii="Calibri" w:hAnsi="Calibri" w:cs="Calibri"/>
          <w:sz w:val="22"/>
          <w:szCs w:val="22"/>
          <w:lang w:val="en-GB"/>
        </w:rPr>
        <w:t xml:space="preserve">Data for the simulations consisted of simulated coloured noise for representing the EEG background activity (generated as described in the specificity assessment above) and CAEP template waveforms for simulating a response. The CAEP templates were given by the coherently averaged waveforms where all three audiologists agreed that a clear CAEP was present, i.e. a relatively strict criterion was used. </w:t>
      </w:r>
      <w:r>
        <w:rPr>
          <w:rFonts w:hint="default" w:ascii="Calibri" w:hAnsi="Calibri" w:cs="Calibri"/>
          <w:sz w:val="22"/>
          <w:szCs w:val="22"/>
          <w:lang w:val="en-GB"/>
        </w:rPr>
        <w:t xml:space="preserve">This </w:t>
      </w:r>
      <w:r>
        <w:rPr>
          <w:rFonts w:ascii="Calibri" w:hAnsi="Calibri" w:cs="Calibri"/>
          <w:sz w:val="22"/>
          <w:szCs w:val="22"/>
          <w:lang w:val="en-GB"/>
        </w:rPr>
        <w:t xml:space="preserve">helps to ensure that the simulated CAEPs are indeed CAEPs, as opposed to background activity. A total of 45 CAEP template waveforms were available for the simulations, presented in Figure 1. </w:t>
      </w:r>
      <w:r>
        <w:rPr>
          <w:rFonts w:ascii="Calibri" w:hAnsi="Calibri" w:cs="Calibri"/>
          <w:sz w:val="22"/>
          <w:szCs w:val="22"/>
        </w:rPr>
        <w:t>For each ensemble of coloured noise, a</w:t>
      </w:r>
      <w:r>
        <w:rPr>
          <w:rFonts w:ascii="Calibri" w:hAnsi="Calibri" w:cs="Calibri"/>
          <w:sz w:val="22"/>
          <w:szCs w:val="22"/>
          <w:lang w:val="en-GB"/>
        </w:rPr>
        <w:t xml:space="preserve"> CAEP was simulated by randomly selecting one of the 45</w:t>
      </w:r>
      <w:r>
        <w:rPr>
          <w:rFonts w:ascii="Calibri" w:hAnsi="Calibri" w:cs="Calibri"/>
          <w:b/>
          <w:bCs/>
          <w:sz w:val="22"/>
          <w:szCs w:val="22"/>
          <w:lang w:val="en-GB"/>
        </w:rPr>
        <w:t xml:space="preserve"> </w:t>
      </w:r>
      <w:r>
        <w:rPr>
          <w:rFonts w:ascii="Calibri" w:hAnsi="Calibri" w:cs="Calibri"/>
          <w:sz w:val="22"/>
          <w:szCs w:val="22"/>
          <w:lang w:val="en-GB"/>
        </w:rPr>
        <w:t>templates, rescaling the template to obtain a certain SNR, and adding it to all epochs within the ensemble in question. The SNRs for the simulated CAEPs furthermore ranged from -20 to -8 dB, which covered the range of SNRs estimated from the infant CAEP recordings</w:t>
      </w:r>
      <w:r>
        <w:rPr>
          <w:rFonts w:hint="default" w:ascii="Calibri" w:hAnsi="Calibri" w:cs="Calibri"/>
          <w:sz w:val="22"/>
          <w:szCs w:val="22"/>
          <w:lang w:val="en-GB"/>
        </w:rPr>
        <w:t xml:space="preserve">. The SNR was estimated </w:t>
      </w:r>
      <w:r>
        <w:rPr>
          <w:rFonts w:ascii="Calibri" w:hAnsi="Calibri" w:cs="Calibri"/>
          <w:sz w:val="22"/>
          <w:szCs w:val="22"/>
          <w:lang w:val="en-GB"/>
        </w:rPr>
        <w:t>using:</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m:oMath>
        <m:r>
          <m:rPr>
            <m:sty m:val="p"/>
          </m:rPr>
          <w:rPr>
            <w:rFonts w:ascii="Cambria Math" w:hAnsi="Cambria Math" w:cs="Calibri"/>
            <w:sz w:val="22"/>
            <w:szCs w:val="22"/>
            <w:lang w:val="en-GB"/>
          </w:rPr>
          <m:t>SNR=10</m:t>
        </m:r>
        <m:sSub>
          <m:sSubPr>
            <m:ctrlPr>
              <w:rPr>
                <w:rFonts w:ascii="Cambria Math" w:hAnsi="Cambria Math" w:cs="Calibri"/>
                <w:sz w:val="22"/>
                <w:szCs w:val="22"/>
                <w:lang w:val="en-GB"/>
              </w:rPr>
            </m:ctrlPr>
          </m:sSubPr>
          <m:e>
            <m:r>
              <m:rPr>
                <m:sty m:val="p"/>
              </m:rPr>
              <w:rPr>
                <w:rFonts w:ascii="Cambria Math" w:hAnsi="Cambria Math" w:cs="Calibri"/>
                <w:sz w:val="22"/>
                <w:szCs w:val="22"/>
                <w:lang w:val="en-GB"/>
              </w:rPr>
              <m:t>log</m:t>
            </m:r>
            <m:ctrlPr>
              <w:rPr>
                <w:rFonts w:ascii="Cambria Math" w:hAnsi="Cambria Math" w:cs="Calibri"/>
                <w:sz w:val="22"/>
                <w:szCs w:val="22"/>
                <w:lang w:val="en-GB"/>
              </w:rPr>
            </m:ctrlPr>
          </m:e>
          <m:sub>
            <m:r>
              <m:rPr>
                <m:sty m:val="p"/>
              </m:rPr>
              <w:rPr>
                <w:rFonts w:ascii="Cambria Math" w:hAnsi="Cambria Math" w:cs="Calibri"/>
                <w:sz w:val="22"/>
                <w:szCs w:val="22"/>
                <w:lang w:val="en-GB"/>
              </w:rPr>
              <m:t>10</m:t>
            </m:r>
            <m:ctrlPr>
              <w:rPr>
                <w:rFonts w:ascii="Cambria Math" w:hAnsi="Cambria Math" w:cs="Calibri"/>
                <w:sz w:val="22"/>
                <w:szCs w:val="22"/>
                <w:lang w:val="en-GB"/>
              </w:rPr>
            </m:ctrlPr>
          </m:sub>
        </m:sSub>
        <m:f>
          <m:fPr>
            <m:ctrlPr>
              <w:rPr>
                <w:rFonts w:ascii="Cambria Math" w:hAnsi="Cambria Math" w:cs="Calibri"/>
                <w:sz w:val="22"/>
                <w:szCs w:val="22"/>
                <w:lang w:val="en-GB"/>
              </w:rPr>
            </m:ctrlPr>
          </m:fPr>
          <m:num>
            <m:sSub>
              <m:sSubPr>
                <m:ctrlPr>
                  <w:rPr>
                    <w:rFonts w:ascii="Cambria Math" w:hAnsi="Cambria Math" w:cs="Calibri"/>
                    <w:sz w:val="22"/>
                    <w:szCs w:val="22"/>
                    <w:lang w:val="en-GB"/>
                  </w:rPr>
                </m:ctrlPr>
              </m:sSubPr>
              <m:e>
                <m:r>
                  <m:rPr>
                    <m:sty m:val="p"/>
                  </m:rPr>
                  <w:rPr>
                    <w:rFonts w:ascii="Cambria Math" w:hAnsi="Cambria Math" w:cs="Calibri"/>
                    <w:sz w:val="22"/>
                    <w:szCs w:val="22"/>
                    <w:lang w:val="en-GB"/>
                  </w:rPr>
                  <m:t>p</m:t>
                </m:r>
                <m:ctrlPr>
                  <w:rPr>
                    <w:rFonts w:ascii="Cambria Math" w:hAnsi="Cambria Math" w:cs="Calibri"/>
                    <w:sz w:val="22"/>
                    <w:szCs w:val="22"/>
                    <w:lang w:val="en-GB"/>
                  </w:rPr>
                </m:ctrlPr>
              </m:e>
              <m:sub>
                <m:r>
                  <m:rPr>
                    <m:sty m:val="p"/>
                  </m:rPr>
                  <w:rPr>
                    <w:rFonts w:ascii="Cambria Math" w:hAnsi="Cambria Math" w:cs="Calibri"/>
                    <w:sz w:val="22"/>
                    <w:szCs w:val="22"/>
                    <w:lang w:val="en-GB"/>
                  </w:rPr>
                  <m:t>signal</m:t>
                </m:r>
                <m:ctrlPr>
                  <w:rPr>
                    <w:rFonts w:ascii="Cambria Math" w:hAnsi="Cambria Math" w:cs="Calibri"/>
                    <w:sz w:val="22"/>
                    <w:szCs w:val="22"/>
                    <w:lang w:val="en-GB"/>
                  </w:rPr>
                </m:ctrlPr>
              </m:sub>
            </m:sSub>
            <m:ctrlPr>
              <w:rPr>
                <w:rFonts w:ascii="Cambria Math" w:hAnsi="Cambria Math" w:cs="Calibri"/>
                <w:sz w:val="22"/>
                <w:szCs w:val="22"/>
                <w:lang w:val="en-GB"/>
              </w:rPr>
            </m:ctrlPr>
          </m:num>
          <m:den>
            <m:sSub>
              <m:sSubPr>
                <m:ctrlPr>
                  <w:rPr>
                    <w:rFonts w:ascii="Cambria Math" w:hAnsi="Cambria Math" w:cs="Calibri"/>
                    <w:sz w:val="22"/>
                    <w:szCs w:val="22"/>
                    <w:lang w:val="en-GB"/>
                  </w:rPr>
                </m:ctrlPr>
              </m:sSubPr>
              <m:e>
                <m:r>
                  <m:rPr>
                    <m:sty m:val="p"/>
                  </m:rPr>
                  <w:rPr>
                    <w:rFonts w:ascii="Cambria Math" w:hAnsi="Cambria Math" w:cs="Calibri"/>
                    <w:sz w:val="22"/>
                    <w:szCs w:val="22"/>
                    <w:lang w:val="en-GB"/>
                  </w:rPr>
                  <m:t>p</m:t>
                </m:r>
                <m:ctrlPr>
                  <w:rPr>
                    <w:rFonts w:ascii="Cambria Math" w:hAnsi="Cambria Math" w:cs="Calibri"/>
                    <w:sz w:val="22"/>
                    <w:szCs w:val="22"/>
                    <w:lang w:val="en-GB"/>
                  </w:rPr>
                </m:ctrlPr>
              </m:e>
              <m:sub>
                <m:r>
                  <m:rPr>
                    <m:sty m:val="p"/>
                  </m:rPr>
                  <w:rPr>
                    <w:rFonts w:ascii="Cambria Math" w:hAnsi="Cambria Math" w:cs="Calibri"/>
                    <w:sz w:val="22"/>
                    <w:szCs w:val="22"/>
                    <w:lang w:val="en-GB"/>
                  </w:rPr>
                  <m:t>noise</m:t>
                </m:r>
                <m:ctrlPr>
                  <w:rPr>
                    <w:rFonts w:ascii="Cambria Math" w:hAnsi="Cambria Math" w:cs="Calibri"/>
                    <w:sz w:val="22"/>
                    <w:szCs w:val="22"/>
                    <w:lang w:val="en-GB"/>
                  </w:rPr>
                </m:ctrlPr>
              </m:sub>
            </m:sSub>
            <m:ctrlPr>
              <w:rPr>
                <w:rFonts w:ascii="Cambria Math" w:hAnsi="Cambria Math" w:cs="Calibri"/>
                <w:sz w:val="22"/>
                <w:szCs w:val="22"/>
                <w:lang w:val="en-GB"/>
              </w:rPr>
            </m:ctrlPr>
          </m:den>
        </m:f>
      </m:oMath>
      <w:r>
        <w:rPr>
          <w:rFonts w:ascii="Calibri" w:hAnsi="Calibri" w:cs="Calibri"/>
          <w:sz w:val="22"/>
          <w:szCs w:val="22"/>
          <w:lang w:val="en-GB"/>
        </w:rPr>
        <w:t xml:space="preserve"> </w:t>
      </w:r>
      <w:r>
        <w:rPr>
          <w:rFonts w:ascii="Calibri" w:hAnsi="Calibri" w:cs="Calibri"/>
          <w:sz w:val="22"/>
          <w:szCs w:val="22"/>
          <w:lang w:val="en-GB"/>
        </w:rPr>
        <w:tab/>
      </w:r>
      <w:r>
        <w:rPr>
          <w:rFonts w:ascii="Calibri" w:hAnsi="Calibri" w:cs="Calibri"/>
          <w:sz w:val="22"/>
          <w:szCs w:val="22"/>
          <w:lang w:val="en-GB"/>
        </w:rPr>
        <w:tab/>
      </w:r>
      <w:r>
        <w:rPr>
          <w:rFonts w:ascii="Calibri" w:hAnsi="Calibri" w:cs="Calibri"/>
          <w:i/>
          <w:iCs/>
          <w:sz w:val="22"/>
          <w:szCs w:val="22"/>
          <w:lang w:val="en-GB"/>
        </w:rPr>
        <w:t>Eq. 9</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 xml:space="preserve">where </w:t>
      </w:r>
      <m:oMath>
        <m:sSub>
          <m:sSubPr>
            <m:ctrlPr>
              <w:rPr>
                <w:rFonts w:ascii="Cambria Math" w:hAnsi="Cambria Math" w:cs="Calibri"/>
                <w:sz w:val="22"/>
                <w:szCs w:val="22"/>
                <w:lang w:val="en-GB"/>
              </w:rPr>
            </m:ctrlPr>
          </m:sSubPr>
          <m:e>
            <m:r>
              <m:rPr>
                <m:sty m:val="p"/>
              </m:rPr>
              <w:rPr>
                <w:rFonts w:ascii="Cambria Math" w:hAnsi="Cambria Math" w:cs="Calibri"/>
                <w:sz w:val="22"/>
                <w:szCs w:val="22"/>
                <w:lang w:val="en-GB"/>
              </w:rPr>
              <m:t>p</m:t>
            </m:r>
            <m:ctrlPr>
              <w:rPr>
                <w:rFonts w:ascii="Cambria Math" w:hAnsi="Cambria Math" w:cs="Calibri"/>
                <w:sz w:val="22"/>
                <w:szCs w:val="22"/>
                <w:lang w:val="en-GB"/>
              </w:rPr>
            </m:ctrlPr>
          </m:e>
          <m:sub>
            <m:r>
              <m:rPr>
                <m:sty m:val="p"/>
              </m:rPr>
              <w:rPr>
                <w:rFonts w:ascii="Cambria Math" w:hAnsi="Cambria Math" w:cs="Calibri"/>
                <w:sz w:val="22"/>
                <w:szCs w:val="22"/>
                <w:lang w:val="en-GB"/>
              </w:rPr>
              <m:t>signal</m:t>
            </m:r>
            <m:ctrlPr>
              <w:rPr>
                <w:rFonts w:ascii="Cambria Math" w:hAnsi="Cambria Math" w:cs="Calibri"/>
                <w:sz w:val="22"/>
                <w:szCs w:val="22"/>
                <w:lang w:val="en-GB"/>
              </w:rPr>
            </m:ctrlPr>
          </m:sub>
        </m:sSub>
      </m:oMath>
      <w:r>
        <w:rPr>
          <w:rFonts w:ascii="Calibri" w:hAnsi="Calibri" w:cs="Calibri"/>
          <w:sz w:val="22"/>
          <w:szCs w:val="22"/>
          <w:lang w:val="en-GB"/>
        </w:rPr>
        <w:t xml:space="preserve"> is the mean power of the coherently averaged epoch, and </w:t>
      </w:r>
      <m:oMath>
        <m:sSub>
          <m:sSubPr>
            <m:ctrlPr>
              <w:rPr>
                <w:rFonts w:ascii="Cambria Math" w:hAnsi="Cambria Math" w:cs="Calibri"/>
                <w:sz w:val="22"/>
                <w:szCs w:val="22"/>
                <w:lang w:val="en-GB"/>
              </w:rPr>
            </m:ctrlPr>
          </m:sSubPr>
          <m:e>
            <m:r>
              <m:rPr>
                <m:sty m:val="p"/>
              </m:rPr>
              <w:rPr>
                <w:rFonts w:ascii="Cambria Math" w:hAnsi="Cambria Math" w:cs="Calibri"/>
                <w:sz w:val="22"/>
                <w:szCs w:val="22"/>
                <w:lang w:val="en-GB"/>
              </w:rPr>
              <m:t>p</m:t>
            </m:r>
            <m:ctrlPr>
              <w:rPr>
                <w:rFonts w:ascii="Cambria Math" w:hAnsi="Cambria Math" w:cs="Calibri"/>
                <w:sz w:val="22"/>
                <w:szCs w:val="22"/>
                <w:lang w:val="en-GB"/>
              </w:rPr>
            </m:ctrlPr>
          </m:e>
          <m:sub>
            <m:r>
              <m:rPr>
                <m:sty m:val="p"/>
              </m:rPr>
              <w:rPr>
                <w:rFonts w:ascii="Cambria Math" w:hAnsi="Cambria Math" w:cs="Calibri"/>
                <w:sz w:val="22"/>
                <w:szCs w:val="22"/>
                <w:lang w:val="en-GB"/>
              </w:rPr>
              <m:t>noise</m:t>
            </m:r>
            <m:ctrlPr>
              <w:rPr>
                <w:rFonts w:ascii="Cambria Math" w:hAnsi="Cambria Math" w:cs="Calibri"/>
                <w:sz w:val="22"/>
                <w:szCs w:val="22"/>
                <w:lang w:val="en-GB"/>
              </w:rPr>
            </m:ctrlPr>
          </m:sub>
        </m:sSub>
      </m:oMath>
      <w:r>
        <w:rPr>
          <w:rFonts w:ascii="Calibri" w:hAnsi="Calibri" w:cs="Calibri"/>
          <w:sz w:val="22"/>
          <w:szCs w:val="22"/>
          <w:lang w:val="en-GB"/>
        </w:rPr>
        <w:t xml:space="preserve"> is the mean square of the unaveraged, continuous recording. </w:t>
      </w:r>
    </w:p>
    <w:p>
      <w:pPr>
        <w:spacing w:line="240" w:lineRule="auto"/>
        <w:rPr>
          <w:rFonts w:ascii="Calibri" w:hAnsi="Calibri" w:cs="Calibri"/>
          <w:sz w:val="22"/>
          <w:szCs w:val="22"/>
          <w:lang w:val="en-GB"/>
        </w:rPr>
      </w:pPr>
    </w:p>
    <w:p>
      <w:pPr>
        <w:spacing w:line="240" w:lineRule="auto"/>
        <w:rPr>
          <w:rFonts w:ascii="Calibri" w:hAnsi="Calibri" w:cs="Calibri"/>
          <w:sz w:val="22"/>
          <w:szCs w:val="22"/>
          <w:lang w:val="en-GB"/>
        </w:rPr>
      </w:pPr>
      <w:r>
        <w:rPr>
          <w:rFonts w:ascii="Calibri" w:hAnsi="Calibri" w:cs="Calibri"/>
          <w:sz w:val="22"/>
          <w:szCs w:val="22"/>
          <w:lang w:val="en-GB" w:eastAsia="en-GB"/>
        </w:rPr>
        <w:drawing>
          <wp:inline distT="0" distB="0" distL="114300" distR="114300">
            <wp:extent cx="6114415" cy="4116705"/>
            <wp:effectExtent l="0" t="0" r="635" b="17145"/>
            <wp:docPr id="3" name="Picture 3"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1"/>
                    <pic:cNvPicPr>
                      <a:picLocks noChangeAspect="1"/>
                    </pic:cNvPicPr>
                  </pic:nvPicPr>
                  <pic:blipFill>
                    <a:blip r:embed="rId78"/>
                    <a:stretch>
                      <a:fillRect/>
                    </a:stretch>
                  </pic:blipFill>
                  <pic:spPr>
                    <a:xfrm>
                      <a:off x="0" y="0"/>
                      <a:ext cx="6114415" cy="4116705"/>
                    </a:xfrm>
                    <a:prstGeom prst="rect">
                      <a:avLst/>
                    </a:prstGeom>
                  </pic:spPr>
                </pic:pic>
              </a:graphicData>
            </a:graphic>
          </wp:inline>
        </w:drawing>
      </w:r>
    </w:p>
    <w:p>
      <w:pPr>
        <w:pStyle w:val="17"/>
        <w:spacing w:line="240" w:lineRule="auto"/>
        <w:jc w:val="both"/>
        <w:rPr>
          <w:rFonts w:ascii="Calibri" w:hAnsi="Calibri" w:cs="Calibri"/>
          <w:lang w:val="en-GB"/>
        </w:rPr>
      </w:pPr>
      <w:r>
        <w:rPr>
          <w:rFonts w:ascii="Calibri" w:hAnsi="Calibri" w:cs="Calibri"/>
          <w:b/>
          <w:bCs/>
          <w:lang w:val="en-GB"/>
        </w:rPr>
        <w:t xml:space="preserve">Figure 1. </w:t>
      </w:r>
      <w:r>
        <w:rPr>
          <w:rFonts w:ascii="Calibri" w:hAnsi="Calibri" w:cs="Calibri"/>
          <w:lang w:val="en-GB"/>
        </w:rPr>
        <w:t>All</w:t>
      </w:r>
      <w:r>
        <w:rPr>
          <w:rFonts w:ascii="Calibri" w:hAnsi="Calibri" w:cs="Calibri"/>
          <w:b/>
          <w:bCs/>
          <w:lang w:val="en-GB"/>
        </w:rPr>
        <w:t xml:space="preserve"> </w:t>
      </w:r>
      <w:r>
        <w:rPr>
          <w:rFonts w:ascii="Calibri" w:hAnsi="Calibri" w:cs="Calibri"/>
          <w:lang w:val="en-GB"/>
        </w:rPr>
        <w:t xml:space="preserve">45 CAEP template waveforms where a CAEP was deemed present by all three audiologists. Each panel shows waveforms from a single infant, and includes waveforms evoked by either the mid frequency (MF) or the mid-high frequency (HF) stimulus from sessions one or two, giving a maximum of 4 waveforms per infant. These waveforms were used to emulate CAEPs in simulations for the sensitivity assessment (Section 2.5). Note that these waveforms were obtained by averaging across ensembles of 160 epochs, whereas the audiologists were originally reviewing coherent average replicates of 80 epochs. </w:t>
      </w:r>
    </w:p>
    <w:p>
      <w:pPr>
        <w:pStyle w:val="17"/>
        <w:spacing w:line="240" w:lineRule="auto"/>
        <w:jc w:val="both"/>
        <w:rPr>
          <w:rFonts w:ascii="Calibri" w:hAnsi="Calibri" w:cs="Calibri"/>
          <w:lang w:val="en-GB"/>
        </w:rPr>
      </w:pPr>
    </w:p>
    <w:p>
      <w:pPr>
        <w:spacing w:line="240" w:lineRule="auto"/>
        <w:rPr>
          <w:rFonts w:ascii="Calibri" w:hAnsi="Calibri" w:cs="Calibri"/>
          <w:sz w:val="22"/>
          <w:szCs w:val="22"/>
          <w:lang w:val="en-GB"/>
        </w:rPr>
      </w:pPr>
      <w:r>
        <w:rPr>
          <w:rFonts w:ascii="Calibri" w:hAnsi="Calibri" w:cs="Calibri"/>
          <w:sz w:val="22"/>
          <w:szCs w:val="22"/>
          <w:u w:val="single"/>
          <w:lang w:val="en-GB"/>
        </w:rPr>
        <w:t>Infant CAEP data</w:t>
      </w:r>
    </w:p>
    <w:p>
      <w:pPr>
        <w:pStyle w:val="17"/>
        <w:spacing w:line="240" w:lineRule="auto"/>
        <w:jc w:val="both"/>
        <w:rPr>
          <w:rFonts w:ascii="Calibri" w:hAnsi="Calibri" w:cs="Calibri"/>
          <w:lang w:val="en-GB"/>
        </w:rPr>
      </w:pPr>
      <w:r>
        <w:rPr>
          <w:rFonts w:ascii="Calibri" w:hAnsi="Calibri" w:cs="Calibri"/>
          <w:lang w:val="en-GB"/>
        </w:rPr>
        <w:t xml:space="preserve">The audible CAEP recordings were divided into 3 categories, including the 0-10 dB SL, the 10.1-20 dB SL, and the &gt;20 dB SL categories. A distinction was now also made between the MF and HF stimuli, but no distinction was made between test sessions. The recordings were again structured into ensembles of size </w:t>
      </w:r>
      <w:r>
        <w:rPr>
          <w:rFonts w:ascii="Calibri" w:hAnsi="Calibri" w:cs="Calibri"/>
          <w:i/>
          <w:iCs/>
          <w:lang w:val="en-GB"/>
        </w:rPr>
        <w:t>N</w:t>
      </w:r>
      <w:r>
        <w:rPr>
          <w:rFonts w:ascii="Calibri" w:hAnsi="Calibri" w:cs="Calibri"/>
          <w:lang w:val="en-GB"/>
        </w:rPr>
        <w:t xml:space="preserve">=20, 40, 80, or 160 epochs, and the 700 ms </w:t>
      </w:r>
      <w:r>
        <w:rPr>
          <w:rFonts w:hint="default" w:ascii="Calibri" w:hAnsi="Calibri" w:cs="Calibri"/>
          <w:lang w:val="en-GB"/>
        </w:rPr>
        <w:t xml:space="preserve">post-stimulus intervals </w:t>
      </w:r>
      <w:r>
        <w:rPr>
          <w:rFonts w:ascii="Calibri" w:hAnsi="Calibri" w:cs="Calibri"/>
          <w:lang w:val="en-GB"/>
        </w:rPr>
        <w:t xml:space="preserve">were analysed with the objective detection methods. </w:t>
      </w:r>
    </w:p>
    <w:p>
      <w:pPr>
        <w:pStyle w:val="17"/>
        <w:spacing w:line="240" w:lineRule="auto"/>
        <w:jc w:val="both"/>
        <w:rPr>
          <w:rFonts w:ascii="Calibri" w:hAnsi="Calibri" w:cs="Calibri"/>
          <w:lang w:val="en-GB"/>
        </w:rPr>
      </w:pPr>
    </w:p>
    <w:p>
      <w:pPr>
        <w:pStyle w:val="17"/>
        <w:spacing w:line="240" w:lineRule="auto"/>
        <w:jc w:val="both"/>
        <w:rPr>
          <w:rFonts w:ascii="Calibri" w:hAnsi="Calibri" w:cs="Calibri"/>
          <w:u w:val="single"/>
          <w:lang w:val="en-GB"/>
        </w:rPr>
      </w:pPr>
      <w:r>
        <w:rPr>
          <w:rFonts w:ascii="Calibri" w:hAnsi="Calibri" w:cs="Calibri"/>
          <w:u w:val="single"/>
          <w:lang w:val="en-GB"/>
        </w:rPr>
        <w:t>Post-hoc statistical analysis</w:t>
      </w:r>
    </w:p>
    <w:p>
      <w:pPr>
        <w:pStyle w:val="17"/>
        <w:spacing w:line="240" w:lineRule="auto"/>
        <w:jc w:val="both"/>
        <w:rPr>
          <w:rFonts w:ascii="Calibri" w:hAnsi="Calibri" w:cs="Calibri"/>
          <w:lang w:val="en-GB"/>
        </w:rPr>
      </w:pPr>
      <w:r>
        <w:rPr>
          <w:rFonts w:ascii="Calibri" w:hAnsi="Calibri" w:cs="Calibri"/>
          <w:lang w:val="en-GB"/>
        </w:rPr>
        <w:t>Post-hoc analysis was carried out to test whether the detection rates of the methods differed when considered across all audible dB SL conditions, stimuli, and test sessions, but per ensemble size. For each detection method, the total number of detections (using α=0.01) and non-detections were counted, after which Fisher’s exact test (</w:t>
      </w:r>
      <w:r>
        <w:rPr>
          <w:rFonts w:ascii="Calibri" w:hAnsi="Calibri" w:cs="Calibri"/>
          <w:color w:val="0070C0"/>
          <w:lang w:val="en-GB"/>
        </w:rPr>
        <w:t>Fisher 1922; Fisher 1932</w:t>
      </w:r>
      <w:r>
        <w:rPr>
          <w:rFonts w:ascii="Calibri" w:hAnsi="Calibri" w:cs="Calibri"/>
          <w:lang w:val="en-GB"/>
        </w:rPr>
        <w:t xml:space="preserve">) was used to test whether the number of detections and non-detections differed between methods, per ensemble size. The same approach was used when drawing comparisons between the detection methods and the examiners, except that there was now just a single ensemble size, equal to </w:t>
      </w:r>
      <w:r>
        <w:rPr>
          <w:rFonts w:ascii="Calibri" w:hAnsi="Calibri" w:cs="Calibri"/>
          <w:i/>
          <w:iCs/>
          <w:lang w:val="en-GB"/>
        </w:rPr>
        <w:t>N</w:t>
      </w:r>
      <w:r>
        <w:rPr>
          <w:rFonts w:ascii="Calibri" w:hAnsi="Calibri" w:cs="Calibri"/>
          <w:lang w:val="en-GB"/>
        </w:rPr>
        <w:t xml:space="preserve">=160. </w:t>
      </w:r>
    </w:p>
    <w:p>
      <w:pPr>
        <w:pStyle w:val="17"/>
        <w:spacing w:line="240" w:lineRule="auto"/>
        <w:jc w:val="both"/>
        <w:rPr>
          <w:rFonts w:ascii="Calibri" w:hAnsi="Calibri" w:cs="Calibri"/>
          <w:lang w:val="en-GB"/>
        </w:rPr>
      </w:pPr>
    </w:p>
    <w:p>
      <w:pPr>
        <w:spacing w:line="240" w:lineRule="auto"/>
        <w:jc w:val="both"/>
        <w:rPr>
          <w:rFonts w:ascii="Calibri" w:hAnsi="Calibri" w:cs="Calibri"/>
          <w:b/>
          <w:bCs/>
          <w:sz w:val="24"/>
          <w:szCs w:val="24"/>
          <w:lang w:val="en-GB"/>
        </w:rPr>
      </w:pPr>
      <w:r>
        <w:rPr>
          <w:rFonts w:ascii="Calibri" w:hAnsi="Calibri" w:cs="Calibri"/>
          <w:b/>
          <w:bCs/>
          <w:sz w:val="24"/>
          <w:szCs w:val="24"/>
          <w:lang w:val="en-GB"/>
        </w:rPr>
        <w:t>2.6 Test reliability</w:t>
      </w:r>
    </w:p>
    <w:p>
      <w:pPr>
        <w:pStyle w:val="17"/>
        <w:spacing w:line="240" w:lineRule="auto"/>
        <w:jc w:val="both"/>
        <w:rPr>
          <w:rFonts w:ascii="Calibri" w:hAnsi="Calibri" w:cs="Calibri"/>
          <w:lang w:val="en-GB"/>
        </w:rPr>
      </w:pPr>
      <w:r>
        <w:rPr>
          <w:rFonts w:ascii="Calibri" w:hAnsi="Calibri" w:cs="Calibri"/>
          <w:lang w:val="en-GB"/>
        </w:rPr>
        <w:t>This section evaluates intra- and inter-test reliability for the examiners and the objective detection methods. For CAEP detection, intra-test reliability</w:t>
      </w:r>
      <w:r>
        <w:rPr>
          <w:rFonts w:hint="default" w:ascii="Calibri" w:hAnsi="Calibri" w:cs="Calibri"/>
          <w:lang w:val="en-GB"/>
        </w:rPr>
        <w:t xml:space="preserve"> -</w:t>
      </w:r>
      <w:r>
        <w:rPr>
          <w:rFonts w:ascii="Calibri" w:hAnsi="Calibri" w:cs="Calibri"/>
          <w:lang w:val="en-GB"/>
        </w:rPr>
        <w:t xml:space="preserve"> also known as test-retest reliability</w:t>
      </w:r>
      <w:r>
        <w:rPr>
          <w:rFonts w:hint="default" w:ascii="Calibri" w:hAnsi="Calibri" w:cs="Calibri"/>
          <w:lang w:val="en-GB"/>
        </w:rPr>
        <w:t xml:space="preserve"> -</w:t>
      </w:r>
      <w:r>
        <w:rPr>
          <w:rFonts w:ascii="Calibri" w:hAnsi="Calibri" w:cs="Calibri"/>
          <w:lang w:val="en-GB"/>
        </w:rPr>
        <w:t xml:space="preserve"> is the extent to which a detection method or an examiner tends to reach the same conclusion in two separate recordings, where both recordings were obtained under the same test conditions, i.e. the same test subject, the same stimulus type, stimulus rate, pre-processing parameters, etc. Inter-test reliability, on the other hand, is the extent to which detection methods and/or examiners agree on whether a CAEP is indeed present or not in any given recording. Both intra- and inter-test reliability were evaluated using Cohen’s kappa statistic (</w:t>
      </w:r>
      <w:r>
        <w:rPr>
          <w:rFonts w:ascii="Calibri" w:hAnsi="Calibri"/>
          <w:color w:val="5B9BD5" w:themeColor="accent1"/>
          <w:lang w:val="en-GB"/>
          <w14:textFill>
            <w14:solidFill>
              <w14:schemeClr w14:val="accent1"/>
            </w14:solidFill>
          </w14:textFill>
        </w:rPr>
        <w:t>Cohen, 1960; McHugh, 2012</w:t>
      </w:r>
      <w:r>
        <w:rPr>
          <w:rFonts w:ascii="Calibri" w:hAnsi="Calibri"/>
          <w:lang w:val="en-GB"/>
        </w:rPr>
        <w:t xml:space="preserve">), further described below. </w:t>
      </w:r>
      <w:r>
        <w:rPr>
          <w:rFonts w:ascii="Calibri" w:hAnsi="Calibri" w:cs="Calibri"/>
          <w:lang w:val="en-GB"/>
        </w:rPr>
        <w:t>In what follows, all “ambiguous” test outcomes for the examiners were treated as non-detections, giving a binary “CAEP detected” versus “no CAEP detected” test outcome. This facilitates the comparison between the examiners and the detection methods, as the detection methods similarly give a binary “H0 rejected” (CAEP detected) or “H0 not rejected” (no CAEP detected) test outcome.</w:t>
      </w:r>
    </w:p>
    <w:p>
      <w:pPr>
        <w:pStyle w:val="17"/>
        <w:spacing w:line="240" w:lineRule="auto"/>
        <w:jc w:val="both"/>
        <w:rPr>
          <w:rFonts w:hAnsi="Cambria Math" w:cs="Calibri"/>
          <w:lang w:val="en-GB"/>
        </w:rPr>
      </w:pPr>
    </w:p>
    <w:p>
      <w:pPr>
        <w:pStyle w:val="17"/>
        <w:spacing w:line="240" w:lineRule="auto"/>
        <w:jc w:val="both"/>
        <w:rPr>
          <w:rFonts w:ascii="Calibri" w:hAnsi="Calibri" w:cs="Calibri"/>
          <w:u w:val="single"/>
          <w:lang w:val="en-GB"/>
        </w:rPr>
      </w:pPr>
      <w:r>
        <w:rPr>
          <w:rFonts w:ascii="Calibri" w:hAnsi="Calibri" w:cs="Calibri"/>
          <w:u w:val="single"/>
          <w:lang w:val="en-GB"/>
        </w:rPr>
        <w:t>Intra-test reliability</w:t>
      </w:r>
    </w:p>
    <w:p>
      <w:pPr>
        <w:pStyle w:val="17"/>
        <w:spacing w:line="240" w:lineRule="auto"/>
        <w:jc w:val="both"/>
        <w:rPr>
          <w:rFonts w:ascii="Calibri" w:hAnsi="Calibri" w:cs="Calibri"/>
          <w:lang w:val="en-GB"/>
        </w:rPr>
      </w:pPr>
      <w:r>
        <w:rPr>
          <w:rFonts w:ascii="Calibri" w:hAnsi="Calibri" w:cs="Calibri"/>
          <w:lang w:val="en-GB"/>
        </w:rPr>
        <w:t xml:space="preserve">Data for the assessment comprised the infant CAEP recordings from sessions one and two (using </w:t>
      </w:r>
      <w:r>
        <w:rPr>
          <w:rFonts w:ascii="Calibri" w:hAnsi="Calibri" w:cs="Calibri"/>
          <w:i/>
          <w:iCs/>
          <w:lang w:val="en-GB"/>
        </w:rPr>
        <w:t>N</w:t>
      </w:r>
      <w:r>
        <w:rPr>
          <w:rFonts w:ascii="Calibri" w:hAnsi="Calibri" w:cs="Calibri"/>
          <w:lang w:val="en-GB"/>
        </w:rPr>
        <w:t>=160). Cohen’s kappa (</w:t>
      </w:r>
      <w:r>
        <w:rPr>
          <w:rFonts w:ascii="Calibri" w:hAnsi="Calibri"/>
          <w:color w:val="4472C4" w:themeColor="accent5"/>
          <w:lang w:val="en-GB"/>
          <w14:textFill>
            <w14:solidFill>
              <w14:schemeClr w14:val="accent5"/>
            </w14:solidFill>
          </w14:textFill>
        </w:rPr>
        <w:t>Cohen, 1960</w:t>
      </w:r>
      <w:r>
        <w:rPr>
          <w:rFonts w:ascii="Calibri" w:hAnsi="Calibri" w:cs="Calibri"/>
          <w:lang w:val="en-GB"/>
        </w:rPr>
        <w:t xml:space="preserve">) was calculated, per detection method and per examiner, </w:t>
      </w:r>
      <w:r>
        <w:rPr>
          <w:rFonts w:hint="default" w:ascii="Calibri" w:hAnsi="Calibri" w:cs="Calibri"/>
          <w:lang w:val="en-GB"/>
        </w:rPr>
        <w:t xml:space="preserve">which </w:t>
      </w:r>
      <w:r>
        <w:rPr>
          <w:rFonts w:ascii="Calibri" w:hAnsi="Calibri"/>
          <w:lang w:val="en-GB"/>
        </w:rPr>
        <w:t>represents the probability of reaching the same conclusion in both test sessions, after having adjusted for the probability of reaching the same conclusion by chance (</w:t>
      </w:r>
      <w:r>
        <w:rPr>
          <w:rFonts w:ascii="Calibri" w:hAnsi="Calibri"/>
          <w:color w:val="4472C4" w:themeColor="accent5"/>
          <w:lang w:val="en-GB"/>
          <w14:textFill>
            <w14:solidFill>
              <w14:schemeClr w14:val="accent5"/>
            </w14:solidFill>
          </w14:textFill>
        </w:rPr>
        <w:t>McHugh, 2012</w:t>
      </w:r>
      <w:r>
        <w:rPr>
          <w:rFonts w:ascii="Calibri" w:hAnsi="Calibri"/>
          <w:lang w:val="en-GB"/>
        </w:rPr>
        <w:t xml:space="preserve">). When calculating Cohen’s kappa, it is helpful to first construct </w:t>
      </w:r>
      <w:r>
        <w:rPr>
          <w:rFonts w:ascii="Calibri" w:hAnsi="Calibri" w:cs="Calibri"/>
          <w:lang w:val="en-GB"/>
        </w:rPr>
        <w:t xml:space="preserve">Table 2, which shows how often the test outcome from session 1 did, and did not, match with the test outcome from session 2 (see also the caption for Table 2). The observed probability of reaching the same conclusion in both sessions, say </w:t>
      </w:r>
      <m:oMath>
        <m:sSub>
          <m:sSubPr>
            <m:ctrlPr>
              <w:rPr>
                <w:rFonts w:ascii="Cambria Math" w:hAnsi="Cambria Math" w:cs="Calibri"/>
                <w:lang w:val="en-GB"/>
              </w:rPr>
            </m:ctrlPr>
          </m:sSubPr>
          <m:e>
            <m:r>
              <m:rPr>
                <m:sty m:val="p"/>
              </m:rPr>
              <w:rPr>
                <w:rFonts w:ascii="Cambria Math" w:hAnsi="Cambria Math" w:cs="Calibri"/>
                <w:lang w:val="en-GB"/>
              </w:rPr>
              <m:t>P</m:t>
            </m:r>
            <m:ctrlPr>
              <w:rPr>
                <w:rFonts w:ascii="Cambria Math" w:hAnsi="Cambria Math" w:cs="Calibri"/>
                <w:lang w:val="en-GB"/>
              </w:rPr>
            </m:ctrlPr>
          </m:e>
          <m:sub>
            <m:r>
              <m:rPr>
                <m:sty m:val="p"/>
              </m:rPr>
              <w:rPr>
                <w:rFonts w:ascii="Cambria Math" w:hAnsi="Cambria Math" w:cs="Calibri"/>
                <w:lang w:val="en-GB"/>
              </w:rPr>
              <m:t>o</m:t>
            </m:r>
            <m:ctrlPr>
              <w:rPr>
                <w:rFonts w:ascii="Cambria Math" w:hAnsi="Cambria Math" w:cs="Calibri"/>
                <w:lang w:val="en-GB"/>
              </w:rPr>
            </m:ctrlPr>
          </m:sub>
        </m:sSub>
      </m:oMath>
      <w:r>
        <w:rPr>
          <w:rFonts w:ascii="Calibri" w:hAnsi="Calibri" w:cs="Calibri"/>
          <w:lang w:val="en-GB"/>
        </w:rPr>
        <w:t>, is then found using:</w:t>
      </w:r>
    </w:p>
    <w:p>
      <w:pPr>
        <w:pStyle w:val="17"/>
        <w:spacing w:line="240" w:lineRule="auto"/>
        <w:jc w:val="both"/>
        <w:rPr>
          <w:rFonts w:ascii="Calibri" w:hAnsi="Calibri" w:cs="Calibri"/>
          <w:lang w:val="en-GB"/>
        </w:rPr>
      </w:pPr>
      <m:oMath>
        <m:sSub>
          <m:sSubPr>
            <m:ctrlPr>
              <w:rPr>
                <w:rFonts w:ascii="Cambria Math" w:hAnsi="Cambria Math" w:cs="Calibri"/>
                <w:lang w:val="en-GB"/>
              </w:rPr>
            </m:ctrlPr>
          </m:sSubPr>
          <m:e>
            <m:r>
              <m:rPr>
                <m:sty m:val="p"/>
              </m:rPr>
              <w:rPr>
                <w:rFonts w:ascii="Cambria Math" w:hAnsi="Cambria Math" w:cs="Calibri"/>
                <w:lang w:val="en-GB"/>
              </w:rPr>
              <m:t>P</m:t>
            </m:r>
            <m:ctrlPr>
              <w:rPr>
                <w:rFonts w:ascii="Cambria Math" w:hAnsi="Cambria Math" w:cs="Calibri"/>
                <w:lang w:val="en-GB"/>
              </w:rPr>
            </m:ctrlPr>
          </m:e>
          <m:sub>
            <m:r>
              <m:rPr>
                <m:sty m:val="p"/>
              </m:rPr>
              <w:rPr>
                <w:rFonts w:ascii="Cambria Math" w:hAnsi="Cambria Math" w:cs="Calibri"/>
                <w:lang w:val="en-GB"/>
              </w:rPr>
              <m:t>o</m:t>
            </m:r>
            <m:ctrlPr>
              <w:rPr>
                <w:rFonts w:ascii="Cambria Math" w:hAnsi="Cambria Math" w:cs="Calibri"/>
                <w:lang w:val="en-GB"/>
              </w:rPr>
            </m:ctrlPr>
          </m:sub>
        </m:sSub>
        <m:r>
          <m:rPr>
            <m:sty m:val="p"/>
          </m:rPr>
          <w:rPr>
            <w:rFonts w:ascii="Cambria Math" w:hAnsi="Cambria Math" w:cs="Calibri"/>
            <w:lang w:val="en-GB"/>
          </w:rPr>
          <m:t>=</m:t>
        </m:r>
        <m:f>
          <m:fPr>
            <m:ctrlPr>
              <w:rPr>
                <w:rFonts w:ascii="Cambria Math" w:hAnsi="Cambria Math" w:cs="Calibri"/>
                <w:lang w:val="en-GB"/>
              </w:rPr>
            </m:ctrlPr>
          </m:fPr>
          <m:num>
            <m:sSub>
              <m:sSubPr>
                <m:ctrlPr>
                  <w:rPr>
                    <w:rFonts w:ascii="Cambria Math" w:hAnsi="Cambria Math" w:cs="Calibri"/>
                    <w:lang w:val="en-GB"/>
                  </w:rPr>
                </m:ctrlPr>
              </m:sSubPr>
              <m:e>
                <m:r>
                  <m:rPr>
                    <m:sty m:val="p"/>
                  </m:rPr>
                  <w:rPr>
                    <w:rFonts w:ascii="Cambria Math" w:hAnsi="Cambria Math" w:cs="Calibri"/>
                    <w:lang w:val="en-GB"/>
                  </w:rPr>
                  <m:t>C</m:t>
                </m:r>
                <m:ctrlPr>
                  <w:rPr>
                    <w:rFonts w:ascii="Cambria Math" w:hAnsi="Cambria Math" w:cs="Calibri"/>
                    <w:lang w:val="en-GB"/>
                  </w:rPr>
                </m:ctrlPr>
              </m:e>
              <m:sub>
                <m:r>
                  <m:rPr>
                    <m:sty m:val="p"/>
                  </m:rPr>
                  <w:rPr>
                    <w:rFonts w:ascii="Cambria Math" w:hAnsi="Cambria Math" w:cs="Calibri"/>
                    <w:lang w:val="en-GB"/>
                  </w:rPr>
                  <m:t>1,2</m:t>
                </m:r>
                <m:ctrlPr>
                  <w:rPr>
                    <w:rFonts w:ascii="Cambria Math" w:hAnsi="Cambria Math" w:cs="Calibri"/>
                    <w:lang w:val="en-GB"/>
                  </w:rPr>
                </m:ctrlPr>
              </m:sub>
            </m:sSub>
            <m:r>
              <m:rPr>
                <m:sty m:val="p"/>
              </m:rPr>
              <w:rPr>
                <w:rFonts w:ascii="Cambria Math" w:hAnsi="Cambria Math" w:cs="Calibri"/>
                <w:lang w:val="en-GB"/>
              </w:rPr>
              <m:t>+</m:t>
            </m:r>
            <m:sSub>
              <m:sSubPr>
                <m:ctrlPr>
                  <w:rPr>
                    <w:rFonts w:ascii="Cambria Math" w:hAnsi="Cambria Math" w:cs="Calibri"/>
                    <w:lang w:val="en-GB"/>
                  </w:rPr>
                </m:ctrlPr>
              </m:sSubPr>
              <m:e>
                <m:r>
                  <m:rPr>
                    <m:sty m:val="p"/>
                  </m:rPr>
                  <w:rPr>
                    <w:rFonts w:ascii="Cambria Math" w:hAnsi="Cambria Math" w:cs="Calibri"/>
                    <w:lang w:val="en-GB"/>
                  </w:rPr>
                  <m:t>C</m:t>
                </m:r>
                <m:ctrlPr>
                  <w:rPr>
                    <w:rFonts w:ascii="Cambria Math" w:hAnsi="Cambria Math" w:cs="Calibri"/>
                    <w:lang w:val="en-GB"/>
                  </w:rPr>
                </m:ctrlPr>
              </m:e>
              <m:sub>
                <m:r>
                  <m:rPr>
                    <m:sty m:val="p"/>
                  </m:rPr>
                  <w:rPr>
                    <w:rFonts w:ascii="Cambria Math" w:hAnsi="Cambria Math" w:cs="Calibri"/>
                    <w:lang w:val="en-GB"/>
                  </w:rPr>
                  <m:t>¬1¬2</m:t>
                </m:r>
                <m:ctrlPr>
                  <w:rPr>
                    <w:rFonts w:ascii="Cambria Math" w:hAnsi="Cambria Math" w:cs="Calibri"/>
                    <w:lang w:val="en-GB"/>
                  </w:rPr>
                </m:ctrlPr>
              </m:sub>
            </m:sSub>
            <m:ctrlPr>
              <w:rPr>
                <w:rFonts w:ascii="Cambria Math" w:hAnsi="Cambria Math" w:cs="Calibri"/>
                <w:lang w:val="en-GB"/>
              </w:rPr>
            </m:ctrlPr>
          </m:num>
          <m:den>
            <m:r>
              <m:rPr>
                <m:sty m:val="p"/>
              </m:rPr>
              <w:rPr>
                <w:rFonts w:ascii="Cambria Math" w:hAnsi="Cambria Math" w:cs="Calibri"/>
                <w:lang w:val="en-GB"/>
              </w:rPr>
              <m:t>n</m:t>
            </m:r>
            <m:ctrlPr>
              <w:rPr>
                <w:rFonts w:ascii="Cambria Math" w:hAnsi="Cambria Math" w:cs="Calibri"/>
                <w:lang w:val="en-GB"/>
              </w:rPr>
            </m:ctrlPr>
          </m:den>
        </m:f>
      </m:oMath>
      <w:r>
        <w:rPr>
          <w:rFonts w:ascii="Calibri" w:hAnsi="Calibri" w:cs="Calibri"/>
          <w:lang w:val="en-GB"/>
        </w:rPr>
        <w:t xml:space="preserve">  </w:t>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i/>
          <w:iCs/>
          <w:lang w:val="en-GB"/>
        </w:rPr>
        <w:t>Eq. 10</w:t>
      </w:r>
    </w:p>
    <w:p>
      <w:pPr>
        <w:pStyle w:val="17"/>
        <w:spacing w:line="240" w:lineRule="auto"/>
        <w:jc w:val="both"/>
        <w:rPr>
          <w:rFonts w:ascii="Calibri" w:hAnsi="Calibri" w:cs="Calibri"/>
          <w:lang w:val="en-GB"/>
        </w:rPr>
      </w:pPr>
      <w:r>
        <w:rPr>
          <w:rFonts w:ascii="Calibri" w:hAnsi="Calibri" w:cs="Calibri"/>
          <w:lang w:val="en-GB"/>
        </w:rPr>
        <w:t xml:space="preserve">where n is the total number of repeat recordings available for the analysis (here equal to 116), </w:t>
      </w:r>
      <m:oMath>
        <m:sSub>
          <m:sSubPr>
            <m:ctrlPr>
              <w:rPr>
                <w:rFonts w:ascii="Cambria Math" w:hAnsi="Cambria Math" w:cs="Calibri"/>
                <w:lang w:val="en-GB"/>
              </w:rPr>
            </m:ctrlPr>
          </m:sSubPr>
          <m:e>
            <m:r>
              <m:rPr>
                <m:sty m:val="p"/>
              </m:rPr>
              <w:rPr>
                <w:rFonts w:ascii="Cambria Math" w:hAnsi="Cambria Math" w:cs="Calibri"/>
                <w:lang w:val="en-GB"/>
              </w:rPr>
              <m:t>C</m:t>
            </m:r>
            <m:ctrlPr>
              <w:rPr>
                <w:rFonts w:ascii="Cambria Math" w:hAnsi="Cambria Math" w:cs="Calibri"/>
                <w:lang w:val="en-GB"/>
              </w:rPr>
            </m:ctrlPr>
          </m:e>
          <m:sub>
            <m:r>
              <m:rPr>
                <m:sty m:val="p"/>
              </m:rPr>
              <w:rPr>
                <w:rFonts w:ascii="Cambria Math" w:hAnsi="Cambria Math" w:cs="Calibri"/>
                <w:lang w:val="en-GB"/>
              </w:rPr>
              <m:t>1,2</m:t>
            </m:r>
            <m:ctrlPr>
              <w:rPr>
                <w:rFonts w:ascii="Cambria Math" w:hAnsi="Cambria Math" w:cs="Calibri"/>
                <w:lang w:val="en-GB"/>
              </w:rPr>
            </m:ctrlPr>
          </m:sub>
        </m:sSub>
      </m:oMath>
      <w:r>
        <w:rPr>
          <w:rFonts w:ascii="Calibri" w:hAnsi="Calibri" w:cs="Calibri"/>
          <w:lang w:val="en-GB"/>
        </w:rPr>
        <w:t xml:space="preserve"> is the number of times an ABR was detected in both session 1 and session 2, and </w:t>
      </w:r>
      <m:oMath>
        <m:sSub>
          <m:sSubPr>
            <m:ctrlPr>
              <w:rPr>
                <w:rFonts w:ascii="Cambria Math" w:hAnsi="Cambria Math" w:cs="Calibri"/>
                <w:lang w:val="en-GB"/>
              </w:rPr>
            </m:ctrlPr>
          </m:sSubPr>
          <m:e>
            <m:r>
              <m:rPr>
                <m:sty m:val="p"/>
              </m:rPr>
              <w:rPr>
                <w:rFonts w:ascii="Cambria Math" w:hAnsi="Cambria Math" w:cs="Calibri"/>
                <w:lang w:val="en-GB"/>
              </w:rPr>
              <m:t>C</m:t>
            </m:r>
            <m:ctrlPr>
              <w:rPr>
                <w:rFonts w:ascii="Cambria Math" w:hAnsi="Cambria Math" w:cs="Calibri"/>
                <w:lang w:val="en-GB"/>
              </w:rPr>
            </m:ctrlPr>
          </m:e>
          <m:sub>
            <m:r>
              <m:rPr>
                <m:sty m:val="p"/>
              </m:rPr>
              <w:rPr>
                <w:rFonts w:ascii="Calibri" w:hAnsi="Calibri" w:eastAsia="SimSun" w:cs="Calibri"/>
                <w:color w:val="000000"/>
                <w:lang w:val="en-US" w:eastAsia="zh-CN" w:bidi="ar"/>
              </w:rPr>
              <m:t>¬</m:t>
            </m:r>
            <m:r>
              <m:rPr>
                <m:sty m:val="p"/>
              </m:rPr>
              <w:rPr>
                <w:rFonts w:ascii="Cambria Math" w:hAnsi="Cambria Math" w:cs="Calibri"/>
                <w:lang w:val="en-GB"/>
              </w:rPr>
              <m:t>1,</m:t>
            </m:r>
            <m:r>
              <m:rPr>
                <m:sty m:val="p"/>
              </m:rPr>
              <w:rPr>
                <w:rFonts w:ascii="Calibri" w:hAnsi="Calibri" w:eastAsia="SimSun" w:cs="Calibri"/>
                <w:color w:val="000000"/>
                <w:lang w:val="en-US" w:eastAsia="zh-CN" w:bidi="ar"/>
              </w:rPr>
              <m:t>¬</m:t>
            </m:r>
            <m:r>
              <m:rPr>
                <m:sty m:val="p"/>
              </m:rPr>
              <w:rPr>
                <w:rFonts w:ascii="Cambria Math" w:hAnsi="Cambria Math" w:cs="Calibri"/>
                <w:lang w:val="en-GB"/>
              </w:rPr>
              <m:t>2</m:t>
            </m:r>
            <m:ctrlPr>
              <w:rPr>
                <w:rFonts w:ascii="Cambria Math" w:hAnsi="Cambria Math" w:cs="Calibri"/>
                <w:lang w:val="en-GB"/>
              </w:rPr>
            </m:ctrlPr>
          </m:sub>
        </m:sSub>
      </m:oMath>
      <w:r>
        <w:rPr>
          <w:rFonts w:ascii="Calibri" w:hAnsi="Calibri" w:cs="Calibri"/>
          <w:lang w:val="en-GB"/>
        </w:rPr>
        <w:t xml:space="preserve"> is the number of times an ABR was not detected in both session 1 and 2. Next, the probability of reaching the same conclusion by chance, say </w:t>
      </w:r>
      <m:oMath>
        <m:sSub>
          <m:sSubPr>
            <m:ctrlPr>
              <w:rPr>
                <w:rFonts w:ascii="Cambria Math" w:hAnsi="Cambria Math" w:cs="Calibri"/>
                <w:lang w:val="en-GB"/>
              </w:rPr>
            </m:ctrlPr>
          </m:sSubPr>
          <m:e>
            <m:r>
              <m:rPr>
                <m:sty m:val="p"/>
              </m:rPr>
              <w:rPr>
                <w:rFonts w:ascii="Cambria Math" w:hAnsi="Cambria Math" w:cs="Calibri"/>
                <w:lang w:val="en-GB"/>
              </w:rPr>
              <m:t>P</m:t>
            </m:r>
            <m:ctrlPr>
              <w:rPr>
                <w:rFonts w:ascii="Cambria Math" w:hAnsi="Cambria Math" w:cs="Calibri"/>
                <w:lang w:val="en-GB"/>
              </w:rPr>
            </m:ctrlPr>
          </m:e>
          <m:sub>
            <m:r>
              <m:rPr>
                <m:sty m:val="p"/>
              </m:rPr>
              <w:rPr>
                <w:rFonts w:ascii="Cambria Math" w:hAnsi="Cambria Math" w:cs="Calibri"/>
                <w:lang w:val="en-GB"/>
              </w:rPr>
              <m:t>c</m:t>
            </m:r>
            <m:ctrlPr>
              <w:rPr>
                <w:rFonts w:ascii="Cambria Math" w:hAnsi="Cambria Math" w:cs="Calibri"/>
                <w:lang w:val="en-GB"/>
              </w:rPr>
            </m:ctrlPr>
          </m:sub>
        </m:sSub>
      </m:oMath>
      <w:r>
        <w:rPr>
          <w:rFonts w:ascii="Calibri" w:hAnsi="Calibri" w:cs="Calibri"/>
          <w:lang w:val="en-GB"/>
        </w:rPr>
        <w:t>, is found using:</w:t>
      </w:r>
    </w:p>
    <w:p>
      <w:pPr>
        <w:pStyle w:val="17"/>
        <w:spacing w:line="240" w:lineRule="auto"/>
        <w:jc w:val="both"/>
        <w:rPr>
          <w:rFonts w:ascii="Calibri" w:hAnsi="Calibri" w:cs="Calibri"/>
          <w:lang w:val="en-GB"/>
        </w:rPr>
      </w:pPr>
      <m:oMath>
        <m:sSub>
          <m:sSubPr>
            <m:ctrlPr>
              <w:rPr>
                <w:rFonts w:ascii="Cambria Math" w:hAnsi="Cambria Math" w:cs="Calibri"/>
                <w:lang w:val="en-GB"/>
              </w:rPr>
            </m:ctrlPr>
          </m:sSubPr>
          <m:e>
            <m:r>
              <m:rPr>
                <m:sty m:val="p"/>
              </m:rPr>
              <w:rPr>
                <w:rFonts w:ascii="Cambria Math" w:hAnsi="Cambria Math" w:cs="Calibri"/>
                <w:lang w:val="en-GB"/>
              </w:rPr>
              <m:t>P</m:t>
            </m:r>
            <m:ctrlPr>
              <w:rPr>
                <w:rFonts w:ascii="Cambria Math" w:hAnsi="Cambria Math" w:cs="Calibri"/>
                <w:lang w:val="en-GB"/>
              </w:rPr>
            </m:ctrlPr>
          </m:e>
          <m:sub>
            <m:r>
              <m:rPr>
                <m:sty m:val="p"/>
              </m:rPr>
              <w:rPr>
                <w:rFonts w:ascii="Cambria Math" w:hAnsi="Cambria Math" w:cs="Calibri"/>
                <w:lang w:val="en-GB"/>
              </w:rPr>
              <m:t>c</m:t>
            </m:r>
            <m:ctrlPr>
              <w:rPr>
                <w:rFonts w:ascii="Cambria Math" w:hAnsi="Cambria Math" w:cs="Calibri"/>
                <w:lang w:val="en-GB"/>
              </w:rPr>
            </m:ctrlPr>
          </m:sub>
        </m:sSub>
        <m:r>
          <m:rPr>
            <m:sty m:val="p"/>
          </m:rPr>
          <w:rPr>
            <w:rFonts w:ascii="Cambria Math" w:hAnsi="Cambria Math" w:cs="Calibri"/>
            <w:lang w:val="en-GB"/>
          </w:rPr>
          <m:t>=</m:t>
        </m:r>
        <m:f>
          <m:fPr>
            <m:ctrlPr>
              <w:rPr>
                <w:rFonts w:ascii="Cambria Math" w:hAnsi="Cambria Math" w:cs="Calibri"/>
                <w:lang w:val="en-GB"/>
              </w:rPr>
            </m:ctrlPr>
          </m:fPr>
          <m:num>
            <m:r>
              <m:rPr>
                <m:sty m:val="p"/>
              </m:rPr>
              <w:rPr>
                <w:rFonts w:ascii="Cambria Math" w:hAnsi="Cambria Math" w:cs="Calibri"/>
                <w:lang w:val="en-GB"/>
              </w:rPr>
              <m:t>A+B</m:t>
            </m:r>
            <m:ctrlPr>
              <w:rPr>
                <w:rFonts w:ascii="Cambria Math" w:hAnsi="Cambria Math" w:cs="Calibri"/>
                <w:lang w:val="en-GB"/>
              </w:rPr>
            </m:ctrlPr>
          </m:num>
          <m:den>
            <m:r>
              <m:rPr>
                <m:sty m:val="p"/>
              </m:rPr>
              <w:rPr>
                <w:rFonts w:ascii="Cambria Math" w:hAnsi="Cambria Math" w:cs="Calibri"/>
                <w:lang w:val="en-GB"/>
              </w:rPr>
              <m:t>n</m:t>
            </m:r>
            <m:ctrlPr>
              <w:rPr>
                <w:rFonts w:ascii="Cambria Math" w:hAnsi="Cambria Math" w:cs="Calibri"/>
                <w:lang w:val="en-GB"/>
              </w:rPr>
            </m:ctrlPr>
          </m:den>
        </m:f>
      </m:oMath>
      <w:r>
        <w:rPr>
          <w:rFonts w:ascii="Calibri" w:hAnsi="Calibri" w:cs="Calibri"/>
          <w:lang w:val="en-GB"/>
        </w:rPr>
        <w:t xml:space="preserve">  </w:t>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i/>
          <w:iCs/>
          <w:lang w:val="en-GB"/>
        </w:rPr>
        <w:t>Eq. 11</w:t>
      </w:r>
    </w:p>
    <w:p>
      <w:pPr>
        <w:pStyle w:val="17"/>
        <w:spacing w:line="240" w:lineRule="auto"/>
        <w:jc w:val="both"/>
        <w:rPr>
          <w:rFonts w:ascii="Calibri" w:hAnsi="Calibri" w:cs="Calibri"/>
          <w:lang w:val="en-GB"/>
        </w:rPr>
      </w:pPr>
      <w:r>
        <w:rPr>
          <w:rFonts w:ascii="Calibri" w:hAnsi="Calibri" w:cs="Calibri"/>
          <w:lang w:val="en-GB"/>
        </w:rPr>
        <w:t>where A and B are given by:</w:t>
      </w:r>
    </w:p>
    <w:p>
      <w:pPr>
        <w:pStyle w:val="17"/>
        <w:spacing w:line="240" w:lineRule="auto"/>
        <w:jc w:val="both"/>
        <w:rPr>
          <w:rFonts w:ascii="Calibri" w:hAnsi="Calibri" w:cs="Calibri"/>
          <w:lang w:val="en-GB"/>
        </w:rPr>
      </w:pPr>
      <m:oMath>
        <m:r>
          <m:rPr>
            <m:sty m:val="p"/>
          </m:rPr>
          <w:rPr>
            <w:rFonts w:ascii="Cambria Math" w:hAnsi="Cambria Math" w:cs="Calibri"/>
            <w:lang w:val="en-GB"/>
          </w:rPr>
          <m:t>A=</m:t>
        </m:r>
        <m:f>
          <m:fPr>
            <m:ctrlPr>
              <w:rPr>
                <w:rFonts w:ascii="Cambria Math" w:hAnsi="Cambria Math" w:cs="Calibri"/>
                <w:lang w:val="en-GB"/>
              </w:rPr>
            </m:ctrlPr>
          </m:fPr>
          <m:num>
            <m:sSub>
              <m:sSubPr>
                <m:ctrlPr>
                  <w:rPr>
                    <w:rFonts w:ascii="Cambria Math" w:hAnsi="Cambria Math" w:cs="Calibri"/>
                    <w:lang w:val="en-GB"/>
                  </w:rPr>
                </m:ctrlPr>
              </m:sSubPr>
              <m:e>
                <m:r>
                  <m:rPr>
                    <m:sty m:val="p"/>
                  </m:rPr>
                  <w:rPr>
                    <w:rFonts w:ascii="Cambria Math" w:hAnsi="Cambria Math" w:cs="Calibri"/>
                    <w:lang w:val="en-GB"/>
                  </w:rPr>
                  <m:t>(C</m:t>
                </m:r>
                <m:ctrlPr>
                  <w:rPr>
                    <w:rFonts w:ascii="Cambria Math" w:hAnsi="Cambria Math" w:cs="Calibri"/>
                    <w:lang w:val="en-GB"/>
                  </w:rPr>
                </m:ctrlPr>
              </m:e>
              <m:sub>
                <m:r>
                  <m:rPr>
                    <m:sty m:val="p"/>
                  </m:rPr>
                  <w:rPr>
                    <w:rFonts w:ascii="Cambria Math" w:hAnsi="Cambria Math" w:cs="Calibri"/>
                    <w:lang w:val="en-GB"/>
                  </w:rPr>
                  <m:t>1,1</m:t>
                </m:r>
                <m:ctrlPr>
                  <w:rPr>
                    <w:rFonts w:ascii="Cambria Math" w:hAnsi="Cambria Math" w:cs="Calibri"/>
                    <w:lang w:val="en-GB"/>
                  </w:rPr>
                </m:ctrlPr>
              </m:sub>
            </m:sSub>
            <m:r>
              <m:rPr>
                <m:sty m:val="p"/>
              </m:rPr>
              <w:rPr>
                <w:rFonts w:ascii="Cambria Math" w:hAnsi="Cambria Math" w:cs="Calibri"/>
                <w:lang w:val="en-GB"/>
              </w:rPr>
              <m:t>+</m:t>
            </m:r>
            <m:sSub>
              <m:sSubPr>
                <m:ctrlPr>
                  <w:rPr>
                    <w:rFonts w:ascii="Cambria Math" w:hAnsi="Cambria Math" w:cs="Calibri"/>
                    <w:lang w:val="en-GB"/>
                  </w:rPr>
                </m:ctrlPr>
              </m:sSubPr>
              <m:e>
                <m:r>
                  <m:rPr>
                    <m:sty m:val="p"/>
                  </m:rPr>
                  <w:rPr>
                    <w:rFonts w:ascii="Cambria Math" w:hAnsi="Cambria Math" w:cs="Calibri"/>
                    <w:lang w:val="en-GB"/>
                  </w:rPr>
                  <m:t>C</m:t>
                </m:r>
                <m:ctrlPr>
                  <w:rPr>
                    <w:rFonts w:ascii="Cambria Math" w:hAnsi="Cambria Math" w:cs="Calibri"/>
                    <w:lang w:val="en-GB"/>
                  </w:rPr>
                </m:ctrlPr>
              </m:e>
              <m:sub>
                <m:r>
                  <m:rPr>
                    <m:sty m:val="p"/>
                  </m:rPr>
                  <w:rPr>
                    <w:rFonts w:ascii="Cambria Math" w:hAnsi="Cambria Math" w:cs="Calibri"/>
                    <w:lang w:val="en-GB"/>
                  </w:rPr>
                  <m:t>1,¬2</m:t>
                </m:r>
                <m:ctrlPr>
                  <w:rPr>
                    <w:rFonts w:ascii="Cambria Math" w:hAnsi="Cambria Math" w:cs="Calibri"/>
                    <w:lang w:val="en-GB"/>
                  </w:rPr>
                </m:ctrlPr>
              </m:sub>
            </m:sSub>
            <m:r>
              <m:rPr>
                <m:sty m:val="p"/>
              </m:rPr>
              <w:rPr>
                <w:rFonts w:ascii="Cambria Math" w:hAnsi="Cambria Math" w:cs="Calibri"/>
                <w:lang w:val="en-GB"/>
              </w:rPr>
              <m:t>)∙</m:t>
            </m:r>
            <m:sSub>
              <m:sSubPr>
                <m:ctrlPr>
                  <w:rPr>
                    <w:rFonts w:ascii="Cambria Math" w:hAnsi="Cambria Math" w:cs="Calibri"/>
                    <w:lang w:val="en-GB"/>
                  </w:rPr>
                </m:ctrlPr>
              </m:sSubPr>
              <m:e>
                <m:r>
                  <m:rPr>
                    <m:sty m:val="p"/>
                  </m:rPr>
                  <w:rPr>
                    <w:rFonts w:ascii="Cambria Math" w:hAnsi="Cambria Math" w:cs="Calibri"/>
                    <w:lang w:val="en-GB"/>
                  </w:rPr>
                  <m:t>(C</m:t>
                </m:r>
                <m:ctrlPr>
                  <w:rPr>
                    <w:rFonts w:ascii="Cambria Math" w:hAnsi="Cambria Math" w:cs="Calibri"/>
                    <w:lang w:val="en-GB"/>
                  </w:rPr>
                </m:ctrlPr>
              </m:e>
              <m:sub>
                <m:r>
                  <m:rPr>
                    <m:sty m:val="p"/>
                  </m:rPr>
                  <w:rPr>
                    <w:rFonts w:ascii="Cambria Math" w:hAnsi="Cambria Math" w:cs="Calibri"/>
                    <w:lang w:val="en-GB"/>
                  </w:rPr>
                  <m:t>1,1</m:t>
                </m:r>
                <m:ctrlPr>
                  <w:rPr>
                    <w:rFonts w:ascii="Cambria Math" w:hAnsi="Cambria Math" w:cs="Calibri"/>
                    <w:lang w:val="en-GB"/>
                  </w:rPr>
                </m:ctrlPr>
              </m:sub>
            </m:sSub>
            <m:r>
              <m:rPr>
                <m:sty m:val="p"/>
              </m:rPr>
              <w:rPr>
                <w:rFonts w:ascii="Cambria Math" w:hAnsi="Cambria Math" w:cs="Calibri"/>
                <w:lang w:val="en-GB"/>
              </w:rPr>
              <m:t>+</m:t>
            </m:r>
            <m:sSub>
              <m:sSubPr>
                <m:ctrlPr>
                  <w:rPr>
                    <w:rFonts w:ascii="Cambria Math" w:hAnsi="Cambria Math" w:cs="Calibri"/>
                    <w:lang w:val="en-GB"/>
                  </w:rPr>
                </m:ctrlPr>
              </m:sSubPr>
              <m:e>
                <m:r>
                  <m:rPr>
                    <m:sty m:val="p"/>
                  </m:rPr>
                  <w:rPr>
                    <w:rFonts w:ascii="Cambria Math" w:hAnsi="Cambria Math" w:cs="Calibri"/>
                    <w:lang w:val="en-GB"/>
                  </w:rPr>
                  <m:t>C</m:t>
                </m:r>
                <m:ctrlPr>
                  <w:rPr>
                    <w:rFonts w:ascii="Cambria Math" w:hAnsi="Cambria Math" w:cs="Calibri"/>
                    <w:lang w:val="en-GB"/>
                  </w:rPr>
                </m:ctrlPr>
              </m:e>
              <m:sub>
                <m:r>
                  <m:rPr>
                    <m:sty m:val="p"/>
                  </m:rPr>
                  <w:rPr>
                    <w:rFonts w:ascii="Cambria Math" w:hAnsi="Cambria Math" w:cs="Calibri"/>
                    <w:lang w:val="en-GB"/>
                  </w:rPr>
                  <m:t>¬1,2</m:t>
                </m:r>
                <m:ctrlPr>
                  <w:rPr>
                    <w:rFonts w:ascii="Cambria Math" w:hAnsi="Cambria Math" w:cs="Calibri"/>
                    <w:lang w:val="en-GB"/>
                  </w:rPr>
                </m:ctrlPr>
              </m:sub>
            </m:sSub>
            <m:r>
              <m:rPr>
                <m:sty m:val="p"/>
              </m:rPr>
              <w:rPr>
                <w:rFonts w:ascii="Cambria Math" w:hAnsi="Cambria Math" w:cs="Calibri"/>
                <w:lang w:val="en-GB"/>
              </w:rPr>
              <m:t>)</m:t>
            </m:r>
            <m:ctrlPr>
              <w:rPr>
                <w:rFonts w:ascii="Cambria Math" w:hAnsi="Cambria Math" w:cs="Calibri"/>
                <w:lang w:val="en-GB"/>
              </w:rPr>
            </m:ctrlPr>
          </m:num>
          <m:den>
            <m:r>
              <m:rPr>
                <m:sty m:val="p"/>
              </m:rPr>
              <w:rPr>
                <w:rFonts w:ascii="Cambria Math" w:hAnsi="Cambria Math" w:cs="Calibri"/>
                <w:lang w:val="en-GB"/>
              </w:rPr>
              <m:t>n</m:t>
            </m:r>
            <m:ctrlPr>
              <w:rPr>
                <w:rFonts w:ascii="Cambria Math" w:hAnsi="Cambria Math" w:cs="Calibri"/>
                <w:lang w:val="en-GB"/>
              </w:rPr>
            </m:ctrlPr>
          </m:den>
        </m:f>
      </m:oMath>
      <w:r>
        <w:rPr>
          <w:rFonts w:ascii="Calibri" w:hAnsi="Calibri" w:cs="Calibri"/>
          <w:lang w:val="en-GB"/>
        </w:rPr>
        <w:t xml:space="preserve">  </w:t>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i/>
          <w:iCs/>
          <w:lang w:val="en-GB"/>
        </w:rPr>
        <w:t>Eq. 12</w:t>
      </w:r>
    </w:p>
    <w:p>
      <w:pPr>
        <w:pStyle w:val="17"/>
        <w:spacing w:line="240" w:lineRule="auto"/>
        <w:jc w:val="both"/>
        <w:rPr>
          <w:rFonts w:ascii="Calibri" w:hAnsi="Calibri" w:cs="Calibri"/>
          <w:lang w:val="en-GB"/>
        </w:rPr>
      </w:pPr>
      <m:oMath>
        <m:r>
          <m:rPr>
            <m:sty m:val="p"/>
          </m:rPr>
          <w:rPr>
            <w:rFonts w:ascii="Cambria Math" w:hAnsi="Cambria Math" w:cs="Calibri"/>
            <w:lang w:val="en-GB"/>
          </w:rPr>
          <m:t>B=</m:t>
        </m:r>
        <m:f>
          <m:fPr>
            <m:ctrlPr>
              <w:rPr>
                <w:rFonts w:ascii="Cambria Math" w:hAnsi="Cambria Math" w:cs="Calibri"/>
                <w:lang w:val="en-GB"/>
              </w:rPr>
            </m:ctrlPr>
          </m:fPr>
          <m:num>
            <m:sSub>
              <m:sSubPr>
                <m:ctrlPr>
                  <w:rPr>
                    <w:rFonts w:ascii="Cambria Math" w:hAnsi="Cambria Math" w:cs="Calibri"/>
                    <w:lang w:val="en-GB"/>
                  </w:rPr>
                </m:ctrlPr>
              </m:sSubPr>
              <m:e>
                <m:r>
                  <m:rPr>
                    <m:sty m:val="p"/>
                  </m:rPr>
                  <w:rPr>
                    <w:rFonts w:ascii="Cambria Math" w:hAnsi="Cambria Math" w:cs="Calibri"/>
                    <w:lang w:val="en-GB"/>
                  </w:rPr>
                  <m:t>(C</m:t>
                </m:r>
                <m:ctrlPr>
                  <w:rPr>
                    <w:rFonts w:ascii="Cambria Math" w:hAnsi="Cambria Math" w:cs="Calibri"/>
                    <w:lang w:val="en-GB"/>
                  </w:rPr>
                </m:ctrlPr>
              </m:e>
              <m:sub>
                <m:r>
                  <m:rPr>
                    <m:sty m:val="p"/>
                  </m:rPr>
                  <w:rPr>
                    <w:rFonts w:ascii="Cambria Math" w:hAnsi="Cambria Math" w:cs="Calibri"/>
                    <w:lang w:val="en-GB"/>
                  </w:rPr>
                  <m:t>¬1,2</m:t>
                </m:r>
                <m:ctrlPr>
                  <w:rPr>
                    <w:rFonts w:ascii="Cambria Math" w:hAnsi="Cambria Math" w:cs="Calibri"/>
                    <w:lang w:val="en-GB"/>
                  </w:rPr>
                </m:ctrlPr>
              </m:sub>
            </m:sSub>
            <m:r>
              <m:rPr>
                <m:sty m:val="p"/>
              </m:rPr>
              <w:rPr>
                <w:rFonts w:ascii="Cambria Math" w:hAnsi="Cambria Math" w:cs="Calibri"/>
                <w:lang w:val="en-GB"/>
              </w:rPr>
              <m:t>+</m:t>
            </m:r>
            <m:sSub>
              <m:sSubPr>
                <m:ctrlPr>
                  <w:rPr>
                    <w:rFonts w:ascii="Cambria Math" w:hAnsi="Cambria Math" w:cs="Calibri"/>
                    <w:lang w:val="en-GB"/>
                  </w:rPr>
                </m:ctrlPr>
              </m:sSubPr>
              <m:e>
                <m:r>
                  <m:rPr>
                    <m:sty m:val="p"/>
                  </m:rPr>
                  <w:rPr>
                    <w:rFonts w:ascii="Cambria Math" w:hAnsi="Cambria Math" w:cs="Calibri"/>
                    <w:lang w:val="en-GB"/>
                  </w:rPr>
                  <m:t>C</m:t>
                </m:r>
                <m:ctrlPr>
                  <w:rPr>
                    <w:rFonts w:ascii="Cambria Math" w:hAnsi="Cambria Math" w:cs="Calibri"/>
                    <w:lang w:val="en-GB"/>
                  </w:rPr>
                </m:ctrlPr>
              </m:e>
              <m:sub>
                <m:r>
                  <m:rPr>
                    <m:sty m:val="p"/>
                  </m:rPr>
                  <w:rPr>
                    <w:rFonts w:ascii="Cambria Math" w:hAnsi="Cambria Math" w:cs="Calibri"/>
                    <w:lang w:val="en-GB"/>
                  </w:rPr>
                  <m:t>¬1¬2</m:t>
                </m:r>
                <m:ctrlPr>
                  <w:rPr>
                    <w:rFonts w:ascii="Cambria Math" w:hAnsi="Cambria Math" w:cs="Calibri"/>
                    <w:lang w:val="en-GB"/>
                  </w:rPr>
                </m:ctrlPr>
              </m:sub>
            </m:sSub>
            <m:r>
              <m:rPr>
                <m:sty m:val="p"/>
              </m:rPr>
              <w:rPr>
                <w:rFonts w:ascii="Cambria Math" w:hAnsi="Cambria Math" w:cs="Calibri"/>
                <w:lang w:val="en-GB"/>
              </w:rPr>
              <m:t>)∙</m:t>
            </m:r>
            <m:sSub>
              <m:sSubPr>
                <m:ctrlPr>
                  <w:rPr>
                    <w:rFonts w:ascii="Cambria Math" w:hAnsi="Cambria Math" w:cs="Calibri"/>
                    <w:lang w:val="en-GB"/>
                  </w:rPr>
                </m:ctrlPr>
              </m:sSubPr>
              <m:e>
                <m:r>
                  <m:rPr>
                    <m:sty m:val="p"/>
                  </m:rPr>
                  <w:rPr>
                    <w:rFonts w:ascii="Cambria Math" w:hAnsi="Cambria Math" w:cs="Calibri"/>
                    <w:lang w:val="en-GB"/>
                  </w:rPr>
                  <m:t>(C</m:t>
                </m:r>
                <m:ctrlPr>
                  <w:rPr>
                    <w:rFonts w:ascii="Cambria Math" w:hAnsi="Cambria Math" w:cs="Calibri"/>
                    <w:lang w:val="en-GB"/>
                  </w:rPr>
                </m:ctrlPr>
              </m:e>
              <m:sub>
                <m:r>
                  <m:rPr>
                    <m:sty m:val="p"/>
                  </m:rPr>
                  <w:rPr>
                    <w:rFonts w:ascii="Cambria Math" w:hAnsi="Cambria Math" w:cs="Calibri"/>
                    <w:lang w:val="en-GB"/>
                  </w:rPr>
                  <m:t>1,¬2</m:t>
                </m:r>
                <m:ctrlPr>
                  <w:rPr>
                    <w:rFonts w:ascii="Cambria Math" w:hAnsi="Cambria Math" w:cs="Calibri"/>
                    <w:lang w:val="en-GB"/>
                  </w:rPr>
                </m:ctrlPr>
              </m:sub>
            </m:sSub>
            <m:r>
              <m:rPr>
                <m:sty m:val="p"/>
              </m:rPr>
              <w:rPr>
                <w:rFonts w:ascii="Cambria Math" w:hAnsi="Cambria Math" w:cs="Calibri"/>
                <w:lang w:val="en-GB"/>
              </w:rPr>
              <m:t>+</m:t>
            </m:r>
            <m:sSub>
              <m:sSubPr>
                <m:ctrlPr>
                  <w:rPr>
                    <w:rFonts w:ascii="Cambria Math" w:hAnsi="Cambria Math" w:cs="Calibri"/>
                    <w:lang w:val="en-GB"/>
                  </w:rPr>
                </m:ctrlPr>
              </m:sSubPr>
              <m:e>
                <m:r>
                  <m:rPr>
                    <m:sty m:val="p"/>
                  </m:rPr>
                  <w:rPr>
                    <w:rFonts w:ascii="Cambria Math" w:hAnsi="Cambria Math" w:cs="Calibri"/>
                    <w:lang w:val="en-GB"/>
                  </w:rPr>
                  <m:t>C</m:t>
                </m:r>
                <m:ctrlPr>
                  <w:rPr>
                    <w:rFonts w:ascii="Cambria Math" w:hAnsi="Cambria Math" w:cs="Calibri"/>
                    <w:lang w:val="en-GB"/>
                  </w:rPr>
                </m:ctrlPr>
              </m:e>
              <m:sub>
                <m:r>
                  <m:rPr>
                    <m:sty m:val="p"/>
                  </m:rPr>
                  <w:rPr>
                    <w:rFonts w:ascii="Cambria Math" w:hAnsi="Cambria Math" w:cs="Calibri"/>
                    <w:lang w:val="en-GB"/>
                  </w:rPr>
                  <m:t>¬1,¬2</m:t>
                </m:r>
                <m:ctrlPr>
                  <w:rPr>
                    <w:rFonts w:ascii="Cambria Math" w:hAnsi="Cambria Math" w:cs="Calibri"/>
                    <w:lang w:val="en-GB"/>
                  </w:rPr>
                </m:ctrlPr>
              </m:sub>
            </m:sSub>
            <m:r>
              <m:rPr>
                <m:sty m:val="p"/>
              </m:rPr>
              <w:rPr>
                <w:rFonts w:ascii="Cambria Math" w:hAnsi="Cambria Math" w:cs="Calibri"/>
                <w:lang w:val="en-GB"/>
              </w:rPr>
              <m:t>)</m:t>
            </m:r>
            <m:ctrlPr>
              <w:rPr>
                <w:rFonts w:ascii="Cambria Math" w:hAnsi="Cambria Math" w:cs="Calibri"/>
                <w:lang w:val="en-GB"/>
              </w:rPr>
            </m:ctrlPr>
          </m:num>
          <m:den>
            <m:r>
              <m:rPr>
                <m:sty m:val="p"/>
              </m:rPr>
              <w:rPr>
                <w:rFonts w:ascii="Cambria Math" w:hAnsi="Cambria Math" w:cs="Calibri"/>
                <w:lang w:val="en-GB"/>
              </w:rPr>
              <m:t>n</m:t>
            </m:r>
            <m:ctrlPr>
              <w:rPr>
                <w:rFonts w:ascii="Cambria Math" w:hAnsi="Cambria Math" w:cs="Calibri"/>
                <w:lang w:val="en-GB"/>
              </w:rPr>
            </m:ctrlPr>
          </m:den>
        </m:f>
      </m:oMath>
      <w:r>
        <w:rPr>
          <w:rFonts w:ascii="Calibri" w:hAnsi="Calibri" w:cs="Calibri"/>
          <w:lang w:val="en-GB"/>
        </w:rPr>
        <w:t xml:space="preserve">  </w:t>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i/>
          <w:iCs/>
          <w:lang w:val="en-GB"/>
        </w:rPr>
        <w:t>Eq. 13</w:t>
      </w:r>
    </w:p>
    <w:p>
      <w:pPr>
        <w:pStyle w:val="17"/>
        <w:spacing w:line="240" w:lineRule="auto"/>
        <w:jc w:val="both"/>
        <w:rPr>
          <w:rFonts w:ascii="Calibri" w:hAnsi="Calibri" w:cs="Calibri"/>
          <w:lang w:val="en-GB"/>
        </w:rPr>
      </w:pPr>
      <w:r>
        <w:rPr>
          <w:rFonts w:ascii="Calibri" w:hAnsi="Calibri" w:cs="Calibri"/>
          <w:lang w:val="en-GB"/>
        </w:rPr>
        <w:t xml:space="preserve">and where </w:t>
      </w:r>
      <m:oMath>
        <m:sSub>
          <m:sSubPr>
            <m:ctrlPr>
              <w:rPr>
                <w:rFonts w:ascii="Cambria Math" w:hAnsi="Cambria Math" w:cs="Calibri"/>
                <w:lang w:val="en-GB"/>
              </w:rPr>
            </m:ctrlPr>
          </m:sSubPr>
          <m:e>
            <m:r>
              <m:rPr>
                <m:sty m:val="p"/>
              </m:rPr>
              <w:rPr>
                <w:rFonts w:ascii="Cambria Math" w:hAnsi="Cambria Math" w:cs="Calibri"/>
                <w:lang w:val="en-GB"/>
              </w:rPr>
              <m:t>C</m:t>
            </m:r>
            <m:ctrlPr>
              <w:rPr>
                <w:rFonts w:ascii="Cambria Math" w:hAnsi="Cambria Math" w:cs="Calibri"/>
                <w:lang w:val="en-GB"/>
              </w:rPr>
            </m:ctrlPr>
          </m:e>
          <m:sub>
            <m:r>
              <m:rPr>
                <m:sty m:val="p"/>
              </m:rPr>
              <w:rPr>
                <w:rFonts w:ascii="Cambria Math" w:hAnsi="Cambria Math" w:cs="Calibri"/>
                <w:lang w:val="en-GB"/>
              </w:rPr>
              <m:t>1,</m:t>
            </m:r>
            <m:r>
              <m:rPr>
                <m:sty m:val="p"/>
              </m:rPr>
              <w:rPr>
                <w:rFonts w:ascii="Calibri" w:hAnsi="Calibri" w:eastAsia="SimSun" w:cs="Calibri"/>
                <w:color w:val="000000"/>
                <w:lang w:val="en-US" w:eastAsia="zh-CN" w:bidi="ar"/>
              </w:rPr>
              <m:t>¬</m:t>
            </m:r>
            <m:r>
              <m:rPr>
                <m:sty m:val="p"/>
              </m:rPr>
              <w:rPr>
                <w:rFonts w:ascii="Cambria Math" w:hAnsi="Cambria Math" w:cs="Calibri"/>
                <w:lang w:val="en-GB"/>
              </w:rPr>
              <m:t>2</m:t>
            </m:r>
            <m:ctrlPr>
              <w:rPr>
                <w:rFonts w:ascii="Cambria Math" w:hAnsi="Cambria Math" w:cs="Calibri"/>
                <w:lang w:val="en-GB"/>
              </w:rPr>
            </m:ctrlPr>
          </m:sub>
        </m:sSub>
      </m:oMath>
      <w:r>
        <w:rPr>
          <w:rFonts w:ascii="Calibri" w:hAnsi="Calibri" w:cs="Calibri"/>
          <w:lang w:val="en-GB"/>
        </w:rPr>
        <w:t xml:space="preserve"> is how often an ABR was detected in session 1 but not in session 2, and vice versa for </w:t>
      </w:r>
      <m:oMath>
        <m:sSub>
          <m:sSubPr>
            <m:ctrlPr>
              <w:rPr>
                <w:rFonts w:ascii="Cambria Math" w:hAnsi="Cambria Math" w:cs="Calibri"/>
                <w:lang w:val="en-GB"/>
              </w:rPr>
            </m:ctrlPr>
          </m:sSubPr>
          <m:e>
            <m:r>
              <m:rPr>
                <m:sty m:val="p"/>
              </m:rPr>
              <w:rPr>
                <w:rFonts w:ascii="Cambria Math" w:hAnsi="Cambria Math" w:cs="Calibri"/>
                <w:lang w:val="en-GB"/>
              </w:rPr>
              <m:t>C</m:t>
            </m:r>
            <m:ctrlPr>
              <w:rPr>
                <w:rFonts w:ascii="Cambria Math" w:hAnsi="Cambria Math" w:cs="Calibri"/>
                <w:lang w:val="en-GB"/>
              </w:rPr>
            </m:ctrlPr>
          </m:e>
          <m:sub>
            <m:r>
              <m:rPr>
                <m:sty m:val="p"/>
              </m:rPr>
              <w:rPr>
                <w:rFonts w:ascii="Calibri" w:hAnsi="Calibri" w:eastAsia="SimSun" w:cs="Calibri"/>
                <w:color w:val="000000"/>
                <w:lang w:val="en-US" w:eastAsia="zh-CN" w:bidi="ar"/>
              </w:rPr>
              <m:t>¬</m:t>
            </m:r>
            <m:r>
              <m:rPr>
                <m:sty m:val="p"/>
              </m:rPr>
              <w:rPr>
                <w:rFonts w:ascii="Cambria Math" w:hAnsi="Cambria Math" w:cs="Calibri"/>
                <w:lang w:val="en-GB"/>
              </w:rPr>
              <m:t>1,2</m:t>
            </m:r>
            <m:ctrlPr>
              <w:rPr>
                <w:rFonts w:ascii="Cambria Math" w:hAnsi="Cambria Math" w:cs="Calibri"/>
                <w:lang w:val="en-GB"/>
              </w:rPr>
            </m:ctrlPr>
          </m:sub>
        </m:sSub>
      </m:oMath>
      <w:r>
        <w:rPr>
          <w:rFonts w:ascii="Calibri" w:hAnsi="Calibri" w:cs="Calibri"/>
          <w:lang w:val="en-GB"/>
        </w:rPr>
        <w:t>. Finally, Cohen’s kappa is given by (</w:t>
      </w:r>
      <w:r>
        <w:rPr>
          <w:rFonts w:ascii="Calibri" w:hAnsi="Calibri"/>
          <w:color w:val="4472C4" w:themeColor="accent5"/>
          <w:lang w:val="en-GB"/>
          <w14:textFill>
            <w14:solidFill>
              <w14:schemeClr w14:val="accent5"/>
            </w14:solidFill>
          </w14:textFill>
        </w:rPr>
        <w:t>Cohen, 1960; McHugh, 2012</w:t>
      </w:r>
      <w:r>
        <w:rPr>
          <w:rFonts w:ascii="Calibri" w:hAnsi="Calibri" w:cs="Calibri"/>
          <w:lang w:val="en-GB"/>
        </w:rPr>
        <w:t>):</w:t>
      </w:r>
    </w:p>
    <w:p>
      <w:pPr>
        <w:pStyle w:val="17"/>
        <w:spacing w:line="240" w:lineRule="auto"/>
        <w:jc w:val="both"/>
        <w:rPr>
          <w:rFonts w:ascii="Calibri" w:hAnsi="Calibri" w:cs="Calibri"/>
          <w:lang w:val="en-GB"/>
        </w:rPr>
      </w:pPr>
      <m:oMath>
        <m:r>
          <m:rPr>
            <m:sty m:val="p"/>
          </m:rPr>
          <w:rPr>
            <w:rFonts w:ascii="Cambria Math" w:hAnsi="Cambria Math" w:cs="Calibri"/>
            <w:lang w:val="en-GB"/>
          </w:rPr>
          <m:t>κ=</m:t>
        </m:r>
        <m:f>
          <m:fPr>
            <m:ctrlPr>
              <w:rPr>
                <w:rFonts w:ascii="Cambria Math" w:hAnsi="Cambria Math" w:cs="Calibri"/>
                <w:lang w:val="en-GB"/>
              </w:rPr>
            </m:ctrlPr>
          </m:fPr>
          <m:num>
            <m:sSub>
              <m:sSubPr>
                <m:ctrlPr>
                  <w:rPr>
                    <w:rFonts w:ascii="Cambria Math" w:hAnsi="Cambria Math" w:cs="Calibri"/>
                    <w:lang w:val="en-GB"/>
                  </w:rPr>
                </m:ctrlPr>
              </m:sSubPr>
              <m:e>
                <m:r>
                  <m:rPr>
                    <m:sty m:val="p"/>
                  </m:rPr>
                  <w:rPr>
                    <w:rFonts w:ascii="Cambria Math" w:hAnsi="Cambria Math" w:cs="Calibri"/>
                    <w:lang w:val="en-GB"/>
                  </w:rPr>
                  <m:t>P</m:t>
                </m:r>
                <m:ctrlPr>
                  <w:rPr>
                    <w:rFonts w:ascii="Cambria Math" w:hAnsi="Cambria Math" w:cs="Calibri"/>
                    <w:lang w:val="en-GB"/>
                  </w:rPr>
                </m:ctrlPr>
              </m:e>
              <m:sub>
                <m:r>
                  <m:rPr>
                    <m:sty m:val="p"/>
                  </m:rPr>
                  <w:rPr>
                    <w:rFonts w:ascii="Cambria Math" w:hAnsi="Cambria Math" w:cs="Calibri"/>
                    <w:lang w:val="en-GB"/>
                  </w:rPr>
                  <m:t>o</m:t>
                </m:r>
                <m:ctrlPr>
                  <w:rPr>
                    <w:rFonts w:ascii="Cambria Math" w:hAnsi="Cambria Math" w:cs="Calibri"/>
                    <w:lang w:val="en-GB"/>
                  </w:rPr>
                </m:ctrlPr>
              </m:sub>
            </m:sSub>
            <m:r>
              <m:rPr>
                <m:sty m:val="p"/>
              </m:rPr>
              <w:rPr>
                <w:rFonts w:ascii="Cambria Math" w:hAnsi="Cambria Math" w:cs="Calibri"/>
                <w:lang w:val="en-GB"/>
              </w:rPr>
              <m:t>−</m:t>
            </m:r>
            <m:sSub>
              <m:sSubPr>
                <m:ctrlPr>
                  <w:rPr>
                    <w:rFonts w:ascii="Cambria Math" w:hAnsi="Cambria Math" w:cs="Calibri"/>
                    <w:lang w:val="en-GB"/>
                  </w:rPr>
                </m:ctrlPr>
              </m:sSubPr>
              <m:e>
                <m:r>
                  <m:rPr>
                    <m:sty m:val="p"/>
                  </m:rPr>
                  <w:rPr>
                    <w:rFonts w:ascii="Cambria Math" w:hAnsi="Cambria Math" w:cs="Calibri"/>
                    <w:lang w:val="en-GB"/>
                  </w:rPr>
                  <m:t>P</m:t>
                </m:r>
                <m:ctrlPr>
                  <w:rPr>
                    <w:rFonts w:ascii="Cambria Math" w:hAnsi="Cambria Math" w:cs="Calibri"/>
                    <w:lang w:val="en-GB"/>
                  </w:rPr>
                </m:ctrlPr>
              </m:e>
              <m:sub>
                <m:r>
                  <m:rPr>
                    <m:sty m:val="p"/>
                  </m:rPr>
                  <w:rPr>
                    <w:rFonts w:ascii="Cambria Math" w:hAnsi="Cambria Math" w:cs="Calibri"/>
                    <w:lang w:val="en-GB"/>
                  </w:rPr>
                  <m:t>c</m:t>
                </m:r>
                <m:ctrlPr>
                  <w:rPr>
                    <w:rFonts w:ascii="Cambria Math" w:hAnsi="Cambria Math" w:cs="Calibri"/>
                    <w:lang w:val="en-GB"/>
                  </w:rPr>
                </m:ctrlPr>
              </m:sub>
            </m:sSub>
            <m:ctrlPr>
              <w:rPr>
                <w:rFonts w:ascii="Cambria Math" w:hAnsi="Cambria Math" w:cs="Calibri"/>
                <w:lang w:val="en-GB"/>
              </w:rPr>
            </m:ctrlPr>
          </m:num>
          <m:den>
            <m:r>
              <m:rPr>
                <m:sty m:val="p"/>
              </m:rPr>
              <w:rPr>
                <w:rFonts w:ascii="Cambria Math" w:hAnsi="Cambria Math" w:cs="Calibri"/>
                <w:lang w:val="en-GB"/>
              </w:rPr>
              <m:t>1−</m:t>
            </m:r>
            <m:sSub>
              <m:sSubPr>
                <m:ctrlPr>
                  <w:rPr>
                    <w:rFonts w:ascii="Cambria Math" w:hAnsi="Cambria Math" w:cs="Calibri"/>
                    <w:lang w:val="en-GB"/>
                  </w:rPr>
                </m:ctrlPr>
              </m:sSubPr>
              <m:e>
                <m:r>
                  <m:rPr>
                    <m:sty m:val="p"/>
                  </m:rPr>
                  <w:rPr>
                    <w:rFonts w:ascii="Cambria Math" w:hAnsi="Cambria Math" w:cs="Calibri"/>
                    <w:lang w:val="en-GB"/>
                  </w:rPr>
                  <m:t>P</m:t>
                </m:r>
                <m:ctrlPr>
                  <w:rPr>
                    <w:rFonts w:ascii="Cambria Math" w:hAnsi="Cambria Math" w:cs="Calibri"/>
                    <w:lang w:val="en-GB"/>
                  </w:rPr>
                </m:ctrlPr>
              </m:e>
              <m:sub>
                <m:r>
                  <m:rPr>
                    <m:sty m:val="p"/>
                  </m:rPr>
                  <w:rPr>
                    <w:rFonts w:ascii="Cambria Math" w:hAnsi="Cambria Math" w:cs="Calibri"/>
                    <w:lang w:val="en-GB"/>
                  </w:rPr>
                  <m:t>c</m:t>
                </m:r>
                <m:ctrlPr>
                  <w:rPr>
                    <w:rFonts w:ascii="Cambria Math" w:hAnsi="Cambria Math" w:cs="Calibri"/>
                    <w:lang w:val="en-GB"/>
                  </w:rPr>
                </m:ctrlPr>
              </m:sub>
            </m:sSub>
            <m:ctrlPr>
              <w:rPr>
                <w:rFonts w:ascii="Cambria Math" w:hAnsi="Cambria Math" w:cs="Calibri"/>
                <w:lang w:val="en-GB"/>
              </w:rPr>
            </m:ctrlPr>
          </m:den>
        </m:f>
      </m:oMath>
      <w:r>
        <w:rPr>
          <w:rFonts w:ascii="Calibri" w:hAnsi="Calibri" w:cs="Calibri"/>
          <w:lang w:val="en-GB"/>
        </w:rPr>
        <w:t xml:space="preserve"> </w:t>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i/>
          <w:iCs/>
          <w:lang w:val="en-GB"/>
        </w:rPr>
        <w:t>Eq. 14</w:t>
      </w:r>
    </w:p>
    <w:p>
      <w:pPr>
        <w:pStyle w:val="17"/>
        <w:spacing w:line="240" w:lineRule="auto"/>
        <w:jc w:val="both"/>
        <w:rPr>
          <w:rFonts w:ascii="Calibri" w:hAnsi="Calibri" w:cs="Calibri"/>
          <w:lang w:val="en-GB"/>
        </w:rPr>
      </w:pPr>
      <w:r>
        <w:rPr>
          <w:rFonts w:ascii="Calibri" w:hAnsi="Calibri" w:cs="Calibri"/>
          <w:lang w:val="en-GB"/>
        </w:rPr>
        <w:t xml:space="preserve">which takes values ranging from -1 to 1, with 1 representing perfect agreement, -1 perfect disagreement, and 0 the amount of agreement expected by chance. </w:t>
      </w:r>
    </w:p>
    <w:p>
      <w:pPr>
        <w:pStyle w:val="17"/>
        <w:spacing w:line="240" w:lineRule="auto"/>
        <w:jc w:val="both"/>
        <w:rPr>
          <w:rFonts w:ascii="Calibri" w:hAnsi="Calibri" w:cs="Calibri"/>
          <w:b/>
          <w:bCs/>
          <w:lang w:val="en-GB"/>
        </w:rPr>
      </w:pPr>
    </w:p>
    <w:tbl>
      <w:tblPr>
        <w:tblStyle w:val="4"/>
        <w:tblW w:w="75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1"/>
        <w:gridCol w:w="897"/>
        <w:gridCol w:w="1009"/>
        <w:gridCol w:w="1133"/>
        <w:gridCol w:w="858"/>
        <w:gridCol w:w="863"/>
        <w:gridCol w:w="971"/>
        <w:gridCol w:w="10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780" w:type="dxa"/>
            <w:gridSpan w:val="4"/>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spacing w:line="240" w:lineRule="auto"/>
              <w:jc w:val="center"/>
              <w:textAlignment w:val="bottom"/>
              <w:rPr>
                <w:rFonts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Intra-test reliability</w:t>
            </w:r>
          </w:p>
        </w:tc>
        <w:tc>
          <w:tcPr>
            <w:tcW w:w="3780" w:type="dxa"/>
            <w:gridSpan w:val="4"/>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spacing w:line="240" w:lineRule="auto"/>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Inter-test reliability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gridSpan w:val="2"/>
            <w:vMerge w:val="restart"/>
            <w:tcBorders>
              <w:top w:val="single" w:color="000000" w:sz="8" w:space="0"/>
              <w:left w:val="single" w:color="000000" w:sz="8" w:space="0"/>
              <w:bottom w:val="nil"/>
              <w:right w:val="nil"/>
            </w:tcBorders>
            <w:shd w:val="clear" w:color="auto" w:fill="F2F2F2"/>
            <w:noWrap/>
            <w:vAlign w:val="bottom"/>
          </w:tcPr>
          <w:p>
            <w:pPr>
              <w:spacing w:line="240" w:lineRule="auto"/>
              <w:jc w:val="center"/>
              <w:rPr>
                <w:rFonts w:hint="default" w:ascii="Calibri" w:hAnsi="Calibri" w:cs="Calibri"/>
                <w:i w:val="0"/>
                <w:iCs w:val="0"/>
                <w:color w:val="000000"/>
                <w:sz w:val="22"/>
                <w:szCs w:val="22"/>
                <w:u w:val="none"/>
              </w:rPr>
            </w:pPr>
          </w:p>
        </w:tc>
        <w:tc>
          <w:tcPr>
            <w:tcW w:w="0" w:type="auto"/>
            <w:gridSpan w:val="2"/>
            <w:tcBorders>
              <w:top w:val="single" w:color="000000" w:sz="8"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S1</w:t>
            </w:r>
          </w:p>
        </w:tc>
        <w:tc>
          <w:tcPr>
            <w:tcW w:w="0" w:type="auto"/>
            <w:gridSpan w:val="2"/>
            <w:vMerge w:val="restart"/>
            <w:tcBorders>
              <w:top w:val="single" w:color="000000" w:sz="8" w:space="0"/>
              <w:left w:val="nil"/>
              <w:bottom w:val="nil"/>
              <w:right w:val="nil"/>
            </w:tcBorders>
            <w:shd w:val="clear" w:color="auto" w:fill="F2F2F2"/>
            <w:noWrap/>
            <w:vAlign w:val="bottom"/>
          </w:tcPr>
          <w:p>
            <w:pPr>
              <w:spacing w:line="240" w:lineRule="auto"/>
              <w:jc w:val="center"/>
              <w:rPr>
                <w:rFonts w:hint="default" w:ascii="Calibri" w:hAnsi="Calibri" w:cs="Calibri"/>
                <w:i w:val="0"/>
                <w:iCs w:val="0"/>
                <w:color w:val="000000"/>
                <w:sz w:val="22"/>
                <w:szCs w:val="22"/>
                <w:u w:val="none"/>
              </w:rPr>
            </w:pPr>
          </w:p>
        </w:tc>
        <w:tc>
          <w:tcPr>
            <w:tcW w:w="0" w:type="auto"/>
            <w:gridSpan w:val="2"/>
            <w:tcBorders>
              <w:top w:val="single" w:color="000000" w:sz="8"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M1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gridSpan w:val="2"/>
            <w:vMerge w:val="continue"/>
            <w:tcBorders>
              <w:top w:val="single" w:color="000000" w:sz="8" w:space="0"/>
              <w:left w:val="single" w:color="000000" w:sz="8" w:space="0"/>
              <w:bottom w:val="nil"/>
              <w:right w:val="nil"/>
            </w:tcBorders>
            <w:shd w:val="clear" w:color="auto" w:fill="F2F2F2"/>
            <w:noWrap/>
            <w:vAlign w:val="bottom"/>
          </w:tcPr>
          <w:p>
            <w:pPr>
              <w:spacing w:line="240" w:lineRule="auto"/>
              <w:jc w:val="center"/>
              <w:rPr>
                <w:rFonts w:hint="default" w:ascii="Calibri" w:hAnsi="Calibri"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lef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Yes</w:t>
            </w:r>
          </w:p>
        </w:tc>
        <w:tc>
          <w:tcPr>
            <w:tcW w:w="0" w:type="auto"/>
            <w:tcBorders>
              <w:top w:val="single" w:color="000000" w:sz="4" w:space="0"/>
              <w:left w:val="single" w:color="000000" w:sz="4" w:space="0"/>
              <w:bottom w:val="single" w:color="000000" w:sz="4" w:space="0"/>
              <w:right w:val="double" w:color="000000" w:sz="4" w:space="0"/>
            </w:tcBorders>
            <w:shd w:val="clear" w:color="auto" w:fill="auto"/>
            <w:noWrap/>
            <w:vAlign w:val="bottom"/>
          </w:tcPr>
          <w:p>
            <w:pPr>
              <w:keepNext w:val="0"/>
              <w:keepLines w:val="0"/>
              <w:widowControl/>
              <w:suppressLineNumbers w:val="0"/>
              <w:spacing w:line="240" w:lineRule="auto"/>
              <w:jc w:val="lef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No</w:t>
            </w:r>
          </w:p>
        </w:tc>
        <w:tc>
          <w:tcPr>
            <w:tcW w:w="0" w:type="auto"/>
            <w:gridSpan w:val="2"/>
            <w:vMerge w:val="continue"/>
            <w:tcBorders>
              <w:top w:val="single" w:color="000000" w:sz="8" w:space="0"/>
              <w:left w:val="nil"/>
              <w:bottom w:val="nil"/>
              <w:right w:val="nil"/>
            </w:tcBorders>
            <w:shd w:val="clear" w:color="auto" w:fill="F2F2F2"/>
            <w:noWrap/>
            <w:vAlign w:val="bottom"/>
          </w:tcPr>
          <w:p>
            <w:pPr>
              <w:spacing w:line="240" w:lineRule="auto"/>
              <w:jc w:val="center"/>
              <w:rPr>
                <w:rFonts w:hint="default" w:ascii="Calibri" w:hAnsi="Calibri"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lef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Yes</w:t>
            </w:r>
          </w:p>
        </w:tc>
        <w:tc>
          <w:tcPr>
            <w:tcW w:w="0" w:type="auto"/>
            <w:tcBorders>
              <w:top w:val="single" w:color="000000" w:sz="4" w:space="0"/>
              <w:left w:val="single" w:color="000000" w:sz="4" w:space="0"/>
              <w:bottom w:val="single" w:color="000000" w:sz="4" w:space="0"/>
              <w:right w:val="single" w:color="000000" w:sz="8" w:space="0"/>
            </w:tcBorders>
            <w:shd w:val="clear" w:color="auto" w:fill="auto"/>
            <w:noWrap/>
            <w:vAlign w:val="bottom"/>
          </w:tcPr>
          <w:p>
            <w:pPr>
              <w:keepNext w:val="0"/>
              <w:keepLines w:val="0"/>
              <w:widowControl/>
              <w:suppressLineNumbers w:val="0"/>
              <w:spacing w:line="240" w:lineRule="auto"/>
              <w:jc w:val="lef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No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S2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lef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Yes</w:t>
            </w:r>
          </w:p>
        </w:tc>
        <w:tc>
          <w:tcPr>
            <w:tcW w:w="0" w:type="auto"/>
            <w:tcBorders>
              <w:top w:val="single" w:color="000000" w:sz="4" w:space="0"/>
              <w:left w:val="single" w:color="000000" w:sz="4" w:space="0"/>
              <w:bottom w:val="nil"/>
              <w:right w:val="nil"/>
            </w:tcBorders>
            <w:shd w:val="clear" w:color="auto" w:fill="auto"/>
            <w:noWrap/>
            <w:vAlign w:val="bottom"/>
          </w:tcPr>
          <w:p>
            <w:pPr>
              <w:keepNext w:val="0"/>
              <w:keepLines w:val="0"/>
              <w:widowControl/>
              <w:suppressLineNumbers w:val="0"/>
              <w:spacing w:line="240" w:lineRule="auto"/>
              <w:jc w:val="left"/>
              <w:textAlignment w:val="bottom"/>
              <w:rPr>
                <w:rFonts w:hint="default" w:ascii="Calibri" w:hAnsi="Calibri" w:cs="Calibri"/>
                <w:i w:val="0"/>
                <w:iCs w:val="0"/>
                <w:color w:val="000000"/>
                <w:sz w:val="22"/>
                <w:szCs w:val="22"/>
                <w:u w:val="none"/>
              </w:rPr>
            </w:pPr>
            <w:r>
              <w:rPr>
                <w:rStyle w:val="28"/>
                <w:rFonts w:eastAsia="SimSun"/>
                <w:lang w:val="en-US" w:eastAsia="zh-CN" w:bidi="ar"/>
              </w:rPr>
              <w:t>C</w:t>
            </w:r>
            <w:r>
              <w:rPr>
                <w:rStyle w:val="29"/>
                <w:rFonts w:eastAsia="SimSun"/>
                <w:lang w:val="en-US" w:eastAsia="zh-CN" w:bidi="ar"/>
              </w:rPr>
              <w:t>1,2</w:t>
            </w:r>
          </w:p>
        </w:tc>
        <w:tc>
          <w:tcPr>
            <w:tcW w:w="0" w:type="auto"/>
            <w:tcBorders>
              <w:top w:val="single" w:color="000000" w:sz="4" w:space="0"/>
              <w:left w:val="nil"/>
              <w:bottom w:val="nil"/>
              <w:right w:val="double" w:color="000000" w:sz="4" w:space="0"/>
            </w:tcBorders>
            <w:shd w:val="clear" w:color="auto" w:fill="auto"/>
            <w:noWrap/>
            <w:vAlign w:val="bottom"/>
          </w:tcPr>
          <w:p>
            <w:pPr>
              <w:keepNext w:val="0"/>
              <w:keepLines w:val="0"/>
              <w:widowControl/>
              <w:suppressLineNumbers w:val="0"/>
              <w:spacing w:line="240" w:lineRule="auto"/>
              <w:jc w:val="left"/>
              <w:textAlignment w:val="bottom"/>
              <w:rPr>
                <w:rFonts w:hint="default" w:ascii="Calibri" w:hAnsi="Calibri" w:cs="Calibri"/>
                <w:i w:val="0"/>
                <w:iCs w:val="0"/>
                <w:color w:val="000000"/>
                <w:sz w:val="22"/>
                <w:szCs w:val="22"/>
                <w:u w:val="none"/>
              </w:rPr>
            </w:pPr>
            <w:r>
              <w:rPr>
                <w:rStyle w:val="28"/>
                <w:rFonts w:eastAsia="SimSun"/>
                <w:lang w:val="en-US" w:eastAsia="zh-CN" w:bidi="ar"/>
              </w:rPr>
              <w:t>C</w:t>
            </w:r>
            <w:r>
              <w:rPr>
                <w:rStyle w:val="28"/>
                <w:rFonts w:eastAsia="SimSun"/>
                <w:vertAlign w:val="subscript"/>
                <w:lang w:val="en-US" w:eastAsia="zh-CN" w:bidi="ar"/>
              </w:rPr>
              <w:t>¬</w:t>
            </w:r>
            <w:r>
              <w:rPr>
                <w:rStyle w:val="29"/>
                <w:rFonts w:eastAsia="SimSun"/>
                <w:lang w:val="en-US" w:eastAsia="zh-CN" w:bidi="ar"/>
              </w:rPr>
              <w:t>1,2</w:t>
            </w:r>
          </w:p>
        </w:tc>
        <w:tc>
          <w:tcPr>
            <w:tcW w:w="0" w:type="auto"/>
            <w:vMerge w:val="restar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lef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Yes</w:t>
            </w:r>
          </w:p>
        </w:tc>
        <w:tc>
          <w:tcPr>
            <w:tcW w:w="0" w:type="auto"/>
            <w:tcBorders>
              <w:top w:val="single" w:color="000000" w:sz="4" w:space="0"/>
              <w:left w:val="single" w:color="000000" w:sz="4" w:space="0"/>
              <w:bottom w:val="nil"/>
              <w:right w:val="nil"/>
            </w:tcBorders>
            <w:shd w:val="clear" w:color="auto" w:fill="auto"/>
            <w:noWrap/>
            <w:vAlign w:val="bottom"/>
          </w:tcPr>
          <w:p>
            <w:pPr>
              <w:keepNext w:val="0"/>
              <w:keepLines w:val="0"/>
              <w:widowControl/>
              <w:suppressLineNumbers w:val="0"/>
              <w:spacing w:line="240" w:lineRule="auto"/>
              <w:jc w:val="left"/>
              <w:textAlignment w:val="bottom"/>
              <w:rPr>
                <w:rFonts w:hint="default" w:ascii="Calibri" w:hAnsi="Calibri" w:cs="Calibri"/>
                <w:i w:val="0"/>
                <w:iCs w:val="0"/>
                <w:color w:val="000000"/>
                <w:sz w:val="22"/>
                <w:szCs w:val="22"/>
                <w:u w:val="none"/>
              </w:rPr>
            </w:pPr>
            <w:r>
              <w:rPr>
                <w:rStyle w:val="28"/>
                <w:rFonts w:eastAsia="SimSun"/>
                <w:lang w:val="en-US" w:eastAsia="zh-CN" w:bidi="ar"/>
              </w:rPr>
              <w:t>C</w:t>
            </w:r>
            <w:r>
              <w:rPr>
                <w:rStyle w:val="29"/>
                <w:rFonts w:eastAsia="SimSun"/>
                <w:lang w:val="en-US" w:eastAsia="zh-CN" w:bidi="ar"/>
              </w:rPr>
              <w:t>1,2</w:t>
            </w:r>
          </w:p>
        </w:tc>
        <w:tc>
          <w:tcPr>
            <w:tcW w:w="0" w:type="auto"/>
            <w:tcBorders>
              <w:top w:val="single" w:color="000000" w:sz="4" w:space="0"/>
              <w:left w:val="nil"/>
              <w:bottom w:val="nil"/>
              <w:right w:val="single" w:color="000000" w:sz="8" w:space="0"/>
            </w:tcBorders>
            <w:shd w:val="clear" w:color="auto" w:fill="auto"/>
            <w:noWrap/>
            <w:vAlign w:val="bottom"/>
          </w:tcPr>
          <w:p>
            <w:pPr>
              <w:keepNext w:val="0"/>
              <w:keepLines w:val="0"/>
              <w:widowControl/>
              <w:suppressLineNumbers w:val="0"/>
              <w:spacing w:line="240" w:lineRule="auto"/>
              <w:jc w:val="left"/>
              <w:textAlignment w:val="bottom"/>
              <w:rPr>
                <w:rFonts w:hint="default" w:ascii="Calibri" w:hAnsi="Calibri" w:cs="Calibri"/>
                <w:i w:val="0"/>
                <w:iCs w:val="0"/>
                <w:color w:val="000000"/>
                <w:sz w:val="22"/>
                <w:szCs w:val="22"/>
                <w:u w:val="none"/>
              </w:rPr>
            </w:pPr>
            <w:r>
              <w:rPr>
                <w:rStyle w:val="28"/>
                <w:rFonts w:eastAsia="SimSun"/>
                <w:lang w:val="en-US" w:eastAsia="zh-CN" w:bidi="ar"/>
              </w:rPr>
              <w:t>C</w:t>
            </w:r>
            <w:r>
              <w:rPr>
                <w:rStyle w:val="28"/>
                <w:rFonts w:eastAsia="SimSun"/>
                <w:vertAlign w:val="subscript"/>
                <w:lang w:val="en-US" w:eastAsia="zh-CN" w:bidi="ar"/>
              </w:rPr>
              <w:t>¬</w:t>
            </w:r>
            <w:r>
              <w:rPr>
                <w:rStyle w:val="29"/>
                <w:rFonts w:eastAsia="SimSun"/>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0" w:type="auto"/>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spacing w:line="240" w:lineRule="auto"/>
              <w:jc w:val="center"/>
              <w:rPr>
                <w:rFonts w:hint="default" w:ascii="Calibri" w:hAnsi="Calibri" w:cs="Calibri"/>
                <w:i w:val="0"/>
                <w:iCs w:val="0"/>
                <w:color w:val="000000"/>
                <w:sz w:val="22"/>
                <w:szCs w:val="22"/>
                <w:u w:val="none"/>
              </w:rPr>
            </w:pPr>
          </w:p>
        </w:tc>
        <w:tc>
          <w:tcPr>
            <w:tcW w:w="0" w:type="auto"/>
            <w:tcBorders>
              <w:top w:val="single" w:color="000000" w:sz="4" w:space="0"/>
              <w:left w:val="single" w:color="000000" w:sz="4" w:space="0"/>
              <w:bottom w:val="single" w:color="000000" w:sz="8" w:space="0"/>
              <w:right w:val="single" w:color="000000" w:sz="4" w:space="0"/>
            </w:tcBorders>
            <w:shd w:val="clear" w:color="auto" w:fill="auto"/>
            <w:noWrap/>
            <w:vAlign w:val="bottom"/>
          </w:tcPr>
          <w:p>
            <w:pPr>
              <w:keepNext w:val="0"/>
              <w:keepLines w:val="0"/>
              <w:widowControl/>
              <w:suppressLineNumbers w:val="0"/>
              <w:spacing w:line="240" w:lineRule="auto"/>
              <w:jc w:val="lef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No</w:t>
            </w:r>
          </w:p>
        </w:tc>
        <w:tc>
          <w:tcPr>
            <w:tcW w:w="0" w:type="auto"/>
            <w:tcBorders>
              <w:top w:val="nil"/>
              <w:left w:val="single" w:color="000000" w:sz="4" w:space="0"/>
              <w:bottom w:val="single" w:color="000000" w:sz="8" w:space="0"/>
              <w:right w:val="nil"/>
            </w:tcBorders>
            <w:shd w:val="clear" w:color="auto" w:fill="auto"/>
            <w:noWrap/>
            <w:vAlign w:val="bottom"/>
          </w:tcPr>
          <w:p>
            <w:pPr>
              <w:keepNext w:val="0"/>
              <w:keepLines w:val="0"/>
              <w:widowControl/>
              <w:suppressLineNumbers w:val="0"/>
              <w:spacing w:line="240" w:lineRule="auto"/>
              <w:jc w:val="left"/>
              <w:textAlignment w:val="bottom"/>
              <w:rPr>
                <w:rFonts w:hint="default" w:ascii="Calibri" w:hAnsi="Calibri" w:cs="Calibri"/>
                <w:i w:val="0"/>
                <w:iCs w:val="0"/>
                <w:color w:val="000000"/>
                <w:sz w:val="22"/>
                <w:szCs w:val="22"/>
                <w:u w:val="none"/>
              </w:rPr>
            </w:pPr>
            <w:r>
              <w:rPr>
                <w:rStyle w:val="28"/>
                <w:rFonts w:eastAsia="SimSun"/>
                <w:lang w:val="en-US" w:eastAsia="zh-CN" w:bidi="ar"/>
              </w:rPr>
              <w:t>C</w:t>
            </w:r>
            <w:r>
              <w:rPr>
                <w:rStyle w:val="29"/>
                <w:rFonts w:eastAsia="SimSun"/>
                <w:lang w:val="en-US" w:eastAsia="zh-CN" w:bidi="ar"/>
              </w:rPr>
              <w:t>1,¬2</w:t>
            </w:r>
          </w:p>
        </w:tc>
        <w:tc>
          <w:tcPr>
            <w:tcW w:w="0" w:type="auto"/>
            <w:tcBorders>
              <w:top w:val="nil"/>
              <w:left w:val="nil"/>
              <w:bottom w:val="single" w:color="000000" w:sz="8" w:space="0"/>
              <w:right w:val="double" w:color="000000" w:sz="4" w:space="0"/>
            </w:tcBorders>
            <w:shd w:val="clear" w:color="auto" w:fill="auto"/>
            <w:noWrap/>
            <w:vAlign w:val="bottom"/>
          </w:tcPr>
          <w:p>
            <w:pPr>
              <w:keepNext w:val="0"/>
              <w:keepLines w:val="0"/>
              <w:widowControl/>
              <w:suppressLineNumbers w:val="0"/>
              <w:spacing w:line="240" w:lineRule="auto"/>
              <w:jc w:val="left"/>
              <w:textAlignment w:val="bottom"/>
              <w:rPr>
                <w:rFonts w:hint="default" w:ascii="Calibri" w:hAnsi="Calibri" w:cs="Calibri"/>
                <w:i w:val="0"/>
                <w:iCs w:val="0"/>
                <w:color w:val="000000"/>
                <w:sz w:val="22"/>
                <w:szCs w:val="22"/>
                <w:u w:val="none"/>
              </w:rPr>
            </w:pPr>
            <w:r>
              <w:rPr>
                <w:rStyle w:val="28"/>
                <w:rFonts w:eastAsia="SimSun"/>
                <w:lang w:val="en-US" w:eastAsia="zh-CN" w:bidi="ar"/>
              </w:rPr>
              <w:t>C</w:t>
            </w:r>
            <w:r>
              <w:rPr>
                <w:rStyle w:val="28"/>
                <w:rFonts w:eastAsia="SimSun"/>
                <w:vertAlign w:val="subscript"/>
                <w:lang w:val="en-US" w:eastAsia="zh-CN" w:bidi="ar"/>
              </w:rPr>
              <w:t>¬</w:t>
            </w:r>
            <w:r>
              <w:rPr>
                <w:rStyle w:val="29"/>
                <w:rFonts w:eastAsia="SimSun"/>
                <w:lang w:val="en-US" w:eastAsia="zh-CN" w:bidi="ar"/>
              </w:rPr>
              <w:t>1,¬2</w:t>
            </w:r>
          </w:p>
        </w:tc>
        <w:tc>
          <w:tcPr>
            <w:tcW w:w="0" w:type="auto"/>
            <w:vMerge w:val="continue"/>
            <w:tcBorders>
              <w:top w:val="single" w:color="000000" w:sz="4" w:space="0"/>
              <w:left w:val="nil"/>
              <w:bottom w:val="single" w:color="000000" w:sz="4" w:space="0"/>
              <w:right w:val="single" w:color="000000" w:sz="4" w:space="0"/>
            </w:tcBorders>
            <w:shd w:val="clear" w:color="auto" w:fill="auto"/>
            <w:noWrap/>
            <w:vAlign w:val="center"/>
          </w:tcPr>
          <w:p>
            <w:pPr>
              <w:spacing w:line="240" w:lineRule="auto"/>
              <w:jc w:val="center"/>
              <w:rPr>
                <w:rFonts w:hint="default" w:ascii="Calibri" w:hAnsi="Calibri" w:cs="Calibri"/>
                <w:i w:val="0"/>
                <w:iCs w:val="0"/>
                <w:color w:val="000000"/>
                <w:sz w:val="22"/>
                <w:szCs w:val="22"/>
                <w:u w:val="none"/>
              </w:rPr>
            </w:pPr>
          </w:p>
        </w:tc>
        <w:tc>
          <w:tcPr>
            <w:tcW w:w="0" w:type="auto"/>
            <w:tcBorders>
              <w:top w:val="single" w:color="000000" w:sz="4" w:space="0"/>
              <w:left w:val="single" w:color="000000" w:sz="4" w:space="0"/>
              <w:bottom w:val="single" w:color="000000" w:sz="8" w:space="0"/>
              <w:right w:val="single" w:color="000000" w:sz="4" w:space="0"/>
            </w:tcBorders>
            <w:shd w:val="clear" w:color="auto" w:fill="auto"/>
            <w:noWrap/>
            <w:vAlign w:val="bottom"/>
          </w:tcPr>
          <w:p>
            <w:pPr>
              <w:keepNext w:val="0"/>
              <w:keepLines w:val="0"/>
              <w:widowControl/>
              <w:suppressLineNumbers w:val="0"/>
              <w:spacing w:line="240" w:lineRule="auto"/>
              <w:jc w:val="lef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No</w:t>
            </w:r>
          </w:p>
        </w:tc>
        <w:tc>
          <w:tcPr>
            <w:tcW w:w="0" w:type="auto"/>
            <w:tcBorders>
              <w:top w:val="nil"/>
              <w:left w:val="single" w:color="000000" w:sz="4" w:space="0"/>
              <w:bottom w:val="single" w:color="000000" w:sz="8" w:space="0"/>
              <w:right w:val="nil"/>
            </w:tcBorders>
            <w:shd w:val="clear" w:color="auto" w:fill="auto"/>
            <w:noWrap/>
            <w:vAlign w:val="bottom"/>
          </w:tcPr>
          <w:p>
            <w:pPr>
              <w:keepNext w:val="0"/>
              <w:keepLines w:val="0"/>
              <w:widowControl/>
              <w:suppressLineNumbers w:val="0"/>
              <w:spacing w:line="240" w:lineRule="auto"/>
              <w:jc w:val="left"/>
              <w:textAlignment w:val="bottom"/>
              <w:rPr>
                <w:rFonts w:hint="default" w:ascii="Calibri" w:hAnsi="Calibri" w:cs="Calibri"/>
                <w:i w:val="0"/>
                <w:iCs w:val="0"/>
                <w:color w:val="000000"/>
                <w:sz w:val="22"/>
                <w:szCs w:val="22"/>
                <w:u w:val="none"/>
              </w:rPr>
            </w:pPr>
            <w:r>
              <w:rPr>
                <w:rStyle w:val="28"/>
                <w:rFonts w:eastAsia="SimSun"/>
                <w:lang w:val="en-US" w:eastAsia="zh-CN" w:bidi="ar"/>
              </w:rPr>
              <w:t>C</w:t>
            </w:r>
            <w:r>
              <w:rPr>
                <w:rStyle w:val="29"/>
                <w:rFonts w:eastAsia="SimSun"/>
                <w:lang w:val="en-US" w:eastAsia="zh-CN" w:bidi="ar"/>
              </w:rPr>
              <w:t>1,¬2</w:t>
            </w:r>
          </w:p>
        </w:tc>
        <w:tc>
          <w:tcPr>
            <w:tcW w:w="0" w:type="auto"/>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spacing w:line="240" w:lineRule="auto"/>
              <w:jc w:val="left"/>
              <w:textAlignment w:val="bottom"/>
              <w:rPr>
                <w:rFonts w:hint="default" w:ascii="Calibri" w:hAnsi="Calibri" w:cs="Calibri"/>
                <w:i w:val="0"/>
                <w:iCs w:val="0"/>
                <w:color w:val="000000"/>
                <w:sz w:val="22"/>
                <w:szCs w:val="22"/>
                <w:u w:val="none"/>
              </w:rPr>
            </w:pPr>
            <w:r>
              <w:rPr>
                <w:rStyle w:val="28"/>
                <w:rFonts w:eastAsia="SimSun"/>
                <w:lang w:val="en-US" w:eastAsia="zh-CN" w:bidi="ar"/>
              </w:rPr>
              <w:t>C</w:t>
            </w:r>
            <w:r>
              <w:rPr>
                <w:rStyle w:val="28"/>
                <w:rFonts w:eastAsia="SimSun"/>
                <w:vertAlign w:val="subscript"/>
                <w:lang w:val="en-US" w:eastAsia="zh-CN" w:bidi="ar"/>
              </w:rPr>
              <w:t>¬</w:t>
            </w:r>
            <w:r>
              <w:rPr>
                <w:rStyle w:val="29"/>
                <w:rFonts w:eastAsia="SimSun"/>
                <w:lang w:val="en-US" w:eastAsia="zh-CN" w:bidi="ar"/>
              </w:rPr>
              <w:t>1,¬2</w:t>
            </w:r>
          </w:p>
        </w:tc>
      </w:tr>
    </w:tbl>
    <w:p>
      <w:pPr>
        <w:pStyle w:val="17"/>
        <w:spacing w:line="240" w:lineRule="auto"/>
        <w:jc w:val="both"/>
        <w:rPr>
          <w:rFonts w:ascii="Calibri" w:hAnsi="Calibri" w:cs="Calibri"/>
          <w:b/>
          <w:bCs/>
          <w:lang w:val="en-GB"/>
        </w:rPr>
      </w:pPr>
    </w:p>
    <w:p>
      <w:pPr>
        <w:pStyle w:val="17"/>
        <w:spacing w:line="240" w:lineRule="auto"/>
        <w:jc w:val="both"/>
        <w:rPr>
          <w:rFonts w:ascii="Calibri" w:hAnsi="Calibri" w:cs="Calibri"/>
          <w:lang w:val="en-GB"/>
        </w:rPr>
      </w:pPr>
      <w:r>
        <w:rPr>
          <w:rFonts w:ascii="Calibri" w:hAnsi="Calibri" w:cs="Calibri"/>
          <w:b/>
          <w:bCs/>
          <w:lang w:val="en-GB"/>
        </w:rPr>
        <w:t>Table 2.</w:t>
      </w:r>
      <w:r>
        <w:rPr>
          <w:rFonts w:ascii="Calibri" w:hAnsi="Calibri" w:cs="Calibri"/>
          <w:lang w:val="en-GB"/>
        </w:rPr>
        <w:t xml:space="preserve"> Tables that were constructed when calculating Cohen’s kappa statistic for the intra- and inter-test reliability assessment. For the intra-test assessment, each table indicates how often an ABR was detected in both session 1 (S1) and session 2 (S2) by some detection method or examiner, and is indicated by </w:t>
      </w:r>
      <m:oMath>
        <m:sSub>
          <m:sSubPr>
            <m:ctrlPr>
              <w:rPr>
                <w:rFonts w:ascii="Cambria Math" w:hAnsi="Cambria Math" w:cs="Calibri"/>
                <w:lang w:val="en-GB"/>
              </w:rPr>
            </m:ctrlPr>
          </m:sSubPr>
          <m:e>
            <m:r>
              <m:rPr>
                <m:sty m:val="p"/>
              </m:rPr>
              <w:rPr>
                <w:rFonts w:ascii="Cambria Math" w:hAnsi="Cambria Math" w:cs="Calibri"/>
                <w:lang w:val="en-GB"/>
              </w:rPr>
              <m:t>C</m:t>
            </m:r>
            <m:ctrlPr>
              <w:rPr>
                <w:rFonts w:ascii="Cambria Math" w:hAnsi="Cambria Math" w:cs="Calibri"/>
                <w:lang w:val="en-GB"/>
              </w:rPr>
            </m:ctrlPr>
          </m:e>
          <m:sub>
            <m:r>
              <m:rPr>
                <m:sty m:val="p"/>
              </m:rPr>
              <w:rPr>
                <w:rFonts w:ascii="Cambria Math" w:hAnsi="Cambria Math" w:cs="Calibri"/>
                <w:lang w:val="en-GB"/>
              </w:rPr>
              <m:t>1,2</m:t>
            </m:r>
            <m:ctrlPr>
              <w:rPr>
                <w:rFonts w:ascii="Cambria Math" w:hAnsi="Cambria Math" w:cs="Calibri"/>
                <w:lang w:val="en-GB"/>
              </w:rPr>
            </m:ctrlPr>
          </m:sub>
        </m:sSub>
      </m:oMath>
      <w:r>
        <w:rPr>
          <w:rFonts w:ascii="Calibri" w:hAnsi="Calibri" w:cs="Calibri"/>
          <w:lang w:val="en-GB"/>
        </w:rPr>
        <w:t xml:space="preserve">. Similarly, </w:t>
      </w:r>
      <m:oMath>
        <m:sSub>
          <m:sSubPr>
            <m:ctrlPr>
              <w:rPr>
                <w:rFonts w:ascii="Cambria Math" w:hAnsi="Cambria Math" w:cs="Calibri"/>
                <w:lang w:val="en-GB"/>
              </w:rPr>
            </m:ctrlPr>
          </m:sSubPr>
          <m:e>
            <m:r>
              <m:rPr>
                <m:sty m:val="p"/>
              </m:rPr>
              <w:rPr>
                <w:rFonts w:ascii="Cambria Math" w:hAnsi="Cambria Math" w:cs="Calibri"/>
                <w:lang w:val="en-GB"/>
              </w:rPr>
              <m:t>C</m:t>
            </m:r>
            <m:ctrlPr>
              <w:rPr>
                <w:rFonts w:ascii="Cambria Math" w:hAnsi="Cambria Math" w:cs="Calibri"/>
                <w:lang w:val="en-GB"/>
              </w:rPr>
            </m:ctrlPr>
          </m:e>
          <m:sub>
            <m:r>
              <m:rPr>
                <m:sty m:val="p"/>
              </m:rPr>
              <w:rPr>
                <w:rFonts w:ascii="Calibri" w:hAnsi="Calibri" w:eastAsia="SimSun" w:cs="Calibri"/>
                <w:color w:val="000000"/>
                <w:lang w:val="en-US" w:eastAsia="zh-CN" w:bidi="ar"/>
              </w:rPr>
              <m:t>¬</m:t>
            </m:r>
            <m:r>
              <m:rPr>
                <m:sty m:val="p"/>
              </m:rPr>
              <w:rPr>
                <w:rFonts w:ascii="Cambria Math" w:hAnsi="Cambria Math" w:cs="Calibri"/>
                <w:lang w:val="en-GB"/>
              </w:rPr>
              <m:t>1,</m:t>
            </m:r>
            <m:r>
              <m:rPr>
                <m:sty m:val="p"/>
              </m:rPr>
              <w:rPr>
                <w:rFonts w:ascii="Calibri" w:hAnsi="Calibri" w:eastAsia="SimSun" w:cs="Calibri"/>
                <w:color w:val="000000"/>
                <w:lang w:val="en-US" w:eastAsia="zh-CN" w:bidi="ar"/>
              </w:rPr>
              <m:t>¬</m:t>
            </m:r>
            <m:r>
              <m:rPr>
                <m:sty m:val="p"/>
              </m:rPr>
              <w:rPr>
                <w:rFonts w:ascii="Cambria Math" w:hAnsi="Cambria Math" w:cs="Calibri"/>
                <w:lang w:val="en-GB"/>
              </w:rPr>
              <m:t>2</m:t>
            </m:r>
            <m:ctrlPr>
              <w:rPr>
                <w:rFonts w:ascii="Cambria Math" w:hAnsi="Cambria Math" w:cs="Calibri"/>
                <w:lang w:val="en-GB"/>
              </w:rPr>
            </m:ctrlPr>
          </m:sub>
        </m:sSub>
      </m:oMath>
      <w:r>
        <w:rPr>
          <w:rFonts w:ascii="Calibri" w:hAnsi="Calibri" w:cs="Calibri"/>
          <w:lang w:val="en-GB"/>
        </w:rPr>
        <w:t xml:space="preserve"> indicates how often an ABR was not detected in both S1 and S2, </w:t>
      </w:r>
      <m:oMath>
        <m:sSub>
          <m:sSubPr>
            <m:ctrlPr>
              <w:rPr>
                <w:rFonts w:ascii="Cambria Math" w:hAnsi="Cambria Math" w:cs="Calibri"/>
                <w:lang w:val="en-GB"/>
              </w:rPr>
            </m:ctrlPr>
          </m:sSubPr>
          <m:e>
            <m:r>
              <m:rPr>
                <m:sty m:val="p"/>
              </m:rPr>
              <w:rPr>
                <w:rFonts w:ascii="Cambria Math" w:hAnsi="Cambria Math" w:cs="Calibri"/>
                <w:lang w:val="en-GB"/>
              </w:rPr>
              <m:t>C</m:t>
            </m:r>
            <m:ctrlPr>
              <w:rPr>
                <w:rFonts w:ascii="Cambria Math" w:hAnsi="Cambria Math" w:cs="Calibri"/>
                <w:lang w:val="en-GB"/>
              </w:rPr>
            </m:ctrlPr>
          </m:e>
          <m:sub>
            <m:r>
              <m:rPr>
                <m:sty m:val="p"/>
              </m:rPr>
              <w:rPr>
                <w:rFonts w:ascii="Cambria Math" w:hAnsi="Cambria Math" w:cs="Calibri"/>
                <w:lang w:val="en-GB"/>
              </w:rPr>
              <m:t>1,</m:t>
            </m:r>
            <m:r>
              <m:rPr>
                <m:sty m:val="p"/>
              </m:rPr>
              <w:rPr>
                <w:rFonts w:ascii="Calibri" w:hAnsi="Calibri" w:eastAsia="SimSun" w:cs="Calibri"/>
                <w:color w:val="000000"/>
                <w:lang w:val="en-US" w:eastAsia="zh-CN" w:bidi="ar"/>
              </w:rPr>
              <m:t>¬</m:t>
            </m:r>
            <m:r>
              <m:rPr>
                <m:sty m:val="p"/>
              </m:rPr>
              <w:rPr>
                <w:rFonts w:ascii="Cambria Math" w:hAnsi="Cambria Math" w:cs="Calibri"/>
                <w:lang w:val="en-GB"/>
              </w:rPr>
              <m:t>2</m:t>
            </m:r>
            <m:ctrlPr>
              <w:rPr>
                <w:rFonts w:ascii="Cambria Math" w:hAnsi="Cambria Math" w:cs="Calibri"/>
                <w:lang w:val="en-GB"/>
              </w:rPr>
            </m:ctrlPr>
          </m:sub>
        </m:sSub>
      </m:oMath>
      <w:r>
        <w:rPr>
          <w:rFonts w:ascii="Calibri" w:hAnsi="Calibri" w:cs="Calibri"/>
          <w:lang w:val="en-GB"/>
        </w:rPr>
        <w:t xml:space="preserve"> is how often an ABR was detected in S1 but not in S2, and vice versa for </w:t>
      </w:r>
      <m:oMath>
        <m:sSub>
          <m:sSubPr>
            <m:ctrlPr>
              <w:rPr>
                <w:rFonts w:ascii="Cambria Math" w:hAnsi="Cambria Math" w:cs="Calibri"/>
                <w:lang w:val="en-GB"/>
              </w:rPr>
            </m:ctrlPr>
          </m:sSubPr>
          <m:e>
            <m:r>
              <m:rPr>
                <m:sty m:val="p"/>
              </m:rPr>
              <w:rPr>
                <w:rFonts w:ascii="Cambria Math" w:hAnsi="Cambria Math" w:cs="Calibri"/>
                <w:lang w:val="en-GB"/>
              </w:rPr>
              <m:t>C</m:t>
            </m:r>
            <m:ctrlPr>
              <w:rPr>
                <w:rFonts w:ascii="Cambria Math" w:hAnsi="Cambria Math" w:cs="Calibri"/>
                <w:lang w:val="en-GB"/>
              </w:rPr>
            </m:ctrlPr>
          </m:e>
          <m:sub>
            <m:r>
              <m:rPr>
                <m:sty m:val="p"/>
              </m:rPr>
              <w:rPr>
                <w:rFonts w:ascii="Calibri" w:hAnsi="Calibri" w:eastAsia="SimSun" w:cs="Calibri"/>
                <w:color w:val="000000"/>
                <w:lang w:val="en-US" w:eastAsia="zh-CN" w:bidi="ar"/>
              </w:rPr>
              <m:t>¬</m:t>
            </m:r>
            <m:r>
              <m:rPr>
                <m:sty m:val="p"/>
              </m:rPr>
              <w:rPr>
                <w:rFonts w:ascii="Cambria Math" w:hAnsi="Cambria Math" w:cs="Calibri"/>
                <w:lang w:val="en-GB"/>
              </w:rPr>
              <m:t>1,2</m:t>
            </m:r>
            <m:ctrlPr>
              <w:rPr>
                <w:rFonts w:ascii="Cambria Math" w:hAnsi="Cambria Math" w:cs="Calibri"/>
                <w:lang w:val="en-GB"/>
              </w:rPr>
            </m:ctrlPr>
          </m:sub>
        </m:sSub>
      </m:oMath>
      <w:r>
        <w:rPr>
          <w:rFonts w:ascii="Calibri" w:hAnsi="Calibri" w:cs="Calibri"/>
          <w:lang w:val="en-GB"/>
        </w:rPr>
        <w:t xml:space="preserve">. For the inter-test assessment, the same notation was used, except that no distinction was made between test sessions. </w:t>
      </w:r>
      <m:oMath>
        <m:sSub>
          <m:sSubPr>
            <m:ctrlPr>
              <w:rPr>
                <w:rFonts w:ascii="Cambria Math" w:hAnsi="Cambria Math" w:cs="Calibri"/>
                <w:lang w:val="en-GB"/>
              </w:rPr>
            </m:ctrlPr>
          </m:sSubPr>
          <m:e>
            <m:r>
              <m:rPr>
                <m:sty m:val="p"/>
              </m:rPr>
              <w:rPr>
                <w:rFonts w:ascii="Cambria Math" w:hAnsi="Cambria Math" w:cs="Calibri"/>
                <w:lang w:val="en-GB"/>
              </w:rPr>
              <m:t>C</m:t>
            </m:r>
            <m:ctrlPr>
              <w:rPr>
                <w:rFonts w:ascii="Cambria Math" w:hAnsi="Cambria Math" w:cs="Calibri"/>
                <w:lang w:val="en-GB"/>
              </w:rPr>
            </m:ctrlPr>
          </m:e>
          <m:sub>
            <m:r>
              <m:rPr>
                <m:sty m:val="p"/>
              </m:rPr>
              <w:rPr>
                <w:rFonts w:ascii="Cambria Math" w:hAnsi="Cambria Math" w:cs="Calibri"/>
                <w:lang w:val="en-GB"/>
              </w:rPr>
              <m:t>1,2</m:t>
            </m:r>
            <m:ctrlPr>
              <w:rPr>
                <w:rFonts w:ascii="Cambria Math" w:hAnsi="Cambria Math" w:cs="Calibri"/>
                <w:lang w:val="en-GB"/>
              </w:rPr>
            </m:ctrlPr>
          </m:sub>
        </m:sSub>
      </m:oMath>
      <w:r>
        <w:rPr>
          <w:rFonts w:ascii="Calibri" w:hAnsi="Calibri" w:cs="Calibri"/>
          <w:lang w:val="en-GB"/>
        </w:rPr>
        <w:t xml:space="preserve"> is now how often both method 1 (M1) and method 2 (M2) agreed that a CAEP was present, </w:t>
      </w:r>
      <m:oMath>
        <m:sSub>
          <m:sSubPr>
            <m:ctrlPr>
              <w:rPr>
                <w:rFonts w:ascii="Cambria Math" w:hAnsi="Cambria Math" w:cs="Calibri"/>
                <w:lang w:val="en-GB"/>
              </w:rPr>
            </m:ctrlPr>
          </m:sSubPr>
          <m:e>
            <m:r>
              <m:rPr>
                <m:sty m:val="p"/>
              </m:rPr>
              <w:rPr>
                <w:rFonts w:ascii="Cambria Math" w:hAnsi="Cambria Math" w:cs="Calibri"/>
                <w:lang w:val="en-GB"/>
              </w:rPr>
              <m:t>C</m:t>
            </m:r>
            <m:ctrlPr>
              <w:rPr>
                <w:rFonts w:ascii="Cambria Math" w:hAnsi="Cambria Math" w:cs="Calibri"/>
                <w:lang w:val="en-GB"/>
              </w:rPr>
            </m:ctrlPr>
          </m:e>
          <m:sub>
            <m:r>
              <m:rPr>
                <m:sty m:val="p"/>
              </m:rPr>
              <w:rPr>
                <w:rFonts w:ascii="Calibri" w:hAnsi="Calibri" w:eastAsia="SimSun" w:cs="Calibri"/>
                <w:color w:val="000000"/>
                <w:lang w:val="en-US" w:eastAsia="zh-CN" w:bidi="ar"/>
              </w:rPr>
              <m:t>¬</m:t>
            </m:r>
            <m:r>
              <m:rPr>
                <m:sty m:val="p"/>
              </m:rPr>
              <w:rPr>
                <w:rFonts w:ascii="Cambria Math" w:hAnsi="Cambria Math" w:cs="Calibri"/>
                <w:lang w:val="en-GB"/>
              </w:rPr>
              <m:t>1,</m:t>
            </m:r>
            <m:r>
              <m:rPr>
                <m:sty m:val="p"/>
              </m:rPr>
              <w:rPr>
                <w:rFonts w:ascii="Calibri" w:hAnsi="Calibri" w:eastAsia="SimSun" w:cs="Calibri"/>
                <w:color w:val="000000"/>
                <w:lang w:val="en-US" w:eastAsia="zh-CN" w:bidi="ar"/>
              </w:rPr>
              <m:t>¬</m:t>
            </m:r>
            <m:r>
              <m:rPr>
                <m:sty m:val="p"/>
              </m:rPr>
              <w:rPr>
                <w:rFonts w:ascii="Cambria Math" w:hAnsi="Cambria Math" w:cs="Calibri"/>
                <w:lang w:val="en-GB"/>
              </w:rPr>
              <m:t>2</m:t>
            </m:r>
            <m:ctrlPr>
              <w:rPr>
                <w:rFonts w:ascii="Cambria Math" w:hAnsi="Cambria Math" w:cs="Calibri"/>
                <w:lang w:val="en-GB"/>
              </w:rPr>
            </m:ctrlPr>
          </m:sub>
        </m:sSub>
      </m:oMath>
      <w:r>
        <w:rPr>
          <w:rFonts w:ascii="Calibri" w:hAnsi="Calibri" w:cs="Calibri"/>
          <w:lang w:val="en-GB"/>
        </w:rPr>
        <w:t xml:space="preserve"> is how often both M1 and M2 agreed that a CAEP was not present, </w:t>
      </w:r>
      <m:oMath>
        <m:sSub>
          <m:sSubPr>
            <m:ctrlPr>
              <w:rPr>
                <w:rFonts w:ascii="Cambria Math" w:hAnsi="Cambria Math" w:cs="Calibri"/>
                <w:lang w:val="en-GB"/>
              </w:rPr>
            </m:ctrlPr>
          </m:sSubPr>
          <m:e>
            <m:r>
              <m:rPr>
                <m:sty m:val="p"/>
              </m:rPr>
              <w:rPr>
                <w:rFonts w:ascii="Cambria Math" w:hAnsi="Cambria Math" w:cs="Calibri"/>
                <w:lang w:val="en-GB"/>
              </w:rPr>
              <m:t>C</m:t>
            </m:r>
            <m:ctrlPr>
              <w:rPr>
                <w:rFonts w:ascii="Cambria Math" w:hAnsi="Cambria Math" w:cs="Calibri"/>
                <w:lang w:val="en-GB"/>
              </w:rPr>
            </m:ctrlPr>
          </m:e>
          <m:sub>
            <m:r>
              <m:rPr>
                <m:sty m:val="p"/>
              </m:rPr>
              <w:rPr>
                <w:rFonts w:ascii="Cambria Math" w:hAnsi="Cambria Math" w:cs="Calibri"/>
                <w:lang w:val="en-GB"/>
              </w:rPr>
              <m:t>1,</m:t>
            </m:r>
            <m:r>
              <m:rPr>
                <m:sty m:val="p"/>
              </m:rPr>
              <w:rPr>
                <w:rFonts w:ascii="Calibri" w:hAnsi="Calibri" w:eastAsia="SimSun" w:cs="Calibri"/>
                <w:color w:val="000000"/>
                <w:lang w:val="en-US" w:eastAsia="zh-CN" w:bidi="ar"/>
              </w:rPr>
              <m:t>¬</m:t>
            </m:r>
            <m:r>
              <m:rPr>
                <m:sty m:val="p"/>
              </m:rPr>
              <w:rPr>
                <w:rFonts w:ascii="Cambria Math" w:hAnsi="Cambria Math" w:cs="Calibri"/>
                <w:lang w:val="en-GB"/>
              </w:rPr>
              <m:t>2</m:t>
            </m:r>
            <m:ctrlPr>
              <w:rPr>
                <w:rFonts w:ascii="Cambria Math" w:hAnsi="Cambria Math" w:cs="Calibri"/>
                <w:lang w:val="en-GB"/>
              </w:rPr>
            </m:ctrlPr>
          </m:sub>
        </m:sSub>
      </m:oMath>
      <w:r>
        <w:rPr>
          <w:rFonts w:ascii="Calibri" w:hAnsi="Calibri" w:cs="Calibri"/>
          <w:lang w:val="en-GB"/>
        </w:rPr>
        <w:t xml:space="preserve"> is how often M1 detected a CAEP when M2 did not, and vice versa for </w:t>
      </w:r>
      <m:oMath>
        <m:sSub>
          <m:sSubPr>
            <m:ctrlPr>
              <w:rPr>
                <w:rFonts w:ascii="Cambria Math" w:hAnsi="Cambria Math" w:cs="Calibri"/>
                <w:lang w:val="en-GB"/>
              </w:rPr>
            </m:ctrlPr>
          </m:sSubPr>
          <m:e>
            <m:r>
              <m:rPr>
                <m:sty m:val="p"/>
              </m:rPr>
              <w:rPr>
                <w:rFonts w:ascii="Cambria Math" w:hAnsi="Cambria Math" w:cs="Calibri"/>
                <w:lang w:val="en-GB"/>
              </w:rPr>
              <m:t>C</m:t>
            </m:r>
            <m:ctrlPr>
              <w:rPr>
                <w:rFonts w:ascii="Cambria Math" w:hAnsi="Cambria Math" w:cs="Calibri"/>
                <w:lang w:val="en-GB"/>
              </w:rPr>
            </m:ctrlPr>
          </m:e>
          <m:sub>
            <m:r>
              <m:rPr>
                <m:sty m:val="p"/>
              </m:rPr>
              <w:rPr>
                <w:rFonts w:ascii="Calibri" w:hAnsi="Calibri" w:eastAsia="SimSun" w:cs="Calibri"/>
                <w:color w:val="000000"/>
                <w:lang w:val="en-US" w:eastAsia="zh-CN" w:bidi="ar"/>
              </w:rPr>
              <m:t>¬</m:t>
            </m:r>
            <m:r>
              <m:rPr>
                <m:sty m:val="p"/>
              </m:rPr>
              <w:rPr>
                <w:rFonts w:ascii="Cambria Math" w:hAnsi="Cambria Math" w:cs="Calibri"/>
                <w:lang w:val="en-GB"/>
              </w:rPr>
              <m:t>1,2</m:t>
            </m:r>
            <m:ctrlPr>
              <w:rPr>
                <w:rFonts w:ascii="Cambria Math" w:hAnsi="Cambria Math" w:cs="Calibri"/>
                <w:lang w:val="en-GB"/>
              </w:rPr>
            </m:ctrlPr>
          </m:sub>
        </m:sSub>
      </m:oMath>
      <w:r>
        <w:rPr>
          <w:rFonts w:ascii="Calibri" w:hAnsi="Calibri" w:cs="Calibri"/>
          <w:lang w:val="en-GB"/>
        </w:rPr>
        <w:t>.</w:t>
      </w:r>
    </w:p>
    <w:p>
      <w:pPr>
        <w:pStyle w:val="17"/>
        <w:spacing w:line="240" w:lineRule="auto"/>
        <w:jc w:val="both"/>
        <w:rPr>
          <w:rFonts w:ascii="Calibri" w:hAnsi="Calibri" w:cs="Calibri"/>
          <w:lang w:val="en-GB"/>
        </w:rPr>
      </w:pPr>
    </w:p>
    <w:p>
      <w:pPr>
        <w:pStyle w:val="17"/>
        <w:spacing w:line="240" w:lineRule="auto"/>
        <w:jc w:val="both"/>
        <w:rPr>
          <w:rFonts w:ascii="Calibri" w:hAnsi="Calibri" w:cs="Calibri"/>
          <w:u w:val="single"/>
          <w:lang w:val="en-GB"/>
        </w:rPr>
      </w:pPr>
      <w:r>
        <w:rPr>
          <w:rFonts w:ascii="Calibri" w:hAnsi="Calibri" w:cs="Calibri"/>
          <w:u w:val="single"/>
          <w:lang w:val="en-GB"/>
        </w:rPr>
        <w:t>Inter-test reliability</w:t>
      </w:r>
    </w:p>
    <w:p>
      <w:pPr>
        <w:pStyle w:val="17"/>
        <w:spacing w:line="240" w:lineRule="auto"/>
        <w:jc w:val="both"/>
        <w:rPr>
          <w:rFonts w:ascii="Calibri" w:hAnsi="Calibri" w:cs="Calibri"/>
          <w:lang w:val="en-GB"/>
        </w:rPr>
      </w:pPr>
      <w:r>
        <w:rPr>
          <w:rFonts w:ascii="Calibri" w:hAnsi="Calibri" w:cs="Calibri"/>
          <w:lang w:val="en-GB"/>
        </w:rPr>
        <w:t xml:space="preserve">Data for the assessment again comprised the infant CAEP recordings, except that no distinction was made between test sessions. For the inter-test assessment, Cohen’s kappa represents the extent to which detection methods and/or examiners agreed on whether a CAEP was present or not. It is again helpful to first construct Table 2 (right panel); Note that </w:t>
      </w:r>
      <m:oMath>
        <m:sSub>
          <m:sSubPr>
            <m:ctrlPr>
              <w:rPr>
                <w:rFonts w:ascii="Cambria Math" w:hAnsi="Cambria Math" w:cs="Calibri"/>
                <w:lang w:val="en-GB"/>
              </w:rPr>
            </m:ctrlPr>
          </m:sSubPr>
          <m:e>
            <m:r>
              <m:rPr>
                <m:sty m:val="p"/>
              </m:rPr>
              <w:rPr>
                <w:rFonts w:ascii="Cambria Math" w:hAnsi="Cambria Math" w:cs="Calibri"/>
                <w:lang w:val="en-GB"/>
              </w:rPr>
              <m:t>C</m:t>
            </m:r>
            <m:ctrlPr>
              <w:rPr>
                <w:rFonts w:ascii="Cambria Math" w:hAnsi="Cambria Math" w:cs="Calibri"/>
                <w:lang w:val="en-GB"/>
              </w:rPr>
            </m:ctrlPr>
          </m:e>
          <m:sub>
            <m:r>
              <m:rPr>
                <m:sty m:val="p"/>
              </m:rPr>
              <w:rPr>
                <w:rFonts w:ascii="Cambria Math" w:hAnsi="Cambria Math" w:cs="Calibri"/>
                <w:lang w:val="en-GB"/>
              </w:rPr>
              <m:t>1,2</m:t>
            </m:r>
            <m:ctrlPr>
              <w:rPr>
                <w:rFonts w:ascii="Cambria Math" w:hAnsi="Cambria Math" w:cs="Calibri"/>
                <w:lang w:val="en-GB"/>
              </w:rPr>
            </m:ctrlPr>
          </m:sub>
        </m:sSub>
      </m:oMath>
      <w:r>
        <w:rPr>
          <w:rFonts w:ascii="Calibri" w:hAnsi="Calibri" w:cs="Calibri"/>
          <w:lang w:val="en-GB"/>
        </w:rPr>
        <w:t xml:space="preserve"> now refers to the number of ABRs that were detected by both methods and/or examiners, and similarly for </w:t>
      </w:r>
      <m:oMath>
        <m:sSub>
          <m:sSubPr>
            <m:ctrlPr>
              <w:rPr>
                <w:rFonts w:ascii="Cambria Math" w:hAnsi="Cambria Math" w:cs="Calibri"/>
                <w:lang w:val="en-GB"/>
              </w:rPr>
            </m:ctrlPr>
          </m:sSubPr>
          <m:e>
            <m:r>
              <m:rPr>
                <m:sty m:val="p"/>
              </m:rPr>
              <w:rPr>
                <w:rFonts w:ascii="Cambria Math" w:hAnsi="Cambria Math" w:cs="Calibri"/>
                <w:lang w:val="en-GB"/>
              </w:rPr>
              <m:t>C</m:t>
            </m:r>
            <m:ctrlPr>
              <w:rPr>
                <w:rFonts w:ascii="Cambria Math" w:hAnsi="Cambria Math" w:cs="Calibri"/>
                <w:lang w:val="en-GB"/>
              </w:rPr>
            </m:ctrlPr>
          </m:e>
          <m:sub>
            <m:r>
              <m:rPr>
                <m:sty m:val="p"/>
              </m:rPr>
              <w:rPr>
                <w:rFonts w:ascii="Calibri" w:hAnsi="Calibri" w:eastAsia="SimSun" w:cs="Calibri"/>
                <w:color w:val="000000"/>
                <w:lang w:val="en-US" w:eastAsia="zh-CN" w:bidi="ar"/>
              </w:rPr>
              <m:t>¬</m:t>
            </m:r>
            <m:r>
              <m:rPr>
                <m:sty m:val="p"/>
              </m:rPr>
              <w:rPr>
                <w:rFonts w:ascii="Cambria Math" w:hAnsi="Cambria Math" w:cs="Calibri"/>
                <w:lang w:val="en-GB"/>
              </w:rPr>
              <m:t>1,</m:t>
            </m:r>
            <m:r>
              <m:rPr>
                <m:sty m:val="p"/>
              </m:rPr>
              <w:rPr>
                <w:rFonts w:ascii="Calibri" w:hAnsi="Calibri" w:eastAsia="SimSun" w:cs="Calibri"/>
                <w:color w:val="000000"/>
                <w:lang w:val="en-US" w:eastAsia="zh-CN" w:bidi="ar"/>
              </w:rPr>
              <m:t>¬</m:t>
            </m:r>
            <m:r>
              <m:rPr>
                <m:sty m:val="p"/>
              </m:rPr>
              <w:rPr>
                <w:rFonts w:ascii="Cambria Math" w:hAnsi="Cambria Math" w:cs="Calibri"/>
                <w:lang w:val="en-GB"/>
              </w:rPr>
              <m:t>2</m:t>
            </m:r>
            <m:ctrlPr>
              <w:rPr>
                <w:rFonts w:ascii="Cambria Math" w:hAnsi="Cambria Math" w:cs="Calibri"/>
                <w:lang w:val="en-GB"/>
              </w:rPr>
            </m:ctrlPr>
          </m:sub>
        </m:sSub>
      </m:oMath>
      <w:r>
        <w:rPr>
          <w:rFonts w:ascii="Calibri" w:hAnsi="Calibri" w:cs="Calibri"/>
          <w:lang w:val="en-GB"/>
        </w:rPr>
        <w:t xml:space="preserve">,  </w:t>
      </w:r>
      <m:oMath>
        <m:sSub>
          <m:sSubPr>
            <m:ctrlPr>
              <w:rPr>
                <w:rFonts w:ascii="Cambria Math" w:hAnsi="Cambria Math" w:cs="Calibri"/>
                <w:lang w:val="en-GB"/>
              </w:rPr>
            </m:ctrlPr>
          </m:sSubPr>
          <m:e>
            <m:r>
              <m:rPr>
                <m:sty m:val="p"/>
              </m:rPr>
              <w:rPr>
                <w:rFonts w:ascii="Cambria Math" w:hAnsi="Cambria Math" w:cs="Calibri"/>
                <w:lang w:val="en-GB"/>
              </w:rPr>
              <m:t>C</m:t>
            </m:r>
            <m:ctrlPr>
              <w:rPr>
                <w:rFonts w:ascii="Cambria Math" w:hAnsi="Cambria Math" w:cs="Calibri"/>
                <w:lang w:val="en-GB"/>
              </w:rPr>
            </m:ctrlPr>
          </m:e>
          <m:sub>
            <m:r>
              <m:rPr>
                <m:sty m:val="p"/>
              </m:rPr>
              <w:rPr>
                <w:rFonts w:ascii="Cambria Math" w:hAnsi="Cambria Math" w:cs="Calibri"/>
                <w:lang w:val="en-GB"/>
              </w:rPr>
              <m:t>1,</m:t>
            </m:r>
            <m:r>
              <m:rPr>
                <m:sty m:val="p"/>
              </m:rPr>
              <w:rPr>
                <w:rFonts w:ascii="Calibri" w:hAnsi="Calibri" w:eastAsia="SimSun" w:cs="Calibri"/>
                <w:color w:val="000000"/>
                <w:lang w:val="en-US" w:eastAsia="zh-CN" w:bidi="ar"/>
              </w:rPr>
              <m:t>¬</m:t>
            </m:r>
            <m:r>
              <m:rPr>
                <m:sty m:val="p"/>
              </m:rPr>
              <w:rPr>
                <w:rFonts w:ascii="Cambria Math" w:hAnsi="Cambria Math" w:cs="Calibri"/>
                <w:lang w:val="en-GB"/>
              </w:rPr>
              <m:t>2</m:t>
            </m:r>
            <m:ctrlPr>
              <w:rPr>
                <w:rFonts w:ascii="Cambria Math" w:hAnsi="Cambria Math" w:cs="Calibri"/>
                <w:lang w:val="en-GB"/>
              </w:rPr>
            </m:ctrlPr>
          </m:sub>
        </m:sSub>
      </m:oMath>
      <w:r>
        <w:rPr>
          <w:rFonts w:ascii="Calibri" w:hAnsi="Calibri" w:cs="Calibri"/>
          <w:lang w:val="en-GB"/>
        </w:rPr>
        <w:t xml:space="preserve">, and </w:t>
      </w:r>
      <m:oMath>
        <m:sSub>
          <m:sSubPr>
            <m:ctrlPr>
              <w:rPr>
                <w:rFonts w:ascii="Cambria Math" w:hAnsi="Cambria Math" w:cs="Calibri"/>
                <w:lang w:val="en-GB"/>
              </w:rPr>
            </m:ctrlPr>
          </m:sSubPr>
          <m:e>
            <m:r>
              <m:rPr>
                <m:sty m:val="p"/>
              </m:rPr>
              <w:rPr>
                <w:rFonts w:ascii="Cambria Math" w:hAnsi="Cambria Math" w:cs="Calibri"/>
                <w:lang w:val="en-GB"/>
              </w:rPr>
              <m:t>C</m:t>
            </m:r>
            <m:ctrlPr>
              <w:rPr>
                <w:rFonts w:ascii="Cambria Math" w:hAnsi="Cambria Math" w:cs="Calibri"/>
                <w:lang w:val="en-GB"/>
              </w:rPr>
            </m:ctrlPr>
          </m:e>
          <m:sub>
            <m:r>
              <m:rPr>
                <m:sty m:val="p"/>
              </m:rPr>
              <w:rPr>
                <w:rFonts w:ascii="Calibri" w:hAnsi="Calibri" w:eastAsia="SimSun" w:cs="Calibri"/>
                <w:color w:val="000000"/>
                <w:lang w:val="en-US" w:eastAsia="zh-CN" w:bidi="ar"/>
              </w:rPr>
              <m:t>¬</m:t>
            </m:r>
            <m:r>
              <m:rPr>
                <m:sty m:val="p"/>
              </m:rPr>
              <w:rPr>
                <w:rFonts w:ascii="Cambria Math" w:hAnsi="Cambria Math" w:cs="Calibri"/>
                <w:lang w:val="en-GB"/>
              </w:rPr>
              <m:t>1,2</m:t>
            </m:r>
            <m:ctrlPr>
              <w:rPr>
                <w:rFonts w:ascii="Cambria Math" w:hAnsi="Cambria Math" w:cs="Calibri"/>
                <w:lang w:val="en-GB"/>
              </w:rPr>
            </m:ctrlPr>
          </m:sub>
        </m:sSub>
      </m:oMath>
      <w:r>
        <w:rPr>
          <w:rFonts w:ascii="Times New Roman" w:hAnsi="Cambria Math" w:cs="Calibri"/>
          <w:lang w:val="en-GB"/>
        </w:rPr>
        <w:t xml:space="preserve"> </w:t>
      </w:r>
      <w:r>
        <w:rPr>
          <w:rFonts w:ascii="Calibri" w:hAnsi="Calibri" w:cs="Calibri"/>
          <w:lang w:val="en-GB"/>
        </w:rPr>
        <w:t xml:space="preserve">(see also Table 2 caption). For each pair of detection methods and/or examiners, Eq. 10-14 were used to estimate the </w:t>
      </w:r>
      <m:oMath>
        <m:r>
          <m:rPr>
            <m:sty m:val="p"/>
          </m:rPr>
          <w:rPr>
            <w:rFonts w:ascii="Cambria Math" w:hAnsi="Cambria Math" w:cs="Calibri"/>
            <w:lang w:val="en-GB"/>
          </w:rPr>
          <m:t>κ</m:t>
        </m:r>
      </m:oMath>
      <w:r>
        <w:rPr>
          <w:rFonts w:ascii="Calibri" w:hAnsi="Calibri" w:cs="Calibri"/>
          <w:lang w:val="en-GB"/>
        </w:rPr>
        <w:t xml:space="preserve"> values. The total number of recordings available for the analysis (i.e. n) was now 232.  </w:t>
      </w:r>
    </w:p>
    <w:p>
      <w:pPr>
        <w:pStyle w:val="17"/>
        <w:spacing w:line="240" w:lineRule="auto"/>
        <w:jc w:val="both"/>
        <w:rPr>
          <w:rFonts w:ascii="Calibri" w:hAnsi="Calibri" w:cs="Calibri"/>
          <w:lang w:val="en-GB"/>
        </w:rPr>
      </w:pPr>
    </w:p>
    <w:p>
      <w:pPr>
        <w:pStyle w:val="17"/>
        <w:spacing w:line="240" w:lineRule="auto"/>
        <w:jc w:val="both"/>
        <w:rPr>
          <w:rFonts w:ascii="Calibri" w:hAnsi="Calibri" w:cs="Calibri"/>
          <w:u w:val="single"/>
          <w:lang w:val="en-GB"/>
        </w:rPr>
      </w:pPr>
      <w:r>
        <w:rPr>
          <w:rFonts w:ascii="Calibri" w:hAnsi="Calibri" w:cs="Calibri"/>
          <w:u w:val="single"/>
          <w:lang w:val="en-GB"/>
        </w:rPr>
        <w:t>Post-hoc statistical analysis</w:t>
      </w:r>
    </w:p>
    <w:p>
      <w:pPr>
        <w:pStyle w:val="17"/>
        <w:spacing w:line="240" w:lineRule="auto"/>
        <w:jc w:val="both"/>
        <w:rPr>
          <w:rFonts w:ascii="Calibri" w:hAnsi="Calibri" w:cs="Calibri"/>
          <w:lang w:val="en-GB"/>
        </w:rPr>
      </w:pPr>
      <w:r>
        <w:rPr>
          <w:rFonts w:ascii="Calibri" w:hAnsi="Calibri" w:cs="Calibri"/>
          <w:lang w:val="en-GB"/>
        </w:rPr>
        <w:t xml:space="preserve">To help interpret the estimated </w:t>
      </w:r>
      <m:oMath>
        <m:r>
          <m:rPr>
            <m:sty m:val="p"/>
          </m:rPr>
          <w:rPr>
            <w:rFonts w:ascii="Cambria Math" w:hAnsi="Cambria Math" w:cs="Calibri"/>
            <w:lang w:val="en-GB"/>
          </w:rPr>
          <m:t>κ</m:t>
        </m:r>
      </m:oMath>
      <w:r>
        <w:rPr>
          <w:rFonts w:ascii="Calibri" w:hAnsi="Calibri" w:cs="Calibri"/>
          <w:lang w:val="en-GB"/>
        </w:rPr>
        <w:t xml:space="preserve"> values, standard errors were constructed, per </w:t>
      </w:r>
      <m:oMath>
        <m:r>
          <m:rPr>
            <m:sty m:val="p"/>
          </m:rPr>
          <w:rPr>
            <w:rFonts w:ascii="Cambria Math" w:hAnsi="Cambria Math" w:cs="Calibri"/>
            <w:lang w:val="en-GB"/>
          </w:rPr>
          <m:t>κ</m:t>
        </m:r>
      </m:oMath>
      <w:r>
        <w:rPr>
          <w:rFonts w:ascii="Calibri" w:hAnsi="Calibri" w:cs="Calibri"/>
          <w:lang w:val="en-GB"/>
        </w:rPr>
        <w:t>, using (</w:t>
      </w:r>
      <w:r>
        <w:rPr>
          <w:rFonts w:ascii="Calibri" w:hAnsi="Calibri" w:cs="Calibri"/>
          <w:color w:val="4472C4" w:themeColor="accent5"/>
          <w:lang w:val="en-GB"/>
          <w14:textFill>
            <w14:solidFill>
              <w14:schemeClr w14:val="accent5"/>
            </w14:solidFill>
          </w14:textFill>
        </w:rPr>
        <w:t>McHugh, 2012</w:t>
      </w:r>
      <w:r>
        <w:rPr>
          <w:rFonts w:ascii="Calibri" w:hAnsi="Calibri" w:cs="Calibri"/>
          <w:lang w:val="en-GB"/>
        </w:rPr>
        <w:t>):</w:t>
      </w:r>
    </w:p>
    <w:p>
      <w:pPr>
        <w:pStyle w:val="17"/>
        <w:spacing w:line="240" w:lineRule="auto"/>
        <w:jc w:val="both"/>
        <w:rPr>
          <w:rFonts w:ascii="Calibri" w:hAnsi="Calibri" w:cs="Calibri"/>
          <w:lang w:val="en-GB"/>
        </w:rPr>
      </w:pPr>
      <m:oMath>
        <m:sSub>
          <m:sSubPr>
            <m:ctrlPr>
              <w:rPr>
                <w:rFonts w:ascii="Cambria Math" w:hAnsi="Cambria Math" w:cs="Calibri"/>
                <w:lang w:val="en-GB"/>
              </w:rPr>
            </m:ctrlPr>
          </m:sSubPr>
          <m:e>
            <m:r>
              <m:rPr>
                <m:sty m:val="p"/>
              </m:rPr>
              <w:rPr>
                <w:rFonts w:ascii="Cambria Math" w:hAnsi="Cambria Math" w:cs="Calibri"/>
                <w:lang w:val="en-GB"/>
              </w:rPr>
              <m:t>SE</m:t>
            </m:r>
            <m:ctrlPr>
              <w:rPr>
                <w:rFonts w:ascii="Cambria Math" w:hAnsi="Cambria Math" w:cs="Calibri"/>
                <w:lang w:val="en-GB"/>
              </w:rPr>
            </m:ctrlPr>
          </m:e>
          <m:sub>
            <m:r>
              <m:rPr>
                <m:sty m:val="p"/>
              </m:rPr>
              <w:rPr>
                <w:rFonts w:ascii="Cambria Math" w:hAnsi="Cambria Math" w:cs="Calibri"/>
                <w:lang w:val="en-GB"/>
              </w:rPr>
              <m:t>κ</m:t>
            </m:r>
            <m:ctrlPr>
              <w:rPr>
                <w:rFonts w:ascii="Cambria Math" w:hAnsi="Cambria Math" w:cs="Calibri"/>
                <w:lang w:val="en-GB"/>
              </w:rPr>
            </m:ctrlPr>
          </m:sub>
        </m:sSub>
        <m:r>
          <m:rPr>
            <m:sty m:val="p"/>
          </m:rPr>
          <w:rPr>
            <w:rFonts w:ascii="Cambria Math" w:hAnsi="Cambria Math" w:cs="Calibri"/>
            <w:lang w:val="en-GB"/>
          </w:rPr>
          <m:t>=</m:t>
        </m:r>
        <m:rad>
          <m:radPr>
            <m:degHide m:val="1"/>
            <m:ctrlPr>
              <w:rPr>
                <w:rFonts w:ascii="Cambria Math" w:hAnsi="Cambria Math" w:cs="Calibri"/>
                <w:lang w:val="en-GB"/>
              </w:rPr>
            </m:ctrlPr>
          </m:radPr>
          <m:deg>
            <m:ctrlPr>
              <w:rPr>
                <w:rFonts w:ascii="Cambria Math" w:hAnsi="Cambria Math" w:cs="Calibri"/>
                <w:lang w:val="en-GB"/>
              </w:rPr>
            </m:ctrlPr>
          </m:deg>
          <m:e>
            <m:f>
              <m:fPr>
                <m:ctrlPr>
                  <w:rPr>
                    <w:rFonts w:ascii="Cambria Math" w:hAnsi="Cambria Math" w:cs="Calibri"/>
                    <w:lang w:val="en-GB"/>
                  </w:rPr>
                </m:ctrlPr>
              </m:fPr>
              <m:num>
                <m:r>
                  <m:rPr>
                    <m:sty m:val="p"/>
                  </m:rPr>
                  <w:rPr>
                    <w:rFonts w:ascii="Cambria Math" w:hAnsi="Cambria Math" w:cs="Calibri"/>
                    <w:lang w:val="en-GB"/>
                  </w:rPr>
                  <m:t>Po(1−Po)</m:t>
                </m:r>
                <m:ctrlPr>
                  <w:rPr>
                    <w:rFonts w:ascii="Cambria Math" w:hAnsi="Cambria Math" w:cs="Calibri"/>
                    <w:lang w:val="en-GB"/>
                  </w:rPr>
                </m:ctrlPr>
              </m:num>
              <m:den>
                <m:r>
                  <m:rPr>
                    <m:sty m:val="p"/>
                  </m:rPr>
                  <w:rPr>
                    <w:rFonts w:ascii="Cambria Math" w:hAnsi="Cambria Math" w:cs="Calibri"/>
                    <w:lang w:val="en-GB"/>
                  </w:rPr>
                  <m:t>n</m:t>
                </m:r>
                <m:sSup>
                  <m:sSupPr>
                    <m:ctrlPr>
                      <w:rPr>
                        <w:rFonts w:ascii="Cambria Math" w:hAnsi="Cambria Math" w:cs="Calibri"/>
                        <w:lang w:val="en-GB"/>
                      </w:rPr>
                    </m:ctrlPr>
                  </m:sSupPr>
                  <m:e>
                    <m:r>
                      <m:rPr>
                        <m:sty m:val="p"/>
                      </m:rPr>
                      <w:rPr>
                        <w:rFonts w:ascii="Cambria Math" w:hAnsi="Cambria Math" w:cs="Calibri"/>
                        <w:lang w:val="en-GB"/>
                      </w:rPr>
                      <m:t>(1−Pc)</m:t>
                    </m:r>
                    <m:ctrlPr>
                      <w:rPr>
                        <w:rFonts w:ascii="Cambria Math" w:hAnsi="Cambria Math" w:cs="Calibri"/>
                        <w:lang w:val="en-GB"/>
                      </w:rPr>
                    </m:ctrlPr>
                  </m:e>
                  <m:sup>
                    <m:r>
                      <m:rPr>
                        <m:sty m:val="p"/>
                      </m:rPr>
                      <w:rPr>
                        <w:rFonts w:ascii="Cambria Math" w:hAnsi="Cambria Math" w:cs="Calibri"/>
                        <w:lang w:val="en-GB"/>
                      </w:rPr>
                      <m:t>2</m:t>
                    </m:r>
                    <m:ctrlPr>
                      <w:rPr>
                        <w:rFonts w:ascii="Cambria Math" w:hAnsi="Cambria Math" w:cs="Calibri"/>
                        <w:lang w:val="en-GB"/>
                      </w:rPr>
                    </m:ctrlPr>
                  </m:sup>
                </m:sSup>
                <m:ctrlPr>
                  <w:rPr>
                    <w:rFonts w:ascii="Cambria Math" w:hAnsi="Cambria Math" w:cs="Calibri"/>
                    <w:lang w:val="en-GB"/>
                  </w:rPr>
                </m:ctrlPr>
              </m:den>
            </m:f>
            <m:ctrlPr>
              <w:rPr>
                <w:rFonts w:ascii="Cambria Math" w:hAnsi="Cambria Math" w:cs="Calibri"/>
                <w:lang w:val="en-GB"/>
              </w:rPr>
            </m:ctrlPr>
          </m:e>
        </m:rad>
      </m:oMath>
      <w:r>
        <w:rPr>
          <w:rFonts w:ascii="Calibri" w:hAnsi="Calibri" w:cs="Calibri"/>
          <w:lang w:val="en-GB"/>
        </w:rPr>
        <w:t xml:space="preserve"> </w:t>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i/>
          <w:iCs/>
          <w:lang w:val="en-GB"/>
        </w:rPr>
        <w:t>Eq. 15</w:t>
      </w:r>
    </w:p>
    <w:p>
      <w:pPr>
        <w:pStyle w:val="17"/>
        <w:spacing w:line="240" w:lineRule="auto"/>
        <w:jc w:val="both"/>
        <w:rPr>
          <w:rFonts w:ascii="Times New Roman" w:hAnsi="Cambria Math" w:cs="Calibri"/>
          <w:lang w:val="en-GB"/>
        </w:rPr>
      </w:pPr>
      <w:r>
        <w:rPr>
          <w:rFonts w:ascii="Calibri" w:hAnsi="Calibri" w:cs="Calibri"/>
          <w:lang w:val="en-GB"/>
        </w:rPr>
        <w:t xml:space="preserve">giving 95% confidence intervals of </w:t>
      </w:r>
      <m:oMath>
        <m:r>
          <m:rPr>
            <m:sty m:val="p"/>
          </m:rPr>
          <w:rPr>
            <w:rFonts w:ascii="Cambria Math" w:hAnsi="Cambria Math" w:cs="Calibri"/>
            <w:lang w:val="en-GB"/>
          </w:rPr>
          <m:t>κ</m:t>
        </m:r>
      </m:oMath>
      <w:r>
        <w:rPr>
          <w:rFonts w:ascii="Calibri" w:hAnsi="Calibri" w:cs="Calibri"/>
          <w:lang w:val="en-GB"/>
        </w:rPr>
        <w:t xml:space="preserve"> </w:t>
      </w:r>
      <m:oMath>
        <m:r>
          <m:rPr>
            <m:sty m:val="p"/>
          </m:rPr>
          <w:rPr>
            <w:rFonts w:ascii="Cambria Math" w:hAnsi="Cambria Math" w:cs="Calibri"/>
            <w:lang w:val="en-GB"/>
          </w:rPr>
          <m:t>±</m:t>
        </m:r>
      </m:oMath>
      <w:r>
        <w:rPr>
          <w:rFonts w:ascii="Calibri" w:hAnsi="Calibri" w:cs="Calibri"/>
          <w:lang w:val="en-GB"/>
        </w:rPr>
        <w:t xml:space="preserve"> 1.96·SE. For the intra-test reliability assessment, the 95% confidence intervals ranged from </w:t>
      </w:r>
      <m:oMath>
        <m:r>
          <m:rPr>
            <m:sty m:val="p"/>
          </m:rPr>
          <w:rPr>
            <w:rFonts w:ascii="Cambria Math" w:hAnsi="Cambria Math" w:cs="Calibri"/>
            <w:lang w:val="en-GB"/>
          </w:rPr>
          <m:t>κ</m:t>
        </m:r>
      </m:oMath>
      <w:r>
        <w:rPr>
          <w:rFonts w:ascii="Calibri" w:hAnsi="Calibri" w:cs="Calibri"/>
          <w:lang w:val="en-GB"/>
        </w:rPr>
        <w:t xml:space="preserve"> ± ~0.16 to </w:t>
      </w:r>
      <m:oMath>
        <m:r>
          <m:rPr>
            <m:sty m:val="p"/>
          </m:rPr>
          <w:rPr>
            <w:rFonts w:ascii="Cambria Math" w:hAnsi="Cambria Math" w:cs="Calibri"/>
            <w:lang w:val="en-GB"/>
          </w:rPr>
          <m:t>κ</m:t>
        </m:r>
      </m:oMath>
      <w:r>
        <w:rPr>
          <w:rFonts w:ascii="Calibri" w:hAnsi="Calibri" w:cs="Calibri"/>
          <w:lang w:val="en-GB"/>
        </w:rPr>
        <w:t xml:space="preserve"> ± ~0.21, whereas for the inter-test reliability assessment, the intervals ranged from </w:t>
      </w:r>
      <m:oMath>
        <m:r>
          <m:rPr>
            <m:sty m:val="p"/>
          </m:rPr>
          <w:rPr>
            <w:rFonts w:ascii="Cambria Math" w:hAnsi="Cambria Math" w:cs="Calibri"/>
            <w:lang w:val="en-GB"/>
          </w:rPr>
          <m:t>κ</m:t>
        </m:r>
      </m:oMath>
      <w:r>
        <w:rPr>
          <w:rFonts w:ascii="Calibri" w:hAnsi="Calibri" w:cs="Calibri"/>
          <w:lang w:val="en-GB"/>
        </w:rPr>
        <w:t xml:space="preserve"> ± ~0.06 to </w:t>
      </w:r>
      <m:oMath>
        <m:r>
          <m:rPr>
            <m:sty m:val="p"/>
          </m:rPr>
          <w:rPr>
            <w:rFonts w:ascii="Cambria Math" w:hAnsi="Cambria Math" w:cs="Calibri"/>
            <w:lang w:val="en-GB"/>
          </w:rPr>
          <m:t>κ</m:t>
        </m:r>
      </m:oMath>
      <w:r>
        <w:rPr>
          <w:rFonts w:ascii="Calibri" w:hAnsi="Calibri" w:cs="Calibri"/>
          <w:lang w:val="en-GB"/>
        </w:rPr>
        <w:t xml:space="preserve"> ± ~0.12.</w:t>
      </w:r>
    </w:p>
    <w:p>
      <w:pPr>
        <w:pStyle w:val="17"/>
        <w:spacing w:line="240" w:lineRule="auto"/>
        <w:jc w:val="both"/>
        <w:rPr>
          <w:rFonts w:ascii="Calibri" w:hAnsi="Calibri" w:cs="Calibri"/>
          <w:lang w:val="en-GB"/>
        </w:rPr>
      </w:pPr>
    </w:p>
    <w:p>
      <w:pPr>
        <w:spacing w:line="240" w:lineRule="auto"/>
        <w:rPr>
          <w:rFonts w:ascii="Calibri" w:hAnsi="Calibri" w:cs="Calibri"/>
          <w:b/>
          <w:bCs/>
          <w:sz w:val="28"/>
          <w:szCs w:val="28"/>
          <w:lang w:val="en-GB"/>
        </w:rPr>
      </w:pPr>
      <w:r>
        <w:rPr>
          <w:rFonts w:ascii="Calibri" w:hAnsi="Calibri" w:cs="Calibri"/>
          <w:b/>
          <w:bCs/>
          <w:sz w:val="28"/>
          <w:szCs w:val="28"/>
          <w:lang w:val="en-GB"/>
        </w:rPr>
        <w:t>3. Results</w:t>
      </w:r>
    </w:p>
    <w:p>
      <w:pPr>
        <w:pStyle w:val="17"/>
        <w:spacing w:line="240" w:lineRule="auto"/>
        <w:jc w:val="both"/>
        <w:rPr>
          <w:rFonts w:ascii="Calibri" w:hAnsi="Calibri" w:cs="Calibri"/>
          <w:lang w:val="en-GB"/>
        </w:rPr>
      </w:pPr>
      <w:r>
        <w:rPr>
          <w:rFonts w:ascii="Calibri" w:hAnsi="Calibri" w:cs="Calibri"/>
          <w:lang w:val="en-GB"/>
        </w:rPr>
        <w:t>This section presents the results from the specificity, sensitivity, and reliability assessments. W</w:t>
      </w:r>
      <w:r>
        <w:rPr>
          <w:rFonts w:cs="Calibri"/>
          <w:lang w:val="en-GB"/>
        </w:rPr>
        <w:t>ithin</w:t>
      </w:r>
      <w:r>
        <w:rPr>
          <w:rFonts w:ascii="Calibri" w:hAnsi="Calibri" w:cs="Calibri"/>
          <w:lang w:val="en-GB"/>
        </w:rPr>
        <w:t xml:space="preserve"> the interest of remaining concise, results were not presented for all four q-sample modifications. Instead, just the best-performing modification was presented, which was QMod V3 (applied to phase values and amplitude ranks). The performance between all 4 q-sample modifications was, however, quite similar, and can be seen in Figure A.2. in the Supplemental Digital Content.</w:t>
      </w:r>
    </w:p>
    <w:p>
      <w:pPr>
        <w:spacing w:line="240" w:lineRule="auto"/>
        <w:rPr>
          <w:rFonts w:ascii="Calibri" w:hAnsi="Calibri" w:cs="Calibri"/>
          <w:sz w:val="22"/>
          <w:szCs w:val="22"/>
          <w:lang w:val="en-GB"/>
        </w:rPr>
      </w:pPr>
    </w:p>
    <w:p>
      <w:pPr>
        <w:spacing w:line="240" w:lineRule="auto"/>
        <w:rPr>
          <w:rFonts w:ascii="Calibri" w:hAnsi="Calibri" w:cs="Calibri"/>
          <w:b/>
          <w:bCs/>
          <w:sz w:val="22"/>
          <w:szCs w:val="22"/>
          <w:lang w:val="en-GB"/>
        </w:rPr>
      </w:pPr>
      <w:r>
        <w:rPr>
          <w:rFonts w:ascii="Calibri" w:hAnsi="Calibri" w:cs="Calibri"/>
          <w:b/>
          <w:bCs/>
          <w:sz w:val="22"/>
          <w:szCs w:val="22"/>
          <w:lang w:val="en-GB"/>
        </w:rPr>
        <w:t>3.1. Examiner results</w:t>
      </w:r>
    </w:p>
    <w:p>
      <w:pPr>
        <w:spacing w:line="240" w:lineRule="auto"/>
        <w:jc w:val="both"/>
        <w:rPr>
          <w:rFonts w:ascii="Calibri" w:hAnsi="Calibri" w:cs="Calibri"/>
          <w:sz w:val="22"/>
          <w:szCs w:val="22"/>
          <w:lang w:val="en-GB"/>
        </w:rPr>
      </w:pPr>
      <w:r>
        <w:rPr>
          <w:rFonts w:ascii="Calibri" w:hAnsi="Calibri" w:cs="Calibri"/>
          <w:sz w:val="22"/>
          <w:szCs w:val="22"/>
          <w:lang w:val="en-GB"/>
        </w:rPr>
        <w:t xml:space="preserve">The visual inspection results from the examiners are presented as stacked bar plots in Figure 2, </w:t>
      </w:r>
      <w:r>
        <w:rPr>
          <w:rFonts w:hint="default" w:ascii="Calibri" w:hAnsi="Calibri" w:cs="Calibri"/>
          <w:sz w:val="22"/>
          <w:szCs w:val="22"/>
          <w:lang w:val="en-GB"/>
        </w:rPr>
        <w:t xml:space="preserve">which </w:t>
      </w:r>
      <w:r>
        <w:rPr>
          <w:rFonts w:ascii="Calibri" w:hAnsi="Calibri" w:cs="Calibri"/>
          <w:sz w:val="22"/>
          <w:szCs w:val="22"/>
          <w:lang w:val="en-GB"/>
        </w:rPr>
        <w:t xml:space="preserve">show the rates at which (1) a clear response (CR) was detected, (2) a response was deemed absent (response absent, or RA), or (3) the waveform was deemed ambiguous in terms of </w:t>
      </w:r>
      <w:r>
        <w:rPr>
          <w:rFonts w:hint="default" w:ascii="Calibri" w:hAnsi="Calibri" w:cs="Calibri"/>
          <w:sz w:val="22"/>
          <w:szCs w:val="22"/>
          <w:lang w:val="en-GB"/>
        </w:rPr>
        <w:t>CR or RA</w:t>
      </w:r>
      <w:r>
        <w:rPr>
          <w:rFonts w:ascii="Calibri" w:hAnsi="Calibri" w:cs="Calibri"/>
          <w:sz w:val="22"/>
          <w:szCs w:val="22"/>
          <w:lang w:val="en-GB"/>
        </w:rPr>
        <w:t>. Results are presented for all three examiners (indicated by E1, E2, and E3), per dB SL category, and per stimulus type (i.e. MF or HF)</w:t>
      </w:r>
      <w:r>
        <w:rPr>
          <w:rFonts w:hint="default" w:ascii="Calibri" w:hAnsi="Calibri" w:cs="Calibri"/>
          <w:sz w:val="22"/>
          <w:szCs w:val="22"/>
          <w:lang w:val="en-GB"/>
        </w:rPr>
        <w:t>. Note that f</w:t>
      </w:r>
      <w:r>
        <w:rPr>
          <w:rFonts w:ascii="Calibri" w:hAnsi="Calibri" w:cs="Calibri"/>
          <w:sz w:val="22"/>
          <w:szCs w:val="22"/>
          <w:lang w:val="en-GB"/>
        </w:rPr>
        <w:t>or the &lt;0 dB SL category</w:t>
      </w:r>
      <w:r>
        <w:rPr>
          <w:rFonts w:hint="default" w:ascii="Calibri" w:hAnsi="Calibri" w:cs="Calibri"/>
          <w:sz w:val="22"/>
          <w:szCs w:val="22"/>
          <w:lang w:val="en-GB"/>
        </w:rPr>
        <w:t xml:space="preserve">, </w:t>
      </w:r>
      <w:r>
        <w:rPr>
          <w:rFonts w:ascii="Calibri" w:hAnsi="Calibri" w:cs="Calibri"/>
          <w:sz w:val="22"/>
          <w:szCs w:val="22"/>
          <w:lang w:val="en-GB"/>
        </w:rPr>
        <w:t>no distinction was made between stimuli. If it is assumed that the inaudible recordings were indeed inaudible and did not contain a CAEP, then results show true-negative rates (TNRs; it is correctly concluded that a CAEP was absent) ranging from ~0.3 (</w:t>
      </w:r>
      <w:r>
        <w:rPr>
          <w:rFonts w:hint="default" w:ascii="Calibri" w:hAnsi="Calibri" w:cs="Calibri"/>
          <w:sz w:val="22"/>
          <w:szCs w:val="22"/>
          <w:lang w:val="en-GB"/>
        </w:rPr>
        <w:t xml:space="preserve">for </w:t>
      </w:r>
      <w:r>
        <w:rPr>
          <w:rFonts w:ascii="Calibri" w:hAnsi="Calibri" w:cs="Calibri"/>
          <w:sz w:val="22"/>
          <w:szCs w:val="22"/>
          <w:lang w:val="en-GB"/>
        </w:rPr>
        <w:t>E3) to ~0.8 (</w:t>
      </w:r>
      <w:r>
        <w:rPr>
          <w:rFonts w:hint="default" w:ascii="Calibri" w:hAnsi="Calibri" w:cs="Calibri"/>
          <w:sz w:val="22"/>
          <w:szCs w:val="22"/>
          <w:lang w:val="en-GB"/>
        </w:rPr>
        <w:t xml:space="preserve">for </w:t>
      </w:r>
      <w:r>
        <w:rPr>
          <w:rFonts w:ascii="Calibri" w:hAnsi="Calibri" w:cs="Calibri"/>
          <w:sz w:val="22"/>
          <w:szCs w:val="22"/>
          <w:lang w:val="en-GB"/>
        </w:rPr>
        <w:t>E1). For the audible test conditions, non-detection rates ranged from 0 to ~0.55. Whether these non-detections can be considered as false-negative (i.e. it is concluded that a CAEP was absent when a CAEP was in fact present) is not clear - see also the Discussion. Detection rates for the inaudible recordings (assumed to be FPRs) were 0.068 for E1 and 0 for</w:t>
      </w:r>
      <w:r>
        <w:rPr>
          <w:rFonts w:hint="default" w:ascii="Calibri" w:hAnsi="Calibri" w:cs="Calibri"/>
          <w:sz w:val="22"/>
          <w:szCs w:val="22"/>
          <w:lang w:val="en-GB"/>
        </w:rPr>
        <w:t xml:space="preserve"> both</w:t>
      </w:r>
      <w:r>
        <w:rPr>
          <w:rFonts w:ascii="Calibri" w:hAnsi="Calibri" w:cs="Calibri"/>
          <w:sz w:val="22"/>
          <w:szCs w:val="22"/>
          <w:lang w:val="en-GB"/>
        </w:rPr>
        <w:t xml:space="preserve"> E2 and E3</w:t>
      </w:r>
      <w:r>
        <w:rPr>
          <w:rFonts w:hint="default" w:ascii="Calibri" w:hAnsi="Calibri" w:cs="Calibri"/>
          <w:sz w:val="22"/>
          <w:szCs w:val="22"/>
          <w:lang w:val="en-GB"/>
        </w:rPr>
        <w:t>. F</w:t>
      </w:r>
      <w:r>
        <w:rPr>
          <w:rFonts w:ascii="Calibri" w:hAnsi="Calibri" w:cs="Calibri"/>
          <w:sz w:val="22"/>
          <w:szCs w:val="22"/>
          <w:lang w:val="en-GB"/>
        </w:rPr>
        <w:t>or the audible recordings</w:t>
      </w:r>
      <w:r>
        <w:rPr>
          <w:rFonts w:hint="default" w:ascii="Calibri" w:hAnsi="Calibri" w:cs="Calibri"/>
          <w:sz w:val="22"/>
          <w:szCs w:val="22"/>
          <w:lang w:val="en-GB"/>
        </w:rPr>
        <w:t xml:space="preserve">, detection rates </w:t>
      </w:r>
      <w:r>
        <w:rPr>
          <w:rFonts w:ascii="Calibri" w:hAnsi="Calibri" w:cs="Calibri"/>
          <w:sz w:val="22"/>
          <w:szCs w:val="22"/>
          <w:lang w:val="en-GB"/>
        </w:rPr>
        <w:t xml:space="preserve">ranged from ~0.15 to ~0.65. </w:t>
      </w:r>
    </w:p>
    <w:p>
      <w:pPr>
        <w:spacing w:line="240" w:lineRule="auto"/>
        <w:jc w:val="both"/>
        <w:rPr>
          <w:rFonts w:ascii="Calibri" w:hAnsi="Calibri" w:cs="Calibri"/>
          <w:sz w:val="22"/>
          <w:szCs w:val="22"/>
          <w:lang w:val="en-GB"/>
        </w:rPr>
      </w:pPr>
    </w:p>
    <w:p>
      <w:pPr>
        <w:spacing w:line="240" w:lineRule="auto"/>
        <w:rPr>
          <w:rFonts w:ascii="Calibri" w:hAnsi="Calibri" w:cs="Calibri"/>
          <w:b/>
          <w:bCs/>
          <w:sz w:val="22"/>
          <w:szCs w:val="22"/>
          <w:lang w:val="en-GB"/>
        </w:rPr>
      </w:pPr>
      <w:r>
        <w:rPr>
          <w:rFonts w:ascii="Calibri" w:hAnsi="Calibri" w:cs="Calibri"/>
          <w:b/>
          <w:bCs/>
          <w:sz w:val="22"/>
          <w:szCs w:val="22"/>
          <w:lang w:val="en-GB" w:eastAsia="en-GB"/>
        </w:rPr>
        <w:drawing>
          <wp:inline distT="0" distB="0" distL="114300" distR="114300">
            <wp:extent cx="6096000" cy="1350645"/>
            <wp:effectExtent l="0" t="0" r="0" b="1905"/>
            <wp:docPr id="20" name="Picture 20" descr="ExaminerResults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ExaminerResults_New"/>
                    <pic:cNvPicPr>
                      <a:picLocks noChangeAspect="1"/>
                    </pic:cNvPicPr>
                  </pic:nvPicPr>
                  <pic:blipFill>
                    <a:blip r:embed="rId79"/>
                    <a:stretch>
                      <a:fillRect/>
                    </a:stretch>
                  </pic:blipFill>
                  <pic:spPr>
                    <a:xfrm>
                      <a:off x="0" y="0"/>
                      <a:ext cx="6096000" cy="1350645"/>
                    </a:xfrm>
                    <a:prstGeom prst="rect">
                      <a:avLst/>
                    </a:prstGeom>
                  </pic:spPr>
                </pic:pic>
              </a:graphicData>
            </a:graphic>
          </wp:inline>
        </w:drawing>
      </w:r>
    </w:p>
    <w:p>
      <w:pPr>
        <w:spacing w:line="240" w:lineRule="auto"/>
        <w:jc w:val="both"/>
        <w:rPr>
          <w:rFonts w:hint="default" w:ascii="Calibri" w:hAnsi="Calibri" w:cs="Calibri"/>
          <w:sz w:val="22"/>
          <w:szCs w:val="22"/>
          <w:lang w:val="en-GB"/>
        </w:rPr>
      </w:pPr>
      <w:r>
        <w:rPr>
          <w:rFonts w:ascii="Calibri" w:hAnsi="Calibri" w:cs="Calibri"/>
          <w:b/>
          <w:bCs/>
          <w:sz w:val="22"/>
          <w:szCs w:val="22"/>
          <w:lang w:val="en-GB"/>
        </w:rPr>
        <w:t xml:space="preserve">Figure 2. </w:t>
      </w:r>
      <w:r>
        <w:rPr>
          <w:rFonts w:ascii="Calibri" w:hAnsi="Calibri" w:cs="Calibri"/>
          <w:sz w:val="22"/>
          <w:szCs w:val="22"/>
          <w:lang w:val="en-GB"/>
        </w:rPr>
        <w:t xml:space="preserve">Results from the visual inspection by audiologists, </w:t>
      </w:r>
      <w:r>
        <w:rPr>
          <w:rFonts w:hint="default" w:ascii="Calibri" w:hAnsi="Calibri" w:cs="Calibri"/>
          <w:sz w:val="22"/>
          <w:szCs w:val="22"/>
          <w:lang w:val="en-GB"/>
        </w:rPr>
        <w:t xml:space="preserve">presented </w:t>
      </w:r>
      <w:r>
        <w:rPr>
          <w:rFonts w:ascii="Calibri" w:hAnsi="Calibri" w:cs="Calibri"/>
          <w:sz w:val="22"/>
          <w:szCs w:val="22"/>
          <w:lang w:val="en-GB"/>
        </w:rPr>
        <w:t xml:space="preserve">as stacked-bar plots. Each bar represents the rates at which a clear response (CR) was detected, a response was deemed absent (response absent, or RA), and the waveform was deemed ambiguous in terms of </w:t>
      </w:r>
      <w:r>
        <w:rPr>
          <w:rFonts w:hint="default" w:ascii="Calibri" w:hAnsi="Calibri" w:cs="Calibri"/>
          <w:sz w:val="22"/>
          <w:szCs w:val="22"/>
          <w:lang w:val="en-GB"/>
        </w:rPr>
        <w:t>CR or RA</w:t>
      </w:r>
      <w:r>
        <w:rPr>
          <w:rFonts w:ascii="Calibri" w:hAnsi="Calibri" w:cs="Calibri"/>
          <w:sz w:val="22"/>
          <w:szCs w:val="22"/>
          <w:lang w:val="en-GB"/>
        </w:rPr>
        <w:t xml:space="preserve">. Results are presented per dB SL category, for both the mid frequency (MF) and the mid-high frequency (HF) stimulus, and for all three examiners, indicated by E1, E2, and E3. </w:t>
      </w:r>
      <w:r>
        <w:rPr>
          <w:rFonts w:hint="default" w:ascii="Calibri" w:hAnsi="Calibri" w:cs="Calibri"/>
          <w:sz w:val="22"/>
          <w:szCs w:val="22"/>
          <w:lang w:val="en-GB"/>
        </w:rPr>
        <w:t>Note that for the &lt;0 dB SL condition, no distinction was made between the MF and HF stimuli, as the stimuli were deemed inaudible.</w:t>
      </w:r>
    </w:p>
    <w:p>
      <w:pPr>
        <w:spacing w:line="240" w:lineRule="auto"/>
        <w:rPr>
          <w:rFonts w:ascii="Calibri" w:hAnsi="Calibri" w:cs="Calibri"/>
          <w:b/>
          <w:bCs/>
          <w:sz w:val="22"/>
          <w:szCs w:val="22"/>
          <w:lang w:val="en-GB"/>
        </w:rPr>
      </w:pPr>
    </w:p>
    <w:p>
      <w:pPr>
        <w:spacing w:line="240" w:lineRule="auto"/>
        <w:rPr>
          <w:rFonts w:ascii="Calibri" w:hAnsi="Calibri" w:cs="Calibri"/>
          <w:b/>
          <w:bCs/>
          <w:sz w:val="22"/>
          <w:szCs w:val="22"/>
          <w:lang w:val="en-GB"/>
        </w:rPr>
      </w:pPr>
      <w:r>
        <w:rPr>
          <w:rFonts w:ascii="Calibri" w:hAnsi="Calibri" w:cs="Calibri"/>
          <w:b/>
          <w:bCs/>
          <w:sz w:val="22"/>
          <w:szCs w:val="22"/>
          <w:lang w:val="en-GB"/>
        </w:rPr>
        <w:t>3.2. Test specificity</w:t>
      </w:r>
    </w:p>
    <w:p>
      <w:pPr>
        <w:spacing w:line="240" w:lineRule="auto"/>
        <w:jc w:val="both"/>
        <w:rPr>
          <w:rFonts w:ascii="Calibri" w:hAnsi="Calibri" w:cs="Calibri"/>
          <w:sz w:val="22"/>
          <w:szCs w:val="22"/>
          <w:lang w:val="en-GB"/>
        </w:rPr>
      </w:pPr>
      <w:r>
        <w:rPr>
          <w:rFonts w:ascii="Calibri" w:hAnsi="Calibri" w:cs="Calibri"/>
          <w:sz w:val="22"/>
          <w:szCs w:val="22"/>
          <w:u w:val="single"/>
          <w:lang w:val="en-GB"/>
        </w:rPr>
        <w:t>Simulations:</w:t>
      </w:r>
      <w:r>
        <w:rPr>
          <w:rFonts w:ascii="Calibri" w:hAnsi="Calibri" w:cs="Calibri"/>
          <w:sz w:val="22"/>
          <w:szCs w:val="22"/>
          <w:lang w:val="en-GB"/>
        </w:rPr>
        <w:t xml:space="preserve"> The FPRs of the detection methods (Table 3) mostly fell within the 99% confidence intervals for α=0.01</w:t>
      </w:r>
      <w:r>
        <w:rPr>
          <w:rFonts w:cs="Calibri"/>
          <w:lang w:val="en-GB"/>
        </w:rPr>
        <w:t xml:space="preserve">. </w:t>
      </w:r>
      <w:r>
        <w:rPr>
          <w:rFonts w:ascii="Calibri" w:hAnsi="Calibri" w:cs="Calibri"/>
          <w:sz w:val="22"/>
          <w:szCs w:val="22"/>
          <w:lang w:val="en-GB"/>
        </w:rPr>
        <w:t xml:space="preserve">The exception was QMod V3, which showed a liberal (FPR &gt; α=0.01) test performance at </w:t>
      </w:r>
      <w:r>
        <w:rPr>
          <w:rFonts w:ascii="Calibri" w:hAnsi="Calibri" w:cs="Calibri"/>
          <w:i/>
          <w:iCs/>
          <w:sz w:val="22"/>
          <w:szCs w:val="22"/>
          <w:lang w:val="en-GB"/>
        </w:rPr>
        <w:t>N</w:t>
      </w:r>
      <w:r>
        <w:rPr>
          <w:rFonts w:ascii="Calibri" w:hAnsi="Calibri" w:cs="Calibri"/>
          <w:sz w:val="22"/>
          <w:szCs w:val="22"/>
          <w:lang w:val="en-GB"/>
        </w:rPr>
        <w:t xml:space="preserve">=40. In general, FPRs show a small bias towards a liberal test performance for the bootstrapped test statistics at small ensemble sizes of </w:t>
      </w:r>
      <w:r>
        <w:rPr>
          <w:rFonts w:ascii="Calibri" w:hAnsi="Calibri" w:cs="Calibri"/>
          <w:i/>
          <w:iCs/>
          <w:sz w:val="22"/>
          <w:szCs w:val="22"/>
          <w:lang w:val="en-GB"/>
        </w:rPr>
        <w:t>N</w:t>
      </w:r>
      <w:r>
        <w:rPr>
          <w:rFonts w:ascii="Calibri" w:hAnsi="Calibri" w:cs="Calibri"/>
          <w:sz w:val="22"/>
          <w:szCs w:val="22"/>
          <w:lang w:val="en-GB"/>
        </w:rPr>
        <w:t xml:space="preserve">=20 and </w:t>
      </w:r>
      <w:r>
        <w:rPr>
          <w:rFonts w:ascii="Calibri" w:hAnsi="Calibri" w:cs="Calibri"/>
          <w:i/>
          <w:iCs/>
          <w:sz w:val="22"/>
          <w:szCs w:val="22"/>
          <w:lang w:val="en-GB"/>
        </w:rPr>
        <w:t>N</w:t>
      </w:r>
      <w:r>
        <w:rPr>
          <w:rFonts w:ascii="Calibri" w:hAnsi="Calibri" w:cs="Calibri"/>
          <w:sz w:val="22"/>
          <w:szCs w:val="22"/>
          <w:lang w:val="en-GB"/>
        </w:rPr>
        <w:t xml:space="preserve">=40, which decreases for increasing </w:t>
      </w:r>
      <w:r>
        <w:rPr>
          <w:rFonts w:ascii="Calibri" w:hAnsi="Calibri" w:cs="Calibri"/>
          <w:i/>
          <w:iCs/>
          <w:sz w:val="22"/>
          <w:szCs w:val="22"/>
          <w:lang w:val="en-GB"/>
        </w:rPr>
        <w:t>N,</w:t>
      </w:r>
      <w:r>
        <w:rPr>
          <w:rFonts w:ascii="Calibri" w:hAnsi="Calibri" w:cs="Calibri"/>
          <w:sz w:val="22"/>
          <w:szCs w:val="22"/>
          <w:lang w:val="en-GB"/>
        </w:rPr>
        <w:t xml:space="preserve"> and can likely be attributed to variance in the power spectral density estimates (</w:t>
      </w:r>
      <w:r>
        <w:rPr>
          <w:rFonts w:ascii="Calibri" w:hAnsi="Calibri" w:cs="Calibri"/>
          <w:color w:val="0070C0"/>
          <w:position w:val="-8"/>
          <w:sz w:val="22"/>
          <w:szCs w:val="22"/>
          <w:lang w:val="en-GB"/>
        </w:rPr>
        <w:object>
          <v:shape id="_x0000_i1067" o:spt="75" type="#_x0000_t75" style="height:17.9pt;width:13.1pt;" o:ole="t" filled="f" o:preferrelative="t" stroked="f" coordsize="21600,21600">
            <v:path/>
            <v:fill on="f" focussize="0,0"/>
            <v:stroke on="f" joinstyle="miter"/>
            <v:imagedata r:id="rId64" o:title=""/>
            <o:lock v:ext="edit" aspectratio="t"/>
            <w10:wrap type="none"/>
            <w10:anchorlock/>
          </v:shape>
          <o:OLEObject Type="Embed" ProgID="Equation.KSEE3" ShapeID="_x0000_i1067" DrawAspect="Content" ObjectID="_1468075767" r:id="rId80">
            <o:LockedField>false</o:LockedField>
          </o:OLEObject>
        </w:object>
      </w:r>
      <w:r>
        <w:rPr>
          <w:rFonts w:ascii="Calibri" w:hAnsi="Calibri" w:cs="Calibri"/>
          <w:sz w:val="22"/>
          <w:szCs w:val="22"/>
          <w:lang w:val="en-GB"/>
        </w:rPr>
        <w:t xml:space="preserve">) used in the frequency domain bootstrap. To ensure a fair comparison in the subsequent assessments of test sensitivity, the nominal α-levels were adjusted, per test statistic, such that their FPRs equal 0.01. The adjusted α-levels are also shown in Table 3 (middle panel). </w:t>
      </w:r>
    </w:p>
    <w:p>
      <w:pPr>
        <w:spacing w:line="240" w:lineRule="auto"/>
        <w:jc w:val="both"/>
        <w:rPr>
          <w:rFonts w:ascii="Calibri" w:hAnsi="Calibri" w:cs="Calibri"/>
          <w:sz w:val="22"/>
          <w:szCs w:val="22"/>
          <w:lang w:val="en-GB"/>
        </w:rPr>
      </w:pPr>
    </w:p>
    <w:p>
      <w:pPr>
        <w:spacing w:line="240" w:lineRule="auto"/>
        <w:jc w:val="both"/>
        <w:rPr>
          <w:rFonts w:ascii="Calibri" w:hAnsi="Calibri" w:cs="Calibri"/>
          <w:b/>
          <w:bCs/>
          <w:sz w:val="22"/>
          <w:szCs w:val="22"/>
          <w:lang w:val="en-GB"/>
        </w:rPr>
      </w:pPr>
      <w:r>
        <w:rPr>
          <w:rFonts w:ascii="Calibri" w:hAnsi="Calibri" w:cs="Calibri"/>
          <w:sz w:val="22"/>
          <w:szCs w:val="22"/>
          <w:u w:val="single"/>
          <w:lang w:val="en-GB"/>
        </w:rPr>
        <w:t>Infant data:</w:t>
      </w:r>
      <w:r>
        <w:rPr>
          <w:rFonts w:ascii="Calibri" w:hAnsi="Calibri" w:cs="Calibri"/>
          <w:sz w:val="22"/>
          <w:szCs w:val="22"/>
          <w:lang w:val="en-GB"/>
        </w:rPr>
        <w:t xml:space="preserve"> The FPRs of the detection methods for the inaudible infant CAEP recordings are also shown in Table 3 (right panel). All FPRs fell within the expected 99% confidence intervals for α = 0.01. However, it is worth emphasizing that there was relatively little data for the assessment, which resulted in wide confidence intervals for α = 0.01. This may have prevented small deviations from the α-levels from being detected.</w:t>
      </w:r>
    </w:p>
    <w:p>
      <w:pPr>
        <w:spacing w:line="240" w:lineRule="auto"/>
        <w:jc w:val="both"/>
        <w:rPr>
          <w:rFonts w:hint="default" w:ascii="Calibri" w:hAnsi="Calibri" w:cs="Calibri"/>
          <w:b/>
          <w:bCs/>
          <w:sz w:val="22"/>
          <w:szCs w:val="22"/>
          <w:lang w:val="en-GB"/>
        </w:rPr>
      </w:pPr>
    </w:p>
    <w:tbl>
      <w:tblPr>
        <w:tblStyle w:val="4"/>
        <w:tblW w:w="4996" w:type="pct"/>
        <w:tblInd w:w="0" w:type="dxa"/>
        <w:tblLayout w:type="autofit"/>
        <w:tblCellMar>
          <w:top w:w="0" w:type="dxa"/>
          <w:left w:w="0" w:type="dxa"/>
          <w:bottom w:w="0" w:type="dxa"/>
          <w:right w:w="0" w:type="dxa"/>
        </w:tblCellMar>
      </w:tblPr>
      <w:tblGrid>
        <w:gridCol w:w="1298"/>
        <w:gridCol w:w="695"/>
        <w:gridCol w:w="696"/>
        <w:gridCol w:w="696"/>
        <w:gridCol w:w="696"/>
        <w:gridCol w:w="696"/>
        <w:gridCol w:w="696"/>
        <w:gridCol w:w="696"/>
        <w:gridCol w:w="696"/>
        <w:gridCol w:w="696"/>
        <w:gridCol w:w="696"/>
        <w:gridCol w:w="696"/>
        <w:gridCol w:w="707"/>
      </w:tblGrid>
      <w:tr>
        <w:tblPrEx>
          <w:tblCellMar>
            <w:top w:w="0" w:type="dxa"/>
            <w:left w:w="0" w:type="dxa"/>
            <w:bottom w:w="0" w:type="dxa"/>
            <w:right w:w="0" w:type="dxa"/>
          </w:tblCellMar>
        </w:tblPrEx>
        <w:trPr>
          <w:trHeight w:val="321" w:hRule="atLeast"/>
        </w:trPr>
        <w:tc>
          <w:tcPr>
            <w:tcW w:w="672" w:type="pct"/>
            <w:vMerge w:val="restart"/>
            <w:tcBorders>
              <w:top w:val="double" w:color="000000" w:sz="4" w:space="0"/>
              <w:left w:val="double" w:color="000000" w:sz="4" w:space="0"/>
              <w:bottom w:val="single" w:color="000000" w:sz="4" w:space="0"/>
              <w:right w:val="double" w:color="000000" w:sz="4" w:space="0"/>
            </w:tcBorders>
            <w:shd w:val="clear" w:color="auto" w:fill="auto"/>
            <w:noWrap/>
            <w:tcMar>
              <w:top w:w="15" w:type="dxa"/>
              <w:left w:w="15" w:type="dxa"/>
              <w:right w:w="15" w:type="dxa"/>
            </w:tcMar>
            <w:vAlign w:val="bottom"/>
          </w:tcPr>
          <w:p>
            <w:pPr>
              <w:spacing w:line="240" w:lineRule="auto"/>
              <w:jc w:val="center"/>
              <w:rPr>
                <w:rFonts w:ascii="Calibri" w:hAnsi="Calibri" w:cs="Calibri"/>
                <w:color w:val="000000"/>
              </w:rPr>
            </w:pPr>
          </w:p>
        </w:tc>
        <w:tc>
          <w:tcPr>
            <w:tcW w:w="1440" w:type="pct"/>
            <w:gridSpan w:val="4"/>
            <w:tcBorders>
              <w:top w:val="double" w:color="000000" w:sz="4" w:space="0"/>
              <w:left w:val="double" w:color="000000" w:sz="4" w:space="0"/>
              <w:bottom w:val="single" w:color="000000" w:sz="4" w:space="0"/>
              <w:right w:val="doub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eastAsia="SimSun" w:cs="Calibri"/>
                <w:b/>
                <w:color w:val="000000"/>
                <w:lang w:val="en-GB" w:bidi="ar"/>
              </w:rPr>
            </w:pPr>
            <w:r>
              <w:rPr>
                <w:rFonts w:ascii="Calibri" w:hAnsi="Calibri" w:eastAsia="SimSun" w:cs="Calibri"/>
                <w:b/>
                <w:color w:val="000000"/>
                <w:lang w:bidi="ar"/>
              </w:rPr>
              <w:t>FPRs</w:t>
            </w:r>
            <w:r>
              <w:rPr>
                <w:rFonts w:ascii="Calibri" w:hAnsi="Calibri" w:eastAsia="SimSun" w:cs="Calibri"/>
                <w:b/>
                <w:color w:val="000000"/>
                <w:lang w:val="en-GB" w:bidi="ar"/>
              </w:rPr>
              <w:t xml:space="preserve"> </w:t>
            </w:r>
          </w:p>
          <w:p>
            <w:pPr>
              <w:spacing w:line="240" w:lineRule="auto"/>
              <w:jc w:val="center"/>
              <w:textAlignment w:val="bottom"/>
              <w:rPr>
                <w:rFonts w:ascii="Calibri" w:hAnsi="Calibri" w:cs="Calibri"/>
                <w:b/>
                <w:color w:val="000000"/>
                <w:lang w:val="en-GB"/>
              </w:rPr>
            </w:pPr>
            <w:r>
              <w:rPr>
                <w:rFonts w:ascii="Calibri" w:hAnsi="Calibri" w:eastAsia="SimSun" w:cs="Calibri"/>
                <w:b/>
                <w:color w:val="000000"/>
                <w:lang w:val="en-GB" w:bidi="ar"/>
              </w:rPr>
              <w:t>simulations</w:t>
            </w:r>
          </w:p>
        </w:tc>
        <w:tc>
          <w:tcPr>
            <w:tcW w:w="1440" w:type="pct"/>
            <w:gridSpan w:val="4"/>
            <w:tcBorders>
              <w:top w:val="double" w:color="000000" w:sz="4" w:space="0"/>
              <w:left w:val="double" w:color="000000" w:sz="4" w:space="0"/>
              <w:bottom w:val="single" w:color="000000" w:sz="4" w:space="0"/>
              <w:right w:val="doub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eastAsia="SimSun" w:cs="Calibri"/>
                <w:b/>
                <w:color w:val="000000"/>
                <w:lang w:bidi="ar"/>
              </w:rPr>
            </w:pPr>
            <w:r>
              <w:rPr>
                <w:rFonts w:ascii="Calibri" w:hAnsi="Calibri" w:eastAsia="SimSun" w:cs="Calibri"/>
                <w:b/>
                <w:color w:val="000000"/>
                <w:lang w:bidi="ar"/>
              </w:rPr>
              <w:t xml:space="preserve">Adjusted </w:t>
            </w:r>
            <w:r>
              <w:rPr>
                <w:rFonts w:ascii="Calibri" w:hAnsi="Calibri" w:cs="Calibri"/>
                <w:b/>
                <w:lang w:val="en-GB"/>
              </w:rPr>
              <w:t>α</w:t>
            </w:r>
            <w:r>
              <w:rPr>
                <w:rFonts w:ascii="Calibri" w:hAnsi="Calibri" w:eastAsia="SimSun" w:cs="Calibri"/>
                <w:b/>
                <w:color w:val="000000"/>
                <w:lang w:bidi="ar"/>
              </w:rPr>
              <w:t>-levels</w:t>
            </w:r>
          </w:p>
          <w:p>
            <w:pPr>
              <w:spacing w:line="240" w:lineRule="auto"/>
              <w:jc w:val="center"/>
              <w:textAlignment w:val="bottom"/>
              <w:rPr>
                <w:rFonts w:ascii="Calibri" w:hAnsi="Calibri" w:eastAsia="SimSun" w:cs="Calibri"/>
                <w:b/>
                <w:color w:val="000000"/>
                <w:lang w:val="en-GB" w:bidi="ar"/>
              </w:rPr>
            </w:pPr>
            <w:r>
              <w:rPr>
                <w:rFonts w:ascii="Calibri" w:hAnsi="Calibri" w:eastAsia="SimSun" w:cs="Calibri"/>
                <w:b/>
                <w:color w:val="000000"/>
                <w:lang w:val="en-GB" w:bidi="ar"/>
              </w:rPr>
              <w:t>simulations</w:t>
            </w:r>
          </w:p>
        </w:tc>
        <w:tc>
          <w:tcPr>
            <w:tcW w:w="1446" w:type="pct"/>
            <w:gridSpan w:val="4"/>
            <w:tcBorders>
              <w:top w:val="double" w:color="000000" w:sz="4" w:space="0"/>
              <w:left w:val="double" w:color="000000" w:sz="4" w:space="0"/>
              <w:bottom w:val="single" w:color="000000" w:sz="4" w:space="0"/>
              <w:right w:val="doub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eastAsia="SimSun" w:cs="Calibri"/>
                <w:b/>
                <w:color w:val="000000"/>
                <w:lang w:val="en-GB" w:bidi="ar"/>
              </w:rPr>
            </w:pPr>
            <w:r>
              <w:rPr>
                <w:rFonts w:ascii="Calibri" w:hAnsi="Calibri" w:eastAsia="SimSun" w:cs="Calibri"/>
                <w:b/>
                <w:color w:val="000000"/>
                <w:lang w:bidi="ar"/>
              </w:rPr>
              <w:t>FPRs</w:t>
            </w:r>
            <w:r>
              <w:rPr>
                <w:rFonts w:ascii="Calibri" w:hAnsi="Calibri" w:eastAsia="SimSun" w:cs="Calibri"/>
                <w:b/>
                <w:color w:val="000000"/>
                <w:lang w:val="en-GB" w:bidi="ar"/>
              </w:rPr>
              <w:t xml:space="preserve"> </w:t>
            </w:r>
          </w:p>
          <w:p>
            <w:pPr>
              <w:spacing w:line="240" w:lineRule="auto"/>
              <w:jc w:val="center"/>
              <w:textAlignment w:val="bottom"/>
              <w:rPr>
                <w:rFonts w:ascii="Calibri" w:hAnsi="Calibri" w:eastAsia="SimSun" w:cs="Calibri"/>
                <w:b/>
                <w:color w:val="000000"/>
                <w:lang w:val="en-GB" w:bidi="ar"/>
              </w:rPr>
            </w:pPr>
            <w:r>
              <w:rPr>
                <w:rFonts w:ascii="Calibri" w:hAnsi="Calibri" w:eastAsia="SimSun" w:cs="Calibri"/>
                <w:b/>
                <w:color w:val="000000"/>
                <w:lang w:val="en-GB" w:bidi="ar"/>
              </w:rPr>
              <w:t>infant data</w:t>
            </w:r>
          </w:p>
        </w:tc>
      </w:tr>
      <w:tr>
        <w:tblPrEx>
          <w:tblCellMar>
            <w:top w:w="0" w:type="dxa"/>
            <w:left w:w="0" w:type="dxa"/>
            <w:bottom w:w="0" w:type="dxa"/>
            <w:right w:w="0" w:type="dxa"/>
          </w:tblCellMar>
        </w:tblPrEx>
        <w:trPr>
          <w:trHeight w:val="321" w:hRule="atLeast"/>
        </w:trPr>
        <w:tc>
          <w:tcPr>
            <w:tcW w:w="672" w:type="pct"/>
            <w:vMerge w:val="continue"/>
            <w:tcBorders>
              <w:top w:val="single" w:color="000000" w:sz="8" w:space="0"/>
              <w:left w:val="double" w:color="000000" w:sz="4" w:space="0"/>
              <w:bottom w:val="single" w:color="000000" w:sz="4" w:space="0"/>
              <w:right w:val="double" w:color="000000" w:sz="4" w:space="0"/>
            </w:tcBorders>
            <w:shd w:val="clear" w:color="auto" w:fill="auto"/>
            <w:noWrap/>
            <w:tcMar>
              <w:top w:w="15" w:type="dxa"/>
              <w:left w:w="15" w:type="dxa"/>
              <w:right w:w="15" w:type="dxa"/>
            </w:tcMar>
            <w:vAlign w:val="bottom"/>
          </w:tcPr>
          <w:p>
            <w:pPr>
              <w:spacing w:line="240" w:lineRule="auto"/>
              <w:jc w:val="center"/>
              <w:rPr>
                <w:rFonts w:ascii="Calibri" w:hAnsi="Calibri" w:cs="Calibri"/>
                <w:color w:val="000000"/>
              </w:rPr>
            </w:pPr>
          </w:p>
        </w:tc>
        <w:tc>
          <w:tcPr>
            <w:tcW w:w="360" w:type="pct"/>
            <w:tcBorders>
              <w:top w:val="single" w:color="000000" w:sz="4" w:space="0"/>
              <w:left w:val="doub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b/>
                <w:color w:val="000000"/>
              </w:rPr>
            </w:pPr>
            <w:r>
              <w:rPr>
                <w:rFonts w:ascii="Calibri" w:hAnsi="Calibri" w:eastAsia="SimSun" w:cs="Calibri"/>
                <w:b/>
                <w:i/>
                <w:iCs/>
                <w:color w:val="000000"/>
                <w:lang w:bidi="ar"/>
              </w:rPr>
              <w:t>N</w:t>
            </w:r>
            <w:r>
              <w:rPr>
                <w:rFonts w:ascii="Calibri" w:hAnsi="Calibri" w:eastAsia="SimSun" w:cs="Calibri"/>
                <w:b/>
                <w:color w:val="000000"/>
                <w:lang w:bidi="ar"/>
              </w:rPr>
              <w:t>=20</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b/>
                <w:color w:val="000000"/>
              </w:rPr>
            </w:pPr>
            <w:r>
              <w:rPr>
                <w:rFonts w:ascii="Calibri" w:hAnsi="Calibri" w:eastAsia="SimSun" w:cs="Calibri"/>
                <w:b/>
                <w:i/>
                <w:iCs/>
                <w:color w:val="000000"/>
                <w:lang w:bidi="ar"/>
              </w:rPr>
              <w:t>N</w:t>
            </w:r>
            <w:r>
              <w:rPr>
                <w:rFonts w:ascii="Calibri" w:hAnsi="Calibri" w:eastAsia="SimSun" w:cs="Calibri"/>
                <w:b/>
                <w:color w:val="000000"/>
                <w:lang w:bidi="ar"/>
              </w:rPr>
              <w:t>=40</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b/>
                <w:color w:val="000000"/>
              </w:rPr>
            </w:pPr>
            <w:r>
              <w:rPr>
                <w:rFonts w:ascii="Calibri" w:hAnsi="Calibri" w:eastAsia="SimSun" w:cs="Calibri"/>
                <w:b/>
                <w:i/>
                <w:iCs/>
                <w:color w:val="000000"/>
                <w:lang w:bidi="ar"/>
              </w:rPr>
              <w:t>N</w:t>
            </w:r>
            <w:r>
              <w:rPr>
                <w:rFonts w:ascii="Calibri" w:hAnsi="Calibri" w:eastAsia="SimSun" w:cs="Calibri"/>
                <w:b/>
                <w:color w:val="000000"/>
                <w:lang w:bidi="ar"/>
              </w:rPr>
              <w:t>=80</w:t>
            </w:r>
          </w:p>
        </w:tc>
        <w:tc>
          <w:tcPr>
            <w:tcW w:w="360" w:type="pct"/>
            <w:tcBorders>
              <w:top w:val="single" w:color="000000" w:sz="4" w:space="0"/>
              <w:left w:val="single" w:color="000000" w:sz="4" w:space="0"/>
              <w:bottom w:val="single" w:color="000000" w:sz="4" w:space="0"/>
              <w:right w:val="doub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b/>
                <w:color w:val="000000"/>
              </w:rPr>
            </w:pPr>
            <w:r>
              <w:rPr>
                <w:rFonts w:ascii="Calibri" w:hAnsi="Calibri" w:eastAsia="SimSun" w:cs="Calibri"/>
                <w:b/>
                <w:i/>
                <w:iCs/>
                <w:color w:val="000000"/>
                <w:lang w:bidi="ar"/>
              </w:rPr>
              <w:t>N</w:t>
            </w:r>
            <w:r>
              <w:rPr>
                <w:rFonts w:ascii="Calibri" w:hAnsi="Calibri" w:eastAsia="SimSun" w:cs="Calibri"/>
                <w:b/>
                <w:color w:val="000000"/>
                <w:lang w:bidi="ar"/>
              </w:rPr>
              <w:t>=160</w:t>
            </w:r>
          </w:p>
        </w:tc>
        <w:tc>
          <w:tcPr>
            <w:tcW w:w="360" w:type="pct"/>
            <w:tcBorders>
              <w:top w:val="single" w:color="000000" w:sz="4" w:space="0"/>
              <w:left w:val="doub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b/>
                <w:color w:val="000000"/>
              </w:rPr>
            </w:pPr>
            <w:r>
              <w:rPr>
                <w:rFonts w:ascii="Calibri" w:hAnsi="Calibri" w:eastAsia="SimSun" w:cs="Calibri"/>
                <w:b/>
                <w:i/>
                <w:iCs/>
                <w:color w:val="000000"/>
                <w:lang w:bidi="ar"/>
              </w:rPr>
              <w:t>N</w:t>
            </w:r>
            <w:r>
              <w:rPr>
                <w:rFonts w:ascii="Calibri" w:hAnsi="Calibri" w:eastAsia="SimSun" w:cs="Calibri"/>
                <w:b/>
                <w:color w:val="000000"/>
                <w:lang w:bidi="ar"/>
              </w:rPr>
              <w:t>=20</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b/>
                <w:color w:val="000000"/>
              </w:rPr>
            </w:pPr>
            <w:r>
              <w:rPr>
                <w:rFonts w:ascii="Calibri" w:hAnsi="Calibri" w:eastAsia="SimSun" w:cs="Calibri"/>
                <w:b/>
                <w:i/>
                <w:iCs/>
                <w:color w:val="000000"/>
                <w:lang w:bidi="ar"/>
              </w:rPr>
              <w:t>N</w:t>
            </w:r>
            <w:r>
              <w:rPr>
                <w:rFonts w:ascii="Calibri" w:hAnsi="Calibri" w:eastAsia="SimSun" w:cs="Calibri"/>
                <w:b/>
                <w:color w:val="000000"/>
                <w:lang w:bidi="ar"/>
              </w:rPr>
              <w:t>=40</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b/>
                <w:color w:val="000000"/>
              </w:rPr>
            </w:pPr>
            <w:r>
              <w:rPr>
                <w:rFonts w:ascii="Calibri" w:hAnsi="Calibri" w:eastAsia="SimSun" w:cs="Calibri"/>
                <w:b/>
                <w:i/>
                <w:iCs/>
                <w:color w:val="000000"/>
                <w:lang w:bidi="ar"/>
              </w:rPr>
              <w:t>N</w:t>
            </w:r>
            <w:r>
              <w:rPr>
                <w:rFonts w:ascii="Calibri" w:hAnsi="Calibri" w:eastAsia="SimSun" w:cs="Calibri"/>
                <w:b/>
                <w:color w:val="000000"/>
                <w:lang w:bidi="ar"/>
              </w:rPr>
              <w:t>=80</w:t>
            </w:r>
          </w:p>
        </w:tc>
        <w:tc>
          <w:tcPr>
            <w:tcW w:w="360" w:type="pct"/>
            <w:tcBorders>
              <w:top w:val="single" w:color="000000" w:sz="4" w:space="0"/>
              <w:left w:val="single" w:color="000000" w:sz="4" w:space="0"/>
              <w:bottom w:val="single" w:color="000000" w:sz="4" w:space="0"/>
              <w:right w:val="doub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b/>
                <w:color w:val="000000"/>
              </w:rPr>
            </w:pPr>
            <w:r>
              <w:rPr>
                <w:rFonts w:ascii="Calibri" w:hAnsi="Calibri" w:eastAsia="SimSun" w:cs="Calibri"/>
                <w:b/>
                <w:i/>
                <w:iCs/>
                <w:color w:val="000000"/>
                <w:lang w:bidi="ar"/>
              </w:rPr>
              <w:t>N</w:t>
            </w:r>
            <w:r>
              <w:rPr>
                <w:rFonts w:ascii="Calibri" w:hAnsi="Calibri" w:eastAsia="SimSun" w:cs="Calibri"/>
                <w:b/>
                <w:color w:val="000000"/>
                <w:lang w:bidi="ar"/>
              </w:rPr>
              <w:t>=160</w:t>
            </w:r>
          </w:p>
        </w:tc>
        <w:tc>
          <w:tcPr>
            <w:tcW w:w="360" w:type="pct"/>
            <w:tcBorders>
              <w:top w:val="single" w:color="000000" w:sz="4" w:space="0"/>
              <w:left w:val="doub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eastAsia="SimSun" w:cs="Calibri"/>
                <w:b/>
                <w:color w:val="000000"/>
                <w:lang w:bidi="ar"/>
              </w:rPr>
            </w:pPr>
            <w:r>
              <w:rPr>
                <w:rFonts w:ascii="Calibri" w:hAnsi="Calibri" w:eastAsia="SimSun" w:cs="Calibri"/>
                <w:b/>
                <w:i/>
                <w:iCs/>
                <w:color w:val="000000"/>
                <w:lang w:bidi="ar"/>
              </w:rPr>
              <w:t>N</w:t>
            </w:r>
            <w:r>
              <w:rPr>
                <w:rFonts w:ascii="Calibri" w:hAnsi="Calibri" w:eastAsia="SimSun" w:cs="Calibri"/>
                <w:b/>
                <w:color w:val="000000"/>
                <w:lang w:bidi="ar"/>
              </w:rPr>
              <w:t>=20</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eastAsia="SimSun" w:cs="Calibri"/>
                <w:b/>
                <w:color w:val="000000"/>
                <w:lang w:bidi="ar"/>
              </w:rPr>
            </w:pPr>
            <w:r>
              <w:rPr>
                <w:rFonts w:ascii="Calibri" w:hAnsi="Calibri" w:eastAsia="SimSun" w:cs="Calibri"/>
                <w:b/>
                <w:i/>
                <w:iCs/>
                <w:color w:val="000000"/>
                <w:lang w:bidi="ar"/>
              </w:rPr>
              <w:t>N</w:t>
            </w:r>
            <w:r>
              <w:rPr>
                <w:rFonts w:ascii="Calibri" w:hAnsi="Calibri" w:eastAsia="SimSun" w:cs="Calibri"/>
                <w:b/>
                <w:color w:val="000000"/>
                <w:lang w:bidi="ar"/>
              </w:rPr>
              <w:t>=40</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eastAsia="SimSun" w:cs="Calibri"/>
                <w:b/>
                <w:color w:val="000000"/>
                <w:lang w:bidi="ar"/>
              </w:rPr>
            </w:pPr>
            <w:r>
              <w:rPr>
                <w:rFonts w:ascii="Calibri" w:hAnsi="Calibri" w:eastAsia="SimSun" w:cs="Calibri"/>
                <w:b/>
                <w:i/>
                <w:iCs/>
                <w:color w:val="000000"/>
                <w:lang w:bidi="ar"/>
              </w:rPr>
              <w:t>N</w:t>
            </w:r>
            <w:r>
              <w:rPr>
                <w:rFonts w:ascii="Calibri" w:hAnsi="Calibri" w:eastAsia="SimSun" w:cs="Calibri"/>
                <w:b/>
                <w:color w:val="000000"/>
                <w:lang w:bidi="ar"/>
              </w:rPr>
              <w:t>=80</w:t>
            </w:r>
          </w:p>
        </w:tc>
        <w:tc>
          <w:tcPr>
            <w:tcW w:w="365" w:type="pct"/>
            <w:tcBorders>
              <w:top w:val="single" w:color="000000" w:sz="4" w:space="0"/>
              <w:left w:val="single" w:color="000000" w:sz="4" w:space="0"/>
              <w:bottom w:val="single" w:color="000000" w:sz="4" w:space="0"/>
              <w:right w:val="doub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eastAsia="SimSun" w:cs="Calibri"/>
                <w:b/>
                <w:color w:val="000000"/>
                <w:lang w:bidi="ar"/>
              </w:rPr>
            </w:pPr>
            <w:r>
              <w:rPr>
                <w:rFonts w:ascii="Calibri" w:hAnsi="Calibri" w:eastAsia="SimSun" w:cs="Calibri"/>
                <w:b/>
                <w:i/>
                <w:iCs/>
                <w:color w:val="000000"/>
                <w:lang w:bidi="ar"/>
              </w:rPr>
              <w:t>N</w:t>
            </w:r>
            <w:r>
              <w:rPr>
                <w:rFonts w:ascii="Calibri" w:hAnsi="Calibri" w:eastAsia="SimSun" w:cs="Calibri"/>
                <w:b/>
                <w:color w:val="000000"/>
                <w:lang w:bidi="ar"/>
              </w:rPr>
              <w:t>=160</w:t>
            </w:r>
          </w:p>
        </w:tc>
      </w:tr>
      <w:tr>
        <w:tblPrEx>
          <w:tblCellMar>
            <w:top w:w="0" w:type="dxa"/>
            <w:left w:w="0" w:type="dxa"/>
            <w:bottom w:w="0" w:type="dxa"/>
            <w:right w:w="0" w:type="dxa"/>
          </w:tblCellMar>
        </w:tblPrEx>
        <w:trPr>
          <w:trHeight w:val="321" w:hRule="atLeast"/>
        </w:trPr>
        <w:tc>
          <w:tcPr>
            <w:tcW w:w="672" w:type="pct"/>
            <w:tcBorders>
              <w:top w:val="single" w:color="000000" w:sz="4" w:space="0"/>
              <w:left w:val="double" w:color="000000" w:sz="4" w:space="0"/>
              <w:bottom w:val="single" w:color="000000" w:sz="4" w:space="0"/>
              <w:right w:val="double" w:color="000000" w:sz="4" w:space="0"/>
            </w:tcBorders>
            <w:shd w:val="clear" w:color="auto" w:fill="auto"/>
            <w:noWrap/>
            <w:tcMar>
              <w:top w:w="15" w:type="dxa"/>
              <w:left w:w="15" w:type="dxa"/>
              <w:right w:w="15" w:type="dxa"/>
            </w:tcMar>
            <w:vAlign w:val="center"/>
          </w:tcPr>
          <w:p>
            <w:pPr>
              <w:spacing w:line="240" w:lineRule="auto"/>
              <w:textAlignment w:val="center"/>
              <w:rPr>
                <w:rFonts w:ascii="Calibri" w:hAnsi="Calibri" w:cs="Calibri"/>
                <w:b/>
                <w:color w:val="000000"/>
              </w:rPr>
            </w:pPr>
            <w:r>
              <w:rPr>
                <w:rFonts w:ascii="Calibri" w:hAnsi="Calibri" w:eastAsia="SimSun" w:cs="Calibri"/>
                <w:b/>
                <w:color w:val="000000"/>
                <w:lang w:bidi="ar"/>
              </w:rPr>
              <w:t>T</w:t>
            </w:r>
            <w:r>
              <w:rPr>
                <w:rFonts w:ascii="Calibri" w:hAnsi="Calibri" w:eastAsia="SimSun" w:cs="Calibri"/>
                <w:b/>
                <w:color w:val="000000"/>
                <w:vertAlign w:val="superscript"/>
                <w:lang w:bidi="ar"/>
              </w:rPr>
              <w:t>2</w:t>
            </w:r>
            <w:r>
              <w:rPr>
                <w:rFonts w:ascii="Calibri" w:hAnsi="Calibri" w:eastAsia="SimSun" w:cs="Calibri"/>
                <w:b/>
                <w:color w:val="000000"/>
                <w:vertAlign w:val="subscript"/>
                <w:lang w:bidi="ar"/>
              </w:rPr>
              <w:t>Time</w:t>
            </w:r>
          </w:p>
        </w:tc>
        <w:tc>
          <w:tcPr>
            <w:tcW w:w="360" w:type="pct"/>
            <w:tcBorders>
              <w:top w:val="single" w:color="000000" w:sz="4" w:space="0"/>
              <w:left w:val="double" w:color="000000" w:sz="4" w:space="0"/>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0.01</w:t>
            </w:r>
          </w:p>
        </w:tc>
        <w:tc>
          <w:tcPr>
            <w:tcW w:w="360" w:type="pct"/>
            <w:tcBorders>
              <w:top w:val="single" w:color="000000" w:sz="4" w:space="0"/>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0.0107</w:t>
            </w:r>
          </w:p>
        </w:tc>
        <w:tc>
          <w:tcPr>
            <w:tcW w:w="360" w:type="pct"/>
            <w:tcBorders>
              <w:top w:val="single" w:color="000000" w:sz="4" w:space="0"/>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0.0081</w:t>
            </w:r>
          </w:p>
        </w:tc>
        <w:tc>
          <w:tcPr>
            <w:tcW w:w="360" w:type="pct"/>
            <w:tcBorders>
              <w:top w:val="single" w:color="000000" w:sz="4" w:space="0"/>
              <w:left w:val="nil"/>
              <w:bottom w:val="nil"/>
              <w:right w:val="doub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0.0089</w:t>
            </w:r>
          </w:p>
        </w:tc>
        <w:tc>
          <w:tcPr>
            <w:tcW w:w="360" w:type="pct"/>
            <w:tcBorders>
              <w:top w:val="single" w:color="000000" w:sz="4" w:space="0"/>
              <w:left w:val="double" w:color="000000" w:sz="4" w:space="0"/>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0.01</w:t>
            </w:r>
          </w:p>
        </w:tc>
        <w:tc>
          <w:tcPr>
            <w:tcW w:w="360" w:type="pct"/>
            <w:tcBorders>
              <w:top w:val="single" w:color="000000" w:sz="4" w:space="0"/>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0.01</w:t>
            </w:r>
          </w:p>
        </w:tc>
        <w:tc>
          <w:tcPr>
            <w:tcW w:w="360" w:type="pct"/>
            <w:tcBorders>
              <w:top w:val="single" w:color="000000" w:sz="4" w:space="0"/>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0.012</w:t>
            </w:r>
          </w:p>
        </w:tc>
        <w:tc>
          <w:tcPr>
            <w:tcW w:w="360" w:type="pct"/>
            <w:tcBorders>
              <w:top w:val="single" w:color="000000" w:sz="4" w:space="0"/>
              <w:left w:val="nil"/>
              <w:bottom w:val="nil"/>
              <w:right w:val="doub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0.012</w:t>
            </w:r>
          </w:p>
        </w:tc>
        <w:tc>
          <w:tcPr>
            <w:tcW w:w="360" w:type="pct"/>
            <w:tcBorders>
              <w:top w:val="single" w:color="000000" w:sz="4" w:space="0"/>
              <w:left w:val="double" w:color="000000" w:sz="4" w:space="0"/>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eastAsia="SimSun" w:cs="Calibri"/>
                <w:color w:val="000000"/>
                <w:lang w:val="en-GB" w:bidi="ar"/>
              </w:rPr>
            </w:pPr>
            <w:r>
              <w:rPr>
                <w:rFonts w:ascii="Calibri" w:hAnsi="Calibri" w:eastAsia="SimSun" w:cs="Calibri"/>
                <w:color w:val="000000"/>
                <w:lang w:val="en-GB" w:bidi="ar"/>
              </w:rPr>
              <w:t>0.006</w:t>
            </w:r>
          </w:p>
        </w:tc>
        <w:tc>
          <w:tcPr>
            <w:tcW w:w="360" w:type="pct"/>
            <w:tcBorders>
              <w:top w:val="single" w:color="000000" w:sz="4" w:space="0"/>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eastAsia="SimSun" w:cs="Calibri"/>
                <w:color w:val="000000"/>
                <w:lang w:val="en-GB" w:bidi="ar"/>
              </w:rPr>
            </w:pPr>
            <w:r>
              <w:rPr>
                <w:rFonts w:ascii="Calibri" w:hAnsi="Calibri" w:eastAsia="SimSun" w:cs="Calibri"/>
                <w:color w:val="000000"/>
                <w:lang w:val="en-GB" w:bidi="ar"/>
              </w:rPr>
              <w:t>0</w:t>
            </w:r>
          </w:p>
        </w:tc>
        <w:tc>
          <w:tcPr>
            <w:tcW w:w="360" w:type="pct"/>
            <w:tcBorders>
              <w:top w:val="single" w:color="000000" w:sz="4" w:space="0"/>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eastAsia="SimSun" w:cs="Calibri"/>
                <w:color w:val="000000"/>
                <w:lang w:val="en-GB" w:bidi="ar"/>
              </w:rPr>
            </w:pPr>
            <w:r>
              <w:rPr>
                <w:rFonts w:ascii="Calibri" w:hAnsi="Calibri" w:eastAsia="SimSun" w:cs="Calibri"/>
                <w:color w:val="000000"/>
                <w:lang w:val="en-GB" w:bidi="ar"/>
              </w:rPr>
              <w:t>0</w:t>
            </w:r>
          </w:p>
        </w:tc>
        <w:tc>
          <w:tcPr>
            <w:tcW w:w="365" w:type="pct"/>
            <w:tcBorders>
              <w:top w:val="single" w:color="000000" w:sz="4" w:space="0"/>
              <w:left w:val="nil"/>
              <w:bottom w:val="nil"/>
              <w:right w:val="doub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eastAsia="SimSun" w:cs="Calibri"/>
                <w:color w:val="000000"/>
                <w:lang w:val="en-GB" w:bidi="ar"/>
              </w:rPr>
            </w:pPr>
            <w:r>
              <w:rPr>
                <w:rFonts w:ascii="Calibri" w:hAnsi="Calibri" w:eastAsia="SimSun" w:cs="Calibri"/>
                <w:color w:val="000000"/>
                <w:lang w:val="en-GB" w:bidi="ar"/>
              </w:rPr>
              <w:t>0</w:t>
            </w:r>
          </w:p>
        </w:tc>
      </w:tr>
      <w:tr>
        <w:tblPrEx>
          <w:tblCellMar>
            <w:top w:w="0" w:type="dxa"/>
            <w:left w:w="0" w:type="dxa"/>
            <w:bottom w:w="0" w:type="dxa"/>
            <w:right w:w="0" w:type="dxa"/>
          </w:tblCellMar>
        </w:tblPrEx>
        <w:trPr>
          <w:trHeight w:val="321" w:hRule="atLeast"/>
        </w:trPr>
        <w:tc>
          <w:tcPr>
            <w:tcW w:w="672" w:type="pct"/>
            <w:tcBorders>
              <w:top w:val="single" w:color="000000" w:sz="4" w:space="0"/>
              <w:left w:val="double" w:color="000000" w:sz="4" w:space="0"/>
              <w:bottom w:val="single" w:color="000000" w:sz="4" w:space="0"/>
              <w:right w:val="double" w:color="000000" w:sz="4" w:space="0"/>
            </w:tcBorders>
            <w:shd w:val="clear" w:color="auto" w:fill="auto"/>
            <w:noWrap/>
            <w:tcMar>
              <w:top w:w="15" w:type="dxa"/>
              <w:left w:w="15" w:type="dxa"/>
              <w:right w:w="15" w:type="dxa"/>
            </w:tcMar>
            <w:vAlign w:val="center"/>
          </w:tcPr>
          <w:p>
            <w:pPr>
              <w:spacing w:line="240" w:lineRule="auto"/>
              <w:textAlignment w:val="center"/>
              <w:rPr>
                <w:rFonts w:ascii="Calibri" w:hAnsi="Calibri" w:cs="Calibri"/>
                <w:b/>
                <w:color w:val="000000"/>
              </w:rPr>
            </w:pPr>
            <w:r>
              <w:rPr>
                <w:rFonts w:ascii="Calibri" w:hAnsi="Calibri" w:eastAsia="SimSun" w:cs="Calibri"/>
                <w:b/>
                <w:color w:val="000000"/>
                <w:lang w:bidi="ar"/>
              </w:rPr>
              <w:t>T</w:t>
            </w:r>
            <w:r>
              <w:rPr>
                <w:rFonts w:ascii="Calibri" w:hAnsi="Calibri" w:eastAsia="SimSun" w:cs="Calibri"/>
                <w:b/>
                <w:color w:val="000000"/>
                <w:vertAlign w:val="superscript"/>
                <w:lang w:bidi="ar"/>
              </w:rPr>
              <w:t>2</w:t>
            </w:r>
            <w:r>
              <w:rPr>
                <w:rFonts w:ascii="Calibri" w:hAnsi="Calibri" w:eastAsia="SimSun" w:cs="Calibri"/>
                <w:b/>
                <w:color w:val="000000"/>
                <w:vertAlign w:val="subscript"/>
                <w:lang w:bidi="ar"/>
              </w:rPr>
              <w:t>Freq</w:t>
            </w:r>
          </w:p>
        </w:tc>
        <w:tc>
          <w:tcPr>
            <w:tcW w:w="360" w:type="pct"/>
            <w:tcBorders>
              <w:top w:val="nil"/>
              <w:left w:val="double" w:color="000000" w:sz="4" w:space="0"/>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0.0089</w:t>
            </w:r>
          </w:p>
        </w:tc>
        <w:tc>
          <w:tcPr>
            <w:tcW w:w="360" w:type="pct"/>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0.0105</w:t>
            </w:r>
          </w:p>
        </w:tc>
        <w:tc>
          <w:tcPr>
            <w:tcW w:w="360" w:type="pct"/>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0.0081</w:t>
            </w:r>
          </w:p>
        </w:tc>
        <w:tc>
          <w:tcPr>
            <w:tcW w:w="360" w:type="pct"/>
            <w:tcBorders>
              <w:top w:val="nil"/>
              <w:left w:val="nil"/>
              <w:bottom w:val="nil"/>
              <w:right w:val="doub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0.0089</w:t>
            </w:r>
          </w:p>
        </w:tc>
        <w:tc>
          <w:tcPr>
            <w:tcW w:w="360" w:type="pct"/>
            <w:tcBorders>
              <w:top w:val="nil"/>
              <w:left w:val="double" w:color="000000" w:sz="4" w:space="0"/>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0.01</w:t>
            </w:r>
          </w:p>
        </w:tc>
        <w:tc>
          <w:tcPr>
            <w:tcW w:w="360" w:type="pct"/>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0.01</w:t>
            </w:r>
          </w:p>
        </w:tc>
        <w:tc>
          <w:tcPr>
            <w:tcW w:w="360" w:type="pct"/>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0.012</w:t>
            </w:r>
          </w:p>
        </w:tc>
        <w:tc>
          <w:tcPr>
            <w:tcW w:w="360" w:type="pct"/>
            <w:tcBorders>
              <w:top w:val="nil"/>
              <w:left w:val="nil"/>
              <w:bottom w:val="nil"/>
              <w:right w:val="doub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0.012</w:t>
            </w:r>
          </w:p>
        </w:tc>
        <w:tc>
          <w:tcPr>
            <w:tcW w:w="360" w:type="pct"/>
            <w:tcBorders>
              <w:top w:val="nil"/>
              <w:left w:val="double" w:color="000000" w:sz="4" w:space="0"/>
              <w:bottom w:val="nil"/>
              <w:right w:val="nil"/>
            </w:tcBorders>
            <w:shd w:val="clear" w:color="auto" w:fill="auto"/>
            <w:noWrap/>
            <w:tcMar>
              <w:top w:w="15" w:type="dxa"/>
              <w:left w:w="15" w:type="dxa"/>
              <w:right w:w="15" w:type="dxa"/>
            </w:tcMar>
          </w:tcPr>
          <w:p>
            <w:pPr>
              <w:spacing w:line="240" w:lineRule="auto"/>
              <w:jc w:val="center"/>
              <w:textAlignment w:val="bottom"/>
              <w:rPr>
                <w:rFonts w:ascii="Calibri" w:hAnsi="Calibri" w:eastAsia="SimSun" w:cs="Calibri"/>
                <w:color w:val="000000"/>
                <w:lang w:val="en-GB" w:bidi="ar"/>
              </w:rPr>
            </w:pPr>
            <w:r>
              <w:rPr>
                <w:rFonts w:ascii="Calibri" w:hAnsi="Calibri" w:eastAsia="SimSun" w:cs="Calibri"/>
                <w:color w:val="000000"/>
                <w:lang w:val="en-GB" w:bidi="ar"/>
              </w:rPr>
              <w:t>0.023</w:t>
            </w:r>
          </w:p>
        </w:tc>
        <w:tc>
          <w:tcPr>
            <w:tcW w:w="360" w:type="pct"/>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eastAsia="SimSun" w:cs="Calibri"/>
                <w:color w:val="000000"/>
                <w:lang w:val="en-GB" w:bidi="ar"/>
              </w:rPr>
            </w:pPr>
            <w:r>
              <w:rPr>
                <w:rFonts w:ascii="Calibri" w:hAnsi="Calibri" w:eastAsia="SimSun" w:cs="Calibri"/>
                <w:color w:val="000000"/>
                <w:lang w:val="en-GB" w:bidi="ar"/>
              </w:rPr>
              <w:t>0</w:t>
            </w:r>
          </w:p>
        </w:tc>
        <w:tc>
          <w:tcPr>
            <w:tcW w:w="360" w:type="pct"/>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eastAsia="SimSun" w:cs="Calibri"/>
                <w:color w:val="000000"/>
                <w:lang w:val="en-GB" w:bidi="ar"/>
              </w:rPr>
            </w:pPr>
            <w:r>
              <w:rPr>
                <w:rFonts w:ascii="Calibri" w:hAnsi="Calibri" w:eastAsia="SimSun" w:cs="Calibri"/>
                <w:color w:val="000000"/>
                <w:lang w:val="en-GB" w:bidi="ar"/>
              </w:rPr>
              <w:t>0</w:t>
            </w:r>
          </w:p>
        </w:tc>
        <w:tc>
          <w:tcPr>
            <w:tcW w:w="365" w:type="pct"/>
            <w:tcBorders>
              <w:top w:val="nil"/>
              <w:left w:val="nil"/>
              <w:bottom w:val="nil"/>
              <w:right w:val="doub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eastAsia="SimSun" w:cs="Calibri"/>
                <w:color w:val="000000"/>
                <w:lang w:val="en-GB" w:bidi="ar"/>
              </w:rPr>
            </w:pPr>
            <w:r>
              <w:rPr>
                <w:rFonts w:ascii="Calibri" w:hAnsi="Calibri" w:eastAsia="SimSun" w:cs="Calibri"/>
                <w:color w:val="000000"/>
                <w:lang w:val="en-GB" w:bidi="ar"/>
              </w:rPr>
              <w:t>0</w:t>
            </w:r>
          </w:p>
        </w:tc>
      </w:tr>
      <w:tr>
        <w:tblPrEx>
          <w:tblCellMar>
            <w:top w:w="0" w:type="dxa"/>
            <w:left w:w="0" w:type="dxa"/>
            <w:bottom w:w="0" w:type="dxa"/>
            <w:right w:w="0" w:type="dxa"/>
          </w:tblCellMar>
        </w:tblPrEx>
        <w:trPr>
          <w:trHeight w:val="321" w:hRule="atLeast"/>
        </w:trPr>
        <w:tc>
          <w:tcPr>
            <w:tcW w:w="672" w:type="pct"/>
            <w:tcBorders>
              <w:top w:val="single" w:color="000000" w:sz="4" w:space="0"/>
              <w:left w:val="double" w:color="000000" w:sz="4" w:space="0"/>
              <w:bottom w:val="single" w:color="000000" w:sz="4" w:space="0"/>
              <w:right w:val="double" w:color="000000" w:sz="4" w:space="0"/>
            </w:tcBorders>
            <w:shd w:val="clear" w:color="auto" w:fill="auto"/>
            <w:noWrap/>
            <w:tcMar>
              <w:top w:w="15" w:type="dxa"/>
              <w:left w:w="15" w:type="dxa"/>
              <w:right w:w="15" w:type="dxa"/>
            </w:tcMar>
            <w:vAlign w:val="bottom"/>
          </w:tcPr>
          <w:p>
            <w:pPr>
              <w:spacing w:line="240" w:lineRule="auto"/>
              <w:textAlignment w:val="bottom"/>
              <w:rPr>
                <w:rFonts w:ascii="Calibri" w:hAnsi="Calibri" w:cs="Calibri"/>
                <w:b/>
                <w:color w:val="000000"/>
                <w:lang w:val="en-GB"/>
              </w:rPr>
            </w:pPr>
            <w:r>
              <w:rPr>
                <w:rFonts w:ascii="Calibri" w:hAnsi="Calibri" w:eastAsia="SimSun" w:cs="Calibri"/>
                <w:b/>
                <w:color w:val="000000"/>
                <w:lang w:bidi="ar"/>
              </w:rPr>
              <w:t xml:space="preserve">QMod V3 </w:t>
            </w:r>
            <w:r>
              <w:rPr>
                <w:rFonts w:ascii="Calibri" w:hAnsi="Calibri" w:eastAsia="SimSun" w:cs="Calibri"/>
                <w:b/>
                <w:color w:val="000000"/>
                <w:lang w:val="en-GB" w:bidi="ar"/>
              </w:rPr>
              <w:t>(</w:t>
            </w:r>
            <w:r>
              <w:rPr>
                <w:rFonts w:hint="default" w:ascii="Calibri" w:hAnsi="Calibri" w:eastAsia="SimSun" w:cs="Calibri"/>
                <w:b/>
                <w:color w:val="000000"/>
                <w:lang w:val="en-GB" w:bidi="ar"/>
              </w:rPr>
              <w:t>b</w:t>
            </w:r>
            <w:r>
              <w:rPr>
                <w:rFonts w:ascii="Calibri" w:hAnsi="Calibri" w:eastAsia="SimSun" w:cs="Calibri"/>
                <w:b/>
                <w:color w:val="000000"/>
                <w:lang w:val="en-GB" w:bidi="ar"/>
              </w:rPr>
              <w:t>)</w:t>
            </w:r>
          </w:p>
        </w:tc>
        <w:tc>
          <w:tcPr>
            <w:tcW w:w="360" w:type="pct"/>
            <w:tcBorders>
              <w:top w:val="nil"/>
              <w:left w:val="double" w:color="000000" w:sz="4" w:space="0"/>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FF0000"/>
              </w:rPr>
            </w:pPr>
            <w:r>
              <w:rPr>
                <w:rFonts w:ascii="Calibri" w:hAnsi="Calibri" w:eastAsia="SimSun" w:cs="Calibri"/>
                <w:lang w:bidi="ar"/>
              </w:rPr>
              <w:t>0.0122</w:t>
            </w:r>
          </w:p>
        </w:tc>
        <w:tc>
          <w:tcPr>
            <w:tcW w:w="360" w:type="pct"/>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color w:val="auto"/>
                <w:lang w:val="en-GB"/>
              </w:rPr>
            </w:pPr>
            <w:r>
              <w:rPr>
                <w:rFonts w:ascii="Calibri" w:hAnsi="Calibri" w:eastAsia="SimSun" w:cs="Calibri"/>
                <w:color w:val="auto"/>
                <w:lang w:bidi="ar"/>
              </w:rPr>
              <w:t>0.0129</w:t>
            </w:r>
            <w:r>
              <w:rPr>
                <w:rFonts w:hint="default" w:ascii="Calibri" w:hAnsi="Calibri" w:eastAsia="SimSun" w:cs="Calibri"/>
                <w:b/>
                <w:bCs/>
                <w:color w:val="auto"/>
                <w:lang w:val="en-GB" w:bidi="ar"/>
              </w:rPr>
              <w:t>*</w:t>
            </w:r>
          </w:p>
        </w:tc>
        <w:tc>
          <w:tcPr>
            <w:tcW w:w="360" w:type="pct"/>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0.0109</w:t>
            </w:r>
          </w:p>
        </w:tc>
        <w:tc>
          <w:tcPr>
            <w:tcW w:w="360" w:type="pct"/>
            <w:tcBorders>
              <w:top w:val="nil"/>
              <w:left w:val="nil"/>
              <w:bottom w:val="nil"/>
              <w:right w:val="doub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0.0116</w:t>
            </w:r>
          </w:p>
        </w:tc>
        <w:tc>
          <w:tcPr>
            <w:tcW w:w="360" w:type="pct"/>
            <w:tcBorders>
              <w:top w:val="nil"/>
              <w:left w:val="double" w:color="000000" w:sz="4" w:space="0"/>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0.008</w:t>
            </w:r>
          </w:p>
        </w:tc>
        <w:tc>
          <w:tcPr>
            <w:tcW w:w="360" w:type="pct"/>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0.008</w:t>
            </w:r>
          </w:p>
        </w:tc>
        <w:tc>
          <w:tcPr>
            <w:tcW w:w="360" w:type="pct"/>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0.008</w:t>
            </w:r>
          </w:p>
        </w:tc>
        <w:tc>
          <w:tcPr>
            <w:tcW w:w="360" w:type="pct"/>
            <w:tcBorders>
              <w:top w:val="nil"/>
              <w:left w:val="nil"/>
              <w:bottom w:val="nil"/>
              <w:right w:val="doub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0.008</w:t>
            </w:r>
          </w:p>
        </w:tc>
        <w:tc>
          <w:tcPr>
            <w:tcW w:w="360" w:type="pct"/>
            <w:tcBorders>
              <w:top w:val="nil"/>
              <w:left w:val="double" w:color="000000" w:sz="4" w:space="0"/>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eastAsia="SimSun" w:cs="Calibri"/>
                <w:color w:val="000000"/>
                <w:lang w:val="en-GB" w:bidi="ar"/>
              </w:rPr>
            </w:pPr>
            <w:r>
              <w:rPr>
                <w:rFonts w:ascii="Calibri" w:hAnsi="Calibri" w:eastAsia="SimSun" w:cs="Calibri"/>
                <w:color w:val="000000"/>
                <w:lang w:val="en-GB" w:bidi="ar"/>
              </w:rPr>
              <w:t>0.009</w:t>
            </w:r>
          </w:p>
        </w:tc>
        <w:tc>
          <w:tcPr>
            <w:tcW w:w="360" w:type="pct"/>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eastAsia="SimSun" w:cs="Calibri"/>
                <w:color w:val="000000"/>
                <w:lang w:val="en-GB" w:bidi="ar"/>
              </w:rPr>
            </w:pPr>
            <w:r>
              <w:rPr>
                <w:rFonts w:ascii="Calibri" w:hAnsi="Calibri" w:eastAsia="SimSun" w:cs="Calibri"/>
                <w:color w:val="000000"/>
                <w:lang w:val="en-GB" w:bidi="ar"/>
              </w:rPr>
              <w:t>0.006</w:t>
            </w:r>
          </w:p>
        </w:tc>
        <w:tc>
          <w:tcPr>
            <w:tcW w:w="360" w:type="pct"/>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eastAsia="SimSun" w:cs="Calibri"/>
                <w:color w:val="000000"/>
                <w:lang w:val="en-GB" w:bidi="ar"/>
              </w:rPr>
            </w:pPr>
            <w:r>
              <w:rPr>
                <w:rFonts w:ascii="Calibri" w:hAnsi="Calibri" w:eastAsia="SimSun" w:cs="Calibri"/>
                <w:color w:val="000000"/>
                <w:lang w:val="en-GB" w:bidi="ar"/>
              </w:rPr>
              <w:t>0</w:t>
            </w:r>
          </w:p>
        </w:tc>
        <w:tc>
          <w:tcPr>
            <w:tcW w:w="365" w:type="pct"/>
            <w:tcBorders>
              <w:top w:val="nil"/>
              <w:left w:val="nil"/>
              <w:bottom w:val="nil"/>
              <w:right w:val="doub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eastAsia="SimSun" w:cs="Calibri"/>
                <w:color w:val="000000"/>
                <w:lang w:val="en-GB" w:bidi="ar"/>
              </w:rPr>
            </w:pPr>
            <w:r>
              <w:rPr>
                <w:rFonts w:ascii="Calibri" w:hAnsi="Calibri" w:eastAsia="SimSun" w:cs="Calibri"/>
                <w:color w:val="000000"/>
                <w:lang w:val="en-GB" w:bidi="ar"/>
              </w:rPr>
              <w:t>0</w:t>
            </w:r>
          </w:p>
        </w:tc>
      </w:tr>
      <w:tr>
        <w:tblPrEx>
          <w:tblCellMar>
            <w:top w:w="0" w:type="dxa"/>
            <w:left w:w="0" w:type="dxa"/>
            <w:bottom w:w="0" w:type="dxa"/>
            <w:right w:w="0" w:type="dxa"/>
          </w:tblCellMar>
        </w:tblPrEx>
        <w:trPr>
          <w:trHeight w:val="321" w:hRule="atLeast"/>
        </w:trPr>
        <w:tc>
          <w:tcPr>
            <w:tcW w:w="672" w:type="pct"/>
            <w:tcBorders>
              <w:top w:val="single" w:color="000000" w:sz="4" w:space="0"/>
              <w:left w:val="double" w:color="000000" w:sz="4" w:space="0"/>
              <w:bottom w:val="single" w:color="000000" w:sz="4" w:space="0"/>
              <w:right w:val="double" w:color="000000" w:sz="4" w:space="0"/>
            </w:tcBorders>
            <w:shd w:val="clear" w:color="auto" w:fill="auto"/>
            <w:noWrap/>
            <w:tcMar>
              <w:top w:w="15" w:type="dxa"/>
              <w:left w:w="15" w:type="dxa"/>
              <w:right w:w="15" w:type="dxa"/>
            </w:tcMar>
            <w:vAlign w:val="bottom"/>
          </w:tcPr>
          <w:p>
            <w:pPr>
              <w:spacing w:line="240" w:lineRule="auto"/>
              <w:textAlignment w:val="bottom"/>
              <w:rPr>
                <w:rFonts w:ascii="Calibri" w:hAnsi="Calibri" w:cs="Calibri"/>
                <w:b/>
                <w:color w:val="000000"/>
              </w:rPr>
            </w:pPr>
            <w:r>
              <w:rPr>
                <w:rFonts w:ascii="Calibri" w:hAnsi="Calibri" w:eastAsia="SimSun" w:cs="Calibri"/>
                <w:b/>
                <w:color w:val="000000"/>
                <w:lang w:bidi="ar"/>
              </w:rPr>
              <w:t>T</w:t>
            </w:r>
            <w:r>
              <w:rPr>
                <w:rFonts w:ascii="Calibri" w:hAnsi="Calibri" w:eastAsia="SimSun" w:cs="Calibri"/>
                <w:b/>
                <w:color w:val="000000"/>
                <w:vertAlign w:val="superscript"/>
                <w:lang w:bidi="ar"/>
              </w:rPr>
              <w:t>2</w:t>
            </w:r>
            <w:r>
              <w:rPr>
                <w:rFonts w:hint="default" w:ascii="Calibri" w:hAnsi="Calibri" w:eastAsia="SimSun" w:cs="Calibri"/>
                <w:b/>
                <w:color w:val="000000"/>
                <w:vertAlign w:val="subscript"/>
                <w:lang w:val="en-GB" w:bidi="ar"/>
              </w:rPr>
              <w:t>Toep</w:t>
            </w:r>
            <w:r>
              <w:rPr>
                <w:rFonts w:ascii="Calibri" w:hAnsi="Calibri" w:eastAsia="SimSun" w:cs="Calibri"/>
                <w:b/>
                <w:color w:val="000000"/>
                <w:lang w:bidi="ar"/>
              </w:rPr>
              <w:t xml:space="preserve"> </w:t>
            </w:r>
            <w:r>
              <w:rPr>
                <w:rFonts w:ascii="Calibri" w:hAnsi="Calibri" w:eastAsia="SimSun" w:cs="Calibri"/>
                <w:b/>
                <w:color w:val="000000"/>
                <w:lang w:val="en-GB" w:bidi="ar"/>
              </w:rPr>
              <w:t>(</w:t>
            </w:r>
            <w:r>
              <w:rPr>
                <w:rFonts w:hint="default" w:ascii="Calibri" w:hAnsi="Calibri" w:eastAsia="SimSun" w:cs="Calibri"/>
                <w:b/>
                <w:color w:val="000000"/>
                <w:lang w:val="en-GB" w:bidi="ar"/>
              </w:rPr>
              <w:t>b</w:t>
            </w:r>
            <w:r>
              <w:rPr>
                <w:rFonts w:ascii="Calibri" w:hAnsi="Calibri" w:eastAsia="SimSun" w:cs="Calibri"/>
                <w:b/>
                <w:color w:val="000000"/>
                <w:lang w:val="en-GB" w:bidi="ar"/>
              </w:rPr>
              <w:t>)</w:t>
            </w:r>
          </w:p>
        </w:tc>
        <w:tc>
          <w:tcPr>
            <w:tcW w:w="360" w:type="pct"/>
            <w:tcBorders>
              <w:top w:val="nil"/>
              <w:left w:val="double" w:color="000000" w:sz="4" w:space="0"/>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0.0112</w:t>
            </w:r>
          </w:p>
        </w:tc>
        <w:tc>
          <w:tcPr>
            <w:tcW w:w="360" w:type="pct"/>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FF0000"/>
              </w:rPr>
            </w:pPr>
            <w:r>
              <w:rPr>
                <w:rFonts w:ascii="Calibri" w:hAnsi="Calibri" w:eastAsia="SimSun" w:cs="Calibri"/>
                <w:lang w:bidi="ar"/>
              </w:rPr>
              <w:t>0.0124</w:t>
            </w:r>
          </w:p>
        </w:tc>
        <w:tc>
          <w:tcPr>
            <w:tcW w:w="360" w:type="pct"/>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0.0088</w:t>
            </w:r>
          </w:p>
        </w:tc>
        <w:tc>
          <w:tcPr>
            <w:tcW w:w="360" w:type="pct"/>
            <w:tcBorders>
              <w:top w:val="nil"/>
              <w:left w:val="nil"/>
              <w:bottom w:val="nil"/>
              <w:right w:val="doub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0.0115</w:t>
            </w:r>
          </w:p>
        </w:tc>
        <w:tc>
          <w:tcPr>
            <w:tcW w:w="360" w:type="pct"/>
            <w:tcBorders>
              <w:top w:val="nil"/>
              <w:left w:val="double" w:color="000000" w:sz="4" w:space="0"/>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0.008</w:t>
            </w:r>
          </w:p>
        </w:tc>
        <w:tc>
          <w:tcPr>
            <w:tcW w:w="360" w:type="pct"/>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0.008</w:t>
            </w:r>
          </w:p>
        </w:tc>
        <w:tc>
          <w:tcPr>
            <w:tcW w:w="360" w:type="pct"/>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0.012</w:t>
            </w:r>
          </w:p>
        </w:tc>
        <w:tc>
          <w:tcPr>
            <w:tcW w:w="360" w:type="pct"/>
            <w:tcBorders>
              <w:top w:val="nil"/>
              <w:left w:val="nil"/>
              <w:bottom w:val="nil"/>
              <w:right w:val="doub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0.008</w:t>
            </w:r>
          </w:p>
        </w:tc>
        <w:tc>
          <w:tcPr>
            <w:tcW w:w="360" w:type="pct"/>
            <w:tcBorders>
              <w:top w:val="nil"/>
              <w:left w:val="double" w:color="000000" w:sz="4" w:space="0"/>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eastAsia="SimSun" w:cs="Calibri"/>
                <w:color w:val="000000"/>
                <w:lang w:val="en-GB" w:bidi="ar"/>
              </w:rPr>
            </w:pPr>
            <w:r>
              <w:rPr>
                <w:rFonts w:ascii="Calibri" w:hAnsi="Calibri" w:eastAsia="SimSun" w:cs="Calibri"/>
                <w:color w:val="000000"/>
                <w:lang w:val="en-GB" w:bidi="ar"/>
              </w:rPr>
              <w:t>0.006</w:t>
            </w:r>
          </w:p>
        </w:tc>
        <w:tc>
          <w:tcPr>
            <w:tcW w:w="360" w:type="pct"/>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eastAsia="SimSun" w:cs="Calibri"/>
                <w:color w:val="000000"/>
                <w:lang w:val="en-GB" w:bidi="ar"/>
              </w:rPr>
            </w:pPr>
            <w:r>
              <w:rPr>
                <w:rFonts w:ascii="Calibri" w:hAnsi="Calibri" w:eastAsia="SimSun" w:cs="Calibri"/>
                <w:color w:val="000000"/>
                <w:lang w:val="en-GB" w:bidi="ar"/>
              </w:rPr>
              <w:t>0.006</w:t>
            </w:r>
          </w:p>
        </w:tc>
        <w:tc>
          <w:tcPr>
            <w:tcW w:w="360" w:type="pct"/>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eastAsia="SimSun" w:cs="Calibri"/>
                <w:color w:val="000000"/>
                <w:lang w:val="en-GB" w:bidi="ar"/>
              </w:rPr>
            </w:pPr>
            <w:r>
              <w:rPr>
                <w:rFonts w:ascii="Calibri" w:hAnsi="Calibri" w:eastAsia="SimSun" w:cs="Calibri"/>
                <w:color w:val="000000"/>
                <w:lang w:val="en-GB" w:bidi="ar"/>
              </w:rPr>
              <w:t>0.012</w:t>
            </w:r>
          </w:p>
        </w:tc>
        <w:tc>
          <w:tcPr>
            <w:tcW w:w="365" w:type="pct"/>
            <w:tcBorders>
              <w:top w:val="nil"/>
              <w:left w:val="nil"/>
              <w:bottom w:val="nil"/>
              <w:right w:val="doub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eastAsia="SimSun" w:cs="Calibri"/>
                <w:color w:val="000000"/>
                <w:lang w:val="en-GB" w:bidi="ar"/>
              </w:rPr>
            </w:pPr>
            <w:r>
              <w:rPr>
                <w:rFonts w:ascii="Calibri" w:hAnsi="Calibri" w:eastAsia="SimSun" w:cs="Calibri"/>
                <w:color w:val="000000"/>
                <w:lang w:val="en-GB" w:bidi="ar"/>
              </w:rPr>
              <w:t>0</w:t>
            </w:r>
          </w:p>
        </w:tc>
      </w:tr>
      <w:tr>
        <w:tblPrEx>
          <w:tblCellMar>
            <w:top w:w="0" w:type="dxa"/>
            <w:left w:w="0" w:type="dxa"/>
            <w:bottom w:w="0" w:type="dxa"/>
            <w:right w:w="0" w:type="dxa"/>
          </w:tblCellMar>
        </w:tblPrEx>
        <w:trPr>
          <w:trHeight w:val="321" w:hRule="atLeast"/>
        </w:trPr>
        <w:tc>
          <w:tcPr>
            <w:tcW w:w="672" w:type="pct"/>
            <w:tcBorders>
              <w:top w:val="single" w:color="000000" w:sz="4" w:space="0"/>
              <w:left w:val="double" w:color="000000" w:sz="4" w:space="0"/>
              <w:bottom w:val="double" w:color="000000" w:sz="4" w:space="0"/>
              <w:right w:val="double" w:color="000000" w:sz="4" w:space="0"/>
            </w:tcBorders>
            <w:shd w:val="clear" w:color="auto" w:fill="auto"/>
            <w:noWrap/>
            <w:tcMar>
              <w:top w:w="15" w:type="dxa"/>
              <w:left w:w="15" w:type="dxa"/>
              <w:right w:w="15" w:type="dxa"/>
            </w:tcMar>
            <w:vAlign w:val="bottom"/>
          </w:tcPr>
          <w:p>
            <w:pPr>
              <w:spacing w:line="240" w:lineRule="auto"/>
              <w:textAlignment w:val="bottom"/>
              <w:rPr>
                <w:rFonts w:ascii="Calibri" w:hAnsi="Calibri" w:cs="Calibri"/>
                <w:b/>
                <w:color w:val="000000"/>
              </w:rPr>
            </w:pPr>
            <w:r>
              <w:rPr>
                <w:rFonts w:ascii="Calibri" w:hAnsi="Calibri" w:eastAsia="SimSun" w:cs="Calibri"/>
                <w:b/>
                <w:color w:val="000000"/>
                <w:lang w:bidi="ar"/>
              </w:rPr>
              <w:t>T</w:t>
            </w:r>
            <w:r>
              <w:rPr>
                <w:rFonts w:ascii="Calibri" w:hAnsi="Calibri" w:eastAsia="SimSun" w:cs="Calibri"/>
                <w:b/>
                <w:color w:val="000000"/>
                <w:vertAlign w:val="superscript"/>
                <w:lang w:bidi="ar"/>
              </w:rPr>
              <w:t>2</w:t>
            </w:r>
            <w:r>
              <w:rPr>
                <w:rFonts w:hint="default" w:ascii="Calibri" w:hAnsi="Calibri" w:eastAsia="SimSun" w:cs="Calibri"/>
                <w:b/>
                <w:color w:val="000000"/>
                <w:vertAlign w:val="subscript"/>
                <w:lang w:val="en-GB" w:bidi="ar"/>
              </w:rPr>
              <w:t>Diag</w:t>
            </w:r>
            <w:r>
              <w:rPr>
                <w:rFonts w:ascii="Calibri" w:hAnsi="Calibri" w:eastAsia="SimSun" w:cs="Calibri"/>
                <w:b/>
                <w:color w:val="000000"/>
                <w:lang w:bidi="ar"/>
              </w:rPr>
              <w:t xml:space="preserve"> </w:t>
            </w:r>
            <w:r>
              <w:rPr>
                <w:rFonts w:ascii="Calibri" w:hAnsi="Calibri" w:eastAsia="SimSun" w:cs="Calibri"/>
                <w:b/>
                <w:color w:val="000000"/>
                <w:lang w:val="en-GB" w:bidi="ar"/>
              </w:rPr>
              <w:t>(</w:t>
            </w:r>
            <w:r>
              <w:rPr>
                <w:rFonts w:hint="default" w:ascii="Calibri" w:hAnsi="Calibri" w:eastAsia="SimSun" w:cs="Calibri"/>
                <w:b/>
                <w:color w:val="000000"/>
                <w:lang w:val="en-GB" w:bidi="ar"/>
              </w:rPr>
              <w:t>b</w:t>
            </w:r>
            <w:r>
              <w:rPr>
                <w:rFonts w:ascii="Calibri" w:hAnsi="Calibri" w:eastAsia="SimSun" w:cs="Calibri"/>
                <w:b/>
                <w:color w:val="000000"/>
                <w:lang w:val="en-GB" w:bidi="ar"/>
              </w:rPr>
              <w:t>)</w:t>
            </w:r>
          </w:p>
        </w:tc>
        <w:tc>
          <w:tcPr>
            <w:tcW w:w="360" w:type="pct"/>
            <w:tcBorders>
              <w:top w:val="nil"/>
              <w:left w:val="double" w:color="000000" w:sz="4" w:space="0"/>
              <w:bottom w:val="double" w:color="000000" w:sz="4" w:space="0"/>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rPr>
            </w:pPr>
            <w:r>
              <w:rPr>
                <w:rFonts w:ascii="Calibri" w:hAnsi="Calibri" w:eastAsia="SimSun" w:cs="Calibri"/>
                <w:lang w:bidi="ar"/>
              </w:rPr>
              <w:t>0.01</w:t>
            </w:r>
            <w:r>
              <w:rPr>
                <w:rFonts w:ascii="Calibri" w:hAnsi="Calibri" w:eastAsia="SimSun" w:cs="Calibri"/>
                <w:lang w:val="en-GB" w:bidi="ar"/>
              </w:rPr>
              <w:t>26</w:t>
            </w:r>
          </w:p>
        </w:tc>
        <w:tc>
          <w:tcPr>
            <w:tcW w:w="360" w:type="pct"/>
            <w:tcBorders>
              <w:top w:val="nil"/>
              <w:left w:val="nil"/>
              <w:bottom w:val="double" w:color="000000" w:sz="4" w:space="0"/>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lang w:val="en-GB"/>
              </w:rPr>
            </w:pPr>
            <w:r>
              <w:rPr>
                <w:rFonts w:ascii="Calibri" w:hAnsi="Calibri" w:eastAsia="SimSun" w:cs="Calibri"/>
                <w:lang w:bidi="ar"/>
              </w:rPr>
              <w:t>0.01</w:t>
            </w:r>
            <w:r>
              <w:rPr>
                <w:rFonts w:ascii="Calibri" w:hAnsi="Calibri" w:eastAsia="SimSun" w:cs="Calibri"/>
                <w:lang w:val="en-GB" w:bidi="ar"/>
              </w:rPr>
              <w:t>24</w:t>
            </w:r>
          </w:p>
        </w:tc>
        <w:tc>
          <w:tcPr>
            <w:tcW w:w="360" w:type="pct"/>
            <w:tcBorders>
              <w:top w:val="nil"/>
              <w:left w:val="nil"/>
              <w:bottom w:val="double" w:color="000000" w:sz="4" w:space="0"/>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lang w:val="en-GB"/>
              </w:rPr>
            </w:pPr>
            <w:r>
              <w:rPr>
                <w:rFonts w:ascii="Calibri" w:hAnsi="Calibri" w:eastAsia="SimSun" w:cs="Calibri"/>
                <w:color w:val="000000"/>
                <w:lang w:bidi="ar"/>
              </w:rPr>
              <w:t>0.010</w:t>
            </w:r>
            <w:r>
              <w:rPr>
                <w:rFonts w:ascii="Calibri" w:hAnsi="Calibri" w:eastAsia="SimSun" w:cs="Calibri"/>
                <w:color w:val="000000"/>
                <w:lang w:val="en-GB" w:bidi="ar"/>
              </w:rPr>
              <w:t>4</w:t>
            </w:r>
          </w:p>
        </w:tc>
        <w:tc>
          <w:tcPr>
            <w:tcW w:w="360" w:type="pct"/>
            <w:tcBorders>
              <w:top w:val="nil"/>
              <w:left w:val="nil"/>
              <w:bottom w:val="double" w:color="000000" w:sz="4" w:space="0"/>
              <w:right w:val="doub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lang w:val="en-GB"/>
              </w:rPr>
            </w:pPr>
            <w:r>
              <w:rPr>
                <w:rFonts w:ascii="Calibri" w:hAnsi="Calibri" w:eastAsia="SimSun" w:cs="Calibri"/>
                <w:color w:val="000000"/>
                <w:lang w:bidi="ar"/>
              </w:rPr>
              <w:t>0.01</w:t>
            </w:r>
            <w:r>
              <w:rPr>
                <w:rFonts w:ascii="Calibri" w:hAnsi="Calibri" w:eastAsia="SimSun" w:cs="Calibri"/>
                <w:color w:val="000000"/>
                <w:lang w:val="en-GB" w:bidi="ar"/>
              </w:rPr>
              <w:t>09</w:t>
            </w:r>
          </w:p>
        </w:tc>
        <w:tc>
          <w:tcPr>
            <w:tcW w:w="360" w:type="pct"/>
            <w:tcBorders>
              <w:top w:val="nil"/>
              <w:left w:val="double" w:color="000000" w:sz="4" w:space="0"/>
              <w:bottom w:val="double" w:color="000000" w:sz="4" w:space="0"/>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0.008</w:t>
            </w:r>
          </w:p>
        </w:tc>
        <w:tc>
          <w:tcPr>
            <w:tcW w:w="360" w:type="pct"/>
            <w:tcBorders>
              <w:top w:val="nil"/>
              <w:left w:val="nil"/>
              <w:bottom w:val="double" w:color="000000" w:sz="4" w:space="0"/>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0.008</w:t>
            </w:r>
          </w:p>
        </w:tc>
        <w:tc>
          <w:tcPr>
            <w:tcW w:w="360" w:type="pct"/>
            <w:tcBorders>
              <w:top w:val="nil"/>
              <w:left w:val="nil"/>
              <w:bottom w:val="double" w:color="000000" w:sz="4" w:space="0"/>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0.01</w:t>
            </w:r>
          </w:p>
        </w:tc>
        <w:tc>
          <w:tcPr>
            <w:tcW w:w="360" w:type="pct"/>
            <w:tcBorders>
              <w:top w:val="nil"/>
              <w:left w:val="nil"/>
              <w:bottom w:val="double" w:color="000000" w:sz="4" w:space="0"/>
              <w:right w:val="doub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000000"/>
              </w:rPr>
            </w:pPr>
            <w:r>
              <w:rPr>
                <w:rFonts w:ascii="Calibri" w:hAnsi="Calibri" w:eastAsia="SimSun" w:cs="Calibri"/>
                <w:color w:val="000000"/>
                <w:lang w:bidi="ar"/>
              </w:rPr>
              <w:t>0.008</w:t>
            </w:r>
          </w:p>
        </w:tc>
        <w:tc>
          <w:tcPr>
            <w:tcW w:w="360" w:type="pct"/>
            <w:tcBorders>
              <w:top w:val="nil"/>
              <w:left w:val="double" w:color="000000" w:sz="4" w:space="0"/>
              <w:bottom w:val="double" w:color="000000" w:sz="4" w:space="0"/>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eastAsia="SimSun" w:cs="Calibri"/>
                <w:color w:val="000000"/>
                <w:lang w:val="en-GB" w:bidi="ar"/>
              </w:rPr>
            </w:pPr>
            <w:r>
              <w:rPr>
                <w:rFonts w:ascii="Calibri" w:hAnsi="Calibri" w:eastAsia="SimSun" w:cs="Calibri"/>
                <w:color w:val="000000"/>
                <w:lang w:val="en-GB" w:bidi="ar"/>
              </w:rPr>
              <w:t>0.02</w:t>
            </w:r>
          </w:p>
        </w:tc>
        <w:tc>
          <w:tcPr>
            <w:tcW w:w="360" w:type="pct"/>
            <w:tcBorders>
              <w:top w:val="nil"/>
              <w:left w:val="nil"/>
              <w:bottom w:val="double" w:color="000000" w:sz="4" w:space="0"/>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eastAsia="SimSun" w:cs="Calibri"/>
                <w:color w:val="000000"/>
                <w:lang w:val="en-GB" w:bidi="ar"/>
              </w:rPr>
            </w:pPr>
            <w:r>
              <w:rPr>
                <w:rFonts w:ascii="Calibri" w:hAnsi="Calibri" w:eastAsia="SimSun" w:cs="Calibri"/>
                <w:color w:val="000000"/>
                <w:lang w:val="en-GB" w:bidi="ar"/>
              </w:rPr>
              <w:t>0</w:t>
            </w:r>
          </w:p>
        </w:tc>
        <w:tc>
          <w:tcPr>
            <w:tcW w:w="360" w:type="pct"/>
            <w:tcBorders>
              <w:top w:val="nil"/>
              <w:left w:val="nil"/>
              <w:bottom w:val="double" w:color="000000" w:sz="4" w:space="0"/>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eastAsia="SimSun" w:cs="Calibri"/>
                <w:color w:val="000000"/>
                <w:lang w:val="en-GB" w:bidi="ar"/>
              </w:rPr>
            </w:pPr>
            <w:r>
              <w:rPr>
                <w:rFonts w:ascii="Calibri" w:hAnsi="Calibri" w:eastAsia="SimSun" w:cs="Calibri"/>
                <w:color w:val="000000"/>
                <w:lang w:val="en-GB" w:bidi="ar"/>
              </w:rPr>
              <w:t>0</w:t>
            </w:r>
          </w:p>
        </w:tc>
        <w:tc>
          <w:tcPr>
            <w:tcW w:w="365" w:type="pct"/>
            <w:tcBorders>
              <w:top w:val="nil"/>
              <w:left w:val="nil"/>
              <w:bottom w:val="double" w:color="000000" w:sz="4" w:space="0"/>
              <w:right w:val="doub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eastAsia="SimSun" w:cs="Calibri"/>
                <w:color w:val="000000"/>
                <w:lang w:val="en-GB" w:bidi="ar"/>
              </w:rPr>
            </w:pPr>
            <w:r>
              <w:rPr>
                <w:rFonts w:ascii="Calibri" w:hAnsi="Calibri" w:eastAsia="SimSun" w:cs="Calibri"/>
                <w:color w:val="000000"/>
                <w:lang w:val="en-GB" w:bidi="ar"/>
              </w:rPr>
              <w:t>0.023</w:t>
            </w:r>
          </w:p>
        </w:tc>
      </w:tr>
    </w:tbl>
    <w:p>
      <w:pPr>
        <w:spacing w:line="240" w:lineRule="auto"/>
        <w:jc w:val="both"/>
        <w:rPr>
          <w:rFonts w:ascii="Calibri" w:hAnsi="Calibri" w:cs="Calibri"/>
          <w:b/>
          <w:bCs/>
          <w:sz w:val="22"/>
          <w:szCs w:val="22"/>
          <w:lang w:val="en-GB"/>
        </w:rPr>
      </w:pPr>
    </w:p>
    <w:p>
      <w:pPr>
        <w:spacing w:line="240" w:lineRule="auto"/>
        <w:jc w:val="both"/>
        <w:rPr>
          <w:rFonts w:ascii="Calibri" w:hAnsi="Calibri" w:cs="Calibri"/>
          <w:sz w:val="22"/>
          <w:szCs w:val="22"/>
          <w:lang w:val="en-GB"/>
        </w:rPr>
      </w:pPr>
      <w:r>
        <w:rPr>
          <w:rFonts w:ascii="Calibri" w:hAnsi="Calibri" w:cs="Calibri"/>
          <w:b/>
          <w:bCs/>
          <w:sz w:val="22"/>
          <w:szCs w:val="22"/>
          <w:lang w:val="en-GB"/>
        </w:rPr>
        <w:t xml:space="preserve">Table 3. </w:t>
      </w:r>
      <w:r>
        <w:rPr>
          <w:rFonts w:ascii="Calibri" w:hAnsi="Calibri" w:cs="Calibri"/>
          <w:sz w:val="22"/>
          <w:szCs w:val="22"/>
          <w:lang w:val="en-GB"/>
        </w:rPr>
        <w:t>False-positive rates (FPRs) for the objective detection methods in simulations (left panel) and for the inaudible (&lt;0 dB SL) infant CAEP recordings (right panel). Significant (p&lt;0.01) deviations from α=0.01 are indicated by an asterisk. To ensure that the comparison</w:t>
      </w:r>
      <w:r>
        <w:rPr>
          <w:rFonts w:hint="default" w:ascii="Calibri" w:hAnsi="Calibri" w:cs="Calibri"/>
          <w:sz w:val="22"/>
          <w:szCs w:val="22"/>
          <w:lang w:val="en-GB"/>
        </w:rPr>
        <w:t>s</w:t>
      </w:r>
      <w:r>
        <w:rPr>
          <w:rFonts w:ascii="Calibri" w:hAnsi="Calibri" w:cs="Calibri"/>
          <w:sz w:val="22"/>
          <w:szCs w:val="22"/>
          <w:lang w:val="en-GB"/>
        </w:rPr>
        <w:t xml:space="preserve"> in test sensitivity in subsequent analyses were fair, the nominal α-levels were adjusted, per detection method, such that their FPRs equal</w:t>
      </w:r>
      <w:r>
        <w:rPr>
          <w:rFonts w:hint="default" w:ascii="Calibri" w:hAnsi="Calibri" w:cs="Calibri"/>
          <w:sz w:val="22"/>
          <w:szCs w:val="22"/>
          <w:lang w:val="en-GB"/>
        </w:rPr>
        <w:t>ed</w:t>
      </w:r>
      <w:r>
        <w:rPr>
          <w:rFonts w:ascii="Calibri" w:hAnsi="Calibri" w:cs="Calibri"/>
          <w:sz w:val="22"/>
          <w:szCs w:val="22"/>
          <w:lang w:val="en-GB"/>
        </w:rPr>
        <w:t xml:space="preserve"> 0.01 (middle panel). The (b) indicates that test significance was evaluated using the frequency domain bootstrap.</w:t>
      </w:r>
    </w:p>
    <w:p>
      <w:pPr>
        <w:spacing w:line="240" w:lineRule="auto"/>
        <w:rPr>
          <w:rFonts w:ascii="Calibri" w:hAnsi="Calibri" w:cs="Calibri"/>
          <w:sz w:val="22"/>
          <w:szCs w:val="22"/>
          <w:lang w:val="en-GB"/>
        </w:rPr>
      </w:pPr>
    </w:p>
    <w:p>
      <w:pPr>
        <w:spacing w:line="240" w:lineRule="auto"/>
        <w:rPr>
          <w:rFonts w:ascii="Calibri" w:hAnsi="Calibri" w:cs="Calibri"/>
          <w:b/>
          <w:bCs/>
          <w:sz w:val="22"/>
          <w:szCs w:val="22"/>
          <w:lang w:val="en-GB"/>
        </w:rPr>
      </w:pPr>
      <w:r>
        <w:rPr>
          <w:rFonts w:ascii="Calibri" w:hAnsi="Calibri" w:cs="Calibri"/>
          <w:b/>
          <w:bCs/>
          <w:sz w:val="22"/>
          <w:szCs w:val="22"/>
          <w:lang w:val="en-GB"/>
        </w:rPr>
        <w:t>3.3. Test sensitivity</w:t>
      </w:r>
    </w:p>
    <w:p>
      <w:pPr>
        <w:spacing w:line="240" w:lineRule="auto"/>
        <w:jc w:val="both"/>
        <w:rPr>
          <w:rFonts w:ascii="Calibri" w:hAnsi="Calibri" w:cs="Calibri"/>
          <w:sz w:val="22"/>
          <w:szCs w:val="22"/>
          <w:lang w:val="en-GB"/>
        </w:rPr>
      </w:pPr>
      <w:r>
        <w:rPr>
          <w:rFonts w:ascii="Calibri" w:hAnsi="Calibri" w:cs="Calibri"/>
          <w:sz w:val="22"/>
          <w:szCs w:val="22"/>
          <w:u w:val="single"/>
          <w:lang w:val="en-GB"/>
        </w:rPr>
        <w:t>Simulations:</w:t>
      </w:r>
      <w:r>
        <w:rPr>
          <w:rFonts w:ascii="Calibri" w:hAnsi="Calibri" w:cs="Calibri"/>
          <w:sz w:val="22"/>
          <w:szCs w:val="22"/>
          <w:lang w:val="en-GB"/>
        </w:rPr>
        <w:t xml:space="preserve"> The detection rates using the adjusted α-levels are shown in Figure 3 for </w:t>
      </w:r>
      <w:r>
        <w:rPr>
          <w:rFonts w:ascii="Calibri" w:hAnsi="Calibri" w:cs="Calibri"/>
          <w:i/>
          <w:iCs/>
          <w:sz w:val="22"/>
          <w:szCs w:val="22"/>
          <w:lang w:val="en-GB"/>
        </w:rPr>
        <w:t>N</w:t>
      </w:r>
      <w:r>
        <w:rPr>
          <w:rFonts w:ascii="Calibri" w:hAnsi="Calibri" w:cs="Calibri"/>
          <w:sz w:val="22"/>
          <w:szCs w:val="22"/>
          <w:lang w:val="en-GB"/>
        </w:rPr>
        <w:t>=20, 40, 80, and 160. Results show that detection rates for the conventional HT</w:t>
      </w:r>
      <w:r>
        <w:rPr>
          <w:rFonts w:ascii="Calibri" w:hAnsi="Calibri" w:cs="Calibri"/>
          <w:sz w:val="22"/>
          <w:szCs w:val="22"/>
          <w:vertAlign w:val="superscript"/>
          <w:lang w:val="en-GB"/>
        </w:rPr>
        <w:t>2</w:t>
      </w:r>
      <w:r>
        <w:rPr>
          <w:rFonts w:hint="default" w:ascii="Calibri" w:hAnsi="Calibri" w:cs="Calibri"/>
          <w:sz w:val="22"/>
          <w:szCs w:val="22"/>
          <w:lang w:val="en-GB"/>
        </w:rPr>
        <w:t xml:space="preserve"> </w:t>
      </w:r>
      <w:r>
        <w:rPr>
          <w:rFonts w:ascii="Calibri" w:hAnsi="Calibri" w:cs="Calibri"/>
          <w:sz w:val="22"/>
          <w:szCs w:val="22"/>
          <w:lang w:val="en-GB"/>
        </w:rPr>
        <w:t xml:space="preserve">test </w:t>
      </w:r>
      <w:r>
        <w:rPr>
          <w:rFonts w:hint="default" w:ascii="Calibri" w:hAnsi="Calibri" w:cs="Calibri"/>
          <w:sz w:val="22"/>
          <w:szCs w:val="22"/>
          <w:lang w:val="en-GB"/>
        </w:rPr>
        <w:t xml:space="preserve">were </w:t>
      </w:r>
      <w:r>
        <w:rPr>
          <w:rFonts w:ascii="Calibri" w:hAnsi="Calibri" w:cs="Calibri"/>
          <w:sz w:val="22"/>
          <w:szCs w:val="22"/>
          <w:lang w:val="en-GB"/>
        </w:rPr>
        <w:t xml:space="preserve">relatively poor for </w:t>
      </w:r>
      <w:r>
        <w:rPr>
          <w:rFonts w:ascii="Calibri" w:hAnsi="Calibri" w:cs="Calibri"/>
          <w:i/>
          <w:iCs/>
          <w:sz w:val="22"/>
          <w:szCs w:val="22"/>
          <w:lang w:val="en-GB"/>
        </w:rPr>
        <w:t>N</w:t>
      </w:r>
      <w:r>
        <w:rPr>
          <w:rFonts w:ascii="Calibri" w:hAnsi="Calibri" w:cs="Calibri"/>
          <w:sz w:val="22"/>
          <w:szCs w:val="22"/>
          <w:lang w:val="en-GB"/>
        </w:rPr>
        <w:t xml:space="preserve">=20 and </w:t>
      </w:r>
      <w:r>
        <w:rPr>
          <w:rFonts w:ascii="Calibri" w:hAnsi="Calibri" w:cs="Calibri"/>
          <w:i/>
          <w:iCs/>
          <w:sz w:val="22"/>
          <w:szCs w:val="22"/>
          <w:lang w:val="en-GB"/>
        </w:rPr>
        <w:t>N</w:t>
      </w:r>
      <w:r>
        <w:rPr>
          <w:rFonts w:ascii="Calibri" w:hAnsi="Calibri" w:cs="Calibri"/>
          <w:sz w:val="22"/>
          <w:szCs w:val="22"/>
          <w:lang w:val="en-GB"/>
        </w:rPr>
        <w:t xml:space="preserve">=40 (panels A and B, respectively), but improved for larger ensemble sizes: For </w:t>
      </w:r>
      <w:r>
        <w:rPr>
          <w:rFonts w:ascii="Calibri" w:hAnsi="Calibri" w:cs="Calibri"/>
          <w:i/>
          <w:iCs/>
          <w:sz w:val="22"/>
          <w:szCs w:val="22"/>
          <w:lang w:val="en-GB"/>
        </w:rPr>
        <w:t>N</w:t>
      </w:r>
      <w:r>
        <w:rPr>
          <w:rFonts w:ascii="Calibri" w:hAnsi="Calibri" w:cs="Calibri"/>
          <w:sz w:val="22"/>
          <w:szCs w:val="22"/>
          <w:lang w:val="en-GB"/>
        </w:rPr>
        <w:t>=80, similar detection rates were observed for HT</w:t>
      </w:r>
      <w:r>
        <w:rPr>
          <w:rFonts w:ascii="Calibri" w:hAnsi="Calibri" w:cs="Calibri"/>
          <w:sz w:val="22"/>
          <w:szCs w:val="22"/>
          <w:vertAlign w:val="superscript"/>
          <w:lang w:val="en-GB"/>
        </w:rPr>
        <w:t>2</w:t>
      </w:r>
      <w:r>
        <w:rPr>
          <w:rFonts w:hint="default" w:ascii="Calibri" w:hAnsi="Calibri" w:cs="Calibri"/>
          <w:sz w:val="22"/>
          <w:szCs w:val="22"/>
          <w:lang w:val="en-GB"/>
        </w:rPr>
        <w:t xml:space="preserve"> </w:t>
      </w:r>
      <w:r>
        <w:rPr>
          <w:rFonts w:ascii="Calibri" w:hAnsi="Calibri" w:cs="Calibri"/>
          <w:sz w:val="22"/>
          <w:szCs w:val="22"/>
          <w:lang w:val="en-GB"/>
        </w:rPr>
        <w:t xml:space="preserve">and QMod V3, whereas for </w:t>
      </w:r>
      <w:r>
        <w:rPr>
          <w:rFonts w:ascii="Calibri" w:hAnsi="Calibri" w:cs="Calibri"/>
          <w:i/>
          <w:iCs/>
          <w:sz w:val="22"/>
          <w:szCs w:val="22"/>
          <w:lang w:val="en-GB"/>
        </w:rPr>
        <w:t>N</w:t>
      </w:r>
      <w:r>
        <w:rPr>
          <w:rFonts w:ascii="Calibri" w:hAnsi="Calibri" w:cs="Calibri"/>
          <w:sz w:val="22"/>
          <w:szCs w:val="22"/>
          <w:lang w:val="en-GB"/>
        </w:rPr>
        <w:t>=160, HT</w:t>
      </w:r>
      <w:r>
        <w:rPr>
          <w:rFonts w:ascii="Calibri" w:hAnsi="Calibri" w:cs="Calibri"/>
          <w:sz w:val="22"/>
          <w:szCs w:val="22"/>
          <w:vertAlign w:val="superscript"/>
          <w:lang w:val="en-GB"/>
        </w:rPr>
        <w:t>2</w:t>
      </w:r>
      <w:r>
        <w:rPr>
          <w:rFonts w:hint="default" w:ascii="Calibri" w:hAnsi="Calibri" w:cs="Calibri"/>
          <w:sz w:val="22"/>
          <w:szCs w:val="22"/>
          <w:lang w:val="en-GB"/>
        </w:rPr>
        <w:t xml:space="preserve"> </w:t>
      </w:r>
      <w:r>
        <w:rPr>
          <w:rFonts w:ascii="Calibri" w:hAnsi="Calibri" w:cs="Calibri"/>
          <w:sz w:val="22"/>
          <w:szCs w:val="22"/>
          <w:lang w:val="en-GB"/>
        </w:rPr>
        <w:t>outperformed QMod V3. The highest detection rates were consistently observed for the modified T</w:t>
      </w:r>
      <w:r>
        <w:rPr>
          <w:rFonts w:ascii="Calibri" w:hAnsi="Calibri" w:cs="Calibri"/>
          <w:sz w:val="22"/>
          <w:szCs w:val="22"/>
          <w:vertAlign w:val="superscript"/>
          <w:lang w:val="en-GB"/>
        </w:rPr>
        <w:t>2</w:t>
      </w:r>
      <w:r>
        <w:rPr>
          <w:rFonts w:ascii="Calibri" w:hAnsi="Calibri" w:cs="Calibri"/>
          <w:sz w:val="22"/>
          <w:szCs w:val="22"/>
          <w:lang w:val="en-GB"/>
        </w:rPr>
        <w:t xml:space="preserve"> statistics.   </w:t>
      </w:r>
    </w:p>
    <w:p>
      <w:pPr>
        <w:spacing w:line="240" w:lineRule="auto"/>
        <w:jc w:val="both"/>
        <w:rPr>
          <w:rFonts w:ascii="Calibri" w:hAnsi="Calibri" w:cs="Calibri"/>
          <w:sz w:val="22"/>
          <w:szCs w:val="22"/>
          <w:lang w:val="en-GB"/>
        </w:rPr>
      </w:pPr>
    </w:p>
    <w:p>
      <w:pPr>
        <w:spacing w:line="240" w:lineRule="auto"/>
        <w:rPr>
          <w:rFonts w:ascii="Calibri" w:hAnsi="Calibri" w:cs="Calibri"/>
          <w:sz w:val="22"/>
          <w:szCs w:val="22"/>
          <w:u w:val="single"/>
          <w:lang w:val="en-GB"/>
        </w:rPr>
      </w:pPr>
      <w:r>
        <w:rPr>
          <w:rFonts w:ascii="Calibri" w:hAnsi="Calibri" w:cs="Calibri"/>
          <w:sz w:val="22"/>
          <w:szCs w:val="22"/>
          <w:lang w:val="en-GB" w:eastAsia="en-GB"/>
        </w:rPr>
        <w:drawing>
          <wp:inline distT="0" distB="0" distL="114300" distR="114300">
            <wp:extent cx="6111240" cy="3222625"/>
            <wp:effectExtent l="0" t="0" r="3810" b="15875"/>
            <wp:docPr id="5" name="Picture 5"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3"/>
                    <pic:cNvPicPr>
                      <a:picLocks noChangeAspect="1"/>
                    </pic:cNvPicPr>
                  </pic:nvPicPr>
                  <pic:blipFill>
                    <a:blip r:embed="rId81"/>
                    <a:stretch>
                      <a:fillRect/>
                    </a:stretch>
                  </pic:blipFill>
                  <pic:spPr>
                    <a:xfrm>
                      <a:off x="0" y="0"/>
                      <a:ext cx="6111240" cy="3222625"/>
                    </a:xfrm>
                    <a:prstGeom prst="rect">
                      <a:avLst/>
                    </a:prstGeom>
                  </pic:spPr>
                </pic:pic>
              </a:graphicData>
            </a:graphic>
          </wp:inline>
        </w:drawing>
      </w:r>
    </w:p>
    <w:p>
      <w:pPr>
        <w:spacing w:line="240" w:lineRule="auto"/>
        <w:jc w:val="both"/>
        <w:rPr>
          <w:rFonts w:ascii="Calibri" w:hAnsi="Calibri" w:cs="Calibri"/>
          <w:sz w:val="22"/>
          <w:szCs w:val="22"/>
          <w:lang w:val="en-GB"/>
        </w:rPr>
      </w:pPr>
      <w:r>
        <w:rPr>
          <w:rFonts w:ascii="Calibri" w:hAnsi="Calibri" w:cs="Calibri"/>
          <w:b/>
          <w:bCs/>
          <w:sz w:val="22"/>
          <w:szCs w:val="22"/>
          <w:lang w:val="en-GB"/>
        </w:rPr>
        <w:t>Figure 3.</w:t>
      </w:r>
      <w:r>
        <w:rPr>
          <w:rFonts w:ascii="Calibri" w:hAnsi="Calibri" w:cs="Calibri"/>
          <w:sz w:val="22"/>
          <w:szCs w:val="22"/>
          <w:lang w:val="en-GB"/>
        </w:rPr>
        <w:t xml:space="preserve"> Simulation results showing the detection rates as a function of the SNR for different ensemble sizes </w:t>
      </w:r>
      <w:r>
        <w:rPr>
          <w:rFonts w:ascii="Calibri" w:hAnsi="Calibri" w:cs="Calibri"/>
          <w:i/>
          <w:iCs/>
          <w:sz w:val="22"/>
          <w:szCs w:val="22"/>
          <w:lang w:val="en-GB"/>
        </w:rPr>
        <w:t>N</w:t>
      </w:r>
      <w:r>
        <w:rPr>
          <w:rFonts w:ascii="Calibri" w:hAnsi="Calibri" w:cs="Calibri"/>
          <w:sz w:val="22"/>
          <w:szCs w:val="22"/>
          <w:lang w:val="en-GB"/>
        </w:rPr>
        <w:t xml:space="preserve">. To ensure a fair comparison between methods, the detection rates were generated using adjusted α-levels (Table 3). Note that the y-axis and x-axis for panels (C) and (D) are on a different scale than panels (A) and (B). The (b) in the legend indicates that test significance was evaluated using the frequency domain bootstrap. </w:t>
      </w:r>
    </w:p>
    <w:p>
      <w:pPr>
        <w:spacing w:line="240" w:lineRule="auto"/>
        <w:jc w:val="both"/>
        <w:rPr>
          <w:rFonts w:ascii="Calibri" w:hAnsi="Calibri" w:cs="Calibri"/>
          <w:sz w:val="22"/>
          <w:szCs w:val="22"/>
          <w:u w:val="single"/>
          <w:lang w:val="en-GB"/>
        </w:rPr>
      </w:pPr>
    </w:p>
    <w:p>
      <w:pPr>
        <w:spacing w:line="240" w:lineRule="auto"/>
        <w:jc w:val="both"/>
        <w:rPr>
          <w:rFonts w:ascii="Calibri" w:hAnsi="Calibri" w:cs="Calibri"/>
          <w:sz w:val="22"/>
          <w:szCs w:val="22"/>
          <w:lang w:val="en-GB"/>
        </w:rPr>
      </w:pPr>
      <w:r>
        <w:rPr>
          <w:rFonts w:ascii="Calibri" w:hAnsi="Calibri" w:cs="Calibri"/>
          <w:sz w:val="22"/>
          <w:szCs w:val="22"/>
          <w:u w:val="single"/>
          <w:lang w:val="en-GB"/>
        </w:rPr>
        <w:t>Infant data:</w:t>
      </w:r>
      <w:r>
        <w:rPr>
          <w:rFonts w:ascii="Calibri" w:hAnsi="Calibri" w:cs="Calibri"/>
          <w:sz w:val="22"/>
          <w:szCs w:val="22"/>
          <w:lang w:val="en-GB"/>
        </w:rPr>
        <w:t xml:space="preserve"> The detection rates for the objective detection methods are presented per dB SL category and per ensemble size in Figure 4, for both the MF stimulus (top panels) and the HF stimulus (bottom panels). For the smaller ensembles sizes of </w:t>
      </w:r>
      <w:r>
        <w:rPr>
          <w:rFonts w:ascii="Calibri" w:hAnsi="Calibri" w:cs="Calibri"/>
          <w:i/>
          <w:iCs/>
          <w:sz w:val="22"/>
          <w:szCs w:val="22"/>
          <w:lang w:val="en-GB"/>
        </w:rPr>
        <w:t>N</w:t>
      </w:r>
      <w:r>
        <w:rPr>
          <w:rFonts w:ascii="Calibri" w:hAnsi="Calibri" w:cs="Calibri"/>
          <w:sz w:val="22"/>
          <w:szCs w:val="22"/>
          <w:lang w:val="en-GB"/>
        </w:rPr>
        <w:t xml:space="preserve">=20 and </w:t>
      </w:r>
      <w:r>
        <w:rPr>
          <w:rFonts w:ascii="Calibri" w:hAnsi="Calibri" w:cs="Calibri"/>
          <w:i/>
          <w:iCs/>
          <w:sz w:val="22"/>
          <w:szCs w:val="22"/>
          <w:lang w:val="en-GB"/>
        </w:rPr>
        <w:t>N</w:t>
      </w:r>
      <w:r>
        <w:rPr>
          <w:rFonts w:ascii="Calibri" w:hAnsi="Calibri" w:cs="Calibri"/>
          <w:sz w:val="22"/>
          <w:szCs w:val="22"/>
          <w:lang w:val="en-GB"/>
        </w:rPr>
        <w:t>=40, results again suggest that the modified T</w:t>
      </w:r>
      <w:r>
        <w:rPr>
          <w:rFonts w:ascii="Calibri" w:hAnsi="Calibri" w:cs="Calibri"/>
          <w:sz w:val="22"/>
          <w:szCs w:val="22"/>
          <w:vertAlign w:val="superscript"/>
          <w:lang w:val="en-GB"/>
        </w:rPr>
        <w:t>2</w:t>
      </w:r>
      <w:r>
        <w:rPr>
          <w:rFonts w:ascii="Calibri" w:hAnsi="Calibri" w:cs="Calibri"/>
          <w:sz w:val="22"/>
          <w:szCs w:val="22"/>
          <w:lang w:val="en-GB"/>
        </w:rPr>
        <w:t xml:space="preserve"> statistics and QMod V3 outperformed the conventional HT</w:t>
      </w:r>
      <w:r>
        <w:rPr>
          <w:rFonts w:ascii="Calibri" w:hAnsi="Calibri" w:cs="Calibri"/>
          <w:sz w:val="22"/>
          <w:szCs w:val="22"/>
          <w:vertAlign w:val="superscript"/>
          <w:lang w:val="en-GB"/>
        </w:rPr>
        <w:t>2</w:t>
      </w:r>
      <w:r>
        <w:rPr>
          <w:rFonts w:hint="default" w:ascii="Calibri" w:hAnsi="Calibri" w:cs="Calibri"/>
          <w:sz w:val="22"/>
          <w:szCs w:val="22"/>
          <w:lang w:val="en-GB"/>
        </w:rPr>
        <w:t xml:space="preserve"> </w:t>
      </w:r>
      <w:r>
        <w:rPr>
          <w:rFonts w:ascii="Calibri" w:hAnsi="Calibri" w:cs="Calibri"/>
          <w:sz w:val="22"/>
          <w:szCs w:val="22"/>
          <w:lang w:val="en-GB"/>
        </w:rPr>
        <w:t>test (i.e. T</w:t>
      </w:r>
      <w:r>
        <w:rPr>
          <w:rFonts w:ascii="Calibri" w:hAnsi="Calibri" w:cs="Calibri"/>
          <w:sz w:val="22"/>
          <w:szCs w:val="22"/>
          <w:vertAlign w:val="superscript"/>
          <w:lang w:val="en-GB"/>
        </w:rPr>
        <w:t>2</w:t>
      </w:r>
      <w:r>
        <w:rPr>
          <w:rFonts w:ascii="Calibri" w:hAnsi="Calibri" w:cs="Calibri"/>
          <w:sz w:val="22"/>
          <w:szCs w:val="22"/>
          <w:vertAlign w:val="subscript"/>
          <w:lang w:val="en-GB"/>
        </w:rPr>
        <w:t>Time</w:t>
      </w:r>
      <w:r>
        <w:rPr>
          <w:rFonts w:ascii="Calibri" w:hAnsi="Calibri" w:cs="Calibri"/>
          <w:sz w:val="22"/>
          <w:szCs w:val="22"/>
          <w:lang w:val="en-GB"/>
        </w:rPr>
        <w:t xml:space="preserve"> and T</w:t>
      </w:r>
      <w:r>
        <w:rPr>
          <w:rFonts w:ascii="Calibri" w:hAnsi="Calibri" w:cs="Calibri"/>
          <w:sz w:val="22"/>
          <w:szCs w:val="22"/>
          <w:vertAlign w:val="superscript"/>
          <w:lang w:val="en-GB"/>
        </w:rPr>
        <w:t>2</w:t>
      </w:r>
      <w:r>
        <w:rPr>
          <w:rFonts w:ascii="Calibri" w:hAnsi="Calibri" w:cs="Calibri"/>
          <w:sz w:val="22"/>
          <w:szCs w:val="22"/>
          <w:vertAlign w:val="subscript"/>
          <w:lang w:val="en-GB"/>
        </w:rPr>
        <w:t>Freq</w:t>
      </w:r>
      <w:r>
        <w:rPr>
          <w:rFonts w:ascii="Calibri" w:hAnsi="Calibri" w:cs="Calibri"/>
          <w:sz w:val="22"/>
          <w:szCs w:val="22"/>
          <w:lang w:val="en-GB"/>
        </w:rPr>
        <w:t xml:space="preserve">), which was confirmed by results from the post-hoc statistical analysis, shown in Table 4. For </w:t>
      </w:r>
      <w:r>
        <w:rPr>
          <w:rFonts w:ascii="Calibri" w:hAnsi="Calibri" w:cs="Calibri"/>
          <w:i/>
          <w:iCs/>
          <w:sz w:val="22"/>
          <w:szCs w:val="22"/>
          <w:lang w:val="en-GB"/>
        </w:rPr>
        <w:t>N</w:t>
      </w:r>
      <w:r>
        <w:rPr>
          <w:rFonts w:ascii="Calibri" w:hAnsi="Calibri" w:cs="Calibri"/>
          <w:sz w:val="22"/>
          <w:szCs w:val="22"/>
          <w:lang w:val="en-GB"/>
        </w:rPr>
        <w:t>=80, T</w:t>
      </w:r>
      <w:r>
        <w:rPr>
          <w:rFonts w:ascii="Calibri" w:hAnsi="Calibri" w:cs="Calibri"/>
          <w:sz w:val="22"/>
          <w:szCs w:val="22"/>
          <w:vertAlign w:val="superscript"/>
          <w:lang w:val="en-GB"/>
        </w:rPr>
        <w:t>2</w:t>
      </w:r>
      <w:r>
        <w:rPr>
          <w:rFonts w:ascii="Calibri" w:hAnsi="Calibri" w:cs="Calibri"/>
          <w:sz w:val="22"/>
          <w:szCs w:val="22"/>
          <w:vertAlign w:val="subscript"/>
          <w:lang w:val="en-GB"/>
        </w:rPr>
        <w:t>time</w:t>
      </w:r>
      <w:r>
        <w:rPr>
          <w:rFonts w:ascii="Calibri" w:hAnsi="Calibri" w:cs="Calibri"/>
          <w:sz w:val="22"/>
          <w:szCs w:val="22"/>
          <w:lang w:val="en-GB"/>
        </w:rPr>
        <w:t xml:space="preserve"> was also significantly (p&lt;0.05) outperformed by both QMod V3 and T</w:t>
      </w:r>
      <w:r>
        <w:rPr>
          <w:rFonts w:ascii="Calibri" w:hAnsi="Calibri" w:cs="Calibri"/>
          <w:sz w:val="22"/>
          <w:szCs w:val="22"/>
          <w:vertAlign w:val="superscript"/>
          <w:lang w:val="en-GB"/>
        </w:rPr>
        <w:t>2</w:t>
      </w:r>
      <w:r>
        <w:rPr>
          <w:rFonts w:ascii="Calibri" w:hAnsi="Calibri" w:cs="Calibri"/>
          <w:sz w:val="22"/>
          <w:szCs w:val="22"/>
          <w:vertAlign w:val="subscript"/>
          <w:lang w:val="en-GB"/>
        </w:rPr>
        <w:t>Diag</w:t>
      </w:r>
      <w:r>
        <w:rPr>
          <w:rFonts w:ascii="Calibri" w:hAnsi="Calibri" w:cs="Calibri"/>
          <w:sz w:val="22"/>
          <w:szCs w:val="22"/>
          <w:lang w:val="en-GB"/>
        </w:rPr>
        <w:t xml:space="preserve">, whereas for </w:t>
      </w:r>
      <w:r>
        <w:rPr>
          <w:rFonts w:ascii="Calibri" w:hAnsi="Calibri" w:cs="Calibri"/>
          <w:i/>
          <w:iCs/>
          <w:sz w:val="22"/>
          <w:szCs w:val="22"/>
          <w:lang w:val="en-GB"/>
        </w:rPr>
        <w:t>N</w:t>
      </w:r>
      <w:r>
        <w:rPr>
          <w:rFonts w:ascii="Calibri" w:hAnsi="Calibri" w:cs="Calibri"/>
          <w:sz w:val="22"/>
          <w:szCs w:val="22"/>
          <w:lang w:val="en-GB"/>
        </w:rPr>
        <w:t xml:space="preserve">=160, no significant differences between the detection rates were observed (p&gt;0.05).  </w:t>
      </w:r>
    </w:p>
    <w:p>
      <w:pPr>
        <w:spacing w:line="240" w:lineRule="auto"/>
        <w:jc w:val="both"/>
        <w:rPr>
          <w:rFonts w:ascii="Calibri" w:hAnsi="Calibri" w:cs="Calibri"/>
          <w:sz w:val="22"/>
          <w:szCs w:val="22"/>
          <w:lang w:val="en-GB"/>
        </w:rPr>
      </w:pPr>
    </w:p>
    <w:p>
      <w:pPr>
        <w:spacing w:line="240" w:lineRule="auto"/>
        <w:jc w:val="both"/>
        <w:rPr>
          <w:rFonts w:hint="default" w:ascii="Calibri" w:hAnsi="Calibri" w:cs="Calibri"/>
          <w:sz w:val="22"/>
          <w:szCs w:val="22"/>
          <w:lang w:val="en-GB"/>
        </w:rPr>
      </w:pPr>
      <w:r>
        <w:rPr>
          <w:rFonts w:ascii="Calibri" w:hAnsi="Calibri" w:cs="Calibri"/>
          <w:sz w:val="22"/>
          <w:szCs w:val="22"/>
          <w:lang w:val="en-GB"/>
        </w:rPr>
        <w:t xml:space="preserve">To help facilitate the comparison between the examiners and the detection methods (at </w:t>
      </w:r>
      <w:r>
        <w:rPr>
          <w:rFonts w:ascii="Calibri" w:hAnsi="Calibri" w:cs="Calibri"/>
          <w:i/>
          <w:iCs/>
          <w:sz w:val="22"/>
          <w:szCs w:val="22"/>
          <w:lang w:val="en-GB"/>
        </w:rPr>
        <w:t>N</w:t>
      </w:r>
      <w:r>
        <w:rPr>
          <w:rFonts w:ascii="Calibri" w:hAnsi="Calibri" w:cs="Calibri"/>
          <w:sz w:val="22"/>
          <w:szCs w:val="22"/>
          <w:lang w:val="en-GB"/>
        </w:rPr>
        <w:t>=160), examiner detection rates from Figure 2 were also included in Figure 4 (right panels). Examiner detection rates ranged from ~0.15 to ~0.4 for the HF stimulus, and from ~0.3 to ~0.65 for the MF stimulus. For the best-performing detection methods (i.e. the modified</w:t>
      </w:r>
      <w:r>
        <w:rPr>
          <w:rFonts w:ascii="Calibri" w:hAnsi="Calibri" w:cs="Calibri"/>
          <w:lang w:val="en-GB"/>
        </w:rPr>
        <w:t xml:space="preserve"> T</w:t>
      </w:r>
      <w:r>
        <w:rPr>
          <w:rFonts w:ascii="Calibri" w:hAnsi="Calibri" w:cs="Calibri"/>
          <w:vertAlign w:val="superscript"/>
          <w:lang w:val="en-GB"/>
        </w:rPr>
        <w:t>2</w:t>
      </w:r>
      <w:r>
        <w:rPr>
          <w:rFonts w:ascii="Calibri" w:hAnsi="Calibri" w:cs="Calibri"/>
          <w:lang w:val="en-GB"/>
        </w:rPr>
        <w:t xml:space="preserve"> </w:t>
      </w:r>
      <w:r>
        <w:rPr>
          <w:rFonts w:ascii="Calibri" w:hAnsi="Calibri" w:cs="Calibri"/>
          <w:sz w:val="22"/>
          <w:szCs w:val="22"/>
          <w:lang w:val="en-GB"/>
        </w:rPr>
        <w:t xml:space="preserve">statistics and QMod V3), detection rates for </w:t>
      </w:r>
      <w:r>
        <w:rPr>
          <w:rFonts w:ascii="Calibri" w:hAnsi="Calibri" w:cs="Calibri"/>
          <w:i/>
          <w:iCs/>
          <w:sz w:val="22"/>
          <w:szCs w:val="22"/>
          <w:lang w:val="en-GB"/>
        </w:rPr>
        <w:t>N</w:t>
      </w:r>
      <w:r>
        <w:rPr>
          <w:rFonts w:ascii="Calibri" w:hAnsi="Calibri" w:cs="Calibri"/>
          <w:sz w:val="22"/>
          <w:szCs w:val="22"/>
          <w:lang w:val="en-GB"/>
        </w:rPr>
        <w:t xml:space="preserve">=160 were in the ~0.2 to ~0.65 range for the HF stimuli, and in the ~0.3 to ~0.8 range for the MF stimuli. Results from the post-hoc statistical analysis (Table 4) confirm significantly </w:t>
      </w:r>
      <w:r>
        <w:rPr>
          <w:rFonts w:hint="default" w:ascii="Calibri" w:hAnsi="Calibri" w:cs="Calibri"/>
          <w:sz w:val="22"/>
          <w:szCs w:val="22"/>
          <w:lang w:val="en-GB"/>
        </w:rPr>
        <w:t xml:space="preserve">higher </w:t>
      </w:r>
      <w:r>
        <w:rPr>
          <w:rFonts w:ascii="Calibri" w:hAnsi="Calibri" w:cs="Calibri"/>
          <w:sz w:val="22"/>
          <w:szCs w:val="22"/>
          <w:lang w:val="en-GB"/>
        </w:rPr>
        <w:t>detection rates for QMod V3, T</w:t>
      </w:r>
      <w:r>
        <w:rPr>
          <w:rFonts w:ascii="Calibri" w:hAnsi="Calibri" w:cs="Calibri"/>
          <w:sz w:val="22"/>
          <w:szCs w:val="22"/>
          <w:vertAlign w:val="superscript"/>
          <w:lang w:val="en-GB"/>
        </w:rPr>
        <w:t>2</w:t>
      </w:r>
      <w:r>
        <w:rPr>
          <w:rFonts w:ascii="Calibri" w:hAnsi="Calibri" w:cs="Calibri"/>
          <w:sz w:val="22"/>
          <w:szCs w:val="22"/>
          <w:vertAlign w:val="subscript"/>
          <w:lang w:val="en-GB"/>
        </w:rPr>
        <w:t>Diag</w:t>
      </w:r>
      <w:r>
        <w:rPr>
          <w:rFonts w:ascii="Calibri" w:hAnsi="Calibri" w:cs="Calibri"/>
          <w:sz w:val="22"/>
          <w:szCs w:val="22"/>
          <w:lang w:val="en-GB"/>
        </w:rPr>
        <w:t xml:space="preserve"> , and T</w:t>
      </w:r>
      <w:r>
        <w:rPr>
          <w:rFonts w:ascii="Calibri" w:hAnsi="Calibri" w:cs="Calibri"/>
          <w:sz w:val="22"/>
          <w:szCs w:val="22"/>
          <w:vertAlign w:val="superscript"/>
          <w:lang w:val="en-GB"/>
        </w:rPr>
        <w:t>2</w:t>
      </w:r>
      <w:r>
        <w:rPr>
          <w:rFonts w:ascii="Calibri" w:hAnsi="Calibri" w:cs="Calibri"/>
          <w:sz w:val="22"/>
          <w:szCs w:val="22"/>
          <w:vertAlign w:val="subscript"/>
          <w:lang w:val="en-GB"/>
        </w:rPr>
        <w:t>Toep</w:t>
      </w:r>
      <w:r>
        <w:rPr>
          <w:rFonts w:hint="default" w:ascii="Calibri" w:hAnsi="Calibri" w:cs="Calibri"/>
          <w:sz w:val="22"/>
          <w:szCs w:val="22"/>
          <w:lang w:val="en-GB"/>
        </w:rPr>
        <w:t xml:space="preserve"> relative to the examiners.</w:t>
      </w:r>
    </w:p>
    <w:p>
      <w:pPr>
        <w:spacing w:line="240" w:lineRule="auto"/>
        <w:jc w:val="both"/>
        <w:rPr>
          <w:rFonts w:hint="default"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 xml:space="preserve">Finally, increasing the α-level to 0.05 for the objective detection methods resulted in detection rates ranging from ~0.45 to ~0.75 for the HF stimuli, and from ~0.45 to ~0.9 for the MF stimuli. Additional analysis (details not presented) also demonstrate similar detection rates when using both the adjusted and the non-adjusted α-levels. Results in Figure 4 were generated using the non-adjusted α-levels. </w:t>
      </w:r>
    </w:p>
    <w:p>
      <w:pPr>
        <w:spacing w:line="240" w:lineRule="auto"/>
        <w:rPr>
          <w:rFonts w:ascii="Calibri" w:hAnsi="Calibri" w:cs="Calibri"/>
          <w:sz w:val="22"/>
          <w:szCs w:val="22"/>
          <w:lang w:val="en-GB"/>
        </w:rPr>
      </w:pPr>
    </w:p>
    <w:p>
      <w:pPr>
        <w:spacing w:line="240" w:lineRule="auto"/>
        <w:jc w:val="both"/>
        <w:rPr>
          <w:rFonts w:ascii="Calibri" w:hAnsi="Calibri" w:cs="Calibri"/>
          <w:b/>
          <w:bCs/>
          <w:sz w:val="22"/>
          <w:szCs w:val="22"/>
          <w:lang w:val="en-GB"/>
        </w:rPr>
      </w:pPr>
      <w:r>
        <w:rPr>
          <w:rFonts w:ascii="Calibri" w:hAnsi="Calibri" w:cs="Calibri"/>
          <w:b/>
          <w:bCs/>
          <w:sz w:val="22"/>
          <w:szCs w:val="22"/>
          <w:lang w:val="en-GB" w:eastAsia="en-GB"/>
        </w:rPr>
        <w:drawing>
          <wp:inline distT="0" distB="0" distL="114300" distR="114300">
            <wp:extent cx="6118860" cy="3989705"/>
            <wp:effectExtent l="0" t="0" r="15240" b="10795"/>
            <wp:docPr id="16" name="Picture 16" descr="Figure3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3_V2"/>
                    <pic:cNvPicPr>
                      <a:picLocks noChangeAspect="1"/>
                    </pic:cNvPicPr>
                  </pic:nvPicPr>
                  <pic:blipFill>
                    <a:blip r:embed="rId82"/>
                    <a:stretch>
                      <a:fillRect/>
                    </a:stretch>
                  </pic:blipFill>
                  <pic:spPr>
                    <a:xfrm>
                      <a:off x="0" y="0"/>
                      <a:ext cx="6118860" cy="3989705"/>
                    </a:xfrm>
                    <a:prstGeom prst="rect">
                      <a:avLst/>
                    </a:prstGeom>
                  </pic:spPr>
                </pic:pic>
              </a:graphicData>
            </a:graphic>
          </wp:inline>
        </w:drawing>
      </w:r>
    </w:p>
    <w:p>
      <w:pPr>
        <w:spacing w:line="240" w:lineRule="auto"/>
        <w:jc w:val="both"/>
        <w:rPr>
          <w:rFonts w:ascii="Calibri" w:hAnsi="Calibri" w:cs="Calibri"/>
          <w:sz w:val="22"/>
          <w:szCs w:val="22"/>
          <w:lang w:val="en-GB"/>
        </w:rPr>
      </w:pPr>
      <w:r>
        <w:rPr>
          <w:rFonts w:ascii="Calibri" w:hAnsi="Calibri" w:cs="Calibri"/>
          <w:b/>
          <w:bCs/>
          <w:sz w:val="22"/>
          <w:szCs w:val="22"/>
          <w:lang w:val="en-GB"/>
        </w:rPr>
        <w:t>Figure 4.</w:t>
      </w:r>
      <w:r>
        <w:rPr>
          <w:rFonts w:ascii="Calibri" w:hAnsi="Calibri" w:cs="Calibri"/>
          <w:sz w:val="22"/>
          <w:szCs w:val="22"/>
          <w:lang w:val="en-GB"/>
        </w:rPr>
        <w:t xml:space="preserve"> Detection rates for the audible infant CAEP recordings for both the objective detection methods and the examiners. Results are presented for the mid frequency (MF) stimuli (top panels) and the mid-high frequency (HF) stimuli (bottom panels), per dB SL category. The numbers associated with each dB SL category indicate how many ensembles were tested, and the (b) in the legend indicates that test significance was evaluated using the frequency domain bootstrap. </w:t>
      </w:r>
    </w:p>
    <w:p>
      <w:pPr>
        <w:spacing w:line="240" w:lineRule="auto"/>
        <w:rPr>
          <w:rFonts w:ascii="Calibri" w:hAnsi="Calibri" w:cs="Calibri"/>
          <w:sz w:val="22"/>
          <w:szCs w:val="22"/>
          <w:lang w:val="en-GB"/>
        </w:rPr>
      </w:pPr>
    </w:p>
    <w:tbl>
      <w:tblPr>
        <w:tblStyle w:val="4"/>
        <w:tblW w:w="7709" w:type="dxa"/>
        <w:jc w:val="center"/>
        <w:tblLayout w:type="fixed"/>
        <w:tblCellMar>
          <w:top w:w="0" w:type="dxa"/>
          <w:left w:w="0" w:type="dxa"/>
          <w:bottom w:w="0" w:type="dxa"/>
          <w:right w:w="0" w:type="dxa"/>
        </w:tblCellMar>
      </w:tblPr>
      <w:tblGrid>
        <w:gridCol w:w="1265"/>
        <w:gridCol w:w="1288"/>
        <w:gridCol w:w="1288"/>
        <w:gridCol w:w="1288"/>
        <w:gridCol w:w="1290"/>
        <w:gridCol w:w="1290"/>
      </w:tblGrid>
      <w:tr>
        <w:tblPrEx>
          <w:tblCellMar>
            <w:top w:w="0" w:type="dxa"/>
            <w:left w:w="0" w:type="dxa"/>
            <w:bottom w:w="0" w:type="dxa"/>
            <w:right w:w="0" w:type="dxa"/>
          </w:tblCellMar>
        </w:tblPrEx>
        <w:trPr>
          <w:trHeight w:val="300" w:hRule="atLeast"/>
          <w:jc w:val="center"/>
        </w:trPr>
        <w:tc>
          <w:tcPr>
            <w:tcW w:w="1265" w:type="dxa"/>
            <w:vMerge w:val="restart"/>
            <w:tcBorders>
              <w:top w:val="single" w:color="000000" w:sz="8"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center"/>
              <w:rPr>
                <w:rFonts w:ascii="Calibri" w:hAnsi="Calibri" w:cs="Calibri"/>
                <w:color w:val="000000"/>
              </w:rPr>
            </w:pPr>
          </w:p>
        </w:tc>
        <w:tc>
          <w:tcPr>
            <w:tcW w:w="1288" w:type="dxa"/>
            <w:tcBorders>
              <w:top w:val="single" w:color="000000" w:sz="8" w:space="0"/>
              <w:left w:val="nil"/>
              <w:bottom w:val="single" w:color="000000" w:sz="4" w:space="0"/>
              <w:right w:val="sing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b/>
                <w:color w:val="000000"/>
              </w:rPr>
            </w:pPr>
            <w:r>
              <w:rPr>
                <w:rFonts w:ascii="Calibri" w:hAnsi="Calibri" w:eastAsia="SimSun" w:cs="Calibri"/>
                <w:b/>
                <w:color w:val="000000"/>
                <w:lang w:bidi="ar"/>
              </w:rPr>
              <w:t>T</w:t>
            </w:r>
            <w:r>
              <w:rPr>
                <w:rFonts w:ascii="Calibri" w:hAnsi="Calibri" w:eastAsia="SimSun" w:cs="Calibri"/>
                <w:b/>
                <w:color w:val="000000"/>
                <w:vertAlign w:val="superscript"/>
                <w:lang w:bidi="ar"/>
              </w:rPr>
              <w:t>2</w:t>
            </w:r>
            <w:r>
              <w:rPr>
                <w:rFonts w:ascii="Calibri" w:hAnsi="Calibri" w:eastAsia="SimSun" w:cs="Calibri"/>
                <w:b/>
                <w:color w:val="000000"/>
                <w:vertAlign w:val="subscript"/>
                <w:lang w:bidi="ar"/>
              </w:rPr>
              <w:t>Time</w:t>
            </w:r>
          </w:p>
        </w:tc>
        <w:tc>
          <w:tcPr>
            <w:tcW w:w="1288" w:type="dxa"/>
            <w:tcBorders>
              <w:top w:val="single" w:color="000000" w:sz="8"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eastAsiaTheme="minorEastAsia"/>
                <w:b/>
                <w:color w:val="000000"/>
                <w:lang w:val="en-US" w:eastAsia="zh-CN" w:bidi="ar-SA"/>
              </w:rPr>
            </w:pPr>
            <w:r>
              <w:rPr>
                <w:rFonts w:ascii="Calibri" w:hAnsi="Calibri" w:eastAsia="SimSun" w:cs="Calibri"/>
                <w:b/>
                <w:color w:val="000000"/>
                <w:lang w:bidi="ar"/>
              </w:rPr>
              <w:t>T</w:t>
            </w:r>
            <w:r>
              <w:rPr>
                <w:rFonts w:ascii="Calibri" w:hAnsi="Calibri" w:eastAsia="SimSun" w:cs="Calibri"/>
                <w:b/>
                <w:color w:val="000000"/>
                <w:vertAlign w:val="superscript"/>
                <w:lang w:bidi="ar"/>
              </w:rPr>
              <w:t>2</w:t>
            </w:r>
            <w:r>
              <w:rPr>
                <w:rFonts w:ascii="Calibri" w:hAnsi="Calibri" w:eastAsia="SimSun" w:cs="Calibri"/>
                <w:b/>
                <w:color w:val="000000"/>
                <w:vertAlign w:val="subscript"/>
                <w:lang w:bidi="ar"/>
              </w:rPr>
              <w:t>Freq</w:t>
            </w:r>
          </w:p>
        </w:tc>
        <w:tc>
          <w:tcPr>
            <w:tcW w:w="1288" w:type="dxa"/>
            <w:tcBorders>
              <w:top w:val="single" w:color="000000" w:sz="8"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eastAsiaTheme="minorEastAsia"/>
                <w:b/>
                <w:color w:val="000000"/>
                <w:lang w:val="en-US" w:eastAsia="zh-CN" w:bidi="ar-SA"/>
              </w:rPr>
            </w:pPr>
            <w:r>
              <w:rPr>
                <w:rFonts w:ascii="Calibri" w:hAnsi="Calibri" w:eastAsia="SimSun" w:cs="Calibri"/>
                <w:b/>
                <w:color w:val="000000"/>
                <w:lang w:bidi="ar"/>
              </w:rPr>
              <w:t>QMod V3 (</w:t>
            </w:r>
            <w:r>
              <w:rPr>
                <w:rFonts w:hint="default" w:ascii="Calibri" w:hAnsi="Calibri" w:eastAsia="SimSun" w:cs="Calibri"/>
                <w:b/>
                <w:color w:val="000000"/>
                <w:lang w:val="en-GB" w:bidi="ar"/>
              </w:rPr>
              <w:t>b</w:t>
            </w:r>
            <w:r>
              <w:rPr>
                <w:rFonts w:ascii="Calibri" w:hAnsi="Calibri" w:eastAsia="SimSun" w:cs="Calibri"/>
                <w:b/>
                <w:color w:val="000000"/>
                <w:lang w:bidi="ar"/>
              </w:rPr>
              <w:t>)</w:t>
            </w:r>
          </w:p>
        </w:tc>
        <w:tc>
          <w:tcPr>
            <w:tcW w:w="1290" w:type="dxa"/>
            <w:tcBorders>
              <w:top w:val="single" w:color="000000" w:sz="8"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eastAsiaTheme="minorEastAsia"/>
                <w:b/>
                <w:color w:val="000000"/>
                <w:lang w:val="en-US" w:eastAsia="zh-CN" w:bidi="ar-SA"/>
              </w:rPr>
            </w:pPr>
            <w:r>
              <w:rPr>
                <w:rFonts w:ascii="Calibri" w:hAnsi="Calibri" w:eastAsia="SimSun" w:cs="Calibri"/>
                <w:b/>
                <w:color w:val="000000"/>
                <w:lang w:val="en-GB" w:bidi="ar"/>
              </w:rPr>
              <w:t>T</w:t>
            </w:r>
            <w:r>
              <w:rPr>
                <w:rFonts w:ascii="Calibri" w:hAnsi="Calibri" w:eastAsia="SimSun" w:cs="Calibri"/>
                <w:b/>
                <w:color w:val="000000"/>
                <w:vertAlign w:val="superscript"/>
                <w:lang w:val="en-GB" w:bidi="ar"/>
              </w:rPr>
              <w:t>2</w:t>
            </w:r>
            <w:r>
              <w:rPr>
                <w:rFonts w:hint="default" w:ascii="Calibri" w:hAnsi="Calibri" w:eastAsia="SimSun" w:cs="Calibri"/>
                <w:b/>
                <w:color w:val="000000"/>
                <w:vertAlign w:val="subscript"/>
                <w:lang w:val="en-GB" w:bidi="ar"/>
              </w:rPr>
              <w:t>Toep</w:t>
            </w:r>
            <w:r>
              <w:rPr>
                <w:rFonts w:ascii="Calibri" w:hAnsi="Calibri" w:eastAsia="SimSun" w:cs="Calibri"/>
                <w:b/>
                <w:color w:val="000000"/>
                <w:lang w:bidi="ar"/>
              </w:rPr>
              <w:t xml:space="preserve"> (</w:t>
            </w:r>
            <w:r>
              <w:rPr>
                <w:rFonts w:hint="default" w:ascii="Calibri" w:hAnsi="Calibri" w:eastAsia="SimSun" w:cs="Calibri"/>
                <w:b/>
                <w:color w:val="000000"/>
                <w:lang w:val="en-GB" w:bidi="ar"/>
              </w:rPr>
              <w:t>b</w:t>
            </w:r>
            <w:r>
              <w:rPr>
                <w:rFonts w:ascii="Calibri" w:hAnsi="Calibri" w:eastAsia="SimSun" w:cs="Calibri"/>
                <w:b/>
                <w:color w:val="000000"/>
                <w:lang w:bidi="ar"/>
              </w:rPr>
              <w:t>)</w:t>
            </w:r>
          </w:p>
        </w:tc>
        <w:tc>
          <w:tcPr>
            <w:tcW w:w="1290" w:type="dxa"/>
            <w:tcBorders>
              <w:top w:val="single" w:color="000000" w:sz="8"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eastAsiaTheme="minorEastAsia"/>
                <w:b/>
                <w:color w:val="000000"/>
                <w:lang w:val="en-US" w:eastAsia="zh-CN" w:bidi="ar-SA"/>
              </w:rPr>
            </w:pPr>
            <w:r>
              <w:rPr>
                <w:rFonts w:ascii="Calibri" w:hAnsi="Calibri" w:eastAsia="SimSun" w:cs="Calibri"/>
                <w:b/>
                <w:color w:val="000000"/>
                <w:lang w:bidi="ar"/>
              </w:rPr>
              <w:t>T</w:t>
            </w:r>
            <w:r>
              <w:rPr>
                <w:rFonts w:ascii="Calibri" w:hAnsi="Calibri" w:eastAsia="SimSun" w:cs="Calibri"/>
                <w:b/>
                <w:color w:val="000000"/>
                <w:vertAlign w:val="superscript"/>
                <w:lang w:bidi="ar"/>
              </w:rPr>
              <w:t>2</w:t>
            </w:r>
            <w:r>
              <w:rPr>
                <w:rFonts w:hint="default" w:ascii="Calibri" w:hAnsi="Calibri" w:eastAsia="SimSun" w:cs="Calibri"/>
                <w:b/>
                <w:color w:val="000000"/>
                <w:vertAlign w:val="subscript"/>
                <w:lang w:val="en-GB" w:bidi="ar"/>
              </w:rPr>
              <w:t>Diag</w:t>
            </w:r>
            <w:r>
              <w:rPr>
                <w:rFonts w:ascii="Calibri" w:hAnsi="Calibri" w:eastAsia="SimSun" w:cs="Calibri"/>
                <w:b/>
                <w:color w:val="000000"/>
                <w:lang w:bidi="ar"/>
              </w:rPr>
              <w:t xml:space="preserve"> (</w:t>
            </w:r>
            <w:r>
              <w:rPr>
                <w:rFonts w:hint="default" w:ascii="Calibri" w:hAnsi="Calibri" w:eastAsia="SimSun" w:cs="Calibri"/>
                <w:b/>
                <w:color w:val="000000"/>
                <w:lang w:val="en-GB" w:bidi="ar"/>
              </w:rPr>
              <w:t>b</w:t>
            </w:r>
            <w:r>
              <w:rPr>
                <w:rFonts w:ascii="Calibri" w:hAnsi="Calibri" w:eastAsia="SimSun" w:cs="Calibri"/>
                <w:b/>
                <w:color w:val="000000"/>
                <w:lang w:bidi="ar"/>
              </w:rPr>
              <w:t>)</w:t>
            </w:r>
          </w:p>
        </w:tc>
      </w:tr>
      <w:tr>
        <w:tblPrEx>
          <w:tblCellMar>
            <w:top w:w="0" w:type="dxa"/>
            <w:left w:w="0" w:type="dxa"/>
            <w:bottom w:w="0" w:type="dxa"/>
            <w:right w:w="0" w:type="dxa"/>
          </w:tblCellMar>
        </w:tblPrEx>
        <w:trPr>
          <w:trHeight w:val="300" w:hRule="atLeast"/>
          <w:jc w:val="center"/>
        </w:trPr>
        <w:tc>
          <w:tcPr>
            <w:tcW w:w="1265" w:type="dxa"/>
            <w:vMerge w:val="continue"/>
            <w:tcBorders>
              <w:top w:val="single" w:color="000000" w:sz="8"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center"/>
              <w:rPr>
                <w:rFonts w:ascii="Calibri" w:hAnsi="Calibri" w:cs="Calibri"/>
                <w:color w:val="000000"/>
              </w:rPr>
            </w:pPr>
          </w:p>
        </w:tc>
        <w:tc>
          <w:tcPr>
            <w:tcW w:w="6444" w:type="dxa"/>
            <w:gridSpan w:val="5"/>
            <w:tcBorders>
              <w:top w:val="single" w:color="000000" w:sz="4" w:space="0"/>
              <w:left w:val="nil"/>
              <w:bottom w:val="single" w:color="000000" w:sz="8" w:space="0"/>
              <w:right w:val="single" w:color="000000" w:sz="4" w:space="0"/>
            </w:tcBorders>
            <w:shd w:val="clear" w:color="auto" w:fill="auto"/>
            <w:noWrap/>
            <w:tcMar>
              <w:top w:w="15" w:type="dxa"/>
              <w:left w:w="15" w:type="dxa"/>
              <w:right w:w="15" w:type="dxa"/>
            </w:tcMar>
            <w:vAlign w:val="center"/>
          </w:tcPr>
          <w:p>
            <w:pPr>
              <w:spacing w:line="240" w:lineRule="auto"/>
              <w:jc w:val="center"/>
              <w:textAlignment w:val="center"/>
              <w:rPr>
                <w:rFonts w:ascii="Calibri" w:hAnsi="Calibri" w:eastAsia="SimSun" w:cs="Calibri"/>
                <w:b/>
                <w:i/>
                <w:iCs/>
                <w:color w:val="000000"/>
                <w:lang w:bidi="ar"/>
              </w:rPr>
            </w:pPr>
            <w:r>
              <w:rPr>
                <w:rFonts w:ascii="Calibri" w:hAnsi="Calibri" w:eastAsia="SimSun" w:cs="Calibri"/>
                <w:b/>
                <w:i/>
                <w:iCs/>
                <w:color w:val="000000"/>
                <w:lang w:bidi="ar"/>
              </w:rPr>
              <w:t>N</w:t>
            </w:r>
            <w:r>
              <w:rPr>
                <w:rFonts w:ascii="Calibri" w:hAnsi="Calibri" w:eastAsia="SimSun" w:cs="Calibri"/>
                <w:b/>
                <w:color w:val="000000"/>
                <w:lang w:bidi="ar"/>
              </w:rPr>
              <w:t>=20</w:t>
            </w:r>
          </w:p>
        </w:tc>
      </w:tr>
      <w:tr>
        <w:tblPrEx>
          <w:tblCellMar>
            <w:top w:w="0" w:type="dxa"/>
            <w:left w:w="0" w:type="dxa"/>
            <w:bottom w:w="0" w:type="dxa"/>
            <w:right w:w="0" w:type="dxa"/>
          </w:tblCellMar>
        </w:tblPrEx>
        <w:trPr>
          <w:trHeight w:val="300" w:hRule="atLeast"/>
          <w:jc w:val="center"/>
        </w:trPr>
        <w:tc>
          <w:tcPr>
            <w:tcW w:w="1265" w:type="dxa"/>
            <w:tcBorders>
              <w:top w:val="single" w:color="000000" w:sz="4" w:space="0"/>
              <w:left w:val="single" w:color="000000" w:sz="8" w:space="0"/>
              <w:bottom w:val="single" w:color="000000" w:sz="4" w:space="0"/>
              <w:right w:val="single" w:color="000000" w:sz="8" w:space="0"/>
            </w:tcBorders>
            <w:shd w:val="clear" w:color="auto" w:fill="auto"/>
            <w:noWrap/>
            <w:tcMar>
              <w:top w:w="15" w:type="dxa"/>
              <w:left w:w="15" w:type="dxa"/>
              <w:right w:w="15" w:type="dxa"/>
            </w:tcMar>
            <w:vAlign w:val="center"/>
          </w:tcPr>
          <w:p>
            <w:pPr>
              <w:spacing w:line="240" w:lineRule="auto"/>
              <w:textAlignment w:val="center"/>
              <w:rPr>
                <w:rFonts w:ascii="Calibri" w:hAnsi="Calibri" w:cs="Calibri"/>
                <w:b/>
                <w:color w:val="000000"/>
              </w:rPr>
            </w:pPr>
            <w:r>
              <w:rPr>
                <w:rFonts w:ascii="Calibri" w:hAnsi="Calibri" w:eastAsia="SimSun" w:cs="Calibri"/>
                <w:b/>
                <w:color w:val="000000"/>
                <w:lang w:bidi="ar"/>
              </w:rPr>
              <w:t>T</w:t>
            </w:r>
            <w:r>
              <w:rPr>
                <w:rFonts w:ascii="Calibri" w:hAnsi="Calibri" w:eastAsia="SimSun" w:cs="Calibri"/>
                <w:b/>
                <w:color w:val="000000"/>
                <w:vertAlign w:val="superscript"/>
                <w:lang w:bidi="ar"/>
              </w:rPr>
              <w:t>2</w:t>
            </w:r>
            <w:r>
              <w:rPr>
                <w:rFonts w:ascii="Calibri" w:hAnsi="Calibri" w:eastAsia="SimSun" w:cs="Calibri"/>
                <w:b/>
                <w:color w:val="000000"/>
                <w:vertAlign w:val="subscript"/>
                <w:lang w:bidi="ar"/>
              </w:rPr>
              <w:t>Time</w:t>
            </w:r>
          </w:p>
        </w:tc>
        <w:tc>
          <w:tcPr>
            <w:tcW w:w="1288" w:type="dxa"/>
            <w:tcBorders>
              <w:top w:val="single" w:color="000000" w:sz="8" w:space="0"/>
              <w:left w:val="single" w:color="000000" w:sz="8" w:space="0"/>
              <w:bottom w:val="nil"/>
              <w:right w:val="nil"/>
            </w:tcBorders>
            <w:shd w:val="clear" w:color="auto" w:fill="BEBEBE" w:themeFill="background1" w:themeFillShade="BF"/>
            <w:noWrap/>
            <w:tcMar>
              <w:top w:w="15" w:type="dxa"/>
              <w:left w:w="15" w:type="dxa"/>
              <w:right w:w="15" w:type="dxa"/>
            </w:tcMar>
            <w:vAlign w:val="bottom"/>
          </w:tcPr>
          <w:p>
            <w:pPr>
              <w:spacing w:line="240" w:lineRule="auto"/>
              <w:jc w:val="center"/>
              <w:textAlignment w:val="bottom"/>
              <w:rPr>
                <w:rFonts w:hint="default" w:ascii="Calibri" w:hAnsi="Calibri" w:cs="Calibri"/>
                <w:color w:val="auto"/>
                <w:lang w:val="en-GB"/>
              </w:rPr>
            </w:pPr>
            <w:r>
              <w:rPr>
                <w:rFonts w:hint="default" w:ascii="Calibri" w:hAnsi="Calibri" w:cs="Calibri"/>
                <w:color w:val="auto"/>
                <w:lang w:val="en-GB"/>
              </w:rPr>
              <w:t>1</w:t>
            </w:r>
          </w:p>
        </w:tc>
        <w:tc>
          <w:tcPr>
            <w:tcW w:w="1288" w:type="dxa"/>
            <w:tcBorders>
              <w:top w:val="single" w:color="000000" w:sz="8" w:space="0"/>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color w:val="auto"/>
                <w:lang w:val="en-GB"/>
              </w:rPr>
            </w:pPr>
            <w:r>
              <w:rPr>
                <w:rFonts w:hint="default" w:ascii="Calibri" w:hAnsi="Calibri" w:cs="Calibri"/>
                <w:color w:val="auto"/>
                <w:lang w:val="en-GB"/>
              </w:rPr>
              <w:t>0.008*</w:t>
            </w:r>
          </w:p>
        </w:tc>
        <w:tc>
          <w:tcPr>
            <w:tcW w:w="1288" w:type="dxa"/>
            <w:tcBorders>
              <w:top w:val="single" w:color="000000" w:sz="8" w:space="0"/>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color w:val="auto"/>
                <w:lang w:val="en-GB"/>
              </w:rPr>
            </w:pPr>
            <w:r>
              <w:rPr>
                <w:rFonts w:hint="default" w:ascii="Calibri" w:hAnsi="Calibri" w:cs="Calibri"/>
                <w:color w:val="auto"/>
                <w:lang w:val="en-GB"/>
              </w:rPr>
              <w:t>&lt;0.001*</w:t>
            </w:r>
          </w:p>
        </w:tc>
        <w:tc>
          <w:tcPr>
            <w:tcW w:w="1290" w:type="dxa"/>
            <w:tcBorders>
              <w:top w:val="single" w:color="000000" w:sz="8" w:space="0"/>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color w:val="auto"/>
                <w:lang w:val="en-GB"/>
              </w:rPr>
            </w:pPr>
            <w:r>
              <w:rPr>
                <w:rFonts w:hint="default" w:ascii="Calibri" w:hAnsi="Calibri" w:cs="Calibri"/>
                <w:color w:val="auto"/>
                <w:lang w:val="en-GB"/>
              </w:rPr>
              <w:t>&lt;0.001*</w:t>
            </w:r>
          </w:p>
        </w:tc>
        <w:tc>
          <w:tcPr>
            <w:tcW w:w="1290" w:type="dxa"/>
            <w:tcBorders>
              <w:top w:val="single" w:color="000000" w:sz="8" w:space="0"/>
              <w:left w:val="nil"/>
              <w:bottom w:val="nil"/>
              <w:right w:val="single" w:color="000000" w:sz="8" w:space="0"/>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eastAsia="SimSun" w:cs="Calibri"/>
                <w:color w:val="auto"/>
                <w:lang w:val="en-GB" w:bidi="ar"/>
              </w:rPr>
            </w:pPr>
            <w:r>
              <w:rPr>
                <w:rFonts w:hint="default" w:ascii="Calibri" w:hAnsi="Calibri" w:eastAsia="SimSun" w:cs="Calibri"/>
                <w:color w:val="auto"/>
                <w:lang w:val="en-GB" w:bidi="ar"/>
              </w:rPr>
              <w:t>&lt;0.001*</w:t>
            </w:r>
          </w:p>
        </w:tc>
      </w:tr>
      <w:tr>
        <w:tblPrEx>
          <w:tblCellMar>
            <w:top w:w="0" w:type="dxa"/>
            <w:left w:w="0" w:type="dxa"/>
            <w:bottom w:w="0" w:type="dxa"/>
            <w:right w:w="0" w:type="dxa"/>
          </w:tblCellMar>
        </w:tblPrEx>
        <w:trPr>
          <w:trHeight w:val="300" w:hRule="atLeast"/>
          <w:jc w:val="center"/>
        </w:trPr>
        <w:tc>
          <w:tcPr>
            <w:tcW w:w="1265" w:type="dxa"/>
            <w:tcBorders>
              <w:top w:val="single" w:color="000000" w:sz="4" w:space="0"/>
              <w:left w:val="single" w:color="000000" w:sz="8" w:space="0"/>
              <w:bottom w:val="single" w:color="000000" w:sz="4" w:space="0"/>
              <w:right w:val="single" w:color="000000" w:sz="8" w:space="0"/>
            </w:tcBorders>
            <w:shd w:val="clear" w:color="auto" w:fill="auto"/>
            <w:noWrap/>
            <w:tcMar>
              <w:top w:w="15" w:type="dxa"/>
              <w:left w:w="15" w:type="dxa"/>
              <w:right w:w="15" w:type="dxa"/>
            </w:tcMar>
            <w:vAlign w:val="bottom"/>
          </w:tcPr>
          <w:p>
            <w:pPr>
              <w:spacing w:line="240" w:lineRule="auto"/>
              <w:textAlignment w:val="bottom"/>
              <w:rPr>
                <w:rFonts w:ascii="Calibri" w:hAnsi="Calibri" w:cs="Calibri"/>
                <w:b/>
                <w:color w:val="000000"/>
              </w:rPr>
            </w:pPr>
            <w:r>
              <w:rPr>
                <w:rFonts w:ascii="Calibri" w:hAnsi="Calibri" w:eastAsia="SimSun" w:cs="Calibri"/>
                <w:b/>
                <w:color w:val="000000"/>
                <w:lang w:bidi="ar"/>
              </w:rPr>
              <w:t>T</w:t>
            </w:r>
            <w:r>
              <w:rPr>
                <w:rFonts w:ascii="Calibri" w:hAnsi="Calibri" w:eastAsia="SimSun" w:cs="Calibri"/>
                <w:b/>
                <w:color w:val="000000"/>
                <w:vertAlign w:val="superscript"/>
                <w:lang w:bidi="ar"/>
              </w:rPr>
              <w:t>2</w:t>
            </w:r>
            <w:r>
              <w:rPr>
                <w:rFonts w:ascii="Calibri" w:hAnsi="Calibri" w:eastAsia="SimSun" w:cs="Calibri"/>
                <w:b/>
                <w:color w:val="000000"/>
                <w:vertAlign w:val="subscript"/>
                <w:lang w:bidi="ar"/>
              </w:rPr>
              <w:t>Freq</w:t>
            </w:r>
          </w:p>
        </w:tc>
        <w:tc>
          <w:tcPr>
            <w:tcW w:w="1288" w:type="dxa"/>
            <w:tcBorders>
              <w:top w:val="nil"/>
              <w:left w:val="single" w:color="000000" w:sz="8" w:space="0"/>
              <w:bottom w:val="nil"/>
              <w:right w:val="nil"/>
            </w:tcBorders>
            <w:shd w:val="clear" w:color="auto" w:fill="F1F1F1" w:themeFill="background1" w:themeFillShade="F2"/>
            <w:noWrap/>
            <w:tcMar>
              <w:top w:w="15" w:type="dxa"/>
              <w:left w:w="15" w:type="dxa"/>
              <w:right w:w="15" w:type="dxa"/>
            </w:tcMar>
            <w:vAlign w:val="bottom"/>
          </w:tcPr>
          <w:p>
            <w:pPr>
              <w:spacing w:line="240" w:lineRule="auto"/>
              <w:jc w:val="center"/>
              <w:rPr>
                <w:rFonts w:ascii="Calibri" w:hAnsi="Calibri" w:cs="Calibri"/>
                <w:color w:val="auto"/>
              </w:rPr>
            </w:pPr>
          </w:p>
        </w:tc>
        <w:tc>
          <w:tcPr>
            <w:tcW w:w="1288" w:type="dxa"/>
            <w:tcBorders>
              <w:top w:val="nil"/>
              <w:left w:val="nil"/>
              <w:bottom w:val="nil"/>
              <w:right w:val="nil"/>
            </w:tcBorders>
            <w:shd w:val="clear" w:color="auto" w:fill="BEBEBE" w:themeFill="background1" w:themeFillShade="BF"/>
            <w:noWrap/>
            <w:tcMar>
              <w:top w:w="15" w:type="dxa"/>
              <w:left w:w="15" w:type="dxa"/>
              <w:right w:w="15" w:type="dxa"/>
            </w:tcMar>
            <w:vAlign w:val="bottom"/>
          </w:tcPr>
          <w:p>
            <w:pPr>
              <w:spacing w:line="240" w:lineRule="auto"/>
              <w:jc w:val="center"/>
              <w:textAlignment w:val="bottom"/>
              <w:rPr>
                <w:rFonts w:hint="default" w:ascii="Calibri" w:hAnsi="Calibri" w:cs="Calibri"/>
                <w:color w:val="auto"/>
                <w:lang w:val="en-GB"/>
              </w:rPr>
            </w:pPr>
            <w:r>
              <w:rPr>
                <w:rFonts w:hint="default" w:ascii="Calibri" w:hAnsi="Calibri" w:cs="Calibri"/>
                <w:color w:val="auto"/>
                <w:lang w:val="en-GB"/>
              </w:rPr>
              <w:t>1</w:t>
            </w:r>
          </w:p>
        </w:tc>
        <w:tc>
          <w:tcPr>
            <w:tcW w:w="1288" w:type="dxa"/>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auto"/>
              </w:rPr>
            </w:pPr>
            <w:r>
              <w:rPr>
                <w:rFonts w:hint="default" w:ascii="Calibri" w:hAnsi="Calibri" w:cs="Calibri"/>
                <w:color w:val="auto"/>
                <w:lang w:val="en-GB"/>
              </w:rPr>
              <w:t>&lt;0.001*</w:t>
            </w:r>
          </w:p>
        </w:tc>
        <w:tc>
          <w:tcPr>
            <w:tcW w:w="1290" w:type="dxa"/>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auto"/>
              </w:rPr>
            </w:pPr>
            <w:r>
              <w:rPr>
                <w:rFonts w:hint="default" w:ascii="Calibri" w:hAnsi="Calibri" w:cs="Calibri"/>
                <w:color w:val="auto"/>
                <w:lang w:val="en-GB"/>
              </w:rPr>
              <w:t>&lt;0.001*</w:t>
            </w:r>
          </w:p>
        </w:tc>
        <w:tc>
          <w:tcPr>
            <w:tcW w:w="1290" w:type="dxa"/>
            <w:tcBorders>
              <w:top w:val="nil"/>
              <w:left w:val="nil"/>
              <w:bottom w:val="nil"/>
              <w:right w:val="single" w:color="000000" w:sz="8" w:space="0"/>
            </w:tcBorders>
            <w:shd w:val="clear" w:color="auto" w:fill="auto"/>
            <w:noWrap/>
            <w:tcMar>
              <w:top w:w="15" w:type="dxa"/>
              <w:left w:w="15" w:type="dxa"/>
              <w:right w:w="15" w:type="dxa"/>
            </w:tcMar>
            <w:vAlign w:val="bottom"/>
          </w:tcPr>
          <w:p>
            <w:pPr>
              <w:spacing w:line="240" w:lineRule="auto"/>
              <w:jc w:val="center"/>
              <w:textAlignment w:val="bottom"/>
              <w:rPr>
                <w:rFonts w:ascii="Calibri" w:hAnsi="Calibri" w:eastAsia="SimSun" w:cs="Calibri"/>
                <w:color w:val="auto"/>
                <w:lang w:bidi="ar"/>
              </w:rPr>
            </w:pPr>
            <w:r>
              <w:rPr>
                <w:rFonts w:hint="default" w:ascii="Calibri" w:hAnsi="Calibri" w:cs="Calibri"/>
                <w:color w:val="auto"/>
                <w:lang w:val="en-GB"/>
              </w:rPr>
              <w:t>&lt;0.001*</w:t>
            </w:r>
          </w:p>
        </w:tc>
      </w:tr>
      <w:tr>
        <w:tblPrEx>
          <w:tblCellMar>
            <w:top w:w="0" w:type="dxa"/>
            <w:left w:w="0" w:type="dxa"/>
            <w:bottom w:w="0" w:type="dxa"/>
            <w:right w:w="0" w:type="dxa"/>
          </w:tblCellMar>
        </w:tblPrEx>
        <w:trPr>
          <w:trHeight w:val="300" w:hRule="atLeast"/>
          <w:jc w:val="center"/>
        </w:trPr>
        <w:tc>
          <w:tcPr>
            <w:tcW w:w="1265" w:type="dxa"/>
            <w:tcBorders>
              <w:top w:val="single" w:color="000000" w:sz="4" w:space="0"/>
              <w:left w:val="single" w:color="000000" w:sz="8" w:space="0"/>
              <w:bottom w:val="single" w:color="000000" w:sz="4" w:space="0"/>
              <w:right w:val="single" w:color="000000" w:sz="8" w:space="0"/>
            </w:tcBorders>
            <w:shd w:val="clear" w:color="auto" w:fill="auto"/>
            <w:noWrap/>
            <w:tcMar>
              <w:top w:w="15" w:type="dxa"/>
              <w:left w:w="15" w:type="dxa"/>
              <w:right w:w="15" w:type="dxa"/>
            </w:tcMar>
            <w:vAlign w:val="bottom"/>
          </w:tcPr>
          <w:p>
            <w:pPr>
              <w:spacing w:line="240" w:lineRule="auto"/>
              <w:textAlignment w:val="bottom"/>
              <w:rPr>
                <w:rFonts w:ascii="Calibri" w:hAnsi="Calibri" w:cs="Calibri"/>
                <w:b/>
                <w:color w:val="000000"/>
              </w:rPr>
            </w:pPr>
            <w:r>
              <w:rPr>
                <w:rFonts w:ascii="Calibri" w:hAnsi="Calibri" w:eastAsia="SimSun" w:cs="Calibri"/>
                <w:b/>
                <w:color w:val="000000"/>
                <w:lang w:bidi="ar"/>
              </w:rPr>
              <w:t>QMod V3 (</w:t>
            </w:r>
            <w:r>
              <w:rPr>
                <w:rFonts w:hint="default" w:ascii="Calibri" w:hAnsi="Calibri" w:eastAsia="SimSun" w:cs="Calibri"/>
                <w:b/>
                <w:color w:val="000000"/>
                <w:lang w:val="en-GB" w:bidi="ar"/>
              </w:rPr>
              <w:t>b</w:t>
            </w:r>
            <w:r>
              <w:rPr>
                <w:rFonts w:ascii="Calibri" w:hAnsi="Calibri" w:eastAsia="SimSun" w:cs="Calibri"/>
                <w:b/>
                <w:color w:val="000000"/>
                <w:lang w:bidi="ar"/>
              </w:rPr>
              <w:t>)</w:t>
            </w:r>
          </w:p>
        </w:tc>
        <w:tc>
          <w:tcPr>
            <w:tcW w:w="1288" w:type="dxa"/>
            <w:tcBorders>
              <w:top w:val="nil"/>
              <w:left w:val="single" w:color="000000" w:sz="8" w:space="0"/>
              <w:bottom w:val="nil"/>
              <w:right w:val="nil"/>
            </w:tcBorders>
            <w:shd w:val="clear" w:color="auto" w:fill="F2F2F2"/>
            <w:noWrap/>
            <w:tcMar>
              <w:top w:w="15" w:type="dxa"/>
              <w:left w:w="15" w:type="dxa"/>
              <w:right w:w="15" w:type="dxa"/>
            </w:tcMar>
            <w:vAlign w:val="bottom"/>
          </w:tcPr>
          <w:p>
            <w:pPr>
              <w:spacing w:line="240" w:lineRule="auto"/>
              <w:jc w:val="center"/>
              <w:rPr>
                <w:rFonts w:ascii="Calibri" w:hAnsi="Calibri" w:cs="Calibri"/>
                <w:color w:val="auto"/>
              </w:rPr>
            </w:pPr>
          </w:p>
        </w:tc>
        <w:tc>
          <w:tcPr>
            <w:tcW w:w="1288" w:type="dxa"/>
            <w:tcBorders>
              <w:top w:val="nil"/>
              <w:left w:val="nil"/>
              <w:bottom w:val="nil"/>
              <w:right w:val="nil"/>
            </w:tcBorders>
            <w:shd w:val="clear" w:color="auto" w:fill="F1F1F1" w:themeFill="background1" w:themeFillShade="F2"/>
            <w:noWrap/>
            <w:tcMar>
              <w:top w:w="15" w:type="dxa"/>
              <w:left w:w="15" w:type="dxa"/>
              <w:right w:w="15" w:type="dxa"/>
            </w:tcMar>
            <w:vAlign w:val="bottom"/>
          </w:tcPr>
          <w:p>
            <w:pPr>
              <w:spacing w:line="240" w:lineRule="auto"/>
              <w:jc w:val="center"/>
              <w:rPr>
                <w:rFonts w:ascii="Calibri" w:hAnsi="Calibri" w:cs="Calibri"/>
                <w:color w:val="auto"/>
              </w:rPr>
            </w:pPr>
          </w:p>
        </w:tc>
        <w:tc>
          <w:tcPr>
            <w:tcW w:w="1288" w:type="dxa"/>
            <w:tcBorders>
              <w:top w:val="nil"/>
              <w:left w:val="nil"/>
              <w:bottom w:val="nil"/>
              <w:right w:val="nil"/>
            </w:tcBorders>
            <w:shd w:val="clear" w:color="auto" w:fill="BEBEBE" w:themeFill="background1" w:themeFillShade="BF"/>
            <w:noWrap/>
            <w:tcMar>
              <w:top w:w="15" w:type="dxa"/>
              <w:left w:w="15" w:type="dxa"/>
              <w:right w:w="15" w:type="dxa"/>
            </w:tcMar>
            <w:vAlign w:val="bottom"/>
          </w:tcPr>
          <w:p>
            <w:pPr>
              <w:spacing w:line="240" w:lineRule="auto"/>
              <w:jc w:val="center"/>
              <w:textAlignment w:val="bottom"/>
              <w:rPr>
                <w:rFonts w:hint="default" w:ascii="Calibri" w:hAnsi="Calibri" w:cs="Calibri"/>
                <w:color w:val="auto"/>
                <w:lang w:val="en-GB"/>
              </w:rPr>
            </w:pPr>
            <w:r>
              <w:rPr>
                <w:rFonts w:hint="default" w:ascii="Calibri" w:hAnsi="Calibri" w:cs="Calibri"/>
                <w:color w:val="auto"/>
                <w:lang w:val="en-GB"/>
              </w:rPr>
              <w:t>1</w:t>
            </w:r>
          </w:p>
        </w:tc>
        <w:tc>
          <w:tcPr>
            <w:tcW w:w="1290" w:type="dxa"/>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color w:val="auto"/>
                <w:lang w:val="en-GB"/>
              </w:rPr>
            </w:pPr>
            <w:r>
              <w:rPr>
                <w:rFonts w:hint="default" w:ascii="Calibri" w:hAnsi="Calibri" w:cs="Calibri"/>
                <w:color w:val="auto"/>
                <w:lang w:val="en-GB"/>
              </w:rPr>
              <w:t>0.5</w:t>
            </w:r>
          </w:p>
        </w:tc>
        <w:tc>
          <w:tcPr>
            <w:tcW w:w="1290" w:type="dxa"/>
            <w:tcBorders>
              <w:top w:val="nil"/>
              <w:left w:val="nil"/>
              <w:bottom w:val="nil"/>
              <w:right w:val="single" w:color="000000" w:sz="8" w:space="0"/>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eastAsia="SimSun" w:cs="Calibri"/>
                <w:color w:val="auto"/>
                <w:lang w:val="en-GB" w:bidi="ar"/>
              </w:rPr>
            </w:pPr>
            <w:r>
              <w:rPr>
                <w:rFonts w:hint="default" w:ascii="Calibri" w:hAnsi="Calibri" w:eastAsia="SimSun" w:cs="Calibri"/>
                <w:color w:val="auto"/>
                <w:lang w:val="en-GB" w:bidi="ar"/>
              </w:rPr>
              <w:t>0.9</w:t>
            </w:r>
          </w:p>
        </w:tc>
      </w:tr>
      <w:tr>
        <w:tblPrEx>
          <w:tblCellMar>
            <w:top w:w="0" w:type="dxa"/>
            <w:left w:w="0" w:type="dxa"/>
            <w:bottom w:w="0" w:type="dxa"/>
            <w:right w:w="0" w:type="dxa"/>
          </w:tblCellMar>
        </w:tblPrEx>
        <w:trPr>
          <w:trHeight w:val="315" w:hRule="atLeast"/>
          <w:jc w:val="center"/>
        </w:trPr>
        <w:tc>
          <w:tcPr>
            <w:tcW w:w="1265" w:type="dxa"/>
            <w:tcBorders>
              <w:top w:val="single" w:color="000000" w:sz="4"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bottom"/>
          </w:tcPr>
          <w:p>
            <w:pPr>
              <w:spacing w:line="240" w:lineRule="auto"/>
              <w:textAlignment w:val="bottom"/>
              <w:rPr>
                <w:rFonts w:ascii="Calibri" w:hAnsi="Calibri" w:cs="Calibri"/>
                <w:b/>
                <w:color w:val="000000"/>
              </w:rPr>
            </w:pPr>
            <w:r>
              <w:rPr>
                <w:rFonts w:ascii="Calibri" w:hAnsi="Calibri" w:eastAsia="SimSun" w:cs="Calibri"/>
                <w:b/>
                <w:color w:val="000000"/>
                <w:lang w:val="en-GB" w:bidi="ar"/>
              </w:rPr>
              <w:t>T</w:t>
            </w:r>
            <w:r>
              <w:rPr>
                <w:rFonts w:ascii="Calibri" w:hAnsi="Calibri" w:eastAsia="SimSun" w:cs="Calibri"/>
                <w:b/>
                <w:color w:val="000000"/>
                <w:vertAlign w:val="superscript"/>
                <w:lang w:val="en-GB" w:bidi="ar"/>
              </w:rPr>
              <w:t>2</w:t>
            </w:r>
            <w:r>
              <w:rPr>
                <w:rFonts w:hint="default" w:ascii="Calibri" w:hAnsi="Calibri" w:eastAsia="SimSun" w:cs="Calibri"/>
                <w:b/>
                <w:color w:val="000000"/>
                <w:vertAlign w:val="subscript"/>
                <w:lang w:val="en-GB" w:bidi="ar"/>
              </w:rPr>
              <w:t>Toep</w:t>
            </w:r>
            <w:r>
              <w:rPr>
                <w:rFonts w:ascii="Calibri" w:hAnsi="Calibri" w:eastAsia="SimSun" w:cs="Calibri"/>
                <w:b/>
                <w:color w:val="000000"/>
                <w:lang w:val="en-GB" w:bidi="ar"/>
              </w:rPr>
              <w:t xml:space="preserve"> </w:t>
            </w:r>
            <w:r>
              <w:rPr>
                <w:rFonts w:ascii="Calibri" w:hAnsi="Calibri" w:eastAsia="SimSun" w:cs="Calibri"/>
                <w:b/>
                <w:color w:val="000000"/>
                <w:lang w:bidi="ar"/>
              </w:rPr>
              <w:t>(</w:t>
            </w:r>
            <w:r>
              <w:rPr>
                <w:rFonts w:hint="default" w:ascii="Calibri" w:hAnsi="Calibri" w:eastAsia="SimSun" w:cs="Calibri"/>
                <w:b/>
                <w:color w:val="000000"/>
                <w:lang w:val="en-GB" w:bidi="ar"/>
              </w:rPr>
              <w:t>b</w:t>
            </w:r>
            <w:r>
              <w:rPr>
                <w:rFonts w:ascii="Calibri" w:hAnsi="Calibri" w:eastAsia="SimSun" w:cs="Calibri"/>
                <w:b/>
                <w:color w:val="000000"/>
                <w:lang w:bidi="ar"/>
              </w:rPr>
              <w:t>)</w:t>
            </w:r>
          </w:p>
        </w:tc>
        <w:tc>
          <w:tcPr>
            <w:tcW w:w="1288" w:type="dxa"/>
            <w:tcBorders>
              <w:top w:val="nil"/>
              <w:left w:val="single" w:color="000000" w:sz="8" w:space="0"/>
              <w:bottom w:val="nil"/>
              <w:right w:val="nil"/>
            </w:tcBorders>
            <w:shd w:val="clear" w:color="auto" w:fill="F2F2F2"/>
            <w:noWrap/>
            <w:tcMar>
              <w:top w:w="15" w:type="dxa"/>
              <w:left w:w="15" w:type="dxa"/>
              <w:right w:w="15" w:type="dxa"/>
            </w:tcMar>
            <w:vAlign w:val="bottom"/>
          </w:tcPr>
          <w:p>
            <w:pPr>
              <w:spacing w:line="240" w:lineRule="auto"/>
              <w:jc w:val="center"/>
              <w:rPr>
                <w:rFonts w:ascii="Calibri" w:hAnsi="Calibri" w:cs="Calibri"/>
                <w:color w:val="auto"/>
              </w:rPr>
            </w:pPr>
          </w:p>
        </w:tc>
        <w:tc>
          <w:tcPr>
            <w:tcW w:w="1288" w:type="dxa"/>
            <w:tcBorders>
              <w:top w:val="nil"/>
              <w:left w:val="nil"/>
              <w:bottom w:val="nil"/>
              <w:right w:val="nil"/>
            </w:tcBorders>
            <w:shd w:val="clear" w:color="auto" w:fill="F2F2F2"/>
            <w:noWrap/>
            <w:tcMar>
              <w:top w:w="15" w:type="dxa"/>
              <w:left w:w="15" w:type="dxa"/>
              <w:right w:w="15" w:type="dxa"/>
            </w:tcMar>
            <w:vAlign w:val="bottom"/>
          </w:tcPr>
          <w:p>
            <w:pPr>
              <w:spacing w:line="240" w:lineRule="auto"/>
              <w:jc w:val="center"/>
              <w:rPr>
                <w:rFonts w:ascii="Calibri" w:hAnsi="Calibri" w:cs="Calibri"/>
                <w:color w:val="auto"/>
              </w:rPr>
            </w:pPr>
          </w:p>
        </w:tc>
        <w:tc>
          <w:tcPr>
            <w:tcW w:w="1288" w:type="dxa"/>
            <w:tcBorders>
              <w:top w:val="nil"/>
              <w:left w:val="nil"/>
              <w:bottom w:val="nil"/>
              <w:right w:val="nil"/>
            </w:tcBorders>
            <w:shd w:val="clear" w:color="auto" w:fill="F1F1F1" w:themeFill="background1" w:themeFillShade="F2"/>
            <w:noWrap/>
            <w:tcMar>
              <w:top w:w="15" w:type="dxa"/>
              <w:left w:w="15" w:type="dxa"/>
              <w:right w:w="15" w:type="dxa"/>
            </w:tcMar>
            <w:vAlign w:val="bottom"/>
          </w:tcPr>
          <w:p>
            <w:pPr>
              <w:spacing w:line="240" w:lineRule="auto"/>
              <w:jc w:val="center"/>
              <w:rPr>
                <w:rFonts w:ascii="Calibri" w:hAnsi="Calibri" w:cs="Calibri"/>
                <w:color w:val="auto"/>
              </w:rPr>
            </w:pPr>
          </w:p>
        </w:tc>
        <w:tc>
          <w:tcPr>
            <w:tcW w:w="1290" w:type="dxa"/>
            <w:tcBorders>
              <w:top w:val="nil"/>
              <w:left w:val="nil"/>
              <w:bottom w:val="nil"/>
              <w:right w:val="nil"/>
            </w:tcBorders>
            <w:shd w:val="clear" w:color="auto" w:fill="BEBEBE" w:themeFill="background1" w:themeFillShade="BF"/>
            <w:noWrap/>
            <w:tcMar>
              <w:top w:w="15" w:type="dxa"/>
              <w:left w:w="15" w:type="dxa"/>
              <w:right w:w="15" w:type="dxa"/>
            </w:tcMar>
            <w:vAlign w:val="bottom"/>
          </w:tcPr>
          <w:p>
            <w:pPr>
              <w:spacing w:line="240" w:lineRule="auto"/>
              <w:jc w:val="center"/>
              <w:textAlignment w:val="bottom"/>
              <w:rPr>
                <w:rFonts w:hint="default" w:ascii="Calibri" w:hAnsi="Calibri" w:cs="Calibri"/>
                <w:color w:val="auto"/>
                <w:lang w:val="en-GB"/>
              </w:rPr>
            </w:pPr>
            <w:r>
              <w:rPr>
                <w:rFonts w:hint="default" w:ascii="Calibri" w:hAnsi="Calibri" w:cs="Calibri"/>
                <w:color w:val="auto"/>
                <w:lang w:val="en-GB"/>
              </w:rPr>
              <w:t>1</w:t>
            </w:r>
          </w:p>
        </w:tc>
        <w:tc>
          <w:tcPr>
            <w:tcW w:w="1290" w:type="dxa"/>
            <w:tcBorders>
              <w:top w:val="nil"/>
              <w:left w:val="nil"/>
              <w:bottom w:val="nil"/>
              <w:right w:val="single" w:color="000000" w:sz="8" w:space="0"/>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eastAsia="SimSun" w:cs="Calibri"/>
                <w:color w:val="auto"/>
                <w:lang w:val="en-GB" w:bidi="ar"/>
              </w:rPr>
            </w:pPr>
            <w:r>
              <w:rPr>
                <w:rFonts w:hint="default" w:ascii="Calibri" w:hAnsi="Calibri" w:eastAsia="SimSun" w:cs="Calibri"/>
                <w:color w:val="auto"/>
                <w:lang w:val="en-GB" w:bidi="ar"/>
              </w:rPr>
              <w:t>0.39</w:t>
            </w:r>
          </w:p>
        </w:tc>
      </w:tr>
      <w:tr>
        <w:tblPrEx>
          <w:tblCellMar>
            <w:top w:w="0" w:type="dxa"/>
            <w:left w:w="0" w:type="dxa"/>
            <w:bottom w:w="0" w:type="dxa"/>
            <w:right w:w="0" w:type="dxa"/>
          </w:tblCellMar>
        </w:tblPrEx>
        <w:trPr>
          <w:trHeight w:val="315" w:hRule="atLeast"/>
          <w:jc w:val="center"/>
        </w:trPr>
        <w:tc>
          <w:tcPr>
            <w:tcW w:w="1265" w:type="dxa"/>
            <w:tcBorders>
              <w:top w:val="single" w:color="000000" w:sz="4"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bottom"/>
          </w:tcPr>
          <w:p>
            <w:pPr>
              <w:spacing w:line="240" w:lineRule="auto"/>
              <w:textAlignment w:val="bottom"/>
              <w:rPr>
                <w:rFonts w:ascii="Calibri" w:hAnsi="Calibri" w:eastAsia="SimSun" w:cs="Calibri"/>
                <w:b/>
                <w:color w:val="000000"/>
                <w:lang w:val="en-GB" w:bidi="ar"/>
              </w:rPr>
            </w:pPr>
            <w:r>
              <w:rPr>
                <w:rFonts w:ascii="Calibri" w:hAnsi="Calibri" w:eastAsia="SimSun" w:cs="Calibri"/>
                <w:b/>
                <w:color w:val="000000"/>
                <w:lang w:bidi="ar"/>
              </w:rPr>
              <w:t>T</w:t>
            </w:r>
            <w:r>
              <w:rPr>
                <w:rFonts w:ascii="Calibri" w:hAnsi="Calibri" w:eastAsia="SimSun" w:cs="Calibri"/>
                <w:b/>
                <w:color w:val="000000"/>
                <w:vertAlign w:val="superscript"/>
                <w:lang w:bidi="ar"/>
              </w:rPr>
              <w:t>2</w:t>
            </w:r>
            <w:r>
              <w:rPr>
                <w:rFonts w:hint="default" w:ascii="Calibri" w:hAnsi="Calibri" w:eastAsia="SimSun" w:cs="Calibri"/>
                <w:b/>
                <w:color w:val="000000"/>
                <w:vertAlign w:val="subscript"/>
                <w:lang w:val="en-GB" w:bidi="ar"/>
              </w:rPr>
              <w:t>Diag</w:t>
            </w:r>
            <w:r>
              <w:rPr>
                <w:rFonts w:ascii="Calibri" w:hAnsi="Calibri" w:eastAsia="SimSun" w:cs="Calibri"/>
                <w:b/>
                <w:color w:val="000000"/>
                <w:lang w:bidi="ar"/>
              </w:rPr>
              <w:t xml:space="preserve"> (</w:t>
            </w:r>
            <w:r>
              <w:rPr>
                <w:rFonts w:hint="default" w:ascii="Calibri" w:hAnsi="Calibri" w:eastAsia="SimSun" w:cs="Calibri"/>
                <w:b/>
                <w:color w:val="000000"/>
                <w:lang w:val="en-GB" w:bidi="ar"/>
              </w:rPr>
              <w:t>b</w:t>
            </w:r>
          </w:p>
        </w:tc>
        <w:tc>
          <w:tcPr>
            <w:tcW w:w="1288" w:type="dxa"/>
            <w:tcBorders>
              <w:top w:val="nil"/>
              <w:left w:val="single" w:color="000000" w:sz="8" w:space="0"/>
              <w:bottom w:val="single" w:color="000000" w:sz="8" w:space="0"/>
              <w:right w:val="nil"/>
            </w:tcBorders>
            <w:shd w:val="clear" w:color="auto" w:fill="F2F2F2"/>
            <w:noWrap/>
            <w:tcMar>
              <w:top w:w="15" w:type="dxa"/>
              <w:left w:w="15" w:type="dxa"/>
              <w:right w:w="15" w:type="dxa"/>
            </w:tcMar>
            <w:vAlign w:val="bottom"/>
          </w:tcPr>
          <w:p>
            <w:pPr>
              <w:spacing w:line="240" w:lineRule="auto"/>
              <w:jc w:val="center"/>
              <w:rPr>
                <w:rFonts w:ascii="Calibri" w:hAnsi="Calibri" w:cs="Calibri"/>
                <w:color w:val="auto"/>
              </w:rPr>
            </w:pPr>
          </w:p>
        </w:tc>
        <w:tc>
          <w:tcPr>
            <w:tcW w:w="1288" w:type="dxa"/>
            <w:tcBorders>
              <w:top w:val="nil"/>
              <w:left w:val="nil"/>
              <w:bottom w:val="single" w:color="000000" w:sz="8" w:space="0"/>
              <w:right w:val="nil"/>
            </w:tcBorders>
            <w:shd w:val="clear" w:color="auto" w:fill="F2F2F2"/>
            <w:noWrap/>
            <w:tcMar>
              <w:top w:w="15" w:type="dxa"/>
              <w:left w:w="15" w:type="dxa"/>
              <w:right w:w="15" w:type="dxa"/>
            </w:tcMar>
            <w:vAlign w:val="bottom"/>
          </w:tcPr>
          <w:p>
            <w:pPr>
              <w:spacing w:line="240" w:lineRule="auto"/>
              <w:jc w:val="center"/>
              <w:rPr>
                <w:rFonts w:ascii="Calibri" w:hAnsi="Calibri" w:cs="Calibri"/>
                <w:color w:val="auto"/>
              </w:rPr>
            </w:pPr>
          </w:p>
        </w:tc>
        <w:tc>
          <w:tcPr>
            <w:tcW w:w="1288" w:type="dxa"/>
            <w:tcBorders>
              <w:top w:val="nil"/>
              <w:left w:val="nil"/>
              <w:bottom w:val="single" w:color="000000" w:sz="8" w:space="0"/>
              <w:right w:val="nil"/>
            </w:tcBorders>
            <w:shd w:val="clear" w:color="auto" w:fill="F1F1F1" w:themeFill="background1" w:themeFillShade="F2"/>
            <w:noWrap/>
            <w:tcMar>
              <w:top w:w="15" w:type="dxa"/>
              <w:left w:w="15" w:type="dxa"/>
              <w:right w:w="15" w:type="dxa"/>
            </w:tcMar>
            <w:vAlign w:val="bottom"/>
          </w:tcPr>
          <w:p>
            <w:pPr>
              <w:spacing w:line="240" w:lineRule="auto"/>
              <w:jc w:val="center"/>
              <w:rPr>
                <w:rFonts w:ascii="Calibri" w:hAnsi="Calibri" w:cs="Calibri"/>
                <w:color w:val="auto"/>
              </w:rPr>
            </w:pPr>
          </w:p>
        </w:tc>
        <w:tc>
          <w:tcPr>
            <w:tcW w:w="1290" w:type="dxa"/>
            <w:tcBorders>
              <w:top w:val="nil"/>
              <w:left w:val="nil"/>
              <w:bottom w:val="single" w:color="000000" w:sz="8" w:space="0"/>
              <w:right w:val="nil"/>
            </w:tcBorders>
            <w:shd w:val="clear" w:color="auto" w:fill="F1F1F1" w:themeFill="background1" w:themeFillShade="F2"/>
            <w:noWrap/>
            <w:tcMar>
              <w:top w:w="15" w:type="dxa"/>
              <w:left w:w="15" w:type="dxa"/>
              <w:right w:w="15" w:type="dxa"/>
            </w:tcMar>
            <w:vAlign w:val="bottom"/>
          </w:tcPr>
          <w:p>
            <w:pPr>
              <w:spacing w:line="240" w:lineRule="auto"/>
              <w:jc w:val="center"/>
              <w:textAlignment w:val="bottom"/>
              <w:rPr>
                <w:rFonts w:ascii="Calibri" w:hAnsi="Calibri" w:cs="Calibri"/>
                <w:color w:val="auto"/>
              </w:rPr>
            </w:pPr>
          </w:p>
        </w:tc>
        <w:tc>
          <w:tcPr>
            <w:tcW w:w="1290" w:type="dxa"/>
            <w:tcBorders>
              <w:top w:val="nil"/>
              <w:left w:val="nil"/>
              <w:bottom w:val="single" w:color="000000" w:sz="8" w:space="0"/>
              <w:right w:val="single" w:color="000000" w:sz="8" w:space="0"/>
            </w:tcBorders>
            <w:shd w:val="clear" w:color="auto" w:fill="BEBEBE" w:themeFill="background1" w:themeFillShade="BF"/>
            <w:noWrap/>
            <w:tcMar>
              <w:top w:w="15" w:type="dxa"/>
              <w:left w:w="15" w:type="dxa"/>
              <w:right w:w="15" w:type="dxa"/>
            </w:tcMar>
            <w:vAlign w:val="bottom"/>
          </w:tcPr>
          <w:p>
            <w:pPr>
              <w:spacing w:line="240" w:lineRule="auto"/>
              <w:jc w:val="center"/>
              <w:textAlignment w:val="bottom"/>
              <w:rPr>
                <w:rFonts w:hint="default" w:ascii="Calibri" w:hAnsi="Calibri" w:eastAsia="SimSun" w:cs="Calibri"/>
                <w:color w:val="auto"/>
                <w:lang w:val="en-GB" w:bidi="ar"/>
              </w:rPr>
            </w:pPr>
            <w:r>
              <w:rPr>
                <w:rFonts w:hint="default" w:ascii="Calibri" w:hAnsi="Calibri" w:eastAsia="SimSun" w:cs="Calibri"/>
                <w:color w:val="auto"/>
                <w:lang w:val="en-GB" w:bidi="ar"/>
              </w:rPr>
              <w:t>1</w:t>
            </w:r>
          </w:p>
        </w:tc>
      </w:tr>
      <w:tr>
        <w:tblPrEx>
          <w:tblCellMar>
            <w:top w:w="0" w:type="dxa"/>
            <w:left w:w="0" w:type="dxa"/>
            <w:bottom w:w="0" w:type="dxa"/>
            <w:right w:w="0" w:type="dxa"/>
          </w:tblCellMar>
        </w:tblPrEx>
        <w:trPr>
          <w:trHeight w:val="300" w:hRule="atLeast"/>
          <w:jc w:val="center"/>
        </w:trPr>
        <w:tc>
          <w:tcPr>
            <w:tcW w:w="1265" w:type="dxa"/>
            <w:tcBorders>
              <w:top w:val="single" w:color="000000" w:sz="8"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rPr>
                <w:rFonts w:ascii="Calibri" w:hAnsi="Calibri" w:cs="Calibri"/>
                <w:color w:val="000000"/>
              </w:rPr>
            </w:pPr>
          </w:p>
        </w:tc>
        <w:tc>
          <w:tcPr>
            <w:tcW w:w="6444" w:type="dxa"/>
            <w:gridSpan w:val="5"/>
            <w:tcBorders>
              <w:top w:val="single" w:color="000000" w:sz="8"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spacing w:line="240" w:lineRule="auto"/>
              <w:jc w:val="center"/>
              <w:textAlignment w:val="center"/>
              <w:rPr>
                <w:rFonts w:ascii="Calibri" w:hAnsi="Calibri" w:eastAsia="SimSun" w:cs="Calibri"/>
                <w:b/>
                <w:i/>
                <w:iCs/>
                <w:color w:val="auto"/>
                <w:lang w:bidi="ar"/>
              </w:rPr>
            </w:pPr>
            <w:r>
              <w:rPr>
                <w:rFonts w:ascii="Calibri" w:hAnsi="Calibri" w:eastAsia="SimSun" w:cs="Calibri"/>
                <w:b/>
                <w:i/>
                <w:iCs/>
                <w:color w:val="auto"/>
                <w:lang w:bidi="ar"/>
              </w:rPr>
              <w:t>N</w:t>
            </w:r>
            <w:r>
              <w:rPr>
                <w:rFonts w:ascii="Calibri" w:hAnsi="Calibri" w:eastAsia="SimSun" w:cs="Calibri"/>
                <w:b/>
                <w:color w:val="auto"/>
                <w:lang w:bidi="ar"/>
              </w:rPr>
              <w:t>=40</w:t>
            </w:r>
          </w:p>
        </w:tc>
      </w:tr>
      <w:tr>
        <w:tblPrEx>
          <w:tblCellMar>
            <w:top w:w="0" w:type="dxa"/>
            <w:left w:w="0" w:type="dxa"/>
            <w:bottom w:w="0" w:type="dxa"/>
            <w:right w:w="0" w:type="dxa"/>
          </w:tblCellMar>
        </w:tblPrEx>
        <w:trPr>
          <w:trHeight w:val="300" w:hRule="atLeast"/>
          <w:jc w:val="center"/>
        </w:trPr>
        <w:tc>
          <w:tcPr>
            <w:tcW w:w="1265" w:type="dxa"/>
            <w:tcBorders>
              <w:top w:val="nil"/>
              <w:left w:val="single" w:color="000000" w:sz="8" w:space="0"/>
              <w:bottom w:val="single" w:color="000000" w:sz="4" w:space="0"/>
              <w:right w:val="single" w:color="auto" w:sz="4" w:space="0"/>
            </w:tcBorders>
            <w:shd w:val="clear" w:color="auto" w:fill="auto"/>
            <w:noWrap/>
            <w:tcMar>
              <w:top w:w="15" w:type="dxa"/>
              <w:left w:w="15" w:type="dxa"/>
              <w:right w:w="15" w:type="dxa"/>
            </w:tcMar>
            <w:vAlign w:val="center"/>
          </w:tcPr>
          <w:p>
            <w:pPr>
              <w:spacing w:line="240" w:lineRule="auto"/>
              <w:textAlignment w:val="center"/>
              <w:rPr>
                <w:rFonts w:ascii="Calibri" w:hAnsi="Calibri" w:cs="Calibri"/>
                <w:b/>
                <w:color w:val="000000"/>
              </w:rPr>
            </w:pPr>
            <w:r>
              <w:rPr>
                <w:rFonts w:ascii="Calibri" w:hAnsi="Calibri" w:eastAsia="SimSun" w:cs="Calibri"/>
                <w:b/>
                <w:color w:val="000000"/>
                <w:lang w:bidi="ar"/>
              </w:rPr>
              <w:t>T</w:t>
            </w:r>
            <w:r>
              <w:rPr>
                <w:rFonts w:ascii="Calibri" w:hAnsi="Calibri" w:eastAsia="SimSun" w:cs="Calibri"/>
                <w:b/>
                <w:color w:val="000000"/>
                <w:vertAlign w:val="superscript"/>
                <w:lang w:bidi="ar"/>
              </w:rPr>
              <w:t>2</w:t>
            </w:r>
            <w:r>
              <w:rPr>
                <w:rFonts w:ascii="Calibri" w:hAnsi="Calibri" w:eastAsia="SimSun" w:cs="Calibri"/>
                <w:b/>
                <w:color w:val="000000"/>
                <w:vertAlign w:val="subscript"/>
                <w:lang w:bidi="ar"/>
              </w:rPr>
              <w:t>Time</w:t>
            </w:r>
          </w:p>
        </w:tc>
        <w:tc>
          <w:tcPr>
            <w:tcW w:w="1288" w:type="dxa"/>
            <w:tcBorders>
              <w:top w:val="single" w:color="auto" w:sz="4" w:space="0"/>
              <w:left w:val="single" w:color="auto" w:sz="4" w:space="0"/>
              <w:bottom w:val="nil"/>
              <w:right w:val="nil"/>
            </w:tcBorders>
            <w:shd w:val="clear" w:color="auto" w:fill="BEBEBE" w:themeFill="background1" w:themeFillShade="BF"/>
            <w:noWrap/>
            <w:tcMar>
              <w:top w:w="15" w:type="dxa"/>
              <w:left w:w="15" w:type="dxa"/>
              <w:right w:w="15" w:type="dxa"/>
            </w:tcMar>
            <w:vAlign w:val="bottom"/>
          </w:tcPr>
          <w:p>
            <w:pPr>
              <w:spacing w:line="240" w:lineRule="auto"/>
              <w:jc w:val="center"/>
              <w:textAlignment w:val="bottom"/>
              <w:rPr>
                <w:rFonts w:hint="default" w:ascii="Calibri" w:hAnsi="Calibri" w:cs="Calibri"/>
                <w:color w:val="auto"/>
                <w:lang w:val="en-GB"/>
              </w:rPr>
            </w:pPr>
            <w:r>
              <w:rPr>
                <w:rFonts w:hint="default" w:ascii="Calibri" w:hAnsi="Calibri" w:cs="Calibri"/>
                <w:color w:val="auto"/>
                <w:lang w:val="en-GB"/>
              </w:rPr>
              <w:t>1</w:t>
            </w:r>
          </w:p>
        </w:tc>
        <w:tc>
          <w:tcPr>
            <w:tcW w:w="1288" w:type="dxa"/>
            <w:tcBorders>
              <w:top w:val="single" w:color="auto" w:sz="4" w:space="0"/>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color w:val="auto"/>
                <w:lang w:val="en-GB"/>
              </w:rPr>
            </w:pPr>
            <w:r>
              <w:rPr>
                <w:rFonts w:hint="default" w:ascii="Calibri" w:hAnsi="Calibri" w:cs="Calibri"/>
                <w:color w:val="auto"/>
                <w:lang w:val="en-GB"/>
              </w:rPr>
              <w:t>0.091</w:t>
            </w:r>
          </w:p>
        </w:tc>
        <w:tc>
          <w:tcPr>
            <w:tcW w:w="1288" w:type="dxa"/>
            <w:tcBorders>
              <w:top w:val="single" w:color="auto" w:sz="4" w:space="0"/>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ascii="Calibri" w:hAnsi="Calibri" w:cs="Calibri"/>
                <w:color w:val="auto"/>
              </w:rPr>
            </w:pPr>
            <w:r>
              <w:rPr>
                <w:rFonts w:hint="default" w:ascii="Calibri" w:hAnsi="Calibri" w:cs="Calibri"/>
                <w:color w:val="auto"/>
                <w:lang w:val="en-GB"/>
              </w:rPr>
              <w:t>&lt;0.001*</w:t>
            </w:r>
          </w:p>
        </w:tc>
        <w:tc>
          <w:tcPr>
            <w:tcW w:w="1290" w:type="dxa"/>
            <w:tcBorders>
              <w:top w:val="single" w:color="auto" w:sz="4" w:space="0"/>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color w:val="auto"/>
                <w:lang w:val="en-GB"/>
              </w:rPr>
            </w:pPr>
            <w:r>
              <w:rPr>
                <w:rFonts w:hint="default" w:ascii="Calibri" w:hAnsi="Calibri" w:cs="Calibri"/>
                <w:color w:val="auto"/>
                <w:lang w:val="en-GB"/>
              </w:rPr>
              <w:t>0.005*</w:t>
            </w:r>
          </w:p>
        </w:tc>
        <w:tc>
          <w:tcPr>
            <w:tcW w:w="1290" w:type="dxa"/>
            <w:tcBorders>
              <w:top w:val="single" w:color="auto" w:sz="4" w:space="0"/>
              <w:left w:val="nil"/>
              <w:bottom w:val="nil"/>
              <w:right w:val="single" w:color="auto" w:sz="4" w:space="0"/>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eastAsia="SimSun" w:cs="Calibri"/>
                <w:color w:val="auto"/>
                <w:lang w:val="en-GB" w:bidi="ar"/>
              </w:rPr>
            </w:pPr>
            <w:r>
              <w:rPr>
                <w:rFonts w:hint="default" w:ascii="Calibri" w:hAnsi="Calibri" w:eastAsia="SimSun" w:cs="Calibri"/>
                <w:color w:val="auto"/>
                <w:lang w:val="en-GB" w:bidi="ar"/>
              </w:rPr>
              <w:t>0.003*</w:t>
            </w:r>
          </w:p>
        </w:tc>
      </w:tr>
      <w:tr>
        <w:tblPrEx>
          <w:tblCellMar>
            <w:top w:w="0" w:type="dxa"/>
            <w:left w:w="0" w:type="dxa"/>
            <w:bottom w:w="0" w:type="dxa"/>
            <w:right w:w="0" w:type="dxa"/>
          </w:tblCellMar>
        </w:tblPrEx>
        <w:trPr>
          <w:trHeight w:val="300" w:hRule="atLeast"/>
          <w:jc w:val="center"/>
        </w:trPr>
        <w:tc>
          <w:tcPr>
            <w:tcW w:w="1265" w:type="dxa"/>
            <w:tcBorders>
              <w:top w:val="single" w:color="000000" w:sz="4" w:space="0"/>
              <w:left w:val="single" w:color="000000" w:sz="8" w:space="0"/>
              <w:bottom w:val="single" w:color="000000" w:sz="4" w:space="0"/>
              <w:right w:val="single" w:color="auto" w:sz="4" w:space="0"/>
            </w:tcBorders>
            <w:shd w:val="clear" w:color="auto" w:fill="auto"/>
            <w:noWrap/>
            <w:tcMar>
              <w:top w:w="15" w:type="dxa"/>
              <w:left w:w="15" w:type="dxa"/>
              <w:right w:w="15" w:type="dxa"/>
            </w:tcMar>
            <w:vAlign w:val="bottom"/>
          </w:tcPr>
          <w:p>
            <w:pPr>
              <w:spacing w:line="240" w:lineRule="auto"/>
              <w:textAlignment w:val="bottom"/>
              <w:rPr>
                <w:rFonts w:ascii="Calibri" w:hAnsi="Calibri" w:cs="Calibri"/>
                <w:b/>
                <w:color w:val="000000"/>
              </w:rPr>
            </w:pPr>
            <w:r>
              <w:rPr>
                <w:rFonts w:ascii="Calibri" w:hAnsi="Calibri" w:eastAsia="SimSun" w:cs="Calibri"/>
                <w:b/>
                <w:color w:val="000000"/>
                <w:lang w:bidi="ar"/>
              </w:rPr>
              <w:t>T</w:t>
            </w:r>
            <w:r>
              <w:rPr>
                <w:rFonts w:ascii="Calibri" w:hAnsi="Calibri" w:eastAsia="SimSun" w:cs="Calibri"/>
                <w:b/>
                <w:color w:val="000000"/>
                <w:vertAlign w:val="superscript"/>
                <w:lang w:bidi="ar"/>
              </w:rPr>
              <w:t>2</w:t>
            </w:r>
            <w:r>
              <w:rPr>
                <w:rFonts w:ascii="Calibri" w:hAnsi="Calibri" w:eastAsia="SimSun" w:cs="Calibri"/>
                <w:b/>
                <w:color w:val="000000"/>
                <w:vertAlign w:val="subscript"/>
                <w:lang w:bidi="ar"/>
              </w:rPr>
              <w:t>Freq</w:t>
            </w:r>
          </w:p>
        </w:tc>
        <w:tc>
          <w:tcPr>
            <w:tcW w:w="1288" w:type="dxa"/>
            <w:tcBorders>
              <w:top w:val="nil"/>
              <w:left w:val="single" w:color="auto" w:sz="4" w:space="0"/>
              <w:bottom w:val="nil"/>
              <w:right w:val="nil"/>
            </w:tcBorders>
            <w:shd w:val="clear" w:color="auto" w:fill="F1F1F1" w:themeFill="background1" w:themeFillShade="F2"/>
            <w:noWrap/>
            <w:tcMar>
              <w:top w:w="15" w:type="dxa"/>
              <w:left w:w="15" w:type="dxa"/>
              <w:right w:w="15" w:type="dxa"/>
            </w:tcMar>
            <w:vAlign w:val="bottom"/>
          </w:tcPr>
          <w:p>
            <w:pPr>
              <w:spacing w:line="240" w:lineRule="auto"/>
              <w:jc w:val="center"/>
              <w:rPr>
                <w:rFonts w:ascii="Calibri" w:hAnsi="Calibri" w:cs="Calibri"/>
                <w:color w:val="auto"/>
              </w:rPr>
            </w:pPr>
          </w:p>
        </w:tc>
        <w:tc>
          <w:tcPr>
            <w:tcW w:w="1288" w:type="dxa"/>
            <w:tcBorders>
              <w:top w:val="nil"/>
              <w:left w:val="nil"/>
              <w:bottom w:val="nil"/>
              <w:right w:val="nil"/>
            </w:tcBorders>
            <w:shd w:val="clear" w:color="auto" w:fill="BEBEBE" w:themeFill="background1" w:themeFillShade="BF"/>
            <w:noWrap/>
            <w:tcMar>
              <w:top w:w="15" w:type="dxa"/>
              <w:left w:w="15" w:type="dxa"/>
              <w:right w:w="15" w:type="dxa"/>
            </w:tcMar>
            <w:vAlign w:val="bottom"/>
          </w:tcPr>
          <w:p>
            <w:pPr>
              <w:spacing w:line="240" w:lineRule="auto"/>
              <w:jc w:val="center"/>
              <w:textAlignment w:val="bottom"/>
              <w:rPr>
                <w:rFonts w:hint="default" w:ascii="Calibri" w:hAnsi="Calibri" w:cs="Calibri"/>
                <w:color w:val="auto"/>
                <w:lang w:val="en-GB"/>
              </w:rPr>
            </w:pPr>
            <w:r>
              <w:rPr>
                <w:rFonts w:hint="default" w:ascii="Calibri" w:hAnsi="Calibri" w:cs="Calibri"/>
                <w:color w:val="auto"/>
                <w:lang w:val="en-GB"/>
              </w:rPr>
              <w:t>1</w:t>
            </w:r>
          </w:p>
        </w:tc>
        <w:tc>
          <w:tcPr>
            <w:tcW w:w="1288" w:type="dxa"/>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color w:val="auto"/>
                <w:lang w:val="en-GB"/>
              </w:rPr>
            </w:pPr>
            <w:r>
              <w:rPr>
                <w:rFonts w:hint="default" w:ascii="Calibri" w:hAnsi="Calibri" w:cs="Calibri"/>
                <w:color w:val="auto"/>
                <w:lang w:val="en-GB"/>
              </w:rPr>
              <w:t>0.033*</w:t>
            </w:r>
          </w:p>
        </w:tc>
        <w:tc>
          <w:tcPr>
            <w:tcW w:w="1290" w:type="dxa"/>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color w:val="auto"/>
                <w:lang w:val="en-GB"/>
              </w:rPr>
            </w:pPr>
            <w:r>
              <w:rPr>
                <w:rFonts w:hint="default" w:ascii="Calibri" w:hAnsi="Calibri" w:cs="Calibri"/>
                <w:color w:val="auto"/>
                <w:lang w:val="en-GB"/>
              </w:rPr>
              <w:t>0.082</w:t>
            </w:r>
          </w:p>
        </w:tc>
        <w:tc>
          <w:tcPr>
            <w:tcW w:w="1290" w:type="dxa"/>
            <w:tcBorders>
              <w:top w:val="nil"/>
              <w:left w:val="nil"/>
              <w:bottom w:val="nil"/>
              <w:right w:val="single" w:color="auto" w:sz="4" w:space="0"/>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eastAsia="SimSun" w:cs="Calibri"/>
                <w:color w:val="auto"/>
                <w:lang w:val="en-GB" w:bidi="ar"/>
              </w:rPr>
            </w:pPr>
            <w:r>
              <w:rPr>
                <w:rFonts w:hint="default" w:ascii="Calibri" w:hAnsi="Calibri" w:eastAsia="SimSun" w:cs="Calibri"/>
                <w:color w:val="auto"/>
                <w:lang w:val="en-GB" w:bidi="ar"/>
              </w:rPr>
              <w:t>0.061</w:t>
            </w:r>
          </w:p>
        </w:tc>
      </w:tr>
      <w:tr>
        <w:tblPrEx>
          <w:tblCellMar>
            <w:top w:w="0" w:type="dxa"/>
            <w:left w:w="0" w:type="dxa"/>
            <w:bottom w:w="0" w:type="dxa"/>
            <w:right w:w="0" w:type="dxa"/>
          </w:tblCellMar>
        </w:tblPrEx>
        <w:trPr>
          <w:trHeight w:val="300" w:hRule="atLeast"/>
          <w:jc w:val="center"/>
        </w:trPr>
        <w:tc>
          <w:tcPr>
            <w:tcW w:w="1265" w:type="dxa"/>
            <w:tcBorders>
              <w:top w:val="single" w:color="000000" w:sz="4" w:space="0"/>
              <w:left w:val="single" w:color="000000" w:sz="8" w:space="0"/>
              <w:bottom w:val="single" w:color="000000" w:sz="4" w:space="0"/>
              <w:right w:val="single" w:color="auto" w:sz="4" w:space="0"/>
            </w:tcBorders>
            <w:shd w:val="clear" w:color="auto" w:fill="auto"/>
            <w:noWrap/>
            <w:tcMar>
              <w:top w:w="15" w:type="dxa"/>
              <w:left w:w="15" w:type="dxa"/>
              <w:right w:w="15" w:type="dxa"/>
            </w:tcMar>
            <w:vAlign w:val="bottom"/>
          </w:tcPr>
          <w:p>
            <w:pPr>
              <w:spacing w:line="240" w:lineRule="auto"/>
              <w:textAlignment w:val="bottom"/>
              <w:rPr>
                <w:rFonts w:ascii="Calibri" w:hAnsi="Calibri" w:cs="Calibri"/>
                <w:b/>
                <w:color w:val="000000"/>
              </w:rPr>
            </w:pPr>
            <w:r>
              <w:rPr>
                <w:rFonts w:ascii="Calibri" w:hAnsi="Calibri" w:eastAsia="SimSun" w:cs="Calibri"/>
                <w:b/>
                <w:color w:val="000000"/>
                <w:lang w:bidi="ar"/>
              </w:rPr>
              <w:t>QMod V3 (</w:t>
            </w:r>
            <w:r>
              <w:rPr>
                <w:rFonts w:hint="default" w:ascii="Calibri" w:hAnsi="Calibri" w:eastAsia="SimSun" w:cs="Calibri"/>
                <w:b/>
                <w:color w:val="000000"/>
                <w:lang w:val="en-GB" w:bidi="ar"/>
              </w:rPr>
              <w:t>b</w:t>
            </w:r>
            <w:r>
              <w:rPr>
                <w:rFonts w:ascii="Calibri" w:hAnsi="Calibri" w:eastAsia="SimSun" w:cs="Calibri"/>
                <w:b/>
                <w:color w:val="000000"/>
                <w:lang w:bidi="ar"/>
              </w:rPr>
              <w:t>)</w:t>
            </w:r>
          </w:p>
        </w:tc>
        <w:tc>
          <w:tcPr>
            <w:tcW w:w="1288" w:type="dxa"/>
            <w:tcBorders>
              <w:top w:val="nil"/>
              <w:left w:val="single" w:color="auto" w:sz="4" w:space="0"/>
              <w:bottom w:val="nil"/>
              <w:right w:val="nil"/>
            </w:tcBorders>
            <w:shd w:val="clear" w:color="auto" w:fill="F2F2F2"/>
            <w:noWrap/>
            <w:tcMar>
              <w:top w:w="15" w:type="dxa"/>
              <w:left w:w="15" w:type="dxa"/>
              <w:right w:w="15" w:type="dxa"/>
            </w:tcMar>
            <w:vAlign w:val="bottom"/>
          </w:tcPr>
          <w:p>
            <w:pPr>
              <w:spacing w:line="240" w:lineRule="auto"/>
              <w:jc w:val="center"/>
              <w:rPr>
                <w:rFonts w:ascii="Calibri" w:hAnsi="Calibri" w:cs="Calibri"/>
                <w:color w:val="000000"/>
              </w:rPr>
            </w:pPr>
          </w:p>
        </w:tc>
        <w:tc>
          <w:tcPr>
            <w:tcW w:w="1288" w:type="dxa"/>
            <w:tcBorders>
              <w:top w:val="nil"/>
              <w:left w:val="nil"/>
              <w:bottom w:val="nil"/>
              <w:right w:val="nil"/>
            </w:tcBorders>
            <w:shd w:val="clear" w:color="auto" w:fill="F1F1F1" w:themeFill="background1" w:themeFillShade="F2"/>
            <w:noWrap/>
            <w:tcMar>
              <w:top w:w="15" w:type="dxa"/>
              <w:left w:w="15" w:type="dxa"/>
              <w:right w:w="15" w:type="dxa"/>
            </w:tcMar>
            <w:vAlign w:val="bottom"/>
          </w:tcPr>
          <w:p>
            <w:pPr>
              <w:spacing w:line="240" w:lineRule="auto"/>
              <w:jc w:val="center"/>
              <w:rPr>
                <w:rFonts w:ascii="Calibri" w:hAnsi="Calibri" w:cs="Calibri"/>
                <w:color w:val="000000"/>
              </w:rPr>
            </w:pPr>
          </w:p>
        </w:tc>
        <w:tc>
          <w:tcPr>
            <w:tcW w:w="1288" w:type="dxa"/>
            <w:tcBorders>
              <w:top w:val="nil"/>
              <w:left w:val="nil"/>
              <w:bottom w:val="nil"/>
              <w:right w:val="nil"/>
            </w:tcBorders>
            <w:shd w:val="clear" w:color="auto" w:fill="BEBEBE" w:themeFill="background1" w:themeFillShade="BF"/>
            <w:noWrap/>
            <w:tcMar>
              <w:top w:w="15" w:type="dxa"/>
              <w:left w:w="15" w:type="dxa"/>
              <w:right w:w="15" w:type="dxa"/>
            </w:tcMar>
            <w:vAlign w:val="bottom"/>
          </w:tcPr>
          <w:p>
            <w:pPr>
              <w:spacing w:line="240" w:lineRule="auto"/>
              <w:jc w:val="center"/>
              <w:textAlignment w:val="bottom"/>
              <w:rPr>
                <w:rFonts w:hint="default" w:ascii="Calibri" w:hAnsi="Calibri" w:cs="Calibri"/>
                <w:color w:val="000000"/>
                <w:lang w:val="en-GB"/>
              </w:rPr>
            </w:pPr>
            <w:r>
              <w:rPr>
                <w:rFonts w:hint="default" w:ascii="Calibri" w:hAnsi="Calibri" w:cs="Calibri"/>
                <w:color w:val="000000"/>
                <w:lang w:val="en-GB"/>
              </w:rPr>
              <w:t>1</w:t>
            </w:r>
          </w:p>
        </w:tc>
        <w:tc>
          <w:tcPr>
            <w:tcW w:w="1290" w:type="dxa"/>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color w:val="000000"/>
                <w:lang w:val="en-GB"/>
              </w:rPr>
            </w:pPr>
            <w:r>
              <w:rPr>
                <w:rFonts w:hint="default" w:ascii="Calibri" w:hAnsi="Calibri" w:cs="Calibri"/>
                <w:color w:val="000000"/>
                <w:lang w:val="en-GB"/>
              </w:rPr>
              <w:t>0.742</w:t>
            </w:r>
          </w:p>
        </w:tc>
        <w:tc>
          <w:tcPr>
            <w:tcW w:w="1290" w:type="dxa"/>
            <w:tcBorders>
              <w:top w:val="nil"/>
              <w:left w:val="nil"/>
              <w:bottom w:val="nil"/>
              <w:right w:val="single" w:color="auto" w:sz="4" w:space="0"/>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eastAsia="SimSun" w:cs="Calibri"/>
                <w:color w:val="000000"/>
                <w:lang w:val="en-GB" w:bidi="ar"/>
              </w:rPr>
            </w:pPr>
            <w:r>
              <w:rPr>
                <w:rFonts w:hint="default" w:ascii="Calibri" w:hAnsi="Calibri" w:eastAsia="SimSun" w:cs="Calibri"/>
                <w:color w:val="000000"/>
                <w:lang w:val="en-GB" w:bidi="ar"/>
              </w:rPr>
              <w:t>0.844</w:t>
            </w:r>
          </w:p>
        </w:tc>
      </w:tr>
      <w:tr>
        <w:tblPrEx>
          <w:tblCellMar>
            <w:top w:w="0" w:type="dxa"/>
            <w:left w:w="0" w:type="dxa"/>
            <w:bottom w:w="0" w:type="dxa"/>
            <w:right w:w="0" w:type="dxa"/>
          </w:tblCellMar>
        </w:tblPrEx>
        <w:trPr>
          <w:trHeight w:val="315" w:hRule="atLeast"/>
          <w:jc w:val="center"/>
        </w:trPr>
        <w:tc>
          <w:tcPr>
            <w:tcW w:w="1265" w:type="dxa"/>
            <w:tcBorders>
              <w:top w:val="single" w:color="000000" w:sz="4" w:space="0"/>
              <w:left w:val="single" w:color="000000" w:sz="8" w:space="0"/>
              <w:bottom w:val="single" w:color="000000" w:sz="4" w:space="0"/>
              <w:right w:val="single" w:color="auto" w:sz="4" w:space="0"/>
            </w:tcBorders>
            <w:shd w:val="clear" w:color="auto" w:fill="auto"/>
            <w:noWrap/>
            <w:tcMar>
              <w:top w:w="15" w:type="dxa"/>
              <w:left w:w="15" w:type="dxa"/>
              <w:right w:w="15" w:type="dxa"/>
            </w:tcMar>
            <w:vAlign w:val="bottom"/>
          </w:tcPr>
          <w:p>
            <w:pPr>
              <w:spacing w:line="240" w:lineRule="auto"/>
              <w:textAlignment w:val="bottom"/>
              <w:rPr>
                <w:rFonts w:ascii="Calibri" w:hAnsi="Calibri" w:cs="Calibri"/>
                <w:b/>
                <w:color w:val="000000"/>
              </w:rPr>
            </w:pPr>
            <w:r>
              <w:rPr>
                <w:rFonts w:ascii="Calibri" w:hAnsi="Calibri" w:eastAsia="SimSun" w:cs="Calibri"/>
                <w:b/>
                <w:color w:val="000000"/>
                <w:lang w:val="en-GB" w:bidi="ar"/>
              </w:rPr>
              <w:t>T</w:t>
            </w:r>
            <w:r>
              <w:rPr>
                <w:rFonts w:ascii="Calibri" w:hAnsi="Calibri" w:eastAsia="SimSun" w:cs="Calibri"/>
                <w:b/>
                <w:color w:val="000000"/>
                <w:vertAlign w:val="superscript"/>
                <w:lang w:val="en-GB" w:bidi="ar"/>
              </w:rPr>
              <w:t>2</w:t>
            </w:r>
            <w:r>
              <w:rPr>
                <w:rFonts w:hint="default" w:ascii="Calibri" w:hAnsi="Calibri" w:eastAsia="SimSun" w:cs="Calibri"/>
                <w:b/>
                <w:color w:val="000000"/>
                <w:vertAlign w:val="subscript"/>
                <w:lang w:val="en-GB" w:bidi="ar"/>
              </w:rPr>
              <w:t>Toep</w:t>
            </w:r>
            <w:r>
              <w:rPr>
                <w:rFonts w:ascii="Calibri" w:hAnsi="Calibri" w:eastAsia="SimSun" w:cs="Calibri"/>
                <w:b/>
                <w:color w:val="000000"/>
                <w:lang w:bidi="ar"/>
              </w:rPr>
              <w:t xml:space="preserve"> (</w:t>
            </w:r>
            <w:r>
              <w:rPr>
                <w:rFonts w:hint="default" w:ascii="Calibri" w:hAnsi="Calibri" w:eastAsia="SimSun" w:cs="Calibri"/>
                <w:b/>
                <w:color w:val="000000"/>
                <w:lang w:val="en-GB" w:bidi="ar"/>
              </w:rPr>
              <w:t>b</w:t>
            </w:r>
            <w:r>
              <w:rPr>
                <w:rFonts w:ascii="Calibri" w:hAnsi="Calibri" w:eastAsia="SimSun" w:cs="Calibri"/>
                <w:b/>
                <w:color w:val="000000"/>
                <w:lang w:bidi="ar"/>
              </w:rPr>
              <w:t>)</w:t>
            </w:r>
          </w:p>
        </w:tc>
        <w:tc>
          <w:tcPr>
            <w:tcW w:w="1288" w:type="dxa"/>
            <w:tcBorders>
              <w:top w:val="nil"/>
              <w:left w:val="single" w:color="auto" w:sz="4" w:space="0"/>
              <w:bottom w:val="nil"/>
              <w:right w:val="nil"/>
            </w:tcBorders>
            <w:shd w:val="clear" w:color="auto" w:fill="F2F2F2"/>
            <w:noWrap/>
            <w:tcMar>
              <w:top w:w="15" w:type="dxa"/>
              <w:left w:w="15" w:type="dxa"/>
              <w:right w:w="15" w:type="dxa"/>
            </w:tcMar>
            <w:vAlign w:val="bottom"/>
          </w:tcPr>
          <w:p>
            <w:pPr>
              <w:spacing w:line="240" w:lineRule="auto"/>
              <w:jc w:val="center"/>
              <w:rPr>
                <w:rFonts w:ascii="Calibri" w:hAnsi="Calibri" w:cs="Calibri"/>
                <w:color w:val="000000"/>
              </w:rPr>
            </w:pPr>
          </w:p>
        </w:tc>
        <w:tc>
          <w:tcPr>
            <w:tcW w:w="1288" w:type="dxa"/>
            <w:tcBorders>
              <w:top w:val="nil"/>
              <w:left w:val="nil"/>
              <w:bottom w:val="nil"/>
              <w:right w:val="nil"/>
            </w:tcBorders>
            <w:shd w:val="clear" w:color="auto" w:fill="F2F2F2"/>
            <w:noWrap/>
            <w:tcMar>
              <w:top w:w="15" w:type="dxa"/>
              <w:left w:w="15" w:type="dxa"/>
              <w:right w:w="15" w:type="dxa"/>
            </w:tcMar>
            <w:vAlign w:val="bottom"/>
          </w:tcPr>
          <w:p>
            <w:pPr>
              <w:spacing w:line="240" w:lineRule="auto"/>
              <w:jc w:val="center"/>
              <w:rPr>
                <w:rFonts w:ascii="Calibri" w:hAnsi="Calibri" w:cs="Calibri"/>
                <w:color w:val="000000"/>
              </w:rPr>
            </w:pPr>
          </w:p>
        </w:tc>
        <w:tc>
          <w:tcPr>
            <w:tcW w:w="1288" w:type="dxa"/>
            <w:tcBorders>
              <w:top w:val="nil"/>
              <w:left w:val="nil"/>
              <w:bottom w:val="nil"/>
              <w:right w:val="nil"/>
            </w:tcBorders>
            <w:shd w:val="clear" w:color="auto" w:fill="F1F1F1" w:themeFill="background1" w:themeFillShade="F2"/>
            <w:noWrap/>
            <w:tcMar>
              <w:top w:w="15" w:type="dxa"/>
              <w:left w:w="15" w:type="dxa"/>
              <w:right w:w="15" w:type="dxa"/>
            </w:tcMar>
            <w:vAlign w:val="bottom"/>
          </w:tcPr>
          <w:p>
            <w:pPr>
              <w:spacing w:line="240" w:lineRule="auto"/>
              <w:jc w:val="center"/>
              <w:rPr>
                <w:rFonts w:ascii="Calibri" w:hAnsi="Calibri" w:cs="Calibri"/>
                <w:color w:val="000000"/>
              </w:rPr>
            </w:pPr>
          </w:p>
        </w:tc>
        <w:tc>
          <w:tcPr>
            <w:tcW w:w="1290" w:type="dxa"/>
            <w:tcBorders>
              <w:top w:val="nil"/>
              <w:left w:val="nil"/>
              <w:bottom w:val="nil"/>
              <w:right w:val="nil"/>
            </w:tcBorders>
            <w:shd w:val="clear" w:color="auto" w:fill="BEBEBE" w:themeFill="background1" w:themeFillShade="BF"/>
            <w:noWrap/>
            <w:tcMar>
              <w:top w:w="15" w:type="dxa"/>
              <w:left w:w="15" w:type="dxa"/>
              <w:right w:w="15" w:type="dxa"/>
            </w:tcMar>
            <w:vAlign w:val="bottom"/>
          </w:tcPr>
          <w:p>
            <w:pPr>
              <w:spacing w:line="240" w:lineRule="auto"/>
              <w:jc w:val="center"/>
              <w:textAlignment w:val="bottom"/>
              <w:rPr>
                <w:rFonts w:hint="default" w:ascii="Calibri" w:hAnsi="Calibri" w:cs="Calibri"/>
                <w:color w:val="000000"/>
                <w:lang w:val="en-GB"/>
              </w:rPr>
            </w:pPr>
            <w:r>
              <w:rPr>
                <w:rFonts w:hint="default" w:ascii="Calibri" w:hAnsi="Calibri" w:cs="Calibri"/>
                <w:color w:val="000000"/>
                <w:lang w:val="en-GB"/>
              </w:rPr>
              <w:t>1</w:t>
            </w:r>
          </w:p>
        </w:tc>
        <w:tc>
          <w:tcPr>
            <w:tcW w:w="1290" w:type="dxa"/>
            <w:tcBorders>
              <w:top w:val="nil"/>
              <w:left w:val="nil"/>
              <w:bottom w:val="nil"/>
              <w:right w:val="single" w:color="auto" w:sz="4" w:space="0"/>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color w:val="000000"/>
                <w:lang w:val="en-GB"/>
              </w:rPr>
            </w:pPr>
            <w:r>
              <w:rPr>
                <w:rFonts w:hint="default" w:ascii="Calibri" w:hAnsi="Calibri" w:cs="Calibri"/>
                <w:color w:val="000000"/>
                <w:lang w:val="en-GB"/>
              </w:rPr>
              <w:t>0.95</w:t>
            </w:r>
          </w:p>
        </w:tc>
      </w:tr>
      <w:tr>
        <w:tblPrEx>
          <w:tblCellMar>
            <w:top w:w="0" w:type="dxa"/>
            <w:left w:w="0" w:type="dxa"/>
            <w:bottom w:w="0" w:type="dxa"/>
            <w:right w:w="0" w:type="dxa"/>
          </w:tblCellMar>
        </w:tblPrEx>
        <w:trPr>
          <w:trHeight w:val="315" w:hRule="atLeast"/>
          <w:jc w:val="center"/>
        </w:trPr>
        <w:tc>
          <w:tcPr>
            <w:tcW w:w="1265" w:type="dxa"/>
            <w:tcBorders>
              <w:top w:val="single" w:color="000000" w:sz="4" w:space="0"/>
              <w:left w:val="single" w:color="000000" w:sz="8" w:space="0"/>
              <w:bottom w:val="single" w:color="000000" w:sz="4" w:space="0"/>
              <w:right w:val="single" w:color="auto" w:sz="4" w:space="0"/>
            </w:tcBorders>
            <w:shd w:val="clear" w:color="auto" w:fill="auto"/>
            <w:noWrap/>
            <w:tcMar>
              <w:top w:w="15" w:type="dxa"/>
              <w:left w:w="15" w:type="dxa"/>
              <w:right w:w="15" w:type="dxa"/>
            </w:tcMar>
            <w:vAlign w:val="bottom"/>
          </w:tcPr>
          <w:p>
            <w:pPr>
              <w:spacing w:line="240" w:lineRule="auto"/>
              <w:textAlignment w:val="bottom"/>
              <w:rPr>
                <w:rFonts w:ascii="Calibri" w:hAnsi="Calibri" w:eastAsia="SimSun" w:cs="Calibri"/>
                <w:b/>
                <w:color w:val="000000"/>
                <w:lang w:val="en-GB" w:bidi="ar"/>
              </w:rPr>
            </w:pPr>
            <w:r>
              <w:rPr>
                <w:rFonts w:ascii="Calibri" w:hAnsi="Calibri" w:eastAsia="SimSun" w:cs="Calibri"/>
                <w:b/>
                <w:color w:val="000000"/>
                <w:lang w:bidi="ar"/>
              </w:rPr>
              <w:t>T</w:t>
            </w:r>
            <w:r>
              <w:rPr>
                <w:rFonts w:ascii="Calibri" w:hAnsi="Calibri" w:eastAsia="SimSun" w:cs="Calibri"/>
                <w:b/>
                <w:color w:val="000000"/>
                <w:vertAlign w:val="superscript"/>
                <w:lang w:bidi="ar"/>
              </w:rPr>
              <w:t>2</w:t>
            </w:r>
            <w:r>
              <w:rPr>
                <w:rFonts w:hint="default" w:ascii="Calibri" w:hAnsi="Calibri" w:eastAsia="SimSun" w:cs="Calibri"/>
                <w:b/>
                <w:color w:val="000000"/>
                <w:vertAlign w:val="subscript"/>
                <w:lang w:val="en-GB" w:bidi="ar"/>
              </w:rPr>
              <w:t>Diag</w:t>
            </w:r>
            <w:r>
              <w:rPr>
                <w:rFonts w:ascii="Calibri" w:hAnsi="Calibri" w:eastAsia="SimSun" w:cs="Calibri"/>
                <w:b/>
                <w:color w:val="000000"/>
                <w:lang w:bidi="ar"/>
              </w:rPr>
              <w:t xml:space="preserve"> (</w:t>
            </w:r>
            <w:r>
              <w:rPr>
                <w:rFonts w:hint="default" w:ascii="Calibri" w:hAnsi="Calibri" w:eastAsia="SimSun" w:cs="Calibri"/>
                <w:b/>
                <w:color w:val="000000"/>
                <w:lang w:val="en-GB" w:bidi="ar"/>
              </w:rPr>
              <w:t>b</w:t>
            </w:r>
          </w:p>
        </w:tc>
        <w:tc>
          <w:tcPr>
            <w:tcW w:w="1288" w:type="dxa"/>
            <w:tcBorders>
              <w:top w:val="nil"/>
              <w:left w:val="single" w:color="auto" w:sz="4" w:space="0"/>
              <w:bottom w:val="single" w:color="auto" w:sz="4" w:space="0"/>
              <w:right w:val="nil"/>
            </w:tcBorders>
            <w:shd w:val="clear" w:color="auto" w:fill="F2F2F2"/>
            <w:noWrap/>
            <w:tcMar>
              <w:top w:w="15" w:type="dxa"/>
              <w:left w:w="15" w:type="dxa"/>
              <w:right w:w="15" w:type="dxa"/>
            </w:tcMar>
            <w:vAlign w:val="bottom"/>
          </w:tcPr>
          <w:p>
            <w:pPr>
              <w:spacing w:line="240" w:lineRule="auto"/>
              <w:jc w:val="center"/>
              <w:rPr>
                <w:rFonts w:ascii="Calibri" w:hAnsi="Calibri" w:cs="Calibri"/>
                <w:color w:val="000000"/>
              </w:rPr>
            </w:pPr>
          </w:p>
        </w:tc>
        <w:tc>
          <w:tcPr>
            <w:tcW w:w="1288" w:type="dxa"/>
            <w:tcBorders>
              <w:top w:val="nil"/>
              <w:left w:val="nil"/>
              <w:bottom w:val="single" w:color="auto" w:sz="4" w:space="0"/>
              <w:right w:val="nil"/>
            </w:tcBorders>
            <w:shd w:val="clear" w:color="auto" w:fill="F2F2F2"/>
            <w:noWrap/>
            <w:tcMar>
              <w:top w:w="15" w:type="dxa"/>
              <w:left w:w="15" w:type="dxa"/>
              <w:right w:w="15" w:type="dxa"/>
            </w:tcMar>
            <w:vAlign w:val="bottom"/>
          </w:tcPr>
          <w:p>
            <w:pPr>
              <w:spacing w:line="240" w:lineRule="auto"/>
              <w:jc w:val="center"/>
              <w:rPr>
                <w:rFonts w:ascii="Calibri" w:hAnsi="Calibri" w:cs="Calibri"/>
                <w:color w:val="000000"/>
              </w:rPr>
            </w:pPr>
          </w:p>
        </w:tc>
        <w:tc>
          <w:tcPr>
            <w:tcW w:w="1288" w:type="dxa"/>
            <w:tcBorders>
              <w:top w:val="nil"/>
              <w:left w:val="nil"/>
              <w:bottom w:val="single" w:color="auto" w:sz="4" w:space="0"/>
              <w:right w:val="nil"/>
            </w:tcBorders>
            <w:shd w:val="clear" w:color="auto" w:fill="F1F1F1" w:themeFill="background1" w:themeFillShade="F2"/>
            <w:noWrap/>
            <w:tcMar>
              <w:top w:w="15" w:type="dxa"/>
              <w:left w:w="15" w:type="dxa"/>
              <w:right w:w="15" w:type="dxa"/>
            </w:tcMar>
            <w:vAlign w:val="bottom"/>
          </w:tcPr>
          <w:p>
            <w:pPr>
              <w:spacing w:line="240" w:lineRule="auto"/>
              <w:jc w:val="center"/>
              <w:rPr>
                <w:rFonts w:ascii="Calibri" w:hAnsi="Calibri" w:cs="Calibri"/>
                <w:color w:val="000000"/>
              </w:rPr>
            </w:pPr>
          </w:p>
        </w:tc>
        <w:tc>
          <w:tcPr>
            <w:tcW w:w="1290" w:type="dxa"/>
            <w:tcBorders>
              <w:top w:val="nil"/>
              <w:left w:val="nil"/>
              <w:bottom w:val="single" w:color="auto" w:sz="4" w:space="0"/>
              <w:right w:val="nil"/>
            </w:tcBorders>
            <w:shd w:val="clear" w:color="auto" w:fill="F1F1F1" w:themeFill="background1" w:themeFillShade="F2"/>
            <w:noWrap/>
            <w:tcMar>
              <w:top w:w="15" w:type="dxa"/>
              <w:left w:w="15" w:type="dxa"/>
              <w:right w:w="15" w:type="dxa"/>
            </w:tcMar>
            <w:vAlign w:val="bottom"/>
          </w:tcPr>
          <w:p>
            <w:pPr>
              <w:spacing w:line="240" w:lineRule="auto"/>
              <w:jc w:val="center"/>
              <w:textAlignment w:val="bottom"/>
              <w:rPr>
                <w:rFonts w:ascii="Calibri" w:hAnsi="Calibri" w:cs="Calibri"/>
                <w:color w:val="000000"/>
                <w:lang w:val="en-GB"/>
              </w:rPr>
            </w:pPr>
          </w:p>
        </w:tc>
        <w:tc>
          <w:tcPr>
            <w:tcW w:w="1290" w:type="dxa"/>
            <w:tcBorders>
              <w:top w:val="nil"/>
              <w:left w:val="nil"/>
              <w:bottom w:val="single" w:color="auto" w:sz="4" w:space="0"/>
              <w:right w:val="single" w:color="auto" w:sz="4" w:space="0"/>
            </w:tcBorders>
            <w:shd w:val="clear" w:color="auto" w:fill="BEBEBE" w:themeFill="background1" w:themeFillShade="BF"/>
            <w:noWrap/>
            <w:tcMar>
              <w:top w:w="15" w:type="dxa"/>
              <w:left w:w="15" w:type="dxa"/>
              <w:right w:w="15" w:type="dxa"/>
            </w:tcMar>
            <w:vAlign w:val="bottom"/>
          </w:tcPr>
          <w:p>
            <w:pPr>
              <w:spacing w:line="240" w:lineRule="auto"/>
              <w:jc w:val="center"/>
              <w:textAlignment w:val="bottom"/>
              <w:rPr>
                <w:rFonts w:hint="default" w:ascii="Calibri" w:hAnsi="Calibri" w:cs="Calibri"/>
                <w:color w:val="000000"/>
                <w:lang w:val="en-GB"/>
              </w:rPr>
            </w:pPr>
            <w:r>
              <w:rPr>
                <w:rFonts w:hint="default" w:ascii="Calibri" w:hAnsi="Calibri" w:cs="Calibri"/>
                <w:color w:val="000000"/>
                <w:lang w:val="en-GB"/>
              </w:rPr>
              <w:t>1</w:t>
            </w:r>
          </w:p>
        </w:tc>
      </w:tr>
      <w:tr>
        <w:tblPrEx>
          <w:tblCellMar>
            <w:top w:w="0" w:type="dxa"/>
            <w:left w:w="0" w:type="dxa"/>
            <w:bottom w:w="0" w:type="dxa"/>
            <w:right w:w="0" w:type="dxa"/>
          </w:tblCellMar>
        </w:tblPrEx>
        <w:trPr>
          <w:trHeight w:val="315" w:hRule="atLeast"/>
          <w:jc w:val="center"/>
        </w:trPr>
        <w:tc>
          <w:tcPr>
            <w:tcW w:w="1265" w:type="dxa"/>
            <w:tcBorders>
              <w:top w:val="single" w:color="000000" w:sz="4" w:space="0"/>
              <w:left w:val="single" w:color="000000" w:sz="8" w:space="0"/>
              <w:bottom w:val="single" w:color="000000" w:sz="4" w:space="0"/>
              <w:right w:val="single" w:color="auto" w:sz="4" w:space="0"/>
            </w:tcBorders>
            <w:shd w:val="clear" w:color="auto" w:fill="auto"/>
            <w:noWrap/>
            <w:tcMar>
              <w:top w:w="15" w:type="dxa"/>
              <w:left w:w="15" w:type="dxa"/>
              <w:right w:w="15" w:type="dxa"/>
            </w:tcMar>
            <w:vAlign w:val="bottom"/>
          </w:tcPr>
          <w:p>
            <w:pPr>
              <w:spacing w:line="240" w:lineRule="auto"/>
              <w:textAlignment w:val="bottom"/>
              <w:rPr>
                <w:rFonts w:ascii="Calibri" w:hAnsi="Calibri" w:eastAsia="SimSun" w:cs="Calibri"/>
                <w:b/>
                <w:color w:val="000000"/>
                <w:lang w:val="en-GB" w:bidi="ar"/>
              </w:rPr>
            </w:pPr>
          </w:p>
        </w:tc>
        <w:tc>
          <w:tcPr>
            <w:tcW w:w="6444"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bCs/>
                <w:i/>
                <w:iCs/>
                <w:color w:val="000000"/>
                <w:lang w:val="en-GB"/>
              </w:rPr>
            </w:pPr>
            <w:r>
              <w:rPr>
                <w:rFonts w:hint="default" w:ascii="Calibri" w:hAnsi="Calibri" w:cs="Calibri"/>
                <w:b/>
                <w:bCs/>
                <w:i/>
                <w:iCs/>
                <w:color w:val="000000"/>
                <w:lang w:val="en-GB"/>
              </w:rPr>
              <w:t>N</w:t>
            </w:r>
            <w:r>
              <w:rPr>
                <w:rFonts w:hint="default" w:ascii="Calibri" w:hAnsi="Calibri" w:cs="Calibri"/>
                <w:b/>
                <w:bCs/>
                <w:color w:val="000000"/>
                <w:lang w:val="en-GB"/>
              </w:rPr>
              <w:t>=80</w:t>
            </w:r>
          </w:p>
        </w:tc>
      </w:tr>
      <w:tr>
        <w:tblPrEx>
          <w:tblCellMar>
            <w:top w:w="0" w:type="dxa"/>
            <w:left w:w="0" w:type="dxa"/>
            <w:bottom w:w="0" w:type="dxa"/>
            <w:right w:w="0" w:type="dxa"/>
          </w:tblCellMar>
        </w:tblPrEx>
        <w:trPr>
          <w:trHeight w:val="315" w:hRule="atLeast"/>
          <w:jc w:val="center"/>
        </w:trPr>
        <w:tc>
          <w:tcPr>
            <w:tcW w:w="1265" w:type="dxa"/>
            <w:tcBorders>
              <w:top w:val="single" w:color="000000" w:sz="4" w:space="0"/>
              <w:left w:val="single" w:color="000000" w:sz="8" w:space="0"/>
              <w:bottom w:val="single" w:color="000000" w:sz="4" w:space="0"/>
              <w:right w:val="single" w:color="auto" w:sz="4" w:space="0"/>
            </w:tcBorders>
            <w:shd w:val="clear" w:color="auto" w:fill="auto"/>
            <w:noWrap/>
            <w:tcMar>
              <w:top w:w="15" w:type="dxa"/>
              <w:left w:w="15" w:type="dxa"/>
              <w:right w:w="15" w:type="dxa"/>
            </w:tcMar>
            <w:vAlign w:val="center"/>
          </w:tcPr>
          <w:p>
            <w:pPr>
              <w:spacing w:line="240" w:lineRule="auto"/>
              <w:textAlignment w:val="center"/>
              <w:rPr>
                <w:rFonts w:ascii="Calibri" w:hAnsi="Calibri" w:cs="Calibri" w:eastAsiaTheme="minorEastAsia"/>
                <w:b/>
                <w:color w:val="000000"/>
                <w:lang w:val="en-GB" w:eastAsia="zh-CN" w:bidi="ar-SA"/>
              </w:rPr>
            </w:pPr>
            <w:r>
              <w:rPr>
                <w:rFonts w:ascii="Calibri" w:hAnsi="Calibri" w:eastAsia="SimSun" w:cs="Calibri"/>
                <w:b/>
                <w:color w:val="000000"/>
                <w:lang w:bidi="ar"/>
              </w:rPr>
              <w:t>T</w:t>
            </w:r>
            <w:r>
              <w:rPr>
                <w:rFonts w:ascii="Calibri" w:hAnsi="Calibri" w:eastAsia="SimSun" w:cs="Calibri"/>
                <w:b/>
                <w:color w:val="000000"/>
                <w:vertAlign w:val="superscript"/>
                <w:lang w:bidi="ar"/>
              </w:rPr>
              <w:t>2</w:t>
            </w:r>
            <w:r>
              <w:rPr>
                <w:rFonts w:ascii="Calibri" w:hAnsi="Calibri" w:eastAsia="SimSun" w:cs="Calibri"/>
                <w:b/>
                <w:color w:val="000000"/>
                <w:vertAlign w:val="subscript"/>
                <w:lang w:bidi="ar"/>
              </w:rPr>
              <w:t>Time</w:t>
            </w:r>
          </w:p>
        </w:tc>
        <w:tc>
          <w:tcPr>
            <w:tcW w:w="1288" w:type="dxa"/>
            <w:tcBorders>
              <w:top w:val="single" w:color="auto" w:sz="4" w:space="0"/>
              <w:left w:val="single" w:color="auto" w:sz="4" w:space="0"/>
              <w:bottom w:val="nil"/>
              <w:right w:val="nil"/>
            </w:tcBorders>
            <w:shd w:val="clear" w:color="auto" w:fill="BEBEBE" w:themeFill="background1" w:themeFillShade="BF"/>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1</w:t>
            </w:r>
          </w:p>
        </w:tc>
        <w:tc>
          <w:tcPr>
            <w:tcW w:w="1288" w:type="dxa"/>
            <w:tcBorders>
              <w:top w:val="single" w:color="auto" w:sz="4" w:space="0"/>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0.571</w:t>
            </w:r>
          </w:p>
        </w:tc>
        <w:tc>
          <w:tcPr>
            <w:tcW w:w="1288" w:type="dxa"/>
            <w:tcBorders>
              <w:top w:val="single" w:color="auto" w:sz="4" w:space="0"/>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0.029*</w:t>
            </w:r>
          </w:p>
        </w:tc>
        <w:tc>
          <w:tcPr>
            <w:tcW w:w="1290" w:type="dxa"/>
            <w:tcBorders>
              <w:top w:val="single" w:color="auto" w:sz="4" w:space="0"/>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0.177</w:t>
            </w:r>
          </w:p>
        </w:tc>
        <w:tc>
          <w:tcPr>
            <w:tcW w:w="1290" w:type="dxa"/>
            <w:tcBorders>
              <w:top w:val="single" w:color="auto" w:sz="4" w:space="0"/>
              <w:left w:val="nil"/>
              <w:bottom w:val="nil"/>
              <w:right w:val="single" w:color="auto" w:sz="4" w:space="0"/>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0.035*</w:t>
            </w:r>
          </w:p>
        </w:tc>
      </w:tr>
      <w:tr>
        <w:tblPrEx>
          <w:tblCellMar>
            <w:top w:w="0" w:type="dxa"/>
            <w:left w:w="0" w:type="dxa"/>
            <w:bottom w:w="0" w:type="dxa"/>
            <w:right w:w="0" w:type="dxa"/>
          </w:tblCellMar>
        </w:tblPrEx>
        <w:trPr>
          <w:trHeight w:val="315" w:hRule="atLeast"/>
          <w:jc w:val="center"/>
        </w:trPr>
        <w:tc>
          <w:tcPr>
            <w:tcW w:w="1265" w:type="dxa"/>
            <w:tcBorders>
              <w:top w:val="single" w:color="000000" w:sz="4" w:space="0"/>
              <w:left w:val="single" w:color="000000" w:sz="8" w:space="0"/>
              <w:bottom w:val="single" w:color="000000" w:sz="4" w:space="0"/>
              <w:right w:val="single" w:color="auto" w:sz="4" w:space="0"/>
            </w:tcBorders>
            <w:shd w:val="clear" w:color="auto" w:fill="auto"/>
            <w:noWrap/>
            <w:tcMar>
              <w:top w:w="15" w:type="dxa"/>
              <w:left w:w="15" w:type="dxa"/>
              <w:right w:w="15" w:type="dxa"/>
            </w:tcMar>
            <w:vAlign w:val="bottom"/>
          </w:tcPr>
          <w:p>
            <w:pPr>
              <w:spacing w:line="240" w:lineRule="auto"/>
              <w:textAlignment w:val="bottom"/>
              <w:rPr>
                <w:rFonts w:ascii="Calibri" w:hAnsi="Calibri" w:cs="Calibri" w:eastAsiaTheme="minorEastAsia"/>
                <w:b/>
                <w:color w:val="000000"/>
                <w:lang w:val="en-GB" w:eastAsia="zh-CN" w:bidi="ar-SA"/>
              </w:rPr>
            </w:pPr>
            <w:r>
              <w:rPr>
                <w:rFonts w:ascii="Calibri" w:hAnsi="Calibri" w:eastAsia="SimSun" w:cs="Calibri"/>
                <w:b/>
                <w:color w:val="000000"/>
                <w:lang w:bidi="ar"/>
              </w:rPr>
              <w:t>T</w:t>
            </w:r>
            <w:r>
              <w:rPr>
                <w:rFonts w:ascii="Calibri" w:hAnsi="Calibri" w:eastAsia="SimSun" w:cs="Calibri"/>
                <w:b/>
                <w:color w:val="000000"/>
                <w:vertAlign w:val="superscript"/>
                <w:lang w:bidi="ar"/>
              </w:rPr>
              <w:t>2</w:t>
            </w:r>
            <w:r>
              <w:rPr>
                <w:rFonts w:ascii="Calibri" w:hAnsi="Calibri" w:eastAsia="SimSun" w:cs="Calibri"/>
                <w:b/>
                <w:color w:val="000000"/>
                <w:vertAlign w:val="subscript"/>
                <w:lang w:bidi="ar"/>
              </w:rPr>
              <w:t>Freq</w:t>
            </w:r>
          </w:p>
        </w:tc>
        <w:tc>
          <w:tcPr>
            <w:tcW w:w="1288" w:type="dxa"/>
            <w:tcBorders>
              <w:top w:val="nil"/>
              <w:left w:val="single" w:color="auto" w:sz="4" w:space="0"/>
              <w:bottom w:val="nil"/>
              <w:right w:val="nil"/>
            </w:tcBorders>
            <w:shd w:val="clear" w:color="auto" w:fill="F1F1F1" w:themeFill="background1" w:themeFillShade="F2"/>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p>
        </w:tc>
        <w:tc>
          <w:tcPr>
            <w:tcW w:w="1288" w:type="dxa"/>
            <w:tcBorders>
              <w:top w:val="nil"/>
              <w:left w:val="nil"/>
              <w:bottom w:val="nil"/>
              <w:right w:val="nil"/>
            </w:tcBorders>
            <w:shd w:val="clear" w:color="auto" w:fill="BEBEBE" w:themeFill="background1" w:themeFillShade="BF"/>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1</w:t>
            </w:r>
          </w:p>
        </w:tc>
        <w:tc>
          <w:tcPr>
            <w:tcW w:w="1288" w:type="dxa"/>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0.123</w:t>
            </w:r>
          </w:p>
        </w:tc>
        <w:tc>
          <w:tcPr>
            <w:tcW w:w="1290" w:type="dxa"/>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0.48</w:t>
            </w:r>
          </w:p>
        </w:tc>
        <w:tc>
          <w:tcPr>
            <w:tcW w:w="1290" w:type="dxa"/>
            <w:tcBorders>
              <w:top w:val="nil"/>
              <w:left w:val="nil"/>
              <w:bottom w:val="nil"/>
              <w:right w:val="single" w:color="auto" w:sz="4" w:space="0"/>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0.142</w:t>
            </w:r>
          </w:p>
        </w:tc>
      </w:tr>
      <w:tr>
        <w:tblPrEx>
          <w:tblCellMar>
            <w:top w:w="0" w:type="dxa"/>
            <w:left w:w="0" w:type="dxa"/>
            <w:bottom w:w="0" w:type="dxa"/>
            <w:right w:w="0" w:type="dxa"/>
          </w:tblCellMar>
        </w:tblPrEx>
        <w:trPr>
          <w:trHeight w:val="315" w:hRule="atLeast"/>
          <w:jc w:val="center"/>
        </w:trPr>
        <w:tc>
          <w:tcPr>
            <w:tcW w:w="1265" w:type="dxa"/>
            <w:tcBorders>
              <w:top w:val="single" w:color="000000" w:sz="4" w:space="0"/>
              <w:left w:val="single" w:color="000000" w:sz="8" w:space="0"/>
              <w:bottom w:val="single" w:color="000000" w:sz="4" w:space="0"/>
              <w:right w:val="single" w:color="auto" w:sz="4" w:space="0"/>
            </w:tcBorders>
            <w:shd w:val="clear" w:color="auto" w:fill="auto"/>
            <w:noWrap/>
            <w:tcMar>
              <w:top w:w="15" w:type="dxa"/>
              <w:left w:w="15" w:type="dxa"/>
              <w:right w:w="15" w:type="dxa"/>
            </w:tcMar>
            <w:vAlign w:val="bottom"/>
          </w:tcPr>
          <w:p>
            <w:pPr>
              <w:spacing w:line="240" w:lineRule="auto"/>
              <w:textAlignment w:val="bottom"/>
              <w:rPr>
                <w:rFonts w:ascii="Calibri" w:hAnsi="Calibri" w:cs="Calibri" w:eastAsiaTheme="minorEastAsia"/>
                <w:b/>
                <w:color w:val="000000"/>
                <w:lang w:val="en-GB" w:eastAsia="zh-CN" w:bidi="ar-SA"/>
              </w:rPr>
            </w:pPr>
            <w:r>
              <w:rPr>
                <w:rFonts w:ascii="Calibri" w:hAnsi="Calibri" w:eastAsia="SimSun" w:cs="Calibri"/>
                <w:b/>
                <w:color w:val="000000"/>
                <w:lang w:bidi="ar"/>
              </w:rPr>
              <w:t>QMod V3 (</w:t>
            </w:r>
            <w:r>
              <w:rPr>
                <w:rFonts w:hint="default" w:ascii="Calibri" w:hAnsi="Calibri" w:eastAsia="SimSun" w:cs="Calibri"/>
                <w:b/>
                <w:color w:val="000000"/>
                <w:lang w:val="en-GB" w:bidi="ar"/>
              </w:rPr>
              <w:t>b</w:t>
            </w:r>
            <w:r>
              <w:rPr>
                <w:rFonts w:ascii="Calibri" w:hAnsi="Calibri" w:eastAsia="SimSun" w:cs="Calibri"/>
                <w:b/>
                <w:color w:val="000000"/>
                <w:lang w:bidi="ar"/>
              </w:rPr>
              <w:t>)</w:t>
            </w:r>
          </w:p>
        </w:tc>
        <w:tc>
          <w:tcPr>
            <w:tcW w:w="1288" w:type="dxa"/>
            <w:tcBorders>
              <w:top w:val="nil"/>
              <w:left w:val="single" w:color="auto" w:sz="4" w:space="0"/>
              <w:bottom w:val="nil"/>
              <w:right w:val="nil"/>
            </w:tcBorders>
            <w:shd w:val="clear" w:color="auto" w:fill="F1F1F1" w:themeFill="background1" w:themeFillShade="F2"/>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p>
        </w:tc>
        <w:tc>
          <w:tcPr>
            <w:tcW w:w="1288" w:type="dxa"/>
            <w:tcBorders>
              <w:top w:val="nil"/>
              <w:left w:val="nil"/>
              <w:bottom w:val="nil"/>
              <w:right w:val="nil"/>
            </w:tcBorders>
            <w:shd w:val="clear" w:color="auto" w:fill="F1F1F1" w:themeFill="background1" w:themeFillShade="F2"/>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p>
        </w:tc>
        <w:tc>
          <w:tcPr>
            <w:tcW w:w="1288" w:type="dxa"/>
            <w:tcBorders>
              <w:top w:val="nil"/>
              <w:left w:val="nil"/>
              <w:bottom w:val="nil"/>
              <w:right w:val="nil"/>
            </w:tcBorders>
            <w:shd w:val="clear" w:color="auto" w:fill="BEBEBE" w:themeFill="background1" w:themeFillShade="BF"/>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1</w:t>
            </w:r>
          </w:p>
        </w:tc>
        <w:tc>
          <w:tcPr>
            <w:tcW w:w="1290" w:type="dxa"/>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0.45</w:t>
            </w:r>
          </w:p>
        </w:tc>
        <w:tc>
          <w:tcPr>
            <w:tcW w:w="1290" w:type="dxa"/>
            <w:tcBorders>
              <w:top w:val="nil"/>
              <w:left w:val="nil"/>
              <w:bottom w:val="nil"/>
              <w:right w:val="single" w:color="auto" w:sz="4" w:space="0"/>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1</w:t>
            </w:r>
          </w:p>
        </w:tc>
      </w:tr>
      <w:tr>
        <w:tblPrEx>
          <w:tblCellMar>
            <w:top w:w="0" w:type="dxa"/>
            <w:left w:w="0" w:type="dxa"/>
            <w:bottom w:w="0" w:type="dxa"/>
            <w:right w:w="0" w:type="dxa"/>
          </w:tblCellMar>
        </w:tblPrEx>
        <w:trPr>
          <w:trHeight w:val="315" w:hRule="atLeast"/>
          <w:jc w:val="center"/>
        </w:trPr>
        <w:tc>
          <w:tcPr>
            <w:tcW w:w="1265" w:type="dxa"/>
            <w:tcBorders>
              <w:top w:val="single" w:color="000000" w:sz="4" w:space="0"/>
              <w:left w:val="single" w:color="000000" w:sz="8" w:space="0"/>
              <w:bottom w:val="single" w:color="000000" w:sz="4" w:space="0"/>
              <w:right w:val="single" w:color="auto" w:sz="4" w:space="0"/>
            </w:tcBorders>
            <w:shd w:val="clear" w:color="auto" w:fill="auto"/>
            <w:noWrap/>
            <w:tcMar>
              <w:top w:w="15" w:type="dxa"/>
              <w:left w:w="15" w:type="dxa"/>
              <w:right w:w="15" w:type="dxa"/>
            </w:tcMar>
            <w:vAlign w:val="bottom"/>
          </w:tcPr>
          <w:p>
            <w:pPr>
              <w:spacing w:line="240" w:lineRule="auto"/>
              <w:textAlignment w:val="bottom"/>
              <w:rPr>
                <w:rFonts w:ascii="Calibri" w:hAnsi="Calibri" w:cs="Calibri" w:eastAsiaTheme="minorEastAsia"/>
                <w:b/>
                <w:color w:val="000000"/>
                <w:lang w:val="en-GB" w:eastAsia="zh-CN" w:bidi="ar-SA"/>
              </w:rPr>
            </w:pPr>
            <w:r>
              <w:rPr>
                <w:rFonts w:ascii="Calibri" w:hAnsi="Calibri" w:eastAsia="SimSun" w:cs="Calibri"/>
                <w:b/>
                <w:color w:val="000000"/>
                <w:lang w:val="en-GB" w:bidi="ar"/>
              </w:rPr>
              <w:t>T</w:t>
            </w:r>
            <w:r>
              <w:rPr>
                <w:rFonts w:ascii="Calibri" w:hAnsi="Calibri" w:eastAsia="SimSun" w:cs="Calibri"/>
                <w:b/>
                <w:color w:val="000000"/>
                <w:vertAlign w:val="superscript"/>
                <w:lang w:val="en-GB" w:bidi="ar"/>
              </w:rPr>
              <w:t>2</w:t>
            </w:r>
            <w:r>
              <w:rPr>
                <w:rFonts w:hint="default" w:ascii="Calibri" w:hAnsi="Calibri" w:eastAsia="SimSun" w:cs="Calibri"/>
                <w:b/>
                <w:color w:val="000000"/>
                <w:vertAlign w:val="subscript"/>
                <w:lang w:val="en-GB" w:bidi="ar"/>
              </w:rPr>
              <w:t>Toep</w:t>
            </w:r>
            <w:r>
              <w:rPr>
                <w:rFonts w:ascii="Calibri" w:hAnsi="Calibri" w:eastAsia="SimSun" w:cs="Calibri"/>
                <w:b/>
                <w:color w:val="000000"/>
                <w:lang w:val="en-GB" w:bidi="ar"/>
              </w:rPr>
              <w:t xml:space="preserve"> </w:t>
            </w:r>
            <w:r>
              <w:rPr>
                <w:rFonts w:ascii="Calibri" w:hAnsi="Calibri" w:eastAsia="SimSun" w:cs="Calibri"/>
                <w:b/>
                <w:color w:val="000000"/>
                <w:lang w:bidi="ar"/>
              </w:rPr>
              <w:t>(</w:t>
            </w:r>
            <w:r>
              <w:rPr>
                <w:rFonts w:hint="default" w:ascii="Calibri" w:hAnsi="Calibri" w:eastAsia="SimSun" w:cs="Calibri"/>
                <w:b/>
                <w:color w:val="000000"/>
                <w:lang w:val="en-GB" w:bidi="ar"/>
              </w:rPr>
              <w:t>b</w:t>
            </w:r>
            <w:r>
              <w:rPr>
                <w:rFonts w:ascii="Calibri" w:hAnsi="Calibri" w:eastAsia="SimSun" w:cs="Calibri"/>
                <w:b/>
                <w:color w:val="000000"/>
                <w:lang w:bidi="ar"/>
              </w:rPr>
              <w:t>)</w:t>
            </w:r>
          </w:p>
        </w:tc>
        <w:tc>
          <w:tcPr>
            <w:tcW w:w="1288" w:type="dxa"/>
            <w:tcBorders>
              <w:top w:val="nil"/>
              <w:left w:val="single" w:color="auto" w:sz="4" w:space="0"/>
              <w:bottom w:val="nil"/>
              <w:right w:val="nil"/>
            </w:tcBorders>
            <w:shd w:val="clear" w:color="auto" w:fill="F1F1F1" w:themeFill="background1" w:themeFillShade="F2"/>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p>
        </w:tc>
        <w:tc>
          <w:tcPr>
            <w:tcW w:w="1288" w:type="dxa"/>
            <w:tcBorders>
              <w:top w:val="nil"/>
              <w:left w:val="nil"/>
              <w:bottom w:val="nil"/>
              <w:right w:val="nil"/>
            </w:tcBorders>
            <w:shd w:val="clear" w:color="auto" w:fill="F1F1F1" w:themeFill="background1" w:themeFillShade="F2"/>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p>
        </w:tc>
        <w:tc>
          <w:tcPr>
            <w:tcW w:w="1288" w:type="dxa"/>
            <w:tcBorders>
              <w:top w:val="nil"/>
              <w:left w:val="nil"/>
              <w:bottom w:val="nil"/>
              <w:right w:val="nil"/>
            </w:tcBorders>
            <w:shd w:val="clear" w:color="auto" w:fill="F1F1F1" w:themeFill="background1" w:themeFillShade="F2"/>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p>
        </w:tc>
        <w:tc>
          <w:tcPr>
            <w:tcW w:w="1290" w:type="dxa"/>
            <w:tcBorders>
              <w:top w:val="nil"/>
              <w:left w:val="nil"/>
              <w:bottom w:val="nil"/>
              <w:right w:val="nil"/>
            </w:tcBorders>
            <w:shd w:val="clear" w:color="auto" w:fill="BEBEBE" w:themeFill="background1" w:themeFillShade="BF"/>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1</w:t>
            </w:r>
          </w:p>
        </w:tc>
        <w:tc>
          <w:tcPr>
            <w:tcW w:w="1290" w:type="dxa"/>
            <w:tcBorders>
              <w:top w:val="nil"/>
              <w:left w:val="nil"/>
              <w:bottom w:val="nil"/>
              <w:right w:val="single" w:color="auto" w:sz="4" w:space="0"/>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0.493</w:t>
            </w:r>
          </w:p>
        </w:tc>
      </w:tr>
      <w:tr>
        <w:tblPrEx>
          <w:tblCellMar>
            <w:top w:w="0" w:type="dxa"/>
            <w:left w:w="0" w:type="dxa"/>
            <w:bottom w:w="0" w:type="dxa"/>
            <w:right w:w="0" w:type="dxa"/>
          </w:tblCellMar>
        </w:tblPrEx>
        <w:trPr>
          <w:trHeight w:val="315" w:hRule="atLeast"/>
          <w:jc w:val="center"/>
        </w:trPr>
        <w:tc>
          <w:tcPr>
            <w:tcW w:w="1265" w:type="dxa"/>
            <w:tcBorders>
              <w:top w:val="single" w:color="000000" w:sz="4" w:space="0"/>
              <w:left w:val="single" w:color="000000" w:sz="8" w:space="0"/>
              <w:bottom w:val="single" w:color="000000" w:sz="4" w:space="0"/>
              <w:right w:val="single" w:color="auto" w:sz="4" w:space="0"/>
            </w:tcBorders>
            <w:shd w:val="clear" w:color="auto" w:fill="auto"/>
            <w:noWrap/>
            <w:tcMar>
              <w:top w:w="15" w:type="dxa"/>
              <w:left w:w="15" w:type="dxa"/>
              <w:right w:w="15" w:type="dxa"/>
            </w:tcMar>
            <w:vAlign w:val="bottom"/>
          </w:tcPr>
          <w:p>
            <w:pPr>
              <w:spacing w:line="240" w:lineRule="auto"/>
              <w:textAlignment w:val="bottom"/>
              <w:rPr>
                <w:rFonts w:ascii="Calibri" w:hAnsi="Calibri" w:eastAsia="SimSun" w:cs="Calibri"/>
                <w:b/>
                <w:color w:val="000000"/>
                <w:lang w:val="en-GB" w:bidi="ar"/>
              </w:rPr>
            </w:pPr>
            <w:r>
              <w:rPr>
                <w:rFonts w:ascii="Calibri" w:hAnsi="Calibri" w:eastAsia="SimSun" w:cs="Calibri"/>
                <w:b/>
                <w:color w:val="000000"/>
                <w:lang w:bidi="ar"/>
              </w:rPr>
              <w:t>T</w:t>
            </w:r>
            <w:r>
              <w:rPr>
                <w:rFonts w:ascii="Calibri" w:hAnsi="Calibri" w:eastAsia="SimSun" w:cs="Calibri"/>
                <w:b/>
                <w:color w:val="000000"/>
                <w:vertAlign w:val="superscript"/>
                <w:lang w:bidi="ar"/>
              </w:rPr>
              <w:t>2</w:t>
            </w:r>
            <w:r>
              <w:rPr>
                <w:rFonts w:hint="default" w:ascii="Calibri" w:hAnsi="Calibri" w:eastAsia="SimSun" w:cs="Calibri"/>
                <w:b/>
                <w:color w:val="000000"/>
                <w:vertAlign w:val="subscript"/>
                <w:lang w:val="en-GB" w:bidi="ar"/>
              </w:rPr>
              <w:t>Diag</w:t>
            </w:r>
            <w:r>
              <w:rPr>
                <w:rFonts w:ascii="Calibri" w:hAnsi="Calibri" w:eastAsia="SimSun" w:cs="Calibri"/>
                <w:b/>
                <w:color w:val="000000"/>
                <w:lang w:bidi="ar"/>
              </w:rPr>
              <w:t xml:space="preserve"> (</w:t>
            </w:r>
            <w:r>
              <w:rPr>
                <w:rFonts w:hint="default" w:ascii="Calibri" w:hAnsi="Calibri" w:eastAsia="SimSun" w:cs="Calibri"/>
                <w:b/>
                <w:color w:val="000000"/>
                <w:lang w:val="en-GB" w:bidi="ar"/>
              </w:rPr>
              <w:t>b</w:t>
            </w:r>
          </w:p>
        </w:tc>
        <w:tc>
          <w:tcPr>
            <w:tcW w:w="1288" w:type="dxa"/>
            <w:tcBorders>
              <w:top w:val="nil"/>
              <w:left w:val="single" w:color="auto" w:sz="4" w:space="0"/>
              <w:bottom w:val="single" w:color="auto" w:sz="4" w:space="0"/>
              <w:right w:val="nil"/>
            </w:tcBorders>
            <w:shd w:val="clear" w:color="auto" w:fill="F1F1F1" w:themeFill="background1" w:themeFillShade="F2"/>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p>
        </w:tc>
        <w:tc>
          <w:tcPr>
            <w:tcW w:w="1288" w:type="dxa"/>
            <w:tcBorders>
              <w:top w:val="nil"/>
              <w:left w:val="nil"/>
              <w:bottom w:val="single" w:color="auto" w:sz="4" w:space="0"/>
              <w:right w:val="nil"/>
            </w:tcBorders>
            <w:shd w:val="clear" w:color="auto" w:fill="F1F1F1" w:themeFill="background1" w:themeFillShade="F2"/>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p>
        </w:tc>
        <w:tc>
          <w:tcPr>
            <w:tcW w:w="1288" w:type="dxa"/>
            <w:tcBorders>
              <w:top w:val="nil"/>
              <w:left w:val="nil"/>
              <w:bottom w:val="single" w:color="auto" w:sz="4" w:space="0"/>
              <w:right w:val="nil"/>
            </w:tcBorders>
            <w:shd w:val="clear" w:color="auto" w:fill="F1F1F1" w:themeFill="background1" w:themeFillShade="F2"/>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p>
        </w:tc>
        <w:tc>
          <w:tcPr>
            <w:tcW w:w="1290" w:type="dxa"/>
            <w:tcBorders>
              <w:top w:val="nil"/>
              <w:left w:val="nil"/>
              <w:bottom w:val="single" w:color="auto" w:sz="4" w:space="0"/>
              <w:right w:val="nil"/>
            </w:tcBorders>
            <w:shd w:val="clear" w:color="auto" w:fill="F1F1F1" w:themeFill="background1" w:themeFillShade="F2"/>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p>
        </w:tc>
        <w:tc>
          <w:tcPr>
            <w:tcW w:w="1290" w:type="dxa"/>
            <w:tcBorders>
              <w:top w:val="nil"/>
              <w:left w:val="nil"/>
              <w:bottom w:val="single" w:color="auto" w:sz="4" w:space="0"/>
              <w:right w:val="single" w:color="auto" w:sz="4" w:space="0"/>
            </w:tcBorders>
            <w:shd w:val="clear" w:color="auto" w:fill="BEBEBE" w:themeFill="background1" w:themeFillShade="BF"/>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1</w:t>
            </w:r>
          </w:p>
        </w:tc>
      </w:tr>
      <w:tr>
        <w:tblPrEx>
          <w:tblCellMar>
            <w:top w:w="0" w:type="dxa"/>
            <w:left w:w="0" w:type="dxa"/>
            <w:bottom w:w="0" w:type="dxa"/>
            <w:right w:w="0" w:type="dxa"/>
          </w:tblCellMar>
        </w:tblPrEx>
        <w:trPr>
          <w:trHeight w:val="315" w:hRule="atLeast"/>
          <w:jc w:val="center"/>
        </w:trPr>
        <w:tc>
          <w:tcPr>
            <w:tcW w:w="1265" w:type="dxa"/>
            <w:tcBorders>
              <w:top w:val="single" w:color="000000" w:sz="4" w:space="0"/>
              <w:left w:val="single" w:color="000000" w:sz="8" w:space="0"/>
              <w:bottom w:val="single" w:color="000000" w:sz="4" w:space="0"/>
              <w:right w:val="single" w:color="auto" w:sz="4" w:space="0"/>
            </w:tcBorders>
            <w:shd w:val="clear" w:color="auto" w:fill="auto"/>
            <w:noWrap/>
            <w:tcMar>
              <w:top w:w="15" w:type="dxa"/>
              <w:left w:w="15" w:type="dxa"/>
              <w:right w:w="15" w:type="dxa"/>
            </w:tcMar>
            <w:vAlign w:val="bottom"/>
          </w:tcPr>
          <w:p>
            <w:pPr>
              <w:spacing w:line="240" w:lineRule="auto"/>
              <w:textAlignment w:val="bottom"/>
              <w:rPr>
                <w:rFonts w:ascii="Calibri" w:hAnsi="Calibri" w:eastAsia="SimSun" w:cs="Calibri"/>
                <w:b/>
                <w:color w:val="000000"/>
                <w:lang w:val="en-GB" w:bidi="ar"/>
              </w:rPr>
            </w:pPr>
          </w:p>
        </w:tc>
        <w:tc>
          <w:tcPr>
            <w:tcW w:w="6444"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bCs/>
                <w:i/>
                <w:iCs/>
                <w:color w:val="000000"/>
                <w:lang w:val="en-GB"/>
              </w:rPr>
            </w:pPr>
            <w:r>
              <w:rPr>
                <w:rFonts w:hint="default" w:ascii="Calibri" w:hAnsi="Calibri" w:cs="Calibri"/>
                <w:b/>
                <w:bCs/>
                <w:i/>
                <w:iCs/>
                <w:color w:val="000000"/>
                <w:lang w:val="en-GB"/>
              </w:rPr>
              <w:t>N=160</w:t>
            </w:r>
          </w:p>
        </w:tc>
      </w:tr>
      <w:tr>
        <w:tblPrEx>
          <w:tblCellMar>
            <w:top w:w="0" w:type="dxa"/>
            <w:left w:w="0" w:type="dxa"/>
            <w:bottom w:w="0" w:type="dxa"/>
            <w:right w:w="0" w:type="dxa"/>
          </w:tblCellMar>
        </w:tblPrEx>
        <w:trPr>
          <w:trHeight w:val="315" w:hRule="atLeast"/>
          <w:jc w:val="center"/>
        </w:trPr>
        <w:tc>
          <w:tcPr>
            <w:tcW w:w="1265" w:type="dxa"/>
            <w:tcBorders>
              <w:top w:val="single" w:color="000000" w:sz="4" w:space="0"/>
              <w:left w:val="single" w:color="000000" w:sz="8" w:space="0"/>
              <w:bottom w:val="single" w:color="000000" w:sz="4" w:space="0"/>
              <w:right w:val="single" w:color="auto" w:sz="4" w:space="0"/>
            </w:tcBorders>
            <w:shd w:val="clear" w:color="auto" w:fill="auto"/>
            <w:noWrap/>
            <w:tcMar>
              <w:top w:w="15" w:type="dxa"/>
              <w:left w:w="15" w:type="dxa"/>
              <w:right w:w="15" w:type="dxa"/>
            </w:tcMar>
            <w:vAlign w:val="center"/>
          </w:tcPr>
          <w:p>
            <w:pPr>
              <w:spacing w:line="240" w:lineRule="auto"/>
              <w:textAlignment w:val="center"/>
              <w:rPr>
                <w:rFonts w:ascii="Calibri" w:hAnsi="Calibri" w:cs="Calibri" w:eastAsiaTheme="minorEastAsia"/>
                <w:b/>
                <w:color w:val="000000"/>
                <w:lang w:val="en-GB" w:eastAsia="zh-CN" w:bidi="ar-SA"/>
              </w:rPr>
            </w:pPr>
            <w:r>
              <w:rPr>
                <w:rFonts w:ascii="Calibri" w:hAnsi="Calibri" w:eastAsia="SimSun" w:cs="Calibri"/>
                <w:b/>
                <w:color w:val="000000"/>
                <w:lang w:bidi="ar"/>
              </w:rPr>
              <w:t>T</w:t>
            </w:r>
            <w:r>
              <w:rPr>
                <w:rFonts w:ascii="Calibri" w:hAnsi="Calibri" w:eastAsia="SimSun" w:cs="Calibri"/>
                <w:b/>
                <w:color w:val="000000"/>
                <w:vertAlign w:val="superscript"/>
                <w:lang w:bidi="ar"/>
              </w:rPr>
              <w:t>2</w:t>
            </w:r>
            <w:r>
              <w:rPr>
                <w:rFonts w:ascii="Calibri" w:hAnsi="Calibri" w:eastAsia="SimSun" w:cs="Calibri"/>
                <w:b/>
                <w:color w:val="000000"/>
                <w:vertAlign w:val="subscript"/>
                <w:lang w:bidi="ar"/>
              </w:rPr>
              <w:t>Time</w:t>
            </w:r>
          </w:p>
        </w:tc>
        <w:tc>
          <w:tcPr>
            <w:tcW w:w="1288" w:type="dxa"/>
            <w:tcBorders>
              <w:top w:val="single" w:color="auto" w:sz="4" w:space="0"/>
              <w:left w:val="single" w:color="auto" w:sz="4" w:space="0"/>
              <w:bottom w:val="nil"/>
              <w:right w:val="nil"/>
            </w:tcBorders>
            <w:shd w:val="clear" w:color="auto" w:fill="BEBEBE" w:themeFill="background1" w:themeFillShade="BF"/>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1</w:t>
            </w:r>
          </w:p>
        </w:tc>
        <w:tc>
          <w:tcPr>
            <w:tcW w:w="1288" w:type="dxa"/>
            <w:tcBorders>
              <w:top w:val="single" w:color="auto" w:sz="4" w:space="0"/>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1</w:t>
            </w:r>
          </w:p>
        </w:tc>
        <w:tc>
          <w:tcPr>
            <w:tcW w:w="1288" w:type="dxa"/>
            <w:tcBorders>
              <w:top w:val="single" w:color="auto" w:sz="4" w:space="0"/>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0.154</w:t>
            </w:r>
          </w:p>
        </w:tc>
        <w:tc>
          <w:tcPr>
            <w:tcW w:w="1290" w:type="dxa"/>
            <w:tcBorders>
              <w:top w:val="single" w:color="auto" w:sz="4" w:space="0"/>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0.389</w:t>
            </w:r>
          </w:p>
        </w:tc>
        <w:tc>
          <w:tcPr>
            <w:tcW w:w="1290" w:type="dxa"/>
            <w:tcBorders>
              <w:top w:val="single" w:color="auto" w:sz="4" w:space="0"/>
              <w:left w:val="nil"/>
              <w:bottom w:val="nil"/>
              <w:right w:val="single" w:color="auto" w:sz="4" w:space="0"/>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0.389</w:t>
            </w:r>
          </w:p>
        </w:tc>
      </w:tr>
      <w:tr>
        <w:tblPrEx>
          <w:tblCellMar>
            <w:top w:w="0" w:type="dxa"/>
            <w:left w:w="0" w:type="dxa"/>
            <w:bottom w:w="0" w:type="dxa"/>
            <w:right w:w="0" w:type="dxa"/>
          </w:tblCellMar>
        </w:tblPrEx>
        <w:trPr>
          <w:trHeight w:val="315" w:hRule="atLeast"/>
          <w:jc w:val="center"/>
        </w:trPr>
        <w:tc>
          <w:tcPr>
            <w:tcW w:w="1265" w:type="dxa"/>
            <w:tcBorders>
              <w:top w:val="single" w:color="000000" w:sz="4" w:space="0"/>
              <w:left w:val="single" w:color="000000" w:sz="8" w:space="0"/>
              <w:bottom w:val="single" w:color="000000" w:sz="4" w:space="0"/>
              <w:right w:val="single" w:color="auto" w:sz="4" w:space="0"/>
            </w:tcBorders>
            <w:shd w:val="clear" w:color="auto" w:fill="auto"/>
            <w:noWrap/>
            <w:tcMar>
              <w:top w:w="15" w:type="dxa"/>
              <w:left w:w="15" w:type="dxa"/>
              <w:right w:w="15" w:type="dxa"/>
            </w:tcMar>
            <w:vAlign w:val="bottom"/>
          </w:tcPr>
          <w:p>
            <w:pPr>
              <w:spacing w:line="240" w:lineRule="auto"/>
              <w:textAlignment w:val="bottom"/>
              <w:rPr>
                <w:rFonts w:ascii="Calibri" w:hAnsi="Calibri" w:cs="Calibri" w:eastAsiaTheme="minorEastAsia"/>
                <w:b/>
                <w:color w:val="000000"/>
                <w:lang w:val="en-GB" w:eastAsia="zh-CN" w:bidi="ar-SA"/>
              </w:rPr>
            </w:pPr>
            <w:r>
              <w:rPr>
                <w:rFonts w:ascii="Calibri" w:hAnsi="Calibri" w:eastAsia="SimSun" w:cs="Calibri"/>
                <w:b/>
                <w:color w:val="000000"/>
                <w:lang w:bidi="ar"/>
              </w:rPr>
              <w:t>T</w:t>
            </w:r>
            <w:r>
              <w:rPr>
                <w:rFonts w:ascii="Calibri" w:hAnsi="Calibri" w:eastAsia="SimSun" w:cs="Calibri"/>
                <w:b/>
                <w:color w:val="000000"/>
                <w:vertAlign w:val="superscript"/>
                <w:lang w:bidi="ar"/>
              </w:rPr>
              <w:t>2</w:t>
            </w:r>
            <w:r>
              <w:rPr>
                <w:rFonts w:ascii="Calibri" w:hAnsi="Calibri" w:eastAsia="SimSun" w:cs="Calibri"/>
                <w:b/>
                <w:color w:val="000000"/>
                <w:vertAlign w:val="subscript"/>
                <w:lang w:bidi="ar"/>
              </w:rPr>
              <w:t>Freq</w:t>
            </w:r>
          </w:p>
        </w:tc>
        <w:tc>
          <w:tcPr>
            <w:tcW w:w="1288" w:type="dxa"/>
            <w:tcBorders>
              <w:top w:val="nil"/>
              <w:left w:val="single" w:color="auto" w:sz="4" w:space="0"/>
              <w:bottom w:val="nil"/>
              <w:right w:val="nil"/>
            </w:tcBorders>
            <w:shd w:val="clear" w:color="auto" w:fill="F1F1F1" w:themeFill="background1" w:themeFillShade="F2"/>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p>
        </w:tc>
        <w:tc>
          <w:tcPr>
            <w:tcW w:w="1288" w:type="dxa"/>
            <w:tcBorders>
              <w:top w:val="nil"/>
              <w:left w:val="nil"/>
              <w:bottom w:val="nil"/>
              <w:right w:val="nil"/>
            </w:tcBorders>
            <w:shd w:val="clear" w:color="auto" w:fill="BEBEBE" w:themeFill="background1" w:themeFillShade="BF"/>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1</w:t>
            </w:r>
          </w:p>
        </w:tc>
        <w:tc>
          <w:tcPr>
            <w:tcW w:w="1288" w:type="dxa"/>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0.184</w:t>
            </w:r>
          </w:p>
        </w:tc>
        <w:tc>
          <w:tcPr>
            <w:tcW w:w="1290" w:type="dxa"/>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0.45</w:t>
            </w:r>
          </w:p>
        </w:tc>
        <w:tc>
          <w:tcPr>
            <w:tcW w:w="1290" w:type="dxa"/>
            <w:tcBorders>
              <w:top w:val="nil"/>
              <w:left w:val="nil"/>
              <w:bottom w:val="nil"/>
              <w:right w:val="single" w:color="auto" w:sz="4" w:space="0"/>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0.45</w:t>
            </w:r>
          </w:p>
        </w:tc>
      </w:tr>
      <w:tr>
        <w:tblPrEx>
          <w:tblCellMar>
            <w:top w:w="0" w:type="dxa"/>
            <w:left w:w="0" w:type="dxa"/>
            <w:bottom w:w="0" w:type="dxa"/>
            <w:right w:w="0" w:type="dxa"/>
          </w:tblCellMar>
        </w:tblPrEx>
        <w:trPr>
          <w:trHeight w:val="315" w:hRule="atLeast"/>
          <w:jc w:val="center"/>
        </w:trPr>
        <w:tc>
          <w:tcPr>
            <w:tcW w:w="1265" w:type="dxa"/>
            <w:tcBorders>
              <w:top w:val="single" w:color="000000" w:sz="4" w:space="0"/>
              <w:left w:val="single" w:color="000000" w:sz="8" w:space="0"/>
              <w:bottom w:val="single" w:color="000000" w:sz="4" w:space="0"/>
              <w:right w:val="single" w:color="auto" w:sz="4" w:space="0"/>
            </w:tcBorders>
            <w:shd w:val="clear" w:color="auto" w:fill="auto"/>
            <w:noWrap/>
            <w:tcMar>
              <w:top w:w="15" w:type="dxa"/>
              <w:left w:w="15" w:type="dxa"/>
              <w:right w:w="15" w:type="dxa"/>
            </w:tcMar>
            <w:vAlign w:val="bottom"/>
          </w:tcPr>
          <w:p>
            <w:pPr>
              <w:spacing w:line="240" w:lineRule="auto"/>
              <w:textAlignment w:val="bottom"/>
              <w:rPr>
                <w:rFonts w:ascii="Calibri" w:hAnsi="Calibri" w:cs="Calibri" w:eastAsiaTheme="minorEastAsia"/>
                <w:b/>
                <w:color w:val="000000"/>
                <w:lang w:val="en-GB" w:eastAsia="zh-CN" w:bidi="ar-SA"/>
              </w:rPr>
            </w:pPr>
            <w:r>
              <w:rPr>
                <w:rFonts w:ascii="Calibri" w:hAnsi="Calibri" w:eastAsia="SimSun" w:cs="Calibri"/>
                <w:b/>
                <w:color w:val="000000"/>
                <w:lang w:bidi="ar"/>
              </w:rPr>
              <w:t>QMod V3 (</w:t>
            </w:r>
            <w:r>
              <w:rPr>
                <w:rFonts w:hint="default" w:ascii="Calibri" w:hAnsi="Calibri" w:eastAsia="SimSun" w:cs="Calibri"/>
                <w:b/>
                <w:color w:val="000000"/>
                <w:lang w:val="en-GB" w:bidi="ar"/>
              </w:rPr>
              <w:t>b</w:t>
            </w:r>
            <w:r>
              <w:rPr>
                <w:rFonts w:ascii="Calibri" w:hAnsi="Calibri" w:eastAsia="SimSun" w:cs="Calibri"/>
                <w:b/>
                <w:color w:val="000000"/>
                <w:lang w:bidi="ar"/>
              </w:rPr>
              <w:t>)</w:t>
            </w:r>
          </w:p>
        </w:tc>
        <w:tc>
          <w:tcPr>
            <w:tcW w:w="1288" w:type="dxa"/>
            <w:tcBorders>
              <w:top w:val="nil"/>
              <w:left w:val="single" w:color="auto" w:sz="4" w:space="0"/>
              <w:bottom w:val="nil"/>
              <w:right w:val="nil"/>
            </w:tcBorders>
            <w:shd w:val="clear" w:color="auto" w:fill="F1F1F1" w:themeFill="background1" w:themeFillShade="F2"/>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p>
        </w:tc>
        <w:tc>
          <w:tcPr>
            <w:tcW w:w="1288" w:type="dxa"/>
            <w:tcBorders>
              <w:top w:val="nil"/>
              <w:left w:val="nil"/>
              <w:bottom w:val="nil"/>
              <w:right w:val="nil"/>
            </w:tcBorders>
            <w:shd w:val="clear" w:color="auto" w:fill="F1F1F1" w:themeFill="background1" w:themeFillShade="F2"/>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p>
        </w:tc>
        <w:tc>
          <w:tcPr>
            <w:tcW w:w="1288" w:type="dxa"/>
            <w:tcBorders>
              <w:top w:val="nil"/>
              <w:left w:val="nil"/>
              <w:bottom w:val="nil"/>
              <w:right w:val="nil"/>
            </w:tcBorders>
            <w:shd w:val="clear" w:color="auto" w:fill="BEBEBE" w:themeFill="background1" w:themeFillShade="BF"/>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1</w:t>
            </w:r>
          </w:p>
        </w:tc>
        <w:tc>
          <w:tcPr>
            <w:tcW w:w="1290" w:type="dxa"/>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0.64</w:t>
            </w:r>
          </w:p>
        </w:tc>
        <w:tc>
          <w:tcPr>
            <w:tcW w:w="1290" w:type="dxa"/>
            <w:tcBorders>
              <w:top w:val="nil"/>
              <w:left w:val="nil"/>
              <w:bottom w:val="nil"/>
              <w:right w:val="single" w:color="auto" w:sz="4" w:space="0"/>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0.64</w:t>
            </w:r>
          </w:p>
        </w:tc>
      </w:tr>
      <w:tr>
        <w:tblPrEx>
          <w:tblCellMar>
            <w:top w:w="0" w:type="dxa"/>
            <w:left w:w="0" w:type="dxa"/>
            <w:bottom w:w="0" w:type="dxa"/>
            <w:right w:w="0" w:type="dxa"/>
          </w:tblCellMar>
        </w:tblPrEx>
        <w:trPr>
          <w:trHeight w:val="315" w:hRule="atLeast"/>
          <w:jc w:val="center"/>
        </w:trPr>
        <w:tc>
          <w:tcPr>
            <w:tcW w:w="1265" w:type="dxa"/>
            <w:tcBorders>
              <w:top w:val="single" w:color="000000" w:sz="4" w:space="0"/>
              <w:left w:val="single" w:color="000000" w:sz="8" w:space="0"/>
              <w:bottom w:val="single" w:color="000000" w:sz="4" w:space="0"/>
              <w:right w:val="single" w:color="auto" w:sz="4" w:space="0"/>
            </w:tcBorders>
            <w:shd w:val="clear" w:color="auto" w:fill="auto"/>
            <w:noWrap/>
            <w:tcMar>
              <w:top w:w="15" w:type="dxa"/>
              <w:left w:w="15" w:type="dxa"/>
              <w:right w:w="15" w:type="dxa"/>
            </w:tcMar>
            <w:vAlign w:val="bottom"/>
          </w:tcPr>
          <w:p>
            <w:pPr>
              <w:spacing w:line="240" w:lineRule="auto"/>
              <w:textAlignment w:val="bottom"/>
              <w:rPr>
                <w:rFonts w:ascii="Calibri" w:hAnsi="Calibri" w:cs="Calibri" w:eastAsiaTheme="minorEastAsia"/>
                <w:b/>
                <w:color w:val="000000"/>
                <w:lang w:val="en-GB" w:eastAsia="zh-CN" w:bidi="ar-SA"/>
              </w:rPr>
            </w:pPr>
            <w:r>
              <w:rPr>
                <w:rFonts w:ascii="Calibri" w:hAnsi="Calibri" w:eastAsia="SimSun" w:cs="Calibri"/>
                <w:b/>
                <w:color w:val="000000"/>
                <w:lang w:val="en-GB" w:bidi="ar"/>
              </w:rPr>
              <w:t>T</w:t>
            </w:r>
            <w:r>
              <w:rPr>
                <w:rFonts w:ascii="Calibri" w:hAnsi="Calibri" w:eastAsia="SimSun" w:cs="Calibri"/>
                <w:b/>
                <w:color w:val="000000"/>
                <w:vertAlign w:val="superscript"/>
                <w:lang w:val="en-GB" w:bidi="ar"/>
              </w:rPr>
              <w:t>2</w:t>
            </w:r>
            <w:r>
              <w:rPr>
                <w:rFonts w:hint="default" w:ascii="Calibri" w:hAnsi="Calibri" w:eastAsia="SimSun" w:cs="Calibri"/>
                <w:b/>
                <w:color w:val="000000"/>
                <w:vertAlign w:val="subscript"/>
                <w:lang w:val="en-GB" w:bidi="ar"/>
              </w:rPr>
              <w:t>Toep</w:t>
            </w:r>
            <w:r>
              <w:rPr>
                <w:rFonts w:ascii="Calibri" w:hAnsi="Calibri" w:eastAsia="SimSun" w:cs="Calibri"/>
                <w:b/>
                <w:color w:val="000000"/>
                <w:lang w:val="en-GB" w:bidi="ar"/>
              </w:rPr>
              <w:t xml:space="preserve"> </w:t>
            </w:r>
            <w:r>
              <w:rPr>
                <w:rFonts w:ascii="Calibri" w:hAnsi="Calibri" w:eastAsia="SimSun" w:cs="Calibri"/>
                <w:b/>
                <w:color w:val="000000"/>
                <w:lang w:bidi="ar"/>
              </w:rPr>
              <w:t>(</w:t>
            </w:r>
            <w:r>
              <w:rPr>
                <w:rFonts w:hint="default" w:ascii="Calibri" w:hAnsi="Calibri" w:eastAsia="SimSun" w:cs="Calibri"/>
                <w:b/>
                <w:color w:val="000000"/>
                <w:lang w:val="en-GB" w:bidi="ar"/>
              </w:rPr>
              <w:t>b</w:t>
            </w:r>
            <w:r>
              <w:rPr>
                <w:rFonts w:ascii="Calibri" w:hAnsi="Calibri" w:eastAsia="SimSun" w:cs="Calibri"/>
                <w:b/>
                <w:color w:val="000000"/>
                <w:lang w:bidi="ar"/>
              </w:rPr>
              <w:t>)</w:t>
            </w:r>
          </w:p>
        </w:tc>
        <w:tc>
          <w:tcPr>
            <w:tcW w:w="1288" w:type="dxa"/>
            <w:tcBorders>
              <w:top w:val="nil"/>
              <w:left w:val="single" w:color="auto" w:sz="4" w:space="0"/>
              <w:bottom w:val="nil"/>
              <w:right w:val="nil"/>
            </w:tcBorders>
            <w:shd w:val="clear" w:color="auto" w:fill="F1F1F1" w:themeFill="background1" w:themeFillShade="F2"/>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p>
        </w:tc>
        <w:tc>
          <w:tcPr>
            <w:tcW w:w="1288" w:type="dxa"/>
            <w:tcBorders>
              <w:top w:val="nil"/>
              <w:left w:val="nil"/>
              <w:bottom w:val="nil"/>
              <w:right w:val="nil"/>
            </w:tcBorders>
            <w:shd w:val="clear" w:color="auto" w:fill="F1F1F1" w:themeFill="background1" w:themeFillShade="F2"/>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p>
        </w:tc>
        <w:tc>
          <w:tcPr>
            <w:tcW w:w="1288" w:type="dxa"/>
            <w:tcBorders>
              <w:top w:val="nil"/>
              <w:left w:val="nil"/>
              <w:bottom w:val="nil"/>
              <w:right w:val="nil"/>
            </w:tcBorders>
            <w:shd w:val="clear" w:color="auto" w:fill="F1F1F1" w:themeFill="background1" w:themeFillShade="F2"/>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p>
        </w:tc>
        <w:tc>
          <w:tcPr>
            <w:tcW w:w="1290" w:type="dxa"/>
            <w:tcBorders>
              <w:top w:val="nil"/>
              <w:left w:val="nil"/>
              <w:bottom w:val="nil"/>
              <w:right w:val="nil"/>
            </w:tcBorders>
            <w:shd w:val="clear" w:color="auto" w:fill="BEBEBE" w:themeFill="background1" w:themeFillShade="BF"/>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1</w:t>
            </w:r>
          </w:p>
        </w:tc>
        <w:tc>
          <w:tcPr>
            <w:tcW w:w="1290" w:type="dxa"/>
            <w:tcBorders>
              <w:top w:val="nil"/>
              <w:left w:val="nil"/>
              <w:bottom w:val="nil"/>
              <w:right w:val="single" w:color="auto" w:sz="4" w:space="0"/>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1</w:t>
            </w:r>
          </w:p>
        </w:tc>
      </w:tr>
      <w:tr>
        <w:tblPrEx>
          <w:tblCellMar>
            <w:top w:w="0" w:type="dxa"/>
            <w:left w:w="0" w:type="dxa"/>
            <w:bottom w:w="0" w:type="dxa"/>
            <w:right w:w="0" w:type="dxa"/>
          </w:tblCellMar>
        </w:tblPrEx>
        <w:trPr>
          <w:trHeight w:val="315" w:hRule="atLeast"/>
          <w:jc w:val="center"/>
        </w:trPr>
        <w:tc>
          <w:tcPr>
            <w:tcW w:w="1265" w:type="dxa"/>
            <w:tcBorders>
              <w:top w:val="single" w:color="000000" w:sz="4" w:space="0"/>
              <w:left w:val="single" w:color="000000" w:sz="8" w:space="0"/>
              <w:bottom w:val="single" w:color="000000" w:sz="4" w:space="0"/>
              <w:right w:val="single" w:color="auto" w:sz="4" w:space="0"/>
            </w:tcBorders>
            <w:shd w:val="clear" w:color="auto" w:fill="auto"/>
            <w:noWrap/>
            <w:tcMar>
              <w:top w:w="15" w:type="dxa"/>
              <w:left w:w="15" w:type="dxa"/>
              <w:right w:w="15" w:type="dxa"/>
            </w:tcMar>
            <w:vAlign w:val="bottom"/>
          </w:tcPr>
          <w:p>
            <w:pPr>
              <w:spacing w:line="240" w:lineRule="auto"/>
              <w:textAlignment w:val="bottom"/>
              <w:rPr>
                <w:rFonts w:ascii="Calibri" w:hAnsi="Calibri" w:eastAsia="SimSun" w:cs="Calibri"/>
                <w:b/>
                <w:color w:val="000000"/>
                <w:lang w:val="en-GB" w:bidi="ar"/>
              </w:rPr>
            </w:pPr>
            <w:r>
              <w:rPr>
                <w:rFonts w:ascii="Calibri" w:hAnsi="Calibri" w:eastAsia="SimSun" w:cs="Calibri"/>
                <w:b/>
                <w:color w:val="000000"/>
                <w:lang w:bidi="ar"/>
              </w:rPr>
              <w:t>T</w:t>
            </w:r>
            <w:r>
              <w:rPr>
                <w:rFonts w:ascii="Calibri" w:hAnsi="Calibri" w:eastAsia="SimSun" w:cs="Calibri"/>
                <w:b/>
                <w:color w:val="000000"/>
                <w:vertAlign w:val="superscript"/>
                <w:lang w:bidi="ar"/>
              </w:rPr>
              <w:t>2</w:t>
            </w:r>
            <w:r>
              <w:rPr>
                <w:rFonts w:hint="default" w:ascii="Calibri" w:hAnsi="Calibri" w:eastAsia="SimSun" w:cs="Calibri"/>
                <w:b/>
                <w:color w:val="000000"/>
                <w:vertAlign w:val="subscript"/>
                <w:lang w:val="en-GB" w:bidi="ar"/>
              </w:rPr>
              <w:t>Diag</w:t>
            </w:r>
            <w:r>
              <w:rPr>
                <w:rFonts w:ascii="Calibri" w:hAnsi="Calibri" w:eastAsia="SimSun" w:cs="Calibri"/>
                <w:b/>
                <w:color w:val="000000"/>
                <w:lang w:bidi="ar"/>
              </w:rPr>
              <w:t xml:space="preserve"> (</w:t>
            </w:r>
            <w:r>
              <w:rPr>
                <w:rFonts w:hint="default" w:ascii="Calibri" w:hAnsi="Calibri" w:eastAsia="SimSun" w:cs="Calibri"/>
                <w:b/>
                <w:color w:val="000000"/>
                <w:lang w:val="en-GB" w:bidi="ar"/>
              </w:rPr>
              <w:t>b</w:t>
            </w:r>
          </w:p>
        </w:tc>
        <w:tc>
          <w:tcPr>
            <w:tcW w:w="1288" w:type="dxa"/>
            <w:tcBorders>
              <w:top w:val="nil"/>
              <w:left w:val="single" w:color="auto" w:sz="4" w:space="0"/>
              <w:bottom w:val="nil"/>
              <w:right w:val="nil"/>
            </w:tcBorders>
            <w:shd w:val="clear" w:color="auto" w:fill="F1F1F1" w:themeFill="background1" w:themeFillShade="F2"/>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p>
        </w:tc>
        <w:tc>
          <w:tcPr>
            <w:tcW w:w="1288" w:type="dxa"/>
            <w:tcBorders>
              <w:top w:val="nil"/>
              <w:left w:val="nil"/>
              <w:bottom w:val="nil"/>
              <w:right w:val="nil"/>
            </w:tcBorders>
            <w:shd w:val="clear" w:color="auto" w:fill="F1F1F1" w:themeFill="background1" w:themeFillShade="F2"/>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p>
        </w:tc>
        <w:tc>
          <w:tcPr>
            <w:tcW w:w="1288" w:type="dxa"/>
            <w:tcBorders>
              <w:top w:val="nil"/>
              <w:left w:val="nil"/>
              <w:bottom w:val="nil"/>
              <w:right w:val="nil"/>
            </w:tcBorders>
            <w:shd w:val="clear" w:color="auto" w:fill="F1F1F1" w:themeFill="background1" w:themeFillShade="F2"/>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p>
        </w:tc>
        <w:tc>
          <w:tcPr>
            <w:tcW w:w="1290" w:type="dxa"/>
            <w:tcBorders>
              <w:top w:val="nil"/>
              <w:left w:val="nil"/>
              <w:bottom w:val="nil"/>
              <w:right w:val="nil"/>
            </w:tcBorders>
            <w:shd w:val="clear" w:color="auto" w:fill="F1F1F1" w:themeFill="background1" w:themeFillShade="F2"/>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p>
        </w:tc>
        <w:tc>
          <w:tcPr>
            <w:tcW w:w="1290" w:type="dxa"/>
            <w:tcBorders>
              <w:top w:val="nil"/>
              <w:left w:val="nil"/>
              <w:bottom w:val="nil"/>
              <w:right w:val="single" w:color="auto" w:sz="4" w:space="0"/>
            </w:tcBorders>
            <w:shd w:val="clear" w:color="auto" w:fill="BEBEBE" w:themeFill="background1" w:themeFillShade="BF"/>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1</w:t>
            </w:r>
          </w:p>
        </w:tc>
      </w:tr>
      <w:tr>
        <w:tblPrEx>
          <w:tblCellMar>
            <w:top w:w="0" w:type="dxa"/>
            <w:left w:w="0" w:type="dxa"/>
            <w:bottom w:w="0" w:type="dxa"/>
            <w:right w:w="0" w:type="dxa"/>
          </w:tblCellMar>
        </w:tblPrEx>
        <w:trPr>
          <w:trHeight w:val="315" w:hRule="atLeast"/>
          <w:jc w:val="center"/>
        </w:trPr>
        <w:tc>
          <w:tcPr>
            <w:tcW w:w="1265" w:type="dxa"/>
            <w:tcBorders>
              <w:top w:val="single" w:color="000000" w:sz="4" w:space="0"/>
              <w:left w:val="single" w:color="000000" w:sz="8" w:space="0"/>
              <w:bottom w:val="single" w:color="000000" w:sz="4" w:space="0"/>
              <w:right w:val="single" w:color="auto" w:sz="4" w:space="0"/>
            </w:tcBorders>
            <w:shd w:val="clear" w:color="auto" w:fill="auto"/>
            <w:noWrap/>
            <w:tcMar>
              <w:top w:w="15" w:type="dxa"/>
              <w:left w:w="15" w:type="dxa"/>
              <w:right w:w="15" w:type="dxa"/>
            </w:tcMar>
            <w:vAlign w:val="bottom"/>
          </w:tcPr>
          <w:p>
            <w:pPr>
              <w:spacing w:line="240" w:lineRule="auto"/>
              <w:textAlignment w:val="bottom"/>
              <w:rPr>
                <w:rFonts w:hint="default" w:ascii="Calibri" w:hAnsi="Calibri" w:eastAsia="SimSun" w:cs="Calibri"/>
                <w:b/>
                <w:color w:val="000000"/>
                <w:lang w:val="en-GB" w:bidi="ar"/>
              </w:rPr>
            </w:pPr>
            <w:r>
              <w:rPr>
                <w:rFonts w:hint="default" w:ascii="Calibri" w:hAnsi="Calibri" w:eastAsia="SimSun" w:cs="Calibri"/>
                <w:b/>
                <w:color w:val="000000"/>
                <w:lang w:val="en-GB" w:bidi="ar"/>
              </w:rPr>
              <w:t>Examiner 1</w:t>
            </w:r>
          </w:p>
        </w:tc>
        <w:tc>
          <w:tcPr>
            <w:tcW w:w="1288" w:type="dxa"/>
            <w:tcBorders>
              <w:top w:val="nil"/>
              <w:left w:val="single" w:color="auto" w:sz="4" w:space="0"/>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0.112</w:t>
            </w:r>
          </w:p>
        </w:tc>
        <w:tc>
          <w:tcPr>
            <w:tcW w:w="1288" w:type="dxa"/>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0.091</w:t>
            </w:r>
          </w:p>
        </w:tc>
        <w:tc>
          <w:tcPr>
            <w:tcW w:w="1288" w:type="dxa"/>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0.002*</w:t>
            </w:r>
          </w:p>
        </w:tc>
        <w:tc>
          <w:tcPr>
            <w:tcW w:w="1290" w:type="dxa"/>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0.011*</w:t>
            </w:r>
          </w:p>
        </w:tc>
        <w:tc>
          <w:tcPr>
            <w:tcW w:w="1290" w:type="dxa"/>
            <w:tcBorders>
              <w:top w:val="nil"/>
              <w:left w:val="nil"/>
              <w:bottom w:val="nil"/>
              <w:right w:val="single" w:color="auto" w:sz="4" w:space="0"/>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0.011*</w:t>
            </w:r>
          </w:p>
        </w:tc>
      </w:tr>
      <w:tr>
        <w:tblPrEx>
          <w:tblCellMar>
            <w:top w:w="0" w:type="dxa"/>
            <w:left w:w="0" w:type="dxa"/>
            <w:bottom w:w="0" w:type="dxa"/>
            <w:right w:w="0" w:type="dxa"/>
          </w:tblCellMar>
        </w:tblPrEx>
        <w:trPr>
          <w:trHeight w:val="315" w:hRule="atLeast"/>
          <w:jc w:val="center"/>
        </w:trPr>
        <w:tc>
          <w:tcPr>
            <w:tcW w:w="1265" w:type="dxa"/>
            <w:tcBorders>
              <w:top w:val="single" w:color="000000" w:sz="4" w:space="0"/>
              <w:left w:val="single" w:color="000000" w:sz="8" w:space="0"/>
              <w:bottom w:val="single" w:color="000000" w:sz="4" w:space="0"/>
              <w:right w:val="single" w:color="auto" w:sz="4" w:space="0"/>
            </w:tcBorders>
            <w:shd w:val="clear" w:color="auto" w:fill="auto"/>
            <w:noWrap/>
            <w:tcMar>
              <w:top w:w="15" w:type="dxa"/>
              <w:left w:w="15" w:type="dxa"/>
              <w:right w:w="15" w:type="dxa"/>
            </w:tcMar>
            <w:vAlign w:val="bottom"/>
          </w:tcPr>
          <w:p>
            <w:pPr>
              <w:spacing w:line="240" w:lineRule="auto"/>
              <w:textAlignment w:val="bottom"/>
              <w:rPr>
                <w:rFonts w:hint="default" w:ascii="Calibri" w:hAnsi="Calibri" w:eastAsia="SimSun" w:cs="Calibri"/>
                <w:b/>
                <w:color w:val="000000"/>
                <w:lang w:val="en-GB" w:bidi="ar"/>
              </w:rPr>
            </w:pPr>
            <w:r>
              <w:rPr>
                <w:rFonts w:hint="default" w:ascii="Calibri" w:hAnsi="Calibri" w:eastAsia="SimSun" w:cs="Calibri"/>
                <w:b/>
                <w:color w:val="000000"/>
                <w:lang w:val="en-GB" w:bidi="ar"/>
              </w:rPr>
              <w:t>Examiner 2</w:t>
            </w:r>
          </w:p>
        </w:tc>
        <w:tc>
          <w:tcPr>
            <w:tcW w:w="1288" w:type="dxa"/>
            <w:tcBorders>
              <w:top w:val="nil"/>
              <w:left w:val="single" w:color="auto" w:sz="4" w:space="0"/>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0.198</w:t>
            </w:r>
          </w:p>
        </w:tc>
        <w:tc>
          <w:tcPr>
            <w:tcW w:w="1288" w:type="dxa"/>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0.167</w:t>
            </w:r>
          </w:p>
        </w:tc>
        <w:tc>
          <w:tcPr>
            <w:tcW w:w="1288" w:type="dxa"/>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0.005*</w:t>
            </w:r>
          </w:p>
        </w:tc>
        <w:tc>
          <w:tcPr>
            <w:tcW w:w="1290" w:type="dxa"/>
            <w:tcBorders>
              <w:top w:val="nil"/>
              <w:left w:val="nil"/>
              <w:bottom w:val="nil"/>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0.025*</w:t>
            </w:r>
          </w:p>
        </w:tc>
        <w:tc>
          <w:tcPr>
            <w:tcW w:w="1290" w:type="dxa"/>
            <w:tcBorders>
              <w:top w:val="nil"/>
              <w:left w:val="nil"/>
              <w:bottom w:val="nil"/>
              <w:right w:val="single" w:color="auto" w:sz="4" w:space="0"/>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0.025*</w:t>
            </w:r>
          </w:p>
        </w:tc>
      </w:tr>
      <w:tr>
        <w:tblPrEx>
          <w:tblCellMar>
            <w:top w:w="0" w:type="dxa"/>
            <w:left w:w="0" w:type="dxa"/>
            <w:bottom w:w="0" w:type="dxa"/>
            <w:right w:w="0" w:type="dxa"/>
          </w:tblCellMar>
        </w:tblPrEx>
        <w:trPr>
          <w:trHeight w:val="315" w:hRule="atLeast"/>
          <w:jc w:val="center"/>
        </w:trPr>
        <w:tc>
          <w:tcPr>
            <w:tcW w:w="1265" w:type="dxa"/>
            <w:tcBorders>
              <w:top w:val="single" w:color="000000" w:sz="4" w:space="0"/>
              <w:left w:val="single" w:color="000000" w:sz="8" w:space="0"/>
              <w:bottom w:val="single" w:color="000000" w:sz="8" w:space="0"/>
              <w:right w:val="single" w:color="auto" w:sz="4" w:space="0"/>
            </w:tcBorders>
            <w:shd w:val="clear" w:color="auto" w:fill="auto"/>
            <w:noWrap/>
            <w:tcMar>
              <w:top w:w="15" w:type="dxa"/>
              <w:left w:w="15" w:type="dxa"/>
              <w:right w:w="15" w:type="dxa"/>
            </w:tcMar>
            <w:vAlign w:val="bottom"/>
          </w:tcPr>
          <w:p>
            <w:pPr>
              <w:spacing w:line="240" w:lineRule="auto"/>
              <w:textAlignment w:val="bottom"/>
              <w:rPr>
                <w:rFonts w:hint="default" w:ascii="Calibri" w:hAnsi="Calibri" w:eastAsia="SimSun" w:cs="Calibri"/>
                <w:b/>
                <w:color w:val="000000"/>
                <w:lang w:val="en-GB" w:bidi="ar"/>
              </w:rPr>
            </w:pPr>
            <w:r>
              <w:rPr>
                <w:rFonts w:hint="default" w:ascii="Calibri" w:hAnsi="Calibri" w:eastAsia="SimSun" w:cs="Calibri"/>
                <w:b/>
                <w:color w:val="000000"/>
                <w:lang w:val="en-GB" w:bidi="ar"/>
              </w:rPr>
              <w:t>Examiner 3</w:t>
            </w:r>
          </w:p>
        </w:tc>
        <w:tc>
          <w:tcPr>
            <w:tcW w:w="1288" w:type="dxa"/>
            <w:tcBorders>
              <w:top w:val="nil"/>
              <w:left w:val="single" w:color="auto" w:sz="4" w:space="0"/>
              <w:bottom w:val="single" w:color="auto" w:sz="4" w:space="0"/>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0.136</w:t>
            </w:r>
          </w:p>
        </w:tc>
        <w:tc>
          <w:tcPr>
            <w:tcW w:w="1288" w:type="dxa"/>
            <w:tcBorders>
              <w:top w:val="nil"/>
              <w:left w:val="nil"/>
              <w:bottom w:val="single" w:color="auto" w:sz="4" w:space="0"/>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0.112</w:t>
            </w:r>
          </w:p>
        </w:tc>
        <w:tc>
          <w:tcPr>
            <w:tcW w:w="1288" w:type="dxa"/>
            <w:tcBorders>
              <w:top w:val="nil"/>
              <w:left w:val="nil"/>
              <w:bottom w:val="single" w:color="auto" w:sz="4" w:space="0"/>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0.003*</w:t>
            </w:r>
          </w:p>
        </w:tc>
        <w:tc>
          <w:tcPr>
            <w:tcW w:w="1290" w:type="dxa"/>
            <w:tcBorders>
              <w:top w:val="nil"/>
              <w:left w:val="nil"/>
              <w:bottom w:val="single" w:color="auto" w:sz="4" w:space="0"/>
              <w:right w:val="nil"/>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0.015*</w:t>
            </w:r>
          </w:p>
        </w:tc>
        <w:tc>
          <w:tcPr>
            <w:tcW w:w="1290" w:type="dxa"/>
            <w:tcBorders>
              <w:top w:val="nil"/>
              <w:left w:val="nil"/>
              <w:bottom w:val="single" w:color="auto" w:sz="4" w:space="0"/>
              <w:right w:val="single" w:color="auto" w:sz="4" w:space="0"/>
            </w:tcBorders>
            <w:shd w:val="clear" w:color="auto" w:fill="auto"/>
            <w:noWrap/>
            <w:tcMar>
              <w:top w:w="15" w:type="dxa"/>
              <w:left w:w="15" w:type="dxa"/>
              <w:right w:w="15" w:type="dxa"/>
            </w:tcMar>
            <w:vAlign w:val="bottom"/>
          </w:tcPr>
          <w:p>
            <w:pPr>
              <w:spacing w:line="240" w:lineRule="auto"/>
              <w:jc w:val="center"/>
              <w:textAlignment w:val="bottom"/>
              <w:rPr>
                <w:rFonts w:hint="default" w:ascii="Calibri" w:hAnsi="Calibri" w:cs="Calibri"/>
                <w:b w:val="0"/>
                <w:bCs w:val="0"/>
                <w:i w:val="0"/>
                <w:iCs w:val="0"/>
                <w:color w:val="000000"/>
                <w:lang w:val="en-GB"/>
              </w:rPr>
            </w:pPr>
            <w:r>
              <w:rPr>
                <w:rFonts w:hint="default" w:ascii="Calibri" w:hAnsi="Calibri" w:cs="Calibri"/>
                <w:b w:val="0"/>
                <w:bCs w:val="0"/>
                <w:i w:val="0"/>
                <w:iCs w:val="0"/>
                <w:color w:val="000000"/>
                <w:lang w:val="en-GB"/>
              </w:rPr>
              <w:t>0.015*</w:t>
            </w:r>
          </w:p>
        </w:tc>
      </w:tr>
    </w:tbl>
    <w:p>
      <w:pPr>
        <w:spacing w:line="240" w:lineRule="auto"/>
        <w:rPr>
          <w:rFonts w:ascii="Calibri" w:hAnsi="Calibri" w:cs="Calibri"/>
          <w:b/>
          <w:bCs/>
          <w:sz w:val="22"/>
          <w:szCs w:val="22"/>
          <w:lang w:val="en-GB"/>
        </w:rPr>
      </w:pPr>
    </w:p>
    <w:p>
      <w:pPr>
        <w:spacing w:line="240" w:lineRule="auto"/>
        <w:jc w:val="both"/>
        <w:rPr>
          <w:rFonts w:ascii="Calibri" w:hAnsi="Calibri" w:cs="Calibri"/>
          <w:bCs/>
          <w:sz w:val="22"/>
          <w:szCs w:val="22"/>
          <w:lang w:val="en-GB"/>
        </w:rPr>
      </w:pPr>
      <w:r>
        <w:rPr>
          <w:rFonts w:ascii="Calibri" w:hAnsi="Calibri" w:cs="Calibri"/>
          <w:b/>
          <w:bCs/>
          <w:sz w:val="22"/>
          <w:szCs w:val="22"/>
          <w:lang w:val="en-GB"/>
        </w:rPr>
        <w:t>Table 4</w:t>
      </w:r>
      <w:r>
        <w:rPr>
          <w:rFonts w:ascii="Calibri" w:hAnsi="Calibri" w:cs="Calibri"/>
          <w:sz w:val="22"/>
          <w:szCs w:val="22"/>
          <w:lang w:val="en-GB"/>
        </w:rPr>
        <w:t xml:space="preserve">. Results from the post-hoc statistical analysis for the sensitivity assessment, i.e. the </w:t>
      </w:r>
      <w:r>
        <w:rPr>
          <w:rFonts w:ascii="Calibri" w:hAnsi="Calibri" w:cs="Calibri"/>
          <w:iCs/>
          <w:sz w:val="22"/>
          <w:szCs w:val="22"/>
          <w:lang w:val="en-GB"/>
        </w:rPr>
        <w:t>p</w:t>
      </w:r>
      <w:r>
        <w:rPr>
          <w:rFonts w:ascii="Calibri" w:hAnsi="Calibri" w:cs="Calibri"/>
          <w:sz w:val="22"/>
          <w:szCs w:val="22"/>
          <w:lang w:val="en-GB"/>
        </w:rPr>
        <w:t xml:space="preserve"> values generated by Fisher’s exact test (Section 2.5) when comparing the detection rates</w:t>
      </w:r>
      <w:r>
        <w:rPr>
          <w:rStyle w:val="7"/>
          <w:rFonts w:ascii="Calibri" w:hAnsi="Calibri" w:cs="Calibri"/>
          <w:sz w:val="22"/>
          <w:szCs w:val="22"/>
          <w:lang w:val="en-GB"/>
        </w:rPr>
        <w:t xml:space="preserve"> amongst objective detection, and between detection methods and examiners</w:t>
      </w:r>
      <w:r>
        <w:rPr>
          <w:rFonts w:ascii="Calibri" w:hAnsi="Calibri" w:cs="Calibri"/>
          <w:sz w:val="22"/>
          <w:szCs w:val="22"/>
          <w:lang w:val="en-GB"/>
        </w:rPr>
        <w:t xml:space="preserve">. All pair-wise comparisons with significantly (p&lt;0.05) different detection rates are indicated by an </w:t>
      </w:r>
      <w:r>
        <w:rPr>
          <w:rFonts w:ascii="Calibri" w:hAnsi="Calibri" w:eastAsia="SimSun" w:cs="Calibri"/>
          <w:sz w:val="22"/>
          <w:szCs w:val="22"/>
        </w:rPr>
        <w:t>asterisk</w:t>
      </w:r>
      <w:r>
        <w:rPr>
          <w:rFonts w:ascii="Calibri" w:hAnsi="Calibri" w:cs="Calibri"/>
          <w:sz w:val="22"/>
          <w:szCs w:val="22"/>
          <w:lang w:val="en-GB"/>
        </w:rPr>
        <w:t xml:space="preserve">. Results show that </w:t>
      </w:r>
      <w:r>
        <w:rPr>
          <w:rFonts w:ascii="Calibri" w:hAnsi="Calibri" w:eastAsia="SimSun" w:cs="Calibri"/>
          <w:bCs/>
          <w:color w:val="000000"/>
          <w:sz w:val="22"/>
          <w:szCs w:val="22"/>
          <w:lang w:bidi="ar"/>
        </w:rPr>
        <w:t>T</w:t>
      </w:r>
      <w:r>
        <w:rPr>
          <w:rFonts w:ascii="Calibri" w:hAnsi="Calibri" w:eastAsia="SimSun" w:cs="Calibri"/>
          <w:bCs/>
          <w:color w:val="000000"/>
          <w:sz w:val="22"/>
          <w:szCs w:val="22"/>
          <w:vertAlign w:val="superscript"/>
          <w:lang w:bidi="ar"/>
        </w:rPr>
        <w:t>2</w:t>
      </w:r>
      <w:r>
        <w:rPr>
          <w:rFonts w:ascii="Calibri" w:hAnsi="Calibri" w:eastAsia="SimSun" w:cs="Calibri"/>
          <w:bCs/>
          <w:color w:val="000000"/>
          <w:sz w:val="22"/>
          <w:szCs w:val="22"/>
          <w:vertAlign w:val="subscript"/>
          <w:lang w:bidi="ar"/>
        </w:rPr>
        <w:t>Time</w:t>
      </w:r>
      <w:r>
        <w:rPr>
          <w:rFonts w:ascii="Calibri" w:hAnsi="Calibri" w:eastAsia="SimSun" w:cs="Calibri"/>
          <w:bCs/>
          <w:color w:val="000000"/>
          <w:sz w:val="22"/>
          <w:szCs w:val="22"/>
          <w:vertAlign w:val="subscript"/>
          <w:lang w:val="en-GB" w:bidi="ar"/>
        </w:rPr>
        <w:t xml:space="preserve"> </w:t>
      </w:r>
      <w:r>
        <w:rPr>
          <w:rFonts w:ascii="Calibri" w:hAnsi="Calibri" w:eastAsia="SimSun" w:cs="Calibri"/>
          <w:bCs/>
          <w:color w:val="000000"/>
          <w:sz w:val="22"/>
          <w:szCs w:val="22"/>
          <w:lang w:val="en-GB" w:bidi="ar"/>
        </w:rPr>
        <w:t>and</w:t>
      </w:r>
      <w:r>
        <w:rPr>
          <w:rFonts w:ascii="Calibri" w:hAnsi="Calibri" w:cs="Calibri"/>
          <w:bCs/>
          <w:sz w:val="22"/>
          <w:szCs w:val="22"/>
          <w:lang w:val="en-GB"/>
        </w:rPr>
        <w:t xml:space="preserve"> </w:t>
      </w:r>
      <w:r>
        <w:rPr>
          <w:rFonts w:ascii="Calibri" w:hAnsi="Calibri" w:eastAsia="SimSun" w:cs="Calibri"/>
          <w:b w:val="0"/>
          <w:bCs/>
          <w:color w:val="000000"/>
          <w:sz w:val="22"/>
          <w:szCs w:val="22"/>
          <w:lang w:bidi="ar"/>
        </w:rPr>
        <w:t>T</w:t>
      </w:r>
      <w:r>
        <w:rPr>
          <w:rFonts w:ascii="Calibri" w:hAnsi="Calibri" w:eastAsia="SimSun" w:cs="Calibri"/>
          <w:b w:val="0"/>
          <w:bCs/>
          <w:color w:val="000000"/>
          <w:sz w:val="22"/>
          <w:szCs w:val="22"/>
          <w:vertAlign w:val="superscript"/>
          <w:lang w:bidi="ar"/>
        </w:rPr>
        <w:t>2</w:t>
      </w:r>
      <w:r>
        <w:rPr>
          <w:rFonts w:ascii="Calibri" w:hAnsi="Calibri" w:eastAsia="SimSun" w:cs="Calibri"/>
          <w:b w:val="0"/>
          <w:bCs/>
          <w:color w:val="000000"/>
          <w:sz w:val="22"/>
          <w:szCs w:val="22"/>
          <w:vertAlign w:val="subscript"/>
          <w:lang w:bidi="ar"/>
        </w:rPr>
        <w:t>Freq</w:t>
      </w:r>
      <w:r>
        <w:rPr>
          <w:rFonts w:ascii="Calibri" w:hAnsi="Calibri" w:eastAsia="SimSun" w:cs="Calibri"/>
          <w:bCs/>
          <w:color w:val="000000"/>
          <w:sz w:val="22"/>
          <w:szCs w:val="22"/>
          <w:lang w:val="en-GB" w:bidi="ar"/>
        </w:rPr>
        <w:t xml:space="preserve"> </w:t>
      </w:r>
      <w:r>
        <w:rPr>
          <w:rFonts w:ascii="Calibri" w:hAnsi="Calibri" w:cs="Calibri"/>
          <w:bCs/>
          <w:sz w:val="22"/>
          <w:szCs w:val="22"/>
          <w:lang w:val="en-GB"/>
        </w:rPr>
        <w:t xml:space="preserve">were significantly outperformed by </w:t>
      </w:r>
      <w:r>
        <w:rPr>
          <w:rFonts w:ascii="Calibri" w:hAnsi="Calibri" w:eastAsia="SimSun" w:cs="Calibri"/>
          <w:bCs/>
          <w:color w:val="000000"/>
          <w:sz w:val="22"/>
          <w:szCs w:val="22"/>
          <w:lang w:val="en-GB" w:bidi="ar"/>
        </w:rPr>
        <w:t>T</w:t>
      </w:r>
      <w:r>
        <w:rPr>
          <w:rFonts w:ascii="Calibri" w:hAnsi="Calibri" w:eastAsia="SimSun" w:cs="Calibri"/>
          <w:bCs/>
          <w:color w:val="000000"/>
          <w:sz w:val="22"/>
          <w:szCs w:val="22"/>
          <w:vertAlign w:val="superscript"/>
          <w:lang w:val="en-GB" w:bidi="ar"/>
        </w:rPr>
        <w:t>2</w:t>
      </w:r>
      <w:r>
        <w:rPr>
          <w:rFonts w:ascii="Calibri" w:hAnsi="Calibri" w:eastAsia="SimSun" w:cs="Calibri"/>
          <w:bCs/>
          <w:color w:val="000000"/>
          <w:sz w:val="22"/>
          <w:szCs w:val="22"/>
          <w:vertAlign w:val="subscript"/>
          <w:lang w:val="en-GB" w:bidi="ar"/>
        </w:rPr>
        <w:t xml:space="preserve">Toep, </w:t>
      </w:r>
      <w:r>
        <w:rPr>
          <w:rFonts w:ascii="Calibri" w:hAnsi="Calibri" w:eastAsia="SimSun" w:cs="Calibri"/>
          <w:bCs/>
          <w:color w:val="000000"/>
          <w:sz w:val="22"/>
          <w:szCs w:val="22"/>
          <w:lang w:bidi="ar"/>
        </w:rPr>
        <w:t>T</w:t>
      </w:r>
      <w:r>
        <w:rPr>
          <w:rFonts w:ascii="Calibri" w:hAnsi="Calibri" w:eastAsia="SimSun" w:cs="Calibri"/>
          <w:bCs/>
          <w:color w:val="000000"/>
          <w:sz w:val="22"/>
          <w:szCs w:val="22"/>
          <w:vertAlign w:val="superscript"/>
          <w:lang w:bidi="ar"/>
        </w:rPr>
        <w:t>2</w:t>
      </w:r>
      <w:r>
        <w:rPr>
          <w:rFonts w:ascii="Calibri" w:hAnsi="Calibri" w:eastAsia="SimSun" w:cs="Calibri"/>
          <w:bCs/>
          <w:color w:val="000000"/>
          <w:sz w:val="22"/>
          <w:szCs w:val="22"/>
          <w:vertAlign w:val="subscript"/>
          <w:lang w:val="en-GB" w:bidi="ar"/>
        </w:rPr>
        <w:t>Diag</w:t>
      </w:r>
      <w:r>
        <w:rPr>
          <w:rFonts w:ascii="Calibri" w:hAnsi="Calibri" w:eastAsia="SimSun" w:cs="Calibri"/>
          <w:bCs/>
          <w:color w:val="000000"/>
          <w:sz w:val="22"/>
          <w:szCs w:val="22"/>
          <w:lang w:val="en-GB" w:bidi="ar"/>
        </w:rPr>
        <w:t xml:space="preserve">, and QMod V3, primarily at </w:t>
      </w:r>
      <w:r>
        <w:rPr>
          <w:rFonts w:ascii="Calibri" w:hAnsi="Calibri" w:eastAsia="SimSun" w:cs="Calibri"/>
          <w:bCs/>
          <w:i/>
          <w:iCs/>
          <w:color w:val="000000"/>
          <w:sz w:val="22"/>
          <w:szCs w:val="22"/>
          <w:lang w:val="en-GB" w:bidi="ar"/>
        </w:rPr>
        <w:t>N</w:t>
      </w:r>
      <w:r>
        <w:rPr>
          <w:rFonts w:ascii="Calibri" w:hAnsi="Calibri" w:eastAsia="SimSun" w:cs="Calibri"/>
          <w:bCs/>
          <w:color w:val="000000"/>
          <w:sz w:val="22"/>
          <w:szCs w:val="22"/>
          <w:lang w:val="en-GB" w:bidi="ar"/>
        </w:rPr>
        <w:t xml:space="preserve">=20 and </w:t>
      </w:r>
      <w:r>
        <w:rPr>
          <w:rFonts w:hint="default" w:ascii="Calibri" w:hAnsi="Calibri" w:eastAsia="SimSun" w:cs="Calibri"/>
          <w:bCs/>
          <w:i/>
          <w:iCs/>
          <w:color w:val="000000"/>
          <w:sz w:val="22"/>
          <w:szCs w:val="22"/>
          <w:lang w:val="en-GB" w:bidi="ar"/>
        </w:rPr>
        <w:t>N</w:t>
      </w:r>
      <w:r>
        <w:rPr>
          <w:rFonts w:hint="default" w:ascii="Calibri" w:hAnsi="Calibri" w:eastAsia="SimSun" w:cs="Calibri"/>
          <w:bCs/>
          <w:color w:val="000000"/>
          <w:sz w:val="22"/>
          <w:szCs w:val="22"/>
          <w:lang w:val="en-GB" w:bidi="ar"/>
        </w:rPr>
        <w:t>=</w:t>
      </w:r>
      <w:r>
        <w:rPr>
          <w:rFonts w:ascii="Calibri" w:hAnsi="Calibri" w:eastAsia="SimSun" w:cs="Calibri"/>
          <w:bCs/>
          <w:color w:val="000000"/>
          <w:sz w:val="22"/>
          <w:szCs w:val="22"/>
          <w:lang w:val="en-GB" w:bidi="ar"/>
        </w:rPr>
        <w:t>40. T</w:t>
      </w:r>
      <w:r>
        <w:rPr>
          <w:rFonts w:ascii="Calibri" w:hAnsi="Calibri" w:cs="Calibri"/>
          <w:sz w:val="22"/>
          <w:szCs w:val="22"/>
          <w:lang w:val="en-GB"/>
        </w:rPr>
        <w:t xml:space="preserve">he (b) indicates that test significance was evaluated using the frequency domain bootstrap. </w:t>
      </w:r>
    </w:p>
    <w:p>
      <w:pPr>
        <w:spacing w:line="240" w:lineRule="auto"/>
        <w:jc w:val="both"/>
        <w:rPr>
          <w:rFonts w:ascii="Calibri" w:hAnsi="Calibri" w:cs="Calibri"/>
          <w:sz w:val="22"/>
          <w:szCs w:val="22"/>
          <w:lang w:val="en-GB"/>
        </w:rPr>
      </w:pPr>
    </w:p>
    <w:p>
      <w:pPr>
        <w:spacing w:line="240" w:lineRule="auto"/>
        <w:rPr>
          <w:rFonts w:ascii="Calibri" w:hAnsi="Calibri" w:cs="Calibri"/>
          <w:b/>
          <w:bCs/>
          <w:sz w:val="22"/>
          <w:szCs w:val="22"/>
          <w:lang w:val="en-GB"/>
        </w:rPr>
      </w:pPr>
      <w:r>
        <w:rPr>
          <w:rFonts w:ascii="Calibri" w:hAnsi="Calibri" w:cs="Calibri"/>
          <w:b/>
          <w:bCs/>
          <w:sz w:val="22"/>
          <w:szCs w:val="22"/>
          <w:lang w:val="en-GB"/>
        </w:rPr>
        <w:t>3.4. Test reliability</w:t>
      </w:r>
    </w:p>
    <w:p>
      <w:pPr>
        <w:spacing w:line="240" w:lineRule="auto"/>
        <w:jc w:val="both"/>
        <w:rPr>
          <w:rFonts w:ascii="Calibri" w:hAnsi="Calibri" w:cs="Calibri"/>
          <w:sz w:val="22"/>
          <w:szCs w:val="22"/>
          <w:lang w:val="en-GB"/>
        </w:rPr>
      </w:pPr>
      <w:r>
        <w:rPr>
          <w:rFonts w:ascii="Calibri" w:hAnsi="Calibri" w:cs="Calibri"/>
          <w:sz w:val="22"/>
          <w:szCs w:val="22"/>
          <w:lang w:val="en-GB"/>
        </w:rPr>
        <w:t>Results from the reliability assessment are presented in Table 5, and show Cohen’s kappa values for the intra- and inter-test reliability assessments.</w:t>
      </w:r>
      <w:r>
        <w:rPr>
          <w:rFonts w:hint="default" w:ascii="Calibri" w:hAnsi="Calibri" w:cs="Calibri"/>
          <w:sz w:val="22"/>
          <w:szCs w:val="22"/>
          <w:u w:val="single"/>
          <w:lang w:val="en-GB"/>
        </w:rPr>
        <w:t xml:space="preserve"> </w:t>
      </w:r>
      <w:r>
        <w:rPr>
          <w:rFonts w:ascii="Calibri" w:hAnsi="Calibri" w:cs="Calibri"/>
          <w:sz w:val="22"/>
          <w:szCs w:val="22"/>
          <w:u w:val="single"/>
          <w:lang w:val="en-GB"/>
        </w:rPr>
        <w:t>For the intra-test reliability assessment</w:t>
      </w:r>
      <w:r>
        <w:rPr>
          <w:rFonts w:ascii="Calibri" w:hAnsi="Calibri" w:cs="Calibri"/>
          <w:sz w:val="22"/>
          <w:szCs w:val="22"/>
          <w:lang w:val="en-GB"/>
        </w:rPr>
        <w:t xml:space="preserve"> (i.e. test-retest reliability), </w:t>
      </w:r>
      <m:oMath>
        <m:r>
          <m:rPr>
            <m:sty m:val="p"/>
          </m:rPr>
          <w:rPr>
            <w:rFonts w:ascii="Cambria Math" w:hAnsi="Cambria Math" w:cs="Calibri"/>
            <w:sz w:val="22"/>
            <w:szCs w:val="22"/>
            <w:lang w:val="en-GB" w:eastAsia="en-US"/>
          </w:rPr>
          <m:t>κ</m:t>
        </m:r>
      </m:oMath>
      <w:r>
        <w:rPr>
          <w:rFonts w:ascii="Times New Roman" w:hAnsi="Cambria Math" w:cs="Calibri"/>
          <w:sz w:val="22"/>
          <w:szCs w:val="22"/>
          <w:lang w:val="en-GB" w:eastAsia="en-US"/>
        </w:rPr>
        <w:t xml:space="preserve"> </w:t>
      </w:r>
      <w:r>
        <w:rPr>
          <w:rFonts w:ascii="Calibri" w:hAnsi="Calibri" w:cs="Calibri"/>
          <w:sz w:val="22"/>
          <w:szCs w:val="22"/>
          <w:lang w:val="en-GB"/>
        </w:rPr>
        <w:t>values ranged from just 0.16 for Examiner 1, up to 0.49 for T</w:t>
      </w:r>
      <w:r>
        <w:rPr>
          <w:rFonts w:ascii="Calibri" w:hAnsi="Calibri" w:cs="Calibri"/>
          <w:sz w:val="22"/>
          <w:szCs w:val="22"/>
          <w:vertAlign w:val="superscript"/>
          <w:lang w:val="en-GB"/>
        </w:rPr>
        <w:t>2</w:t>
      </w:r>
      <w:r>
        <w:rPr>
          <w:rFonts w:ascii="Calibri" w:hAnsi="Calibri" w:cs="Calibri"/>
          <w:sz w:val="22"/>
          <w:szCs w:val="22"/>
          <w:vertAlign w:val="subscript"/>
          <w:lang w:val="en-GB"/>
        </w:rPr>
        <w:t>Time</w:t>
      </w:r>
      <w:r>
        <w:rPr>
          <w:rFonts w:ascii="Calibri" w:hAnsi="Calibri" w:cs="Calibri"/>
          <w:sz w:val="22"/>
          <w:szCs w:val="22"/>
          <w:lang w:val="en-GB"/>
        </w:rPr>
        <w:t xml:space="preserve">. This suggests that the test outcome from session one was a relatively poor predictor for the test outcome for session two. </w:t>
      </w:r>
      <w:r>
        <w:rPr>
          <w:rFonts w:ascii="Calibri" w:hAnsi="Calibri" w:cs="Calibri"/>
          <w:sz w:val="22"/>
          <w:szCs w:val="22"/>
          <w:lang w:val="en-GB" w:eastAsia="en-US"/>
        </w:rPr>
        <w:t xml:space="preserve">The </w:t>
      </w:r>
      <w:r>
        <w:rPr>
          <w:rFonts w:ascii="Calibri" w:hAnsi="Calibri" w:cs="Calibri"/>
          <w:sz w:val="22"/>
          <w:szCs w:val="22"/>
          <w:lang w:val="en-GB"/>
        </w:rPr>
        <w:t xml:space="preserve">95% confidence intervals ranged from </w:t>
      </w:r>
      <m:oMath>
        <m:r>
          <m:rPr>
            <m:sty m:val="p"/>
          </m:rPr>
          <w:rPr>
            <w:rFonts w:ascii="Cambria Math" w:hAnsi="Cambria Math" w:cs="Calibri"/>
            <w:sz w:val="22"/>
            <w:szCs w:val="22"/>
            <w:lang w:val="en-GB" w:eastAsia="en-US"/>
          </w:rPr>
          <m:t>κ</m:t>
        </m:r>
      </m:oMath>
      <w:r>
        <w:rPr>
          <w:rFonts w:ascii="Times New Roman" w:hAnsi="Cambria Math" w:cs="Calibri"/>
          <w:sz w:val="22"/>
          <w:szCs w:val="22"/>
          <w:lang w:val="en-GB" w:eastAsia="en-US"/>
        </w:rPr>
        <w:t xml:space="preserve"> </w:t>
      </w:r>
      <w:r>
        <w:rPr>
          <w:rFonts w:ascii="Calibri" w:hAnsi="Calibri"/>
          <w:sz w:val="22"/>
          <w:szCs w:val="22"/>
          <w:lang w:val="en-GB"/>
        </w:rPr>
        <w:t xml:space="preserve">± ~0.16 to </w:t>
      </w:r>
      <m:oMath>
        <m:r>
          <m:rPr>
            <m:sty m:val="p"/>
          </m:rPr>
          <w:rPr>
            <w:rFonts w:ascii="Cambria Math" w:hAnsi="Cambria Math" w:cs="Calibri"/>
            <w:sz w:val="22"/>
            <w:szCs w:val="22"/>
            <w:lang w:val="en-GB" w:eastAsia="en-US"/>
          </w:rPr>
          <m:t>κ</m:t>
        </m:r>
      </m:oMath>
      <w:r>
        <w:rPr>
          <w:rFonts w:ascii="Times New Roman" w:hAnsi="Cambria Math" w:cs="Calibri"/>
          <w:sz w:val="22"/>
          <w:szCs w:val="22"/>
          <w:lang w:val="en-GB" w:eastAsia="en-US"/>
        </w:rPr>
        <w:t xml:space="preserve"> </w:t>
      </w:r>
      <w:r>
        <w:rPr>
          <w:rFonts w:ascii="Calibri" w:hAnsi="Calibri"/>
          <w:sz w:val="22"/>
          <w:szCs w:val="22"/>
          <w:lang w:val="en-GB"/>
        </w:rPr>
        <w:t xml:space="preserve">± ~0.21, and suggest a significantly (p&lt;0.05) lower intra-test reliability for Examiner 1 relative to </w:t>
      </w:r>
      <w:r>
        <w:rPr>
          <w:rFonts w:ascii="Calibri" w:hAnsi="Calibri" w:cs="Calibri"/>
          <w:sz w:val="22"/>
          <w:szCs w:val="22"/>
          <w:lang w:val="en-GB"/>
        </w:rPr>
        <w:t>T</w:t>
      </w:r>
      <w:r>
        <w:rPr>
          <w:rFonts w:ascii="Calibri" w:hAnsi="Calibri" w:cs="Calibri"/>
          <w:sz w:val="22"/>
          <w:szCs w:val="22"/>
          <w:vertAlign w:val="superscript"/>
          <w:lang w:val="en-GB"/>
        </w:rPr>
        <w:t>2</w:t>
      </w:r>
      <w:r>
        <w:rPr>
          <w:rFonts w:ascii="Calibri" w:hAnsi="Calibri" w:cs="Calibri"/>
          <w:sz w:val="22"/>
          <w:szCs w:val="22"/>
          <w:vertAlign w:val="subscript"/>
          <w:lang w:val="en-GB"/>
        </w:rPr>
        <w:t>Time</w:t>
      </w:r>
      <w:r>
        <w:rPr>
          <w:rFonts w:ascii="Calibri" w:hAnsi="Calibri" w:cs="Calibri"/>
          <w:sz w:val="22"/>
          <w:szCs w:val="22"/>
          <w:lang w:val="en-GB"/>
        </w:rPr>
        <w:t>, T</w:t>
      </w:r>
      <w:r>
        <w:rPr>
          <w:rFonts w:ascii="Calibri" w:hAnsi="Calibri" w:cs="Calibri"/>
          <w:sz w:val="22"/>
          <w:szCs w:val="22"/>
          <w:vertAlign w:val="superscript"/>
          <w:lang w:val="en-GB"/>
        </w:rPr>
        <w:t>2</w:t>
      </w:r>
      <w:r>
        <w:rPr>
          <w:rFonts w:ascii="Calibri" w:hAnsi="Calibri" w:cs="Calibri"/>
          <w:sz w:val="22"/>
          <w:szCs w:val="22"/>
          <w:vertAlign w:val="subscript"/>
          <w:lang w:val="en-GB"/>
        </w:rPr>
        <w:t>Freq</w:t>
      </w:r>
      <w:r>
        <w:rPr>
          <w:rFonts w:ascii="Calibri" w:hAnsi="Calibri" w:cs="Calibri"/>
          <w:sz w:val="22"/>
          <w:szCs w:val="22"/>
          <w:lang w:val="en-GB"/>
        </w:rPr>
        <w:t>, T</w:t>
      </w:r>
      <w:r>
        <w:rPr>
          <w:rFonts w:ascii="Calibri" w:hAnsi="Calibri" w:cs="Calibri"/>
          <w:sz w:val="22"/>
          <w:szCs w:val="22"/>
          <w:vertAlign w:val="superscript"/>
          <w:lang w:val="en-GB"/>
        </w:rPr>
        <w:t>2</w:t>
      </w:r>
      <w:r>
        <w:rPr>
          <w:rFonts w:ascii="Calibri" w:hAnsi="Calibri" w:cs="Calibri"/>
          <w:sz w:val="22"/>
          <w:szCs w:val="22"/>
          <w:vertAlign w:val="subscript"/>
          <w:lang w:val="en-GB"/>
        </w:rPr>
        <w:t>Diag</w:t>
      </w:r>
      <w:r>
        <w:rPr>
          <w:rFonts w:ascii="Calibri" w:hAnsi="Calibri" w:cs="Calibri"/>
          <w:sz w:val="22"/>
          <w:szCs w:val="22"/>
          <w:lang w:val="en-GB"/>
        </w:rPr>
        <w:t>, and T</w:t>
      </w:r>
      <w:r>
        <w:rPr>
          <w:rFonts w:ascii="Calibri" w:hAnsi="Calibri" w:cs="Calibri"/>
          <w:sz w:val="22"/>
          <w:szCs w:val="22"/>
          <w:vertAlign w:val="superscript"/>
          <w:lang w:val="en-GB"/>
        </w:rPr>
        <w:t>2</w:t>
      </w:r>
      <w:r>
        <w:rPr>
          <w:rFonts w:ascii="Calibri" w:hAnsi="Calibri" w:cs="Calibri"/>
          <w:sz w:val="22"/>
          <w:szCs w:val="22"/>
          <w:vertAlign w:val="subscript"/>
          <w:lang w:val="en-GB"/>
        </w:rPr>
        <w:t xml:space="preserve">Toep. </w:t>
      </w:r>
      <w:r>
        <w:rPr>
          <w:rFonts w:ascii="Calibri" w:hAnsi="Calibri" w:cs="Calibri"/>
          <w:sz w:val="22"/>
          <w:szCs w:val="22"/>
          <w:u w:val="single"/>
          <w:lang w:val="en-GB"/>
        </w:rPr>
        <w:t>For the inter-test reliability assessment</w:t>
      </w:r>
      <w:r>
        <w:rPr>
          <w:rFonts w:ascii="Calibri" w:hAnsi="Calibri" w:cs="Calibri"/>
          <w:sz w:val="22"/>
          <w:szCs w:val="22"/>
          <w:lang w:val="en-GB"/>
        </w:rPr>
        <w:t xml:space="preserve">, </w:t>
      </w:r>
      <m:oMath>
        <m:r>
          <m:rPr>
            <m:sty m:val="p"/>
          </m:rPr>
          <w:rPr>
            <w:rFonts w:ascii="Cambria Math" w:hAnsi="Cambria Math" w:cs="Calibri"/>
            <w:sz w:val="22"/>
            <w:szCs w:val="22"/>
            <w:lang w:val="en-GB" w:eastAsia="en-US"/>
          </w:rPr>
          <m:t>κ</m:t>
        </m:r>
      </m:oMath>
      <w:r>
        <w:rPr>
          <w:rFonts w:ascii="Calibri" w:hAnsi="Calibri" w:cs="Calibri"/>
          <w:sz w:val="22"/>
          <w:szCs w:val="22"/>
          <w:lang w:val="en-GB" w:eastAsia="en-US"/>
        </w:rPr>
        <w:t xml:space="preserve"> </w:t>
      </w:r>
      <w:r>
        <w:rPr>
          <w:rFonts w:ascii="Calibri" w:hAnsi="Calibri" w:cs="Calibri"/>
          <w:sz w:val="22"/>
          <w:szCs w:val="22"/>
          <w:lang w:val="en-GB"/>
        </w:rPr>
        <w:t xml:space="preserve">values ranged from 0.48 to 0.9. Results </w:t>
      </w:r>
      <w:r>
        <w:rPr>
          <w:rFonts w:hint="default" w:ascii="Calibri" w:hAnsi="Calibri" w:cs="Calibri"/>
          <w:sz w:val="22"/>
          <w:szCs w:val="22"/>
          <w:lang w:val="en-GB"/>
        </w:rPr>
        <w:t xml:space="preserve">also </w:t>
      </w:r>
      <w:r>
        <w:rPr>
          <w:rFonts w:ascii="Calibri" w:hAnsi="Calibri" w:cs="Calibri"/>
          <w:sz w:val="22"/>
          <w:szCs w:val="22"/>
          <w:lang w:val="en-GB"/>
        </w:rPr>
        <w:t xml:space="preserve">suggest that agreement amongst examiners was generally lower than agreement amongst detection methods, i.e. </w:t>
      </w:r>
      <m:oMath>
        <m:r>
          <m:rPr>
            <m:sty m:val="p"/>
          </m:rPr>
          <w:rPr>
            <w:rFonts w:ascii="Cambria Math" w:hAnsi="Cambria Math" w:cs="Calibri"/>
            <w:sz w:val="22"/>
            <w:szCs w:val="22"/>
            <w:lang w:val="en-GB" w:eastAsia="en-US"/>
          </w:rPr>
          <m:t>κ</m:t>
        </m:r>
      </m:oMath>
      <w:r>
        <w:rPr>
          <w:rFonts w:ascii="Times New Roman" w:hAnsi="Cambria Math" w:cs="Calibri"/>
          <w:sz w:val="22"/>
          <w:szCs w:val="22"/>
          <w:lang w:val="en-GB" w:eastAsia="en-US"/>
        </w:rPr>
        <w:t xml:space="preserve"> </w:t>
      </w:r>
      <w:r>
        <w:rPr>
          <w:rFonts w:ascii="Calibri" w:hAnsi="Calibri" w:cs="Calibri"/>
          <w:sz w:val="22"/>
          <w:szCs w:val="22"/>
          <w:lang w:val="en-GB"/>
        </w:rPr>
        <w:t xml:space="preserve">values </w:t>
      </w:r>
      <w:r>
        <w:rPr>
          <w:rFonts w:hint="default" w:ascii="Calibri" w:hAnsi="Calibri" w:cs="Calibri"/>
          <w:sz w:val="22"/>
          <w:szCs w:val="22"/>
          <w:lang w:val="en-GB"/>
        </w:rPr>
        <w:t xml:space="preserve">for the examiners </w:t>
      </w:r>
      <w:r>
        <w:rPr>
          <w:rFonts w:ascii="Calibri" w:hAnsi="Calibri" w:cs="Calibri"/>
          <w:sz w:val="22"/>
          <w:szCs w:val="22"/>
          <w:lang w:val="en-GB"/>
        </w:rPr>
        <w:t>ranged from 0.65 to 0.71</w:t>
      </w:r>
      <w:r>
        <w:rPr>
          <w:rFonts w:hint="default" w:ascii="Calibri" w:hAnsi="Calibri" w:cs="Calibri"/>
          <w:sz w:val="22"/>
          <w:szCs w:val="22"/>
          <w:lang w:val="en-GB"/>
        </w:rPr>
        <w:t xml:space="preserve">, whereas for the detection methods </w:t>
      </w:r>
      <m:oMath>
        <m:r>
          <m:rPr>
            <m:sty m:val="p"/>
          </m:rPr>
          <w:rPr>
            <w:rFonts w:ascii="Cambria Math" w:hAnsi="Cambria Math" w:cs="Calibri"/>
            <w:sz w:val="22"/>
            <w:szCs w:val="22"/>
            <w:lang w:val="en-GB" w:eastAsia="en-US"/>
          </w:rPr>
          <m:t>κ</m:t>
        </m:r>
      </m:oMath>
      <w:r>
        <w:rPr>
          <w:rFonts w:ascii="Times New Roman" w:hAnsi="Cambria Math" w:cs="Calibri"/>
          <w:sz w:val="22"/>
          <w:szCs w:val="22"/>
          <w:lang w:val="en-GB" w:eastAsia="en-US"/>
        </w:rPr>
        <w:t xml:space="preserve"> </w:t>
      </w:r>
      <w:r>
        <w:rPr>
          <w:rFonts w:ascii="Calibri" w:hAnsi="Calibri" w:cs="Calibri"/>
          <w:sz w:val="22"/>
          <w:szCs w:val="22"/>
          <w:lang w:val="en-GB"/>
        </w:rPr>
        <w:t xml:space="preserve">values </w:t>
      </w:r>
      <w:r>
        <w:rPr>
          <w:rFonts w:hint="default" w:ascii="Calibri" w:hAnsi="Calibri" w:cs="Calibri"/>
          <w:sz w:val="22"/>
          <w:szCs w:val="22"/>
          <w:lang w:val="en-GB"/>
        </w:rPr>
        <w:t xml:space="preserve">ranged </w:t>
      </w:r>
      <w:r>
        <w:rPr>
          <w:rFonts w:ascii="Calibri" w:hAnsi="Calibri" w:cs="Calibri"/>
          <w:sz w:val="22"/>
          <w:szCs w:val="22"/>
          <w:lang w:val="en-GB"/>
        </w:rPr>
        <w:t xml:space="preserve">from 0.72 to 0.9. The lowest </w:t>
      </w:r>
      <m:oMath>
        <m:r>
          <m:rPr>
            <m:sty m:val="p"/>
          </m:rPr>
          <w:rPr>
            <w:rFonts w:ascii="Cambria Math" w:hAnsi="Cambria Math" w:cs="Calibri"/>
            <w:sz w:val="22"/>
            <w:szCs w:val="22"/>
            <w:lang w:val="en-GB" w:eastAsia="en-US"/>
          </w:rPr>
          <m:t>κ</m:t>
        </m:r>
      </m:oMath>
      <w:r>
        <w:rPr>
          <w:rFonts w:ascii="Times New Roman" w:hAnsi="Cambria Math" w:cs="Calibri"/>
          <w:sz w:val="22"/>
          <w:szCs w:val="22"/>
          <w:lang w:val="en-GB" w:eastAsia="en-US"/>
        </w:rPr>
        <w:t xml:space="preserve"> </w:t>
      </w:r>
      <w:r>
        <w:rPr>
          <w:rFonts w:ascii="Calibri" w:hAnsi="Calibri" w:cs="Calibri"/>
          <w:sz w:val="22"/>
          <w:szCs w:val="22"/>
          <w:lang w:val="en-GB"/>
        </w:rPr>
        <w:t xml:space="preserve">values, however, were observed when considering the amount of agreement between detection methods and examiners: </w:t>
      </w:r>
      <m:oMath>
        <m:r>
          <m:rPr>
            <m:sty m:val="p"/>
          </m:rPr>
          <w:rPr>
            <w:rFonts w:ascii="Cambria Math" w:hAnsi="Cambria Math" w:cs="Calibri"/>
            <w:sz w:val="22"/>
            <w:szCs w:val="22"/>
            <w:lang w:val="en-GB" w:eastAsia="en-US"/>
          </w:rPr>
          <m:t>κ</m:t>
        </m:r>
      </m:oMath>
      <w:r>
        <w:rPr>
          <w:rFonts w:ascii="Times New Roman" w:hAnsi="Cambria Math" w:cs="Calibri"/>
          <w:sz w:val="22"/>
          <w:szCs w:val="22"/>
          <w:lang w:val="en-GB" w:eastAsia="en-US"/>
        </w:rPr>
        <w:t xml:space="preserve"> </w:t>
      </w:r>
      <w:r>
        <w:rPr>
          <w:rFonts w:ascii="Calibri" w:hAnsi="Calibri" w:cs="Calibri"/>
          <w:sz w:val="22"/>
          <w:szCs w:val="22"/>
          <w:lang w:val="en-GB"/>
        </w:rPr>
        <w:t>values now ranged from 0.48 to 0.64</w:t>
      </w:r>
      <w:r>
        <w:rPr>
          <w:rFonts w:hint="default" w:ascii="Calibri" w:hAnsi="Calibri" w:cs="Calibri"/>
          <w:sz w:val="22"/>
          <w:szCs w:val="22"/>
          <w:lang w:val="en-GB"/>
        </w:rPr>
        <w:t xml:space="preserve"> (see also the Discussion)</w:t>
      </w:r>
      <w:r>
        <w:rPr>
          <w:rFonts w:ascii="Calibri" w:hAnsi="Calibri" w:cs="Calibri"/>
          <w:sz w:val="22"/>
          <w:szCs w:val="22"/>
          <w:lang w:val="en-GB"/>
        </w:rPr>
        <w:t xml:space="preserve">. For all </w:t>
      </w:r>
      <m:oMath>
        <m:r>
          <m:rPr>
            <m:sty m:val="p"/>
          </m:rPr>
          <w:rPr>
            <w:rFonts w:ascii="Cambria Math" w:hAnsi="Cambria Math" w:cs="Calibri"/>
            <w:sz w:val="22"/>
            <w:szCs w:val="22"/>
            <w:lang w:val="en-GB" w:eastAsia="en-US"/>
          </w:rPr>
          <m:t>κ</m:t>
        </m:r>
      </m:oMath>
      <w:r>
        <w:rPr>
          <w:rFonts w:ascii="Calibri" w:hAnsi="Calibri" w:cs="Calibri"/>
          <w:sz w:val="22"/>
          <w:szCs w:val="22"/>
          <w:lang w:val="en-GB" w:eastAsia="en-US"/>
        </w:rPr>
        <w:t xml:space="preserve"> values, the 99% confidence intervals </w:t>
      </w:r>
      <w:r>
        <w:rPr>
          <w:rFonts w:ascii="Calibri" w:hAnsi="Calibri" w:cs="Calibri"/>
          <w:sz w:val="22"/>
          <w:szCs w:val="22"/>
          <w:lang w:val="en-GB"/>
        </w:rPr>
        <w:t xml:space="preserve">ranged from </w:t>
      </w:r>
      <m:oMath>
        <m:r>
          <m:rPr>
            <m:sty m:val="p"/>
          </m:rPr>
          <w:rPr>
            <w:rFonts w:ascii="Cambria Math" w:hAnsi="Cambria Math" w:cs="Calibri"/>
            <w:sz w:val="22"/>
            <w:szCs w:val="22"/>
            <w:lang w:val="en-GB" w:eastAsia="en-US"/>
          </w:rPr>
          <m:t>κ</m:t>
        </m:r>
      </m:oMath>
      <w:r>
        <w:rPr>
          <w:rFonts w:ascii="Times New Roman" w:hAnsi="Cambria Math" w:cs="Calibri"/>
          <w:sz w:val="22"/>
          <w:szCs w:val="22"/>
          <w:lang w:val="en-GB" w:eastAsia="en-US"/>
        </w:rPr>
        <w:t xml:space="preserve"> </w:t>
      </w:r>
      <w:r>
        <w:rPr>
          <w:rFonts w:ascii="Calibri" w:hAnsi="Calibri"/>
          <w:sz w:val="22"/>
          <w:szCs w:val="22"/>
          <w:lang w:val="en-GB"/>
        </w:rPr>
        <w:t xml:space="preserve">± ~0.06 to </w:t>
      </w:r>
      <m:oMath>
        <m:r>
          <m:rPr>
            <m:sty m:val="p"/>
          </m:rPr>
          <w:rPr>
            <w:rFonts w:ascii="Cambria Math" w:hAnsi="Cambria Math" w:cs="Calibri"/>
            <w:sz w:val="22"/>
            <w:szCs w:val="22"/>
            <w:lang w:val="en-GB" w:eastAsia="en-US"/>
          </w:rPr>
          <m:t>κ</m:t>
        </m:r>
      </m:oMath>
      <w:r>
        <w:rPr>
          <w:rFonts w:ascii="Times New Roman" w:hAnsi="Cambria Math" w:cs="Calibri"/>
          <w:sz w:val="22"/>
          <w:szCs w:val="22"/>
          <w:lang w:val="en-GB" w:eastAsia="en-US"/>
        </w:rPr>
        <w:t xml:space="preserve"> </w:t>
      </w:r>
      <w:r>
        <w:rPr>
          <w:rFonts w:ascii="Calibri" w:hAnsi="Calibri"/>
          <w:sz w:val="22"/>
          <w:szCs w:val="22"/>
          <w:lang w:val="en-GB"/>
        </w:rPr>
        <w:t xml:space="preserve">± ~0.12, thus </w:t>
      </w:r>
      <w:r>
        <w:rPr>
          <w:rFonts w:hint="default" w:ascii="Calibri" w:hAnsi="Calibri"/>
          <w:sz w:val="22"/>
          <w:szCs w:val="22"/>
          <w:lang w:val="en-GB"/>
        </w:rPr>
        <w:t xml:space="preserve">indicating </w:t>
      </w:r>
      <w:r>
        <w:rPr>
          <w:rFonts w:ascii="Calibri" w:hAnsi="Calibri"/>
          <w:sz w:val="22"/>
          <w:szCs w:val="22"/>
          <w:lang w:val="en-GB"/>
        </w:rPr>
        <w:t xml:space="preserve">many significant (p&lt;0.05) differences in the level of agreement amongst detection methods and examiners. </w:t>
      </w:r>
    </w:p>
    <w:p>
      <w:pPr>
        <w:spacing w:line="240" w:lineRule="auto"/>
        <w:rPr>
          <w:rFonts w:ascii="Calibri" w:hAnsi="Calibri" w:cs="Calibri"/>
          <w:sz w:val="22"/>
          <w:szCs w:val="22"/>
          <w:lang w:val="en-GB"/>
        </w:rPr>
      </w:pPr>
    </w:p>
    <w:tbl>
      <w:tblPr>
        <w:tblStyle w:val="4"/>
        <w:tblW w:w="1007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7"/>
        <w:gridCol w:w="1123"/>
        <w:gridCol w:w="1123"/>
        <w:gridCol w:w="1123"/>
        <w:gridCol w:w="1123"/>
        <w:gridCol w:w="1123"/>
        <w:gridCol w:w="1123"/>
        <w:gridCol w:w="1123"/>
        <w:gridCol w:w="11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1087" w:type="dxa"/>
            <w:vMerge w:val="restart"/>
            <w:tcBorders>
              <w:top w:val="nil"/>
              <w:left w:val="nil"/>
              <w:bottom w:val="single" w:color="000000" w:sz="8" w:space="0"/>
              <w:right w:val="single" w:color="000000" w:sz="8" w:space="0"/>
            </w:tcBorders>
            <w:shd w:val="clear" w:color="auto" w:fill="auto"/>
            <w:noWrap/>
            <w:vAlign w:val="bottom"/>
          </w:tcPr>
          <w:p>
            <w:pPr>
              <w:spacing w:line="240" w:lineRule="auto"/>
              <w:jc w:val="center"/>
              <w:rPr>
                <w:rFonts w:hint="eastAsia" w:ascii="Calibri" w:hAnsi="Calibri" w:cs="Calibri"/>
                <w:i/>
                <w:iCs/>
                <w:color w:val="000000"/>
                <w:sz w:val="28"/>
                <w:szCs w:val="28"/>
                <w:u w:val="none"/>
              </w:rPr>
            </w:pPr>
          </w:p>
        </w:tc>
        <w:tc>
          <w:tcPr>
            <w:tcW w:w="8987" w:type="dxa"/>
            <w:gridSpan w:val="8"/>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i/>
                <w:iCs/>
                <w:color w:val="000000"/>
                <w:sz w:val="28"/>
                <w:szCs w:val="28"/>
                <w:u w:val="none"/>
              </w:rPr>
            </w:pPr>
            <w:r>
              <w:rPr>
                <w:rFonts w:hint="default" w:ascii="Calibri" w:hAnsi="Calibri" w:eastAsia="SimSun" w:cs="Calibri"/>
                <w:i/>
                <w:iCs/>
                <w:color w:val="000000"/>
                <w:kern w:val="0"/>
                <w:sz w:val="28"/>
                <w:szCs w:val="28"/>
                <w:u w:val="none"/>
                <w:lang w:val="en-US" w:eastAsia="zh-CN" w:bidi="ar"/>
              </w:rPr>
              <w:t>Intra-test reliability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1087" w:type="dxa"/>
            <w:vMerge w:val="continue"/>
            <w:tcBorders>
              <w:top w:val="nil"/>
              <w:left w:val="nil"/>
              <w:bottom w:val="single" w:color="000000" w:sz="8" w:space="0"/>
              <w:right w:val="single" w:color="000000" w:sz="8" w:space="0"/>
            </w:tcBorders>
            <w:shd w:val="clear" w:color="auto" w:fill="auto"/>
            <w:noWrap/>
            <w:vAlign w:val="bottom"/>
          </w:tcPr>
          <w:p>
            <w:pPr>
              <w:spacing w:line="240" w:lineRule="auto"/>
              <w:jc w:val="center"/>
              <w:rPr>
                <w:rFonts w:hint="default" w:ascii="Calibri" w:hAnsi="Calibri" w:cs="Calibri"/>
                <w:i/>
                <w:iCs/>
                <w:color w:val="000000"/>
                <w:sz w:val="28"/>
                <w:szCs w:val="28"/>
                <w:u w:val="none"/>
              </w:rPr>
            </w:pPr>
          </w:p>
        </w:tc>
        <w:tc>
          <w:tcPr>
            <w:tcW w:w="1123" w:type="dxa"/>
            <w:tcBorders>
              <w:top w:val="single" w:color="000000" w:sz="8" w:space="0"/>
              <w:left w:val="single" w:color="000000" w:sz="8" w:space="0"/>
              <w:bottom w:val="nil"/>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T</w:t>
            </w:r>
            <w:r>
              <w:rPr>
                <w:rFonts w:hint="default" w:ascii="Calibri" w:hAnsi="Calibri" w:eastAsia="SimSun" w:cs="Calibri"/>
                <w:b/>
                <w:bCs/>
                <w:i w:val="0"/>
                <w:iCs w:val="0"/>
                <w:color w:val="000000"/>
                <w:kern w:val="0"/>
                <w:sz w:val="22"/>
                <w:szCs w:val="22"/>
                <w:u w:val="none"/>
                <w:vertAlign w:val="superscript"/>
                <w:lang w:val="en-US" w:eastAsia="zh-CN" w:bidi="ar"/>
              </w:rPr>
              <w:t>2</w:t>
            </w:r>
            <w:r>
              <w:rPr>
                <w:rFonts w:hint="default" w:ascii="Calibri" w:hAnsi="Calibri" w:eastAsia="SimSun" w:cs="Calibri"/>
                <w:b/>
                <w:bCs/>
                <w:i w:val="0"/>
                <w:iCs w:val="0"/>
                <w:color w:val="000000"/>
                <w:kern w:val="0"/>
                <w:sz w:val="22"/>
                <w:szCs w:val="22"/>
                <w:u w:val="none"/>
                <w:vertAlign w:val="subscript"/>
                <w:lang w:val="en-US" w:eastAsia="zh-CN" w:bidi="ar"/>
              </w:rPr>
              <w:t>Time</w:t>
            </w:r>
          </w:p>
        </w:tc>
        <w:tc>
          <w:tcPr>
            <w:tcW w:w="1123" w:type="dxa"/>
            <w:tcBorders>
              <w:top w:val="single" w:color="000000" w:sz="8"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T</w:t>
            </w:r>
            <w:r>
              <w:rPr>
                <w:rFonts w:hint="default" w:ascii="Calibri" w:hAnsi="Calibri" w:eastAsia="SimSun" w:cs="Calibri"/>
                <w:b/>
                <w:bCs/>
                <w:i w:val="0"/>
                <w:iCs w:val="0"/>
                <w:color w:val="000000"/>
                <w:kern w:val="0"/>
                <w:sz w:val="22"/>
                <w:szCs w:val="22"/>
                <w:u w:val="none"/>
                <w:vertAlign w:val="superscript"/>
                <w:lang w:val="en-US" w:eastAsia="zh-CN" w:bidi="ar"/>
              </w:rPr>
              <w:t>2</w:t>
            </w:r>
            <w:r>
              <w:rPr>
                <w:rFonts w:hint="default" w:ascii="Calibri" w:hAnsi="Calibri" w:eastAsia="SimSun" w:cs="Calibri"/>
                <w:b/>
                <w:bCs/>
                <w:i w:val="0"/>
                <w:iCs w:val="0"/>
                <w:color w:val="000000"/>
                <w:kern w:val="0"/>
                <w:sz w:val="22"/>
                <w:szCs w:val="22"/>
                <w:u w:val="none"/>
                <w:vertAlign w:val="subscript"/>
                <w:lang w:val="en-US" w:eastAsia="zh-CN" w:bidi="ar"/>
              </w:rPr>
              <w:t>Freq</w:t>
            </w:r>
          </w:p>
        </w:tc>
        <w:tc>
          <w:tcPr>
            <w:tcW w:w="1123" w:type="dxa"/>
            <w:tcBorders>
              <w:top w:val="single" w:color="000000" w:sz="8"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QMod V3</w:t>
            </w:r>
          </w:p>
        </w:tc>
        <w:tc>
          <w:tcPr>
            <w:tcW w:w="1123" w:type="dxa"/>
            <w:tcBorders>
              <w:top w:val="single" w:color="000000" w:sz="8"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T</w:t>
            </w:r>
            <w:r>
              <w:rPr>
                <w:rFonts w:hint="default" w:ascii="Calibri" w:hAnsi="Calibri" w:eastAsia="SimSun" w:cs="Calibri"/>
                <w:b/>
                <w:bCs/>
                <w:i w:val="0"/>
                <w:iCs w:val="0"/>
                <w:color w:val="000000"/>
                <w:kern w:val="0"/>
                <w:sz w:val="22"/>
                <w:szCs w:val="22"/>
                <w:u w:val="none"/>
                <w:vertAlign w:val="superscript"/>
                <w:lang w:val="en-US" w:eastAsia="zh-CN" w:bidi="ar"/>
              </w:rPr>
              <w:t>2</w:t>
            </w:r>
            <w:r>
              <w:rPr>
                <w:rFonts w:hint="default" w:ascii="Calibri" w:hAnsi="Calibri" w:eastAsia="SimSun" w:cs="Calibri"/>
                <w:b/>
                <w:bCs/>
                <w:i w:val="0"/>
                <w:iCs w:val="0"/>
                <w:color w:val="000000"/>
                <w:kern w:val="0"/>
                <w:sz w:val="22"/>
                <w:szCs w:val="22"/>
                <w:u w:val="none"/>
                <w:vertAlign w:val="subscript"/>
                <w:lang w:val="en-US" w:eastAsia="zh-CN" w:bidi="ar"/>
              </w:rPr>
              <w:t>Toep</w:t>
            </w:r>
          </w:p>
        </w:tc>
        <w:tc>
          <w:tcPr>
            <w:tcW w:w="1123" w:type="dxa"/>
            <w:tcBorders>
              <w:top w:val="single" w:color="000000" w:sz="8" w:space="0"/>
              <w:left w:val="single" w:color="000000" w:sz="4" w:space="0"/>
              <w:bottom w:val="nil"/>
              <w:right w:val="nil"/>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T</w:t>
            </w:r>
            <w:r>
              <w:rPr>
                <w:rFonts w:hint="default" w:ascii="Calibri" w:hAnsi="Calibri" w:eastAsia="SimSun" w:cs="Calibri"/>
                <w:b/>
                <w:bCs/>
                <w:i w:val="0"/>
                <w:iCs w:val="0"/>
                <w:color w:val="000000"/>
                <w:kern w:val="0"/>
                <w:sz w:val="22"/>
                <w:szCs w:val="22"/>
                <w:u w:val="none"/>
                <w:vertAlign w:val="superscript"/>
                <w:lang w:val="en-US" w:eastAsia="zh-CN" w:bidi="ar"/>
              </w:rPr>
              <w:t>2</w:t>
            </w:r>
            <w:r>
              <w:rPr>
                <w:rFonts w:hint="default" w:ascii="Calibri" w:hAnsi="Calibri" w:eastAsia="SimSun" w:cs="Calibri"/>
                <w:b/>
                <w:bCs/>
                <w:i w:val="0"/>
                <w:iCs w:val="0"/>
                <w:color w:val="000000"/>
                <w:kern w:val="0"/>
                <w:sz w:val="22"/>
                <w:szCs w:val="22"/>
                <w:u w:val="none"/>
                <w:vertAlign w:val="subscript"/>
                <w:lang w:val="en-US" w:eastAsia="zh-CN" w:bidi="ar"/>
              </w:rPr>
              <w:t>Diag</w:t>
            </w:r>
          </w:p>
        </w:tc>
        <w:tc>
          <w:tcPr>
            <w:tcW w:w="1123" w:type="dxa"/>
            <w:tcBorders>
              <w:top w:val="single" w:color="000000" w:sz="8"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E1</w:t>
            </w:r>
          </w:p>
        </w:tc>
        <w:tc>
          <w:tcPr>
            <w:tcW w:w="1123" w:type="dxa"/>
            <w:tcBorders>
              <w:top w:val="single" w:color="000000" w:sz="8"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E2</w:t>
            </w:r>
          </w:p>
        </w:tc>
        <w:tc>
          <w:tcPr>
            <w:tcW w:w="1126" w:type="dxa"/>
            <w:tcBorders>
              <w:top w:val="single" w:color="000000" w:sz="8" w:space="0"/>
              <w:left w:val="single" w:color="000000" w:sz="4" w:space="0"/>
              <w:bottom w:val="nil"/>
              <w:right w:val="single" w:color="000000" w:sz="8"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E3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87" w:type="dxa"/>
            <w:vMerge w:val="continue"/>
            <w:tcBorders>
              <w:top w:val="nil"/>
              <w:left w:val="nil"/>
              <w:bottom w:val="single" w:color="000000" w:sz="8" w:space="0"/>
              <w:right w:val="single" w:color="000000" w:sz="8" w:space="0"/>
            </w:tcBorders>
            <w:shd w:val="clear" w:color="auto" w:fill="auto"/>
            <w:noWrap/>
            <w:vAlign w:val="bottom"/>
          </w:tcPr>
          <w:p>
            <w:pPr>
              <w:spacing w:line="240" w:lineRule="auto"/>
              <w:jc w:val="center"/>
              <w:rPr>
                <w:rFonts w:hint="default" w:ascii="Calibri" w:hAnsi="Calibri" w:cs="Calibri"/>
                <w:i/>
                <w:iCs/>
                <w:color w:val="000000"/>
                <w:sz w:val="28"/>
                <w:szCs w:val="28"/>
                <w:u w:val="none"/>
              </w:rPr>
            </w:pPr>
          </w:p>
        </w:tc>
        <w:tc>
          <w:tcPr>
            <w:tcW w:w="1123" w:type="dxa"/>
            <w:tcBorders>
              <w:top w:val="nil"/>
              <w:left w:val="single" w:color="000000" w:sz="8" w:space="0"/>
              <w:bottom w:val="single" w:color="000000" w:sz="8"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0.49</w:t>
            </w:r>
          </w:p>
        </w:tc>
        <w:tc>
          <w:tcPr>
            <w:tcW w:w="1123" w:type="dxa"/>
            <w:tcBorders>
              <w:top w:val="nil"/>
              <w:left w:val="single" w:color="000000" w:sz="4" w:space="0"/>
              <w:bottom w:val="single" w:color="000000" w:sz="8"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0.48</w:t>
            </w:r>
          </w:p>
        </w:tc>
        <w:tc>
          <w:tcPr>
            <w:tcW w:w="1123" w:type="dxa"/>
            <w:tcBorders>
              <w:top w:val="nil"/>
              <w:left w:val="single" w:color="000000" w:sz="4" w:space="0"/>
              <w:bottom w:val="single" w:color="000000" w:sz="8"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0.35</w:t>
            </w:r>
          </w:p>
        </w:tc>
        <w:tc>
          <w:tcPr>
            <w:tcW w:w="1123" w:type="dxa"/>
            <w:tcBorders>
              <w:top w:val="nil"/>
              <w:left w:val="single" w:color="000000" w:sz="4" w:space="0"/>
              <w:bottom w:val="single" w:color="000000" w:sz="8"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0.48</w:t>
            </w:r>
          </w:p>
        </w:tc>
        <w:tc>
          <w:tcPr>
            <w:tcW w:w="1123" w:type="dxa"/>
            <w:tcBorders>
              <w:top w:val="nil"/>
              <w:left w:val="single" w:color="000000" w:sz="4" w:space="0"/>
              <w:bottom w:val="single" w:color="000000" w:sz="8"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0.41</w:t>
            </w:r>
          </w:p>
        </w:tc>
        <w:tc>
          <w:tcPr>
            <w:tcW w:w="1123" w:type="dxa"/>
            <w:tcBorders>
              <w:top w:val="nil"/>
              <w:left w:val="single" w:color="000000" w:sz="4" w:space="0"/>
              <w:bottom w:val="single" w:color="000000" w:sz="8"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0.16</w:t>
            </w:r>
          </w:p>
        </w:tc>
        <w:tc>
          <w:tcPr>
            <w:tcW w:w="1123" w:type="dxa"/>
            <w:tcBorders>
              <w:top w:val="nil"/>
              <w:left w:val="single" w:color="000000" w:sz="4" w:space="0"/>
              <w:bottom w:val="single" w:color="000000" w:sz="8"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0.35</w:t>
            </w:r>
          </w:p>
        </w:tc>
        <w:tc>
          <w:tcPr>
            <w:tcW w:w="1126" w:type="dxa"/>
            <w:tcBorders>
              <w:top w:val="nil"/>
              <w:left w:val="single" w:color="000000" w:sz="4" w:space="0"/>
              <w:bottom w:val="single" w:color="000000" w:sz="8" w:space="0"/>
              <w:right w:val="single" w:color="000000" w:sz="8" w:space="0"/>
            </w:tcBorders>
            <w:shd w:val="clear" w:color="auto" w:fill="auto"/>
            <w:noWrap/>
            <w:vAlign w:val="bottom"/>
          </w:tcPr>
          <w:p>
            <w:pPr>
              <w:keepNext w:val="0"/>
              <w:keepLines w:val="0"/>
              <w:widowControl/>
              <w:suppressLineNumbers w:val="0"/>
              <w:spacing w:line="240" w:lineRule="auto"/>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1087" w:type="dxa"/>
            <w:vMerge w:val="continue"/>
            <w:tcBorders>
              <w:top w:val="nil"/>
              <w:left w:val="nil"/>
              <w:bottom w:val="single" w:color="000000" w:sz="8" w:space="0"/>
              <w:right w:val="single" w:color="000000" w:sz="8" w:space="0"/>
            </w:tcBorders>
            <w:shd w:val="clear" w:color="auto" w:fill="auto"/>
            <w:noWrap/>
            <w:vAlign w:val="bottom"/>
          </w:tcPr>
          <w:p>
            <w:pPr>
              <w:spacing w:line="240" w:lineRule="auto"/>
              <w:jc w:val="center"/>
              <w:rPr>
                <w:rFonts w:hint="default" w:ascii="Calibri" w:hAnsi="Calibri" w:cs="Calibri"/>
                <w:i/>
                <w:iCs/>
                <w:color w:val="000000"/>
                <w:sz w:val="28"/>
                <w:szCs w:val="28"/>
                <w:u w:val="none"/>
              </w:rPr>
            </w:pPr>
          </w:p>
        </w:tc>
        <w:tc>
          <w:tcPr>
            <w:tcW w:w="8987" w:type="dxa"/>
            <w:gridSpan w:val="8"/>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i/>
                <w:iCs/>
                <w:color w:val="000000"/>
                <w:sz w:val="28"/>
                <w:szCs w:val="28"/>
                <w:u w:val="none"/>
              </w:rPr>
            </w:pPr>
            <w:r>
              <w:rPr>
                <w:rFonts w:hint="default" w:ascii="Calibri" w:hAnsi="Calibri" w:eastAsia="SimSun" w:cs="Calibri"/>
                <w:i/>
                <w:iCs/>
                <w:color w:val="000000"/>
                <w:kern w:val="0"/>
                <w:sz w:val="28"/>
                <w:szCs w:val="28"/>
                <w:u w:val="none"/>
                <w:lang w:val="en-US" w:eastAsia="zh-CN" w:bidi="ar"/>
              </w:rPr>
              <w:t xml:space="preserve">Inter-test reliability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1087" w:type="dxa"/>
            <w:vMerge w:val="continue"/>
            <w:tcBorders>
              <w:top w:val="nil"/>
              <w:left w:val="nil"/>
              <w:bottom w:val="single" w:color="000000" w:sz="8" w:space="0"/>
              <w:right w:val="single" w:color="000000" w:sz="8" w:space="0"/>
            </w:tcBorders>
            <w:shd w:val="clear" w:color="auto" w:fill="auto"/>
            <w:noWrap/>
            <w:vAlign w:val="bottom"/>
          </w:tcPr>
          <w:p>
            <w:pPr>
              <w:spacing w:line="240" w:lineRule="auto"/>
              <w:jc w:val="center"/>
              <w:rPr>
                <w:rFonts w:hint="default" w:ascii="Calibri" w:hAnsi="Calibri" w:cs="Calibri"/>
                <w:i/>
                <w:iCs/>
                <w:color w:val="000000"/>
                <w:sz w:val="28"/>
                <w:szCs w:val="28"/>
                <w:u w:val="none"/>
              </w:rPr>
            </w:pPr>
          </w:p>
        </w:tc>
        <w:tc>
          <w:tcPr>
            <w:tcW w:w="1123" w:type="dxa"/>
            <w:tcBorders>
              <w:top w:val="single" w:color="000000" w:sz="8"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spacing w:line="240" w:lineRule="auto"/>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T</w:t>
            </w:r>
            <w:r>
              <w:rPr>
                <w:rFonts w:hint="default" w:ascii="Calibri" w:hAnsi="Calibri" w:eastAsia="SimSun" w:cs="Calibri"/>
                <w:b/>
                <w:bCs/>
                <w:i w:val="0"/>
                <w:iCs w:val="0"/>
                <w:color w:val="000000"/>
                <w:kern w:val="0"/>
                <w:sz w:val="22"/>
                <w:szCs w:val="22"/>
                <w:u w:val="none"/>
                <w:vertAlign w:val="superscript"/>
                <w:lang w:val="en-US" w:eastAsia="zh-CN" w:bidi="ar"/>
              </w:rPr>
              <w:t>2</w:t>
            </w:r>
            <w:r>
              <w:rPr>
                <w:rFonts w:hint="default" w:ascii="Calibri" w:hAnsi="Calibri" w:eastAsia="SimSun" w:cs="Calibri"/>
                <w:b/>
                <w:bCs/>
                <w:i w:val="0"/>
                <w:iCs w:val="0"/>
                <w:color w:val="000000"/>
                <w:kern w:val="0"/>
                <w:sz w:val="22"/>
                <w:szCs w:val="22"/>
                <w:u w:val="none"/>
                <w:vertAlign w:val="subscript"/>
                <w:lang w:val="en-US" w:eastAsia="zh-CN" w:bidi="ar"/>
              </w:rPr>
              <w:t>Time</w:t>
            </w:r>
          </w:p>
        </w:tc>
        <w:tc>
          <w:tcPr>
            <w:tcW w:w="1123" w:type="dxa"/>
            <w:tcBorders>
              <w:top w:val="single" w:color="000000" w:sz="8"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spacing w:line="240" w:lineRule="auto"/>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T</w:t>
            </w:r>
            <w:r>
              <w:rPr>
                <w:rFonts w:hint="default" w:ascii="Calibri" w:hAnsi="Calibri" w:eastAsia="SimSun" w:cs="Calibri"/>
                <w:b/>
                <w:bCs/>
                <w:i w:val="0"/>
                <w:iCs w:val="0"/>
                <w:color w:val="000000"/>
                <w:kern w:val="0"/>
                <w:sz w:val="22"/>
                <w:szCs w:val="22"/>
                <w:u w:val="none"/>
                <w:vertAlign w:val="superscript"/>
                <w:lang w:val="en-US" w:eastAsia="zh-CN" w:bidi="ar"/>
              </w:rPr>
              <w:t>2</w:t>
            </w:r>
            <w:r>
              <w:rPr>
                <w:rFonts w:hint="default" w:ascii="Calibri" w:hAnsi="Calibri" w:eastAsia="SimSun" w:cs="Calibri"/>
                <w:b/>
                <w:bCs/>
                <w:i w:val="0"/>
                <w:iCs w:val="0"/>
                <w:color w:val="000000"/>
                <w:kern w:val="0"/>
                <w:sz w:val="22"/>
                <w:szCs w:val="22"/>
                <w:u w:val="none"/>
                <w:vertAlign w:val="subscript"/>
                <w:lang w:val="en-US" w:eastAsia="zh-CN" w:bidi="ar"/>
              </w:rPr>
              <w:t>Freq</w:t>
            </w:r>
          </w:p>
        </w:tc>
        <w:tc>
          <w:tcPr>
            <w:tcW w:w="1123" w:type="dxa"/>
            <w:tcBorders>
              <w:top w:val="single" w:color="000000" w:sz="8"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spacing w:line="240" w:lineRule="auto"/>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QMod V3</w:t>
            </w:r>
          </w:p>
        </w:tc>
        <w:tc>
          <w:tcPr>
            <w:tcW w:w="1123" w:type="dxa"/>
            <w:tcBorders>
              <w:top w:val="single" w:color="000000" w:sz="8"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spacing w:line="240" w:lineRule="auto"/>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T</w:t>
            </w:r>
            <w:r>
              <w:rPr>
                <w:rFonts w:hint="default" w:ascii="Calibri" w:hAnsi="Calibri" w:eastAsia="SimSun" w:cs="Calibri"/>
                <w:b/>
                <w:bCs/>
                <w:i w:val="0"/>
                <w:iCs w:val="0"/>
                <w:color w:val="000000"/>
                <w:kern w:val="0"/>
                <w:sz w:val="22"/>
                <w:szCs w:val="22"/>
                <w:u w:val="none"/>
                <w:vertAlign w:val="superscript"/>
                <w:lang w:val="en-US" w:eastAsia="zh-CN" w:bidi="ar"/>
              </w:rPr>
              <w:t>2</w:t>
            </w:r>
            <w:r>
              <w:rPr>
                <w:rFonts w:hint="default" w:ascii="Calibri" w:hAnsi="Calibri" w:eastAsia="SimSun" w:cs="Calibri"/>
                <w:b/>
                <w:bCs/>
                <w:i w:val="0"/>
                <w:iCs w:val="0"/>
                <w:color w:val="000000"/>
                <w:kern w:val="0"/>
                <w:sz w:val="22"/>
                <w:szCs w:val="22"/>
                <w:u w:val="none"/>
                <w:vertAlign w:val="subscript"/>
                <w:lang w:val="en-US" w:eastAsia="zh-CN" w:bidi="ar"/>
              </w:rPr>
              <w:t>Toep</w:t>
            </w:r>
          </w:p>
        </w:tc>
        <w:tc>
          <w:tcPr>
            <w:tcW w:w="1123" w:type="dxa"/>
            <w:tcBorders>
              <w:top w:val="single" w:color="000000" w:sz="8" w:space="0"/>
              <w:left w:val="single" w:color="000000" w:sz="4" w:space="0"/>
              <w:bottom w:val="single" w:color="000000" w:sz="8" w:space="0"/>
              <w:right w:val="nil"/>
            </w:tcBorders>
            <w:shd w:val="clear" w:color="auto" w:fill="auto"/>
            <w:noWrap/>
            <w:vAlign w:val="center"/>
          </w:tcPr>
          <w:p>
            <w:pPr>
              <w:keepNext w:val="0"/>
              <w:keepLines w:val="0"/>
              <w:widowControl/>
              <w:suppressLineNumbers w:val="0"/>
              <w:spacing w:line="240" w:lineRule="auto"/>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T</w:t>
            </w:r>
            <w:r>
              <w:rPr>
                <w:rFonts w:hint="default" w:ascii="Calibri" w:hAnsi="Calibri" w:eastAsia="SimSun" w:cs="Calibri"/>
                <w:b/>
                <w:bCs/>
                <w:i w:val="0"/>
                <w:iCs w:val="0"/>
                <w:color w:val="000000"/>
                <w:kern w:val="0"/>
                <w:sz w:val="22"/>
                <w:szCs w:val="22"/>
                <w:u w:val="none"/>
                <w:vertAlign w:val="superscript"/>
                <w:lang w:val="en-US" w:eastAsia="zh-CN" w:bidi="ar"/>
              </w:rPr>
              <w:t>2</w:t>
            </w:r>
            <w:r>
              <w:rPr>
                <w:rFonts w:hint="default" w:ascii="Calibri" w:hAnsi="Calibri" w:eastAsia="SimSun" w:cs="Calibri"/>
                <w:b/>
                <w:bCs/>
                <w:i w:val="0"/>
                <w:iCs w:val="0"/>
                <w:color w:val="000000"/>
                <w:kern w:val="0"/>
                <w:sz w:val="22"/>
                <w:szCs w:val="22"/>
                <w:u w:val="none"/>
                <w:vertAlign w:val="subscript"/>
                <w:lang w:val="en-US" w:eastAsia="zh-CN" w:bidi="ar"/>
              </w:rPr>
              <w:t>Diag</w:t>
            </w:r>
          </w:p>
        </w:tc>
        <w:tc>
          <w:tcPr>
            <w:tcW w:w="1123" w:type="dxa"/>
            <w:tcBorders>
              <w:top w:val="single" w:color="000000" w:sz="8"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spacing w:line="240" w:lineRule="auto"/>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E1</w:t>
            </w:r>
          </w:p>
        </w:tc>
        <w:tc>
          <w:tcPr>
            <w:tcW w:w="1123" w:type="dxa"/>
            <w:tcBorders>
              <w:top w:val="single" w:color="000000" w:sz="8"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spacing w:line="240" w:lineRule="auto"/>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E2</w:t>
            </w:r>
          </w:p>
        </w:tc>
        <w:tc>
          <w:tcPr>
            <w:tcW w:w="1126" w:type="dxa"/>
            <w:tcBorders>
              <w:top w:val="single" w:color="000000" w:sz="8" w:space="0"/>
              <w:left w:val="single" w:color="000000" w:sz="4" w:space="0"/>
              <w:bottom w:val="single" w:color="000000" w:sz="8" w:space="0"/>
              <w:right w:val="single" w:color="000000" w:sz="8" w:space="0"/>
            </w:tcBorders>
            <w:shd w:val="clear" w:color="auto" w:fill="auto"/>
            <w:noWrap/>
            <w:vAlign w:val="center"/>
          </w:tcPr>
          <w:p>
            <w:pPr>
              <w:keepNext w:val="0"/>
              <w:keepLines w:val="0"/>
              <w:widowControl/>
              <w:suppressLineNumbers w:val="0"/>
              <w:spacing w:line="240" w:lineRule="auto"/>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E3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1087" w:type="dxa"/>
            <w:tcBorders>
              <w:top w:val="single" w:color="000000" w:sz="8" w:space="0"/>
              <w:left w:val="single" w:color="000000" w:sz="8" w:space="0"/>
              <w:bottom w:val="single" w:color="000000" w:sz="4" w:space="0"/>
              <w:right w:val="single" w:color="000000" w:sz="8" w:space="0"/>
            </w:tcBorders>
            <w:shd w:val="clear" w:color="auto" w:fill="auto"/>
            <w:noWrap/>
            <w:vAlign w:val="center"/>
          </w:tcPr>
          <w:p>
            <w:pPr>
              <w:keepNext w:val="0"/>
              <w:keepLines w:val="0"/>
              <w:widowControl/>
              <w:suppressLineNumbers w:val="0"/>
              <w:spacing w:line="240" w:lineRule="auto"/>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T</w:t>
            </w:r>
            <w:r>
              <w:rPr>
                <w:rFonts w:hint="default" w:ascii="Calibri" w:hAnsi="Calibri" w:eastAsia="SimSun" w:cs="Calibri"/>
                <w:b/>
                <w:bCs/>
                <w:i w:val="0"/>
                <w:iCs w:val="0"/>
                <w:color w:val="000000"/>
                <w:kern w:val="0"/>
                <w:sz w:val="22"/>
                <w:szCs w:val="22"/>
                <w:u w:val="none"/>
                <w:vertAlign w:val="superscript"/>
                <w:lang w:val="en-US" w:eastAsia="zh-CN" w:bidi="ar"/>
              </w:rPr>
              <w:t>2</w:t>
            </w:r>
            <w:r>
              <w:rPr>
                <w:rFonts w:hint="default" w:ascii="Calibri" w:hAnsi="Calibri" w:eastAsia="SimSun" w:cs="Calibri"/>
                <w:b/>
                <w:bCs/>
                <w:i w:val="0"/>
                <w:iCs w:val="0"/>
                <w:color w:val="000000"/>
                <w:kern w:val="0"/>
                <w:sz w:val="22"/>
                <w:szCs w:val="22"/>
                <w:u w:val="none"/>
                <w:vertAlign w:val="subscript"/>
                <w:lang w:val="en-US" w:eastAsia="zh-CN" w:bidi="ar"/>
              </w:rPr>
              <w:t>Time</w:t>
            </w:r>
          </w:p>
        </w:tc>
        <w:tc>
          <w:tcPr>
            <w:tcW w:w="1123" w:type="dxa"/>
            <w:tcBorders>
              <w:top w:val="single" w:color="000000" w:sz="8" w:space="0"/>
              <w:left w:val="single" w:color="000000" w:sz="8" w:space="0"/>
              <w:bottom w:val="single" w:color="000000" w:sz="4" w:space="0"/>
              <w:right w:val="single" w:color="000000" w:sz="4" w:space="0"/>
            </w:tcBorders>
            <w:shd w:val="clear" w:color="auto" w:fill="BFBFBF"/>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w:t>
            </w:r>
          </w:p>
        </w:tc>
        <w:tc>
          <w:tcPr>
            <w:tcW w:w="1123"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0.90</w:t>
            </w:r>
          </w:p>
        </w:tc>
        <w:tc>
          <w:tcPr>
            <w:tcW w:w="1123"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0.80</w:t>
            </w:r>
          </w:p>
        </w:tc>
        <w:tc>
          <w:tcPr>
            <w:tcW w:w="1123"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0.80</w:t>
            </w:r>
          </w:p>
        </w:tc>
        <w:tc>
          <w:tcPr>
            <w:tcW w:w="1123" w:type="dxa"/>
            <w:tcBorders>
              <w:top w:val="single" w:color="000000" w:sz="8"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0.85</w:t>
            </w:r>
          </w:p>
        </w:tc>
        <w:tc>
          <w:tcPr>
            <w:tcW w:w="1123"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0.55</w:t>
            </w:r>
          </w:p>
        </w:tc>
        <w:tc>
          <w:tcPr>
            <w:tcW w:w="1123"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0.63</w:t>
            </w:r>
          </w:p>
        </w:tc>
        <w:tc>
          <w:tcPr>
            <w:tcW w:w="1126" w:type="dxa"/>
            <w:tcBorders>
              <w:top w:val="single" w:color="000000" w:sz="8"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087" w:type="dxa"/>
            <w:tcBorders>
              <w:top w:val="single" w:color="000000" w:sz="4" w:space="0"/>
              <w:left w:val="single" w:color="000000" w:sz="8" w:space="0"/>
              <w:bottom w:val="single" w:color="000000" w:sz="4" w:space="0"/>
              <w:right w:val="single" w:color="000000" w:sz="8" w:space="0"/>
            </w:tcBorders>
            <w:shd w:val="clear" w:color="auto" w:fill="auto"/>
            <w:noWrap/>
            <w:vAlign w:val="center"/>
          </w:tcPr>
          <w:p>
            <w:pPr>
              <w:keepNext w:val="0"/>
              <w:keepLines w:val="0"/>
              <w:widowControl/>
              <w:suppressLineNumbers w:val="0"/>
              <w:spacing w:line="240" w:lineRule="auto"/>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T</w:t>
            </w:r>
            <w:r>
              <w:rPr>
                <w:rFonts w:hint="default" w:ascii="Calibri" w:hAnsi="Calibri" w:eastAsia="SimSun" w:cs="Calibri"/>
                <w:b/>
                <w:bCs/>
                <w:i w:val="0"/>
                <w:iCs w:val="0"/>
                <w:color w:val="000000"/>
                <w:kern w:val="0"/>
                <w:sz w:val="22"/>
                <w:szCs w:val="22"/>
                <w:u w:val="none"/>
                <w:vertAlign w:val="superscript"/>
                <w:lang w:val="en-US" w:eastAsia="zh-CN" w:bidi="ar"/>
              </w:rPr>
              <w:t>2</w:t>
            </w:r>
            <w:r>
              <w:rPr>
                <w:rFonts w:hint="default" w:ascii="Calibri" w:hAnsi="Calibri" w:eastAsia="SimSun" w:cs="Calibri"/>
                <w:b/>
                <w:bCs/>
                <w:i w:val="0"/>
                <w:iCs w:val="0"/>
                <w:color w:val="000000"/>
                <w:kern w:val="0"/>
                <w:sz w:val="22"/>
                <w:szCs w:val="22"/>
                <w:u w:val="none"/>
                <w:vertAlign w:val="subscript"/>
                <w:lang w:val="en-US" w:eastAsia="zh-CN" w:bidi="ar"/>
              </w:rPr>
              <w:t>Freq</w:t>
            </w:r>
          </w:p>
        </w:tc>
        <w:tc>
          <w:tcPr>
            <w:tcW w:w="1123" w:type="dxa"/>
            <w:vMerge w:val="restart"/>
            <w:tcBorders>
              <w:top w:val="single" w:color="000000" w:sz="4" w:space="0"/>
              <w:left w:val="single" w:color="000000" w:sz="8" w:space="0"/>
              <w:bottom w:val="single" w:color="000000" w:sz="8" w:space="0"/>
              <w:right w:val="single" w:color="000000" w:sz="4" w:space="0"/>
            </w:tcBorders>
            <w:shd w:val="clear" w:color="auto" w:fill="F2F2F2"/>
            <w:noWrap/>
            <w:vAlign w:val="center"/>
          </w:tcPr>
          <w:p>
            <w:pPr>
              <w:spacing w:line="240" w:lineRule="auto"/>
              <w:jc w:val="center"/>
              <w:rPr>
                <w:rFonts w:hint="default" w:ascii="Calibri" w:hAnsi="Calibri" w:cs="Calibri"/>
                <w:i w:val="0"/>
                <w:iCs w:val="0"/>
                <w:color w:val="000000"/>
                <w:sz w:val="22"/>
                <w:szCs w:val="22"/>
                <w:u w:val="none"/>
              </w:rPr>
            </w:pPr>
          </w:p>
        </w:tc>
        <w:tc>
          <w:tcPr>
            <w:tcW w:w="1123" w:type="dxa"/>
            <w:tcBorders>
              <w:top w:val="single" w:color="000000" w:sz="4" w:space="0"/>
              <w:left w:val="single" w:color="000000" w:sz="4" w:space="0"/>
              <w:bottom w:val="single" w:color="000000" w:sz="4" w:space="0"/>
              <w:right w:val="single" w:color="000000" w:sz="4" w:space="0"/>
            </w:tcBorders>
            <w:shd w:val="clear" w:color="auto" w:fill="BFBFBF"/>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0.79</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0.77</w:t>
            </w:r>
          </w:p>
        </w:tc>
        <w:tc>
          <w:tcPr>
            <w:tcW w:w="1123"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0.83</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0.54</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0.62</w:t>
            </w:r>
          </w:p>
        </w:tc>
        <w:tc>
          <w:tcPr>
            <w:tcW w:w="1126"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87" w:type="dxa"/>
            <w:tcBorders>
              <w:top w:val="single" w:color="000000" w:sz="4" w:space="0"/>
              <w:left w:val="single" w:color="000000" w:sz="8" w:space="0"/>
              <w:bottom w:val="single" w:color="000000" w:sz="4" w:space="0"/>
              <w:right w:val="single" w:color="000000" w:sz="8" w:space="0"/>
            </w:tcBorders>
            <w:shd w:val="clear" w:color="auto" w:fill="auto"/>
            <w:noWrap/>
            <w:vAlign w:val="center"/>
          </w:tcPr>
          <w:p>
            <w:pPr>
              <w:keepNext w:val="0"/>
              <w:keepLines w:val="0"/>
              <w:widowControl/>
              <w:suppressLineNumbers w:val="0"/>
              <w:spacing w:line="240" w:lineRule="auto"/>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QMod V3</w:t>
            </w:r>
          </w:p>
        </w:tc>
        <w:tc>
          <w:tcPr>
            <w:tcW w:w="1123" w:type="dxa"/>
            <w:vMerge w:val="continue"/>
            <w:tcBorders>
              <w:top w:val="single" w:color="000000" w:sz="4" w:space="0"/>
              <w:left w:val="single" w:color="000000" w:sz="8" w:space="0"/>
              <w:bottom w:val="single" w:color="000000" w:sz="8" w:space="0"/>
              <w:right w:val="single" w:color="000000" w:sz="4" w:space="0"/>
            </w:tcBorders>
            <w:shd w:val="clear" w:color="auto" w:fill="F2F2F2"/>
            <w:noWrap/>
            <w:vAlign w:val="center"/>
          </w:tcPr>
          <w:p>
            <w:pPr>
              <w:spacing w:line="240" w:lineRule="auto"/>
              <w:jc w:val="center"/>
              <w:rPr>
                <w:rFonts w:hint="default" w:ascii="Calibri" w:hAnsi="Calibri" w:cs="Calibri"/>
                <w:i w:val="0"/>
                <w:iCs w:val="0"/>
                <w:color w:val="000000"/>
                <w:sz w:val="22"/>
                <w:szCs w:val="22"/>
                <w:u w:val="none"/>
              </w:rPr>
            </w:pPr>
          </w:p>
        </w:tc>
        <w:tc>
          <w:tcPr>
            <w:tcW w:w="1123" w:type="dxa"/>
            <w:vMerge w:val="restart"/>
            <w:tcBorders>
              <w:top w:val="single" w:color="000000" w:sz="4" w:space="0"/>
              <w:left w:val="nil"/>
              <w:bottom w:val="single" w:color="000000" w:sz="8" w:space="0"/>
              <w:right w:val="single" w:color="000000" w:sz="4" w:space="0"/>
            </w:tcBorders>
            <w:shd w:val="clear" w:color="auto" w:fill="F2F2F2"/>
            <w:noWrap/>
            <w:vAlign w:val="center"/>
          </w:tcPr>
          <w:p>
            <w:pPr>
              <w:spacing w:line="240" w:lineRule="auto"/>
              <w:jc w:val="center"/>
              <w:rPr>
                <w:rFonts w:hint="default" w:ascii="Calibri" w:hAnsi="Calibri" w:cs="Calibri"/>
                <w:i w:val="0"/>
                <w:iCs w:val="0"/>
                <w:color w:val="000000"/>
                <w:sz w:val="22"/>
                <w:szCs w:val="22"/>
                <w:u w:val="none"/>
              </w:rPr>
            </w:pPr>
          </w:p>
        </w:tc>
        <w:tc>
          <w:tcPr>
            <w:tcW w:w="1123" w:type="dxa"/>
            <w:tcBorders>
              <w:top w:val="single" w:color="000000" w:sz="4" w:space="0"/>
              <w:left w:val="single" w:color="000000" w:sz="4" w:space="0"/>
              <w:bottom w:val="single" w:color="000000" w:sz="4" w:space="0"/>
              <w:right w:val="single" w:color="000000" w:sz="4" w:space="0"/>
            </w:tcBorders>
            <w:shd w:val="clear" w:color="auto" w:fill="BFBFBF"/>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0.72</w:t>
            </w:r>
          </w:p>
        </w:tc>
        <w:tc>
          <w:tcPr>
            <w:tcW w:w="1123"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0.89</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0.54</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0.58</w:t>
            </w:r>
          </w:p>
        </w:tc>
        <w:tc>
          <w:tcPr>
            <w:tcW w:w="1126"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1087" w:type="dxa"/>
            <w:tcBorders>
              <w:top w:val="single" w:color="000000" w:sz="4" w:space="0"/>
              <w:left w:val="single" w:color="000000" w:sz="8" w:space="0"/>
              <w:bottom w:val="single" w:color="000000" w:sz="4" w:space="0"/>
              <w:right w:val="single" w:color="000000" w:sz="8" w:space="0"/>
            </w:tcBorders>
            <w:shd w:val="clear" w:color="auto" w:fill="auto"/>
            <w:noWrap/>
            <w:vAlign w:val="center"/>
          </w:tcPr>
          <w:p>
            <w:pPr>
              <w:keepNext w:val="0"/>
              <w:keepLines w:val="0"/>
              <w:widowControl/>
              <w:suppressLineNumbers w:val="0"/>
              <w:spacing w:line="240" w:lineRule="auto"/>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T</w:t>
            </w:r>
            <w:r>
              <w:rPr>
                <w:rFonts w:hint="default" w:ascii="Calibri" w:hAnsi="Calibri" w:eastAsia="SimSun" w:cs="Calibri"/>
                <w:b/>
                <w:bCs/>
                <w:i w:val="0"/>
                <w:iCs w:val="0"/>
                <w:color w:val="000000"/>
                <w:kern w:val="0"/>
                <w:sz w:val="22"/>
                <w:szCs w:val="22"/>
                <w:u w:val="none"/>
                <w:vertAlign w:val="superscript"/>
                <w:lang w:val="en-US" w:eastAsia="zh-CN" w:bidi="ar"/>
              </w:rPr>
              <w:t>2</w:t>
            </w:r>
            <w:r>
              <w:rPr>
                <w:rFonts w:hint="default" w:ascii="Calibri" w:hAnsi="Calibri" w:eastAsia="SimSun" w:cs="Calibri"/>
                <w:b/>
                <w:bCs/>
                <w:i w:val="0"/>
                <w:iCs w:val="0"/>
                <w:color w:val="000000"/>
                <w:kern w:val="0"/>
                <w:sz w:val="22"/>
                <w:szCs w:val="22"/>
                <w:u w:val="none"/>
                <w:vertAlign w:val="subscript"/>
                <w:lang w:val="en-US" w:eastAsia="zh-CN" w:bidi="ar"/>
              </w:rPr>
              <w:t>Toep</w:t>
            </w:r>
          </w:p>
        </w:tc>
        <w:tc>
          <w:tcPr>
            <w:tcW w:w="1123" w:type="dxa"/>
            <w:vMerge w:val="continue"/>
            <w:tcBorders>
              <w:top w:val="single" w:color="000000" w:sz="4" w:space="0"/>
              <w:left w:val="single" w:color="000000" w:sz="8" w:space="0"/>
              <w:bottom w:val="single" w:color="000000" w:sz="8" w:space="0"/>
              <w:right w:val="single" w:color="000000" w:sz="4" w:space="0"/>
            </w:tcBorders>
            <w:shd w:val="clear" w:color="auto" w:fill="F2F2F2"/>
            <w:noWrap/>
            <w:vAlign w:val="center"/>
          </w:tcPr>
          <w:p>
            <w:pPr>
              <w:spacing w:line="240" w:lineRule="auto"/>
              <w:jc w:val="center"/>
              <w:rPr>
                <w:rFonts w:hint="default" w:ascii="Calibri" w:hAnsi="Calibri" w:cs="Calibri"/>
                <w:i w:val="0"/>
                <w:iCs w:val="0"/>
                <w:color w:val="000000"/>
                <w:sz w:val="22"/>
                <w:szCs w:val="22"/>
                <w:u w:val="none"/>
              </w:rPr>
            </w:pPr>
          </w:p>
        </w:tc>
        <w:tc>
          <w:tcPr>
            <w:tcW w:w="1123" w:type="dxa"/>
            <w:vMerge w:val="continue"/>
            <w:tcBorders>
              <w:top w:val="single" w:color="000000" w:sz="4" w:space="0"/>
              <w:left w:val="nil"/>
              <w:bottom w:val="single" w:color="000000" w:sz="8" w:space="0"/>
              <w:right w:val="single" w:color="000000" w:sz="4" w:space="0"/>
            </w:tcBorders>
            <w:shd w:val="clear" w:color="auto" w:fill="F2F2F2"/>
            <w:noWrap/>
            <w:vAlign w:val="center"/>
          </w:tcPr>
          <w:p>
            <w:pPr>
              <w:spacing w:line="240" w:lineRule="auto"/>
              <w:jc w:val="center"/>
              <w:rPr>
                <w:rFonts w:hint="default" w:ascii="Calibri" w:hAnsi="Calibri" w:cs="Calibri"/>
                <w:i w:val="0"/>
                <w:iCs w:val="0"/>
                <w:color w:val="000000"/>
                <w:sz w:val="22"/>
                <w:szCs w:val="22"/>
                <w:u w:val="none"/>
              </w:rPr>
            </w:pPr>
          </w:p>
        </w:tc>
        <w:tc>
          <w:tcPr>
            <w:tcW w:w="1123" w:type="dxa"/>
            <w:vMerge w:val="restart"/>
            <w:tcBorders>
              <w:top w:val="single" w:color="000000" w:sz="4" w:space="0"/>
              <w:left w:val="nil"/>
              <w:bottom w:val="single" w:color="000000" w:sz="8" w:space="0"/>
              <w:right w:val="single" w:color="000000" w:sz="4" w:space="0"/>
            </w:tcBorders>
            <w:shd w:val="clear" w:color="auto" w:fill="F2F2F2"/>
            <w:noWrap/>
            <w:vAlign w:val="center"/>
          </w:tcPr>
          <w:p>
            <w:pPr>
              <w:spacing w:line="240" w:lineRule="auto"/>
              <w:jc w:val="center"/>
              <w:rPr>
                <w:rFonts w:hint="default" w:ascii="Calibri" w:hAnsi="Calibri" w:cs="Calibri"/>
                <w:i w:val="0"/>
                <w:iCs w:val="0"/>
                <w:color w:val="000000"/>
                <w:sz w:val="22"/>
                <w:szCs w:val="22"/>
                <w:u w:val="none"/>
              </w:rPr>
            </w:pPr>
          </w:p>
        </w:tc>
        <w:tc>
          <w:tcPr>
            <w:tcW w:w="1123" w:type="dxa"/>
            <w:tcBorders>
              <w:top w:val="single" w:color="000000" w:sz="4" w:space="0"/>
              <w:left w:val="single" w:color="000000" w:sz="4" w:space="0"/>
              <w:bottom w:val="single" w:color="000000" w:sz="4" w:space="0"/>
              <w:right w:val="single" w:color="000000" w:sz="4" w:space="0"/>
            </w:tcBorders>
            <w:shd w:val="clear" w:color="auto" w:fill="BFBFBF"/>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w:t>
            </w:r>
          </w:p>
        </w:tc>
        <w:tc>
          <w:tcPr>
            <w:tcW w:w="1123"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0.77</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0.48</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0.57</w:t>
            </w:r>
          </w:p>
        </w:tc>
        <w:tc>
          <w:tcPr>
            <w:tcW w:w="1126"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1087" w:type="dxa"/>
            <w:tcBorders>
              <w:top w:val="single" w:color="000000" w:sz="4" w:space="0"/>
              <w:left w:val="single" w:color="000000" w:sz="8" w:space="0"/>
              <w:bottom w:val="nil"/>
              <w:right w:val="single" w:color="000000" w:sz="8" w:space="0"/>
            </w:tcBorders>
            <w:shd w:val="clear" w:color="auto" w:fill="auto"/>
            <w:noWrap/>
            <w:vAlign w:val="center"/>
          </w:tcPr>
          <w:p>
            <w:pPr>
              <w:keepNext w:val="0"/>
              <w:keepLines w:val="0"/>
              <w:widowControl/>
              <w:suppressLineNumbers w:val="0"/>
              <w:spacing w:line="240" w:lineRule="auto"/>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T</w:t>
            </w:r>
            <w:r>
              <w:rPr>
                <w:rFonts w:hint="default" w:ascii="Calibri" w:hAnsi="Calibri" w:eastAsia="SimSun" w:cs="Calibri"/>
                <w:b/>
                <w:bCs/>
                <w:i w:val="0"/>
                <w:iCs w:val="0"/>
                <w:color w:val="000000"/>
                <w:kern w:val="0"/>
                <w:sz w:val="22"/>
                <w:szCs w:val="22"/>
                <w:u w:val="none"/>
                <w:vertAlign w:val="superscript"/>
                <w:lang w:val="en-US" w:eastAsia="zh-CN" w:bidi="ar"/>
              </w:rPr>
              <w:t>2</w:t>
            </w:r>
            <w:r>
              <w:rPr>
                <w:rFonts w:hint="default" w:ascii="Calibri" w:hAnsi="Calibri" w:eastAsia="SimSun" w:cs="Calibri"/>
                <w:b/>
                <w:bCs/>
                <w:i w:val="0"/>
                <w:iCs w:val="0"/>
                <w:color w:val="000000"/>
                <w:kern w:val="0"/>
                <w:sz w:val="22"/>
                <w:szCs w:val="22"/>
                <w:u w:val="none"/>
                <w:vertAlign w:val="subscript"/>
                <w:lang w:val="en-US" w:eastAsia="zh-CN" w:bidi="ar"/>
              </w:rPr>
              <w:t>Diag</w:t>
            </w:r>
          </w:p>
        </w:tc>
        <w:tc>
          <w:tcPr>
            <w:tcW w:w="1123" w:type="dxa"/>
            <w:vMerge w:val="continue"/>
            <w:tcBorders>
              <w:top w:val="single" w:color="000000" w:sz="4" w:space="0"/>
              <w:left w:val="single" w:color="000000" w:sz="8" w:space="0"/>
              <w:bottom w:val="single" w:color="000000" w:sz="8" w:space="0"/>
              <w:right w:val="single" w:color="000000" w:sz="4" w:space="0"/>
            </w:tcBorders>
            <w:shd w:val="clear" w:color="auto" w:fill="F2F2F2"/>
            <w:noWrap/>
            <w:vAlign w:val="center"/>
          </w:tcPr>
          <w:p>
            <w:pPr>
              <w:spacing w:line="240" w:lineRule="auto"/>
              <w:jc w:val="center"/>
              <w:rPr>
                <w:rFonts w:hint="default" w:ascii="Calibri" w:hAnsi="Calibri" w:cs="Calibri"/>
                <w:i w:val="0"/>
                <w:iCs w:val="0"/>
                <w:color w:val="000000"/>
                <w:sz w:val="22"/>
                <w:szCs w:val="22"/>
                <w:u w:val="none"/>
              </w:rPr>
            </w:pPr>
          </w:p>
        </w:tc>
        <w:tc>
          <w:tcPr>
            <w:tcW w:w="1123" w:type="dxa"/>
            <w:vMerge w:val="continue"/>
            <w:tcBorders>
              <w:top w:val="single" w:color="000000" w:sz="4" w:space="0"/>
              <w:left w:val="nil"/>
              <w:bottom w:val="single" w:color="000000" w:sz="8" w:space="0"/>
              <w:right w:val="single" w:color="000000" w:sz="4" w:space="0"/>
            </w:tcBorders>
            <w:shd w:val="clear" w:color="auto" w:fill="F2F2F2"/>
            <w:noWrap/>
            <w:vAlign w:val="center"/>
          </w:tcPr>
          <w:p>
            <w:pPr>
              <w:spacing w:line="240" w:lineRule="auto"/>
              <w:jc w:val="center"/>
              <w:rPr>
                <w:rFonts w:hint="default" w:ascii="Calibri" w:hAnsi="Calibri" w:cs="Calibri"/>
                <w:i w:val="0"/>
                <w:iCs w:val="0"/>
                <w:color w:val="000000"/>
                <w:sz w:val="22"/>
                <w:szCs w:val="22"/>
                <w:u w:val="none"/>
              </w:rPr>
            </w:pPr>
          </w:p>
        </w:tc>
        <w:tc>
          <w:tcPr>
            <w:tcW w:w="1123" w:type="dxa"/>
            <w:vMerge w:val="continue"/>
            <w:tcBorders>
              <w:top w:val="single" w:color="000000" w:sz="4" w:space="0"/>
              <w:left w:val="nil"/>
              <w:bottom w:val="single" w:color="000000" w:sz="8" w:space="0"/>
              <w:right w:val="single" w:color="000000" w:sz="4" w:space="0"/>
            </w:tcBorders>
            <w:shd w:val="clear" w:color="auto" w:fill="F2F2F2"/>
            <w:noWrap/>
            <w:vAlign w:val="center"/>
          </w:tcPr>
          <w:p>
            <w:pPr>
              <w:spacing w:line="240" w:lineRule="auto"/>
              <w:jc w:val="center"/>
              <w:rPr>
                <w:rFonts w:hint="default" w:ascii="Calibri" w:hAnsi="Calibri" w:cs="Calibri"/>
                <w:i w:val="0"/>
                <w:iCs w:val="0"/>
                <w:color w:val="000000"/>
                <w:sz w:val="22"/>
                <w:szCs w:val="22"/>
                <w:u w:val="none"/>
              </w:rPr>
            </w:pPr>
          </w:p>
        </w:tc>
        <w:tc>
          <w:tcPr>
            <w:tcW w:w="1123" w:type="dxa"/>
            <w:vMerge w:val="restart"/>
            <w:tcBorders>
              <w:top w:val="single" w:color="000000" w:sz="4" w:space="0"/>
              <w:left w:val="nil"/>
              <w:bottom w:val="single" w:color="000000" w:sz="8" w:space="0"/>
              <w:right w:val="single" w:color="000000" w:sz="4" w:space="0"/>
            </w:tcBorders>
            <w:shd w:val="clear" w:color="auto" w:fill="F2F2F2"/>
            <w:noWrap/>
            <w:vAlign w:val="center"/>
          </w:tcPr>
          <w:p>
            <w:pPr>
              <w:spacing w:line="240" w:lineRule="auto"/>
              <w:jc w:val="center"/>
              <w:rPr>
                <w:rFonts w:hint="default" w:ascii="Calibri" w:hAnsi="Calibri" w:cs="Calibri"/>
                <w:i w:val="0"/>
                <w:iCs w:val="0"/>
                <w:color w:val="000000"/>
                <w:sz w:val="22"/>
                <w:szCs w:val="22"/>
                <w:u w:val="none"/>
              </w:rPr>
            </w:pPr>
          </w:p>
        </w:tc>
        <w:tc>
          <w:tcPr>
            <w:tcW w:w="1123" w:type="dxa"/>
            <w:tcBorders>
              <w:top w:val="single" w:color="000000" w:sz="4" w:space="0"/>
              <w:left w:val="single" w:color="000000" w:sz="4" w:space="0"/>
              <w:bottom w:val="nil"/>
              <w:right w:val="nil"/>
            </w:tcBorders>
            <w:shd w:val="clear" w:color="auto" w:fill="BFBFBF"/>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0.59</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0.64</w:t>
            </w:r>
          </w:p>
        </w:tc>
        <w:tc>
          <w:tcPr>
            <w:tcW w:w="1126"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087" w:type="dxa"/>
            <w:tcBorders>
              <w:top w:val="single" w:color="000000" w:sz="4" w:space="0"/>
              <w:left w:val="single" w:color="000000" w:sz="8" w:space="0"/>
              <w:bottom w:val="single" w:color="000000" w:sz="4" w:space="0"/>
              <w:right w:val="single" w:color="000000" w:sz="8" w:space="0"/>
            </w:tcBorders>
            <w:shd w:val="clear" w:color="auto" w:fill="auto"/>
            <w:noWrap/>
            <w:vAlign w:val="center"/>
          </w:tcPr>
          <w:p>
            <w:pPr>
              <w:keepNext w:val="0"/>
              <w:keepLines w:val="0"/>
              <w:widowControl/>
              <w:suppressLineNumbers w:val="0"/>
              <w:spacing w:line="240" w:lineRule="auto"/>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E1</w:t>
            </w:r>
          </w:p>
        </w:tc>
        <w:tc>
          <w:tcPr>
            <w:tcW w:w="1123" w:type="dxa"/>
            <w:vMerge w:val="continue"/>
            <w:tcBorders>
              <w:top w:val="single" w:color="000000" w:sz="4" w:space="0"/>
              <w:left w:val="single" w:color="000000" w:sz="8" w:space="0"/>
              <w:bottom w:val="single" w:color="000000" w:sz="8" w:space="0"/>
              <w:right w:val="single" w:color="000000" w:sz="4" w:space="0"/>
            </w:tcBorders>
            <w:shd w:val="clear" w:color="auto" w:fill="F2F2F2"/>
            <w:noWrap/>
            <w:vAlign w:val="center"/>
          </w:tcPr>
          <w:p>
            <w:pPr>
              <w:spacing w:line="240" w:lineRule="auto"/>
              <w:jc w:val="center"/>
              <w:rPr>
                <w:rFonts w:hint="default" w:ascii="Calibri" w:hAnsi="Calibri" w:cs="Calibri"/>
                <w:i w:val="0"/>
                <w:iCs w:val="0"/>
                <w:color w:val="000000"/>
                <w:sz w:val="22"/>
                <w:szCs w:val="22"/>
                <w:u w:val="none"/>
              </w:rPr>
            </w:pPr>
          </w:p>
        </w:tc>
        <w:tc>
          <w:tcPr>
            <w:tcW w:w="1123" w:type="dxa"/>
            <w:vMerge w:val="continue"/>
            <w:tcBorders>
              <w:top w:val="single" w:color="000000" w:sz="4" w:space="0"/>
              <w:left w:val="nil"/>
              <w:bottom w:val="single" w:color="000000" w:sz="8" w:space="0"/>
              <w:right w:val="single" w:color="000000" w:sz="4" w:space="0"/>
            </w:tcBorders>
            <w:shd w:val="clear" w:color="auto" w:fill="F2F2F2"/>
            <w:noWrap/>
            <w:vAlign w:val="center"/>
          </w:tcPr>
          <w:p>
            <w:pPr>
              <w:spacing w:line="240" w:lineRule="auto"/>
              <w:jc w:val="center"/>
              <w:rPr>
                <w:rFonts w:hint="default" w:ascii="Calibri" w:hAnsi="Calibri" w:cs="Calibri"/>
                <w:i w:val="0"/>
                <w:iCs w:val="0"/>
                <w:color w:val="000000"/>
                <w:sz w:val="22"/>
                <w:szCs w:val="22"/>
                <w:u w:val="none"/>
              </w:rPr>
            </w:pPr>
          </w:p>
        </w:tc>
        <w:tc>
          <w:tcPr>
            <w:tcW w:w="1123" w:type="dxa"/>
            <w:vMerge w:val="continue"/>
            <w:tcBorders>
              <w:top w:val="single" w:color="000000" w:sz="4" w:space="0"/>
              <w:left w:val="nil"/>
              <w:bottom w:val="single" w:color="000000" w:sz="8" w:space="0"/>
              <w:right w:val="single" w:color="000000" w:sz="4" w:space="0"/>
            </w:tcBorders>
            <w:shd w:val="clear" w:color="auto" w:fill="F2F2F2"/>
            <w:noWrap/>
            <w:vAlign w:val="center"/>
          </w:tcPr>
          <w:p>
            <w:pPr>
              <w:spacing w:line="240" w:lineRule="auto"/>
              <w:jc w:val="center"/>
              <w:rPr>
                <w:rFonts w:hint="default" w:ascii="Calibri" w:hAnsi="Calibri" w:cs="Calibri"/>
                <w:i w:val="0"/>
                <w:iCs w:val="0"/>
                <w:color w:val="000000"/>
                <w:sz w:val="22"/>
                <w:szCs w:val="22"/>
                <w:u w:val="none"/>
              </w:rPr>
            </w:pPr>
          </w:p>
        </w:tc>
        <w:tc>
          <w:tcPr>
            <w:tcW w:w="1123" w:type="dxa"/>
            <w:vMerge w:val="continue"/>
            <w:tcBorders>
              <w:top w:val="single" w:color="000000" w:sz="4" w:space="0"/>
              <w:left w:val="nil"/>
              <w:bottom w:val="single" w:color="000000" w:sz="8" w:space="0"/>
              <w:right w:val="single" w:color="000000" w:sz="4" w:space="0"/>
            </w:tcBorders>
            <w:shd w:val="clear" w:color="auto" w:fill="F2F2F2"/>
            <w:noWrap/>
            <w:vAlign w:val="center"/>
          </w:tcPr>
          <w:p>
            <w:pPr>
              <w:spacing w:line="240" w:lineRule="auto"/>
              <w:jc w:val="center"/>
              <w:rPr>
                <w:rFonts w:hint="default" w:ascii="Calibri" w:hAnsi="Calibri" w:cs="Calibri"/>
                <w:i w:val="0"/>
                <w:iCs w:val="0"/>
                <w:color w:val="000000"/>
                <w:sz w:val="22"/>
                <w:szCs w:val="22"/>
                <w:u w:val="none"/>
              </w:rPr>
            </w:pPr>
          </w:p>
        </w:tc>
        <w:tc>
          <w:tcPr>
            <w:tcW w:w="1123" w:type="dxa"/>
            <w:vMerge w:val="restart"/>
            <w:tcBorders>
              <w:top w:val="single" w:color="000000" w:sz="4" w:space="0"/>
              <w:left w:val="nil"/>
              <w:bottom w:val="single" w:color="000000" w:sz="8" w:space="0"/>
              <w:right w:val="single" w:color="000000" w:sz="4" w:space="0"/>
            </w:tcBorders>
            <w:shd w:val="clear" w:color="auto" w:fill="F2F2F2"/>
            <w:noWrap/>
            <w:vAlign w:val="center"/>
          </w:tcPr>
          <w:p>
            <w:pPr>
              <w:spacing w:line="240" w:lineRule="auto"/>
              <w:jc w:val="center"/>
              <w:rPr>
                <w:rFonts w:hint="default" w:ascii="Calibri" w:hAnsi="Calibri" w:cs="Calibri"/>
                <w:i w:val="0"/>
                <w:iCs w:val="0"/>
                <w:color w:val="000000"/>
                <w:sz w:val="22"/>
                <w:szCs w:val="22"/>
                <w:u w:val="none"/>
              </w:rPr>
            </w:pPr>
          </w:p>
        </w:tc>
        <w:tc>
          <w:tcPr>
            <w:tcW w:w="1123" w:type="dxa"/>
            <w:tcBorders>
              <w:top w:val="nil"/>
              <w:left w:val="nil"/>
              <w:bottom w:val="single" w:color="000000" w:sz="4" w:space="0"/>
              <w:right w:val="single" w:color="000000" w:sz="4" w:space="0"/>
            </w:tcBorders>
            <w:shd w:val="clear" w:color="auto" w:fill="BFBFBF"/>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w:t>
            </w:r>
          </w:p>
        </w:tc>
        <w:tc>
          <w:tcPr>
            <w:tcW w:w="1123"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0.65</w:t>
            </w:r>
          </w:p>
        </w:tc>
        <w:tc>
          <w:tcPr>
            <w:tcW w:w="1126" w:type="dxa"/>
            <w:tcBorders>
              <w:top w:val="nil"/>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87" w:type="dxa"/>
            <w:tcBorders>
              <w:top w:val="single" w:color="000000" w:sz="4" w:space="0"/>
              <w:left w:val="single" w:color="000000" w:sz="8" w:space="0"/>
              <w:bottom w:val="single" w:color="000000" w:sz="4" w:space="0"/>
              <w:right w:val="single" w:color="000000" w:sz="8" w:space="0"/>
            </w:tcBorders>
            <w:shd w:val="clear" w:color="auto" w:fill="auto"/>
            <w:noWrap/>
            <w:vAlign w:val="center"/>
          </w:tcPr>
          <w:p>
            <w:pPr>
              <w:keepNext w:val="0"/>
              <w:keepLines w:val="0"/>
              <w:widowControl/>
              <w:suppressLineNumbers w:val="0"/>
              <w:spacing w:line="240" w:lineRule="auto"/>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E2</w:t>
            </w:r>
          </w:p>
        </w:tc>
        <w:tc>
          <w:tcPr>
            <w:tcW w:w="1123" w:type="dxa"/>
            <w:vMerge w:val="continue"/>
            <w:tcBorders>
              <w:top w:val="single" w:color="000000" w:sz="4" w:space="0"/>
              <w:left w:val="single" w:color="000000" w:sz="8" w:space="0"/>
              <w:bottom w:val="single" w:color="000000" w:sz="8" w:space="0"/>
              <w:right w:val="single" w:color="000000" w:sz="4" w:space="0"/>
            </w:tcBorders>
            <w:shd w:val="clear" w:color="auto" w:fill="F2F2F2"/>
            <w:noWrap/>
            <w:vAlign w:val="center"/>
          </w:tcPr>
          <w:p>
            <w:pPr>
              <w:spacing w:line="240" w:lineRule="auto"/>
              <w:jc w:val="center"/>
              <w:rPr>
                <w:rFonts w:hint="default" w:ascii="Calibri" w:hAnsi="Calibri" w:cs="Calibri"/>
                <w:i w:val="0"/>
                <w:iCs w:val="0"/>
                <w:color w:val="000000"/>
                <w:sz w:val="22"/>
                <w:szCs w:val="22"/>
                <w:u w:val="none"/>
              </w:rPr>
            </w:pPr>
          </w:p>
        </w:tc>
        <w:tc>
          <w:tcPr>
            <w:tcW w:w="1123" w:type="dxa"/>
            <w:vMerge w:val="continue"/>
            <w:tcBorders>
              <w:top w:val="single" w:color="000000" w:sz="4" w:space="0"/>
              <w:left w:val="nil"/>
              <w:bottom w:val="single" w:color="000000" w:sz="8" w:space="0"/>
              <w:right w:val="single" w:color="000000" w:sz="4" w:space="0"/>
            </w:tcBorders>
            <w:shd w:val="clear" w:color="auto" w:fill="F2F2F2"/>
            <w:noWrap/>
            <w:vAlign w:val="center"/>
          </w:tcPr>
          <w:p>
            <w:pPr>
              <w:spacing w:line="240" w:lineRule="auto"/>
              <w:jc w:val="center"/>
              <w:rPr>
                <w:rFonts w:hint="default" w:ascii="Calibri" w:hAnsi="Calibri" w:cs="Calibri"/>
                <w:i w:val="0"/>
                <w:iCs w:val="0"/>
                <w:color w:val="000000"/>
                <w:sz w:val="22"/>
                <w:szCs w:val="22"/>
                <w:u w:val="none"/>
              </w:rPr>
            </w:pPr>
          </w:p>
        </w:tc>
        <w:tc>
          <w:tcPr>
            <w:tcW w:w="1123" w:type="dxa"/>
            <w:vMerge w:val="continue"/>
            <w:tcBorders>
              <w:top w:val="single" w:color="000000" w:sz="4" w:space="0"/>
              <w:left w:val="nil"/>
              <w:bottom w:val="single" w:color="000000" w:sz="8" w:space="0"/>
              <w:right w:val="single" w:color="000000" w:sz="4" w:space="0"/>
            </w:tcBorders>
            <w:shd w:val="clear" w:color="auto" w:fill="F2F2F2"/>
            <w:noWrap/>
            <w:vAlign w:val="center"/>
          </w:tcPr>
          <w:p>
            <w:pPr>
              <w:spacing w:line="240" w:lineRule="auto"/>
              <w:jc w:val="center"/>
              <w:rPr>
                <w:rFonts w:hint="default" w:ascii="Calibri" w:hAnsi="Calibri" w:cs="Calibri"/>
                <w:i w:val="0"/>
                <w:iCs w:val="0"/>
                <w:color w:val="000000"/>
                <w:sz w:val="22"/>
                <w:szCs w:val="22"/>
                <w:u w:val="none"/>
              </w:rPr>
            </w:pPr>
          </w:p>
        </w:tc>
        <w:tc>
          <w:tcPr>
            <w:tcW w:w="1123" w:type="dxa"/>
            <w:vMerge w:val="continue"/>
            <w:tcBorders>
              <w:top w:val="single" w:color="000000" w:sz="4" w:space="0"/>
              <w:left w:val="nil"/>
              <w:bottom w:val="single" w:color="000000" w:sz="8" w:space="0"/>
              <w:right w:val="single" w:color="000000" w:sz="4" w:space="0"/>
            </w:tcBorders>
            <w:shd w:val="clear" w:color="auto" w:fill="F2F2F2"/>
            <w:noWrap/>
            <w:vAlign w:val="center"/>
          </w:tcPr>
          <w:p>
            <w:pPr>
              <w:spacing w:line="240" w:lineRule="auto"/>
              <w:jc w:val="center"/>
              <w:rPr>
                <w:rFonts w:hint="default" w:ascii="Calibri" w:hAnsi="Calibri" w:cs="Calibri"/>
                <w:i w:val="0"/>
                <w:iCs w:val="0"/>
                <w:color w:val="000000"/>
                <w:sz w:val="22"/>
                <w:szCs w:val="22"/>
                <w:u w:val="none"/>
              </w:rPr>
            </w:pPr>
          </w:p>
        </w:tc>
        <w:tc>
          <w:tcPr>
            <w:tcW w:w="1123" w:type="dxa"/>
            <w:vMerge w:val="continue"/>
            <w:tcBorders>
              <w:top w:val="single" w:color="000000" w:sz="4" w:space="0"/>
              <w:left w:val="nil"/>
              <w:bottom w:val="single" w:color="000000" w:sz="8" w:space="0"/>
              <w:right w:val="single" w:color="000000" w:sz="4" w:space="0"/>
            </w:tcBorders>
            <w:shd w:val="clear" w:color="auto" w:fill="F2F2F2"/>
            <w:noWrap/>
            <w:vAlign w:val="center"/>
          </w:tcPr>
          <w:p>
            <w:pPr>
              <w:spacing w:line="240" w:lineRule="auto"/>
              <w:jc w:val="center"/>
              <w:rPr>
                <w:rFonts w:hint="default" w:ascii="Calibri" w:hAnsi="Calibri" w:cs="Calibri"/>
                <w:i w:val="0"/>
                <w:iCs w:val="0"/>
                <w:color w:val="000000"/>
                <w:sz w:val="22"/>
                <w:szCs w:val="22"/>
                <w:u w:val="none"/>
              </w:rPr>
            </w:pPr>
          </w:p>
        </w:tc>
        <w:tc>
          <w:tcPr>
            <w:tcW w:w="1123" w:type="dxa"/>
            <w:vMerge w:val="restart"/>
            <w:tcBorders>
              <w:top w:val="single" w:color="000000" w:sz="4" w:space="0"/>
              <w:left w:val="nil"/>
              <w:bottom w:val="single" w:color="000000" w:sz="8" w:space="0"/>
              <w:right w:val="single" w:color="000000" w:sz="4" w:space="0"/>
            </w:tcBorders>
            <w:shd w:val="clear" w:color="auto" w:fill="F2F2F2"/>
            <w:noWrap/>
            <w:vAlign w:val="center"/>
          </w:tcPr>
          <w:p>
            <w:pPr>
              <w:spacing w:line="240" w:lineRule="auto"/>
              <w:jc w:val="center"/>
              <w:rPr>
                <w:rFonts w:hint="default" w:ascii="Calibri" w:hAnsi="Calibri" w:cs="Calibri"/>
                <w:i w:val="0"/>
                <w:iCs w:val="0"/>
                <w:color w:val="000000"/>
                <w:sz w:val="22"/>
                <w:szCs w:val="22"/>
                <w:u w:val="none"/>
              </w:rPr>
            </w:pPr>
          </w:p>
        </w:tc>
        <w:tc>
          <w:tcPr>
            <w:tcW w:w="1123" w:type="dxa"/>
            <w:tcBorders>
              <w:top w:val="single" w:color="000000" w:sz="4" w:space="0"/>
              <w:left w:val="single" w:color="000000" w:sz="4" w:space="0"/>
              <w:bottom w:val="single" w:color="000000" w:sz="4" w:space="0"/>
              <w:right w:val="single" w:color="000000" w:sz="4" w:space="0"/>
            </w:tcBorders>
            <w:shd w:val="clear" w:color="auto" w:fill="BFBFBF"/>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w:t>
            </w:r>
          </w:p>
        </w:tc>
        <w:tc>
          <w:tcPr>
            <w:tcW w:w="1126"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87" w:type="dxa"/>
            <w:tcBorders>
              <w:top w:val="single" w:color="000000" w:sz="4"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240" w:lineRule="auto"/>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E3</w:t>
            </w:r>
          </w:p>
        </w:tc>
        <w:tc>
          <w:tcPr>
            <w:tcW w:w="1123" w:type="dxa"/>
            <w:vMerge w:val="continue"/>
            <w:tcBorders>
              <w:top w:val="single" w:color="000000" w:sz="4" w:space="0"/>
              <w:left w:val="single" w:color="000000" w:sz="8" w:space="0"/>
              <w:bottom w:val="single" w:color="000000" w:sz="8" w:space="0"/>
              <w:right w:val="single" w:color="000000" w:sz="4" w:space="0"/>
            </w:tcBorders>
            <w:shd w:val="clear" w:color="auto" w:fill="F2F2F2"/>
            <w:noWrap/>
            <w:vAlign w:val="center"/>
          </w:tcPr>
          <w:p>
            <w:pPr>
              <w:spacing w:line="240" w:lineRule="auto"/>
              <w:jc w:val="center"/>
              <w:rPr>
                <w:rFonts w:hint="default" w:ascii="Calibri" w:hAnsi="Calibri" w:cs="Calibri"/>
                <w:i w:val="0"/>
                <w:iCs w:val="0"/>
                <w:color w:val="000000"/>
                <w:sz w:val="22"/>
                <w:szCs w:val="22"/>
                <w:u w:val="none"/>
              </w:rPr>
            </w:pPr>
          </w:p>
        </w:tc>
        <w:tc>
          <w:tcPr>
            <w:tcW w:w="1123" w:type="dxa"/>
            <w:vMerge w:val="continue"/>
            <w:tcBorders>
              <w:top w:val="single" w:color="000000" w:sz="4" w:space="0"/>
              <w:left w:val="nil"/>
              <w:bottom w:val="single" w:color="000000" w:sz="8" w:space="0"/>
              <w:right w:val="single" w:color="000000" w:sz="4" w:space="0"/>
            </w:tcBorders>
            <w:shd w:val="clear" w:color="auto" w:fill="F2F2F2"/>
            <w:noWrap/>
            <w:vAlign w:val="center"/>
          </w:tcPr>
          <w:p>
            <w:pPr>
              <w:spacing w:line="240" w:lineRule="auto"/>
              <w:jc w:val="center"/>
              <w:rPr>
                <w:rFonts w:hint="default" w:ascii="Calibri" w:hAnsi="Calibri" w:cs="Calibri"/>
                <w:i w:val="0"/>
                <w:iCs w:val="0"/>
                <w:color w:val="000000"/>
                <w:sz w:val="22"/>
                <w:szCs w:val="22"/>
                <w:u w:val="none"/>
              </w:rPr>
            </w:pPr>
          </w:p>
        </w:tc>
        <w:tc>
          <w:tcPr>
            <w:tcW w:w="1123" w:type="dxa"/>
            <w:vMerge w:val="continue"/>
            <w:tcBorders>
              <w:top w:val="single" w:color="000000" w:sz="4" w:space="0"/>
              <w:left w:val="nil"/>
              <w:bottom w:val="single" w:color="000000" w:sz="8" w:space="0"/>
              <w:right w:val="single" w:color="000000" w:sz="4" w:space="0"/>
            </w:tcBorders>
            <w:shd w:val="clear" w:color="auto" w:fill="F2F2F2"/>
            <w:noWrap/>
            <w:vAlign w:val="center"/>
          </w:tcPr>
          <w:p>
            <w:pPr>
              <w:spacing w:line="240" w:lineRule="auto"/>
              <w:jc w:val="center"/>
              <w:rPr>
                <w:rFonts w:hint="default" w:ascii="Calibri" w:hAnsi="Calibri" w:cs="Calibri"/>
                <w:i w:val="0"/>
                <w:iCs w:val="0"/>
                <w:color w:val="000000"/>
                <w:sz w:val="22"/>
                <w:szCs w:val="22"/>
                <w:u w:val="none"/>
              </w:rPr>
            </w:pPr>
          </w:p>
        </w:tc>
        <w:tc>
          <w:tcPr>
            <w:tcW w:w="1123" w:type="dxa"/>
            <w:vMerge w:val="continue"/>
            <w:tcBorders>
              <w:top w:val="single" w:color="000000" w:sz="4" w:space="0"/>
              <w:left w:val="nil"/>
              <w:bottom w:val="single" w:color="000000" w:sz="8" w:space="0"/>
              <w:right w:val="single" w:color="000000" w:sz="4" w:space="0"/>
            </w:tcBorders>
            <w:shd w:val="clear" w:color="auto" w:fill="F2F2F2"/>
            <w:noWrap/>
            <w:vAlign w:val="center"/>
          </w:tcPr>
          <w:p>
            <w:pPr>
              <w:spacing w:line="240" w:lineRule="auto"/>
              <w:jc w:val="center"/>
              <w:rPr>
                <w:rFonts w:hint="default" w:ascii="Calibri" w:hAnsi="Calibri" w:cs="Calibri"/>
                <w:i w:val="0"/>
                <w:iCs w:val="0"/>
                <w:color w:val="000000"/>
                <w:sz w:val="22"/>
                <w:szCs w:val="22"/>
                <w:u w:val="none"/>
              </w:rPr>
            </w:pPr>
          </w:p>
        </w:tc>
        <w:tc>
          <w:tcPr>
            <w:tcW w:w="1123" w:type="dxa"/>
            <w:vMerge w:val="continue"/>
            <w:tcBorders>
              <w:top w:val="single" w:color="000000" w:sz="4" w:space="0"/>
              <w:left w:val="nil"/>
              <w:bottom w:val="single" w:color="000000" w:sz="8" w:space="0"/>
              <w:right w:val="single" w:color="000000" w:sz="4" w:space="0"/>
            </w:tcBorders>
            <w:shd w:val="clear" w:color="auto" w:fill="F2F2F2"/>
            <w:noWrap/>
            <w:vAlign w:val="center"/>
          </w:tcPr>
          <w:p>
            <w:pPr>
              <w:spacing w:line="240" w:lineRule="auto"/>
              <w:jc w:val="center"/>
              <w:rPr>
                <w:rFonts w:hint="default" w:ascii="Calibri" w:hAnsi="Calibri" w:cs="Calibri"/>
                <w:i w:val="0"/>
                <w:iCs w:val="0"/>
                <w:color w:val="000000"/>
                <w:sz w:val="22"/>
                <w:szCs w:val="22"/>
                <w:u w:val="none"/>
              </w:rPr>
            </w:pPr>
          </w:p>
        </w:tc>
        <w:tc>
          <w:tcPr>
            <w:tcW w:w="1123" w:type="dxa"/>
            <w:vMerge w:val="continue"/>
            <w:tcBorders>
              <w:top w:val="single" w:color="000000" w:sz="4" w:space="0"/>
              <w:left w:val="nil"/>
              <w:bottom w:val="single" w:color="000000" w:sz="8" w:space="0"/>
              <w:right w:val="single" w:color="000000" w:sz="4" w:space="0"/>
            </w:tcBorders>
            <w:shd w:val="clear" w:color="auto" w:fill="F2F2F2"/>
            <w:noWrap/>
            <w:vAlign w:val="center"/>
          </w:tcPr>
          <w:p>
            <w:pPr>
              <w:spacing w:line="240" w:lineRule="auto"/>
              <w:jc w:val="center"/>
              <w:rPr>
                <w:rFonts w:hint="default" w:ascii="Calibri" w:hAnsi="Calibri" w:cs="Calibri"/>
                <w:i w:val="0"/>
                <w:iCs w:val="0"/>
                <w:color w:val="000000"/>
                <w:sz w:val="22"/>
                <w:szCs w:val="22"/>
                <w:u w:val="none"/>
              </w:rPr>
            </w:pPr>
          </w:p>
        </w:tc>
        <w:tc>
          <w:tcPr>
            <w:tcW w:w="1123" w:type="dxa"/>
            <w:tcBorders>
              <w:top w:val="single" w:color="000000" w:sz="4" w:space="0"/>
              <w:left w:val="nil"/>
              <w:bottom w:val="single" w:color="000000" w:sz="8" w:space="0"/>
              <w:right w:val="single" w:color="000000" w:sz="4" w:space="0"/>
            </w:tcBorders>
            <w:shd w:val="clear" w:color="auto" w:fill="F2F2F2"/>
            <w:noWrap/>
            <w:vAlign w:val="center"/>
          </w:tcPr>
          <w:p>
            <w:pPr>
              <w:spacing w:line="240" w:lineRule="auto"/>
              <w:jc w:val="center"/>
              <w:rPr>
                <w:rFonts w:hint="default" w:ascii="Calibri" w:hAnsi="Calibri" w:cs="Calibri"/>
                <w:i w:val="0"/>
                <w:iCs w:val="0"/>
                <w:color w:val="000000"/>
                <w:sz w:val="22"/>
                <w:szCs w:val="22"/>
                <w:u w:val="none"/>
              </w:rPr>
            </w:pPr>
          </w:p>
        </w:tc>
        <w:tc>
          <w:tcPr>
            <w:tcW w:w="1126" w:type="dxa"/>
            <w:tcBorders>
              <w:top w:val="single" w:color="000000" w:sz="4" w:space="0"/>
              <w:left w:val="single" w:color="000000" w:sz="4" w:space="0"/>
              <w:bottom w:val="single" w:color="000000" w:sz="8" w:space="0"/>
              <w:right w:val="single" w:color="000000" w:sz="8" w:space="0"/>
            </w:tcBorders>
            <w:shd w:val="clear" w:color="auto" w:fill="BFBFBF"/>
            <w:noWrap/>
            <w:vAlign w:val="center"/>
          </w:tcPr>
          <w:p>
            <w:pPr>
              <w:keepNext w:val="0"/>
              <w:keepLines w:val="0"/>
              <w:widowControl/>
              <w:suppressLineNumbers w:val="0"/>
              <w:spacing w:line="240" w:lineRule="auto"/>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w:t>
            </w:r>
          </w:p>
        </w:tc>
      </w:tr>
    </w:tbl>
    <w:p>
      <w:pPr>
        <w:spacing w:line="240" w:lineRule="auto"/>
        <w:jc w:val="both"/>
        <w:rPr>
          <w:rFonts w:ascii="Calibri" w:hAnsi="Calibri" w:cs="Calibri"/>
          <w:b/>
          <w:bCs/>
          <w:sz w:val="22"/>
          <w:szCs w:val="22"/>
          <w:lang w:val="en-GB"/>
        </w:rPr>
      </w:pPr>
    </w:p>
    <w:p>
      <w:pPr>
        <w:spacing w:line="240" w:lineRule="auto"/>
        <w:jc w:val="both"/>
        <w:rPr>
          <w:rFonts w:ascii="Calibri" w:hAnsi="Calibri" w:cs="Calibri"/>
          <w:sz w:val="22"/>
          <w:szCs w:val="22"/>
          <w:lang w:val="en-GB" w:eastAsia="en-US"/>
        </w:rPr>
      </w:pPr>
      <w:r>
        <w:rPr>
          <w:rFonts w:ascii="Calibri" w:hAnsi="Calibri" w:cs="Calibri"/>
          <w:b/>
          <w:bCs/>
          <w:sz w:val="22"/>
          <w:szCs w:val="22"/>
          <w:lang w:val="en-GB"/>
        </w:rPr>
        <w:t xml:space="preserve">Table 5. </w:t>
      </w:r>
      <w:r>
        <w:rPr>
          <w:rFonts w:ascii="Calibri" w:hAnsi="Calibri" w:cs="Calibri"/>
          <w:sz w:val="22"/>
          <w:szCs w:val="22"/>
          <w:lang w:val="en-GB"/>
        </w:rPr>
        <w:t xml:space="preserve">Cohen’s kappa values from the intra- and inter-test reliability assessments. For the intra-test reliability assessment, </w:t>
      </w:r>
      <m:oMath>
        <m:r>
          <m:rPr>
            <m:sty m:val="p"/>
          </m:rPr>
          <w:rPr>
            <w:rFonts w:ascii="Cambria Math" w:hAnsi="Cambria Math" w:cs="Calibri"/>
            <w:sz w:val="22"/>
            <w:szCs w:val="22"/>
            <w:lang w:val="en-GB" w:eastAsia="en-US"/>
          </w:rPr>
          <m:t>κ</m:t>
        </m:r>
      </m:oMath>
      <w:r>
        <w:rPr>
          <w:rFonts w:ascii="Times New Roman" w:hAnsi="Cambria Math" w:cs="Calibri"/>
          <w:sz w:val="22"/>
          <w:szCs w:val="22"/>
          <w:lang w:val="en-GB" w:eastAsia="en-US"/>
        </w:rPr>
        <w:t xml:space="preserve"> </w:t>
      </w:r>
      <w:r>
        <w:rPr>
          <w:rFonts w:hint="default" w:ascii="Calibri" w:hAnsi="Calibri" w:cs="Calibri"/>
          <w:sz w:val="22"/>
          <w:szCs w:val="22"/>
          <w:lang w:val="en-GB"/>
        </w:rPr>
        <w:t>indicates</w:t>
      </w:r>
      <w:r>
        <w:rPr>
          <w:rFonts w:ascii="Calibri" w:hAnsi="Calibri" w:cs="Calibri"/>
          <w:sz w:val="22"/>
          <w:szCs w:val="22"/>
          <w:lang w:val="en-GB"/>
        </w:rPr>
        <w:t xml:space="preserve"> how consistent a detection method or examiner is at arriving at the same conclusion when presented with a repeat recording. For the inter-test reliability assessment, </w:t>
      </w:r>
      <m:oMath>
        <m:r>
          <m:rPr>
            <m:sty m:val="p"/>
          </m:rPr>
          <w:rPr>
            <w:rFonts w:ascii="Cambria Math" w:hAnsi="Cambria Math" w:cs="Calibri"/>
            <w:sz w:val="22"/>
            <w:szCs w:val="22"/>
            <w:lang w:val="en-GB" w:eastAsia="en-US"/>
          </w:rPr>
          <m:t>κ</m:t>
        </m:r>
      </m:oMath>
      <w:r>
        <w:rPr>
          <w:rFonts w:ascii="Times New Roman" w:hAnsi="Cambria Math" w:cs="Calibri"/>
          <w:sz w:val="22"/>
          <w:szCs w:val="22"/>
          <w:lang w:val="en-GB" w:eastAsia="en-US"/>
        </w:rPr>
        <w:t xml:space="preserve"> </w:t>
      </w:r>
      <w:r>
        <w:rPr>
          <w:rFonts w:ascii="Calibri" w:hAnsi="Calibri" w:cs="Calibri"/>
          <w:sz w:val="22"/>
          <w:szCs w:val="22"/>
          <w:lang w:val="en-GB"/>
        </w:rPr>
        <w:t>represent</w:t>
      </w:r>
      <w:r>
        <w:rPr>
          <w:rFonts w:hint="default" w:ascii="Calibri" w:hAnsi="Calibri" w:cs="Calibri"/>
          <w:sz w:val="22"/>
          <w:szCs w:val="22"/>
          <w:lang w:val="en-GB"/>
        </w:rPr>
        <w:t>s</w:t>
      </w:r>
      <w:r>
        <w:rPr>
          <w:rFonts w:ascii="Calibri" w:hAnsi="Calibri" w:cs="Calibri"/>
          <w:sz w:val="22"/>
          <w:szCs w:val="22"/>
          <w:lang w:val="en-GB"/>
        </w:rPr>
        <w:t xml:space="preserve"> the amount of agreement amongst examiners and/or detection methods when determining whether a </w:t>
      </w:r>
      <w:r>
        <w:rPr>
          <w:rFonts w:hint="default" w:ascii="Calibri" w:hAnsi="Calibri" w:cs="Calibri"/>
          <w:sz w:val="22"/>
          <w:szCs w:val="22"/>
          <w:lang w:val="en-GB"/>
        </w:rPr>
        <w:t xml:space="preserve">CAEP </w:t>
      </w:r>
      <w:r>
        <w:rPr>
          <w:rFonts w:ascii="Calibri" w:hAnsi="Calibri" w:cs="Calibri"/>
          <w:sz w:val="22"/>
          <w:szCs w:val="22"/>
          <w:lang w:val="en-GB"/>
        </w:rPr>
        <w:t xml:space="preserve">is present or not. Results generally show higher </w:t>
      </w:r>
      <m:oMath>
        <m:r>
          <m:rPr>
            <m:sty m:val="p"/>
          </m:rPr>
          <w:rPr>
            <w:rFonts w:ascii="Cambria Math" w:hAnsi="Cambria Math" w:cs="Calibri"/>
            <w:sz w:val="22"/>
            <w:szCs w:val="22"/>
            <w:lang w:val="en-GB" w:eastAsia="en-US"/>
          </w:rPr>
          <m:t>κ</m:t>
        </m:r>
      </m:oMath>
      <w:r>
        <w:rPr>
          <w:rFonts w:ascii="Calibri" w:hAnsi="Calibri" w:cs="Calibri"/>
          <w:sz w:val="22"/>
          <w:szCs w:val="22"/>
          <w:lang w:val="en-GB" w:eastAsia="en-US"/>
        </w:rPr>
        <w:t xml:space="preserve"> values for the detection methods relative to the examiners</w:t>
      </w:r>
      <w:r>
        <w:rPr>
          <w:rFonts w:hint="default" w:ascii="Calibri" w:hAnsi="Calibri" w:cs="Calibri"/>
          <w:sz w:val="22"/>
          <w:szCs w:val="22"/>
          <w:lang w:val="en-GB" w:eastAsia="en-US"/>
        </w:rPr>
        <w:t xml:space="preserve"> - </w:t>
      </w:r>
      <w:r>
        <w:rPr>
          <w:rFonts w:ascii="Calibri" w:hAnsi="Calibri" w:cs="Calibri"/>
          <w:sz w:val="22"/>
          <w:szCs w:val="22"/>
          <w:lang w:val="en-GB" w:eastAsia="en-US"/>
        </w:rPr>
        <w:t>further considered in the main text.</w:t>
      </w:r>
    </w:p>
    <w:p>
      <w:pPr>
        <w:spacing w:line="240" w:lineRule="auto"/>
        <w:rPr>
          <w:rFonts w:ascii="Calibri" w:hAnsi="Calibri" w:cs="Calibri"/>
          <w:sz w:val="22"/>
          <w:szCs w:val="22"/>
          <w:lang w:val="en-GB" w:eastAsia="en-US"/>
        </w:rPr>
      </w:pPr>
    </w:p>
    <w:p>
      <w:pPr>
        <w:spacing w:line="240" w:lineRule="auto"/>
        <w:rPr>
          <w:rFonts w:ascii="Calibri" w:hAnsi="Calibri" w:cs="Calibri"/>
          <w:b/>
          <w:bCs/>
          <w:sz w:val="22"/>
          <w:szCs w:val="22"/>
          <w:lang w:val="en-GB"/>
        </w:rPr>
      </w:pPr>
      <w:r>
        <w:rPr>
          <w:rFonts w:ascii="Calibri" w:hAnsi="Calibri" w:cs="Calibri"/>
          <w:b/>
          <w:bCs/>
          <w:sz w:val="28"/>
          <w:szCs w:val="28"/>
          <w:lang w:val="en-GB"/>
        </w:rPr>
        <w:t>4. Discussion</w:t>
      </w:r>
    </w:p>
    <w:p>
      <w:pPr>
        <w:pStyle w:val="17"/>
        <w:spacing w:line="240" w:lineRule="auto"/>
        <w:jc w:val="both"/>
        <w:rPr>
          <w:rFonts w:ascii="Calibri" w:hAnsi="Calibri" w:cs="Calibri"/>
          <w:lang w:val="en-GB"/>
        </w:rPr>
      </w:pPr>
      <w:r>
        <w:rPr>
          <w:rFonts w:ascii="Calibri" w:hAnsi="Calibri" w:cs="Calibri"/>
          <w:lang w:val="en-GB"/>
        </w:rPr>
        <w:t>This study evaluated various new and existing objective methods for aided CAEP detection in infants with hearing loss</w:t>
      </w:r>
      <w:r>
        <w:rPr>
          <w:rFonts w:hint="default" w:ascii="Calibri" w:hAnsi="Calibri" w:cs="Calibri"/>
          <w:lang w:val="en-GB"/>
        </w:rPr>
        <w:t>,</w:t>
      </w:r>
      <w:r>
        <w:rPr>
          <w:rFonts w:ascii="Calibri" w:hAnsi="Calibri" w:cs="Calibri"/>
          <w:lang w:val="en-GB"/>
        </w:rPr>
        <w:t xml:space="preserve"> </w:t>
      </w:r>
      <w:r>
        <w:rPr>
          <w:rFonts w:hint="default" w:ascii="Calibri" w:hAnsi="Calibri" w:cs="Calibri"/>
          <w:lang w:val="en-GB"/>
        </w:rPr>
        <w:t xml:space="preserve">and </w:t>
      </w:r>
      <w:r>
        <w:rPr>
          <w:rFonts w:ascii="Calibri" w:hAnsi="Calibri" w:cs="Calibri"/>
          <w:lang w:val="en-GB"/>
        </w:rPr>
        <w:t>aim</w:t>
      </w:r>
      <w:r>
        <w:rPr>
          <w:rFonts w:hint="default" w:ascii="Calibri" w:hAnsi="Calibri" w:cs="Calibri"/>
          <w:lang w:val="en-GB"/>
        </w:rPr>
        <w:t>ed</w:t>
      </w:r>
      <w:r>
        <w:rPr>
          <w:rFonts w:ascii="Calibri" w:hAnsi="Calibri" w:cs="Calibri"/>
          <w:lang w:val="en-GB"/>
        </w:rPr>
        <w:t xml:space="preserve"> to improve the accuracy and efficiency of CAEP measurements in this population. Results firstly confirm the “large p small n” problem (</w:t>
      </w:r>
      <w:r>
        <w:rPr>
          <w:rFonts w:ascii="Calibri" w:hAnsi="Calibri" w:cs="Calibri"/>
          <w:color w:val="2E75B6" w:themeColor="accent1" w:themeShade="BF"/>
          <w:lang w:val="en-GB"/>
        </w:rPr>
        <w:t xml:space="preserve">Li et al, 2017) </w:t>
      </w:r>
      <w:r>
        <w:rPr>
          <w:rFonts w:ascii="Calibri" w:hAnsi="Calibri" w:cs="Calibri"/>
          <w:lang w:val="en-GB"/>
        </w:rPr>
        <w:t xml:space="preserve">for the </w:t>
      </w:r>
      <w:r>
        <w:rPr>
          <w:rFonts w:ascii="Calibri" w:hAnsi="Calibri" w:cs="Calibri"/>
          <w:sz w:val="22"/>
          <w:szCs w:val="22"/>
          <w:lang w:val="en-GB"/>
        </w:rPr>
        <w:t>HT</w:t>
      </w:r>
      <w:r>
        <w:rPr>
          <w:rFonts w:ascii="Calibri" w:hAnsi="Calibri" w:cs="Calibri"/>
          <w:sz w:val="22"/>
          <w:szCs w:val="22"/>
          <w:vertAlign w:val="superscript"/>
          <w:lang w:val="en-GB"/>
        </w:rPr>
        <w:t>2</w:t>
      </w:r>
      <w:r>
        <w:rPr>
          <w:rFonts w:hint="default" w:ascii="Calibri" w:hAnsi="Calibri" w:cs="Calibri"/>
          <w:sz w:val="22"/>
          <w:szCs w:val="22"/>
          <w:lang w:val="en-GB"/>
        </w:rPr>
        <w:t xml:space="preserve"> </w:t>
      </w:r>
      <w:r>
        <w:rPr>
          <w:rFonts w:ascii="Calibri" w:hAnsi="Calibri" w:cs="Calibri"/>
          <w:lang w:val="en-GB"/>
        </w:rPr>
        <w:t>test, which was previously hypothesised to be due to poor estimates of the feature covariance matrix (</w:t>
      </w:r>
      <w:r>
        <w:rPr>
          <w:rFonts w:ascii="Calibri" w:hAnsi="Calibri" w:cs="Calibri"/>
          <w:color w:val="2E75B6" w:themeColor="accent1" w:themeShade="BF"/>
          <w:lang w:val="en-GB"/>
        </w:rPr>
        <w:t>Bai &amp; Saranadasa, 1996</w:t>
      </w:r>
      <w:r>
        <w:rPr>
          <w:rFonts w:ascii="Calibri" w:hAnsi="Calibri" w:cs="Calibri"/>
          <w:lang w:val="en-GB"/>
        </w:rPr>
        <w:t>). Indeed, improved test sensitivities were obtained by replacing the conventional feature covariance matrix with either the Toeplitz (E.q. 4) or the diagonal (E.q. 5) covariance matrix.</w:t>
      </w:r>
    </w:p>
    <w:p>
      <w:pPr>
        <w:pStyle w:val="17"/>
        <w:spacing w:line="240" w:lineRule="auto"/>
        <w:jc w:val="both"/>
        <w:rPr>
          <w:rFonts w:ascii="Calibri" w:hAnsi="Calibri" w:cs="Calibri"/>
          <w:lang w:val="en-GB"/>
        </w:rPr>
      </w:pPr>
    </w:p>
    <w:p>
      <w:pPr>
        <w:pStyle w:val="17"/>
        <w:spacing w:line="240" w:lineRule="auto"/>
        <w:jc w:val="both"/>
        <w:rPr>
          <w:rFonts w:ascii="Calibri" w:hAnsi="Calibri" w:cs="Calibri"/>
          <w:lang w:val="en-GB"/>
        </w:rPr>
      </w:pPr>
      <w:r>
        <w:rPr>
          <w:rFonts w:ascii="Calibri" w:hAnsi="Calibri" w:cs="Calibri"/>
          <w:lang w:val="en-GB"/>
        </w:rPr>
        <w:t xml:space="preserve">Some alternative modifications for preventing low </w:t>
      </w:r>
      <w:r>
        <w:rPr>
          <w:rFonts w:ascii="Calibri" w:hAnsi="Calibri" w:cs="Calibri"/>
          <w:sz w:val="22"/>
          <w:szCs w:val="22"/>
          <w:lang w:val="en-GB"/>
        </w:rPr>
        <w:t>HT</w:t>
      </w:r>
      <w:r>
        <w:rPr>
          <w:rFonts w:ascii="Calibri" w:hAnsi="Calibri" w:cs="Calibri"/>
          <w:sz w:val="22"/>
          <w:szCs w:val="22"/>
          <w:vertAlign w:val="superscript"/>
          <w:lang w:val="en-GB"/>
        </w:rPr>
        <w:t>2</w:t>
      </w:r>
      <w:r>
        <w:rPr>
          <w:rFonts w:hint="default" w:ascii="Calibri" w:hAnsi="Calibri" w:cs="Calibri"/>
          <w:sz w:val="22"/>
          <w:szCs w:val="22"/>
          <w:lang w:val="en-GB"/>
        </w:rPr>
        <w:t xml:space="preserve"> </w:t>
      </w:r>
      <w:r>
        <w:rPr>
          <w:rFonts w:ascii="Calibri" w:hAnsi="Calibri" w:cs="Calibri"/>
          <w:lang w:val="en-GB"/>
        </w:rPr>
        <w:t>test sensitivities have previously also been proposed in the literature. These have been categorised by Dong et al (2016) as: (1) the “unscaled T</w:t>
      </w:r>
      <w:r>
        <w:rPr>
          <w:rFonts w:ascii="Calibri" w:hAnsi="Calibri" w:cs="Calibri"/>
          <w:vertAlign w:val="superscript"/>
          <w:lang w:val="en-GB"/>
        </w:rPr>
        <w:t>2</w:t>
      </w:r>
      <w:r>
        <w:rPr>
          <w:rFonts w:ascii="Calibri" w:hAnsi="Calibri" w:cs="Calibri"/>
          <w:lang w:val="en-GB"/>
        </w:rPr>
        <w:t xml:space="preserve"> statistics” where the feature covariance matrix is removed from the T</w:t>
      </w:r>
      <w:r>
        <w:rPr>
          <w:rFonts w:ascii="Calibri" w:hAnsi="Calibri" w:cs="Calibri"/>
          <w:vertAlign w:val="superscript"/>
          <w:lang w:val="en-GB"/>
        </w:rPr>
        <w:t>2</w:t>
      </w:r>
      <w:r>
        <w:rPr>
          <w:rFonts w:ascii="Calibri" w:hAnsi="Calibri" w:cs="Calibri"/>
          <w:lang w:val="en-GB"/>
        </w:rPr>
        <w:t xml:space="preserve"> statistic (e.g. </w:t>
      </w:r>
      <w:r>
        <w:rPr>
          <w:rFonts w:ascii="Calibri" w:hAnsi="Calibri" w:cs="Calibri"/>
          <w:color w:val="2E75B6" w:themeColor="accent1" w:themeShade="BF"/>
          <w:lang w:val="en-GB"/>
        </w:rPr>
        <w:t>Bai &amp; Saranadasa, 1996</w:t>
      </w:r>
      <w:r>
        <w:rPr>
          <w:rFonts w:ascii="Calibri" w:hAnsi="Calibri" w:cs="Calibri"/>
          <w:lang w:val="en-GB"/>
        </w:rPr>
        <w:t>;</w:t>
      </w:r>
      <w:r>
        <w:rPr>
          <w:rFonts w:ascii="Calibri" w:hAnsi="Calibri" w:cs="Calibri"/>
          <w:color w:val="2E75B6" w:themeColor="accent1" w:themeShade="BF"/>
          <w:lang w:val="en-GB"/>
        </w:rPr>
        <w:t xml:space="preserve"> </w:t>
      </w:r>
      <w:r>
        <w:rPr>
          <w:rFonts w:ascii="Calibri" w:hAnsi="Calibri" w:cs="Calibri"/>
          <w:color w:val="2E75B6" w:themeColor="accent1" w:themeShade="BF"/>
          <w:lang w:val="en-US"/>
        </w:rPr>
        <w:t>Zhang</w:t>
      </w:r>
      <w:r>
        <w:rPr>
          <w:rFonts w:ascii="Calibri" w:hAnsi="Calibri" w:cs="Calibri"/>
          <w:color w:val="2E75B6" w:themeColor="accent1" w:themeShade="BF"/>
          <w:lang w:val="en-GB"/>
        </w:rPr>
        <w:t xml:space="preserve"> &amp; </w:t>
      </w:r>
      <w:r>
        <w:rPr>
          <w:rFonts w:ascii="Calibri" w:hAnsi="Calibri" w:cs="Calibri"/>
          <w:color w:val="2E75B6" w:themeColor="accent1" w:themeShade="BF"/>
          <w:lang w:val="en-US"/>
        </w:rPr>
        <w:t>Xu</w:t>
      </w:r>
      <w:r>
        <w:rPr>
          <w:rFonts w:ascii="Calibri" w:hAnsi="Calibri" w:cs="Calibri"/>
          <w:color w:val="2E75B6" w:themeColor="accent1" w:themeShade="BF"/>
          <w:lang w:val="en-GB"/>
        </w:rPr>
        <w:t>, 2009</w:t>
      </w:r>
      <w:r>
        <w:rPr>
          <w:rFonts w:ascii="Calibri" w:hAnsi="Calibri" w:cs="Calibri"/>
          <w:lang w:val="en-GB"/>
        </w:rPr>
        <w:t>), (2) the “regularised T</w:t>
      </w:r>
      <w:r>
        <w:rPr>
          <w:rFonts w:ascii="Calibri" w:hAnsi="Calibri" w:cs="Calibri"/>
          <w:vertAlign w:val="superscript"/>
          <w:lang w:val="en-GB"/>
        </w:rPr>
        <w:t>2</w:t>
      </w:r>
      <w:r>
        <w:rPr>
          <w:rFonts w:ascii="Calibri" w:hAnsi="Calibri" w:cs="Calibri"/>
          <w:lang w:val="en-GB"/>
        </w:rPr>
        <w:t xml:space="preserve"> statistics” where a regularisation factor is applied to the feature covariance matrix (</w:t>
      </w:r>
      <w:r>
        <w:rPr>
          <w:rFonts w:ascii="Calibri" w:hAnsi="Calibri" w:cs="Calibri"/>
          <w:color w:val="2E75B6" w:themeColor="accent1" w:themeShade="BF"/>
          <w:lang w:val="en-GB"/>
        </w:rPr>
        <w:t>Chen et al, 2011</w:t>
      </w:r>
      <w:r>
        <w:rPr>
          <w:rFonts w:ascii="Calibri" w:hAnsi="Calibri" w:cs="Calibri"/>
          <w:lang w:val="en-GB"/>
        </w:rPr>
        <w:t xml:space="preserve">), </w:t>
      </w:r>
      <w:r>
        <w:rPr>
          <w:rFonts w:hint="default" w:ascii="Calibri" w:hAnsi="Calibri" w:cs="Calibri"/>
          <w:lang w:val="en-GB"/>
        </w:rPr>
        <w:t xml:space="preserve">and </w:t>
      </w:r>
      <w:r>
        <w:rPr>
          <w:rFonts w:ascii="Calibri" w:hAnsi="Calibri" w:cs="Calibri"/>
          <w:lang w:val="en-GB"/>
        </w:rPr>
        <w:t>(3) the “diagonal T</w:t>
      </w:r>
      <w:r>
        <w:rPr>
          <w:rFonts w:ascii="Calibri" w:hAnsi="Calibri" w:cs="Calibri"/>
          <w:vertAlign w:val="superscript"/>
          <w:lang w:val="en-GB"/>
        </w:rPr>
        <w:t>2</w:t>
      </w:r>
      <w:r>
        <w:rPr>
          <w:rFonts w:ascii="Calibri" w:hAnsi="Calibri" w:cs="Calibri"/>
          <w:lang w:val="en-GB"/>
        </w:rPr>
        <w:t xml:space="preserve"> statistics” where all covariances are set to zero, giving a diagonal covariance matrix (e.g. </w:t>
      </w:r>
      <w:r>
        <w:rPr>
          <w:rFonts w:ascii="Calibri" w:hAnsi="Calibri" w:cs="Calibri"/>
          <w:color w:val="2E75B6" w:themeColor="accent1" w:themeShade="BF"/>
          <w:lang w:val="en-GB"/>
        </w:rPr>
        <w:t>Witten &amp; Tibshirani, 2011</w:t>
      </w:r>
      <w:r>
        <w:rPr>
          <w:rFonts w:ascii="Calibri" w:hAnsi="Calibri" w:cs="Calibri"/>
          <w:lang w:val="en-GB"/>
        </w:rPr>
        <w:t>). The T</w:t>
      </w:r>
      <w:r>
        <w:rPr>
          <w:rFonts w:ascii="Calibri" w:hAnsi="Calibri" w:cs="Calibri"/>
          <w:vertAlign w:val="superscript"/>
          <w:lang w:val="en-GB"/>
        </w:rPr>
        <w:t>2</w:t>
      </w:r>
      <w:r>
        <w:rPr>
          <w:rFonts w:ascii="Calibri" w:hAnsi="Calibri" w:cs="Calibri"/>
          <w:vertAlign w:val="subscript"/>
          <w:lang w:val="en-GB"/>
        </w:rPr>
        <w:t>Diag</w:t>
      </w:r>
      <w:r>
        <w:rPr>
          <w:rFonts w:ascii="Calibri" w:hAnsi="Calibri" w:cs="Calibri"/>
          <w:lang w:val="en-GB"/>
        </w:rPr>
        <w:t xml:space="preserve"> statistic proposed in the current work falls in the third category, but is specifically justified for the frequency domain </w:t>
      </w:r>
      <w:r>
        <w:rPr>
          <w:rFonts w:ascii="Calibri" w:hAnsi="Calibri" w:cs="Calibri"/>
          <w:sz w:val="22"/>
          <w:szCs w:val="22"/>
          <w:lang w:val="en-GB"/>
        </w:rPr>
        <w:t>HT</w:t>
      </w:r>
      <w:r>
        <w:rPr>
          <w:rFonts w:ascii="Calibri" w:hAnsi="Calibri" w:cs="Calibri"/>
          <w:sz w:val="22"/>
          <w:szCs w:val="22"/>
          <w:vertAlign w:val="superscript"/>
          <w:lang w:val="en-GB"/>
        </w:rPr>
        <w:t>2</w:t>
      </w:r>
      <w:r>
        <w:rPr>
          <w:rFonts w:hint="default" w:ascii="Calibri" w:hAnsi="Calibri" w:cs="Calibri"/>
          <w:sz w:val="22"/>
          <w:szCs w:val="22"/>
          <w:lang w:val="en-GB"/>
        </w:rPr>
        <w:t xml:space="preserve"> </w:t>
      </w:r>
      <w:r>
        <w:rPr>
          <w:rFonts w:ascii="Calibri" w:hAnsi="Calibri" w:cs="Calibri"/>
          <w:lang w:val="en-GB"/>
        </w:rPr>
        <w:t>test due to statistics of the Fourier Transform coefficients from stationary signals. The T</w:t>
      </w:r>
      <w:r>
        <w:rPr>
          <w:rFonts w:ascii="Calibri" w:hAnsi="Calibri" w:cs="Calibri"/>
          <w:vertAlign w:val="superscript"/>
          <w:lang w:val="en-GB"/>
        </w:rPr>
        <w:t>2</w:t>
      </w:r>
      <w:r>
        <w:rPr>
          <w:rFonts w:ascii="Calibri" w:hAnsi="Calibri" w:cs="Calibri"/>
          <w:vertAlign w:val="subscript"/>
          <w:lang w:val="en-GB"/>
        </w:rPr>
        <w:t>Toep</w:t>
      </w:r>
      <w:r>
        <w:rPr>
          <w:rFonts w:ascii="Calibri" w:hAnsi="Calibri" w:cs="Calibri"/>
          <w:lang w:val="en-GB"/>
        </w:rPr>
        <w:t xml:space="preserve"> statistic falls outside this classification scheme, but is again based on prior knowledge (or the assumption) of signal stationarity. </w:t>
      </w:r>
    </w:p>
    <w:p>
      <w:pPr>
        <w:pStyle w:val="17"/>
        <w:spacing w:line="240" w:lineRule="auto"/>
        <w:jc w:val="both"/>
        <w:rPr>
          <w:rFonts w:ascii="Calibri" w:hAnsi="Calibri" w:cs="Calibri"/>
          <w:lang w:val="en-GB"/>
        </w:rPr>
      </w:pPr>
    </w:p>
    <w:p>
      <w:pPr>
        <w:pStyle w:val="17"/>
        <w:spacing w:line="240" w:lineRule="auto"/>
        <w:jc w:val="both"/>
        <w:rPr>
          <w:rFonts w:ascii="Calibri" w:hAnsi="Calibri" w:cs="Calibri"/>
          <w:lang w:val="en-GB"/>
        </w:rPr>
      </w:pPr>
      <w:r>
        <w:rPr>
          <w:rFonts w:ascii="Calibri" w:hAnsi="Calibri" w:cs="Calibri"/>
          <w:i/>
          <w:iCs/>
          <w:lang w:val="en-GB"/>
        </w:rPr>
        <w:t>Alternative detection methods</w:t>
      </w:r>
    </w:p>
    <w:p>
      <w:pPr>
        <w:pStyle w:val="17"/>
        <w:spacing w:line="240" w:lineRule="auto"/>
        <w:jc w:val="both"/>
        <w:rPr>
          <w:rFonts w:ascii="Calibri" w:hAnsi="Calibri" w:cs="Calibri"/>
          <w:lang w:val="en-GB"/>
        </w:rPr>
      </w:pPr>
      <w:r>
        <w:rPr>
          <w:rFonts w:ascii="Calibri" w:hAnsi="Calibri" w:cs="Calibri"/>
          <w:lang w:val="en-GB"/>
        </w:rPr>
        <w:t xml:space="preserve">Other detection methods published in the literature were initially </w:t>
      </w:r>
      <w:r>
        <w:rPr>
          <w:rFonts w:hint="default" w:ascii="Calibri" w:hAnsi="Calibri" w:cs="Calibri"/>
          <w:lang w:val="en-GB"/>
        </w:rPr>
        <w:t xml:space="preserve">also </w:t>
      </w:r>
      <w:r>
        <w:rPr>
          <w:rFonts w:ascii="Calibri" w:hAnsi="Calibri" w:cs="Calibri"/>
          <w:lang w:val="en-GB"/>
        </w:rPr>
        <w:t>included in the assessment, but were removed from the final results to remain concise. These include various alternative modified q-sample statistics from Cebulla et al (2006), the Fsp (</w:t>
      </w:r>
      <w:r>
        <w:rPr>
          <w:rFonts w:ascii="Calibri" w:hAnsi="Calibri" w:cs="Calibri"/>
          <w:color w:val="2E75B6" w:themeColor="accent1" w:themeShade="BF"/>
          <w:lang w:val="en-GB"/>
        </w:rPr>
        <w:t>Elberling &amp; Don, 1984</w:t>
      </w:r>
      <w:r>
        <w:rPr>
          <w:rFonts w:ascii="Calibri" w:hAnsi="Calibri" w:cs="Calibri"/>
          <w:lang w:val="en-GB"/>
        </w:rPr>
        <w:t>), the Fmp (</w:t>
      </w:r>
      <w:r>
        <w:rPr>
          <w:rFonts w:ascii="Calibri" w:hAnsi="Calibri" w:cs="Calibri"/>
          <w:color w:val="2E75B6" w:themeColor="accent1" w:themeShade="BF"/>
          <w:lang w:val="en-GB"/>
        </w:rPr>
        <w:t>Martin et al, 1994</w:t>
      </w:r>
      <w:r>
        <w:rPr>
          <w:rFonts w:ascii="Calibri" w:hAnsi="Calibri" w:cs="Calibri"/>
          <w:lang w:val="en-GB"/>
        </w:rPr>
        <w:t>), the “mean power” statistic (</w:t>
      </w:r>
      <w:r>
        <w:rPr>
          <w:rFonts w:ascii="Calibri" w:hAnsi="Calibri" w:cs="Calibri"/>
          <w:color w:val="2E75B6" w:themeColor="accent1" w:themeShade="BF"/>
          <w:lang w:val="en-GB"/>
        </w:rPr>
        <w:t>Lv et al, 2007</w:t>
      </w:r>
      <w:r>
        <w:rPr>
          <w:rFonts w:ascii="Calibri" w:hAnsi="Calibri" w:cs="Calibri"/>
          <w:lang w:val="en-GB"/>
        </w:rPr>
        <w:t>), the Dynamic Time Warping approach (</w:t>
      </w:r>
      <w:r>
        <w:rPr>
          <w:rFonts w:ascii="Calibri" w:hAnsi="Calibri" w:cs="Calibri"/>
          <w:color w:val="2E75B6" w:themeColor="accent1" w:themeShade="BF"/>
          <w:lang w:val="en-GB"/>
        </w:rPr>
        <w:t>Chesnaye et al, 202</w:t>
      </w:r>
      <w:r>
        <w:rPr>
          <w:rFonts w:hint="default" w:ascii="Calibri" w:hAnsi="Calibri" w:cs="Calibri"/>
          <w:color w:val="2E75B6" w:themeColor="accent1" w:themeShade="BF"/>
          <w:lang w:val="en-GB"/>
        </w:rPr>
        <w:t>1a</w:t>
      </w:r>
      <w:r>
        <w:rPr>
          <w:rFonts w:ascii="Calibri" w:hAnsi="Calibri" w:cs="Calibri"/>
          <w:lang w:val="en-GB"/>
        </w:rPr>
        <w:t xml:space="preserve">), and the diagonal </w:t>
      </w:r>
      <w:r>
        <w:rPr>
          <w:rFonts w:ascii="Calibri" w:hAnsi="Calibri" w:cs="Calibri"/>
          <w:sz w:val="22"/>
          <w:szCs w:val="22"/>
          <w:lang w:val="en-GB"/>
        </w:rPr>
        <w:t>HT</w:t>
      </w:r>
      <w:r>
        <w:rPr>
          <w:rFonts w:ascii="Calibri" w:hAnsi="Calibri" w:cs="Calibri"/>
          <w:sz w:val="22"/>
          <w:szCs w:val="22"/>
          <w:vertAlign w:val="superscript"/>
          <w:lang w:val="en-GB"/>
        </w:rPr>
        <w:t>2</w:t>
      </w:r>
      <w:r>
        <w:rPr>
          <w:rFonts w:hint="default" w:ascii="Calibri" w:hAnsi="Calibri" w:cs="Calibri"/>
          <w:sz w:val="22"/>
          <w:szCs w:val="22"/>
          <w:lang w:val="en-GB"/>
        </w:rPr>
        <w:t xml:space="preserve"> </w:t>
      </w:r>
      <w:r>
        <w:rPr>
          <w:rFonts w:ascii="Calibri" w:hAnsi="Calibri" w:cs="Calibri"/>
          <w:lang w:val="en-GB"/>
        </w:rPr>
        <w:t xml:space="preserve">test from Bai &amp; Saranadasa (1996).  </w:t>
      </w:r>
    </w:p>
    <w:p>
      <w:pPr>
        <w:pStyle w:val="17"/>
        <w:spacing w:line="240" w:lineRule="auto"/>
        <w:jc w:val="both"/>
        <w:rPr>
          <w:rFonts w:ascii="Calibri" w:hAnsi="Calibri" w:cs="Calibri"/>
          <w:lang w:val="en-GB"/>
        </w:rPr>
      </w:pPr>
    </w:p>
    <w:p>
      <w:pPr>
        <w:pStyle w:val="17"/>
        <w:spacing w:line="240" w:lineRule="auto"/>
        <w:jc w:val="both"/>
        <w:rPr>
          <w:rFonts w:ascii="Calibri" w:hAnsi="Calibri" w:cs="Calibri"/>
          <w:lang w:val="en-GB"/>
        </w:rPr>
      </w:pPr>
      <w:r>
        <w:rPr>
          <w:rFonts w:ascii="Calibri" w:hAnsi="Calibri" w:cs="Calibri"/>
          <w:lang w:val="en-GB"/>
        </w:rPr>
        <w:t xml:space="preserve">Starting with the diagonal </w:t>
      </w:r>
      <w:r>
        <w:rPr>
          <w:rFonts w:ascii="Calibri" w:hAnsi="Calibri" w:cs="Calibri"/>
          <w:sz w:val="22"/>
          <w:szCs w:val="22"/>
          <w:lang w:val="en-GB"/>
        </w:rPr>
        <w:t>HT</w:t>
      </w:r>
      <w:r>
        <w:rPr>
          <w:rFonts w:ascii="Calibri" w:hAnsi="Calibri" w:cs="Calibri"/>
          <w:sz w:val="22"/>
          <w:szCs w:val="22"/>
          <w:vertAlign w:val="superscript"/>
          <w:lang w:val="en-GB"/>
        </w:rPr>
        <w:t>2</w:t>
      </w:r>
      <w:r>
        <w:rPr>
          <w:rFonts w:hint="default" w:ascii="Calibri" w:hAnsi="Calibri" w:cs="Calibri"/>
          <w:sz w:val="22"/>
          <w:szCs w:val="22"/>
          <w:lang w:val="en-GB"/>
        </w:rPr>
        <w:t xml:space="preserve"> </w:t>
      </w:r>
      <w:r>
        <w:rPr>
          <w:rFonts w:ascii="Calibri" w:hAnsi="Calibri" w:cs="Calibri"/>
          <w:lang w:val="en-GB"/>
        </w:rPr>
        <w:t>test (</w:t>
      </w:r>
      <w:r>
        <w:rPr>
          <w:rFonts w:ascii="Calibri" w:hAnsi="Calibri" w:cs="Calibri"/>
          <w:color w:val="5B9BD5" w:themeColor="accent1"/>
          <w:lang w:val="en-GB"/>
          <w14:textFill>
            <w14:solidFill>
              <w14:schemeClr w14:val="accent1"/>
            </w14:solidFill>
          </w14:textFill>
        </w:rPr>
        <w:t>Bai &amp; Saranadasa, 1996</w:t>
      </w:r>
      <w:r>
        <w:rPr>
          <w:rFonts w:ascii="Calibri" w:hAnsi="Calibri" w:cs="Calibri"/>
          <w:lang w:val="en-GB"/>
        </w:rPr>
        <w:t xml:space="preserve">), this approach - not previously evaluated for CAEP detection - is essentially the conventional time domain </w:t>
      </w:r>
      <w:r>
        <w:rPr>
          <w:rFonts w:ascii="Calibri" w:hAnsi="Calibri" w:cs="Calibri"/>
          <w:sz w:val="22"/>
          <w:szCs w:val="22"/>
          <w:lang w:val="en-GB"/>
        </w:rPr>
        <w:t>HT</w:t>
      </w:r>
      <w:r>
        <w:rPr>
          <w:rFonts w:ascii="Calibri" w:hAnsi="Calibri" w:cs="Calibri"/>
          <w:sz w:val="22"/>
          <w:szCs w:val="22"/>
          <w:vertAlign w:val="superscript"/>
          <w:lang w:val="en-GB"/>
        </w:rPr>
        <w:t>2</w:t>
      </w:r>
      <w:r>
        <w:rPr>
          <w:rFonts w:hint="default" w:ascii="Calibri" w:hAnsi="Calibri" w:cs="Calibri"/>
          <w:sz w:val="22"/>
          <w:szCs w:val="22"/>
          <w:lang w:val="en-GB"/>
        </w:rPr>
        <w:t xml:space="preserve"> </w:t>
      </w:r>
      <w:r>
        <w:rPr>
          <w:rFonts w:ascii="Calibri" w:hAnsi="Calibri" w:cs="Calibri"/>
          <w:lang w:val="en-GB"/>
        </w:rPr>
        <w:t>test where the feature covariance matrix is replaced with the diagonal covariance matrix</w:t>
      </w:r>
      <w:r>
        <w:rPr>
          <w:rFonts w:hint="default" w:ascii="Calibri" w:hAnsi="Calibri" w:cs="Calibri"/>
          <w:lang w:val="en-GB"/>
        </w:rPr>
        <w:t>, i.e. covariances between all voltage means are set to zero</w:t>
      </w:r>
      <w:r>
        <w:rPr>
          <w:rFonts w:ascii="Calibri" w:hAnsi="Calibri" w:cs="Calibri"/>
          <w:lang w:val="en-GB"/>
        </w:rPr>
        <w:t>. The approach also includes a rescaling factor for transforming the modified T</w:t>
      </w:r>
      <w:r>
        <w:rPr>
          <w:rFonts w:ascii="Calibri" w:hAnsi="Calibri" w:cs="Calibri"/>
          <w:vertAlign w:val="superscript"/>
          <w:lang w:val="en-GB"/>
        </w:rPr>
        <w:t>2</w:t>
      </w:r>
      <w:r>
        <w:rPr>
          <w:rFonts w:ascii="Calibri" w:hAnsi="Calibri" w:cs="Calibri"/>
          <w:lang w:val="en-GB"/>
        </w:rPr>
        <w:t xml:space="preserve"> statistic into a standard normally-distributed random variable, after which the asymptotic (for </w:t>
      </w:r>
      <m:oMath>
        <m:r>
          <m:rPr/>
          <w:rPr>
            <w:rFonts w:ascii="Cambria Math" w:hAnsi="Cambria Math" w:cs="Calibri"/>
            <w:lang w:val="en-GB"/>
          </w:rPr>
          <m:t>N</m:t>
        </m:r>
        <m:r>
          <m:rPr>
            <m:sty m:val="p"/>
          </m:rPr>
          <w:rPr>
            <w:rFonts w:ascii="Cambria Math" w:hAnsi="Cambria Math" w:cs="Calibri"/>
            <w:lang w:val="en-GB"/>
          </w:rPr>
          <m:t>,</m:t>
        </m:r>
        <m:r>
          <m:rPr/>
          <w:rPr>
            <w:rFonts w:ascii="Cambria Math" w:hAnsi="Cambria Math" w:cs="Calibri"/>
            <w:lang w:val="en-GB"/>
          </w:rPr>
          <m:t>Q</m:t>
        </m:r>
        <m:r>
          <m:rPr>
            <m:sty m:val="p"/>
          </m:rPr>
          <w:rPr>
            <w:rFonts w:ascii="Cambria Math" w:hAnsi="Cambria Math" w:cs="Calibri"/>
            <w:lang w:val="en-GB"/>
          </w:rPr>
          <m:t>→∞</m:t>
        </m:r>
      </m:oMath>
      <w:r>
        <w:rPr>
          <w:rFonts w:ascii="Calibri" w:hAnsi="Calibri" w:cs="Calibri"/>
          <w:lang w:val="en-GB"/>
        </w:rPr>
        <w:t xml:space="preserve">) null distribution is given by the standard distribution (theorem 2.1 in </w:t>
      </w:r>
      <w:r>
        <w:rPr>
          <w:rFonts w:ascii="Calibri" w:hAnsi="Calibri" w:cs="Calibri"/>
          <w:color w:val="2E75B6" w:themeColor="accent1" w:themeShade="BF"/>
          <w:lang w:val="en-GB"/>
        </w:rPr>
        <w:t>Bai &amp; Saranadasa, 1996</w:t>
      </w:r>
      <w:r>
        <w:rPr>
          <w:rFonts w:ascii="Calibri" w:hAnsi="Calibri" w:cs="Calibri"/>
          <w:lang w:val="en-GB"/>
        </w:rPr>
        <w:t xml:space="preserve">). Results from additional simulations (details not presented) suggest that the standard distribution is indeed a close approximation, but still slightly inaccurate when using typical values for </w:t>
      </w:r>
      <w:r>
        <w:rPr>
          <w:rFonts w:ascii="Calibri" w:hAnsi="Calibri" w:cs="Calibri"/>
          <w:i/>
          <w:iCs/>
          <w:lang w:val="en-GB"/>
        </w:rPr>
        <w:t>Q</w:t>
      </w:r>
      <w:r>
        <w:rPr>
          <w:rFonts w:ascii="Calibri" w:hAnsi="Calibri" w:cs="Calibri"/>
          <w:lang w:val="en-GB"/>
        </w:rPr>
        <w:t xml:space="preserve"> and </w:t>
      </w:r>
      <w:r>
        <w:rPr>
          <w:rFonts w:ascii="Calibri" w:hAnsi="Calibri" w:cs="Calibri"/>
          <w:i/>
          <w:iCs/>
          <w:lang w:val="en-GB"/>
        </w:rPr>
        <w:t>N</w:t>
      </w:r>
      <w:r>
        <w:rPr>
          <w:rFonts w:ascii="Calibri" w:hAnsi="Calibri" w:cs="Calibri"/>
          <w:lang w:val="en-GB"/>
        </w:rPr>
        <w:t xml:space="preserve">. </w:t>
      </w:r>
      <w:r>
        <w:rPr>
          <w:rFonts w:hint="default" w:ascii="Calibri" w:hAnsi="Calibri" w:cs="Calibri"/>
          <w:lang w:val="en-GB"/>
        </w:rPr>
        <w:t>U</w:t>
      </w:r>
      <w:r>
        <w:rPr>
          <w:rFonts w:ascii="Calibri" w:hAnsi="Calibri" w:cs="Calibri"/>
          <w:lang w:val="en-GB"/>
        </w:rPr>
        <w:t xml:space="preserve">sing </w:t>
      </w:r>
      <w:r>
        <w:rPr>
          <w:rFonts w:ascii="Calibri" w:hAnsi="Calibri" w:cs="Calibri"/>
          <w:i/>
          <w:iCs/>
          <w:lang w:val="en-GB"/>
        </w:rPr>
        <w:t>Q</w:t>
      </w:r>
      <w:r>
        <w:rPr>
          <w:rFonts w:ascii="Calibri" w:hAnsi="Calibri" w:cs="Calibri"/>
          <w:lang w:val="en-GB"/>
        </w:rPr>
        <w:t xml:space="preserve">=14 and </w:t>
      </w:r>
      <w:r>
        <w:rPr>
          <w:rFonts w:ascii="Calibri" w:hAnsi="Calibri" w:cs="Calibri"/>
          <w:i/>
          <w:iCs/>
          <w:lang w:val="en-GB"/>
        </w:rPr>
        <w:t>N</w:t>
      </w:r>
      <w:r>
        <w:rPr>
          <w:rFonts w:ascii="Calibri" w:hAnsi="Calibri" w:cs="Calibri"/>
          <w:lang w:val="en-GB"/>
        </w:rPr>
        <w:t>=50</w:t>
      </w:r>
      <w:r>
        <w:rPr>
          <w:rFonts w:hint="default" w:ascii="Calibri" w:hAnsi="Calibri" w:cs="Calibri"/>
          <w:lang w:val="en-GB"/>
        </w:rPr>
        <w:t>, for example,</w:t>
      </w:r>
      <w:r>
        <w:rPr>
          <w:rFonts w:ascii="Calibri" w:hAnsi="Calibri" w:cs="Calibri"/>
          <w:lang w:val="en-GB"/>
        </w:rPr>
        <w:t xml:space="preserve"> resulted in a slightly liberal FPR of ~0.014 for </w:t>
      </w:r>
      <m:oMath>
        <m:r>
          <m:rPr>
            <m:sty m:val="p"/>
          </m:rPr>
          <w:rPr>
            <w:rFonts w:ascii="Cambria Math" w:hAnsi="Cambria Math" w:cs="Calibri"/>
            <w:lang w:val="en-GB"/>
          </w:rPr>
          <m:t>α=0.01</m:t>
        </m:r>
      </m:oMath>
      <w:r>
        <w:rPr>
          <w:rFonts w:ascii="Calibri" w:hAnsi="Calibri" w:cs="Calibri"/>
          <w:lang w:val="en-GB"/>
        </w:rPr>
        <w:t xml:space="preserve">. Test sensitivity for the diagonal </w:t>
      </w:r>
      <w:r>
        <w:rPr>
          <w:rFonts w:ascii="Calibri" w:hAnsi="Calibri" w:cs="Calibri"/>
          <w:sz w:val="22"/>
          <w:szCs w:val="22"/>
          <w:lang w:val="en-GB"/>
        </w:rPr>
        <w:t>HT</w:t>
      </w:r>
      <w:r>
        <w:rPr>
          <w:rFonts w:ascii="Calibri" w:hAnsi="Calibri" w:cs="Calibri"/>
          <w:sz w:val="22"/>
          <w:szCs w:val="22"/>
          <w:vertAlign w:val="superscript"/>
          <w:lang w:val="en-GB"/>
        </w:rPr>
        <w:t>2</w:t>
      </w:r>
      <w:r>
        <w:rPr>
          <w:rFonts w:hint="default" w:ascii="Calibri" w:hAnsi="Calibri" w:cs="Calibri"/>
          <w:sz w:val="22"/>
          <w:szCs w:val="22"/>
          <w:lang w:val="en-GB"/>
        </w:rPr>
        <w:t xml:space="preserve"> </w:t>
      </w:r>
      <w:r>
        <w:rPr>
          <w:rFonts w:ascii="Calibri" w:hAnsi="Calibri" w:cs="Calibri"/>
          <w:lang w:val="en-GB"/>
        </w:rPr>
        <w:t>test from Bai &amp; Saranadasa (1996) was also slightly lower than the modified T</w:t>
      </w:r>
      <w:r>
        <w:rPr>
          <w:rFonts w:ascii="Calibri" w:hAnsi="Calibri" w:cs="Calibri"/>
          <w:vertAlign w:val="superscript"/>
          <w:lang w:val="en-GB"/>
        </w:rPr>
        <w:t>2</w:t>
      </w:r>
      <w:r>
        <w:rPr>
          <w:rFonts w:ascii="Calibri" w:hAnsi="Calibri" w:cs="Calibri"/>
          <w:lang w:val="en-GB"/>
        </w:rPr>
        <w:t xml:space="preserve"> and q-sample statistics from the current study, and was therefore excluded from the final results. However, it is worth noting that the diagonal </w:t>
      </w:r>
      <w:r>
        <w:rPr>
          <w:rFonts w:ascii="Calibri" w:hAnsi="Calibri" w:cs="Calibri"/>
          <w:sz w:val="22"/>
          <w:szCs w:val="22"/>
          <w:lang w:val="en-GB"/>
        </w:rPr>
        <w:t>HT</w:t>
      </w:r>
      <w:r>
        <w:rPr>
          <w:rFonts w:ascii="Calibri" w:hAnsi="Calibri" w:cs="Calibri"/>
          <w:sz w:val="22"/>
          <w:szCs w:val="22"/>
          <w:vertAlign w:val="superscript"/>
          <w:lang w:val="en-GB"/>
        </w:rPr>
        <w:t>2</w:t>
      </w:r>
      <w:r>
        <w:rPr>
          <w:rFonts w:hint="default" w:ascii="Calibri" w:hAnsi="Calibri" w:cs="Calibri"/>
          <w:sz w:val="22"/>
          <w:szCs w:val="22"/>
          <w:lang w:val="en-GB"/>
        </w:rPr>
        <w:t xml:space="preserve"> </w:t>
      </w:r>
      <w:r>
        <w:rPr>
          <w:rFonts w:ascii="Calibri" w:hAnsi="Calibri" w:cs="Calibri"/>
          <w:lang w:val="en-GB"/>
        </w:rPr>
        <w:t xml:space="preserve">test from Bai &amp; Saranadasa (1996) does not require a bootstrap to evaluate test significance, and is therefore computationally less demanding than the modified test statistics from the current study for which the bootstrap (or similar surrogate data method) is required. </w:t>
      </w:r>
    </w:p>
    <w:p>
      <w:pPr>
        <w:pStyle w:val="17"/>
        <w:spacing w:line="240" w:lineRule="auto"/>
        <w:jc w:val="both"/>
        <w:rPr>
          <w:rFonts w:ascii="Calibri" w:hAnsi="Calibri" w:cs="Calibri"/>
          <w:lang w:val="en-GB"/>
        </w:rPr>
      </w:pPr>
    </w:p>
    <w:p>
      <w:pPr>
        <w:pStyle w:val="17"/>
        <w:spacing w:line="240" w:lineRule="auto"/>
        <w:jc w:val="both"/>
        <w:rPr>
          <w:rFonts w:ascii="Calibri" w:hAnsi="Calibri" w:cs="Calibri"/>
          <w:lang w:val="en-GB"/>
        </w:rPr>
      </w:pPr>
      <w:r>
        <w:rPr>
          <w:rFonts w:ascii="Calibri" w:hAnsi="Calibri" w:cs="Calibri"/>
          <w:lang w:val="en-GB"/>
        </w:rPr>
        <w:t>In a previous study on CAEP detection in adults with normal hearing, the best-performing method was a Dynamic Time Warping (DTW) approach, which correlates the (time-warped) ensemble coherent average to an a priori assumed CAEP template (</w:t>
      </w:r>
      <w:r>
        <w:rPr>
          <w:rFonts w:ascii="Calibri" w:hAnsi="Calibri" w:cs="Calibri"/>
          <w:color w:val="5B9BD5" w:themeColor="accent1"/>
          <w:lang w:val="en-GB"/>
          <w14:textFill>
            <w14:solidFill>
              <w14:schemeClr w14:val="accent1"/>
            </w14:solidFill>
          </w14:textFill>
        </w:rPr>
        <w:t>Chesnaye et al, 202</w:t>
      </w:r>
      <w:r>
        <w:rPr>
          <w:rFonts w:hint="default" w:ascii="Calibri" w:hAnsi="Calibri" w:cs="Calibri"/>
          <w:color w:val="5B9BD5" w:themeColor="accent1"/>
          <w:lang w:val="en-GB"/>
          <w14:textFill>
            <w14:solidFill>
              <w14:schemeClr w14:val="accent1"/>
            </w14:solidFill>
          </w14:textFill>
        </w:rPr>
        <w:t>1a</w:t>
      </w:r>
      <w:r>
        <w:rPr>
          <w:rFonts w:ascii="Calibri" w:hAnsi="Calibri" w:cs="Calibri"/>
          <w:lang w:val="en-GB"/>
        </w:rPr>
        <w:t xml:space="preserve">). Due to the wide variation in CAEP waveforms across infants (Figure 1), the DTW approach was not expected to perform optimally in this young population. Indeed, detection rates for the DTW approach were around 0.4 or lower in the infant data, even at </w:t>
      </w:r>
      <w:r>
        <w:rPr>
          <w:rFonts w:ascii="Calibri" w:hAnsi="Calibri" w:cs="Calibri"/>
          <w:i/>
          <w:iCs/>
          <w:lang w:val="en-GB"/>
        </w:rPr>
        <w:t>N</w:t>
      </w:r>
      <w:r>
        <w:rPr>
          <w:rFonts w:ascii="Calibri" w:hAnsi="Calibri" w:cs="Calibri"/>
          <w:lang w:val="en-GB"/>
        </w:rPr>
        <w:t xml:space="preserve">=160, and detailed results were excluded from the results section. </w:t>
      </w:r>
      <w:r>
        <w:rPr>
          <w:rFonts w:ascii="Calibri" w:hAnsi="Calibri"/>
          <w:lang w:val="en-GB"/>
        </w:rPr>
        <w:t xml:space="preserve">We also attempted a range of template matching variants, such as using a database of templates, but none provided encouraging results. </w:t>
      </w:r>
      <w:r>
        <w:rPr>
          <w:rFonts w:ascii="Calibri" w:hAnsi="Calibri" w:cs="Calibri"/>
          <w:lang w:val="en-GB"/>
        </w:rPr>
        <w:t xml:space="preserve"> </w:t>
      </w:r>
    </w:p>
    <w:p>
      <w:pPr>
        <w:pStyle w:val="17"/>
        <w:spacing w:line="240" w:lineRule="auto"/>
        <w:jc w:val="both"/>
        <w:rPr>
          <w:rFonts w:ascii="Calibri" w:hAnsi="Calibri" w:cs="Calibri"/>
          <w:lang w:val="en-GB"/>
        </w:rPr>
      </w:pPr>
    </w:p>
    <w:p>
      <w:pPr>
        <w:pStyle w:val="17"/>
        <w:spacing w:line="240" w:lineRule="auto"/>
        <w:jc w:val="both"/>
        <w:rPr>
          <w:rFonts w:ascii="Calibri" w:hAnsi="Calibri" w:cs="Calibri"/>
          <w:i/>
          <w:iCs/>
          <w:lang w:val="en-GB"/>
        </w:rPr>
      </w:pPr>
      <w:r>
        <w:rPr>
          <w:rFonts w:ascii="Calibri" w:hAnsi="Calibri" w:cs="Calibri"/>
          <w:i/>
          <w:iCs/>
          <w:lang w:val="en-GB"/>
        </w:rPr>
        <w:t>Test specificity, sensitivity, and reliability</w:t>
      </w:r>
    </w:p>
    <w:p>
      <w:pPr>
        <w:pStyle w:val="17"/>
        <w:spacing w:line="240" w:lineRule="auto"/>
        <w:jc w:val="both"/>
        <w:rPr>
          <w:rFonts w:ascii="Calibri" w:hAnsi="Calibri" w:cs="Calibri"/>
          <w:lang w:val="en-GB"/>
        </w:rPr>
      </w:pPr>
      <w:r>
        <w:rPr>
          <w:rFonts w:ascii="Calibri" w:hAnsi="Calibri" w:cs="Calibri"/>
          <w:lang w:val="en-GB"/>
        </w:rPr>
        <w:t xml:space="preserve">Results from visual inspection by examiners show good test specificities but relatively low test sensitivities, i.e. detection rates (using </w:t>
      </w:r>
      <w:r>
        <w:rPr>
          <w:rFonts w:ascii="Calibri" w:hAnsi="Calibri" w:cs="Calibri"/>
          <w:i/>
          <w:iCs/>
          <w:lang w:val="en-GB"/>
        </w:rPr>
        <w:t>N</w:t>
      </w:r>
      <w:r>
        <w:rPr>
          <w:rFonts w:ascii="Calibri" w:hAnsi="Calibri" w:cs="Calibri"/>
          <w:lang w:val="en-GB"/>
        </w:rPr>
        <w:t xml:space="preserve">=160) for the audible (≥0 dB SL) CAEP recordings were in the ~0.3 to ~0.65 range for the MF stimuli, and in the ~0.15 to ~0.4 range for the HF stimuli. The low </w:t>
      </w:r>
      <w:r>
        <w:rPr>
          <w:rFonts w:hint="default" w:ascii="Calibri" w:hAnsi="Calibri" w:cs="Calibri"/>
          <w:lang w:val="en-GB"/>
        </w:rPr>
        <w:t xml:space="preserve">test </w:t>
      </w:r>
      <w:r>
        <w:rPr>
          <w:rFonts w:ascii="Calibri" w:hAnsi="Calibri" w:cs="Calibri"/>
          <w:lang w:val="en-GB"/>
        </w:rPr>
        <w:t xml:space="preserve">sensitivity </w:t>
      </w:r>
      <w:r>
        <w:rPr>
          <w:rFonts w:hint="default" w:ascii="Calibri" w:hAnsi="Calibri" w:cs="Calibri"/>
          <w:lang w:val="en-GB"/>
        </w:rPr>
        <w:t xml:space="preserve">for </w:t>
      </w:r>
      <w:r>
        <w:rPr>
          <w:rFonts w:ascii="Calibri" w:hAnsi="Calibri" w:cs="Calibri"/>
          <w:lang w:val="en-GB"/>
        </w:rPr>
        <w:t xml:space="preserve">visual </w:t>
      </w:r>
      <w:r>
        <w:rPr>
          <w:rFonts w:ascii="Calibri" w:hAnsi="Calibri" w:cs="Calibri"/>
          <w:color w:val="auto"/>
          <w:lang w:val="en-GB"/>
        </w:rPr>
        <w:t xml:space="preserve">inspection appears potentially problematic for clinical decision making with aided CAEP. For the best-performing objective detection methods, detection rates for </w:t>
      </w:r>
      <w:r>
        <w:rPr>
          <w:rFonts w:ascii="Calibri" w:hAnsi="Calibri" w:cs="Calibri"/>
          <w:i/>
          <w:iCs/>
          <w:color w:val="auto"/>
          <w:lang w:val="en-GB"/>
        </w:rPr>
        <w:t>N</w:t>
      </w:r>
      <w:r>
        <w:rPr>
          <w:rFonts w:ascii="Calibri" w:hAnsi="Calibri" w:cs="Calibri"/>
          <w:color w:val="auto"/>
          <w:lang w:val="en-GB"/>
        </w:rPr>
        <w:t>=160 were slightly higher, e.g. T</w:t>
      </w:r>
      <w:r>
        <w:rPr>
          <w:rFonts w:ascii="Calibri" w:hAnsi="Calibri" w:cs="Calibri"/>
          <w:color w:val="auto"/>
          <w:vertAlign w:val="superscript"/>
          <w:lang w:val="en-GB"/>
        </w:rPr>
        <w:t>2</w:t>
      </w:r>
      <w:r>
        <w:rPr>
          <w:rFonts w:ascii="Calibri" w:hAnsi="Calibri" w:cs="Calibri"/>
          <w:color w:val="auto"/>
          <w:vertAlign w:val="subscript"/>
          <w:lang w:val="en-GB"/>
        </w:rPr>
        <w:t>Toep</w:t>
      </w:r>
      <w:r>
        <w:rPr>
          <w:rFonts w:ascii="Calibri" w:hAnsi="Calibri" w:cs="Calibri"/>
          <w:color w:val="auto"/>
          <w:lang w:val="en-GB"/>
        </w:rPr>
        <w:t xml:space="preserve"> had detection rates in the ~0.25 to ~0.65 range for the HF stimulus, and in the~0.3 to ~0.8 range for the MF stimulus. Increasing the </w:t>
      </w:r>
      <m:oMath>
        <m:r>
          <m:rPr>
            <m:sty m:val="p"/>
          </m:rPr>
          <w:rPr>
            <w:rFonts w:ascii="Cambria Math" w:hAnsi="Cambria Math" w:cs="Calibri"/>
            <w:color w:val="auto"/>
            <w:lang w:val="en-GB"/>
          </w:rPr>
          <m:t>α</m:t>
        </m:r>
      </m:oMath>
      <w:r>
        <w:rPr>
          <w:rFonts w:ascii="Calibri" w:hAnsi="Calibri" w:cs="Calibri"/>
          <w:color w:val="auto"/>
          <w:lang w:val="en-GB"/>
        </w:rPr>
        <w:t xml:space="preserve">-level to 0.01 from 0.05 further resulted in slightly higher detection rates, at the cost of a reduced test specificity. </w:t>
      </w:r>
    </w:p>
    <w:p>
      <w:pPr>
        <w:pStyle w:val="17"/>
        <w:spacing w:line="240" w:lineRule="auto"/>
        <w:jc w:val="both"/>
        <w:rPr>
          <w:rFonts w:ascii="Calibri" w:hAnsi="Calibri" w:cs="Calibri"/>
          <w:lang w:val="en-GB"/>
        </w:rPr>
      </w:pPr>
    </w:p>
    <w:p>
      <w:pPr>
        <w:pStyle w:val="17"/>
        <w:spacing w:line="240" w:lineRule="auto"/>
        <w:jc w:val="both"/>
        <w:rPr>
          <w:rFonts w:ascii="Calibri" w:hAnsi="Calibri" w:cs="Calibri"/>
          <w:lang w:val="en-GB"/>
        </w:rPr>
      </w:pPr>
      <w:r>
        <w:rPr>
          <w:rFonts w:ascii="Calibri" w:hAnsi="Calibri" w:cs="Calibri"/>
          <w:lang w:val="en-GB"/>
        </w:rPr>
        <w:t xml:space="preserve">Detection rates in this study were approximately in the same range as those observed in previous studies. For example, Van Dun et al (2012) observed detection rates (using the conventional </w:t>
      </w:r>
      <w:r>
        <w:rPr>
          <w:rFonts w:ascii="Calibri" w:hAnsi="Calibri" w:cs="Calibri"/>
          <w:sz w:val="22"/>
          <w:szCs w:val="22"/>
          <w:lang w:val="en-GB"/>
        </w:rPr>
        <w:t>HT</w:t>
      </w:r>
      <w:r>
        <w:rPr>
          <w:rFonts w:ascii="Calibri" w:hAnsi="Calibri" w:cs="Calibri"/>
          <w:sz w:val="22"/>
          <w:szCs w:val="22"/>
          <w:vertAlign w:val="superscript"/>
          <w:lang w:val="en-GB"/>
        </w:rPr>
        <w:t>2</w:t>
      </w:r>
      <w:r>
        <w:rPr>
          <w:rFonts w:hint="default" w:ascii="Calibri" w:hAnsi="Calibri" w:cs="Calibri"/>
          <w:sz w:val="22"/>
          <w:szCs w:val="22"/>
          <w:lang w:val="en-GB"/>
        </w:rPr>
        <w:t xml:space="preserve"> </w:t>
      </w:r>
      <w:r>
        <w:rPr>
          <w:rFonts w:ascii="Calibri" w:hAnsi="Calibri" w:cs="Calibri"/>
          <w:lang w:val="en-GB"/>
        </w:rPr>
        <w:t xml:space="preserve">test) for aided CAEPs in hearing-impaired infants of ~0.53 for the 0-9.9 dB SL category, ~0.67 for the 10-19.9 dB category, and ~0.77 for the 20+ dB SL category. Similarly, Chang et al (2012) observed detection rates (using the conventional </w:t>
      </w:r>
      <w:r>
        <w:rPr>
          <w:rFonts w:ascii="Calibri" w:hAnsi="Calibri" w:cs="Calibri"/>
          <w:sz w:val="22"/>
          <w:szCs w:val="22"/>
          <w:lang w:val="en-GB"/>
        </w:rPr>
        <w:t>HT</w:t>
      </w:r>
      <w:r>
        <w:rPr>
          <w:rFonts w:ascii="Calibri" w:hAnsi="Calibri" w:cs="Calibri"/>
          <w:sz w:val="22"/>
          <w:szCs w:val="22"/>
          <w:vertAlign w:val="superscript"/>
          <w:lang w:val="en-GB"/>
        </w:rPr>
        <w:t>2</w:t>
      </w:r>
      <w:r>
        <w:rPr>
          <w:rFonts w:hint="default" w:ascii="Calibri" w:hAnsi="Calibri" w:cs="Calibri"/>
          <w:sz w:val="22"/>
          <w:szCs w:val="22"/>
          <w:lang w:val="en-GB"/>
        </w:rPr>
        <w:t xml:space="preserve"> </w:t>
      </w:r>
      <w:r>
        <w:rPr>
          <w:rFonts w:ascii="Calibri" w:hAnsi="Calibri" w:cs="Calibri"/>
          <w:lang w:val="en-GB"/>
        </w:rPr>
        <w:t xml:space="preserve">test) of ~0.63 for the &gt;0 dB SL category, ~0.68 for the &gt;10 dB SL category, and ~0.69 for the &gt;20 dB SL category, for aided and unaided CAEP detection in hearing-impaired infants. Note that these studies used an </w:t>
      </w:r>
      <m:oMath>
        <m:r>
          <m:rPr>
            <m:sty m:val="p"/>
          </m:rPr>
          <w:rPr>
            <w:rFonts w:ascii="Cambria Math" w:hAnsi="Cambria Math" w:cs="Calibri"/>
            <w:lang w:val="en-GB"/>
          </w:rPr>
          <m:t>α</m:t>
        </m:r>
      </m:oMath>
      <w:r>
        <w:rPr>
          <w:rFonts w:ascii="Calibri" w:hAnsi="Calibri" w:cs="Calibri"/>
          <w:lang w:val="en-GB"/>
        </w:rPr>
        <w:t xml:space="preserve">-level of 0.05, whereas the current study used an </w:t>
      </w:r>
      <m:oMath>
        <m:r>
          <m:rPr>
            <m:sty m:val="p"/>
          </m:rPr>
          <w:rPr>
            <w:rFonts w:ascii="Cambria Math" w:hAnsi="Cambria Math" w:cs="Calibri"/>
            <w:lang w:val="en-GB"/>
          </w:rPr>
          <m:t>α</m:t>
        </m:r>
      </m:oMath>
      <w:r>
        <w:rPr>
          <w:rFonts w:ascii="Calibri" w:hAnsi="Calibri" w:cs="Calibri"/>
          <w:lang w:val="en-GB"/>
        </w:rPr>
        <w:t xml:space="preserve">-level of 0.01. </w:t>
      </w:r>
    </w:p>
    <w:p>
      <w:pPr>
        <w:pStyle w:val="17"/>
        <w:spacing w:line="240" w:lineRule="auto"/>
        <w:jc w:val="both"/>
        <w:rPr>
          <w:rFonts w:ascii="Calibri" w:hAnsi="Calibri" w:cs="Calibri"/>
          <w:lang w:val="en-GB"/>
        </w:rPr>
      </w:pPr>
    </w:p>
    <w:p>
      <w:pPr>
        <w:pStyle w:val="17"/>
        <w:spacing w:line="240" w:lineRule="auto"/>
        <w:jc w:val="both"/>
        <w:rPr>
          <w:lang w:val="en-GB"/>
        </w:rPr>
      </w:pPr>
      <w:r>
        <w:rPr>
          <w:rFonts w:ascii="Calibri" w:hAnsi="Calibri" w:cs="Calibri"/>
          <w:lang w:val="en-GB"/>
        </w:rPr>
        <w:t xml:space="preserve">With respect to intra-test reliability (or test re-test reliability), relatively low </w:t>
      </w:r>
      <m:oMath>
        <m:r>
          <m:rPr>
            <m:sty m:val="p"/>
          </m:rPr>
          <w:rPr>
            <w:rFonts w:ascii="Cambria Math" w:hAnsi="Cambria Math" w:cs="Calibri"/>
            <w:lang w:val="en-GB"/>
          </w:rPr>
          <m:t>κ</m:t>
        </m:r>
      </m:oMath>
      <w:r>
        <w:rPr>
          <w:rFonts w:ascii="Times New Roman" w:hAnsi="Cambria Math" w:cs="Calibri"/>
          <w:lang w:val="en-GB"/>
        </w:rPr>
        <w:t xml:space="preserve"> </w:t>
      </w:r>
      <w:r>
        <w:rPr>
          <w:rFonts w:ascii="Calibri" w:hAnsi="Calibri" w:cs="Calibri"/>
          <w:lang w:val="en-GB"/>
        </w:rPr>
        <w:t>values were observed for both the objective detection methods and the examiners (</w:t>
      </w:r>
      <m:oMath>
        <m:r>
          <m:rPr>
            <m:sty m:val="p"/>
          </m:rPr>
          <w:rPr>
            <w:rFonts w:ascii="Cambria Math" w:hAnsi="Cambria Math" w:cs="Calibri"/>
            <w:lang w:val="en-GB"/>
          </w:rPr>
          <m:t>κ</m:t>
        </m:r>
      </m:oMath>
      <w:r>
        <w:rPr>
          <w:rFonts w:ascii="Times New Roman" w:hAnsi="Cambria Math" w:cs="Calibri"/>
          <w:lang w:val="en-GB"/>
        </w:rPr>
        <w:t xml:space="preserve"> </w:t>
      </w:r>
      <w:r>
        <w:rPr>
          <w:rFonts w:ascii="Calibri" w:hAnsi="Calibri" w:cs="Calibri"/>
          <w:lang w:val="en-GB"/>
        </w:rPr>
        <w:t xml:space="preserve">values ranged from 0.16 to 0.49). This indicates that the test outcome (i.e. CAEP present or not) often changed from one session to the next, which, in turn, suggests that CAEPs might not always have been </w:t>
      </w:r>
      <w:r>
        <w:rPr>
          <w:rFonts w:ascii="Calibri" w:hAnsi="Calibri"/>
          <w:lang w:val="en-GB"/>
        </w:rPr>
        <w:t xml:space="preserve">successfully </w:t>
      </w:r>
      <w:r>
        <w:rPr>
          <w:rFonts w:ascii="Calibri" w:hAnsi="Calibri" w:cs="Calibri"/>
          <w:lang w:val="en-GB"/>
        </w:rPr>
        <w:t>evoked in all recordings. The latter is supported by results from Visram et al (</w:t>
      </w:r>
      <w:r>
        <w:rPr>
          <w:rFonts w:hint="default" w:ascii="Calibri" w:hAnsi="Calibri" w:cs="Calibri"/>
          <w:lang w:val="en-US"/>
        </w:rPr>
        <w:t>under review</w:t>
      </w:r>
      <w:r>
        <w:rPr>
          <w:rFonts w:ascii="Calibri" w:hAnsi="Calibri" w:cs="Calibri"/>
          <w:lang w:val="en-GB"/>
        </w:rPr>
        <w:t xml:space="preserve">), who carried out a more in-depth assessment of test re-test reliability, and </w:t>
      </w:r>
      <w:r>
        <w:rPr>
          <w:lang w:val="en-GB"/>
        </w:rPr>
        <w:t>note that, “i</w:t>
      </w:r>
      <w:r>
        <w:t xml:space="preserve">n 42% of the cases where the stimulus was audible, but the CAEP was not detected at the initial test, the CAEP </w:t>
      </w:r>
      <w:r>
        <w:rPr>
          <w:i/>
          <w:iCs/>
        </w:rPr>
        <w:t>was</w:t>
      </w:r>
      <w:r>
        <w:t xml:space="preserve"> detected on retest</w:t>
      </w:r>
      <w:r>
        <w:rPr>
          <w:lang w:val="en-GB"/>
        </w:rPr>
        <w:t xml:space="preserve">”. Visram et al accordingly emphasise that non-detections should be interpreted with care, even when test conditions appear good. These results underline the challenge in efficiently and reliably evoking CAEPs in infants with hearing loss.  </w:t>
      </w:r>
    </w:p>
    <w:p>
      <w:pPr>
        <w:pStyle w:val="17"/>
        <w:spacing w:line="240" w:lineRule="auto"/>
        <w:jc w:val="both"/>
        <w:rPr>
          <w:lang w:val="en-GB"/>
        </w:rPr>
      </w:pPr>
    </w:p>
    <w:p>
      <w:pPr>
        <w:pStyle w:val="17"/>
        <w:spacing w:line="240" w:lineRule="auto"/>
        <w:jc w:val="both"/>
        <w:rPr>
          <w:rFonts w:ascii="Calibri" w:hAnsi="Calibri" w:cs="Calibri"/>
          <w:lang w:val="en-GB"/>
        </w:rPr>
      </w:pPr>
      <w:r>
        <w:rPr>
          <w:rFonts w:ascii="Calibri" w:hAnsi="Calibri" w:cs="Calibri"/>
          <w:lang w:val="en-GB"/>
        </w:rPr>
        <w:t xml:space="preserve">For the inter-test reliability assessment, </w:t>
      </w:r>
      <m:oMath>
        <m:r>
          <m:rPr>
            <m:sty m:val="p"/>
          </m:rPr>
          <w:rPr>
            <w:rFonts w:ascii="Cambria Math" w:hAnsi="Cambria Math" w:cs="Calibri"/>
            <w:lang w:val="en-GB"/>
          </w:rPr>
          <m:t>κ</m:t>
        </m:r>
      </m:oMath>
      <w:r>
        <w:rPr>
          <w:rFonts w:ascii="Calibri" w:hAnsi="Calibri" w:cs="Calibri"/>
          <w:lang w:val="en-GB"/>
        </w:rPr>
        <w:t xml:space="preserve">values were considerably higher. Note again that </w:t>
      </w:r>
      <m:oMath>
        <m:r>
          <m:rPr>
            <m:sty m:val="p"/>
          </m:rPr>
          <w:rPr>
            <w:rFonts w:ascii="Cambria Math" w:hAnsi="Cambria Math" w:cs="Calibri"/>
            <w:lang w:val="en-GB"/>
          </w:rPr>
          <m:t>κ</m:t>
        </m:r>
      </m:oMath>
      <w:r>
        <w:rPr>
          <w:rFonts w:ascii="Calibri" w:hAnsi="Calibri" w:cs="Calibri"/>
          <w:lang w:val="en-GB"/>
        </w:rPr>
        <w:t xml:space="preserve"> now represents the level of agreement (in terms of CAEP present or not) between pairs of detection methods and/or examiners. The highest </w:t>
      </w:r>
      <m:oMath>
        <m:r>
          <m:rPr>
            <m:sty m:val="p"/>
          </m:rPr>
          <w:rPr>
            <w:rFonts w:ascii="Cambria Math" w:hAnsi="Cambria Math" w:cs="Calibri"/>
            <w:lang w:val="en-GB"/>
          </w:rPr>
          <m:t>κ</m:t>
        </m:r>
      </m:oMath>
      <w:r>
        <w:rPr>
          <w:rFonts w:ascii="Calibri" w:hAnsi="Calibri" w:cs="Calibri"/>
          <w:lang w:val="en-GB"/>
        </w:rPr>
        <w:t xml:space="preserve"> values were observed when comparing the detection methods (</w:t>
      </w:r>
      <m:oMath>
        <m:r>
          <m:rPr>
            <m:sty m:val="p"/>
          </m:rPr>
          <w:rPr>
            <w:rFonts w:ascii="Cambria Math" w:hAnsi="Cambria Math" w:cs="Calibri"/>
            <w:lang w:val="en-GB"/>
          </w:rPr>
          <m:t>κ</m:t>
        </m:r>
      </m:oMath>
      <w:r>
        <w:rPr>
          <w:rFonts w:ascii="Calibri" w:hAnsi="Calibri" w:cs="Calibri"/>
          <w:lang w:val="en-GB"/>
        </w:rPr>
        <w:t xml:space="preserve"> ranged from 0.72 to 0.9), which can be attributed to the features</w:t>
      </w:r>
      <w:r>
        <w:rPr>
          <w:rFonts w:hint="default" w:ascii="Calibri" w:hAnsi="Calibri" w:cs="Calibri"/>
          <w:lang w:val="en-GB"/>
        </w:rPr>
        <w:t xml:space="preserve"> (i.e. the actual data </w:t>
      </w:r>
      <w:r>
        <w:rPr>
          <w:rFonts w:ascii="Calibri" w:hAnsi="Calibri" w:cs="Calibri"/>
          <w:lang w:val="en-GB"/>
        </w:rPr>
        <w:t>analysed by the detection methods</w:t>
      </w:r>
      <w:r>
        <w:rPr>
          <w:rFonts w:hint="default" w:ascii="Calibri" w:hAnsi="Calibri" w:cs="Calibri"/>
          <w:lang w:val="en-GB"/>
        </w:rPr>
        <w:t>)</w:t>
      </w:r>
      <w:r>
        <w:rPr>
          <w:rFonts w:ascii="Calibri" w:hAnsi="Calibri" w:cs="Calibri"/>
          <w:lang w:val="en-GB"/>
        </w:rPr>
        <w:t xml:space="preserve"> being highly correlated. For example, the T</w:t>
      </w:r>
      <w:r>
        <w:rPr>
          <w:rFonts w:ascii="Calibri" w:hAnsi="Calibri" w:cs="Calibri"/>
          <w:vertAlign w:val="superscript"/>
          <w:lang w:val="en-GB"/>
        </w:rPr>
        <w:t>2</w:t>
      </w:r>
      <w:r>
        <w:rPr>
          <w:rFonts w:ascii="Calibri" w:hAnsi="Calibri" w:cs="Calibri"/>
          <w:vertAlign w:val="subscript"/>
          <w:lang w:val="en-GB"/>
        </w:rPr>
        <w:t>Time</w:t>
      </w:r>
      <w:r>
        <w:rPr>
          <w:rFonts w:ascii="Calibri" w:hAnsi="Calibri" w:cs="Calibri"/>
          <w:lang w:val="en-GB"/>
        </w:rPr>
        <w:t xml:space="preserve"> and T</w:t>
      </w:r>
      <w:r>
        <w:rPr>
          <w:rFonts w:ascii="Calibri" w:hAnsi="Calibri" w:cs="Calibri"/>
          <w:vertAlign w:val="superscript"/>
          <w:lang w:val="en-GB"/>
        </w:rPr>
        <w:t>2</w:t>
      </w:r>
      <w:r>
        <w:rPr>
          <w:rFonts w:ascii="Calibri" w:hAnsi="Calibri" w:cs="Calibri"/>
          <w:vertAlign w:val="subscript"/>
          <w:lang w:val="en-GB"/>
        </w:rPr>
        <w:t>Toep</w:t>
      </w:r>
      <w:r>
        <w:rPr>
          <w:rFonts w:ascii="Calibri" w:hAnsi="Calibri" w:cs="Calibri"/>
          <w:lang w:val="en-GB"/>
        </w:rPr>
        <w:t xml:space="preserve"> detection methods both consider the same voltage means, and only differ in terms of the feature covariance matrix. Similarly, T</w:t>
      </w:r>
      <w:r>
        <w:rPr>
          <w:rFonts w:ascii="Calibri" w:hAnsi="Calibri" w:cs="Calibri"/>
          <w:vertAlign w:val="superscript"/>
          <w:lang w:val="en-GB"/>
        </w:rPr>
        <w:t>2</w:t>
      </w:r>
      <w:r>
        <w:rPr>
          <w:rFonts w:ascii="Calibri" w:hAnsi="Calibri" w:cs="Calibri"/>
          <w:vertAlign w:val="subscript"/>
          <w:lang w:val="en-GB"/>
        </w:rPr>
        <w:t>Freq</w:t>
      </w:r>
      <w:r>
        <w:rPr>
          <w:rFonts w:ascii="Calibri" w:hAnsi="Calibri" w:cs="Calibri"/>
          <w:lang w:val="en-GB"/>
        </w:rPr>
        <w:t>, and T</w:t>
      </w:r>
      <w:r>
        <w:rPr>
          <w:rFonts w:ascii="Calibri" w:hAnsi="Calibri" w:cs="Calibri"/>
          <w:vertAlign w:val="superscript"/>
          <w:lang w:val="en-GB"/>
        </w:rPr>
        <w:t>2</w:t>
      </w:r>
      <w:r>
        <w:rPr>
          <w:rFonts w:ascii="Calibri" w:hAnsi="Calibri" w:cs="Calibri"/>
          <w:vertAlign w:val="subscript"/>
          <w:lang w:val="en-GB"/>
        </w:rPr>
        <w:t>Diag</w:t>
      </w:r>
      <w:r>
        <w:rPr>
          <w:rFonts w:ascii="Calibri" w:hAnsi="Calibri" w:cs="Calibri"/>
          <w:lang w:val="en-GB"/>
        </w:rPr>
        <w:t xml:space="preserve"> both consider the real and imaginary parts of the same spectral bands, and differ only in terms of the feature covariance matrix. Finally, QMod V3 excludes the feature covariance matrix altogether, and is applied to the phases and magnitude (ranks) of the spectral bands, as opposed to the real and imaginary parts, and thus also has considerable overlap with T</w:t>
      </w:r>
      <w:r>
        <w:rPr>
          <w:rFonts w:ascii="Calibri" w:hAnsi="Calibri" w:cs="Calibri"/>
          <w:vertAlign w:val="superscript"/>
          <w:lang w:val="en-GB"/>
        </w:rPr>
        <w:t>2</w:t>
      </w:r>
      <w:r>
        <w:rPr>
          <w:rFonts w:ascii="Calibri" w:hAnsi="Calibri" w:cs="Calibri"/>
          <w:vertAlign w:val="subscript"/>
          <w:lang w:val="en-GB"/>
        </w:rPr>
        <w:t>Freq</w:t>
      </w:r>
      <w:r>
        <w:rPr>
          <w:rFonts w:ascii="Calibri" w:hAnsi="Calibri" w:cs="Calibri"/>
          <w:lang w:val="en-GB"/>
        </w:rPr>
        <w:t>, and T</w:t>
      </w:r>
      <w:r>
        <w:rPr>
          <w:rFonts w:ascii="Calibri" w:hAnsi="Calibri" w:cs="Calibri"/>
          <w:vertAlign w:val="superscript"/>
          <w:lang w:val="en-GB"/>
        </w:rPr>
        <w:t>2</w:t>
      </w:r>
      <w:r>
        <w:rPr>
          <w:rFonts w:ascii="Calibri" w:hAnsi="Calibri" w:cs="Calibri"/>
          <w:vertAlign w:val="subscript"/>
          <w:lang w:val="en-GB"/>
        </w:rPr>
        <w:t>Diag</w:t>
      </w:r>
      <w:r>
        <w:rPr>
          <w:rFonts w:ascii="Calibri" w:hAnsi="Calibri" w:cs="Calibri"/>
          <w:lang w:val="en-GB"/>
        </w:rPr>
        <w:t>.</w:t>
      </w:r>
    </w:p>
    <w:p>
      <w:pPr>
        <w:pStyle w:val="17"/>
        <w:spacing w:line="240" w:lineRule="auto"/>
        <w:jc w:val="both"/>
        <w:rPr>
          <w:lang w:val="en-GB"/>
        </w:rPr>
      </w:pPr>
    </w:p>
    <w:p>
      <w:pPr>
        <w:pStyle w:val="17"/>
        <w:spacing w:line="240" w:lineRule="auto"/>
        <w:jc w:val="both"/>
        <w:rPr>
          <w:rFonts w:hint="default" w:ascii="Calibri" w:hAnsi="Calibri" w:cs="Calibri"/>
          <w:b w:val="0"/>
          <w:bCs w:val="0"/>
          <w:i w:val="0"/>
          <w:iCs w:val="0"/>
          <w:lang w:val="en-GB"/>
        </w:rPr>
      </w:pPr>
      <w:r>
        <w:rPr>
          <w:rFonts w:ascii="Calibri" w:hAnsi="Calibri" w:cs="Calibri"/>
          <w:lang w:val="en-GB"/>
        </w:rPr>
        <w:t>Finally, inter-test reliability scores for the examiners were lower than those of the objective detection methods (</w:t>
      </w:r>
      <m:oMath>
        <m:r>
          <m:rPr>
            <m:sty m:val="p"/>
          </m:rPr>
          <w:rPr>
            <w:rFonts w:ascii="Cambria Math" w:hAnsi="Cambria Math" w:cs="Calibri"/>
            <w:lang w:val="en-GB"/>
          </w:rPr>
          <m:t>κ</m:t>
        </m:r>
      </m:oMath>
      <w:r>
        <w:rPr>
          <w:rFonts w:ascii="Calibri" w:hAnsi="Calibri" w:cs="Calibri"/>
          <w:lang w:val="en-GB"/>
        </w:rPr>
        <w:t xml:space="preserve"> ranged from 0.65 to 0.71). This suggests that examiners varied, to some extent, in how they chose to evaluate the waveforms. The lowest reliability scores, however, were observed when pairing examiners with detection methods (</w:t>
      </w:r>
      <m:oMath>
        <m:r>
          <m:rPr>
            <m:sty m:val="p"/>
          </m:rPr>
          <w:rPr>
            <w:rFonts w:ascii="Cambria Math" w:hAnsi="Cambria Math" w:cs="Calibri"/>
            <w:lang w:val="en-GB"/>
          </w:rPr>
          <m:t>κ</m:t>
        </m:r>
      </m:oMath>
      <w:r>
        <w:rPr>
          <w:rFonts w:ascii="Calibri" w:hAnsi="Calibri" w:cs="Calibri"/>
          <w:lang w:val="en-GB"/>
        </w:rPr>
        <w:t xml:space="preserve"> ranged from 0.48 to 0.64), which suggests that examiners and detection methods differed in terms of what information they consider</w:t>
      </w:r>
      <w:r>
        <w:rPr>
          <w:rFonts w:hint="default" w:ascii="Calibri" w:hAnsi="Calibri" w:cs="Calibri"/>
          <w:lang w:val="en-GB"/>
        </w:rPr>
        <w:t>ed</w:t>
      </w:r>
      <w:r>
        <w:rPr>
          <w:rFonts w:ascii="Calibri" w:hAnsi="Calibri" w:cs="Calibri"/>
          <w:lang w:val="en-GB"/>
        </w:rPr>
        <w:t xml:space="preserve"> when evaluating CAEPs. </w:t>
      </w:r>
      <w:r>
        <w:rPr>
          <w:rFonts w:hint="default" w:ascii="Calibri" w:hAnsi="Calibri" w:cs="Calibri"/>
          <w:lang w:val="en-GB"/>
        </w:rPr>
        <w:t xml:space="preserve">One </w:t>
      </w:r>
      <w:r>
        <w:rPr>
          <w:rFonts w:ascii="Calibri" w:hAnsi="Calibri" w:cs="Calibri"/>
          <w:lang w:val="en-GB"/>
        </w:rPr>
        <w:t>hypothesis is that examiners strove to identify credible morphologies in the coherently averaged waveforms</w:t>
      </w:r>
      <w:r>
        <w:rPr>
          <w:rFonts w:hint="default" w:ascii="Calibri" w:hAnsi="Calibri" w:cs="Calibri"/>
          <w:lang w:val="en-US"/>
        </w:rPr>
        <w:t xml:space="preserve">, </w:t>
      </w:r>
      <w:r>
        <w:rPr>
          <w:rFonts w:hint="default" w:ascii="Calibri" w:hAnsi="Calibri" w:cs="Calibri"/>
          <w:lang w:val="en-GB"/>
        </w:rPr>
        <w:t>whereas the objective detection methods did not.</w:t>
      </w:r>
      <w:r>
        <w:rPr>
          <w:rFonts w:hint="default" w:ascii="Calibri" w:hAnsi="Calibri" w:cs="Calibri"/>
          <w:b w:val="0"/>
          <w:bCs w:val="0"/>
          <w:lang w:val="en-GB"/>
        </w:rPr>
        <w:t xml:space="preserve"> </w:t>
      </w:r>
      <w:r>
        <w:rPr>
          <w:rFonts w:hint="default" w:ascii="Calibri" w:hAnsi="Calibri" w:cs="Calibri"/>
          <w:b w:val="0"/>
          <w:bCs w:val="0"/>
          <w:i w:val="0"/>
          <w:iCs w:val="0"/>
          <w:lang w:val="en-GB"/>
        </w:rPr>
        <w:t xml:space="preserve">In some cases, this </w:t>
      </w:r>
      <w:r>
        <w:rPr>
          <w:rFonts w:ascii="Calibri" w:hAnsi="Calibri" w:cs="Calibri"/>
          <w:b w:val="0"/>
          <w:bCs w:val="0"/>
          <w:i w:val="0"/>
          <w:iCs w:val="0"/>
          <w:lang w:val="en-GB"/>
        </w:rPr>
        <w:t xml:space="preserve">may have led to </w:t>
      </w:r>
      <w:r>
        <w:rPr>
          <w:rFonts w:hint="default" w:ascii="Calibri" w:hAnsi="Calibri" w:cs="Calibri"/>
          <w:b w:val="0"/>
          <w:bCs w:val="0"/>
          <w:i w:val="0"/>
          <w:iCs w:val="0"/>
          <w:lang w:val="en-GB"/>
        </w:rPr>
        <w:t>CAEPs with small amplitudes, but credible waveform morphologies, being detected by the examiners, but being classified as non-detections by the detection methods. Vice versa, some CAEPs with less conventional morphologies may have been detected by the detection methods, but classified as non-detections by the examiners.</w:t>
      </w:r>
    </w:p>
    <w:p>
      <w:pPr>
        <w:pStyle w:val="17"/>
        <w:spacing w:line="240" w:lineRule="auto"/>
        <w:jc w:val="both"/>
        <w:rPr>
          <w:rFonts w:hint="default" w:ascii="Calibri" w:hAnsi="Calibri" w:cs="Calibri"/>
          <w:b/>
          <w:bCs/>
          <w:i w:val="0"/>
          <w:iCs w:val="0"/>
          <w:lang w:val="en-GB"/>
        </w:rPr>
      </w:pPr>
    </w:p>
    <w:p>
      <w:pPr>
        <w:pStyle w:val="17"/>
        <w:spacing w:line="240" w:lineRule="auto"/>
        <w:jc w:val="both"/>
        <w:rPr>
          <w:rFonts w:ascii="Calibri" w:hAnsi="Calibri" w:cs="Calibri"/>
          <w:i/>
          <w:iCs/>
          <w:lang w:val="en-GB"/>
        </w:rPr>
      </w:pPr>
      <w:r>
        <w:rPr>
          <w:rFonts w:ascii="Calibri" w:hAnsi="Calibri" w:cs="Calibri"/>
          <w:i/>
          <w:iCs/>
          <w:lang w:val="en-GB"/>
        </w:rPr>
        <w:t>Study limitations and future work</w:t>
      </w:r>
    </w:p>
    <w:p>
      <w:pPr>
        <w:pStyle w:val="17"/>
        <w:spacing w:line="240" w:lineRule="auto"/>
        <w:jc w:val="both"/>
        <w:rPr>
          <w:rFonts w:ascii="Calibri" w:hAnsi="Calibri" w:cs="Calibri"/>
          <w:lang w:val="en-GB"/>
        </w:rPr>
      </w:pPr>
      <w:r>
        <w:rPr>
          <w:rFonts w:ascii="Calibri" w:hAnsi="Calibri" w:cs="Calibri"/>
          <w:lang w:val="en-GB"/>
        </w:rPr>
        <w:t xml:space="preserve">This study aimed to provide a fair comparison between aided CAEP detection methods, and therefore carried out feature optimisations (presented in the Supplemental Digital Content) prior to the main assessments. Feature optimisations prevent some methods from having an unfair advantage over others due to sub-optimal feature sets, but have a potential risk in that some methods have more capacity to be optimised than others, i.e. some methods may have been overfitted to the sample of CAEP recordings. Although results in the Appendix suggest that test performance was relatively robust across a range of test parameters, it is important that results are confirmed using alternative data sets in future work. </w:t>
      </w:r>
    </w:p>
    <w:p>
      <w:pPr>
        <w:pStyle w:val="17"/>
        <w:spacing w:line="240" w:lineRule="auto"/>
        <w:jc w:val="both"/>
        <w:rPr>
          <w:rFonts w:ascii="Calibri" w:hAnsi="Calibri" w:cs="Calibri"/>
          <w:lang w:val="en-GB"/>
        </w:rPr>
      </w:pPr>
    </w:p>
    <w:p>
      <w:pPr>
        <w:pStyle w:val="17"/>
        <w:spacing w:line="240" w:lineRule="auto"/>
        <w:jc w:val="both"/>
        <w:rPr>
          <w:rFonts w:ascii="Calibri" w:hAnsi="Calibri" w:cs="Calibri"/>
          <w:lang w:val="en-GB"/>
        </w:rPr>
      </w:pPr>
      <w:r>
        <w:rPr>
          <w:rFonts w:ascii="Calibri" w:hAnsi="Calibri" w:cs="Calibri"/>
          <w:lang w:val="en-GB"/>
        </w:rPr>
        <w:t>An additional limitation for this work is that there were relatively few inaudible (&lt;0 dB SL) CAEP recordings available for the specificity assessment. As a result, statistical power was low, which may have resulted in small biases in the FPRs of the detection methods going undetected. The large sample of simulated signals overcomes this limitation to some extent, but does not fully emulate real-world recordings</w:t>
      </w:r>
      <w:r>
        <w:rPr>
          <w:rFonts w:hint="default" w:ascii="Calibri" w:hAnsi="Calibri" w:cs="Calibri"/>
          <w:lang w:val="en-GB"/>
        </w:rPr>
        <w:t xml:space="preserve">, and was not carried out for visual inspection due to the substantial load on the clinicians. </w:t>
      </w:r>
      <w:r>
        <w:rPr>
          <w:rFonts w:ascii="Calibri" w:hAnsi="Calibri" w:cs="Calibri"/>
          <w:lang w:val="en-GB"/>
        </w:rPr>
        <w:t xml:space="preserve">In future work, </w:t>
      </w:r>
      <w:r>
        <w:rPr>
          <w:rFonts w:hint="default" w:ascii="Calibri" w:hAnsi="Calibri" w:cs="Calibri"/>
          <w:lang w:val="en-GB"/>
        </w:rPr>
        <w:t xml:space="preserve">it may be necessary to estimate FPRs for the detection methods and examiners </w:t>
      </w:r>
      <w:r>
        <w:rPr>
          <w:rFonts w:ascii="Calibri" w:hAnsi="Calibri" w:cs="Calibri"/>
          <w:lang w:val="en-GB"/>
        </w:rPr>
        <w:t xml:space="preserve">using a much larger sample of no-stimulus recordings. </w:t>
      </w:r>
    </w:p>
    <w:p>
      <w:pPr>
        <w:pStyle w:val="17"/>
        <w:spacing w:line="240" w:lineRule="auto"/>
        <w:jc w:val="both"/>
        <w:rPr>
          <w:rFonts w:ascii="Calibri" w:hAnsi="Calibri" w:cs="Calibri"/>
          <w:lang w:val="en-GB"/>
        </w:rPr>
      </w:pPr>
    </w:p>
    <w:p>
      <w:pPr>
        <w:pStyle w:val="17"/>
        <w:spacing w:line="240" w:lineRule="auto"/>
        <w:jc w:val="both"/>
        <w:rPr>
          <w:rFonts w:ascii="Calibri" w:hAnsi="Calibri" w:cs="Calibri"/>
          <w:lang w:val="en-GB"/>
        </w:rPr>
      </w:pPr>
      <w:r>
        <w:rPr>
          <w:rFonts w:ascii="Calibri" w:hAnsi="Calibri" w:cs="Calibri"/>
          <w:lang w:val="en-GB"/>
        </w:rPr>
        <w:t xml:space="preserve">It should </w:t>
      </w:r>
      <w:r>
        <w:rPr>
          <w:rFonts w:hint="default" w:ascii="Calibri" w:hAnsi="Calibri" w:cs="Calibri"/>
          <w:lang w:val="en-GB"/>
        </w:rPr>
        <w:t xml:space="preserve">also </w:t>
      </w:r>
      <w:r>
        <w:rPr>
          <w:rFonts w:ascii="Calibri" w:hAnsi="Calibri" w:cs="Calibri"/>
          <w:lang w:val="en-GB"/>
        </w:rPr>
        <w:t>be noted that any longitudinal studies that compare tests on children at different ages (in this case CAEP testing at 3-7 months followed by VRA testing at mean age 10.8 months)</w:t>
      </w:r>
      <w:r>
        <w:rPr>
          <w:rFonts w:hint="default" w:ascii="Calibri" w:hAnsi="Calibri" w:cs="Calibri"/>
          <w:lang w:val="en-GB"/>
        </w:rPr>
        <w:t>,</w:t>
      </w:r>
      <w:r>
        <w:rPr>
          <w:rFonts w:ascii="Calibri" w:hAnsi="Calibri" w:cs="Calibri"/>
          <w:lang w:val="en-GB"/>
        </w:rPr>
        <w:t xml:space="preserve"> and where</w:t>
      </w:r>
      <w:r>
        <w:rPr>
          <w:rFonts w:hint="default" w:ascii="Calibri" w:hAnsi="Calibri" w:cs="Calibri"/>
          <w:lang w:val="en-GB"/>
        </w:rPr>
        <w:t xml:space="preserve"> the</w:t>
      </w:r>
      <w:r>
        <w:rPr>
          <w:rFonts w:ascii="Calibri" w:hAnsi="Calibri" w:cs="Calibri"/>
          <w:lang w:val="en-GB"/>
        </w:rPr>
        <w:t xml:space="preserve"> tests have some source</w:t>
      </w:r>
      <w:r>
        <w:rPr>
          <w:rFonts w:hint="default" w:ascii="Calibri" w:hAnsi="Calibri" w:cs="Calibri"/>
          <w:lang w:val="en-GB"/>
        </w:rPr>
        <w:t xml:space="preserve"> </w:t>
      </w:r>
      <w:r>
        <w:rPr>
          <w:rFonts w:ascii="Calibri" w:hAnsi="Calibri" w:cs="Calibri"/>
          <w:lang w:val="en-GB"/>
        </w:rPr>
        <w:t>of variability</w:t>
      </w:r>
      <w:r>
        <w:rPr>
          <w:rFonts w:hint="default" w:ascii="Calibri" w:hAnsi="Calibri" w:cs="Calibri"/>
          <w:lang w:val="en-GB"/>
        </w:rPr>
        <w:t>,</w:t>
      </w:r>
      <w:r>
        <w:rPr>
          <w:rFonts w:ascii="Calibri" w:hAnsi="Calibri" w:cs="Calibri"/>
          <w:lang w:val="en-GB"/>
        </w:rPr>
        <w:t xml:space="preserve"> have inherent limitations</w:t>
      </w:r>
      <w:r>
        <w:rPr>
          <w:rFonts w:hint="default" w:ascii="Calibri" w:hAnsi="Calibri" w:cs="Calibri"/>
          <w:lang w:val="en-GB"/>
        </w:rPr>
        <w:t>. B</w:t>
      </w:r>
      <w:r>
        <w:rPr>
          <w:rFonts w:ascii="Calibri" w:hAnsi="Calibri" w:cs="Calibri"/>
          <w:lang w:val="en-GB"/>
        </w:rPr>
        <w:t>oth VRA and CAEP</w:t>
      </w:r>
      <w:r>
        <w:rPr>
          <w:rFonts w:hint="default" w:ascii="Calibri" w:hAnsi="Calibri" w:cs="Calibri"/>
          <w:lang w:val="en-GB"/>
        </w:rPr>
        <w:t xml:space="preserve"> </w:t>
      </w:r>
      <w:r>
        <w:rPr>
          <w:rFonts w:ascii="Calibri" w:hAnsi="Calibri" w:cs="Calibri"/>
          <w:lang w:val="en-GB"/>
        </w:rPr>
        <w:t>have some test variability due to the attention of the child</w:t>
      </w:r>
      <w:r>
        <w:rPr>
          <w:rFonts w:hint="default" w:ascii="Calibri" w:hAnsi="Calibri" w:cs="Calibri"/>
          <w:lang w:val="en-GB"/>
        </w:rPr>
        <w:t xml:space="preserve"> and </w:t>
      </w:r>
      <w:r>
        <w:rPr>
          <w:rFonts w:ascii="Calibri" w:hAnsi="Calibri" w:cs="Calibri"/>
          <w:lang w:val="en-GB"/>
        </w:rPr>
        <w:t>measurement noise resulting from child movement</w:t>
      </w:r>
      <w:r>
        <w:rPr>
          <w:rFonts w:hint="default" w:ascii="Calibri" w:hAnsi="Calibri" w:cs="Calibri"/>
          <w:lang w:val="en-GB"/>
        </w:rPr>
        <w:t>, i.e. n</w:t>
      </w:r>
      <w:r>
        <w:rPr>
          <w:rFonts w:ascii="Calibri" w:hAnsi="Calibri" w:cs="Calibri"/>
          <w:lang w:val="en-GB"/>
        </w:rPr>
        <w:t xml:space="preserve">either test is entirely a gold standard measurement of audibility. </w:t>
      </w:r>
      <w:r>
        <w:rPr>
          <w:rFonts w:hint="default" w:ascii="Calibri" w:hAnsi="Calibri" w:cs="Calibri"/>
          <w:lang w:val="en-GB"/>
        </w:rPr>
        <w:t>Although t</w:t>
      </w:r>
      <w:r>
        <w:rPr>
          <w:rFonts w:ascii="Calibri" w:hAnsi="Calibri" w:cs="Calibri"/>
          <w:lang w:val="en-GB"/>
        </w:rPr>
        <w:t>he current study strived to reduce sources of variability in measurements</w:t>
      </w:r>
      <w:r>
        <w:rPr>
          <w:rFonts w:hint="default" w:ascii="Calibri" w:hAnsi="Calibri" w:cs="Calibri"/>
          <w:lang w:val="en-GB"/>
        </w:rPr>
        <w:t xml:space="preserve"> - e.g. by (1) carrying out </w:t>
      </w:r>
      <w:r>
        <w:rPr>
          <w:rFonts w:ascii="Calibri" w:hAnsi="Calibri" w:cs="Calibri"/>
          <w:lang w:val="en-GB"/>
        </w:rPr>
        <w:t xml:space="preserve">otoscopy and tympanometry </w:t>
      </w:r>
      <w:r>
        <w:rPr>
          <w:rFonts w:hint="default" w:ascii="Calibri" w:hAnsi="Calibri" w:cs="Calibri"/>
          <w:lang w:val="en-GB"/>
        </w:rPr>
        <w:t xml:space="preserve">examinations to </w:t>
      </w:r>
      <w:r>
        <w:rPr>
          <w:rFonts w:ascii="Calibri" w:hAnsi="Calibri" w:cs="Calibri"/>
          <w:lang w:val="en-GB"/>
        </w:rPr>
        <w:t xml:space="preserve">rule out </w:t>
      </w:r>
      <w:r>
        <w:rPr>
          <w:rFonts w:hint="default" w:ascii="Calibri" w:hAnsi="Calibri" w:cs="Calibri"/>
          <w:lang w:val="en-GB"/>
        </w:rPr>
        <w:t xml:space="preserve">variations due to </w:t>
      </w:r>
      <w:r>
        <w:rPr>
          <w:rFonts w:ascii="Calibri" w:hAnsi="Calibri" w:cs="Calibri"/>
          <w:lang w:val="en-GB"/>
        </w:rPr>
        <w:t>conductive elements</w:t>
      </w:r>
      <w:r>
        <w:rPr>
          <w:rFonts w:hint="default" w:ascii="Calibri" w:hAnsi="Calibri" w:cs="Calibri"/>
          <w:lang w:val="en-GB"/>
        </w:rPr>
        <w:t>, (2) excluding i</w:t>
      </w:r>
      <w:r>
        <w:rPr>
          <w:rFonts w:hint="default" w:ascii="Calibri" w:hAnsi="Calibri" w:cs="Calibri"/>
          <w:sz w:val="22"/>
          <w:szCs w:val="22"/>
          <w:lang w:val="en-GB"/>
        </w:rPr>
        <w:t>nfants with progressive or fluctuating hearing loss, and (3) testing hearing aids using a test box prior to the examinations - d</w:t>
      </w:r>
      <w:r>
        <w:rPr>
          <w:rFonts w:ascii="Calibri" w:hAnsi="Calibri" w:cs="Calibri"/>
          <w:lang w:val="en-GB"/>
        </w:rPr>
        <w:t>ata should be treated with some caution.</w:t>
      </w:r>
    </w:p>
    <w:p>
      <w:pPr>
        <w:pStyle w:val="17"/>
        <w:spacing w:line="240" w:lineRule="auto"/>
        <w:jc w:val="both"/>
        <w:rPr>
          <w:rFonts w:ascii="Calibri" w:hAnsi="Calibri" w:cs="Calibri"/>
          <w:lang w:val="en-GB"/>
        </w:rPr>
      </w:pPr>
    </w:p>
    <w:p>
      <w:pPr>
        <w:pStyle w:val="17"/>
        <w:spacing w:line="240" w:lineRule="auto"/>
        <w:jc w:val="both"/>
        <w:rPr>
          <w:rFonts w:ascii="Calibri" w:hAnsi="Calibri"/>
          <w:sz w:val="24"/>
          <w:szCs w:val="24"/>
          <w:lang w:val="en-GB"/>
        </w:rPr>
      </w:pPr>
      <w:r>
        <w:rPr>
          <w:rFonts w:ascii="Calibri" w:hAnsi="Calibri" w:cs="Calibri"/>
          <w:lang w:val="en-GB"/>
        </w:rPr>
        <w:t xml:space="preserve">Finally, the detection methods in this study made no distinction between epochs within an ensemble, and therefore implicitly assumed that the CAEP was a deterministic response, unchanging throughout the examination. </w:t>
      </w:r>
      <w:r>
        <w:rPr>
          <w:rFonts w:ascii="Calibri" w:hAnsi="Calibri" w:eastAsia="TimesNewRomanPSMT" w:cs="Calibri"/>
          <w:color w:val="000000"/>
          <w:lang w:val="en-GB" w:eastAsia="zh-CN" w:bidi="ar"/>
        </w:rPr>
        <w:t>However, the CAEP is known to be affected by habituation (</w:t>
      </w:r>
      <w:r>
        <w:rPr>
          <w:rFonts w:ascii="Calibri" w:hAnsi="Calibri" w:eastAsia="SimSun" w:cs="Calibri"/>
          <w:color w:val="5B9BD5" w:themeColor="accent1"/>
          <w:lang w:val="en-US"/>
          <w14:textFill>
            <w14:solidFill>
              <w14:schemeClr w14:val="accent1"/>
            </w14:solidFill>
          </w14:textFill>
        </w:rPr>
        <w:t>Özesmio</w:t>
      </w:r>
      <w:r>
        <w:rPr>
          <w:rFonts w:ascii="Calibri" w:hAnsi="Calibri" w:eastAsia="SimSun" w:cs="Calibri"/>
          <w:color w:val="5B9BD5" w:themeColor="accent1"/>
          <w:lang w:val="en-GB"/>
          <w14:textFill>
            <w14:solidFill>
              <w14:schemeClr w14:val="accent1"/>
            </w14:solidFill>
          </w14:textFill>
        </w:rPr>
        <w:t xml:space="preserve"> et al</w:t>
      </w:r>
      <w:r>
        <w:rPr>
          <w:rFonts w:ascii="Calibri" w:hAnsi="Calibri" w:cs="Calibri"/>
          <w:color w:val="5B9BD5" w:themeColor="accent1"/>
          <w:lang w:val="en-GB"/>
          <w14:textFill>
            <w14:solidFill>
              <w14:schemeClr w14:val="accent1"/>
            </w14:solidFill>
          </w14:textFill>
        </w:rPr>
        <w:t>, 2000</w:t>
      </w:r>
      <w:r>
        <w:rPr>
          <w:rFonts w:ascii="Calibri" w:hAnsi="Calibri" w:cs="Calibri"/>
          <w:lang w:val="en-GB"/>
        </w:rPr>
        <w:t>)</w:t>
      </w:r>
      <w:r>
        <w:rPr>
          <w:rFonts w:ascii="Calibri" w:hAnsi="Calibri" w:eastAsia="TimesNewRomanPSMT" w:cs="Calibri"/>
          <w:color w:val="000000"/>
          <w:lang w:val="en-GB" w:eastAsia="zh-CN" w:bidi="ar"/>
        </w:rPr>
        <w:t xml:space="preserve"> and subjects’ drowsiness or state of alertness (e.g. </w:t>
      </w:r>
      <w:r>
        <w:rPr>
          <w:rFonts w:ascii="Calibri" w:hAnsi="Calibri" w:cs="Calibri"/>
          <w:color w:val="5B9BD5" w:themeColor="accent1"/>
          <w:lang w:val="en-GB"/>
          <w14:textFill>
            <w14:solidFill>
              <w14:schemeClr w14:val="accent1"/>
            </w14:solidFill>
          </w14:textFill>
        </w:rPr>
        <w:t>Celesia &amp; Puletti, 1971; Johnson &amp; Yonovitz, 2007</w:t>
      </w:r>
      <w:r>
        <w:rPr>
          <w:rFonts w:ascii="Calibri" w:hAnsi="Calibri" w:eastAsia="TimesNewRomanPSMT" w:cs="Calibri"/>
          <w:color w:val="000000"/>
          <w:lang w:val="en-GB" w:eastAsia="zh-CN" w:bidi="ar"/>
        </w:rPr>
        <w:t xml:space="preserve">), thus rendering significant trial-to-trial variations plausible. Indeed, </w:t>
      </w:r>
      <w:r>
        <w:rPr>
          <w:rFonts w:ascii="Calibri" w:hAnsi="Calibri" w:cs="Calibri"/>
          <w:lang w:val="en-GB"/>
        </w:rPr>
        <w:t xml:space="preserve">Johnson &amp; Yonovitz (2007) observed gradual changes in CAEP amplitudes and latencies over the course of a 90 minute test paradigm and found these changes to be associated with fluctuations in alertness and attentiveness. Further work is required to explore these variations in infants with hearing loss, quantify their impact on CAEP detection methods, and test potential solutions.  </w:t>
      </w:r>
    </w:p>
    <w:p>
      <w:pPr>
        <w:pStyle w:val="17"/>
        <w:spacing w:line="240" w:lineRule="auto"/>
        <w:jc w:val="both"/>
        <w:rPr>
          <w:rFonts w:ascii="Calibri" w:hAnsi="Calibri" w:cs="Calibri"/>
          <w:lang w:val="en-GB"/>
        </w:rPr>
      </w:pPr>
    </w:p>
    <w:p>
      <w:pPr>
        <w:spacing w:line="240" w:lineRule="auto"/>
        <w:rPr>
          <w:rFonts w:ascii="Calibri" w:hAnsi="Calibri" w:cs="Calibri"/>
          <w:b/>
          <w:bCs/>
          <w:sz w:val="22"/>
          <w:szCs w:val="22"/>
          <w:lang w:val="en-GB"/>
        </w:rPr>
      </w:pPr>
      <w:r>
        <w:rPr>
          <w:rFonts w:ascii="Calibri" w:hAnsi="Calibri" w:cs="Calibri"/>
          <w:b/>
          <w:bCs/>
          <w:sz w:val="28"/>
          <w:szCs w:val="28"/>
          <w:lang w:val="en-GB"/>
        </w:rPr>
        <w:t>4. Conclusion</w:t>
      </w:r>
    </w:p>
    <w:p>
      <w:pPr>
        <w:spacing w:line="240" w:lineRule="auto"/>
        <w:jc w:val="both"/>
        <w:rPr>
          <w:rFonts w:ascii="Calibri" w:hAnsi="Calibri" w:cs="Calibri"/>
          <w:sz w:val="22"/>
          <w:szCs w:val="22"/>
          <w:lang w:val="en-GB"/>
        </w:rPr>
      </w:pPr>
      <w:r>
        <w:rPr>
          <w:rFonts w:ascii="Calibri" w:hAnsi="Calibri" w:cs="Calibri"/>
          <w:sz w:val="22"/>
          <w:szCs w:val="22"/>
          <w:lang w:val="en-GB"/>
        </w:rPr>
        <w:t>The overall best-performing methods to detect CAEPs in this study were the modified</w:t>
      </w:r>
      <w:r>
        <w:rPr>
          <w:rFonts w:ascii="Calibri" w:hAnsi="Calibri" w:cs="Calibri"/>
          <w:lang w:val="en-GB"/>
        </w:rPr>
        <w:t xml:space="preserve"> T</w:t>
      </w:r>
      <w:r>
        <w:rPr>
          <w:rFonts w:ascii="Calibri" w:hAnsi="Calibri" w:cs="Calibri"/>
          <w:vertAlign w:val="superscript"/>
          <w:lang w:val="en-GB"/>
        </w:rPr>
        <w:t>2</w:t>
      </w:r>
      <w:r>
        <w:rPr>
          <w:rFonts w:ascii="Calibri" w:hAnsi="Calibri" w:cs="Calibri"/>
          <w:lang w:val="en-GB"/>
        </w:rPr>
        <w:t xml:space="preserve"> </w:t>
      </w:r>
      <w:r>
        <w:rPr>
          <w:rFonts w:ascii="Calibri" w:hAnsi="Calibri" w:cs="Calibri"/>
          <w:sz w:val="22"/>
          <w:szCs w:val="22"/>
          <w:lang w:val="en-GB"/>
        </w:rPr>
        <w:t>statistics, which outperformed QMod V3 in simulations, and the conventional HT</w:t>
      </w:r>
      <w:r>
        <w:rPr>
          <w:rFonts w:ascii="Calibri" w:hAnsi="Calibri" w:cs="Calibri"/>
          <w:sz w:val="22"/>
          <w:szCs w:val="22"/>
          <w:vertAlign w:val="superscript"/>
          <w:lang w:val="en-GB"/>
        </w:rPr>
        <w:t>2</w:t>
      </w:r>
      <w:r>
        <w:rPr>
          <w:rFonts w:hint="default" w:ascii="Calibri" w:hAnsi="Calibri" w:cs="Calibri"/>
          <w:sz w:val="22"/>
          <w:szCs w:val="22"/>
          <w:lang w:val="en-GB"/>
        </w:rPr>
        <w:t xml:space="preserve"> </w:t>
      </w:r>
      <w:r>
        <w:rPr>
          <w:rFonts w:ascii="Calibri" w:hAnsi="Calibri" w:cs="Calibri"/>
          <w:sz w:val="22"/>
          <w:szCs w:val="22"/>
          <w:lang w:val="en-GB"/>
        </w:rPr>
        <w:t>test in both simulations and aided CAEP recordings from 59 hearing-impaired infants. The reduced test sensitivity for the conventional HT</w:t>
      </w:r>
      <w:r>
        <w:rPr>
          <w:rFonts w:ascii="Calibri" w:hAnsi="Calibri" w:cs="Calibri"/>
          <w:sz w:val="22"/>
          <w:szCs w:val="22"/>
          <w:vertAlign w:val="superscript"/>
          <w:lang w:val="en-GB"/>
        </w:rPr>
        <w:t>2</w:t>
      </w:r>
      <w:r>
        <w:rPr>
          <w:rFonts w:hint="default" w:ascii="Calibri" w:hAnsi="Calibri" w:cs="Calibri"/>
          <w:sz w:val="22"/>
          <w:szCs w:val="22"/>
          <w:lang w:val="en-GB"/>
        </w:rPr>
        <w:t xml:space="preserve"> </w:t>
      </w:r>
      <w:r>
        <w:rPr>
          <w:rFonts w:ascii="Calibri" w:hAnsi="Calibri" w:cs="Calibri"/>
          <w:sz w:val="22"/>
          <w:szCs w:val="22"/>
          <w:lang w:val="en-GB"/>
        </w:rPr>
        <w:t>test was primarily for small ensemble sizes, and was attributed to the “small n large p” problem underlying HT</w:t>
      </w:r>
      <w:r>
        <w:rPr>
          <w:rFonts w:ascii="Calibri" w:hAnsi="Calibri" w:cs="Calibri"/>
          <w:sz w:val="22"/>
          <w:szCs w:val="22"/>
          <w:vertAlign w:val="superscript"/>
          <w:lang w:val="en-GB"/>
        </w:rPr>
        <w:t>2</w:t>
      </w:r>
      <w:r>
        <w:rPr>
          <w:rFonts w:ascii="Calibri" w:hAnsi="Calibri" w:cs="Calibri"/>
          <w:sz w:val="22"/>
          <w:szCs w:val="22"/>
          <w:lang w:val="en-GB"/>
        </w:rPr>
        <w:t xml:space="preserve">. For larger ensemble sizes of 80 epochs or more, the low test sensitivity was less pronounced. With respect to the visual inspection results of the examiners, good test specificities were observed, but relatively low test sensitivities, which could be problematic for clinical applications. Finally, results from the reliability assessment suggest that some audible CAEP recordings might not have contained clear CAEP waveforms. Future developments in CAEP detection might </w:t>
      </w:r>
      <w:r>
        <w:rPr>
          <w:rFonts w:hint="default" w:ascii="Calibri" w:hAnsi="Calibri" w:cs="Calibri"/>
          <w:sz w:val="22"/>
          <w:szCs w:val="22"/>
          <w:lang w:val="en-GB"/>
        </w:rPr>
        <w:t xml:space="preserve">therefore </w:t>
      </w:r>
      <w:r>
        <w:rPr>
          <w:rFonts w:ascii="Calibri" w:hAnsi="Calibri" w:cs="Calibri"/>
          <w:sz w:val="22"/>
          <w:szCs w:val="22"/>
          <w:lang w:val="en-GB"/>
        </w:rPr>
        <w:t xml:space="preserve">aim to optimise CAEP test paradigms for efficiently and reliably evoking CAEPs in infants with hearing loss, and </w:t>
      </w:r>
      <w:r>
        <w:rPr>
          <w:rFonts w:hint="default" w:ascii="Calibri" w:hAnsi="Calibri" w:cs="Calibri"/>
          <w:sz w:val="22"/>
          <w:szCs w:val="22"/>
          <w:lang w:val="en-GB"/>
        </w:rPr>
        <w:t xml:space="preserve">to </w:t>
      </w:r>
      <w:r>
        <w:rPr>
          <w:rFonts w:ascii="Calibri" w:hAnsi="Calibri" w:cs="Calibri"/>
          <w:sz w:val="22"/>
          <w:szCs w:val="22"/>
          <w:lang w:val="en-GB"/>
        </w:rPr>
        <w:t xml:space="preserve">further improve objective CAEP detection methods to assist clinicians with interpreting the CAEP waveforms. </w:t>
      </w:r>
    </w:p>
    <w:p>
      <w:pPr>
        <w:spacing w:line="240" w:lineRule="auto"/>
        <w:jc w:val="both"/>
        <w:rPr>
          <w:rFonts w:ascii="Calibri" w:hAnsi="Calibri" w:cs="Calibri"/>
          <w:sz w:val="22"/>
          <w:szCs w:val="22"/>
          <w:lang w:val="en-GB"/>
        </w:rPr>
      </w:pPr>
    </w:p>
    <w:p>
      <w:pPr>
        <w:spacing w:line="240" w:lineRule="auto"/>
        <w:rPr>
          <w:rFonts w:ascii="Calibri" w:hAnsi="Calibri" w:cs="Calibri"/>
          <w:sz w:val="22"/>
          <w:szCs w:val="22"/>
          <w:lang w:val="en-GB"/>
        </w:rPr>
      </w:pPr>
      <w:r>
        <w:rPr>
          <w:rFonts w:ascii="Calibri" w:hAnsi="Calibri" w:cs="Calibri"/>
          <w:b/>
          <w:bCs/>
          <w:sz w:val="22"/>
          <w:szCs w:val="22"/>
          <w:lang w:val="en-GB"/>
        </w:rPr>
        <w:t>Conflicts of interest</w:t>
      </w:r>
      <w:r>
        <w:rPr>
          <w:rFonts w:ascii="Calibri" w:hAnsi="Calibri" w:cs="Calibri"/>
          <w:sz w:val="22"/>
          <w:szCs w:val="22"/>
          <w:lang w:val="en-GB"/>
        </w:rPr>
        <w:t xml:space="preserve"> </w:t>
      </w:r>
    </w:p>
    <w:p>
      <w:pPr>
        <w:spacing w:line="240" w:lineRule="auto"/>
        <w:rPr>
          <w:rFonts w:ascii="Calibri" w:hAnsi="Calibri" w:cs="Calibri"/>
          <w:sz w:val="22"/>
          <w:szCs w:val="22"/>
          <w:lang w:val="en-GB"/>
        </w:rPr>
      </w:pPr>
      <w:r>
        <w:rPr>
          <w:rFonts w:ascii="Calibri" w:hAnsi="Calibri" w:cs="Calibri"/>
          <w:sz w:val="22"/>
          <w:szCs w:val="22"/>
          <w:lang w:val="en-GB"/>
        </w:rPr>
        <w:t>The authors declare no conflicts of interest.</w:t>
      </w:r>
    </w:p>
    <w:p>
      <w:pPr>
        <w:spacing w:line="240" w:lineRule="auto"/>
        <w:rPr>
          <w:rFonts w:ascii="Calibri" w:hAnsi="Calibri" w:cs="Calibri"/>
          <w:sz w:val="22"/>
          <w:szCs w:val="22"/>
          <w:lang w:val="en-GB"/>
        </w:rPr>
      </w:pPr>
    </w:p>
    <w:p>
      <w:pPr>
        <w:spacing w:line="240" w:lineRule="auto"/>
        <w:rPr>
          <w:rFonts w:ascii="Calibri" w:hAnsi="Calibri" w:cs="Calibri"/>
          <w:sz w:val="22"/>
          <w:szCs w:val="22"/>
          <w:lang w:val="en-GB"/>
        </w:rPr>
      </w:pPr>
      <w:r>
        <w:rPr>
          <w:rFonts w:ascii="Calibri" w:hAnsi="Calibri" w:cs="Calibri"/>
          <w:b/>
          <w:bCs/>
          <w:sz w:val="22"/>
          <w:szCs w:val="22"/>
          <w:lang w:val="en-GB"/>
        </w:rPr>
        <w:t>Acknowledgements</w:t>
      </w:r>
    </w:p>
    <w:p>
      <w:pPr>
        <w:spacing w:line="240" w:lineRule="auto"/>
        <w:jc w:val="both"/>
        <w:rPr>
          <w:rFonts w:ascii="Calibri" w:hAnsi="Calibri" w:cs="Calibri"/>
          <w:sz w:val="22"/>
          <w:szCs w:val="22"/>
          <w:lang w:val="en-GB"/>
        </w:rPr>
      </w:pPr>
      <w:r>
        <w:rPr>
          <w:rFonts w:ascii="Calibri" w:hAnsi="Calibri" w:cs="Calibri"/>
          <w:sz w:val="22"/>
          <w:szCs w:val="22"/>
          <w:lang w:val="en-GB"/>
        </w:rPr>
        <w:t xml:space="preserve">This article presents independent research funded by the National Institute for Health Research (NIHR) under its Research for Patient Benefit (RfPB) Programme (Grant Reference Number PB-PG-0214-33009). K.J.M. </w:t>
      </w:r>
      <w:r>
        <w:rPr>
          <w:rFonts w:cs="Calibri"/>
          <w:sz w:val="22"/>
          <w:szCs w:val="22"/>
          <w:lang w:val="en-GB"/>
        </w:rPr>
        <w:t xml:space="preserve">and M.A.S. were </w:t>
      </w:r>
      <w:r>
        <w:rPr>
          <w:rFonts w:ascii="Calibri" w:hAnsi="Calibri" w:cs="Calibri"/>
          <w:sz w:val="22"/>
          <w:szCs w:val="22"/>
          <w:lang w:val="en-GB"/>
        </w:rPr>
        <w:t xml:space="preserve">supported by the NIHR Manchester Biomedial Research Centre. The views expressed are those of the author(s) and not necessarily those of the NHS, the NIHR or the Department of Health and Social Care. This work was funded by the William Demant Foundation. </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The authors would like to thank the families for taking part, and the audiologists and teachers of the deaf for helping to recruit to the study.</w:t>
      </w:r>
      <w:r>
        <w:rPr>
          <w:rFonts w:cs="Calibri"/>
          <w:sz w:val="22"/>
          <w:szCs w:val="22"/>
          <w:lang w:val="en-GB"/>
        </w:rPr>
        <w:t xml:space="preserve"> The authors would also like to thank Jo Brooks, Caroline Hudson, Amber Roughley and Rhianon Morgan for data collection. </w:t>
      </w:r>
    </w:p>
    <w:p>
      <w:pPr>
        <w:spacing w:line="240" w:lineRule="auto"/>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b/>
          <w:bCs/>
          <w:sz w:val="22"/>
          <w:szCs w:val="22"/>
          <w:lang w:val="en-GB"/>
        </w:rPr>
        <w:t>Author contributions:</w:t>
      </w:r>
      <w:r>
        <w:rPr>
          <w:rFonts w:ascii="Calibri" w:hAnsi="Calibri" w:cs="Calibri"/>
          <w:sz w:val="22"/>
          <w:szCs w:val="22"/>
          <w:lang w:val="en-GB"/>
        </w:rPr>
        <w:t xml:space="preserve"> M.A.C., D.M.S., S.L.B, and J.M.H. contributed toward algorithm design and data analysis. A.S.V., L.B.S., K.J.M., and S.L.B. contributed towards data acquisition and/or data interpretation. All authors contributed toward project conception, experiment design, and towards the drafting and critical revision of the manuscript.</w:t>
      </w:r>
    </w:p>
    <w:p>
      <w:pPr>
        <w:spacing w:line="240" w:lineRule="auto"/>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b/>
          <w:bCs/>
          <w:sz w:val="24"/>
          <w:szCs w:val="24"/>
          <w:lang w:val="en-GB"/>
        </w:rPr>
        <w:t>References</w:t>
      </w:r>
    </w:p>
    <w:p>
      <w:pPr>
        <w:spacing w:line="240" w:lineRule="auto"/>
        <w:jc w:val="both"/>
        <w:rPr>
          <w:rFonts w:ascii="Calibri" w:hAnsi="Calibri" w:cs="Calibri"/>
          <w:sz w:val="22"/>
          <w:szCs w:val="22"/>
        </w:rPr>
      </w:pPr>
      <w:r>
        <w:rPr>
          <w:rFonts w:ascii="Calibri" w:hAnsi="Calibri" w:cs="Calibri"/>
          <w:sz w:val="22"/>
          <w:szCs w:val="22"/>
        </w:rPr>
        <w:t>Anderson T. W. An Introduction to Multivariate Statistical Analysis, Hobo</w:t>
      </w:r>
      <w:r>
        <w:rPr>
          <w:rFonts w:ascii="Calibri" w:hAnsi="Calibri" w:cs="Calibri"/>
          <w:sz w:val="22"/>
          <w:szCs w:val="22"/>
          <w:lang w:val="en-GB"/>
        </w:rPr>
        <w:t>-</w:t>
      </w:r>
      <w:r>
        <w:rPr>
          <w:rFonts w:ascii="Calibri" w:hAnsi="Calibri" w:cs="Calibri"/>
          <w:sz w:val="22"/>
          <w:szCs w:val="22"/>
        </w:rPr>
        <w:t>ken, NJ:</w:t>
      </w:r>
      <w:r>
        <w:rPr>
          <w:rFonts w:ascii="Calibri" w:hAnsi="Calibri" w:cs="Calibri"/>
          <w:sz w:val="22"/>
          <w:szCs w:val="22"/>
          <w:lang w:val="en-GB"/>
        </w:rPr>
        <w:t xml:space="preserve"> </w:t>
      </w:r>
      <w:r>
        <w:rPr>
          <w:rFonts w:ascii="Calibri" w:hAnsi="Calibri" w:cs="Calibri"/>
          <w:sz w:val="22"/>
          <w:szCs w:val="22"/>
        </w:rPr>
        <w:t>Wiley</w:t>
      </w:r>
      <w:r>
        <w:rPr>
          <w:rFonts w:ascii="Calibri" w:hAnsi="Calibri" w:cs="Calibri"/>
          <w:sz w:val="22"/>
          <w:szCs w:val="22"/>
          <w:lang w:val="en-GB"/>
        </w:rPr>
        <w:t>, (</w:t>
      </w:r>
      <w:r>
        <w:rPr>
          <w:rFonts w:ascii="Calibri" w:hAnsi="Calibri" w:cs="Calibri"/>
          <w:sz w:val="22"/>
          <w:szCs w:val="22"/>
        </w:rPr>
        <w:t>2003</w:t>
      </w:r>
      <w:r>
        <w:rPr>
          <w:rFonts w:ascii="Calibri" w:hAnsi="Calibri" w:cs="Calibri"/>
          <w:sz w:val="22"/>
          <w:szCs w:val="22"/>
          <w:lang w:val="en-GB"/>
        </w:rPr>
        <w:t>)</w:t>
      </w:r>
      <w:r>
        <w:rPr>
          <w:rFonts w:ascii="Calibri" w:hAnsi="Calibri" w:cs="Calibri"/>
          <w:sz w:val="22"/>
          <w:szCs w:val="22"/>
        </w:rPr>
        <w:t>.</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 xml:space="preserve">Bai Z., Saranadasa H. Effect of high dimension: by an example of a two-sample problem. Statistica Sinica, (1996). 6(2), 311-329. </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rPr>
      </w:pPr>
      <w:r>
        <w:rPr>
          <w:rFonts w:ascii="Calibri" w:hAnsi="Calibri" w:cs="Calibri"/>
          <w:sz w:val="22"/>
          <w:szCs w:val="22"/>
        </w:rPr>
        <w:t>BSA. British Society of Audiology, Recommended Procedure, Visual reinforcement Audiometry</w:t>
      </w:r>
      <w:r>
        <w:rPr>
          <w:rFonts w:ascii="Calibri" w:hAnsi="Calibri" w:cs="Calibri"/>
          <w:sz w:val="22"/>
          <w:szCs w:val="22"/>
          <w:lang w:val="en-GB"/>
        </w:rPr>
        <w:t>, (</w:t>
      </w:r>
      <w:r>
        <w:rPr>
          <w:rFonts w:ascii="Calibri" w:hAnsi="Calibri" w:cs="Calibri"/>
          <w:sz w:val="22"/>
          <w:szCs w:val="22"/>
        </w:rPr>
        <w:t>2014</w:t>
      </w:r>
      <w:r>
        <w:rPr>
          <w:rFonts w:ascii="Calibri" w:hAnsi="Calibri" w:cs="Calibri"/>
          <w:sz w:val="22"/>
          <w:szCs w:val="22"/>
          <w:lang w:val="en-GB"/>
        </w:rPr>
        <w:t xml:space="preserve">). </w:t>
      </w:r>
      <w:r>
        <w:rPr>
          <w:rFonts w:ascii="Calibri" w:hAnsi="Calibri" w:cs="Calibri"/>
          <w:sz w:val="22"/>
          <w:szCs w:val="22"/>
        </w:rPr>
        <w:t>http://www.thebsa.org.uk/wp-content/uploads/2014/04/BSA_VRA_24June2014_Final.pdf</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rPr>
      </w:pPr>
      <w:r>
        <w:rPr>
          <w:rFonts w:ascii="Calibri" w:hAnsi="Calibri" w:cs="Calibri"/>
          <w:sz w:val="22"/>
          <w:szCs w:val="22"/>
        </w:rPr>
        <w:t>Carter, L., et al. (2010). "The detection of infant cortical auditory evoked potentials (CAEPs) using statistical and visual detection techniques." J Am Acad Audiol 21(5): 347-356.</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Cebulla M., Stűrzebecher E., Elberling C. Objective detection of Auditory Steady State Responses: Comparison of One-Sample and q-Sample Tests.</w:t>
      </w:r>
      <w:r>
        <w:rPr>
          <w:rFonts w:ascii="Calibri" w:hAnsi="Calibri" w:cs="Calibri"/>
          <w:i/>
          <w:iCs/>
          <w:sz w:val="22"/>
          <w:szCs w:val="22"/>
          <w:lang w:val="en-GB"/>
        </w:rPr>
        <w:t xml:space="preserve"> J. Am. Acad. Audiol, (</w:t>
      </w:r>
      <w:r>
        <w:rPr>
          <w:rFonts w:ascii="Calibri" w:hAnsi="Calibri" w:cs="Calibri"/>
          <w:sz w:val="22"/>
          <w:szCs w:val="22"/>
          <w:lang w:val="en-GB"/>
        </w:rPr>
        <w:t>2006). 17(2), 93-103. doi:10.3766/jaaa.17.2.3</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Celesia G.G., Puletti F. Auditory input to the human cortex during states of drowsiness and surgical anesthesia. Electroencephalography and Clinical Neurophysiology, (1971). 31(6), 603-609. doi:10.1016/0013-4694(71)90076-9</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Chang H.W., Dillon H., Carter L., Van Dun B., Young S.T. The relationship between cortical auditory evoked potential (CAEP) detection and estimated audibility in infants with sensorineural hearing loss. International Journal of Audiology, (2012). 51(9), 663-70. doi:10.3109/14992027.2012.690076</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da-DK"/>
        </w:rPr>
      </w:pPr>
      <w:r>
        <w:rPr>
          <w:rFonts w:ascii="Calibri" w:hAnsi="Calibri" w:cs="Calibri"/>
          <w:sz w:val="22"/>
          <w:szCs w:val="22"/>
          <w:lang w:val="en-GB"/>
        </w:rPr>
        <w:t>Chen L.S,. Paul D., Prentice R.L., Wang P.  A regularized Hotellings T</w:t>
      </w:r>
      <w:r>
        <w:rPr>
          <w:rFonts w:ascii="Calibri" w:hAnsi="Calibri" w:cs="Calibri"/>
          <w:sz w:val="22"/>
          <w:szCs w:val="22"/>
          <w:vertAlign w:val="superscript"/>
          <w:lang w:val="en-GB"/>
        </w:rPr>
        <w:t>2</w:t>
      </w:r>
      <w:r>
        <w:rPr>
          <w:rFonts w:ascii="Calibri" w:hAnsi="Calibri" w:cs="Calibri"/>
          <w:sz w:val="22"/>
          <w:szCs w:val="22"/>
          <w:lang w:val="en-GB"/>
        </w:rPr>
        <w:t xml:space="preserve"> test for pathway analysis in proteomic studies. J. Amer. Statist. Assoc., (2011). 106(496), 1345-1360. doi:</w:t>
      </w:r>
      <w:r>
        <w:rPr>
          <w:rFonts w:ascii="Calibri" w:hAnsi="Calibri" w:cs="Calibri"/>
          <w:sz w:val="22"/>
          <w:szCs w:val="22"/>
          <w:lang w:val="da-DK"/>
        </w:rPr>
        <w:t>10.1198/jasa.2011.ap10599</w:t>
      </w:r>
    </w:p>
    <w:p>
      <w:pPr>
        <w:spacing w:line="240" w:lineRule="auto"/>
        <w:jc w:val="both"/>
        <w:rPr>
          <w:rFonts w:ascii="Calibri" w:hAnsi="Calibri" w:cs="Calibri"/>
          <w:sz w:val="22"/>
          <w:szCs w:val="22"/>
          <w:lang w:val="da-DK"/>
        </w:rPr>
      </w:pPr>
    </w:p>
    <w:p>
      <w:pPr>
        <w:spacing w:line="240" w:lineRule="auto"/>
        <w:jc w:val="both"/>
        <w:rPr>
          <w:rFonts w:ascii="Calibri" w:hAnsi="Calibri" w:cs="Calibri"/>
          <w:sz w:val="22"/>
          <w:szCs w:val="22"/>
          <w:lang w:val="en-GB"/>
        </w:rPr>
      </w:pPr>
      <w:r>
        <w:rPr>
          <w:rFonts w:ascii="Calibri" w:hAnsi="Calibri" w:cs="Calibri"/>
          <w:sz w:val="22"/>
          <w:szCs w:val="22"/>
          <w:lang w:val="da-DK"/>
        </w:rPr>
        <w:t xml:space="preserve">Chesnaye M.A., Bell S.L., Harte J.M., </w:t>
      </w:r>
      <w:r>
        <w:rPr>
          <w:rFonts w:ascii="Calibri" w:hAnsi="Calibri" w:cs="Calibri"/>
          <w:sz w:val="22"/>
          <w:szCs w:val="22"/>
          <w:lang w:val="en-GB"/>
        </w:rPr>
        <w:t>Simpson D.M. Objective measures for the auditory brainstem response: Comparisons in specificity, sensitivity and detection time. Int J Audiol, (2018). 57(6), 468-478. doi:10.1080/14992027.2018.1447697</w:t>
      </w:r>
    </w:p>
    <w:p>
      <w:pPr>
        <w:spacing w:line="240" w:lineRule="auto"/>
        <w:jc w:val="both"/>
        <w:rPr>
          <w:rFonts w:ascii="Calibri" w:hAnsi="Calibri" w:cs="Calibri"/>
          <w:sz w:val="22"/>
          <w:szCs w:val="22"/>
          <w:lang w:val="en-GB"/>
        </w:rPr>
      </w:pPr>
    </w:p>
    <w:p>
      <w:pPr>
        <w:spacing w:line="240" w:lineRule="auto"/>
        <w:jc w:val="both"/>
        <w:rPr>
          <w:rFonts w:ascii="Calibri" w:hAnsi="Calibri"/>
          <w:sz w:val="22"/>
          <w:szCs w:val="22"/>
          <w:lang w:val="en-GB"/>
        </w:rPr>
      </w:pPr>
      <w:r>
        <w:rPr>
          <w:rFonts w:ascii="Calibri" w:hAnsi="Calibri"/>
          <w:sz w:val="22"/>
          <w:szCs w:val="22"/>
          <w:lang w:val="en-GB"/>
        </w:rPr>
        <w:t>Chesnaye M.A., Bell S.L., Harte J.M., Simonsen L.B., Visram A.S., Stone M.A., Munro K.J., Simpson D.M. Efficient Detection of Cortical Auditory Evoked Potentials in Adults Using Bootstrapped Methods. Ear Hear, (2021</w:t>
      </w:r>
      <w:r>
        <w:rPr>
          <w:rFonts w:hint="default" w:ascii="Calibri" w:hAnsi="Calibri"/>
          <w:sz w:val="22"/>
          <w:szCs w:val="22"/>
          <w:lang w:val="en-GB"/>
        </w:rPr>
        <w:t>a</w:t>
      </w:r>
      <w:r>
        <w:rPr>
          <w:rFonts w:ascii="Calibri" w:hAnsi="Calibri"/>
          <w:sz w:val="22"/>
          <w:szCs w:val="22"/>
          <w:lang w:val="en-GB"/>
        </w:rPr>
        <w:t>). 30;42(3), 574-583. doi: 10.1097/AUD.0000000000000959. PMID: 33259446.</w:t>
      </w:r>
    </w:p>
    <w:p>
      <w:pPr>
        <w:spacing w:line="240" w:lineRule="auto"/>
        <w:jc w:val="both"/>
        <w:rPr>
          <w:rFonts w:ascii="Calibri" w:hAnsi="Calibri"/>
          <w:sz w:val="22"/>
          <w:szCs w:val="22"/>
          <w:lang w:val="en-GB"/>
        </w:rPr>
      </w:pPr>
    </w:p>
    <w:p>
      <w:pPr>
        <w:spacing w:line="240" w:lineRule="auto"/>
        <w:jc w:val="both"/>
        <w:rPr>
          <w:rFonts w:ascii="Calibri" w:hAnsi="Calibri"/>
          <w:sz w:val="22"/>
          <w:szCs w:val="22"/>
          <w:lang w:val="en-GB"/>
        </w:rPr>
      </w:pPr>
      <w:r>
        <w:rPr>
          <w:rFonts w:ascii="Calibri" w:hAnsi="Calibri"/>
          <w:sz w:val="22"/>
          <w:szCs w:val="22"/>
          <w:lang w:val="da-DK"/>
        </w:rPr>
        <w:t>Chesnaye M.A., Bell S.L., Harte J.M., Simpson D.M. 2021</w:t>
      </w:r>
      <w:r>
        <w:rPr>
          <w:rFonts w:hint="default" w:ascii="Calibri" w:hAnsi="Calibri"/>
          <w:sz w:val="22"/>
          <w:szCs w:val="22"/>
          <w:lang w:val="en-GB"/>
        </w:rPr>
        <w:t>b</w:t>
      </w:r>
      <w:r>
        <w:rPr>
          <w:rFonts w:ascii="Calibri" w:hAnsi="Calibri"/>
          <w:sz w:val="22"/>
          <w:szCs w:val="22"/>
          <w:lang w:val="da-DK"/>
        </w:rPr>
        <w:t>. Controlling test specificity for auditory evoked response detection using a frequency domain bootstrap</w:t>
      </w:r>
      <w:r>
        <w:rPr>
          <w:rFonts w:ascii="Calibri" w:hAnsi="Calibri"/>
          <w:sz w:val="22"/>
          <w:szCs w:val="22"/>
          <w:lang w:val="en-GB"/>
        </w:rPr>
        <w:t xml:space="preserve">. </w:t>
      </w:r>
      <w:r>
        <w:rPr>
          <w:rFonts w:ascii="Calibri" w:hAnsi="Calibri"/>
          <w:sz w:val="22"/>
          <w:szCs w:val="22"/>
          <w:lang w:val="da-DK"/>
        </w:rPr>
        <w:t>J. Neurosci. Methods, Vol 363, 109352. doi: org/10.1016/j.jneumeth.2021.109352.</w:t>
      </w:r>
    </w:p>
    <w:p>
      <w:pPr>
        <w:spacing w:line="240" w:lineRule="auto"/>
        <w:jc w:val="both"/>
        <w:rPr>
          <w:rFonts w:ascii="Calibri" w:hAnsi="Calibri"/>
          <w:sz w:val="22"/>
          <w:szCs w:val="22"/>
          <w:lang w:val="en-GB"/>
        </w:rPr>
      </w:pPr>
    </w:p>
    <w:p>
      <w:pPr>
        <w:spacing w:line="240" w:lineRule="auto"/>
        <w:jc w:val="both"/>
        <w:rPr>
          <w:rFonts w:ascii="Calibri" w:hAnsi="Calibri" w:cs="Calibri"/>
          <w:sz w:val="22"/>
          <w:szCs w:val="22"/>
        </w:rPr>
      </w:pPr>
      <w:r>
        <w:rPr>
          <w:rFonts w:ascii="Calibri" w:hAnsi="Calibri" w:cs="Calibri"/>
          <w:sz w:val="22"/>
          <w:szCs w:val="22"/>
        </w:rPr>
        <w:t xml:space="preserve">Ching T.Y.C, Dillon H., Marnane V., Hou S., Day J., Seeto M., Crowe K., Street L., Thomson J., Van Buynder P., Zhang V., Wong A., Burns L., Flynn C., Cupples L., Cowan R.S.C., Leigh G., Sjahalam-King J., Yeh A. Outcomes of Early- and Late-Identified Children at 3 Years of Age: Findings From a Prospective Population-Based Study. Ear and Hearing, </w:t>
      </w:r>
      <w:r>
        <w:rPr>
          <w:rFonts w:ascii="Calibri" w:hAnsi="Calibri" w:cs="Calibri"/>
          <w:sz w:val="22"/>
          <w:szCs w:val="22"/>
          <w:lang w:val="en-GB"/>
        </w:rPr>
        <w:t>(</w:t>
      </w:r>
      <w:r>
        <w:rPr>
          <w:rFonts w:ascii="Calibri" w:hAnsi="Calibri" w:cs="Calibri"/>
          <w:sz w:val="22"/>
          <w:szCs w:val="22"/>
        </w:rPr>
        <w:t>2013</w:t>
      </w:r>
      <w:r>
        <w:rPr>
          <w:rFonts w:ascii="Calibri" w:hAnsi="Calibri" w:cs="Calibri"/>
          <w:sz w:val="22"/>
          <w:szCs w:val="22"/>
          <w:lang w:val="en-GB"/>
        </w:rPr>
        <w:t xml:space="preserve">). </w:t>
      </w:r>
      <w:r>
        <w:rPr>
          <w:rFonts w:ascii="Calibri" w:hAnsi="Calibri" w:cs="Calibri"/>
          <w:sz w:val="22"/>
          <w:szCs w:val="22"/>
        </w:rPr>
        <w:t xml:space="preserve">34(1), 535-552. </w:t>
      </w:r>
      <w:r>
        <w:rPr>
          <w:rFonts w:ascii="Calibri" w:hAnsi="Calibri" w:cs="Calibri"/>
          <w:sz w:val="22"/>
          <w:szCs w:val="22"/>
          <w:lang w:val="en-GB"/>
        </w:rPr>
        <w:t>doi</w:t>
      </w:r>
      <w:r>
        <w:rPr>
          <w:rFonts w:ascii="Calibri" w:hAnsi="Calibri" w:cs="Calibri"/>
          <w:sz w:val="22"/>
          <w:szCs w:val="22"/>
        </w:rPr>
        <w:t>:10.1097/AUD.0b013e3182857718</w:t>
      </w:r>
    </w:p>
    <w:p>
      <w:pPr>
        <w:spacing w:line="240" w:lineRule="auto"/>
        <w:jc w:val="both"/>
        <w:rPr>
          <w:rFonts w:ascii="Calibri" w:hAnsi="Calibri" w:cs="Calibri"/>
          <w:sz w:val="22"/>
          <w:szCs w:val="22"/>
          <w:lang w:val="en-GB"/>
        </w:rPr>
      </w:pPr>
    </w:p>
    <w:p>
      <w:pPr>
        <w:spacing w:line="240" w:lineRule="auto"/>
        <w:jc w:val="both"/>
        <w:rPr>
          <w:rFonts w:ascii="Calibri" w:hAnsi="Calibri"/>
          <w:sz w:val="22"/>
          <w:szCs w:val="22"/>
          <w:lang w:val="en-GB"/>
        </w:rPr>
      </w:pPr>
      <w:r>
        <w:rPr>
          <w:rFonts w:ascii="Calibri" w:hAnsi="Calibri"/>
          <w:sz w:val="22"/>
          <w:szCs w:val="22"/>
          <w:lang w:val="en-GB"/>
        </w:rPr>
        <w:t>Cohen J. A coefficient of agreement for nominal scales. Educ Psychol Meas 1960;20:37-46.</w:t>
      </w:r>
    </w:p>
    <w:p>
      <w:pPr>
        <w:spacing w:line="240" w:lineRule="auto"/>
        <w:jc w:val="both"/>
        <w:rPr>
          <w:rFonts w:ascii="Calibri" w:hAnsi="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Dahlhaus R., Janas D. A frequency domain bootstrap for ratio statistics in time series analysis. The Annals of Statistics, (1996). 24(5), 1934-1963. doi:</w:t>
      </w:r>
      <w:r>
        <w:rPr>
          <w:rFonts w:ascii="Calibri" w:hAnsi="Calibri"/>
          <w:sz w:val="22"/>
          <w:szCs w:val="22"/>
          <w:lang w:val="en-GB"/>
        </w:rPr>
        <w:t>10.1214/aos/1069362304</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rPr>
      </w:pPr>
      <w:r>
        <w:rPr>
          <w:rFonts w:ascii="Calibri" w:hAnsi="Calibri" w:cs="Calibri"/>
          <w:sz w:val="22"/>
          <w:szCs w:val="22"/>
        </w:rPr>
        <w:t>Davis</w:t>
      </w:r>
      <w:r>
        <w:rPr>
          <w:rFonts w:ascii="Calibri" w:hAnsi="Calibri" w:cs="Calibri"/>
          <w:sz w:val="22"/>
          <w:szCs w:val="22"/>
          <w:lang w:val="en-GB"/>
        </w:rPr>
        <w:t xml:space="preserve"> A., </w:t>
      </w:r>
      <w:r>
        <w:rPr>
          <w:rFonts w:ascii="Calibri" w:hAnsi="Calibri" w:cs="Calibri"/>
          <w:sz w:val="22"/>
          <w:szCs w:val="22"/>
        </w:rPr>
        <w:t>Bamford</w:t>
      </w:r>
      <w:r>
        <w:rPr>
          <w:rFonts w:ascii="Calibri" w:hAnsi="Calibri" w:cs="Calibri"/>
          <w:sz w:val="22"/>
          <w:szCs w:val="22"/>
          <w:lang w:val="en-GB"/>
        </w:rPr>
        <w:t xml:space="preserve"> J., </w:t>
      </w:r>
      <w:r>
        <w:rPr>
          <w:rFonts w:ascii="Calibri" w:hAnsi="Calibri" w:cs="Calibri"/>
          <w:sz w:val="22"/>
          <w:szCs w:val="22"/>
        </w:rPr>
        <w:t>Wilson</w:t>
      </w:r>
      <w:r>
        <w:rPr>
          <w:rFonts w:ascii="Calibri" w:hAnsi="Calibri" w:cs="Calibri"/>
          <w:sz w:val="22"/>
          <w:szCs w:val="22"/>
          <w:lang w:val="en-GB"/>
        </w:rPr>
        <w:t xml:space="preserve"> I., </w:t>
      </w:r>
      <w:r>
        <w:rPr>
          <w:rFonts w:ascii="Calibri" w:hAnsi="Calibri" w:cs="Calibri"/>
          <w:sz w:val="22"/>
          <w:szCs w:val="22"/>
        </w:rPr>
        <w:t>Ramkalawan</w:t>
      </w:r>
      <w:r>
        <w:rPr>
          <w:rFonts w:ascii="Calibri" w:hAnsi="Calibri" w:cs="Calibri"/>
          <w:sz w:val="22"/>
          <w:szCs w:val="22"/>
          <w:lang w:val="en-GB"/>
        </w:rPr>
        <w:t xml:space="preserve"> T., </w:t>
      </w:r>
      <w:r>
        <w:rPr>
          <w:rFonts w:ascii="Calibri" w:hAnsi="Calibri" w:cs="Calibri"/>
          <w:sz w:val="22"/>
          <w:szCs w:val="22"/>
        </w:rPr>
        <w:t>Forshaw</w:t>
      </w:r>
      <w:r>
        <w:rPr>
          <w:rFonts w:ascii="Calibri" w:hAnsi="Calibri" w:cs="Calibri"/>
          <w:sz w:val="22"/>
          <w:szCs w:val="22"/>
          <w:lang w:val="en-GB"/>
        </w:rPr>
        <w:t xml:space="preserve"> M., </w:t>
      </w:r>
      <w:r>
        <w:rPr>
          <w:rFonts w:ascii="Calibri" w:hAnsi="Calibri" w:cs="Calibri"/>
          <w:sz w:val="22"/>
          <w:szCs w:val="22"/>
        </w:rPr>
        <w:t>Wright</w:t>
      </w:r>
      <w:r>
        <w:rPr>
          <w:rFonts w:ascii="Calibri" w:hAnsi="Calibri" w:cs="Calibri"/>
          <w:sz w:val="22"/>
          <w:szCs w:val="22"/>
          <w:lang w:val="en-GB"/>
        </w:rPr>
        <w:t xml:space="preserve"> S. </w:t>
      </w:r>
      <w:r>
        <w:rPr>
          <w:rFonts w:ascii="Calibri" w:hAnsi="Calibri" w:cs="Calibri"/>
          <w:sz w:val="22"/>
          <w:szCs w:val="22"/>
        </w:rPr>
        <w:t xml:space="preserve">A critical review of the role of </w:t>
      </w:r>
      <w:r>
        <w:rPr>
          <w:rFonts w:ascii="Calibri" w:hAnsi="Calibri" w:cs="Calibri"/>
          <w:sz w:val="22"/>
          <w:szCs w:val="22"/>
        </w:rPr>
        <w:t>neonatal hearing screening in the detection of congenital hearing impairment</w:t>
      </w:r>
      <w:r>
        <w:rPr>
          <w:rFonts w:ascii="Calibri" w:hAnsi="Calibri" w:cs="Calibri"/>
          <w:sz w:val="22"/>
          <w:szCs w:val="22"/>
          <w:lang w:val="en-GB"/>
        </w:rPr>
        <w:t xml:space="preserve">. </w:t>
      </w:r>
      <w:r>
        <w:rPr>
          <w:rFonts w:ascii="Calibri" w:hAnsi="Calibri" w:cs="Calibri"/>
          <w:sz w:val="22"/>
          <w:szCs w:val="22"/>
        </w:rPr>
        <w:t>Health Technol Assess</w:t>
      </w:r>
      <w:r>
        <w:rPr>
          <w:rFonts w:ascii="Calibri" w:hAnsi="Calibri" w:cs="Calibri"/>
          <w:sz w:val="22"/>
          <w:szCs w:val="22"/>
          <w:lang w:val="en-GB"/>
        </w:rPr>
        <w:t xml:space="preserve">, (1997). </w:t>
      </w:r>
      <w:r>
        <w:rPr>
          <w:rFonts w:ascii="Calibri" w:hAnsi="Calibri" w:cs="Calibri"/>
          <w:sz w:val="22"/>
          <w:szCs w:val="22"/>
        </w:rPr>
        <w:t>1(10)</w:t>
      </w:r>
      <w:r>
        <w:rPr>
          <w:rFonts w:ascii="Calibri" w:hAnsi="Calibri" w:cs="Calibri"/>
          <w:sz w:val="22"/>
          <w:szCs w:val="22"/>
          <w:lang w:val="en-GB"/>
        </w:rPr>
        <w:t>. doi:</w:t>
      </w:r>
      <w:r>
        <w:rPr>
          <w:sz w:val="22"/>
          <w:szCs w:val="22"/>
        </w:rPr>
        <w:fldChar w:fldCharType="begin"/>
      </w:r>
      <w:r>
        <w:rPr>
          <w:sz w:val="22"/>
          <w:szCs w:val="22"/>
        </w:rPr>
        <w:instrText xml:space="preserve"> HYPERLINK "https://doi.org/10.3310/hta1100" </w:instrText>
      </w:r>
      <w:r>
        <w:rPr>
          <w:sz w:val="22"/>
          <w:szCs w:val="22"/>
        </w:rPr>
        <w:fldChar w:fldCharType="separate"/>
      </w:r>
      <w:r>
        <w:rPr>
          <w:rFonts w:ascii="Calibri" w:hAnsi="Calibri" w:cs="Calibri"/>
          <w:sz w:val="22"/>
          <w:szCs w:val="22"/>
        </w:rPr>
        <w:t>10.3310/hta1100</w:t>
      </w:r>
      <w:r>
        <w:rPr>
          <w:rFonts w:ascii="Calibri" w:hAnsi="Calibri" w:cs="Calibri"/>
          <w:sz w:val="22"/>
          <w:szCs w:val="22"/>
        </w:rPr>
        <w:fldChar w:fldCharType="end"/>
      </w:r>
    </w:p>
    <w:p>
      <w:pPr>
        <w:spacing w:line="240" w:lineRule="auto"/>
        <w:jc w:val="both"/>
        <w:rPr>
          <w:rFonts w:ascii="Calibri" w:hAnsi="Calibri" w:cs="Calibri"/>
          <w:sz w:val="22"/>
          <w:szCs w:val="22"/>
          <w:lang w:val="en-GB"/>
        </w:rPr>
      </w:pPr>
    </w:p>
    <w:p>
      <w:pPr>
        <w:jc w:val="both"/>
        <w:rPr>
          <w:rFonts w:hint="default"/>
          <w:sz w:val="22"/>
          <w:szCs w:val="22"/>
        </w:rPr>
      </w:pPr>
      <w:r>
        <w:rPr>
          <w:rFonts w:hint="default"/>
          <w:sz w:val="22"/>
          <w:szCs w:val="22"/>
        </w:rPr>
        <w:t>Dong, K., Pang, H., Tong, T., &amp; Genton, M.G. (2016).</w:t>
      </w:r>
      <w:r>
        <w:rPr>
          <w:rFonts w:hint="default"/>
          <w:sz w:val="22"/>
          <w:szCs w:val="22"/>
          <w:lang w:val="en-GB"/>
        </w:rPr>
        <w:t xml:space="preserve"> </w:t>
      </w:r>
      <w:r>
        <w:rPr>
          <w:rFonts w:hint="default"/>
          <w:sz w:val="22"/>
          <w:szCs w:val="22"/>
        </w:rPr>
        <w:t>Shrinkage-based diagonal Hotelling’s tests for high-dimensional small sam</w:t>
      </w:r>
      <w:r>
        <w:rPr>
          <w:rFonts w:hint="default"/>
          <w:color w:val="auto"/>
          <w:sz w:val="22"/>
          <w:szCs w:val="22"/>
          <w:u w:val="none"/>
        </w:rPr>
        <w:t xml:space="preserve">ple size data. </w:t>
      </w:r>
      <w:r>
        <w:rPr>
          <w:rFonts w:hint="default"/>
          <w:i/>
          <w:iCs/>
          <w:color w:val="auto"/>
          <w:sz w:val="22"/>
          <w:szCs w:val="22"/>
          <w:u w:val="none"/>
        </w:rPr>
        <w:t>Journal of Multivariate Analysis</w:t>
      </w:r>
      <w:r>
        <w:rPr>
          <w:rFonts w:hint="default"/>
          <w:color w:val="auto"/>
          <w:sz w:val="22"/>
          <w:szCs w:val="22"/>
          <w:u w:val="none"/>
        </w:rPr>
        <w:t>, 143, pp. 127-142.</w:t>
      </w:r>
      <w:r>
        <w:rPr>
          <w:rFonts w:hint="default"/>
          <w:color w:val="auto"/>
          <w:sz w:val="22"/>
          <w:szCs w:val="22"/>
          <w:u w:val="none"/>
          <w:lang w:val="en-GB"/>
        </w:rPr>
        <w:t xml:space="preserve"> </w:t>
      </w:r>
      <w:r>
        <w:rPr>
          <w:rFonts w:hint="default"/>
          <w:color w:val="auto"/>
          <w:sz w:val="22"/>
          <w:szCs w:val="22"/>
          <w:u w:val="none"/>
        </w:rPr>
        <w:fldChar w:fldCharType="begin"/>
      </w:r>
      <w:r>
        <w:rPr>
          <w:rFonts w:hint="default"/>
          <w:color w:val="auto"/>
          <w:sz w:val="22"/>
          <w:szCs w:val="22"/>
          <w:u w:val="none"/>
        </w:rPr>
        <w:instrText xml:space="preserve"> HYPERLINK "https://doi.org/10.1016/j.jmva.2015.08.022" </w:instrText>
      </w:r>
      <w:r>
        <w:rPr>
          <w:rFonts w:hint="default"/>
          <w:color w:val="auto"/>
          <w:sz w:val="22"/>
          <w:szCs w:val="22"/>
          <w:u w:val="none"/>
        </w:rPr>
        <w:fldChar w:fldCharType="separate"/>
      </w:r>
      <w:r>
        <w:rPr>
          <w:rStyle w:val="13"/>
          <w:rFonts w:hint="default"/>
          <w:color w:val="auto"/>
          <w:sz w:val="22"/>
          <w:szCs w:val="22"/>
          <w:u w:val="none"/>
          <w:lang w:val="en-GB"/>
        </w:rPr>
        <w:t>doi:</w:t>
      </w:r>
      <w:bookmarkStart w:id="0" w:name="_GoBack"/>
      <w:bookmarkEnd w:id="0"/>
      <w:r>
        <w:rPr>
          <w:rStyle w:val="13"/>
          <w:rFonts w:hint="default"/>
          <w:color w:val="auto"/>
          <w:sz w:val="22"/>
          <w:szCs w:val="22"/>
          <w:u w:val="none"/>
        </w:rPr>
        <w:t>10.1016/j.jmva.2015.08.022</w:t>
      </w:r>
      <w:r>
        <w:rPr>
          <w:rFonts w:hint="default"/>
          <w:color w:val="auto"/>
          <w:sz w:val="22"/>
          <w:szCs w:val="22"/>
          <w:u w:val="none"/>
        </w:rPr>
        <w:fldChar w:fldCharType="end"/>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Elberling C., Don M. Quality estimation of averaged auditory brainstem responses. Scandinavian audiology, (1984). 13(3), 187-197. doi:10.3109/01050398409043059</w:t>
      </w:r>
    </w:p>
    <w:p>
      <w:pPr>
        <w:spacing w:line="240" w:lineRule="auto"/>
        <w:jc w:val="both"/>
        <w:rPr>
          <w:rFonts w:ascii="Calibri" w:hAnsi="Calibri" w:cs="Calibri"/>
          <w:sz w:val="22"/>
          <w:szCs w:val="22"/>
          <w:lang w:val="en-GB"/>
        </w:rPr>
      </w:pPr>
    </w:p>
    <w:p>
      <w:pPr>
        <w:spacing w:line="240" w:lineRule="auto"/>
        <w:jc w:val="both"/>
        <w:rPr>
          <w:rFonts w:ascii="Calibri" w:hAnsi="Calibri"/>
          <w:sz w:val="22"/>
          <w:szCs w:val="22"/>
          <w:lang w:val="en-GB"/>
        </w:rPr>
      </w:pPr>
      <w:r>
        <w:rPr>
          <w:rFonts w:ascii="Calibri" w:hAnsi="Calibri"/>
          <w:sz w:val="22"/>
          <w:szCs w:val="22"/>
          <w:lang w:val="en-GB"/>
        </w:rPr>
        <w:t xml:space="preserve">Fisher R. A. On the interpretation of χ2 from contingency tables, and the calculation of P. Journal of the Royal Statistical Society, (1922). 85(1), 87-94. doi:10.2307/2340521 </w:t>
      </w:r>
    </w:p>
    <w:p>
      <w:pPr>
        <w:spacing w:line="240" w:lineRule="auto"/>
        <w:jc w:val="both"/>
        <w:rPr>
          <w:rFonts w:ascii="Calibri" w:hAnsi="Calibri"/>
          <w:sz w:val="22"/>
          <w:szCs w:val="22"/>
          <w:lang w:val="en-GB"/>
        </w:rPr>
      </w:pPr>
    </w:p>
    <w:p>
      <w:pPr>
        <w:spacing w:line="240" w:lineRule="auto"/>
        <w:jc w:val="both"/>
        <w:rPr>
          <w:rFonts w:ascii="Calibri" w:hAnsi="Calibri" w:cs="Calibri"/>
          <w:sz w:val="22"/>
          <w:szCs w:val="22"/>
          <w:lang w:val="en-GB"/>
        </w:rPr>
      </w:pPr>
      <w:r>
        <w:rPr>
          <w:rFonts w:ascii="Calibri" w:hAnsi="Calibri"/>
          <w:sz w:val="22"/>
          <w:szCs w:val="22"/>
          <w:lang w:val="en-GB"/>
        </w:rPr>
        <w:t>Fisher R. A. Statistical methods for research workers, 11th ed. Oliver and Boyd, Edinburgh, (1932).</w:t>
      </w:r>
    </w:p>
    <w:p>
      <w:pPr>
        <w:spacing w:line="240" w:lineRule="auto"/>
        <w:jc w:val="both"/>
        <w:rPr>
          <w:rFonts w:ascii="Calibri" w:hAnsi="Calibri" w:cs="Calibri"/>
          <w:sz w:val="22"/>
          <w:szCs w:val="22"/>
          <w:lang w:val="en-GB"/>
        </w:rPr>
      </w:pPr>
    </w:p>
    <w:p>
      <w:pPr>
        <w:spacing w:line="240" w:lineRule="auto"/>
        <w:jc w:val="both"/>
        <w:rPr>
          <w:rFonts w:ascii="Calibri" w:hAnsi="Calibri"/>
          <w:sz w:val="22"/>
          <w:szCs w:val="22"/>
          <w:lang w:val="en-GB"/>
        </w:rPr>
      </w:pPr>
      <w:r>
        <w:rPr>
          <w:rFonts w:ascii="Calibri" w:hAnsi="Calibri"/>
          <w:sz w:val="22"/>
          <w:szCs w:val="22"/>
          <w:lang w:val="en-GB"/>
        </w:rPr>
        <w:t xml:space="preserve">Fortnum H, Davis A, Butler A, Stevens J.. Health service implications of changes in aetiology and referral patterns of hearing impaired children in Trent 1985–1993. Report to Trent Health, (1997). Nottingham/Sheffield: MRC Institute of Hearing Research and Trent Health. </w:t>
      </w:r>
    </w:p>
    <w:p>
      <w:pPr>
        <w:spacing w:line="240" w:lineRule="auto"/>
        <w:jc w:val="both"/>
        <w:rPr>
          <w:rFonts w:ascii="Calibri" w:hAnsi="Calibri" w:cs="Calibri"/>
          <w:sz w:val="22"/>
          <w:szCs w:val="22"/>
          <w:lang w:val="en-GB"/>
        </w:rPr>
      </w:pPr>
    </w:p>
    <w:p>
      <w:pPr>
        <w:spacing w:line="240" w:lineRule="auto"/>
        <w:jc w:val="both"/>
        <w:rPr>
          <w:rFonts w:ascii="Calibri" w:hAnsi="Calibri"/>
          <w:sz w:val="22"/>
          <w:szCs w:val="22"/>
          <w:lang w:val="en-GB"/>
        </w:rPr>
      </w:pPr>
      <w:r>
        <w:rPr>
          <w:rFonts w:ascii="Calibri" w:hAnsi="Calibri"/>
          <w:sz w:val="22"/>
          <w:szCs w:val="22"/>
          <w:lang w:val="en-GB"/>
        </w:rPr>
        <w:t>Glasberg, B. R., &amp; Moore, B. C. J. (1990). Derivation of auditory filter shapes from notched-noise data. Hearing Research, 47, 103–138. doi:10.1016/0378-5955(90)90170-T</w:t>
      </w:r>
    </w:p>
    <w:p>
      <w:pPr>
        <w:spacing w:line="240" w:lineRule="auto"/>
        <w:jc w:val="both"/>
        <w:rPr>
          <w:rFonts w:ascii="Calibri" w:hAnsi="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Golding M., Dillon H., Seymour J., Carter L. The detection of adult cortical auditory evoked potentials (CAEPs) using an automated statistic and visual detection. Int J Audiol, (2009). 48(12), 833-842. doi:10.3109/14992020903140928</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sz w:val="22"/>
          <w:szCs w:val="22"/>
          <w:lang w:val="en-GB"/>
        </w:rPr>
        <w:t>Hayes M.H. Statistical Digital Signal Processing and Modeling. New York: John Wiley &amp; Sons, (1996).</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da-DK"/>
        </w:rPr>
      </w:pPr>
      <w:r>
        <w:rPr>
          <w:rFonts w:ascii="Calibri" w:hAnsi="Calibri" w:cs="Calibri"/>
          <w:sz w:val="22"/>
          <w:szCs w:val="22"/>
        </w:rPr>
        <w:t>Hogan A</w:t>
      </w:r>
      <w:r>
        <w:rPr>
          <w:rFonts w:ascii="Calibri" w:hAnsi="Calibri" w:cs="Calibri"/>
          <w:sz w:val="22"/>
          <w:szCs w:val="22"/>
          <w:lang w:val="en-GB"/>
        </w:rPr>
        <w:t>.</w:t>
      </w:r>
      <w:r>
        <w:rPr>
          <w:rFonts w:ascii="Calibri" w:hAnsi="Calibri" w:cs="Calibri"/>
          <w:sz w:val="22"/>
          <w:szCs w:val="22"/>
        </w:rPr>
        <w:t>, Phillips R</w:t>
      </w:r>
      <w:r>
        <w:rPr>
          <w:rFonts w:ascii="Calibri" w:hAnsi="Calibri" w:cs="Calibri"/>
          <w:sz w:val="22"/>
          <w:szCs w:val="22"/>
          <w:lang w:val="en-GB"/>
        </w:rPr>
        <w:t>.</w:t>
      </w:r>
      <w:r>
        <w:rPr>
          <w:rFonts w:ascii="Calibri" w:hAnsi="Calibri" w:cs="Calibri"/>
          <w:sz w:val="22"/>
          <w:szCs w:val="22"/>
        </w:rPr>
        <w:t>L</w:t>
      </w:r>
      <w:r>
        <w:rPr>
          <w:rFonts w:ascii="Calibri" w:hAnsi="Calibri" w:cs="Calibri"/>
          <w:sz w:val="22"/>
          <w:szCs w:val="22"/>
          <w:lang w:val="en-GB"/>
        </w:rPr>
        <w:t>.</w:t>
      </w:r>
      <w:r>
        <w:rPr>
          <w:rFonts w:ascii="Calibri" w:hAnsi="Calibri" w:cs="Calibri"/>
          <w:sz w:val="22"/>
          <w:szCs w:val="22"/>
        </w:rPr>
        <w:t>, Howard D</w:t>
      </w:r>
      <w:r>
        <w:rPr>
          <w:rFonts w:ascii="Calibri" w:hAnsi="Calibri" w:cs="Calibri"/>
          <w:sz w:val="22"/>
          <w:szCs w:val="22"/>
          <w:lang w:val="en-GB"/>
        </w:rPr>
        <w:t>.</w:t>
      </w:r>
      <w:r>
        <w:rPr>
          <w:rFonts w:ascii="Calibri" w:hAnsi="Calibri" w:cs="Calibri"/>
          <w:sz w:val="22"/>
          <w:szCs w:val="22"/>
        </w:rPr>
        <w:t>, Yiengprugsawan V.</w:t>
      </w:r>
      <w:r>
        <w:rPr>
          <w:rFonts w:ascii="Calibri" w:hAnsi="Calibri" w:cs="Calibri"/>
          <w:sz w:val="22"/>
          <w:szCs w:val="22"/>
          <w:lang w:val="en-GB"/>
        </w:rPr>
        <w:t xml:space="preserve"> </w:t>
      </w:r>
      <w:r>
        <w:rPr>
          <w:rFonts w:ascii="Calibri" w:hAnsi="Calibri" w:cs="Calibri"/>
          <w:sz w:val="22"/>
          <w:szCs w:val="22"/>
        </w:rPr>
        <w:t>Psychosocial outcomes</w:t>
      </w:r>
      <w:r>
        <w:rPr>
          <w:rFonts w:ascii="Calibri" w:hAnsi="Calibri" w:cs="Calibri"/>
          <w:sz w:val="22"/>
          <w:szCs w:val="22"/>
          <w:lang w:val="en-GB"/>
        </w:rPr>
        <w:t xml:space="preserve"> </w:t>
      </w:r>
      <w:r>
        <w:rPr>
          <w:rFonts w:ascii="Calibri" w:hAnsi="Calibri" w:cs="Calibri"/>
          <w:sz w:val="22"/>
          <w:szCs w:val="22"/>
        </w:rPr>
        <w:t>of children with ear infections and hearing problems: a longitudinal study.</w:t>
      </w:r>
      <w:r>
        <w:rPr>
          <w:rFonts w:ascii="Calibri" w:hAnsi="Calibri" w:cs="Calibri"/>
          <w:sz w:val="22"/>
          <w:szCs w:val="22"/>
          <w:lang w:val="en-GB"/>
        </w:rPr>
        <w:t xml:space="preserve"> </w:t>
      </w:r>
      <w:r>
        <w:rPr>
          <w:rFonts w:ascii="Calibri" w:hAnsi="Calibri" w:cs="Calibri"/>
          <w:sz w:val="22"/>
          <w:szCs w:val="22"/>
          <w:lang w:val="da-DK"/>
        </w:rPr>
        <w:t xml:space="preserve">BMC Pediatr, </w:t>
      </w:r>
      <w:r>
        <w:rPr>
          <w:rFonts w:ascii="Calibri" w:hAnsi="Calibri" w:cs="Calibri"/>
          <w:sz w:val="22"/>
          <w:szCs w:val="22"/>
          <w:lang w:val="en-GB"/>
        </w:rPr>
        <w:t xml:space="preserve">(2014). </w:t>
      </w:r>
      <w:r>
        <w:rPr>
          <w:rFonts w:ascii="Calibri" w:hAnsi="Calibri" w:cs="Calibri"/>
          <w:sz w:val="22"/>
          <w:szCs w:val="22"/>
          <w:lang w:val="da-DK"/>
        </w:rPr>
        <w:t xml:space="preserve">14(65), </w:t>
      </w:r>
      <w:r>
        <w:rPr>
          <w:rFonts w:ascii="Calibri" w:hAnsi="Calibri" w:cs="Calibri"/>
          <w:sz w:val="22"/>
          <w:szCs w:val="22"/>
          <w:lang w:val="en-GB"/>
        </w:rPr>
        <w:t>doi</w:t>
      </w:r>
      <w:r>
        <w:rPr>
          <w:rFonts w:ascii="Calibri" w:hAnsi="Calibri" w:cs="Calibri"/>
          <w:sz w:val="22"/>
          <w:szCs w:val="22"/>
          <w:lang w:val="da-DK"/>
        </w:rPr>
        <w:t>:</w:t>
      </w:r>
      <w:r>
        <w:fldChar w:fldCharType="begin"/>
      </w:r>
      <w:r>
        <w:instrText xml:space="preserve"> HYPERLINK "https://www.researchgate.net/deref/http://dx.doi.org/10.1186/1471-2431-14-65" \t "https://www.researchgate.net/publication/_blank" </w:instrText>
      </w:r>
      <w:r>
        <w:fldChar w:fldCharType="separate"/>
      </w:r>
      <w:r>
        <w:rPr>
          <w:rFonts w:ascii="Calibri" w:hAnsi="Calibri" w:cs="Calibri"/>
          <w:sz w:val="22"/>
          <w:szCs w:val="22"/>
          <w:lang w:val="da-DK"/>
        </w:rPr>
        <w:t>10.1186/1471-2431-14-65</w:t>
      </w:r>
      <w:r>
        <w:rPr>
          <w:rFonts w:ascii="Calibri" w:hAnsi="Calibri" w:cs="Calibri"/>
          <w:sz w:val="22"/>
          <w:szCs w:val="22"/>
          <w:lang w:val="da-DK"/>
        </w:rPr>
        <w:fldChar w:fldCharType="end"/>
      </w:r>
    </w:p>
    <w:p>
      <w:pPr>
        <w:spacing w:line="240" w:lineRule="auto"/>
        <w:jc w:val="both"/>
        <w:rPr>
          <w:rFonts w:ascii="Calibri" w:hAnsi="Calibri" w:cs="Calibri"/>
          <w:sz w:val="22"/>
          <w:szCs w:val="22"/>
          <w:lang w:val="da-DK"/>
        </w:rPr>
      </w:pPr>
    </w:p>
    <w:p>
      <w:pPr>
        <w:spacing w:line="240" w:lineRule="auto"/>
        <w:jc w:val="both"/>
        <w:rPr>
          <w:rFonts w:ascii="Calibri" w:hAnsi="Calibri" w:cs="Calibri"/>
          <w:sz w:val="22"/>
          <w:szCs w:val="22"/>
        </w:rPr>
      </w:pPr>
      <w:r>
        <w:rPr>
          <w:rFonts w:ascii="Calibri" w:hAnsi="Calibri" w:cs="Calibri"/>
          <w:sz w:val="22"/>
          <w:szCs w:val="22"/>
          <w:lang w:val="da-DK"/>
        </w:rPr>
        <w:t xml:space="preserve">Holube I., Fredelake S., Vlaming M., Kollmeier B. </w:t>
      </w:r>
      <w:r>
        <w:rPr>
          <w:rFonts w:ascii="Calibri" w:hAnsi="Calibri" w:cs="Calibri"/>
          <w:sz w:val="22"/>
          <w:szCs w:val="22"/>
        </w:rPr>
        <w:t xml:space="preserve">Development and analysis of an International Speech Test Signal (ISTS). Int J Audiol, </w:t>
      </w:r>
      <w:r>
        <w:rPr>
          <w:rFonts w:ascii="Calibri" w:hAnsi="Calibri" w:cs="Calibri"/>
          <w:sz w:val="22"/>
          <w:szCs w:val="22"/>
          <w:lang w:val="en-GB"/>
        </w:rPr>
        <w:t>(</w:t>
      </w:r>
      <w:r>
        <w:rPr>
          <w:rFonts w:ascii="Calibri" w:hAnsi="Calibri" w:cs="Calibri"/>
          <w:sz w:val="22"/>
          <w:szCs w:val="22"/>
          <w:lang w:val="da-DK"/>
        </w:rPr>
        <w:t>2010</w:t>
      </w:r>
      <w:r>
        <w:rPr>
          <w:rFonts w:ascii="Calibri" w:hAnsi="Calibri" w:cs="Calibri"/>
          <w:sz w:val="22"/>
          <w:szCs w:val="22"/>
          <w:lang w:val="en-GB"/>
        </w:rPr>
        <w:t xml:space="preserve">). </w:t>
      </w:r>
      <w:r>
        <w:rPr>
          <w:rFonts w:ascii="Calibri" w:hAnsi="Calibri" w:cs="Calibri"/>
          <w:sz w:val="22"/>
          <w:szCs w:val="22"/>
        </w:rPr>
        <w:t>49</w:t>
      </w:r>
      <w:r>
        <w:rPr>
          <w:rFonts w:ascii="Calibri" w:hAnsi="Calibri" w:cs="Calibri"/>
          <w:sz w:val="22"/>
          <w:szCs w:val="22"/>
          <w:lang w:val="en-GB"/>
        </w:rPr>
        <w:t>(2)</w:t>
      </w:r>
      <w:r>
        <w:rPr>
          <w:rFonts w:ascii="Calibri" w:hAnsi="Calibri" w:cs="Calibri"/>
          <w:sz w:val="22"/>
          <w:szCs w:val="22"/>
        </w:rPr>
        <w:t>, 891</w:t>
      </w:r>
      <w:r>
        <w:rPr>
          <w:rFonts w:ascii="Calibri" w:hAnsi="Calibri" w:cs="Calibri"/>
          <w:sz w:val="22"/>
          <w:szCs w:val="22"/>
          <w:lang w:val="en-GB"/>
        </w:rPr>
        <w:t>-</w:t>
      </w:r>
      <w:r>
        <w:rPr>
          <w:rFonts w:ascii="Calibri" w:hAnsi="Calibri" w:cs="Calibri"/>
          <w:sz w:val="22"/>
          <w:szCs w:val="22"/>
        </w:rPr>
        <w:t xml:space="preserve">903. </w:t>
      </w:r>
      <w:r>
        <w:rPr>
          <w:rFonts w:ascii="Calibri" w:hAnsi="Calibri" w:cs="Calibri"/>
          <w:sz w:val="22"/>
          <w:szCs w:val="22"/>
          <w:lang w:val="en-GB"/>
        </w:rPr>
        <w:t>doi:</w:t>
      </w:r>
      <w:r>
        <w:rPr>
          <w:rFonts w:ascii="Calibri" w:hAnsi="Calibri" w:cs="Calibri"/>
          <w:sz w:val="22"/>
          <w:szCs w:val="22"/>
        </w:rPr>
        <w:t>10.3109/14992027.2010.506889</w:t>
      </w:r>
    </w:p>
    <w:p>
      <w:pPr>
        <w:spacing w:line="240" w:lineRule="auto"/>
        <w:jc w:val="both"/>
        <w:rPr>
          <w:rFonts w:ascii="Calibri" w:hAnsi="Calibri" w:cs="Calibri"/>
          <w:sz w:val="22"/>
          <w:szCs w:val="22"/>
        </w:rPr>
      </w:pPr>
    </w:p>
    <w:p>
      <w:pPr>
        <w:spacing w:line="240" w:lineRule="auto"/>
        <w:jc w:val="both"/>
        <w:rPr>
          <w:rFonts w:ascii="Calibri" w:hAnsi="Calibri" w:cs="Calibri"/>
          <w:sz w:val="22"/>
          <w:szCs w:val="22"/>
          <w:lang w:val="en-GB"/>
        </w:rPr>
      </w:pPr>
      <w:r>
        <w:rPr>
          <w:rFonts w:ascii="Calibri" w:hAnsi="Calibri" w:cs="Calibri"/>
          <w:sz w:val="22"/>
          <w:szCs w:val="22"/>
        </w:rPr>
        <w:t>Hotelling H. The Generalization of Student’s Ratio.</w:t>
      </w:r>
      <w:r>
        <w:rPr>
          <w:rFonts w:ascii="Calibri" w:hAnsi="Calibri" w:cs="Calibri"/>
          <w:sz w:val="22"/>
          <w:szCs w:val="22"/>
          <w:lang w:val="en-GB"/>
        </w:rPr>
        <w:t xml:space="preserve"> </w:t>
      </w:r>
      <w:r>
        <w:rPr>
          <w:rFonts w:ascii="Calibri" w:hAnsi="Calibri"/>
          <w:sz w:val="22"/>
          <w:szCs w:val="22"/>
        </w:rPr>
        <w:t>Ann. Math. Statist</w:t>
      </w:r>
      <w:r>
        <w:rPr>
          <w:rFonts w:ascii="Calibri" w:hAnsi="Calibri"/>
          <w:sz w:val="22"/>
          <w:szCs w:val="22"/>
          <w:lang w:val="en-GB"/>
        </w:rPr>
        <w:t>.</w:t>
      </w:r>
      <w:r>
        <w:rPr>
          <w:rFonts w:ascii="Calibri" w:hAnsi="Calibri" w:cs="Calibri"/>
          <w:sz w:val="22"/>
          <w:szCs w:val="22"/>
          <w:lang w:val="da-DK"/>
        </w:rPr>
        <w:t>,</w:t>
      </w:r>
      <w:r>
        <w:rPr>
          <w:rFonts w:ascii="Calibri" w:hAnsi="Calibri" w:cs="Calibri"/>
          <w:sz w:val="22"/>
          <w:szCs w:val="22"/>
          <w:lang w:val="en-GB"/>
        </w:rPr>
        <w:t xml:space="preserve"> (</w:t>
      </w:r>
      <w:r>
        <w:rPr>
          <w:rFonts w:ascii="Calibri" w:hAnsi="Calibri" w:cs="Calibri"/>
          <w:sz w:val="22"/>
          <w:szCs w:val="22"/>
        </w:rPr>
        <w:t>1931</w:t>
      </w:r>
      <w:r>
        <w:rPr>
          <w:rFonts w:ascii="Calibri" w:hAnsi="Calibri" w:cs="Calibri"/>
          <w:sz w:val="22"/>
          <w:szCs w:val="22"/>
          <w:lang w:val="en-GB"/>
        </w:rPr>
        <w:t xml:space="preserve">). </w:t>
      </w:r>
      <w:r>
        <w:rPr>
          <w:rFonts w:ascii="Calibri" w:hAnsi="Calibri" w:cs="Calibri"/>
          <w:sz w:val="22"/>
          <w:szCs w:val="22"/>
          <w:lang w:val="da-DK"/>
        </w:rPr>
        <w:t>2(3),</w:t>
      </w:r>
      <w:r>
        <w:rPr>
          <w:rFonts w:ascii="Calibri" w:hAnsi="Calibri" w:cs="Calibri"/>
          <w:sz w:val="22"/>
          <w:szCs w:val="22"/>
          <w:lang w:val="en-GB"/>
        </w:rPr>
        <w:t xml:space="preserve"> </w:t>
      </w:r>
      <w:r>
        <w:rPr>
          <w:rFonts w:ascii="Calibri" w:hAnsi="Calibri" w:cs="Calibri"/>
          <w:sz w:val="22"/>
          <w:szCs w:val="22"/>
          <w:lang w:val="da-DK"/>
        </w:rPr>
        <w:t>360-378.</w:t>
      </w:r>
      <w:r>
        <w:rPr>
          <w:rFonts w:ascii="Calibri" w:hAnsi="Calibri" w:cs="Calibri"/>
          <w:sz w:val="22"/>
          <w:szCs w:val="22"/>
          <w:lang w:val="en-GB"/>
        </w:rPr>
        <w:t xml:space="preserve"> </w:t>
      </w:r>
      <w:r>
        <w:rPr>
          <w:rFonts w:ascii="Calibri" w:hAnsi="Calibri"/>
          <w:sz w:val="22"/>
          <w:szCs w:val="22"/>
          <w:lang w:val="en-GB"/>
        </w:rPr>
        <w:t>doi:10.1214/aoms/1177732979</w:t>
      </w:r>
    </w:p>
    <w:p>
      <w:pPr>
        <w:spacing w:line="240" w:lineRule="auto"/>
        <w:jc w:val="both"/>
        <w:rPr>
          <w:rFonts w:ascii="Calibri" w:hAnsi="Calibri" w:cs="Calibri"/>
          <w:sz w:val="22"/>
          <w:szCs w:val="22"/>
          <w:lang w:val="da-DK"/>
        </w:rPr>
      </w:pPr>
    </w:p>
    <w:p>
      <w:pPr>
        <w:spacing w:line="240" w:lineRule="auto"/>
        <w:jc w:val="both"/>
        <w:rPr>
          <w:rFonts w:ascii="Calibri" w:hAnsi="Calibri" w:cs="Calibri"/>
          <w:sz w:val="22"/>
          <w:szCs w:val="22"/>
        </w:rPr>
      </w:pPr>
      <w:r>
        <w:rPr>
          <w:rFonts w:ascii="Calibri" w:hAnsi="Calibri" w:cs="Calibri"/>
          <w:sz w:val="22"/>
          <w:szCs w:val="22"/>
          <w:lang w:val="da-DK"/>
        </w:rPr>
        <w:t xml:space="preserve">Idstad M., Tambs K., Aarhus L., Engdahl B.L. </w:t>
      </w:r>
      <w:r>
        <w:rPr>
          <w:rFonts w:ascii="Calibri" w:hAnsi="Calibri" w:cs="Calibri"/>
          <w:sz w:val="22"/>
          <w:szCs w:val="22"/>
        </w:rPr>
        <w:t>Childhood sensorineural hearing loss and</w:t>
      </w:r>
      <w:r>
        <w:rPr>
          <w:rFonts w:ascii="Calibri" w:hAnsi="Calibri" w:cs="Calibri"/>
          <w:sz w:val="22"/>
          <w:szCs w:val="22"/>
          <w:lang w:val="en-GB"/>
        </w:rPr>
        <w:t xml:space="preserve"> </w:t>
      </w:r>
      <w:r>
        <w:rPr>
          <w:rFonts w:ascii="Calibri" w:hAnsi="Calibri" w:cs="Calibri"/>
          <w:sz w:val="22"/>
          <w:szCs w:val="22"/>
        </w:rPr>
        <w:t>adult mental health up to 43 years later:results from the HUNT study</w:t>
      </w:r>
      <w:r>
        <w:rPr>
          <w:rFonts w:ascii="Calibri" w:hAnsi="Calibri" w:cs="Calibri"/>
          <w:sz w:val="22"/>
          <w:szCs w:val="22"/>
          <w:lang w:val="en-GB"/>
        </w:rPr>
        <w:t xml:space="preserve">. </w:t>
      </w:r>
      <w:r>
        <w:rPr>
          <w:rFonts w:ascii="Calibri" w:hAnsi="Calibri" w:cs="Calibri"/>
          <w:sz w:val="22"/>
          <w:szCs w:val="22"/>
        </w:rPr>
        <w:t>BMC Public Health</w:t>
      </w:r>
      <w:r>
        <w:rPr>
          <w:rFonts w:ascii="Calibri" w:hAnsi="Calibri" w:cs="Calibri"/>
          <w:sz w:val="22"/>
          <w:szCs w:val="22"/>
          <w:lang w:val="en-GB"/>
        </w:rPr>
        <w:t>, (</w:t>
      </w:r>
      <w:r>
        <w:rPr>
          <w:rFonts w:ascii="Calibri" w:hAnsi="Calibri" w:cs="Calibri"/>
          <w:sz w:val="22"/>
          <w:szCs w:val="22"/>
          <w:lang w:val="da-DK"/>
        </w:rPr>
        <w:t>2019</w:t>
      </w:r>
      <w:r>
        <w:rPr>
          <w:rFonts w:ascii="Calibri" w:hAnsi="Calibri" w:cs="Calibri"/>
          <w:sz w:val="22"/>
          <w:szCs w:val="22"/>
          <w:lang w:val="en-GB"/>
        </w:rPr>
        <w:t xml:space="preserve">). </w:t>
      </w:r>
      <w:r>
        <w:rPr>
          <w:rFonts w:ascii="Calibri" w:hAnsi="Calibri" w:cs="Calibri"/>
          <w:sz w:val="22"/>
          <w:szCs w:val="22"/>
        </w:rPr>
        <w:t>19</w:t>
      </w:r>
      <w:r>
        <w:rPr>
          <w:rFonts w:ascii="Calibri" w:hAnsi="Calibri" w:cs="Calibri"/>
          <w:sz w:val="22"/>
          <w:szCs w:val="22"/>
          <w:lang w:val="en-GB"/>
        </w:rPr>
        <w:t>(</w:t>
      </w:r>
      <w:r>
        <w:rPr>
          <w:rFonts w:ascii="Calibri" w:hAnsi="Calibri" w:cs="Calibri"/>
          <w:sz w:val="22"/>
          <w:szCs w:val="22"/>
        </w:rPr>
        <w:t>168</w:t>
      </w:r>
      <w:r>
        <w:rPr>
          <w:rFonts w:ascii="Calibri" w:hAnsi="Calibri" w:cs="Calibri"/>
          <w:sz w:val="22"/>
          <w:szCs w:val="22"/>
          <w:lang w:val="en-GB"/>
        </w:rPr>
        <w:t>), doi:</w:t>
      </w:r>
      <w:r>
        <w:fldChar w:fldCharType="begin"/>
      </w:r>
      <w:r>
        <w:instrText xml:space="preserve"> HYPERLINK "https://doi.org/10.1186/s12889-019-6449-2" </w:instrText>
      </w:r>
      <w:r>
        <w:fldChar w:fldCharType="separate"/>
      </w:r>
      <w:r>
        <w:rPr>
          <w:rFonts w:ascii="Calibri" w:hAnsi="Calibri" w:cs="Calibri"/>
          <w:sz w:val="22"/>
          <w:szCs w:val="22"/>
        </w:rPr>
        <w:t>10.1186/s12889-019-6449-</w:t>
      </w:r>
      <w:r>
        <w:rPr>
          <w:rFonts w:ascii="Calibri" w:hAnsi="Calibri" w:cs="Calibri"/>
          <w:sz w:val="22"/>
          <w:szCs w:val="22"/>
          <w:lang w:val="en-GB"/>
        </w:rPr>
        <w:t>2</w:t>
      </w:r>
      <w:r>
        <w:rPr>
          <w:rFonts w:ascii="Calibri" w:hAnsi="Calibri" w:cs="Calibri"/>
          <w:sz w:val="22"/>
          <w:szCs w:val="22"/>
          <w:lang w:val="en-GB"/>
        </w:rPr>
        <w:fldChar w:fldCharType="end"/>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Jewett D. Williston J. Auditory-evoked far-fields averaged from the scalp of humans. Brain, (1971). 94, 681-696. doi:10.1093/brain/94.4.681</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Johnson A., Yonovitz A. Habituation of Auditory Evoked Potentials: The Dynamics of Waveform Morphology. Australian and New Zealand Journal of Audiology, (2007). 29(2), 77-88. doi:10.1375/audi.29.2.77Portico</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sz w:val="22"/>
          <w:szCs w:val="22"/>
          <w:lang w:val="en-GB"/>
        </w:rPr>
        <w:t>Leemis L.M., McQuestion J.L. Univariate Distribution Relationships. The American Statistician, (2008). 62(1), 45-53. doi:10.1198/000313008X270448</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Li J., Yumou Q., Lingjun L. A Neighborhood-Assisted Hotelling's T</w:t>
      </w:r>
      <w:r>
        <w:rPr>
          <w:rFonts w:ascii="Calibri" w:hAnsi="Calibri" w:cs="Calibri"/>
          <w:sz w:val="22"/>
          <w:szCs w:val="22"/>
          <w:vertAlign w:val="superscript"/>
          <w:lang w:val="en-GB"/>
        </w:rPr>
        <w:t>2</w:t>
      </w:r>
      <w:r>
        <w:rPr>
          <w:rFonts w:ascii="Calibri" w:hAnsi="Calibri" w:cs="Calibri"/>
          <w:sz w:val="22"/>
          <w:szCs w:val="22"/>
          <w:lang w:val="en-GB"/>
        </w:rPr>
        <w:t xml:space="preserve"> Test for High-Dimensional Means. eprint arXiv:1712.01798, (2017). </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Lightfoot G., Munro K., Brennan S., Bell S., Georga C. Cortical Auditory Evoked Potential (CAEP) Testing. Recommended Procedure. British Society of Audiology, (2016). Freely available at https://www.thebsa.org.uk/</w:t>
      </w:r>
    </w:p>
    <w:p>
      <w:pPr>
        <w:spacing w:line="240" w:lineRule="auto"/>
        <w:jc w:val="both"/>
        <w:rPr>
          <w:rFonts w:ascii="Calibri" w:hAnsi="Calibri" w:cs="Calibri"/>
          <w:sz w:val="22"/>
          <w:szCs w:val="22"/>
        </w:rPr>
      </w:pPr>
    </w:p>
    <w:p>
      <w:pPr>
        <w:spacing w:line="240" w:lineRule="auto"/>
        <w:jc w:val="both"/>
        <w:rPr>
          <w:rFonts w:ascii="Calibri" w:hAnsi="Calibri" w:cs="Calibri"/>
          <w:sz w:val="22"/>
          <w:szCs w:val="22"/>
        </w:rPr>
      </w:pPr>
      <w:r>
        <w:rPr>
          <w:rFonts w:ascii="Calibri" w:hAnsi="Calibri" w:cs="Calibri"/>
          <w:sz w:val="22"/>
          <w:szCs w:val="22"/>
        </w:rPr>
        <w:t>Lightfoot G., Brennan S., FitzGerald J., Ferm I. Recommended Procedure, Auditory Brainstem Response (ABR) Testing in Babies. The British Society of Audiology</w:t>
      </w:r>
      <w:r>
        <w:rPr>
          <w:rFonts w:ascii="Calibri" w:hAnsi="Calibri" w:cs="Calibri"/>
          <w:sz w:val="22"/>
          <w:szCs w:val="22"/>
          <w:lang w:val="en-GB"/>
        </w:rPr>
        <w:t>, (</w:t>
      </w:r>
      <w:r>
        <w:rPr>
          <w:rFonts w:ascii="Calibri" w:hAnsi="Calibri" w:cs="Calibri"/>
          <w:sz w:val="22"/>
          <w:szCs w:val="22"/>
        </w:rPr>
        <w:t>2019</w:t>
      </w:r>
      <w:r>
        <w:rPr>
          <w:rFonts w:ascii="Calibri" w:hAnsi="Calibri" w:cs="Calibri"/>
          <w:sz w:val="22"/>
          <w:szCs w:val="22"/>
          <w:lang w:val="en-GB"/>
        </w:rPr>
        <w:t xml:space="preserve">). </w:t>
      </w:r>
      <w:r>
        <w:rPr>
          <w:rFonts w:ascii="Calibri" w:hAnsi="Calibri" w:cs="Calibri"/>
          <w:sz w:val="22"/>
          <w:szCs w:val="22"/>
        </w:rPr>
        <w:t xml:space="preserve">Freely available online at </w:t>
      </w:r>
      <w:r>
        <w:fldChar w:fldCharType="begin"/>
      </w:r>
      <w:r>
        <w:instrText xml:space="preserve"> HYPERLINK "https://www.thebsa.org.uu" </w:instrText>
      </w:r>
      <w:r>
        <w:fldChar w:fldCharType="separate"/>
      </w:r>
      <w:r>
        <w:rPr>
          <w:rStyle w:val="13"/>
          <w:rFonts w:ascii="Calibri" w:hAnsi="Calibri" w:cs="Calibri"/>
          <w:color w:val="auto"/>
          <w:sz w:val="22"/>
          <w:szCs w:val="22"/>
          <w:u w:val="none"/>
        </w:rPr>
        <w:t>https://www.thebsa.org.u</w:t>
      </w:r>
      <w:r>
        <w:rPr>
          <w:rStyle w:val="13"/>
          <w:rFonts w:ascii="Calibri" w:hAnsi="Calibri" w:cs="Calibri"/>
          <w:color w:val="auto"/>
          <w:sz w:val="22"/>
          <w:szCs w:val="22"/>
          <w:u w:val="none"/>
        </w:rPr>
        <w:fldChar w:fldCharType="end"/>
      </w:r>
      <w:r>
        <w:rPr>
          <w:rFonts w:ascii="Calibri" w:hAnsi="Calibri" w:cs="Calibri"/>
          <w:sz w:val="22"/>
          <w:szCs w:val="22"/>
        </w:rPr>
        <w:t>k</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Lv J., Simpson D.M., Bell S.L. Objective detection of evoked potentials using a bootstrap technique. Medical Engineering &amp; Physics, (2007). 29(2), 191-198. doi:10.1016/j.medengphy.2006.03.001</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Mardia K.V. Statistics of directional data. London and New York New York: Academic Press, (1972).</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Martin W. H., Schwegler J. W., Gleeson A. L., Shi Y-B. New techniques of hearing assessment. Otolaryngol. Clin. North Am, (1994). 27(3), 487-510. doi:10.1016/S0030-6665(20)30666-6</w:t>
      </w:r>
    </w:p>
    <w:p>
      <w:pPr>
        <w:spacing w:line="240" w:lineRule="auto"/>
        <w:jc w:val="both"/>
        <w:rPr>
          <w:rFonts w:ascii="Calibri" w:hAnsi="Calibri" w:cs="Calibri"/>
          <w:sz w:val="22"/>
          <w:szCs w:val="22"/>
          <w:lang w:val="en-GB"/>
        </w:rPr>
      </w:pPr>
    </w:p>
    <w:p>
      <w:pPr>
        <w:spacing w:line="240" w:lineRule="auto"/>
        <w:jc w:val="both"/>
        <w:rPr>
          <w:rFonts w:ascii="Calibri" w:hAnsi="Calibri"/>
          <w:sz w:val="22"/>
          <w:szCs w:val="22"/>
          <w:lang w:val="en-GB"/>
        </w:rPr>
      </w:pPr>
      <w:r>
        <w:rPr>
          <w:rFonts w:ascii="Calibri" w:hAnsi="Calibri"/>
          <w:sz w:val="22"/>
          <w:szCs w:val="22"/>
          <w:lang w:val="en-GB"/>
        </w:rPr>
        <w:t>McHugh M.L. Interrater reliability: the kappa statistic. Biochem Med (Zagreb). 2012;22(3):276-82. PMID: 23092060; PMCID: PMC3900052.</w:t>
      </w:r>
    </w:p>
    <w:p>
      <w:pPr>
        <w:spacing w:line="240" w:lineRule="auto"/>
        <w:jc w:val="both"/>
        <w:rPr>
          <w:rFonts w:ascii="Calibri" w:hAnsi="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M</w:t>
      </w:r>
      <w:r>
        <w:rPr>
          <w:rFonts w:ascii="Calibri" w:hAnsi="Calibri" w:cs="Calibri"/>
          <w:sz w:val="22"/>
          <w:szCs w:val="22"/>
        </w:rPr>
        <w:t>oeller M</w:t>
      </w:r>
      <w:r>
        <w:rPr>
          <w:rFonts w:ascii="Calibri" w:hAnsi="Calibri" w:cs="Calibri"/>
          <w:sz w:val="22"/>
          <w:szCs w:val="22"/>
          <w:lang w:val="en-GB"/>
        </w:rPr>
        <w:t>.</w:t>
      </w:r>
      <w:r>
        <w:rPr>
          <w:rFonts w:ascii="Calibri" w:hAnsi="Calibri" w:cs="Calibri"/>
          <w:sz w:val="22"/>
          <w:szCs w:val="22"/>
        </w:rPr>
        <w:t>P. Current state of knowledge: psychosocial development in</w:t>
      </w:r>
      <w:r>
        <w:rPr>
          <w:rFonts w:ascii="Calibri" w:hAnsi="Calibri" w:cs="Calibri"/>
          <w:sz w:val="22"/>
          <w:szCs w:val="22"/>
          <w:lang w:val="en-GB"/>
        </w:rPr>
        <w:t xml:space="preserve"> </w:t>
      </w:r>
      <w:r>
        <w:rPr>
          <w:rFonts w:ascii="Calibri" w:hAnsi="Calibri" w:cs="Calibri"/>
          <w:sz w:val="22"/>
          <w:szCs w:val="22"/>
        </w:rPr>
        <w:t>children with hearing impairment. Ear Hear</w:t>
      </w:r>
      <w:r>
        <w:rPr>
          <w:rFonts w:ascii="Calibri" w:hAnsi="Calibri" w:cs="Calibri"/>
          <w:sz w:val="22"/>
          <w:szCs w:val="22"/>
          <w:lang w:val="en-GB"/>
        </w:rPr>
        <w:t xml:space="preserve">, (2007). </w:t>
      </w:r>
      <w:r>
        <w:rPr>
          <w:rFonts w:ascii="Calibri" w:hAnsi="Calibri" w:cs="Calibri"/>
          <w:sz w:val="22"/>
          <w:szCs w:val="22"/>
        </w:rPr>
        <w:t>28</w:t>
      </w:r>
      <w:r>
        <w:rPr>
          <w:rFonts w:ascii="Calibri" w:hAnsi="Calibri" w:cs="Calibri"/>
          <w:sz w:val="22"/>
          <w:szCs w:val="22"/>
          <w:lang w:val="en-GB"/>
        </w:rPr>
        <w:t xml:space="preserve">(6), </w:t>
      </w:r>
      <w:r>
        <w:rPr>
          <w:rFonts w:ascii="Calibri" w:hAnsi="Calibri" w:cs="Calibri"/>
          <w:sz w:val="22"/>
          <w:szCs w:val="22"/>
        </w:rPr>
        <w:t>729</w:t>
      </w:r>
      <w:r>
        <w:rPr>
          <w:rFonts w:ascii="Calibri" w:hAnsi="Calibri" w:cs="Calibri"/>
          <w:sz w:val="22"/>
          <w:szCs w:val="22"/>
          <w:lang w:val="en-GB"/>
        </w:rPr>
        <w:t>-</w:t>
      </w:r>
      <w:r>
        <w:rPr>
          <w:rFonts w:ascii="Calibri" w:hAnsi="Calibri" w:cs="Calibri"/>
          <w:sz w:val="22"/>
          <w:szCs w:val="22"/>
        </w:rPr>
        <w:t>39</w:t>
      </w:r>
      <w:r>
        <w:rPr>
          <w:rFonts w:ascii="Calibri" w:hAnsi="Calibri" w:cs="Calibri"/>
          <w:sz w:val="22"/>
          <w:szCs w:val="22"/>
          <w:lang w:val="en-GB"/>
        </w:rPr>
        <w:t>. doi:</w:t>
      </w:r>
      <w:r>
        <w:rPr>
          <w:rFonts w:ascii="Calibri" w:hAnsi="Calibri" w:cs="Calibri"/>
          <w:sz w:val="22"/>
          <w:szCs w:val="22"/>
        </w:rPr>
        <w:t>10.1097/AUD.0b013e318157f033</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Mukherjee B.N., Maiti S.S. On some properties of positive definite Toeplitz matrices and their possible applications. Linear Algebra and Its Applications, (1988). 102, 211-240. doi:10.1016/0024-3795(88)90326-6</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eastAsia="SimSun" w:cs="Calibri"/>
          <w:sz w:val="22"/>
          <w:szCs w:val="22"/>
        </w:rPr>
        <w:t xml:space="preserve">Munro K.J., Purdy S.C., Uus K., Visram A., Ward R., Bruce I.A., Marsden A., Stone M.A., Van Dun B. Recording Obligatory Cortical Auditory Evoked Potentials in Infants: Quantitative Information on Feasibility and Parent Acceptability. Ear </w:t>
      </w:r>
      <w:r>
        <w:rPr>
          <w:rFonts w:ascii="Calibri" w:hAnsi="Calibri" w:eastAsia="SimSun" w:cs="Calibri"/>
          <w:sz w:val="22"/>
          <w:szCs w:val="22"/>
          <w:lang w:val="en-GB"/>
        </w:rPr>
        <w:t>H</w:t>
      </w:r>
      <w:r>
        <w:rPr>
          <w:rFonts w:ascii="Calibri" w:hAnsi="Calibri" w:eastAsia="SimSun" w:cs="Calibri"/>
          <w:sz w:val="22"/>
          <w:szCs w:val="22"/>
        </w:rPr>
        <w:t>ea</w:t>
      </w:r>
      <w:r>
        <w:rPr>
          <w:rFonts w:ascii="Calibri" w:hAnsi="Calibri" w:eastAsia="SimSun" w:cs="Calibri"/>
          <w:sz w:val="22"/>
          <w:szCs w:val="22"/>
          <w:lang w:val="en-GB"/>
        </w:rPr>
        <w:t>r</w:t>
      </w:r>
      <w:r>
        <w:rPr>
          <w:rFonts w:ascii="Calibri" w:hAnsi="Calibri" w:eastAsia="SimSun" w:cs="Calibri"/>
          <w:sz w:val="22"/>
          <w:szCs w:val="22"/>
        </w:rPr>
        <w:t xml:space="preserve">, </w:t>
      </w:r>
      <w:r>
        <w:rPr>
          <w:rFonts w:ascii="Calibri" w:hAnsi="Calibri" w:eastAsia="SimSun" w:cs="Calibri"/>
          <w:sz w:val="22"/>
          <w:szCs w:val="22"/>
          <w:lang w:val="en-GB"/>
        </w:rPr>
        <w:t xml:space="preserve">(2020). </w:t>
      </w:r>
      <w:r>
        <w:rPr>
          <w:rFonts w:ascii="Calibri" w:hAnsi="Calibri" w:eastAsia="SimSun" w:cs="Calibri"/>
          <w:sz w:val="22"/>
          <w:szCs w:val="22"/>
        </w:rPr>
        <w:t>41(3), 630</w:t>
      </w:r>
      <w:r>
        <w:rPr>
          <w:rFonts w:ascii="Calibri" w:hAnsi="Calibri" w:eastAsia="SimSun" w:cs="Calibri"/>
          <w:sz w:val="22"/>
          <w:szCs w:val="22"/>
          <w:lang w:val="en-GB"/>
        </w:rPr>
        <w:t>-</w:t>
      </w:r>
      <w:r>
        <w:rPr>
          <w:rFonts w:ascii="Calibri" w:hAnsi="Calibri" w:eastAsia="SimSun" w:cs="Calibri"/>
          <w:sz w:val="22"/>
          <w:szCs w:val="22"/>
        </w:rPr>
        <w:t>639.</w:t>
      </w:r>
      <w:r>
        <w:rPr>
          <w:rFonts w:ascii="Calibri" w:hAnsi="Calibri" w:eastAsia="SimSun" w:cs="Calibri"/>
          <w:sz w:val="22"/>
          <w:szCs w:val="22"/>
          <w:lang w:val="en-GB"/>
        </w:rPr>
        <w:t xml:space="preserve"> </w:t>
      </w:r>
      <w:r>
        <w:rPr>
          <w:rFonts w:ascii="Calibri" w:hAnsi="Calibri" w:eastAsia="SimSun" w:cs="Calibri"/>
          <w:sz w:val="22"/>
          <w:szCs w:val="22"/>
        </w:rPr>
        <w:t>doi</w:t>
      </w:r>
      <w:r>
        <w:rPr>
          <w:rFonts w:ascii="Calibri" w:hAnsi="Calibri" w:eastAsia="SimSun" w:cs="Calibri"/>
          <w:sz w:val="22"/>
          <w:szCs w:val="22"/>
          <w:lang w:val="en-GB"/>
        </w:rPr>
        <w:t>:</w:t>
      </w:r>
      <w:r>
        <w:rPr>
          <w:rFonts w:ascii="Calibri" w:hAnsi="Calibri" w:eastAsia="SimSun" w:cs="Calibri"/>
          <w:sz w:val="22"/>
          <w:szCs w:val="22"/>
        </w:rPr>
        <w:t>10.1097/AUD.0000000000000789</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Oates P.A., Kurtzberg D., Stapells D.R. Effects of sensorineural hearing loss on cortical event-related potential and behavioural measures of speech-sound processing. Ear Hear, (2002). 23(5), 399-415. doi:10.1097/01.AUD.0000034777.12562.31</w:t>
      </w:r>
    </w:p>
    <w:p>
      <w:pPr>
        <w:spacing w:line="240" w:lineRule="auto"/>
        <w:jc w:val="both"/>
        <w:rPr>
          <w:rFonts w:ascii="Calibri" w:hAnsi="Calibri" w:cs="Calibri"/>
          <w:sz w:val="22"/>
          <w:szCs w:val="22"/>
          <w:lang w:val="en-GB"/>
        </w:rPr>
      </w:pPr>
    </w:p>
    <w:p>
      <w:pPr>
        <w:pStyle w:val="17"/>
        <w:spacing w:line="240" w:lineRule="auto"/>
        <w:jc w:val="both"/>
        <w:rPr>
          <w:rFonts w:ascii="Calibri" w:hAnsi="Calibri" w:cs="Calibri"/>
          <w:lang w:val="en-GB"/>
        </w:rPr>
      </w:pPr>
      <w:r>
        <w:rPr>
          <w:rFonts w:ascii="Calibri" w:hAnsi="Calibri" w:eastAsia="SimSun" w:cs="Calibri"/>
          <w:lang w:val="en-GB"/>
        </w:rPr>
        <w:t xml:space="preserve">Özesmio C., Dolu N., Süer C., Gölgelio A., </w:t>
      </w:r>
      <w:r>
        <w:fldChar w:fldCharType="begin"/>
      </w:r>
      <w:r>
        <w:instrText xml:space="preserve"> HYPERLINK "https://www.tandfonline.com/author/A%C5%9F%C3%A7ioglu,+Meral" </w:instrText>
      </w:r>
      <w:r>
        <w:fldChar w:fldCharType="separate"/>
      </w:r>
      <w:r>
        <w:rPr>
          <w:rStyle w:val="13"/>
          <w:rFonts w:ascii="Calibri" w:hAnsi="Calibri" w:eastAsia="SimSun" w:cs="Calibri"/>
          <w:color w:val="auto"/>
          <w:u w:val="none"/>
          <w:lang w:val="en-GB"/>
        </w:rPr>
        <w:t>Aşçioglu</w:t>
      </w:r>
      <w:r>
        <w:rPr>
          <w:rStyle w:val="13"/>
          <w:rFonts w:ascii="Calibri" w:hAnsi="Calibri" w:eastAsia="SimSun" w:cs="Calibri"/>
          <w:color w:val="auto"/>
          <w:u w:val="none"/>
          <w:lang w:val="en-GB"/>
        </w:rPr>
        <w:fldChar w:fldCharType="end"/>
      </w:r>
      <w:r>
        <w:rPr>
          <w:rFonts w:ascii="Calibri" w:hAnsi="Calibri" w:eastAsia="SimSun" w:cs="Calibri"/>
          <w:lang w:val="en-GB"/>
        </w:rPr>
        <w:t xml:space="preserve"> M. </w:t>
      </w:r>
      <w:r>
        <w:rPr>
          <w:rFonts w:ascii="Calibri" w:hAnsi="Calibri" w:cs="Calibri"/>
          <w:lang w:val="en-US"/>
        </w:rPr>
        <w:t xml:space="preserve">Habituation of the auditory evoked potential in a short interstimulus interval paradigm. The International Journal of Neuroscience, </w:t>
      </w:r>
      <w:r>
        <w:rPr>
          <w:rFonts w:ascii="Calibri" w:hAnsi="Calibri" w:cs="Calibri"/>
          <w:lang w:val="en-GB"/>
        </w:rPr>
        <w:t>(</w:t>
      </w:r>
      <w:r>
        <w:rPr>
          <w:rFonts w:ascii="Calibri" w:hAnsi="Calibri" w:eastAsia="SimSun" w:cs="Calibri"/>
          <w:lang w:val="en-GB"/>
        </w:rPr>
        <w:t xml:space="preserve">2000). </w:t>
      </w:r>
      <w:r>
        <w:rPr>
          <w:rFonts w:ascii="Calibri" w:hAnsi="Calibri" w:cs="Calibri"/>
          <w:lang w:val="en-US"/>
        </w:rPr>
        <w:t>105(1-4),</w:t>
      </w:r>
      <w:r>
        <w:rPr>
          <w:rFonts w:ascii="Calibri" w:hAnsi="Calibri" w:cs="Calibri"/>
          <w:lang w:val="en-GB"/>
        </w:rPr>
        <w:t xml:space="preserve"> </w:t>
      </w:r>
      <w:r>
        <w:rPr>
          <w:rFonts w:ascii="Calibri" w:hAnsi="Calibri" w:cs="Calibri"/>
          <w:lang w:val="en-US"/>
        </w:rPr>
        <w:t>87</w:t>
      </w:r>
      <w:r>
        <w:rPr>
          <w:rFonts w:ascii="Calibri" w:hAnsi="Calibri" w:cs="Calibri"/>
          <w:lang w:val="en-GB"/>
        </w:rPr>
        <w:t>-</w:t>
      </w:r>
      <w:r>
        <w:rPr>
          <w:rFonts w:ascii="Calibri" w:hAnsi="Calibri" w:cs="Calibri"/>
          <w:lang w:val="en-US"/>
        </w:rPr>
        <w:t>95.</w:t>
      </w:r>
      <w:r>
        <w:rPr>
          <w:rFonts w:ascii="Calibri" w:hAnsi="Calibri" w:cs="Calibri"/>
          <w:lang w:val="en-GB"/>
        </w:rPr>
        <w:t xml:space="preserve"> doi:</w:t>
      </w:r>
      <w:r>
        <w:rPr>
          <w:rFonts w:ascii="Calibri" w:hAnsi="Calibri"/>
          <w:lang w:val="en-GB"/>
        </w:rPr>
        <w:t>10.3109/00207450009003268</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 xml:space="preserve">Picton T.W., Hillyard S.A. Human auditory evoked potentials. II. Effects of attention. Electroencephalography and Clinical Neurophysiology, (1974). 36(2), 191-199. </w:t>
      </w:r>
      <w:r>
        <w:rPr>
          <w:rFonts w:ascii="Calibri" w:hAnsi="Calibri"/>
          <w:sz w:val="22"/>
          <w:szCs w:val="22"/>
          <w:lang w:val="en-GB"/>
        </w:rPr>
        <w:t xml:space="preserve">doi:10.1016/0013-4694(74)90156-4. </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 xml:space="preserve">Picton T.W. Human auditory evoked potentials. Chapters 11 &amp; 12. Plural Publishing (2011). San Diego, Oxford, Brisbane. </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 xml:space="preserve">Ponton C.W., Eggermont J.J. Auditory evoked potentials. Basic principles and clinical application, Chapter 18. Wolters Kluwer, Lippincott, Williams &amp; Williams, (2007). </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Rencher A.C. Methods of Multivariate Analysis. Second Edition. John Wiley &amp; Sons, Inc., (2001).</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 xml:space="preserve">Ramkalawan T.W., Davis A.C. The effects of hearing loss and age of intervention on some language metrics in young hearing-impaired children. British journal of audiology, (1992). 26(2), pp. 97-107. doi:10.3109/03005369209077877 </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sz w:val="22"/>
          <w:szCs w:val="22"/>
          <w:lang w:val="en-GB"/>
        </w:rPr>
        <w:t xml:space="preserve">Roush P., Frymark T., Venediktov R., Wang B.. </w:t>
      </w:r>
      <w:r>
        <w:rPr>
          <w:rFonts w:ascii="Calibri" w:hAnsi="Calibri" w:cs="Calibri"/>
          <w:sz w:val="22"/>
          <w:szCs w:val="22"/>
          <w:lang w:val="en-GB"/>
        </w:rPr>
        <w:t>Audiologic management of auditory neuropathy spectrum disorder in children: a systematic review of the literature. American Journal of Audiology, (2011). 20(2), 159-70. doi:10.1044/1059-0889(2011/10-0032)</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rPr>
        <w:t>Stevenson J</w:t>
      </w:r>
      <w:r>
        <w:rPr>
          <w:rFonts w:ascii="Calibri" w:hAnsi="Calibri" w:cs="Calibri"/>
          <w:sz w:val="22"/>
          <w:szCs w:val="22"/>
          <w:lang w:val="en-GB"/>
        </w:rPr>
        <w:t>.</w:t>
      </w:r>
      <w:r>
        <w:rPr>
          <w:rFonts w:ascii="Calibri" w:hAnsi="Calibri" w:cs="Calibri"/>
          <w:sz w:val="22"/>
          <w:szCs w:val="22"/>
        </w:rPr>
        <w:t>, Kreppner J</w:t>
      </w:r>
      <w:r>
        <w:rPr>
          <w:rFonts w:ascii="Calibri" w:hAnsi="Calibri" w:cs="Calibri"/>
          <w:sz w:val="22"/>
          <w:szCs w:val="22"/>
          <w:lang w:val="en-GB"/>
        </w:rPr>
        <w:t>.</w:t>
      </w:r>
      <w:r>
        <w:rPr>
          <w:rFonts w:ascii="Calibri" w:hAnsi="Calibri" w:cs="Calibri"/>
          <w:sz w:val="22"/>
          <w:szCs w:val="22"/>
        </w:rPr>
        <w:t>, Pimperton H</w:t>
      </w:r>
      <w:r>
        <w:rPr>
          <w:rFonts w:ascii="Calibri" w:hAnsi="Calibri" w:cs="Calibri"/>
          <w:sz w:val="22"/>
          <w:szCs w:val="22"/>
          <w:lang w:val="en-GB"/>
        </w:rPr>
        <w:t>.</w:t>
      </w:r>
      <w:r>
        <w:rPr>
          <w:rFonts w:ascii="Calibri" w:hAnsi="Calibri" w:cs="Calibri"/>
          <w:sz w:val="22"/>
          <w:szCs w:val="22"/>
        </w:rPr>
        <w:t>, Worsfold S</w:t>
      </w:r>
      <w:r>
        <w:rPr>
          <w:rFonts w:ascii="Calibri" w:hAnsi="Calibri" w:cs="Calibri"/>
          <w:sz w:val="22"/>
          <w:szCs w:val="22"/>
          <w:lang w:val="en-GB"/>
        </w:rPr>
        <w:t>.</w:t>
      </w:r>
      <w:r>
        <w:rPr>
          <w:rFonts w:ascii="Calibri" w:hAnsi="Calibri" w:cs="Calibri"/>
          <w:sz w:val="22"/>
          <w:szCs w:val="22"/>
        </w:rPr>
        <w:t>,</w:t>
      </w:r>
      <w:r>
        <w:rPr>
          <w:rFonts w:ascii="Calibri" w:hAnsi="Calibri" w:cs="Calibri"/>
          <w:sz w:val="22"/>
          <w:szCs w:val="22"/>
          <w:lang w:val="en-GB"/>
        </w:rPr>
        <w:t xml:space="preserve"> </w:t>
      </w:r>
      <w:r>
        <w:rPr>
          <w:rFonts w:ascii="Calibri" w:hAnsi="Calibri" w:cs="Calibri"/>
          <w:sz w:val="22"/>
          <w:szCs w:val="22"/>
        </w:rPr>
        <w:t>Kennedy C</w:t>
      </w:r>
      <w:r>
        <w:rPr>
          <w:rFonts w:ascii="Calibri" w:hAnsi="Calibri" w:cs="Calibri"/>
          <w:sz w:val="22"/>
          <w:szCs w:val="22"/>
          <w:lang w:val="en-GB"/>
        </w:rPr>
        <w:t xml:space="preserve">. </w:t>
      </w:r>
      <w:r>
        <w:rPr>
          <w:rFonts w:ascii="Calibri" w:hAnsi="Calibri" w:cs="Calibri"/>
          <w:sz w:val="22"/>
          <w:szCs w:val="22"/>
        </w:rPr>
        <w:t>Emotional</w:t>
      </w:r>
      <w:r>
        <w:rPr>
          <w:rFonts w:ascii="Calibri" w:hAnsi="Calibri" w:cs="Calibri"/>
          <w:sz w:val="22"/>
          <w:szCs w:val="22"/>
          <w:lang w:val="en-GB"/>
        </w:rPr>
        <w:t xml:space="preserve"> </w:t>
      </w:r>
      <w:r>
        <w:rPr>
          <w:rFonts w:ascii="Calibri" w:hAnsi="Calibri" w:cs="Calibri"/>
          <w:sz w:val="22"/>
          <w:szCs w:val="22"/>
        </w:rPr>
        <w:t>and behavioural</w:t>
      </w:r>
      <w:r>
        <w:rPr>
          <w:rFonts w:ascii="Calibri" w:hAnsi="Calibri" w:cs="Calibri"/>
          <w:sz w:val="22"/>
          <w:szCs w:val="22"/>
          <w:lang w:val="en-GB"/>
        </w:rPr>
        <w:t xml:space="preserve"> </w:t>
      </w:r>
      <w:r>
        <w:rPr>
          <w:rFonts w:ascii="Calibri" w:hAnsi="Calibri" w:cs="Calibri"/>
          <w:sz w:val="22"/>
          <w:szCs w:val="22"/>
        </w:rPr>
        <w:t>difficulties in children and adolescents with hearing</w:t>
      </w:r>
      <w:r>
        <w:rPr>
          <w:rFonts w:ascii="Calibri" w:hAnsi="Calibri" w:cs="Calibri"/>
          <w:sz w:val="22"/>
          <w:szCs w:val="22"/>
          <w:lang w:val="en-GB"/>
        </w:rPr>
        <w:t xml:space="preserve"> </w:t>
      </w:r>
      <w:r>
        <w:rPr>
          <w:rFonts w:ascii="Calibri" w:hAnsi="Calibri" w:cs="Calibri"/>
          <w:sz w:val="22"/>
          <w:szCs w:val="22"/>
        </w:rPr>
        <w:t>impairment: a systematic review and</w:t>
      </w:r>
      <w:r>
        <w:rPr>
          <w:rFonts w:ascii="Calibri" w:hAnsi="Calibri" w:cs="Calibri"/>
          <w:sz w:val="22"/>
          <w:szCs w:val="22"/>
          <w:lang w:val="en-GB"/>
        </w:rPr>
        <w:t xml:space="preserve"> </w:t>
      </w:r>
      <w:r>
        <w:rPr>
          <w:rFonts w:ascii="Calibri" w:hAnsi="Calibri" w:cs="Calibri"/>
          <w:sz w:val="22"/>
          <w:szCs w:val="22"/>
        </w:rPr>
        <w:t>meta-analysis. Eur Child AdolescPsychiatry</w:t>
      </w:r>
      <w:r>
        <w:rPr>
          <w:rFonts w:ascii="Calibri" w:hAnsi="Calibri" w:cs="Calibri"/>
          <w:sz w:val="22"/>
          <w:szCs w:val="22"/>
          <w:lang w:val="en-GB"/>
        </w:rPr>
        <w:t xml:space="preserve">, (2015). 24(5), </w:t>
      </w:r>
      <w:r>
        <w:rPr>
          <w:rFonts w:ascii="Calibri" w:hAnsi="Calibri" w:cs="Calibri"/>
          <w:sz w:val="22"/>
          <w:szCs w:val="22"/>
        </w:rPr>
        <w:t>477</w:t>
      </w:r>
      <w:r>
        <w:rPr>
          <w:rFonts w:ascii="Calibri" w:hAnsi="Calibri" w:cs="Calibri"/>
          <w:sz w:val="22"/>
          <w:szCs w:val="22"/>
          <w:lang w:val="en-GB"/>
        </w:rPr>
        <w:t>-4</w:t>
      </w:r>
      <w:r>
        <w:rPr>
          <w:rFonts w:ascii="Calibri" w:hAnsi="Calibri" w:cs="Calibri"/>
          <w:sz w:val="22"/>
          <w:szCs w:val="22"/>
        </w:rPr>
        <w:t>96</w:t>
      </w:r>
      <w:r>
        <w:rPr>
          <w:rFonts w:ascii="Calibri" w:hAnsi="Calibri" w:cs="Calibri"/>
          <w:sz w:val="22"/>
          <w:szCs w:val="22"/>
          <w:lang w:val="en-GB"/>
        </w:rPr>
        <w:t>, doi:</w:t>
      </w:r>
      <w:r>
        <w:rPr>
          <w:rFonts w:ascii="Calibri" w:hAnsi="Calibri" w:cs="Calibri"/>
          <w:sz w:val="22"/>
          <w:szCs w:val="22"/>
        </w:rPr>
        <w:t>10.1007/s00787-015-0697-1</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Stone M.A., Visram A.S., Harte J.M., Munro K.J. A Set of Time-and-Frequency-Localized Short-Duration Speech-Like Stimuli for Assessing Hearing-Aid Performance via Cortical Auditory-Evoked Potentials. Trends in Hearing, (2019). 23, 1-17. doi:10.1177/2331216519885568</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Stűrzebecher E., Cebulla M., Wernecke K.D. Objective response detection in the frequency domain: comparison of several q-sample tests. Audiol Neurootol, (1999). 4(1), 2-11. doi:10.1159/000013815.</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rPr>
        <w:t>Theunissen S</w:t>
      </w:r>
      <w:r>
        <w:rPr>
          <w:rFonts w:ascii="Calibri" w:hAnsi="Calibri" w:cs="Calibri"/>
          <w:sz w:val="22"/>
          <w:szCs w:val="22"/>
          <w:lang w:val="en-GB"/>
        </w:rPr>
        <w:t>.</w:t>
      </w:r>
      <w:r>
        <w:rPr>
          <w:rFonts w:ascii="Calibri" w:hAnsi="Calibri" w:cs="Calibri"/>
          <w:sz w:val="22"/>
          <w:szCs w:val="22"/>
        </w:rPr>
        <w:t>C</w:t>
      </w:r>
      <w:r>
        <w:rPr>
          <w:rFonts w:ascii="Calibri" w:hAnsi="Calibri" w:cs="Calibri"/>
          <w:sz w:val="22"/>
          <w:szCs w:val="22"/>
          <w:lang w:val="en-GB"/>
        </w:rPr>
        <w:t>.</w:t>
      </w:r>
      <w:r>
        <w:rPr>
          <w:rFonts w:ascii="Calibri" w:hAnsi="Calibri" w:cs="Calibri"/>
          <w:sz w:val="22"/>
          <w:szCs w:val="22"/>
        </w:rPr>
        <w:t>P</w:t>
      </w:r>
      <w:r>
        <w:rPr>
          <w:rFonts w:ascii="Calibri" w:hAnsi="Calibri" w:cs="Calibri"/>
          <w:sz w:val="22"/>
          <w:szCs w:val="22"/>
          <w:lang w:val="en-GB"/>
        </w:rPr>
        <w:t>.</w:t>
      </w:r>
      <w:r>
        <w:rPr>
          <w:rFonts w:ascii="Calibri" w:hAnsi="Calibri" w:cs="Calibri"/>
          <w:sz w:val="22"/>
          <w:szCs w:val="22"/>
        </w:rPr>
        <w:t>M</w:t>
      </w:r>
      <w:r>
        <w:rPr>
          <w:rFonts w:ascii="Calibri" w:hAnsi="Calibri" w:cs="Calibri"/>
          <w:sz w:val="22"/>
          <w:szCs w:val="22"/>
          <w:lang w:val="en-GB"/>
        </w:rPr>
        <w:t>.</w:t>
      </w:r>
      <w:r>
        <w:rPr>
          <w:rFonts w:ascii="Calibri" w:hAnsi="Calibri" w:cs="Calibri"/>
          <w:sz w:val="22"/>
          <w:szCs w:val="22"/>
        </w:rPr>
        <w:t>, Rieffe C</w:t>
      </w:r>
      <w:r>
        <w:rPr>
          <w:rFonts w:ascii="Calibri" w:hAnsi="Calibri" w:cs="Calibri"/>
          <w:sz w:val="22"/>
          <w:szCs w:val="22"/>
          <w:lang w:val="en-GB"/>
        </w:rPr>
        <w:t>.</w:t>
      </w:r>
      <w:r>
        <w:rPr>
          <w:rFonts w:ascii="Calibri" w:hAnsi="Calibri" w:cs="Calibri"/>
          <w:sz w:val="22"/>
          <w:szCs w:val="22"/>
        </w:rPr>
        <w:t>, Netten A</w:t>
      </w:r>
      <w:r>
        <w:rPr>
          <w:rFonts w:ascii="Calibri" w:hAnsi="Calibri" w:cs="Calibri"/>
          <w:sz w:val="22"/>
          <w:szCs w:val="22"/>
          <w:lang w:val="en-GB"/>
        </w:rPr>
        <w:t>.</w:t>
      </w:r>
      <w:r>
        <w:rPr>
          <w:rFonts w:ascii="Calibri" w:hAnsi="Calibri" w:cs="Calibri"/>
          <w:sz w:val="22"/>
          <w:szCs w:val="22"/>
        </w:rPr>
        <w:t>P</w:t>
      </w:r>
      <w:r>
        <w:rPr>
          <w:rFonts w:ascii="Calibri" w:hAnsi="Calibri" w:cs="Calibri"/>
          <w:sz w:val="22"/>
          <w:szCs w:val="22"/>
          <w:lang w:val="en-GB"/>
        </w:rPr>
        <w:t>.</w:t>
      </w:r>
      <w:r>
        <w:rPr>
          <w:rFonts w:ascii="Calibri" w:hAnsi="Calibri" w:cs="Calibri"/>
          <w:sz w:val="22"/>
          <w:szCs w:val="22"/>
        </w:rPr>
        <w:t>, Briarie J</w:t>
      </w:r>
      <w:r>
        <w:rPr>
          <w:rFonts w:ascii="Calibri" w:hAnsi="Calibri" w:cs="Calibri"/>
          <w:sz w:val="22"/>
          <w:szCs w:val="22"/>
          <w:lang w:val="en-GB"/>
        </w:rPr>
        <w:t>.</w:t>
      </w:r>
      <w:r>
        <w:rPr>
          <w:rFonts w:ascii="Calibri" w:hAnsi="Calibri" w:cs="Calibri"/>
          <w:sz w:val="22"/>
          <w:szCs w:val="22"/>
        </w:rPr>
        <w:t>J</w:t>
      </w:r>
      <w:r>
        <w:rPr>
          <w:rFonts w:ascii="Calibri" w:hAnsi="Calibri" w:cs="Calibri"/>
          <w:sz w:val="22"/>
          <w:szCs w:val="22"/>
          <w:lang w:val="en-GB"/>
        </w:rPr>
        <w:t>.</w:t>
      </w:r>
      <w:r>
        <w:rPr>
          <w:rFonts w:ascii="Calibri" w:hAnsi="Calibri" w:cs="Calibri"/>
          <w:sz w:val="22"/>
          <w:szCs w:val="22"/>
        </w:rPr>
        <w:t>, Soede W</w:t>
      </w:r>
      <w:r>
        <w:rPr>
          <w:rFonts w:ascii="Calibri" w:hAnsi="Calibri" w:cs="Calibri"/>
          <w:sz w:val="22"/>
          <w:szCs w:val="22"/>
          <w:lang w:val="en-GB"/>
        </w:rPr>
        <w:t>.</w:t>
      </w:r>
      <w:r>
        <w:rPr>
          <w:rFonts w:ascii="Calibri" w:hAnsi="Calibri" w:cs="Calibri"/>
          <w:sz w:val="22"/>
          <w:szCs w:val="22"/>
        </w:rPr>
        <w:t>, Schoones J</w:t>
      </w:r>
      <w:r>
        <w:rPr>
          <w:rFonts w:ascii="Calibri" w:hAnsi="Calibri" w:cs="Calibri"/>
          <w:sz w:val="22"/>
          <w:szCs w:val="22"/>
          <w:lang w:val="en-GB"/>
        </w:rPr>
        <w:t>.</w:t>
      </w:r>
      <w:r>
        <w:rPr>
          <w:rFonts w:ascii="Calibri" w:hAnsi="Calibri" w:cs="Calibri"/>
          <w:sz w:val="22"/>
          <w:szCs w:val="22"/>
        </w:rPr>
        <w:t>W</w:t>
      </w:r>
      <w:r>
        <w:rPr>
          <w:rFonts w:ascii="Calibri" w:hAnsi="Calibri" w:cs="Calibri"/>
          <w:sz w:val="22"/>
          <w:szCs w:val="22"/>
          <w:lang w:val="en-GB"/>
        </w:rPr>
        <w:t xml:space="preserve">., Frijns J.H.M. </w:t>
      </w:r>
      <w:r>
        <w:rPr>
          <w:rFonts w:ascii="Calibri" w:hAnsi="Calibri" w:cs="Calibri"/>
          <w:sz w:val="22"/>
          <w:szCs w:val="22"/>
        </w:rPr>
        <w:t>Psychopathology and its risk and protective factors in hearing-impaired children and</w:t>
      </w:r>
      <w:r>
        <w:rPr>
          <w:rFonts w:ascii="Calibri" w:hAnsi="Calibri" w:cs="Calibri"/>
          <w:sz w:val="22"/>
          <w:szCs w:val="22"/>
          <w:lang w:val="en-GB"/>
        </w:rPr>
        <w:t xml:space="preserve"> </w:t>
      </w:r>
      <w:r>
        <w:rPr>
          <w:rFonts w:ascii="Calibri" w:hAnsi="Calibri" w:cs="Calibri"/>
          <w:sz w:val="22"/>
          <w:szCs w:val="22"/>
        </w:rPr>
        <w:t>adolescents: a systematic review</w:t>
      </w:r>
      <w:r>
        <w:rPr>
          <w:rFonts w:ascii="Calibri" w:hAnsi="Calibri" w:cs="Calibri"/>
          <w:sz w:val="22"/>
          <w:szCs w:val="22"/>
          <w:lang w:val="en-GB"/>
        </w:rPr>
        <w:t xml:space="preserve">. </w:t>
      </w:r>
      <w:r>
        <w:rPr>
          <w:rFonts w:ascii="Calibri" w:hAnsi="Calibri" w:cs="Calibri"/>
          <w:sz w:val="22"/>
          <w:szCs w:val="22"/>
        </w:rPr>
        <w:t>JAMA Pediatr</w:t>
      </w:r>
      <w:r>
        <w:rPr>
          <w:rFonts w:ascii="Calibri" w:hAnsi="Calibri" w:cs="Calibri"/>
          <w:sz w:val="22"/>
          <w:szCs w:val="22"/>
          <w:lang w:val="en-GB"/>
        </w:rPr>
        <w:t xml:space="preserve">, (2014). </w:t>
      </w:r>
      <w:r>
        <w:rPr>
          <w:rFonts w:ascii="Calibri" w:hAnsi="Calibri" w:cs="Calibri"/>
          <w:sz w:val="22"/>
          <w:szCs w:val="22"/>
        </w:rPr>
        <w:t>168</w:t>
      </w:r>
      <w:r>
        <w:rPr>
          <w:rFonts w:ascii="Calibri" w:hAnsi="Calibri" w:cs="Calibri"/>
          <w:sz w:val="22"/>
          <w:szCs w:val="22"/>
          <w:lang w:val="en-GB"/>
        </w:rPr>
        <w:t xml:space="preserve">(2), </w:t>
      </w:r>
      <w:r>
        <w:rPr>
          <w:rFonts w:ascii="Calibri" w:hAnsi="Calibri" w:cs="Calibri"/>
          <w:sz w:val="22"/>
          <w:szCs w:val="22"/>
        </w:rPr>
        <w:t>170</w:t>
      </w:r>
      <w:r>
        <w:rPr>
          <w:rFonts w:ascii="Calibri" w:hAnsi="Calibri" w:cs="Calibri"/>
          <w:sz w:val="22"/>
          <w:szCs w:val="22"/>
          <w:lang w:val="en-GB"/>
        </w:rPr>
        <w:t>-17</w:t>
      </w:r>
      <w:r>
        <w:rPr>
          <w:rFonts w:ascii="Calibri" w:hAnsi="Calibri" w:cs="Calibri"/>
          <w:sz w:val="22"/>
          <w:szCs w:val="22"/>
        </w:rPr>
        <w:t>7</w:t>
      </w:r>
      <w:r>
        <w:rPr>
          <w:rFonts w:ascii="Calibri" w:hAnsi="Calibri" w:cs="Calibri"/>
          <w:sz w:val="22"/>
          <w:szCs w:val="22"/>
          <w:lang w:val="en-GB"/>
        </w:rPr>
        <w:t>, doi:</w:t>
      </w:r>
      <w:r>
        <w:rPr>
          <w:rFonts w:ascii="Calibri" w:hAnsi="Calibri" w:cs="Calibri"/>
          <w:sz w:val="22"/>
          <w:szCs w:val="22"/>
        </w:rPr>
        <w:t>10.1001/jamapediatrics.2013.3974</w:t>
      </w:r>
    </w:p>
    <w:p>
      <w:pPr>
        <w:spacing w:line="240" w:lineRule="auto"/>
        <w:jc w:val="both"/>
        <w:rPr>
          <w:rFonts w:ascii="Calibri" w:hAnsi="Calibri" w:cs="Calibri"/>
          <w:sz w:val="22"/>
          <w:szCs w:val="22"/>
          <w:lang w:val="en-GB"/>
        </w:rPr>
      </w:pPr>
    </w:p>
    <w:p>
      <w:pPr>
        <w:pStyle w:val="17"/>
        <w:spacing w:line="240" w:lineRule="auto"/>
        <w:jc w:val="both"/>
        <w:rPr>
          <w:rFonts w:ascii="Calibri" w:hAnsi="Calibri" w:cs="Calibri"/>
          <w:lang w:val="en-GB"/>
        </w:rPr>
      </w:pPr>
      <w:r>
        <w:rPr>
          <w:rFonts w:ascii="Calibri" w:hAnsi="Calibri" w:cs="Calibri"/>
          <w:lang w:val="en-GB"/>
        </w:rPr>
        <w:t>Xiao H., Wu W.B. Covariance matrix estimation for stationary time series. The Annals of Statistics, (2012). 40(1), 466-493. doi:10.1214/11-AOS967</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 xml:space="preserve">Yoshinaga-Itano C., Sedey A.L., Coulter D.K., Mehl A.L. Language of early- and later-identified children with hearing loss. Pediatrics, (1998). 102(5), 1161-71. doi:10.1542/peds.102.5.1161. </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 xml:space="preserve">Van Dun B., Carter L., Dillon H. Sensitivity of cortical auditory evoked potential (CAEP) detection for hearing-impaired infants in response to short speech sounds. Audiology Research, (2012). 2(1), e13. doi:10.4081/audiores.2012.e13 </w:t>
      </w:r>
    </w:p>
    <w:p>
      <w:pPr>
        <w:spacing w:line="240" w:lineRule="auto"/>
        <w:jc w:val="both"/>
        <w:rPr>
          <w:rFonts w:ascii="Calibri" w:hAnsi="Calibri" w:cs="Calibri"/>
          <w:sz w:val="22"/>
          <w:szCs w:val="22"/>
          <w:lang w:val="en-GB"/>
        </w:rPr>
      </w:pPr>
    </w:p>
    <w:p>
      <w:pPr>
        <w:spacing w:line="240" w:lineRule="auto"/>
        <w:jc w:val="both"/>
        <w:rPr>
          <w:rFonts w:ascii="Calibri" w:hAnsi="Calibri" w:cs="Calibri"/>
          <w:color w:val="auto"/>
          <w:sz w:val="22"/>
          <w:szCs w:val="22"/>
          <w:lang w:val="en-GB"/>
        </w:rPr>
      </w:pPr>
      <w:r>
        <w:rPr>
          <w:rFonts w:ascii="Calibri" w:hAnsi="Calibri"/>
          <w:color w:val="auto"/>
          <w:sz w:val="22"/>
          <w:szCs w:val="22"/>
          <w:lang w:val="en-GB"/>
        </w:rPr>
        <w:t xml:space="preserve">Visram A.S., Stone M.A., Purdy S.C., Chesnaye M.A., Bell S.L., Simpson D.M., Roberts S.A., Dillon H., Harte J.M., Laugesen S., Brooks J., Hudson C., Morgan R., Roughley A., O’Driscoll M., Bruce I., Munro K.J. Aided Cortical Auditory Evoked Potentials in Infants with Frequency Specific Synthetic Speech Stimuli: Sensitivity, Repeatability, and Feasibility. Ear Hear. </w:t>
      </w:r>
      <w:r>
        <w:rPr>
          <w:rFonts w:hint="default" w:ascii="Calibri" w:hAnsi="Calibri"/>
          <w:i w:val="0"/>
          <w:iCs w:val="0"/>
          <w:color w:val="auto"/>
          <w:sz w:val="22"/>
          <w:szCs w:val="22"/>
          <w:u w:val="none"/>
          <w:lang w:val="en-GB"/>
        </w:rPr>
        <w:t>Under review</w:t>
      </w:r>
      <w:r>
        <w:rPr>
          <w:rFonts w:ascii="Calibri" w:hAnsi="Calibri"/>
          <w:i w:val="0"/>
          <w:iCs w:val="0"/>
          <w:color w:val="auto"/>
          <w:sz w:val="22"/>
          <w:szCs w:val="22"/>
          <w:u w:val="none"/>
          <w:lang w:val="en-GB"/>
        </w:rPr>
        <w:t>.</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Welch P. The Use of Fast Fourier Transform for the Estimation of Power Spectra: A Method Based on Time Averaging Over Short, Modified Periodograms. IEEE Transactions on Audio and Electroacoustics, (1967). 15, 70-73. doi:10.1109/TAU.1967.1161901</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rPr>
        <w:t xml:space="preserve">Widen J.E., Adding objectivity to infant behavioral audiometry. Ear and Hearing, </w:t>
      </w:r>
      <w:r>
        <w:rPr>
          <w:rFonts w:ascii="Calibri" w:hAnsi="Calibri" w:cs="Calibri"/>
          <w:sz w:val="22"/>
          <w:szCs w:val="22"/>
          <w:lang w:val="en-GB"/>
        </w:rPr>
        <w:t>(</w:t>
      </w:r>
      <w:r>
        <w:rPr>
          <w:rFonts w:ascii="Calibri" w:hAnsi="Calibri" w:cs="Calibri"/>
          <w:sz w:val="22"/>
          <w:szCs w:val="22"/>
        </w:rPr>
        <w:t>1993</w:t>
      </w:r>
      <w:r>
        <w:rPr>
          <w:rFonts w:ascii="Calibri" w:hAnsi="Calibri" w:cs="Calibri"/>
          <w:sz w:val="22"/>
          <w:szCs w:val="22"/>
          <w:lang w:val="en-GB"/>
        </w:rPr>
        <w:t xml:space="preserve">). </w:t>
      </w:r>
      <w:r>
        <w:rPr>
          <w:rFonts w:ascii="Calibri" w:hAnsi="Calibri" w:cs="Calibri"/>
          <w:sz w:val="22"/>
          <w:szCs w:val="22"/>
        </w:rPr>
        <w:t>14(1), 49</w:t>
      </w:r>
      <w:r>
        <w:rPr>
          <w:rFonts w:ascii="Calibri" w:hAnsi="Calibri" w:cs="Calibri"/>
          <w:sz w:val="22"/>
          <w:szCs w:val="22"/>
          <w:lang w:val="en-GB"/>
        </w:rPr>
        <w:t>-</w:t>
      </w:r>
      <w:r>
        <w:rPr>
          <w:rFonts w:ascii="Calibri" w:hAnsi="Calibri" w:cs="Calibri"/>
          <w:sz w:val="22"/>
          <w:szCs w:val="22"/>
        </w:rPr>
        <w:t>57</w:t>
      </w:r>
      <w:r>
        <w:rPr>
          <w:rFonts w:ascii="Calibri" w:hAnsi="Calibri" w:cs="Calibri"/>
          <w:sz w:val="22"/>
          <w:szCs w:val="22"/>
          <w:lang w:val="en-GB"/>
        </w:rPr>
        <w:t>. doi:10.1097/00003446-199302000-00007</w:t>
      </w:r>
    </w:p>
    <w:p>
      <w:pPr>
        <w:spacing w:line="240" w:lineRule="auto"/>
        <w:jc w:val="both"/>
        <w:rPr>
          <w:rFonts w:ascii="Calibri" w:hAnsi="Calibri" w:cs="Calibri"/>
          <w:sz w:val="22"/>
          <w:szCs w:val="22"/>
        </w:rPr>
      </w:pPr>
    </w:p>
    <w:p>
      <w:pPr>
        <w:spacing w:line="240" w:lineRule="auto"/>
        <w:jc w:val="both"/>
        <w:rPr>
          <w:rFonts w:ascii="Calibri" w:hAnsi="Calibri" w:cs="Calibri"/>
          <w:sz w:val="22"/>
          <w:szCs w:val="22"/>
        </w:rPr>
      </w:pPr>
      <w:r>
        <w:rPr>
          <w:rFonts w:ascii="Calibri" w:hAnsi="Calibri" w:cs="Calibri"/>
          <w:sz w:val="22"/>
          <w:szCs w:val="22"/>
          <w:lang w:val="en-GB"/>
        </w:rPr>
        <w:t>Witten D.M., Tibshirani R. Penalized classification using Fisher’s linear discriminant. J R Stat Soc Series B Stat Methodol, (2011). 73(5), 753-772. doi:10.1111/j.1467-9868.2011.00783.x</w:t>
      </w:r>
    </w:p>
    <w:p>
      <w:pPr>
        <w:spacing w:line="240" w:lineRule="auto"/>
        <w:jc w:val="both"/>
        <w:rPr>
          <w:rFonts w:ascii="Calibri" w:hAnsi="Calibri" w:cs="Calibri"/>
          <w:sz w:val="22"/>
          <w:szCs w:val="22"/>
        </w:rPr>
      </w:pPr>
    </w:p>
    <w:p>
      <w:pPr>
        <w:spacing w:line="240" w:lineRule="auto"/>
        <w:jc w:val="both"/>
        <w:rPr>
          <w:rFonts w:ascii="Calibri" w:hAnsi="Calibri" w:cs="Calibri"/>
          <w:sz w:val="22"/>
          <w:szCs w:val="22"/>
        </w:rPr>
      </w:pPr>
      <w:r>
        <w:rPr>
          <w:rFonts w:ascii="Calibri" w:hAnsi="Calibri" w:cs="Calibri"/>
          <w:sz w:val="22"/>
          <w:szCs w:val="22"/>
        </w:rPr>
        <w:t>Zhang</w:t>
      </w:r>
      <w:r>
        <w:rPr>
          <w:rFonts w:ascii="Calibri" w:hAnsi="Calibri" w:cs="Calibri"/>
          <w:sz w:val="22"/>
          <w:szCs w:val="22"/>
          <w:lang w:val="en-GB"/>
        </w:rPr>
        <w:t xml:space="preserve"> J., </w:t>
      </w:r>
      <w:r>
        <w:rPr>
          <w:rFonts w:ascii="Calibri" w:hAnsi="Calibri" w:cs="Calibri"/>
          <w:sz w:val="22"/>
          <w:szCs w:val="22"/>
        </w:rPr>
        <w:t>Xu</w:t>
      </w:r>
      <w:r>
        <w:rPr>
          <w:rFonts w:ascii="Calibri" w:hAnsi="Calibri" w:cs="Calibri"/>
          <w:sz w:val="22"/>
          <w:szCs w:val="22"/>
          <w:lang w:val="en-GB"/>
        </w:rPr>
        <w:t xml:space="preserve"> J. </w:t>
      </w:r>
      <w:r>
        <w:rPr>
          <w:rFonts w:ascii="Calibri" w:hAnsi="Calibri" w:cs="Calibri"/>
          <w:sz w:val="22"/>
          <w:szCs w:val="22"/>
        </w:rPr>
        <w:t>On the k-sample Behrens–Fisher problem for high-dimensional data</w:t>
      </w:r>
      <w:r>
        <w:rPr>
          <w:rFonts w:ascii="Calibri" w:hAnsi="Calibri" w:cs="Calibri"/>
          <w:sz w:val="22"/>
          <w:szCs w:val="22"/>
          <w:lang w:val="en-GB"/>
        </w:rPr>
        <w:t xml:space="preserve">. </w:t>
      </w:r>
      <w:r>
        <w:rPr>
          <w:rFonts w:ascii="Calibri" w:hAnsi="Calibri" w:cs="Calibri"/>
          <w:sz w:val="22"/>
          <w:szCs w:val="22"/>
        </w:rPr>
        <w:t>Sci. China Ser. A-Math</w:t>
      </w:r>
      <w:r>
        <w:rPr>
          <w:rFonts w:ascii="Calibri" w:hAnsi="Calibri" w:cs="Calibri"/>
          <w:sz w:val="22"/>
          <w:szCs w:val="22"/>
          <w:lang w:val="en-GB"/>
        </w:rPr>
        <w:t xml:space="preserve">, (2009). </w:t>
      </w:r>
      <w:r>
        <w:rPr>
          <w:rFonts w:ascii="Calibri" w:hAnsi="Calibri" w:cs="Calibri"/>
          <w:sz w:val="22"/>
          <w:szCs w:val="22"/>
        </w:rPr>
        <w:t>52</w:t>
      </w:r>
      <w:r>
        <w:rPr>
          <w:rFonts w:ascii="Calibri" w:hAnsi="Calibri" w:cs="Calibri"/>
          <w:sz w:val="22"/>
          <w:szCs w:val="22"/>
          <w:lang w:val="en-GB"/>
        </w:rPr>
        <w:t>(6)</w:t>
      </w:r>
      <w:r>
        <w:rPr>
          <w:rFonts w:ascii="Calibri" w:hAnsi="Calibri" w:cs="Calibri"/>
          <w:sz w:val="22"/>
          <w:szCs w:val="22"/>
        </w:rPr>
        <w:t>, 1285</w:t>
      </w:r>
      <w:r>
        <w:rPr>
          <w:rFonts w:ascii="Calibri" w:hAnsi="Calibri" w:cs="Calibri"/>
          <w:sz w:val="22"/>
          <w:szCs w:val="22"/>
          <w:lang w:val="en-GB"/>
        </w:rPr>
        <w:t>-</w:t>
      </w:r>
      <w:r>
        <w:rPr>
          <w:rFonts w:ascii="Calibri" w:hAnsi="Calibri" w:cs="Calibri"/>
          <w:sz w:val="22"/>
          <w:szCs w:val="22"/>
        </w:rPr>
        <w:t>1304</w:t>
      </w:r>
      <w:r>
        <w:rPr>
          <w:rFonts w:ascii="Calibri" w:hAnsi="Calibri" w:cs="Calibri"/>
          <w:sz w:val="22"/>
          <w:szCs w:val="22"/>
          <w:lang w:val="en-GB"/>
        </w:rPr>
        <w:t>. doi:</w:t>
      </w:r>
      <w:r>
        <w:rPr>
          <w:rFonts w:ascii="Calibri" w:hAnsi="Calibri" w:cs="Calibri"/>
          <w:sz w:val="22"/>
          <w:szCs w:val="22"/>
        </w:rPr>
        <w:t>10.1007/s11425-009-0091-x</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p>
    <w:p>
      <w:pPr>
        <w:spacing w:line="240" w:lineRule="auto"/>
        <w:rPr>
          <w:rFonts w:ascii="Calibri" w:hAnsi="Calibri" w:cs="Calibri"/>
          <w:b/>
          <w:bCs/>
          <w:sz w:val="22"/>
          <w:szCs w:val="22"/>
          <w:lang w:val="en-GB"/>
        </w:rPr>
      </w:pPr>
      <w:r>
        <w:rPr>
          <w:rFonts w:ascii="Calibri" w:hAnsi="Calibri" w:cs="Calibri"/>
          <w:b/>
          <w:bCs/>
          <w:sz w:val="28"/>
          <w:szCs w:val="28"/>
          <w:lang w:val="en-GB"/>
        </w:rPr>
        <w:t>Appendix</w:t>
      </w:r>
    </w:p>
    <w:p>
      <w:pPr>
        <w:spacing w:line="240" w:lineRule="auto"/>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 xml:space="preserve">To prevent an unfair comparison between detection methods due to sub-optimal feature sets, feature optimisations were carried out using simulations prior to the analyses documented in the main paper. The simulated data consisted of coloured noise to represent the EEG background activity and CAEP templates for simulating response, as described in the main text (Section 2). A total of 5,000 ensembles were simulated for both the stimulus and no-stimulus condition. The ensemble size was set to </w:t>
      </w:r>
      <w:r>
        <w:rPr>
          <w:rFonts w:ascii="Calibri" w:hAnsi="Calibri" w:cs="Calibri"/>
          <w:i/>
          <w:iCs/>
          <w:sz w:val="22"/>
          <w:szCs w:val="22"/>
          <w:lang w:val="en-GB"/>
        </w:rPr>
        <w:t>N</w:t>
      </w:r>
      <w:r>
        <w:rPr>
          <w:rFonts w:ascii="Calibri" w:hAnsi="Calibri" w:cs="Calibri"/>
          <w:sz w:val="22"/>
          <w:szCs w:val="22"/>
          <w:lang w:val="en-GB"/>
        </w:rPr>
        <w:t xml:space="preserve">=60 epochs, and the SNR for the simulated CAEP was set to -16.2 dB, which was the mean estimated SNR of the infant CAEP waveforms where a response was deemed present by all three audiologists. </w:t>
      </w:r>
    </w:p>
    <w:p>
      <w:pPr>
        <w:spacing w:line="240" w:lineRule="auto"/>
        <w:jc w:val="both"/>
        <w:rPr>
          <w:rFonts w:ascii="Calibri" w:hAnsi="Calibri" w:cs="Calibri"/>
          <w:sz w:val="22"/>
          <w:szCs w:val="22"/>
          <w:lang w:val="en-GB"/>
        </w:rPr>
      </w:pPr>
    </w:p>
    <w:p>
      <w:pPr>
        <w:spacing w:line="240" w:lineRule="auto"/>
        <w:jc w:val="both"/>
        <w:rPr>
          <w:rFonts w:ascii="Calibri" w:hAnsi="Calibri" w:eastAsia="TimesNewRomanPSMT" w:cs="Calibri"/>
          <w:color w:val="000000"/>
          <w:sz w:val="22"/>
          <w:szCs w:val="22"/>
          <w:lang w:val="en-GB" w:bidi="ar"/>
        </w:rPr>
      </w:pPr>
      <w:r>
        <w:rPr>
          <w:rFonts w:ascii="Calibri" w:hAnsi="Calibri" w:cs="Calibri"/>
          <w:sz w:val="22"/>
          <w:szCs w:val="22"/>
          <w:lang w:val="en-GB"/>
        </w:rPr>
        <w:t>Test performance was evaluated using Received Operator Characteristic (ROC) curves (</w:t>
      </w:r>
      <w:r>
        <w:rPr>
          <w:rFonts w:ascii="Calibri" w:hAnsi="Calibri" w:eastAsia="TimesNewRomanPSMT" w:cs="Calibri"/>
          <w:color w:val="2E75B6" w:themeColor="accent1" w:themeShade="BF"/>
          <w:sz w:val="22"/>
          <w:szCs w:val="22"/>
          <w:lang w:val="en-GB" w:bidi="ar"/>
        </w:rPr>
        <w:t>Fawcett, 2006</w:t>
      </w:r>
      <w:r>
        <w:rPr>
          <w:rFonts w:ascii="Calibri" w:hAnsi="Calibri" w:cs="Calibri"/>
          <w:sz w:val="22"/>
          <w:szCs w:val="22"/>
          <w:lang w:val="en-GB"/>
        </w:rPr>
        <w:t xml:space="preserve">), which </w:t>
      </w:r>
      <w:r>
        <w:rPr>
          <w:rFonts w:ascii="Calibri" w:hAnsi="Calibri" w:eastAsia="TimesNewRomanPSMT" w:cs="Calibri"/>
          <w:color w:val="000000"/>
          <w:sz w:val="22"/>
          <w:szCs w:val="22"/>
          <w:lang w:val="en-GB" w:bidi="ar"/>
        </w:rPr>
        <w:t xml:space="preserve">show the true-positive rate (TPR) as a function of the false-positive rate (FPR) for </w:t>
      </w:r>
      <w:r>
        <w:rPr>
          <w:rFonts w:ascii="Calibri" w:hAnsi="Calibri" w:eastAsia="TimesNewRomanPSMT"/>
          <w:color w:val="000000"/>
          <w:sz w:val="22"/>
          <w:szCs w:val="22"/>
          <w:lang w:val="en-GB"/>
        </w:rPr>
        <w:t>α-</w:t>
      </w:r>
      <w:r>
        <w:rPr>
          <w:rFonts w:ascii="Calibri" w:hAnsi="Calibri" w:eastAsia="TimesNewRomanPSMT" w:cs="Calibri"/>
          <w:color w:val="000000"/>
          <w:sz w:val="22"/>
          <w:szCs w:val="22"/>
          <w:lang w:val="en-GB" w:bidi="ar"/>
        </w:rPr>
        <w:t xml:space="preserve">levels ranging from 0 to 1. When interpreting the ROC curve, it is useful to define two extremes. At one extreme, the ROC curve follows the diagonal line, from [0,0] to [1,1], which implies that the TPRs and FPRs are equivalent for all </w:t>
      </w:r>
      <w:r>
        <w:rPr>
          <w:rFonts w:ascii="Calibri" w:hAnsi="Calibri" w:eastAsia="TimesNewRomanPSMT"/>
          <w:color w:val="000000"/>
          <w:sz w:val="22"/>
          <w:szCs w:val="22"/>
          <w:lang w:val="en-GB"/>
        </w:rPr>
        <w:t>α-</w:t>
      </w:r>
      <w:r>
        <w:rPr>
          <w:rFonts w:ascii="Calibri" w:hAnsi="Calibri" w:eastAsia="TimesNewRomanPSMT" w:cs="Calibri"/>
          <w:color w:val="000000"/>
          <w:sz w:val="22"/>
          <w:szCs w:val="22"/>
          <w:lang w:val="en-GB" w:bidi="ar"/>
        </w:rPr>
        <w:t>levels, i.e. classification is equivalent to purely random allocation. At the other extreme, the ROC curve follows a 90</w:t>
      </w:r>
      <w:r>
        <w:rPr>
          <w:rFonts w:ascii="Calibri" w:hAnsi="Calibri" w:eastAsia="SimSun" w:cs="Calibri"/>
          <w:sz w:val="22"/>
          <w:szCs w:val="22"/>
        </w:rPr>
        <w:t>°</w:t>
      </w:r>
      <w:r>
        <w:rPr>
          <w:rFonts w:ascii="Calibri" w:hAnsi="Calibri" w:eastAsia="TimesNewRomanPSMT" w:cs="Calibri"/>
          <w:color w:val="000000"/>
          <w:sz w:val="22"/>
          <w:szCs w:val="22"/>
          <w:lang w:val="en-GB" w:bidi="ar"/>
        </w:rPr>
        <w:t xml:space="preserve"> angle, from [0,0], to [0,1], to [1,1]. In this case, the test is the ideal test, and can always discriminate perfectly between the stimulus and no-stimulus recordings. </w:t>
      </w:r>
    </w:p>
    <w:p>
      <w:pPr>
        <w:spacing w:line="240" w:lineRule="auto"/>
        <w:jc w:val="both"/>
        <w:rPr>
          <w:rFonts w:ascii="Calibri" w:hAnsi="Calibri" w:eastAsia="TimesNewRomanPSMT" w:cs="Calibri"/>
          <w:color w:val="000000"/>
          <w:sz w:val="22"/>
          <w:szCs w:val="22"/>
          <w:lang w:val="en-GB" w:bidi="ar"/>
        </w:rPr>
      </w:pPr>
    </w:p>
    <w:p>
      <w:pPr>
        <w:spacing w:line="240" w:lineRule="auto"/>
        <w:jc w:val="both"/>
        <w:rPr>
          <w:rFonts w:ascii="Calibri" w:hAnsi="Calibri" w:eastAsia="TimesNewRomanPSMT" w:cs="Calibri"/>
          <w:color w:val="000000"/>
          <w:sz w:val="22"/>
          <w:szCs w:val="22"/>
          <w:lang w:val="en-GB" w:bidi="ar"/>
        </w:rPr>
      </w:pPr>
      <w:r>
        <w:rPr>
          <w:rFonts w:ascii="Calibri" w:hAnsi="Calibri" w:eastAsia="TimesNewRomanPSMT" w:cs="Calibri"/>
          <w:color w:val="000000"/>
          <w:sz w:val="22"/>
          <w:szCs w:val="22"/>
          <w:lang w:val="en-GB" w:bidi="ar"/>
        </w:rPr>
        <w:t>A useful measure for evaluating the ROC is the Area Under the Curve, or AUC. The AUC is defined quite literally as the area under the ROC curve, and represents a single measure of the test</w:t>
      </w:r>
      <w:r>
        <w:rPr>
          <w:rFonts w:hint="default" w:ascii="Calibri" w:hAnsi="Calibri" w:eastAsia="TimesNewRomanPSMT" w:cs="Calibri"/>
          <w:color w:val="000000"/>
          <w:sz w:val="22"/>
          <w:szCs w:val="22"/>
          <w:lang w:val="en-GB" w:bidi="ar"/>
        </w:rPr>
        <w:t>’</w:t>
      </w:r>
      <w:r>
        <w:rPr>
          <w:rFonts w:ascii="Calibri" w:hAnsi="Calibri" w:eastAsia="TimesNewRomanPSMT" w:cs="Calibri"/>
          <w:color w:val="000000"/>
          <w:sz w:val="22"/>
          <w:szCs w:val="22"/>
          <w:lang w:val="en-GB" w:bidi="ar"/>
        </w:rPr>
        <w:t xml:space="preserve">s ability to distinguish between the stimulus and no-stimulus recordings across all </w:t>
      </w:r>
      <w:r>
        <w:rPr>
          <w:rFonts w:ascii="Calibri" w:hAnsi="Calibri" w:eastAsia="TimesNewRomanPSMT"/>
          <w:color w:val="000000"/>
          <w:sz w:val="22"/>
          <w:szCs w:val="22"/>
          <w:lang w:val="en-GB"/>
        </w:rPr>
        <w:t>α-</w:t>
      </w:r>
      <w:r>
        <w:rPr>
          <w:rFonts w:ascii="Calibri" w:hAnsi="Calibri" w:eastAsia="TimesNewRomanPSMT" w:cs="Calibri"/>
          <w:color w:val="000000"/>
          <w:sz w:val="22"/>
          <w:szCs w:val="22"/>
          <w:lang w:val="en-GB" w:bidi="ar"/>
        </w:rPr>
        <w:t>levels (</w:t>
      </w:r>
      <w:r>
        <w:rPr>
          <w:rFonts w:ascii="Calibri" w:hAnsi="Calibri" w:eastAsia="TimesNewRomanPSMT" w:cs="Calibri"/>
          <w:color w:val="2E75B6" w:themeColor="accent1" w:themeShade="BF"/>
          <w:sz w:val="22"/>
          <w:szCs w:val="22"/>
          <w:lang w:val="en-GB" w:bidi="ar"/>
        </w:rPr>
        <w:t>Fawcett, 2006</w:t>
      </w:r>
      <w:r>
        <w:rPr>
          <w:rFonts w:ascii="Calibri" w:hAnsi="Calibri" w:eastAsia="TimesNewRomanPSMT" w:cs="Calibri"/>
          <w:sz w:val="22"/>
          <w:szCs w:val="22"/>
          <w:lang w:val="en-GB" w:bidi="ar"/>
        </w:rPr>
        <w:t xml:space="preserve">). </w:t>
      </w:r>
      <w:r>
        <w:rPr>
          <w:rFonts w:ascii="Calibri" w:hAnsi="Calibri" w:eastAsia="TimesNewRomanPSMT" w:cs="Calibri"/>
          <w:color w:val="000000"/>
          <w:sz w:val="22"/>
          <w:szCs w:val="22"/>
          <w:lang w:val="en-GB" w:bidi="ar"/>
        </w:rPr>
        <w:t xml:space="preserve">An AUC of 1 represents perfect discriminatory capacity (the ideal test), whereas an AUC of 0.5 indicates no discriminatory capacity, or random test performance. The AUC was approximated in this work through numerical integration of the ROC curve. </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t>The remainder of this document describes the optimisation procedures for the detection methods, which include the conventional Hotelling’s T</w:t>
      </w:r>
      <w:r>
        <w:rPr>
          <w:rFonts w:ascii="Calibri" w:hAnsi="Calibri" w:cs="Calibri"/>
          <w:sz w:val="22"/>
          <w:szCs w:val="22"/>
          <w:vertAlign w:val="superscript"/>
          <w:lang w:val="en-GB"/>
        </w:rPr>
        <w:t>2</w:t>
      </w:r>
      <w:r>
        <w:rPr>
          <w:rFonts w:ascii="Calibri" w:hAnsi="Calibri" w:cs="Calibri"/>
          <w:sz w:val="22"/>
          <w:szCs w:val="22"/>
          <w:lang w:val="en-GB"/>
        </w:rPr>
        <w:t xml:space="preserve"> </w:t>
      </w:r>
      <w:r>
        <w:rPr>
          <w:rFonts w:hint="default" w:ascii="Calibri" w:hAnsi="Calibri" w:cs="Calibri"/>
          <w:sz w:val="22"/>
          <w:szCs w:val="22"/>
          <w:lang w:val="en-GB"/>
        </w:rPr>
        <w:t xml:space="preserve">(HT2) </w:t>
      </w:r>
      <w:r>
        <w:rPr>
          <w:rFonts w:ascii="Calibri" w:hAnsi="Calibri" w:cs="Calibri"/>
          <w:sz w:val="22"/>
          <w:szCs w:val="22"/>
          <w:lang w:val="en-GB"/>
        </w:rPr>
        <w:t>test applied in the time and frequency domains, the modified q-sample statistics, and the modified T</w:t>
      </w:r>
      <w:r>
        <w:rPr>
          <w:rFonts w:ascii="Calibri" w:hAnsi="Calibri" w:cs="Calibri"/>
          <w:sz w:val="22"/>
          <w:szCs w:val="22"/>
          <w:vertAlign w:val="superscript"/>
          <w:lang w:val="en-GB"/>
        </w:rPr>
        <w:t>2</w:t>
      </w:r>
      <w:r>
        <w:rPr>
          <w:rFonts w:ascii="Calibri" w:hAnsi="Calibri" w:cs="Calibri"/>
          <w:sz w:val="22"/>
          <w:szCs w:val="22"/>
          <w:lang w:val="en-GB"/>
        </w:rPr>
        <w:t xml:space="preserve"> statistics. </w:t>
      </w:r>
    </w:p>
    <w:p>
      <w:pPr>
        <w:spacing w:line="240" w:lineRule="auto"/>
        <w:jc w:val="both"/>
        <w:rPr>
          <w:rFonts w:ascii="Calibri" w:hAnsi="Calibri" w:cs="Calibri"/>
          <w:sz w:val="22"/>
          <w:szCs w:val="22"/>
          <w:lang w:val="en-GB"/>
        </w:rPr>
      </w:pPr>
    </w:p>
    <w:p>
      <w:pPr>
        <w:numPr>
          <w:ilvl w:val="255"/>
          <w:numId w:val="0"/>
        </w:numPr>
        <w:spacing w:line="240" w:lineRule="auto"/>
        <w:jc w:val="both"/>
        <w:rPr>
          <w:rFonts w:ascii="Calibri" w:hAnsi="Calibri" w:cs="Calibri"/>
          <w:b/>
          <w:bCs/>
          <w:sz w:val="22"/>
          <w:szCs w:val="22"/>
          <w:lang w:val="en-GB"/>
        </w:rPr>
      </w:pPr>
      <w:r>
        <w:rPr>
          <w:rFonts w:ascii="Calibri" w:hAnsi="Calibri" w:cs="Calibri"/>
          <w:b/>
          <w:bCs/>
          <w:sz w:val="22"/>
          <w:szCs w:val="22"/>
          <w:lang w:val="en-GB"/>
        </w:rPr>
        <w:t>The time domain Hotelling’s T</w:t>
      </w:r>
      <w:r>
        <w:rPr>
          <w:rFonts w:ascii="Calibri" w:hAnsi="Calibri" w:cs="Calibri"/>
          <w:b/>
          <w:bCs/>
          <w:sz w:val="22"/>
          <w:szCs w:val="22"/>
          <w:vertAlign w:val="superscript"/>
          <w:lang w:val="en-GB"/>
        </w:rPr>
        <w:t>2</w:t>
      </w:r>
      <w:r>
        <w:rPr>
          <w:rFonts w:ascii="Calibri" w:hAnsi="Calibri" w:cs="Calibri"/>
          <w:b/>
          <w:bCs/>
          <w:sz w:val="22"/>
          <w:szCs w:val="22"/>
          <w:lang w:val="en-GB"/>
        </w:rPr>
        <w:t xml:space="preserve"> test</w:t>
      </w:r>
    </w:p>
    <w:p>
      <w:pPr>
        <w:pStyle w:val="17"/>
        <w:spacing w:line="240" w:lineRule="auto"/>
        <w:jc w:val="both"/>
        <w:rPr>
          <w:rFonts w:ascii="Calibri" w:hAnsi="Calibri" w:cs="Calibri"/>
          <w:sz w:val="22"/>
          <w:szCs w:val="22"/>
          <w:lang w:val="en-GB"/>
        </w:rPr>
      </w:pPr>
      <w:r>
        <w:rPr>
          <w:rFonts w:ascii="Calibri" w:hAnsi="Calibri" w:cs="Calibri"/>
          <w:sz w:val="22"/>
          <w:szCs w:val="22"/>
          <w:lang w:val="en-GB"/>
        </w:rPr>
        <w:t>For the time domain Hotelling’s T</w:t>
      </w:r>
      <w:r>
        <w:rPr>
          <w:rFonts w:ascii="Calibri" w:hAnsi="Calibri" w:cs="Calibri"/>
          <w:sz w:val="22"/>
          <w:szCs w:val="22"/>
          <w:vertAlign w:val="superscript"/>
          <w:lang w:val="en-GB"/>
        </w:rPr>
        <w:t>2</w:t>
      </w:r>
      <w:r>
        <w:rPr>
          <w:rFonts w:ascii="Calibri" w:hAnsi="Calibri" w:cs="Calibri"/>
          <w:sz w:val="22"/>
          <w:szCs w:val="22"/>
          <w:lang w:val="en-GB"/>
        </w:rPr>
        <w:t xml:space="preserve"> test, or T</w:t>
      </w:r>
      <w:r>
        <w:rPr>
          <w:rFonts w:ascii="Calibri" w:hAnsi="Calibri" w:cs="Calibri"/>
          <w:sz w:val="22"/>
          <w:szCs w:val="22"/>
          <w:vertAlign w:val="superscript"/>
          <w:lang w:val="en-GB"/>
        </w:rPr>
        <w:t>2</w:t>
      </w:r>
      <w:r>
        <w:rPr>
          <w:rFonts w:ascii="Calibri" w:hAnsi="Calibri" w:cs="Calibri"/>
          <w:sz w:val="22"/>
          <w:szCs w:val="22"/>
          <w:vertAlign w:val="subscript"/>
          <w:lang w:val="en-GB"/>
        </w:rPr>
        <w:t>Time</w:t>
      </w:r>
      <w:r>
        <w:rPr>
          <w:rFonts w:ascii="Calibri" w:hAnsi="Calibri" w:cs="Calibri"/>
          <w:sz w:val="22"/>
          <w:szCs w:val="22"/>
          <w:lang w:val="en-GB"/>
        </w:rPr>
        <w:t xml:space="preserve">, the aim was to optimise the number of voltage means </w:t>
      </w:r>
      <w:r>
        <w:rPr>
          <w:rFonts w:hint="default" w:ascii="Calibri" w:hAnsi="Calibri" w:cs="Calibri"/>
          <w:sz w:val="22"/>
          <w:szCs w:val="22"/>
          <w:lang w:val="en-GB"/>
        </w:rPr>
        <w:t xml:space="preserve">(i.e. Q) </w:t>
      </w:r>
      <w:r>
        <w:rPr>
          <w:rFonts w:ascii="Calibri" w:hAnsi="Calibri" w:cs="Calibri"/>
          <w:sz w:val="22"/>
          <w:szCs w:val="22"/>
          <w:lang w:val="en-GB"/>
        </w:rPr>
        <w:t xml:space="preserve">to extract from the 0-700 ms post stimulus intervals. </w:t>
      </w:r>
      <w:r>
        <w:rPr>
          <w:rFonts w:hint="default" w:ascii="Calibri" w:hAnsi="Calibri" w:cs="Calibri"/>
          <w:lang w:val="en-GB"/>
        </w:rPr>
        <w:t>T</w:t>
      </w:r>
      <w:r>
        <w:rPr>
          <w:rFonts w:ascii="Calibri" w:hAnsi="Calibri" w:cs="Calibri"/>
          <w:lang w:val="en-GB"/>
        </w:rPr>
        <w:t xml:space="preserve">he optimal choice for </w:t>
      </w:r>
      <w:r>
        <w:rPr>
          <w:rFonts w:ascii="Calibri" w:hAnsi="Calibri" w:cs="Calibri"/>
          <w:i/>
          <w:iCs/>
          <w:lang w:val="en-GB"/>
        </w:rPr>
        <w:t>Q</w:t>
      </w:r>
      <w:r>
        <w:rPr>
          <w:rFonts w:hint="default" w:ascii="Calibri" w:hAnsi="Calibri" w:cs="Calibri"/>
          <w:lang w:val="en-GB"/>
        </w:rPr>
        <w:t xml:space="preserve"> </w:t>
      </w:r>
      <w:r>
        <w:rPr>
          <w:rFonts w:ascii="Calibri" w:hAnsi="Calibri" w:cs="Calibri"/>
          <w:lang w:val="en-GB"/>
        </w:rPr>
        <w:t xml:space="preserve">depends on several factors. Firstly, when </w:t>
      </w:r>
      <w:r>
        <w:rPr>
          <w:rFonts w:ascii="Calibri" w:hAnsi="Calibri" w:cs="Calibri"/>
          <w:i/>
          <w:iCs/>
          <w:lang w:val="en-GB"/>
        </w:rPr>
        <w:t>Q</w:t>
      </w:r>
      <w:r>
        <w:rPr>
          <w:rFonts w:ascii="Calibri" w:hAnsi="Calibri" w:cs="Calibri"/>
          <w:lang w:val="en-GB"/>
        </w:rPr>
        <w:t xml:space="preserve"> is small, then voltage means are taken across relatively large time intervals, potentially resulting in consecutive peaks and troughs in the CAEP waveforms cancelling out, and a loss of information. As </w:t>
      </w:r>
      <w:r>
        <w:rPr>
          <w:rFonts w:ascii="Calibri" w:hAnsi="Calibri" w:cs="Calibri"/>
          <w:i/>
          <w:iCs/>
          <w:lang w:val="en-GB"/>
        </w:rPr>
        <w:t>Q</w:t>
      </w:r>
      <w:r>
        <w:rPr>
          <w:rFonts w:ascii="Calibri" w:hAnsi="Calibri" w:cs="Calibri"/>
          <w:lang w:val="en-GB"/>
        </w:rPr>
        <w:t xml:space="preserve"> is increased, more information is retained, which comes at the cost of consecutive voltage means becoming increasingly correlated, along with an increasingly ill-conditioned covariance matrix </w:t>
      </w:r>
      <w:r>
        <w:rPr>
          <w:rFonts w:ascii="Calibri" w:hAnsi="Calibri" w:cs="Calibri"/>
          <w:position w:val="-6"/>
        </w:rPr>
        <w:object>
          <v:shape id="_x0000_i1068" o:spt="75" type="#_x0000_t75" style="height:13.5pt;width:10pt;" o:ole="t" filled="f" o:preferrelative="t" stroked="f" coordsize="21600,21600">
            <v:path/>
            <v:fill on="f" focussize="0,0"/>
            <v:stroke on="f" joinstyle="miter"/>
            <v:imagedata r:id="rId84" o:title=""/>
            <o:lock v:ext="edit" aspectratio="t"/>
            <w10:wrap type="none"/>
            <w10:anchorlock/>
          </v:shape>
          <o:OLEObject Type="Embed" ProgID="Equation.KSEE3" ShapeID="_x0000_i1068" DrawAspect="Content" ObjectID="_1468075768" r:id="rId83">
            <o:LockedField>false</o:LockedField>
          </o:OLEObject>
        </w:object>
      </w:r>
      <w:r>
        <w:rPr>
          <w:rFonts w:ascii="Calibri" w:hAnsi="Calibri" w:cs="Calibri"/>
          <w:lang w:val="en-GB"/>
        </w:rPr>
        <w:t xml:space="preserve">. The latter may result in </w:t>
      </w:r>
      <w:r>
        <w:rPr>
          <w:rFonts w:ascii="Calibri" w:hAnsi="Calibri" w:cs="Calibri"/>
          <w:position w:val="-6"/>
        </w:rPr>
        <w:object>
          <v:shape id="_x0000_i1069" o:spt="75" type="#_x0000_t75" style="height:17.35pt;width:18.1pt;" o:ole="t" filled="f" o:preferrelative="t" stroked="f" coordsize="21600,21600">
            <v:path/>
            <v:fill on="f" focussize="0,0"/>
            <v:stroke on="f" joinstyle="miter"/>
            <v:imagedata r:id="rId10" o:title=""/>
            <o:lock v:ext="edit" aspectratio="t"/>
            <w10:wrap type="none"/>
            <w10:anchorlock/>
          </v:shape>
          <o:OLEObject Type="Embed" ProgID="Equation.KSEE3" ShapeID="_x0000_i1069" DrawAspect="Content" ObjectID="_1468075769" r:id="rId85">
            <o:LockedField>false</o:LockedField>
          </o:OLEObject>
        </w:object>
      </w:r>
      <w:r>
        <w:rPr>
          <w:rFonts w:ascii="Calibri" w:hAnsi="Calibri" w:cs="Calibri"/>
          <w:lang w:val="en-GB"/>
        </w:rPr>
        <w:t xml:space="preserve"> being contaminated with calculation errors, or in the extreme case (for </w:t>
      </w:r>
      <w:r>
        <w:rPr>
          <w:rFonts w:ascii="Calibri" w:hAnsi="Calibri" w:cs="Calibri"/>
          <w:i/>
          <w:iCs/>
          <w:lang w:val="en-GB"/>
        </w:rPr>
        <w:t>Q</w:t>
      </w:r>
      <w:r>
        <w:rPr>
          <w:rFonts w:ascii="Calibri" w:hAnsi="Calibri" w:cs="Calibri"/>
          <w:lang w:val="en-GB"/>
        </w:rPr>
        <w:t xml:space="preserve"> ≥ </w:t>
      </w:r>
      <w:r>
        <w:rPr>
          <w:rFonts w:ascii="Calibri" w:hAnsi="Calibri" w:cs="Calibri"/>
          <w:i/>
          <w:iCs/>
          <w:lang w:val="en-GB"/>
        </w:rPr>
        <w:t>N</w:t>
      </w:r>
      <w:r>
        <w:rPr>
          <w:rFonts w:ascii="Calibri" w:hAnsi="Calibri" w:cs="Calibri"/>
          <w:lang w:val="en-GB"/>
        </w:rPr>
        <w:t xml:space="preserve">), in </w:t>
      </w:r>
      <w:r>
        <w:rPr>
          <w:rFonts w:ascii="Calibri" w:hAnsi="Calibri" w:cs="Calibri"/>
          <w:position w:val="-6"/>
        </w:rPr>
        <w:object>
          <v:shape id="_x0000_i1070" o:spt="75" type="#_x0000_t75" style="height:17.35pt;width:18.1pt;" o:ole="t" filled="f" o:preferrelative="t" stroked="f" coordsize="21600,21600">
            <v:path/>
            <v:fill on="f" focussize="0,0"/>
            <v:stroke on="f" joinstyle="miter"/>
            <v:imagedata r:id="rId10" o:title=""/>
            <o:lock v:ext="edit" aspectratio="t"/>
            <w10:wrap type="none"/>
            <w10:anchorlock/>
          </v:shape>
          <o:OLEObject Type="Embed" ProgID="Equation.KSEE3" ShapeID="_x0000_i1070" DrawAspect="Content" ObjectID="_1468075770" r:id="rId86">
            <o:LockedField>false</o:LockedField>
          </o:OLEObject>
        </w:object>
      </w:r>
      <w:r>
        <w:rPr>
          <w:rFonts w:ascii="Calibri" w:hAnsi="Calibri" w:cs="Calibri"/>
          <w:lang w:val="en-GB"/>
        </w:rPr>
        <w:t xml:space="preserve"> being singular. The third factor to consider is the ensemble size, which is again related to the “small n large p” problem and its adverse effect on test sensitivity due to poor covariance matrix estimates (</w:t>
      </w:r>
      <w:r>
        <w:rPr>
          <w:rFonts w:ascii="Calibri" w:hAnsi="Calibri" w:cs="Calibri"/>
          <w:color w:val="2E75B6" w:themeColor="accent1" w:themeShade="BF"/>
          <w:lang w:val="en-GB"/>
        </w:rPr>
        <w:t>Bai &amp; Saranadasa, 1996</w:t>
      </w:r>
      <w:r>
        <w:rPr>
          <w:rFonts w:ascii="Calibri" w:hAnsi="Calibri" w:cs="Calibri"/>
          <w:lang w:val="en-GB"/>
        </w:rPr>
        <w:t xml:space="preserve">). </w:t>
      </w:r>
      <w:r>
        <w:rPr>
          <w:rFonts w:hint="default" w:ascii="Calibri" w:hAnsi="Calibri" w:cs="Calibri"/>
          <w:sz w:val="22"/>
          <w:szCs w:val="22"/>
          <w:lang w:val="en-GB"/>
        </w:rPr>
        <w:t xml:space="preserve">In what follows, test performance was therefore evaluated for different Q, which </w:t>
      </w:r>
      <w:r>
        <w:rPr>
          <w:rFonts w:ascii="Calibri" w:hAnsi="Calibri" w:cs="Calibri"/>
          <w:sz w:val="22"/>
          <w:szCs w:val="22"/>
          <w:lang w:val="en-GB"/>
        </w:rPr>
        <w:t>was varied from 1 to 30</w:t>
      </w:r>
      <w:r>
        <w:rPr>
          <w:rFonts w:hint="default" w:ascii="Calibri" w:hAnsi="Calibri" w:cs="Calibri"/>
          <w:sz w:val="22"/>
          <w:szCs w:val="22"/>
          <w:lang w:val="en-GB"/>
        </w:rPr>
        <w:t>.</w:t>
      </w:r>
      <w:r>
        <w:rPr>
          <w:rFonts w:ascii="Calibri" w:hAnsi="Calibri" w:cs="Calibri"/>
          <w:sz w:val="22"/>
          <w:szCs w:val="22"/>
          <w:lang w:val="en-GB"/>
        </w:rPr>
        <w:t xml:space="preserve"> </w:t>
      </w:r>
      <w:r>
        <w:rPr>
          <w:rFonts w:hint="default" w:ascii="Calibri" w:hAnsi="Calibri" w:cs="Calibri"/>
          <w:sz w:val="22"/>
          <w:szCs w:val="22"/>
          <w:lang w:val="en-GB"/>
        </w:rPr>
        <w:t>T</w:t>
      </w:r>
      <w:r>
        <w:rPr>
          <w:rFonts w:ascii="Calibri" w:hAnsi="Calibri" w:cs="Calibri"/>
          <w:sz w:val="22"/>
          <w:szCs w:val="22"/>
          <w:lang w:val="en-GB"/>
        </w:rPr>
        <w:t xml:space="preserve">est significance was evaluated using either conventional F-distributions or the frequency domain bootstrap (FDB). </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u w:val="single"/>
          <w:lang w:val="en-GB"/>
        </w:rPr>
      </w:pPr>
      <w:r>
        <w:rPr>
          <w:rFonts w:ascii="Calibri" w:hAnsi="Calibri" w:cs="Calibri"/>
          <w:sz w:val="22"/>
          <w:szCs w:val="22"/>
          <w:u w:val="single"/>
          <w:lang w:val="en-GB"/>
        </w:rPr>
        <w:t>Results</w:t>
      </w:r>
    </w:p>
    <w:p>
      <w:pPr>
        <w:spacing w:line="240" w:lineRule="auto"/>
        <w:jc w:val="both"/>
        <w:rPr>
          <w:rFonts w:ascii="Calibri" w:hAnsi="Calibri" w:cs="Calibri"/>
          <w:sz w:val="22"/>
          <w:szCs w:val="22"/>
          <w:u w:val="single"/>
          <w:lang w:val="en-GB"/>
        </w:rPr>
      </w:pPr>
      <w:r>
        <w:rPr>
          <w:rFonts w:ascii="Calibri" w:hAnsi="Calibri" w:cs="Calibri"/>
          <w:sz w:val="22"/>
          <w:szCs w:val="22"/>
          <w:lang w:val="en-GB"/>
        </w:rPr>
        <w:t xml:space="preserve">The AUCs are presented as a function of the number of voltage means </w:t>
      </w:r>
      <w:r>
        <w:rPr>
          <w:rFonts w:hint="default" w:ascii="Calibri" w:hAnsi="Calibri" w:cs="Calibri"/>
          <w:sz w:val="22"/>
          <w:szCs w:val="22"/>
          <w:lang w:val="en-GB"/>
        </w:rPr>
        <w:t xml:space="preserve">Q </w:t>
      </w:r>
      <w:r>
        <w:rPr>
          <w:rFonts w:ascii="Calibri" w:hAnsi="Calibri" w:cs="Calibri"/>
          <w:sz w:val="22"/>
          <w:szCs w:val="22"/>
          <w:lang w:val="en-GB"/>
        </w:rPr>
        <w:t>in Figure A.1 below. Results firstly demonstrate a similar test performance between T</w:t>
      </w:r>
      <w:r>
        <w:rPr>
          <w:rFonts w:ascii="Calibri" w:hAnsi="Calibri" w:cs="Calibri"/>
          <w:sz w:val="22"/>
          <w:szCs w:val="22"/>
          <w:vertAlign w:val="superscript"/>
          <w:lang w:val="en-GB"/>
        </w:rPr>
        <w:t>2</w:t>
      </w:r>
      <w:r>
        <w:rPr>
          <w:rFonts w:ascii="Calibri" w:hAnsi="Calibri" w:cs="Calibri"/>
          <w:sz w:val="22"/>
          <w:szCs w:val="22"/>
          <w:vertAlign w:val="subscript"/>
          <w:lang w:val="en-GB"/>
        </w:rPr>
        <w:t>Time</w:t>
      </w:r>
      <w:r>
        <w:rPr>
          <w:rFonts w:ascii="Calibri" w:hAnsi="Calibri" w:cs="Calibri"/>
          <w:sz w:val="22"/>
          <w:szCs w:val="22"/>
          <w:lang w:val="en-GB"/>
        </w:rPr>
        <w:t xml:space="preserve"> evaluated with F-distributions and T</w:t>
      </w:r>
      <w:r>
        <w:rPr>
          <w:rFonts w:ascii="Calibri" w:hAnsi="Calibri" w:cs="Calibri"/>
          <w:sz w:val="22"/>
          <w:szCs w:val="22"/>
          <w:vertAlign w:val="superscript"/>
          <w:lang w:val="en-GB"/>
        </w:rPr>
        <w:t>2</w:t>
      </w:r>
      <w:r>
        <w:rPr>
          <w:rFonts w:hint="default" w:ascii="Calibri" w:hAnsi="Calibri" w:cs="Calibri"/>
          <w:sz w:val="22"/>
          <w:szCs w:val="22"/>
          <w:vertAlign w:val="subscript"/>
          <w:lang w:val="en-GB"/>
        </w:rPr>
        <w:t>Time</w:t>
      </w:r>
      <w:r>
        <w:rPr>
          <w:rFonts w:ascii="Calibri" w:hAnsi="Calibri" w:cs="Calibri"/>
          <w:sz w:val="22"/>
          <w:szCs w:val="22"/>
          <w:lang w:val="en-GB"/>
        </w:rPr>
        <w:t xml:space="preserve"> evaluated using the FDB, which confirms that test performance was not significantly impacted by the FDB, albeit for this particular data set. The largest AUCs were observed when using approximately 14 voltage means, which corresponds to averaging across 50 ms time intervals. For the analyses in the main text, </w:t>
      </w:r>
      <w:r>
        <w:rPr>
          <w:rFonts w:ascii="Calibri" w:hAnsi="Calibri" w:cs="Calibri"/>
          <w:i/>
          <w:iCs/>
          <w:sz w:val="22"/>
          <w:szCs w:val="22"/>
          <w:lang w:val="en-GB"/>
        </w:rPr>
        <w:t>Q</w:t>
      </w:r>
      <w:r>
        <w:rPr>
          <w:rFonts w:ascii="Calibri" w:hAnsi="Calibri" w:cs="Calibri"/>
          <w:sz w:val="22"/>
          <w:szCs w:val="22"/>
          <w:lang w:val="en-GB"/>
        </w:rPr>
        <w:t xml:space="preserve">=14 voltage means were therefore used. </w:t>
      </w:r>
    </w:p>
    <w:p>
      <w:pPr>
        <w:spacing w:line="240" w:lineRule="auto"/>
        <w:jc w:val="both"/>
        <w:rPr>
          <w:rFonts w:ascii="Calibri" w:hAnsi="Calibri" w:cs="Calibri"/>
          <w:sz w:val="22"/>
          <w:szCs w:val="22"/>
          <w:u w:val="single"/>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drawing>
          <wp:inline distT="0" distB="0" distL="114300" distR="114300">
            <wp:extent cx="2667635" cy="1541780"/>
            <wp:effectExtent l="0" t="0" r="14605" b="12700"/>
            <wp:docPr id="1" name="Picture 1" descr="T2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2Time"/>
                    <pic:cNvPicPr>
                      <a:picLocks noChangeAspect="1"/>
                    </pic:cNvPicPr>
                  </pic:nvPicPr>
                  <pic:blipFill>
                    <a:blip r:embed="rId87"/>
                    <a:stretch>
                      <a:fillRect/>
                    </a:stretch>
                  </pic:blipFill>
                  <pic:spPr>
                    <a:xfrm>
                      <a:off x="0" y="0"/>
                      <a:ext cx="2667635" cy="1541780"/>
                    </a:xfrm>
                    <a:prstGeom prst="rect">
                      <a:avLst/>
                    </a:prstGeom>
                  </pic:spPr>
                </pic:pic>
              </a:graphicData>
            </a:graphic>
          </wp:inline>
        </w:drawing>
      </w:r>
    </w:p>
    <w:p>
      <w:pPr>
        <w:spacing w:line="240" w:lineRule="auto"/>
        <w:jc w:val="both"/>
        <w:rPr>
          <w:rFonts w:ascii="Calibri" w:hAnsi="Calibri" w:cs="Calibri"/>
          <w:b/>
          <w:bCs/>
          <w:sz w:val="6"/>
          <w:szCs w:val="6"/>
          <w:lang w:val="en-GB"/>
        </w:rPr>
      </w:pPr>
    </w:p>
    <w:p>
      <w:pPr>
        <w:spacing w:line="240" w:lineRule="auto"/>
        <w:jc w:val="both"/>
        <w:rPr>
          <w:rFonts w:ascii="Calibri" w:hAnsi="Calibri" w:cs="Calibri"/>
          <w:sz w:val="22"/>
          <w:szCs w:val="22"/>
          <w:lang w:val="en-GB"/>
        </w:rPr>
      </w:pPr>
      <w:r>
        <w:rPr>
          <w:rFonts w:ascii="Calibri" w:hAnsi="Calibri" w:cs="Calibri"/>
          <w:b/>
          <w:bCs/>
          <w:sz w:val="22"/>
          <w:szCs w:val="22"/>
          <w:lang w:val="en-GB"/>
        </w:rPr>
        <w:t xml:space="preserve">Figure A.1. </w:t>
      </w:r>
      <w:r>
        <w:rPr>
          <w:rFonts w:ascii="Calibri" w:hAnsi="Calibri" w:cs="Calibri"/>
          <w:sz w:val="22"/>
          <w:szCs w:val="22"/>
          <w:lang w:val="en-GB"/>
        </w:rPr>
        <w:t>The Area Under the Receiver Operator Characteristic Curve (AUC) as a function of the number of voltage means for the conventional T</w:t>
      </w:r>
      <w:r>
        <w:rPr>
          <w:rFonts w:ascii="Calibri" w:hAnsi="Calibri" w:cs="Calibri"/>
          <w:sz w:val="22"/>
          <w:szCs w:val="22"/>
          <w:vertAlign w:val="superscript"/>
          <w:lang w:val="en-GB"/>
        </w:rPr>
        <w:t>2</w:t>
      </w:r>
      <w:r>
        <w:rPr>
          <w:rFonts w:ascii="Calibri" w:hAnsi="Calibri" w:cs="Calibri"/>
          <w:sz w:val="22"/>
          <w:szCs w:val="22"/>
          <w:lang w:val="en-GB"/>
        </w:rPr>
        <w:t xml:space="preserve"> statistic where test significance was evaluated using either theoretical F-distributions or bootstrapped distributions generated by the frequency domain bootstrap. </w:t>
      </w:r>
    </w:p>
    <w:p>
      <w:pPr>
        <w:spacing w:line="240" w:lineRule="auto"/>
        <w:jc w:val="both"/>
        <w:rPr>
          <w:rFonts w:ascii="Calibri" w:hAnsi="Calibri" w:cs="Calibri"/>
          <w:sz w:val="22"/>
          <w:szCs w:val="22"/>
          <w:lang w:val="en-GB"/>
        </w:rPr>
      </w:pPr>
    </w:p>
    <w:p>
      <w:pPr>
        <w:spacing w:line="240" w:lineRule="auto"/>
        <w:jc w:val="both"/>
        <w:rPr>
          <w:rFonts w:ascii="Calibri" w:hAnsi="Calibri" w:cs="Calibri"/>
          <w:b/>
          <w:bCs/>
          <w:sz w:val="22"/>
          <w:szCs w:val="22"/>
          <w:lang w:val="en-GB"/>
        </w:rPr>
      </w:pPr>
      <w:r>
        <w:rPr>
          <w:rFonts w:ascii="Calibri" w:hAnsi="Calibri" w:cs="Calibri"/>
          <w:b/>
          <w:bCs/>
          <w:sz w:val="22"/>
          <w:szCs w:val="22"/>
          <w:lang w:val="en-GB"/>
        </w:rPr>
        <w:t>The frequency domain Hotelling’s T</w:t>
      </w:r>
      <w:r>
        <w:rPr>
          <w:rFonts w:ascii="Calibri" w:hAnsi="Calibri" w:cs="Calibri"/>
          <w:b/>
          <w:bCs/>
          <w:sz w:val="22"/>
          <w:szCs w:val="22"/>
          <w:vertAlign w:val="superscript"/>
          <w:lang w:val="en-GB"/>
        </w:rPr>
        <w:t>2</w:t>
      </w:r>
      <w:r>
        <w:rPr>
          <w:rFonts w:ascii="Calibri" w:hAnsi="Calibri" w:cs="Calibri"/>
          <w:b/>
          <w:bCs/>
          <w:sz w:val="22"/>
          <w:szCs w:val="22"/>
          <w:lang w:val="en-GB"/>
        </w:rPr>
        <w:t xml:space="preserve"> test and the modified Q-sample statistics</w:t>
      </w:r>
      <w:r>
        <w:rPr>
          <w:rFonts w:ascii="Calibri" w:hAnsi="Calibri" w:cs="Calibri"/>
          <w:b/>
          <w:bCs/>
          <w:sz w:val="22"/>
          <w:szCs w:val="22"/>
          <w:lang w:val="en-GB"/>
        </w:rPr>
        <w:tab/>
      </w:r>
    </w:p>
    <w:p>
      <w:pPr>
        <w:spacing w:line="240" w:lineRule="auto"/>
        <w:jc w:val="both"/>
        <w:rPr>
          <w:rFonts w:ascii="Calibri" w:hAnsi="Calibri" w:cs="Calibri"/>
          <w:color w:val="FF0000"/>
          <w:sz w:val="22"/>
          <w:szCs w:val="22"/>
          <w:lang w:val="en-GB"/>
        </w:rPr>
      </w:pPr>
      <w:r>
        <w:rPr>
          <w:rFonts w:ascii="Calibri" w:hAnsi="Calibri" w:cs="Calibri"/>
          <w:sz w:val="22"/>
          <w:szCs w:val="22"/>
          <w:lang w:val="en-GB"/>
        </w:rPr>
        <w:t>For the frequency domain Hotelling’s T</w:t>
      </w:r>
      <w:r>
        <w:rPr>
          <w:rFonts w:ascii="Calibri" w:hAnsi="Calibri" w:cs="Calibri"/>
          <w:sz w:val="22"/>
          <w:szCs w:val="22"/>
          <w:vertAlign w:val="superscript"/>
          <w:lang w:val="en-GB"/>
        </w:rPr>
        <w:t>2</w:t>
      </w:r>
      <w:r>
        <w:rPr>
          <w:rFonts w:ascii="Calibri" w:hAnsi="Calibri" w:cs="Calibri"/>
          <w:sz w:val="22"/>
          <w:szCs w:val="22"/>
          <w:lang w:val="en-GB"/>
        </w:rPr>
        <w:t xml:space="preserve"> test (T</w:t>
      </w:r>
      <w:r>
        <w:rPr>
          <w:rFonts w:ascii="Calibri" w:hAnsi="Calibri" w:cs="Calibri"/>
          <w:sz w:val="22"/>
          <w:szCs w:val="22"/>
          <w:vertAlign w:val="superscript"/>
          <w:lang w:val="en-GB"/>
        </w:rPr>
        <w:t>2</w:t>
      </w:r>
      <w:r>
        <w:rPr>
          <w:rFonts w:ascii="Calibri" w:hAnsi="Calibri" w:cs="Calibri"/>
          <w:sz w:val="22"/>
          <w:szCs w:val="22"/>
          <w:vertAlign w:val="subscript"/>
          <w:lang w:val="en-GB"/>
        </w:rPr>
        <w:t>Freq</w:t>
      </w:r>
      <w:r>
        <w:rPr>
          <w:rFonts w:ascii="Calibri" w:hAnsi="Calibri" w:cs="Calibri"/>
          <w:sz w:val="22"/>
          <w:szCs w:val="22"/>
          <w:lang w:val="en-GB"/>
        </w:rPr>
        <w:t>) and the modified Q-sample (QMod) statistics, the aim was to determine which spectral bands to include in the analysis. All spectral bands between 1 and 15 Hz were first ranked according to a mean t statistic, defined as follows:</w:t>
      </w:r>
    </w:p>
    <w:p>
      <w:pPr>
        <w:spacing w:line="240" w:lineRule="auto"/>
        <w:jc w:val="both"/>
        <w:rPr>
          <w:rFonts w:hAnsi="Cambria Math" w:cs="Calibri"/>
          <w:sz w:val="22"/>
          <w:szCs w:val="22"/>
          <w:lang w:val="en-GB"/>
        </w:rPr>
      </w:pPr>
    </w:p>
    <w:p>
      <w:pPr>
        <w:spacing w:line="240" w:lineRule="auto"/>
        <w:jc w:val="both"/>
        <w:rPr>
          <w:rFonts w:ascii="Calibri" w:hAnsi="Calibri" w:cs="Calibri"/>
          <w:sz w:val="22"/>
          <w:szCs w:val="22"/>
          <w:lang w:val="en-GB"/>
        </w:rPr>
      </w:pPr>
      <m:oMathPara>
        <m:oMathParaPr>
          <m:jc m:val="left"/>
        </m:oMathParaPr>
        <m:oMath>
          <m:sSub>
            <m:sSubPr>
              <m:ctrlPr>
                <w:rPr>
                  <w:rFonts w:ascii="Cambria Math" w:hAnsi="Cambria Math" w:cs="Calibri"/>
                  <w:sz w:val="22"/>
                  <w:szCs w:val="22"/>
                  <w:lang w:val="en-GB"/>
                </w:rPr>
              </m:ctrlPr>
            </m:sSubPr>
            <m:e>
              <m:r>
                <m:rPr>
                  <m:sty m:val="p"/>
                </m:rPr>
                <w:rPr>
                  <w:rFonts w:ascii="Cambria Math" w:hAnsi="Cambria Math" w:cs="Calibri"/>
                  <w:sz w:val="22"/>
                  <w:szCs w:val="22"/>
                  <w:lang w:val="en-GB"/>
                </w:rPr>
                <m:t>T</m:t>
              </m:r>
              <m:ctrlPr>
                <w:rPr>
                  <w:rFonts w:ascii="Cambria Math" w:hAnsi="Cambria Math" w:cs="Calibri"/>
                  <w:sz w:val="22"/>
                  <w:szCs w:val="22"/>
                  <w:lang w:val="en-GB"/>
                </w:rPr>
              </m:ctrlPr>
            </m:e>
            <m:sub>
              <m:r>
                <m:rPr>
                  <m:sty m:val="p"/>
                </m:rPr>
                <w:rPr>
                  <w:rFonts w:ascii="Cambria Math" w:hAnsi="Cambria Math" w:cs="Calibri"/>
                  <w:sz w:val="22"/>
                  <w:szCs w:val="22"/>
                  <w:lang w:val="en-GB"/>
                </w:rPr>
                <m:t>f</m:t>
              </m:r>
              <m:ctrlPr>
                <w:rPr>
                  <w:rFonts w:ascii="Cambria Math" w:hAnsi="Cambria Math" w:cs="Calibri"/>
                  <w:sz w:val="22"/>
                  <w:szCs w:val="22"/>
                  <w:lang w:val="en-GB"/>
                </w:rPr>
              </m:ctrlPr>
            </m:sub>
          </m:sSub>
          <m:r>
            <m:rPr>
              <m:sty m:val="p"/>
            </m:rPr>
            <w:rPr>
              <w:rFonts w:ascii="Cambria Math" w:hAnsi="Cambria Math" w:cs="Calibri"/>
              <w:sz w:val="22"/>
              <w:szCs w:val="22"/>
              <w:lang w:val="en-GB"/>
            </w:rPr>
            <m:t>=</m:t>
          </m:r>
          <m:f>
            <m:fPr>
              <m:ctrlPr>
                <w:rPr>
                  <w:rFonts w:ascii="Cambria Math" w:hAnsi="Cambria Math" w:cs="Calibri"/>
                  <w:sz w:val="22"/>
                  <w:szCs w:val="22"/>
                  <w:lang w:val="en-GB"/>
                </w:rPr>
              </m:ctrlPr>
            </m:fPr>
            <m:num>
              <m:r>
                <m:rPr>
                  <m:sty m:val="p"/>
                </m:rPr>
                <w:rPr>
                  <w:rFonts w:ascii="Cambria Math" w:hAnsi="Cambria Math" w:cs="Calibri"/>
                  <w:sz w:val="22"/>
                  <w:szCs w:val="22"/>
                  <w:lang w:val="en-GB"/>
                </w:rPr>
                <m:t>1</m:t>
              </m:r>
              <m:ctrlPr>
                <w:rPr>
                  <w:rFonts w:ascii="Cambria Math" w:hAnsi="Cambria Math" w:cs="Calibri"/>
                  <w:sz w:val="22"/>
                  <w:szCs w:val="22"/>
                  <w:lang w:val="en-GB"/>
                </w:rPr>
              </m:ctrlPr>
            </m:num>
            <m:den>
              <m:r>
                <m:rPr>
                  <m:sty m:val="p"/>
                </m:rPr>
                <w:rPr>
                  <w:rFonts w:ascii="Cambria Math" w:hAnsi="Cambria Math" w:cs="Calibri"/>
                  <w:sz w:val="22"/>
                  <w:szCs w:val="22"/>
                  <w:lang w:val="en-GB"/>
                </w:rPr>
                <m:t>2K</m:t>
              </m:r>
              <m:ctrlPr>
                <w:rPr>
                  <w:rFonts w:ascii="Cambria Math" w:hAnsi="Cambria Math" w:cs="Calibri"/>
                  <w:sz w:val="22"/>
                  <w:szCs w:val="22"/>
                  <w:lang w:val="en-GB"/>
                </w:rPr>
              </m:ctrlPr>
            </m:den>
          </m:f>
          <m:d>
            <m:dPr>
              <m:begChr m:val="["/>
              <m:endChr m:val="]"/>
              <m:ctrlPr>
                <w:rPr>
                  <w:rFonts w:ascii="Cambria Math" w:hAnsi="Cambria Math" w:cs="Calibri"/>
                  <w:sz w:val="22"/>
                  <w:szCs w:val="22"/>
                  <w:lang w:val="en-GB"/>
                </w:rPr>
              </m:ctrlPr>
            </m:dPr>
            <m:e>
              <m:nary>
                <m:naryPr>
                  <m:chr m:val="∑"/>
                  <m:limLoc m:val="undOvr"/>
                  <m:ctrlPr>
                    <w:rPr>
                      <w:rFonts w:ascii="Cambria Math" w:hAnsi="Cambria Math" w:cs="Calibri"/>
                      <w:sz w:val="22"/>
                      <w:szCs w:val="22"/>
                      <w:lang w:val="en-GB"/>
                    </w:rPr>
                  </m:ctrlPr>
                </m:naryPr>
                <m:sub>
                  <m:r>
                    <m:rPr>
                      <m:sty m:val="p"/>
                    </m:rPr>
                    <w:rPr>
                      <w:rFonts w:ascii="Cambria Math" w:hAnsi="Cambria Math" w:cs="Calibri"/>
                      <w:sz w:val="22"/>
                      <w:szCs w:val="22"/>
                      <w:lang w:val="en-GB"/>
                    </w:rPr>
                    <m:t>k=1</m:t>
                  </m:r>
                  <m:ctrlPr>
                    <w:rPr>
                      <w:rFonts w:ascii="Cambria Math" w:hAnsi="Cambria Math" w:cs="Calibri"/>
                      <w:sz w:val="22"/>
                      <w:szCs w:val="22"/>
                      <w:lang w:val="en-GB"/>
                    </w:rPr>
                  </m:ctrlPr>
                </m:sub>
                <m:sup>
                  <m:r>
                    <m:rPr>
                      <m:sty m:val="p"/>
                    </m:rPr>
                    <w:rPr>
                      <w:rFonts w:ascii="Cambria Math" w:hAnsi="Cambria Math" w:cs="Calibri"/>
                      <w:sz w:val="22"/>
                      <w:szCs w:val="22"/>
                      <w:lang w:val="en-GB"/>
                    </w:rPr>
                    <m:t>K</m:t>
                  </m:r>
                  <m:ctrlPr>
                    <w:rPr>
                      <w:rFonts w:ascii="Cambria Math" w:hAnsi="Cambria Math" w:cs="Calibri"/>
                      <w:sz w:val="22"/>
                      <w:szCs w:val="22"/>
                      <w:lang w:val="en-GB"/>
                    </w:rPr>
                  </m:ctrlPr>
                </m:sup>
                <m:e>
                  <m:f>
                    <m:fPr>
                      <m:ctrlPr>
                        <w:rPr>
                          <w:rFonts w:ascii="Cambria Math" w:hAnsi="Cambria Math" w:cs="Calibri"/>
                          <w:sz w:val="22"/>
                          <w:szCs w:val="22"/>
                          <w:lang w:val="en-GB"/>
                        </w:rPr>
                      </m:ctrlPr>
                    </m:fPr>
                    <m:num>
                      <m:sSub>
                        <m:sSubPr>
                          <m:ctrlPr>
                            <w:rPr>
                              <w:rFonts w:ascii="Cambria Math" w:hAnsi="Cambria Math" w:cs="Calibri"/>
                              <w:sz w:val="22"/>
                              <w:szCs w:val="22"/>
                              <w:lang w:val="en-GB"/>
                            </w:rPr>
                          </m:ctrlPr>
                        </m:sSubPr>
                        <m:e>
                          <m:acc>
                            <m:accPr>
                              <m:chr m:val="̿"/>
                              <m:ctrlPr>
                                <w:rPr>
                                  <w:rFonts w:ascii="Cambria Math" w:hAnsi="Cambria Math" w:cs="Calibri"/>
                                  <w:sz w:val="22"/>
                                  <w:szCs w:val="22"/>
                                  <w:lang w:val="en-GB"/>
                                </w:rPr>
                              </m:ctrlPr>
                            </m:accPr>
                            <m:e>
                              <m:r>
                                <m:rPr>
                                  <m:sty m:val="b"/>
                                </m:rPr>
                                <w:rPr>
                                  <w:rFonts w:ascii="Cambria Math" w:hAnsi="Cambria Math" w:cs="Calibri"/>
                                  <w:sz w:val="22"/>
                                  <w:szCs w:val="22"/>
                                  <w:lang w:val="en-GB"/>
                                </w:rPr>
                                <m:t>x</m:t>
                              </m:r>
                              <m:ctrlPr>
                                <w:rPr>
                                  <w:rFonts w:ascii="Cambria Math" w:hAnsi="Cambria Math" w:cs="Calibri"/>
                                  <w:sz w:val="22"/>
                                  <w:szCs w:val="22"/>
                                  <w:lang w:val="en-GB"/>
                                </w:rPr>
                              </m:ctrlPr>
                            </m:e>
                          </m:acc>
                          <m:ctrlPr>
                            <w:rPr>
                              <w:rFonts w:ascii="Cambria Math" w:hAnsi="Cambria Math" w:cs="Calibri"/>
                              <w:sz w:val="22"/>
                              <w:szCs w:val="22"/>
                              <w:lang w:val="en-GB"/>
                            </w:rPr>
                          </m:ctrlPr>
                        </m:e>
                        <m:sub>
                          <m:r>
                            <m:rPr>
                              <m:sty m:val="p"/>
                            </m:rPr>
                            <w:rPr>
                              <w:rFonts w:ascii="Cambria Math" w:hAnsi="Cambria Math" w:cs="Calibri"/>
                              <w:sz w:val="22"/>
                              <w:szCs w:val="22"/>
                              <w:lang w:val="en-GB"/>
                            </w:rPr>
                            <m:t>kf</m:t>
                          </m:r>
                          <m:ctrlPr>
                            <w:rPr>
                              <w:rFonts w:ascii="Cambria Math" w:hAnsi="Cambria Math" w:cs="Calibri"/>
                              <w:sz w:val="22"/>
                              <w:szCs w:val="22"/>
                              <w:lang w:val="en-GB"/>
                            </w:rPr>
                          </m:ctrlPr>
                        </m:sub>
                      </m:sSub>
                      <m:ctrlPr>
                        <w:rPr>
                          <w:rFonts w:ascii="Cambria Math" w:hAnsi="Cambria Math" w:cs="Calibri"/>
                          <w:sz w:val="22"/>
                          <w:szCs w:val="22"/>
                          <w:lang w:val="en-GB"/>
                        </w:rPr>
                      </m:ctrlPr>
                    </m:num>
                    <m:den>
                      <m:sSub>
                        <m:sSubPr>
                          <m:ctrlPr>
                            <w:rPr>
                              <w:rFonts w:ascii="Cambria Math" w:hAnsi="Cambria Math" w:cs="Calibri"/>
                              <w:sz w:val="22"/>
                              <w:szCs w:val="22"/>
                              <w:lang w:val="en-GB"/>
                            </w:rPr>
                          </m:ctrlPr>
                        </m:sSubPr>
                        <m:e>
                          <m:r>
                            <m:rPr>
                              <m:sty m:val="p"/>
                            </m:rPr>
                            <w:rPr>
                              <w:rFonts w:ascii="Cambria Math" w:hAnsi="Cambria Math" w:cs="Calibri"/>
                              <w:sz w:val="22"/>
                              <w:szCs w:val="22"/>
                              <w:lang w:val="en-GB"/>
                            </w:rPr>
                            <m:t>σ</m:t>
                          </m:r>
                          <m:ctrlPr>
                            <w:rPr>
                              <w:rFonts w:ascii="Cambria Math" w:hAnsi="Cambria Math" w:cs="Calibri"/>
                              <w:sz w:val="22"/>
                              <w:szCs w:val="22"/>
                              <w:lang w:val="en-GB"/>
                            </w:rPr>
                          </m:ctrlPr>
                        </m:e>
                        <m:sub>
                          <m:r>
                            <m:rPr>
                              <m:sty m:val="p"/>
                            </m:rPr>
                            <w:rPr>
                              <w:rFonts w:ascii="Cambria Math" w:hAnsi="Cambria Math" w:cs="Calibri"/>
                              <w:sz w:val="22"/>
                              <w:szCs w:val="22"/>
                              <w:lang w:val="en-GB"/>
                            </w:rPr>
                            <m:t>Rkf</m:t>
                          </m:r>
                          <m:ctrlPr>
                            <w:rPr>
                              <w:rFonts w:ascii="Cambria Math" w:hAnsi="Cambria Math" w:cs="Calibri"/>
                              <w:sz w:val="22"/>
                              <w:szCs w:val="22"/>
                              <w:lang w:val="en-GB"/>
                            </w:rPr>
                          </m:ctrlPr>
                        </m:sub>
                      </m:sSub>
                      <m:ctrlPr>
                        <w:rPr>
                          <w:rFonts w:ascii="Cambria Math" w:hAnsi="Cambria Math" w:cs="Calibri"/>
                          <w:sz w:val="22"/>
                          <w:szCs w:val="22"/>
                          <w:lang w:val="en-GB"/>
                        </w:rPr>
                      </m:ctrlPr>
                    </m:den>
                  </m:f>
                  <m:ctrlPr>
                    <w:rPr>
                      <w:rFonts w:ascii="Cambria Math" w:hAnsi="Cambria Math" w:cs="Calibri"/>
                      <w:sz w:val="22"/>
                      <w:szCs w:val="22"/>
                      <w:lang w:val="en-GB"/>
                    </w:rPr>
                  </m:ctrlPr>
                </m:e>
              </m:nary>
              <m:r>
                <m:rPr>
                  <m:sty m:val="p"/>
                </m:rPr>
                <w:rPr>
                  <w:rFonts w:ascii="Cambria Math" w:hAnsi="Cambria Math" w:cs="Calibri"/>
                  <w:sz w:val="22"/>
                  <w:szCs w:val="22"/>
                  <w:lang w:val="en-GB"/>
                </w:rPr>
                <m:t>+</m:t>
              </m:r>
              <m:f>
                <m:fPr>
                  <m:ctrlPr>
                    <w:rPr>
                      <w:rFonts w:ascii="Cambria Math" w:hAnsi="Cambria Math" w:cs="Calibri"/>
                      <w:sz w:val="22"/>
                      <w:szCs w:val="22"/>
                      <w:lang w:val="en-GB"/>
                    </w:rPr>
                  </m:ctrlPr>
                </m:fPr>
                <m:num>
                  <m:sSub>
                    <m:sSubPr>
                      <m:ctrlPr>
                        <w:rPr>
                          <w:rFonts w:ascii="Cambria Math" w:hAnsi="Cambria Math" w:cs="Calibri"/>
                          <w:sz w:val="22"/>
                          <w:szCs w:val="22"/>
                          <w:lang w:val="en-GB"/>
                        </w:rPr>
                      </m:ctrlPr>
                    </m:sSubPr>
                    <m:e>
                      <m:acc>
                        <m:accPr>
                          <m:chr m:val="̿"/>
                          <m:ctrlPr>
                            <w:rPr>
                              <w:rFonts w:ascii="Cambria Math" w:hAnsi="Cambria Math" w:cs="Calibri"/>
                              <w:sz w:val="22"/>
                              <w:szCs w:val="22"/>
                              <w:lang w:val="en-GB"/>
                            </w:rPr>
                          </m:ctrlPr>
                        </m:accPr>
                        <m:e>
                          <m:r>
                            <m:rPr>
                              <m:sty m:val="b"/>
                            </m:rPr>
                            <w:rPr>
                              <w:rFonts w:ascii="Cambria Math" w:hAnsi="Cambria Math" w:cs="Calibri"/>
                              <w:sz w:val="22"/>
                              <w:szCs w:val="22"/>
                              <w:lang w:val="en-GB"/>
                            </w:rPr>
                            <m:t>y</m:t>
                          </m:r>
                          <m:ctrlPr>
                            <w:rPr>
                              <w:rFonts w:ascii="Cambria Math" w:hAnsi="Cambria Math" w:cs="Calibri"/>
                              <w:sz w:val="22"/>
                              <w:szCs w:val="22"/>
                              <w:lang w:val="en-GB"/>
                            </w:rPr>
                          </m:ctrlPr>
                        </m:e>
                      </m:acc>
                      <m:ctrlPr>
                        <w:rPr>
                          <w:rFonts w:ascii="Cambria Math" w:hAnsi="Cambria Math" w:cs="Calibri"/>
                          <w:sz w:val="22"/>
                          <w:szCs w:val="22"/>
                          <w:lang w:val="en-GB"/>
                        </w:rPr>
                      </m:ctrlPr>
                    </m:e>
                    <m:sub>
                      <m:r>
                        <m:rPr>
                          <m:sty m:val="p"/>
                        </m:rPr>
                        <w:rPr>
                          <w:rFonts w:ascii="Cambria Math" w:hAnsi="Cambria Math" w:cs="Calibri"/>
                          <w:sz w:val="22"/>
                          <w:szCs w:val="22"/>
                          <w:lang w:val="en-GB"/>
                        </w:rPr>
                        <m:t>kf</m:t>
                      </m:r>
                      <m:ctrlPr>
                        <w:rPr>
                          <w:rFonts w:ascii="Cambria Math" w:hAnsi="Cambria Math" w:cs="Calibri"/>
                          <w:sz w:val="22"/>
                          <w:szCs w:val="22"/>
                          <w:lang w:val="en-GB"/>
                        </w:rPr>
                      </m:ctrlPr>
                    </m:sub>
                  </m:sSub>
                  <m:ctrlPr>
                    <w:rPr>
                      <w:rFonts w:ascii="Cambria Math" w:hAnsi="Cambria Math" w:cs="Calibri"/>
                      <w:sz w:val="22"/>
                      <w:szCs w:val="22"/>
                      <w:lang w:val="en-GB"/>
                    </w:rPr>
                  </m:ctrlPr>
                </m:num>
                <m:den>
                  <m:sSub>
                    <m:sSubPr>
                      <m:ctrlPr>
                        <w:rPr>
                          <w:rFonts w:ascii="Cambria Math" w:hAnsi="Cambria Math" w:cs="Calibri"/>
                          <w:sz w:val="22"/>
                          <w:szCs w:val="22"/>
                          <w:lang w:val="en-GB"/>
                        </w:rPr>
                      </m:ctrlPr>
                    </m:sSubPr>
                    <m:e>
                      <m:r>
                        <m:rPr>
                          <m:sty m:val="p"/>
                        </m:rPr>
                        <w:rPr>
                          <w:rFonts w:ascii="Cambria Math" w:hAnsi="Cambria Math" w:cs="Calibri"/>
                          <w:sz w:val="22"/>
                          <w:szCs w:val="22"/>
                          <w:lang w:val="en-GB"/>
                        </w:rPr>
                        <m:t>σ</m:t>
                      </m:r>
                      <m:ctrlPr>
                        <w:rPr>
                          <w:rFonts w:ascii="Cambria Math" w:hAnsi="Cambria Math" w:cs="Calibri"/>
                          <w:sz w:val="22"/>
                          <w:szCs w:val="22"/>
                          <w:lang w:val="en-GB"/>
                        </w:rPr>
                      </m:ctrlPr>
                    </m:e>
                    <m:sub>
                      <m:r>
                        <m:rPr>
                          <m:sty m:val="p"/>
                        </m:rPr>
                        <w:rPr>
                          <w:rFonts w:ascii="Cambria Math" w:hAnsi="Cambria Math" w:cs="Calibri"/>
                          <w:sz w:val="22"/>
                          <w:szCs w:val="22"/>
                          <w:lang w:val="en-GB"/>
                        </w:rPr>
                        <m:t>Ikf</m:t>
                      </m:r>
                      <m:ctrlPr>
                        <w:rPr>
                          <w:rFonts w:ascii="Cambria Math" w:hAnsi="Cambria Math" w:cs="Calibri"/>
                          <w:sz w:val="22"/>
                          <w:szCs w:val="22"/>
                          <w:lang w:val="en-GB"/>
                        </w:rPr>
                      </m:ctrlPr>
                    </m:sub>
                  </m:sSub>
                  <m:ctrlPr>
                    <w:rPr>
                      <w:rFonts w:ascii="Cambria Math" w:hAnsi="Cambria Math" w:cs="Calibri"/>
                      <w:sz w:val="22"/>
                      <w:szCs w:val="22"/>
                      <w:lang w:val="en-GB"/>
                    </w:rPr>
                  </m:ctrlPr>
                </m:den>
              </m:f>
              <m:ctrlPr>
                <w:rPr>
                  <w:rFonts w:ascii="Cambria Math" w:hAnsi="Cambria Math" w:cs="Calibri"/>
                  <w:sz w:val="22"/>
                  <w:szCs w:val="22"/>
                  <w:lang w:val="en-GB"/>
                </w:rPr>
              </m:ctrlPr>
            </m:e>
          </m:d>
        </m:oMath>
      </m:oMathPara>
    </w:p>
    <w:p>
      <w:pPr>
        <w:spacing w:line="240" w:lineRule="auto"/>
        <w:jc w:val="both"/>
        <w:rPr>
          <w:rFonts w:ascii="Calibri" w:hAnsi="Calibri" w:cs="Calibri"/>
          <w:sz w:val="22"/>
          <w:szCs w:val="22"/>
          <w:lang w:val="en-GB"/>
        </w:rPr>
      </w:pPr>
    </w:p>
    <w:p>
      <w:pPr>
        <w:spacing w:line="240" w:lineRule="auto"/>
        <w:jc w:val="both"/>
        <w:rPr>
          <w:rFonts w:ascii="Calibri" w:hAnsi="Cambria Math" w:cs="Calibri"/>
          <w:sz w:val="22"/>
          <w:szCs w:val="22"/>
          <w:lang w:val="en-GB"/>
        </w:rPr>
      </w:pPr>
      <w:r>
        <w:rPr>
          <w:rFonts w:ascii="Calibri" w:hAnsi="Calibri" w:cs="Calibri"/>
          <w:sz w:val="22"/>
          <w:szCs w:val="22"/>
          <w:lang w:val="en-GB"/>
        </w:rPr>
        <w:t xml:space="preserve">where K is the number of ensembles (all with </w:t>
      </w:r>
      <w:r>
        <w:rPr>
          <w:rFonts w:ascii="Calibri" w:hAnsi="Calibri" w:cs="Calibri"/>
          <w:i/>
          <w:iCs/>
          <w:sz w:val="22"/>
          <w:szCs w:val="22"/>
          <w:lang w:val="en-GB"/>
        </w:rPr>
        <w:t>N</w:t>
      </w:r>
      <w:r>
        <w:rPr>
          <w:rFonts w:ascii="Calibri" w:hAnsi="Calibri" w:cs="Calibri"/>
          <w:sz w:val="22"/>
          <w:szCs w:val="22"/>
          <w:lang w:val="en-GB"/>
        </w:rPr>
        <w:t xml:space="preserve">=160 epochs) that contain a clear response (45 total), </w:t>
      </w:r>
      <m:oMath>
        <m:sSub>
          <m:sSubPr>
            <m:ctrlPr>
              <w:rPr>
                <w:rFonts w:ascii="Cambria Math" w:hAnsi="Cambria Math" w:cs="Calibri"/>
                <w:sz w:val="22"/>
                <w:szCs w:val="22"/>
                <w:lang w:val="en-GB"/>
              </w:rPr>
            </m:ctrlPr>
          </m:sSubPr>
          <m:e>
            <m:acc>
              <m:accPr>
                <m:chr m:val="̿"/>
                <m:ctrlPr>
                  <w:rPr>
                    <w:rFonts w:ascii="Cambria Math" w:hAnsi="Cambria Math" w:cs="Calibri"/>
                    <w:sz w:val="22"/>
                    <w:szCs w:val="22"/>
                    <w:lang w:val="en-GB"/>
                  </w:rPr>
                </m:ctrlPr>
              </m:accPr>
              <m:e>
                <m:r>
                  <m:rPr>
                    <m:sty m:val="b"/>
                  </m:rPr>
                  <w:rPr>
                    <w:rFonts w:ascii="Cambria Math" w:hAnsi="Cambria Math" w:cs="Calibri"/>
                    <w:sz w:val="22"/>
                    <w:szCs w:val="22"/>
                    <w:lang w:val="en-GB"/>
                  </w:rPr>
                  <m:t>x</m:t>
                </m:r>
                <m:ctrlPr>
                  <w:rPr>
                    <w:rFonts w:ascii="Cambria Math" w:hAnsi="Cambria Math" w:cs="Calibri"/>
                    <w:sz w:val="22"/>
                    <w:szCs w:val="22"/>
                    <w:lang w:val="en-GB"/>
                  </w:rPr>
                </m:ctrlPr>
              </m:e>
            </m:acc>
            <m:ctrlPr>
              <w:rPr>
                <w:rFonts w:ascii="Cambria Math" w:hAnsi="Cambria Math" w:cs="Calibri"/>
                <w:sz w:val="22"/>
                <w:szCs w:val="22"/>
                <w:lang w:val="en-GB"/>
              </w:rPr>
            </m:ctrlPr>
          </m:e>
          <m:sub>
            <m:r>
              <m:rPr>
                <m:sty m:val="p"/>
              </m:rPr>
              <w:rPr>
                <w:rFonts w:ascii="Cambria Math" w:hAnsi="Cambria Math" w:cs="Calibri"/>
                <w:sz w:val="22"/>
                <w:szCs w:val="22"/>
                <w:lang w:val="en-GB"/>
              </w:rPr>
              <m:t>kf</m:t>
            </m:r>
            <m:ctrlPr>
              <w:rPr>
                <w:rFonts w:ascii="Cambria Math" w:hAnsi="Cambria Math" w:cs="Calibri"/>
                <w:sz w:val="22"/>
                <w:szCs w:val="22"/>
                <w:lang w:val="en-GB"/>
              </w:rPr>
            </m:ctrlPr>
          </m:sub>
        </m:sSub>
      </m:oMath>
      <w:r>
        <w:rPr>
          <w:rFonts w:ascii="Calibri" w:hAnsi="Cambria Math" w:cs="Calibri"/>
          <w:sz w:val="22"/>
          <w:szCs w:val="22"/>
          <w:lang w:val="en-GB"/>
        </w:rPr>
        <w:t xml:space="preserve"> and </w:t>
      </w:r>
      <m:oMath>
        <m:sSub>
          <m:sSubPr>
            <m:ctrlPr>
              <w:rPr>
                <w:rFonts w:ascii="Cambria Math" w:hAnsi="Cambria Math" w:cs="Calibri"/>
                <w:sz w:val="22"/>
                <w:szCs w:val="22"/>
                <w:lang w:val="en-GB"/>
              </w:rPr>
            </m:ctrlPr>
          </m:sSubPr>
          <m:e>
            <m:acc>
              <m:accPr>
                <m:chr m:val="̿"/>
                <m:ctrlPr>
                  <w:rPr>
                    <w:rFonts w:ascii="Cambria Math" w:hAnsi="Cambria Math" w:cs="Calibri"/>
                    <w:sz w:val="22"/>
                    <w:szCs w:val="22"/>
                    <w:lang w:val="en-GB"/>
                  </w:rPr>
                </m:ctrlPr>
              </m:accPr>
              <m:e>
                <m:r>
                  <m:rPr>
                    <m:sty m:val="b"/>
                  </m:rPr>
                  <w:rPr>
                    <w:rFonts w:ascii="Cambria Math" w:hAnsi="Cambria Math" w:cs="Calibri"/>
                    <w:sz w:val="22"/>
                    <w:szCs w:val="22"/>
                    <w:lang w:val="en-GB"/>
                  </w:rPr>
                  <m:t>y</m:t>
                </m:r>
                <m:ctrlPr>
                  <w:rPr>
                    <w:rFonts w:ascii="Cambria Math" w:hAnsi="Cambria Math" w:cs="Calibri"/>
                    <w:sz w:val="22"/>
                    <w:szCs w:val="22"/>
                    <w:lang w:val="en-GB"/>
                  </w:rPr>
                </m:ctrlPr>
              </m:e>
            </m:acc>
            <m:ctrlPr>
              <w:rPr>
                <w:rFonts w:ascii="Cambria Math" w:hAnsi="Cambria Math" w:cs="Calibri"/>
                <w:sz w:val="22"/>
                <w:szCs w:val="22"/>
                <w:lang w:val="en-GB"/>
              </w:rPr>
            </m:ctrlPr>
          </m:e>
          <m:sub>
            <m:r>
              <m:rPr>
                <m:sty m:val="p"/>
              </m:rPr>
              <w:rPr>
                <w:rFonts w:ascii="Cambria Math" w:hAnsi="Cambria Math" w:cs="Calibri"/>
                <w:sz w:val="22"/>
                <w:szCs w:val="22"/>
                <w:lang w:val="en-GB"/>
              </w:rPr>
              <m:t>kf</m:t>
            </m:r>
            <m:ctrlPr>
              <w:rPr>
                <w:rFonts w:ascii="Cambria Math" w:hAnsi="Cambria Math" w:cs="Calibri"/>
                <w:sz w:val="22"/>
                <w:szCs w:val="22"/>
                <w:lang w:val="en-GB"/>
              </w:rPr>
            </m:ctrlPr>
          </m:sub>
        </m:sSub>
      </m:oMath>
      <w:r>
        <w:rPr>
          <w:rFonts w:ascii="Calibri" w:hAnsi="Cambria Math" w:cs="Calibri"/>
          <w:sz w:val="22"/>
          <w:szCs w:val="22"/>
          <w:lang w:val="en-GB"/>
        </w:rPr>
        <w:t xml:space="preserve"> are the means of the real and imaginary parts, respectively, calculated from the f</w:t>
      </w:r>
      <w:r>
        <w:rPr>
          <w:rFonts w:ascii="Calibri" w:hAnsi="Cambria Math" w:cs="Calibri"/>
          <w:sz w:val="22"/>
          <w:szCs w:val="22"/>
          <w:vertAlign w:val="superscript"/>
          <w:lang w:val="en-GB"/>
        </w:rPr>
        <w:t>th</w:t>
      </w:r>
      <w:r>
        <w:rPr>
          <w:rFonts w:ascii="Calibri" w:hAnsi="Cambria Math" w:cs="Calibri"/>
          <w:sz w:val="22"/>
          <w:szCs w:val="22"/>
          <w:lang w:val="en-GB"/>
        </w:rPr>
        <w:t xml:space="preserve"> spectral band of the k</w:t>
      </w:r>
      <w:r>
        <w:rPr>
          <w:rFonts w:ascii="Calibri" w:hAnsi="Cambria Math" w:cs="Calibri"/>
          <w:sz w:val="22"/>
          <w:szCs w:val="22"/>
          <w:vertAlign w:val="superscript"/>
          <w:lang w:val="en-GB"/>
        </w:rPr>
        <w:t>th</w:t>
      </w:r>
      <w:r>
        <w:rPr>
          <w:rFonts w:ascii="Calibri" w:hAnsi="Cambria Math" w:cs="Calibri"/>
          <w:sz w:val="22"/>
          <w:szCs w:val="22"/>
          <w:lang w:val="en-GB"/>
        </w:rPr>
        <w:t xml:space="preserve"> ensemble, and </w:t>
      </w:r>
      <m:oMath>
        <m:sSub>
          <m:sSubPr>
            <m:ctrlPr>
              <w:rPr>
                <w:rFonts w:ascii="Cambria Math" w:hAnsi="Cambria Math" w:cs="Calibri"/>
                <w:sz w:val="22"/>
                <w:szCs w:val="22"/>
                <w:lang w:val="en-GB"/>
              </w:rPr>
            </m:ctrlPr>
          </m:sSubPr>
          <m:e>
            <m:r>
              <m:rPr>
                <m:sty m:val="p"/>
              </m:rPr>
              <w:rPr>
                <w:rFonts w:ascii="Cambria Math" w:hAnsi="Cambria Math" w:cs="Calibri"/>
                <w:sz w:val="22"/>
                <w:szCs w:val="22"/>
                <w:lang w:val="en-GB"/>
              </w:rPr>
              <m:t>σ</m:t>
            </m:r>
            <m:ctrlPr>
              <w:rPr>
                <w:rFonts w:ascii="Cambria Math" w:hAnsi="Cambria Math" w:cs="Calibri"/>
                <w:sz w:val="22"/>
                <w:szCs w:val="22"/>
                <w:lang w:val="en-GB"/>
              </w:rPr>
            </m:ctrlPr>
          </m:e>
          <m:sub>
            <m:r>
              <m:rPr>
                <m:sty m:val="p"/>
              </m:rPr>
              <w:rPr>
                <w:rFonts w:ascii="Cambria Math" w:hAnsi="Cambria Math" w:cs="Calibri"/>
                <w:sz w:val="22"/>
                <w:szCs w:val="22"/>
                <w:lang w:val="en-GB"/>
              </w:rPr>
              <m:t>Rkf</m:t>
            </m:r>
            <m:ctrlPr>
              <w:rPr>
                <w:rFonts w:ascii="Cambria Math" w:hAnsi="Cambria Math" w:cs="Calibri"/>
                <w:sz w:val="22"/>
                <w:szCs w:val="22"/>
                <w:lang w:val="en-GB"/>
              </w:rPr>
            </m:ctrlPr>
          </m:sub>
        </m:sSub>
      </m:oMath>
      <w:r>
        <w:rPr>
          <w:rFonts w:ascii="Calibri" w:hAnsi="Cambria Math" w:cs="Calibri"/>
          <w:sz w:val="22"/>
          <w:szCs w:val="22"/>
          <w:lang w:val="en-GB"/>
        </w:rPr>
        <w:t xml:space="preserve"> and </w:t>
      </w:r>
      <m:oMath>
        <m:sSub>
          <m:sSubPr>
            <m:ctrlPr>
              <w:rPr>
                <w:rFonts w:ascii="Cambria Math" w:hAnsi="Cambria Math" w:cs="Calibri"/>
                <w:sz w:val="22"/>
                <w:szCs w:val="22"/>
                <w:lang w:val="en-GB"/>
              </w:rPr>
            </m:ctrlPr>
          </m:sSubPr>
          <m:e>
            <m:r>
              <m:rPr>
                <m:sty m:val="p"/>
              </m:rPr>
              <w:rPr>
                <w:rFonts w:ascii="Cambria Math" w:hAnsi="Cambria Math" w:cs="Calibri"/>
                <w:sz w:val="22"/>
                <w:szCs w:val="22"/>
                <w:lang w:val="en-GB"/>
              </w:rPr>
              <m:t>σ</m:t>
            </m:r>
            <m:ctrlPr>
              <w:rPr>
                <w:rFonts w:ascii="Cambria Math" w:hAnsi="Cambria Math" w:cs="Calibri"/>
                <w:sz w:val="22"/>
                <w:szCs w:val="22"/>
                <w:lang w:val="en-GB"/>
              </w:rPr>
            </m:ctrlPr>
          </m:e>
          <m:sub>
            <m:r>
              <m:rPr>
                <m:sty m:val="p"/>
              </m:rPr>
              <w:rPr>
                <w:rFonts w:ascii="Cambria Math" w:hAnsi="Cambria Math" w:cs="Calibri"/>
                <w:sz w:val="22"/>
                <w:szCs w:val="22"/>
                <w:lang w:val="en-GB"/>
              </w:rPr>
              <m:t>Ikf</m:t>
            </m:r>
            <m:ctrlPr>
              <w:rPr>
                <w:rFonts w:ascii="Cambria Math" w:hAnsi="Cambria Math" w:cs="Calibri"/>
                <w:sz w:val="22"/>
                <w:szCs w:val="22"/>
                <w:lang w:val="en-GB"/>
              </w:rPr>
            </m:ctrlPr>
          </m:sub>
        </m:sSub>
      </m:oMath>
      <w:r>
        <w:rPr>
          <w:rFonts w:ascii="Calibri" w:hAnsi="Cambria Math" w:cs="Calibri"/>
          <w:sz w:val="22"/>
          <w:szCs w:val="22"/>
          <w:lang w:val="en-GB"/>
        </w:rPr>
        <w:t xml:space="preserve"> are the standard deviations of the real and imaginary parts, respectively, again calculated from the f</w:t>
      </w:r>
      <w:r>
        <w:rPr>
          <w:rFonts w:ascii="Calibri" w:hAnsi="Cambria Math" w:cs="Calibri"/>
          <w:sz w:val="22"/>
          <w:szCs w:val="22"/>
          <w:vertAlign w:val="superscript"/>
          <w:lang w:val="en-GB"/>
        </w:rPr>
        <w:t>th</w:t>
      </w:r>
      <w:r>
        <w:rPr>
          <w:rFonts w:ascii="Calibri" w:hAnsi="Cambria Math" w:cs="Calibri"/>
          <w:sz w:val="22"/>
          <w:szCs w:val="22"/>
          <w:lang w:val="en-GB"/>
        </w:rPr>
        <w:t xml:space="preserve"> spectral band of the k</w:t>
      </w:r>
      <w:r>
        <w:rPr>
          <w:rFonts w:ascii="Calibri" w:hAnsi="Cambria Math" w:cs="Calibri"/>
          <w:sz w:val="22"/>
          <w:szCs w:val="22"/>
          <w:vertAlign w:val="superscript"/>
          <w:lang w:val="en-GB"/>
        </w:rPr>
        <w:t>th</w:t>
      </w:r>
      <w:r>
        <w:rPr>
          <w:rFonts w:ascii="Calibri" w:hAnsi="Cambria Math" w:cs="Calibri"/>
          <w:sz w:val="22"/>
          <w:szCs w:val="22"/>
          <w:lang w:val="en-GB"/>
        </w:rPr>
        <w:t xml:space="preserve"> ensemble. This resulted in the following ranking of spectral bands: 5.7, 4.3, 7.1, 2.9, 1.4, 8.6, 10, 12.9, 11.4, and 14.3 Hz (see also Figure A.2 below). After ranking, simulations were carried out using the top </w:t>
      </w:r>
      <w:r>
        <w:rPr>
          <w:rFonts w:ascii="Calibri" w:hAnsi="Cambria Math" w:cs="Calibri"/>
          <w:i/>
          <w:iCs/>
          <w:sz w:val="22"/>
          <w:szCs w:val="22"/>
          <w:lang w:val="en-GB"/>
        </w:rPr>
        <w:t>W</w:t>
      </w:r>
      <w:r>
        <w:rPr>
          <w:rFonts w:ascii="Calibri" w:hAnsi="Cambria Math" w:cs="Calibri"/>
          <w:sz w:val="22"/>
          <w:szCs w:val="22"/>
          <w:lang w:val="en-GB"/>
        </w:rPr>
        <w:t xml:space="preserve">-ranking spectral bands, where </w:t>
      </w:r>
      <w:r>
        <w:rPr>
          <w:rFonts w:ascii="Calibri" w:hAnsi="Cambria Math" w:cs="Calibri"/>
          <w:i/>
          <w:iCs/>
          <w:sz w:val="22"/>
          <w:szCs w:val="22"/>
          <w:lang w:val="en-GB"/>
        </w:rPr>
        <w:t>W</w:t>
      </w:r>
      <w:r>
        <w:rPr>
          <w:rFonts w:ascii="Calibri" w:hAnsi="Cambria Math" w:cs="Calibri"/>
          <w:sz w:val="22"/>
          <w:szCs w:val="22"/>
          <w:lang w:val="en-GB"/>
        </w:rPr>
        <w:t xml:space="preserve"> was varied from 1 to 10. For example, when using </w:t>
      </w:r>
      <w:r>
        <w:rPr>
          <w:rFonts w:ascii="Calibri" w:hAnsi="Cambria Math" w:cs="Calibri"/>
          <w:i/>
          <w:iCs/>
          <w:sz w:val="22"/>
          <w:szCs w:val="22"/>
          <w:lang w:val="en-GB"/>
        </w:rPr>
        <w:t>W</w:t>
      </w:r>
      <w:r>
        <w:rPr>
          <w:rFonts w:ascii="Calibri" w:hAnsi="Cambria Math" w:cs="Calibri"/>
          <w:sz w:val="22"/>
          <w:szCs w:val="22"/>
          <w:lang w:val="en-GB"/>
        </w:rPr>
        <w:t xml:space="preserve">=2, the frequency domain detection methods were applied to the 5.7 and the 4.3 Hz bands, whereas when using </w:t>
      </w:r>
      <w:r>
        <w:rPr>
          <w:rFonts w:ascii="Calibri" w:hAnsi="Cambria Math" w:cs="Calibri"/>
          <w:i/>
          <w:iCs/>
          <w:sz w:val="22"/>
          <w:szCs w:val="22"/>
          <w:lang w:val="en-GB"/>
        </w:rPr>
        <w:t>W</w:t>
      </w:r>
      <w:r>
        <w:rPr>
          <w:rFonts w:ascii="Calibri" w:hAnsi="Cambria Math" w:cs="Calibri"/>
          <w:sz w:val="22"/>
          <w:szCs w:val="22"/>
          <w:lang w:val="en-GB"/>
        </w:rPr>
        <w:t xml:space="preserve">=3, they were applied to the 5.7, 4.3, 7.1 Hz bands, etc. </w:t>
      </w:r>
    </w:p>
    <w:p>
      <w:pPr>
        <w:spacing w:line="240" w:lineRule="auto"/>
        <w:jc w:val="both"/>
        <w:rPr>
          <w:rFonts w:ascii="Calibri" w:hAnsi="Cambria Math" w:cs="Calibri"/>
          <w:sz w:val="22"/>
          <w:szCs w:val="22"/>
          <w:lang w:val="en-GB"/>
        </w:rPr>
      </w:pPr>
    </w:p>
    <w:p>
      <w:pPr>
        <w:spacing w:line="240" w:lineRule="auto"/>
        <w:jc w:val="both"/>
        <w:rPr>
          <w:rFonts w:ascii="Calibri" w:hAnsi="Cambria Math" w:cs="Calibri"/>
          <w:sz w:val="22"/>
          <w:szCs w:val="22"/>
          <w:lang w:val="en-GB"/>
        </w:rPr>
      </w:pPr>
      <w:r>
        <w:rPr>
          <w:rFonts w:ascii="Calibri" w:hAnsi="Cambria Math" w:cs="Calibri"/>
          <w:sz w:val="22"/>
          <w:szCs w:val="22"/>
          <w:u w:val="single"/>
          <w:lang w:val="en-GB"/>
        </w:rPr>
        <w:t>Results</w:t>
      </w:r>
      <w:r>
        <w:rPr>
          <w:rFonts w:ascii="Calibri" w:hAnsi="Cambria Math" w:cs="Calibri"/>
          <w:sz w:val="22"/>
          <w:szCs w:val="22"/>
          <w:lang w:val="en-GB"/>
        </w:rPr>
        <w:t xml:space="preserve"> </w:t>
      </w:r>
    </w:p>
    <w:p>
      <w:pPr>
        <w:spacing w:line="240" w:lineRule="auto"/>
        <w:jc w:val="both"/>
        <w:rPr>
          <w:rFonts w:ascii="Calibri" w:hAnsi="Cambria Math" w:cs="Calibri"/>
          <w:sz w:val="22"/>
          <w:szCs w:val="22"/>
          <w:lang w:val="en-GB"/>
        </w:rPr>
      </w:pPr>
      <w:r>
        <w:rPr>
          <w:rFonts w:ascii="Calibri" w:hAnsi="Cambria Math" w:cs="Calibri"/>
          <w:sz w:val="22"/>
          <w:szCs w:val="22"/>
          <w:lang w:val="en-GB"/>
        </w:rPr>
        <w:t xml:space="preserve">The mean t statistic is first plotted as a function of the frequency bands in Figure A.2 (left panel). The AUCs of the detection methods are then plotted as a function of the number of top-ranking spectral bands </w:t>
      </w:r>
      <w:r>
        <w:rPr>
          <w:rFonts w:ascii="Calibri" w:hAnsi="Cambria Math" w:cs="Calibri"/>
          <w:i/>
          <w:iCs/>
          <w:sz w:val="22"/>
          <w:szCs w:val="22"/>
          <w:lang w:val="en-GB"/>
        </w:rPr>
        <w:t>W</w:t>
      </w:r>
      <w:r>
        <w:rPr>
          <w:rFonts w:ascii="Calibri" w:hAnsi="Cambria Math" w:cs="Calibri"/>
          <w:sz w:val="22"/>
          <w:szCs w:val="22"/>
          <w:lang w:val="en-GB"/>
        </w:rPr>
        <w:t xml:space="preserve"> that were included in the analysis, also in Figure A.2 (right panel). Note again that QMod V1 is applied to phase ranks and magnitude ranks, QMod V2 to phase ranks and magnitude values, QMod V3 to phase values and magnitude ranks, and QMod V4 to phase values and magnitude values (</w:t>
      </w:r>
      <w:r>
        <w:rPr>
          <w:rFonts w:ascii="Calibri" w:hAnsi="Cambria Math" w:cs="Calibri"/>
          <w:color w:val="2E75B6" w:themeColor="accent1" w:themeShade="BF"/>
          <w:sz w:val="22"/>
          <w:szCs w:val="22"/>
          <w:lang w:val="en-GB"/>
        </w:rPr>
        <w:t>Cebulla et al, 2006</w:t>
      </w:r>
      <w:r>
        <w:rPr>
          <w:rFonts w:ascii="Calibri" w:hAnsi="Cambria Math" w:cs="Calibri"/>
          <w:sz w:val="22"/>
          <w:szCs w:val="22"/>
          <w:lang w:val="en-GB"/>
        </w:rPr>
        <w:t>; see also Section 2 in the main text).</w:t>
      </w:r>
      <w:r>
        <w:rPr>
          <w:rFonts w:ascii="Calibri" w:hAnsi="Cambria Math" w:cs="Calibri"/>
          <w:b/>
          <w:bCs/>
          <w:sz w:val="22"/>
          <w:szCs w:val="22"/>
          <w:lang w:val="en-GB"/>
        </w:rPr>
        <w:t xml:space="preserve"> </w:t>
      </w:r>
      <w:r>
        <w:rPr>
          <w:rFonts w:ascii="Calibri" w:hAnsi="Cambria Math" w:cs="Calibri"/>
          <w:sz w:val="22"/>
          <w:szCs w:val="22"/>
          <w:lang w:val="en-GB"/>
        </w:rPr>
        <w:t xml:space="preserve">For the QMod statistics, test performance flattened out after </w:t>
      </w:r>
      <w:r>
        <w:rPr>
          <w:rFonts w:ascii="Calibri" w:hAnsi="Cambria Math" w:cs="Calibri"/>
          <w:i/>
          <w:iCs/>
          <w:sz w:val="22"/>
          <w:szCs w:val="22"/>
          <w:lang w:val="en-GB"/>
        </w:rPr>
        <w:t>W</w:t>
      </w:r>
      <w:r>
        <w:rPr>
          <w:rFonts w:ascii="Calibri" w:hAnsi="Cambria Math" w:cs="Calibri"/>
          <w:sz w:val="22"/>
          <w:szCs w:val="22"/>
          <w:lang w:val="en-GB"/>
        </w:rPr>
        <w:t>=7, whereas for T</w:t>
      </w:r>
      <w:r>
        <w:rPr>
          <w:rFonts w:ascii="Calibri" w:hAnsi="Cambria Math" w:cs="Calibri"/>
          <w:sz w:val="22"/>
          <w:szCs w:val="22"/>
          <w:vertAlign w:val="superscript"/>
          <w:lang w:val="en-GB"/>
        </w:rPr>
        <w:t>2</w:t>
      </w:r>
      <w:r>
        <w:rPr>
          <w:rFonts w:ascii="Calibri" w:hAnsi="Cambria Math" w:cs="Calibri"/>
          <w:sz w:val="22"/>
          <w:szCs w:val="22"/>
          <w:vertAlign w:val="subscript"/>
          <w:lang w:val="en-GB"/>
        </w:rPr>
        <w:t>Freq</w:t>
      </w:r>
      <w:r>
        <w:rPr>
          <w:rFonts w:ascii="Calibri" w:hAnsi="Cambria Math" w:cs="Calibri"/>
          <w:sz w:val="22"/>
          <w:szCs w:val="22"/>
          <w:lang w:val="en-GB"/>
        </w:rPr>
        <w:t xml:space="preserve">, test performance started to decrease after </w:t>
      </w:r>
      <w:r>
        <w:rPr>
          <w:rFonts w:ascii="Calibri" w:hAnsi="Cambria Math" w:cs="Calibri"/>
          <w:i/>
          <w:iCs/>
          <w:sz w:val="22"/>
          <w:szCs w:val="22"/>
          <w:lang w:val="en-GB"/>
        </w:rPr>
        <w:t>W</w:t>
      </w:r>
      <w:r>
        <w:rPr>
          <w:rFonts w:ascii="Calibri" w:hAnsi="Cambria Math" w:cs="Calibri"/>
          <w:sz w:val="22"/>
          <w:szCs w:val="22"/>
          <w:lang w:val="en-GB"/>
        </w:rPr>
        <w:t>=6. For the main analyses, the QMod statistics were therefore applied to the 7 top-ranking spectral bands, whereas T</w:t>
      </w:r>
      <w:r>
        <w:rPr>
          <w:rFonts w:ascii="Calibri" w:hAnsi="Cambria Math" w:cs="Calibri"/>
          <w:sz w:val="22"/>
          <w:szCs w:val="22"/>
          <w:vertAlign w:val="superscript"/>
          <w:lang w:val="en-GB"/>
        </w:rPr>
        <w:t>2</w:t>
      </w:r>
      <w:r>
        <w:rPr>
          <w:rFonts w:ascii="Calibri" w:hAnsi="Cambria Math" w:cs="Calibri"/>
          <w:sz w:val="22"/>
          <w:szCs w:val="22"/>
          <w:vertAlign w:val="subscript"/>
          <w:lang w:val="en-GB"/>
        </w:rPr>
        <w:t>Freq</w:t>
      </w:r>
      <w:r>
        <w:rPr>
          <w:rFonts w:ascii="Calibri" w:hAnsi="Cambria Math" w:cs="Calibri"/>
          <w:sz w:val="22"/>
          <w:szCs w:val="22"/>
          <w:lang w:val="en-GB"/>
        </w:rPr>
        <w:t xml:space="preserve"> was applied to the 6 top-ranking spectral bands. </w:t>
      </w:r>
    </w:p>
    <w:p>
      <w:pPr>
        <w:spacing w:line="240" w:lineRule="auto"/>
        <w:jc w:val="both"/>
        <w:rPr>
          <w:rFonts w:ascii="Calibri" w:hAnsi="Cambria Math" w:cs="Calibri"/>
          <w:sz w:val="22"/>
          <w:szCs w:val="22"/>
          <w:lang w:val="en-GB"/>
        </w:rPr>
      </w:pPr>
    </w:p>
    <w:p>
      <w:pPr>
        <w:spacing w:line="240" w:lineRule="auto"/>
        <w:jc w:val="both"/>
        <w:rPr>
          <w:rFonts w:ascii="Calibri" w:hAnsi="Cambria Math" w:cs="Calibri"/>
          <w:sz w:val="22"/>
          <w:szCs w:val="22"/>
          <w:lang w:val="en-GB"/>
        </w:rPr>
      </w:pPr>
      <w:r>
        <w:rPr>
          <w:rFonts w:ascii="Calibri" w:hAnsi="Cambria Math" w:cs="Calibri"/>
          <w:sz w:val="22"/>
          <w:szCs w:val="22"/>
          <w:lang w:val="en-GB"/>
        </w:rPr>
        <w:drawing>
          <wp:inline distT="0" distB="0" distL="114300" distR="114300">
            <wp:extent cx="5752465" cy="1697990"/>
            <wp:effectExtent l="0" t="0" r="8255" b="8890"/>
            <wp:docPr id="2" name="Picture 2" descr="Figure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A2"/>
                    <pic:cNvPicPr>
                      <a:picLocks noChangeAspect="1"/>
                    </pic:cNvPicPr>
                  </pic:nvPicPr>
                  <pic:blipFill>
                    <a:blip r:embed="rId88"/>
                    <a:stretch>
                      <a:fillRect/>
                    </a:stretch>
                  </pic:blipFill>
                  <pic:spPr>
                    <a:xfrm>
                      <a:off x="0" y="0"/>
                      <a:ext cx="5752465" cy="1697990"/>
                    </a:xfrm>
                    <a:prstGeom prst="rect">
                      <a:avLst/>
                    </a:prstGeom>
                  </pic:spPr>
                </pic:pic>
              </a:graphicData>
            </a:graphic>
          </wp:inline>
        </w:drawing>
      </w:r>
    </w:p>
    <w:p>
      <w:pPr>
        <w:spacing w:line="240" w:lineRule="auto"/>
        <w:jc w:val="both"/>
        <w:rPr>
          <w:rFonts w:ascii="Calibri" w:hAnsi="Calibri" w:cs="Calibri"/>
          <w:sz w:val="22"/>
          <w:szCs w:val="22"/>
          <w:lang w:val="en-GB"/>
        </w:rPr>
      </w:pPr>
      <w:r>
        <w:rPr>
          <w:rFonts w:ascii="Calibri" w:hAnsi="Calibri" w:cs="Calibri"/>
          <w:b/>
          <w:bCs/>
          <w:sz w:val="22"/>
          <w:szCs w:val="22"/>
          <w:lang w:val="en-GB"/>
        </w:rPr>
        <w:t>Figure A.2.</w:t>
      </w:r>
      <w:r>
        <w:rPr>
          <w:rFonts w:ascii="Calibri" w:hAnsi="Calibri" w:cs="Calibri"/>
          <w:sz w:val="22"/>
          <w:szCs w:val="22"/>
          <w:lang w:val="en-GB"/>
        </w:rPr>
        <w:t xml:space="preserve"> The mean t statistic as a function of the frequency bin (left panel) and the AUCs of the detection methods, as a function of the number of top-ranking spectral bands </w:t>
      </w:r>
      <w:r>
        <w:rPr>
          <w:rFonts w:ascii="Calibri" w:hAnsi="Calibri" w:cs="Calibri"/>
          <w:i/>
          <w:iCs/>
          <w:sz w:val="22"/>
          <w:szCs w:val="22"/>
          <w:lang w:val="en-GB"/>
        </w:rPr>
        <w:t>W</w:t>
      </w:r>
      <w:r>
        <w:rPr>
          <w:rFonts w:ascii="Calibri" w:hAnsi="Calibri" w:cs="Calibri"/>
          <w:sz w:val="22"/>
          <w:szCs w:val="22"/>
          <w:lang w:val="en-GB"/>
        </w:rPr>
        <w:t xml:space="preserve"> that were included in the analysis (right panel). The lower test sensitivity for T2</w:t>
      </w:r>
      <w:r>
        <w:rPr>
          <w:rFonts w:ascii="Calibri" w:hAnsi="Calibri" w:cs="Calibri"/>
          <w:sz w:val="22"/>
          <w:szCs w:val="22"/>
          <w:vertAlign w:val="subscript"/>
          <w:lang w:val="en-GB"/>
        </w:rPr>
        <w:t>Freq</w:t>
      </w:r>
      <w:r>
        <w:rPr>
          <w:rFonts w:ascii="Calibri" w:hAnsi="Calibri" w:cs="Calibri"/>
          <w:sz w:val="22"/>
          <w:szCs w:val="22"/>
          <w:lang w:val="en-GB"/>
        </w:rPr>
        <w:t xml:space="preserve"> relative to the QMod statistics can likely be attributed to the “small n large p” problem underlying the HT2 test, as discussed in the main document. </w:t>
      </w:r>
    </w:p>
    <w:p>
      <w:pPr>
        <w:spacing w:line="240" w:lineRule="auto"/>
        <w:rPr>
          <w:rFonts w:ascii="Calibri" w:hAnsi="Calibri" w:cs="Calibri"/>
          <w:b/>
          <w:bCs/>
          <w:sz w:val="22"/>
          <w:szCs w:val="22"/>
          <w:lang w:val="en-GB"/>
        </w:rPr>
      </w:pPr>
    </w:p>
    <w:p>
      <w:pPr>
        <w:spacing w:line="240" w:lineRule="auto"/>
        <w:rPr>
          <w:rFonts w:hint="default" w:ascii="Calibri" w:hAnsi="Calibri" w:cs="Calibri"/>
          <w:b/>
          <w:bCs/>
          <w:sz w:val="22"/>
          <w:szCs w:val="22"/>
          <w:lang w:val="en-GB"/>
        </w:rPr>
      </w:pPr>
      <w:r>
        <w:rPr>
          <w:rFonts w:ascii="Calibri" w:hAnsi="Calibri" w:cs="Calibri"/>
          <w:b/>
          <w:bCs/>
          <w:sz w:val="22"/>
          <w:szCs w:val="22"/>
          <w:lang w:val="en-GB"/>
        </w:rPr>
        <w:t>Modified T</w:t>
      </w:r>
      <w:r>
        <w:rPr>
          <w:rFonts w:ascii="Calibri" w:hAnsi="Calibri" w:cs="Calibri"/>
          <w:b/>
          <w:bCs/>
          <w:sz w:val="22"/>
          <w:szCs w:val="22"/>
          <w:vertAlign w:val="superscript"/>
          <w:lang w:val="en-GB"/>
        </w:rPr>
        <w:t>2</w:t>
      </w:r>
      <w:r>
        <w:rPr>
          <w:rFonts w:ascii="Calibri" w:hAnsi="Calibri" w:cs="Calibri"/>
          <w:b/>
          <w:bCs/>
          <w:sz w:val="22"/>
          <w:szCs w:val="22"/>
          <w:lang w:val="en-GB"/>
        </w:rPr>
        <w:t xml:space="preserve"> statistics: T</w:t>
      </w:r>
      <w:r>
        <w:rPr>
          <w:rFonts w:ascii="Calibri" w:hAnsi="Calibri" w:cs="Calibri"/>
          <w:b/>
          <w:bCs/>
          <w:sz w:val="22"/>
          <w:szCs w:val="22"/>
          <w:vertAlign w:val="superscript"/>
          <w:lang w:val="en-GB"/>
        </w:rPr>
        <w:t>2</w:t>
      </w:r>
      <w:r>
        <w:rPr>
          <w:rFonts w:hint="default" w:ascii="Calibri" w:hAnsi="Calibri" w:cs="Calibri"/>
          <w:b/>
          <w:bCs/>
          <w:sz w:val="22"/>
          <w:szCs w:val="22"/>
          <w:vertAlign w:val="subscript"/>
          <w:lang w:val="en-GB"/>
        </w:rPr>
        <w:t>Toep</w:t>
      </w:r>
    </w:p>
    <w:p>
      <w:pPr>
        <w:spacing w:line="240" w:lineRule="auto"/>
        <w:jc w:val="both"/>
        <w:rPr>
          <w:rFonts w:ascii="Calibri" w:hAnsi="Calibri" w:cs="Calibri"/>
          <w:sz w:val="22"/>
          <w:szCs w:val="22"/>
          <w:lang w:val="en-GB"/>
        </w:rPr>
      </w:pPr>
      <w:r>
        <w:rPr>
          <w:rFonts w:ascii="Calibri" w:hAnsi="Calibri" w:cs="Calibri"/>
          <w:sz w:val="22"/>
          <w:szCs w:val="22"/>
          <w:lang w:val="en-GB"/>
        </w:rPr>
        <w:t>For the T</w:t>
      </w:r>
      <w:r>
        <w:rPr>
          <w:rFonts w:ascii="Calibri" w:hAnsi="Calibri" w:cs="Calibri"/>
          <w:sz w:val="22"/>
          <w:szCs w:val="22"/>
          <w:vertAlign w:val="superscript"/>
          <w:lang w:val="en-GB"/>
        </w:rPr>
        <w:t>2</w:t>
      </w:r>
      <w:r>
        <w:rPr>
          <w:rFonts w:hint="default" w:ascii="Calibri" w:hAnsi="Calibri" w:cs="Calibri"/>
          <w:sz w:val="22"/>
          <w:szCs w:val="22"/>
          <w:vertAlign w:val="subscript"/>
          <w:lang w:val="en-GB"/>
        </w:rPr>
        <w:t>toep</w:t>
      </w:r>
      <w:r>
        <w:rPr>
          <w:rFonts w:ascii="Calibri" w:hAnsi="Calibri" w:cs="Calibri"/>
          <w:sz w:val="22"/>
          <w:szCs w:val="22"/>
          <w:lang w:val="en-GB"/>
        </w:rPr>
        <w:t xml:space="preserve"> statistic, the number of voltage means </w:t>
      </w:r>
      <w:r>
        <w:rPr>
          <w:rFonts w:ascii="Calibri" w:hAnsi="Calibri" w:cs="Calibri"/>
          <w:i/>
          <w:iCs/>
          <w:sz w:val="22"/>
          <w:szCs w:val="22"/>
          <w:lang w:val="en-GB"/>
        </w:rPr>
        <w:t>Q</w:t>
      </w:r>
      <w:r>
        <w:rPr>
          <w:rFonts w:ascii="Calibri" w:hAnsi="Calibri" w:cs="Calibri"/>
          <w:sz w:val="22"/>
          <w:szCs w:val="22"/>
          <w:lang w:val="en-GB"/>
        </w:rPr>
        <w:t xml:space="preserve"> to extract from the 0-700 ms post stimulus intervals was varied from 1 to 50, but in irregularly increasing steps, i.e. an additional requirement for </w:t>
      </w:r>
      <w:r>
        <w:rPr>
          <w:rFonts w:ascii="Calibri" w:hAnsi="Calibri" w:cs="Calibri"/>
          <w:i/>
          <w:iCs/>
          <w:sz w:val="22"/>
          <w:szCs w:val="22"/>
          <w:lang w:val="en-GB"/>
        </w:rPr>
        <w:t>Q</w:t>
      </w:r>
      <w:r>
        <w:rPr>
          <w:rFonts w:ascii="Calibri" w:hAnsi="Calibri" w:cs="Calibri"/>
          <w:sz w:val="22"/>
          <w:szCs w:val="22"/>
          <w:lang w:val="en-GB"/>
        </w:rPr>
        <w:t xml:space="preserve"> was that the number of samples within the analysis window was integer-divisible by </w:t>
      </w:r>
      <w:r>
        <w:rPr>
          <w:rFonts w:ascii="Calibri" w:hAnsi="Calibri" w:cs="Calibri"/>
          <w:i/>
          <w:iCs/>
          <w:sz w:val="22"/>
          <w:szCs w:val="22"/>
          <w:lang w:val="en-GB"/>
        </w:rPr>
        <w:t>Q</w:t>
      </w:r>
      <w:r>
        <w:rPr>
          <w:rFonts w:ascii="Calibri" w:hAnsi="Calibri" w:cs="Calibri"/>
          <w:sz w:val="22"/>
          <w:szCs w:val="22"/>
          <w:lang w:val="en-GB"/>
        </w:rPr>
        <w:t>. This was to ensure that the time-windows across which the voltage means were calculated all had the same duration, as is assumed by the autocovariance function (</w:t>
      </w:r>
      <w:r>
        <w:rPr>
          <w:rFonts w:ascii="Calibri" w:hAnsi="Calibri" w:cs="Calibri"/>
          <w:i/>
          <w:iCs/>
          <w:sz w:val="22"/>
          <w:szCs w:val="22"/>
          <w:lang w:val="en-GB"/>
        </w:rPr>
        <w:t>Eq. 2</w:t>
      </w:r>
      <w:r>
        <w:rPr>
          <w:rFonts w:ascii="Calibri" w:hAnsi="Calibri" w:cs="Calibri"/>
          <w:sz w:val="22"/>
          <w:szCs w:val="22"/>
          <w:lang w:val="en-GB"/>
        </w:rPr>
        <w:t xml:space="preserve"> in main text) from which the feature covariance matrix for T</w:t>
      </w:r>
      <w:r>
        <w:rPr>
          <w:rFonts w:ascii="Calibri" w:hAnsi="Calibri" w:cs="Calibri"/>
          <w:sz w:val="22"/>
          <w:szCs w:val="22"/>
          <w:vertAlign w:val="superscript"/>
          <w:lang w:val="en-GB"/>
        </w:rPr>
        <w:t>2</w:t>
      </w:r>
      <w:r>
        <w:rPr>
          <w:rFonts w:hint="default" w:ascii="Calibri" w:hAnsi="Calibri" w:cs="Calibri"/>
          <w:sz w:val="22"/>
          <w:szCs w:val="22"/>
          <w:vertAlign w:val="subscript"/>
          <w:lang w:val="en-GB"/>
        </w:rPr>
        <w:t>Toep</w:t>
      </w:r>
      <w:r>
        <w:rPr>
          <w:rFonts w:ascii="Calibri" w:hAnsi="Calibri" w:cs="Calibri"/>
          <w:sz w:val="22"/>
          <w:szCs w:val="22"/>
          <w:lang w:val="en-GB"/>
        </w:rPr>
        <w:t xml:space="preserve"> was derived. </w:t>
      </w:r>
    </w:p>
    <w:p>
      <w:pPr>
        <w:spacing w:line="240" w:lineRule="auto"/>
        <w:jc w:val="both"/>
        <w:rPr>
          <w:rFonts w:ascii="Calibri" w:hAnsi="Calibri" w:cs="Calibri"/>
          <w:sz w:val="22"/>
          <w:szCs w:val="22"/>
          <w:lang w:val="en-GB"/>
        </w:rPr>
      </w:pPr>
    </w:p>
    <w:p>
      <w:pPr>
        <w:spacing w:line="240" w:lineRule="auto"/>
        <w:rPr>
          <w:rFonts w:ascii="Calibri" w:hAnsi="Calibri" w:cs="Calibri"/>
          <w:sz w:val="22"/>
          <w:szCs w:val="22"/>
          <w:lang w:val="en-GB"/>
        </w:rPr>
      </w:pPr>
      <w:r>
        <w:rPr>
          <w:rFonts w:ascii="Calibri" w:hAnsi="Calibri" w:cs="Calibri"/>
          <w:sz w:val="22"/>
          <w:szCs w:val="22"/>
          <w:u w:val="single"/>
          <w:lang w:val="en-GB"/>
        </w:rPr>
        <w:t>Results</w:t>
      </w:r>
    </w:p>
    <w:p>
      <w:pPr>
        <w:spacing w:line="240" w:lineRule="auto"/>
        <w:jc w:val="both"/>
        <w:rPr>
          <w:rFonts w:ascii="Calibri" w:hAnsi="Calibri" w:cs="Calibri"/>
          <w:sz w:val="22"/>
          <w:szCs w:val="22"/>
          <w:lang w:val="en-GB"/>
        </w:rPr>
      </w:pPr>
      <w:r>
        <w:rPr>
          <w:rFonts w:ascii="Calibri" w:hAnsi="Calibri" w:cs="Calibri"/>
          <w:sz w:val="22"/>
          <w:szCs w:val="22"/>
          <w:lang w:val="en-GB"/>
        </w:rPr>
        <w:t xml:space="preserve">The AUCs are plotted as a function of the number of voltage means </w:t>
      </w:r>
      <w:r>
        <w:rPr>
          <w:rFonts w:ascii="Calibri" w:hAnsi="Calibri" w:cs="Calibri"/>
          <w:i/>
          <w:iCs/>
          <w:sz w:val="22"/>
          <w:szCs w:val="22"/>
          <w:lang w:val="en-GB"/>
        </w:rPr>
        <w:t>Q</w:t>
      </w:r>
      <w:r>
        <w:rPr>
          <w:rFonts w:ascii="Calibri" w:hAnsi="Calibri" w:cs="Calibri"/>
          <w:sz w:val="22"/>
          <w:szCs w:val="22"/>
          <w:lang w:val="en-GB"/>
        </w:rPr>
        <w:t xml:space="preserve"> in Figure A.3 below. Note that, as </w:t>
      </w:r>
      <w:r>
        <w:rPr>
          <w:rFonts w:ascii="Calibri" w:hAnsi="Calibri" w:cs="Calibri"/>
          <w:i/>
          <w:iCs/>
          <w:sz w:val="22"/>
          <w:szCs w:val="22"/>
          <w:lang w:val="en-GB"/>
        </w:rPr>
        <w:t>Q</w:t>
      </w:r>
      <w:r>
        <w:rPr>
          <w:rFonts w:ascii="Calibri" w:hAnsi="Calibri" w:cs="Calibri"/>
          <w:sz w:val="22"/>
          <w:szCs w:val="22"/>
          <w:lang w:val="en-GB"/>
        </w:rPr>
        <w:t xml:space="preserve"> is increased, features become more correlated, resulting in an increasingly ill-conditioned feature covariance matrix. The latter can, in some cases, introduce calculation errors when taking the inverse of the feature covariance matrix, which accounts for the increasingly erratic test performance for </w:t>
      </w:r>
      <w:r>
        <w:rPr>
          <w:rFonts w:ascii="Calibri" w:hAnsi="Calibri" w:cs="Calibri"/>
          <w:i/>
          <w:iCs/>
          <w:sz w:val="22"/>
          <w:szCs w:val="22"/>
          <w:lang w:val="en-GB"/>
        </w:rPr>
        <w:t>Q</w:t>
      </w:r>
      <w:r>
        <w:rPr>
          <w:rFonts w:ascii="Calibri" w:hAnsi="Calibri" w:cs="Calibri"/>
          <w:sz w:val="22"/>
          <w:szCs w:val="22"/>
          <w:lang w:val="en-GB"/>
        </w:rPr>
        <w:t xml:space="preserve">&gt;25. For the main analyses, it was opted to stay well within the range where test performance was stable, and to use </w:t>
      </w:r>
      <w:r>
        <w:rPr>
          <w:rFonts w:ascii="Calibri" w:hAnsi="Calibri" w:cs="Calibri"/>
          <w:i/>
          <w:iCs/>
          <w:sz w:val="22"/>
          <w:szCs w:val="22"/>
          <w:lang w:val="en-GB"/>
        </w:rPr>
        <w:t>Q</w:t>
      </w:r>
      <w:r>
        <w:rPr>
          <w:rFonts w:ascii="Calibri" w:hAnsi="Calibri" w:cs="Calibri"/>
          <w:sz w:val="22"/>
          <w:szCs w:val="22"/>
          <w:lang w:val="en-GB"/>
        </w:rPr>
        <w:t xml:space="preserve">=14 voltage means. </w:t>
      </w:r>
    </w:p>
    <w:p>
      <w:pPr>
        <w:spacing w:line="240" w:lineRule="auto"/>
        <w:rPr>
          <w:rFonts w:ascii="Calibri" w:hAnsi="Calibri" w:cs="Calibri"/>
          <w:sz w:val="22"/>
          <w:szCs w:val="22"/>
          <w:lang w:val="en-GB"/>
        </w:rPr>
      </w:pPr>
    </w:p>
    <w:p>
      <w:pPr>
        <w:spacing w:line="240" w:lineRule="auto"/>
        <w:rPr>
          <w:rFonts w:ascii="Calibri" w:hAnsi="Calibri" w:cs="Calibri"/>
          <w:b/>
          <w:bCs/>
          <w:sz w:val="22"/>
          <w:szCs w:val="22"/>
          <w:vertAlign w:val="superscript"/>
          <w:lang w:val="en-GB"/>
        </w:rPr>
      </w:pPr>
      <w:r>
        <w:rPr>
          <w:rFonts w:ascii="Calibri" w:hAnsi="Calibri" w:cs="Calibri"/>
          <w:b/>
          <w:bCs/>
          <w:sz w:val="22"/>
          <w:szCs w:val="22"/>
          <w:vertAlign w:val="superscript"/>
          <w:lang w:val="en-GB"/>
        </w:rPr>
        <w:drawing>
          <wp:inline distT="0" distB="0" distL="114300" distR="114300">
            <wp:extent cx="2565400" cy="1522095"/>
            <wp:effectExtent l="0" t="0" r="10160" b="1905"/>
            <wp:docPr id="8" name="Picture 8" descr="Toeplitz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oeplitzT2"/>
                    <pic:cNvPicPr>
                      <a:picLocks noChangeAspect="1"/>
                    </pic:cNvPicPr>
                  </pic:nvPicPr>
                  <pic:blipFill>
                    <a:blip r:embed="rId89"/>
                    <a:stretch>
                      <a:fillRect/>
                    </a:stretch>
                  </pic:blipFill>
                  <pic:spPr>
                    <a:xfrm>
                      <a:off x="0" y="0"/>
                      <a:ext cx="2565400" cy="1522095"/>
                    </a:xfrm>
                    <a:prstGeom prst="rect">
                      <a:avLst/>
                    </a:prstGeom>
                  </pic:spPr>
                </pic:pic>
              </a:graphicData>
            </a:graphic>
          </wp:inline>
        </w:drawing>
      </w:r>
    </w:p>
    <w:p>
      <w:pPr>
        <w:spacing w:line="240" w:lineRule="auto"/>
        <w:jc w:val="both"/>
        <w:rPr>
          <w:rFonts w:ascii="Calibri" w:hAnsi="Calibri" w:cs="Calibri"/>
          <w:b/>
          <w:bCs/>
          <w:sz w:val="22"/>
          <w:szCs w:val="22"/>
          <w:vertAlign w:val="superscript"/>
          <w:lang w:val="en-GB"/>
        </w:rPr>
      </w:pPr>
      <w:r>
        <w:rPr>
          <w:rFonts w:ascii="Calibri" w:hAnsi="Calibri" w:cs="Calibri"/>
          <w:b/>
          <w:bCs/>
          <w:sz w:val="22"/>
          <w:szCs w:val="22"/>
          <w:lang w:val="en-GB"/>
        </w:rPr>
        <w:t xml:space="preserve">Figure A.3. </w:t>
      </w:r>
      <w:r>
        <w:rPr>
          <w:rFonts w:ascii="Calibri" w:hAnsi="Calibri" w:cs="Calibri"/>
          <w:sz w:val="22"/>
          <w:szCs w:val="22"/>
          <w:lang w:val="en-GB"/>
        </w:rPr>
        <w:t>The ROC AUCs for T</w:t>
      </w:r>
      <w:r>
        <w:rPr>
          <w:rFonts w:ascii="Calibri" w:hAnsi="Calibri" w:cs="Calibri"/>
          <w:sz w:val="22"/>
          <w:szCs w:val="22"/>
          <w:vertAlign w:val="superscript"/>
          <w:lang w:val="en-GB"/>
        </w:rPr>
        <w:t>2</w:t>
      </w:r>
      <w:r>
        <w:rPr>
          <w:rFonts w:hint="default" w:ascii="Calibri" w:hAnsi="Calibri" w:cs="Calibri"/>
          <w:sz w:val="22"/>
          <w:szCs w:val="22"/>
          <w:vertAlign w:val="subscript"/>
          <w:lang w:val="en-GB"/>
        </w:rPr>
        <w:t>Toep</w:t>
      </w:r>
      <w:r>
        <w:rPr>
          <w:rFonts w:ascii="Calibri" w:hAnsi="Calibri" w:cs="Calibri"/>
          <w:sz w:val="22"/>
          <w:szCs w:val="22"/>
          <w:lang w:val="en-GB"/>
        </w:rPr>
        <w:t xml:space="preserve"> as a function of the number of voltage means </w:t>
      </w:r>
      <w:r>
        <w:rPr>
          <w:rFonts w:ascii="Calibri" w:hAnsi="Calibri" w:cs="Calibri"/>
          <w:i/>
          <w:iCs/>
          <w:sz w:val="22"/>
          <w:szCs w:val="22"/>
          <w:lang w:val="en-GB"/>
        </w:rPr>
        <w:t>Q</w:t>
      </w:r>
      <w:r>
        <w:rPr>
          <w:rFonts w:ascii="Calibri" w:hAnsi="Calibri" w:cs="Calibri"/>
          <w:sz w:val="22"/>
          <w:szCs w:val="22"/>
          <w:lang w:val="en-GB"/>
        </w:rPr>
        <w:t xml:space="preserve">. Note that </w:t>
      </w:r>
      <w:r>
        <w:rPr>
          <w:rFonts w:ascii="Calibri" w:hAnsi="Calibri" w:cs="Calibri"/>
          <w:i/>
          <w:iCs/>
          <w:sz w:val="22"/>
          <w:szCs w:val="22"/>
          <w:lang w:val="en-GB"/>
        </w:rPr>
        <w:t>Q</w:t>
      </w:r>
      <w:r>
        <w:rPr>
          <w:rFonts w:ascii="Calibri" w:hAnsi="Calibri" w:cs="Calibri"/>
          <w:sz w:val="22"/>
          <w:szCs w:val="22"/>
          <w:lang w:val="en-GB"/>
        </w:rPr>
        <w:t xml:space="preserve"> was varied in irregular steps, as described in the text above. </w:t>
      </w:r>
    </w:p>
    <w:p>
      <w:pPr>
        <w:spacing w:line="240" w:lineRule="auto"/>
        <w:rPr>
          <w:rFonts w:ascii="Calibri" w:hAnsi="Calibri" w:cs="Calibri"/>
          <w:b/>
          <w:bCs/>
          <w:sz w:val="22"/>
          <w:szCs w:val="22"/>
          <w:vertAlign w:val="superscript"/>
          <w:lang w:val="en-GB"/>
        </w:rPr>
      </w:pPr>
    </w:p>
    <w:p>
      <w:pPr>
        <w:spacing w:line="240" w:lineRule="auto"/>
        <w:rPr>
          <w:rFonts w:hint="default" w:ascii="Calibri" w:hAnsi="Calibri" w:cs="Calibri"/>
          <w:b/>
          <w:bCs/>
          <w:sz w:val="22"/>
          <w:szCs w:val="22"/>
          <w:lang w:val="en-GB"/>
        </w:rPr>
      </w:pPr>
      <w:r>
        <w:rPr>
          <w:rFonts w:ascii="Calibri" w:hAnsi="Calibri" w:cs="Calibri"/>
          <w:b/>
          <w:bCs/>
          <w:sz w:val="22"/>
          <w:szCs w:val="22"/>
          <w:lang w:val="en-GB"/>
        </w:rPr>
        <w:t>Modified T2 statistics: T</w:t>
      </w:r>
      <w:r>
        <w:rPr>
          <w:rFonts w:ascii="Calibri" w:hAnsi="Calibri" w:cs="Calibri"/>
          <w:b/>
          <w:bCs/>
          <w:sz w:val="22"/>
          <w:szCs w:val="22"/>
          <w:vertAlign w:val="superscript"/>
          <w:lang w:val="en-GB"/>
        </w:rPr>
        <w:t>2</w:t>
      </w:r>
      <w:r>
        <w:rPr>
          <w:rFonts w:hint="default" w:ascii="Calibri" w:hAnsi="Calibri" w:cs="Calibri"/>
          <w:b/>
          <w:bCs/>
          <w:sz w:val="22"/>
          <w:szCs w:val="22"/>
          <w:vertAlign w:val="subscript"/>
          <w:lang w:val="en-GB"/>
        </w:rPr>
        <w:t>Diag</w:t>
      </w:r>
    </w:p>
    <w:p>
      <w:pPr>
        <w:spacing w:line="240" w:lineRule="auto"/>
        <w:jc w:val="both"/>
        <w:rPr>
          <w:rFonts w:ascii="Calibri" w:hAnsi="Calibri" w:cs="Calibri"/>
          <w:sz w:val="22"/>
          <w:szCs w:val="22"/>
          <w:lang w:val="en-GB"/>
        </w:rPr>
      </w:pPr>
      <w:r>
        <w:rPr>
          <w:rFonts w:ascii="Calibri" w:hAnsi="Calibri" w:cs="Calibri"/>
          <w:sz w:val="22"/>
          <w:szCs w:val="22"/>
          <w:lang w:val="en-GB"/>
        </w:rPr>
        <w:t>For the T</w:t>
      </w:r>
      <w:r>
        <w:rPr>
          <w:rFonts w:ascii="Calibri" w:hAnsi="Calibri" w:cs="Calibri"/>
          <w:sz w:val="22"/>
          <w:szCs w:val="22"/>
          <w:vertAlign w:val="superscript"/>
          <w:lang w:val="en-GB"/>
        </w:rPr>
        <w:t>2</w:t>
      </w:r>
      <w:r>
        <w:rPr>
          <w:rFonts w:hint="default" w:ascii="Calibri" w:hAnsi="Calibri" w:cs="Calibri"/>
          <w:sz w:val="22"/>
          <w:szCs w:val="22"/>
          <w:vertAlign w:val="subscript"/>
          <w:lang w:val="en-GB"/>
        </w:rPr>
        <w:t>Diag</w:t>
      </w:r>
      <w:r>
        <w:rPr>
          <w:rFonts w:ascii="Calibri" w:hAnsi="Calibri" w:cs="Calibri"/>
          <w:sz w:val="22"/>
          <w:szCs w:val="22"/>
          <w:lang w:val="en-GB"/>
        </w:rPr>
        <w:t xml:space="preserve"> statistic, the aim was to optimise the weight vector </w:t>
      </w:r>
      <w:r>
        <w:rPr>
          <w:rFonts w:ascii="Calibri" w:hAnsi="Calibri" w:cs="Calibri"/>
          <w:b/>
          <w:bCs/>
          <w:sz w:val="22"/>
          <w:szCs w:val="22"/>
          <w:lang w:val="en-GB"/>
        </w:rPr>
        <w:t>w</w:t>
      </w:r>
      <w:r>
        <w:rPr>
          <w:rFonts w:ascii="Calibri" w:hAnsi="Calibri" w:cs="Calibri"/>
          <w:sz w:val="22"/>
          <w:szCs w:val="22"/>
          <w:lang w:val="en-GB"/>
        </w:rPr>
        <w:t xml:space="preserve"> (see </w:t>
      </w:r>
      <w:r>
        <w:rPr>
          <w:rFonts w:ascii="Calibri" w:hAnsi="Calibri" w:cs="Calibri"/>
          <w:i/>
          <w:iCs/>
          <w:sz w:val="22"/>
          <w:szCs w:val="22"/>
          <w:lang w:val="en-GB"/>
        </w:rPr>
        <w:t>Eq. 7</w:t>
      </w:r>
      <w:r>
        <w:rPr>
          <w:rFonts w:ascii="Calibri" w:hAnsi="Calibri" w:cs="Calibri"/>
          <w:sz w:val="22"/>
          <w:szCs w:val="22"/>
          <w:lang w:val="en-GB"/>
        </w:rPr>
        <w:t xml:space="preserve"> in main text) for the </w:t>
      </w:r>
      <w:r>
        <w:rPr>
          <w:rFonts w:ascii="Calibri" w:hAnsi="Cambria Math" w:cs="Calibri"/>
          <w:sz w:val="22"/>
          <w:szCs w:val="22"/>
          <w:lang w:val="en-GB"/>
        </w:rPr>
        <w:t xml:space="preserve">1.4, 2.9, 4.3, 5.7, 7.1, 8.6, 10, 11.4, 12.9 and 14.3 Hz </w:t>
      </w:r>
      <w:r>
        <w:rPr>
          <w:rFonts w:ascii="Calibri" w:hAnsi="Calibri" w:cs="Calibri"/>
          <w:sz w:val="22"/>
          <w:szCs w:val="22"/>
          <w:lang w:val="en-GB"/>
        </w:rPr>
        <w:t xml:space="preserve">bands. Note that each frequency band received a single weight, which was applied to both the real and imaginary parts of the Fourier components of that frequency band. To reduce processing time, weights were optimised sequentially across frequency bands. To do so, frequency bands were first ranked according to their mean estimated estimated t statistic (directly related to SNR), as described above. The weight for the first band (5.7 Hz) was then set to one. The second top-ranking frequency band was then also included in the analysis (the 4.3 Hz band), and its weight was varied from 0 to 1.5, in steps of 0.01. For each weight, an AUC was calculated, after which the weight with the largest AUC was assigned to the second top-ranking spectral band. This procedure was repeated for until the weights for all 10 spectral bands had been optimised. </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u w:val="single"/>
          <w:lang w:val="en-GB"/>
        </w:rPr>
      </w:pPr>
      <w:r>
        <w:rPr>
          <w:rFonts w:ascii="Calibri" w:hAnsi="Calibri" w:cs="Calibri"/>
          <w:sz w:val="22"/>
          <w:szCs w:val="22"/>
          <w:u w:val="single"/>
          <w:lang w:val="en-GB"/>
        </w:rPr>
        <w:t>Results</w:t>
      </w:r>
    </w:p>
    <w:p>
      <w:pPr>
        <w:spacing w:line="240" w:lineRule="auto"/>
        <w:jc w:val="both"/>
        <w:rPr>
          <w:rFonts w:ascii="Calibri" w:hAnsi="Calibri" w:cs="Calibri"/>
          <w:sz w:val="22"/>
          <w:szCs w:val="22"/>
          <w:lang w:val="en-GB"/>
        </w:rPr>
      </w:pPr>
      <w:r>
        <w:rPr>
          <w:rFonts w:ascii="Calibri" w:hAnsi="Calibri" w:cs="Calibri"/>
          <w:sz w:val="22"/>
          <w:szCs w:val="22"/>
          <w:lang w:val="en-GB"/>
        </w:rPr>
        <w:t xml:space="preserve">The AUCs are plotted per frequency band as a function of their weighting in Figure A.4 below. The optimal weight for each frequency band is indicated by a grey dot. The optimal weights are given per spectral band in Table A.1. below. In an attempt to prevent overfitting, the following general rules of thumb were applied: (1) all frequency bands between 1 and 8 Hz received a weight of 1, (2) all bands between 8 and 9 Hz received a weight of 0.75, and (3) all bands between 9 and 15 Hz received a weight of 0.5. </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sz w:val="22"/>
          <w:szCs w:val="22"/>
          <w:lang w:val="en-GB"/>
        </w:rPr>
        <w:drawing>
          <wp:inline distT="0" distB="0" distL="114300" distR="114300">
            <wp:extent cx="5265420" cy="2890520"/>
            <wp:effectExtent l="0" t="0" r="7620" b="5080"/>
            <wp:docPr id="9" name="Picture 9" descr="FreqDomain_Weighted_Optim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reqDomain_Weighted_Optimisation"/>
                    <pic:cNvPicPr>
                      <a:picLocks noChangeAspect="1"/>
                    </pic:cNvPicPr>
                  </pic:nvPicPr>
                  <pic:blipFill>
                    <a:blip r:embed="rId90"/>
                    <a:stretch>
                      <a:fillRect/>
                    </a:stretch>
                  </pic:blipFill>
                  <pic:spPr>
                    <a:xfrm>
                      <a:off x="0" y="0"/>
                      <a:ext cx="5265420" cy="2890520"/>
                    </a:xfrm>
                    <a:prstGeom prst="rect">
                      <a:avLst/>
                    </a:prstGeom>
                  </pic:spPr>
                </pic:pic>
              </a:graphicData>
            </a:graphic>
          </wp:inline>
        </w:drawing>
      </w:r>
    </w:p>
    <w:p>
      <w:pPr>
        <w:spacing w:line="240" w:lineRule="auto"/>
        <w:jc w:val="both"/>
        <w:rPr>
          <w:rFonts w:ascii="Calibri" w:hAnsi="Calibri" w:cs="Calibri"/>
          <w:sz w:val="22"/>
          <w:szCs w:val="22"/>
          <w:lang w:val="en-GB"/>
        </w:rPr>
      </w:pPr>
      <w:r>
        <w:rPr>
          <w:rFonts w:ascii="Calibri" w:hAnsi="Calibri" w:cs="Calibri"/>
          <w:b/>
          <w:bCs/>
          <w:sz w:val="22"/>
          <w:szCs w:val="22"/>
          <w:lang w:val="en-GB"/>
        </w:rPr>
        <w:t>Figure A.4.</w:t>
      </w:r>
      <w:r>
        <w:rPr>
          <w:rFonts w:ascii="Calibri" w:hAnsi="Calibri" w:cs="Calibri"/>
          <w:sz w:val="22"/>
          <w:szCs w:val="22"/>
          <w:lang w:val="en-GB"/>
        </w:rPr>
        <w:t xml:space="preserve"> The AUCs per frequency band as a function of the frequency band-specific weighting. The grey dots indicate the weights associated with the highest AUCs.  </w:t>
      </w:r>
    </w:p>
    <w:p>
      <w:pPr>
        <w:spacing w:line="240" w:lineRule="auto"/>
        <w:jc w:val="both"/>
        <w:rPr>
          <w:rFonts w:ascii="Calibri" w:hAnsi="Calibri" w:cs="Calibri"/>
          <w:sz w:val="22"/>
          <w:szCs w:val="22"/>
          <w:lang w:val="en-GB"/>
        </w:rPr>
      </w:pPr>
    </w:p>
    <w:tbl>
      <w:tblPr>
        <w:tblStyle w:val="16"/>
        <w:tblpPr w:leftFromText="180" w:rightFromText="180" w:vertAnchor="text" w:horzAnchor="page" w:tblpX="1510" w:tblpY="164"/>
        <w:tblOverlap w:val="never"/>
        <w:tblW w:w="77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621"/>
        <w:gridCol w:w="681"/>
        <w:gridCol w:w="669"/>
        <w:gridCol w:w="646"/>
        <w:gridCol w:w="646"/>
        <w:gridCol w:w="658"/>
        <w:gridCol w:w="669"/>
        <w:gridCol w:w="681"/>
        <w:gridCol w:w="692"/>
        <w:gridCol w:w="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pPr>
              <w:widowControl w:val="0"/>
              <w:spacing w:line="240" w:lineRule="auto"/>
              <w:jc w:val="both"/>
              <w:rPr>
                <w:rFonts w:ascii="Calibri" w:hAnsi="Calibri"/>
                <w:sz w:val="22"/>
                <w:szCs w:val="22"/>
                <w:lang w:val="en-GB"/>
              </w:rPr>
            </w:pPr>
            <w:r>
              <w:rPr>
                <w:rFonts w:ascii="Calibri" w:hAnsi="Calibri"/>
                <w:b/>
                <w:bCs/>
                <w:sz w:val="22"/>
                <w:szCs w:val="22"/>
                <w:lang w:val="en-GB"/>
              </w:rPr>
              <w:t>Band (Hz)</w:t>
            </w:r>
          </w:p>
        </w:tc>
        <w:tc>
          <w:tcPr>
            <w:tcW w:w="621" w:type="dxa"/>
          </w:tcPr>
          <w:p>
            <w:pPr>
              <w:widowControl w:val="0"/>
              <w:spacing w:line="240" w:lineRule="auto"/>
              <w:jc w:val="both"/>
              <w:rPr>
                <w:rFonts w:ascii="Calibri" w:hAnsi="Calibri"/>
                <w:sz w:val="22"/>
                <w:szCs w:val="22"/>
                <w:lang w:val="en-GB"/>
              </w:rPr>
            </w:pPr>
            <w:r>
              <w:rPr>
                <w:rFonts w:ascii="Calibri" w:hAnsi="Calibri"/>
                <w:sz w:val="22"/>
                <w:szCs w:val="22"/>
                <w:lang w:val="en-GB"/>
              </w:rPr>
              <w:t xml:space="preserve">5.7 </w:t>
            </w:r>
          </w:p>
        </w:tc>
        <w:tc>
          <w:tcPr>
            <w:tcW w:w="681" w:type="dxa"/>
          </w:tcPr>
          <w:p>
            <w:pPr>
              <w:widowControl w:val="0"/>
              <w:spacing w:line="240" w:lineRule="auto"/>
              <w:jc w:val="both"/>
              <w:rPr>
                <w:rFonts w:ascii="Calibri" w:hAnsi="Calibri"/>
                <w:sz w:val="22"/>
                <w:szCs w:val="22"/>
                <w:lang w:val="en-GB"/>
              </w:rPr>
            </w:pPr>
            <w:r>
              <w:rPr>
                <w:rFonts w:ascii="Calibri" w:hAnsi="Calibri"/>
                <w:sz w:val="22"/>
                <w:szCs w:val="22"/>
                <w:lang w:val="en-GB"/>
              </w:rPr>
              <w:t xml:space="preserve">4.3 </w:t>
            </w:r>
          </w:p>
        </w:tc>
        <w:tc>
          <w:tcPr>
            <w:tcW w:w="669" w:type="dxa"/>
          </w:tcPr>
          <w:p>
            <w:pPr>
              <w:widowControl w:val="0"/>
              <w:spacing w:line="240" w:lineRule="auto"/>
              <w:jc w:val="both"/>
              <w:rPr>
                <w:rFonts w:ascii="Calibri" w:hAnsi="Calibri"/>
                <w:sz w:val="22"/>
                <w:szCs w:val="22"/>
                <w:lang w:val="en-GB"/>
              </w:rPr>
            </w:pPr>
            <w:r>
              <w:rPr>
                <w:rFonts w:ascii="Calibri" w:hAnsi="Calibri"/>
                <w:sz w:val="22"/>
                <w:szCs w:val="22"/>
                <w:lang w:val="en-GB"/>
              </w:rPr>
              <w:t xml:space="preserve">7.1 </w:t>
            </w:r>
          </w:p>
        </w:tc>
        <w:tc>
          <w:tcPr>
            <w:tcW w:w="646" w:type="dxa"/>
          </w:tcPr>
          <w:p>
            <w:pPr>
              <w:widowControl w:val="0"/>
              <w:spacing w:line="240" w:lineRule="auto"/>
              <w:jc w:val="both"/>
              <w:rPr>
                <w:rFonts w:ascii="Calibri" w:hAnsi="Calibri"/>
                <w:sz w:val="22"/>
                <w:szCs w:val="22"/>
                <w:lang w:val="en-GB"/>
              </w:rPr>
            </w:pPr>
            <w:r>
              <w:rPr>
                <w:rFonts w:ascii="Calibri" w:hAnsi="Calibri"/>
                <w:sz w:val="22"/>
                <w:szCs w:val="22"/>
                <w:lang w:val="en-GB"/>
              </w:rPr>
              <w:t xml:space="preserve">2.9 </w:t>
            </w:r>
          </w:p>
        </w:tc>
        <w:tc>
          <w:tcPr>
            <w:tcW w:w="646" w:type="dxa"/>
          </w:tcPr>
          <w:p>
            <w:pPr>
              <w:widowControl w:val="0"/>
              <w:spacing w:line="240" w:lineRule="auto"/>
              <w:jc w:val="both"/>
              <w:rPr>
                <w:rFonts w:ascii="Calibri" w:hAnsi="Calibri"/>
                <w:sz w:val="22"/>
                <w:szCs w:val="22"/>
                <w:lang w:val="en-GB"/>
              </w:rPr>
            </w:pPr>
            <w:r>
              <w:rPr>
                <w:rFonts w:ascii="Calibri" w:hAnsi="Calibri"/>
                <w:sz w:val="22"/>
                <w:szCs w:val="22"/>
                <w:lang w:val="en-GB"/>
              </w:rPr>
              <w:t>1.4</w:t>
            </w:r>
          </w:p>
        </w:tc>
        <w:tc>
          <w:tcPr>
            <w:tcW w:w="658" w:type="dxa"/>
          </w:tcPr>
          <w:p>
            <w:pPr>
              <w:widowControl w:val="0"/>
              <w:spacing w:line="240" w:lineRule="auto"/>
              <w:jc w:val="both"/>
              <w:rPr>
                <w:rFonts w:ascii="Calibri" w:hAnsi="Calibri"/>
                <w:sz w:val="22"/>
                <w:szCs w:val="22"/>
                <w:lang w:val="en-GB"/>
              </w:rPr>
            </w:pPr>
            <w:r>
              <w:rPr>
                <w:rFonts w:ascii="Calibri" w:hAnsi="Calibri"/>
                <w:sz w:val="22"/>
                <w:szCs w:val="22"/>
                <w:lang w:val="en-GB"/>
              </w:rPr>
              <w:t>8.6</w:t>
            </w:r>
          </w:p>
        </w:tc>
        <w:tc>
          <w:tcPr>
            <w:tcW w:w="669" w:type="dxa"/>
          </w:tcPr>
          <w:p>
            <w:pPr>
              <w:widowControl w:val="0"/>
              <w:spacing w:line="240" w:lineRule="auto"/>
              <w:jc w:val="both"/>
              <w:rPr>
                <w:rFonts w:ascii="Calibri" w:hAnsi="Calibri"/>
                <w:sz w:val="22"/>
                <w:szCs w:val="22"/>
                <w:lang w:val="en-GB"/>
              </w:rPr>
            </w:pPr>
            <w:r>
              <w:rPr>
                <w:rFonts w:ascii="Calibri" w:hAnsi="Calibri"/>
                <w:sz w:val="22"/>
                <w:szCs w:val="22"/>
                <w:lang w:val="en-GB"/>
              </w:rPr>
              <w:t>10</w:t>
            </w:r>
          </w:p>
        </w:tc>
        <w:tc>
          <w:tcPr>
            <w:tcW w:w="681" w:type="dxa"/>
          </w:tcPr>
          <w:p>
            <w:pPr>
              <w:widowControl w:val="0"/>
              <w:spacing w:line="240" w:lineRule="auto"/>
              <w:jc w:val="both"/>
              <w:rPr>
                <w:rFonts w:ascii="Calibri" w:hAnsi="Calibri"/>
                <w:sz w:val="22"/>
                <w:szCs w:val="22"/>
                <w:lang w:val="en-GB"/>
              </w:rPr>
            </w:pPr>
            <w:r>
              <w:rPr>
                <w:rFonts w:ascii="Calibri" w:hAnsi="Calibri"/>
                <w:sz w:val="22"/>
                <w:szCs w:val="22"/>
                <w:lang w:val="en-GB"/>
              </w:rPr>
              <w:t>12.9</w:t>
            </w:r>
          </w:p>
        </w:tc>
        <w:tc>
          <w:tcPr>
            <w:tcW w:w="692" w:type="dxa"/>
          </w:tcPr>
          <w:p>
            <w:pPr>
              <w:widowControl w:val="0"/>
              <w:spacing w:line="240" w:lineRule="auto"/>
              <w:jc w:val="both"/>
              <w:rPr>
                <w:rFonts w:ascii="Calibri" w:hAnsi="Calibri"/>
                <w:sz w:val="22"/>
                <w:szCs w:val="22"/>
                <w:lang w:val="en-GB"/>
              </w:rPr>
            </w:pPr>
            <w:r>
              <w:rPr>
                <w:rFonts w:ascii="Calibri" w:hAnsi="Calibri"/>
                <w:sz w:val="22"/>
                <w:szCs w:val="22"/>
                <w:lang w:val="en-GB"/>
              </w:rPr>
              <w:t>11.4</w:t>
            </w:r>
          </w:p>
        </w:tc>
        <w:tc>
          <w:tcPr>
            <w:tcW w:w="658" w:type="dxa"/>
          </w:tcPr>
          <w:p>
            <w:pPr>
              <w:widowControl w:val="0"/>
              <w:spacing w:line="240" w:lineRule="auto"/>
              <w:jc w:val="both"/>
              <w:rPr>
                <w:rFonts w:ascii="Calibri" w:hAnsi="Calibri"/>
                <w:sz w:val="22"/>
                <w:szCs w:val="22"/>
                <w:lang w:val="en-GB"/>
              </w:rPr>
            </w:pPr>
            <w:r>
              <w:rPr>
                <w:rFonts w:ascii="Calibri" w:hAnsi="Calibri"/>
                <w:sz w:val="22"/>
                <w:szCs w:val="22"/>
                <w:lang w:val="en-GB"/>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pPr>
              <w:widowControl w:val="0"/>
              <w:spacing w:line="240" w:lineRule="auto"/>
              <w:jc w:val="both"/>
              <w:rPr>
                <w:rFonts w:ascii="Calibri" w:hAnsi="Calibri"/>
                <w:sz w:val="22"/>
                <w:szCs w:val="22"/>
                <w:lang w:val="en-GB"/>
              </w:rPr>
            </w:pPr>
            <w:r>
              <w:rPr>
                <w:rFonts w:ascii="Calibri" w:hAnsi="Calibri"/>
                <w:b/>
                <w:bCs/>
                <w:sz w:val="22"/>
                <w:szCs w:val="22"/>
                <w:lang w:val="en-GB"/>
              </w:rPr>
              <w:t>Weights</w:t>
            </w:r>
          </w:p>
        </w:tc>
        <w:tc>
          <w:tcPr>
            <w:tcW w:w="621" w:type="dxa"/>
          </w:tcPr>
          <w:p>
            <w:pPr>
              <w:widowControl w:val="0"/>
              <w:spacing w:line="240" w:lineRule="auto"/>
              <w:jc w:val="both"/>
              <w:rPr>
                <w:rFonts w:ascii="Calibri" w:hAnsi="Calibri"/>
                <w:sz w:val="22"/>
                <w:szCs w:val="22"/>
                <w:lang w:val="en-GB"/>
              </w:rPr>
            </w:pPr>
            <w:r>
              <w:rPr>
                <w:rFonts w:ascii="Calibri" w:hAnsi="Calibri"/>
                <w:sz w:val="22"/>
                <w:szCs w:val="22"/>
                <w:lang w:val="en-GB"/>
              </w:rPr>
              <w:t>1</w:t>
            </w:r>
          </w:p>
        </w:tc>
        <w:tc>
          <w:tcPr>
            <w:tcW w:w="681" w:type="dxa"/>
          </w:tcPr>
          <w:p>
            <w:pPr>
              <w:widowControl w:val="0"/>
              <w:spacing w:line="240" w:lineRule="auto"/>
              <w:jc w:val="both"/>
              <w:rPr>
                <w:rFonts w:ascii="Calibri" w:hAnsi="Calibri"/>
                <w:sz w:val="22"/>
                <w:szCs w:val="22"/>
                <w:lang w:val="en-GB"/>
              </w:rPr>
            </w:pPr>
            <w:r>
              <w:rPr>
                <w:rFonts w:ascii="Calibri" w:hAnsi="Calibri"/>
                <w:sz w:val="22"/>
                <w:szCs w:val="22"/>
                <w:lang w:val="en-GB"/>
              </w:rPr>
              <w:t>1.03</w:t>
            </w:r>
          </w:p>
        </w:tc>
        <w:tc>
          <w:tcPr>
            <w:tcW w:w="669" w:type="dxa"/>
          </w:tcPr>
          <w:p>
            <w:pPr>
              <w:widowControl w:val="0"/>
              <w:spacing w:line="240" w:lineRule="auto"/>
              <w:jc w:val="both"/>
              <w:rPr>
                <w:rFonts w:ascii="Calibri" w:hAnsi="Calibri"/>
                <w:sz w:val="22"/>
                <w:szCs w:val="22"/>
                <w:lang w:val="en-GB"/>
              </w:rPr>
            </w:pPr>
            <w:r>
              <w:rPr>
                <w:rFonts w:ascii="Calibri" w:hAnsi="Calibri"/>
                <w:sz w:val="22"/>
                <w:szCs w:val="22"/>
                <w:lang w:val="en-GB"/>
              </w:rPr>
              <w:t>0.8</w:t>
            </w:r>
          </w:p>
        </w:tc>
        <w:tc>
          <w:tcPr>
            <w:tcW w:w="646" w:type="dxa"/>
          </w:tcPr>
          <w:p>
            <w:pPr>
              <w:widowControl w:val="0"/>
              <w:spacing w:line="240" w:lineRule="auto"/>
              <w:jc w:val="both"/>
              <w:rPr>
                <w:rFonts w:ascii="Calibri" w:hAnsi="Calibri"/>
                <w:sz w:val="22"/>
                <w:szCs w:val="22"/>
                <w:lang w:val="en-GB"/>
              </w:rPr>
            </w:pPr>
            <w:r>
              <w:rPr>
                <w:rFonts w:ascii="Calibri" w:hAnsi="Calibri"/>
                <w:sz w:val="22"/>
                <w:szCs w:val="22"/>
                <w:lang w:val="en-GB"/>
              </w:rPr>
              <w:t>1.11</w:t>
            </w:r>
          </w:p>
        </w:tc>
        <w:tc>
          <w:tcPr>
            <w:tcW w:w="646" w:type="dxa"/>
          </w:tcPr>
          <w:p>
            <w:pPr>
              <w:widowControl w:val="0"/>
              <w:spacing w:line="240" w:lineRule="auto"/>
              <w:jc w:val="both"/>
              <w:rPr>
                <w:rFonts w:ascii="Calibri" w:hAnsi="Calibri"/>
                <w:sz w:val="22"/>
                <w:szCs w:val="22"/>
                <w:lang w:val="en-GB"/>
              </w:rPr>
            </w:pPr>
            <w:r>
              <w:rPr>
                <w:rFonts w:ascii="Calibri" w:hAnsi="Calibri"/>
                <w:sz w:val="22"/>
                <w:szCs w:val="22"/>
                <w:lang w:val="en-GB"/>
              </w:rPr>
              <w:t>1.13</w:t>
            </w:r>
          </w:p>
        </w:tc>
        <w:tc>
          <w:tcPr>
            <w:tcW w:w="658" w:type="dxa"/>
          </w:tcPr>
          <w:p>
            <w:pPr>
              <w:widowControl w:val="0"/>
              <w:spacing w:line="240" w:lineRule="auto"/>
              <w:jc w:val="both"/>
              <w:rPr>
                <w:rFonts w:ascii="Calibri" w:hAnsi="Calibri"/>
                <w:sz w:val="22"/>
                <w:szCs w:val="22"/>
                <w:lang w:val="en-GB"/>
              </w:rPr>
            </w:pPr>
            <w:r>
              <w:rPr>
                <w:rFonts w:ascii="Calibri" w:hAnsi="Calibri"/>
                <w:sz w:val="22"/>
                <w:szCs w:val="22"/>
                <w:lang w:val="en-GB"/>
              </w:rPr>
              <w:t>0.76</w:t>
            </w:r>
          </w:p>
        </w:tc>
        <w:tc>
          <w:tcPr>
            <w:tcW w:w="669" w:type="dxa"/>
          </w:tcPr>
          <w:p>
            <w:pPr>
              <w:widowControl w:val="0"/>
              <w:spacing w:line="240" w:lineRule="auto"/>
              <w:jc w:val="both"/>
              <w:rPr>
                <w:rFonts w:ascii="Calibri" w:hAnsi="Calibri"/>
                <w:sz w:val="22"/>
                <w:szCs w:val="22"/>
                <w:lang w:val="en-GB"/>
              </w:rPr>
            </w:pPr>
            <w:r>
              <w:rPr>
                <w:rFonts w:ascii="Calibri" w:hAnsi="Calibri"/>
                <w:sz w:val="22"/>
                <w:szCs w:val="22"/>
                <w:lang w:val="en-GB"/>
              </w:rPr>
              <w:t>0.56</w:t>
            </w:r>
          </w:p>
        </w:tc>
        <w:tc>
          <w:tcPr>
            <w:tcW w:w="681" w:type="dxa"/>
          </w:tcPr>
          <w:p>
            <w:pPr>
              <w:widowControl w:val="0"/>
              <w:spacing w:line="240" w:lineRule="auto"/>
              <w:jc w:val="both"/>
              <w:rPr>
                <w:rFonts w:ascii="Calibri" w:hAnsi="Calibri"/>
                <w:sz w:val="22"/>
                <w:szCs w:val="22"/>
                <w:lang w:val="en-GB"/>
              </w:rPr>
            </w:pPr>
            <w:r>
              <w:rPr>
                <w:rFonts w:ascii="Calibri" w:hAnsi="Calibri"/>
                <w:sz w:val="22"/>
                <w:szCs w:val="22"/>
                <w:lang w:val="en-GB"/>
              </w:rPr>
              <w:t>0.59</w:t>
            </w:r>
          </w:p>
        </w:tc>
        <w:tc>
          <w:tcPr>
            <w:tcW w:w="692" w:type="dxa"/>
          </w:tcPr>
          <w:p>
            <w:pPr>
              <w:widowControl w:val="0"/>
              <w:spacing w:line="240" w:lineRule="auto"/>
              <w:jc w:val="both"/>
              <w:rPr>
                <w:rFonts w:ascii="Calibri" w:hAnsi="Calibri"/>
                <w:sz w:val="22"/>
                <w:szCs w:val="22"/>
                <w:lang w:val="en-GB"/>
              </w:rPr>
            </w:pPr>
            <w:r>
              <w:rPr>
                <w:rFonts w:ascii="Calibri" w:hAnsi="Calibri"/>
                <w:sz w:val="22"/>
                <w:szCs w:val="22"/>
                <w:lang w:val="en-GB"/>
              </w:rPr>
              <w:t>0.48</w:t>
            </w:r>
          </w:p>
        </w:tc>
        <w:tc>
          <w:tcPr>
            <w:tcW w:w="658" w:type="dxa"/>
          </w:tcPr>
          <w:p>
            <w:pPr>
              <w:widowControl w:val="0"/>
              <w:spacing w:line="240" w:lineRule="auto"/>
              <w:jc w:val="both"/>
              <w:rPr>
                <w:rFonts w:ascii="Calibri" w:hAnsi="Calibri"/>
                <w:sz w:val="22"/>
                <w:szCs w:val="22"/>
                <w:lang w:val="en-GB"/>
              </w:rPr>
            </w:pPr>
            <w:r>
              <w:rPr>
                <w:rFonts w:ascii="Calibri" w:hAnsi="Calibri"/>
                <w:sz w:val="22"/>
                <w:szCs w:val="22"/>
                <w:lang w:val="en-GB"/>
              </w:rPr>
              <w:t>0.42</w:t>
            </w:r>
          </w:p>
        </w:tc>
      </w:tr>
    </w:tbl>
    <w:p>
      <w:pPr>
        <w:spacing w:line="240" w:lineRule="auto"/>
        <w:jc w:val="both"/>
        <w:rPr>
          <w:rFonts w:ascii="Calibri" w:hAnsi="Calibri" w:cs="Calibri"/>
          <w:b/>
          <w:bCs/>
          <w:sz w:val="22"/>
          <w:szCs w:val="22"/>
          <w:lang w:val="en-GB"/>
        </w:rPr>
      </w:pPr>
    </w:p>
    <w:p>
      <w:pPr>
        <w:spacing w:line="240" w:lineRule="auto"/>
        <w:jc w:val="both"/>
        <w:rPr>
          <w:rFonts w:ascii="Calibri" w:hAnsi="Calibri"/>
          <w:sz w:val="22"/>
          <w:szCs w:val="22"/>
          <w:lang w:val="en-GB"/>
        </w:rPr>
      </w:pPr>
    </w:p>
    <w:p>
      <w:pPr>
        <w:spacing w:line="240" w:lineRule="auto"/>
        <w:jc w:val="both"/>
        <w:rPr>
          <w:rFonts w:ascii="Calibri" w:hAnsi="Calibri"/>
          <w:sz w:val="22"/>
          <w:szCs w:val="22"/>
          <w:lang w:val="en-GB"/>
        </w:rPr>
      </w:pPr>
    </w:p>
    <w:p>
      <w:pPr>
        <w:spacing w:line="240" w:lineRule="auto"/>
        <w:jc w:val="both"/>
        <w:rPr>
          <w:rFonts w:ascii="Calibri" w:hAnsi="Calibri"/>
          <w:sz w:val="22"/>
          <w:szCs w:val="22"/>
          <w:lang w:val="en-GB"/>
        </w:rPr>
      </w:pPr>
      <w:r>
        <w:rPr>
          <w:rFonts w:ascii="Calibri" w:hAnsi="Calibri" w:cs="Calibri"/>
          <w:b/>
          <w:bCs/>
          <w:sz w:val="22"/>
          <w:szCs w:val="22"/>
          <w:lang w:val="en-GB"/>
        </w:rPr>
        <w:t xml:space="preserve">Table A.1. </w:t>
      </w:r>
      <w:r>
        <w:rPr>
          <w:rFonts w:ascii="Calibri" w:hAnsi="Calibri" w:cs="Calibri"/>
          <w:sz w:val="22"/>
          <w:szCs w:val="22"/>
          <w:lang w:val="en-GB"/>
        </w:rPr>
        <w:t>The optimised weights, per spectral band, for the T</w:t>
      </w:r>
      <w:r>
        <w:rPr>
          <w:rFonts w:ascii="Calibri" w:hAnsi="Calibri" w:cs="Calibri"/>
          <w:sz w:val="22"/>
          <w:szCs w:val="22"/>
          <w:vertAlign w:val="superscript"/>
          <w:lang w:val="en-GB"/>
        </w:rPr>
        <w:t>2</w:t>
      </w:r>
      <w:r>
        <w:rPr>
          <w:rFonts w:hint="default" w:ascii="Calibri" w:hAnsi="Calibri" w:cs="Calibri"/>
          <w:sz w:val="22"/>
          <w:szCs w:val="22"/>
          <w:vertAlign w:val="subscript"/>
          <w:lang w:val="en-GB"/>
        </w:rPr>
        <w:t>Daig</w:t>
      </w:r>
      <w:r>
        <w:rPr>
          <w:rFonts w:ascii="Calibri" w:hAnsi="Calibri" w:cs="Calibri"/>
          <w:sz w:val="22"/>
          <w:szCs w:val="22"/>
          <w:lang w:val="en-GB"/>
        </w:rPr>
        <w:t xml:space="preserve"> statistic. </w:t>
      </w:r>
    </w:p>
    <w:p>
      <w:pPr>
        <w:spacing w:line="240" w:lineRule="auto"/>
        <w:jc w:val="both"/>
        <w:rPr>
          <w:rFonts w:ascii="Calibri" w:hAnsi="Calibri"/>
          <w:sz w:val="22"/>
          <w:szCs w:val="22"/>
          <w:lang w:val="en-GB"/>
        </w:rPr>
      </w:pPr>
    </w:p>
    <w:p>
      <w:pPr>
        <w:spacing w:line="240" w:lineRule="auto"/>
        <w:jc w:val="both"/>
        <w:rPr>
          <w:rFonts w:hint="default" w:ascii="Calibri" w:hAnsi="Calibri" w:cs="Calibri"/>
          <w:sz w:val="22"/>
          <w:szCs w:val="22"/>
          <w:u w:val="single"/>
          <w:lang w:val="en-GB"/>
        </w:rPr>
      </w:pPr>
      <w:r>
        <w:rPr>
          <w:rFonts w:hint="default" w:ascii="Calibri" w:hAnsi="Calibri" w:cs="Calibri"/>
          <w:sz w:val="22"/>
          <w:szCs w:val="22"/>
          <w:u w:val="single"/>
          <w:lang w:val="en-GB"/>
        </w:rPr>
        <w:t>Discussion</w:t>
      </w:r>
    </w:p>
    <w:p>
      <w:pPr>
        <w:pStyle w:val="17"/>
        <w:spacing w:line="240" w:lineRule="auto"/>
        <w:jc w:val="both"/>
        <w:rPr>
          <w:rFonts w:hint="default" w:ascii="Calibri" w:hAnsi="Calibri" w:cs="Calibri"/>
          <w:b/>
          <w:bCs/>
          <w:i/>
          <w:iCs/>
          <w:lang w:val="en-GB"/>
        </w:rPr>
      </w:pPr>
      <w:r>
        <w:rPr>
          <w:rFonts w:hint="default" w:ascii="Calibri" w:hAnsi="Calibri" w:cs="Calibri"/>
          <w:lang w:val="en-GB"/>
        </w:rPr>
        <w:t>R</w:t>
      </w:r>
      <w:r>
        <w:rPr>
          <w:rFonts w:ascii="Calibri" w:hAnsi="Calibri" w:cs="Calibri"/>
          <w:lang w:val="en-GB"/>
        </w:rPr>
        <w:t xml:space="preserve">esults </w:t>
      </w:r>
      <w:r>
        <w:rPr>
          <w:rFonts w:hint="default" w:ascii="Calibri" w:hAnsi="Calibri" w:cs="Calibri"/>
          <w:lang w:val="en-GB"/>
        </w:rPr>
        <w:t xml:space="preserve">show </w:t>
      </w:r>
      <w:r>
        <w:rPr>
          <w:rFonts w:ascii="Calibri" w:hAnsi="Calibri" w:cs="Calibri"/>
          <w:lang w:val="en-GB"/>
        </w:rPr>
        <w:t xml:space="preserve">that test sensitivity was impacted primarily by the 5 top-ranking spectral bands, which includes all bands between 1 and 8 Hz. Test performance was furthermore optimal when these bands received a more or less equal weighting. Including the 8-15 Hz bands had </w:t>
      </w:r>
      <w:r>
        <w:rPr>
          <w:rFonts w:hint="default" w:ascii="Calibri" w:hAnsi="Calibri" w:cs="Calibri"/>
          <w:lang w:val="en-GB"/>
        </w:rPr>
        <w:t xml:space="preserve">relatively </w:t>
      </w:r>
      <w:r>
        <w:rPr>
          <w:rFonts w:ascii="Calibri" w:hAnsi="Calibri" w:cs="Calibri"/>
          <w:lang w:val="en-GB"/>
        </w:rPr>
        <w:t xml:space="preserve">little impact on test performance, albeit under the condition that these were down-weighted using weights of ~0.5 or less. These results </w:t>
      </w:r>
      <w:r>
        <w:rPr>
          <w:rFonts w:hint="default" w:ascii="Calibri" w:hAnsi="Calibri" w:cs="Calibri"/>
          <w:lang w:val="en-GB"/>
        </w:rPr>
        <w:t xml:space="preserve">hence </w:t>
      </w:r>
      <w:r>
        <w:rPr>
          <w:rFonts w:ascii="Calibri" w:hAnsi="Calibri" w:cs="Calibri"/>
          <w:lang w:val="en-GB"/>
        </w:rPr>
        <w:t xml:space="preserve">suggest that, when applied to all spectral bands between 1 and 8 Hz, the weight vector </w:t>
      </w:r>
      <w:r>
        <w:rPr>
          <w:rFonts w:ascii="Calibri" w:hAnsi="Calibri" w:cs="Calibri"/>
          <w:b/>
          <w:bCs/>
          <w:i w:val="0"/>
          <w:iCs w:val="0"/>
          <w:lang w:val="en-GB"/>
        </w:rPr>
        <w:t>w</w:t>
      </w:r>
      <w:r>
        <w:rPr>
          <w:rFonts w:ascii="Calibri" w:hAnsi="Calibri" w:cs="Calibri"/>
          <w:lang w:val="en-GB"/>
        </w:rPr>
        <w:t xml:space="preserve"> can </w:t>
      </w:r>
      <w:r>
        <w:rPr>
          <w:rFonts w:hint="default" w:ascii="Calibri" w:hAnsi="Calibri" w:cs="Calibri"/>
          <w:lang w:val="en-GB"/>
        </w:rPr>
        <w:t xml:space="preserve">potentially </w:t>
      </w:r>
      <w:r>
        <w:rPr>
          <w:rFonts w:ascii="Calibri" w:hAnsi="Calibri" w:cs="Calibri"/>
          <w:lang w:val="en-GB"/>
        </w:rPr>
        <w:t>be removed from the T</w:t>
      </w:r>
      <w:r>
        <w:rPr>
          <w:rFonts w:ascii="Calibri" w:hAnsi="Calibri" w:cs="Calibri"/>
          <w:vertAlign w:val="superscript"/>
          <w:lang w:val="en-GB"/>
        </w:rPr>
        <w:t>2</w:t>
      </w:r>
      <w:r>
        <w:rPr>
          <w:rFonts w:ascii="Calibri" w:hAnsi="Calibri" w:cs="Calibri"/>
          <w:vertAlign w:val="subscript"/>
          <w:lang w:val="en-GB"/>
        </w:rPr>
        <w:t>Diag</w:t>
      </w:r>
      <w:r>
        <w:rPr>
          <w:rFonts w:ascii="Calibri" w:hAnsi="Calibri" w:cs="Calibri"/>
          <w:lang w:val="en-GB"/>
        </w:rPr>
        <w:t xml:space="preserve"> statistic, and all spectral bands can be weighted equally. </w:t>
      </w:r>
      <w:r>
        <w:rPr>
          <w:rFonts w:hint="default" w:ascii="Calibri" w:hAnsi="Calibri" w:cs="Calibri"/>
          <w:lang w:val="en-GB"/>
        </w:rPr>
        <w:t xml:space="preserve">Within the interest of a fair comparison between methods, the analysis in the main text used the optimised </w:t>
      </w:r>
      <w:r>
        <w:rPr>
          <w:rFonts w:ascii="Calibri" w:hAnsi="Calibri" w:cs="Calibri"/>
          <w:lang w:val="en-GB"/>
        </w:rPr>
        <w:t xml:space="preserve">weight vector </w:t>
      </w:r>
      <w:r>
        <w:rPr>
          <w:rFonts w:ascii="Calibri" w:hAnsi="Calibri" w:cs="Calibri"/>
          <w:b/>
          <w:bCs/>
          <w:i w:val="0"/>
          <w:iCs w:val="0"/>
          <w:lang w:val="en-GB"/>
        </w:rPr>
        <w:t>w</w:t>
      </w:r>
      <w:r>
        <w:rPr>
          <w:rFonts w:hint="default" w:ascii="Calibri" w:hAnsi="Calibri" w:cs="Calibri"/>
          <w:b/>
          <w:bCs/>
          <w:i/>
          <w:iCs/>
          <w:lang w:val="en-GB"/>
        </w:rPr>
        <w:t>.</w:t>
      </w:r>
    </w:p>
    <w:p>
      <w:pPr>
        <w:pStyle w:val="17"/>
        <w:spacing w:line="240" w:lineRule="auto"/>
        <w:jc w:val="both"/>
        <w:rPr>
          <w:rFonts w:hint="default" w:ascii="Calibri" w:hAnsi="Calibri" w:cs="Calibri"/>
          <w:b/>
          <w:bCs/>
          <w:i/>
          <w:iCs/>
          <w:lang w:val="en-GB"/>
        </w:rPr>
      </w:pPr>
    </w:p>
    <w:p>
      <w:pPr>
        <w:pStyle w:val="17"/>
        <w:spacing w:line="240" w:lineRule="auto"/>
        <w:jc w:val="both"/>
        <w:rPr>
          <w:rFonts w:ascii="Calibri" w:hAnsi="Calibri" w:cs="Calibri"/>
          <w:sz w:val="22"/>
          <w:szCs w:val="22"/>
          <w:lang w:val="en-GB"/>
        </w:rPr>
      </w:pPr>
    </w:p>
    <w:p>
      <w:pPr>
        <w:spacing w:line="240" w:lineRule="auto"/>
        <w:jc w:val="both"/>
        <w:rPr>
          <w:rFonts w:ascii="Calibri" w:hAnsi="Calibri" w:cs="Calibri"/>
          <w:b/>
          <w:bCs/>
          <w:sz w:val="22"/>
          <w:szCs w:val="22"/>
          <w:lang w:val="en-GB"/>
        </w:rPr>
      </w:pPr>
      <w:r>
        <w:rPr>
          <w:rFonts w:ascii="Calibri" w:hAnsi="Calibri" w:cs="Calibri"/>
          <w:b/>
          <w:bCs/>
          <w:sz w:val="22"/>
          <w:szCs w:val="22"/>
          <w:lang w:val="en-GB"/>
        </w:rPr>
        <w:t>References</w:t>
      </w:r>
    </w:p>
    <w:p>
      <w:pPr>
        <w:spacing w:line="240" w:lineRule="auto"/>
        <w:jc w:val="both"/>
        <w:rPr>
          <w:rFonts w:ascii="Calibri" w:hAnsi="Calibri" w:cs="Calibri"/>
          <w:sz w:val="22"/>
          <w:szCs w:val="22"/>
          <w:lang w:val="en-GB"/>
        </w:rPr>
      </w:pPr>
      <w:r>
        <w:rPr>
          <w:rFonts w:ascii="Calibri" w:hAnsi="Calibri" w:cs="Calibri"/>
          <w:sz w:val="22"/>
          <w:szCs w:val="22"/>
          <w:lang w:val="en-GB"/>
        </w:rPr>
        <w:t xml:space="preserve">Bai Z., Saranadasa H. </w:t>
      </w:r>
      <w:r>
        <w:rPr>
          <w:rFonts w:hint="default" w:ascii="Calibri" w:hAnsi="Calibri" w:cs="Calibri"/>
          <w:sz w:val="22"/>
          <w:szCs w:val="22"/>
          <w:lang w:val="en-GB"/>
        </w:rPr>
        <w:t xml:space="preserve">Effect of high dimension: by an example of a two-sample problem. </w:t>
      </w:r>
      <w:r>
        <w:rPr>
          <w:rFonts w:ascii="Calibri" w:hAnsi="Calibri" w:cs="Calibri"/>
          <w:sz w:val="22"/>
          <w:szCs w:val="22"/>
          <w:lang w:val="en-GB"/>
        </w:rPr>
        <w:t xml:space="preserve">Statistica Sinica, (1996). 6(2), 311-329. </w:t>
      </w:r>
    </w:p>
    <w:p>
      <w:pPr>
        <w:pStyle w:val="17"/>
        <w:spacing w:line="240" w:lineRule="auto"/>
        <w:jc w:val="both"/>
        <w:rPr>
          <w:rFonts w:ascii="Calibri" w:hAnsi="Calibri" w:cs="Calibri"/>
          <w:lang w:val="en-GB"/>
        </w:rPr>
      </w:pPr>
    </w:p>
    <w:p>
      <w:pPr>
        <w:pStyle w:val="17"/>
        <w:spacing w:line="240" w:lineRule="auto"/>
        <w:jc w:val="both"/>
        <w:rPr>
          <w:rFonts w:ascii="Calibri" w:hAnsi="Calibri" w:cs="Calibri"/>
          <w:lang w:val="en-GB"/>
        </w:rPr>
      </w:pPr>
      <w:r>
        <w:rPr>
          <w:rFonts w:ascii="Calibri" w:hAnsi="Calibri" w:cs="Calibri"/>
          <w:lang w:val="en-GB"/>
        </w:rPr>
        <w:t xml:space="preserve">Fawcett T. 2006. An introduction to ROC analysis. Pattern Recognition Letters, Vol 27, pp. 861-874. </w:t>
      </w:r>
      <w:r>
        <w:rPr>
          <w:rFonts w:ascii="Calibri" w:hAnsi="Calibri"/>
          <w:lang w:val="en-GB"/>
        </w:rPr>
        <w:t>DOI: 10.1016/j.patrec.2005.10.010</w:t>
      </w:r>
    </w:p>
    <w:p>
      <w:pPr>
        <w:spacing w:line="240" w:lineRule="auto"/>
        <w:jc w:val="both"/>
        <w:rPr>
          <w:rFonts w:ascii="Calibri" w:hAnsi="Calibri" w:cs="Calibri"/>
          <w:sz w:val="22"/>
          <w:szCs w:val="22"/>
          <w:lang w:val="en-GB"/>
        </w:rPr>
      </w:pPr>
    </w:p>
    <w:p>
      <w:pPr>
        <w:spacing w:line="240" w:lineRule="auto"/>
        <w:jc w:val="both"/>
        <w:rPr>
          <w:rFonts w:ascii="Calibri" w:hAnsi="Calibri" w:cs="Calibri"/>
          <w:sz w:val="22"/>
          <w:szCs w:val="22"/>
          <w:lang w:val="en-GB"/>
        </w:rPr>
      </w:pPr>
      <w:r>
        <w:rPr>
          <w:rFonts w:ascii="Calibri" w:hAnsi="Calibri" w:cs="Calibri"/>
          <w:lang w:val="en-GB"/>
        </w:rPr>
        <w:t xml:space="preserve">For the modified </w:t>
      </w:r>
      <w:r>
        <w:rPr>
          <w:rFonts w:hint="default" w:ascii="Calibri" w:hAnsi="Calibri" w:cs="Calibri"/>
          <w:lang w:val="en-GB"/>
        </w:rPr>
        <w:t>q</w:t>
      </w:r>
      <w:r>
        <w:rPr>
          <w:rFonts w:ascii="Calibri" w:hAnsi="Calibri" w:cs="Calibri"/>
          <w:lang w:val="en-GB"/>
        </w:rPr>
        <w:t xml:space="preserve">-sample statistics, features consist of the phases and magnitudes of the Fourier components, which contain the same information as the real and imaginary parts used by the HT2 test. </w:t>
      </w:r>
    </w:p>
    <w:sectPr>
      <w:pgSz w:w="11906" w:h="16838"/>
      <w:pgMar w:top="1134" w:right="1134" w:bottom="1134" w:left="1134" w:header="720" w:footer="720" w:gutter="0"/>
      <w:lnNumType w:countBy="1" w:restart="continuous"/>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FreeSans">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Times-Roman">
    <w:altName w:val="Times New Roman"/>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33C87C"/>
    <w:multiLevelType w:val="singleLevel"/>
    <w:tmpl w:val="DD33C87C"/>
    <w:lvl w:ilvl="0" w:tentative="0">
      <w:start w:val="1"/>
      <w:numFmt w:val="decimal"/>
      <w:suff w:val="space"/>
      <w:lvlText w:val="%1."/>
      <w:lvlJc w:val="left"/>
    </w:lvl>
  </w:abstractNum>
  <w:abstractNum w:abstractNumId="1">
    <w:nsid w:val="5A2B08BB"/>
    <w:multiLevelType w:val="singleLevel"/>
    <w:tmpl w:val="5A2B08BB"/>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420"/>
  <w:hyphenationZone w:val="42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769"/>
    <w:rsid w:val="00003D21"/>
    <w:rsid w:val="00005727"/>
    <w:rsid w:val="00011928"/>
    <w:rsid w:val="000151A1"/>
    <w:rsid w:val="00017646"/>
    <w:rsid w:val="000237FD"/>
    <w:rsid w:val="00035D7A"/>
    <w:rsid w:val="0004024E"/>
    <w:rsid w:val="00042B1D"/>
    <w:rsid w:val="00043E7A"/>
    <w:rsid w:val="00046990"/>
    <w:rsid w:val="00047F61"/>
    <w:rsid w:val="00050FC7"/>
    <w:rsid w:val="00052166"/>
    <w:rsid w:val="00061234"/>
    <w:rsid w:val="00063870"/>
    <w:rsid w:val="00066CBC"/>
    <w:rsid w:val="00075D71"/>
    <w:rsid w:val="00076BB9"/>
    <w:rsid w:val="000772E1"/>
    <w:rsid w:val="00077834"/>
    <w:rsid w:val="0008683C"/>
    <w:rsid w:val="0009221E"/>
    <w:rsid w:val="00095997"/>
    <w:rsid w:val="00097A40"/>
    <w:rsid w:val="000A1746"/>
    <w:rsid w:val="000A37E0"/>
    <w:rsid w:val="000C1413"/>
    <w:rsid w:val="000C1751"/>
    <w:rsid w:val="000C24BA"/>
    <w:rsid w:val="000D18AA"/>
    <w:rsid w:val="000D4309"/>
    <w:rsid w:val="000D5456"/>
    <w:rsid w:val="000E0D89"/>
    <w:rsid w:val="000E1133"/>
    <w:rsid w:val="000E2654"/>
    <w:rsid w:val="000E3BC4"/>
    <w:rsid w:val="000E7EE5"/>
    <w:rsid w:val="000F105B"/>
    <w:rsid w:val="000F13C5"/>
    <w:rsid w:val="000F1C11"/>
    <w:rsid w:val="000F2497"/>
    <w:rsid w:val="001014C2"/>
    <w:rsid w:val="00110375"/>
    <w:rsid w:val="00112B47"/>
    <w:rsid w:val="00114DD6"/>
    <w:rsid w:val="00116BF0"/>
    <w:rsid w:val="0012258B"/>
    <w:rsid w:val="00123631"/>
    <w:rsid w:val="00124B54"/>
    <w:rsid w:val="0012510F"/>
    <w:rsid w:val="00125CC1"/>
    <w:rsid w:val="00125F58"/>
    <w:rsid w:val="00133C0E"/>
    <w:rsid w:val="00141CFE"/>
    <w:rsid w:val="001442FF"/>
    <w:rsid w:val="00152FC4"/>
    <w:rsid w:val="00156E4C"/>
    <w:rsid w:val="00161367"/>
    <w:rsid w:val="0016731B"/>
    <w:rsid w:val="00170BA0"/>
    <w:rsid w:val="00172216"/>
    <w:rsid w:val="00172A27"/>
    <w:rsid w:val="001770DE"/>
    <w:rsid w:val="00182863"/>
    <w:rsid w:val="00182AE5"/>
    <w:rsid w:val="00183008"/>
    <w:rsid w:val="00184287"/>
    <w:rsid w:val="001845E4"/>
    <w:rsid w:val="00187A56"/>
    <w:rsid w:val="00192EED"/>
    <w:rsid w:val="00193B60"/>
    <w:rsid w:val="0019432D"/>
    <w:rsid w:val="001A47DF"/>
    <w:rsid w:val="001A49DE"/>
    <w:rsid w:val="001A663C"/>
    <w:rsid w:val="001B2697"/>
    <w:rsid w:val="001B46C8"/>
    <w:rsid w:val="001B4C65"/>
    <w:rsid w:val="001B4DF6"/>
    <w:rsid w:val="001B671A"/>
    <w:rsid w:val="001D65B9"/>
    <w:rsid w:val="001D68C0"/>
    <w:rsid w:val="001E21E0"/>
    <w:rsid w:val="001E5375"/>
    <w:rsid w:val="001E6B1D"/>
    <w:rsid w:val="001F1CC8"/>
    <w:rsid w:val="001F76A8"/>
    <w:rsid w:val="00204F8F"/>
    <w:rsid w:val="00210ED5"/>
    <w:rsid w:val="00212109"/>
    <w:rsid w:val="00227CDA"/>
    <w:rsid w:val="002346DF"/>
    <w:rsid w:val="002348EB"/>
    <w:rsid w:val="00236BBD"/>
    <w:rsid w:val="00245058"/>
    <w:rsid w:val="002513AF"/>
    <w:rsid w:val="00251DE9"/>
    <w:rsid w:val="00253B52"/>
    <w:rsid w:val="00263391"/>
    <w:rsid w:val="00265772"/>
    <w:rsid w:val="00272ED2"/>
    <w:rsid w:val="002753CC"/>
    <w:rsid w:val="00277F8D"/>
    <w:rsid w:val="00281D39"/>
    <w:rsid w:val="002A49D0"/>
    <w:rsid w:val="002A607A"/>
    <w:rsid w:val="002A6CBE"/>
    <w:rsid w:val="002A79F4"/>
    <w:rsid w:val="002B7B04"/>
    <w:rsid w:val="002C31E8"/>
    <w:rsid w:val="002C6541"/>
    <w:rsid w:val="002D2147"/>
    <w:rsid w:val="002D5087"/>
    <w:rsid w:val="002D61DE"/>
    <w:rsid w:val="002E2580"/>
    <w:rsid w:val="002E7061"/>
    <w:rsid w:val="002F1140"/>
    <w:rsid w:val="002F2531"/>
    <w:rsid w:val="002F4760"/>
    <w:rsid w:val="002F7D6C"/>
    <w:rsid w:val="00300CC0"/>
    <w:rsid w:val="00301477"/>
    <w:rsid w:val="00302C31"/>
    <w:rsid w:val="00305929"/>
    <w:rsid w:val="00307DEE"/>
    <w:rsid w:val="003102AB"/>
    <w:rsid w:val="00314E0D"/>
    <w:rsid w:val="0032683B"/>
    <w:rsid w:val="0034089C"/>
    <w:rsid w:val="00342FD0"/>
    <w:rsid w:val="003450B9"/>
    <w:rsid w:val="00353F85"/>
    <w:rsid w:val="00355487"/>
    <w:rsid w:val="00356B54"/>
    <w:rsid w:val="00360672"/>
    <w:rsid w:val="00360AF6"/>
    <w:rsid w:val="00361918"/>
    <w:rsid w:val="00361A2E"/>
    <w:rsid w:val="00363C6A"/>
    <w:rsid w:val="00367A1C"/>
    <w:rsid w:val="003702BB"/>
    <w:rsid w:val="00370E46"/>
    <w:rsid w:val="00385FED"/>
    <w:rsid w:val="003A0EBE"/>
    <w:rsid w:val="003A2AF3"/>
    <w:rsid w:val="003A2BFC"/>
    <w:rsid w:val="003B5AF5"/>
    <w:rsid w:val="003B5E76"/>
    <w:rsid w:val="003B6456"/>
    <w:rsid w:val="003C0E66"/>
    <w:rsid w:val="003C15A9"/>
    <w:rsid w:val="003C4F97"/>
    <w:rsid w:val="003C6BF9"/>
    <w:rsid w:val="003D0171"/>
    <w:rsid w:val="003D24D8"/>
    <w:rsid w:val="003D25E3"/>
    <w:rsid w:val="003D7A8E"/>
    <w:rsid w:val="003E3656"/>
    <w:rsid w:val="003E51B4"/>
    <w:rsid w:val="003F2128"/>
    <w:rsid w:val="003F26B3"/>
    <w:rsid w:val="003F273A"/>
    <w:rsid w:val="0040257F"/>
    <w:rsid w:val="00404968"/>
    <w:rsid w:val="0040783E"/>
    <w:rsid w:val="004100E2"/>
    <w:rsid w:val="004162E7"/>
    <w:rsid w:val="0042046A"/>
    <w:rsid w:val="004208A2"/>
    <w:rsid w:val="00427254"/>
    <w:rsid w:val="0043253D"/>
    <w:rsid w:val="00433E6F"/>
    <w:rsid w:val="0044491D"/>
    <w:rsid w:val="004553E4"/>
    <w:rsid w:val="00455C3C"/>
    <w:rsid w:val="00455F49"/>
    <w:rsid w:val="004566FC"/>
    <w:rsid w:val="004576B3"/>
    <w:rsid w:val="004629EF"/>
    <w:rsid w:val="00475B0E"/>
    <w:rsid w:val="00476476"/>
    <w:rsid w:val="00490241"/>
    <w:rsid w:val="00491012"/>
    <w:rsid w:val="00497143"/>
    <w:rsid w:val="00497C4A"/>
    <w:rsid w:val="00497D81"/>
    <w:rsid w:val="004A284A"/>
    <w:rsid w:val="004A4E6F"/>
    <w:rsid w:val="004A5F60"/>
    <w:rsid w:val="004B1E9C"/>
    <w:rsid w:val="004B2968"/>
    <w:rsid w:val="004C0D05"/>
    <w:rsid w:val="004C4A58"/>
    <w:rsid w:val="004D0C3E"/>
    <w:rsid w:val="004D2ADA"/>
    <w:rsid w:val="004D2D3A"/>
    <w:rsid w:val="004D6B2C"/>
    <w:rsid w:val="004E05F7"/>
    <w:rsid w:val="004E513B"/>
    <w:rsid w:val="004F4967"/>
    <w:rsid w:val="00503D2C"/>
    <w:rsid w:val="00506286"/>
    <w:rsid w:val="00507BC9"/>
    <w:rsid w:val="00510D90"/>
    <w:rsid w:val="005112E4"/>
    <w:rsid w:val="0051301D"/>
    <w:rsid w:val="00513DC5"/>
    <w:rsid w:val="00520349"/>
    <w:rsid w:val="00521C83"/>
    <w:rsid w:val="0052723F"/>
    <w:rsid w:val="00533D2D"/>
    <w:rsid w:val="00537653"/>
    <w:rsid w:val="00560CB7"/>
    <w:rsid w:val="00561C1E"/>
    <w:rsid w:val="00561DDB"/>
    <w:rsid w:val="0056376C"/>
    <w:rsid w:val="00572FC1"/>
    <w:rsid w:val="00576593"/>
    <w:rsid w:val="00581388"/>
    <w:rsid w:val="00582993"/>
    <w:rsid w:val="00583024"/>
    <w:rsid w:val="00587D1F"/>
    <w:rsid w:val="0059444D"/>
    <w:rsid w:val="005A2D82"/>
    <w:rsid w:val="005A7108"/>
    <w:rsid w:val="005B4B8D"/>
    <w:rsid w:val="005B512A"/>
    <w:rsid w:val="005B5AA1"/>
    <w:rsid w:val="005B6804"/>
    <w:rsid w:val="005C1C5E"/>
    <w:rsid w:val="005C3F5C"/>
    <w:rsid w:val="005C6E33"/>
    <w:rsid w:val="005D2714"/>
    <w:rsid w:val="005D2F4A"/>
    <w:rsid w:val="005D7B9A"/>
    <w:rsid w:val="005D7EB9"/>
    <w:rsid w:val="00610B8C"/>
    <w:rsid w:val="00614ACF"/>
    <w:rsid w:val="00617015"/>
    <w:rsid w:val="00622A35"/>
    <w:rsid w:val="00623FC0"/>
    <w:rsid w:val="00625583"/>
    <w:rsid w:val="00627728"/>
    <w:rsid w:val="00634467"/>
    <w:rsid w:val="00635237"/>
    <w:rsid w:val="00636C79"/>
    <w:rsid w:val="00637A1A"/>
    <w:rsid w:val="0064238A"/>
    <w:rsid w:val="00642731"/>
    <w:rsid w:val="00642E14"/>
    <w:rsid w:val="00645F81"/>
    <w:rsid w:val="006473F7"/>
    <w:rsid w:val="00650054"/>
    <w:rsid w:val="00650549"/>
    <w:rsid w:val="006521FA"/>
    <w:rsid w:val="006534C9"/>
    <w:rsid w:val="00653579"/>
    <w:rsid w:val="00656E14"/>
    <w:rsid w:val="00661A03"/>
    <w:rsid w:val="00663EAB"/>
    <w:rsid w:val="006654AC"/>
    <w:rsid w:val="0066782B"/>
    <w:rsid w:val="00667DB6"/>
    <w:rsid w:val="00671236"/>
    <w:rsid w:val="00673095"/>
    <w:rsid w:val="006752D6"/>
    <w:rsid w:val="0067683C"/>
    <w:rsid w:val="00680E66"/>
    <w:rsid w:val="00682148"/>
    <w:rsid w:val="00697A7C"/>
    <w:rsid w:val="006B75CF"/>
    <w:rsid w:val="006C4D44"/>
    <w:rsid w:val="006D04E7"/>
    <w:rsid w:val="006D0973"/>
    <w:rsid w:val="006D156A"/>
    <w:rsid w:val="006D61A4"/>
    <w:rsid w:val="006E1D77"/>
    <w:rsid w:val="006E5DE3"/>
    <w:rsid w:val="006E6135"/>
    <w:rsid w:val="006F3964"/>
    <w:rsid w:val="006F6E2F"/>
    <w:rsid w:val="00705390"/>
    <w:rsid w:val="00712C9D"/>
    <w:rsid w:val="00715407"/>
    <w:rsid w:val="00721B32"/>
    <w:rsid w:val="00723A5E"/>
    <w:rsid w:val="00724250"/>
    <w:rsid w:val="00724634"/>
    <w:rsid w:val="00733B4B"/>
    <w:rsid w:val="00734A4F"/>
    <w:rsid w:val="007555A7"/>
    <w:rsid w:val="00755AD9"/>
    <w:rsid w:val="0076218C"/>
    <w:rsid w:val="00762673"/>
    <w:rsid w:val="007703F1"/>
    <w:rsid w:val="007750A5"/>
    <w:rsid w:val="00776EB4"/>
    <w:rsid w:val="00781BFA"/>
    <w:rsid w:val="00783613"/>
    <w:rsid w:val="00785F19"/>
    <w:rsid w:val="007A037E"/>
    <w:rsid w:val="007A08D8"/>
    <w:rsid w:val="007A19E1"/>
    <w:rsid w:val="007A5389"/>
    <w:rsid w:val="007A5E8D"/>
    <w:rsid w:val="007B16A2"/>
    <w:rsid w:val="007B18F0"/>
    <w:rsid w:val="007B6728"/>
    <w:rsid w:val="007C3A02"/>
    <w:rsid w:val="007D287C"/>
    <w:rsid w:val="007D4761"/>
    <w:rsid w:val="007E0941"/>
    <w:rsid w:val="007E4FDE"/>
    <w:rsid w:val="007E7F20"/>
    <w:rsid w:val="007F24D8"/>
    <w:rsid w:val="007F3D7B"/>
    <w:rsid w:val="007F73E9"/>
    <w:rsid w:val="007F7AEB"/>
    <w:rsid w:val="00800C88"/>
    <w:rsid w:val="008108CC"/>
    <w:rsid w:val="0082083A"/>
    <w:rsid w:val="00820D89"/>
    <w:rsid w:val="00821189"/>
    <w:rsid w:val="008214FB"/>
    <w:rsid w:val="008277B1"/>
    <w:rsid w:val="008332B0"/>
    <w:rsid w:val="0083448C"/>
    <w:rsid w:val="008351A3"/>
    <w:rsid w:val="008356FE"/>
    <w:rsid w:val="00840717"/>
    <w:rsid w:val="00842D99"/>
    <w:rsid w:val="00843579"/>
    <w:rsid w:val="008435D0"/>
    <w:rsid w:val="00843888"/>
    <w:rsid w:val="00847389"/>
    <w:rsid w:val="0084751C"/>
    <w:rsid w:val="00847DD1"/>
    <w:rsid w:val="0085220C"/>
    <w:rsid w:val="00860D65"/>
    <w:rsid w:val="00880108"/>
    <w:rsid w:val="00881609"/>
    <w:rsid w:val="00887744"/>
    <w:rsid w:val="0089149E"/>
    <w:rsid w:val="00897C5A"/>
    <w:rsid w:val="008A18CB"/>
    <w:rsid w:val="008A23B7"/>
    <w:rsid w:val="008A2ED6"/>
    <w:rsid w:val="008C0D5C"/>
    <w:rsid w:val="008C27AD"/>
    <w:rsid w:val="008C27D3"/>
    <w:rsid w:val="008C6221"/>
    <w:rsid w:val="008C6B7B"/>
    <w:rsid w:val="008D0605"/>
    <w:rsid w:val="008D0A6B"/>
    <w:rsid w:val="008D0DC8"/>
    <w:rsid w:val="008D1E7C"/>
    <w:rsid w:val="008D1F9E"/>
    <w:rsid w:val="008E59B5"/>
    <w:rsid w:val="008E7ACF"/>
    <w:rsid w:val="008F11AC"/>
    <w:rsid w:val="009003DE"/>
    <w:rsid w:val="00900405"/>
    <w:rsid w:val="00906AF8"/>
    <w:rsid w:val="0091692D"/>
    <w:rsid w:val="00921246"/>
    <w:rsid w:val="00921A5A"/>
    <w:rsid w:val="00921C28"/>
    <w:rsid w:val="0092467F"/>
    <w:rsid w:val="00926167"/>
    <w:rsid w:val="0093271A"/>
    <w:rsid w:val="0093280D"/>
    <w:rsid w:val="00934A33"/>
    <w:rsid w:val="009359F3"/>
    <w:rsid w:val="00940045"/>
    <w:rsid w:val="009425BB"/>
    <w:rsid w:val="00943A71"/>
    <w:rsid w:val="00951C6E"/>
    <w:rsid w:val="00951E9D"/>
    <w:rsid w:val="00960BB1"/>
    <w:rsid w:val="00965CC7"/>
    <w:rsid w:val="00967AAC"/>
    <w:rsid w:val="009715CD"/>
    <w:rsid w:val="00977E55"/>
    <w:rsid w:val="00980CF6"/>
    <w:rsid w:val="00984C50"/>
    <w:rsid w:val="009876BB"/>
    <w:rsid w:val="009902E5"/>
    <w:rsid w:val="00993A61"/>
    <w:rsid w:val="009956AC"/>
    <w:rsid w:val="009A329A"/>
    <w:rsid w:val="009B3292"/>
    <w:rsid w:val="009B3935"/>
    <w:rsid w:val="009B57C6"/>
    <w:rsid w:val="009C4810"/>
    <w:rsid w:val="009C7920"/>
    <w:rsid w:val="009D282F"/>
    <w:rsid w:val="009D2D6E"/>
    <w:rsid w:val="009D2EFF"/>
    <w:rsid w:val="009D431D"/>
    <w:rsid w:val="009D5FEE"/>
    <w:rsid w:val="009E2F29"/>
    <w:rsid w:val="009E311D"/>
    <w:rsid w:val="009E35AD"/>
    <w:rsid w:val="009F1E6C"/>
    <w:rsid w:val="009F3B60"/>
    <w:rsid w:val="009F641E"/>
    <w:rsid w:val="00A034A9"/>
    <w:rsid w:val="00A03DE2"/>
    <w:rsid w:val="00A10C7E"/>
    <w:rsid w:val="00A11CEA"/>
    <w:rsid w:val="00A1317A"/>
    <w:rsid w:val="00A156C6"/>
    <w:rsid w:val="00A20A90"/>
    <w:rsid w:val="00A21DCF"/>
    <w:rsid w:val="00A30A34"/>
    <w:rsid w:val="00A30E6A"/>
    <w:rsid w:val="00A31848"/>
    <w:rsid w:val="00A32159"/>
    <w:rsid w:val="00A513C7"/>
    <w:rsid w:val="00A515E8"/>
    <w:rsid w:val="00A73AE5"/>
    <w:rsid w:val="00A743D6"/>
    <w:rsid w:val="00A75344"/>
    <w:rsid w:val="00A8210A"/>
    <w:rsid w:val="00A84E20"/>
    <w:rsid w:val="00A85C58"/>
    <w:rsid w:val="00A870E7"/>
    <w:rsid w:val="00A87227"/>
    <w:rsid w:val="00A936D5"/>
    <w:rsid w:val="00AA358B"/>
    <w:rsid w:val="00AA5BE7"/>
    <w:rsid w:val="00AB4019"/>
    <w:rsid w:val="00AB60F9"/>
    <w:rsid w:val="00AB7652"/>
    <w:rsid w:val="00AC1807"/>
    <w:rsid w:val="00AC217B"/>
    <w:rsid w:val="00AD24B1"/>
    <w:rsid w:val="00AD488F"/>
    <w:rsid w:val="00AD56F9"/>
    <w:rsid w:val="00AD5FFE"/>
    <w:rsid w:val="00AD65E8"/>
    <w:rsid w:val="00AD6862"/>
    <w:rsid w:val="00AD6C4D"/>
    <w:rsid w:val="00AD7E52"/>
    <w:rsid w:val="00AE3B25"/>
    <w:rsid w:val="00AE6297"/>
    <w:rsid w:val="00AF0948"/>
    <w:rsid w:val="00AF3757"/>
    <w:rsid w:val="00AF465B"/>
    <w:rsid w:val="00B00158"/>
    <w:rsid w:val="00B04AB6"/>
    <w:rsid w:val="00B13828"/>
    <w:rsid w:val="00B14AAD"/>
    <w:rsid w:val="00B15239"/>
    <w:rsid w:val="00B16009"/>
    <w:rsid w:val="00B20416"/>
    <w:rsid w:val="00B226DA"/>
    <w:rsid w:val="00B22BE8"/>
    <w:rsid w:val="00B24AF6"/>
    <w:rsid w:val="00B278CB"/>
    <w:rsid w:val="00B30188"/>
    <w:rsid w:val="00B3054C"/>
    <w:rsid w:val="00B3120B"/>
    <w:rsid w:val="00B329C0"/>
    <w:rsid w:val="00B34145"/>
    <w:rsid w:val="00B37923"/>
    <w:rsid w:val="00B45BC1"/>
    <w:rsid w:val="00B516FF"/>
    <w:rsid w:val="00B62194"/>
    <w:rsid w:val="00B668F4"/>
    <w:rsid w:val="00B67E5F"/>
    <w:rsid w:val="00B7398B"/>
    <w:rsid w:val="00B75994"/>
    <w:rsid w:val="00B847FA"/>
    <w:rsid w:val="00B84836"/>
    <w:rsid w:val="00B91F22"/>
    <w:rsid w:val="00BA1C3A"/>
    <w:rsid w:val="00BB1BBD"/>
    <w:rsid w:val="00BB2CFB"/>
    <w:rsid w:val="00BB4FB1"/>
    <w:rsid w:val="00BC0B3D"/>
    <w:rsid w:val="00BC0E1F"/>
    <w:rsid w:val="00BC24A4"/>
    <w:rsid w:val="00BC7825"/>
    <w:rsid w:val="00BD0F53"/>
    <w:rsid w:val="00BD493E"/>
    <w:rsid w:val="00BD59F8"/>
    <w:rsid w:val="00BE00BD"/>
    <w:rsid w:val="00BE012B"/>
    <w:rsid w:val="00BE1F2E"/>
    <w:rsid w:val="00BE2EBD"/>
    <w:rsid w:val="00BE796C"/>
    <w:rsid w:val="00BF4BED"/>
    <w:rsid w:val="00C00993"/>
    <w:rsid w:val="00C03146"/>
    <w:rsid w:val="00C2521F"/>
    <w:rsid w:val="00C26ACF"/>
    <w:rsid w:val="00C30AE8"/>
    <w:rsid w:val="00C33C76"/>
    <w:rsid w:val="00C34B42"/>
    <w:rsid w:val="00C411D0"/>
    <w:rsid w:val="00C41628"/>
    <w:rsid w:val="00C42D6D"/>
    <w:rsid w:val="00C47BDD"/>
    <w:rsid w:val="00C51CD6"/>
    <w:rsid w:val="00C5452E"/>
    <w:rsid w:val="00C60712"/>
    <w:rsid w:val="00C73D36"/>
    <w:rsid w:val="00C75344"/>
    <w:rsid w:val="00C83E1E"/>
    <w:rsid w:val="00C84685"/>
    <w:rsid w:val="00C848B6"/>
    <w:rsid w:val="00C86E7C"/>
    <w:rsid w:val="00C86F0F"/>
    <w:rsid w:val="00C87082"/>
    <w:rsid w:val="00CA02D4"/>
    <w:rsid w:val="00CA1400"/>
    <w:rsid w:val="00CB7996"/>
    <w:rsid w:val="00CD4B6E"/>
    <w:rsid w:val="00CE21AA"/>
    <w:rsid w:val="00CE2C16"/>
    <w:rsid w:val="00CE4117"/>
    <w:rsid w:val="00CE4443"/>
    <w:rsid w:val="00CE6846"/>
    <w:rsid w:val="00CE7C05"/>
    <w:rsid w:val="00CF3B16"/>
    <w:rsid w:val="00CF660F"/>
    <w:rsid w:val="00CF7305"/>
    <w:rsid w:val="00D040F5"/>
    <w:rsid w:val="00D1247A"/>
    <w:rsid w:val="00D13BD3"/>
    <w:rsid w:val="00D20FE3"/>
    <w:rsid w:val="00D2381A"/>
    <w:rsid w:val="00D23908"/>
    <w:rsid w:val="00D23CB6"/>
    <w:rsid w:val="00D24731"/>
    <w:rsid w:val="00D31227"/>
    <w:rsid w:val="00D316B2"/>
    <w:rsid w:val="00D32CC2"/>
    <w:rsid w:val="00D363A8"/>
    <w:rsid w:val="00D40F11"/>
    <w:rsid w:val="00D41E05"/>
    <w:rsid w:val="00D52C8A"/>
    <w:rsid w:val="00D54557"/>
    <w:rsid w:val="00D54FA8"/>
    <w:rsid w:val="00D56168"/>
    <w:rsid w:val="00D633D7"/>
    <w:rsid w:val="00D71A49"/>
    <w:rsid w:val="00D746C3"/>
    <w:rsid w:val="00D77481"/>
    <w:rsid w:val="00D77E33"/>
    <w:rsid w:val="00D80AA4"/>
    <w:rsid w:val="00D87107"/>
    <w:rsid w:val="00D93C1A"/>
    <w:rsid w:val="00D95276"/>
    <w:rsid w:val="00D97E56"/>
    <w:rsid w:val="00DA0ADF"/>
    <w:rsid w:val="00DA6216"/>
    <w:rsid w:val="00DA71AB"/>
    <w:rsid w:val="00DA76A9"/>
    <w:rsid w:val="00DB3039"/>
    <w:rsid w:val="00DB692A"/>
    <w:rsid w:val="00DD0F52"/>
    <w:rsid w:val="00DD3154"/>
    <w:rsid w:val="00DD5F55"/>
    <w:rsid w:val="00DE0D55"/>
    <w:rsid w:val="00DE39D1"/>
    <w:rsid w:val="00DE64A0"/>
    <w:rsid w:val="00DE6F18"/>
    <w:rsid w:val="00DE6F5C"/>
    <w:rsid w:val="00E0468F"/>
    <w:rsid w:val="00E161EB"/>
    <w:rsid w:val="00E2190F"/>
    <w:rsid w:val="00E25E2E"/>
    <w:rsid w:val="00E3194F"/>
    <w:rsid w:val="00E32EE9"/>
    <w:rsid w:val="00E33AB1"/>
    <w:rsid w:val="00E36757"/>
    <w:rsid w:val="00E41B54"/>
    <w:rsid w:val="00E41D99"/>
    <w:rsid w:val="00E45BA3"/>
    <w:rsid w:val="00E51DC2"/>
    <w:rsid w:val="00E5418D"/>
    <w:rsid w:val="00E66169"/>
    <w:rsid w:val="00E67C47"/>
    <w:rsid w:val="00E770C4"/>
    <w:rsid w:val="00E809E8"/>
    <w:rsid w:val="00E85FFF"/>
    <w:rsid w:val="00E957F4"/>
    <w:rsid w:val="00E9772D"/>
    <w:rsid w:val="00E97784"/>
    <w:rsid w:val="00EA2392"/>
    <w:rsid w:val="00EA2426"/>
    <w:rsid w:val="00EA30B4"/>
    <w:rsid w:val="00EA7EBB"/>
    <w:rsid w:val="00EC0CCB"/>
    <w:rsid w:val="00EC6C0D"/>
    <w:rsid w:val="00ED2F43"/>
    <w:rsid w:val="00ED6D75"/>
    <w:rsid w:val="00EE3C48"/>
    <w:rsid w:val="00EE3F8C"/>
    <w:rsid w:val="00EE41FE"/>
    <w:rsid w:val="00EE49F1"/>
    <w:rsid w:val="00EE6D0B"/>
    <w:rsid w:val="00EF200F"/>
    <w:rsid w:val="00F07033"/>
    <w:rsid w:val="00F11324"/>
    <w:rsid w:val="00F12AA4"/>
    <w:rsid w:val="00F147FA"/>
    <w:rsid w:val="00F16344"/>
    <w:rsid w:val="00F20070"/>
    <w:rsid w:val="00F212F6"/>
    <w:rsid w:val="00F412D6"/>
    <w:rsid w:val="00F50123"/>
    <w:rsid w:val="00F627E5"/>
    <w:rsid w:val="00F65209"/>
    <w:rsid w:val="00F66F02"/>
    <w:rsid w:val="00F67B98"/>
    <w:rsid w:val="00F72661"/>
    <w:rsid w:val="00F755C3"/>
    <w:rsid w:val="00F8165D"/>
    <w:rsid w:val="00F97E08"/>
    <w:rsid w:val="00FA2963"/>
    <w:rsid w:val="00FA6BD3"/>
    <w:rsid w:val="00FB13C6"/>
    <w:rsid w:val="00FB2FD7"/>
    <w:rsid w:val="00FB3BBC"/>
    <w:rsid w:val="00FB6B69"/>
    <w:rsid w:val="00FD1395"/>
    <w:rsid w:val="00FD332A"/>
    <w:rsid w:val="00FD4964"/>
    <w:rsid w:val="00FE3027"/>
    <w:rsid w:val="019A4068"/>
    <w:rsid w:val="03784842"/>
    <w:rsid w:val="03993BA4"/>
    <w:rsid w:val="03CE3EBB"/>
    <w:rsid w:val="03CF2804"/>
    <w:rsid w:val="04174D7A"/>
    <w:rsid w:val="047F61BF"/>
    <w:rsid w:val="04F1754E"/>
    <w:rsid w:val="05082276"/>
    <w:rsid w:val="055155C6"/>
    <w:rsid w:val="066D3AA6"/>
    <w:rsid w:val="06D93F69"/>
    <w:rsid w:val="072D1832"/>
    <w:rsid w:val="075A3842"/>
    <w:rsid w:val="07794C9C"/>
    <w:rsid w:val="079E198F"/>
    <w:rsid w:val="07B97E03"/>
    <w:rsid w:val="081D0E8D"/>
    <w:rsid w:val="08776184"/>
    <w:rsid w:val="08B53BC9"/>
    <w:rsid w:val="09075A53"/>
    <w:rsid w:val="094B182C"/>
    <w:rsid w:val="09BA2645"/>
    <w:rsid w:val="0A617FB9"/>
    <w:rsid w:val="0B675C6C"/>
    <w:rsid w:val="0B952950"/>
    <w:rsid w:val="0B9830E0"/>
    <w:rsid w:val="0BA44CE1"/>
    <w:rsid w:val="0CB61998"/>
    <w:rsid w:val="0CBB4E49"/>
    <w:rsid w:val="0DA33F9D"/>
    <w:rsid w:val="0F381CDD"/>
    <w:rsid w:val="0F7236AD"/>
    <w:rsid w:val="10AA4B27"/>
    <w:rsid w:val="110F42D7"/>
    <w:rsid w:val="11992076"/>
    <w:rsid w:val="11A167D3"/>
    <w:rsid w:val="11C60E2C"/>
    <w:rsid w:val="126931C8"/>
    <w:rsid w:val="13126437"/>
    <w:rsid w:val="142F2024"/>
    <w:rsid w:val="14366A79"/>
    <w:rsid w:val="152D25B6"/>
    <w:rsid w:val="15831520"/>
    <w:rsid w:val="169047E4"/>
    <w:rsid w:val="16AD551D"/>
    <w:rsid w:val="17141991"/>
    <w:rsid w:val="176276C5"/>
    <w:rsid w:val="17AC04C0"/>
    <w:rsid w:val="184712C0"/>
    <w:rsid w:val="19F82E51"/>
    <w:rsid w:val="1A8422E7"/>
    <w:rsid w:val="1AC60D50"/>
    <w:rsid w:val="1C6C68F9"/>
    <w:rsid w:val="1C781C89"/>
    <w:rsid w:val="1D023B4D"/>
    <w:rsid w:val="1D450810"/>
    <w:rsid w:val="1F887E5D"/>
    <w:rsid w:val="1FF62840"/>
    <w:rsid w:val="20003983"/>
    <w:rsid w:val="20215C84"/>
    <w:rsid w:val="20356F75"/>
    <w:rsid w:val="204727E2"/>
    <w:rsid w:val="209435AA"/>
    <w:rsid w:val="21475A1D"/>
    <w:rsid w:val="21615B67"/>
    <w:rsid w:val="216E3BBB"/>
    <w:rsid w:val="22AF004B"/>
    <w:rsid w:val="2309080A"/>
    <w:rsid w:val="23C6046B"/>
    <w:rsid w:val="25D52A66"/>
    <w:rsid w:val="26304BC4"/>
    <w:rsid w:val="264A56CC"/>
    <w:rsid w:val="267207C8"/>
    <w:rsid w:val="26AE4566"/>
    <w:rsid w:val="26D134D1"/>
    <w:rsid w:val="271F0D13"/>
    <w:rsid w:val="27793600"/>
    <w:rsid w:val="27AB1B41"/>
    <w:rsid w:val="27CB48EE"/>
    <w:rsid w:val="29B33362"/>
    <w:rsid w:val="2A677300"/>
    <w:rsid w:val="2A8675BA"/>
    <w:rsid w:val="2BA70873"/>
    <w:rsid w:val="2D296A57"/>
    <w:rsid w:val="2DA35A07"/>
    <w:rsid w:val="2EE92FBD"/>
    <w:rsid w:val="2F023C32"/>
    <w:rsid w:val="2F7E7A94"/>
    <w:rsid w:val="2F800755"/>
    <w:rsid w:val="2F935F3D"/>
    <w:rsid w:val="303363CF"/>
    <w:rsid w:val="306E65E6"/>
    <w:rsid w:val="30DD7ED8"/>
    <w:rsid w:val="310238FF"/>
    <w:rsid w:val="31204C5A"/>
    <w:rsid w:val="313F057D"/>
    <w:rsid w:val="318F263E"/>
    <w:rsid w:val="31C65A90"/>
    <w:rsid w:val="325946B1"/>
    <w:rsid w:val="32944D42"/>
    <w:rsid w:val="34901171"/>
    <w:rsid w:val="34E91376"/>
    <w:rsid w:val="352755BA"/>
    <w:rsid w:val="35443D59"/>
    <w:rsid w:val="35E93410"/>
    <w:rsid w:val="363C519E"/>
    <w:rsid w:val="37550611"/>
    <w:rsid w:val="393D67E0"/>
    <w:rsid w:val="394B2C38"/>
    <w:rsid w:val="3A147D88"/>
    <w:rsid w:val="3A877561"/>
    <w:rsid w:val="3AD247B3"/>
    <w:rsid w:val="3B1F03F4"/>
    <w:rsid w:val="3D7C7FB1"/>
    <w:rsid w:val="3DB04537"/>
    <w:rsid w:val="3E6842CD"/>
    <w:rsid w:val="4024246B"/>
    <w:rsid w:val="40291617"/>
    <w:rsid w:val="40926703"/>
    <w:rsid w:val="41096105"/>
    <w:rsid w:val="41DD2C15"/>
    <w:rsid w:val="42345713"/>
    <w:rsid w:val="42655DEA"/>
    <w:rsid w:val="438D60B2"/>
    <w:rsid w:val="43D64FD6"/>
    <w:rsid w:val="43F90090"/>
    <w:rsid w:val="440671D4"/>
    <w:rsid w:val="44147F38"/>
    <w:rsid w:val="44C82662"/>
    <w:rsid w:val="45D466E2"/>
    <w:rsid w:val="4688648F"/>
    <w:rsid w:val="46AF7F75"/>
    <w:rsid w:val="46FE12EA"/>
    <w:rsid w:val="476373B0"/>
    <w:rsid w:val="47FB4440"/>
    <w:rsid w:val="482B3BBD"/>
    <w:rsid w:val="48B66318"/>
    <w:rsid w:val="48B853DF"/>
    <w:rsid w:val="48C95A0E"/>
    <w:rsid w:val="495F00E3"/>
    <w:rsid w:val="498407DB"/>
    <w:rsid w:val="49BF32FD"/>
    <w:rsid w:val="49C254AE"/>
    <w:rsid w:val="4A5738E1"/>
    <w:rsid w:val="4A825A95"/>
    <w:rsid w:val="4AA569C3"/>
    <w:rsid w:val="4B545C1D"/>
    <w:rsid w:val="4BB54794"/>
    <w:rsid w:val="4D2E7242"/>
    <w:rsid w:val="4E6E15E7"/>
    <w:rsid w:val="4FF260E2"/>
    <w:rsid w:val="51913F54"/>
    <w:rsid w:val="51B373AF"/>
    <w:rsid w:val="53B66FDC"/>
    <w:rsid w:val="541E7E04"/>
    <w:rsid w:val="54285E64"/>
    <w:rsid w:val="554A719A"/>
    <w:rsid w:val="55680982"/>
    <w:rsid w:val="55F95499"/>
    <w:rsid w:val="58383A51"/>
    <w:rsid w:val="596C42A2"/>
    <w:rsid w:val="5A663CE3"/>
    <w:rsid w:val="5A693FDA"/>
    <w:rsid w:val="5A9D1CE9"/>
    <w:rsid w:val="5C0B40BA"/>
    <w:rsid w:val="5CCC562C"/>
    <w:rsid w:val="5D1A5E67"/>
    <w:rsid w:val="5DC06304"/>
    <w:rsid w:val="5E5C5A07"/>
    <w:rsid w:val="5FB66671"/>
    <w:rsid w:val="60350473"/>
    <w:rsid w:val="60A94670"/>
    <w:rsid w:val="612B10A2"/>
    <w:rsid w:val="615F01C5"/>
    <w:rsid w:val="61C07A03"/>
    <w:rsid w:val="63871A56"/>
    <w:rsid w:val="64144421"/>
    <w:rsid w:val="642609A8"/>
    <w:rsid w:val="64786CCF"/>
    <w:rsid w:val="64915A41"/>
    <w:rsid w:val="652B2AE3"/>
    <w:rsid w:val="66183B7A"/>
    <w:rsid w:val="66C558F5"/>
    <w:rsid w:val="675E1E00"/>
    <w:rsid w:val="682B1E84"/>
    <w:rsid w:val="690C104C"/>
    <w:rsid w:val="69DF723B"/>
    <w:rsid w:val="6A547B3B"/>
    <w:rsid w:val="6A644E80"/>
    <w:rsid w:val="6A735EA2"/>
    <w:rsid w:val="6A79568C"/>
    <w:rsid w:val="6B4F74BC"/>
    <w:rsid w:val="6B5649E9"/>
    <w:rsid w:val="6B7005A5"/>
    <w:rsid w:val="6D190EDF"/>
    <w:rsid w:val="6D823813"/>
    <w:rsid w:val="6EB73FC6"/>
    <w:rsid w:val="6F474DBE"/>
    <w:rsid w:val="6F745D74"/>
    <w:rsid w:val="6F9023CA"/>
    <w:rsid w:val="70352A6E"/>
    <w:rsid w:val="704C6A31"/>
    <w:rsid w:val="711F0822"/>
    <w:rsid w:val="71534BC3"/>
    <w:rsid w:val="715D6B66"/>
    <w:rsid w:val="71A22663"/>
    <w:rsid w:val="71FE2F8E"/>
    <w:rsid w:val="72C108A4"/>
    <w:rsid w:val="72F63FAC"/>
    <w:rsid w:val="72FA6956"/>
    <w:rsid w:val="738A244A"/>
    <w:rsid w:val="738E4F85"/>
    <w:rsid w:val="74F546AB"/>
    <w:rsid w:val="75A06BA5"/>
    <w:rsid w:val="75EF31B6"/>
    <w:rsid w:val="76835056"/>
    <w:rsid w:val="76AD0A39"/>
    <w:rsid w:val="77517FB1"/>
    <w:rsid w:val="778C3E77"/>
    <w:rsid w:val="77D9521A"/>
    <w:rsid w:val="784E0921"/>
    <w:rsid w:val="78823B74"/>
    <w:rsid w:val="793440E8"/>
    <w:rsid w:val="79762CB8"/>
    <w:rsid w:val="7B070A58"/>
    <w:rsid w:val="7BFA7B34"/>
    <w:rsid w:val="7D6622E8"/>
    <w:rsid w:val="7E4A1A03"/>
    <w:rsid w:val="7F3747D8"/>
    <w:rsid w:val="7F903E54"/>
    <w:rsid w:val="7F9F37C5"/>
    <w:rsid w:val="7FEE5F9B"/>
    <w:rsid w:val="7FF073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qFormat="1"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0"/>
    <w:pPr>
      <w:spacing w:beforeAutospacing="1" w:afterAutospacing="1"/>
      <w:outlineLvl w:val="0"/>
    </w:pPr>
    <w:rPr>
      <w:rFonts w:hint="eastAsia" w:ascii="SimSun" w:hAnsi="SimSun" w:eastAsia="SimSun" w:cs="Times New Roman"/>
      <w:b/>
      <w:bCs/>
      <w:kern w:val="44"/>
      <w:sz w:val="48"/>
      <w:szCs w:val="48"/>
      <w:lang w:val="en-US" w:eastAsia="zh-CN" w:bidi="ar-SA"/>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22"/>
    <w:qFormat/>
    <w:uiPriority w:val="0"/>
    <w:rPr>
      <w:rFonts w:ascii="Segoe UI" w:hAnsi="Segoe UI" w:cs="Segoe UI"/>
      <w:sz w:val="18"/>
      <w:szCs w:val="18"/>
    </w:rPr>
  </w:style>
  <w:style w:type="paragraph" w:styleId="6">
    <w:name w:val="caption"/>
    <w:basedOn w:val="1"/>
    <w:next w:val="1"/>
    <w:qFormat/>
    <w:uiPriority w:val="0"/>
    <w:pPr>
      <w:suppressLineNumbers/>
      <w:spacing w:before="120" w:after="120"/>
    </w:pPr>
    <w:rPr>
      <w:rFonts w:cs="FreeSans"/>
      <w:i/>
      <w:iCs/>
      <w:sz w:val="24"/>
      <w:szCs w:val="24"/>
    </w:rPr>
  </w:style>
  <w:style w:type="character" w:styleId="7">
    <w:name w:val="annotation reference"/>
    <w:basedOn w:val="3"/>
    <w:unhideWhenUsed/>
    <w:qFormat/>
    <w:uiPriority w:val="99"/>
    <w:rPr>
      <w:sz w:val="16"/>
      <w:szCs w:val="16"/>
    </w:rPr>
  </w:style>
  <w:style w:type="paragraph" w:styleId="8">
    <w:name w:val="annotation text"/>
    <w:basedOn w:val="1"/>
    <w:link w:val="23"/>
    <w:unhideWhenUsed/>
    <w:qFormat/>
    <w:uiPriority w:val="99"/>
  </w:style>
  <w:style w:type="paragraph" w:styleId="9">
    <w:name w:val="annotation subject"/>
    <w:basedOn w:val="8"/>
    <w:next w:val="8"/>
    <w:link w:val="24"/>
    <w:qFormat/>
    <w:uiPriority w:val="0"/>
    <w:rPr>
      <w:b/>
      <w:bCs/>
    </w:rPr>
  </w:style>
  <w:style w:type="character" w:styleId="10">
    <w:name w:val="Emphasis"/>
    <w:basedOn w:val="3"/>
    <w:qFormat/>
    <w:uiPriority w:val="0"/>
    <w:rPr>
      <w:i/>
      <w:iCs/>
    </w:rPr>
  </w:style>
  <w:style w:type="paragraph" w:styleId="11">
    <w:name w:val="footer"/>
    <w:basedOn w:val="1"/>
    <w:qFormat/>
    <w:uiPriority w:val="0"/>
    <w:pPr>
      <w:tabs>
        <w:tab w:val="center" w:pos="4153"/>
        <w:tab w:val="right" w:pos="8306"/>
      </w:tabs>
      <w:snapToGrid w:val="0"/>
    </w:pPr>
    <w:rPr>
      <w:sz w:val="18"/>
      <w:szCs w:val="18"/>
    </w:rPr>
  </w:style>
  <w:style w:type="paragraph" w:styleId="12">
    <w:name w:val="header"/>
    <w:basedOn w:val="1"/>
    <w:qFormat/>
    <w:uiPriority w:val="0"/>
    <w:pPr>
      <w:tabs>
        <w:tab w:val="center" w:pos="4153"/>
        <w:tab w:val="right" w:pos="8306"/>
      </w:tabs>
      <w:snapToGrid w:val="0"/>
    </w:pPr>
    <w:rPr>
      <w:sz w:val="18"/>
      <w:szCs w:val="18"/>
    </w:rPr>
  </w:style>
  <w:style w:type="character" w:styleId="13">
    <w:name w:val="Hyperlink"/>
    <w:basedOn w:val="3"/>
    <w:qFormat/>
    <w:uiPriority w:val="0"/>
    <w:rPr>
      <w:color w:val="0000FF"/>
      <w:u w:val="single"/>
    </w:rPr>
  </w:style>
  <w:style w:type="character" w:styleId="14">
    <w:name w:val="line number"/>
    <w:basedOn w:val="3"/>
    <w:qFormat/>
    <w:uiPriority w:val="0"/>
  </w:style>
  <w:style w:type="paragraph" w:styleId="15">
    <w:name w:val="Normal (Web)"/>
    <w:qFormat/>
    <w:uiPriority w:val="0"/>
    <w:pPr>
      <w:spacing w:beforeAutospacing="1" w:afterAutospacing="1"/>
    </w:pPr>
    <w:rPr>
      <w:rFonts w:ascii="Times New Roman" w:hAnsi="Times New Roman" w:eastAsia="SimSun" w:cs="Times New Roman"/>
      <w:sz w:val="24"/>
      <w:szCs w:val="24"/>
      <w:lang w:val="en-US" w:eastAsia="zh-CN" w:bidi="ar-SA"/>
    </w:rPr>
  </w:style>
  <w:style w:type="table" w:styleId="16">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7">
    <w:name w:val="No Spacing"/>
    <w:link w:val="20"/>
    <w:qFormat/>
    <w:uiPriority w:val="1"/>
    <w:rPr>
      <w:rFonts w:asciiTheme="minorHAnsi" w:hAnsiTheme="minorHAnsi" w:eastAsiaTheme="minorHAnsi" w:cstheme="minorBidi"/>
      <w:sz w:val="22"/>
      <w:szCs w:val="22"/>
      <w:lang w:val="da-DK" w:eastAsia="en-US" w:bidi="ar-SA"/>
    </w:rPr>
  </w:style>
  <w:style w:type="paragraph" w:customStyle="1" w:styleId="18">
    <w:name w:val="_Style 10"/>
    <w:basedOn w:val="1"/>
    <w:next w:val="1"/>
    <w:qFormat/>
    <w:uiPriority w:val="0"/>
    <w:pPr>
      <w:pBdr>
        <w:bottom w:val="single" w:color="auto" w:sz="6" w:space="1"/>
      </w:pBdr>
      <w:jc w:val="center"/>
    </w:pPr>
    <w:rPr>
      <w:rFonts w:ascii="Arial" w:eastAsia="SimSun"/>
      <w:vanish/>
      <w:sz w:val="16"/>
    </w:rPr>
  </w:style>
  <w:style w:type="paragraph" w:customStyle="1" w:styleId="19">
    <w:name w:val="_Style 11"/>
    <w:basedOn w:val="1"/>
    <w:next w:val="1"/>
    <w:qFormat/>
    <w:uiPriority w:val="0"/>
    <w:pPr>
      <w:pBdr>
        <w:top w:val="single" w:color="auto" w:sz="6" w:space="1"/>
      </w:pBdr>
      <w:jc w:val="center"/>
    </w:pPr>
    <w:rPr>
      <w:rFonts w:ascii="Arial" w:eastAsia="SimSun"/>
      <w:vanish/>
      <w:sz w:val="16"/>
    </w:rPr>
  </w:style>
  <w:style w:type="character" w:customStyle="1" w:styleId="20">
    <w:name w:val="No Spacing Char"/>
    <w:link w:val="17"/>
    <w:qFormat/>
    <w:uiPriority w:val="1"/>
    <w:rPr>
      <w:rFonts w:asciiTheme="minorHAnsi" w:hAnsiTheme="minorHAnsi" w:eastAsiaTheme="minorHAnsi" w:cstheme="minorBidi"/>
      <w:sz w:val="22"/>
      <w:szCs w:val="22"/>
      <w:lang w:val="da-DK" w:eastAsia="en-US" w:bidi="ar-SA"/>
    </w:rPr>
  </w:style>
  <w:style w:type="character" w:customStyle="1" w:styleId="21">
    <w:name w:val="e24kjd"/>
    <w:basedOn w:val="3"/>
    <w:qFormat/>
    <w:uiPriority w:val="0"/>
  </w:style>
  <w:style w:type="character" w:customStyle="1" w:styleId="22">
    <w:name w:val="Balloon Text Char"/>
    <w:basedOn w:val="3"/>
    <w:link w:val="5"/>
    <w:qFormat/>
    <w:uiPriority w:val="0"/>
    <w:rPr>
      <w:rFonts w:ascii="Segoe UI" w:hAnsi="Segoe UI" w:cs="Segoe UI" w:eastAsiaTheme="minorEastAsia"/>
      <w:sz w:val="18"/>
      <w:szCs w:val="18"/>
      <w:lang w:val="en-US" w:eastAsia="zh-CN"/>
    </w:rPr>
  </w:style>
  <w:style w:type="character" w:customStyle="1" w:styleId="23">
    <w:name w:val="Comment Text Char"/>
    <w:basedOn w:val="3"/>
    <w:link w:val="8"/>
    <w:qFormat/>
    <w:uiPriority w:val="99"/>
    <w:rPr>
      <w:rFonts w:asciiTheme="minorHAnsi" w:hAnsiTheme="minorHAnsi" w:eastAsiaTheme="minorEastAsia" w:cstheme="minorBidi"/>
      <w:lang w:val="en-US" w:eastAsia="zh-CN"/>
    </w:rPr>
  </w:style>
  <w:style w:type="character" w:customStyle="1" w:styleId="24">
    <w:name w:val="Comment Subject Char"/>
    <w:basedOn w:val="23"/>
    <w:link w:val="9"/>
    <w:qFormat/>
    <w:uiPriority w:val="0"/>
    <w:rPr>
      <w:rFonts w:asciiTheme="minorHAnsi" w:hAnsiTheme="minorHAnsi" w:eastAsiaTheme="minorEastAsia" w:cstheme="minorBidi"/>
      <w:b/>
      <w:bCs/>
      <w:lang w:val="en-US" w:eastAsia="zh-CN"/>
    </w:rPr>
  </w:style>
  <w:style w:type="paragraph" w:customStyle="1" w:styleId="25">
    <w:name w:val="Revision1"/>
    <w:hidden/>
    <w:semiHidden/>
    <w:qFormat/>
    <w:uiPriority w:val="99"/>
    <w:rPr>
      <w:rFonts w:asciiTheme="minorHAnsi" w:hAnsiTheme="minorHAnsi" w:eastAsiaTheme="minorEastAsia" w:cstheme="minorBidi"/>
      <w:lang w:val="en-US" w:eastAsia="zh-CN" w:bidi="ar-SA"/>
    </w:rPr>
  </w:style>
  <w:style w:type="character" w:customStyle="1" w:styleId="26">
    <w:name w:val="font51"/>
    <w:qFormat/>
    <w:uiPriority w:val="0"/>
    <w:rPr>
      <w:rFonts w:hint="default" w:ascii="Calibri" w:hAnsi="Calibri" w:cs="Calibri"/>
      <w:color w:val="000000"/>
      <w:sz w:val="22"/>
      <w:szCs w:val="22"/>
      <w:u w:val="none"/>
    </w:rPr>
  </w:style>
  <w:style w:type="paragraph" w:customStyle="1" w:styleId="27">
    <w:name w:val="Revision"/>
    <w:hidden/>
    <w:semiHidden/>
    <w:qFormat/>
    <w:uiPriority w:val="99"/>
    <w:rPr>
      <w:rFonts w:asciiTheme="minorHAnsi" w:hAnsiTheme="minorHAnsi" w:eastAsiaTheme="minorEastAsia" w:cstheme="minorBidi"/>
      <w:lang w:val="en-US" w:eastAsia="zh-CN" w:bidi="ar-SA"/>
    </w:rPr>
  </w:style>
  <w:style w:type="character" w:customStyle="1" w:styleId="28">
    <w:name w:val="font01"/>
    <w:qFormat/>
    <w:uiPriority w:val="0"/>
    <w:rPr>
      <w:rFonts w:hint="default" w:ascii="Calibri" w:hAnsi="Calibri" w:cs="Calibri"/>
      <w:color w:val="000000"/>
      <w:sz w:val="22"/>
      <w:szCs w:val="22"/>
      <w:u w:val="none"/>
    </w:rPr>
  </w:style>
  <w:style w:type="character" w:customStyle="1" w:styleId="29">
    <w:name w:val="font11"/>
    <w:qFormat/>
    <w:uiPriority w:val="0"/>
    <w:rPr>
      <w:rFonts w:hint="default" w:ascii="Calibri" w:hAnsi="Calibri" w:cs="Calibri"/>
      <w:color w:val="000000"/>
      <w:sz w:val="22"/>
      <w:szCs w:val="22"/>
      <w:u w:val="none"/>
      <w:vertAlign w:val="subscript"/>
    </w:r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customXml" Target="../customXml/item1.xml"/><Relationship Id="rId91" Type="http://schemas.openxmlformats.org/officeDocument/2006/relationships/numbering" Target="numbering.xml"/><Relationship Id="rId90" Type="http://schemas.openxmlformats.org/officeDocument/2006/relationships/image" Target="media/image41.png"/><Relationship Id="rId9" Type="http://schemas.openxmlformats.org/officeDocument/2006/relationships/oleObject" Target="embeddings/oleObject4.bin"/><Relationship Id="rId89" Type="http://schemas.openxmlformats.org/officeDocument/2006/relationships/image" Target="media/image40.png"/><Relationship Id="rId88" Type="http://schemas.openxmlformats.org/officeDocument/2006/relationships/image" Target="media/image39.png"/><Relationship Id="rId87" Type="http://schemas.openxmlformats.org/officeDocument/2006/relationships/image" Target="media/image38.png"/><Relationship Id="rId86" Type="http://schemas.openxmlformats.org/officeDocument/2006/relationships/oleObject" Target="embeddings/oleObject46.bin"/><Relationship Id="rId85" Type="http://schemas.openxmlformats.org/officeDocument/2006/relationships/oleObject" Target="embeddings/oleObject45.bin"/><Relationship Id="rId84" Type="http://schemas.openxmlformats.org/officeDocument/2006/relationships/image" Target="media/image37.wmf"/><Relationship Id="rId83" Type="http://schemas.openxmlformats.org/officeDocument/2006/relationships/oleObject" Target="embeddings/oleObject44.bin"/><Relationship Id="rId82" Type="http://schemas.openxmlformats.org/officeDocument/2006/relationships/image" Target="media/image36.png"/><Relationship Id="rId81" Type="http://schemas.openxmlformats.org/officeDocument/2006/relationships/image" Target="media/image35.png"/><Relationship Id="rId80" Type="http://schemas.openxmlformats.org/officeDocument/2006/relationships/oleObject" Target="embeddings/oleObject43.bin"/><Relationship Id="rId8" Type="http://schemas.openxmlformats.org/officeDocument/2006/relationships/image" Target="media/image2.wmf"/><Relationship Id="rId79" Type="http://schemas.openxmlformats.org/officeDocument/2006/relationships/image" Target="media/image34.png"/><Relationship Id="rId78" Type="http://schemas.openxmlformats.org/officeDocument/2006/relationships/image" Target="media/image33.png"/><Relationship Id="rId77" Type="http://schemas.openxmlformats.org/officeDocument/2006/relationships/oleObject" Target="embeddings/oleObject42.bin"/><Relationship Id="rId76" Type="http://schemas.openxmlformats.org/officeDocument/2006/relationships/oleObject" Target="embeddings/oleObject41.bin"/><Relationship Id="rId75" Type="http://schemas.openxmlformats.org/officeDocument/2006/relationships/oleObject" Target="embeddings/oleObject40.bin"/><Relationship Id="rId74" Type="http://schemas.openxmlformats.org/officeDocument/2006/relationships/oleObject" Target="embeddings/oleObject39.bin"/><Relationship Id="rId73" Type="http://schemas.openxmlformats.org/officeDocument/2006/relationships/oleObject" Target="embeddings/oleObject38.bin"/><Relationship Id="rId72" Type="http://schemas.openxmlformats.org/officeDocument/2006/relationships/image" Target="media/image32.wmf"/><Relationship Id="rId71" Type="http://schemas.openxmlformats.org/officeDocument/2006/relationships/oleObject" Target="embeddings/oleObject37.bin"/><Relationship Id="rId70" Type="http://schemas.openxmlformats.org/officeDocument/2006/relationships/image" Target="media/image31.wmf"/><Relationship Id="rId7" Type="http://schemas.openxmlformats.org/officeDocument/2006/relationships/oleObject" Target="embeddings/oleObject3.bin"/><Relationship Id="rId69" Type="http://schemas.openxmlformats.org/officeDocument/2006/relationships/oleObject" Target="embeddings/oleObject36.bin"/><Relationship Id="rId68" Type="http://schemas.openxmlformats.org/officeDocument/2006/relationships/image" Target="media/image30.wmf"/><Relationship Id="rId67" Type="http://schemas.openxmlformats.org/officeDocument/2006/relationships/oleObject" Target="embeddings/oleObject35.bin"/><Relationship Id="rId66" Type="http://schemas.openxmlformats.org/officeDocument/2006/relationships/image" Target="media/image29.wmf"/><Relationship Id="rId65" Type="http://schemas.openxmlformats.org/officeDocument/2006/relationships/oleObject" Target="embeddings/oleObject34.bin"/><Relationship Id="rId64" Type="http://schemas.openxmlformats.org/officeDocument/2006/relationships/image" Target="media/image28.wmf"/><Relationship Id="rId63" Type="http://schemas.openxmlformats.org/officeDocument/2006/relationships/oleObject" Target="embeddings/oleObject33.bin"/><Relationship Id="rId62" Type="http://schemas.openxmlformats.org/officeDocument/2006/relationships/image" Target="media/image27.wmf"/><Relationship Id="rId61" Type="http://schemas.openxmlformats.org/officeDocument/2006/relationships/oleObject" Target="embeddings/oleObject32.bin"/><Relationship Id="rId60" Type="http://schemas.openxmlformats.org/officeDocument/2006/relationships/image" Target="media/image26.wmf"/><Relationship Id="rId6" Type="http://schemas.openxmlformats.org/officeDocument/2006/relationships/oleObject" Target="embeddings/oleObject2.bin"/><Relationship Id="rId59" Type="http://schemas.openxmlformats.org/officeDocument/2006/relationships/oleObject" Target="embeddings/oleObject31.bin"/><Relationship Id="rId58" Type="http://schemas.openxmlformats.org/officeDocument/2006/relationships/image" Target="media/image25.wmf"/><Relationship Id="rId57" Type="http://schemas.openxmlformats.org/officeDocument/2006/relationships/oleObject" Target="embeddings/oleObject30.bin"/><Relationship Id="rId56" Type="http://schemas.openxmlformats.org/officeDocument/2006/relationships/oleObject" Target="embeddings/oleObject29.bin"/><Relationship Id="rId55" Type="http://schemas.openxmlformats.org/officeDocument/2006/relationships/oleObject" Target="embeddings/oleObject28.bin"/><Relationship Id="rId54" Type="http://schemas.openxmlformats.org/officeDocument/2006/relationships/image" Target="media/image24.wmf"/><Relationship Id="rId53" Type="http://schemas.openxmlformats.org/officeDocument/2006/relationships/oleObject" Target="embeddings/oleObject27.bin"/><Relationship Id="rId52" Type="http://schemas.openxmlformats.org/officeDocument/2006/relationships/image" Target="media/image23.wmf"/><Relationship Id="rId51" Type="http://schemas.openxmlformats.org/officeDocument/2006/relationships/oleObject" Target="embeddings/oleObject26.bin"/><Relationship Id="rId50" Type="http://schemas.openxmlformats.org/officeDocument/2006/relationships/image" Target="media/image22.wmf"/><Relationship Id="rId5" Type="http://schemas.openxmlformats.org/officeDocument/2006/relationships/image" Target="media/image1.wmf"/><Relationship Id="rId49" Type="http://schemas.openxmlformats.org/officeDocument/2006/relationships/oleObject" Target="embeddings/oleObject25.bin"/><Relationship Id="rId48" Type="http://schemas.openxmlformats.org/officeDocument/2006/relationships/image" Target="media/image21.wmf"/><Relationship Id="rId47" Type="http://schemas.openxmlformats.org/officeDocument/2006/relationships/oleObject" Target="embeddings/oleObject24.bin"/><Relationship Id="rId46" Type="http://schemas.openxmlformats.org/officeDocument/2006/relationships/image" Target="media/image20.wmf"/><Relationship Id="rId45" Type="http://schemas.openxmlformats.org/officeDocument/2006/relationships/oleObject" Target="embeddings/oleObject23.bin"/><Relationship Id="rId44" Type="http://schemas.openxmlformats.org/officeDocument/2006/relationships/image" Target="media/image19.wmf"/><Relationship Id="rId43" Type="http://schemas.openxmlformats.org/officeDocument/2006/relationships/oleObject" Target="embeddings/oleObject22.bin"/><Relationship Id="rId42" Type="http://schemas.openxmlformats.org/officeDocument/2006/relationships/image" Target="media/image18.wmf"/><Relationship Id="rId41" Type="http://schemas.openxmlformats.org/officeDocument/2006/relationships/oleObject" Target="embeddings/oleObject21.bin"/><Relationship Id="rId40" Type="http://schemas.openxmlformats.org/officeDocument/2006/relationships/image" Target="media/image17.wmf"/><Relationship Id="rId4" Type="http://schemas.openxmlformats.org/officeDocument/2006/relationships/oleObject" Target="embeddings/oleObject1.bin"/><Relationship Id="rId39" Type="http://schemas.openxmlformats.org/officeDocument/2006/relationships/oleObject" Target="embeddings/oleObject20.bin"/><Relationship Id="rId38" Type="http://schemas.openxmlformats.org/officeDocument/2006/relationships/image" Target="media/image16.wmf"/><Relationship Id="rId37" Type="http://schemas.openxmlformats.org/officeDocument/2006/relationships/oleObject" Target="embeddings/oleObject19.bin"/><Relationship Id="rId36" Type="http://schemas.openxmlformats.org/officeDocument/2006/relationships/image" Target="media/image15.wmf"/><Relationship Id="rId35" Type="http://schemas.openxmlformats.org/officeDocument/2006/relationships/oleObject" Target="embeddings/oleObject18.bin"/><Relationship Id="rId34" Type="http://schemas.openxmlformats.org/officeDocument/2006/relationships/image" Target="media/image14.wmf"/><Relationship Id="rId33" Type="http://schemas.openxmlformats.org/officeDocument/2006/relationships/oleObject" Target="embeddings/oleObject17.bin"/><Relationship Id="rId32" Type="http://schemas.openxmlformats.org/officeDocument/2006/relationships/image" Target="media/image13.wmf"/><Relationship Id="rId31" Type="http://schemas.openxmlformats.org/officeDocument/2006/relationships/oleObject" Target="embeddings/oleObject16.bin"/><Relationship Id="rId30" Type="http://schemas.openxmlformats.org/officeDocument/2006/relationships/image" Target="media/image12.wmf"/><Relationship Id="rId3" Type="http://schemas.openxmlformats.org/officeDocument/2006/relationships/theme" Target="theme/theme1.xml"/><Relationship Id="rId29" Type="http://schemas.openxmlformats.org/officeDocument/2006/relationships/oleObject" Target="embeddings/oleObject15.bin"/><Relationship Id="rId28" Type="http://schemas.openxmlformats.org/officeDocument/2006/relationships/image" Target="media/image11.wmf"/><Relationship Id="rId27" Type="http://schemas.openxmlformats.org/officeDocument/2006/relationships/oleObject" Target="embeddings/oleObject14.bin"/><Relationship Id="rId26" Type="http://schemas.openxmlformats.org/officeDocument/2006/relationships/oleObject" Target="embeddings/oleObject13.bin"/><Relationship Id="rId25" Type="http://schemas.openxmlformats.org/officeDocument/2006/relationships/image" Target="media/image10.wmf"/><Relationship Id="rId24" Type="http://schemas.openxmlformats.org/officeDocument/2006/relationships/oleObject" Target="embeddings/oleObject12.bin"/><Relationship Id="rId23" Type="http://schemas.openxmlformats.org/officeDocument/2006/relationships/image" Target="media/image9.wmf"/><Relationship Id="rId22" Type="http://schemas.openxmlformats.org/officeDocument/2006/relationships/oleObject" Target="embeddings/oleObject11.bin"/><Relationship Id="rId21" Type="http://schemas.openxmlformats.org/officeDocument/2006/relationships/image" Target="media/image8.wmf"/><Relationship Id="rId20" Type="http://schemas.openxmlformats.org/officeDocument/2006/relationships/oleObject" Target="embeddings/oleObject10.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9.bin"/><Relationship Id="rId17" Type="http://schemas.openxmlformats.org/officeDocument/2006/relationships/image" Target="media/image6.wmf"/><Relationship Id="rId16" Type="http://schemas.openxmlformats.org/officeDocument/2006/relationships/oleObject" Target="embeddings/oleObject8.bin"/><Relationship Id="rId15" Type="http://schemas.openxmlformats.org/officeDocument/2006/relationships/image" Target="media/image5.wmf"/><Relationship Id="rId14" Type="http://schemas.openxmlformats.org/officeDocument/2006/relationships/oleObject" Target="embeddings/oleObject7.bin"/><Relationship Id="rId13" Type="http://schemas.openxmlformats.org/officeDocument/2006/relationships/image" Target="media/image4.wmf"/><Relationship Id="rId12" Type="http://schemas.openxmlformats.org/officeDocument/2006/relationships/oleObject" Target="embeddings/oleObject6.bin"/><Relationship Id="rId11" Type="http://schemas.openxmlformats.org/officeDocument/2006/relationships/oleObject" Target="embeddings/oleObject5.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E88FB-5778-42E8-AAA0-2BC6D690C01D}">
  <ds:schemaRefs/>
</ds:datastoreItem>
</file>

<file path=docProps/app.xml><?xml version="1.0" encoding="utf-8"?>
<Properties xmlns="http://schemas.openxmlformats.org/officeDocument/2006/extended-properties" xmlns:vt="http://schemas.openxmlformats.org/officeDocument/2006/docPropsVTypes">
  <Template>Normal</Template>
  <Company>University of Manchester</Company>
  <Pages>48</Pages>
  <Words>13660</Words>
  <Characters>77865</Characters>
  <Lines>648</Lines>
  <Paragraphs>182</Paragraphs>
  <TotalTime>0</TotalTime>
  <ScaleCrop>false</ScaleCrop>
  <LinksUpToDate>false</LinksUpToDate>
  <CharactersWithSpaces>91343</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2022-10-04T08:53:00Z</dcterms:created>
  <dc:creator>google1561231060</dc:creator>
  <cp:lastModifiedBy>google1561231060</cp:lastModifiedBy>
  <dcterms:modified xsi:type="dcterms:W3CDTF">2023-01-24T20:42:43Z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2057-11.2.0.11440</vt:lpwstr>
  </property>
  <property fmtid="{D5CDD505-2E9C-101B-9397-08002B2CF9AE}" pid="3" name="ICV">
    <vt:lpwstr>DC370C0141E94431AE1963C7229A4DFE</vt:lpwstr>
  </property>
</Properties>
</file>