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BF35E" w14:textId="55B25B54" w:rsidR="00AF463F" w:rsidRDefault="00CD1251" w:rsidP="00990B6C">
      <w:pPr>
        <w:pStyle w:val="Authornames"/>
        <w:rPr>
          <w:bCs/>
          <w:sz w:val="24"/>
        </w:rPr>
      </w:pPr>
      <w:r>
        <w:rPr>
          <w:bCs/>
          <w:sz w:val="24"/>
        </w:rPr>
        <w:t xml:space="preserve">Malcolm Cook, </w:t>
      </w:r>
      <w:r w:rsidR="00AB31EE" w:rsidRPr="00C34B60">
        <w:rPr>
          <w:bCs/>
          <w:sz w:val="24"/>
        </w:rPr>
        <w:t>“</w:t>
      </w:r>
      <w:r w:rsidR="00AF463F" w:rsidRPr="00C34B60">
        <w:rPr>
          <w:bCs/>
          <w:sz w:val="24"/>
        </w:rPr>
        <w:t xml:space="preserve">Full Circle: Useful Animation and the Geography </w:t>
      </w:r>
      <w:r w:rsidR="007A401D" w:rsidRPr="00C34B60">
        <w:rPr>
          <w:bCs/>
          <w:sz w:val="24"/>
        </w:rPr>
        <w:t xml:space="preserve">of </w:t>
      </w:r>
      <w:r w:rsidR="00AF463F" w:rsidRPr="00C34B60">
        <w:rPr>
          <w:bCs/>
          <w:sz w:val="24"/>
        </w:rPr>
        <w:t>Petroleum Extraction</w:t>
      </w:r>
      <w:r w:rsidR="002418A6">
        <w:rPr>
          <w:bCs/>
          <w:sz w:val="24"/>
        </w:rPr>
        <w:t>”</w:t>
      </w:r>
    </w:p>
    <w:p w14:paraId="2004AF8B" w14:textId="77777777" w:rsidR="00CD1251" w:rsidRDefault="00CD1251" w:rsidP="00CD1251"/>
    <w:p w14:paraId="1B9DC4DF" w14:textId="77777777" w:rsidR="00CD1251" w:rsidRDefault="00CD1251" w:rsidP="00CD1251"/>
    <w:p w14:paraId="2A22A416" w14:textId="2E1C2B5D" w:rsidR="00CD1251" w:rsidRDefault="00CD1251" w:rsidP="00CD1251">
      <w:r>
        <w:t>Abstract:</w:t>
      </w:r>
    </w:p>
    <w:p w14:paraId="3E76D53F" w14:textId="77777777" w:rsidR="00956591" w:rsidRDefault="00956591" w:rsidP="00CD1251"/>
    <w:p w14:paraId="48C1BC3C" w14:textId="1E2B1267" w:rsidR="00CD1251" w:rsidRDefault="00956591" w:rsidP="00CD1251">
      <w:r w:rsidRPr="00956591">
        <w:t>This article examine</w:t>
      </w:r>
      <w:r>
        <w:t>s</w:t>
      </w:r>
      <w:r w:rsidRPr="00956591">
        <w:t xml:space="preserve"> animated films produced in Britain for oil companies in the mid-twentieth century and their representation of, and contribution to, the international and transnational geography of petroleum extraction.</w:t>
      </w:r>
      <w:r>
        <w:t xml:space="preserve"> Within these films, the graphic basis of hand-drawn animation meant it was often used to display and propel into motion cartographic and diagrammatic representations derived from a range of disciplinary and intermedial contexts, which served to navigate and construct spatial and power relationships around oil industries. A case study of the film </w:t>
      </w:r>
      <w:r>
        <w:rPr>
          <w:i/>
          <w:iCs/>
        </w:rPr>
        <w:t>Full Circle</w:t>
      </w:r>
      <w:r>
        <w:t xml:space="preserve">, released in 1953 by British Petroleum (BP), demonstrates these characteristics, but also documents </w:t>
      </w:r>
      <w:r w:rsidR="005A4E49">
        <w:t>the</w:t>
      </w:r>
      <w:r>
        <w:t xml:space="preserve"> specific post-colonial context of the nationalisation of oil in Iran</w:t>
      </w:r>
      <w:r w:rsidR="002B25DE">
        <w:t xml:space="preserve"> in this period</w:t>
      </w:r>
      <w:r>
        <w:t>. A</w:t>
      </w:r>
      <w:r w:rsidRPr="00E02219">
        <w:t xml:space="preserve">rchival </w:t>
      </w:r>
      <w:r>
        <w:t xml:space="preserve">production </w:t>
      </w:r>
      <w:r w:rsidRPr="00E02219">
        <w:t>materials</w:t>
      </w:r>
      <w:r>
        <w:t xml:space="preserve"> for </w:t>
      </w:r>
      <w:r>
        <w:rPr>
          <w:i/>
          <w:iCs/>
        </w:rPr>
        <w:t>Full Circle</w:t>
      </w:r>
      <w:r>
        <w:t xml:space="preserve"> held at</w:t>
      </w:r>
      <w:r w:rsidRPr="00E02219">
        <w:t xml:space="preserve"> the BP Archive</w:t>
      </w:r>
      <w:r>
        <w:t xml:space="preserve"> provide a unique insight into the way this animated film changed during these events and how it became a central tool for oil company and government deliberation on their relationship with Iran, and other oil-rich states.</w:t>
      </w:r>
      <w:r w:rsidR="002C4A1E">
        <w:t xml:space="preserve"> </w:t>
      </w:r>
      <w:r w:rsidR="00177AF7">
        <w:t>As such, t</w:t>
      </w:r>
      <w:r w:rsidR="002C4A1E">
        <w:t>his article recognises the importance of animation at the intersection of three fields of study: environmental and energy humanities; useful cinema; and animated documentary</w:t>
      </w:r>
      <w:r w:rsidR="00177AF7">
        <w:t>. It</w:t>
      </w:r>
      <w:r w:rsidR="002C4A1E">
        <w:t xml:space="preserve"> argues that s</w:t>
      </w:r>
      <w:r w:rsidR="002C4A1E" w:rsidRPr="002C4A1E">
        <w:t>tudying the entwinned history of the animation and oil industries can help us to understand the role of media in our dependence on fossil fuels</w:t>
      </w:r>
      <w:r w:rsidR="00F74FA3">
        <w:t>,</w:t>
      </w:r>
      <w:r w:rsidR="002C4A1E" w:rsidRPr="002C4A1E">
        <w:t xml:space="preserve"> and </w:t>
      </w:r>
      <w:r w:rsidR="00470F42">
        <w:t>the</w:t>
      </w:r>
      <w:r w:rsidR="00F74FA3">
        <w:t xml:space="preserve"> </w:t>
      </w:r>
      <w:proofErr w:type="gramStart"/>
      <w:r w:rsidR="00F74FA3">
        <w:t>present day</w:t>
      </w:r>
      <w:proofErr w:type="gramEnd"/>
      <w:r w:rsidR="00470F42">
        <w:t xml:space="preserve"> climate crisis resulting from </w:t>
      </w:r>
      <w:r w:rsidR="00323A52">
        <w:t>them</w:t>
      </w:r>
      <w:r w:rsidR="00470F42">
        <w:t>.</w:t>
      </w:r>
    </w:p>
    <w:p w14:paraId="490A392A" w14:textId="77777777" w:rsidR="00CD1251" w:rsidRDefault="00CD1251" w:rsidP="00CD1251"/>
    <w:p w14:paraId="6074D3BA" w14:textId="77777777" w:rsidR="00CD1251" w:rsidRPr="00CD1251" w:rsidRDefault="00CD1251" w:rsidP="001C0C44"/>
    <w:p w14:paraId="65D15B39" w14:textId="5F406B07" w:rsidR="00A96286" w:rsidRDefault="00A96286" w:rsidP="00A96286"/>
    <w:p w14:paraId="56457BD8" w14:textId="4FBC443C" w:rsidR="00626917" w:rsidRDefault="0033520A" w:rsidP="00626917">
      <w:pPr>
        <w:pStyle w:val="Firstparagraphstyle"/>
      </w:pPr>
      <w:r>
        <w:t xml:space="preserve">The visibility of </w:t>
      </w:r>
      <w:r w:rsidR="007C090C">
        <w:t>petroleum</w:t>
      </w:r>
      <w:r>
        <w:t xml:space="preserve"> is highly uneven.</w:t>
      </w:r>
      <w:r w:rsidR="001F6C20">
        <w:t xml:space="preserve"> </w:t>
      </w:r>
      <w:r>
        <w:t>D</w:t>
      </w:r>
      <w:r w:rsidR="001F6C20">
        <w:t xml:space="preserve">espite its </w:t>
      </w:r>
      <w:r w:rsidR="004674B7">
        <w:t xml:space="preserve">ubiquity and </w:t>
      </w:r>
      <w:r w:rsidR="001F6C20">
        <w:t>foundational role in twentieth and twenty-first century modernity</w:t>
      </w:r>
      <w:r>
        <w:t xml:space="preserve">, </w:t>
      </w:r>
      <w:r w:rsidR="007C090C">
        <w:t>oil</w:t>
      </w:r>
      <w:r w:rsidR="003A2222">
        <w:t xml:space="preserve"> can remain</w:t>
      </w:r>
      <w:r w:rsidR="009717B6">
        <w:t xml:space="preserve"> </w:t>
      </w:r>
      <w:r>
        <w:t>obscured or hidden</w:t>
      </w:r>
      <w:r w:rsidR="001F6C20">
        <w:t xml:space="preserve">: </w:t>
      </w:r>
      <w:r>
        <w:t xml:space="preserve">it </w:t>
      </w:r>
      <w:r w:rsidR="00BB6634">
        <w:t>wa</w:t>
      </w:r>
      <w:r>
        <w:t xml:space="preserve">s </w:t>
      </w:r>
      <w:r w:rsidR="001F6C20">
        <w:t xml:space="preserve">formed </w:t>
      </w:r>
      <w:r w:rsidR="00560E34">
        <w:t xml:space="preserve">from the decay of infinitesimally small living organisms </w:t>
      </w:r>
      <w:r w:rsidR="001F6C20">
        <w:t>over a timespan inconceivable in human terms</w:t>
      </w:r>
      <w:r w:rsidR="003A2222">
        <w:t xml:space="preserve"> and</w:t>
      </w:r>
      <w:r>
        <w:t xml:space="preserve"> it is extracted</w:t>
      </w:r>
      <w:r w:rsidR="001425E9">
        <w:t xml:space="preserve"> from deep below the earth’s surface</w:t>
      </w:r>
      <w:r w:rsidR="001F6C20">
        <w:t>.</w:t>
      </w:r>
      <w:r w:rsidR="00560E34">
        <w:t xml:space="preserve"> Even </w:t>
      </w:r>
      <w:r w:rsidR="00116503">
        <w:t xml:space="preserve">for </w:t>
      </w:r>
      <w:r w:rsidR="00560E34">
        <w:t>local inhabitants</w:t>
      </w:r>
      <w:r w:rsidR="00B921E3">
        <w:t xml:space="preserve"> and</w:t>
      </w:r>
      <w:r w:rsidR="00116503">
        <w:t xml:space="preserve"> workers (and documentary filmmakers) </w:t>
      </w:r>
      <w:proofErr w:type="gramStart"/>
      <w:r w:rsidR="00116503">
        <w:t xml:space="preserve">in </w:t>
      </w:r>
      <w:r w:rsidR="0059098C">
        <w:t xml:space="preserve">close </w:t>
      </w:r>
      <w:r w:rsidR="00B921E3">
        <w:t>proximity to</w:t>
      </w:r>
      <w:proofErr w:type="gramEnd"/>
      <w:r w:rsidR="00116503">
        <w:t xml:space="preserve"> oil extraction, it is</w:t>
      </w:r>
      <w:r w:rsidR="009717B6">
        <w:t xml:space="preserve"> often</w:t>
      </w:r>
      <w:r w:rsidR="00116503">
        <w:t xml:space="preserve"> only</w:t>
      </w:r>
      <w:r w:rsidR="00C82C16">
        <w:t xml:space="preserve"> the physical and social infrastructures,</w:t>
      </w:r>
      <w:r w:rsidR="00116503">
        <w:t xml:space="preserve"> the </w:t>
      </w:r>
      <w:r w:rsidR="002845F2">
        <w:t>surface indexical</w:t>
      </w:r>
      <w:r w:rsidR="00116503">
        <w:t xml:space="preserve"> traces of </w:t>
      </w:r>
      <w:r w:rsidR="007611CA">
        <w:t>petroleum</w:t>
      </w:r>
      <w:r w:rsidR="00116503">
        <w:t xml:space="preserve">, that are </w:t>
      </w:r>
      <w:r w:rsidR="009C2672">
        <w:t xml:space="preserve">normally </w:t>
      </w:r>
      <w:r w:rsidR="00116503">
        <w:t>visible</w:t>
      </w:r>
      <w:r w:rsidR="004D7A2D">
        <w:t>,</w:t>
      </w:r>
      <w:r w:rsidR="003A2222">
        <w:t xml:space="preserve"> until its</w:t>
      </w:r>
      <w:r w:rsidR="003A2222" w:rsidRPr="003A2222">
        <w:t xml:space="preserve"> hazards begin to take a toll on their bodies</w:t>
      </w:r>
      <w:r w:rsidR="003A2222">
        <w:t xml:space="preserve"> and environment</w:t>
      </w:r>
      <w:r w:rsidR="00116503">
        <w:t>.</w:t>
      </w:r>
      <w:r w:rsidR="00B921E3">
        <w:t xml:space="preserve"> </w:t>
      </w:r>
      <w:r w:rsidR="0059098C">
        <w:t>Consequently</w:t>
      </w:r>
      <w:r w:rsidR="00207991">
        <w:t xml:space="preserve">, </w:t>
      </w:r>
      <w:r w:rsidR="00297293">
        <w:t xml:space="preserve">animation has frequently been used as a distinctive tool to visualise </w:t>
      </w:r>
      <w:r w:rsidR="00BB6634">
        <w:t xml:space="preserve">oil, its </w:t>
      </w:r>
      <w:r w:rsidR="00297293">
        <w:t xml:space="preserve">extractive processes, </w:t>
      </w:r>
      <w:r w:rsidR="003B6FE7">
        <w:t>their</w:t>
      </w:r>
      <w:r w:rsidR="00615674">
        <w:t xml:space="preserve"> </w:t>
      </w:r>
      <w:r w:rsidR="00297293">
        <w:t>products, and their pasts and futures</w:t>
      </w:r>
      <w:r w:rsidR="002845F2">
        <w:t xml:space="preserve">. Petroleum industries </w:t>
      </w:r>
      <w:r w:rsidR="00D50E2A">
        <w:t xml:space="preserve">have </w:t>
      </w:r>
      <w:r w:rsidR="002845F2">
        <w:t>embraced t</w:t>
      </w:r>
      <w:r w:rsidR="00297293">
        <w:t xml:space="preserve">he capacity of </w:t>
      </w:r>
      <w:r w:rsidR="00207991">
        <w:t>a</w:t>
      </w:r>
      <w:r w:rsidR="00B921E3">
        <w:t xml:space="preserve">nimation </w:t>
      </w:r>
      <w:r w:rsidR="00297293">
        <w:t>to compress</w:t>
      </w:r>
      <w:r w:rsidR="00DE419E">
        <w:t xml:space="preserve"> and expand</w:t>
      </w:r>
      <w:r w:rsidR="00297293">
        <w:t xml:space="preserve"> time</w:t>
      </w:r>
      <w:r w:rsidR="004433D1">
        <w:t xml:space="preserve"> and space</w:t>
      </w:r>
      <w:r w:rsidR="00297293">
        <w:t xml:space="preserve">; simplify, abstract, and animate processes; </w:t>
      </w:r>
      <w:r w:rsidR="00720478">
        <w:t>and</w:t>
      </w:r>
      <w:r w:rsidR="00297293">
        <w:t xml:space="preserve"> provide metaphoric and metonymic substitution</w:t>
      </w:r>
      <w:r w:rsidR="00D1071A">
        <w:t>.</w:t>
      </w:r>
      <w:r w:rsidR="00297293">
        <w:t xml:space="preserve"> </w:t>
      </w:r>
      <w:r w:rsidR="00CE41EA">
        <w:t xml:space="preserve">Through this, animation </w:t>
      </w:r>
      <w:r w:rsidR="009C2672">
        <w:t>has become</w:t>
      </w:r>
      <w:r w:rsidR="00CE41EA">
        <w:t xml:space="preserve"> an integral part of the way oil companies </w:t>
      </w:r>
      <w:r w:rsidR="009C2672">
        <w:t xml:space="preserve">have </w:t>
      </w:r>
      <w:r w:rsidR="00CE41EA">
        <w:t>negotiated their relationships with governments, shareholders, and the public.</w:t>
      </w:r>
    </w:p>
    <w:p w14:paraId="15A26AEF" w14:textId="641183D0" w:rsidR="0015658E" w:rsidRDefault="006855EC" w:rsidP="003F5B90">
      <w:pPr>
        <w:pStyle w:val="Follow-onparagraphstyle"/>
      </w:pPr>
      <w:r>
        <w:t xml:space="preserve">This article will </w:t>
      </w:r>
      <w:r w:rsidR="00FD6A9E">
        <w:t>examine</w:t>
      </w:r>
      <w:r>
        <w:t xml:space="preserve"> </w:t>
      </w:r>
      <w:r w:rsidR="007645FC">
        <w:t>anima</w:t>
      </w:r>
      <w:r w:rsidR="005550A4">
        <w:t>ted films</w:t>
      </w:r>
      <w:r w:rsidR="007645FC">
        <w:t xml:space="preserve"> produced in Britain</w:t>
      </w:r>
      <w:r w:rsidR="00C719AE">
        <w:t xml:space="preserve"> for oil companies</w:t>
      </w:r>
      <w:r w:rsidR="007645FC">
        <w:t xml:space="preserve"> in the mid-</w:t>
      </w:r>
      <w:r w:rsidR="007541C3">
        <w:t>twentieth</w:t>
      </w:r>
      <w:r w:rsidR="007645FC">
        <w:t xml:space="preserve"> century </w:t>
      </w:r>
      <w:r w:rsidR="005550A4">
        <w:t>and their</w:t>
      </w:r>
      <w:r w:rsidR="007645FC">
        <w:t xml:space="preserve"> representation</w:t>
      </w:r>
      <w:r w:rsidR="00887981">
        <w:t xml:space="preserve"> of,</w:t>
      </w:r>
      <w:r w:rsidR="007645FC">
        <w:t xml:space="preserve"> and contribution to</w:t>
      </w:r>
      <w:r w:rsidR="00887981">
        <w:t>,</w:t>
      </w:r>
      <w:r w:rsidR="007645FC">
        <w:t xml:space="preserve"> the </w:t>
      </w:r>
      <w:r w:rsidR="003F5B90">
        <w:t>inter</w:t>
      </w:r>
      <w:r w:rsidR="00887981">
        <w:t>national</w:t>
      </w:r>
      <w:r w:rsidR="003F5B90">
        <w:t xml:space="preserve"> and transnational </w:t>
      </w:r>
      <w:r w:rsidR="00C719AE">
        <w:t>geography</w:t>
      </w:r>
      <w:r w:rsidR="003F5B90">
        <w:t xml:space="preserve"> of petroleum extraction. </w:t>
      </w:r>
      <w:r w:rsidR="00AF463F">
        <w:t xml:space="preserve">Within </w:t>
      </w:r>
      <w:r w:rsidR="005550A4">
        <w:t xml:space="preserve">these </w:t>
      </w:r>
      <w:r w:rsidR="00AF463F">
        <w:t>films</w:t>
      </w:r>
      <w:r w:rsidR="00B251D0">
        <w:t>,</w:t>
      </w:r>
      <w:r w:rsidR="00AF463F">
        <w:t xml:space="preserve"> </w:t>
      </w:r>
      <w:r w:rsidR="003F5B90">
        <w:t xml:space="preserve">the graphic </w:t>
      </w:r>
      <w:r w:rsidR="00CC61CB">
        <w:t>basis</w:t>
      </w:r>
      <w:r w:rsidR="003F5B90">
        <w:t xml:space="preserve"> of </w:t>
      </w:r>
      <w:r w:rsidR="00CC61CB">
        <w:t xml:space="preserve">hand-drawn </w:t>
      </w:r>
      <w:r w:rsidR="003F5B90">
        <w:t>animation meant it was often used t</w:t>
      </w:r>
      <w:r w:rsidR="00AF463F">
        <w:t xml:space="preserve">o </w:t>
      </w:r>
      <w:r w:rsidR="009005F2">
        <w:t>display</w:t>
      </w:r>
      <w:r>
        <w:t xml:space="preserve"> and propel into motion</w:t>
      </w:r>
      <w:r w:rsidR="00AF463F">
        <w:t xml:space="preserve"> cartographic</w:t>
      </w:r>
      <w:r w:rsidR="00CC61CB">
        <w:t xml:space="preserve"> and </w:t>
      </w:r>
      <w:r w:rsidR="00CC61CB">
        <w:lastRenderedPageBreak/>
        <w:t>diagrammatic representations</w:t>
      </w:r>
      <w:r>
        <w:t xml:space="preserve"> </w:t>
      </w:r>
      <w:r w:rsidR="001A6F78">
        <w:t xml:space="preserve">derived </w:t>
      </w:r>
      <w:r>
        <w:t>from a range of disciplinary and intermedial contexts</w:t>
      </w:r>
      <w:r w:rsidR="00E57B01">
        <w:t>, which</w:t>
      </w:r>
      <w:r>
        <w:t xml:space="preserve"> served to </w:t>
      </w:r>
      <w:r w:rsidR="009A1677">
        <w:t>navigate</w:t>
      </w:r>
      <w:r>
        <w:t xml:space="preserve"> and construct spatial and power relationships around oil industries.</w:t>
      </w:r>
      <w:r w:rsidR="007E3DCB">
        <w:t xml:space="preserve"> A</w:t>
      </w:r>
      <w:r>
        <w:t xml:space="preserve">s a form of </w:t>
      </w:r>
      <w:r w:rsidR="002A54B4">
        <w:t>“</w:t>
      </w:r>
      <w:r>
        <w:t>useful cinema</w:t>
      </w:r>
      <w:r w:rsidR="002A54B4">
        <w:t>”</w:t>
      </w:r>
      <w:r>
        <w:t xml:space="preserve"> </w:t>
      </w:r>
      <w:r>
        <w:fldChar w:fldCharType="begin"/>
      </w:r>
      <w:r>
        <w:instrText xml:space="preserve"> ADDIN EN.CITE &lt;EndNote&gt;&lt;Cite&gt;&lt;Author&gt;Acland&lt;/Author&gt;&lt;Year&gt;2011&lt;/Year&gt;&lt;RecNum&gt;1121&lt;/RecNum&gt;&lt;DisplayText&gt;(Acland and Wasson 2011)&lt;/DisplayText&gt;&lt;record&gt;&lt;rec-number&gt;1121&lt;/rec-number&gt;&lt;foreign-keys&gt;&lt;key app="EN" db-id="tpdvrsxvi90zzleszf5pxzx3s2ezv2szt9t0" timestamp="1510073154"&gt;1121&lt;/key&gt;&lt;/foreign-keys&gt;&lt;ref-type name="Edited Book"&gt;28&lt;/ref-type&gt;&lt;contributors&gt;&lt;authors&gt;&lt;author&gt;Acland, Charles R.&lt;/author&gt;&lt;author&gt;Wasson, Haidee&lt;/author&gt;&lt;/authors&gt;&lt;/contributors&gt;&lt;titles&gt;&lt;title&gt;Useful Cinema&lt;/title&gt;&lt;/titles&gt;&lt;dates&gt;&lt;year&gt;2011&lt;/year&gt;&lt;/dates&gt;&lt;pub-location&gt;Durham&lt;/pub-location&gt;&lt;publisher&gt;Duke University Press&lt;/publisher&gt;&lt;urls&gt;&lt;/urls&gt;&lt;/record&gt;&lt;/Cite&gt;&lt;/EndNote&gt;</w:instrText>
      </w:r>
      <w:r>
        <w:fldChar w:fldCharType="separate"/>
      </w:r>
      <w:r>
        <w:rPr>
          <w:noProof/>
        </w:rPr>
        <w:t>(Acland and Wasson 2011)</w:t>
      </w:r>
      <w:r>
        <w:fldChar w:fldCharType="end"/>
      </w:r>
      <w:r w:rsidR="00CD1251">
        <w:t>,</w:t>
      </w:r>
      <w:r>
        <w:t xml:space="preserve"> the</w:t>
      </w:r>
      <w:r w:rsidR="002A54B4">
        <w:t xml:space="preserve">se films not only </w:t>
      </w:r>
      <w:r w:rsidR="007E3DCB">
        <w:t>represented</w:t>
      </w:r>
      <w:r w:rsidR="002A54B4">
        <w:t xml:space="preserve"> the geography of petroleum extraction</w:t>
      </w:r>
      <w:r w:rsidR="00E02219">
        <w:t xml:space="preserve"> onscreen</w:t>
      </w:r>
      <w:r w:rsidR="002A54B4">
        <w:t>, but similarly their</w:t>
      </w:r>
      <w:r>
        <w:t xml:space="preserve"> </w:t>
      </w:r>
      <w:r w:rsidR="00E57B01">
        <w:t xml:space="preserve">production, </w:t>
      </w:r>
      <w:r>
        <w:t>distribution</w:t>
      </w:r>
      <w:r w:rsidR="00877990">
        <w:t>,</w:t>
      </w:r>
      <w:r>
        <w:t xml:space="preserve"> and exhibition </w:t>
      </w:r>
      <w:r w:rsidR="00652ACE">
        <w:t>was increasi</w:t>
      </w:r>
      <w:r w:rsidR="001C324F">
        <w:t xml:space="preserve">ngly globalised. </w:t>
      </w:r>
      <w:r w:rsidR="0091615C">
        <w:t>Diverse c</w:t>
      </w:r>
      <w:r w:rsidR="005550A4">
        <w:t xml:space="preserve">reative teams were formed through migration and exile; </w:t>
      </w:r>
      <w:r w:rsidR="007541C3">
        <w:t xml:space="preserve">the films’ </w:t>
      </w:r>
      <w:r w:rsidR="005550A4">
        <w:t xml:space="preserve">mid-century modernist aesthetics </w:t>
      </w:r>
      <w:r w:rsidR="009C2672">
        <w:t xml:space="preserve">incorporated </w:t>
      </w:r>
      <w:r w:rsidR="0091615C">
        <w:t>varied</w:t>
      </w:r>
      <w:r w:rsidR="009C2672">
        <w:t xml:space="preserve"> influences; the films were internationally </w:t>
      </w:r>
      <w:r w:rsidR="00E870B8">
        <w:t>consumed in</w:t>
      </w:r>
      <w:r w:rsidR="009C2672">
        <w:t xml:space="preserve"> film festivals, government departments, </w:t>
      </w:r>
      <w:r w:rsidR="00E870B8">
        <w:t xml:space="preserve">company </w:t>
      </w:r>
      <w:r w:rsidR="009C2672">
        <w:t>branch offices, and shareholder meetings.</w:t>
      </w:r>
      <w:r w:rsidR="00666125">
        <w:t xml:space="preserve"> Animation production </w:t>
      </w:r>
      <w:r w:rsidR="009005F2">
        <w:t xml:space="preserve">was </w:t>
      </w:r>
      <w:r w:rsidR="00666125">
        <w:t xml:space="preserve">both </w:t>
      </w:r>
      <w:r w:rsidR="009005F2">
        <w:t xml:space="preserve">enabler and product </w:t>
      </w:r>
      <w:r w:rsidR="009C2672">
        <w:t>of the changing geography of</w:t>
      </w:r>
      <w:r w:rsidR="009005F2">
        <w:t xml:space="preserve"> </w:t>
      </w:r>
      <w:r w:rsidR="00666125">
        <w:t>petroleum extraction in the twentieth century</w:t>
      </w:r>
      <w:r w:rsidR="009005F2">
        <w:t xml:space="preserve">. </w:t>
      </w:r>
    </w:p>
    <w:p w14:paraId="14D4EC49" w14:textId="20CE3140" w:rsidR="00D94AC5" w:rsidRDefault="003129DB" w:rsidP="005E7731">
      <w:pPr>
        <w:pStyle w:val="Follow-onparagraphstyle"/>
      </w:pPr>
      <w:r>
        <w:t>T</w:t>
      </w:r>
      <w:r w:rsidR="009005F2">
        <w:t xml:space="preserve">he </w:t>
      </w:r>
      <w:r>
        <w:t xml:space="preserve">primary </w:t>
      </w:r>
      <w:r w:rsidR="009005F2">
        <w:t>case study film</w:t>
      </w:r>
      <w:r w:rsidR="00B251D0">
        <w:t xml:space="preserve"> discussed here,</w:t>
      </w:r>
      <w:r w:rsidR="009005F2">
        <w:t xml:space="preserve"> </w:t>
      </w:r>
      <w:r w:rsidR="009005F2">
        <w:rPr>
          <w:i/>
          <w:iCs/>
        </w:rPr>
        <w:t>Full Circle</w:t>
      </w:r>
      <w:r w:rsidR="00691272">
        <w:t>,</w:t>
      </w:r>
      <w:r>
        <w:t xml:space="preserve"> </w:t>
      </w:r>
      <w:r w:rsidR="00AC6556">
        <w:t xml:space="preserve">released in 1953 by </w:t>
      </w:r>
      <w:r w:rsidR="00AC72C0">
        <w:t>British Petroleum (BP)</w:t>
      </w:r>
      <w:r w:rsidR="00CD1251">
        <w:t>,</w:t>
      </w:r>
      <w:r w:rsidR="00AC6556">
        <w:rPr>
          <w:rStyle w:val="FootnoteReference"/>
        </w:rPr>
        <w:footnoteReference w:id="1"/>
      </w:r>
      <w:r>
        <w:t xml:space="preserve"> amply demonstrates </w:t>
      </w:r>
      <w:r w:rsidR="00B251D0">
        <w:t xml:space="preserve">these characteristics, </w:t>
      </w:r>
      <w:r w:rsidR="009A1677">
        <w:t>and the way</w:t>
      </w:r>
      <w:r w:rsidR="00094E19">
        <w:t>s</w:t>
      </w:r>
      <w:r w:rsidR="009A1677">
        <w:t xml:space="preserve"> animation represented and created the spaces and places of oil. Yet </w:t>
      </w:r>
      <w:r w:rsidR="009A1677">
        <w:rPr>
          <w:i/>
          <w:iCs/>
        </w:rPr>
        <w:t>Full Circle</w:t>
      </w:r>
      <w:r w:rsidR="009A1677">
        <w:t xml:space="preserve"> also document</w:t>
      </w:r>
      <w:r w:rsidR="00E02219">
        <w:t>s</w:t>
      </w:r>
      <w:r w:rsidR="009A1677">
        <w:t xml:space="preserve"> </w:t>
      </w:r>
      <w:r w:rsidR="00B251D0">
        <w:t xml:space="preserve">a unique moment in the changing (post)colonial contexts of petroleum extraction. </w:t>
      </w:r>
      <w:r w:rsidR="006B6F73">
        <w:t>In</w:t>
      </w:r>
      <w:r w:rsidR="00094E19">
        <w:t xml:space="preserve"> production between 1951 and 1953, the film underwent considerable changes that reflected the political upheaval in Iran in this period. </w:t>
      </w:r>
      <w:r w:rsidR="00E02219">
        <w:t xml:space="preserve">In March 1951, shortly after the film began production, the Iranian Majlis (Parliament) passed legislation to nationalise the oil industry. Although this action was disputed by AIOC and the British Government, by October 1951 all British oil workers had been ejected from </w:t>
      </w:r>
      <w:r w:rsidR="00694FCE">
        <w:t xml:space="preserve">extraction and </w:t>
      </w:r>
      <w:r w:rsidR="00E02219">
        <w:t>refinery facilities</w:t>
      </w:r>
      <w:r w:rsidR="00694FCE">
        <w:t xml:space="preserve"> and AIOC </w:t>
      </w:r>
      <w:r w:rsidR="00D50E2A">
        <w:t>was</w:t>
      </w:r>
      <w:r w:rsidR="00694FCE">
        <w:t xml:space="preserve"> cut-off from </w:t>
      </w:r>
      <w:r w:rsidR="001D77C4">
        <w:t>its</w:t>
      </w:r>
      <w:r w:rsidR="00694FCE">
        <w:t xml:space="preserve"> primary source of </w:t>
      </w:r>
      <w:r w:rsidR="00D50E2A">
        <w:t xml:space="preserve">crude </w:t>
      </w:r>
      <w:r w:rsidR="00694FCE">
        <w:t>oil</w:t>
      </w:r>
      <w:r w:rsidR="00E02219">
        <w:t>.</w:t>
      </w:r>
      <w:r w:rsidR="00694FCE">
        <w:t xml:space="preserve"> In August 1953 an American</w:t>
      </w:r>
      <w:r w:rsidR="00D50E2A">
        <w:t>-</w:t>
      </w:r>
      <w:r w:rsidR="00694FCE">
        <w:t xml:space="preserve"> and British</w:t>
      </w:r>
      <w:r w:rsidR="00D50E2A">
        <w:t>-</w:t>
      </w:r>
      <w:r w:rsidR="00694FCE">
        <w:t xml:space="preserve">supported coup resulted in the establishment of an administration favourable to foreign interests in oil extraction in Iran, however by this time </w:t>
      </w:r>
      <w:r w:rsidR="00694FCE">
        <w:rPr>
          <w:i/>
          <w:iCs/>
        </w:rPr>
        <w:t xml:space="preserve">Full Circle </w:t>
      </w:r>
      <w:r w:rsidR="00694FCE">
        <w:t>had been completed and released.</w:t>
      </w:r>
      <w:r w:rsidR="00E02219">
        <w:t xml:space="preserve"> A</w:t>
      </w:r>
      <w:r w:rsidR="00E02219" w:rsidRPr="00E02219">
        <w:t xml:space="preserve">rchival </w:t>
      </w:r>
      <w:r w:rsidR="00E02219">
        <w:t xml:space="preserve">production </w:t>
      </w:r>
      <w:r w:rsidR="00E02219" w:rsidRPr="00E02219">
        <w:t>materials</w:t>
      </w:r>
      <w:r w:rsidR="00E02219">
        <w:t xml:space="preserve"> for </w:t>
      </w:r>
      <w:r w:rsidR="00E02219">
        <w:rPr>
          <w:i/>
          <w:iCs/>
        </w:rPr>
        <w:t>Full Circle</w:t>
      </w:r>
      <w:r w:rsidR="00E02219">
        <w:t xml:space="preserve"> held at</w:t>
      </w:r>
      <w:r w:rsidR="00E02219" w:rsidRPr="00E02219">
        <w:t xml:space="preserve"> the BP Archive</w:t>
      </w:r>
      <w:r w:rsidR="00E02219">
        <w:t xml:space="preserve"> (Modern Records Centre, University of Warwick) provide a unique insight into the way this animated film </w:t>
      </w:r>
      <w:r w:rsidR="00694FCE">
        <w:t xml:space="preserve">changed during </w:t>
      </w:r>
      <w:r w:rsidR="00DB178E">
        <w:t>these</w:t>
      </w:r>
      <w:r w:rsidR="00694FCE">
        <w:t xml:space="preserve"> events</w:t>
      </w:r>
      <w:r w:rsidR="00E02219">
        <w:t xml:space="preserve"> and</w:t>
      </w:r>
      <w:r w:rsidR="00DA10FD">
        <w:t xml:space="preserve"> how it became a central tool for oil company and government</w:t>
      </w:r>
      <w:r w:rsidR="00E02219">
        <w:t xml:space="preserve"> </w:t>
      </w:r>
      <w:r w:rsidR="00694FCE">
        <w:t xml:space="preserve">deliberation </w:t>
      </w:r>
      <w:r w:rsidR="00DB178E">
        <w:t xml:space="preserve">on </w:t>
      </w:r>
      <w:r w:rsidR="00DA10FD">
        <w:t xml:space="preserve">their </w:t>
      </w:r>
      <w:r w:rsidR="00DB178E">
        <w:t xml:space="preserve">relationship with </w:t>
      </w:r>
      <w:r w:rsidR="001D77C4">
        <w:t>Iran</w:t>
      </w:r>
      <w:r w:rsidR="00DB178E">
        <w:t>, and other oil-rich states.</w:t>
      </w:r>
      <w:r w:rsidR="00C76F05">
        <w:t xml:space="preserve"> </w:t>
      </w:r>
      <w:r w:rsidR="00D17E86">
        <w:t xml:space="preserve">While </w:t>
      </w:r>
      <w:r w:rsidR="004F0472">
        <w:t xml:space="preserve">this case study approach </w:t>
      </w:r>
      <w:r w:rsidR="00D17E86">
        <w:t xml:space="preserve">is </w:t>
      </w:r>
      <w:r w:rsidR="009426F8">
        <w:t>necessary for</w:t>
      </w:r>
      <w:r w:rsidR="004F0472">
        <w:t xml:space="preserve"> historical and subject specificity, </w:t>
      </w:r>
      <w:r w:rsidR="00D17E86">
        <w:t xml:space="preserve">the </w:t>
      </w:r>
      <w:r w:rsidR="006862B5">
        <w:t xml:space="preserve">points raised </w:t>
      </w:r>
      <w:r w:rsidR="00D17E86">
        <w:t xml:space="preserve">here </w:t>
      </w:r>
      <w:r w:rsidR="004F0472">
        <w:t>will be</w:t>
      </w:r>
      <w:r w:rsidR="006862B5">
        <w:t xml:space="preserve"> applicable to a </w:t>
      </w:r>
      <w:r w:rsidR="004F0472">
        <w:t xml:space="preserve">much </w:t>
      </w:r>
      <w:r w:rsidR="006862B5">
        <w:t>wide</w:t>
      </w:r>
      <w:r w:rsidR="004F0472">
        <w:t>r</w:t>
      </w:r>
      <w:r w:rsidR="006862B5">
        <w:t xml:space="preserve"> range of </w:t>
      </w:r>
      <w:r w:rsidR="00C56CDE">
        <w:t>“</w:t>
      </w:r>
      <w:proofErr w:type="spellStart"/>
      <w:r w:rsidR="006862B5">
        <w:t>petrocinema</w:t>
      </w:r>
      <w:proofErr w:type="spellEnd"/>
      <w:r w:rsidR="00C56CDE">
        <w:t>”</w:t>
      </w:r>
      <w:r w:rsidR="006862B5">
        <w:t xml:space="preserve"> </w:t>
      </w:r>
      <w:r w:rsidR="006862B5">
        <w:fldChar w:fldCharType="begin"/>
      </w:r>
      <w:r w:rsidR="00643142">
        <w:instrText xml:space="preserve"> ADDIN EN.CITE &lt;EndNote&gt;&lt;Cite&gt;&lt;Author&gt;Dahlquist&lt;/Author&gt;&lt;Year&gt;2021&lt;/Year&gt;&lt;RecNum&gt;1324&lt;/RecNum&gt;&lt;DisplayText&gt;(Dahlquist and Vonderau 2021b)&lt;/DisplayText&gt;&lt;record&gt;&lt;rec-number&gt;1324&lt;/rec-number&gt;&lt;foreign-keys&gt;&lt;key app="EN" db-id="tpdvrsxvi90zzleszf5pxzx3s2ezv2szt9t0" timestamp="1614262741"&gt;1324&lt;/key&gt;&lt;/foreign-keys&gt;&lt;ref-type name="Book"&gt;6&lt;/ref-type&gt;&lt;contributors&gt;&lt;authors&gt;&lt;author&gt;Dahlquist, Marina&lt;/author&gt;&lt;author&gt;Vonderau, Patrick&lt;/author&gt;&lt;/authors&gt;&lt;/contributors&gt;&lt;titles&gt;&lt;title&gt;Petrocinema: Sponsored Film and the Oil Industry&lt;/title&gt;&lt;/titles&gt;&lt;dates&gt;&lt;year&gt;2021&lt;/year&gt;&lt;/dates&gt;&lt;pub-location&gt;London&lt;/pub-location&gt;&lt;publisher&gt;Bloomsbury&lt;/publisher&gt;&lt;urls&gt;&lt;/urls&gt;&lt;/record&gt;&lt;/Cite&gt;&lt;/EndNote&gt;</w:instrText>
      </w:r>
      <w:r w:rsidR="006862B5">
        <w:fldChar w:fldCharType="separate"/>
      </w:r>
      <w:r w:rsidR="00643142">
        <w:rPr>
          <w:noProof/>
        </w:rPr>
        <w:t>(Dahlquist and Vonderau 2021b)</w:t>
      </w:r>
      <w:r w:rsidR="006862B5">
        <w:fldChar w:fldCharType="end"/>
      </w:r>
      <w:r w:rsidR="00D17E86">
        <w:t xml:space="preserve"> and should be considered a model for more extensive study of </w:t>
      </w:r>
      <w:r w:rsidR="008F6878">
        <w:t xml:space="preserve">animation in </w:t>
      </w:r>
      <w:r w:rsidR="00D17E86">
        <w:t>oil extraction films.</w:t>
      </w:r>
      <w:r w:rsidR="00670628">
        <w:t xml:space="preserve"> </w:t>
      </w:r>
      <w:r w:rsidR="00F17159">
        <w:t>As such, this article recognise</w:t>
      </w:r>
      <w:r w:rsidR="00670628">
        <w:t>s</w:t>
      </w:r>
      <w:r w:rsidR="00F17159">
        <w:t xml:space="preserve"> the importance of animation </w:t>
      </w:r>
      <w:r w:rsidR="00670628">
        <w:t>at</w:t>
      </w:r>
      <w:r w:rsidR="00F17159">
        <w:t xml:space="preserve"> the </w:t>
      </w:r>
      <w:r w:rsidR="00F17159">
        <w:lastRenderedPageBreak/>
        <w:t>intersecti</w:t>
      </w:r>
      <w:r w:rsidR="00D94AC5">
        <w:t>on of three fields of study: environmental and energy humanities</w:t>
      </w:r>
      <w:r w:rsidR="00CD1251">
        <w:t>;</w:t>
      </w:r>
      <w:r w:rsidR="00670628">
        <w:rPr>
          <w:rStyle w:val="FootnoteReference"/>
        </w:rPr>
        <w:footnoteReference w:id="2"/>
      </w:r>
      <w:r w:rsidR="00D94AC5">
        <w:t xml:space="preserve"> useful cinema</w:t>
      </w:r>
      <w:r w:rsidR="00CD1251">
        <w:t>;</w:t>
      </w:r>
      <w:r w:rsidR="00670628">
        <w:rPr>
          <w:rStyle w:val="FootnoteReference"/>
        </w:rPr>
        <w:footnoteReference w:id="3"/>
      </w:r>
      <w:r w:rsidR="00D94AC5">
        <w:t xml:space="preserve"> and animated documentary</w:t>
      </w:r>
      <w:r w:rsidR="00CD1251">
        <w:t>.</w:t>
      </w:r>
      <w:r w:rsidR="00670628">
        <w:rPr>
          <w:rStyle w:val="FootnoteReference"/>
        </w:rPr>
        <w:footnoteReference w:id="4"/>
      </w:r>
    </w:p>
    <w:p w14:paraId="59F8D01F" w14:textId="7FE388C6" w:rsidR="00E8266A" w:rsidRDefault="00041002" w:rsidP="00E8266A">
      <w:pPr>
        <w:pStyle w:val="Heading1"/>
      </w:pPr>
      <w:r>
        <w:t xml:space="preserve">The international dimensions of </w:t>
      </w:r>
      <w:r w:rsidR="00E50257">
        <w:t xml:space="preserve">oil industry </w:t>
      </w:r>
      <w:r>
        <w:t>animation in post-war Britain</w:t>
      </w:r>
    </w:p>
    <w:p w14:paraId="74571869" w14:textId="611EDF0E" w:rsidR="00132CCB" w:rsidRDefault="006730B5" w:rsidP="00132CCB">
      <w:pPr>
        <w:pStyle w:val="Firstparagraphstyle"/>
        <w:rPr>
          <w:i/>
          <w:iCs/>
        </w:rPr>
      </w:pPr>
      <w:r>
        <w:t>The a</w:t>
      </w:r>
      <w:r w:rsidR="009A57F3">
        <w:t>nimation and oil industr</w:t>
      </w:r>
      <w:r>
        <w:t>ies</w:t>
      </w:r>
      <w:r w:rsidR="009A57F3">
        <w:t xml:space="preserve"> developed in parallel </w:t>
      </w:r>
      <w:r>
        <w:t xml:space="preserve">in the early twentieth century, and connections between them are evident from the silent era. British petroleum companies saw the power of animation to reach consumers in advertising, for example in the 1925 </w:t>
      </w:r>
      <w:r>
        <w:rPr>
          <w:i/>
          <w:iCs/>
        </w:rPr>
        <w:t>Mr…Goes Motoring</w:t>
      </w:r>
      <w:r>
        <w:t xml:space="preserve"> made for Shell, which animated </w:t>
      </w:r>
      <w:r w:rsidR="00C0093B">
        <w:t>drawings</w:t>
      </w:r>
      <w:r>
        <w:t xml:space="preserve"> by famed cartoonist H.M. Bateman </w:t>
      </w:r>
      <w:r>
        <w:fldChar w:fldCharType="begin"/>
      </w:r>
      <w:r>
        <w:instrText xml:space="preserve"> ADDIN EN.CITE &lt;EndNote&gt;&lt;Cite&gt;&lt;Author&gt;Jackson&lt;/Author&gt;&lt;Year&gt;2019&lt;/Year&gt;&lt;RecNum&gt;1493&lt;/RecNum&gt;&lt;DisplayText&gt;(Jackson 2019)&lt;/DisplayText&gt;&lt;record&gt;&lt;rec-number&gt;1493&lt;/rec-number&gt;&lt;foreign-keys&gt;&lt;key app="EN" db-id="tpdvrsxvi90zzleszf5pxzx3s2ezv2szt9t0" timestamp="1663601624"&gt;1493&lt;/key&gt;&lt;/foreign-keys&gt;&lt;ref-type name="Book Section"&gt;5&lt;/ref-type&gt;&lt;contributors&gt;&lt;authors&gt;&lt;author&gt;Jackson, Victoria&lt;/author&gt;&lt;/authors&gt;&lt;secondary-authors&gt;&lt;author&gt;Cook, Malcolm&lt;/author&gt;&lt;author&gt;Thompson, Kirsten Moana&lt;/author&gt;&lt;/secondary-authors&gt;&lt;/contributors&gt;&lt;titles&gt;&lt;title&gt;Animation and Commercial Display in Britain During the 1920s&lt;/title&gt;&lt;secondary-title&gt;Animation and Advertising&lt;/secondary-title&gt;&lt;/titles&gt;&lt;dates&gt;&lt;year&gt;2019&lt;/year&gt;&lt;/dates&gt;&lt;pub-location&gt;Cham, Switzerland&lt;/pub-location&gt;&lt;publisher&gt;Palgrave Macmillan&lt;/publisher&gt;&lt;urls&gt;&lt;/urls&gt;&lt;/record&gt;&lt;/Cite&gt;&lt;/EndNote&gt;</w:instrText>
      </w:r>
      <w:r>
        <w:fldChar w:fldCharType="separate"/>
      </w:r>
      <w:r>
        <w:rPr>
          <w:noProof/>
        </w:rPr>
        <w:t>(Jackson 2019)</w:t>
      </w:r>
      <w:r>
        <w:fldChar w:fldCharType="end"/>
      </w:r>
      <w:r>
        <w:t xml:space="preserve">. In contrast to these familiar character-based </w:t>
      </w:r>
      <w:r w:rsidR="00D50E2A">
        <w:t>approaches</w:t>
      </w:r>
      <w:r>
        <w:t xml:space="preserve">, the graphic capacity of animation to explain and direct was utilised by APOC, for example </w:t>
      </w:r>
      <w:r w:rsidRPr="006730B5">
        <w:rPr>
          <w:i/>
          <w:iCs/>
        </w:rPr>
        <w:t>In the Land of the Shah</w:t>
      </w:r>
      <w:r>
        <w:t xml:space="preserve"> (1926)</w:t>
      </w:r>
      <w:r w:rsidR="004A1184">
        <w:t>,</w:t>
      </w:r>
      <w:r>
        <w:t xml:space="preserve"> which feature</w:t>
      </w:r>
      <w:r w:rsidR="00F241B8">
        <w:t>d</w:t>
      </w:r>
      <w:r>
        <w:t xml:space="preserve"> animated maps to contextualise the documentary footage of Iran in the rest of the film.</w:t>
      </w:r>
      <w:r w:rsidR="00132CCB">
        <w:t xml:space="preserve"> The Shell Film Unit</w:t>
      </w:r>
      <w:r w:rsidR="00B07C80">
        <w:t>, formed in 1934,</w:t>
      </w:r>
      <w:r w:rsidR="00132CCB">
        <w:t xml:space="preserve"> is widely recognised as a central part of the British documentary film movement </w:t>
      </w:r>
      <w:r w:rsidR="00132CCB">
        <w:fldChar w:fldCharType="begin"/>
      </w:r>
      <w:r w:rsidR="00132CCB">
        <w:instrText xml:space="preserve"> ADDIN EN.CITE &lt;EndNote&gt;&lt;Cite&gt;&lt;Author&gt;Swann&lt;/Author&gt;&lt;Year&gt;1989&lt;/Year&gt;&lt;RecNum&gt;1048&lt;/RecNum&gt;&lt;DisplayText&gt;(Swann 1989; Russell and Taylor 2010)&lt;/DisplayText&gt;&lt;record&gt;&lt;rec-number&gt;1048&lt;/rec-number&gt;&lt;foreign-keys&gt;&lt;key app="EN" db-id="tpdvrsxvi90zzleszf5pxzx3s2ezv2szt9t0" timestamp="1501792151"&gt;1048&lt;/key&gt;&lt;/foreign-keys&gt;&lt;ref-type name="Book"&gt;6&lt;/ref-type&gt;&lt;contributors&gt;&lt;authors&gt;&lt;author&gt;Swann, Paul&lt;/author&gt;&lt;/authors&gt;&lt;/contributors&gt;&lt;titles&gt;&lt;title&gt;The British Documentary Film Movement, 1926-1946&lt;/title&gt;&lt;/titles&gt;&lt;dates&gt;&lt;year&gt;1989&lt;/year&gt;&lt;/dates&gt;&lt;pub-location&gt;Cambridge&lt;/pub-location&gt;&lt;publisher&gt;Cambridge University Press&lt;/publisher&gt;&lt;urls&gt;&lt;/urls&gt;&lt;/record&gt;&lt;/Cite&gt;&lt;Cite&gt;&lt;Author&gt;Russell&lt;/Author&gt;&lt;Year&gt;2010&lt;/Year&gt;&lt;RecNum&gt;1496&lt;/RecNum&gt;&lt;record&gt;&lt;rec-number&gt;1496&lt;/rec-number&gt;&lt;foreign-keys&gt;&lt;key app="EN" db-id="tpdvrsxvi90zzleszf5pxzx3s2ezv2szt9t0" timestamp="1663948468"&gt;1496&lt;/key&gt;&lt;/foreign-keys&gt;&lt;ref-type name="Edited Book"&gt;28&lt;/ref-type&gt;&lt;contributors&gt;&lt;authors&gt;&lt;author&gt;Russell, Patrick&lt;/author&gt;&lt;author&gt;Taylor, James Piers&lt;/author&gt;&lt;/authors&gt;&lt;/contributors&gt;&lt;titles&gt;&lt;title&gt;Shadows of Progress: Documentary Film in Post-War Britain&lt;/title&gt;&lt;/titles&gt;&lt;dates&gt;&lt;year&gt;2010&lt;/year&gt;&lt;/dates&gt;&lt;pub-location&gt;London&lt;/pub-location&gt;&lt;publisher&gt;BFI&lt;/publisher&gt;&lt;urls&gt;&lt;/urls&gt;&lt;/record&gt;&lt;/Cite&gt;&lt;/EndNote&gt;</w:instrText>
      </w:r>
      <w:r w:rsidR="00132CCB">
        <w:fldChar w:fldCharType="separate"/>
      </w:r>
      <w:r w:rsidR="00132CCB">
        <w:rPr>
          <w:noProof/>
        </w:rPr>
        <w:t>(Swann 1989; Russell and Taylor 2010)</w:t>
      </w:r>
      <w:r w:rsidR="00132CCB">
        <w:fldChar w:fldCharType="end"/>
      </w:r>
      <w:r w:rsidR="00132CCB">
        <w:t xml:space="preserve">, however less acknowledgement is given to the extensive animation work undertaken under Francis </w:t>
      </w:r>
      <w:proofErr w:type="spellStart"/>
      <w:r w:rsidR="00132CCB">
        <w:t>Rodker</w:t>
      </w:r>
      <w:proofErr w:type="spellEnd"/>
      <w:r w:rsidR="00132CCB">
        <w:t xml:space="preserve">, Director of Animation and Special Effects for the unit, both as inserts into live-action films and for self-contained animated films. In many cases, such uses were linked to prior intermedial graphic representation already in use within extractive industries and expert disciplinary fields, such as geology, engineering, or chemistry. Shell films like </w:t>
      </w:r>
      <w:r w:rsidR="00132CCB" w:rsidRPr="00066FC0">
        <w:rPr>
          <w:i/>
          <w:iCs/>
        </w:rPr>
        <w:t>Lubrication of the Petrol Engine</w:t>
      </w:r>
      <w:r w:rsidR="00132CCB">
        <w:t xml:space="preserve"> (1937) or the Gasoline series with entries on </w:t>
      </w:r>
      <w:r w:rsidR="00132CCB">
        <w:rPr>
          <w:i/>
          <w:iCs/>
        </w:rPr>
        <w:t xml:space="preserve">Cracking </w:t>
      </w:r>
      <w:r w:rsidR="00132CCB">
        <w:t xml:space="preserve">and </w:t>
      </w:r>
      <w:r w:rsidR="00132CCB" w:rsidRPr="004F0472">
        <w:rPr>
          <w:i/>
          <w:iCs/>
        </w:rPr>
        <w:t>Octane</w:t>
      </w:r>
      <w:r w:rsidR="00132CCB" w:rsidRPr="004F0472">
        <w:t xml:space="preserve"> (both 1948)</w:t>
      </w:r>
      <w:r w:rsidR="00132CCB">
        <w:t xml:space="preserve"> include animated diagrams produced by </w:t>
      </w:r>
      <w:proofErr w:type="spellStart"/>
      <w:r w:rsidR="00132CCB">
        <w:t>Rodker</w:t>
      </w:r>
      <w:proofErr w:type="spellEnd"/>
      <w:r w:rsidR="00132CCB">
        <w:t xml:space="preserve"> that were fundamental to their utility and pedagogy </w:t>
      </w:r>
      <w:r w:rsidR="00132CCB">
        <w:fldChar w:fldCharType="begin"/>
      </w:r>
      <w:r w:rsidR="00132CCB">
        <w:instrText xml:space="preserve"> ADDIN EN.CITE &lt;EndNote&gt;&lt;Cite&gt;&lt;Author&gt;Price&lt;/Author&gt;&lt;Year&gt;2019&lt;/Year&gt;&lt;RecNum&gt;1500&lt;/RecNum&gt;&lt;DisplayText&gt;(Price 2019)&lt;/DisplayText&gt;&lt;record&gt;&lt;rec-number&gt;1500&lt;/rec-number&gt;&lt;foreign-keys&gt;&lt;key app="EN" db-id="tpdvrsxvi90zzleszf5pxzx3s2ezv2szt9t0" timestamp="1665485161"&gt;1500&lt;/key&gt;&lt;/foreign-keys&gt;&lt;ref-type name="Book Section"&gt;5&lt;/ref-type&gt;&lt;contributors&gt;&lt;authors&gt;&lt;author&gt;Price, Hollie&lt;/author&gt;&lt;/authors&gt;&lt;secondary-authors&gt;&lt;author&gt;Cook, Malcolm&lt;/author&gt;&lt;author&gt;Thompson, Kirsten Moana&lt;/author&gt;&lt;/secondary-authors&gt;&lt;/contributors&gt;&lt;titles&gt;&lt;title&gt;‘A Very Flexible Medium’: The Ministry of Information and Animated Propaganda Films on the Home Front&lt;/title&gt;&lt;secondary-title&gt;Animation and Advertising&lt;/secondary-title&gt;&lt;/titles&gt;&lt;dates&gt;&lt;year&gt;2019&lt;/year&gt;&lt;/dates&gt;&lt;pub-location&gt;Cham, Switzerland&lt;/pub-location&gt;&lt;publisher&gt;Palgrave Macmillan&lt;/publisher&gt;&lt;urls&gt;&lt;/urls&gt;&lt;/record&gt;&lt;/Cite&gt;&lt;/EndNote&gt;</w:instrText>
      </w:r>
      <w:r w:rsidR="00132CCB">
        <w:fldChar w:fldCharType="separate"/>
      </w:r>
      <w:r w:rsidR="00132CCB">
        <w:rPr>
          <w:noProof/>
        </w:rPr>
        <w:t>(Price 2019)</w:t>
      </w:r>
      <w:r w:rsidR="00132CCB">
        <w:fldChar w:fldCharType="end"/>
      </w:r>
      <w:r w:rsidR="00132CCB">
        <w:t>.</w:t>
      </w:r>
    </w:p>
    <w:p w14:paraId="748E587D" w14:textId="214432C7" w:rsidR="00F02780" w:rsidRDefault="00132CCB" w:rsidP="00F02780">
      <w:pPr>
        <w:pStyle w:val="Follow-onparagraphstyle"/>
      </w:pPr>
      <w:r w:rsidRPr="00132CCB">
        <w:t>Of particular importance to the discussion in this article, in the 1950s B</w:t>
      </w:r>
      <w:r w:rsidR="00105684">
        <w:t>P/AIOC</w:t>
      </w:r>
      <w:r w:rsidRPr="00132CCB">
        <w:t xml:space="preserve"> invested significantly in a series of films by two London-based animation studios, Halas and Batchelor, and W.M. Larkins</w:t>
      </w:r>
      <w:r>
        <w:t>.</w:t>
      </w:r>
      <w:r w:rsidR="00F241B8">
        <w:rPr>
          <w:rStyle w:val="FootnoteReference"/>
        </w:rPr>
        <w:footnoteReference w:id="5"/>
      </w:r>
      <w:r>
        <w:t xml:space="preserve"> BP/AIOC films with contributions by W.M. Larkins included </w:t>
      </w:r>
      <w:r>
        <w:rPr>
          <w:i/>
          <w:iCs/>
        </w:rPr>
        <w:t>Distillation of Oil</w:t>
      </w:r>
      <w:r>
        <w:t xml:space="preserve"> (1950 – in four parts), </w:t>
      </w:r>
      <w:r w:rsidRPr="00E716C0">
        <w:rPr>
          <w:i/>
          <w:iCs/>
        </w:rPr>
        <w:t>Modern Oil Refinery</w:t>
      </w:r>
      <w:r w:rsidRPr="00E716C0">
        <w:t xml:space="preserve"> (1951)</w:t>
      </w:r>
      <w:r>
        <w:t xml:space="preserve">, and </w:t>
      </w:r>
      <w:r w:rsidRPr="00E716C0">
        <w:rPr>
          <w:i/>
          <w:iCs/>
        </w:rPr>
        <w:t>Chemistry of Oil</w:t>
      </w:r>
      <w:r>
        <w:t xml:space="preserve"> </w:t>
      </w:r>
      <w:r>
        <w:lastRenderedPageBreak/>
        <w:t>(1955) in which predominantly diagrammatic animation sits alongside photographic material of oil infrastructure and processes. Halas and Batchelor</w:t>
      </w:r>
      <w:r w:rsidR="002A0F77">
        <w:t xml:space="preserve"> had established </w:t>
      </w:r>
      <w:r w:rsidR="00C6267B">
        <w:t xml:space="preserve">a </w:t>
      </w:r>
      <w:r w:rsidR="002A0F77">
        <w:t xml:space="preserve">reputation </w:t>
      </w:r>
      <w:r w:rsidR="00C6267B">
        <w:t>with</w:t>
      </w:r>
      <w:r w:rsidR="002A0F77">
        <w:t xml:space="preserve"> their wartime work for the Ministry of Information, and they w</w:t>
      </w:r>
      <w:r w:rsidR="00C6267B">
        <w:t xml:space="preserve">ere in production on the feature-length </w:t>
      </w:r>
      <w:r w:rsidR="00C6267B">
        <w:rPr>
          <w:i/>
          <w:iCs/>
        </w:rPr>
        <w:t xml:space="preserve">Animal Farm </w:t>
      </w:r>
      <w:r w:rsidR="00C6267B">
        <w:t xml:space="preserve">(1954) at the same time as they </w:t>
      </w:r>
      <w:r>
        <w:t>were commissioned</w:t>
      </w:r>
      <w:r w:rsidR="00C6267B">
        <w:t xml:space="preserve"> by BP/AIOC</w:t>
      </w:r>
      <w:r>
        <w:t xml:space="preserve"> to make </w:t>
      </w:r>
      <w:r w:rsidR="002A4AE9">
        <w:t>wholly</w:t>
      </w:r>
      <w:r>
        <w:t xml:space="preserve"> animated films, such as those that recounted petroleum-related histories: oil tankers (</w:t>
      </w:r>
      <w:r>
        <w:rPr>
          <w:i/>
          <w:iCs/>
        </w:rPr>
        <w:t xml:space="preserve">We’ve Come a Long Way </w:t>
      </w:r>
      <w:r>
        <w:t>(1952)), motor cars (</w:t>
      </w:r>
      <w:r>
        <w:rPr>
          <w:i/>
          <w:iCs/>
        </w:rPr>
        <w:t>Moving Spirit</w:t>
      </w:r>
      <w:r>
        <w:t xml:space="preserve"> (1952)), flight (</w:t>
      </w:r>
      <w:r>
        <w:rPr>
          <w:i/>
          <w:iCs/>
        </w:rPr>
        <w:t xml:space="preserve">The Power to </w:t>
      </w:r>
      <w:r w:rsidRPr="00E716C0">
        <w:t>Fly</w:t>
      </w:r>
      <w:r>
        <w:t xml:space="preserve"> (1953)), </w:t>
      </w:r>
      <w:r w:rsidRPr="00E716C0">
        <w:t>lubricants</w:t>
      </w:r>
      <w:r>
        <w:t xml:space="preserve"> (</w:t>
      </w:r>
      <w:r w:rsidRPr="00113871">
        <w:rPr>
          <w:i/>
          <w:iCs/>
        </w:rPr>
        <w:t>Animal Vegetable Mineral</w:t>
      </w:r>
      <w:r>
        <w:t xml:space="preserve"> (1955)), farm equipment (</w:t>
      </w:r>
      <w:r>
        <w:rPr>
          <w:i/>
          <w:iCs/>
        </w:rPr>
        <w:t>Speed to the Plough</w:t>
      </w:r>
      <w:r>
        <w:t xml:space="preserve"> (1958), and energy itself (</w:t>
      </w:r>
      <w:r>
        <w:rPr>
          <w:i/>
          <w:iCs/>
        </w:rPr>
        <w:t>The Energy Picture</w:t>
      </w:r>
      <w:r>
        <w:t xml:space="preserve"> (1959))</w:t>
      </w:r>
      <w:r w:rsidR="007931AD">
        <w:t>.</w:t>
      </w:r>
      <w:r>
        <w:t xml:space="preserve"> These films were more focussed on the </w:t>
      </w:r>
      <w:r w:rsidR="004A1184">
        <w:t>downstream</w:t>
      </w:r>
      <w:r>
        <w:t xml:space="preserve"> and end-user consumption of oil products rather than extraction itself, and they were more light-hearted character-based films described </w:t>
      </w:r>
      <w:r w:rsidR="00EB532F">
        <w:t>in press</w:t>
      </w:r>
      <w:r>
        <w:rPr>
          <w:i/>
          <w:iCs/>
        </w:rPr>
        <w:t xml:space="preserve"> </w:t>
      </w:r>
      <w:r>
        <w:t xml:space="preserve">as </w:t>
      </w:r>
      <w:r w:rsidR="00973B3B">
        <w:t>“</w:t>
      </w:r>
      <w:r>
        <w:t>education without tears</w:t>
      </w:r>
      <w:r w:rsidR="00973B3B">
        <w:t>”</w:t>
      </w:r>
      <w:r w:rsidR="00EB532F">
        <w:t xml:space="preserve"> (BFI/HAB-1-27-2 Clipping from </w:t>
      </w:r>
      <w:r w:rsidR="00EB532F">
        <w:rPr>
          <w:i/>
          <w:iCs/>
        </w:rPr>
        <w:t xml:space="preserve">Teachers’ World </w:t>
      </w:r>
      <w:r w:rsidR="00EB532F">
        <w:t>18 September 1964)</w:t>
      </w:r>
      <w:r>
        <w:t xml:space="preserve">. However, the studio also made films that departed from this pattern, with </w:t>
      </w:r>
      <w:r>
        <w:rPr>
          <w:i/>
          <w:iCs/>
        </w:rPr>
        <w:t>As Old as the Hills</w:t>
      </w:r>
      <w:r>
        <w:t xml:space="preserve"> (1950) and </w:t>
      </w:r>
      <w:r>
        <w:rPr>
          <w:i/>
          <w:iCs/>
        </w:rPr>
        <w:t>Down a Long Way</w:t>
      </w:r>
      <w:r>
        <w:t xml:space="preserve"> (1954) including factually detailed accounts of oil formation and exploration/drilling supported by diagrammatic animation, and </w:t>
      </w:r>
      <w:r>
        <w:rPr>
          <w:i/>
          <w:iCs/>
        </w:rPr>
        <w:t xml:space="preserve">Service </w:t>
      </w:r>
      <w:r>
        <w:t xml:space="preserve">(1954) providing training for petrol station employees. Both studios produced similar films for other petroleum companies, such as </w:t>
      </w:r>
      <w:r>
        <w:rPr>
          <w:i/>
          <w:iCs/>
        </w:rPr>
        <w:t xml:space="preserve">Refinery at Work </w:t>
      </w:r>
      <w:r w:rsidRPr="00D11F6D">
        <w:t>(1955)</w:t>
      </w:r>
      <w:r>
        <w:rPr>
          <w:i/>
          <w:iCs/>
        </w:rPr>
        <w:t xml:space="preserve"> </w:t>
      </w:r>
      <w:r>
        <w:t>for Esso</w:t>
      </w:r>
      <w:r w:rsidRPr="00D11F6D">
        <w:t xml:space="preserve"> </w:t>
      </w:r>
      <w:r>
        <w:t xml:space="preserve">and </w:t>
      </w:r>
      <w:r>
        <w:rPr>
          <w:i/>
          <w:iCs/>
        </w:rPr>
        <w:t xml:space="preserve">The Paying Bay </w:t>
      </w:r>
      <w:r>
        <w:t xml:space="preserve">(1958) for Shell, both </w:t>
      </w:r>
      <w:r w:rsidRPr="00D11F6D">
        <w:t>made by</w:t>
      </w:r>
      <w:r>
        <w:rPr>
          <w:i/>
          <w:iCs/>
        </w:rPr>
        <w:t xml:space="preserve"> </w:t>
      </w:r>
      <w:r>
        <w:t xml:space="preserve">Halas and Batchelor, and </w:t>
      </w:r>
      <w:r>
        <w:rPr>
          <w:i/>
          <w:iCs/>
        </w:rPr>
        <w:t xml:space="preserve">Dream Sound </w:t>
      </w:r>
      <w:r w:rsidR="00E0087D">
        <w:t xml:space="preserve">(1958) </w:t>
      </w:r>
      <w:r>
        <w:t>for Shell by W.M. Larkins.</w:t>
      </w:r>
      <w:r w:rsidR="00D50E2A">
        <w:t xml:space="preserve"> Larkins’ film </w:t>
      </w:r>
      <w:r w:rsidR="00D50E2A">
        <w:rPr>
          <w:i/>
          <w:iCs/>
        </w:rPr>
        <w:t>Full Circle</w:t>
      </w:r>
      <w:r w:rsidR="00D50E2A">
        <w:t xml:space="preserve"> (1953) provides a useful case study and is the primary film discussed below, not only because of its unique and well-documented production history, but also because it combines the two aesthetic approaches, covering both diagrammatic and cartoon elements to communicate an imaginative and enchanting engagement with the geography and political relationships of oil extraction.</w:t>
      </w:r>
      <w:r w:rsidR="004A1184">
        <w:t xml:space="preserve"> Studying </w:t>
      </w:r>
      <w:r w:rsidR="006022B6">
        <w:t>such</w:t>
      </w:r>
      <w:r w:rsidR="004A1184">
        <w:t xml:space="preserve"> films as a form of </w:t>
      </w:r>
      <w:r w:rsidR="009A6393">
        <w:t xml:space="preserve">useful cinema moves </w:t>
      </w:r>
      <w:r w:rsidR="00AF4A92">
        <w:t xml:space="preserve">us </w:t>
      </w:r>
      <w:r w:rsidR="009A6393">
        <w:t xml:space="preserve">beyond </w:t>
      </w:r>
      <w:r w:rsidR="006022B6">
        <w:t xml:space="preserve">simply </w:t>
      </w:r>
      <w:r w:rsidR="009A6393">
        <w:t xml:space="preserve">analysing the representation of oil in narrative fiction, commonly addressed </w:t>
      </w:r>
      <w:r w:rsidR="009A3445">
        <w:t>by</w:t>
      </w:r>
      <w:r w:rsidR="009A6393">
        <w:t xml:space="preserve"> </w:t>
      </w:r>
      <w:proofErr w:type="spellStart"/>
      <w:r w:rsidR="009A6393">
        <w:t>petroculture</w:t>
      </w:r>
      <w:proofErr w:type="spellEnd"/>
      <w:r w:rsidR="009A6393">
        <w:t xml:space="preserve"> studies, to demonstrate the way animation was </w:t>
      </w:r>
      <w:r w:rsidR="00856173">
        <w:t xml:space="preserve">directly and </w:t>
      </w:r>
      <w:r w:rsidR="00186D49">
        <w:t xml:space="preserve">actively used by the agents of </w:t>
      </w:r>
      <w:proofErr w:type="spellStart"/>
      <w:r w:rsidR="00186D49">
        <w:t>petromodernity</w:t>
      </w:r>
      <w:proofErr w:type="spellEnd"/>
      <w:r w:rsidR="009A6393">
        <w:t>.</w:t>
      </w:r>
    </w:p>
    <w:p w14:paraId="0F6566A6" w14:textId="3278AFD1" w:rsidR="003856C2" w:rsidRDefault="00F02780" w:rsidP="004C1C8D">
      <w:pPr>
        <w:pStyle w:val="Follow-onparagraphstyle"/>
      </w:pPr>
      <w:r>
        <w:t xml:space="preserve">As will be </w:t>
      </w:r>
      <w:r w:rsidR="00A539ED">
        <w:t>addressed</w:t>
      </w:r>
      <w:r>
        <w:t xml:space="preserve"> further below, these films all represented</w:t>
      </w:r>
      <w:r w:rsidR="00D57C89">
        <w:t xml:space="preserve"> and furthered</w:t>
      </w:r>
      <w:r>
        <w:t xml:space="preserve"> the </w:t>
      </w:r>
      <w:r w:rsidR="00BE0C2B">
        <w:t xml:space="preserve">globalising </w:t>
      </w:r>
      <w:r>
        <w:t xml:space="preserve">role oil has played in underpinning twentieth century modernity, framed through the commercial and political demands of </w:t>
      </w:r>
      <w:r w:rsidR="00C0093B">
        <w:t>their</w:t>
      </w:r>
      <w:r>
        <w:t xml:space="preserve"> sponsor. </w:t>
      </w:r>
      <w:r w:rsidR="00D57C89">
        <w:t>Ostensibly made for a British oil company by British animation studios</w:t>
      </w:r>
      <w:r>
        <w:t xml:space="preserve">, </w:t>
      </w:r>
      <w:r w:rsidR="00C0093B">
        <w:t>the</w:t>
      </w:r>
      <w:r>
        <w:t xml:space="preserve"> production </w:t>
      </w:r>
      <w:r w:rsidR="00C0093B">
        <w:t xml:space="preserve">of these films </w:t>
      </w:r>
      <w:r>
        <w:t xml:space="preserve">demonstrated this </w:t>
      </w:r>
      <w:r w:rsidR="00E308D2">
        <w:t xml:space="preserve">globalising tendency </w:t>
      </w:r>
      <w:r>
        <w:t>in applied ways</w:t>
      </w:r>
      <w:r w:rsidR="00D57C89">
        <w:t xml:space="preserve"> as</w:t>
      </w:r>
      <w:r>
        <w:t xml:space="preserve"> their production and distribution exceeded national contexts. </w:t>
      </w:r>
      <w:r w:rsidR="00E5568E">
        <w:t>Animation directors</w:t>
      </w:r>
      <w:r w:rsidR="008F4902">
        <w:t xml:space="preserve"> </w:t>
      </w:r>
      <w:r w:rsidR="008F4902" w:rsidRPr="00F02780">
        <w:t>Peter Sachs</w:t>
      </w:r>
      <w:r w:rsidR="008F4902">
        <w:t xml:space="preserve"> and John Halas (born </w:t>
      </w:r>
      <w:r w:rsidR="008F4902" w:rsidRPr="00172B0E">
        <w:t xml:space="preserve">János </w:t>
      </w:r>
      <w:proofErr w:type="spellStart"/>
      <w:r w:rsidR="008F4902" w:rsidRPr="00172B0E">
        <w:t>Halász</w:t>
      </w:r>
      <w:proofErr w:type="spellEnd"/>
      <w:r w:rsidR="008F4902">
        <w:t xml:space="preserve">), were </w:t>
      </w:r>
      <w:r w:rsidR="007931AD">
        <w:t xml:space="preserve">European </w:t>
      </w:r>
      <w:r w:rsidR="008F4902" w:rsidRPr="0045469F">
        <w:t>émigré</w:t>
      </w:r>
      <w:r w:rsidR="008F4902">
        <w:t xml:space="preserve">s, </w:t>
      </w:r>
      <w:r w:rsidR="008F4902">
        <w:fldChar w:fldCharType="begin"/>
      </w:r>
      <w:r w:rsidR="008D2452">
        <w:instrText xml:space="preserve"> ADDIN EN.CITE &lt;EndNote&gt;&lt;Cite&gt;&lt;Author&gt;Lloyd&lt;/Author&gt;&lt;Year&gt;2019&lt;/Year&gt;&lt;RecNum&gt;1485&lt;/RecNum&gt;&lt;DisplayText&gt;(Lloyd 2019; Halas 2006)&lt;/DisplayText&gt;&lt;record&gt;&lt;rec-number&gt;1485&lt;/rec-number&gt;&lt;foreign-keys&gt;&lt;key app="EN" db-id="tpdvrsxvi90zzleszf5pxzx3s2ezv2szt9t0" timestamp="1663241949"&gt;1485&lt;/key&gt;&lt;/foreign-keys&gt;&lt;ref-type name="Book Section"&gt;5&lt;/ref-type&gt;&lt;contributors&gt;&lt;authors&gt;&lt;author&gt;Lloyd, Fran&lt;/author&gt;&lt;/authors&gt;&lt;secondary-authors&gt;&lt;author&gt;Malet, Marian&lt;/author&gt;&lt;author&gt;Dickson, Rachel&lt;/author&gt;&lt;author&gt;MacDougall, Sarah&lt;/author&gt;&lt;author&gt;Nyburg, Anna&lt;/author&gt;&lt;/secondary-authors&gt;&lt;/contributors&gt;&lt;titles&gt;&lt;title&gt;Making Animation Matter: Peter Sachs Comes to Britain&lt;/title&gt;&lt;secondary-title&gt;Applied Arts in British Exile from 1933: Changing Visual and Material Culture&lt;/secondary-title&gt;&lt;/titles&gt;&lt;dates&gt;&lt;year&gt;2019&lt;/year&gt;&lt;/dates&gt;&lt;pub-location&gt;Leiden&lt;/pub-location&gt;&lt;publisher&gt;Brill Rodopi&lt;/publisher&gt;&lt;urls&gt;&lt;/urls&gt;&lt;/record&gt;&lt;/Cite&gt;&lt;Cite&gt;&lt;Author&gt;Halas&lt;/Author&gt;&lt;Year&gt;2006&lt;/Year&gt;&lt;RecNum&gt;1487&lt;/RecNum&gt;&lt;record&gt;&lt;rec-number&gt;1487&lt;/rec-number&gt;&lt;foreign-keys&gt;&lt;key app="EN" db-id="tpdvrsxvi90zzleszf5pxzx3s2ezv2szt9t0" timestamp="1663246515"&gt;1487&lt;/key&gt;&lt;/foreign-keys&gt;&lt;ref-type name="Book Section"&gt;5&lt;/ref-type&gt;&lt;contributors&gt;&lt;authors&gt;&lt;author&gt;Halas, Vivien&lt;/author&gt;&lt;/authors&gt;&lt;secondary-authors&gt;&lt;author&gt;Halas, Vivien&lt;/author&gt;&lt;author&gt;Wells, Paul&lt;/author&gt;&lt;/secondary-authors&gt;&lt;/contributors&gt;&lt;titles&gt;&lt;title&gt;My Family and Other Animators&lt;/title&gt;&lt;secondary-title&gt;Halas &amp;amp; Batchelor Cartoons: An Animated History&lt;/secondary-title&gt;&lt;/titles&gt;&lt;pages&gt;5&lt;/pages&gt;&lt;dates&gt;&lt;year&gt;2006&lt;/year&gt;&lt;/dates&gt;&lt;pub-location&gt;London&lt;/pub-location&gt;&lt;publisher&gt;Southbank Publishing&lt;/publisher&gt;&lt;urls&gt;&lt;/urls&gt;&lt;/record&gt;&lt;/Cite&gt;&lt;/EndNote&gt;</w:instrText>
      </w:r>
      <w:r w:rsidR="008F4902">
        <w:fldChar w:fldCharType="separate"/>
      </w:r>
      <w:r w:rsidR="008D2452">
        <w:rPr>
          <w:noProof/>
        </w:rPr>
        <w:t>(Lloyd 2019; Halas 2006)</w:t>
      </w:r>
      <w:r w:rsidR="008F4902">
        <w:fldChar w:fldCharType="end"/>
      </w:r>
      <w:r w:rsidR="00E5568E">
        <w:t>, as were composers</w:t>
      </w:r>
      <w:r w:rsidR="008F4902">
        <w:t xml:space="preserve"> Francis Chagrin and </w:t>
      </w:r>
      <w:proofErr w:type="spellStart"/>
      <w:r w:rsidR="008F4902" w:rsidRPr="00EE2320">
        <w:t>Mátyás</w:t>
      </w:r>
      <w:proofErr w:type="spellEnd"/>
      <w:r w:rsidR="008F4902" w:rsidRPr="00EE2320">
        <w:t xml:space="preserve"> </w:t>
      </w:r>
      <w:proofErr w:type="spellStart"/>
      <w:r w:rsidR="008F4902" w:rsidRPr="00EE2320">
        <w:t>Seiber</w:t>
      </w:r>
      <w:proofErr w:type="spellEnd"/>
      <w:r w:rsidR="008F4902">
        <w:t xml:space="preserve"> </w:t>
      </w:r>
      <w:r w:rsidR="00E5568E">
        <w:fldChar w:fldCharType="begin"/>
      </w:r>
      <w:r w:rsidR="00E5568E">
        <w:instrText xml:space="preserve"> ADDIN EN.CITE &lt;EndNote&gt;&lt;Cite&gt;&lt;Author&gt;Scheding&lt;/Author&gt;&lt;Year&gt;2008&lt;/Year&gt;&lt;RecNum&gt;1488&lt;/RecNum&gt;&lt;DisplayText&gt;(Scheding 2008; Frankel 1973)&lt;/DisplayText&gt;&lt;record&gt;&lt;rec-number&gt;1488&lt;/rec-number&gt;&lt;foreign-keys&gt;&lt;key app="EN" db-id="tpdvrsxvi90zzleszf5pxzx3s2ezv2szt9t0" timestamp="1663247362"&gt;1488&lt;/key&gt;&lt;/foreign-keys&gt;&lt;ref-type name="Book Section"&gt;5&lt;/ref-type&gt;&lt;contributors&gt;&lt;authors&gt;&lt;author&gt;Scheding, Florian&lt;/author&gt;&lt;/authors&gt;&lt;secondary-authors&gt;&lt;author&gt;Bergfelder, Tim&lt;/author&gt;&lt;author&gt;Cargnelli, Christian&lt;/author&gt;&lt;/secondary-authors&gt;&lt;/contributors&gt;&lt;titles&gt;&lt;title&gt;‘An Animated Quest for Freedom’: Mátyás Seiber’s Score for The Magic Canvas&lt;/title&gt;&lt;secondary-title&gt;German-Speaking Emigres and British Cinema, 1925-1950&lt;/secondary-title&gt;&lt;/titles&gt;&lt;dates&gt;&lt;year&gt;2008&lt;/year&gt;&lt;/dates&gt;&lt;pub-location&gt;New York&lt;/pub-location&gt;&lt;publisher&gt;Berghahn Books&lt;/publisher&gt;&lt;urls&gt;&lt;/urls&gt;&lt;/record&gt;&lt;/Cite&gt;&lt;Cite&gt;&lt;Author&gt;Frankel&lt;/Author&gt;&lt;Year&gt;1973&lt;/Year&gt;&lt;RecNum&gt;1489&lt;/RecNum&gt;&lt;record&gt;&lt;rec-number&gt;1489&lt;/rec-number&gt;&lt;foreign-keys&gt;&lt;key app="EN" db-id="tpdvrsxvi90zzleszf5pxzx3s2ezv2szt9t0" timestamp="1663247641"&gt;1489&lt;/key&gt;&lt;/foreign-keys&gt;&lt;ref-type name="Journal Article"&gt;17&lt;/ref-type&gt;&lt;contributors&gt;&lt;authors&gt;&lt;author&gt;Frankel, Benjamin&lt;/author&gt;&lt;/authors&gt;&lt;/contributors&gt;&lt;titles&gt;&lt;title&gt;Francis Chagrin [Obituary]&lt;/title&gt;&lt;secondary-title&gt;The Musical Times&lt;/secondary-title&gt;&lt;/titles&gt;&lt;periodical&gt;&lt;full-title&gt;The Musical Times&lt;/full-title&gt;&lt;/periodical&gt;&lt;pages&gt;65&lt;/pages&gt;&lt;volume&gt;114&lt;/volume&gt;&lt;number&gt;1559&lt;/number&gt;&lt;dates&gt;&lt;year&gt;1973&lt;/year&gt;&lt;pub-dates&gt;&lt;date&gt;January&lt;/date&gt;&lt;/pub-dates&gt;&lt;/dates&gt;&lt;urls&gt;&lt;/urls&gt;&lt;/record&gt;&lt;/Cite&gt;&lt;/EndNote&gt;</w:instrText>
      </w:r>
      <w:r w:rsidR="00E5568E">
        <w:fldChar w:fldCharType="separate"/>
      </w:r>
      <w:r w:rsidR="00E5568E">
        <w:rPr>
          <w:noProof/>
        </w:rPr>
        <w:t>(Scheding 2008; Frankel 1973)</w:t>
      </w:r>
      <w:r w:rsidR="00E5568E">
        <w:fldChar w:fldCharType="end"/>
      </w:r>
      <w:r w:rsidR="00E5568E">
        <w:t>. T</w:t>
      </w:r>
      <w:r w:rsidR="008F4902">
        <w:t xml:space="preserve">heir contribution as </w:t>
      </w:r>
      <w:r w:rsidR="008F4902" w:rsidRPr="00B65DF4">
        <w:t>émigré</w:t>
      </w:r>
      <w:r w:rsidR="008F4902">
        <w:t xml:space="preserve">s indicates the regular </w:t>
      </w:r>
      <w:r w:rsidR="00E308D2">
        <w:t>exchange</w:t>
      </w:r>
      <w:r w:rsidR="008F4902">
        <w:t xml:space="preserve"> of personnel and ideas operating across national borders </w:t>
      </w:r>
      <w:proofErr w:type="gramStart"/>
      <w:r w:rsidR="008F4902">
        <w:t>at this time</w:t>
      </w:r>
      <w:proofErr w:type="gramEnd"/>
      <w:r w:rsidR="008F4902">
        <w:t>.</w:t>
      </w:r>
      <w:r w:rsidR="00E5568E">
        <w:t xml:space="preserve"> In the absence of a strong domestic entertainment animation industry, and faced with stiff competition from dominant </w:t>
      </w:r>
      <w:r w:rsidR="00E5568E">
        <w:lastRenderedPageBreak/>
        <w:t xml:space="preserve">American studios, sponsored animation provided a crucial space for the internationalisation and diversification of the British animation workforce, also extending to female animators like </w:t>
      </w:r>
      <w:r w:rsidR="00E5568E" w:rsidRPr="00E5568E">
        <w:t>Joy Batchelor</w:t>
      </w:r>
      <w:r w:rsidR="00E5568E">
        <w:t>,</w:t>
      </w:r>
      <w:r w:rsidR="005218DB">
        <w:t xml:space="preserve"> </w:t>
      </w:r>
      <w:r w:rsidR="005218DB" w:rsidRPr="00E5568E">
        <w:t>Irene Castellanos</w:t>
      </w:r>
      <w:r w:rsidR="005218DB">
        <w:t>,</w:t>
      </w:r>
      <w:r w:rsidR="00E5568E">
        <w:t xml:space="preserve"> </w:t>
      </w:r>
      <w:r w:rsidR="00E5568E" w:rsidRPr="00E5568E">
        <w:t xml:space="preserve">Vera </w:t>
      </w:r>
      <w:proofErr w:type="spellStart"/>
      <w:r w:rsidR="00E5568E" w:rsidRPr="00E5568E">
        <w:t>Linnecar</w:t>
      </w:r>
      <w:proofErr w:type="spellEnd"/>
      <w:r w:rsidR="00E5568E" w:rsidRPr="00E5568E">
        <w:t>, Rosalie Marshall</w:t>
      </w:r>
      <w:r w:rsidR="00E5568E">
        <w:t>,</w:t>
      </w:r>
      <w:r w:rsidR="00E5568E" w:rsidRPr="00E5568E">
        <w:t xml:space="preserve"> and</w:t>
      </w:r>
      <w:r w:rsidR="005218DB">
        <w:t xml:space="preserve"> Alison de Vere</w:t>
      </w:r>
      <w:r w:rsidR="00E5568E" w:rsidRPr="00E5568E">
        <w:t xml:space="preserve"> </w:t>
      </w:r>
      <w:r w:rsidR="00E5568E">
        <w:fldChar w:fldCharType="begin"/>
      </w:r>
      <w:r w:rsidR="00E5568E">
        <w:instrText xml:space="preserve"> ADDIN EN.CITE &lt;EndNote&gt;&lt;Cite&gt;&lt;Author&gt;Stewart&lt;/Author&gt;&lt;Year&gt;2021&lt;/Year&gt;&lt;RecNum&gt;1497&lt;/RecNum&gt;&lt;DisplayText&gt;(Stewart 2021)&lt;/DisplayText&gt;&lt;record&gt;&lt;rec-number&gt;1497&lt;/rec-number&gt;&lt;foreign-keys&gt;&lt;key app="EN" db-id="tpdvrsxvi90zzleszf5pxzx3s2ezv2szt9t0" timestamp="1664882448"&gt;1497&lt;/key&gt;&lt;/foreign-keys&gt;&lt;ref-type name="Book"&gt;6&lt;/ref-type&gt;&lt;contributors&gt;&lt;authors&gt;&lt;author&gt;Stewart, Jez&lt;/author&gt;&lt;/authors&gt;&lt;secondary-authors&gt;&lt;author&gt;Russell, Patrick&lt;/author&gt;&lt;author&gt;Duguid, Mark&lt;/author&gt;&lt;/secondary-authors&gt;&lt;/contributors&gt;&lt;titles&gt;&lt;title&gt;The Story of British Animation&lt;/title&gt;&lt;secondary-title&gt;British Screen Stories&lt;/secondary-title&gt;&lt;/titles&gt;&lt;dates&gt;&lt;year&gt;2021&lt;/year&gt;&lt;/dates&gt;&lt;pub-location&gt;London&lt;/pub-location&gt;&lt;publisher&gt;BFI&lt;/publisher&gt;&lt;urls&gt;&lt;/urls&gt;&lt;/record&gt;&lt;/Cite&gt;&lt;/EndNote&gt;</w:instrText>
      </w:r>
      <w:r w:rsidR="00E5568E">
        <w:fldChar w:fldCharType="separate"/>
      </w:r>
      <w:r w:rsidR="00E5568E">
        <w:rPr>
          <w:noProof/>
        </w:rPr>
        <w:t>(Stewart 2021)</w:t>
      </w:r>
      <w:r w:rsidR="00E5568E">
        <w:fldChar w:fldCharType="end"/>
      </w:r>
      <w:r w:rsidR="00E0087D">
        <w:t xml:space="preserve">. </w:t>
      </w:r>
      <w:r w:rsidR="00752F3F">
        <w:t xml:space="preserve">In turn, this international modernity supported the dissemination of a new aesthetic modernism. </w:t>
      </w:r>
      <w:r w:rsidR="00E0087D">
        <w:t>M</w:t>
      </w:r>
      <w:r w:rsidR="00752F3F">
        <w:t>ost notably</w:t>
      </w:r>
      <w:r w:rsidR="00E0087D">
        <w:t>, Halas collaborated with</w:t>
      </w:r>
      <w:r w:rsidR="00752F3F">
        <w:t xml:space="preserve"> </w:t>
      </w:r>
      <w:r w:rsidR="00752F3F" w:rsidRPr="00F47DC8">
        <w:t>László Moholy-Nagy</w:t>
      </w:r>
      <w:r w:rsidR="00752F3F">
        <w:t xml:space="preserve"> </w:t>
      </w:r>
      <w:r w:rsidR="00E0087D">
        <w:t>in Hungary and London</w:t>
      </w:r>
      <w:r w:rsidR="00752F3F">
        <w:t xml:space="preserve"> </w:t>
      </w:r>
      <w:r w:rsidR="00752F3F">
        <w:fldChar w:fldCharType="begin"/>
      </w:r>
      <w:r w:rsidR="008D2452">
        <w:instrText xml:space="preserve"> ADDIN EN.CITE &lt;EndNote&gt;&lt;Cite&gt;&lt;Author&gt;Halas&lt;/Author&gt;&lt;Year&gt;2006&lt;/Year&gt;&lt;RecNum&gt;1487&lt;/RecNum&gt;&lt;Pages&gt;81&lt;/Pages&gt;&lt;DisplayText&gt;(Halas 2006, 81; Walker 2006, 112)&lt;/DisplayText&gt;&lt;record&gt;&lt;rec-number&gt;1487&lt;/rec-number&gt;&lt;foreign-keys&gt;&lt;key app="EN" db-id="tpdvrsxvi90zzleszf5pxzx3s2ezv2szt9t0" timestamp="1663246515"&gt;1487&lt;/key&gt;&lt;/foreign-keys&gt;&lt;ref-type name="Book Section"&gt;5&lt;/ref-type&gt;&lt;contributors&gt;&lt;authors&gt;&lt;author&gt;Halas, Vivien&lt;/author&gt;&lt;/authors&gt;&lt;secondary-authors&gt;&lt;author&gt;Halas, Vivien&lt;/author&gt;&lt;author&gt;Wells, Paul&lt;/author&gt;&lt;/secondary-authors&gt;&lt;/contributors&gt;&lt;titles&gt;&lt;title&gt;My Family and Other Animators&lt;/title&gt;&lt;secondary-title&gt;Halas &amp;amp; Batchelor Cartoons: An Animated History&lt;/secondary-title&gt;&lt;/titles&gt;&lt;pages&gt;5&lt;/pages&gt;&lt;dates&gt;&lt;year&gt;2006&lt;/year&gt;&lt;/dates&gt;&lt;pub-location&gt;London&lt;/pub-location&gt;&lt;publisher&gt;Southbank Publishing&lt;/publisher&gt;&lt;urls&gt;&lt;/urls&gt;&lt;/record&gt;&lt;/Cite&gt;&lt;Cite&gt;&lt;Author&gt;Walker&lt;/Author&gt;&lt;Year&gt;2006&lt;/Year&gt;&lt;RecNum&gt;1125&lt;/RecNum&gt;&lt;Pages&gt;112&lt;/Pages&gt;&lt;record&gt;&lt;rec-number&gt;1125&lt;/rec-number&gt;&lt;foreign-keys&gt;&lt;key app="EN" db-id="tpdvrsxvi90zzleszf5pxzx3s2ezv2szt9t0" timestamp="1510926546"&gt;1125&lt;/key&gt;&lt;/foreign-keys&gt;&lt;ref-type name="Book Section"&gt;5&lt;/ref-type&gt;&lt;contributors&gt;&lt;authors&gt;&lt;author&gt;Walker, Jim&lt;/author&gt;&lt;/authors&gt;&lt;secondary-authors&gt;&lt;author&gt;Halas, Vivien&lt;/author&gt;&lt;author&gt;Wells, Paul&lt;/author&gt;&lt;/secondary-authors&gt;&lt;/contributors&gt;&lt;titles&gt;&lt;title&gt;Animated Commercials&lt;/title&gt;&lt;secondary-title&gt;Halas &amp;amp; Batchelor Cartoons: An Animated History&lt;/secondary-title&gt;&lt;/titles&gt;&lt;pages&gt;109-123&lt;/pages&gt;&lt;dates&gt;&lt;year&gt;2006&lt;/year&gt;&lt;/dates&gt;&lt;pub-location&gt;London&lt;/pub-location&gt;&lt;publisher&gt;Southbank Publishing&lt;/publisher&gt;&lt;urls&gt;&lt;/urls&gt;&lt;/record&gt;&lt;/Cite&gt;&lt;/EndNote&gt;</w:instrText>
      </w:r>
      <w:r w:rsidR="00752F3F">
        <w:fldChar w:fldCharType="separate"/>
      </w:r>
      <w:r w:rsidR="008D2452">
        <w:rPr>
          <w:noProof/>
        </w:rPr>
        <w:t>(Halas 2006, 81; Walker 2006, 112)</w:t>
      </w:r>
      <w:r w:rsidR="00752F3F">
        <w:fldChar w:fldCharType="end"/>
      </w:r>
      <w:r w:rsidR="00E0087D">
        <w:t xml:space="preserve">, and </w:t>
      </w:r>
      <w:proofErr w:type="spellStart"/>
      <w:r w:rsidR="00752F3F">
        <w:t>Sach’s</w:t>
      </w:r>
      <w:proofErr w:type="spellEnd"/>
      <w:r w:rsidR="00752F3F">
        <w:t xml:space="preserve"> work on </w:t>
      </w:r>
      <w:r w:rsidR="00752F3F">
        <w:rPr>
          <w:i/>
          <w:iCs/>
        </w:rPr>
        <w:t>Full Circle</w:t>
      </w:r>
      <w:r w:rsidR="00752F3F">
        <w:t xml:space="preserve"> shows a very strong influence of Cubism</w:t>
      </w:r>
      <w:r w:rsidR="004F0301">
        <w:t>, Futurism, and other modernist movements</w:t>
      </w:r>
      <w:r w:rsidR="00752F3F">
        <w:t xml:space="preserve">. </w:t>
      </w:r>
    </w:p>
    <w:p w14:paraId="598416FB" w14:textId="5AA5712B" w:rsidR="00643142" w:rsidRPr="004A01F9" w:rsidRDefault="007235BD" w:rsidP="004C1C8D">
      <w:pPr>
        <w:pStyle w:val="Follow-onparagraphstyle"/>
      </w:pPr>
      <w:r>
        <w:t xml:space="preserve">The distribution of </w:t>
      </w:r>
      <w:r w:rsidR="004B46E9">
        <w:t xml:space="preserve">British </w:t>
      </w:r>
      <w:r w:rsidR="00643142">
        <w:t xml:space="preserve">oil industry films </w:t>
      </w:r>
      <w:r>
        <w:t>was</w:t>
      </w:r>
      <w:r w:rsidR="003856C2">
        <w:t xml:space="preserve"> </w:t>
      </w:r>
      <w:r w:rsidR="00643142" w:rsidRPr="004A01F9">
        <w:t>international</w:t>
      </w:r>
      <w:r w:rsidR="004B46E9">
        <w:t>ly focussed</w:t>
      </w:r>
      <w:r w:rsidR="00643142" w:rsidRPr="004A01F9">
        <w:t xml:space="preserve"> </w:t>
      </w:r>
      <w:r>
        <w:t>with</w:t>
      </w:r>
      <w:r w:rsidR="00752F3F">
        <w:t xml:space="preserve"> varied target audiences.</w:t>
      </w:r>
      <w:r w:rsidR="00643142" w:rsidRPr="004A01F9">
        <w:t xml:space="preserve"> In common with other </w:t>
      </w:r>
      <w:r w:rsidR="00643142">
        <w:t>types</w:t>
      </w:r>
      <w:r w:rsidR="00643142" w:rsidRPr="004A01F9">
        <w:t xml:space="preserve"> of </w:t>
      </w:r>
      <w:r w:rsidR="00973B3B">
        <w:t>“</w:t>
      </w:r>
      <w:r w:rsidR="00643142" w:rsidRPr="004A01F9">
        <w:t>films that work</w:t>
      </w:r>
      <w:r w:rsidR="00973B3B">
        <w:t>”</w:t>
      </w:r>
      <w:r w:rsidR="00643142" w:rsidRPr="004A01F9">
        <w:t xml:space="preserve"> </w:t>
      </w:r>
      <w:r w:rsidR="00643142" w:rsidRPr="004A01F9">
        <w:fldChar w:fldCharType="begin"/>
      </w:r>
      <w:r w:rsidR="00643142" w:rsidRPr="004A01F9">
        <w:instrText xml:space="preserve"> ADDIN EN.CITE &lt;EndNote&gt;&lt;Cite&gt;&lt;Author&gt;Hediger&lt;/Author&gt;&lt;Year&gt;2009&lt;/Year&gt;&lt;RecNum&gt;1146&lt;/RecNum&gt;&lt;DisplayText&gt;(Hediger and Vonderau 2009)&lt;/DisplayText&gt;&lt;record&gt;&lt;rec-number&gt;1146&lt;/rec-number&gt;&lt;foreign-keys&gt;&lt;key app="EN" db-id="tpdvrsxvi90zzleszf5pxzx3s2ezv2szt9t0" timestamp="1533912166"&gt;1146&lt;/key&gt;&lt;/foreign-keys&gt;&lt;ref-type name="Edited Book"&gt;28&lt;/ref-type&gt;&lt;contributors&gt;&lt;authors&gt;&lt;author&gt;Hediger, Vinzenz &lt;/author&gt;&lt;author&gt;Vonderau, Patrick &lt;/author&gt;&lt;/authors&gt;&lt;/contributors&gt;&lt;titles&gt;&lt;title&gt;Films that Work: Industrial Film and the Productivity of Media&lt;/title&gt;&lt;/titles&gt;&lt;dates&gt;&lt;year&gt;2009&lt;/year&gt;&lt;/dates&gt;&lt;pub-location&gt;Amsterdam&lt;/pub-location&gt;&lt;publisher&gt;Amsterdam University Press&lt;/publisher&gt;&lt;urls&gt;&lt;/urls&gt;&lt;/record&gt;&lt;/Cite&gt;&lt;/EndNote&gt;</w:instrText>
      </w:r>
      <w:r w:rsidR="00643142" w:rsidRPr="004A01F9">
        <w:fldChar w:fldCharType="separate"/>
      </w:r>
      <w:r w:rsidR="00643142" w:rsidRPr="004A01F9">
        <w:t>(</w:t>
      </w:r>
      <w:proofErr w:type="spellStart"/>
      <w:r w:rsidR="00643142" w:rsidRPr="004A01F9">
        <w:t>Hediger</w:t>
      </w:r>
      <w:proofErr w:type="spellEnd"/>
      <w:r w:rsidR="00643142" w:rsidRPr="004A01F9">
        <w:t xml:space="preserve"> and Vonderau 2009)</w:t>
      </w:r>
      <w:r w:rsidR="00643142" w:rsidRPr="004A01F9">
        <w:fldChar w:fldCharType="end"/>
      </w:r>
      <w:r w:rsidR="00643142" w:rsidRPr="004A01F9">
        <w:t xml:space="preserve">, the meaning of these films is contingent on the wider film ecology in which they operated. As </w:t>
      </w:r>
      <w:proofErr w:type="spellStart"/>
      <w:r w:rsidR="00643142" w:rsidRPr="004A01F9">
        <w:t>Elsa</w:t>
      </w:r>
      <w:r w:rsidR="00E57C4F">
        <w:t>e</w:t>
      </w:r>
      <w:r w:rsidR="00643142" w:rsidRPr="004A01F9">
        <w:t>sser</w:t>
      </w:r>
      <w:proofErr w:type="spellEnd"/>
      <w:r w:rsidR="00643142" w:rsidRPr="004A01F9">
        <w:t>, Vonderau/</w:t>
      </w:r>
      <w:proofErr w:type="spellStart"/>
      <w:r w:rsidR="00643142" w:rsidRPr="004A01F9">
        <w:t>Dahlquist</w:t>
      </w:r>
      <w:proofErr w:type="spellEnd"/>
      <w:r w:rsidR="00643142" w:rsidRPr="004A01F9">
        <w:t xml:space="preserve">, and others have noted, it is necessary to consider of such films who made them and to what purpose, how they served the sponsoring organisations, and how their meaning and archival functions may have changed over time </w:t>
      </w:r>
      <w:r w:rsidR="00643142" w:rsidRPr="004A01F9">
        <w:fldChar w:fldCharType="begin"/>
      </w:r>
      <w:r w:rsidR="00643142" w:rsidRPr="004A01F9">
        <w:instrText xml:space="preserve"> ADDIN EN.CITE &lt;EndNote&gt;&lt;Cite&gt;&lt;Author&gt;Elsaesser&lt;/Author&gt;&lt;Year&gt;2009&lt;/Year&gt;&lt;RecNum&gt;1122&lt;/RecNum&gt;&lt;Pages&gt;23&lt;/Pages&gt;&lt;DisplayText&gt;(Elsaesser 2009, 23; Dahlquist and Vonderau 2021a, 5-6)&lt;/DisplayText&gt;&lt;record&gt;&lt;rec-number&gt;1122&lt;/rec-number&gt;&lt;foreign-keys&gt;&lt;key app="EN" db-id="tpdvrsxvi90zzleszf5pxzx3s2ezv2szt9t0" timestamp="1510073999"&gt;1122&lt;/key&gt;&lt;/foreign-keys&gt;&lt;ref-type name="Book Section"&gt;5&lt;/ref-type&gt;&lt;contributors&gt;&lt;authors&gt;&lt;author&gt;Elsaesser, Thomas&lt;/author&gt;&lt;/authors&gt;&lt;secondary-authors&gt;&lt;author&gt;Hediger, Vinzenz &lt;/author&gt;&lt;author&gt;Vonderau, Patrick &lt;/author&gt;&lt;/secondary-authors&gt;&lt;/contributors&gt;&lt;titles&gt;&lt;title&gt;Archives and Archaeologies: The Place of Non-Fiction Film in Contemporary Media&lt;/title&gt;&lt;secondary-title&gt;Films that Work: Industrial Film and the Productivity of Media&lt;/secondary-title&gt;&lt;/titles&gt;&lt;pages&gt;19-34&lt;/pages&gt;&lt;dates&gt;&lt;year&gt;2009&lt;/year&gt;&lt;/dates&gt;&lt;pub-location&gt;Amsterdam&lt;/pub-location&gt;&lt;publisher&gt;Amsterdam University Press&lt;/publisher&gt;&lt;urls&gt;&lt;/urls&gt;&lt;/record&gt;&lt;/Cite&gt;&lt;Cite&gt;&lt;Author&gt;Dahlquist&lt;/Author&gt;&lt;Year&gt;2021&lt;/Year&gt;&lt;RecNum&gt;1477&lt;/RecNum&gt;&lt;Pages&gt;5-6&lt;/Pages&gt;&lt;record&gt;&lt;rec-number&gt;1477&lt;/rec-number&gt;&lt;foreign-keys&gt;&lt;key app="EN" db-id="tpdvrsxvi90zzleszf5pxzx3s2ezv2szt9t0" timestamp="1663062161"&gt;1477&lt;/key&gt;&lt;/foreign-keys&gt;&lt;ref-type name="Book Section"&gt;5&lt;/ref-type&gt;&lt;contributors&gt;&lt;authors&gt;&lt;author&gt;Dahlquist, Marina&lt;/author&gt;&lt;author&gt;Vonderau, Patrick&lt;/author&gt;&lt;/authors&gt;&lt;secondary-authors&gt;&lt;author&gt;Dahlquist, Marina&lt;/author&gt;&lt;author&gt;Vonderau, Patrick&lt;/author&gt;&lt;/secondary-authors&gt;&lt;/contributors&gt;&lt;titles&gt;&lt;title&gt;Introduction&lt;/title&gt;&lt;secondary-title&gt;Petrocinema: Sponsored Film and the Oil Industry&lt;/secondary-title&gt;&lt;/titles&gt;&lt;dates&gt;&lt;year&gt;2021&lt;/year&gt;&lt;/dates&gt;&lt;pub-location&gt;London&lt;/pub-location&gt;&lt;publisher&gt;Bloomsbury&lt;/publisher&gt;&lt;urls&gt;&lt;/urls&gt;&lt;/record&gt;&lt;/Cite&gt;&lt;/EndNote&gt;</w:instrText>
      </w:r>
      <w:r w:rsidR="00643142" w:rsidRPr="004A01F9">
        <w:fldChar w:fldCharType="separate"/>
      </w:r>
      <w:r w:rsidR="00643142" w:rsidRPr="004A01F9">
        <w:t>(Elsaesser 2009, 23; Dahlquist and Vonderau 2021a, 5-6)</w:t>
      </w:r>
      <w:r w:rsidR="00643142" w:rsidRPr="004A01F9">
        <w:fldChar w:fldCharType="end"/>
      </w:r>
      <w:r w:rsidR="00643142" w:rsidRPr="004A01F9">
        <w:t>. BP</w:t>
      </w:r>
      <w:r w:rsidR="00643142">
        <w:t>/AIOC</w:t>
      </w:r>
      <w:r w:rsidR="008A770F">
        <w:t xml:space="preserve"> films</w:t>
      </w:r>
      <w:r w:rsidR="00643142" w:rsidRPr="004A01F9">
        <w:t xml:space="preserve"> were concurrently shown internally for employee instruction; incorporated into shareholder meetings to secure funding and management support</w:t>
      </w:r>
      <w:r w:rsidR="00076318">
        <w:t xml:space="preserve"> (BP/33526 </w:t>
      </w:r>
      <w:r w:rsidR="00076318">
        <w:rPr>
          <w:i/>
          <w:iCs/>
        </w:rPr>
        <w:t>The Anglo-Iranian Oil Co.’s Film Show</w:t>
      </w:r>
      <w:r w:rsidR="00076318">
        <w:t xml:space="preserve"> reprinted from </w:t>
      </w:r>
      <w:r w:rsidR="00076318" w:rsidRPr="00542390">
        <w:rPr>
          <w:i/>
          <w:iCs/>
        </w:rPr>
        <w:t>The</w:t>
      </w:r>
      <w:r w:rsidR="00076318">
        <w:rPr>
          <w:i/>
          <w:iCs/>
        </w:rPr>
        <w:t xml:space="preserve"> Petroleum Times</w:t>
      </w:r>
      <w:r w:rsidR="00076318">
        <w:t xml:space="preserve"> 9 January 1953)</w:t>
      </w:r>
      <w:r w:rsidR="00643142" w:rsidRPr="004A01F9">
        <w:t>; distributed free of charge through the Petroleum Films Bureau for schools and other organisations with an educational remit</w:t>
      </w:r>
      <w:r w:rsidR="00BE2A63">
        <w:t xml:space="preserve"> </w:t>
      </w:r>
      <w:r w:rsidR="00BE2A63">
        <w:fldChar w:fldCharType="begin"/>
      </w:r>
      <w:r w:rsidR="00BE2A63">
        <w:instrText xml:space="preserve"> ADDIN EN.CITE &lt;EndNote&gt;&lt;Cite&gt;&lt;Author&gt;Russell&lt;/Author&gt;&lt;Year&gt;2010&lt;/Year&gt;&lt;RecNum&gt;1496&lt;/RecNum&gt;&lt;Pages&gt;25&lt;/Pages&gt;&lt;DisplayText&gt;(Russell and Taylor 2010, 25)&lt;/DisplayText&gt;&lt;record&gt;&lt;rec-number&gt;1496&lt;/rec-number&gt;&lt;foreign-keys&gt;&lt;key app="EN" db-id="tpdvrsxvi90zzleszf5pxzx3s2ezv2szt9t0" timestamp="1663948468"&gt;1496&lt;/key&gt;&lt;/foreign-keys&gt;&lt;ref-type name="Edited Book"&gt;28&lt;/ref-type&gt;&lt;contributors&gt;&lt;authors&gt;&lt;author&gt;Russell, Patrick&lt;/author&gt;&lt;author&gt;Taylor, James Piers&lt;/author&gt;&lt;/authors&gt;&lt;/contributors&gt;&lt;titles&gt;&lt;title&gt;Shadows of Progress: Documentary Film in Post-War Britain&lt;/title&gt;&lt;/titles&gt;&lt;dates&gt;&lt;year&gt;2010&lt;/year&gt;&lt;/dates&gt;&lt;pub-location&gt;London&lt;/pub-location&gt;&lt;publisher&gt;BFI&lt;/publisher&gt;&lt;urls&gt;&lt;/urls&gt;&lt;/record&gt;&lt;/Cite&gt;&lt;/EndNote&gt;</w:instrText>
      </w:r>
      <w:r w:rsidR="00BE2A63">
        <w:fldChar w:fldCharType="separate"/>
      </w:r>
      <w:r w:rsidR="00BE2A63">
        <w:rPr>
          <w:noProof/>
        </w:rPr>
        <w:t>(Russell and Taylor 2010, 25)</w:t>
      </w:r>
      <w:r w:rsidR="00BE2A63">
        <w:fldChar w:fldCharType="end"/>
      </w:r>
      <w:r w:rsidR="00643142" w:rsidRPr="004A01F9">
        <w:t>; translated and sent to overseas branches to develop company values and to be shown to local audiences</w:t>
      </w:r>
      <w:r w:rsidR="00934DC7">
        <w:t xml:space="preserve"> </w:t>
      </w:r>
      <w:r w:rsidR="00076318">
        <w:t>(BP/183149 Letter to Morden from Tritton 31 January 1951)</w:t>
      </w:r>
      <w:r w:rsidR="00643142" w:rsidRPr="004A01F9">
        <w:t>; entered into international film festivals, such as Venice, to win prestige and awards</w:t>
      </w:r>
      <w:r w:rsidR="00076318">
        <w:t xml:space="preserve"> </w:t>
      </w:r>
      <w:r w:rsidR="00076318">
        <w:fldChar w:fldCharType="begin"/>
      </w:r>
      <w:r w:rsidR="00F612C4">
        <w:instrText xml:space="preserve"> ADDIN EN.CITE &lt;EndNote&gt;&lt;Cite&gt;&lt;Year&gt;1955&lt;/Year&gt;&lt;RecNum&gt;1539&lt;/RecNum&gt;&lt;DisplayText&gt;(&amp;quot;Nineteen Shorts Chosen for Venice Festival&amp;quot; 1955;  &amp;quot;Two British Cartoons for Venice&amp;quot; 1956)&lt;/DisplayText&gt;&lt;record&gt;&lt;rec-number&gt;1539&lt;/rec-number&gt;&lt;foreign-keys&gt;&lt;key app="EN" db-id="tpdvrsxvi90zzleszf5pxzx3s2ezv2szt9t0" timestamp="1688041140"&gt;1539&lt;/key&gt;&lt;/foreign-keys&gt;&lt;ref-type name="Newspaper Article"&gt;23&lt;/ref-type&gt;&lt;contributors&gt;&lt;/contributors&gt;&lt;titles&gt;&lt;title&gt;Nineteen Shorts Chosen for Venice Festival&lt;/title&gt;&lt;secondary-title&gt;Kinematograph Weekly&lt;/secondary-title&gt;&lt;/titles&gt;&lt;pages&gt;7&lt;/pages&gt;&lt;dates&gt;&lt;year&gt;1955&lt;/year&gt;&lt;pub-dates&gt;&lt;date&gt;7 July&lt;/date&gt;&lt;/pub-dates&gt;&lt;/dates&gt;&lt;urls&gt;&lt;/urls&gt;&lt;/record&gt;&lt;/Cite&gt;&lt;Cite&gt;&lt;Year&gt;1956&lt;/Year&gt;&lt;RecNum&gt;1540&lt;/RecNum&gt;&lt;record&gt;&lt;rec-number&gt;1540&lt;/rec-number&gt;&lt;foreign-keys&gt;&lt;key app="EN" db-id="tpdvrsxvi90zzleszf5pxzx3s2ezv2szt9t0" timestamp="1688041224"&gt;1540&lt;/key&gt;&lt;/foreign-keys&gt;&lt;ref-type name="Newspaper Article"&gt;23&lt;/ref-type&gt;&lt;contributors&gt;&lt;/contributors&gt;&lt;titles&gt;&lt;title&gt;Two British Cartoons for Venice&lt;/title&gt;&lt;secondary-title&gt;Kinematograph Weekly&lt;/secondary-title&gt;&lt;/titles&gt;&lt;pages&gt;8&lt;/pages&gt;&lt;dates&gt;&lt;year&gt;1956&lt;/year&gt;&lt;pub-dates&gt;&lt;date&gt;16 August&lt;/date&gt;&lt;/pub-dates&gt;&lt;/dates&gt;&lt;urls&gt;&lt;/urls&gt;&lt;/record&gt;&lt;/Cite&gt;&lt;/EndNote&gt;</w:instrText>
      </w:r>
      <w:r w:rsidR="00076318">
        <w:fldChar w:fldCharType="separate"/>
      </w:r>
      <w:r w:rsidR="00076318">
        <w:rPr>
          <w:noProof/>
        </w:rPr>
        <w:t>("Nineteen Shorts Chosen for Venice Festival" 1955;  "Two British Cartoons for Venice" 1956)</w:t>
      </w:r>
      <w:r w:rsidR="00076318">
        <w:fldChar w:fldCharType="end"/>
      </w:r>
      <w:r w:rsidR="003F3289">
        <w:rPr>
          <w:rStyle w:val="FootnoteReference"/>
        </w:rPr>
        <w:footnoteReference w:id="6"/>
      </w:r>
      <w:r w:rsidR="00643142" w:rsidRPr="004A01F9">
        <w:t>; and screened theatrically</w:t>
      </w:r>
      <w:r w:rsidR="003F3289">
        <w:t xml:space="preserve"> and broadcast on television</w:t>
      </w:r>
      <w:r w:rsidR="00643142" w:rsidRPr="004A01F9">
        <w:t xml:space="preserve"> to </w:t>
      </w:r>
      <w:r w:rsidR="00AF4A92" w:rsidRPr="004A01F9">
        <w:t>subtly</w:t>
      </w:r>
      <w:r w:rsidR="00643142" w:rsidRPr="004A01F9">
        <w:t xml:space="preserve"> advertise the company and its activities</w:t>
      </w:r>
      <w:r w:rsidR="00067D9D">
        <w:t xml:space="preserve"> (BP/33526 </w:t>
      </w:r>
      <w:r w:rsidR="00067D9D">
        <w:rPr>
          <w:i/>
          <w:iCs/>
        </w:rPr>
        <w:t xml:space="preserve">The Anglo-Iranian Oil Co.’s Film Show </w:t>
      </w:r>
      <w:r w:rsidR="00067D9D">
        <w:t xml:space="preserve">reprinted from </w:t>
      </w:r>
      <w:r w:rsidR="00067D9D" w:rsidRPr="00542390">
        <w:rPr>
          <w:i/>
          <w:iCs/>
        </w:rPr>
        <w:t>The</w:t>
      </w:r>
      <w:r w:rsidR="00067D9D">
        <w:rPr>
          <w:i/>
          <w:iCs/>
        </w:rPr>
        <w:t xml:space="preserve"> Petroleum Times</w:t>
      </w:r>
      <w:r w:rsidR="00067D9D">
        <w:t xml:space="preserve"> 9 January 1953)</w:t>
      </w:r>
      <w:r w:rsidR="00643142" w:rsidRPr="004A01F9">
        <w:t>. Petroleum films were a major part of new distribution networks and audiences that operated in parallel with and distinct from the theatrical entertainment film, even while they occasionally intersected.</w:t>
      </w:r>
    </w:p>
    <w:p w14:paraId="6D4D561A" w14:textId="25E5B21F" w:rsidR="00B14D66" w:rsidRPr="00E972AA" w:rsidRDefault="00C51B83" w:rsidP="0079058E">
      <w:pPr>
        <w:pStyle w:val="Follow-onparagraphstyle"/>
      </w:pPr>
      <w:r>
        <w:t>In short, British o</w:t>
      </w:r>
      <w:r w:rsidR="00BE2A63">
        <w:t xml:space="preserve">il films in the 1950s </w:t>
      </w:r>
      <w:r>
        <w:t xml:space="preserve">had an international outlook </w:t>
      </w:r>
      <w:r w:rsidR="00BE2A63">
        <w:t>in production, aesthetic model</w:t>
      </w:r>
      <w:r w:rsidR="003D7841">
        <w:t>,</w:t>
      </w:r>
      <w:r w:rsidR="00BE2A63">
        <w:t xml:space="preserve"> and distribution channels</w:t>
      </w:r>
      <w:r w:rsidR="00F249F4">
        <w:t xml:space="preserve">. Many of these production and distribution characteristics </w:t>
      </w:r>
      <w:r w:rsidR="007D3BD6">
        <w:t>were</w:t>
      </w:r>
      <w:r w:rsidR="00F249F4">
        <w:t xml:space="preserve"> shared with the documentary films discussed by Damluji, Jacobson, Russell/</w:t>
      </w:r>
      <w:proofErr w:type="gramStart"/>
      <w:r w:rsidR="00F249F4">
        <w:t>Taylor</w:t>
      </w:r>
      <w:proofErr w:type="gramEnd"/>
      <w:r w:rsidR="00F249F4">
        <w:t xml:space="preserve"> and others. However, animation also </w:t>
      </w:r>
      <w:r w:rsidR="009D36CC">
        <w:t>had unique characteristics and roles.</w:t>
      </w:r>
      <w:r w:rsidR="00542390">
        <w:t xml:space="preserve"> The </w:t>
      </w:r>
      <w:r w:rsidR="00542390">
        <w:rPr>
          <w:i/>
          <w:iCs/>
        </w:rPr>
        <w:lastRenderedPageBreak/>
        <w:t xml:space="preserve">Petroleum Times </w:t>
      </w:r>
      <w:r w:rsidR="00542390">
        <w:t xml:space="preserve">report on </w:t>
      </w:r>
      <w:r w:rsidR="003F3289">
        <w:t>a</w:t>
      </w:r>
      <w:r w:rsidR="00F81499">
        <w:t xml:space="preserve"> </w:t>
      </w:r>
      <w:r w:rsidR="00542390">
        <w:t xml:space="preserve">1953 shareholder screening noted that </w:t>
      </w:r>
      <w:r w:rsidR="00973B3B">
        <w:t>“</w:t>
      </w:r>
      <w:r w:rsidR="00542390">
        <w:t>in a programme of documentary films [</w:t>
      </w:r>
      <w:r w:rsidR="00542390">
        <w:rPr>
          <w:i/>
          <w:iCs/>
        </w:rPr>
        <w:t>We’ve Come a Long Way</w:t>
      </w:r>
      <w:r w:rsidR="00542390">
        <w:t>] gave a light touch without departing from the main object, to instruct and interest the audience</w:t>
      </w:r>
      <w:r w:rsidR="00973B3B">
        <w:t>”</w:t>
      </w:r>
      <w:r w:rsidR="00F81499">
        <w:t xml:space="preserve"> thanks to its </w:t>
      </w:r>
      <w:r w:rsidR="00973B3B">
        <w:t>“</w:t>
      </w:r>
      <w:r w:rsidR="00F81499">
        <w:t>Technicolor cartoon form</w:t>
      </w:r>
      <w:r w:rsidR="00973B3B">
        <w:t>”</w:t>
      </w:r>
      <w:r w:rsidR="00067D9D">
        <w:t xml:space="preserve"> (BP/33526 </w:t>
      </w:r>
      <w:r w:rsidR="00067D9D">
        <w:rPr>
          <w:i/>
          <w:iCs/>
        </w:rPr>
        <w:t>The Anglo-Iranian Oil Co.’s Film Show</w:t>
      </w:r>
      <w:r w:rsidR="00067D9D">
        <w:t>)</w:t>
      </w:r>
      <w:r w:rsidR="00542390">
        <w:t>.</w:t>
      </w:r>
      <w:r w:rsidR="00F81499">
        <w:t xml:space="preserve"> Different understandings of the specificities of animation and the balance between appealing, and often humorous, cartoon aesthetics against other more serious artistic or pedagogical modes played an important role in the production and reception of </w:t>
      </w:r>
      <w:r w:rsidR="00F81499">
        <w:rPr>
          <w:i/>
          <w:iCs/>
        </w:rPr>
        <w:t>Full Circle</w:t>
      </w:r>
      <w:r w:rsidR="00F81499">
        <w:t>. Likewise,</w:t>
      </w:r>
      <w:r w:rsidR="00542390">
        <w:t xml:space="preserve"> </w:t>
      </w:r>
      <w:r w:rsidR="009D36CC">
        <w:t>the</w:t>
      </w:r>
      <w:r w:rsidR="000B1F40">
        <w:t xml:space="preserve"> program for the</w:t>
      </w:r>
      <w:r w:rsidR="009D36CC">
        <w:t xml:space="preserve"> 1956 shareholder screenings </w:t>
      </w:r>
      <w:r w:rsidR="00F81499">
        <w:t>stated</w:t>
      </w:r>
      <w:r w:rsidR="009D36CC">
        <w:t xml:space="preserve"> “films cannot look ahead</w:t>
      </w:r>
      <w:r w:rsidR="006A4AD9">
        <w:t>,</w:t>
      </w:r>
      <w:r w:rsidR="009D36CC">
        <w:t xml:space="preserve">” </w:t>
      </w:r>
      <w:r w:rsidR="000B1F40">
        <w:t xml:space="preserve">which Jacobson </w:t>
      </w:r>
      <w:r w:rsidR="00D372BD">
        <w:t>interprets</w:t>
      </w:r>
      <w:r w:rsidR="000B1F40">
        <w:t xml:space="preserve"> as both</w:t>
      </w:r>
      <w:r w:rsidR="009D36CC">
        <w:t xml:space="preserve"> a cautionary statement to avoid making undeliverable promises to investors, but also a </w:t>
      </w:r>
      <w:r w:rsidR="00973B3B">
        <w:t>“</w:t>
      </w:r>
      <w:r w:rsidR="009D36CC">
        <w:t>truism</w:t>
      </w:r>
      <w:r w:rsidR="00973B3B">
        <w:t>”</w:t>
      </w:r>
      <w:r w:rsidR="009D36CC">
        <w:t xml:space="preserve"> for documentary film that can only record what already exists to be filmed </w:t>
      </w:r>
      <w:r w:rsidR="009D36CC">
        <w:fldChar w:fldCharType="begin"/>
      </w:r>
      <w:r w:rsidR="009D36CC">
        <w:instrText xml:space="preserve"> ADDIN EN.CITE &lt;EndNote&gt;&lt;Cite&gt;&lt;Author&gt;Jacobson&lt;/Author&gt;&lt;Year&gt;2021&lt;/Year&gt;&lt;RecNum&gt;1528&lt;/RecNum&gt;&lt;Pages&gt;282&lt;/Pages&gt;&lt;DisplayText&gt;(Jacobson 2021, 282)&lt;/DisplayText&gt;&lt;record&gt;&lt;rec-number&gt;1528&lt;/rec-number&gt;&lt;foreign-keys&gt;&lt;key app="EN" db-id="tpdvrsxvi90zzleszf5pxzx3s2ezv2szt9t0" timestamp="1679331284"&gt;1528&lt;/key&gt;&lt;/foreign-keys&gt;&lt;ref-type name="Book Section"&gt;5&lt;/ref-type&gt;&lt;contributors&gt;&lt;authors&gt;&lt;author&gt;Jacobson, Brian R.&lt;/author&gt;&lt;/authors&gt;&lt;secondary-authors&gt;&lt;author&gt;Cahill, James Leo &lt;/author&gt;&lt;author&gt;Caminati, Luca &lt;/author&gt;&lt;/secondary-authors&gt;&lt;/contributors&gt;&lt;titles&gt;&lt;title&gt;Prospecting: Cinema and the Exploration of Extraction&lt;/title&gt;&lt;secondary-title&gt;Cinema of Exploration: Essays on an Adventurous Film Practice &lt;/secondary-title&gt;&lt;/titles&gt;&lt;dates&gt;&lt;year&gt;2021&lt;/year&gt;&lt;/dates&gt;&lt;pub-location&gt;Abingdon&lt;/pub-location&gt;&lt;publisher&gt;Routledge&lt;/publisher&gt;&lt;urls&gt;&lt;/urls&gt;&lt;/record&gt;&lt;/Cite&gt;&lt;/EndNote&gt;</w:instrText>
      </w:r>
      <w:r w:rsidR="009D36CC">
        <w:fldChar w:fldCharType="separate"/>
      </w:r>
      <w:r w:rsidR="009D36CC">
        <w:rPr>
          <w:noProof/>
        </w:rPr>
        <w:t>(Jacobson 2021, 282)</w:t>
      </w:r>
      <w:r w:rsidR="009D36CC">
        <w:fldChar w:fldCharType="end"/>
      </w:r>
      <w:r w:rsidR="009D36CC">
        <w:t xml:space="preserve">. </w:t>
      </w:r>
      <w:r w:rsidR="00E972AA">
        <w:t xml:space="preserve">However, the fantastical potential of animation meant it was free to imagine and visualise the future, a capability </w:t>
      </w:r>
      <w:r w:rsidR="00E972AA">
        <w:rPr>
          <w:i/>
          <w:iCs/>
        </w:rPr>
        <w:t xml:space="preserve">Full Circle </w:t>
      </w:r>
      <w:r w:rsidR="00E972AA">
        <w:t xml:space="preserve">and </w:t>
      </w:r>
      <w:r w:rsidR="000B1F40">
        <w:t xml:space="preserve">some </w:t>
      </w:r>
      <w:r w:rsidR="00E972AA">
        <w:t xml:space="preserve">other animated films embraced, especially in their picturing of new geographies of oil extraction. </w:t>
      </w:r>
    </w:p>
    <w:p w14:paraId="75E13E91" w14:textId="080D69C7" w:rsidR="00E679AA" w:rsidRDefault="00E679AA" w:rsidP="00E679AA">
      <w:pPr>
        <w:pStyle w:val="Heading1"/>
      </w:pPr>
      <w:r>
        <w:t>Mapping</w:t>
      </w:r>
      <w:r w:rsidR="00674A9E">
        <w:t xml:space="preserve"> and animating</w:t>
      </w:r>
      <w:r>
        <w:t xml:space="preserve"> </w:t>
      </w:r>
      <w:r w:rsidR="001825A6">
        <w:t>p</w:t>
      </w:r>
      <w:r>
        <w:t xml:space="preserve">etroleum </w:t>
      </w:r>
      <w:proofErr w:type="gramStart"/>
      <w:r w:rsidR="001825A6">
        <w:t>e</w:t>
      </w:r>
      <w:r>
        <w:t>xtraction</w:t>
      </w:r>
      <w:proofErr w:type="gramEnd"/>
    </w:p>
    <w:p w14:paraId="4BE0B985" w14:textId="26177613" w:rsidR="007B7155" w:rsidRDefault="0079058E" w:rsidP="00E679AA">
      <w:pPr>
        <w:pStyle w:val="Firstparagraphstyle"/>
      </w:pPr>
      <w:r>
        <w:t xml:space="preserve">Animated maps </w:t>
      </w:r>
      <w:r w:rsidR="00E4097F">
        <w:t>have long been</w:t>
      </w:r>
      <w:r>
        <w:t xml:space="preserve"> a </w:t>
      </w:r>
      <w:r w:rsidR="00C97B39">
        <w:t xml:space="preserve">commonplace component of non-fiction and documentary films, including those centred on petroleum industries. Contrasted with the densely textured and </w:t>
      </w:r>
      <w:r w:rsidR="00E4097F">
        <w:t xml:space="preserve">edited live-action footage that </w:t>
      </w:r>
      <w:r w:rsidR="007B7155">
        <w:t xml:space="preserve">often </w:t>
      </w:r>
      <w:r w:rsidR="00E4097F">
        <w:t>surround</w:t>
      </w:r>
      <w:r w:rsidR="00626917">
        <w:t>ed</w:t>
      </w:r>
      <w:r w:rsidR="00E4097F">
        <w:t xml:space="preserve"> them, </w:t>
      </w:r>
      <w:r w:rsidR="0059098C">
        <w:t xml:space="preserve">the </w:t>
      </w:r>
      <w:r w:rsidR="00E4097F">
        <w:t>communicative method and purpose</w:t>
      </w:r>
      <w:r w:rsidR="0059098C">
        <w:t xml:space="preserve"> of animated maps</w:t>
      </w:r>
      <w:r w:rsidR="00E4097F">
        <w:t xml:space="preserve"> may be mistaken for being self-evident in meaning. They do not utilise the sophisticated and eye-catching techniques of cartoon animation seen elsewhere,</w:t>
      </w:r>
      <w:r w:rsidR="004D0B3B">
        <w:t xml:space="preserve"> instead using</w:t>
      </w:r>
      <w:r w:rsidR="004F0D95">
        <w:t xml:space="preserve"> dynamic versions of</w:t>
      </w:r>
      <w:r w:rsidR="004D0B3B">
        <w:t xml:space="preserve"> longstanding cartographic principles to represent</w:t>
      </w:r>
      <w:r w:rsidR="0059098C">
        <w:t>, seemingly transparently,</w:t>
      </w:r>
      <w:r w:rsidR="004D0B3B">
        <w:t xml:space="preserve"> pre-existing geography</w:t>
      </w:r>
      <w:r w:rsidR="00E4097F">
        <w:t>. Yet, as Priya Jaikumar</w:t>
      </w:r>
      <w:r w:rsidR="004D0B3B">
        <w:t xml:space="preserve"> has explored, such </w:t>
      </w:r>
      <w:r w:rsidR="004F0D95">
        <w:t xml:space="preserve">animated </w:t>
      </w:r>
      <w:r w:rsidR="004D0B3B">
        <w:t xml:space="preserve">maps </w:t>
      </w:r>
      <w:r w:rsidR="00FF54B5">
        <w:t>enact</w:t>
      </w:r>
      <w:r w:rsidR="004D0B3B">
        <w:t xml:space="preserve"> complex political functions</w:t>
      </w:r>
      <w:r w:rsidR="008E1DF8">
        <w:t>.</w:t>
      </w:r>
      <w:r w:rsidR="004D0B3B">
        <w:t xml:space="preserve"> </w:t>
      </w:r>
      <w:r w:rsidR="00F025F6">
        <w:t>E</w:t>
      </w:r>
      <w:r w:rsidR="008E1DF8">
        <w:t xml:space="preserve">xamining colonial films made by Gaumont British Instructional in the 1930s that are closely related to the petroleum films discussed here, she finds </w:t>
      </w:r>
      <w:r w:rsidR="0059098C">
        <w:t>they do</w:t>
      </w:r>
      <w:r w:rsidR="004F0D95">
        <w:t xml:space="preserve"> not simply represent existing spaces</w:t>
      </w:r>
      <w:r w:rsidR="0059098C">
        <w:t xml:space="preserve"> </w:t>
      </w:r>
      <w:r w:rsidR="004F0D95">
        <w:t>but construct those spaces through their selective visualising and framing</w:t>
      </w:r>
      <w:r w:rsidR="00FF54B5">
        <w:t xml:space="preserve">: despite a commitment to </w:t>
      </w:r>
      <w:r w:rsidR="00973B3B">
        <w:t>“</w:t>
      </w:r>
      <w:r w:rsidR="00FF54B5">
        <w:t>accuracy</w:t>
      </w:r>
      <w:r w:rsidR="00973B3B">
        <w:t>”</w:t>
      </w:r>
      <w:r w:rsidR="00FF54B5">
        <w:t xml:space="preserve"> by geographers they entail a form of </w:t>
      </w:r>
      <w:r w:rsidR="00973B3B">
        <w:t>“</w:t>
      </w:r>
      <w:r w:rsidR="00FF54B5">
        <w:t>imagination</w:t>
      </w:r>
      <w:r w:rsidR="00973B3B">
        <w:t>”</w:t>
      </w:r>
      <w:r w:rsidR="00FF54B5">
        <w:t xml:space="preserve"> </w:t>
      </w:r>
      <w:r w:rsidR="00FF54B5">
        <w:fldChar w:fldCharType="begin"/>
      </w:r>
      <w:r w:rsidR="00FF54B5">
        <w:instrText xml:space="preserve"> ADDIN EN.CITE &lt;EndNote&gt;&lt;Cite&gt;&lt;Author&gt;Jaikumar&lt;/Author&gt;&lt;Year&gt;2011&lt;/Year&gt;&lt;RecNum&gt;1483&lt;/RecNum&gt;&lt;Pages&gt;172-176&lt;/Pages&gt;&lt;DisplayText&gt;(Jaikumar 2011, 172-176)&lt;/DisplayText&gt;&lt;record&gt;&lt;rec-number&gt;1483&lt;/rec-number&gt;&lt;foreign-keys&gt;&lt;key app="EN" db-id="tpdvrsxvi90zzleszf5pxzx3s2ezv2szt9t0" timestamp="1663087480"&gt;1483&lt;/key&gt;&lt;/foreign-keys&gt;&lt;ref-type name="Book Section"&gt;5&lt;/ref-type&gt;&lt;contributors&gt;&lt;authors&gt;&lt;author&gt;Jaikumar, Priya&lt;/author&gt;&lt;/authors&gt;&lt;secondary-authors&gt;&lt;author&gt;Grieveson, Lee&lt;/author&gt;&lt;author&gt;MacCabe, Colin&lt;/author&gt;&lt;/secondary-authors&gt;&lt;/contributors&gt;&lt;titles&gt;&lt;title&gt;An &amp;apos;accurate imagination&amp;apos;: Place, Map, and Archive as Spatial Objects of Film History&lt;/title&gt;&lt;secondary-title&gt;Empire and Film&lt;/secondary-title&gt;&lt;/titles&gt;&lt;dates&gt;&lt;year&gt;2011&lt;/year&gt;&lt;/dates&gt;&lt;pub-location&gt;London&lt;/pub-location&gt;&lt;publisher&gt;British Film Institute&lt;/publisher&gt;&lt;urls&gt;&lt;/urls&gt;&lt;/record&gt;&lt;/Cite&gt;&lt;/EndNote&gt;</w:instrText>
      </w:r>
      <w:r w:rsidR="00FF54B5">
        <w:fldChar w:fldCharType="separate"/>
      </w:r>
      <w:r w:rsidR="00FF54B5">
        <w:rPr>
          <w:noProof/>
        </w:rPr>
        <w:t>(Jaikumar 2011, 172-176)</w:t>
      </w:r>
      <w:r w:rsidR="00FF54B5">
        <w:fldChar w:fldCharType="end"/>
      </w:r>
      <w:r w:rsidR="004F0D95">
        <w:t xml:space="preserve">. </w:t>
      </w:r>
      <w:r w:rsidR="00FF54B5">
        <w:t xml:space="preserve">This in turn raises broader </w:t>
      </w:r>
      <w:r w:rsidR="0026581D">
        <w:t>debates in cartography</w:t>
      </w:r>
      <w:r w:rsidR="00A961B2">
        <w:t>, such as those</w:t>
      </w:r>
      <w:r w:rsidR="0026581D">
        <w:t xml:space="preserve"> John Pickles discusses in detail, recognising that </w:t>
      </w:r>
      <w:r w:rsidR="00973B3B">
        <w:t>“</w:t>
      </w:r>
      <w:r w:rsidR="0026581D">
        <w:t xml:space="preserve">maps and mappings precede the territory they </w:t>
      </w:r>
      <w:r w:rsidR="00973B3B">
        <w:t>‘</w:t>
      </w:r>
      <w:r w:rsidR="0026581D">
        <w:t>represent</w:t>
      </w:r>
      <w:r w:rsidR="00973B3B">
        <w:t>’”</w:t>
      </w:r>
      <w:r w:rsidR="0026581D">
        <w:t xml:space="preserve"> and thereby </w:t>
      </w:r>
      <w:r w:rsidR="00973B3B">
        <w:t>“</w:t>
      </w:r>
      <w:r w:rsidR="0026581D">
        <w:t>provide the very conditions of possibility for the worlds we inhabit and the subjects we become</w:t>
      </w:r>
      <w:r w:rsidR="00973B3B">
        <w:t>”</w:t>
      </w:r>
      <w:r w:rsidR="0026581D">
        <w:t xml:space="preserve"> </w:t>
      </w:r>
      <w:r w:rsidR="0026581D">
        <w:fldChar w:fldCharType="begin"/>
      </w:r>
      <w:r w:rsidR="0026581D">
        <w:instrText xml:space="preserve"> ADDIN EN.CITE &lt;EndNote&gt;&lt;Cite&gt;&lt;Author&gt;Pickles&lt;/Author&gt;&lt;Year&gt;2004&lt;/Year&gt;&lt;RecNum&gt;1484&lt;/RecNum&gt;&lt;Pages&gt;5&lt;/Pages&gt;&lt;DisplayText&gt;(Pickles 2004, 5)&lt;/DisplayText&gt;&lt;record&gt;&lt;rec-number&gt;1484&lt;/rec-number&gt;&lt;foreign-keys&gt;&lt;key app="EN" db-id="tpdvrsxvi90zzleszf5pxzx3s2ezv2szt9t0" timestamp="1663089183"&gt;1484&lt;/key&gt;&lt;/foreign-keys&gt;&lt;ref-type name="Book"&gt;6&lt;/ref-type&gt;&lt;contributors&gt;&lt;authors&gt;&lt;author&gt;Pickles, John&lt;/author&gt;&lt;/authors&gt;&lt;/contributors&gt;&lt;titles&gt;&lt;title&gt;A History of Spaces: Cartographic Reason, Mapping and the Geo-Coded World&lt;/title&gt;&lt;/titles&gt;&lt;dates&gt;&lt;year&gt;2004&lt;/year&gt;&lt;/dates&gt;&lt;pub-location&gt;London&lt;/pub-location&gt;&lt;publisher&gt;Routledge&lt;/publisher&gt;&lt;urls&gt;&lt;/urls&gt;&lt;/record&gt;&lt;/Cite&gt;&lt;/EndNote&gt;</w:instrText>
      </w:r>
      <w:r w:rsidR="0026581D">
        <w:fldChar w:fldCharType="separate"/>
      </w:r>
      <w:r w:rsidR="0026581D">
        <w:rPr>
          <w:noProof/>
        </w:rPr>
        <w:t>(Pickles 2004, 5)</w:t>
      </w:r>
      <w:r w:rsidR="0026581D">
        <w:fldChar w:fldCharType="end"/>
      </w:r>
      <w:r w:rsidR="0026581D">
        <w:t>.</w:t>
      </w:r>
      <w:r w:rsidR="00FF54B5">
        <w:t xml:space="preserve"> </w:t>
      </w:r>
    </w:p>
    <w:p w14:paraId="42B1376A" w14:textId="77EF176A" w:rsidR="00EB0C85" w:rsidRPr="00394871" w:rsidRDefault="00EB0C85" w:rsidP="00EB0C85">
      <w:pPr>
        <w:pStyle w:val="Follow-onparagraphstyle"/>
      </w:pPr>
      <w:proofErr w:type="gramStart"/>
      <w:r>
        <w:t>A number of</w:t>
      </w:r>
      <w:proofErr w:type="gramEnd"/>
      <w:r>
        <w:t xml:space="preserve"> the 1950s BP</w:t>
      </w:r>
      <w:r w:rsidR="00A84CD3">
        <w:t>/AIOC</w:t>
      </w:r>
      <w:r>
        <w:t xml:space="preserve"> animated films raised above incorporate maps that are revealing of </w:t>
      </w:r>
      <w:r w:rsidR="00F34DCA">
        <w:t xml:space="preserve">this </w:t>
      </w:r>
      <w:r>
        <w:t>construct</w:t>
      </w:r>
      <w:r w:rsidR="00F34DCA">
        <w:t>ion of</w:t>
      </w:r>
      <w:r>
        <w:t xml:space="preserve"> places</w:t>
      </w:r>
      <w:r w:rsidR="00837569">
        <w:t xml:space="preserve">. </w:t>
      </w:r>
      <w:r w:rsidR="00837569">
        <w:rPr>
          <w:i/>
          <w:iCs/>
        </w:rPr>
        <w:t>The Energy Picture</w:t>
      </w:r>
      <w:r w:rsidR="00837569">
        <w:t xml:space="preserve"> made by Halas and Batchelor for BP in 1959 narrates an account of the voracious demand for energy and makes a case for the need for ever larger oil pipelines and tankers to satisfy this. A highly stylised map</w:t>
      </w:r>
      <w:r w:rsidR="00654B47">
        <w:t xml:space="preserve"> </w:t>
      </w:r>
      <w:r w:rsidR="00654B47">
        <w:lastRenderedPageBreak/>
        <w:t>&lt;FIGURE 1</w:t>
      </w:r>
      <w:r w:rsidR="00837569">
        <w:t xml:space="preserve"> </w:t>
      </w:r>
      <w:r w:rsidR="00654B47">
        <w:t>“</w:t>
      </w:r>
      <w:r w:rsidR="00654B47">
        <w:rPr>
          <w:i/>
          <w:iCs/>
        </w:rPr>
        <w:t>The Energy Picture</w:t>
      </w:r>
      <w:r w:rsidR="00654B47">
        <w:t xml:space="preserve"> (1959)”&gt; </w:t>
      </w:r>
      <w:r w:rsidR="00953D8B">
        <w:t xml:space="preserve">animates a line growing over </w:t>
      </w:r>
      <w:r w:rsidR="00837569">
        <w:t xml:space="preserve">the extended route large tankers must take from the Middle East, around the Cape of Africa to reach the UK. The large scale necessarily excludes any significant </w:t>
      </w:r>
      <w:proofErr w:type="gramStart"/>
      <w:r w:rsidR="00837569">
        <w:t>detail</w:t>
      </w:r>
      <w:proofErr w:type="gramEnd"/>
      <w:r w:rsidR="00837569">
        <w:t xml:space="preserve"> and the map does not indicate any national borders or political organisation of the space, presenting the issue as simply one of </w:t>
      </w:r>
      <w:r w:rsidR="00953D8B">
        <w:t xml:space="preserve">the </w:t>
      </w:r>
      <w:r w:rsidR="00837569">
        <w:t xml:space="preserve">physical </w:t>
      </w:r>
      <w:r w:rsidR="00F40EC2">
        <w:t>logistics</w:t>
      </w:r>
      <w:r w:rsidR="00837569">
        <w:t xml:space="preserve"> of oil distribution while eliding any </w:t>
      </w:r>
      <w:r w:rsidR="00953D8B">
        <w:t xml:space="preserve">question of ownership or </w:t>
      </w:r>
      <w:r w:rsidR="005877D7">
        <w:t>sovereignty</w:t>
      </w:r>
      <w:r w:rsidR="00953D8B">
        <w:t xml:space="preserve">. </w:t>
      </w:r>
      <w:r w:rsidR="00953D8B">
        <w:rPr>
          <w:i/>
          <w:iCs/>
        </w:rPr>
        <w:t>As Old as the Hills</w:t>
      </w:r>
      <w:r w:rsidR="00953D8B">
        <w:t xml:space="preserve">, a 1950 Halas and Batchelor production for </w:t>
      </w:r>
      <w:r w:rsidR="00A84CD3">
        <w:t>AIOC</w:t>
      </w:r>
      <w:r w:rsidR="00953D8B">
        <w:t>, begins with an image of a globe rotating on its stand</w:t>
      </w:r>
      <w:r w:rsidR="00AA1774">
        <w:t xml:space="preserve"> &lt;</w:t>
      </w:r>
      <w:r w:rsidR="00AA1774" w:rsidRPr="00AA1774">
        <w:t xml:space="preserve"> </w:t>
      </w:r>
      <w:r w:rsidR="00FD1D10">
        <w:t>FIGURE</w:t>
      </w:r>
      <w:r w:rsidR="00AA1774" w:rsidRPr="00AA1774">
        <w:t xml:space="preserve"> 2 </w:t>
      </w:r>
      <w:r w:rsidR="00AA1774">
        <w:t>“</w:t>
      </w:r>
      <w:r w:rsidR="00AA1774" w:rsidRPr="00AA1774">
        <w:rPr>
          <w:i/>
          <w:iCs/>
        </w:rPr>
        <w:t>As Old as the Hills</w:t>
      </w:r>
      <w:r w:rsidR="00AA1774" w:rsidRPr="00AA1774">
        <w:t xml:space="preserve"> </w:t>
      </w:r>
      <w:r w:rsidR="00AA1774">
        <w:t>(</w:t>
      </w:r>
      <w:r w:rsidR="00AA1774" w:rsidRPr="00AA1774">
        <w:t>1950</w:t>
      </w:r>
      <w:r w:rsidR="00AA1774">
        <w:t>)”&gt;</w:t>
      </w:r>
      <w:r w:rsidR="00953D8B">
        <w:t xml:space="preserve">. </w:t>
      </w:r>
      <w:r w:rsidR="00467B4B">
        <w:t>A</w:t>
      </w:r>
      <w:r w:rsidR="00953D8B">
        <w:t xml:space="preserve"> repeated musical motif </w:t>
      </w:r>
      <w:r w:rsidR="00EA3201">
        <w:t xml:space="preserve">gives the impression of a squeaking joint in need of lubrication, which is </w:t>
      </w:r>
      <w:r w:rsidR="007D3BD6">
        <w:t>supplied</w:t>
      </w:r>
      <w:r w:rsidR="00EA3201">
        <w:t xml:space="preserve"> by oil being dropped from a spout</w:t>
      </w:r>
      <w:r w:rsidR="008E37E8">
        <w:t xml:space="preserve"> onto the globe</w:t>
      </w:r>
      <w:r w:rsidR="00EA3201">
        <w:t xml:space="preserve">, </w:t>
      </w:r>
      <w:r w:rsidR="006B3FAB">
        <w:t>quietening</w:t>
      </w:r>
      <w:r w:rsidR="00EA3201">
        <w:t xml:space="preserve"> the sound</w:t>
      </w:r>
      <w:r w:rsidR="006B3FAB">
        <w:t>,</w:t>
      </w:r>
      <w:r w:rsidR="00EA3201">
        <w:t xml:space="preserve"> and accompanied by a voiceover </w:t>
      </w:r>
      <w:r w:rsidR="008E37E8">
        <w:t>stating,</w:t>
      </w:r>
      <w:r w:rsidR="00EA3201">
        <w:t xml:space="preserve"> </w:t>
      </w:r>
      <w:r w:rsidR="00973B3B">
        <w:t>“</w:t>
      </w:r>
      <w:r w:rsidR="00EA3201">
        <w:t>every day the world uses oil</w:t>
      </w:r>
      <w:r w:rsidR="006A4AD9">
        <w:t>.</w:t>
      </w:r>
      <w:r w:rsidR="00973B3B">
        <w:t>”</w:t>
      </w:r>
      <w:r w:rsidR="006B3FAB">
        <w:t xml:space="preserve"> Oil literally makes the world turn, but also silences the friction that occurs.</w:t>
      </w:r>
      <w:r w:rsidR="00EA3201">
        <w:t xml:space="preserve"> Questions of national borders or difference are again omitted here</w:t>
      </w:r>
      <w:r w:rsidR="00B87955">
        <w:t>,</w:t>
      </w:r>
      <w:r w:rsidR="00EA3201">
        <w:t xml:space="preserve"> suggesting the need for extraction and usage of energy derived from oil is universal and equitable</w:t>
      </w:r>
      <w:r w:rsidR="00BD4EFF">
        <w:t xml:space="preserve">. It </w:t>
      </w:r>
      <w:r w:rsidR="00EA3201">
        <w:t>even bypass</w:t>
      </w:r>
      <w:r w:rsidR="00BD4EFF">
        <w:t>es</w:t>
      </w:r>
      <w:r w:rsidR="00EA3201">
        <w:t xml:space="preserve"> human agency as it is the earth itself </w:t>
      </w:r>
      <w:r w:rsidR="00F0037F">
        <w:t>that</w:t>
      </w:r>
      <w:r w:rsidR="00EA3201">
        <w:t xml:space="preserve"> seems to consume oil, matching the rest of the film in which no human figure</w:t>
      </w:r>
      <w:r w:rsidR="0008708F">
        <w:t>s are</w:t>
      </w:r>
      <w:r w:rsidR="00EA3201">
        <w:t xml:space="preserve"> shown, rather cars, ships</w:t>
      </w:r>
      <w:r w:rsidR="00F0037F">
        <w:t>,</w:t>
      </w:r>
      <w:r w:rsidR="00EA3201">
        <w:t xml:space="preserve"> and factories consume oil of their own volition. </w:t>
      </w:r>
      <w:r w:rsidR="00394871">
        <w:t>Similar animated maps and globes are present in</w:t>
      </w:r>
      <w:r w:rsidR="009E0A5C">
        <w:t xml:space="preserve"> </w:t>
      </w:r>
      <w:r w:rsidR="00394871">
        <w:t>other BP</w:t>
      </w:r>
      <w:r w:rsidR="00A84CD3">
        <w:t>/AIOC</w:t>
      </w:r>
      <w:r w:rsidR="00394871">
        <w:t xml:space="preserve"> films including </w:t>
      </w:r>
      <w:r w:rsidR="00394871">
        <w:rPr>
          <w:i/>
          <w:iCs/>
        </w:rPr>
        <w:t>The Power to Fly</w:t>
      </w:r>
      <w:r w:rsidR="00394871">
        <w:t xml:space="preserve"> and </w:t>
      </w:r>
      <w:r w:rsidR="00394871">
        <w:rPr>
          <w:i/>
          <w:iCs/>
        </w:rPr>
        <w:t xml:space="preserve">We’ve Come </w:t>
      </w:r>
      <w:r w:rsidR="00710C35">
        <w:rPr>
          <w:i/>
          <w:iCs/>
        </w:rPr>
        <w:t>a</w:t>
      </w:r>
      <w:r w:rsidR="00394871">
        <w:rPr>
          <w:i/>
          <w:iCs/>
        </w:rPr>
        <w:t xml:space="preserve"> Long Way</w:t>
      </w:r>
      <w:r w:rsidR="00B3003B">
        <w:t xml:space="preserve">. The control animation allows over mapped spaces </w:t>
      </w:r>
      <w:r w:rsidR="00756DAC">
        <w:t>matched the dominion over real-world geography oil companies hoped to achieve and normalise.</w:t>
      </w:r>
      <w:r w:rsidR="00B3003B">
        <w:t xml:space="preserve"> </w:t>
      </w:r>
    </w:p>
    <w:p w14:paraId="476C8032" w14:textId="2A623AA4" w:rsidR="00EB0C85" w:rsidRDefault="00EB0C85" w:rsidP="007B7155">
      <w:pPr>
        <w:pStyle w:val="Follow-onparagraphstyle"/>
      </w:pPr>
      <w:r>
        <w:t xml:space="preserve">These examples largely remain within the </w:t>
      </w:r>
      <w:r w:rsidR="00953D8B">
        <w:t>intermedial</w:t>
      </w:r>
      <w:r>
        <w:t xml:space="preserve"> conventions and practices of cartography, entailing the questions of accuracy, subjectivity</w:t>
      </w:r>
      <w:r w:rsidR="00837569">
        <w:t>,</w:t>
      </w:r>
      <w:r>
        <w:t xml:space="preserve"> and intentional distortion that Pickles sees as recurring debates within his field </w:t>
      </w:r>
      <w:r w:rsidR="00BF7DA5">
        <w:fldChar w:fldCharType="begin"/>
      </w:r>
      <w:r w:rsidR="00BF7DA5">
        <w:instrText xml:space="preserve"> ADDIN EN.CITE &lt;EndNote&gt;&lt;Cite&gt;&lt;Author&gt;Pickles&lt;/Author&gt;&lt;Year&gt;2004&lt;/Year&gt;&lt;RecNum&gt;1484&lt;/RecNum&gt;&lt;Pages&gt;32&lt;/Pages&gt;&lt;DisplayText&gt;(Pickles 2004, 32)&lt;/DisplayText&gt;&lt;record&gt;&lt;rec-number&gt;1484&lt;/rec-number&gt;&lt;foreign-keys&gt;&lt;key app="EN" db-id="tpdvrsxvi90zzleszf5pxzx3s2ezv2szt9t0" timestamp="1663089183"&gt;1484&lt;/key&gt;&lt;/foreign-keys&gt;&lt;ref-type name="Book"&gt;6&lt;/ref-type&gt;&lt;contributors&gt;&lt;authors&gt;&lt;author&gt;Pickles, John&lt;/author&gt;&lt;/authors&gt;&lt;/contributors&gt;&lt;titles&gt;&lt;title&gt;A History of Spaces: Cartographic Reason, Mapping and the Geo-Coded World&lt;/title&gt;&lt;/titles&gt;&lt;dates&gt;&lt;year&gt;2004&lt;/year&gt;&lt;/dates&gt;&lt;pub-location&gt;London&lt;/pub-location&gt;&lt;publisher&gt;Routledge&lt;/publisher&gt;&lt;urls&gt;&lt;/urls&gt;&lt;/record&gt;&lt;/Cite&gt;&lt;/EndNote&gt;</w:instrText>
      </w:r>
      <w:r w:rsidR="00BF7DA5">
        <w:fldChar w:fldCharType="separate"/>
      </w:r>
      <w:r w:rsidR="00BF7DA5">
        <w:rPr>
          <w:noProof/>
        </w:rPr>
        <w:t>(Pickles 2004, 32)</w:t>
      </w:r>
      <w:r w:rsidR="00BF7DA5">
        <w:fldChar w:fldCharType="end"/>
      </w:r>
      <w:r>
        <w:t>.</w:t>
      </w:r>
      <w:r w:rsidR="00433DC4">
        <w:rPr>
          <w:rStyle w:val="FootnoteReference"/>
        </w:rPr>
        <w:footnoteReference w:id="7"/>
      </w:r>
      <w:r>
        <w:t xml:space="preserve">  Yet, w</w:t>
      </w:r>
      <w:r w:rsidR="00D87F52">
        <w:t xml:space="preserve">hile Pickles is concerned with </w:t>
      </w:r>
      <w:r w:rsidR="009265CF">
        <w:t>geography as a discipline and cartography as a method for it, he</w:t>
      </w:r>
      <w:r>
        <w:t xml:space="preserve"> also</w:t>
      </w:r>
      <w:r w:rsidR="009265CF">
        <w:t xml:space="preserve"> opens his book with a provocative and expansive question prompted by Swedish geographer Gunnar Olsson: </w:t>
      </w:r>
      <w:r w:rsidR="00973B3B">
        <w:t>“‘</w:t>
      </w:r>
      <w:r w:rsidR="00D87F52">
        <w:t>What is geography if it is not the drawing and interpreting of a line?</w:t>
      </w:r>
      <w:r w:rsidR="00973B3B">
        <w:t>’</w:t>
      </w:r>
      <w:r w:rsidR="00D87F52">
        <w:t>. And what is the drawing of a line if it is not also the creation of new objects? Which lines we draw, how we draw them, the effects they have, and how they change are crucial questions</w:t>
      </w:r>
      <w:r w:rsidR="00973B3B">
        <w:t>”</w:t>
      </w:r>
      <w:r w:rsidR="009265CF">
        <w:t xml:space="preserve"> </w:t>
      </w:r>
      <w:r w:rsidR="009265CF">
        <w:fldChar w:fldCharType="begin"/>
      </w:r>
      <w:r w:rsidR="009265CF">
        <w:instrText xml:space="preserve"> ADDIN EN.CITE &lt;EndNote&gt;&lt;Cite&gt;&lt;Author&gt;Pickles&lt;/Author&gt;&lt;Year&gt;2004&lt;/Year&gt;&lt;RecNum&gt;1484&lt;/RecNum&gt;&lt;Pages&gt;3&lt;/Pages&gt;&lt;DisplayText&gt;(Pickles 2004, 3)&lt;/DisplayText&gt;&lt;record&gt;&lt;rec-number&gt;1484&lt;/rec-number&gt;&lt;foreign-keys&gt;&lt;key app="EN" db-id="tpdvrsxvi90zzleszf5pxzx3s2ezv2szt9t0" timestamp="1663089183"&gt;1484&lt;/key&gt;&lt;/foreign-keys&gt;&lt;ref-type name="Book"&gt;6&lt;/ref-type&gt;&lt;contributors&gt;&lt;authors&gt;&lt;author&gt;Pickles, John&lt;/author&gt;&lt;/authors&gt;&lt;/contributors&gt;&lt;titles&gt;&lt;title&gt;A History of Spaces: Cartographic Reason, Mapping and the Geo-Coded World&lt;/title&gt;&lt;/titles&gt;&lt;dates&gt;&lt;year&gt;2004&lt;/year&gt;&lt;/dates&gt;&lt;pub-location&gt;London&lt;/pub-location&gt;&lt;publisher&gt;Routledge&lt;/publisher&gt;&lt;urls&gt;&lt;/urls&gt;&lt;/record&gt;&lt;/Cite&gt;&lt;/EndNote&gt;</w:instrText>
      </w:r>
      <w:r w:rsidR="009265CF">
        <w:fldChar w:fldCharType="separate"/>
      </w:r>
      <w:r w:rsidR="009265CF">
        <w:rPr>
          <w:noProof/>
        </w:rPr>
        <w:t>(Pickles 2004, 3)</w:t>
      </w:r>
      <w:r w:rsidR="009265CF">
        <w:fldChar w:fldCharType="end"/>
      </w:r>
      <w:r w:rsidR="009265CF">
        <w:t>.</w:t>
      </w:r>
      <w:r w:rsidR="007B7155">
        <w:t xml:space="preserve"> This might easily also be taken as a </w:t>
      </w:r>
      <w:r w:rsidR="008C05D1">
        <w:t>reflection on</w:t>
      </w:r>
      <w:r w:rsidR="007B7155">
        <w:t xml:space="preserve"> traditional hand-drawn animation. In this formulation, all two-dimensional animation, not just animated maps, can be </w:t>
      </w:r>
      <w:r w:rsidR="00D372BD">
        <w:t>understood</w:t>
      </w:r>
      <w:r w:rsidR="007B7155">
        <w:t xml:space="preserve"> to have a cartographic impulse in the process of drawing boundaries, defining </w:t>
      </w:r>
      <w:r w:rsidR="00973B3B">
        <w:t>“</w:t>
      </w:r>
      <w:r w:rsidR="007B7155">
        <w:t>inside</w:t>
      </w:r>
      <w:r w:rsidR="00973B3B">
        <w:t>”</w:t>
      </w:r>
      <w:r w:rsidR="007B7155">
        <w:t xml:space="preserve"> and </w:t>
      </w:r>
      <w:r w:rsidR="00973B3B">
        <w:t>“</w:t>
      </w:r>
      <w:r w:rsidR="007B7155">
        <w:t>outside</w:t>
      </w:r>
      <w:r w:rsidR="006A4AD9">
        <w:t>,</w:t>
      </w:r>
      <w:r w:rsidR="00973B3B">
        <w:t>”</w:t>
      </w:r>
      <w:r w:rsidR="007B7155">
        <w:t xml:space="preserve"> </w:t>
      </w:r>
      <w:r w:rsidR="00D20917">
        <w:t xml:space="preserve">and </w:t>
      </w:r>
      <w:r w:rsidR="007B7155">
        <w:t xml:space="preserve">determining relationships between different spaces. </w:t>
      </w:r>
      <w:r w:rsidR="0082254A">
        <w:t>A</w:t>
      </w:r>
      <w:r w:rsidR="00D372BD">
        <w:t>n examination</w:t>
      </w:r>
      <w:r w:rsidR="0082254A">
        <w:t xml:space="preserve"> of the way animated films </w:t>
      </w:r>
      <w:proofErr w:type="gramStart"/>
      <w:r w:rsidR="0082254A">
        <w:t>construct</w:t>
      </w:r>
      <w:proofErr w:type="gramEnd"/>
      <w:r w:rsidR="0082254A">
        <w:t xml:space="preserve"> the space of petroleum extraction must </w:t>
      </w:r>
      <w:r w:rsidR="00D372BD">
        <w:t>address</w:t>
      </w:r>
      <w:r w:rsidR="0082254A">
        <w:t xml:space="preserve"> not only the conventional map </w:t>
      </w:r>
      <w:r w:rsidR="0082254A">
        <w:lastRenderedPageBreak/>
        <w:t xml:space="preserve">inserts seen in films like </w:t>
      </w:r>
      <w:r w:rsidR="0082254A" w:rsidRPr="0082254A">
        <w:rPr>
          <w:i/>
          <w:iCs/>
        </w:rPr>
        <w:t>AIOC</w:t>
      </w:r>
      <w:r w:rsidR="00F8401D">
        <w:rPr>
          <w:i/>
          <w:iCs/>
        </w:rPr>
        <w:t>’</w:t>
      </w:r>
      <w:r w:rsidR="0082254A" w:rsidRPr="0082254A">
        <w:rPr>
          <w:i/>
          <w:iCs/>
        </w:rPr>
        <w:t>s Operations in South West Iran</w:t>
      </w:r>
      <w:r w:rsidR="0082254A">
        <w:t xml:space="preserve"> (1938) or </w:t>
      </w:r>
      <w:r w:rsidR="0082254A" w:rsidRPr="0082254A">
        <w:rPr>
          <w:i/>
          <w:iCs/>
        </w:rPr>
        <w:t>The Third River</w:t>
      </w:r>
      <w:r w:rsidR="0082254A">
        <w:t xml:space="preserve"> (1955), but </w:t>
      </w:r>
      <w:r w:rsidR="00D20917">
        <w:t xml:space="preserve">also encompass </w:t>
      </w:r>
      <w:r w:rsidR="0082254A">
        <w:t>all animated representations of the</w:t>
      </w:r>
      <w:r w:rsidR="00650445">
        <w:t xml:space="preserve"> spaces of</w:t>
      </w:r>
      <w:r w:rsidR="0082254A">
        <w:t xml:space="preserve"> extractive process</w:t>
      </w:r>
      <w:r w:rsidR="00695DA4">
        <w:t>es</w:t>
      </w:r>
      <w:r w:rsidR="0082254A">
        <w:t>.</w:t>
      </w:r>
      <w:r>
        <w:t xml:space="preserve"> </w:t>
      </w:r>
    </w:p>
    <w:p w14:paraId="516EE980" w14:textId="0954F13E" w:rsidR="005236C9" w:rsidRDefault="0082254A" w:rsidP="005236C9">
      <w:pPr>
        <w:pStyle w:val="Follow-onparagraphstyle"/>
      </w:pPr>
      <w:r>
        <w:rPr>
          <w:i/>
          <w:iCs/>
        </w:rPr>
        <w:t>Full Circle</w:t>
      </w:r>
      <w:r>
        <w:t xml:space="preserve"> </w:t>
      </w:r>
      <w:r w:rsidR="007D3BD6">
        <w:t>presents</w:t>
      </w:r>
      <w:r w:rsidR="00D20917">
        <w:t xml:space="preserve"> a striking </w:t>
      </w:r>
      <w:r w:rsidR="009A2C8E">
        <w:t xml:space="preserve">case study </w:t>
      </w:r>
      <w:r w:rsidR="00D20917">
        <w:t>of th</w:t>
      </w:r>
      <w:r w:rsidR="009A2C8E">
        <w:t>is</w:t>
      </w:r>
      <w:r w:rsidR="00D20917">
        <w:t xml:space="preserve"> cartographic imagination of animation at the service of petroleum extraction. </w:t>
      </w:r>
      <w:r w:rsidR="00996D31">
        <w:t xml:space="preserve">The title of the film, </w:t>
      </w:r>
      <w:r w:rsidR="00996D31">
        <w:rPr>
          <w:i/>
          <w:iCs/>
        </w:rPr>
        <w:t>Full Circle</w:t>
      </w:r>
      <w:r w:rsidR="00996D31">
        <w:t>, and its multiple meanings immediately signal the cartographic intent of the film. First, and foremost, it describes a two-dimensional shape, indicating the graphic basis on which the film will build its arguments. Mid-way through the film the circle is given explicit cartographic meaning as we are shown a circular compass rose on a map, with animated lines extending from it to indicate the different directions extracted oil travels from its source around the world</w:t>
      </w:r>
      <w:r w:rsidR="00FD1D10">
        <w:t xml:space="preserve"> &lt;FIGURE 3 “</w:t>
      </w:r>
      <w:r w:rsidR="00FD1D10" w:rsidRPr="00FD1D10">
        <w:rPr>
          <w:i/>
          <w:iCs/>
        </w:rPr>
        <w:t>Full Circle</w:t>
      </w:r>
      <w:r w:rsidR="00FD1D10" w:rsidRPr="00FD1D10">
        <w:t xml:space="preserve"> Compass Rose</w:t>
      </w:r>
      <w:r w:rsidR="00FD1D10">
        <w:t>&gt;</w:t>
      </w:r>
      <w:r w:rsidR="00996D31">
        <w:t>. This is facilitated by another physical form of circle as the map segues into a series of representations of transport and industrial activity dependent upon oil for propulsion: the propellors of an aeroplane, the rolling wheels of a lorry, the speeding wheels of a train, the turning propellor of a large tanker, the turning cogs of a crane, the spinning bobbins of a cotton mill, the rotating caterpillar tracks of a plough</w:t>
      </w:r>
      <w:r w:rsidR="00C63984">
        <w:t xml:space="preserve"> &lt;FIGURE 4 “</w:t>
      </w:r>
      <w:r w:rsidR="00C63984">
        <w:rPr>
          <w:i/>
          <w:iCs/>
        </w:rPr>
        <w:t>Full Circle</w:t>
      </w:r>
      <w:r w:rsidR="00C63984">
        <w:t xml:space="preserve"> Transport&gt;</w:t>
      </w:r>
      <w:r w:rsidR="00996D31">
        <w:t>. From these physical circles arise the political ideas the film wants to put forward: the full circle of reciprocity between the country of origin of the extracted oil and the petroleum companies exploiting its potential.</w:t>
      </w:r>
      <w:r w:rsidR="00402E03">
        <w:t xml:space="preserve"> This is captured in abstracted wheels and cogs that feature both on the background of the main title card at the start of the film, and mid-way through the film illustrating narration stating “throughout the world, those turning wheels are speeding production</w:t>
      </w:r>
      <w:r w:rsidR="006A4AD9">
        <w:t xml:space="preserve"> </w:t>
      </w:r>
      <w:r w:rsidR="00402E03">
        <w:t>…</w:t>
      </w:r>
      <w:r w:rsidR="006A4AD9">
        <w:t xml:space="preserve"> </w:t>
      </w:r>
      <w:r w:rsidR="00402E03">
        <w:t>and money is being spun”</w:t>
      </w:r>
      <w:r w:rsidR="00C63984">
        <w:t xml:space="preserve"> &lt;</w:t>
      </w:r>
      <w:r w:rsidR="00C63984" w:rsidRPr="00C63984">
        <w:t xml:space="preserve"> </w:t>
      </w:r>
      <w:r w:rsidR="00C63984">
        <w:t>FIGURE</w:t>
      </w:r>
      <w:r w:rsidR="00C63984" w:rsidRPr="00C63984">
        <w:t xml:space="preserve"> 5 </w:t>
      </w:r>
      <w:r w:rsidR="00C63984">
        <w:t>“</w:t>
      </w:r>
      <w:r w:rsidR="00C63984" w:rsidRPr="00C63984">
        <w:rPr>
          <w:i/>
          <w:iCs/>
        </w:rPr>
        <w:t>Full Circle</w:t>
      </w:r>
      <w:r w:rsidR="00C63984" w:rsidRPr="00C63984">
        <w:t xml:space="preserve"> Wheels of production</w:t>
      </w:r>
      <w:r w:rsidR="00C63984">
        <w:t>”&gt;</w:t>
      </w:r>
      <w:r w:rsidR="00402E03">
        <w:t xml:space="preserve">. </w:t>
      </w:r>
      <w:r w:rsidR="00996D31">
        <w:t xml:space="preserve"> Th</w:t>
      </w:r>
      <w:r w:rsidR="00402E03">
        <w:t>is</w:t>
      </w:r>
      <w:r w:rsidR="00996D31">
        <w:t xml:space="preserve"> in turn propel</w:t>
      </w:r>
      <w:r w:rsidR="00402E03">
        <w:t>s</w:t>
      </w:r>
      <w:r w:rsidR="00996D31">
        <w:t xml:space="preserve"> the onward march of time and progress. The graphic understanding of the world brought about by animation is inextricable from the way the film constructs the physical space of the places it describes, </w:t>
      </w:r>
      <w:proofErr w:type="gramStart"/>
      <w:r w:rsidR="00996D31">
        <w:t>and also</w:t>
      </w:r>
      <w:proofErr w:type="gramEnd"/>
      <w:r w:rsidR="00996D31">
        <w:t xml:space="preserve"> the political and economic relationships between them.</w:t>
      </w:r>
    </w:p>
    <w:p w14:paraId="2700B73B" w14:textId="77777777" w:rsidR="005236C9" w:rsidRDefault="005236C9" w:rsidP="005236C9">
      <w:pPr>
        <w:pStyle w:val="Heading1"/>
      </w:pPr>
      <w:r>
        <w:t>Animating unseen and invisible extractive processes</w:t>
      </w:r>
    </w:p>
    <w:p w14:paraId="588D7AC0" w14:textId="1FCDB08E" w:rsidR="005236C9" w:rsidRDefault="005236C9" w:rsidP="00165AAD">
      <w:pPr>
        <w:pStyle w:val="Firstparagraphstyle"/>
      </w:pPr>
      <w:r>
        <w:t>Central to</w:t>
      </w:r>
      <w:r w:rsidR="00C56CDE">
        <w:t xml:space="preserve"> the message of </w:t>
      </w:r>
      <w:r>
        <w:rPr>
          <w:i/>
          <w:iCs/>
        </w:rPr>
        <w:t>Full Circle</w:t>
      </w:r>
      <w:r>
        <w:t xml:space="preserve"> is the promise of a better future that oil, and the prosperity that comes with it, can bring to the countries where oil is extracted from. Here the cartographic imagination of animation finds its fullest expression as the film not only aims to represent existing places but to envision the future modernity that oil will facilitate</w:t>
      </w:r>
      <w:r w:rsidR="000C5341">
        <w:t xml:space="preserve">. </w:t>
      </w:r>
      <w:r>
        <w:t xml:space="preserve">The film opens with the BP Shield </w:t>
      </w:r>
      <w:proofErr w:type="spellStart"/>
      <w:r>
        <w:t>housemark</w:t>
      </w:r>
      <w:proofErr w:type="spellEnd"/>
      <w:r>
        <w:t xml:space="preserve"> (logo) followed immediately by introductory title cards reading “As Man’s knowledge and skill have grown, so has grown his ability to win from deep within the earth ever more of the Energy which civilisation needs</w:t>
      </w:r>
      <w:r w:rsidR="006017FF">
        <w:t xml:space="preserve"> </w:t>
      </w:r>
      <w:r>
        <w:t>…</w:t>
      </w:r>
      <w:r w:rsidR="006017FF">
        <w:t xml:space="preserve"> </w:t>
      </w:r>
      <w:r>
        <w:t>Energy, when released and put to work, also creates wealth</w:t>
      </w:r>
      <w:r w:rsidR="006017FF">
        <w:t xml:space="preserve"> </w:t>
      </w:r>
      <w:r>
        <w:t>…</w:t>
      </w:r>
      <w:r w:rsidR="006017FF">
        <w:t xml:space="preserve"> </w:t>
      </w:r>
      <w:r w:rsidRPr="00F1228D">
        <w:t xml:space="preserve"> </w:t>
      </w:r>
      <w:r>
        <w:t>the wealth so created can benefit the peoples of the lands beneath which Oil is found</w:t>
      </w:r>
      <w:r w:rsidR="006017FF">
        <w:t>.</w:t>
      </w:r>
      <w:r>
        <w:t xml:space="preserve">” From this opening the film establishes a dichotomy between </w:t>
      </w:r>
      <w:r w:rsidR="00695DA4">
        <w:t>an</w:t>
      </w:r>
      <w:r>
        <w:t xml:space="preserve"> </w:t>
      </w:r>
      <w:r>
        <w:lastRenderedPageBreak/>
        <w:t>undeveloped, even atavistic, existing world and the civilisation petroleum extraction promises. In its phrasing it frames nations as only surface-deep, as if a two-dimensional map overlaid on the Earth, with the natural resources “beneath” rather than part of them. The opening section of the film continues this through the “voice of god” narration that describes the “barren waste</w:t>
      </w:r>
      <w:r w:rsidR="006017FF">
        <w:t>,</w:t>
      </w:r>
      <w:r>
        <w:t>” accompanied by images of barefooted locals wearing few or tattered clothes. They are shown holding buckets or jugs, implying drought conditions, reinforced by a searing sun in the sky and the predominant red and orange ochre earth tones</w:t>
      </w:r>
      <w:r w:rsidR="00B545A8">
        <w:t xml:space="preserve"> &lt;</w:t>
      </w:r>
      <w:r w:rsidR="00B545A8" w:rsidRPr="00B545A8">
        <w:t xml:space="preserve"> </w:t>
      </w:r>
      <w:r w:rsidR="00B545A8">
        <w:t>FIGURE</w:t>
      </w:r>
      <w:r w:rsidR="00B545A8" w:rsidRPr="00B545A8">
        <w:t xml:space="preserve"> 6 </w:t>
      </w:r>
      <w:r w:rsidR="003652E8">
        <w:t>“</w:t>
      </w:r>
      <w:r w:rsidR="00B545A8" w:rsidRPr="00B545A8">
        <w:rPr>
          <w:i/>
          <w:iCs/>
        </w:rPr>
        <w:t>Full Circle</w:t>
      </w:r>
      <w:r w:rsidR="00B545A8" w:rsidRPr="00B545A8">
        <w:t xml:space="preserve"> Atavistic Landscape</w:t>
      </w:r>
      <w:r w:rsidR="003652E8">
        <w:t>”</w:t>
      </w:r>
      <w:r w:rsidR="00B545A8">
        <w:t>&gt;</w:t>
      </w:r>
      <w:r>
        <w:t xml:space="preserve">. </w:t>
      </w:r>
      <w:r w:rsidR="00207161">
        <w:t xml:space="preserve">This is </w:t>
      </w:r>
      <w:r>
        <w:t>starkly contrasted with the oil extraction infrastructure that is subsequently shown in this landscape, with its linear architectural profile and clean, cool metal grey colour</w:t>
      </w:r>
      <w:r w:rsidR="00A2155C">
        <w:t xml:space="preserve"> </w:t>
      </w:r>
      <w:r w:rsidR="003652E8">
        <w:t>&lt;FIGURE 7 “</w:t>
      </w:r>
      <w:r w:rsidR="003652E8">
        <w:rPr>
          <w:i/>
          <w:iCs/>
        </w:rPr>
        <w:t>Full Circle</w:t>
      </w:r>
      <w:r w:rsidR="003652E8">
        <w:t xml:space="preserve"> Extraction Infrastructure&gt;</w:t>
      </w:r>
      <w:r>
        <w:t>.</w:t>
      </w:r>
      <w:r w:rsidR="00A2155C">
        <w:t xml:space="preserve"> </w:t>
      </w:r>
      <w:r>
        <w:t xml:space="preserve">The film then </w:t>
      </w:r>
      <w:r w:rsidR="007D3BD6">
        <w:t>gives</w:t>
      </w:r>
      <w:r>
        <w:t xml:space="preserve"> an account of the exploration, drilling</w:t>
      </w:r>
      <w:r w:rsidR="00257888">
        <w:t>,</w:t>
      </w:r>
      <w:r>
        <w:t xml:space="preserve"> and refinery processes.</w:t>
      </w:r>
    </w:p>
    <w:p w14:paraId="46AAF110" w14:textId="30FB02D1" w:rsidR="005236C9" w:rsidRPr="00425C67" w:rsidRDefault="005236C9" w:rsidP="005236C9">
      <w:pPr>
        <w:pStyle w:val="Follow-onparagraphstyle"/>
      </w:pPr>
      <w:r>
        <w:rPr>
          <w:i/>
          <w:iCs/>
        </w:rPr>
        <w:t>Full Circle</w:t>
      </w:r>
      <w:r>
        <w:t xml:space="preserve"> does not provide the same level of factual and scientific rigour seen in other BP/AIOC films of this period, which present a much drier educational exposition more closely indebted to </w:t>
      </w:r>
      <w:r w:rsidR="00B71051">
        <w:t>specialist disciplinary</w:t>
      </w:r>
      <w:r>
        <w:t xml:space="preserve"> methods of graphically documenting their </w:t>
      </w:r>
      <w:r w:rsidR="00B71051">
        <w:t>expert</w:t>
      </w:r>
      <w:r>
        <w:t xml:space="preserve"> knowledge. For example, </w:t>
      </w:r>
      <w:proofErr w:type="gramStart"/>
      <w:r>
        <w:rPr>
          <w:i/>
          <w:iCs/>
        </w:rPr>
        <w:t>Down</w:t>
      </w:r>
      <w:proofErr w:type="gramEnd"/>
      <w:r>
        <w:rPr>
          <w:i/>
          <w:iCs/>
        </w:rPr>
        <w:t xml:space="preserve"> a Long Way</w:t>
      </w:r>
      <w:r>
        <w:t xml:space="preserve">, made by Halas and Batchelor in 1950, includes cross-section diagrams to depict the stratigraphic layers that create the conditions for oil formation and pooling, and which allow geologists to identify suitable drilling locations. Similarly, </w:t>
      </w:r>
      <w:r>
        <w:rPr>
          <w:i/>
          <w:iCs/>
        </w:rPr>
        <w:t>Chemistry of Oil</w:t>
      </w:r>
      <w:r>
        <w:t xml:space="preserve">, made by Larkins in 1955, is largely composed of molecular models of different carbon chains, with three-dimensional highlighting and shading to replicate the ball and stick models commonly used in chemistry. While </w:t>
      </w:r>
      <w:r>
        <w:rPr>
          <w:i/>
          <w:iCs/>
        </w:rPr>
        <w:t>Full Circle</w:t>
      </w:r>
      <w:r>
        <w:t xml:space="preserve"> eschews a strict adherence to such diagrammatic forms, it nevertheless shows a cross-sectional representation of the drilling process reaching down to locate and extract the oil. The use of drawing and animation as an analogy are again utilised here, as the voice describes the process “the searching pencil of the drill moves down through layer after layer to reach the reservoir</w:t>
      </w:r>
      <w:r w:rsidR="00A42AD9">
        <w:t>,</w:t>
      </w:r>
      <w:r>
        <w:t>” the linguistic evocation matched by the visual representation of the drill as a single line reaching down through layers of darkness. Once extracted and piped</w:t>
      </w:r>
      <w:r w:rsidR="0073647A">
        <w:t>,</w:t>
      </w:r>
      <w:r>
        <w:t xml:space="preserve"> the oil in </w:t>
      </w:r>
      <w:r>
        <w:rPr>
          <w:i/>
          <w:iCs/>
        </w:rPr>
        <w:t xml:space="preserve">Full Circle </w:t>
      </w:r>
      <w:r w:rsidRPr="004A5940">
        <w:t>is then shown</w:t>
      </w:r>
      <w:r>
        <w:rPr>
          <w:i/>
          <w:iCs/>
        </w:rPr>
        <w:t xml:space="preserve"> </w:t>
      </w:r>
      <w:r>
        <w:t>flowing through a detailed refinery complex that the Larkins animators would have some familiarity with from their earlier wo</w:t>
      </w:r>
      <w:r w:rsidR="0073647A">
        <w:t>r</w:t>
      </w:r>
      <w:r>
        <w:t xml:space="preserve">k on </w:t>
      </w:r>
      <w:r>
        <w:rPr>
          <w:i/>
          <w:iCs/>
        </w:rPr>
        <w:t>Distillation of Oil</w:t>
      </w:r>
      <w:r>
        <w:t xml:space="preserve"> for AIOC in 1950, even if the newer example lacks explanatory labels, weakening the educational value for a lay audience. </w:t>
      </w:r>
    </w:p>
    <w:p w14:paraId="26EEE06F" w14:textId="07D134DB" w:rsidR="005236C9" w:rsidRDefault="005236C9" w:rsidP="005236C9">
      <w:pPr>
        <w:pStyle w:val="Follow-onparagraphstyle"/>
      </w:pPr>
      <w:r>
        <w:t xml:space="preserve">While this tradition of intermedial diagrammatic animation is used to depict the extractive processes of oil production, the actual oil in </w:t>
      </w:r>
      <w:r>
        <w:rPr>
          <w:i/>
          <w:iCs/>
        </w:rPr>
        <w:t>Full Circle</w:t>
      </w:r>
      <w:r>
        <w:t xml:space="preserve"> is not presented in scientific terms but is described as a “genie of infinite power, alive with elemental energy, dangerous, given to the spectacular</w:t>
      </w:r>
      <w:r w:rsidR="00A42AD9">
        <w:t>.</w:t>
      </w:r>
      <w:r>
        <w:t>”</w:t>
      </w:r>
      <w:r w:rsidR="000F2D81">
        <w:t xml:space="preserve"> </w:t>
      </w:r>
      <w:r w:rsidR="000F2D81">
        <w:t xml:space="preserve">(The suppressed cultural allusions in the modernist and orientalist aesthetic are addressed in later sections of this article). </w:t>
      </w:r>
      <w:r>
        <w:t xml:space="preserve">The film departs from its primarily </w:t>
      </w:r>
      <w:r>
        <w:lastRenderedPageBreak/>
        <w:t>hand-drawn two-dimensional animation to represent this, offering a highly unusual experimental synaesthetic light play to capture the ineffable potential of oil it wishes to convey</w:t>
      </w:r>
      <w:r w:rsidR="003652E8">
        <w:t xml:space="preserve"> &lt;</w:t>
      </w:r>
      <w:r w:rsidR="003652E8" w:rsidRPr="003652E8">
        <w:t xml:space="preserve"> Figure 8 </w:t>
      </w:r>
      <w:r w:rsidR="003652E8">
        <w:t>“</w:t>
      </w:r>
      <w:r w:rsidR="003652E8" w:rsidRPr="003652E8">
        <w:rPr>
          <w:i/>
          <w:iCs/>
        </w:rPr>
        <w:t>Full Circle</w:t>
      </w:r>
      <w:r w:rsidR="003652E8" w:rsidRPr="003652E8">
        <w:t xml:space="preserve"> Synaesthetic Light Play</w:t>
      </w:r>
      <w:r w:rsidR="003652E8">
        <w:t>”&gt;</w:t>
      </w:r>
      <w:r>
        <w:t xml:space="preserve">. Here the capacity of experimental animation techniques </w:t>
      </w:r>
      <w:proofErr w:type="gramStart"/>
      <w:r w:rsidR="007D3BD6">
        <w:t>afford</w:t>
      </w:r>
      <w:proofErr w:type="gramEnd"/>
      <w:r>
        <w:t xml:space="preserve"> a distinctive method to represent the power and vitality of oil in a way that would be difficult, if not impossible, with conventional documentary techniques. </w:t>
      </w:r>
    </w:p>
    <w:p w14:paraId="3524D233" w14:textId="58F41E10" w:rsidR="005236C9" w:rsidRDefault="005236C9" w:rsidP="005236C9">
      <w:pPr>
        <w:pStyle w:val="Follow-onparagraphstyle"/>
      </w:pPr>
      <w:r>
        <w:t xml:space="preserve">Both Andreas </w:t>
      </w:r>
      <w:proofErr w:type="spellStart"/>
      <w:r>
        <w:t>Malm</w:t>
      </w:r>
      <w:proofErr w:type="spellEnd"/>
      <w:r>
        <w:t xml:space="preserve"> and Stephanie </w:t>
      </w:r>
      <w:proofErr w:type="spellStart"/>
      <w:r>
        <w:t>LeManager</w:t>
      </w:r>
      <w:proofErr w:type="spellEnd"/>
      <w:r>
        <w:t xml:space="preserve"> have identified the cultural imagination of the liveliness of fossil fuels and the way these seemingly inert and lacklustre substances have taken on vital, or indeed animated, qualities. Andreas </w:t>
      </w:r>
      <w:proofErr w:type="spellStart"/>
      <w:r>
        <w:t>Malm</w:t>
      </w:r>
      <w:proofErr w:type="spellEnd"/>
      <w:r>
        <w:t xml:space="preserve"> writing on coal and the steam power derived from it in the nineteenth century, describes how “the combustion of fossil fuels is material necromancy: the conjuring up of dead organisms, reawakening their vital forces to steer the actions of the living” </w:t>
      </w:r>
      <w:r>
        <w:fldChar w:fldCharType="begin"/>
      </w:r>
      <w:r>
        <w:instrText xml:space="preserve"> ADDIN EN.CITE &lt;EndNote&gt;&lt;Cite&gt;&lt;Author&gt;Malm&lt;/Author&gt;&lt;Year&gt;2016&lt;/Year&gt;&lt;RecNum&gt;1409&lt;/RecNum&gt;&lt;Pages&gt;209&lt;/Pages&gt;&lt;DisplayText&gt;(Malm 2016, 209)&lt;/DisplayText&gt;&lt;record&gt;&lt;rec-number&gt;1409&lt;/rec-number&gt;&lt;foreign-keys&gt;&lt;key app="EN" db-id="tpdvrsxvi90zzleszf5pxzx3s2ezv2szt9t0" timestamp="1626082192"&gt;1409&lt;/key&gt;&lt;/foreign-keys&gt;&lt;ref-type name="Book"&gt;6&lt;/ref-type&gt;&lt;contributors&gt;&lt;authors&gt;&lt;author&gt;Malm, Andreas&lt;/author&gt;&lt;/authors&gt;&lt;/contributors&gt;&lt;titles&gt;&lt;title&gt;Fossil capital: the rise of steam-power and the roots of global warming&lt;/title&gt;&lt;/titles&gt;&lt;dates&gt;&lt;year&gt;2016&lt;/year&gt;&lt;/dates&gt;&lt;pub-location&gt;London&lt;/pub-location&gt;&lt;publisher&gt;Verso&lt;/publisher&gt;&lt;urls&gt;&lt;/urls&gt;&lt;/record&gt;&lt;/Cite&gt;&lt;/EndNote&gt;</w:instrText>
      </w:r>
      <w:r>
        <w:fldChar w:fldCharType="separate"/>
      </w:r>
      <w:r>
        <w:rPr>
          <w:noProof/>
        </w:rPr>
        <w:t>(Malm 2016, 209)</w:t>
      </w:r>
      <w:r>
        <w:fldChar w:fldCharType="end"/>
      </w:r>
      <w:r>
        <w:t xml:space="preserve">. Likewise in her aptly named book </w:t>
      </w:r>
      <w:r w:rsidRPr="00674933">
        <w:rPr>
          <w:i/>
          <w:iCs/>
        </w:rPr>
        <w:t>Living Oil</w:t>
      </w:r>
      <w:r>
        <w:t xml:space="preserve"> Stephanie </w:t>
      </w:r>
      <w:proofErr w:type="spellStart"/>
      <w:r>
        <w:t>LeMenager</w:t>
      </w:r>
      <w:proofErr w:type="spellEnd"/>
      <w:r>
        <w:t xml:space="preserve"> explores the contradictory idea of the vitality of that fossil fuel. “Oil challenges liveness from another ontological perspective, as a substance that was, once, live matter and that acts with a force suggestive of a form of life” </w:t>
      </w:r>
      <w:r>
        <w:fldChar w:fldCharType="begin"/>
      </w:r>
      <w:r>
        <w:instrText xml:space="preserve"> ADDIN EN.CITE &lt;EndNote&gt;&lt;Cite&gt;&lt;Author&gt;LeMenager&lt;/Author&gt;&lt;Year&gt;2014&lt;/Year&gt;&lt;RecNum&gt;1410&lt;/RecNum&gt;&lt;Pages&gt;5&lt;/Pages&gt;&lt;DisplayText&gt;(LeMenager 2014, 5)&lt;/DisplayText&gt;&lt;record&gt;&lt;rec-number&gt;1410&lt;/rec-number&gt;&lt;foreign-keys&gt;&lt;key app="EN" db-id="tpdvrsxvi90zzleszf5pxzx3s2ezv2szt9t0" timestamp="1626255447"&gt;1410&lt;/key&gt;&lt;/foreign-keys&gt;&lt;ref-type name="Book"&gt;6&lt;/ref-type&gt;&lt;contributors&gt;&lt;authors&gt;&lt;author&gt;LeMenager, Stephanie&lt;/author&gt;&lt;/authors&gt;&lt;/contributors&gt;&lt;titles&gt;&lt;title&gt;Living oil : petroleum culture in the American century &lt;/title&gt;&lt;/titles&gt;&lt;dates&gt;&lt;year&gt;2014&lt;/year&gt;&lt;/dates&gt;&lt;pub-location&gt;Oxford&lt;/pub-location&gt;&lt;publisher&gt;Oxford University Press&lt;/publisher&gt;&lt;urls&gt;&lt;/urls&gt;&lt;/record&gt;&lt;/Cite&gt;&lt;/EndNote&gt;</w:instrText>
      </w:r>
      <w:r>
        <w:fldChar w:fldCharType="separate"/>
      </w:r>
      <w:r>
        <w:rPr>
          <w:noProof/>
        </w:rPr>
        <w:t>(LeMenager 2014, 5)</w:t>
      </w:r>
      <w:r>
        <w:fldChar w:fldCharType="end"/>
      </w:r>
      <w:r>
        <w:t>. The capacity of animation to represent, reinforce</w:t>
      </w:r>
      <w:r w:rsidR="00EA3A16">
        <w:t>,</w:t>
      </w:r>
      <w:r>
        <w:t xml:space="preserve"> and even construct this vitality of fossil fuels is central to its extensive use by petroleum and petrochemical industries, just as much as the expert traditions of diagrammatic graphic representation, with </w:t>
      </w:r>
      <w:r>
        <w:rPr>
          <w:i/>
          <w:iCs/>
        </w:rPr>
        <w:t>Full Circle</w:t>
      </w:r>
      <w:r>
        <w:t xml:space="preserve"> combining the two methods in a characteristic manner. The implication of this is twofold – that </w:t>
      </w:r>
      <w:r w:rsidR="00EA3A16">
        <w:t>oil holds great energy and potential, but equally needs scientific and management expertise over extraction and the proceeds from it</w:t>
      </w:r>
      <w:r>
        <w:t xml:space="preserve">. </w:t>
      </w:r>
    </w:p>
    <w:p w14:paraId="74FDF789" w14:textId="219631F1" w:rsidR="0028522B" w:rsidRDefault="005236C9" w:rsidP="005236C9">
      <w:pPr>
        <w:pStyle w:val="Follow-onparagraphstyle"/>
      </w:pPr>
      <w:r>
        <w:t xml:space="preserve">The latter-half of the film repeats </w:t>
      </w:r>
      <w:r w:rsidR="00BD46C6">
        <w:t>this</w:t>
      </w:r>
      <w:r>
        <w:t xml:space="preserve"> opposition between two contrasting scenarios, in its account of how the proceeds from that extraction might be dispersed in the regions where oil is located. The first part resurrects the “genie” analogy, in this case as the embodiment of the wealth generated by oil extraction and exploitation. As in the earlier sequence, the film departs from hand-drawn cartographic animation to utilise stop-motion object animation manipulating glittering sand to create an enticing and magical vision of the transformative power of oil money which can </w:t>
      </w:r>
      <w:r w:rsidR="007D3BD6">
        <w:t>deliver</w:t>
      </w:r>
      <w:r>
        <w:t xml:space="preserve"> “luxury</w:t>
      </w:r>
      <w:r w:rsidR="00A42AD9">
        <w:t xml:space="preserve"> </w:t>
      </w:r>
      <w:r>
        <w:t>…</w:t>
      </w:r>
      <w:r w:rsidR="00A42AD9">
        <w:t xml:space="preserve"> </w:t>
      </w:r>
      <w:r>
        <w:t>gaiety</w:t>
      </w:r>
      <w:r w:rsidR="00A42AD9">
        <w:t xml:space="preserve"> </w:t>
      </w:r>
      <w:r>
        <w:t>…</w:t>
      </w:r>
      <w:r w:rsidR="00A42AD9">
        <w:t xml:space="preserve"> </w:t>
      </w:r>
      <w:r>
        <w:t>a tinsel world</w:t>
      </w:r>
      <w:r w:rsidR="00A42AD9">
        <w:t>,</w:t>
      </w:r>
      <w:r>
        <w:t>” as the voiceover puts it</w:t>
      </w:r>
      <w:r w:rsidR="003652E8">
        <w:t xml:space="preserve"> &lt;FIGURE</w:t>
      </w:r>
      <w:r w:rsidR="003652E8" w:rsidRPr="003652E8">
        <w:t xml:space="preserve"> 9 </w:t>
      </w:r>
      <w:r w:rsidR="003652E8">
        <w:t>“</w:t>
      </w:r>
      <w:r w:rsidR="003652E8" w:rsidRPr="003652E8">
        <w:rPr>
          <w:i/>
          <w:iCs/>
        </w:rPr>
        <w:t>Full Circle</w:t>
      </w:r>
      <w:r w:rsidR="003652E8" w:rsidRPr="003652E8">
        <w:t xml:space="preserve"> Genie</w:t>
      </w:r>
      <w:r w:rsidR="003652E8">
        <w:t>”&gt;</w:t>
      </w:r>
      <w:r>
        <w:t xml:space="preserve">. A bejewelled genie figure leaps around the screen conjuring cars, palaces, and champagne bottles. </w:t>
      </w:r>
      <w:r w:rsidR="00BD46C6">
        <w:t>T</w:t>
      </w:r>
      <w:r>
        <w:t>his is clearly intended as a cautionary tale, as the voice over asks “will his new masters allow him to spend his energy like oil slipping uselessly through the sand?”.</w:t>
      </w:r>
      <w:r w:rsidR="00BD46C6">
        <w:t xml:space="preserve"> However, the dazzling appeal of the sequence seems at odds with the warning message, and </w:t>
      </w:r>
      <w:r w:rsidR="00012AA4">
        <w:t xml:space="preserve">there is a degree of hypocrisy </w:t>
      </w:r>
      <w:r w:rsidR="00E310A2">
        <w:t xml:space="preserve">in </w:t>
      </w:r>
      <w:r w:rsidR="00012AA4">
        <w:t>an oil company criticising the cove</w:t>
      </w:r>
      <w:r w:rsidR="00FC327B">
        <w:t>t</w:t>
      </w:r>
      <w:r w:rsidR="00012AA4">
        <w:t>ing of motor cars</w:t>
      </w:r>
      <w:r w:rsidR="00BD46C6">
        <w:t xml:space="preserve">. </w:t>
      </w:r>
      <w:r>
        <w:t xml:space="preserve"> </w:t>
      </w:r>
    </w:p>
    <w:p w14:paraId="60A0BA21" w14:textId="4C8272F3" w:rsidR="005236C9" w:rsidRDefault="005236C9" w:rsidP="005236C9">
      <w:pPr>
        <w:pStyle w:val="Follow-onparagraphstyle"/>
      </w:pPr>
      <w:r>
        <w:lastRenderedPageBreak/>
        <w:t>The answering sequence returns to a rigidly rectilinear graphic representation, opening with a pair of callipers on a grid, from which new lines emerge and the camera pulls back to reveal an architect’s drawing board with a blueprint on it</w:t>
      </w:r>
      <w:r w:rsidR="00FE3C79">
        <w:t xml:space="preserve"> &lt;</w:t>
      </w:r>
      <w:r w:rsidR="00FE3C79" w:rsidRPr="00FE3C79">
        <w:t xml:space="preserve"> </w:t>
      </w:r>
      <w:r w:rsidR="00FE3C79">
        <w:t>FIGURE</w:t>
      </w:r>
      <w:r w:rsidR="00FE3C79" w:rsidRPr="00FE3C79">
        <w:t xml:space="preserve"> 10 </w:t>
      </w:r>
      <w:r w:rsidR="00FE3C79">
        <w:t>“</w:t>
      </w:r>
      <w:r w:rsidR="00FE3C79" w:rsidRPr="00FE3C79">
        <w:rPr>
          <w:i/>
          <w:iCs/>
        </w:rPr>
        <w:t>Full Circle</w:t>
      </w:r>
      <w:r w:rsidR="00FE3C79" w:rsidRPr="00FE3C79">
        <w:t xml:space="preserve"> Architect</w:t>
      </w:r>
      <w:r w:rsidR="00FE3C79">
        <w:t>’</w:t>
      </w:r>
      <w:r w:rsidR="00FE3C79" w:rsidRPr="00FE3C79">
        <w:t>s Drawing Board</w:t>
      </w:r>
      <w:r w:rsidR="00FE3C79">
        <w:t>”&gt;</w:t>
      </w:r>
      <w:r>
        <w:t xml:space="preserve">. Any viewer with even a passing familiarity of the animation process would see a clear parallel between the tools by which animators and architects create their drawings, and the implied analogy as both are using the drawing of a line </w:t>
      </w:r>
      <w:proofErr w:type="gramStart"/>
      <w:r>
        <w:t>as a way to</w:t>
      </w:r>
      <w:proofErr w:type="gramEnd"/>
      <w:r>
        <w:t xml:space="preserve"> map out an as yet unrealised future.  A sequence of different blueprints is shown, as if flipped through in a pile like the individual drawings of an animated sequence. These include a map of a harbour with new buildings appearing and an arch bridge extending across a river, following which fully realised constructions are seen being built in the landscape by golden coins (reiterating the circle metaphor) rolling into place to form major infrastructure such as a dam. Blueprints are maps of an imagined future, and animators, no less than planners and architects, use drawing </w:t>
      </w:r>
      <w:proofErr w:type="gramStart"/>
      <w:r>
        <w:t>as a way to</w:t>
      </w:r>
      <w:proofErr w:type="gramEnd"/>
      <w:r>
        <w:t xml:space="preserve"> visualise and bring into existence a vision of the world, in this case at the service of the extractive petroleum industry.</w:t>
      </w:r>
    </w:p>
    <w:p w14:paraId="7D4D10D2" w14:textId="63A828E9" w:rsidR="00996D31" w:rsidRDefault="003077AB" w:rsidP="005236C9">
      <w:pPr>
        <w:pStyle w:val="Heading1"/>
      </w:pPr>
      <w:r>
        <w:t xml:space="preserve">The production of </w:t>
      </w:r>
      <w:r w:rsidR="005236C9" w:rsidRPr="001825A6">
        <w:rPr>
          <w:i/>
          <w:iCs/>
        </w:rPr>
        <w:t>Full Circle</w:t>
      </w:r>
      <w:r w:rsidR="005236C9">
        <w:t xml:space="preserve"> and AIOC’s cartographic imagination of Iran</w:t>
      </w:r>
    </w:p>
    <w:p w14:paraId="1D0B4291" w14:textId="48307EB1" w:rsidR="0082254A" w:rsidRPr="00C973E3" w:rsidRDefault="00BE7953" w:rsidP="005236C9">
      <w:pPr>
        <w:pStyle w:val="Firstparagraphstyle"/>
      </w:pPr>
      <w:r>
        <w:t>As a finished film</w:t>
      </w:r>
      <w:r w:rsidR="00A42AD9">
        <w:t>,</w:t>
      </w:r>
      <w:r>
        <w:t xml:space="preserve"> </w:t>
      </w:r>
      <w:r>
        <w:rPr>
          <w:i/>
          <w:iCs/>
        </w:rPr>
        <w:t>Full Circle</w:t>
      </w:r>
      <w:r>
        <w:t xml:space="preserve"> offers a non-specific universalising message about oil extraction and its proceeds, aided by the abstracted aesthetics of animation. However, its production process was, on the contrary, deeply embedded in the specific historical circumstances of Iranian oil politics at the time</w:t>
      </w:r>
      <w:r w:rsidR="007D0D5D">
        <w:t xml:space="preserve"> and shadows of this remain within the finished film</w:t>
      </w:r>
      <w:r>
        <w:t xml:space="preserve">. </w:t>
      </w:r>
      <w:r w:rsidR="00996D31" w:rsidRPr="00996D31">
        <w:rPr>
          <w:i/>
          <w:iCs/>
        </w:rPr>
        <w:t>Full Circle</w:t>
      </w:r>
      <w:r w:rsidR="009A2C8E">
        <w:t xml:space="preserve"> was </w:t>
      </w:r>
      <w:r w:rsidR="00504CFE">
        <w:t>first shown</w:t>
      </w:r>
      <w:r w:rsidR="009A2C8E">
        <w:t xml:space="preserve"> in 195</w:t>
      </w:r>
      <w:r w:rsidR="00504CFE">
        <w:t>3</w:t>
      </w:r>
      <w:r w:rsidR="009A2C8E">
        <w:t>, following an extended production process initiated by the Anglo-Iranian Oil Company in 1951.</w:t>
      </w:r>
      <w:r w:rsidR="001B567B">
        <w:t xml:space="preserve"> Originally intended for Iranian audiences, it underwent considerable revisions following</w:t>
      </w:r>
      <w:r w:rsidR="00413A6A">
        <w:t xml:space="preserve"> the</w:t>
      </w:r>
      <w:r w:rsidR="001B567B">
        <w:t xml:space="preserve"> </w:t>
      </w:r>
      <w:r w:rsidR="006D069D">
        <w:t>turbulent</w:t>
      </w:r>
      <w:r w:rsidR="001B567B">
        <w:t xml:space="preserve"> political changes in the country during the production period. </w:t>
      </w:r>
    </w:p>
    <w:p w14:paraId="77E4533B" w14:textId="703F99C6" w:rsidR="00C973E3" w:rsidRDefault="00495A76" w:rsidP="00C973E3">
      <w:pPr>
        <w:pStyle w:val="Follow-onparagraphstyle"/>
      </w:pPr>
      <w:r>
        <w:t xml:space="preserve">Oil extraction had been established in Iran from 1908, under the terms of a 1901 agreement between </w:t>
      </w:r>
      <w:proofErr w:type="spellStart"/>
      <w:r w:rsidRPr="00EF683B">
        <w:t>Mozaffar</w:t>
      </w:r>
      <w:proofErr w:type="spellEnd"/>
      <w:r w:rsidRPr="00EF683B">
        <w:t xml:space="preserve"> a</w:t>
      </w:r>
      <w:r>
        <w:t>l</w:t>
      </w:r>
      <w:r w:rsidRPr="00EF683B">
        <w:t>-Din</w:t>
      </w:r>
      <w:r w:rsidR="00A1227C">
        <w:t xml:space="preserve"> Shah</w:t>
      </w:r>
      <w:r w:rsidRPr="00EF683B">
        <w:t xml:space="preserve"> </w:t>
      </w:r>
      <w:r>
        <w:t xml:space="preserve">and British businessman William Knox D’Arcy </w:t>
      </w:r>
      <w:r>
        <w:fldChar w:fldCharType="begin"/>
      </w:r>
      <w:r>
        <w:instrText xml:space="preserve"> ADDIN EN.CITE &lt;EndNote&gt;&lt;Cite&gt;&lt;Author&gt;Yergin&lt;/Author&gt;&lt;Year&gt;2012&lt;/Year&gt;&lt;RecNum&gt;1521&lt;/RecNum&gt;&lt;Pages&gt;118-133&lt;/Pages&gt;&lt;DisplayText&gt;(Yergin 2012, 118-133)&lt;/DisplayText&gt;&lt;record&gt;&lt;rec-number&gt;1521&lt;/rec-number&gt;&lt;foreign-keys&gt;&lt;key app="EN" db-id="tpdvrsxvi90zzleszf5pxzx3s2ezv2szt9t0" timestamp="1679312568"&gt;1521&lt;/key&gt;&lt;/foreign-keys&gt;&lt;ref-type name="Book"&gt;6&lt;/ref-type&gt;&lt;contributors&gt;&lt;authors&gt;&lt;author&gt;Yergin, Daniel&lt;/author&gt;&lt;/authors&gt;&lt;/contributors&gt;&lt;titles&gt;&lt;title&gt;The Prize: The Epic Quest for Oil, Money and Power&lt;/title&gt;&lt;/titles&gt;&lt;edition&gt;2nd&lt;/edition&gt;&lt;dates&gt;&lt;year&gt;2012&lt;/year&gt;&lt;/dates&gt;&lt;pub-location&gt;London&lt;/pub-location&gt;&lt;publisher&gt;Simon and Schuster&lt;/publisher&gt;&lt;urls&gt;&lt;/urls&gt;&lt;/record&gt;&lt;/Cite&gt;&lt;/EndNote&gt;</w:instrText>
      </w:r>
      <w:r>
        <w:fldChar w:fldCharType="separate"/>
      </w:r>
      <w:r>
        <w:rPr>
          <w:noProof/>
        </w:rPr>
        <w:t>(Yergin 2012, 118-133)</w:t>
      </w:r>
      <w:r>
        <w:fldChar w:fldCharType="end"/>
      </w:r>
      <w:r>
        <w:t xml:space="preserve">. The sixty-year concession </w:t>
      </w:r>
      <w:r w:rsidR="007D3BD6">
        <w:t>underpinned</w:t>
      </w:r>
      <w:r>
        <w:t xml:space="preserve"> the basis for the growth of APOC/AIOC but was always entangled with political wrangling both internally, and internationally between Britain and Russia.</w:t>
      </w:r>
      <w:r>
        <w:rPr>
          <w:rStyle w:val="FootnoteReference"/>
        </w:rPr>
        <w:footnoteReference w:id="8"/>
      </w:r>
      <w:r w:rsidR="00413A6A">
        <w:t xml:space="preserve"> Those two countries occupied Iran from 1941 during the Second World War on the basis of its strategically important oil resources and geographical position</w:t>
      </w:r>
      <w:r w:rsidR="003B484D">
        <w:t xml:space="preserve"> </w:t>
      </w:r>
      <w:r w:rsidR="00503125">
        <w:fldChar w:fldCharType="begin"/>
      </w:r>
      <w:r w:rsidR="00503125">
        <w:instrText xml:space="preserve"> ADDIN EN.CITE &lt;EndNote&gt;&lt;Cite&gt;&lt;Year&gt;1941&lt;/Year&gt;&lt;RecNum&gt;1541&lt;/RecNum&gt;&lt;DisplayText&gt;(&amp;quot;Safeguards in Iran&amp;quot; 1941)&lt;/DisplayText&gt;&lt;record&gt;&lt;rec-number&gt;1541&lt;/rec-number&gt;&lt;foreign-keys&gt;&lt;key app="EN" db-id="tpdvrsxvi90zzleszf5pxzx3s2ezv2szt9t0" timestamp="1688042771"&gt;1541&lt;/key&gt;&lt;/foreign-keys&gt;&lt;ref-type name="Newspaper Article"&gt;23&lt;/ref-type&gt;&lt;contributors&gt;&lt;/contributors&gt;&lt;titles&gt;&lt;title&gt;Safeguards in Iran&lt;/title&gt;&lt;secondary-title&gt;The Times&lt;/secondary-title&gt;&lt;/titles&gt;&lt;pages&gt;4&lt;/pages&gt;&lt;dates&gt;&lt;year&gt;1941&lt;/year&gt;&lt;pub-dates&gt;&lt;date&gt;30 August&lt;/date&gt;&lt;/pub-dates&gt;&lt;/dates&gt;&lt;urls&gt;&lt;/urls&gt;&lt;/record&gt;&lt;/Cite&gt;&lt;/EndNote&gt;</w:instrText>
      </w:r>
      <w:r w:rsidR="00503125">
        <w:fldChar w:fldCharType="separate"/>
      </w:r>
      <w:r w:rsidR="00503125">
        <w:rPr>
          <w:noProof/>
        </w:rPr>
        <w:t>("Safeguards in Iran" 1941)</w:t>
      </w:r>
      <w:r w:rsidR="00503125">
        <w:fldChar w:fldCharType="end"/>
      </w:r>
      <w:r w:rsidR="00413A6A">
        <w:t>.</w:t>
      </w:r>
      <w:r w:rsidR="007A77D4">
        <w:t xml:space="preserve"> After </w:t>
      </w:r>
      <w:r w:rsidR="006A7FB3">
        <w:t>the military withdrawal</w:t>
      </w:r>
      <w:r w:rsidR="00101337">
        <w:t>,</w:t>
      </w:r>
      <w:r w:rsidR="006A7FB3">
        <w:t xml:space="preserve"> between 1947 </w:t>
      </w:r>
      <w:r w:rsidR="006A7FB3">
        <w:lastRenderedPageBreak/>
        <w:t xml:space="preserve">and 1951 there was increased </w:t>
      </w:r>
      <w:r w:rsidR="006D069D">
        <w:t xml:space="preserve">Iranian </w:t>
      </w:r>
      <w:r w:rsidR="006A7FB3">
        <w:t xml:space="preserve">scrutiny of the operations of AIOC and negotiation of a supplemental concession agreement. </w:t>
      </w:r>
      <w:r>
        <w:t>Of particular importance to the present study, o</w:t>
      </w:r>
      <w:r w:rsidRPr="006608C1">
        <w:t>n</w:t>
      </w:r>
      <w:r>
        <w:t xml:space="preserve"> March 15, 1951, the Iranian Majlis (Parliament) passed legislation to nationalise the oil industry</w:t>
      </w:r>
      <w:r w:rsidR="00503125">
        <w:t xml:space="preserve"> </w:t>
      </w:r>
      <w:r w:rsidR="00503125">
        <w:fldChar w:fldCharType="begin"/>
      </w:r>
      <w:r w:rsidR="00503125">
        <w:instrText xml:space="preserve"> ADDIN EN.CITE &lt;EndNote&gt;&lt;Cite&gt;&lt;Year&gt;1951&lt;/Year&gt;&lt;RecNum&gt;1542&lt;/RecNum&gt;&lt;DisplayText&gt;(&amp;quot;Persian Oil Industry&amp;quot; 1951)&lt;/DisplayText&gt;&lt;record&gt;&lt;rec-number&gt;1542&lt;/rec-number&gt;&lt;foreign-keys&gt;&lt;key app="EN" db-id="tpdvrsxvi90zzleszf5pxzx3s2ezv2szt9t0" timestamp="1688042906"&gt;1542&lt;/key&gt;&lt;/foreign-keys&gt;&lt;ref-type name="Newspaper Article"&gt;23&lt;/ref-type&gt;&lt;contributors&gt;&lt;/contributors&gt;&lt;titles&gt;&lt;title&gt;Persian Oil Industry&lt;/title&gt;&lt;secondary-title&gt;The Times&lt;/secondary-title&gt;&lt;/titles&gt;&lt;pages&gt;4&lt;/pages&gt;&lt;dates&gt;&lt;year&gt;1951&lt;/year&gt;&lt;pub-dates&gt;&lt;date&gt;16 March&lt;/date&gt;&lt;/pub-dates&gt;&lt;/dates&gt;&lt;urls&gt;&lt;/urls&gt;&lt;/record&gt;&lt;/Cite&gt;&lt;/EndNote&gt;</w:instrText>
      </w:r>
      <w:r w:rsidR="00503125">
        <w:fldChar w:fldCharType="separate"/>
      </w:r>
      <w:r w:rsidR="00503125">
        <w:rPr>
          <w:noProof/>
        </w:rPr>
        <w:t>("Persian Oil Industry" 1951)</w:t>
      </w:r>
      <w:r w:rsidR="00503125">
        <w:fldChar w:fldCharType="end"/>
      </w:r>
      <w:r>
        <w:t>. AIOC, and their majority shareholder the British Government, rejected this move as outside of international law and argued it contravened earlier agreements between the parties</w:t>
      </w:r>
      <w:r w:rsidR="00503125">
        <w:t xml:space="preserve"> </w:t>
      </w:r>
      <w:r w:rsidR="00503125">
        <w:fldChar w:fldCharType="begin"/>
      </w:r>
      <w:r w:rsidR="00503125">
        <w:instrText xml:space="preserve"> ADDIN EN.CITE &lt;EndNote&gt;&lt;Cite&gt;&lt;Year&gt;1951&lt;/Year&gt;&lt;RecNum&gt;1543&lt;/RecNum&gt;&lt;DisplayText&gt;(&amp;quot;Firm British Note to Teheran [sic]&amp;quot; 1951)&lt;/DisplayText&gt;&lt;record&gt;&lt;rec-number&gt;1543&lt;/rec-number&gt;&lt;foreign-keys&gt;&lt;key app="EN" db-id="tpdvrsxvi90zzleszf5pxzx3s2ezv2szt9t0" timestamp="1688043003"&gt;1543&lt;/key&gt;&lt;/foreign-keys&gt;&lt;ref-type name="Newspaper Article"&gt;23&lt;/ref-type&gt;&lt;contributors&gt;&lt;/contributors&gt;&lt;titles&gt;&lt;title&gt;Firm British Note to Teheran [sic]&lt;/title&gt;&lt;secondary-title&gt;The Times&lt;/secondary-title&gt;&lt;/titles&gt;&lt;pages&gt;4&lt;/pages&gt;&lt;dates&gt;&lt;year&gt;1951&lt;/year&gt;&lt;pub-dates&gt;&lt;date&gt;17 March&lt;/date&gt;&lt;/pub-dates&gt;&lt;/dates&gt;&lt;urls&gt;&lt;/urls&gt;&lt;/record&gt;&lt;/Cite&gt;&lt;/EndNote&gt;</w:instrText>
      </w:r>
      <w:r w:rsidR="00503125">
        <w:fldChar w:fldCharType="separate"/>
      </w:r>
      <w:r w:rsidR="00503125">
        <w:rPr>
          <w:noProof/>
        </w:rPr>
        <w:t>("Firm British Note to Teheran [sic]" 1951)</w:t>
      </w:r>
      <w:r w:rsidR="00503125">
        <w:fldChar w:fldCharType="end"/>
      </w:r>
      <w:r>
        <w:t>. Nevertheless, the situation escalated politically over the next six months, with all British workers leaving the crucial Abadan refinery and other facilities by October 1951</w:t>
      </w:r>
      <w:r w:rsidR="00503125">
        <w:t xml:space="preserve"> </w:t>
      </w:r>
      <w:r w:rsidR="00503125">
        <w:fldChar w:fldCharType="begin"/>
      </w:r>
      <w:r w:rsidR="00503125">
        <w:instrText xml:space="preserve"> ADDIN EN.CITE &lt;EndNote&gt;&lt;Cite&gt;&lt;Year&gt;1951&lt;/Year&gt;&lt;RecNum&gt;1544&lt;/RecNum&gt;&lt;DisplayText&gt;(&amp;quot;Withdrawal of Britons from Abadan&amp;quot; 1951)&lt;/DisplayText&gt;&lt;record&gt;&lt;rec-number&gt;1544&lt;/rec-number&gt;&lt;foreign-keys&gt;&lt;key app="EN" db-id="tpdvrsxvi90zzleszf5pxzx3s2ezv2szt9t0" timestamp="1688043123"&gt;1544&lt;/key&gt;&lt;/foreign-keys&gt;&lt;ref-type name="Newspaper Article"&gt;23&lt;/ref-type&gt;&lt;contributors&gt;&lt;/contributors&gt;&lt;titles&gt;&lt;title&gt;Withdrawal of Britons from Abadan&lt;/title&gt;&lt;secondary-title&gt;The Times&lt;/secondary-title&gt;&lt;/titles&gt;&lt;pages&gt;6&lt;/pages&gt;&lt;dates&gt;&lt;year&gt;1951&lt;/year&gt;&lt;pub-dates&gt;&lt;date&gt;4 October&lt;/date&gt;&lt;/pub-dates&gt;&lt;/dates&gt;&lt;urls&gt;&lt;/urls&gt;&lt;/record&gt;&lt;/Cite&gt;&lt;/EndNote&gt;</w:instrText>
      </w:r>
      <w:r w:rsidR="00503125">
        <w:fldChar w:fldCharType="separate"/>
      </w:r>
      <w:r w:rsidR="00503125">
        <w:rPr>
          <w:noProof/>
        </w:rPr>
        <w:t>("Withdrawal of Britons from Abadan" 1951)</w:t>
      </w:r>
      <w:r w:rsidR="00503125">
        <w:fldChar w:fldCharType="end"/>
      </w:r>
      <w:r>
        <w:t xml:space="preserve">. In August 1953, a US and British government supported coup resulted in Prime Minister </w:t>
      </w:r>
      <w:r w:rsidRPr="003550A6">
        <w:t>Mohammad</w:t>
      </w:r>
      <w:r>
        <w:t xml:space="preserve"> </w:t>
      </w:r>
      <w:proofErr w:type="spellStart"/>
      <w:r>
        <w:t>Mosadd</w:t>
      </w:r>
      <w:r w:rsidR="00A1227C">
        <w:t>i</w:t>
      </w:r>
      <w:r>
        <w:t>q</w:t>
      </w:r>
      <w:proofErr w:type="spellEnd"/>
      <w:r>
        <w:t xml:space="preserve"> being ousted, in favour of </w:t>
      </w:r>
      <w:r w:rsidRPr="00EF683B">
        <w:t>Mohammad Reza</w:t>
      </w:r>
      <w:r w:rsidR="00A1227C">
        <w:t xml:space="preserve"> Shah</w:t>
      </w:r>
      <w:r w:rsidR="00503125">
        <w:t xml:space="preserve"> </w:t>
      </w:r>
      <w:r w:rsidR="00503125">
        <w:fldChar w:fldCharType="begin"/>
      </w:r>
      <w:r w:rsidR="00503125">
        <w:instrText xml:space="preserve"> ADDIN EN.CITE &lt;EndNote&gt;&lt;Cite&gt;&lt;Year&gt;1953&lt;/Year&gt;&lt;RecNum&gt;1545&lt;/RecNum&gt;&lt;DisplayText&gt;(&amp;quot;Dr. Moussadek Ousted By Royalists&amp;quot; 1953)&lt;/DisplayText&gt;&lt;record&gt;&lt;rec-number&gt;1545&lt;/rec-number&gt;&lt;foreign-keys&gt;&lt;key app="EN" db-id="tpdvrsxvi90zzleszf5pxzx3s2ezv2szt9t0" timestamp="1688043222"&gt;1545&lt;/key&gt;&lt;/foreign-keys&gt;&lt;ref-type name="Newspaper Article"&gt;23&lt;/ref-type&gt;&lt;contributors&gt;&lt;/contributors&gt;&lt;titles&gt;&lt;title&gt;Dr. Moussadek Ousted By Royalists&lt;/title&gt;&lt;secondary-title&gt;The Times&lt;/secondary-title&gt;&lt;/titles&gt;&lt;pages&gt;6&lt;/pages&gt;&lt;dates&gt;&lt;year&gt;1953&lt;/year&gt;&lt;pub-dates&gt;&lt;date&gt;20 August&lt;/date&gt;&lt;/pub-dates&gt;&lt;/dates&gt;&lt;urls&gt;&lt;/urls&gt;&lt;/record&gt;&lt;/Cite&gt;&lt;/EndNote&gt;</w:instrText>
      </w:r>
      <w:r w:rsidR="00503125">
        <w:fldChar w:fldCharType="separate"/>
      </w:r>
      <w:r w:rsidR="00503125">
        <w:rPr>
          <w:noProof/>
        </w:rPr>
        <w:t>("Dr. Moussadek Ousted By Royalists" 1953)</w:t>
      </w:r>
      <w:r w:rsidR="00503125">
        <w:fldChar w:fldCharType="end"/>
      </w:r>
      <w:r>
        <w:t xml:space="preserve">. </w:t>
      </w:r>
      <w:r w:rsidR="00B253B7">
        <w:t xml:space="preserve">That established conditions in which an agreement could be reached, albeit one which favoured American policy over the commercial objectives of AIOC </w:t>
      </w:r>
      <w:r w:rsidR="00B253B7">
        <w:fldChar w:fldCharType="begin"/>
      </w:r>
      <w:r w:rsidR="00B253B7">
        <w:instrText xml:space="preserve"> ADDIN EN.CITE &lt;EndNote&gt;&lt;Cite&gt;&lt;Author&gt;Bamberg&lt;/Author&gt;&lt;Year&gt;1994&lt;/Year&gt;&lt;RecNum&gt;1494&lt;/RecNum&gt;&lt;Pages&gt;488-489&lt;/Pages&gt;&lt;DisplayText&gt;(Bamberg 1994, 488-489)&lt;/DisplayText&gt;&lt;record&gt;&lt;rec-number&gt;1494&lt;/rec-number&gt;&lt;foreign-keys&gt;&lt;key app="EN" db-id="tpdvrsxvi90zzleszf5pxzx3s2ezv2szt9t0" timestamp="1663922195"&gt;1494&lt;/key&gt;&lt;/foreign-keys&gt;&lt;ref-type name="Book"&gt;6&lt;/ref-type&gt;&lt;contributors&gt;&lt;authors&gt;&lt;author&gt;Bamberg, James&lt;/author&gt;&lt;/authors&gt;&lt;/contributors&gt;&lt;titles&gt;&lt;title&gt;The History of the British Petroleum Company: Volume 2 The Anglo-Iranian Years, 1928-1954&lt;/title&gt;&lt;/titles&gt;&lt;dates&gt;&lt;year&gt;1994&lt;/year&gt;&lt;/dates&gt;&lt;pub-location&gt;Cambridge&lt;/pub-location&gt;&lt;publisher&gt;Cambridge University Press&lt;/publisher&gt;&lt;urls&gt;&lt;/urls&gt;&lt;/record&gt;&lt;/Cite&gt;&lt;/EndNote&gt;</w:instrText>
      </w:r>
      <w:r w:rsidR="00B253B7">
        <w:fldChar w:fldCharType="separate"/>
      </w:r>
      <w:r w:rsidR="00B253B7">
        <w:rPr>
          <w:noProof/>
        </w:rPr>
        <w:t>(Bamberg 1994, 488-489)</w:t>
      </w:r>
      <w:r w:rsidR="00B253B7">
        <w:fldChar w:fldCharType="end"/>
      </w:r>
      <w:r w:rsidR="00C62B12">
        <w:t>.</w:t>
      </w:r>
      <w:r w:rsidR="00B253B7">
        <w:t xml:space="preserve"> </w:t>
      </w:r>
      <w:r w:rsidR="008D751A">
        <w:rPr>
          <w:i/>
          <w:iCs/>
        </w:rPr>
        <w:t>Full Circle</w:t>
      </w:r>
      <w:r w:rsidR="008D751A">
        <w:t xml:space="preserve"> was p</w:t>
      </w:r>
      <w:r>
        <w:t>roduced and released during this tumultuous period</w:t>
      </w:r>
      <w:r w:rsidR="008D751A">
        <w:t xml:space="preserve"> and as a result it</w:t>
      </w:r>
      <w:r>
        <w:t xml:space="preserve"> had to negotiate fraught questions about the national, colonial, and corporate control of oil production and proceeds.</w:t>
      </w:r>
      <w:r w:rsidR="00C973E3" w:rsidRPr="00C973E3">
        <w:t xml:space="preserve"> </w:t>
      </w:r>
    </w:p>
    <w:p w14:paraId="6EA8FD3A" w14:textId="1A06A0BA" w:rsidR="000A61A7" w:rsidRDefault="00C973E3" w:rsidP="007B7155">
      <w:pPr>
        <w:pStyle w:val="Follow-onparagraphstyle"/>
      </w:pPr>
      <w:r w:rsidRPr="00C973E3">
        <w:rPr>
          <w:i/>
          <w:iCs/>
        </w:rPr>
        <w:t>Full Circle</w:t>
      </w:r>
      <w:r>
        <w:t xml:space="preserve"> can be considered as a </w:t>
      </w:r>
      <w:r w:rsidR="00333587">
        <w:t>transitional</w:t>
      </w:r>
      <w:r>
        <w:t xml:space="preserve"> film in the BP/AIOC catalogue, coming between the </w:t>
      </w:r>
      <w:r w:rsidR="00320B07">
        <w:t>colonial</w:t>
      </w:r>
      <w:r>
        <w:t xml:space="preserve"> image of ordered management of oil extraction and refinery in </w:t>
      </w:r>
      <w:r>
        <w:rPr>
          <w:i/>
          <w:iCs/>
        </w:rPr>
        <w:t>Persian Story</w:t>
      </w:r>
      <w:r>
        <w:t xml:space="preserve"> (1952) examined by Damluji, and the </w:t>
      </w:r>
      <w:r w:rsidR="009B3599">
        <w:t xml:space="preserve">need for expansion and </w:t>
      </w:r>
      <w:r>
        <w:t xml:space="preserve">risky prospecting for new oil sources in </w:t>
      </w:r>
      <w:r>
        <w:rPr>
          <w:i/>
          <w:iCs/>
        </w:rPr>
        <w:t xml:space="preserve">The New Explorers </w:t>
      </w:r>
      <w:r>
        <w:t xml:space="preserve">(1955) and other films addressed by Brian Jacobson </w:t>
      </w:r>
      <w:r>
        <w:fldChar w:fldCharType="begin"/>
      </w:r>
      <w:r>
        <w:instrText xml:space="preserve"> ADDIN EN.CITE &lt;EndNote&gt;&lt;Cite&gt;&lt;Author&gt;Damluji&lt;/Author&gt;&lt;Year&gt;2013&lt;/Year&gt;&lt;RecNum&gt;1530&lt;/RecNum&gt;&lt;DisplayText&gt;(Damluji 2013; Jacobson 2021)&lt;/DisplayText&gt;&lt;record&gt;&lt;rec-number&gt;1530&lt;/rec-number&gt;&lt;foreign-keys&gt;&lt;key app="EN" db-id="tpdvrsxvi90zzleszf5pxzx3s2ezv2szt9t0" timestamp="1679493881"&gt;1530&lt;/key&gt;&lt;/foreign-keys&gt;&lt;ref-type name="Journal Article"&gt;17&lt;/ref-type&gt;&lt;contributors&gt;&lt;authors&gt;&lt;author&gt;Damluji, Mona&lt;/author&gt;&lt;/authors&gt;&lt;/contributors&gt;&lt;titles&gt;&lt;title&gt;The Oil City in Focus: The Cinematic Spaces of Abadan in the Anglo-Iranian Oil Company’s Persian Story&lt;/title&gt;&lt;secondary-title&gt;Comparative Studies of South Asia, Africa and the Middle East&lt;/secondary-title&gt;&lt;/titles&gt;&lt;periodical&gt;&lt;full-title&gt;Comparative Studies of South Asia, Africa and the Middle East&lt;/full-title&gt;&lt;/periodical&gt;&lt;volume&gt;33&lt;/volume&gt;&lt;number&gt;1&lt;/number&gt;&lt;dates&gt;&lt;year&gt;2013&lt;/year&gt;&lt;/dates&gt;&lt;urls&gt;&lt;/urls&gt;&lt;/record&gt;&lt;/Cite&gt;&lt;Cite&gt;&lt;Author&gt;Jacobson&lt;/Author&gt;&lt;Year&gt;2021&lt;/Year&gt;&lt;RecNum&gt;1528&lt;/RecNum&gt;&lt;record&gt;&lt;rec-number&gt;1528&lt;/rec-number&gt;&lt;foreign-keys&gt;&lt;key app="EN" db-id="tpdvrsxvi90zzleszf5pxzx3s2ezv2szt9t0" timestamp="1679331284"&gt;1528&lt;/key&gt;&lt;/foreign-keys&gt;&lt;ref-type name="Book Section"&gt;5&lt;/ref-type&gt;&lt;contributors&gt;&lt;authors&gt;&lt;author&gt;Jacobson, Brian R.&lt;/author&gt;&lt;/authors&gt;&lt;secondary-authors&gt;&lt;author&gt;Cahill, James Leo &lt;/author&gt;&lt;author&gt;Caminati, Luca &lt;/author&gt;&lt;/secondary-authors&gt;&lt;/contributors&gt;&lt;titles&gt;&lt;title&gt;Prospecting: Cinema and the Exploration of Extraction&lt;/title&gt;&lt;secondary-title&gt;Cinema of Exploration: Essays on an Adventurous Film Practice &lt;/secondary-title&gt;&lt;/titles&gt;&lt;dates&gt;&lt;year&gt;2021&lt;/year&gt;&lt;/dates&gt;&lt;pub-location&gt;Abingdon&lt;/pub-location&gt;&lt;publisher&gt;Routledge&lt;/publisher&gt;&lt;urls&gt;&lt;/urls&gt;&lt;/record&gt;&lt;/Cite&gt;&lt;/EndNote&gt;</w:instrText>
      </w:r>
      <w:r>
        <w:fldChar w:fldCharType="separate"/>
      </w:r>
      <w:r>
        <w:rPr>
          <w:noProof/>
        </w:rPr>
        <w:t>(Damluji 2013; Jacobson 2021)</w:t>
      </w:r>
      <w:r>
        <w:fldChar w:fldCharType="end"/>
      </w:r>
      <w:r>
        <w:t xml:space="preserve">. </w:t>
      </w:r>
      <w:r>
        <w:rPr>
          <w:i/>
          <w:iCs/>
        </w:rPr>
        <w:t xml:space="preserve">Persian Story </w:t>
      </w:r>
      <w:r>
        <w:t>was filmed prior to nationalisation, its production was halted prematurely due to the events in the early months of 1951, overlapping with the start of production</w:t>
      </w:r>
      <w:r w:rsidR="009B3599">
        <w:t xml:space="preserve"> of </w:t>
      </w:r>
      <w:r w:rsidR="009B3599">
        <w:rPr>
          <w:i/>
          <w:iCs/>
        </w:rPr>
        <w:t>Full Circle</w:t>
      </w:r>
      <w:r w:rsidR="009B3599">
        <w:t xml:space="preserve">. As Damluji recounts, by the time </w:t>
      </w:r>
      <w:r w:rsidR="009B3599">
        <w:rPr>
          <w:i/>
          <w:iCs/>
        </w:rPr>
        <w:t>Persian Story</w:t>
      </w:r>
      <w:r w:rsidR="009B3599">
        <w:t xml:space="preserve"> was edited and released it held the </w:t>
      </w:r>
      <w:r w:rsidR="00973B3B">
        <w:t>“</w:t>
      </w:r>
      <w:r w:rsidR="009B3599">
        <w:t>exceptional status as a surviving portrait of the Westernized Iranian oil city that was lost to the British company</w:t>
      </w:r>
      <w:r w:rsidR="00A42AD9">
        <w:t>,</w:t>
      </w:r>
      <w:r w:rsidR="00973B3B">
        <w:t>”</w:t>
      </w:r>
      <w:r w:rsidR="009B3599">
        <w:t xml:space="preserve"> a time capsule of a </w:t>
      </w:r>
      <w:r w:rsidR="00333587">
        <w:t>past</w:t>
      </w:r>
      <w:r w:rsidR="009B3599">
        <w:t xml:space="preserve"> world </w:t>
      </w:r>
      <w:r w:rsidR="009B3599">
        <w:fldChar w:fldCharType="begin"/>
      </w:r>
      <w:r w:rsidR="009B3599">
        <w:instrText xml:space="preserve"> ADDIN EN.CITE &lt;EndNote&gt;&lt;Cite&gt;&lt;Author&gt;Damluji&lt;/Author&gt;&lt;Year&gt;2013&lt;/Year&gt;&lt;RecNum&gt;1530&lt;/RecNum&gt;&lt;Pages&gt;84&lt;/Pages&gt;&lt;DisplayText&gt;(Damluji 2013, 84)&lt;/DisplayText&gt;&lt;record&gt;&lt;rec-number&gt;1530&lt;/rec-number&gt;&lt;foreign-keys&gt;&lt;key app="EN" db-id="tpdvrsxvi90zzleszf5pxzx3s2ezv2szt9t0" timestamp="1679493881"&gt;1530&lt;/key&gt;&lt;/foreign-keys&gt;&lt;ref-type name="Journal Article"&gt;17&lt;/ref-type&gt;&lt;contributors&gt;&lt;authors&gt;&lt;author&gt;Damluji, Mona&lt;/author&gt;&lt;/authors&gt;&lt;/contributors&gt;&lt;titles&gt;&lt;title&gt;The Oil City in Focus: The Cinematic Spaces of Abadan in the Anglo-Iranian Oil Company’s Persian Story&lt;/title&gt;&lt;secondary-title&gt;Comparative Studies of South Asia, Africa and the Middle East&lt;/secondary-title&gt;&lt;/titles&gt;&lt;periodical&gt;&lt;full-title&gt;Comparative Studies of South Asia, Africa and the Middle East&lt;/full-title&gt;&lt;/periodical&gt;&lt;volume&gt;33&lt;/volume&gt;&lt;number&gt;1&lt;/number&gt;&lt;dates&gt;&lt;year&gt;2013&lt;/year&gt;&lt;/dates&gt;&lt;urls&gt;&lt;/urls&gt;&lt;/record&gt;&lt;/Cite&gt;&lt;/EndNote&gt;</w:instrText>
      </w:r>
      <w:r w:rsidR="009B3599">
        <w:fldChar w:fldCharType="separate"/>
      </w:r>
      <w:r w:rsidR="009B3599">
        <w:rPr>
          <w:noProof/>
        </w:rPr>
        <w:t>(Damluji 2013, 84)</w:t>
      </w:r>
      <w:r w:rsidR="009B3599">
        <w:fldChar w:fldCharType="end"/>
      </w:r>
      <w:r w:rsidR="009B3599">
        <w:t>. Following the nationalisation crisis</w:t>
      </w:r>
      <w:r w:rsidR="00A42AD9">
        <w:t>,</w:t>
      </w:r>
      <w:r w:rsidR="009B3599">
        <w:t xml:space="preserve"> </w:t>
      </w:r>
      <w:r w:rsidR="00973B3B">
        <w:t>“</w:t>
      </w:r>
      <w:r w:rsidR="009B3599">
        <w:t>BP implemented a policy of diversification. Never again could it risk such a limited portfolio – its world had to be larger</w:t>
      </w:r>
      <w:r w:rsidR="00A42AD9">
        <w:t>,</w:t>
      </w:r>
      <w:r w:rsidR="00973B3B">
        <w:t>”</w:t>
      </w:r>
      <w:r w:rsidR="009B3599">
        <w:t xml:space="preserve"> with Jacobson showing how the exploration films of the later 1950s documented and fulfilled this in cinematic terms </w:t>
      </w:r>
      <w:r w:rsidR="009B3599">
        <w:fldChar w:fldCharType="begin"/>
      </w:r>
      <w:r w:rsidR="009B3599">
        <w:instrText xml:space="preserve"> ADDIN EN.CITE &lt;EndNote&gt;&lt;Cite&gt;&lt;Author&gt;Jacobson&lt;/Author&gt;&lt;Year&gt;2021&lt;/Year&gt;&lt;RecNum&gt;1528&lt;/RecNum&gt;&lt;Pages&gt;281&lt;/Pages&gt;&lt;DisplayText&gt;(Jacobson 2021, 281)&lt;/DisplayText&gt;&lt;record&gt;&lt;rec-number&gt;1528&lt;/rec-number&gt;&lt;foreign-keys&gt;&lt;key app="EN" db-id="tpdvrsxvi90zzleszf5pxzx3s2ezv2szt9t0" timestamp="1679331284"&gt;1528&lt;/key&gt;&lt;/foreign-keys&gt;&lt;ref-type name="Book Section"&gt;5&lt;/ref-type&gt;&lt;contributors&gt;&lt;authors&gt;&lt;author&gt;Jacobson, Brian R.&lt;/author&gt;&lt;/authors&gt;&lt;secondary-authors&gt;&lt;author&gt;Cahill, James Leo &lt;/author&gt;&lt;author&gt;Caminati, Luca &lt;/author&gt;&lt;/secondary-authors&gt;&lt;/contributors&gt;&lt;titles&gt;&lt;title&gt;Prospecting: Cinema and the Exploration of Extraction&lt;/title&gt;&lt;secondary-title&gt;Cinema of Exploration: Essays on an Adventurous Film Practice &lt;/secondary-title&gt;&lt;/titles&gt;&lt;dates&gt;&lt;year&gt;2021&lt;/year&gt;&lt;/dates&gt;&lt;pub-location&gt;Abingdon&lt;/pub-location&gt;&lt;publisher&gt;Routledge&lt;/publisher&gt;&lt;urls&gt;&lt;/urls&gt;&lt;/record&gt;&lt;/Cite&gt;&lt;/EndNote&gt;</w:instrText>
      </w:r>
      <w:r w:rsidR="009B3599">
        <w:fldChar w:fldCharType="separate"/>
      </w:r>
      <w:r w:rsidR="009B3599">
        <w:rPr>
          <w:noProof/>
        </w:rPr>
        <w:t>(Jacobson 2021, 281)</w:t>
      </w:r>
      <w:r w:rsidR="009B3599">
        <w:fldChar w:fldCharType="end"/>
      </w:r>
      <w:r w:rsidR="009B3599">
        <w:t>.</w:t>
      </w:r>
      <w:r w:rsidR="00AD1E81">
        <w:t xml:space="preserve"> However, both authors also signal an overriding and continuing use of cinema as part of the </w:t>
      </w:r>
      <w:r w:rsidR="00962739">
        <w:t>worlding undertaken by</w:t>
      </w:r>
      <w:r w:rsidR="00AD1E81">
        <w:t xml:space="preserve"> </w:t>
      </w:r>
      <w:r w:rsidR="00333587">
        <w:t>BP/AIOC</w:t>
      </w:r>
      <w:r w:rsidR="00AD1E81">
        <w:t xml:space="preserve">, that </w:t>
      </w:r>
      <w:r w:rsidR="00973B3B">
        <w:t>“</w:t>
      </w:r>
      <w:r w:rsidR="00962739">
        <w:t xml:space="preserve">foreign oil companies adopted filmmaking technologies in order to control a cultural project that </w:t>
      </w:r>
      <w:r w:rsidR="00AD1E81">
        <w:t>linked notions of modernity and national development to the prospering oil industry</w:t>
      </w:r>
      <w:r w:rsidR="00973B3B">
        <w:t>”</w:t>
      </w:r>
      <w:r w:rsidR="00AD1E81">
        <w:t xml:space="preserve"> </w:t>
      </w:r>
      <w:r w:rsidR="00AD1E81">
        <w:fldChar w:fldCharType="begin"/>
      </w:r>
      <w:r w:rsidR="00AD1E81">
        <w:instrText xml:space="preserve"> ADDIN EN.CITE &lt;EndNote&gt;&lt;Cite&gt;&lt;Author&gt;Damluji&lt;/Author&gt;&lt;Year&gt;2013&lt;/Year&gt;&lt;RecNum&gt;1530&lt;/RecNum&gt;&lt;Pages&gt;79&lt;/Pages&gt;&lt;DisplayText&gt;(Damluji 2013, 79)&lt;/DisplayText&gt;&lt;record&gt;&lt;rec-number&gt;1530&lt;/rec-number&gt;&lt;foreign-keys&gt;&lt;key app="EN" db-id="tpdvrsxvi90zzleszf5pxzx3s2ezv2szt9t0" timestamp="1679493881"&gt;1530&lt;/key&gt;&lt;/foreign-keys&gt;&lt;ref-type name="Journal Article"&gt;17&lt;/ref-type&gt;&lt;contributors&gt;&lt;authors&gt;&lt;author&gt;Damluji, Mona&lt;/author&gt;&lt;/authors&gt;&lt;/contributors&gt;&lt;titles&gt;&lt;title&gt;The Oil City in Focus: The Cinematic Spaces of Abadan in the Anglo-Iranian Oil Company’s Persian Story&lt;/title&gt;&lt;secondary-title&gt;Comparative Studies of South Asia, Africa and the Middle East&lt;/secondary-title&gt;&lt;/titles&gt;&lt;periodical&gt;&lt;full-title&gt;Comparative Studies of South Asia, Africa and the Middle East&lt;/full-title&gt;&lt;/periodical&gt;&lt;volume&gt;33&lt;/volume&gt;&lt;number&gt;1&lt;/number&gt;&lt;dates&gt;&lt;year&gt;2013&lt;/year&gt;&lt;/dates&gt;&lt;urls&gt;&lt;/urls&gt;&lt;/record&gt;&lt;/Cite&gt;&lt;/EndNote&gt;</w:instrText>
      </w:r>
      <w:r w:rsidR="00AD1E81">
        <w:fldChar w:fldCharType="separate"/>
      </w:r>
      <w:r w:rsidR="00AD1E81">
        <w:rPr>
          <w:noProof/>
        </w:rPr>
        <w:t>(Damluji 2013, 79)</w:t>
      </w:r>
      <w:r w:rsidR="00AD1E81">
        <w:fldChar w:fldCharType="end"/>
      </w:r>
      <w:r w:rsidR="00962739">
        <w:t xml:space="preserve"> and that </w:t>
      </w:r>
      <w:r w:rsidR="00973B3B">
        <w:t>“</w:t>
      </w:r>
      <w:r w:rsidR="00962739">
        <w:t>film became more than just an add-on to the corporate project; it became part and parcel of oil’s world-defining work</w:t>
      </w:r>
      <w:r w:rsidR="00973B3B">
        <w:t>”</w:t>
      </w:r>
      <w:r w:rsidR="00962739">
        <w:t xml:space="preserve"> </w:t>
      </w:r>
      <w:r w:rsidR="00962739">
        <w:fldChar w:fldCharType="begin"/>
      </w:r>
      <w:r w:rsidR="00962739">
        <w:instrText xml:space="preserve"> ADDIN EN.CITE &lt;EndNote&gt;&lt;Cite&gt;&lt;Author&gt;Jacobson&lt;/Author&gt;&lt;Year&gt;2021&lt;/Year&gt;&lt;RecNum&gt;1528&lt;/RecNum&gt;&lt;Pages&gt;292&lt;/Pages&gt;&lt;DisplayText&gt;(Jacobson 2021, 292)&lt;/DisplayText&gt;&lt;record&gt;&lt;rec-number&gt;1528&lt;/rec-number&gt;&lt;foreign-keys&gt;&lt;key app="EN" db-id="tpdvrsxvi90zzleszf5pxzx3s2ezv2szt9t0" timestamp="1679331284"&gt;1528&lt;/key&gt;&lt;/foreign-keys&gt;&lt;ref-type name="Book Section"&gt;5&lt;/ref-type&gt;&lt;contributors&gt;&lt;authors&gt;&lt;author&gt;Jacobson, Brian R.&lt;/author&gt;&lt;/authors&gt;&lt;secondary-authors&gt;&lt;author&gt;Cahill, James Leo &lt;/author&gt;&lt;author&gt;Caminati, Luca &lt;/author&gt;&lt;/secondary-authors&gt;&lt;/contributors&gt;&lt;titles&gt;&lt;title&gt;Prospecting: Cinema and the Exploration of Extraction&lt;/title&gt;&lt;secondary-title&gt;Cinema of Exploration: Essays on an Adventurous Film Practice &lt;/secondary-title&gt;&lt;/titles&gt;&lt;dates&gt;&lt;year&gt;2021&lt;/year&gt;&lt;/dates&gt;&lt;pub-location&gt;Abingdon&lt;/pub-location&gt;&lt;publisher&gt;Routledge&lt;/publisher&gt;&lt;urls&gt;&lt;/urls&gt;&lt;/record&gt;&lt;/Cite&gt;&lt;/EndNote&gt;</w:instrText>
      </w:r>
      <w:r w:rsidR="00962739">
        <w:fldChar w:fldCharType="separate"/>
      </w:r>
      <w:r w:rsidR="00962739">
        <w:rPr>
          <w:noProof/>
        </w:rPr>
        <w:t>(Jacobson 2021, 292)</w:t>
      </w:r>
      <w:r w:rsidR="00962739">
        <w:fldChar w:fldCharType="end"/>
      </w:r>
      <w:r w:rsidR="00962739">
        <w:t>.</w:t>
      </w:r>
      <w:r w:rsidR="009B3599">
        <w:t xml:space="preserve"> </w:t>
      </w:r>
      <w:r w:rsidR="00AD1E81">
        <w:rPr>
          <w:i/>
          <w:iCs/>
        </w:rPr>
        <w:t>Full Circle</w:t>
      </w:r>
      <w:r w:rsidR="00AD1E81">
        <w:t xml:space="preserve"> sits at the pivot of these surrounding films in its negotiation between past, present, and future</w:t>
      </w:r>
      <w:r w:rsidR="00BD29DB">
        <w:t>;</w:t>
      </w:r>
      <w:r w:rsidR="00333587">
        <w:t xml:space="preserve"> the tension between </w:t>
      </w:r>
      <w:r w:rsidR="00BD29DB">
        <w:t>the</w:t>
      </w:r>
      <w:r w:rsidR="00333587">
        <w:t xml:space="preserve"> geographical </w:t>
      </w:r>
      <w:r w:rsidR="00333587">
        <w:lastRenderedPageBreak/>
        <w:t>specificity of Iran and universal ideals</w:t>
      </w:r>
      <w:r w:rsidR="00BD29DB">
        <w:t>;</w:t>
      </w:r>
      <w:r w:rsidR="00333587">
        <w:t xml:space="preserve"> </w:t>
      </w:r>
      <w:r w:rsidR="0095737C">
        <w:t xml:space="preserve">and </w:t>
      </w:r>
      <w:r w:rsidR="00333587">
        <w:t xml:space="preserve">its </w:t>
      </w:r>
      <w:r w:rsidR="0095737C">
        <w:t>continued promulgation of a message of oil-driven development</w:t>
      </w:r>
      <w:r w:rsidR="00BD29DB">
        <w:t>. These were, however,</w:t>
      </w:r>
      <w:r w:rsidR="0095737C">
        <w:t xml:space="preserve"> offered in unique ways due to its production in the liminal period between 1951 and 1953 and its use of animation as a distinct form of filmmaking practice. </w:t>
      </w:r>
    </w:p>
    <w:p w14:paraId="3053EB84" w14:textId="0B50BF90" w:rsidR="009A10B5" w:rsidRDefault="00101337" w:rsidP="007B7155">
      <w:pPr>
        <w:pStyle w:val="Follow-onparagraphstyle"/>
      </w:pPr>
      <w:r w:rsidRPr="004A2361">
        <w:rPr>
          <w:i/>
          <w:iCs/>
        </w:rPr>
        <w:t>Full Circle’s</w:t>
      </w:r>
      <w:r>
        <w:t xml:space="preserve"> production records and finished result serve as a unique record of a shift in the political relationship between AIOC and Iran, as well as the rhetoric adopted in later such relationships between the oil company and other nations. Animation served not simply as an expression of the company policy but became a tool by which its public position was negotiated and developed. </w:t>
      </w:r>
      <w:r w:rsidR="00996D31">
        <w:t xml:space="preserve">During initial discussions in February 1951, </w:t>
      </w:r>
      <w:r w:rsidR="00996D31" w:rsidRPr="00996D31">
        <w:rPr>
          <w:i/>
          <w:iCs/>
        </w:rPr>
        <w:t>Full Circle</w:t>
      </w:r>
      <w:r w:rsidR="00996D31">
        <w:t xml:space="preserve"> was o</w:t>
      </w:r>
      <w:r w:rsidR="000C7D5E">
        <w:t>riginally referred to</w:t>
      </w:r>
      <w:r w:rsidR="00862D3B">
        <w:t xml:space="preserve"> as</w:t>
      </w:r>
      <w:r w:rsidR="00DD7A9C">
        <w:t xml:space="preserve"> simply</w:t>
      </w:r>
      <w:r w:rsidR="000C7D5E">
        <w:t xml:space="preserve"> </w:t>
      </w:r>
      <w:r w:rsidR="00973B3B">
        <w:t>“</w:t>
      </w:r>
      <w:r w:rsidR="00F8401D">
        <w:t>c</w:t>
      </w:r>
      <w:r w:rsidR="000C7D5E">
        <w:t>artoon film for Persia</w:t>
      </w:r>
      <w:r w:rsidR="00973B3B">
        <w:t>”</w:t>
      </w:r>
      <w:r w:rsidR="00503125">
        <w:t xml:space="preserve"> (BP/</w:t>
      </w:r>
      <w:r w:rsidR="00503125" w:rsidRPr="003568FC">
        <w:t>183126</w:t>
      </w:r>
      <w:r w:rsidR="00503125">
        <w:t xml:space="preserve"> Memorandum from Seddon to </w:t>
      </w:r>
      <w:proofErr w:type="spellStart"/>
      <w:r w:rsidR="00503125">
        <w:t>Gass</w:t>
      </w:r>
      <w:proofErr w:type="spellEnd"/>
      <w:r w:rsidR="00503125">
        <w:t xml:space="preserve"> 23 February 1951)</w:t>
      </w:r>
      <w:r w:rsidR="000C7D5E">
        <w:t xml:space="preserve">, </w:t>
      </w:r>
      <w:r w:rsidR="00996D31">
        <w:t xml:space="preserve">and </w:t>
      </w:r>
      <w:r w:rsidR="000C7D5E">
        <w:t xml:space="preserve">the early production title of the film was </w:t>
      </w:r>
      <w:r w:rsidR="00973B3B">
        <w:t>“</w:t>
      </w:r>
      <w:r w:rsidR="000C7D5E">
        <w:t>East Meets West</w:t>
      </w:r>
      <w:r w:rsidR="00973B3B">
        <w:t>”</w:t>
      </w:r>
      <w:r w:rsidR="00503125">
        <w:t xml:space="preserve"> (BP/</w:t>
      </w:r>
      <w:r w:rsidR="00503125" w:rsidRPr="003568FC">
        <w:t>183126</w:t>
      </w:r>
      <w:r w:rsidR="00503125">
        <w:t xml:space="preserve"> Draft contract between Anglo-Iranian Oil Co. and W.M. Larkins &amp; Co. 1 June 1951)</w:t>
      </w:r>
      <w:r w:rsidR="00F8401D">
        <w:t xml:space="preserve">. While </w:t>
      </w:r>
      <w:r w:rsidR="00DD7A9C">
        <w:t>establishing</w:t>
      </w:r>
      <w:r w:rsidR="00F8401D">
        <w:t xml:space="preserve"> the fundamental concern with place and mapping of the project, the more linear trajectory implied </w:t>
      </w:r>
      <w:r w:rsidR="00996D31">
        <w:t xml:space="preserve">by </w:t>
      </w:r>
      <w:r w:rsidR="00973B3B">
        <w:t>“</w:t>
      </w:r>
      <w:r w:rsidR="00996D31">
        <w:t>East Meets West</w:t>
      </w:r>
      <w:r w:rsidR="00973B3B">
        <w:t>”</w:t>
      </w:r>
      <w:r w:rsidR="00996D31">
        <w:t xml:space="preserve"> is</w:t>
      </w:r>
      <w:r w:rsidR="00F8401D">
        <w:t xml:space="preserve"> indicative of AIOC’s attitude towards the topic in early</w:t>
      </w:r>
      <w:r w:rsidR="00DD7A9C">
        <w:t xml:space="preserve"> </w:t>
      </w:r>
      <w:r w:rsidR="00F8401D">
        <w:t>1951, lacking</w:t>
      </w:r>
      <w:r w:rsidR="009E6E50">
        <w:t xml:space="preserve"> even</w:t>
      </w:r>
      <w:r w:rsidR="00F8401D">
        <w:t xml:space="preserve"> the </w:t>
      </w:r>
      <w:r w:rsidR="009E6E50">
        <w:t>lip service</w:t>
      </w:r>
      <w:r w:rsidR="00F8401D">
        <w:t xml:space="preserve"> to reciprocity that would develop.</w:t>
      </w:r>
      <w:r w:rsidR="00DD7A9C">
        <w:t xml:space="preserve"> Original draft ideas for the film</w:t>
      </w:r>
      <w:r w:rsidR="005A734E">
        <w:t xml:space="preserve"> in early 1951</w:t>
      </w:r>
      <w:r w:rsidR="00DD7A9C">
        <w:t xml:space="preserve"> offer</w:t>
      </w:r>
      <w:r w:rsidR="005A734E">
        <w:t>ed</w:t>
      </w:r>
      <w:r w:rsidR="00DD7A9C">
        <w:t xml:space="preserve"> a one-sided and condescending account of </w:t>
      </w:r>
      <w:r w:rsidR="00973B3B">
        <w:t>“</w:t>
      </w:r>
      <w:r w:rsidR="00DD7A9C">
        <w:t>British perseverance and British money</w:t>
      </w:r>
      <w:r w:rsidR="00973B3B">
        <w:t>”</w:t>
      </w:r>
      <w:r w:rsidR="00DD7A9C">
        <w:t xml:space="preserve"> that had initiated extraction in Persia in the early twentieth century in the face of local indifference</w:t>
      </w:r>
      <w:r w:rsidR="00503125">
        <w:t xml:space="preserve"> (BP/</w:t>
      </w:r>
      <w:r w:rsidR="00503125" w:rsidRPr="003568FC">
        <w:t>183126</w:t>
      </w:r>
      <w:r w:rsidR="00503125">
        <w:t xml:space="preserve"> Draft A by Tritton/Keating 9 February 1951)</w:t>
      </w:r>
      <w:r w:rsidR="00DD7A9C">
        <w:t xml:space="preserve">. </w:t>
      </w:r>
      <w:r w:rsidR="008D5521">
        <w:t>In a highly defensive tone against the idea that it ha</w:t>
      </w:r>
      <w:r w:rsidR="003B4F1B">
        <w:t>d</w:t>
      </w:r>
      <w:r w:rsidR="008D5521">
        <w:t xml:space="preserve"> </w:t>
      </w:r>
      <w:r w:rsidR="00973B3B">
        <w:t>“</w:t>
      </w:r>
      <w:r w:rsidR="008D5521">
        <w:t>stolen</w:t>
      </w:r>
      <w:r w:rsidR="00973B3B">
        <w:t>”</w:t>
      </w:r>
      <w:r w:rsidR="008D5521">
        <w:t xml:space="preserve"> from Iran, the draft argue</w:t>
      </w:r>
      <w:r w:rsidR="008763ED">
        <w:t>d</w:t>
      </w:r>
      <w:r w:rsidR="008D5521">
        <w:t xml:space="preserve"> that AIOC ha</w:t>
      </w:r>
      <w:r w:rsidR="008B4B1E">
        <w:t>d</w:t>
      </w:r>
      <w:r w:rsidR="008D5521">
        <w:t xml:space="preserve"> invested in </w:t>
      </w:r>
      <w:r w:rsidR="00973B3B">
        <w:t>“</w:t>
      </w:r>
      <w:r w:rsidR="008D5521">
        <w:t>housing, clubs, schools, hospitals</w:t>
      </w:r>
      <w:r w:rsidR="00BA3EE7">
        <w:t>,</w:t>
      </w:r>
      <w:r w:rsidR="00973B3B">
        <w:t>”</w:t>
      </w:r>
      <w:r w:rsidR="008D5521">
        <w:t xml:space="preserve"> while implying local mismanagement and corruption of the Iranian proceeds as </w:t>
      </w:r>
      <w:r w:rsidR="00973B3B">
        <w:t>“</w:t>
      </w:r>
      <w:r w:rsidR="008D5521">
        <w:t xml:space="preserve">it may be justly said that this money has not been </w:t>
      </w:r>
      <w:proofErr w:type="spellStart"/>
      <w:r w:rsidR="008D5521">
        <w:t>wisely</w:t>
      </w:r>
      <w:proofErr w:type="spellEnd"/>
      <w:r w:rsidR="008D5521">
        <w:t xml:space="preserve"> used, but that is not the Company</w:t>
      </w:r>
      <w:r w:rsidR="00973B3B">
        <w:t>’</w:t>
      </w:r>
      <w:r w:rsidR="008D5521">
        <w:t>s fault</w:t>
      </w:r>
      <w:r w:rsidR="00973B3B">
        <w:t>”</w:t>
      </w:r>
      <w:r w:rsidR="00503125">
        <w:t xml:space="preserve"> (BP/</w:t>
      </w:r>
      <w:r w:rsidR="00503125" w:rsidRPr="003568FC">
        <w:t>183126</w:t>
      </w:r>
      <w:r w:rsidR="00503125">
        <w:t xml:space="preserve"> Draft A by Tritton/Keating 9 February 1951)</w:t>
      </w:r>
      <w:r w:rsidR="008D5521">
        <w:t>.</w:t>
      </w:r>
      <w:r w:rsidR="009705DB">
        <w:t xml:space="preserve"> These</w:t>
      </w:r>
      <w:r w:rsidR="001319E1">
        <w:t xml:space="preserve"> initial plans</w:t>
      </w:r>
      <w:r w:rsidR="009705DB">
        <w:t xml:space="preserve"> were developed with the full involvement of senior figures in AIOC, including Norman Seddon, AIOC’s chief representative in Tehran at the time</w:t>
      </w:r>
      <w:r w:rsidR="00E511AE">
        <w:t xml:space="preserve"> </w:t>
      </w:r>
      <w:r w:rsidR="00E511AE">
        <w:fldChar w:fldCharType="begin"/>
      </w:r>
      <w:r w:rsidR="00E511AE">
        <w:instrText xml:space="preserve"> ADDIN EN.CITE &lt;EndNote&gt;&lt;Cite&gt;&lt;Author&gt;Bamberg&lt;/Author&gt;&lt;Year&gt;1994&lt;/Year&gt;&lt;RecNum&gt;1494&lt;/RecNum&gt;&lt;Pages&gt;607&lt;/Pages&gt;&lt;DisplayText&gt;(Bamberg 1994, 607)&lt;/DisplayText&gt;&lt;record&gt;&lt;rec-number&gt;1494&lt;/rec-number&gt;&lt;foreign-keys&gt;&lt;key app="EN" db-id="tpdvrsxvi90zzleszf5pxzx3s2ezv2szt9t0" timestamp="1663922195"&gt;1494&lt;/key&gt;&lt;/foreign-keys&gt;&lt;ref-type name="Book"&gt;6&lt;/ref-type&gt;&lt;contributors&gt;&lt;authors&gt;&lt;author&gt;Bamberg, James&lt;/author&gt;&lt;/authors&gt;&lt;/contributors&gt;&lt;titles&gt;&lt;title&gt;The History of the British Petroleum Company: Volume 2 The Anglo-Iranian Years, 1928-1954&lt;/title&gt;&lt;/titles&gt;&lt;dates&gt;&lt;year&gt;1994&lt;/year&gt;&lt;/dates&gt;&lt;pub-location&gt;Cambridge&lt;/pub-location&gt;&lt;publisher&gt;Cambridge University Press&lt;/publisher&gt;&lt;urls&gt;&lt;/urls&gt;&lt;/record&gt;&lt;/Cite&gt;&lt;/EndNote&gt;</w:instrText>
      </w:r>
      <w:r w:rsidR="00E511AE">
        <w:fldChar w:fldCharType="separate"/>
      </w:r>
      <w:r w:rsidR="00E511AE">
        <w:rPr>
          <w:noProof/>
        </w:rPr>
        <w:t>(Bamberg 1994, 607)</w:t>
      </w:r>
      <w:r w:rsidR="00E511AE">
        <w:fldChar w:fldCharType="end"/>
      </w:r>
      <w:r w:rsidR="009705DB">
        <w:t xml:space="preserve">, and Managing Director Neville </w:t>
      </w:r>
      <w:proofErr w:type="spellStart"/>
      <w:r w:rsidR="009705DB">
        <w:t>Gass</w:t>
      </w:r>
      <w:proofErr w:type="spellEnd"/>
      <w:r w:rsidR="0018279F">
        <w:t xml:space="preserve"> </w:t>
      </w:r>
      <w:r w:rsidR="0018279F">
        <w:fldChar w:fldCharType="begin"/>
      </w:r>
      <w:r w:rsidR="0018279F">
        <w:instrText xml:space="preserve"> ADDIN EN.CITE &lt;EndNote&gt;&lt;Cite&gt;&lt;Author&gt;Bamberg&lt;/Author&gt;&lt;Year&gt;1994&lt;/Year&gt;&lt;RecNum&gt;1494&lt;/RecNum&gt;&lt;Pages&gt;599&lt;/Pages&gt;&lt;DisplayText&gt;(Bamberg 1994, 599)&lt;/DisplayText&gt;&lt;record&gt;&lt;rec-number&gt;1494&lt;/rec-number&gt;&lt;foreign-keys&gt;&lt;key app="EN" db-id="tpdvrsxvi90zzleszf5pxzx3s2ezv2szt9t0" timestamp="1663922195"&gt;1494&lt;/key&gt;&lt;/foreign-keys&gt;&lt;ref-type name="Book"&gt;6&lt;/ref-type&gt;&lt;contributors&gt;&lt;authors&gt;&lt;author&gt;Bamberg, James&lt;/author&gt;&lt;/authors&gt;&lt;/contributors&gt;&lt;titles&gt;&lt;title&gt;The History of the British Petroleum Company: Volume 2 The Anglo-Iranian Years, 1928-1954&lt;/title&gt;&lt;/titles&gt;&lt;dates&gt;&lt;year&gt;1994&lt;/year&gt;&lt;/dates&gt;&lt;pub-location&gt;Cambridge&lt;/pub-location&gt;&lt;publisher&gt;Cambridge University Press&lt;/publisher&gt;&lt;urls&gt;&lt;/urls&gt;&lt;/record&gt;&lt;/Cite&gt;&lt;/EndNote&gt;</w:instrText>
      </w:r>
      <w:r w:rsidR="0018279F">
        <w:fldChar w:fldCharType="separate"/>
      </w:r>
      <w:r w:rsidR="0018279F">
        <w:rPr>
          <w:noProof/>
        </w:rPr>
        <w:t>(Bamberg 1994, 599)</w:t>
      </w:r>
      <w:r w:rsidR="0018279F">
        <w:fldChar w:fldCharType="end"/>
      </w:r>
      <w:r w:rsidR="009705DB">
        <w:t>, suggesting they reflected the</w:t>
      </w:r>
      <w:r w:rsidR="001319E1">
        <w:t xml:space="preserve"> company position</w:t>
      </w:r>
      <w:r w:rsidR="0046190A">
        <w:t>. This included special approval for the £16,000 budget that was beyond the normal operational capacity of the Films Section</w:t>
      </w:r>
      <w:r w:rsidR="00AC0901">
        <w:t xml:space="preserve"> (BP/</w:t>
      </w:r>
      <w:r w:rsidR="00AC0901" w:rsidRPr="003568FC">
        <w:t>183126</w:t>
      </w:r>
      <w:r w:rsidR="00AC0901">
        <w:t xml:space="preserve"> Letter to </w:t>
      </w:r>
      <w:proofErr w:type="spellStart"/>
      <w:r w:rsidR="00AC0901">
        <w:t>Gass</w:t>
      </w:r>
      <w:proofErr w:type="spellEnd"/>
      <w:r w:rsidR="00AC0901">
        <w:t xml:space="preserve"> 25 January 1951)</w:t>
      </w:r>
      <w:r w:rsidR="001319E1">
        <w:t>.</w:t>
      </w:r>
      <w:r w:rsidR="00DA4466">
        <w:rPr>
          <w:rStyle w:val="FootnoteReference"/>
        </w:rPr>
        <w:footnoteReference w:id="9"/>
      </w:r>
      <w:r w:rsidR="008D5521">
        <w:t xml:space="preserve"> </w:t>
      </w:r>
      <w:r w:rsidR="005A734E">
        <w:t xml:space="preserve">While there was </w:t>
      </w:r>
      <w:r w:rsidR="000E51E9">
        <w:t xml:space="preserve">already </w:t>
      </w:r>
      <w:r w:rsidR="005A734E">
        <w:t>some awareness that the tone of such comments would be t</w:t>
      </w:r>
      <w:r w:rsidR="003641E4">
        <w:t>o</w:t>
      </w:r>
      <w:r w:rsidR="005A734E">
        <w:t xml:space="preserve">o inflammatory and controversial for </w:t>
      </w:r>
      <w:r w:rsidR="001319E1">
        <w:t>a</w:t>
      </w:r>
      <w:r w:rsidR="005A734E">
        <w:t xml:space="preserve"> finished film, political events</w:t>
      </w:r>
      <w:r w:rsidR="002A1117">
        <w:t xml:space="preserve"> after March 15</w:t>
      </w:r>
      <w:r w:rsidR="005A734E">
        <w:t xml:space="preserve"> overtook the production, forcing a </w:t>
      </w:r>
      <w:r w:rsidR="005C2D60">
        <w:t>change in approach and intended audience</w:t>
      </w:r>
      <w:r w:rsidR="00BA3EE7">
        <w:t>.</w:t>
      </w:r>
      <w:r w:rsidR="002A1117">
        <w:t xml:space="preserve"> </w:t>
      </w:r>
    </w:p>
    <w:p w14:paraId="121F6214" w14:textId="33D1AF6F" w:rsidR="006320F5" w:rsidRDefault="007C78AA" w:rsidP="006320F5">
      <w:pPr>
        <w:pStyle w:val="Follow-onparagraphstyle"/>
      </w:pPr>
      <w:r>
        <w:lastRenderedPageBreak/>
        <w:t>The official company history of British Petroleum</w:t>
      </w:r>
      <w:r w:rsidR="00320B07">
        <w:t xml:space="preserve"> and Daniel </w:t>
      </w:r>
      <w:proofErr w:type="spellStart"/>
      <w:r w:rsidR="00320B07">
        <w:t>Yer</w:t>
      </w:r>
      <w:r w:rsidR="00264143">
        <w:t>g</w:t>
      </w:r>
      <w:r w:rsidR="00320B07">
        <w:t>in’s</w:t>
      </w:r>
      <w:proofErr w:type="spellEnd"/>
      <w:r w:rsidR="00320B07">
        <w:t xml:space="preserve"> history of oil</w:t>
      </w:r>
      <w:r>
        <w:t xml:space="preserve"> </w:t>
      </w:r>
      <w:r w:rsidR="00320B07">
        <w:t xml:space="preserve">both </w:t>
      </w:r>
      <w:r w:rsidR="007D3BD6">
        <w:t>give</w:t>
      </w:r>
      <w:r>
        <w:t xml:space="preserve"> extensive detail on the political negotiations that occurred at this time, with the British government and military assuming responsibility for what was seen as </w:t>
      </w:r>
      <w:r w:rsidR="00973B3B">
        <w:t>“</w:t>
      </w:r>
      <w:r>
        <w:t>a strategic commodity which was of great importance to the defence of the realm</w:t>
      </w:r>
      <w:r w:rsidR="00973B3B">
        <w:t>”</w:t>
      </w:r>
      <w:r>
        <w:t xml:space="preserve"> </w:t>
      </w:r>
      <w:r>
        <w:fldChar w:fldCharType="begin"/>
      </w:r>
      <w:r w:rsidR="008D2452">
        <w:instrText xml:space="preserve"> ADDIN EN.CITE &lt;EndNote&gt;&lt;Cite&gt;&lt;Author&gt;Bamberg&lt;/Author&gt;&lt;Year&gt;1994&lt;/Year&gt;&lt;RecNum&gt;1494&lt;/RecNum&gt;&lt;Pages&gt;410-458`,519&lt;/Pages&gt;&lt;DisplayText&gt;(Bamberg 1994, 410-458,519; See also: Yergin 2012, 432-452)&lt;/DisplayText&gt;&lt;record&gt;&lt;rec-number&gt;1494&lt;/rec-number&gt;&lt;foreign-keys&gt;&lt;key app="EN" db-id="tpdvrsxvi90zzleszf5pxzx3s2ezv2szt9t0" timestamp="1663922195"&gt;1494&lt;/key&gt;&lt;/foreign-keys&gt;&lt;ref-type name="Book"&gt;6&lt;/ref-type&gt;&lt;contributors&gt;&lt;authors&gt;&lt;author&gt;Bamberg, James&lt;/author&gt;&lt;/authors&gt;&lt;/contributors&gt;&lt;titles&gt;&lt;title&gt;The History of the British Petroleum Company: Volume 2 The Anglo-Iranian Years, 1928-1954&lt;/title&gt;&lt;/titles&gt;&lt;dates&gt;&lt;year&gt;1994&lt;/year&gt;&lt;/dates&gt;&lt;pub-location&gt;Cambridge&lt;/pub-location&gt;&lt;publisher&gt;Cambridge University Press&lt;/publisher&gt;&lt;urls&gt;&lt;/urls&gt;&lt;/record&gt;&lt;/Cite&gt;&lt;Cite&gt;&lt;Author&gt;Yergin&lt;/Author&gt;&lt;Year&gt;2012&lt;/Year&gt;&lt;RecNum&gt;1521&lt;/RecNum&gt;&lt;Prefix&gt;See also: &lt;/Prefix&gt;&lt;Pages&gt;432-452&lt;/Pages&gt;&lt;record&gt;&lt;rec-number&gt;1521&lt;/rec-number&gt;&lt;foreign-keys&gt;&lt;key app="EN" db-id="tpdvrsxvi90zzleszf5pxzx3s2ezv2szt9t0" timestamp="1679312568"&gt;1521&lt;/key&gt;&lt;/foreign-keys&gt;&lt;ref-type name="Book"&gt;6&lt;/ref-type&gt;&lt;contributors&gt;&lt;authors&gt;&lt;author&gt;Yergin, Daniel&lt;/author&gt;&lt;/authors&gt;&lt;/contributors&gt;&lt;titles&gt;&lt;title&gt;The Prize: The Epic Quest for Oil, Money and Power&lt;/title&gt;&lt;/titles&gt;&lt;edition&gt;2nd&lt;/edition&gt;&lt;dates&gt;&lt;year&gt;2012&lt;/year&gt;&lt;/dates&gt;&lt;pub-location&gt;London&lt;/pub-location&gt;&lt;publisher&gt;Simon and Schuster&lt;/publisher&gt;&lt;urls&gt;&lt;/urls&gt;&lt;/record&gt;&lt;/Cite&gt;&lt;/EndNote&gt;</w:instrText>
      </w:r>
      <w:r>
        <w:fldChar w:fldCharType="separate"/>
      </w:r>
      <w:r w:rsidR="008D2452">
        <w:rPr>
          <w:noProof/>
        </w:rPr>
        <w:t>(Bamberg 1994, 410-458,519; See also: Yergin 2012, 432-452)</w:t>
      </w:r>
      <w:r>
        <w:fldChar w:fldCharType="end"/>
      </w:r>
      <w:r>
        <w:t xml:space="preserve">.  </w:t>
      </w:r>
      <w:r w:rsidR="00F05C11">
        <w:t>A</w:t>
      </w:r>
      <w:r>
        <w:t xml:space="preserve">s </w:t>
      </w:r>
      <w:r w:rsidR="00B96C80">
        <w:t>corporate</w:t>
      </w:r>
      <w:r>
        <w:t xml:space="preserve"> histor</w:t>
      </w:r>
      <w:r w:rsidR="00F33C4C">
        <w:t>ies</w:t>
      </w:r>
      <w:r>
        <w:t xml:space="preserve"> </w:t>
      </w:r>
      <w:r w:rsidR="00F33C4C">
        <w:t>they are</w:t>
      </w:r>
      <w:r w:rsidR="00B96C80">
        <w:t xml:space="preserve"> silent on the role of film with</w:t>
      </w:r>
      <w:r w:rsidR="00DA4466">
        <w:t>in</w:t>
      </w:r>
      <w:r w:rsidR="00B96C80">
        <w:t xml:space="preserve"> the company at this time</w:t>
      </w:r>
      <w:r w:rsidR="008763ED">
        <w:t>, but</w:t>
      </w:r>
      <w:r w:rsidR="00B96C80">
        <w:t xml:space="preserve"> </w:t>
      </w:r>
      <w:r w:rsidR="008763ED">
        <w:t>t</w:t>
      </w:r>
      <w:r w:rsidR="000E51E9">
        <w:t xml:space="preserve">he correspondence file for the film held at the BP Archive </w:t>
      </w:r>
      <w:r w:rsidR="008763ED">
        <w:t>provide</w:t>
      </w:r>
      <w:r w:rsidR="00F05C11">
        <w:t>s</w:t>
      </w:r>
      <w:r w:rsidR="008763ED">
        <w:t xml:space="preserve"> further insight</w:t>
      </w:r>
      <w:r w:rsidR="000E51E9">
        <w:t>. On 30</w:t>
      </w:r>
      <w:r w:rsidR="000E51E9" w:rsidRPr="000E51E9">
        <w:rPr>
          <w:vertAlign w:val="superscript"/>
        </w:rPr>
        <w:t>th</w:t>
      </w:r>
      <w:r w:rsidR="000E51E9">
        <w:t xml:space="preserve"> April 1951 Ronald Tritton, </w:t>
      </w:r>
      <w:r w:rsidR="009859E0">
        <w:t xml:space="preserve">the PR Director </w:t>
      </w:r>
      <w:r w:rsidR="00532FCF">
        <w:t xml:space="preserve">who commissioned </w:t>
      </w:r>
      <w:r w:rsidR="00B84B80">
        <w:rPr>
          <w:i/>
          <w:iCs/>
        </w:rPr>
        <w:t>Full Circle</w:t>
      </w:r>
      <w:r w:rsidR="00532FCF">
        <w:t xml:space="preserve"> for AIOC, wrote to Geoffrey Sumner</w:t>
      </w:r>
      <w:r w:rsidR="00083658">
        <w:t>, joint managing director</w:t>
      </w:r>
      <w:r w:rsidR="00532FCF">
        <w:t xml:space="preserve"> at Larkins</w:t>
      </w:r>
      <w:r w:rsidR="00083658">
        <w:t>,</w:t>
      </w:r>
      <w:r w:rsidR="00532FCF">
        <w:t xml:space="preserve"> saying </w:t>
      </w:r>
      <w:r w:rsidR="00973B3B">
        <w:t>“</w:t>
      </w:r>
      <w:r w:rsidR="00532FCF">
        <w:t>I don’t know how the weekend’s events in Persia will affect the film</w:t>
      </w:r>
      <w:r w:rsidR="00BA3EE7">
        <w:t>,</w:t>
      </w:r>
      <w:r w:rsidR="00973B3B">
        <w:t>”</w:t>
      </w:r>
      <w:r w:rsidR="00911B85">
        <w:t xml:space="preserve"> reacting to the </w:t>
      </w:r>
      <w:r w:rsidR="0038707C">
        <w:t xml:space="preserve">appointment of nationalist leader Muhammad </w:t>
      </w:r>
      <w:proofErr w:type="spellStart"/>
      <w:r w:rsidR="0038707C">
        <w:t>Musaddiq</w:t>
      </w:r>
      <w:proofErr w:type="spellEnd"/>
      <w:r w:rsidR="0038707C">
        <w:t xml:space="preserve"> as Iran’s Prime Minister</w:t>
      </w:r>
      <w:r w:rsidR="00AC0901">
        <w:t xml:space="preserve">  </w:t>
      </w:r>
      <w:r w:rsidR="00AC0901">
        <w:fldChar w:fldCharType="begin"/>
      </w:r>
      <w:r w:rsidR="00AC0901">
        <w:instrText xml:space="preserve"> ADDIN EN.CITE &lt;EndNote&gt;&lt;Cite&gt;&lt;Year&gt;1951&lt;/Year&gt;&lt;RecNum&gt;1546&lt;/RecNum&gt;&lt;Prefix&gt;BP/183126 Letter to Sumner from Tritton 30 April 1951`; &lt;/Prefix&gt;&lt;DisplayText&gt;(BP/183126 Letter to Sumner from Tritton 30 April 1951; &amp;quot;Hopes of Persia Oil Talks Fade&amp;quot; 1951)&lt;/DisplayText&gt;&lt;record&gt;&lt;rec-number&gt;1546&lt;/rec-number&gt;&lt;foreign-keys&gt;&lt;key app="EN" db-id="tpdvrsxvi90zzleszf5pxzx3s2ezv2szt9t0" timestamp="1688043523"&gt;1546&lt;/key&gt;&lt;/foreign-keys&gt;&lt;ref-type name="Newspaper Article"&gt;23&lt;/ref-type&gt;&lt;contributors&gt;&lt;/contributors&gt;&lt;titles&gt;&lt;title&gt;Hopes of Persia Oil Talks Fade&lt;/title&gt;&lt;secondary-title&gt;The Sunday Times&lt;/secondary-title&gt;&lt;/titles&gt;&lt;pages&gt;1&lt;/pages&gt;&lt;dates&gt;&lt;year&gt;1951&lt;/year&gt;&lt;pub-dates&gt;&lt;date&gt;29 April&lt;/date&gt;&lt;/pub-dates&gt;&lt;/dates&gt;&lt;urls&gt;&lt;/urls&gt;&lt;/record&gt;&lt;/Cite&gt;&lt;/EndNote&gt;</w:instrText>
      </w:r>
      <w:r w:rsidR="00AC0901">
        <w:fldChar w:fldCharType="separate"/>
      </w:r>
      <w:r w:rsidR="00AC0901">
        <w:rPr>
          <w:noProof/>
        </w:rPr>
        <w:t>(BP/183126 Letter to Sumner from Tritton 30 April 1951; "Hopes of Persia Oil Talks Fade" 1951)</w:t>
      </w:r>
      <w:r w:rsidR="00AC0901">
        <w:fldChar w:fldCharType="end"/>
      </w:r>
      <w:r w:rsidR="00532FCF">
        <w:t>. By 9</w:t>
      </w:r>
      <w:r w:rsidR="00532FCF" w:rsidRPr="00532FCF">
        <w:rPr>
          <w:vertAlign w:val="superscript"/>
        </w:rPr>
        <w:t>th</w:t>
      </w:r>
      <w:r w:rsidR="00532FCF">
        <w:t xml:space="preserve"> May </w:t>
      </w:r>
      <w:r w:rsidR="006D6102">
        <w:t>Tritton</w:t>
      </w:r>
      <w:r w:rsidR="00532FCF">
        <w:t xml:space="preserve"> suggest</w:t>
      </w:r>
      <w:r w:rsidR="00A961B2">
        <w:t>ed</w:t>
      </w:r>
      <w:r w:rsidR="00532FCF">
        <w:t xml:space="preserve"> a rapprochement in the company’s attitude to be reflected in the film, that </w:t>
      </w:r>
      <w:r w:rsidR="00973B3B">
        <w:t>“</w:t>
      </w:r>
      <w:r w:rsidR="00532FCF">
        <w:t xml:space="preserve">perhaps the </w:t>
      </w:r>
      <w:r w:rsidR="00973B3B">
        <w:t>‘</w:t>
      </w:r>
      <w:r w:rsidR="00532FCF">
        <w:t>partnership</w:t>
      </w:r>
      <w:r w:rsidR="00973B3B">
        <w:t>’</w:t>
      </w:r>
      <w:r w:rsidR="00532FCF">
        <w:t xml:space="preserve"> idea should be emphasised rather more strongly</w:t>
      </w:r>
      <w:r w:rsidR="00973B3B">
        <w:t>”</w:t>
      </w:r>
      <w:r w:rsidR="00503125">
        <w:t xml:space="preserve"> (BP/</w:t>
      </w:r>
      <w:r w:rsidR="00503125" w:rsidRPr="003568FC">
        <w:t>183126</w:t>
      </w:r>
      <w:r w:rsidR="00503125">
        <w:t xml:space="preserve"> Letter to Sumner from Tritton 9 May 1951)</w:t>
      </w:r>
      <w:r w:rsidR="00532FCF">
        <w:t>.</w:t>
      </w:r>
      <w:r w:rsidR="00FE3498">
        <w:t xml:space="preserve"> By the Autumn of 1951 there was a clear recognition that the </w:t>
      </w:r>
      <w:r w:rsidR="00973B3B">
        <w:t>“</w:t>
      </w:r>
      <w:r w:rsidR="00FE3498">
        <w:t>original purpose</w:t>
      </w:r>
      <w:r w:rsidR="00BA3EE7">
        <w:t xml:space="preserve"> </w:t>
      </w:r>
      <w:r w:rsidR="00FE3498">
        <w:t>…</w:t>
      </w:r>
      <w:r w:rsidR="00BA3EE7">
        <w:t xml:space="preserve"> </w:t>
      </w:r>
      <w:r w:rsidR="00FE3498">
        <w:t>to point out to Persians the error of their ways</w:t>
      </w:r>
      <w:r w:rsidR="00973B3B">
        <w:t>”</w:t>
      </w:r>
      <w:r w:rsidR="00FE3498">
        <w:t xml:space="preserve"> was no longer viable and that the film was instead to have more universal applicability in areas like the Caribbean and Venezuela, coinciding with a change in working title to </w:t>
      </w:r>
      <w:r w:rsidR="00973B3B">
        <w:t>“</w:t>
      </w:r>
      <w:r w:rsidR="00FE3498">
        <w:t>The Cycle</w:t>
      </w:r>
      <w:r w:rsidR="00973B3B">
        <w:t>”</w:t>
      </w:r>
      <w:r w:rsidR="00503125">
        <w:t xml:space="preserve"> (BP/</w:t>
      </w:r>
      <w:r w:rsidR="00503125" w:rsidRPr="003568FC">
        <w:t>183126</w:t>
      </w:r>
      <w:r w:rsidR="00503125">
        <w:t xml:space="preserve"> Memorandum from Tritton to Chisholm 22 November 1951; Letter from Tritton to Sumner 22 August 1951)</w:t>
      </w:r>
      <w:r w:rsidR="00FE3498">
        <w:t xml:space="preserve">. The finished film </w:t>
      </w:r>
      <w:r w:rsidR="00FB7921">
        <w:t>thus reflects several shifts</w:t>
      </w:r>
      <w:r w:rsidR="00B60800">
        <w:t>. Firstly</w:t>
      </w:r>
      <w:r w:rsidR="00FB7921">
        <w:t>,</w:t>
      </w:r>
      <w:r w:rsidR="00B60800">
        <w:t xml:space="preserve"> it move</w:t>
      </w:r>
      <w:r w:rsidR="00FE66CF">
        <w:t>d</w:t>
      </w:r>
      <w:r w:rsidR="00FB7921">
        <w:t xml:space="preserve"> </w:t>
      </w:r>
      <w:r w:rsidR="00B60800">
        <w:t xml:space="preserve">away from the </w:t>
      </w:r>
      <w:r w:rsidR="003B4F1B">
        <w:t>real-world</w:t>
      </w:r>
      <w:r w:rsidR="00B60800">
        <w:t xml:space="preserve"> geopolitics of petroleum extraction</w:t>
      </w:r>
      <w:r w:rsidR="001F19B8">
        <w:t xml:space="preserve"> in Iran</w:t>
      </w:r>
      <w:r w:rsidR="00B60800">
        <w:t xml:space="preserve"> </w:t>
      </w:r>
      <w:r w:rsidR="003B4F1B">
        <w:t xml:space="preserve">to </w:t>
      </w:r>
      <w:r w:rsidR="00B60800">
        <w:t xml:space="preserve">a more universal model that animation was well suited to. </w:t>
      </w:r>
      <w:r w:rsidR="005E7731">
        <w:t>Likewise,</w:t>
      </w:r>
      <w:r w:rsidR="00B60800">
        <w:t xml:space="preserve"> there </w:t>
      </w:r>
      <w:r w:rsidR="00FE66CF">
        <w:t>wa</w:t>
      </w:r>
      <w:r w:rsidR="00B60800">
        <w:t xml:space="preserve">s a shift in tone </w:t>
      </w:r>
      <w:r w:rsidR="00A961B2">
        <w:t>from an u</w:t>
      </w:r>
      <w:r w:rsidR="00532FCF">
        <w:t>nbending colonial rule and exploitation</w:t>
      </w:r>
      <w:r w:rsidR="00B60800">
        <w:t xml:space="preserve"> towards</w:t>
      </w:r>
      <w:r w:rsidR="00532FCF">
        <w:t xml:space="preserve"> a business</w:t>
      </w:r>
      <w:r w:rsidR="00A961B2">
        <w:t>-like</w:t>
      </w:r>
      <w:r w:rsidR="00532FCF">
        <w:t xml:space="preserve"> model of negotiated mutual interes</w:t>
      </w:r>
      <w:r w:rsidR="00B60800">
        <w:t>t: from propaganda to persuasion</w:t>
      </w:r>
      <w:r w:rsidR="00A961B2">
        <w:t>.</w:t>
      </w:r>
    </w:p>
    <w:p w14:paraId="540E3FA6" w14:textId="644F0251" w:rsidR="00D73742" w:rsidRDefault="00D73742" w:rsidP="00D73742">
      <w:pPr>
        <w:pStyle w:val="Heading1"/>
      </w:pPr>
      <w:proofErr w:type="spellStart"/>
      <w:r>
        <w:t>Petromodernist</w:t>
      </w:r>
      <w:proofErr w:type="spellEnd"/>
      <w:r>
        <w:t xml:space="preserve"> style</w:t>
      </w:r>
    </w:p>
    <w:p w14:paraId="45E7E9AD" w14:textId="5A382212" w:rsidR="00F97019" w:rsidRDefault="00720096" w:rsidP="00D73742">
      <w:pPr>
        <w:pStyle w:val="Firstparagraphstyle"/>
      </w:pPr>
      <w:r>
        <w:t xml:space="preserve">The use of animation as a medium also became bound up with the wider questions the film would tackle. The immediate influence on the use of animation for </w:t>
      </w:r>
      <w:r w:rsidR="00FA57CA">
        <w:rPr>
          <w:i/>
          <w:iCs/>
        </w:rPr>
        <w:t>Full Circle</w:t>
      </w:r>
      <w:r>
        <w:t xml:space="preserve"> was the film </w:t>
      </w:r>
      <w:r w:rsidR="00FA57CA">
        <w:rPr>
          <w:i/>
          <w:iCs/>
        </w:rPr>
        <w:t>Enterprise</w:t>
      </w:r>
      <w:r w:rsidR="00FA57CA">
        <w:t xml:space="preserve"> </w:t>
      </w:r>
      <w:r w:rsidR="00237AD5">
        <w:t xml:space="preserve">(1951) </w:t>
      </w:r>
      <w:r w:rsidR="00FA57CA">
        <w:t>directed by Peter Sachs for the petroleum-adjacent</w:t>
      </w:r>
      <w:r>
        <w:t xml:space="preserve"> ICI </w:t>
      </w:r>
      <w:r w:rsidR="00FA57CA">
        <w:t>(</w:t>
      </w:r>
      <w:r w:rsidR="00FA57CA" w:rsidRPr="00FA57CA">
        <w:t>Imperial Chemical Industries</w:t>
      </w:r>
      <w:r w:rsidR="00FA57CA">
        <w:t xml:space="preserve">), which AIOC </w:t>
      </w:r>
      <w:r w:rsidR="00FA57CA" w:rsidRPr="00FA57CA">
        <w:t xml:space="preserve">Managing Director Neville </w:t>
      </w:r>
      <w:proofErr w:type="spellStart"/>
      <w:r w:rsidR="00FA57CA" w:rsidRPr="00FA57CA">
        <w:t>Gass</w:t>
      </w:r>
      <w:proofErr w:type="spellEnd"/>
      <w:r w:rsidR="00FA57CA">
        <w:t xml:space="preserve"> had seen and admired</w:t>
      </w:r>
      <w:r w:rsidR="00401570">
        <w:t xml:space="preserve"> (BP/</w:t>
      </w:r>
      <w:r w:rsidR="00401570" w:rsidRPr="003568FC">
        <w:t>183126</w:t>
      </w:r>
      <w:r w:rsidR="00401570">
        <w:t xml:space="preserve"> Letter to </w:t>
      </w:r>
      <w:proofErr w:type="spellStart"/>
      <w:r w:rsidR="00401570">
        <w:t>Gass</w:t>
      </w:r>
      <w:proofErr w:type="spellEnd"/>
      <w:r w:rsidR="00401570">
        <w:t xml:space="preserve"> 25 January 1951)</w:t>
      </w:r>
      <w:r w:rsidR="004D4466">
        <w:t>.</w:t>
      </w:r>
      <w:r w:rsidR="00FA57CA">
        <w:t xml:space="preserve"> </w:t>
      </w:r>
      <w:r w:rsidR="00EB1082">
        <w:t xml:space="preserve">Part of the fascination of Larkins’ work for ICI was the progressive modernist design Sachs and his team innovated, and </w:t>
      </w:r>
      <w:r w:rsidR="00EB1082">
        <w:rPr>
          <w:i/>
          <w:iCs/>
        </w:rPr>
        <w:t xml:space="preserve">Full Circle </w:t>
      </w:r>
      <w:r w:rsidR="00EB1082">
        <w:t xml:space="preserve">would furnish a further outlet for this. </w:t>
      </w:r>
      <w:r w:rsidR="00F85667">
        <w:t xml:space="preserve">However, the increasing risk and difficulty of filming on location in Iran may also have contributed to the attraction of production in the confines of an animation studio. </w:t>
      </w:r>
      <w:r w:rsidR="00667153">
        <w:t xml:space="preserve">The apparent simplicity of the austere modernist </w:t>
      </w:r>
      <w:r w:rsidR="00DB3F99">
        <w:t xml:space="preserve">animation </w:t>
      </w:r>
      <w:r w:rsidR="00667153">
        <w:t>style belied the resource</w:t>
      </w:r>
      <w:r w:rsidR="00AF69E9">
        <w:t>-</w:t>
      </w:r>
      <w:r w:rsidR="00667153">
        <w:t xml:space="preserve"> and </w:t>
      </w:r>
      <w:r w:rsidR="00AF69E9">
        <w:lastRenderedPageBreak/>
        <w:t>labour-intensive</w:t>
      </w:r>
      <w:r w:rsidR="00667153">
        <w:t xml:space="preserve"> experimentation that produced it, </w:t>
      </w:r>
      <w:r w:rsidR="00EC6BE0">
        <w:t xml:space="preserve">just as AIOC’s scientific management of oil extraction </w:t>
      </w:r>
      <w:r w:rsidR="00F97019">
        <w:t>suppressed</w:t>
      </w:r>
      <w:r w:rsidR="00EC6BE0">
        <w:t xml:space="preserve"> the environmental and political disruption it entailed in Iran. The application of that modernist style with the aim of quelling </w:t>
      </w:r>
      <w:r w:rsidR="0006689E">
        <w:t>discontent</w:t>
      </w:r>
      <w:r w:rsidR="00EC6BE0">
        <w:t xml:space="preserve"> in Iran</w:t>
      </w:r>
      <w:r w:rsidR="00396C50">
        <w:t xml:space="preserve"> would </w:t>
      </w:r>
      <w:r w:rsidR="00667153">
        <w:t>brin</w:t>
      </w:r>
      <w:r w:rsidR="00396C50">
        <w:t>g</w:t>
      </w:r>
      <w:r w:rsidR="00667153">
        <w:t xml:space="preserve"> the animation studio into conflict with the commissioning company.</w:t>
      </w:r>
      <w:r w:rsidR="00FA57CA">
        <w:t xml:space="preserve"> </w:t>
      </w:r>
    </w:p>
    <w:p w14:paraId="71982BD5" w14:textId="499871C6" w:rsidR="00941BD4" w:rsidRDefault="00FA57CA" w:rsidP="00F97019">
      <w:pPr>
        <w:pStyle w:val="Follow-onparagraphstyle"/>
      </w:pPr>
      <w:r>
        <w:t xml:space="preserve">In a letter early in the production, Robert Tritton cautioned Larkins’ manager Geoffrey Sumner that it is </w:t>
      </w:r>
      <w:r w:rsidR="00973B3B">
        <w:t>“</w:t>
      </w:r>
      <w:r>
        <w:t>important that the style both of picture and music is not too avant-garde</w:t>
      </w:r>
      <w:r w:rsidR="00973B3B">
        <w:t>”</w:t>
      </w:r>
      <w:r w:rsidR="008E0FE9">
        <w:t xml:space="preserve"> (BP/</w:t>
      </w:r>
      <w:r w:rsidR="008E0FE9" w:rsidRPr="003568FC">
        <w:t>183126</w:t>
      </w:r>
      <w:r w:rsidR="008E0FE9">
        <w:t xml:space="preserve"> Letter to Sumner from Tritton, 11 June 1951)</w:t>
      </w:r>
      <w:r>
        <w:t>.</w:t>
      </w:r>
      <w:r w:rsidR="00941BD4">
        <w:t xml:space="preserve"> As </w:t>
      </w:r>
      <w:r w:rsidR="00903CEE">
        <w:t>wa</w:t>
      </w:r>
      <w:r w:rsidR="00941BD4">
        <w:t xml:space="preserve">s discussed </w:t>
      </w:r>
      <w:r w:rsidR="00903CEE">
        <w:t>earlier</w:t>
      </w:r>
      <w:r w:rsidR="00941BD4">
        <w:t xml:space="preserve">, some of the most unusual and effective sequences in </w:t>
      </w:r>
      <w:r w:rsidR="00941BD4">
        <w:rPr>
          <w:i/>
          <w:iCs/>
        </w:rPr>
        <w:t>Full Circle</w:t>
      </w:r>
      <w:r w:rsidR="00941BD4">
        <w:t xml:space="preserve"> are those that utilise experimental animation processes to capture the vital appeal and power of oil. In July 1952 Geoffrey Sumner reported to Robert Tritton that production of these </w:t>
      </w:r>
      <w:r w:rsidR="00973B3B">
        <w:t>“</w:t>
      </w:r>
      <w:r w:rsidR="00941BD4">
        <w:t>is giving a little trouble and this will possibl</w:t>
      </w:r>
      <w:r w:rsidR="00626DFD">
        <w:t>y</w:t>
      </w:r>
      <w:r w:rsidR="00941BD4">
        <w:t xml:space="preserve"> delay things slightly</w:t>
      </w:r>
      <w:r w:rsidR="00973B3B">
        <w:t>”</w:t>
      </w:r>
      <w:r w:rsidR="008E0FE9">
        <w:t xml:space="preserve"> (BP/183126 Letter to Tritton from Sumner 8 July 1952)</w:t>
      </w:r>
      <w:r w:rsidR="00941BD4">
        <w:t xml:space="preserve">. Tritton’s response was robust, admonishing that </w:t>
      </w:r>
      <w:r w:rsidR="00973B3B">
        <w:t>“</w:t>
      </w:r>
      <w:r w:rsidR="00941BD4">
        <w:t xml:space="preserve">the money you have spent in these experiments has been in fact </w:t>
      </w:r>
      <w:r w:rsidR="00941BD4" w:rsidRPr="00EB27F7">
        <w:rPr>
          <w:u w:val="single"/>
        </w:rPr>
        <w:t>our</w:t>
      </w:r>
      <w:r w:rsidR="00941BD4">
        <w:t xml:space="preserve"> money. We have been placed in the position of subsidising experimental film work</w:t>
      </w:r>
      <w:r w:rsidR="00E332F3">
        <w:t xml:space="preserve"> </w:t>
      </w:r>
      <w:r w:rsidR="00941BD4">
        <w:t>…</w:t>
      </w:r>
      <w:r w:rsidR="00E332F3">
        <w:t xml:space="preserve"> </w:t>
      </w:r>
      <w:r w:rsidR="00941BD4">
        <w:t>which has seemingly failed</w:t>
      </w:r>
      <w:r w:rsidR="00973B3B">
        <w:t>”</w:t>
      </w:r>
      <w:r w:rsidR="008E0FE9">
        <w:t xml:space="preserve"> (BP/183126 Letter to Sumner from Tritton 22 August 1952)</w:t>
      </w:r>
      <w:r w:rsidR="00941BD4">
        <w:t xml:space="preserve">. The same desire for absolute control and ownership over oil in Iran that is documented in </w:t>
      </w:r>
      <w:r w:rsidR="00941BD4">
        <w:rPr>
          <w:i/>
          <w:iCs/>
        </w:rPr>
        <w:t>Full Circle</w:t>
      </w:r>
      <w:r w:rsidR="00941BD4">
        <w:t xml:space="preserve"> had a parallel in the production relationship between commissioning company and studio, including AIOC’s disdain at the way money was spent.</w:t>
      </w:r>
      <w:r w:rsidR="00EB1082">
        <w:t xml:space="preserve"> </w:t>
      </w:r>
      <w:r w:rsidR="00941BD4">
        <w:t>W.M. Larkins’ dependence on the income from this relationship necessarily required them to acquiesce and Sumner promptly responded with a conciliatory letter to assuage Tritton’s concerns and assure him that the film would be delivered as contracted and within budget</w:t>
      </w:r>
      <w:r w:rsidR="008E0FE9">
        <w:t xml:space="preserve"> (BP/183126 Letter to Tritton from Sumner 26 August 1952)</w:t>
      </w:r>
      <w:r w:rsidR="00941BD4">
        <w:t xml:space="preserve">. </w:t>
      </w:r>
    </w:p>
    <w:p w14:paraId="13BF3F50" w14:textId="2215AB0C" w:rsidR="00720096" w:rsidRDefault="00941BD4" w:rsidP="006320F5">
      <w:pPr>
        <w:pStyle w:val="Follow-onparagraphstyle"/>
      </w:pPr>
      <w:r>
        <w:t xml:space="preserve">It is also notable that Peter Sachs corresponded with Tritton at the end of the production process, seemingly an unusual circumstance as Sumner had managed the day-to-day production throughout the </w:t>
      </w:r>
      <w:r w:rsidR="00237AD5">
        <w:t>two-year</w:t>
      </w:r>
      <w:r>
        <w:t xml:space="preserve"> process. Sachs’ letter suggested he </w:t>
      </w:r>
      <w:r w:rsidR="00973B3B">
        <w:t>“</w:t>
      </w:r>
      <w:r>
        <w:t xml:space="preserve">enjoyed making </w:t>
      </w:r>
      <w:r w:rsidRPr="00941BD4">
        <w:rPr>
          <w:i/>
          <w:iCs/>
        </w:rPr>
        <w:t>Full Circle</w:t>
      </w:r>
      <w:r>
        <w:t xml:space="preserve"> perhaps more than any other film</w:t>
      </w:r>
      <w:r w:rsidR="00973B3B">
        <w:t>”</w:t>
      </w:r>
      <w:r>
        <w:t xml:space="preserve"> and expresse</w:t>
      </w:r>
      <w:r w:rsidR="00FD3C26">
        <w:t>d</w:t>
      </w:r>
      <w:r>
        <w:t xml:space="preserve"> satisfaction at bringing modernist aesthetics to a mass audience, that </w:t>
      </w:r>
      <w:r w:rsidR="00973B3B">
        <w:t>“</w:t>
      </w:r>
      <w:r>
        <w:t xml:space="preserve">50 years ago only </w:t>
      </w:r>
      <w:r w:rsidR="00005DAC">
        <w:t xml:space="preserve">a handful of people were able to get pleasure out of looking at an impressionist painting. It is most encouraging to know that many people can enjoy looking at </w:t>
      </w:r>
      <w:r w:rsidR="00005DAC">
        <w:rPr>
          <w:i/>
          <w:iCs/>
        </w:rPr>
        <w:t>Full Circle</w:t>
      </w:r>
      <w:r w:rsidR="00005DAC">
        <w:t>. That some don’t like it is right and understandable</w:t>
      </w:r>
      <w:r w:rsidR="00973B3B">
        <w:t>”</w:t>
      </w:r>
      <w:r w:rsidR="008E0FE9">
        <w:t xml:space="preserve"> (BP/183126 Letter to Tritton from Sachs 7 July 1953)</w:t>
      </w:r>
      <w:r w:rsidR="00005DAC">
        <w:t>. However, he also</w:t>
      </w:r>
      <w:r>
        <w:t xml:space="preserve"> compare</w:t>
      </w:r>
      <w:r w:rsidR="00FD3C26">
        <w:t>d</w:t>
      </w:r>
      <w:r>
        <w:t xml:space="preserve"> himself to a court portraitist, obliged to </w:t>
      </w:r>
      <w:r w:rsidR="00973B3B">
        <w:t>“</w:t>
      </w:r>
      <w:r>
        <w:t>paint my patron’s likeness in all his finery</w:t>
      </w:r>
      <w:r w:rsidR="00E332F3">
        <w:t xml:space="preserve"> </w:t>
      </w:r>
      <w:r>
        <w:t>…</w:t>
      </w:r>
      <w:r w:rsidR="00E332F3">
        <w:t xml:space="preserve"> </w:t>
      </w:r>
      <w:r>
        <w:t>with a halo above his head</w:t>
      </w:r>
      <w:r w:rsidR="00E332F3">
        <w:t xml:space="preserve"> </w:t>
      </w:r>
      <w:r>
        <w:t>…</w:t>
      </w:r>
      <w:r w:rsidR="00E332F3">
        <w:t xml:space="preserve"> </w:t>
      </w:r>
      <w:r>
        <w:t>for all the world to see that he was a good man</w:t>
      </w:r>
      <w:r w:rsidR="00973B3B">
        <w:t>”</w:t>
      </w:r>
      <w:r w:rsidR="008E0FE9">
        <w:t xml:space="preserve"> (BP/183126 Letter to Tritton from Sachs 7 July 1953)</w:t>
      </w:r>
      <w:r>
        <w:t>. Sachs’ need to maintain the favour of a sponsor is evident, even while he discloses the creative oversight and control incurred in the transaction</w:t>
      </w:r>
      <w:r w:rsidR="000517EE">
        <w:t>, revealing both the costs and benefits of useful animation production</w:t>
      </w:r>
      <w:r w:rsidR="00341F21">
        <w:t xml:space="preserve"> for studios like Larkins</w:t>
      </w:r>
      <w:r>
        <w:t xml:space="preserve">. </w:t>
      </w:r>
    </w:p>
    <w:p w14:paraId="2C201E8A" w14:textId="25C3B2EC" w:rsidR="002F4481" w:rsidRDefault="002F4481" w:rsidP="002F4481">
      <w:pPr>
        <w:pStyle w:val="Follow-onparagraphstyle"/>
      </w:pPr>
      <w:r>
        <w:lastRenderedPageBreak/>
        <w:t xml:space="preserve">It is important to recognise that, like the material and </w:t>
      </w:r>
      <w:r w:rsidR="00DD1FA8">
        <w:t>economic</w:t>
      </w:r>
      <w:r>
        <w:t xml:space="preserve"> extraction that AIOC undertook that </w:t>
      </w:r>
      <w:r w:rsidR="00FD3C26">
        <w:t>motivated</w:t>
      </w:r>
      <w:r>
        <w:t xml:space="preserve"> </w:t>
      </w:r>
      <w:r>
        <w:rPr>
          <w:i/>
          <w:iCs/>
        </w:rPr>
        <w:t>Full Circle</w:t>
      </w:r>
      <w:r>
        <w:t xml:space="preserve">, the modernist aesthetic approaches utilised in the film were also rooted in an extractive logic through its primitivism. As a long </w:t>
      </w:r>
      <w:r w:rsidR="00FD3C26">
        <w:t>historiography</w:t>
      </w:r>
      <w:r>
        <w:t xml:space="preserve"> of art has detailed, Cubism</w:t>
      </w:r>
      <w:r w:rsidR="00695DA4">
        <w:t>, Futurism,</w:t>
      </w:r>
      <w:r>
        <w:t xml:space="preserve"> and other modern art movements were embedded in a form of primitivism that the artists and early commentators saw as celebrating non-Western art works, but also problematically appropriated them for their own purposes. Early art historical accounts of this primitivism, which would be those current at the time of the production of </w:t>
      </w:r>
      <w:r>
        <w:rPr>
          <w:i/>
          <w:iCs/>
        </w:rPr>
        <w:t>Full Circle</w:t>
      </w:r>
      <w:r>
        <w:t xml:space="preserve"> and other films addressed here, offered an uncritical celebration and exploration of the different inspirations on modernist art, such as Robert Goldwater’s influential book </w:t>
      </w:r>
      <w:r>
        <w:fldChar w:fldCharType="begin"/>
      </w:r>
      <w:r>
        <w:instrText xml:space="preserve"> ADDIN EN.CITE &lt;EndNote&gt;&lt;Cite&gt;&lt;Author&gt;Goldwater&lt;/Author&gt;&lt;Year&gt;1938&lt;/Year&gt;&lt;RecNum&gt;774&lt;/RecNum&gt;&lt;DisplayText&gt;(Goldwater 1938, 1967)&lt;/DisplayText&gt;&lt;record&gt;&lt;rec-number&gt;774&lt;/rec-number&gt;&lt;foreign-keys&gt;&lt;key app="EN" db-id="tpdvrsxvi90zzleszf5pxzx3s2ezv2szt9t0" timestamp="1442331091"&gt;774&lt;/key&gt;&lt;/foreign-keys&gt;&lt;ref-type name="Book"&gt;6&lt;/ref-type&gt;&lt;contributors&gt;&lt;authors&gt;&lt;author&gt;Goldwater, Robert&lt;/author&gt;&lt;/authors&gt;&lt;/contributors&gt;&lt;titles&gt;&lt;title&gt;Primitivism in Modern Painting&lt;/title&gt;&lt;/titles&gt;&lt;dates&gt;&lt;year&gt;1938&lt;/year&gt;&lt;/dates&gt;&lt;pub-location&gt;New York&lt;/pub-location&gt;&lt;publisher&gt;Harper &amp;amp; Bros&lt;/publisher&gt;&lt;urls&gt;&lt;/urls&gt;&lt;/record&gt;&lt;/Cite&gt;&lt;Cite&gt;&lt;Author&gt;Goldwater&lt;/Author&gt;&lt;Year&gt;1967&lt;/Year&gt;&lt;RecNum&gt;775&lt;/RecNum&gt;&lt;record&gt;&lt;rec-number&gt;775&lt;/rec-number&gt;&lt;foreign-keys&gt;&lt;key app="EN" db-id="tpdvrsxvi90zzleszf5pxzx3s2ezv2szt9t0" timestamp="1442331099"&gt;775&lt;/key&gt;&lt;/foreign-keys&gt;&lt;ref-type name="Book"&gt;6&lt;/ref-type&gt;&lt;contributors&gt;&lt;authors&gt;&lt;author&gt;Goldwater, Robert&lt;/author&gt;&lt;/authors&gt;&lt;/contributors&gt;&lt;titles&gt;&lt;title&gt;Primitivism in Modern Art&lt;/title&gt;&lt;/titles&gt;&lt;edition&gt;Revised&lt;/edition&gt;&lt;dates&gt;&lt;year&gt;1967&lt;/year&gt;&lt;/dates&gt;&lt;pub-location&gt;New York&lt;/pub-location&gt;&lt;publisher&gt;Vintage Books&lt;/publisher&gt;&lt;urls&gt;&lt;/urls&gt;&lt;/record&gt;&lt;/Cite&gt;&lt;/EndNote&gt;</w:instrText>
      </w:r>
      <w:r>
        <w:fldChar w:fldCharType="separate"/>
      </w:r>
      <w:r>
        <w:rPr>
          <w:noProof/>
        </w:rPr>
        <w:t>(Goldwater 1938, 1967)</w:t>
      </w:r>
      <w:r>
        <w:fldChar w:fldCharType="end"/>
      </w:r>
      <w:r>
        <w:t xml:space="preserve">. Later writing in the 1980s following the 1984 New York Museum of Modern Art exhibition </w:t>
      </w:r>
      <w:r w:rsidR="00973B3B">
        <w:t>“‘</w:t>
      </w:r>
      <w:r>
        <w:t>Primitivism</w:t>
      </w:r>
      <w:r w:rsidR="00973B3B">
        <w:t>’</w:t>
      </w:r>
      <w:r>
        <w:t xml:space="preserve"> in 20</w:t>
      </w:r>
      <w:r w:rsidRPr="00987CFF">
        <w:rPr>
          <w:vertAlign w:val="superscript"/>
        </w:rPr>
        <w:t>th</w:t>
      </w:r>
      <w:r>
        <w:t xml:space="preserve"> Century Art: Affinity of the Tribal and Modern</w:t>
      </w:r>
      <w:r w:rsidR="00973B3B">
        <w:t>”</w:t>
      </w:r>
      <w:r>
        <w:t xml:space="preserve"> voiced more critical dissent with Lucy Lippard accusing the work of being </w:t>
      </w:r>
      <w:r w:rsidR="00973B3B">
        <w:t>“</w:t>
      </w:r>
      <w:r>
        <w:t>pillaged from other cultures</w:t>
      </w:r>
      <w:r w:rsidR="00973B3B">
        <w:t>”</w:t>
      </w:r>
      <w:r>
        <w:t xml:space="preserve"> </w:t>
      </w:r>
      <w:r>
        <w:fldChar w:fldCharType="begin"/>
      </w:r>
      <w:r>
        <w:instrText xml:space="preserve"> ADDIN EN.CITE &lt;EndNote&gt;&lt;Cite&gt;&lt;Author&gt;Lippard&lt;/Author&gt;&lt;Year&gt;1990&lt;/Year&gt;&lt;RecNum&gt;779&lt;/RecNum&gt;&lt;Pages&gt;24&lt;/Pages&gt;&lt;DisplayText&gt;(Lippard 1990, 24)&lt;/DisplayText&gt;&lt;record&gt;&lt;rec-number&gt;779&lt;/rec-number&gt;&lt;foreign-keys&gt;&lt;key app="EN" db-id="tpdvrsxvi90zzleszf5pxzx3s2ezv2szt9t0" timestamp="1442332758"&gt;779&lt;/key&gt;&lt;/foreign-keys&gt;&lt;ref-type name="Book"&gt;6&lt;/ref-type&gt;&lt;contributors&gt;&lt;authors&gt;&lt;author&gt;Lucy Lippard &lt;/author&gt;&lt;/authors&gt;&lt;/contributors&gt;&lt;titles&gt;&lt;title&gt;Mixed Blessings: New Art in a Multicultural America&lt;/title&gt;&lt;/titles&gt;&lt;dates&gt;&lt;year&gt;1990&lt;/year&gt;&lt;/dates&gt;&lt;pub-location&gt;New York&lt;/pub-location&gt;&lt;publisher&gt;Pantheon Books&lt;/publisher&gt;&lt;urls&gt;&lt;/urls&gt;&lt;/record&gt;&lt;/Cite&gt;&lt;/EndNote&gt;</w:instrText>
      </w:r>
      <w:r>
        <w:fldChar w:fldCharType="separate"/>
      </w:r>
      <w:r>
        <w:rPr>
          <w:noProof/>
        </w:rPr>
        <w:t>(Lippard 1990, 24)</w:t>
      </w:r>
      <w:r>
        <w:fldChar w:fldCharType="end"/>
      </w:r>
      <w:r>
        <w:t xml:space="preserve"> and others offering similar challenges </w:t>
      </w:r>
      <w:r>
        <w:fldChar w:fldCharType="begin"/>
      </w:r>
      <w:r>
        <w:instrText xml:space="preserve"> ADDIN EN.CITE &lt;EndNote&gt;&lt;Cite&gt;&lt;Author&gt;McEvilley&lt;/Author&gt;&lt;Year&gt;1984&lt;/Year&gt;&lt;RecNum&gt;1491&lt;/RecNum&gt;&lt;DisplayText&gt;(McEvilley 1984; Knapp 1986)&lt;/DisplayText&gt;&lt;record&gt;&lt;rec-number&gt;1491&lt;/rec-number&gt;&lt;foreign-keys&gt;&lt;key app="EN" db-id="tpdvrsxvi90zzleszf5pxzx3s2ezv2szt9t0" timestamp="1663583031"&gt;1491&lt;/key&gt;&lt;/foreign-keys&gt;&lt;ref-type name="Journal Article"&gt;17&lt;/ref-type&gt;&lt;contributors&gt;&lt;authors&gt;&lt;author&gt;McEvilley, Thomas&lt;/author&gt;&lt;/authors&gt;&lt;/contributors&gt;&lt;titles&gt;&lt;title&gt;Doctor, Lawyer, Indian Chief&lt;/title&gt;&lt;secondary-title&gt;Artforum&lt;/secondary-title&gt;&lt;/titles&gt;&lt;periodical&gt;&lt;full-title&gt;Artforum&lt;/full-title&gt;&lt;/periodical&gt;&lt;pages&gt;54-60&lt;/pages&gt;&lt;number&gt;23&lt;/number&gt;&lt;dates&gt;&lt;year&gt;1984&lt;/year&gt;&lt;pub-dates&gt;&lt;date&gt;November&lt;/date&gt;&lt;/pub-dates&gt;&lt;/dates&gt;&lt;urls&gt;&lt;/urls&gt;&lt;/record&gt;&lt;/Cite&gt;&lt;Cite&gt;&lt;Author&gt;Knapp&lt;/Author&gt;&lt;Year&gt;1986&lt;/Year&gt;&lt;RecNum&gt;1492&lt;/RecNum&gt;&lt;record&gt;&lt;rec-number&gt;1492&lt;/rec-number&gt;&lt;foreign-keys&gt;&lt;key app="EN" db-id="tpdvrsxvi90zzleszf5pxzx3s2ezv2szt9t0" timestamp="1663583093"&gt;1492&lt;/key&gt;&lt;/foreign-keys&gt;&lt;ref-type name="Journal Article"&gt;17&lt;/ref-type&gt;&lt;contributors&gt;&lt;authors&gt;&lt;author&gt;Knapp, James F. &lt;/author&gt;&lt;/authors&gt;&lt;/contributors&gt;&lt;titles&gt;&lt;title&gt;Primitivism and the Modern&lt;/title&gt;&lt;secondary-title&gt;Boundary 2&lt;/secondary-title&gt;&lt;/titles&gt;&lt;periodical&gt;&lt;full-title&gt;Boundary 2&lt;/full-title&gt;&lt;/periodical&gt;&lt;pages&gt;365-79&lt;/pages&gt;&lt;volume&gt;15&lt;/volume&gt;&lt;number&gt;1-2&lt;/number&gt;&lt;dates&gt;&lt;year&gt;1986&lt;/year&gt;&lt;/dates&gt;&lt;urls&gt;&lt;/urls&gt;&lt;/record&gt;&lt;/Cite&gt;&lt;/EndNote&gt;</w:instrText>
      </w:r>
      <w:r>
        <w:fldChar w:fldCharType="separate"/>
      </w:r>
      <w:r>
        <w:rPr>
          <w:noProof/>
        </w:rPr>
        <w:t>(McEvilley 1984; Knapp 1986)</w:t>
      </w:r>
      <w:r>
        <w:fldChar w:fldCharType="end"/>
      </w:r>
      <w:r>
        <w:t xml:space="preserve">. Some nuance is evident even in such trenchant correctives, for example James Clifford found the art guilty of </w:t>
      </w:r>
      <w:r w:rsidR="00973B3B">
        <w:t>“</w:t>
      </w:r>
      <w:r>
        <w:t>appropriation of tribal productions</w:t>
      </w:r>
      <w:r w:rsidR="00973B3B">
        <w:t>”</w:t>
      </w:r>
      <w:r>
        <w:t xml:space="preserve"> even while it was </w:t>
      </w:r>
      <w:r w:rsidR="00973B3B">
        <w:t>“</w:t>
      </w:r>
      <w:r>
        <w:t>not simply imperialist</w:t>
      </w:r>
      <w:r w:rsidR="00973B3B">
        <w:t>”</w:t>
      </w:r>
      <w:r>
        <w:t xml:space="preserve"> as it provided </w:t>
      </w:r>
      <w:r w:rsidR="00973B3B">
        <w:t>“</w:t>
      </w:r>
      <w:r>
        <w:t>strong critiques of colonialist, evolutionist assumptions</w:t>
      </w:r>
      <w:r w:rsidR="00973B3B">
        <w:t>”</w:t>
      </w:r>
      <w:r>
        <w:t xml:space="preserve"> </w:t>
      </w:r>
      <w:r>
        <w:fldChar w:fldCharType="begin"/>
      </w:r>
      <w:r>
        <w:instrText xml:space="preserve"> ADDIN EN.CITE &lt;EndNote&gt;&lt;Cite&gt;&lt;Author&gt;Clifford&lt;/Author&gt;&lt;Year&gt;1988&lt;/Year&gt;&lt;RecNum&gt;778&lt;/RecNum&gt;&lt;Pages&gt;197&lt;/Pages&gt;&lt;DisplayText&gt;(Clifford 1988, 197)&lt;/DisplayText&gt;&lt;record&gt;&lt;rec-number&gt;778&lt;/rec-number&gt;&lt;foreign-keys&gt;&lt;key app="EN" db-id="tpdvrsxvi90zzleszf5pxzx3s2ezv2szt9t0" timestamp="1442332556"&gt;778&lt;/key&gt;&lt;/foreign-keys&gt;&lt;ref-type name="Book"&gt;6&lt;/ref-type&gt;&lt;contributors&gt;&lt;authors&gt;&lt;author&gt;James Clifford&lt;/author&gt;&lt;/authors&gt;&lt;/contributors&gt;&lt;titles&gt;&lt;title&gt;The Predicament of Culture: Twentieth-Century Ethnography, Literature, and Art&lt;/title&gt;&lt;/titles&gt;&lt;dates&gt;&lt;year&gt;1988&lt;/year&gt;&lt;/dates&gt;&lt;pub-location&gt;Cambridge, Mass.&lt;/pub-location&gt;&lt;publisher&gt;Harvard University Press&lt;/publisher&gt;&lt;urls&gt;&lt;/urls&gt;&lt;/record&gt;&lt;/Cite&gt;&lt;/EndNote&gt;</w:instrText>
      </w:r>
      <w:r>
        <w:fldChar w:fldCharType="separate"/>
      </w:r>
      <w:r>
        <w:rPr>
          <w:noProof/>
        </w:rPr>
        <w:t>(Clifford 1988, 197)</w:t>
      </w:r>
      <w:r>
        <w:fldChar w:fldCharType="end"/>
      </w:r>
      <w:r>
        <w:t xml:space="preserve">. Later writers have likewise looked to develop a nuanced account that goes beyond denunciation to understand the complex and contradictory implications of the primitivist impulses of modernism </w:t>
      </w:r>
      <w:r>
        <w:fldChar w:fldCharType="begin"/>
      </w:r>
      <w:r>
        <w:instrText xml:space="preserve"> ADDIN EN.CITE &lt;EndNote&gt;&lt;Cite&gt;&lt;Author&gt;Connelly&lt;/Author&gt;&lt;Year&gt;1995&lt;/Year&gt;&lt;RecNum&gt;781&lt;/RecNum&gt;&lt;DisplayText&gt;(Connelly 1995; Errington 1998)&lt;/DisplayText&gt;&lt;record&gt;&lt;rec-number&gt;781&lt;/rec-number&gt;&lt;foreign-keys&gt;&lt;key app="EN" db-id="tpdvrsxvi90zzleszf5pxzx3s2ezv2szt9t0" timestamp="1442333899"&gt;781&lt;/key&gt;&lt;/foreign-keys&gt;&lt;ref-type name="Book"&gt;6&lt;/ref-type&gt;&lt;contributors&gt;&lt;authors&gt;&lt;author&gt;Frances S. Connelly&lt;/author&gt;&lt;/authors&gt;&lt;/contributors&gt;&lt;titles&gt;&lt;title&gt;The sleep of reason: primitivism in modern European art and aesthetics&lt;/title&gt;&lt;/titles&gt;&lt;dates&gt;&lt;year&gt;1995&lt;/year&gt;&lt;/dates&gt;&lt;pub-location&gt;University Park, PA&lt;/pub-location&gt;&lt;publisher&gt;Pennsylvania State University Press&lt;/publisher&gt;&lt;urls&gt;&lt;/urls&gt;&lt;/record&gt;&lt;/Cite&gt;&lt;Cite&gt;&lt;Author&gt;Errington&lt;/Author&gt;&lt;Year&gt;1998&lt;/Year&gt;&lt;RecNum&gt;785&lt;/RecNum&gt;&lt;record&gt;&lt;rec-number&gt;785&lt;/rec-number&gt;&lt;foreign-keys&gt;&lt;key app="EN" db-id="tpdvrsxvi90zzleszf5pxzx3s2ezv2szt9t0" timestamp="1442443233"&gt;785&lt;/key&gt;&lt;/foreign-keys&gt;&lt;ref-type name="Book"&gt;6&lt;/ref-type&gt;&lt;contributors&gt;&lt;authors&gt;&lt;author&gt;Shelly Errington&lt;/author&gt;&lt;/authors&gt;&lt;/contributors&gt;&lt;titles&gt;&lt;title&gt;The Death of Authentic Primitive Art and Other Tales of Progress&lt;/title&gt;&lt;/titles&gt;&lt;dates&gt;&lt;year&gt;1998&lt;/year&gt;&lt;/dates&gt;&lt;pub-location&gt;Berkeley&lt;/pub-location&gt;&lt;publisher&gt;University of California Press&lt;/publisher&gt;&lt;urls&gt;&lt;/urls&gt;&lt;/record&gt;&lt;/Cite&gt;&lt;/EndNote&gt;</w:instrText>
      </w:r>
      <w:r>
        <w:fldChar w:fldCharType="separate"/>
      </w:r>
      <w:r>
        <w:rPr>
          <w:noProof/>
        </w:rPr>
        <w:t>(Connelly 1995; Errington 1998)</w:t>
      </w:r>
      <w:r>
        <w:fldChar w:fldCharType="end"/>
      </w:r>
      <w:r>
        <w:t xml:space="preserve">.  </w:t>
      </w:r>
    </w:p>
    <w:p w14:paraId="67FDAF8D" w14:textId="0E44110A" w:rsidR="003122B7" w:rsidRDefault="002F4481" w:rsidP="003122B7">
      <w:pPr>
        <w:pStyle w:val="Follow-onparagraphstyle"/>
      </w:pPr>
      <w:r>
        <w:t xml:space="preserve"> </w:t>
      </w:r>
      <w:proofErr w:type="gramStart"/>
      <w:r>
        <w:t>In light of</w:t>
      </w:r>
      <w:proofErr w:type="gramEnd"/>
      <w:r>
        <w:t xml:space="preserve"> these accounts of the primitivist modernist art that in turn influenced the films discussed here, </w:t>
      </w:r>
      <w:r>
        <w:rPr>
          <w:i/>
          <w:iCs/>
        </w:rPr>
        <w:t>Full Circle</w:t>
      </w:r>
      <w:r>
        <w:t xml:space="preserve"> is problematic in that it follows the earlier avant-garde art in appropriating aesthetic elements with little sense of context or specificity.</w:t>
      </w:r>
      <w:r w:rsidR="005C40CC">
        <w:t xml:space="preserve"> Just as oil was removed from its geographical context and transformed for the purposes of distant corporations and governments, so aesthetic practices were separated from their culturally specific contexts and put to new use.</w:t>
      </w:r>
      <w:r>
        <w:t xml:space="preserve"> </w:t>
      </w:r>
      <w:r w:rsidR="00207161">
        <w:t>The Cubis</w:t>
      </w:r>
      <w:r w:rsidR="00725337">
        <w:t>m</w:t>
      </w:r>
      <w:r w:rsidR="00207161">
        <w:t xml:space="preserve"> director Sachs so admired is used </w:t>
      </w:r>
      <w:r w:rsidR="003122B7">
        <w:t>in the film</w:t>
      </w:r>
      <w:r w:rsidR="00207161">
        <w:t xml:space="preserve"> to depict the “barren” land the film starts with, easily read as a desert</w:t>
      </w:r>
      <w:r w:rsidR="008F5D99">
        <w:t>, primitivist art used to depict a “primitive” place</w:t>
      </w:r>
      <w:r w:rsidR="00207161">
        <w:t>. The irregular angled rocks and land formations of the desert setting, combined with complex shading</w:t>
      </w:r>
      <w:r w:rsidR="0011634B">
        <w:t>,</w:t>
      </w:r>
      <w:r w:rsidR="00207161">
        <w:t xml:space="preserve"> produc</w:t>
      </w:r>
      <w:r w:rsidR="0011634B">
        <w:t>e</w:t>
      </w:r>
      <w:r w:rsidR="00207161">
        <w:t xml:space="preserve"> an effect comparable to, for example, </w:t>
      </w:r>
      <w:r w:rsidR="00207161" w:rsidRPr="002B0C10">
        <w:t>Pablo Picasso</w:t>
      </w:r>
      <w:r w:rsidR="00207161">
        <w:t>’s</w:t>
      </w:r>
      <w:r w:rsidR="00207161" w:rsidRPr="002B0C10">
        <w:t xml:space="preserve">, </w:t>
      </w:r>
      <w:r w:rsidR="00207161" w:rsidRPr="002B0C10">
        <w:rPr>
          <w:i/>
          <w:iCs/>
        </w:rPr>
        <w:t>Three Women</w:t>
      </w:r>
      <w:r w:rsidR="00207161" w:rsidRPr="002B0C10">
        <w:t xml:space="preserve"> </w:t>
      </w:r>
      <w:r w:rsidR="00207161">
        <w:t>(</w:t>
      </w:r>
      <w:r w:rsidR="00207161" w:rsidRPr="002B0C10">
        <w:t>1907-8</w:t>
      </w:r>
      <w:r w:rsidR="00207161">
        <w:t xml:space="preserve">, </w:t>
      </w:r>
      <w:r w:rsidR="00207161" w:rsidRPr="002B0C10">
        <w:t>The State Hermitage Museum, St. Petersburg)</w:t>
      </w:r>
      <w:r w:rsidR="00E91101">
        <w:t xml:space="preserve"> &lt;FIGURE</w:t>
      </w:r>
      <w:r w:rsidR="00E91101" w:rsidRPr="00E91101">
        <w:t xml:space="preserve"> 11 </w:t>
      </w:r>
      <w:r w:rsidR="00E91101">
        <w:t>“</w:t>
      </w:r>
      <w:r w:rsidR="00E91101" w:rsidRPr="00E91101">
        <w:rPr>
          <w:i/>
          <w:iCs/>
        </w:rPr>
        <w:t>Full Circle</w:t>
      </w:r>
      <w:r w:rsidR="00E91101" w:rsidRPr="00E91101">
        <w:t xml:space="preserve"> Cubist Style</w:t>
      </w:r>
      <w:r w:rsidR="00E91101">
        <w:t>”&gt;</w:t>
      </w:r>
      <w:r w:rsidR="00207161">
        <w:t xml:space="preserve">. In contrast, oil is later shown flowing beneath a lush jungle-like setting depicted in the style of </w:t>
      </w:r>
      <w:r w:rsidR="00207161" w:rsidRPr="002C315D">
        <w:t>Henri Rousseau</w:t>
      </w:r>
      <w:r w:rsidR="00207161">
        <w:t>, whose work offered a distinctive type of primitivism centred on his “naïve” and “untutored” approach to painting</w:t>
      </w:r>
      <w:r w:rsidR="00DB24F8">
        <w:t xml:space="preserve"> &lt;FIGURE</w:t>
      </w:r>
      <w:r w:rsidR="00642120">
        <w:t xml:space="preserve"> </w:t>
      </w:r>
      <w:r w:rsidR="00DB24F8" w:rsidRPr="00DB24F8">
        <w:t xml:space="preserve">12 </w:t>
      </w:r>
      <w:r w:rsidR="00DB24F8">
        <w:t>“</w:t>
      </w:r>
      <w:r w:rsidR="00DB24F8" w:rsidRPr="00DB24F8">
        <w:rPr>
          <w:i/>
          <w:iCs/>
        </w:rPr>
        <w:t>Full Circle</w:t>
      </w:r>
      <w:r w:rsidR="00DB24F8" w:rsidRPr="00DB24F8">
        <w:t xml:space="preserve"> Jungle</w:t>
      </w:r>
      <w:r w:rsidR="00DB24F8">
        <w:t>”&gt;</w:t>
      </w:r>
      <w:r w:rsidR="00207161">
        <w:t>.</w:t>
      </w:r>
      <w:r w:rsidR="00D95AF0">
        <w:t xml:space="preserve"> The various forms of transportation linked by circles</w:t>
      </w:r>
      <w:r w:rsidR="0011634B">
        <w:t>, discussed earlier,</w:t>
      </w:r>
      <w:r w:rsidR="00D95AF0">
        <w:t xml:space="preserve"> evokes Futurist work, such as the painting of </w:t>
      </w:r>
      <w:proofErr w:type="spellStart"/>
      <w:r w:rsidR="00D95AF0" w:rsidRPr="00D95AF0">
        <w:t>Tullio</w:t>
      </w:r>
      <w:proofErr w:type="spellEnd"/>
      <w:r w:rsidR="00D95AF0" w:rsidRPr="00D95AF0">
        <w:t xml:space="preserve"> </w:t>
      </w:r>
      <w:proofErr w:type="spellStart"/>
      <w:r w:rsidR="00D95AF0" w:rsidRPr="00D95AF0">
        <w:t>Crali</w:t>
      </w:r>
      <w:proofErr w:type="spellEnd"/>
      <w:r w:rsidR="00D95AF0">
        <w:t>.</w:t>
      </w:r>
      <w:r w:rsidR="00207161">
        <w:t xml:space="preserve"> </w:t>
      </w:r>
      <w:r w:rsidR="00DD1FA8">
        <w:t xml:space="preserve">At a remove from the original </w:t>
      </w:r>
      <w:r w:rsidR="00F05A13">
        <w:lastRenderedPageBreak/>
        <w:t xml:space="preserve">indigenous </w:t>
      </w:r>
      <w:r w:rsidR="00DD1FA8">
        <w:t xml:space="preserve">sources that influenced modernist artists, </w:t>
      </w:r>
      <w:r w:rsidR="00DD1FA8">
        <w:rPr>
          <w:i/>
          <w:iCs/>
        </w:rPr>
        <w:t>Full Circle</w:t>
      </w:r>
      <w:r w:rsidR="00DD1FA8">
        <w:t xml:space="preserve"> utilises non-specific </w:t>
      </w:r>
      <w:r w:rsidR="005D6131">
        <w:t>modernist</w:t>
      </w:r>
      <w:r w:rsidR="00DD1FA8">
        <w:t xml:space="preserve"> primitivis</w:t>
      </w:r>
      <w:r w:rsidR="00463BD1">
        <w:t>m</w:t>
      </w:r>
      <w:r w:rsidR="00DD1FA8">
        <w:t xml:space="preserve"> that flatten</w:t>
      </w:r>
      <w:r w:rsidR="0080134E">
        <w:t>s</w:t>
      </w:r>
      <w:r w:rsidR="00DD1FA8">
        <w:t xml:space="preserve"> distinctions between different cultures, constructing a homogenous “other</w:t>
      </w:r>
      <w:r w:rsidR="00E332F3">
        <w:t>.</w:t>
      </w:r>
      <w:r w:rsidR="00DD1FA8">
        <w:t xml:space="preserve">” While the source art was most often influenced by African art, here </w:t>
      </w:r>
      <w:r w:rsidR="00463BD1">
        <w:t>it</w:t>
      </w:r>
      <w:r w:rsidR="00DD1FA8">
        <w:t xml:space="preserve"> is used to represent a generic Middle East milieu.</w:t>
      </w:r>
      <w:r w:rsidR="005D6131" w:rsidRPr="005D6131">
        <w:t xml:space="preserve"> </w:t>
      </w:r>
      <w:r w:rsidR="005D6131">
        <w:t xml:space="preserve">A similar tension is seen in other BP/AIOC sponsored films, which not only incorporate similar primitivist modernist aesthetics, but also use them to depict caricatured representations of indigenous peoples in oil-producing regions, seen in </w:t>
      </w:r>
      <w:r w:rsidR="005D6131">
        <w:rPr>
          <w:i/>
          <w:iCs/>
        </w:rPr>
        <w:t>The Power to Fly</w:t>
      </w:r>
      <w:r w:rsidR="005D6131">
        <w:t xml:space="preserve"> or </w:t>
      </w:r>
      <w:r w:rsidR="005D6131">
        <w:rPr>
          <w:i/>
          <w:iCs/>
        </w:rPr>
        <w:t>Down a Long Way</w:t>
      </w:r>
      <w:r w:rsidR="005D6131">
        <w:t>.</w:t>
      </w:r>
    </w:p>
    <w:p w14:paraId="53137298" w14:textId="18095F8D" w:rsidR="002F4481" w:rsidRDefault="00207161" w:rsidP="002F4481">
      <w:pPr>
        <w:pStyle w:val="Follow-onparagraphstyle"/>
      </w:pPr>
      <w:r>
        <w:t xml:space="preserve">Initially planned as specifically about AIOC’s relationship with Iran, the political situation described </w:t>
      </w:r>
      <w:r w:rsidR="005C40CC">
        <w:t>above</w:t>
      </w:r>
      <w:r>
        <w:t xml:space="preserve"> resulted in a shift away from representing a particular country, contributing to the ill-defined sense of place</w:t>
      </w:r>
      <w:r w:rsidR="00F05A13">
        <w:t xml:space="preserve"> and the style used to depict it</w:t>
      </w:r>
      <w:r>
        <w:t xml:space="preserve">. One production note from Robert Tritton to the Larkins studio asked “The women. Can they be exchanged for something less </w:t>
      </w:r>
      <w:r w:rsidR="00E332F3">
        <w:t>‘</w:t>
      </w:r>
      <w:r>
        <w:t>middle eastern.</w:t>
      </w:r>
      <w:r w:rsidR="00E332F3">
        <w:t>’</w:t>
      </w:r>
      <w:r>
        <w:t xml:space="preserve"> Our point here is to remove the film from a purely Arabian or Persian context”</w:t>
      </w:r>
      <w:r w:rsidR="002D4302">
        <w:t xml:space="preserve"> (</w:t>
      </w:r>
      <w:r w:rsidR="002D4302" w:rsidRPr="00811D7A">
        <w:t>BP/183126</w:t>
      </w:r>
      <w:r w:rsidR="002D4302">
        <w:t xml:space="preserve"> Letter to Sumner from Tritton 16 October 1952)</w:t>
      </w:r>
      <w:r w:rsidR="00E332F3">
        <w:t>.</w:t>
      </w:r>
      <w:r>
        <w:t xml:space="preserve"> </w:t>
      </w:r>
      <w:r w:rsidR="00EA33DE">
        <w:t>Yet traces of the geographical and political specificity of AIOC’s ties with Iran remain in the finished film, most notably in the orientalist allusions to “genies” in depicting the power and vitality of oil and the wealth it generates.</w:t>
      </w:r>
      <w:r w:rsidR="00780D91">
        <w:t xml:space="preserve"> While the film wants to persuade the audience of a clean and efficient </w:t>
      </w:r>
      <w:proofErr w:type="spellStart"/>
      <w:r w:rsidR="00780D91">
        <w:t>petromodernity</w:t>
      </w:r>
      <w:proofErr w:type="spellEnd"/>
      <w:r w:rsidR="00780D91">
        <w:t xml:space="preserve"> abstracted from geographical and cultural specificity, it cannot resist the appeal of the luxurious </w:t>
      </w:r>
      <w:r w:rsidR="00E332F3">
        <w:t>“</w:t>
      </w:r>
      <w:r w:rsidR="00780D91" w:rsidRPr="00780D91">
        <w:t>tinsel world</w:t>
      </w:r>
      <w:r w:rsidR="00780D91">
        <w:t>,</w:t>
      </w:r>
      <w:r w:rsidR="00E332F3">
        <w:t>”</w:t>
      </w:r>
      <w:r w:rsidR="00780D91">
        <w:t xml:space="preserve"> nor fully conceal the </w:t>
      </w:r>
      <w:r w:rsidR="00D56A30">
        <w:t>exoticism</w:t>
      </w:r>
      <w:r w:rsidR="00FA20C6">
        <w:t xml:space="preserve"> </w:t>
      </w:r>
      <w:r w:rsidR="00780D91">
        <w:t xml:space="preserve">that underpins it. </w:t>
      </w:r>
      <w:r w:rsidR="003122B7">
        <w:t xml:space="preserve">In responding to the </w:t>
      </w:r>
      <w:proofErr w:type="gramStart"/>
      <w:r w:rsidR="003122B7">
        <w:t>particular circumstances</w:t>
      </w:r>
      <w:proofErr w:type="gramEnd"/>
      <w:r w:rsidR="003122B7">
        <w:t xml:space="preserve"> of the nationalisation of oil in Iran,</w:t>
      </w:r>
      <w:r w:rsidR="00B751F8">
        <w:t xml:space="preserve"> and in an attempt to rethink the power relations inherent in extractive processes,</w:t>
      </w:r>
      <w:r w:rsidR="003122B7">
        <w:t xml:space="preserve"> </w:t>
      </w:r>
      <w:r w:rsidR="003122B7">
        <w:rPr>
          <w:i/>
          <w:iCs/>
        </w:rPr>
        <w:t>Full Circle</w:t>
      </w:r>
      <w:r w:rsidR="003122B7">
        <w:t xml:space="preserve"> </w:t>
      </w:r>
      <w:r w:rsidR="007E268E">
        <w:t>retreated</w:t>
      </w:r>
      <w:r w:rsidR="003122B7">
        <w:t xml:space="preserve"> to universalising principles to forward BP/AIOC’s interests. In doing so </w:t>
      </w:r>
      <w:r w:rsidR="007E036F">
        <w:t>it</w:t>
      </w:r>
      <w:r w:rsidR="003122B7">
        <w:t xml:space="preserve"> bec</w:t>
      </w:r>
      <w:r w:rsidR="007E036F">
        <w:t>a</w:t>
      </w:r>
      <w:r w:rsidR="003122B7">
        <w:t xml:space="preserve">me </w:t>
      </w:r>
      <w:r w:rsidR="007E036F">
        <w:t xml:space="preserve">increasingly </w:t>
      </w:r>
      <w:r>
        <w:t xml:space="preserve">clumsy </w:t>
      </w:r>
      <w:r w:rsidR="007E036F">
        <w:t>and</w:t>
      </w:r>
      <w:r>
        <w:t xml:space="preserve"> incoherent. </w:t>
      </w:r>
      <w:r w:rsidR="007E036F">
        <w:t xml:space="preserve">Despite its aesthetic charms and experimentation, </w:t>
      </w:r>
      <w:r w:rsidR="00C57E5C">
        <w:t>it is</w:t>
      </w:r>
      <w:r w:rsidR="007E036F">
        <w:t xml:space="preserve"> implicated in an inequitable set of power relations inherent in the extractive logic of both the oil industry and primitivist modernism. </w:t>
      </w:r>
      <w:r>
        <w:t xml:space="preserve">Yet its aesthetic and political disorder is a revealing reflection of the historical context from which it arose, and therefore </w:t>
      </w:r>
      <w:proofErr w:type="gramStart"/>
      <w:r>
        <w:t>all the more</w:t>
      </w:r>
      <w:proofErr w:type="gramEnd"/>
      <w:r>
        <w:t xml:space="preserve"> valuable for study. </w:t>
      </w:r>
    </w:p>
    <w:p w14:paraId="395A9DA8" w14:textId="7EE54ED1" w:rsidR="0011634B" w:rsidRPr="0011634B" w:rsidRDefault="0011634B" w:rsidP="0011634B">
      <w:pPr>
        <w:pStyle w:val="Heading1"/>
      </w:pPr>
      <w:r>
        <w:t xml:space="preserve">Surveying </w:t>
      </w:r>
      <w:r w:rsidRPr="00725337">
        <w:rPr>
          <w:i/>
          <w:iCs/>
        </w:rPr>
        <w:t>Full Circle</w:t>
      </w:r>
    </w:p>
    <w:p w14:paraId="115B3D68" w14:textId="5ABC1705" w:rsidR="003649F8" w:rsidRDefault="006320F5" w:rsidP="00910508">
      <w:pPr>
        <w:pStyle w:val="Firstparagraphstyle"/>
      </w:pPr>
      <w:r>
        <w:t xml:space="preserve">After the completion of an initial rough cut of </w:t>
      </w:r>
      <w:r>
        <w:rPr>
          <w:i/>
          <w:iCs/>
        </w:rPr>
        <w:t xml:space="preserve">Full </w:t>
      </w:r>
      <w:proofErr w:type="gramStart"/>
      <w:r w:rsidR="008B26E0">
        <w:rPr>
          <w:i/>
          <w:iCs/>
        </w:rPr>
        <w:t>Circle</w:t>
      </w:r>
      <w:r w:rsidR="008B26E0">
        <w:t>, and</w:t>
      </w:r>
      <w:proofErr w:type="gramEnd"/>
      <w:r>
        <w:t xml:space="preserve"> reflecting the highly unusual circumstances in which it had been produced, AIOC conducted an unprecedented survey of employees, senior management, and government officials who were shown the film and asked to give their opinion on it.</w:t>
      </w:r>
      <w:r w:rsidR="00CE4DCC">
        <w:t xml:space="preserve"> An initial screening of the film for Sir William Fraser (Chairman), Neville </w:t>
      </w:r>
      <w:proofErr w:type="spellStart"/>
      <w:r w:rsidR="00CE4DCC">
        <w:t>Gass</w:t>
      </w:r>
      <w:proofErr w:type="spellEnd"/>
      <w:r w:rsidR="00CE4DCC">
        <w:t xml:space="preserve"> (Managing Director), and Basil Jackson (Deputy Chairman) indicated a mixed response, perhaps influenced by the “advanced idiom” of the modernist style as well as the mixed political message (BP/183126 Letter to </w:t>
      </w:r>
      <w:proofErr w:type="spellStart"/>
      <w:r w:rsidR="00CE4DCC">
        <w:t>Chisholme</w:t>
      </w:r>
      <w:proofErr w:type="spellEnd"/>
      <w:r w:rsidR="00CE4DCC">
        <w:t xml:space="preserve"> from Tritton 8 May 1953). At their </w:t>
      </w:r>
      <w:r w:rsidR="00CE4DCC">
        <w:lastRenderedPageBreak/>
        <w:t>suggestion, Tritton issued invitations to a test screening on Monday 11</w:t>
      </w:r>
      <w:r w:rsidR="00CE4DCC" w:rsidRPr="000E578B">
        <w:rPr>
          <w:vertAlign w:val="superscript"/>
        </w:rPr>
        <w:t>th</w:t>
      </w:r>
      <w:r w:rsidR="00CE4DCC">
        <w:t xml:space="preserve"> May 1953 to a wide audience whose responses reflected the diversity and unsettled viewpoints </w:t>
      </w:r>
      <w:r w:rsidR="007978F3">
        <w:t>about the company’s future and how to respond to the ongoing situation in Iran</w:t>
      </w:r>
      <w:r w:rsidR="00CE4DCC">
        <w:t xml:space="preserve">. </w:t>
      </w:r>
      <w:r w:rsidR="00D52E1B">
        <w:t xml:space="preserve"> </w:t>
      </w:r>
      <w:r w:rsidR="00CD61CD">
        <w:t xml:space="preserve">Such a </w:t>
      </w:r>
      <w:r w:rsidR="00B7496A">
        <w:t>commitment of time and resources</w:t>
      </w:r>
      <w:r w:rsidR="004550AB">
        <w:t xml:space="preserve">, and involvement of the most </w:t>
      </w:r>
      <w:r w:rsidR="00C9218F">
        <w:t>high-ranking personnel</w:t>
      </w:r>
      <w:r w:rsidR="0052631B">
        <w:t>,</w:t>
      </w:r>
      <w:r w:rsidR="00B7496A">
        <w:t xml:space="preserve"> indicates the </w:t>
      </w:r>
      <w:r w:rsidR="004550AB">
        <w:t>importance given to film production within the company</w:t>
      </w:r>
      <w:r w:rsidR="0052631B">
        <w:t xml:space="preserve"> in this period</w:t>
      </w:r>
      <w:r w:rsidR="00CC6DA5">
        <w:t>.</w:t>
      </w:r>
      <w:r w:rsidR="00EF3DBE">
        <w:t xml:space="preserve"> T</w:t>
      </w:r>
      <w:r w:rsidR="00CD61CD">
        <w:t>he screening and survey</w:t>
      </w:r>
      <w:r w:rsidR="00FC1B01">
        <w:t xml:space="preserve"> went beyond </w:t>
      </w:r>
      <w:r w:rsidR="00933A79">
        <w:t>verifying corporate communications, but also</w:t>
      </w:r>
      <w:r w:rsidR="00CD61CD">
        <w:t xml:space="preserve"> </w:t>
      </w:r>
      <w:r w:rsidR="007542C9">
        <w:t xml:space="preserve">provoked self-reflection </w:t>
      </w:r>
      <w:r w:rsidR="00FC1B01">
        <w:t>o</w:t>
      </w:r>
      <w:r w:rsidR="007542C9">
        <w:t>n company policy and strategy</w:t>
      </w:r>
      <w:r w:rsidR="00933A79">
        <w:t xml:space="preserve">. This animated </w:t>
      </w:r>
      <w:r w:rsidR="005343F7">
        <w:t xml:space="preserve">film became a </w:t>
      </w:r>
      <w:r w:rsidR="009E3002">
        <w:t>factor in</w:t>
      </w:r>
      <w:r w:rsidR="005343F7">
        <w:t xml:space="preserve"> </w:t>
      </w:r>
      <w:r w:rsidR="009E3002">
        <w:t xml:space="preserve">high-level </w:t>
      </w:r>
      <w:r w:rsidR="005343F7">
        <w:t>dec</w:t>
      </w:r>
      <w:r w:rsidR="00A006C9">
        <w:t>ision making</w:t>
      </w:r>
      <w:r w:rsidR="008B60BE">
        <w:t>. The survey responses also</w:t>
      </w:r>
      <w:r w:rsidR="000017C7">
        <w:t xml:space="preserve"> reveal</w:t>
      </w:r>
      <w:r w:rsidR="008B60BE">
        <w:t>ed</w:t>
      </w:r>
      <w:r w:rsidR="003649F8">
        <w:t xml:space="preserve"> differing understandings of the purpose of the company’s filmmaking endeavours, which align with the intersecting fields of this article: animated documentary, useful animation, and </w:t>
      </w:r>
      <w:proofErr w:type="spellStart"/>
      <w:r w:rsidR="003649F8">
        <w:t>petroculture</w:t>
      </w:r>
      <w:proofErr w:type="spellEnd"/>
      <w:r w:rsidR="003649F8">
        <w:t>.</w:t>
      </w:r>
      <w:r w:rsidR="00AB0594">
        <w:rPr>
          <w:rStyle w:val="FootnoteReference"/>
        </w:rPr>
        <w:footnoteReference w:id="10"/>
      </w:r>
      <w:r w:rsidR="007A57DF">
        <w:t xml:space="preserve">  </w:t>
      </w:r>
    </w:p>
    <w:p w14:paraId="25F929FF" w14:textId="4B7D4CF3" w:rsidR="003649F8" w:rsidRDefault="006320F5" w:rsidP="006320F5">
      <w:pPr>
        <w:pStyle w:val="Follow-onparagraphstyle"/>
      </w:pPr>
      <w:r>
        <w:t>The Training Division focused on the disparity between the relatively factual diagrams (</w:t>
      </w:r>
      <w:r w:rsidR="00973B3B">
        <w:t>“</w:t>
      </w:r>
      <w:r>
        <w:t>suitable for a more technical and more intelligent audience</w:t>
      </w:r>
      <w:r w:rsidR="00973B3B">
        <w:t>”</w:t>
      </w:r>
      <w:r>
        <w:t>) contrasted with the genie sequences (</w:t>
      </w:r>
      <w:r w:rsidR="00973B3B">
        <w:t>“</w:t>
      </w:r>
      <w:r>
        <w:t>more suitable for a simple audience of low I.Q.</w:t>
      </w:r>
      <w:r w:rsidR="00973B3B">
        <w:t>”</w:t>
      </w:r>
      <w:r>
        <w:t>)</w:t>
      </w:r>
      <w:r w:rsidR="00F83D4E">
        <w:t xml:space="preserve"> (BP/183126 Letter to Tritton from Training Division 12 May 1953)</w:t>
      </w:r>
      <w:r>
        <w:t xml:space="preserve">. </w:t>
      </w:r>
      <w:r w:rsidR="0080134E">
        <w:t>Similarly,</w:t>
      </w:r>
      <w:r>
        <w:t xml:space="preserve"> the Geological Department offered a critique of the sensational representation of oil that they saw as more akin to lava and therefore lacking factual accuracy</w:t>
      </w:r>
      <w:r w:rsidR="00F83D4E">
        <w:t xml:space="preserve"> (BP/183126 Letter to Tritton from Pedder 12 May 1953)</w:t>
      </w:r>
      <w:r>
        <w:t xml:space="preserve">. </w:t>
      </w:r>
      <w:r w:rsidR="003649F8">
        <w:t xml:space="preserve">These </w:t>
      </w:r>
      <w:r w:rsidR="00EF0DA2">
        <w:t>departmental</w:t>
      </w:r>
      <w:r w:rsidR="003649F8">
        <w:t xml:space="preserve"> experts judged the film as a form of animated documentary, assessing its scientific veracity and pedagogical value.</w:t>
      </w:r>
    </w:p>
    <w:p w14:paraId="69A58FC5" w14:textId="7CC81726" w:rsidR="003649F8" w:rsidRDefault="006320F5" w:rsidP="006320F5">
      <w:pPr>
        <w:pStyle w:val="Follow-onparagraphstyle"/>
      </w:pPr>
      <w:r>
        <w:t xml:space="preserve">Senior figures offered a more politically informed but no less mixed viewpoint. Norman Seddon had contributed to the original ideas for the film in early 1951 when he was AIOC’s Chief Representative in Tehran, and was one of the AIOC employees subsequently evacuated, becoming General Manager in the Distribution Department in London </w:t>
      </w:r>
      <w:r>
        <w:fldChar w:fldCharType="begin"/>
      </w:r>
      <w:r>
        <w:instrText xml:space="preserve"> ADDIN EN.CITE &lt;EndNote&gt;&lt;Cite&gt;&lt;Author&gt;Bamberg&lt;/Author&gt;&lt;Year&gt;1994&lt;/Year&gt;&lt;RecNum&gt;1494&lt;/RecNum&gt;&lt;Pages&gt;607&lt;/Pages&gt;&lt;DisplayText&gt;(Bamberg 1994, 607)&lt;/DisplayText&gt;&lt;record&gt;&lt;rec-number&gt;1494&lt;/rec-number&gt;&lt;foreign-keys&gt;&lt;key app="EN" db-id="tpdvrsxvi90zzleszf5pxzx3s2ezv2szt9t0" timestamp="1663922195"&gt;1494&lt;/key&gt;&lt;/foreign-keys&gt;&lt;ref-type name="Book"&gt;6&lt;/ref-type&gt;&lt;contributors&gt;&lt;authors&gt;&lt;author&gt;Bamberg, James&lt;/author&gt;&lt;/authors&gt;&lt;/contributors&gt;&lt;titles&gt;&lt;title&gt;The History of the British Petroleum Company: Volume 2 The Anglo-Iranian Years, 1928-1954&lt;/title&gt;&lt;/titles&gt;&lt;dates&gt;&lt;year&gt;1994&lt;/year&gt;&lt;/dates&gt;&lt;pub-location&gt;Cambridge&lt;/pub-location&gt;&lt;publisher&gt;Cambridge University Press&lt;/publisher&gt;&lt;urls&gt;&lt;/urls&gt;&lt;/record&gt;&lt;/Cite&gt;&lt;/EndNote&gt;</w:instrText>
      </w:r>
      <w:r>
        <w:fldChar w:fldCharType="separate"/>
      </w:r>
      <w:r>
        <w:rPr>
          <w:noProof/>
        </w:rPr>
        <w:t>(Bamberg 1994, 607)</w:t>
      </w:r>
      <w:r>
        <w:fldChar w:fldCharType="end"/>
      </w:r>
      <w:r>
        <w:t xml:space="preserve">. He praised the film as </w:t>
      </w:r>
      <w:r w:rsidR="00973B3B">
        <w:t>“</w:t>
      </w:r>
      <w:r>
        <w:t>first class – striking, original</w:t>
      </w:r>
      <w:r w:rsidR="00973B3B">
        <w:t>”</w:t>
      </w:r>
      <w:r>
        <w:t xml:space="preserve"> however felt the audience and message of the film was incoherent, neither appealing </w:t>
      </w:r>
      <w:proofErr w:type="gramStart"/>
      <w:r>
        <w:t>and</w:t>
      </w:r>
      <w:proofErr w:type="gramEnd"/>
      <w:r>
        <w:t xml:space="preserve"> persuasive enough to be effective to change the views of an Iranian </w:t>
      </w:r>
      <w:r w:rsidR="008B637C">
        <w:t>audience yet</w:t>
      </w:r>
      <w:r>
        <w:t xml:space="preserve"> lacking sufficient explanation to be of educational value to Western audiences</w:t>
      </w:r>
      <w:r w:rsidR="00F83D4E">
        <w:t xml:space="preserve"> (BP/183126 Letter to Tritton from Seddon 12 May 1953)</w:t>
      </w:r>
      <w:r>
        <w:t xml:space="preserve">. James Addison, a lawyer who had participated in negotiations between AIOC and the Iranian government, likewise found the film ambiguous: </w:t>
      </w:r>
      <w:r w:rsidR="00973B3B">
        <w:t>“</w:t>
      </w:r>
      <w:r>
        <w:t xml:space="preserve">was the film meant to indicate that these things – </w:t>
      </w:r>
      <w:proofErr w:type="gramStart"/>
      <w:r>
        <w:t>i.e.</w:t>
      </w:r>
      <w:proofErr w:type="gramEnd"/>
      <w:r>
        <w:t xml:space="preserve"> the bridges, dams etc. – ought to happen, do happen, will happen or might happen if someone did something differently? Who is the someone who influences whether they do or </w:t>
      </w:r>
      <w:r>
        <w:lastRenderedPageBreak/>
        <w:t>don’t or will or won’t happen?</w:t>
      </w:r>
      <w:r w:rsidR="00973B3B">
        <w:t>”</w:t>
      </w:r>
      <w:r w:rsidR="00F83D4E">
        <w:t xml:space="preserve"> (BP/183126 Letter to Tritton from Addison 12 May 1953)</w:t>
      </w:r>
      <w:r>
        <w:t>.</w:t>
      </w:r>
      <w:r w:rsidR="003649F8">
        <w:t xml:space="preserve"> Company executives judged the film as a form of useful animation, </w:t>
      </w:r>
      <w:r w:rsidR="006772A4">
        <w:t xml:space="preserve">evaluating it in terms of its operational value and persuasion of varied audiences. </w:t>
      </w:r>
    </w:p>
    <w:p w14:paraId="006D76BB" w14:textId="3AA36736" w:rsidR="006320F5" w:rsidRDefault="006320F5" w:rsidP="006320F5">
      <w:pPr>
        <w:pStyle w:val="Follow-onparagraphstyle"/>
      </w:pPr>
      <w:r>
        <w:t xml:space="preserve"> </w:t>
      </w:r>
      <w:r w:rsidR="00C56B18">
        <w:t>Government figures were also consulted and evaluated the film and the values it put forward</w:t>
      </w:r>
      <w:r w:rsidR="006772A4">
        <w:t>, indicating the extent to which the company remained beholden to the state, both as majority shareholder and major customer</w:t>
      </w:r>
      <w:r w:rsidR="00C56B18">
        <w:t xml:space="preserve">. </w:t>
      </w:r>
      <w:r>
        <w:t xml:space="preserve">Sir Robert Fraser was </w:t>
      </w:r>
      <w:r w:rsidRPr="008C1260">
        <w:t>director general of the Central Office of Information</w:t>
      </w:r>
      <w:r>
        <w:t xml:space="preserve"> and soon to play a key role in the development of commercial television in Britain, and therefore the vast expansion of the use of </w:t>
      </w:r>
      <w:r w:rsidR="00BE26E9">
        <w:t xml:space="preserve">the </w:t>
      </w:r>
      <w:r>
        <w:t xml:space="preserve">moving image for advertising and PR purposes. Fraser offered a largely flattering account of the </w:t>
      </w:r>
      <w:r w:rsidR="00872235">
        <w:t>film but</w:t>
      </w:r>
      <w:r>
        <w:t xml:space="preserve"> implied </w:t>
      </w:r>
      <w:r w:rsidR="00872235">
        <w:t>it</w:t>
      </w:r>
      <w:r>
        <w:t xml:space="preserve"> would not be well received by those Iranian audiences who were </w:t>
      </w:r>
      <w:r w:rsidR="00973B3B">
        <w:t>“</w:t>
      </w:r>
      <w:r>
        <w:t>incorrigibly inflamed against the West on economic grounds</w:t>
      </w:r>
      <w:r w:rsidR="00BE26E9">
        <w:t>,</w:t>
      </w:r>
      <w:r w:rsidR="00973B3B">
        <w:t>”</w:t>
      </w:r>
      <w:r>
        <w:t xml:space="preserve"> despite the film being, in his view, </w:t>
      </w:r>
      <w:r w:rsidR="00973B3B">
        <w:t>“</w:t>
      </w:r>
      <w:r>
        <w:t>perfectly accurate representations of the low and primitive standard of life in the oil territories</w:t>
      </w:r>
      <w:r w:rsidR="00973B3B">
        <w:t>”</w:t>
      </w:r>
      <w:r w:rsidR="000C0E74">
        <w:t xml:space="preserve"> (BP/183126 Letter to Tritton from Fraser 9 June 1953)</w:t>
      </w:r>
      <w:r>
        <w:t xml:space="preserve">. </w:t>
      </w:r>
      <w:r w:rsidR="006772A4">
        <w:t xml:space="preserve">Political representatives </w:t>
      </w:r>
      <w:r w:rsidR="00B352A1">
        <w:t xml:space="preserve">understood the film as a form of </w:t>
      </w:r>
      <w:proofErr w:type="spellStart"/>
      <w:r w:rsidR="00B352A1">
        <w:t>petroculture</w:t>
      </w:r>
      <w:proofErr w:type="spellEnd"/>
      <w:r w:rsidR="00B352A1">
        <w:t xml:space="preserve">, gauging its </w:t>
      </w:r>
      <w:r w:rsidR="00FE1FFD">
        <w:t xml:space="preserve">potential </w:t>
      </w:r>
      <w:r w:rsidR="00B352A1">
        <w:t xml:space="preserve">role in international relations and energy security. </w:t>
      </w:r>
    </w:p>
    <w:p w14:paraId="7335E2E2" w14:textId="05076B20" w:rsidR="00532FCF" w:rsidRDefault="006320F5" w:rsidP="007B7155">
      <w:pPr>
        <w:pStyle w:val="Follow-onparagraphstyle"/>
      </w:pPr>
      <w:r>
        <w:t xml:space="preserve">The full range of responses recorded in the BP Archive suggest that </w:t>
      </w:r>
      <w:r>
        <w:rPr>
          <w:i/>
          <w:iCs/>
        </w:rPr>
        <w:t>Full Circle</w:t>
      </w:r>
      <w:r>
        <w:t xml:space="preserve"> was a </w:t>
      </w:r>
      <w:r w:rsidR="00C9480D">
        <w:t>representative record</w:t>
      </w:r>
      <w:r>
        <w:t xml:space="preserve"> of AIOC</w:t>
      </w:r>
      <w:r w:rsidR="00C63692">
        <w:t>’s</w:t>
      </w:r>
      <w:r>
        <w:t xml:space="preserve"> and the Government’s position on their relationship with Iran as of May 1953, which is to say highly uncertain and disjointed. The film recognised the necessity of concessions and greater reciprocity than had previously been allowed, but likewise was highly speculative about what the future relationship with Iran (or other oil-rich countries) might look like, and wary of the potential power that might be unleashed in the process.</w:t>
      </w:r>
      <w:r w:rsidR="00A97A9E">
        <w:t xml:space="preserve"> These internal debates were also captured in the aesthetics of the finished film, which </w:t>
      </w:r>
      <w:r w:rsidR="00924B59">
        <w:t>contrasted</w:t>
      </w:r>
      <w:r w:rsidR="00A97A9E">
        <w:t xml:space="preserve"> experimental animation techniques to produce affective responses to the promise of oil and the wealth it could bring, in </w:t>
      </w:r>
      <w:r w:rsidR="00924B59">
        <w:t>opposition</w:t>
      </w:r>
      <w:r w:rsidR="00A97A9E">
        <w:t xml:space="preserve"> to the ordered diagrammatic representation of the scientific management of oil extraction.</w:t>
      </w:r>
      <w:r w:rsidR="00924B59">
        <w:t xml:space="preserve"> The film is couched in universal </w:t>
      </w:r>
      <w:r w:rsidR="008B637C">
        <w:t>terms but</w:t>
      </w:r>
      <w:r w:rsidR="00924B59">
        <w:t xml:space="preserve"> retains buried traces of this historical moment.</w:t>
      </w:r>
    </w:p>
    <w:p w14:paraId="26D4B14D" w14:textId="144423C3" w:rsidR="006D535A" w:rsidRPr="00EC1283" w:rsidRDefault="00EC1283" w:rsidP="00EC1283">
      <w:pPr>
        <w:pStyle w:val="Heading1"/>
      </w:pPr>
      <w:r>
        <w:t xml:space="preserve">Conclusion  </w:t>
      </w:r>
    </w:p>
    <w:p w14:paraId="22A2B2BA" w14:textId="29BB44EE" w:rsidR="00573219" w:rsidRDefault="008A770F" w:rsidP="00C173C6">
      <w:pPr>
        <w:pStyle w:val="Firstparagraphstyle"/>
      </w:pPr>
      <w:bookmarkStart w:id="0" w:name="_Hlk131095008"/>
      <w:r>
        <w:t>The BP/AIOC animated films addressed here</w:t>
      </w:r>
      <w:r w:rsidR="00AD165F">
        <w:t xml:space="preserve"> use</w:t>
      </w:r>
      <w:r>
        <w:t>d</w:t>
      </w:r>
      <w:r w:rsidR="00AD165F">
        <w:t xml:space="preserve"> animation to visualise the past and future of oil extraction. </w:t>
      </w:r>
      <w:bookmarkStart w:id="1" w:name="_Hlk160194715"/>
      <w:r w:rsidR="00AD165F">
        <w:t xml:space="preserve">Studying the entwinned history of the animation and oil industries can likewise help us to understand the </w:t>
      </w:r>
      <w:r w:rsidR="002E22EF">
        <w:t>role of media in</w:t>
      </w:r>
      <w:r w:rsidR="00AD165F">
        <w:t xml:space="preserve"> our dependence on fossil fuels and the </w:t>
      </w:r>
      <w:r w:rsidR="00C77429">
        <w:t xml:space="preserve">futures </w:t>
      </w:r>
      <w:r w:rsidR="002618DA">
        <w:t>this</w:t>
      </w:r>
      <w:r w:rsidR="00C77429">
        <w:t xml:space="preserve"> may result in</w:t>
      </w:r>
      <w:r w:rsidR="00AD165F">
        <w:t>.</w:t>
      </w:r>
      <w:bookmarkEnd w:id="0"/>
      <w:r w:rsidR="00AD165F">
        <w:t xml:space="preserve"> </w:t>
      </w:r>
      <w:bookmarkEnd w:id="1"/>
      <w:r w:rsidR="00AD165F">
        <w:t xml:space="preserve">Exploring that history is itself </w:t>
      </w:r>
      <w:r w:rsidR="0061541F">
        <w:t xml:space="preserve">a process of </w:t>
      </w:r>
      <w:r w:rsidR="005E2BBA">
        <w:t xml:space="preserve">scholarly </w:t>
      </w:r>
      <w:r w:rsidR="0061541F">
        <w:t>extraction</w:t>
      </w:r>
      <w:r w:rsidR="00AD165F">
        <w:t>, digging deep into archives to locate rich seams of untapped resources.</w:t>
      </w:r>
      <w:r w:rsidR="00D65AAC">
        <w:t xml:space="preserve"> </w:t>
      </w:r>
      <w:r w:rsidR="00FC193E">
        <w:t xml:space="preserve">Imre </w:t>
      </w:r>
      <w:proofErr w:type="spellStart"/>
      <w:r w:rsidR="00FC193E">
        <w:t>Szeman</w:t>
      </w:r>
      <w:proofErr w:type="spellEnd"/>
      <w:r w:rsidR="00FC193E">
        <w:t xml:space="preserve"> and Jennifer Wenzel</w:t>
      </w:r>
      <w:r w:rsidR="00B53F94">
        <w:t xml:space="preserve"> </w:t>
      </w:r>
      <w:r w:rsidR="000E01F0">
        <w:t xml:space="preserve">rightly </w:t>
      </w:r>
      <w:r w:rsidR="00B53F94">
        <w:t>warn of the</w:t>
      </w:r>
      <w:r w:rsidR="00B53F94" w:rsidRPr="00B53F94">
        <w:t xml:space="preserve"> </w:t>
      </w:r>
      <w:r w:rsidR="00B53F94">
        <w:t xml:space="preserve">danger of “conceptual creep” </w:t>
      </w:r>
      <w:r w:rsidR="00FC193E">
        <w:t xml:space="preserve">in the metaphorical usage of </w:t>
      </w:r>
      <w:proofErr w:type="spellStart"/>
      <w:r w:rsidR="00FC193E">
        <w:t>extractivist</w:t>
      </w:r>
      <w:proofErr w:type="spellEnd"/>
      <w:r w:rsidR="00FC193E">
        <w:t xml:space="preserve"> language</w:t>
      </w:r>
      <w:r w:rsidR="00B53F94">
        <w:t>, which</w:t>
      </w:r>
      <w:r w:rsidR="002E22EF">
        <w:t xml:space="preserve"> </w:t>
      </w:r>
      <w:r w:rsidR="00B53F94">
        <w:t>may</w:t>
      </w:r>
      <w:r w:rsidR="002E22EF">
        <w:t xml:space="preserve"> weaken the value of attending to this </w:t>
      </w:r>
      <w:r w:rsidR="005E2BBA">
        <w:t>topic</w:t>
      </w:r>
      <w:r w:rsidR="002618DA">
        <w:t xml:space="preserve"> or make </w:t>
      </w:r>
      <w:r w:rsidR="002618DA">
        <w:lastRenderedPageBreak/>
        <w:t>overcharged claims for the importance and effect of humanities research</w:t>
      </w:r>
      <w:r w:rsidR="005E2BBA">
        <w:t xml:space="preserve"> </w:t>
      </w:r>
      <w:r w:rsidR="005E2BBA">
        <w:fldChar w:fldCharType="begin"/>
      </w:r>
      <w:r w:rsidR="002618DA">
        <w:instrText xml:space="preserve"> ADDIN EN.CITE &lt;EndNote&gt;&lt;Cite&gt;&lt;Author&gt;Szeman&lt;/Author&gt;&lt;Year&gt;2021&lt;/Year&gt;&lt;RecNum&gt;1526&lt;/RecNum&gt;&lt;Pages&gt;511&lt;/Pages&gt;&lt;DisplayText&gt;(Szeman and Wenzel 2021, 511)&lt;/DisplayText&gt;&lt;record&gt;&lt;rec-number&gt;1526&lt;/rec-number&gt;&lt;foreign-keys&gt;&lt;key app="EN" db-id="tpdvrsxvi90zzleszf5pxzx3s2ezv2szt9t0" timestamp="1679324493"&gt;1526&lt;/key&gt;&lt;/foreign-keys&gt;&lt;ref-type name="Journal Article"&gt;17&lt;/ref-type&gt;&lt;contributors&gt;&lt;authors&gt;&lt;author&gt;Szeman, Imre&lt;/author&gt;&lt;author&gt;Wenzel, Jennifer&lt;/author&gt;&lt;/authors&gt;&lt;/contributors&gt;&lt;titles&gt;&lt;title&gt;What do we talk about when we talk about extractivism?&lt;/title&gt;&lt;secondary-title&gt;Textual Practice&lt;/secondary-title&gt;&lt;/titles&gt;&lt;periodical&gt;&lt;full-title&gt;Textual Practice&lt;/full-title&gt;&lt;/periodical&gt;&lt;pages&gt;505-523&lt;/pages&gt;&lt;volume&gt;35&lt;/volume&gt;&lt;number&gt;3&lt;/number&gt;&lt;dates&gt;&lt;year&gt;2021&lt;/year&gt;&lt;/dates&gt;&lt;urls&gt;&lt;/urls&gt;&lt;/record&gt;&lt;/Cite&gt;&lt;/EndNote&gt;</w:instrText>
      </w:r>
      <w:r w:rsidR="005E2BBA">
        <w:fldChar w:fldCharType="separate"/>
      </w:r>
      <w:r w:rsidR="002618DA">
        <w:rPr>
          <w:noProof/>
        </w:rPr>
        <w:t>(Szeman and Wenzel 2021, 511)</w:t>
      </w:r>
      <w:r w:rsidR="005E2BBA">
        <w:fldChar w:fldCharType="end"/>
      </w:r>
      <w:r w:rsidR="005E2BBA">
        <w:t>.</w:t>
      </w:r>
      <w:r w:rsidR="00D65AAC">
        <w:t xml:space="preserve"> Heeding this call for caution</w:t>
      </w:r>
      <w:r w:rsidR="00B53F94">
        <w:t xml:space="preserve"> against “dematerialisation</w:t>
      </w:r>
      <w:r w:rsidR="00BE26E9">
        <w:t>,</w:t>
      </w:r>
      <w:r w:rsidR="00B53F94">
        <w:t>”</w:t>
      </w:r>
      <w:r w:rsidR="00D65AAC">
        <w:t xml:space="preserve"> we might still recognise the deeply material nature of the history presented here</w:t>
      </w:r>
      <w:r w:rsidR="00C173C6">
        <w:t xml:space="preserve">, </w:t>
      </w:r>
      <w:r w:rsidR="00B53F94">
        <w:t>shaped by the physical archival practices around it</w:t>
      </w:r>
      <w:r w:rsidR="00C173C6">
        <w:t xml:space="preserve">. </w:t>
      </w:r>
      <w:r w:rsidR="00573219">
        <w:t xml:space="preserve">The paper-based BP Archive is a rich resource that has been largely ignored by film and media </w:t>
      </w:r>
      <w:r w:rsidR="000E01F0">
        <w:t>scholars</w:t>
      </w:r>
      <w:r w:rsidR="00715835">
        <w:t xml:space="preserve"> beyond those cited here</w:t>
      </w:r>
      <w:r w:rsidR="000E01F0">
        <w:t xml:space="preserve">. However, </w:t>
      </w:r>
      <w:r w:rsidR="005C716C">
        <w:t>its existence</w:t>
      </w:r>
      <w:r w:rsidR="00573219">
        <w:t xml:space="preserve"> is shaped by its continuing association with present day </w:t>
      </w:r>
      <w:r w:rsidR="00A9708E">
        <w:t xml:space="preserve">oil extraction </w:t>
      </w:r>
      <w:r w:rsidR="00573219">
        <w:t xml:space="preserve">interests, for example in </w:t>
      </w:r>
      <w:r w:rsidR="00715835">
        <w:t>an</w:t>
      </w:r>
      <w:r w:rsidR="00573219">
        <w:t xml:space="preserve"> </w:t>
      </w:r>
      <w:r w:rsidR="000E01F0">
        <w:t>embargo on</w:t>
      </w:r>
      <w:r w:rsidR="00573219">
        <w:t xml:space="preserve"> access to </w:t>
      </w:r>
      <w:r w:rsidR="000E01F0">
        <w:t xml:space="preserve">materials dating from after 1955 </w:t>
      </w:r>
      <w:r w:rsidR="000E01F0">
        <w:fldChar w:fldCharType="begin"/>
      </w:r>
      <w:r w:rsidR="00C33BC9">
        <w:instrText xml:space="preserve"> ADDIN EN.CITE &lt;EndNote&gt;&lt;Cite&gt;&lt;Author&gt;Shafiee&lt;/Author&gt;&lt;Year&gt;2018&lt;/Year&gt;&lt;RecNum&gt;1532&lt;/RecNum&gt;&lt;DisplayText&gt;(Shafiee 2018a; Damluji 2021)&lt;/DisplayText&gt;&lt;record&gt;&lt;rec-number&gt;1532&lt;/rec-number&gt;&lt;foreign-keys&gt;&lt;key app="EN" db-id="tpdvrsxvi90zzleszf5pxzx3s2ezv2szt9t0" timestamp="1680012643"&gt;1532&lt;/key&gt;&lt;/foreign-keys&gt;&lt;ref-type name="Journal Article"&gt;17&lt;/ref-type&gt;&lt;contributors&gt;&lt;authors&gt;&lt;author&gt;Shafiee, Katayoun&lt;/author&gt;&lt;/authors&gt;&lt;/contributors&gt;&lt;titles&gt;&lt;title&gt;Documenting Anglo-Iranian Oil at the BP Archive&lt;/title&gt;&lt;secondary-title&gt;Jadaliyya &lt;/secondary-title&gt;&lt;/titles&gt;&lt;dates&gt;&lt;year&gt;2018&lt;/year&gt;&lt;/dates&gt;&lt;publisher&gt;Arab Studies Institute&lt;/publisher&gt;&lt;urls&gt;&lt;related-urls&gt;&lt;url&gt;https://www.jadaliyya.com/Details/40354&lt;/url&gt;&lt;/related-urls&gt;&lt;/urls&gt;&lt;/record&gt;&lt;/Cite&gt;&lt;Cite&gt;&lt;Author&gt;Damluji&lt;/Author&gt;&lt;Year&gt;2021&lt;/Year&gt;&lt;RecNum&gt;1411&lt;/RecNum&gt;&lt;record&gt;&lt;rec-number&gt;1411&lt;/rec-number&gt;&lt;foreign-keys&gt;&lt;key app="EN" db-id="tpdvrsxvi90zzleszf5pxzx3s2ezv2szt9t0" timestamp="1626367056"&gt;1411&lt;/key&gt;&lt;/foreign-keys&gt;&lt;ref-type name="Book Section"&gt;5&lt;/ref-type&gt;&lt;contributors&gt;&lt;authors&gt;&lt;author&gt;Damluji, Mona&lt;/author&gt;&lt;/authors&gt;&lt;secondary-authors&gt;&lt;author&gt;Dahlquist, Marina&lt;/author&gt;&lt;author&gt;Vonderau, Patrick&lt;/author&gt;&lt;/secondary-authors&gt;&lt;/contributors&gt;&lt;titles&gt;&lt;title&gt;Oil Media Archives&lt;/title&gt;&lt;secondary-title&gt;Petrocinema: Sponsored Film and the Oil Industry&lt;/secondary-title&gt;&lt;/titles&gt;&lt;pages&gt;15-32&lt;/pages&gt;&lt;dates&gt;&lt;year&gt;2021&lt;/year&gt;&lt;/dates&gt;&lt;pub-location&gt;London&lt;/pub-location&gt;&lt;publisher&gt;Bloomsbury&lt;/publisher&gt;&lt;urls&gt;&lt;/urls&gt;&lt;/record&gt;&lt;/Cite&gt;&lt;/EndNote&gt;</w:instrText>
      </w:r>
      <w:r w:rsidR="000E01F0">
        <w:fldChar w:fldCharType="separate"/>
      </w:r>
      <w:r w:rsidR="00C33BC9">
        <w:rPr>
          <w:noProof/>
        </w:rPr>
        <w:t>(Shafiee 2018a; Damluji 2021)</w:t>
      </w:r>
      <w:r w:rsidR="000E01F0">
        <w:fldChar w:fldCharType="end"/>
      </w:r>
      <w:r w:rsidR="000E01F0">
        <w:t>.</w:t>
      </w:r>
      <w:r w:rsidR="005C716C">
        <w:t xml:space="preserve"> In </w:t>
      </w:r>
      <w:r w:rsidR="002601BA">
        <w:t>parallel</w:t>
      </w:r>
      <w:r w:rsidR="005C716C">
        <w:t xml:space="preserve">, prior scholarly and archival disregard for animation, especially in its sponsored form, means traces of the animation studios discussed here are scarce, and </w:t>
      </w:r>
      <w:r w:rsidR="00841ECB">
        <w:t>most are likely lost</w:t>
      </w:r>
      <w:r w:rsidR="005C716C">
        <w:t xml:space="preserve"> </w:t>
      </w:r>
      <w:r w:rsidR="005C716C">
        <w:fldChar w:fldCharType="begin"/>
      </w:r>
      <w:r w:rsidR="005C716C">
        <w:instrText xml:space="preserve"> ADDIN EN.CITE &lt;EndNote&gt;&lt;Cite&gt;&lt;Author&gt;Stewart&lt;/Author&gt;&lt;Year&gt;2016&lt;/Year&gt;&lt;RecNum&gt;1134&lt;/RecNum&gt;&lt;DisplayText&gt;(Stewart 2016)&lt;/DisplayText&gt;&lt;record&gt;&lt;rec-number&gt;1134&lt;/rec-number&gt;&lt;foreign-keys&gt;&lt;key app="EN" db-id="tpdvrsxvi90zzleszf5pxzx3s2ezv2szt9t0" timestamp="1513338293"&gt;1134&lt;/key&gt;&lt;/foreign-keys&gt;&lt;ref-type name="Book Section"&gt;5&lt;/ref-type&gt;&lt;contributors&gt;&lt;authors&gt;&lt;author&gt;Stewart, Jez&lt;/author&gt;&lt;/authors&gt;&lt;secondary-authors&gt;&lt;author&gt;Florin, Bo&lt;/author&gt;&lt;author&gt;de Klerk, Nico&lt;/author&gt;&lt;author&gt;Vonderau, Patrick&lt;/author&gt;&lt;/secondary-authors&gt;&lt;/contributors&gt;&lt;titles&gt;&lt;title&gt;Robin Hood and the Furry Bowlers: Animators vs Advertisers in Early British Television Commercials&lt;/title&gt;&lt;secondary-title&gt;Films that Sell: Moving Pictures and Advertising&lt;/secondary-title&gt;&lt;/titles&gt;&lt;dates&gt;&lt;year&gt;2016&lt;/year&gt;&lt;/dates&gt;&lt;pub-location&gt;London&lt;/pub-location&gt;&lt;publisher&gt;BFI/Palgrave&lt;/publisher&gt;&lt;urls&gt;&lt;/urls&gt;&lt;/record&gt;&lt;/Cite&gt;&lt;/EndNote&gt;</w:instrText>
      </w:r>
      <w:r w:rsidR="005C716C">
        <w:fldChar w:fldCharType="separate"/>
      </w:r>
      <w:r w:rsidR="005C716C">
        <w:rPr>
          <w:noProof/>
        </w:rPr>
        <w:t>(Stewart 2016)</w:t>
      </w:r>
      <w:r w:rsidR="005C716C">
        <w:fldChar w:fldCharType="end"/>
      </w:r>
      <w:r w:rsidR="005C716C">
        <w:t xml:space="preserve">. </w:t>
      </w:r>
      <w:r w:rsidR="005C716C">
        <w:rPr>
          <w:i/>
          <w:iCs/>
        </w:rPr>
        <w:t xml:space="preserve">Full Circle </w:t>
      </w:r>
      <w:r w:rsidR="005C716C">
        <w:t xml:space="preserve">is </w:t>
      </w:r>
      <w:r w:rsidR="001D775D">
        <w:t xml:space="preserve">currently </w:t>
      </w:r>
      <w:r w:rsidR="005C716C">
        <w:t>only accessible on-site at BFI premises</w:t>
      </w:r>
      <w:r w:rsidR="001D775D">
        <w:t>,</w:t>
      </w:r>
      <w:r w:rsidR="00CE14BC">
        <w:t xml:space="preserve"> </w:t>
      </w:r>
      <w:r w:rsidR="001D775D">
        <w:t xml:space="preserve">and it is one of the few BP/AIOC </w:t>
      </w:r>
      <w:r w:rsidR="00CE14BC">
        <w:t xml:space="preserve">animated </w:t>
      </w:r>
      <w:r w:rsidR="001D775D">
        <w:t xml:space="preserve">films that does not feature </w:t>
      </w:r>
      <w:r w:rsidR="00715835">
        <w:t>within</w:t>
      </w:r>
      <w:r w:rsidR="001D775D">
        <w:t xml:space="preserve"> the online BP Video Library</w:t>
      </w:r>
      <w:r w:rsidR="00EA79C9">
        <w:t>, although it is unclear why</w:t>
      </w:r>
      <w:r w:rsidR="001D775D">
        <w:t xml:space="preserve">. </w:t>
      </w:r>
      <w:r w:rsidR="00CE14BC">
        <w:t>Online video repositories and d</w:t>
      </w:r>
      <w:r w:rsidR="001D775D">
        <w:t>igit</w:t>
      </w:r>
      <w:r w:rsidR="00B05426">
        <w:t>ised</w:t>
      </w:r>
      <w:r w:rsidR="001D775D">
        <w:t xml:space="preserve"> newspaper archives have enabled the location of scarce </w:t>
      </w:r>
      <w:r w:rsidR="00CE14BC">
        <w:t>sources</w:t>
      </w:r>
      <w:r w:rsidR="00B05426">
        <w:t xml:space="preserve"> for this </w:t>
      </w:r>
      <w:r w:rsidR="00CE14BC">
        <w:t>study;</w:t>
      </w:r>
      <w:r w:rsidR="001D775D">
        <w:t xml:space="preserve"> </w:t>
      </w:r>
      <w:r w:rsidR="00CE14BC">
        <w:t>however,</w:t>
      </w:r>
      <w:r w:rsidR="00B05426">
        <w:t xml:space="preserve"> we must be mindful of the energy regimes these are stil</w:t>
      </w:r>
      <w:r w:rsidR="00CE14BC">
        <w:t xml:space="preserve">l bound to </w:t>
      </w:r>
      <w:r w:rsidR="00CE14BC">
        <w:fldChar w:fldCharType="begin"/>
      </w:r>
      <w:r w:rsidR="00CE14BC">
        <w:instrText xml:space="preserve"> ADDIN EN.CITE &lt;EndNote&gt;&lt;Cite&gt;&lt;Author&gt;Marks&lt;/Author&gt;&lt;Year&gt;2020&lt;/Year&gt;&lt;RecNum&gt;1533&lt;/RecNum&gt;&lt;DisplayText&gt;(Marks et al. 2020)&lt;/DisplayText&gt;&lt;record&gt;&lt;rec-number&gt;1533&lt;/rec-number&gt;&lt;foreign-keys&gt;&lt;key app="EN" db-id="tpdvrsxvi90zzleszf5pxzx3s2ezv2szt9t0" timestamp="1680015795"&gt;1533&lt;/key&gt;&lt;/foreign-keys&gt;&lt;ref-type name="Journal Article"&gt;17&lt;/ref-type&gt;&lt;contributors&gt;&lt;authors&gt;&lt;author&gt;Marks, Laura U.&lt;/author&gt;&lt;author&gt;Clark, Joseph&lt;/author&gt;&lt;author&gt;Livingston, Jason &lt;/author&gt;&lt;author&gt;Oleksijczuk, Denise &lt;/author&gt;&lt;author&gt;Hilderbrand, Lucas &lt;/author&gt;&lt;/authors&gt;&lt;/contributors&gt;&lt;titles&gt;&lt;title&gt;Streaming Media’s Environmental Impact&lt;/title&gt;&lt;secondary-title&gt;Media+Environment&lt;/secondary-title&gt;&lt;/titles&gt;&lt;periodical&gt;&lt;full-title&gt;Media+Environment&lt;/full-title&gt;&lt;/periodical&gt;&lt;volume&gt;2&lt;/volume&gt;&lt;number&gt;1&lt;/number&gt;&lt;dates&gt;&lt;year&gt;2020&lt;/year&gt;&lt;/dates&gt;&lt;urls&gt;&lt;/urls&gt;&lt;/record&gt;&lt;/Cite&gt;&lt;/EndNote&gt;</w:instrText>
      </w:r>
      <w:r w:rsidR="00CE14BC">
        <w:fldChar w:fldCharType="separate"/>
      </w:r>
      <w:r w:rsidR="00CE14BC">
        <w:rPr>
          <w:noProof/>
        </w:rPr>
        <w:t>(Marks et al. 2020)</w:t>
      </w:r>
      <w:r w:rsidR="00CE14BC">
        <w:fldChar w:fldCharType="end"/>
      </w:r>
      <w:r w:rsidR="00CE14BC">
        <w:t xml:space="preserve">. </w:t>
      </w:r>
      <w:r w:rsidR="001D775D">
        <w:t xml:space="preserve">This article has argued for the importance of the historical material entanglement of the animation industry with extraction industries, but we must also </w:t>
      </w:r>
      <w:r w:rsidR="00A9708E">
        <w:t>be alert</w:t>
      </w:r>
      <w:r w:rsidR="001D775D">
        <w:t xml:space="preserve"> to the </w:t>
      </w:r>
      <w:r w:rsidR="00CE14BC">
        <w:t>present-day</w:t>
      </w:r>
      <w:r w:rsidR="001D775D">
        <w:t xml:space="preserve"> materiality of archival sources and the ways these shape our understanding of that history.</w:t>
      </w:r>
    </w:p>
    <w:p w14:paraId="7EC2A84F" w14:textId="36A297A4" w:rsidR="000A61A7" w:rsidRDefault="00E264E8" w:rsidP="00390210">
      <w:pPr>
        <w:pStyle w:val="Follow-onparagraphstyle"/>
      </w:pPr>
      <w:r>
        <w:rPr>
          <w:i/>
          <w:iCs/>
        </w:rPr>
        <w:t>Full Circle</w:t>
      </w:r>
      <w:r>
        <w:t xml:space="preserve"> and many of the other BP</w:t>
      </w:r>
      <w:r w:rsidR="00BB0C38">
        <w:t>/AIOC</w:t>
      </w:r>
      <w:r>
        <w:t xml:space="preserve"> sponsored films raised here use animation to look to the future and speculate about what it might hold. As might be expected of films sponsored by a petroleum company at a time when ecological awareness was only slowly emerging, they do not directly </w:t>
      </w:r>
      <w:r w:rsidR="00D372BD">
        <w:t>speak to</w:t>
      </w:r>
      <w:r>
        <w:t xml:space="preserve"> our present-day concerns with the environmental impact and destruction resulting from fossil fuel usage.</w:t>
      </w:r>
      <w:r w:rsidR="00E23722">
        <w:t xml:space="preserve"> As Patrick Russell</w:t>
      </w:r>
      <w:r w:rsidR="00735E99">
        <w:t>,</w:t>
      </w:r>
      <w:r w:rsidR="00E23722">
        <w:t xml:space="preserve"> Brian Jacobson</w:t>
      </w:r>
      <w:r w:rsidR="00735E99">
        <w:t xml:space="preserve"> and others</w:t>
      </w:r>
      <w:r w:rsidR="00E23722">
        <w:t xml:space="preserve"> have explored, BP would start to acknowledge </w:t>
      </w:r>
      <w:r w:rsidR="00735E99">
        <w:t>environmental concerns</w:t>
      </w:r>
      <w:r w:rsidR="00E23722">
        <w:t xml:space="preserve"> in the following decades</w:t>
      </w:r>
      <w:r w:rsidR="00735E99">
        <w:t xml:space="preserve">, most famously in </w:t>
      </w:r>
      <w:r w:rsidR="00735E99">
        <w:rPr>
          <w:i/>
          <w:iCs/>
        </w:rPr>
        <w:t>Shadow of Progress</w:t>
      </w:r>
      <w:r w:rsidR="00735E99">
        <w:t xml:space="preserve"> (1970) made for the first European Conservation Year</w:t>
      </w:r>
      <w:r w:rsidR="003F777A">
        <w:t xml:space="preserve"> </w:t>
      </w:r>
      <w:r w:rsidR="003F777A">
        <w:fldChar w:fldCharType="begin"/>
      </w:r>
      <w:r w:rsidR="00E04409">
        <w:instrText xml:space="preserve"> ADDIN EN.CITE &lt;EndNote&gt;&lt;Cite&gt;&lt;Author&gt;Russell&lt;/Author&gt;&lt;Year&gt;2010&lt;/Year&gt;&lt;RecNum&gt;1499&lt;/RecNum&gt;&lt;DisplayText&gt;(Russell 2010; Jacobson 2019)&lt;/DisplayText&gt;&lt;record&gt;&lt;rec-number&gt;1499&lt;/rec-number&gt;&lt;foreign-keys&gt;&lt;key app="EN" db-id="tpdvrsxvi90zzleszf5pxzx3s2ezv2szt9t0" timestamp="1665482962"&gt;1499&lt;/key&gt;&lt;/foreign-keys&gt;&lt;ref-type name="Book Section"&gt;5&lt;/ref-type&gt;&lt;contributors&gt;&lt;authors&gt;&lt;author&gt;Russell, Patrick&lt;/author&gt;&lt;/authors&gt;&lt;secondary-authors&gt;&lt;author&gt;Russell, Patrick&lt;/author&gt;&lt;author&gt;Taylor, James Piers&lt;/author&gt;&lt;/secondary-authors&gt;&lt;/contributors&gt;&lt;titles&gt;&lt;title&gt;Tracts of Time: Derek Williams&lt;/title&gt;&lt;secondary-title&gt;Shadows of Progress: Documentary Film in Post-War Britain&lt;/secondary-title&gt;&lt;/titles&gt;&lt;pages&gt;339-369&lt;/pages&gt;&lt;dates&gt;&lt;year&gt;2010&lt;/year&gt;&lt;/dates&gt;&lt;pub-location&gt;London&lt;/pub-location&gt;&lt;publisher&gt;BFI&lt;/publisher&gt;&lt;urls&gt;&lt;/urls&gt;&lt;/record&gt;&lt;/Cite&gt;&lt;Cite&gt;&lt;Author&gt;Jacobson&lt;/Author&gt;&lt;Year&gt;2019&lt;/Year&gt;&lt;RecNum&gt;1498&lt;/RecNum&gt;&lt;record&gt;&lt;rec-number&gt;1498&lt;/rec-number&gt;&lt;foreign-keys&gt;&lt;key app="EN" db-id="tpdvrsxvi90zzleszf5pxzx3s2ezv2szt9t0" timestamp="1665482294"&gt;1498&lt;/key&gt;&lt;/foreign-keys&gt;&lt;ref-type name="Journal Article"&gt;17&lt;/ref-type&gt;&lt;contributors&gt;&lt;authors&gt;&lt;author&gt;Jacobson, Brian R.&lt;/author&gt;&lt;/authors&gt;&lt;/contributors&gt;&lt;titles&gt;&lt;title&gt;&lt;style face="italic" font="default" size="100%"&gt;The Shadow of Progress&lt;/style&gt;&lt;style face="normal" font="default" size="100%"&gt; and the Cultural Markers of the Anthropocene&lt;/style&gt;&lt;/title&gt;&lt;secondary-title&gt;Environmental History&lt;/secondary-title&gt;&lt;/titles&gt;&lt;periodical&gt;&lt;full-title&gt;Environmental History&lt;/full-title&gt;&lt;/periodical&gt;&lt;pages&gt;158-172&lt;/pages&gt;&lt;number&gt;24&lt;/number&gt;&lt;dates&gt;&lt;year&gt;2019&lt;/year&gt;&lt;/dates&gt;&lt;urls&gt;&lt;/urls&gt;&lt;/record&gt;&lt;/Cite&gt;&lt;/EndNote&gt;</w:instrText>
      </w:r>
      <w:r w:rsidR="003F777A">
        <w:fldChar w:fldCharType="separate"/>
      </w:r>
      <w:r w:rsidR="00E04409">
        <w:rPr>
          <w:noProof/>
        </w:rPr>
        <w:t>(Russell 2010; Jacobson 2019)</w:t>
      </w:r>
      <w:r w:rsidR="003F777A">
        <w:fldChar w:fldCharType="end"/>
      </w:r>
      <w:r w:rsidR="003F777A">
        <w:t>. This also</w:t>
      </w:r>
      <w:r w:rsidR="00735E99">
        <w:t xml:space="preserve"> </w:t>
      </w:r>
      <w:r w:rsidR="003F777A">
        <w:t>included</w:t>
      </w:r>
      <w:r w:rsidR="00735E99">
        <w:t xml:space="preserve"> animated examples like </w:t>
      </w:r>
      <w:r w:rsidR="00735E99">
        <w:rPr>
          <w:i/>
          <w:iCs/>
        </w:rPr>
        <w:t>Children and Cars</w:t>
      </w:r>
      <w:r w:rsidR="00735E99">
        <w:t xml:space="preserve"> (1970) made for BP by Halas and Batchelor, which echoes the</w:t>
      </w:r>
      <w:r w:rsidR="00E9337E">
        <w:t>ir</w:t>
      </w:r>
      <w:r w:rsidR="00735E99">
        <w:t xml:space="preserve"> independently produced and more overtly eco-critical </w:t>
      </w:r>
      <w:proofErr w:type="spellStart"/>
      <w:r w:rsidR="00735E99">
        <w:rPr>
          <w:i/>
          <w:iCs/>
        </w:rPr>
        <w:t>Automania</w:t>
      </w:r>
      <w:proofErr w:type="spellEnd"/>
      <w:r w:rsidR="00735E99">
        <w:rPr>
          <w:i/>
          <w:iCs/>
        </w:rPr>
        <w:t xml:space="preserve"> 2000</w:t>
      </w:r>
      <w:r w:rsidR="00735E99">
        <w:t xml:space="preserve"> (1963). </w:t>
      </w:r>
      <w:r>
        <w:t>Yet,</w:t>
      </w:r>
      <w:r w:rsidR="00C77429">
        <w:t xml:space="preserve"> even in the </w:t>
      </w:r>
      <w:r w:rsidR="00735E99">
        <w:t xml:space="preserve">animated BP </w:t>
      </w:r>
      <w:r w:rsidR="00C77429">
        <w:t>films that preceded the burgeoning environmental movements of the 1960s and 1970s</w:t>
      </w:r>
      <w:r w:rsidR="00735E99">
        <w:t>,</w:t>
      </w:r>
      <w:r>
        <w:t xml:space="preserve"> a contemporary viewer cannot help but see the seeds </w:t>
      </w:r>
      <w:r w:rsidR="00C77429">
        <w:t>o</w:t>
      </w:r>
      <w:r>
        <w:t xml:space="preserve">f </w:t>
      </w:r>
      <w:r w:rsidR="00C77429">
        <w:t>what was</w:t>
      </w:r>
      <w:r w:rsidR="00841ECB">
        <w:t>,</w:t>
      </w:r>
      <w:r w:rsidR="00C77429">
        <w:t xml:space="preserve"> and is yet</w:t>
      </w:r>
      <w:r w:rsidR="00841ECB">
        <w:t>,</w:t>
      </w:r>
      <w:r w:rsidR="00C77429">
        <w:t xml:space="preserve"> to come</w:t>
      </w:r>
      <w:r>
        <w:t>. The warning of the danger of unleashing the genie of oil</w:t>
      </w:r>
      <w:r w:rsidR="002B6500">
        <w:t xml:space="preserve"> in </w:t>
      </w:r>
      <w:r w:rsidR="002B6500">
        <w:rPr>
          <w:i/>
          <w:iCs/>
        </w:rPr>
        <w:t>Full Circle</w:t>
      </w:r>
      <w:r w:rsidR="002B6500">
        <w:t xml:space="preserve"> </w:t>
      </w:r>
      <w:r w:rsidR="00C77429">
        <w:t xml:space="preserve">or </w:t>
      </w:r>
      <w:r w:rsidR="002B6500">
        <w:t xml:space="preserve">the reminder of the formation of oil from death and decay alongside the extinction of dinosaurs in </w:t>
      </w:r>
      <w:r w:rsidR="002B6500">
        <w:rPr>
          <w:i/>
          <w:iCs/>
        </w:rPr>
        <w:t>As Old as the Hills</w:t>
      </w:r>
      <w:r w:rsidR="002B6500">
        <w:t xml:space="preserve"> serve as inadvertent </w:t>
      </w:r>
      <w:r w:rsidR="0079677C">
        <w:t xml:space="preserve">harbingers of the future that was being </w:t>
      </w:r>
      <w:r w:rsidR="003F777A">
        <w:t>wrought</w:t>
      </w:r>
      <w:r w:rsidR="0079677C">
        <w:t xml:space="preserve"> by the growth in oil production and usage</w:t>
      </w:r>
      <w:r w:rsidR="00925F22">
        <w:t>. Studying them can serve to highlight</w:t>
      </w:r>
      <w:r w:rsidR="00C77429">
        <w:t xml:space="preserve"> the continued</w:t>
      </w:r>
      <w:r w:rsidR="00AD038A">
        <w:t xml:space="preserve"> and growing</w:t>
      </w:r>
      <w:r w:rsidR="00C77429">
        <w:t xml:space="preserve"> urgency of considering their implications for our own futures.</w:t>
      </w:r>
    </w:p>
    <w:p w14:paraId="23195E37" w14:textId="0F7475EF" w:rsidR="00DB511E" w:rsidRDefault="00DB511E" w:rsidP="00DB511E">
      <w:pPr>
        <w:pStyle w:val="Heading1"/>
      </w:pPr>
      <w:r>
        <w:lastRenderedPageBreak/>
        <w:t>Acknowledgements</w:t>
      </w:r>
    </w:p>
    <w:p w14:paraId="01DD18A3" w14:textId="1478D57B" w:rsidR="00DB511E" w:rsidRDefault="00D76EC0" w:rsidP="00DB511E">
      <w:pPr>
        <w:pStyle w:val="Firstparagraphstyle"/>
      </w:pPr>
      <w:r w:rsidRPr="00951A76">
        <w:t xml:space="preserve">I am grateful to </w:t>
      </w:r>
      <w:r w:rsidR="00F60335" w:rsidRPr="00951A76">
        <w:t>Alireza Fakhrkonandeh</w:t>
      </w:r>
      <w:r w:rsidR="00951A76">
        <w:t>, Brian Jacobson, and Colin Williamson</w:t>
      </w:r>
      <w:r w:rsidR="00041002">
        <w:t>, as well as the editors and peer reviewers of this journal issue,</w:t>
      </w:r>
      <w:r w:rsidR="00951A76">
        <w:t xml:space="preserve"> who </w:t>
      </w:r>
      <w:r w:rsidR="007D3BD6">
        <w:t>gave</w:t>
      </w:r>
      <w:r w:rsidR="00951A76">
        <w:t xml:space="preserve"> insightful feedback and discussion that has greatly improved this article. I</w:t>
      </w:r>
      <w:r w:rsidR="00DB511E" w:rsidRPr="00951A76">
        <w:t xml:space="preserve"> would </w:t>
      </w:r>
      <w:r w:rsidR="00951A76">
        <w:t xml:space="preserve">also </w:t>
      </w:r>
      <w:r w:rsidR="00DB511E" w:rsidRPr="00951A76">
        <w:t xml:space="preserve">like to express </w:t>
      </w:r>
      <w:r w:rsidR="00756113" w:rsidRPr="00951A76">
        <w:t xml:space="preserve">thanks </w:t>
      </w:r>
      <w:r w:rsidR="00DB511E" w:rsidRPr="00951A76">
        <w:t>to the staff of the BP</w:t>
      </w:r>
      <w:r w:rsidR="00DB511E">
        <w:t xml:space="preserve"> Archive at the University of Warwick, </w:t>
      </w:r>
      <w:r w:rsidR="00B44F15">
        <w:t xml:space="preserve">BFI National Archive, </w:t>
      </w:r>
      <w:r w:rsidR="00DB511E">
        <w:t>BFI Special Collections, and the BFI Library for their tireless and knowledgeable assistance during the research and writing of this article.</w:t>
      </w:r>
    </w:p>
    <w:p w14:paraId="668B33A5" w14:textId="05493862" w:rsidR="00294711" w:rsidRDefault="00294711" w:rsidP="00294711">
      <w:pPr>
        <w:pStyle w:val="Follow-onparagraphstyle"/>
        <w:ind w:firstLine="0"/>
      </w:pPr>
    </w:p>
    <w:p w14:paraId="6504A93E" w14:textId="0A57FCDF" w:rsidR="00294711" w:rsidRDefault="00294711" w:rsidP="00294711">
      <w:pPr>
        <w:pStyle w:val="Heading1"/>
      </w:pPr>
      <w:r>
        <w:t>Archival Sources</w:t>
      </w:r>
    </w:p>
    <w:p w14:paraId="6C8C9A74" w14:textId="59BBC138" w:rsidR="00294711" w:rsidRPr="00294711" w:rsidRDefault="00294711" w:rsidP="00294711">
      <w:pPr>
        <w:pStyle w:val="Firstparagraphstyle"/>
      </w:pPr>
      <w:r w:rsidRPr="00294711">
        <w:t xml:space="preserve">BP Archive, </w:t>
      </w:r>
      <w:r w:rsidR="00A61335">
        <w:t>Modern Records Centre,</w:t>
      </w:r>
      <w:r w:rsidR="00A61335" w:rsidRPr="00294711">
        <w:t xml:space="preserve"> </w:t>
      </w:r>
      <w:r w:rsidRPr="00294711">
        <w:t>University of Warwick</w:t>
      </w:r>
      <w:r>
        <w:t>, UK</w:t>
      </w:r>
      <w:r w:rsidR="000C7D4F">
        <w:t>.</w:t>
      </w:r>
    </w:p>
    <w:p w14:paraId="61FCF6EA" w14:textId="37A526EF" w:rsidR="00294711" w:rsidRPr="00294711" w:rsidRDefault="00294711" w:rsidP="00294711">
      <w:pPr>
        <w:pStyle w:val="Firstparagraphstyle"/>
      </w:pPr>
      <w:r>
        <w:t xml:space="preserve">BFI/HAB </w:t>
      </w:r>
      <w:r w:rsidRPr="00294711">
        <w:t>Halas &amp; Batchelor</w:t>
      </w:r>
      <w:r>
        <w:t xml:space="preserve"> Collection, British Film Institute Special Collections Berkhamsted, UK</w:t>
      </w:r>
      <w:r w:rsidR="000C7D4F">
        <w:t>.</w:t>
      </w:r>
    </w:p>
    <w:p w14:paraId="6E040CB0" w14:textId="5D8A34D8" w:rsidR="00DB511E" w:rsidRDefault="00DB511E" w:rsidP="00DB511E">
      <w:pPr>
        <w:pStyle w:val="Heading1"/>
      </w:pPr>
      <w:r>
        <w:t>References</w:t>
      </w:r>
      <w:r w:rsidR="0020042D">
        <w:t xml:space="preserve"> </w:t>
      </w:r>
    </w:p>
    <w:p w14:paraId="217DC99B" w14:textId="77777777" w:rsidR="0033520A" w:rsidRPr="0033520A" w:rsidRDefault="00DB511E" w:rsidP="0033520A">
      <w:pPr>
        <w:pStyle w:val="EndNoteBibliography"/>
        <w:ind w:left="720" w:hanging="720"/>
      </w:pPr>
      <w:r>
        <w:fldChar w:fldCharType="begin"/>
      </w:r>
      <w:r>
        <w:instrText xml:space="preserve"> ADDIN EN.REFLIST </w:instrText>
      </w:r>
      <w:r>
        <w:fldChar w:fldCharType="separate"/>
      </w:r>
      <w:r w:rsidR="0033520A" w:rsidRPr="0033520A">
        <w:t xml:space="preserve">Acland, Charles R., and Haidee Wasson, eds. 2011. </w:t>
      </w:r>
      <w:r w:rsidR="0033520A" w:rsidRPr="0033520A">
        <w:rPr>
          <w:i/>
        </w:rPr>
        <w:t>Useful Cinema</w:t>
      </w:r>
      <w:r w:rsidR="0033520A" w:rsidRPr="0033520A">
        <w:t>. Durham: Duke University Press.</w:t>
      </w:r>
    </w:p>
    <w:p w14:paraId="709B8C01" w14:textId="77777777" w:rsidR="0033520A" w:rsidRPr="0033520A" w:rsidRDefault="0033520A" w:rsidP="0033520A">
      <w:pPr>
        <w:pStyle w:val="EndNoteBibliography"/>
        <w:ind w:left="720" w:hanging="720"/>
      </w:pPr>
      <w:r w:rsidRPr="0033520A">
        <w:t xml:space="preserve">Bamberg, James. 1994. </w:t>
      </w:r>
      <w:r w:rsidRPr="0033520A">
        <w:rPr>
          <w:i/>
        </w:rPr>
        <w:t>The History of the British Petroleum Company: Volume 2 The Anglo-Iranian Years, 1928-1954</w:t>
      </w:r>
      <w:r w:rsidRPr="0033520A">
        <w:t>. Cambridge: Cambridge University Press.</w:t>
      </w:r>
    </w:p>
    <w:p w14:paraId="791D61C3" w14:textId="77777777" w:rsidR="0033520A" w:rsidRPr="0033520A" w:rsidRDefault="0033520A" w:rsidP="0033520A">
      <w:pPr>
        <w:pStyle w:val="EndNoteBibliography"/>
        <w:ind w:left="720" w:hanging="720"/>
      </w:pPr>
      <w:r w:rsidRPr="0033520A">
        <w:t xml:space="preserve">Barrett, Ross, and Daniel Worden, eds. 2014. </w:t>
      </w:r>
      <w:r w:rsidRPr="0033520A">
        <w:rPr>
          <w:i/>
        </w:rPr>
        <w:t>Oil Culture</w:t>
      </w:r>
      <w:r w:rsidRPr="0033520A">
        <w:t>. Minneapolis: University of Minnesota Press.</w:t>
      </w:r>
    </w:p>
    <w:p w14:paraId="637E2D47" w14:textId="77777777" w:rsidR="0033520A" w:rsidRPr="0033520A" w:rsidRDefault="0033520A" w:rsidP="0033520A">
      <w:pPr>
        <w:pStyle w:val="EndNoteBibliography"/>
        <w:ind w:left="720" w:hanging="720"/>
      </w:pPr>
      <w:r w:rsidRPr="0033520A">
        <w:t xml:space="preserve">Clifford, James. 1988. </w:t>
      </w:r>
      <w:r w:rsidRPr="0033520A">
        <w:rPr>
          <w:i/>
        </w:rPr>
        <w:t>The Predicament of Culture: Twentieth-Century Ethnography, Literature, and Art</w:t>
      </w:r>
      <w:r w:rsidRPr="0033520A">
        <w:t>. Cambridge, Mass.: Harvard University Press.</w:t>
      </w:r>
    </w:p>
    <w:p w14:paraId="5648B79D" w14:textId="77777777" w:rsidR="0033520A" w:rsidRPr="0033520A" w:rsidRDefault="0033520A" w:rsidP="0033520A">
      <w:pPr>
        <w:pStyle w:val="EndNoteBibliography"/>
        <w:ind w:left="720" w:hanging="720"/>
      </w:pPr>
      <w:r w:rsidRPr="0033520A">
        <w:t xml:space="preserve">Connelly, Frances S. 1995. </w:t>
      </w:r>
      <w:r w:rsidRPr="0033520A">
        <w:rPr>
          <w:i/>
        </w:rPr>
        <w:t>The sleep of reason: primitivism in modern European art and aesthetics</w:t>
      </w:r>
      <w:r w:rsidRPr="0033520A">
        <w:t>. University Park, PA: Pennsylvania State University Press.</w:t>
      </w:r>
    </w:p>
    <w:p w14:paraId="7929545C" w14:textId="77777777" w:rsidR="0033520A" w:rsidRPr="0033520A" w:rsidRDefault="0033520A" w:rsidP="0033520A">
      <w:pPr>
        <w:pStyle w:val="EndNoteBibliography"/>
        <w:ind w:left="720" w:hanging="720"/>
      </w:pPr>
      <w:r w:rsidRPr="0033520A">
        <w:t xml:space="preserve">Dahlquist, Marina, and Patrick Vonderau. 2021a. "Introduction." In </w:t>
      </w:r>
      <w:r w:rsidRPr="0033520A">
        <w:rPr>
          <w:i/>
        </w:rPr>
        <w:t>Petrocinema: Sponsored Film and the Oil Industry</w:t>
      </w:r>
      <w:r w:rsidRPr="0033520A">
        <w:t>, edited by Marina Dahlquist and Patrick Vonderau. London: Bloomsbury.</w:t>
      </w:r>
    </w:p>
    <w:p w14:paraId="3F9CB452" w14:textId="77777777" w:rsidR="0033520A" w:rsidRPr="0033520A" w:rsidRDefault="0033520A" w:rsidP="0033520A">
      <w:pPr>
        <w:pStyle w:val="EndNoteBibliography"/>
        <w:ind w:left="720" w:hanging="720"/>
      </w:pPr>
      <w:r w:rsidRPr="0033520A">
        <w:t xml:space="preserve">---. 2021b. </w:t>
      </w:r>
      <w:r w:rsidRPr="0033520A">
        <w:rPr>
          <w:i/>
        </w:rPr>
        <w:t>Petrocinema: Sponsored Film and the Oil Industry</w:t>
      </w:r>
      <w:r w:rsidRPr="0033520A">
        <w:t>. London: Bloomsbury.</w:t>
      </w:r>
    </w:p>
    <w:p w14:paraId="7CFD0DD4" w14:textId="77777777" w:rsidR="0033520A" w:rsidRPr="0033520A" w:rsidRDefault="0033520A" w:rsidP="0033520A">
      <w:pPr>
        <w:pStyle w:val="EndNoteBibliography"/>
        <w:ind w:left="720" w:hanging="720"/>
      </w:pPr>
      <w:r w:rsidRPr="0033520A">
        <w:t xml:space="preserve">Damluji, Mona. 2013. "The Oil City in Focus: The Cinematic Spaces of Abadan in the Anglo-Iranian Oil Company’s Persian Story." </w:t>
      </w:r>
      <w:r w:rsidRPr="0033520A">
        <w:rPr>
          <w:i/>
        </w:rPr>
        <w:t>Comparative Studies of South Asia, Africa and the Middle East</w:t>
      </w:r>
      <w:r w:rsidRPr="0033520A">
        <w:t xml:space="preserve"> 33 (1).</w:t>
      </w:r>
    </w:p>
    <w:p w14:paraId="1370720C" w14:textId="77777777" w:rsidR="0033520A" w:rsidRPr="0033520A" w:rsidRDefault="0033520A" w:rsidP="0033520A">
      <w:pPr>
        <w:pStyle w:val="EndNoteBibliography"/>
        <w:ind w:left="720" w:hanging="720"/>
      </w:pPr>
      <w:r w:rsidRPr="0033520A">
        <w:t xml:space="preserve">---. 2021. "Oil Media Archives." In </w:t>
      </w:r>
      <w:r w:rsidRPr="0033520A">
        <w:rPr>
          <w:i/>
        </w:rPr>
        <w:t>Petrocinema: Sponsored Film and the Oil Industry</w:t>
      </w:r>
      <w:r w:rsidRPr="0033520A">
        <w:t>, edited by Marina Dahlquist and Patrick Vonderau, 15-32. London: Bloomsbury.</w:t>
      </w:r>
    </w:p>
    <w:p w14:paraId="6F22A15B" w14:textId="77777777" w:rsidR="0033520A" w:rsidRPr="0033520A" w:rsidRDefault="0033520A" w:rsidP="0033520A">
      <w:pPr>
        <w:pStyle w:val="EndNoteBibliography"/>
        <w:ind w:left="720" w:hanging="720"/>
      </w:pPr>
      <w:r w:rsidRPr="0033520A">
        <w:t xml:space="preserve">"Dr. Moussadek Ousted By Royalists." 1953. </w:t>
      </w:r>
      <w:r w:rsidRPr="0033520A">
        <w:rPr>
          <w:i/>
        </w:rPr>
        <w:t>The Times</w:t>
      </w:r>
      <w:r w:rsidRPr="0033520A">
        <w:t>, 20 August, 1953, 6.</w:t>
      </w:r>
    </w:p>
    <w:p w14:paraId="62EC41B7" w14:textId="77777777" w:rsidR="0033520A" w:rsidRPr="0033520A" w:rsidRDefault="0033520A" w:rsidP="0033520A">
      <w:pPr>
        <w:pStyle w:val="EndNoteBibliography"/>
        <w:ind w:left="720" w:hanging="720"/>
      </w:pPr>
      <w:r w:rsidRPr="0033520A">
        <w:t xml:space="preserve">Elsaesser, Thomas. 2009. "Archives and Archaeologies: The Place of Non-Fiction Film in Contemporary Media." In </w:t>
      </w:r>
      <w:r w:rsidRPr="0033520A">
        <w:rPr>
          <w:i/>
        </w:rPr>
        <w:t>Films that Work: Industrial Film and the Productivity of Media</w:t>
      </w:r>
      <w:r w:rsidRPr="0033520A">
        <w:t>, edited by Vinzenz  Hediger and Patrick  Vonderau, 19-34. Amsterdam: Amsterdam University Press.</w:t>
      </w:r>
    </w:p>
    <w:p w14:paraId="0B77BCFF" w14:textId="77777777" w:rsidR="0033520A" w:rsidRPr="0033520A" w:rsidRDefault="0033520A" w:rsidP="0033520A">
      <w:pPr>
        <w:pStyle w:val="EndNoteBibliography"/>
        <w:ind w:left="720" w:hanging="720"/>
      </w:pPr>
      <w:r w:rsidRPr="0033520A">
        <w:t xml:space="preserve">Errington, Shelly. 1998. </w:t>
      </w:r>
      <w:r w:rsidRPr="0033520A">
        <w:rPr>
          <w:i/>
        </w:rPr>
        <w:t>The Death of Authentic Primitive Art and Other Tales of Progress</w:t>
      </w:r>
      <w:r w:rsidRPr="0033520A">
        <w:t>. Berkeley: University of California Press.</w:t>
      </w:r>
    </w:p>
    <w:p w14:paraId="328089E6" w14:textId="77777777" w:rsidR="0033520A" w:rsidRPr="0033520A" w:rsidRDefault="0033520A" w:rsidP="0033520A">
      <w:pPr>
        <w:pStyle w:val="EndNoteBibliography"/>
        <w:ind w:left="720" w:hanging="720"/>
      </w:pPr>
      <w:r w:rsidRPr="0033520A">
        <w:t xml:space="preserve">Fidotta, Giuseppe. 2014. "Animated maps and the power of the trace." </w:t>
      </w:r>
      <w:r w:rsidRPr="0033520A">
        <w:rPr>
          <w:i/>
        </w:rPr>
        <w:t>NECSUS: European Journal of Media Studies</w:t>
      </w:r>
      <w:r w:rsidRPr="0033520A">
        <w:t xml:space="preserve"> 3 (1): 267–298.</w:t>
      </w:r>
    </w:p>
    <w:p w14:paraId="416374E5" w14:textId="77777777" w:rsidR="0033520A" w:rsidRPr="0033520A" w:rsidRDefault="0033520A" w:rsidP="0033520A">
      <w:pPr>
        <w:pStyle w:val="EndNoteBibliography"/>
        <w:ind w:left="720" w:hanging="720"/>
      </w:pPr>
      <w:r w:rsidRPr="0033520A">
        <w:t xml:space="preserve">"Firm British Note to Teheran [sic]." 1951. </w:t>
      </w:r>
      <w:r w:rsidRPr="0033520A">
        <w:rPr>
          <w:i/>
        </w:rPr>
        <w:t>The Times</w:t>
      </w:r>
      <w:r w:rsidRPr="0033520A">
        <w:t>, 17 March, 1951, 4.</w:t>
      </w:r>
    </w:p>
    <w:p w14:paraId="0CAF9AA3" w14:textId="77777777" w:rsidR="0033520A" w:rsidRPr="0033520A" w:rsidRDefault="0033520A" w:rsidP="0033520A">
      <w:pPr>
        <w:pStyle w:val="EndNoteBibliography"/>
        <w:ind w:left="720" w:hanging="720"/>
      </w:pPr>
      <w:r w:rsidRPr="0033520A">
        <w:lastRenderedPageBreak/>
        <w:t xml:space="preserve">Formenti, Cristina. 2022. </w:t>
      </w:r>
      <w:r w:rsidRPr="0033520A">
        <w:rPr>
          <w:i/>
        </w:rPr>
        <w:t>The Classical Animated Documentary and Its Contemporary Evolution</w:t>
      </w:r>
      <w:r w:rsidRPr="0033520A">
        <w:t>. London: Bloomsbury.</w:t>
      </w:r>
    </w:p>
    <w:p w14:paraId="7B3ADEDE" w14:textId="77777777" w:rsidR="0033520A" w:rsidRPr="0033520A" w:rsidRDefault="0033520A" w:rsidP="0033520A">
      <w:pPr>
        <w:pStyle w:val="EndNoteBibliography"/>
        <w:ind w:left="720" w:hanging="720"/>
      </w:pPr>
      <w:r w:rsidRPr="0033520A">
        <w:t xml:space="preserve">Frankel, Benjamin. 1973. "Francis Chagrin [Obituary]." </w:t>
      </w:r>
      <w:r w:rsidRPr="0033520A">
        <w:rPr>
          <w:i/>
        </w:rPr>
        <w:t>The Musical Times</w:t>
      </w:r>
      <w:r w:rsidRPr="0033520A">
        <w:t xml:space="preserve"> 114 (1559): 65.</w:t>
      </w:r>
    </w:p>
    <w:p w14:paraId="2ECE6600" w14:textId="77777777" w:rsidR="0033520A" w:rsidRPr="0033520A" w:rsidRDefault="0033520A" w:rsidP="0033520A">
      <w:pPr>
        <w:pStyle w:val="EndNoteBibliography"/>
        <w:ind w:left="720" w:hanging="720"/>
      </w:pPr>
      <w:r w:rsidRPr="0033520A">
        <w:t xml:space="preserve">Goldwater, Robert. 1938. </w:t>
      </w:r>
      <w:r w:rsidRPr="0033520A">
        <w:rPr>
          <w:i/>
        </w:rPr>
        <w:t>Primitivism in Modern Painting</w:t>
      </w:r>
      <w:r w:rsidRPr="0033520A">
        <w:t>. New York: Harper &amp; Bros.</w:t>
      </w:r>
    </w:p>
    <w:p w14:paraId="4D23FF71" w14:textId="77777777" w:rsidR="0033520A" w:rsidRPr="0033520A" w:rsidRDefault="0033520A" w:rsidP="0033520A">
      <w:pPr>
        <w:pStyle w:val="EndNoteBibliography"/>
        <w:ind w:left="720" w:hanging="720"/>
      </w:pPr>
      <w:r w:rsidRPr="0033520A">
        <w:t xml:space="preserve">---. 1967. </w:t>
      </w:r>
      <w:r w:rsidRPr="0033520A">
        <w:rPr>
          <w:i/>
        </w:rPr>
        <w:t>Primitivism in Modern Art</w:t>
      </w:r>
      <w:r w:rsidRPr="0033520A">
        <w:t>. Revised ed. New York: Vintage Books.</w:t>
      </w:r>
    </w:p>
    <w:p w14:paraId="44CCABCC" w14:textId="77777777" w:rsidR="0033520A" w:rsidRPr="0033520A" w:rsidRDefault="0033520A" w:rsidP="0033520A">
      <w:pPr>
        <w:pStyle w:val="EndNoteBibliography"/>
        <w:ind w:left="720" w:hanging="720"/>
      </w:pPr>
      <w:r w:rsidRPr="0033520A">
        <w:t xml:space="preserve">Halas, Vivien. 2006. "My Family and Other Animators." In </w:t>
      </w:r>
      <w:r w:rsidRPr="0033520A">
        <w:rPr>
          <w:i/>
        </w:rPr>
        <w:t>Halas &amp; Batchelor Cartoons: An Animated History</w:t>
      </w:r>
      <w:r w:rsidRPr="0033520A">
        <w:t>, edited by Vivien Halas and Paul Wells, 5. London: Southbank Publishing.</w:t>
      </w:r>
    </w:p>
    <w:p w14:paraId="16661F7F" w14:textId="77777777" w:rsidR="0033520A" w:rsidRPr="0033520A" w:rsidRDefault="0033520A" w:rsidP="0033520A">
      <w:pPr>
        <w:pStyle w:val="EndNoteBibliography"/>
        <w:ind w:left="720" w:hanging="720"/>
      </w:pPr>
      <w:r w:rsidRPr="0033520A">
        <w:t xml:space="preserve">Hediger, Vinzenz , and Patrick  Vonderau, eds. 2009. </w:t>
      </w:r>
      <w:r w:rsidRPr="0033520A">
        <w:rPr>
          <w:i/>
        </w:rPr>
        <w:t>Films that Work: Industrial Film and the Productivity of Media</w:t>
      </w:r>
      <w:r w:rsidRPr="0033520A">
        <w:t>. Amsterdam: Amsterdam University Press.</w:t>
      </w:r>
    </w:p>
    <w:p w14:paraId="4B6411D5" w14:textId="77777777" w:rsidR="0033520A" w:rsidRPr="0033520A" w:rsidRDefault="0033520A" w:rsidP="0033520A">
      <w:pPr>
        <w:pStyle w:val="EndNoteBibliography"/>
        <w:ind w:left="720" w:hanging="720"/>
      </w:pPr>
      <w:r w:rsidRPr="0033520A">
        <w:t xml:space="preserve">Honess Roe, Annabelle. 2013. </w:t>
      </w:r>
      <w:r w:rsidRPr="0033520A">
        <w:rPr>
          <w:i/>
        </w:rPr>
        <w:t>Animated Documentary</w:t>
      </w:r>
      <w:r w:rsidRPr="0033520A">
        <w:t>. Basingstoke: Palgrave Macmillan.</w:t>
      </w:r>
    </w:p>
    <w:p w14:paraId="4D2B44EA" w14:textId="77777777" w:rsidR="0033520A" w:rsidRPr="0033520A" w:rsidRDefault="0033520A" w:rsidP="0033520A">
      <w:pPr>
        <w:pStyle w:val="EndNoteBibliography"/>
        <w:ind w:left="720" w:hanging="720"/>
      </w:pPr>
      <w:r w:rsidRPr="0033520A">
        <w:t xml:space="preserve">"Hopes of Persia Oil Talks Fade." 1951. </w:t>
      </w:r>
      <w:r w:rsidRPr="0033520A">
        <w:rPr>
          <w:i/>
        </w:rPr>
        <w:t>The Sunday Times</w:t>
      </w:r>
      <w:r w:rsidRPr="0033520A">
        <w:t>, 29 April, 1951, 1.</w:t>
      </w:r>
    </w:p>
    <w:p w14:paraId="5DFEEB2C" w14:textId="77777777" w:rsidR="0033520A" w:rsidRPr="0033520A" w:rsidRDefault="0033520A" w:rsidP="0033520A">
      <w:pPr>
        <w:pStyle w:val="EndNoteBibliography"/>
        <w:ind w:left="720" w:hanging="720"/>
      </w:pPr>
      <w:r w:rsidRPr="0033520A">
        <w:t xml:space="preserve">Jackson, Victoria. 2019. "Animation and Commercial Display in Britain During the 1920s." In </w:t>
      </w:r>
      <w:r w:rsidRPr="0033520A">
        <w:rPr>
          <w:i/>
        </w:rPr>
        <w:t>Animation and Advertising</w:t>
      </w:r>
      <w:r w:rsidRPr="0033520A">
        <w:t>, edited by Malcolm Cook and Kirsten Moana Thompson. Cham, Switzerland: Palgrave Macmillan.</w:t>
      </w:r>
    </w:p>
    <w:p w14:paraId="20BF084E" w14:textId="77777777" w:rsidR="0033520A" w:rsidRPr="0033520A" w:rsidRDefault="0033520A" w:rsidP="0033520A">
      <w:pPr>
        <w:pStyle w:val="EndNoteBibliography"/>
        <w:ind w:left="720" w:hanging="720"/>
      </w:pPr>
      <w:r w:rsidRPr="0033520A">
        <w:t>Jacobson, Brian R. 2019. "</w:t>
      </w:r>
      <w:r w:rsidRPr="0033520A">
        <w:rPr>
          <w:i/>
        </w:rPr>
        <w:t>The Shadow of Progress</w:t>
      </w:r>
      <w:r w:rsidRPr="0033520A">
        <w:t xml:space="preserve"> and the Cultural Markers of the Anthropocene." </w:t>
      </w:r>
      <w:r w:rsidRPr="0033520A">
        <w:rPr>
          <w:i/>
        </w:rPr>
        <w:t>Environmental History</w:t>
      </w:r>
      <w:r w:rsidRPr="0033520A">
        <w:t xml:space="preserve"> (24): 158-172.</w:t>
      </w:r>
    </w:p>
    <w:p w14:paraId="03A1AFE8" w14:textId="77777777" w:rsidR="0033520A" w:rsidRPr="0033520A" w:rsidRDefault="0033520A" w:rsidP="0033520A">
      <w:pPr>
        <w:pStyle w:val="EndNoteBibliography"/>
        <w:ind w:left="720" w:hanging="720"/>
      </w:pPr>
      <w:r w:rsidRPr="0033520A">
        <w:t xml:space="preserve">---. 2021. "Prospecting: Cinema and the Exploration of Extraction." In </w:t>
      </w:r>
      <w:r w:rsidRPr="0033520A">
        <w:rPr>
          <w:i/>
        </w:rPr>
        <w:t xml:space="preserve">Cinema of Exploration: Essays on an Adventurous Film Practice </w:t>
      </w:r>
      <w:r w:rsidRPr="0033520A">
        <w:t>edited by James Leo  Cahill and Luca  Caminati. Abingdon: Routledge.</w:t>
      </w:r>
    </w:p>
    <w:p w14:paraId="505FC456" w14:textId="77777777" w:rsidR="0033520A" w:rsidRPr="0033520A" w:rsidRDefault="0033520A" w:rsidP="0033520A">
      <w:pPr>
        <w:pStyle w:val="EndNoteBibliography"/>
        <w:ind w:left="720" w:hanging="720"/>
      </w:pPr>
      <w:r w:rsidRPr="0033520A">
        <w:t xml:space="preserve">Jaikumar, Priya. 2011. "An 'accurate imagination': Place, Map, and Archive as Spatial Objects of Film History." In </w:t>
      </w:r>
      <w:r w:rsidRPr="0033520A">
        <w:rPr>
          <w:i/>
        </w:rPr>
        <w:t>Empire and Film</w:t>
      </w:r>
      <w:r w:rsidRPr="0033520A">
        <w:t>, edited by Lee Grieveson and Colin MacCabe. London: British Film Institute.</w:t>
      </w:r>
    </w:p>
    <w:p w14:paraId="5C82EC3F" w14:textId="77777777" w:rsidR="0033520A" w:rsidRPr="0033520A" w:rsidRDefault="0033520A" w:rsidP="0033520A">
      <w:pPr>
        <w:pStyle w:val="EndNoteBibliography"/>
        <w:ind w:left="720" w:hanging="720"/>
      </w:pPr>
      <w:r w:rsidRPr="0033520A">
        <w:t xml:space="preserve">Knapp, James F. . 1986. "Primitivism and the Modern." </w:t>
      </w:r>
      <w:r w:rsidRPr="0033520A">
        <w:rPr>
          <w:i/>
        </w:rPr>
        <w:t>Boundary 2</w:t>
      </w:r>
      <w:r w:rsidRPr="0033520A">
        <w:t xml:space="preserve"> 15 (1-2): 365-79.</w:t>
      </w:r>
    </w:p>
    <w:p w14:paraId="20F4375B" w14:textId="77777777" w:rsidR="0033520A" w:rsidRPr="0033520A" w:rsidRDefault="0033520A" w:rsidP="0033520A">
      <w:pPr>
        <w:pStyle w:val="EndNoteBibliography"/>
        <w:ind w:left="720" w:hanging="720"/>
      </w:pPr>
      <w:r w:rsidRPr="0033520A">
        <w:t xml:space="preserve">LeMenager, Stephanie. 2014. </w:t>
      </w:r>
      <w:r w:rsidRPr="0033520A">
        <w:rPr>
          <w:i/>
        </w:rPr>
        <w:t xml:space="preserve">Living oil : petroleum culture in the American century </w:t>
      </w:r>
      <w:r w:rsidRPr="0033520A">
        <w:t>Oxford: Oxford University Press.</w:t>
      </w:r>
    </w:p>
    <w:p w14:paraId="20AFF40F" w14:textId="77777777" w:rsidR="0033520A" w:rsidRPr="0033520A" w:rsidRDefault="0033520A" w:rsidP="0033520A">
      <w:pPr>
        <w:pStyle w:val="EndNoteBibliography"/>
        <w:ind w:left="720" w:hanging="720"/>
      </w:pPr>
      <w:r w:rsidRPr="0033520A">
        <w:t xml:space="preserve">Lippard, Lucy. 1990. </w:t>
      </w:r>
      <w:r w:rsidRPr="0033520A">
        <w:rPr>
          <w:i/>
        </w:rPr>
        <w:t>Mixed Blessings: New Art in a Multicultural America</w:t>
      </w:r>
      <w:r w:rsidRPr="0033520A">
        <w:t>. New York: Pantheon Books.</w:t>
      </w:r>
    </w:p>
    <w:p w14:paraId="2F0654F9" w14:textId="77777777" w:rsidR="0033520A" w:rsidRPr="0033520A" w:rsidRDefault="0033520A" w:rsidP="0033520A">
      <w:pPr>
        <w:pStyle w:val="EndNoteBibliography"/>
        <w:ind w:left="720" w:hanging="720"/>
      </w:pPr>
      <w:r w:rsidRPr="0033520A">
        <w:t xml:space="preserve">Lloyd, Fran. 2019. "Making Animation Matter: Peter Sachs Comes to Britain." In </w:t>
      </w:r>
      <w:r w:rsidRPr="0033520A">
        <w:rPr>
          <w:i/>
        </w:rPr>
        <w:t>Applied Arts in British Exile from 1933: Changing Visual and Material Culture</w:t>
      </w:r>
      <w:r w:rsidRPr="0033520A">
        <w:t>, edited by Marian Malet, Rachel Dickson, Sarah MacDougall and Anna Nyburg. Leiden: Brill Rodopi.</w:t>
      </w:r>
    </w:p>
    <w:p w14:paraId="32F3C67F" w14:textId="77777777" w:rsidR="0033520A" w:rsidRPr="0033520A" w:rsidRDefault="0033520A" w:rsidP="0033520A">
      <w:pPr>
        <w:pStyle w:val="EndNoteBibliography"/>
        <w:ind w:left="720" w:hanging="720"/>
      </w:pPr>
      <w:r w:rsidRPr="0033520A">
        <w:t xml:space="preserve">Malm, Andreas. 2016. </w:t>
      </w:r>
      <w:r w:rsidRPr="0033520A">
        <w:rPr>
          <w:i/>
        </w:rPr>
        <w:t>Fossil capital: the rise of steam-power and the roots of global warming</w:t>
      </w:r>
      <w:r w:rsidRPr="0033520A">
        <w:t>. London: Verso.</w:t>
      </w:r>
    </w:p>
    <w:p w14:paraId="4E984F66" w14:textId="77777777" w:rsidR="0033520A" w:rsidRPr="0033520A" w:rsidRDefault="0033520A" w:rsidP="0033520A">
      <w:pPr>
        <w:pStyle w:val="EndNoteBibliography"/>
        <w:ind w:left="720" w:hanging="720"/>
      </w:pPr>
      <w:r w:rsidRPr="0033520A">
        <w:t xml:space="preserve">Malm, Andreas, and Shora Esmailian. 2007. </w:t>
      </w:r>
      <w:r w:rsidRPr="0033520A">
        <w:rPr>
          <w:i/>
        </w:rPr>
        <w:t>Iran on the Brink: Rising Workers and Threats of War</w:t>
      </w:r>
      <w:r w:rsidRPr="0033520A">
        <w:t>. London: Pluto Press.</w:t>
      </w:r>
    </w:p>
    <w:p w14:paraId="39039362" w14:textId="77777777" w:rsidR="0033520A" w:rsidRPr="0033520A" w:rsidRDefault="0033520A" w:rsidP="0033520A">
      <w:pPr>
        <w:pStyle w:val="EndNoteBibliography"/>
        <w:ind w:left="720" w:hanging="720"/>
      </w:pPr>
      <w:r w:rsidRPr="0033520A">
        <w:t xml:space="preserve">Marks, Laura U., Joseph Clark, Jason  Livingston, Denise  Oleksijczuk, and Lucas  Hilderbrand. 2020. "Streaming Media’s Environmental Impact." </w:t>
      </w:r>
      <w:r w:rsidRPr="0033520A">
        <w:rPr>
          <w:i/>
        </w:rPr>
        <w:t>Media+Environment</w:t>
      </w:r>
      <w:r w:rsidRPr="0033520A">
        <w:t xml:space="preserve"> 2 (1).</w:t>
      </w:r>
    </w:p>
    <w:p w14:paraId="0F171D61" w14:textId="77777777" w:rsidR="0033520A" w:rsidRPr="0033520A" w:rsidRDefault="0033520A" w:rsidP="0033520A">
      <w:pPr>
        <w:pStyle w:val="EndNoteBibliography"/>
        <w:ind w:left="720" w:hanging="720"/>
      </w:pPr>
      <w:r w:rsidRPr="0033520A">
        <w:t xml:space="preserve">McEvilley, Thomas. 1984. "Doctor, Lawyer, Indian Chief." </w:t>
      </w:r>
      <w:r w:rsidRPr="0033520A">
        <w:rPr>
          <w:i/>
        </w:rPr>
        <w:t>Artforum</w:t>
      </w:r>
      <w:r w:rsidRPr="0033520A">
        <w:t xml:space="preserve"> (23): 54-60.</w:t>
      </w:r>
    </w:p>
    <w:p w14:paraId="199C556C" w14:textId="77777777" w:rsidR="0033520A" w:rsidRPr="0033520A" w:rsidRDefault="0033520A" w:rsidP="0033520A">
      <w:pPr>
        <w:pStyle w:val="EndNoteBibliography"/>
        <w:ind w:left="720" w:hanging="720"/>
      </w:pPr>
      <w:r w:rsidRPr="0033520A">
        <w:t xml:space="preserve">Mihailova, Mihaela. 2019. "Before Sound, there was Soul: The Role of Animation in Silent Nonfiction Cinema." In </w:t>
      </w:r>
      <w:r w:rsidRPr="0033520A">
        <w:rPr>
          <w:i/>
        </w:rPr>
        <w:t>Drawn from life : issues and themes in animated documentary cinema</w:t>
      </w:r>
      <w:r w:rsidRPr="0033520A">
        <w:t>, edited by Jonathan Murray and Nea Ehrlich. Edinburgh: Edinburgh University Press.</w:t>
      </w:r>
    </w:p>
    <w:p w14:paraId="3097E472" w14:textId="77777777" w:rsidR="0033520A" w:rsidRPr="0033520A" w:rsidRDefault="0033520A" w:rsidP="0033520A">
      <w:pPr>
        <w:pStyle w:val="EndNoteBibliography"/>
        <w:ind w:left="720" w:hanging="720"/>
      </w:pPr>
      <w:r w:rsidRPr="0033520A">
        <w:t xml:space="preserve">"Nineteen Shorts Chosen for Venice Festival." 1955. </w:t>
      </w:r>
      <w:r w:rsidRPr="0033520A">
        <w:rPr>
          <w:i/>
        </w:rPr>
        <w:t>Kinematograph Weekly</w:t>
      </w:r>
      <w:r w:rsidRPr="0033520A">
        <w:t>, 7 July, 1955, 7.</w:t>
      </w:r>
    </w:p>
    <w:p w14:paraId="498B4E60" w14:textId="77777777" w:rsidR="0033520A" w:rsidRPr="0033520A" w:rsidRDefault="0033520A" w:rsidP="0033520A">
      <w:pPr>
        <w:pStyle w:val="EndNoteBibliography"/>
        <w:ind w:left="720" w:hanging="720"/>
      </w:pPr>
      <w:r w:rsidRPr="0033520A">
        <w:t xml:space="preserve">"Persian Oil Industry." 1951. </w:t>
      </w:r>
      <w:r w:rsidRPr="0033520A">
        <w:rPr>
          <w:i/>
        </w:rPr>
        <w:t>The Times</w:t>
      </w:r>
      <w:r w:rsidRPr="0033520A">
        <w:t>, 16 March, 1951, 4.</w:t>
      </w:r>
    </w:p>
    <w:p w14:paraId="68F11160" w14:textId="77777777" w:rsidR="0033520A" w:rsidRPr="0033520A" w:rsidRDefault="0033520A" w:rsidP="0033520A">
      <w:pPr>
        <w:pStyle w:val="EndNoteBibliography"/>
        <w:ind w:left="720" w:hanging="720"/>
      </w:pPr>
      <w:r w:rsidRPr="0033520A">
        <w:t xml:space="preserve">Pickles, John. 2004. </w:t>
      </w:r>
      <w:r w:rsidRPr="0033520A">
        <w:rPr>
          <w:i/>
        </w:rPr>
        <w:t>A History of Spaces: Cartographic Reason, Mapping and the Geo-Coded World</w:t>
      </w:r>
      <w:r w:rsidRPr="0033520A">
        <w:t>. London: Routledge.</w:t>
      </w:r>
    </w:p>
    <w:p w14:paraId="0FC220E2" w14:textId="77777777" w:rsidR="0033520A" w:rsidRPr="0033520A" w:rsidRDefault="0033520A" w:rsidP="0033520A">
      <w:pPr>
        <w:pStyle w:val="EndNoteBibliography"/>
        <w:ind w:left="720" w:hanging="720"/>
      </w:pPr>
      <w:r w:rsidRPr="0033520A">
        <w:t xml:space="preserve">Prelinger, Rick. 2006. </w:t>
      </w:r>
      <w:r w:rsidRPr="0033520A">
        <w:rPr>
          <w:i/>
        </w:rPr>
        <w:t>The field guide to sponsored films</w:t>
      </w:r>
      <w:r w:rsidRPr="0033520A">
        <w:t>. San Francisco: National Film Preservation Foundation.</w:t>
      </w:r>
    </w:p>
    <w:p w14:paraId="6EF8A72E" w14:textId="77777777" w:rsidR="0033520A" w:rsidRPr="0033520A" w:rsidRDefault="0033520A" w:rsidP="0033520A">
      <w:pPr>
        <w:pStyle w:val="EndNoteBibliography"/>
        <w:ind w:left="720" w:hanging="720"/>
      </w:pPr>
      <w:r w:rsidRPr="0033520A">
        <w:lastRenderedPageBreak/>
        <w:t xml:space="preserve">Price, Hollie. 2019. "‘A Very Flexible Medium’: The Ministry of Information and Animated Propaganda Films on the Home Front." In </w:t>
      </w:r>
      <w:r w:rsidRPr="0033520A">
        <w:rPr>
          <w:i/>
        </w:rPr>
        <w:t>Animation and Advertising</w:t>
      </w:r>
      <w:r w:rsidRPr="0033520A">
        <w:t>, edited by Malcolm Cook and Kirsten Moana Thompson. Cham, Switzerland: Palgrave Macmillan.</w:t>
      </w:r>
    </w:p>
    <w:p w14:paraId="08C1E316" w14:textId="77777777" w:rsidR="0033520A" w:rsidRPr="0033520A" w:rsidRDefault="0033520A" w:rsidP="0033520A">
      <w:pPr>
        <w:pStyle w:val="EndNoteBibliography"/>
        <w:ind w:left="720" w:hanging="720"/>
      </w:pPr>
      <w:r w:rsidRPr="0033520A">
        <w:t xml:space="preserve">Russell, Patrick. 2010. "Tracts of Time: Derek Williams." In </w:t>
      </w:r>
      <w:r w:rsidRPr="0033520A">
        <w:rPr>
          <w:i/>
        </w:rPr>
        <w:t>Shadows of Progress: Documentary Film in Post-War Britain</w:t>
      </w:r>
      <w:r w:rsidRPr="0033520A">
        <w:t>, edited by Patrick Russell and James Piers Taylor, 339-369. London: BFI.</w:t>
      </w:r>
    </w:p>
    <w:p w14:paraId="32EDDC02" w14:textId="77777777" w:rsidR="0033520A" w:rsidRPr="0033520A" w:rsidRDefault="0033520A" w:rsidP="0033520A">
      <w:pPr>
        <w:pStyle w:val="EndNoteBibliography"/>
        <w:ind w:left="720" w:hanging="720"/>
      </w:pPr>
      <w:r w:rsidRPr="0033520A">
        <w:t xml:space="preserve">Russell, Patrick, and James Piers Taylor, eds. 2010. </w:t>
      </w:r>
      <w:r w:rsidRPr="0033520A">
        <w:rPr>
          <w:i/>
        </w:rPr>
        <w:t>Shadows of Progress: Documentary Film in Post-War Britain</w:t>
      </w:r>
      <w:r w:rsidRPr="0033520A">
        <w:t>. London: BFI.</w:t>
      </w:r>
    </w:p>
    <w:p w14:paraId="1AC743DF" w14:textId="77777777" w:rsidR="0033520A" w:rsidRPr="0033520A" w:rsidRDefault="0033520A" w:rsidP="0033520A">
      <w:pPr>
        <w:pStyle w:val="EndNoteBibliography"/>
        <w:ind w:left="720" w:hanging="720"/>
      </w:pPr>
      <w:r w:rsidRPr="0033520A">
        <w:t xml:space="preserve">"Safeguards in Iran." 1941. </w:t>
      </w:r>
      <w:r w:rsidRPr="0033520A">
        <w:rPr>
          <w:i/>
        </w:rPr>
        <w:t>The Times</w:t>
      </w:r>
      <w:r w:rsidRPr="0033520A">
        <w:t>, 30 August, 1941, 4.</w:t>
      </w:r>
    </w:p>
    <w:p w14:paraId="71D1AC30" w14:textId="77777777" w:rsidR="0033520A" w:rsidRPr="0033520A" w:rsidRDefault="0033520A" w:rsidP="0033520A">
      <w:pPr>
        <w:pStyle w:val="EndNoteBibliography"/>
        <w:ind w:left="720" w:hanging="720"/>
      </w:pPr>
      <w:r w:rsidRPr="0033520A">
        <w:t xml:space="preserve">Scheding, Florian. 2008. "‘An Animated Quest for Freedom’: Mátyás Seiber’s Score for The Magic Canvas." In </w:t>
      </w:r>
      <w:r w:rsidRPr="0033520A">
        <w:rPr>
          <w:i/>
        </w:rPr>
        <w:t>German-Speaking Emigres and British Cinema, 1925-1950</w:t>
      </w:r>
      <w:r w:rsidRPr="0033520A">
        <w:t>, edited by Tim Bergfelder and Christian Cargnelli. New York: Berghahn Books.</w:t>
      </w:r>
    </w:p>
    <w:p w14:paraId="105DF722" w14:textId="163B8EC7" w:rsidR="0033520A" w:rsidRPr="0033520A" w:rsidRDefault="0033520A" w:rsidP="0033520A">
      <w:pPr>
        <w:pStyle w:val="EndNoteBibliography"/>
        <w:ind w:left="720" w:hanging="720"/>
      </w:pPr>
      <w:r w:rsidRPr="0033520A">
        <w:t xml:space="preserve">Shafiee, Katayoun. 2018a. "Documenting Anglo-Iranian Oil at the BP Archive." </w:t>
      </w:r>
      <w:r w:rsidRPr="0033520A">
        <w:rPr>
          <w:i/>
        </w:rPr>
        <w:t xml:space="preserve">Jadaliyya </w:t>
      </w:r>
      <w:hyperlink r:id="rId8" w:history="1">
        <w:r w:rsidRPr="0033520A">
          <w:rPr>
            <w:rStyle w:val="Hyperlink"/>
          </w:rPr>
          <w:t>https://www.jadaliyya.com/Details/40354</w:t>
        </w:r>
      </w:hyperlink>
      <w:r w:rsidRPr="0033520A">
        <w:t>.</w:t>
      </w:r>
    </w:p>
    <w:p w14:paraId="17883D73" w14:textId="77777777" w:rsidR="0033520A" w:rsidRPr="0033520A" w:rsidRDefault="0033520A" w:rsidP="0033520A">
      <w:pPr>
        <w:pStyle w:val="EndNoteBibliography"/>
        <w:ind w:left="720" w:hanging="720"/>
      </w:pPr>
      <w:r w:rsidRPr="0033520A">
        <w:t xml:space="preserve">---. 2018b. </w:t>
      </w:r>
      <w:r w:rsidRPr="0033520A">
        <w:rPr>
          <w:i/>
        </w:rPr>
        <w:t>Machineries of Oil : An Infrastructural History of BP in Iran,</w:t>
      </w:r>
      <w:r w:rsidRPr="0033520A">
        <w:t>. Cambridge, MA: MIT Press.</w:t>
      </w:r>
    </w:p>
    <w:p w14:paraId="017B9E3A" w14:textId="77777777" w:rsidR="0033520A" w:rsidRPr="0033520A" w:rsidRDefault="0033520A" w:rsidP="0033520A">
      <w:pPr>
        <w:pStyle w:val="EndNoteBibliography"/>
        <w:ind w:left="720" w:hanging="720"/>
      </w:pPr>
      <w:r w:rsidRPr="0033520A">
        <w:t xml:space="preserve">Slide, Anthony. 1992. </w:t>
      </w:r>
      <w:r w:rsidRPr="0033520A">
        <w:rPr>
          <w:i/>
        </w:rPr>
        <w:t>Before Video: A History of the Non-theatrical Film</w:t>
      </w:r>
      <w:r w:rsidRPr="0033520A">
        <w:t>. New York: Greenwood Press.</w:t>
      </w:r>
    </w:p>
    <w:p w14:paraId="4B4D77BB" w14:textId="77777777" w:rsidR="0033520A" w:rsidRPr="0033520A" w:rsidRDefault="0033520A" w:rsidP="0033520A">
      <w:pPr>
        <w:pStyle w:val="EndNoteBibliography"/>
        <w:ind w:left="720" w:hanging="720"/>
      </w:pPr>
      <w:r w:rsidRPr="0033520A">
        <w:t xml:space="preserve">Stewart, Jez. 2016. "Robin Hood and the Furry Bowlers: Animators vs Advertisers in Early British Television Commercials." In </w:t>
      </w:r>
      <w:r w:rsidRPr="0033520A">
        <w:rPr>
          <w:i/>
        </w:rPr>
        <w:t>Films that Sell: Moving Pictures and Advertising</w:t>
      </w:r>
      <w:r w:rsidRPr="0033520A">
        <w:t>, edited by Bo Florin, Nico de Klerk and Patrick Vonderau. London: BFI/Palgrave.</w:t>
      </w:r>
    </w:p>
    <w:p w14:paraId="27238910" w14:textId="77777777" w:rsidR="0033520A" w:rsidRPr="0033520A" w:rsidRDefault="0033520A" w:rsidP="0033520A">
      <w:pPr>
        <w:pStyle w:val="EndNoteBibliography"/>
        <w:ind w:left="720" w:hanging="720"/>
      </w:pPr>
      <w:r w:rsidRPr="0033520A">
        <w:t xml:space="preserve">---. 2021. </w:t>
      </w:r>
      <w:r w:rsidRPr="0033520A">
        <w:rPr>
          <w:i/>
        </w:rPr>
        <w:t>The Story of British Animation</w:t>
      </w:r>
      <w:r w:rsidRPr="0033520A">
        <w:t>. Edited by Patrick Russell and Mark Duguid.</w:t>
      </w:r>
      <w:r w:rsidRPr="0033520A">
        <w:rPr>
          <w:i/>
        </w:rPr>
        <w:t>British Screen Stories</w:t>
      </w:r>
      <w:r w:rsidRPr="0033520A">
        <w:t>. London: BFI.</w:t>
      </w:r>
    </w:p>
    <w:p w14:paraId="5DD1884E" w14:textId="77777777" w:rsidR="0033520A" w:rsidRPr="0033520A" w:rsidRDefault="0033520A" w:rsidP="0033520A">
      <w:pPr>
        <w:pStyle w:val="EndNoteBibliography"/>
        <w:ind w:left="720" w:hanging="720"/>
      </w:pPr>
      <w:r w:rsidRPr="0033520A">
        <w:t xml:space="preserve">Swann, Paul. 1989. </w:t>
      </w:r>
      <w:r w:rsidRPr="0033520A">
        <w:rPr>
          <w:i/>
        </w:rPr>
        <w:t>The British Documentary Film Movement, 1926-1946</w:t>
      </w:r>
      <w:r w:rsidRPr="0033520A">
        <w:t>. Cambridge: Cambridge University Press.</w:t>
      </w:r>
    </w:p>
    <w:p w14:paraId="6DBB339B" w14:textId="77777777" w:rsidR="0033520A" w:rsidRPr="0033520A" w:rsidRDefault="0033520A" w:rsidP="0033520A">
      <w:pPr>
        <w:pStyle w:val="EndNoteBibliography"/>
        <w:ind w:left="720" w:hanging="720"/>
      </w:pPr>
      <w:r w:rsidRPr="0033520A">
        <w:t xml:space="preserve">Szeman, Imre, and Jennifer Wenzel. 2021. "What do we talk about when we talk about extractivism?" </w:t>
      </w:r>
      <w:r w:rsidRPr="0033520A">
        <w:rPr>
          <w:i/>
        </w:rPr>
        <w:t>Textual Practice</w:t>
      </w:r>
      <w:r w:rsidRPr="0033520A">
        <w:t xml:space="preserve"> 35 (3): 505-523.</w:t>
      </w:r>
    </w:p>
    <w:p w14:paraId="42032ADA" w14:textId="77777777" w:rsidR="0033520A" w:rsidRPr="0033520A" w:rsidRDefault="0033520A" w:rsidP="0033520A">
      <w:pPr>
        <w:pStyle w:val="EndNoteBibliography"/>
        <w:ind w:left="720" w:hanging="720"/>
      </w:pPr>
      <w:r w:rsidRPr="0033520A">
        <w:t xml:space="preserve">"Two British Cartoons for Venice." 1956. </w:t>
      </w:r>
      <w:r w:rsidRPr="0033520A">
        <w:rPr>
          <w:i/>
        </w:rPr>
        <w:t>Kinematograph Weekly</w:t>
      </w:r>
      <w:r w:rsidRPr="0033520A">
        <w:t>, 16 August, 1956, 8.</w:t>
      </w:r>
    </w:p>
    <w:p w14:paraId="13B1CCEC" w14:textId="77777777" w:rsidR="0033520A" w:rsidRPr="0033520A" w:rsidRDefault="0033520A" w:rsidP="0033520A">
      <w:pPr>
        <w:pStyle w:val="EndNoteBibliography"/>
        <w:ind w:left="720" w:hanging="720"/>
      </w:pPr>
      <w:r w:rsidRPr="0033520A">
        <w:t xml:space="preserve">Walker, Jim. 2006. "Animated Commercials." In </w:t>
      </w:r>
      <w:r w:rsidRPr="0033520A">
        <w:rPr>
          <w:i/>
        </w:rPr>
        <w:t>Halas &amp; Batchelor Cartoons: An Animated History</w:t>
      </w:r>
      <w:r w:rsidRPr="0033520A">
        <w:t>, edited by Vivien Halas and Paul Wells, 109-123. London: Southbank Publishing.</w:t>
      </w:r>
    </w:p>
    <w:p w14:paraId="0E572A7F" w14:textId="77777777" w:rsidR="0033520A" w:rsidRPr="0033520A" w:rsidRDefault="0033520A" w:rsidP="0033520A">
      <w:pPr>
        <w:pStyle w:val="EndNoteBibliography"/>
        <w:ind w:left="720" w:hanging="720"/>
      </w:pPr>
      <w:r w:rsidRPr="0033520A">
        <w:t xml:space="preserve">Ward, Paul. 2005. </w:t>
      </w:r>
      <w:r w:rsidRPr="0033520A">
        <w:rPr>
          <w:i/>
        </w:rPr>
        <w:t>Documentary: The Margins of Reality</w:t>
      </w:r>
      <w:r w:rsidRPr="0033520A">
        <w:t>. London: Wallflower.</w:t>
      </w:r>
    </w:p>
    <w:p w14:paraId="3443BDAE" w14:textId="77777777" w:rsidR="0033520A" w:rsidRPr="0033520A" w:rsidRDefault="0033520A" w:rsidP="0033520A">
      <w:pPr>
        <w:pStyle w:val="EndNoteBibliography"/>
        <w:ind w:left="720" w:hanging="720"/>
      </w:pPr>
      <w:r w:rsidRPr="0033520A">
        <w:t xml:space="preserve">Wells, Paul. 1998. </w:t>
      </w:r>
      <w:r w:rsidRPr="0033520A">
        <w:rPr>
          <w:i/>
        </w:rPr>
        <w:t>Understanding animation</w:t>
      </w:r>
      <w:r w:rsidRPr="0033520A">
        <w:t>. Abingdon: Routledge.</w:t>
      </w:r>
    </w:p>
    <w:p w14:paraId="4D026EF0" w14:textId="77777777" w:rsidR="0033520A" w:rsidRPr="0033520A" w:rsidRDefault="0033520A" w:rsidP="0033520A">
      <w:pPr>
        <w:pStyle w:val="EndNoteBibliography"/>
        <w:ind w:left="720" w:hanging="720"/>
      </w:pPr>
      <w:r w:rsidRPr="0033520A">
        <w:t xml:space="preserve">Wilson, Sheena, Adam Carlson, and Imre Szeman, eds. 2017. </w:t>
      </w:r>
      <w:r w:rsidRPr="0033520A">
        <w:rPr>
          <w:i/>
        </w:rPr>
        <w:t>Petrocultures: Oil, Politics, Culture</w:t>
      </w:r>
      <w:r w:rsidRPr="0033520A">
        <w:t>. Montreal: McGill-Queen's University Press.</w:t>
      </w:r>
    </w:p>
    <w:p w14:paraId="1146EE30" w14:textId="77777777" w:rsidR="0033520A" w:rsidRPr="0033520A" w:rsidRDefault="0033520A" w:rsidP="0033520A">
      <w:pPr>
        <w:pStyle w:val="EndNoteBibliography"/>
        <w:ind w:left="720" w:hanging="720"/>
      </w:pPr>
      <w:r w:rsidRPr="0033520A">
        <w:t xml:space="preserve">"Withdrawal of Britons from Abadan." 1951. </w:t>
      </w:r>
      <w:r w:rsidRPr="0033520A">
        <w:rPr>
          <w:i/>
        </w:rPr>
        <w:t>The Times</w:t>
      </w:r>
      <w:r w:rsidRPr="0033520A">
        <w:t>, 4 October, 1951, 6.</w:t>
      </w:r>
    </w:p>
    <w:p w14:paraId="7346DA6C" w14:textId="77777777" w:rsidR="0033520A" w:rsidRPr="0033520A" w:rsidRDefault="0033520A" w:rsidP="0033520A">
      <w:pPr>
        <w:pStyle w:val="EndNoteBibliography"/>
        <w:ind w:left="720" w:hanging="720"/>
      </w:pPr>
      <w:r w:rsidRPr="0033520A">
        <w:t xml:space="preserve">Yergin, Daniel. 2012. </w:t>
      </w:r>
      <w:r w:rsidRPr="0033520A">
        <w:rPr>
          <w:i/>
        </w:rPr>
        <w:t>The Prize: The Epic Quest for Oil, Money and Power</w:t>
      </w:r>
      <w:r w:rsidRPr="0033520A">
        <w:t>. 2nd ed. London: Simon and Schuster.</w:t>
      </w:r>
    </w:p>
    <w:p w14:paraId="2ADF8B21" w14:textId="04C58567" w:rsidR="00DB511E" w:rsidRDefault="00DB511E" w:rsidP="00B44F15">
      <w:pPr>
        <w:pStyle w:val="Bulletedlists"/>
        <w:numPr>
          <w:ilvl w:val="0"/>
          <w:numId w:val="0"/>
        </w:numPr>
        <w:ind w:left="360"/>
      </w:pPr>
      <w:r>
        <w:fldChar w:fldCharType="end"/>
      </w:r>
      <w:r w:rsidR="00166B99">
        <w:fldChar w:fldCharType="begin"/>
      </w:r>
      <w:r w:rsidR="00166B99">
        <w:instrText xml:space="preserve"> ADDIN </w:instrText>
      </w:r>
      <w:r w:rsidR="00166B99">
        <w:fldChar w:fldCharType="end"/>
      </w:r>
    </w:p>
    <w:sectPr w:rsidR="00DB511E" w:rsidSect="00E2167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3B83B" w14:textId="77777777" w:rsidR="000D011A" w:rsidRDefault="000D011A">
      <w:r>
        <w:separator/>
      </w:r>
    </w:p>
  </w:endnote>
  <w:endnote w:type="continuationSeparator" w:id="0">
    <w:p w14:paraId="21CDD5CD" w14:textId="77777777" w:rsidR="000D011A" w:rsidRDefault="000D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230101"/>
      <w:docPartObj>
        <w:docPartGallery w:val="Page Numbers (Bottom of Page)"/>
        <w:docPartUnique/>
      </w:docPartObj>
    </w:sdtPr>
    <w:sdtEndPr>
      <w:rPr>
        <w:noProof/>
      </w:rPr>
    </w:sdtEndPr>
    <w:sdtContent>
      <w:p w14:paraId="30116984" w14:textId="77777777" w:rsidR="00ED012B" w:rsidRDefault="001F4076">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14:paraId="2709C452" w14:textId="77777777" w:rsidR="00ED012B" w:rsidRDefault="00ED0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D2616" w14:textId="77777777" w:rsidR="000D011A" w:rsidRDefault="000D011A">
      <w:r>
        <w:separator/>
      </w:r>
    </w:p>
  </w:footnote>
  <w:footnote w:type="continuationSeparator" w:id="0">
    <w:p w14:paraId="0ABB51FA" w14:textId="77777777" w:rsidR="000D011A" w:rsidRDefault="000D011A">
      <w:r>
        <w:continuationSeparator/>
      </w:r>
    </w:p>
  </w:footnote>
  <w:footnote w:id="1">
    <w:p w14:paraId="1556A54E" w14:textId="650E1305" w:rsidR="00AC6556" w:rsidRDefault="00AC6556" w:rsidP="00AC6556">
      <w:pPr>
        <w:pStyle w:val="FootnoteText"/>
      </w:pPr>
      <w:r>
        <w:rPr>
          <w:rStyle w:val="FootnoteReference"/>
        </w:rPr>
        <w:footnoteRef/>
      </w:r>
      <w:r>
        <w:t xml:space="preserve"> The company was known as the Anglo-Persian Oil Company (APOC) prior to 1935, when it was renamed as the Anglo-Iranian Oil Company (AIOC) to reflect the </w:t>
      </w:r>
      <w:r w:rsidRPr="00444708">
        <w:t>endonym</w:t>
      </w:r>
      <w:r>
        <w:t xml:space="preserve"> used within the country, although the exonym Persia remained in common usage in company correspondence and British press. Following the 1950s oil nationalisation crisis (described </w:t>
      </w:r>
      <w:r w:rsidR="00447E96">
        <w:t>below</w:t>
      </w:r>
      <w:r>
        <w:t xml:space="preserve">) and the company’s reduced role in the region it was renamed in 1954 as the British Petroleum Company, legally adopting a name already used for consumer branding and advertising </w:t>
      </w:r>
      <w:r>
        <w:fldChar w:fldCharType="begin"/>
      </w:r>
      <w:r>
        <w:instrText xml:space="preserve"> ADDIN EN.CITE &lt;EndNote&gt;&lt;Cite&gt;&lt;Author&gt;Bamberg&lt;/Author&gt;&lt;Year&gt;1994&lt;/Year&gt;&lt;RecNum&gt;1494&lt;/RecNum&gt;&lt;Pages&gt;552-553&lt;/Pages&gt;&lt;DisplayText&gt;(Bamberg 1994, 552-553)&lt;/DisplayText&gt;&lt;record&gt;&lt;rec-number&gt;1494&lt;/rec-number&gt;&lt;foreign-keys&gt;&lt;key app="EN" db-id="tpdvrsxvi90zzleszf5pxzx3s2ezv2szt9t0" timestamp="1663922195"&gt;1494&lt;/key&gt;&lt;/foreign-keys&gt;&lt;ref-type name="Book"&gt;6&lt;/ref-type&gt;&lt;contributors&gt;&lt;authors&gt;&lt;author&gt;Bamberg, James&lt;/author&gt;&lt;/authors&gt;&lt;/contributors&gt;&lt;titles&gt;&lt;title&gt;The History of the British Petroleum Company: Volume 2 The Anglo-Iranian Years, 1928-1954&lt;/title&gt;&lt;/titles&gt;&lt;dates&gt;&lt;year&gt;1994&lt;/year&gt;&lt;/dates&gt;&lt;pub-location&gt;Cambridge&lt;/pub-location&gt;&lt;publisher&gt;Cambridge University Press&lt;/publisher&gt;&lt;urls&gt;&lt;/urls&gt;&lt;/record&gt;&lt;/Cite&gt;&lt;/EndNote&gt;</w:instrText>
      </w:r>
      <w:r>
        <w:fldChar w:fldCharType="separate"/>
      </w:r>
      <w:r>
        <w:rPr>
          <w:noProof/>
        </w:rPr>
        <w:t>(Bamberg 1994, 552-553)</w:t>
      </w:r>
      <w:r>
        <w:fldChar w:fldCharType="end"/>
      </w:r>
      <w:r>
        <w:t>.</w:t>
      </w:r>
    </w:p>
  </w:footnote>
  <w:footnote w:id="2">
    <w:p w14:paraId="690C6784" w14:textId="25C32D1D" w:rsidR="00670628" w:rsidRDefault="00670628">
      <w:pPr>
        <w:pStyle w:val="FootnoteText"/>
      </w:pPr>
      <w:r>
        <w:rPr>
          <w:rStyle w:val="FootnoteReference"/>
        </w:rPr>
        <w:footnoteRef/>
      </w:r>
      <w:r>
        <w:t xml:space="preserve"> There is a growing library of humanities research that sits alongside scientific and social-scientific understanding of the causes and effects of anthropogenic change to our natural environment. In relation to petroleum, </w:t>
      </w:r>
      <w:r w:rsidR="006123D6">
        <w:t xml:space="preserve">the </w:t>
      </w:r>
      <w:r>
        <w:t xml:space="preserve">collections </w:t>
      </w:r>
      <w:r w:rsidRPr="00331A5D">
        <w:rPr>
          <w:i/>
          <w:iCs/>
        </w:rPr>
        <w:t>Oil Culture</w:t>
      </w:r>
      <w:r>
        <w:t xml:space="preserve"> </w:t>
      </w:r>
      <w:r>
        <w:fldChar w:fldCharType="begin"/>
      </w:r>
      <w:r>
        <w:instrText xml:space="preserve"> ADDIN EN.CITE &lt;EndNote&gt;&lt;Cite&gt;&lt;Author&gt;Barrett&lt;/Author&gt;&lt;Year&gt;2014&lt;/Year&gt;&lt;RecNum&gt;1524&lt;/RecNum&gt;&lt;DisplayText&gt;(Barrett and Worden 2014)&lt;/DisplayText&gt;&lt;record&gt;&lt;rec-number&gt;1524&lt;/rec-number&gt;&lt;foreign-keys&gt;&lt;key app="EN" db-id="tpdvrsxvi90zzleszf5pxzx3s2ezv2szt9t0" timestamp="1679324291"&gt;1524&lt;/key&gt;&lt;/foreign-keys&gt;&lt;ref-type name="Edited Book"&gt;28&lt;/ref-type&gt;&lt;contributors&gt;&lt;authors&gt;&lt;author&gt;Barrett, Ross&lt;/author&gt;&lt;author&gt;Worden, Daniel&lt;/author&gt;&lt;/authors&gt;&lt;/contributors&gt;&lt;titles&gt;&lt;title&gt;Oil Culture&lt;/title&gt;&lt;/titles&gt;&lt;dates&gt;&lt;year&gt;2014&lt;/year&gt;&lt;/dates&gt;&lt;pub-location&gt;Minneapolis&lt;/pub-location&gt;&lt;publisher&gt;University of Minnesota Press&lt;/publisher&gt;&lt;urls&gt;&lt;/urls&gt;&lt;/record&gt;&lt;/Cite&gt;&lt;/EndNote&gt;</w:instrText>
      </w:r>
      <w:r>
        <w:fldChar w:fldCharType="separate"/>
      </w:r>
      <w:r>
        <w:rPr>
          <w:noProof/>
        </w:rPr>
        <w:t>(Barrett and Worden 2014)</w:t>
      </w:r>
      <w:r>
        <w:fldChar w:fldCharType="end"/>
      </w:r>
      <w:r>
        <w:t xml:space="preserve"> and </w:t>
      </w:r>
      <w:proofErr w:type="spellStart"/>
      <w:r>
        <w:rPr>
          <w:i/>
          <w:iCs/>
        </w:rPr>
        <w:t>Petrocultures</w:t>
      </w:r>
      <w:proofErr w:type="spellEnd"/>
      <w:r>
        <w:rPr>
          <w:i/>
          <w:iCs/>
        </w:rPr>
        <w:t xml:space="preserve"> </w:t>
      </w:r>
      <w:r w:rsidRPr="00331A5D">
        <w:fldChar w:fldCharType="begin"/>
      </w:r>
      <w:r w:rsidRPr="00331A5D">
        <w:instrText xml:space="preserve"> ADDIN EN.CITE &lt;EndNote&gt;&lt;Cite&gt;&lt;Author&gt;Wilson&lt;/Author&gt;&lt;Year&gt;2017&lt;/Year&gt;&lt;RecNum&gt;1525&lt;/RecNum&gt;&lt;DisplayText&gt;(Wilson, Carlson, and Szeman 2017)&lt;/DisplayText&gt;&lt;record&gt;&lt;rec-number&gt;1525&lt;/rec-number&gt;&lt;foreign-keys&gt;&lt;key app="EN" db-id="tpdvrsxvi90zzleszf5pxzx3s2ezv2szt9t0" timestamp="1679324434"&gt;1525&lt;/key&gt;&lt;/foreign-keys&gt;&lt;ref-type name="Edited Book"&gt;28&lt;/ref-type&gt;&lt;contributors&gt;&lt;authors&gt;&lt;author&gt;Wilson, Sheena&lt;/author&gt;&lt;author&gt;Carlson, Adam&lt;/author&gt;&lt;author&gt;Szeman, Imre&lt;/author&gt;&lt;/authors&gt;&lt;/contributors&gt;&lt;titles&gt;&lt;title&gt;Petrocultures: Oil, Politics, Culture&lt;/title&gt;&lt;/titles&gt;&lt;dates&gt;&lt;year&gt;2017&lt;/year&gt;&lt;/dates&gt;&lt;pub-location&gt;Montreal&lt;/pub-location&gt;&lt;publisher&gt;McGill-Queen&amp;apos;s University Press&lt;/publisher&gt;&lt;urls&gt;&lt;/urls&gt;&lt;/record&gt;&lt;/Cite&gt;&lt;/EndNote&gt;</w:instrText>
      </w:r>
      <w:r w:rsidRPr="00331A5D">
        <w:fldChar w:fldCharType="separate"/>
      </w:r>
      <w:r w:rsidRPr="00331A5D">
        <w:rPr>
          <w:noProof/>
        </w:rPr>
        <w:t>(Wilson, Carlson, and Szeman 2017)</w:t>
      </w:r>
      <w:r w:rsidRPr="00331A5D">
        <w:fldChar w:fldCharType="end"/>
      </w:r>
      <w:r w:rsidR="006123D6">
        <w:t xml:space="preserve"> have been </w:t>
      </w:r>
      <w:r w:rsidR="000B65B3">
        <w:t xml:space="preserve">especially </w:t>
      </w:r>
      <w:r w:rsidR="006123D6">
        <w:t>influential</w:t>
      </w:r>
      <w:r>
        <w:t>.</w:t>
      </w:r>
    </w:p>
  </w:footnote>
  <w:footnote w:id="3">
    <w:p w14:paraId="4B570714" w14:textId="30E20C37" w:rsidR="00670628" w:rsidRPr="000B65B3" w:rsidRDefault="00670628">
      <w:pPr>
        <w:pStyle w:val="FootnoteText"/>
      </w:pPr>
      <w:r>
        <w:rPr>
          <w:rStyle w:val="FootnoteReference"/>
        </w:rPr>
        <w:footnoteRef/>
      </w:r>
      <w:r>
        <w:t xml:space="preserve"> In parallel with the growth in environmental humanities, film studies has seen increased attention to what are variously called “films that work” </w:t>
      </w:r>
      <w:r>
        <w:fldChar w:fldCharType="begin"/>
      </w:r>
      <w:r>
        <w:instrText xml:space="preserve"> ADDIN EN.CITE &lt;EndNote&gt;&lt;Cite&gt;&lt;Author&gt;Hediger&lt;/Author&gt;&lt;Year&gt;2009&lt;/Year&gt;&lt;RecNum&gt;1146&lt;/RecNum&gt;&lt;DisplayText&gt;(Hediger and Vonderau 2009)&lt;/DisplayText&gt;&lt;record&gt;&lt;rec-number&gt;1146&lt;/rec-number&gt;&lt;foreign-keys&gt;&lt;key app="EN" db-id="tpdvrsxvi90zzleszf5pxzx3s2ezv2szt9t0" timestamp="1533912166"&gt;1146&lt;/key&gt;&lt;/foreign-keys&gt;&lt;ref-type name="Edited Book"&gt;28&lt;/ref-type&gt;&lt;contributors&gt;&lt;authors&gt;&lt;author&gt;Hediger, Vinzenz &lt;/author&gt;&lt;author&gt;Vonderau, Patrick &lt;/author&gt;&lt;/authors&gt;&lt;/contributors&gt;&lt;titles&gt;&lt;title&gt;Films that Work: Industrial Film and the Productivity of Media&lt;/title&gt;&lt;/titles&gt;&lt;dates&gt;&lt;year&gt;2009&lt;/year&gt;&lt;/dates&gt;&lt;pub-location&gt;Amsterdam&lt;/pub-location&gt;&lt;publisher&gt;Amsterdam University Press&lt;/publisher&gt;&lt;urls&gt;&lt;/urls&gt;&lt;/record&gt;&lt;/Cite&gt;&lt;/EndNote&gt;</w:instrText>
      </w:r>
      <w:r>
        <w:fldChar w:fldCharType="separate"/>
      </w:r>
      <w:r>
        <w:rPr>
          <w:noProof/>
        </w:rPr>
        <w:t>(Hediger and Vonderau 2009)</w:t>
      </w:r>
      <w:r>
        <w:fldChar w:fldCharType="end"/>
      </w:r>
      <w:r>
        <w:t xml:space="preserve">, “useful cinema” </w:t>
      </w:r>
      <w:r>
        <w:fldChar w:fldCharType="begin"/>
      </w:r>
      <w:r>
        <w:instrText xml:space="preserve"> ADDIN EN.CITE &lt;EndNote&gt;&lt;Cite&gt;&lt;Author&gt;Acland&lt;/Author&gt;&lt;Year&gt;2011&lt;/Year&gt;&lt;RecNum&gt;1121&lt;/RecNum&gt;&lt;DisplayText&gt;(Acland and Wasson 2011)&lt;/DisplayText&gt;&lt;record&gt;&lt;rec-number&gt;1121&lt;/rec-number&gt;&lt;foreign-keys&gt;&lt;key app="EN" db-id="tpdvrsxvi90zzleszf5pxzx3s2ezv2szt9t0" timestamp="1510073154"&gt;1121&lt;/key&gt;&lt;/foreign-keys&gt;&lt;ref-type name="Edited Book"&gt;28&lt;/ref-type&gt;&lt;contributors&gt;&lt;authors&gt;&lt;author&gt;Acland, Charles R.&lt;/author&gt;&lt;author&gt;Wasson, Haidee&lt;/author&gt;&lt;/authors&gt;&lt;/contributors&gt;&lt;titles&gt;&lt;title&gt;Useful Cinema&lt;/title&gt;&lt;/titles&gt;&lt;dates&gt;&lt;year&gt;2011&lt;/year&gt;&lt;/dates&gt;&lt;pub-location&gt;Durham&lt;/pub-location&gt;&lt;publisher&gt;Duke University Press&lt;/publisher&gt;&lt;urls&gt;&lt;/urls&gt;&lt;/record&gt;&lt;/Cite&gt;&lt;/EndNote&gt;</w:instrText>
      </w:r>
      <w:r>
        <w:fldChar w:fldCharType="separate"/>
      </w:r>
      <w:r>
        <w:rPr>
          <w:noProof/>
        </w:rPr>
        <w:t>(Acland and Wasson 2011)</w:t>
      </w:r>
      <w:r>
        <w:fldChar w:fldCharType="end"/>
      </w:r>
      <w:r>
        <w:t xml:space="preserve">, “sponsored film” </w:t>
      </w:r>
      <w:r>
        <w:fldChar w:fldCharType="begin"/>
      </w:r>
      <w:r>
        <w:instrText xml:space="preserve"> ADDIN EN.CITE &lt;EndNote&gt;&lt;Cite&gt;&lt;Author&gt;Prelinger&lt;/Author&gt;&lt;Year&gt;2006&lt;/Year&gt;&lt;RecNum&gt;1148&lt;/RecNum&gt;&lt;DisplayText&gt;(Prelinger 2006)&lt;/DisplayText&gt;&lt;record&gt;&lt;rec-number&gt;1148&lt;/rec-number&gt;&lt;foreign-keys&gt;&lt;key app="EN" db-id="tpdvrsxvi90zzleszf5pxzx3s2ezv2szt9t0" timestamp="1533915237"&gt;1148&lt;/key&gt;&lt;/foreign-keys&gt;&lt;ref-type name="Book"&gt;6&lt;/ref-type&gt;&lt;contributors&gt;&lt;authors&gt;&lt;author&gt;Prelinger, Rick&lt;/author&gt;&lt;/authors&gt;&lt;/contributors&gt;&lt;titles&gt;&lt;title&gt;The field guide to sponsored films&lt;/title&gt;&lt;/titles&gt;&lt;dates&gt;&lt;year&gt;2006&lt;/year&gt;&lt;/dates&gt;&lt;pub-location&gt;San Francisco&lt;/pub-location&gt;&lt;publisher&gt;National Film Preservation Foundation&lt;/publisher&gt;&lt;urls&gt;&lt;/urls&gt;&lt;/record&gt;&lt;/Cite&gt;&lt;/EndNote&gt;</w:instrText>
      </w:r>
      <w:r>
        <w:fldChar w:fldCharType="separate"/>
      </w:r>
      <w:r>
        <w:rPr>
          <w:noProof/>
        </w:rPr>
        <w:t>(Prelinger 2006)</w:t>
      </w:r>
      <w:r>
        <w:fldChar w:fldCharType="end"/>
      </w:r>
      <w:r>
        <w:t xml:space="preserve">, or “non-theatrical film” </w:t>
      </w:r>
      <w:r>
        <w:fldChar w:fldCharType="begin"/>
      </w:r>
      <w:r>
        <w:instrText xml:space="preserve"> ADDIN EN.CITE &lt;EndNote&gt;&lt;Cite&gt;&lt;Author&gt;Slide&lt;/Author&gt;&lt;Year&gt;1992&lt;/Year&gt;&lt;RecNum&gt;1145&lt;/RecNum&gt;&lt;DisplayText&gt;(Slide 1992)&lt;/DisplayText&gt;&lt;record&gt;&lt;rec-number&gt;1145&lt;/rec-number&gt;&lt;foreign-keys&gt;&lt;key app="EN" db-id="tpdvrsxvi90zzleszf5pxzx3s2ezv2szt9t0" timestamp="1533910565"&gt;1145&lt;/key&gt;&lt;/foreign-keys&gt;&lt;ref-type name="Book"&gt;6&lt;/ref-type&gt;&lt;contributors&gt;&lt;authors&gt;&lt;author&gt;Slide, Anthony&lt;/author&gt;&lt;/authors&gt;&lt;/contributors&gt;&lt;titles&gt;&lt;title&gt;Before Video: A History of the Non-theatrical Film&lt;/title&gt;&lt;/titles&gt;&lt;dates&gt;&lt;year&gt;1992&lt;/year&gt;&lt;/dates&gt;&lt;pub-location&gt;New York&lt;/pub-location&gt;&lt;publisher&gt;Greenwood Press&lt;/publisher&gt;&lt;urls&gt;&lt;/urls&gt;&lt;/record&gt;&lt;/Cite&gt;&lt;/EndNote&gt;</w:instrText>
      </w:r>
      <w:r>
        <w:fldChar w:fldCharType="separate"/>
      </w:r>
      <w:r>
        <w:rPr>
          <w:noProof/>
        </w:rPr>
        <w:t>(Slide 1992)</w:t>
      </w:r>
      <w:r>
        <w:fldChar w:fldCharType="end"/>
      </w:r>
      <w:r>
        <w:t>.</w:t>
      </w:r>
      <w:r w:rsidR="000B65B3">
        <w:t xml:space="preserve"> The </w:t>
      </w:r>
      <w:proofErr w:type="spellStart"/>
      <w:r w:rsidR="000B65B3">
        <w:rPr>
          <w:i/>
          <w:iCs/>
        </w:rPr>
        <w:t>Petrocinema</w:t>
      </w:r>
      <w:proofErr w:type="spellEnd"/>
      <w:r w:rsidR="000B65B3">
        <w:rPr>
          <w:i/>
          <w:iCs/>
        </w:rPr>
        <w:t xml:space="preserve"> </w:t>
      </w:r>
      <w:r w:rsidR="000B65B3">
        <w:t xml:space="preserve">collection, and further work by its contributors, have fruitfully brought </w:t>
      </w:r>
      <w:proofErr w:type="spellStart"/>
      <w:r w:rsidR="000B65B3">
        <w:t>petroculture</w:t>
      </w:r>
      <w:proofErr w:type="spellEnd"/>
      <w:r w:rsidR="000B65B3">
        <w:t xml:space="preserve"> and useful cinema studies together.</w:t>
      </w:r>
    </w:p>
  </w:footnote>
  <w:footnote w:id="4">
    <w:p w14:paraId="66EB0E04" w14:textId="08132A83" w:rsidR="00670628" w:rsidRDefault="00670628">
      <w:pPr>
        <w:pStyle w:val="FootnoteText"/>
      </w:pPr>
      <w:r>
        <w:rPr>
          <w:rStyle w:val="FootnoteReference"/>
        </w:rPr>
        <w:footnoteRef/>
      </w:r>
      <w:r>
        <w:t xml:space="preserve"> While much of the interest in </w:t>
      </w:r>
      <w:r w:rsidR="00F61A49">
        <w:t>animated documentary</w:t>
      </w:r>
      <w:r>
        <w:t xml:space="preserve"> has been around contemporary examples that provide evocative and affective representation of the unseen or unseeable, such as mental states and memories, authors including Annabelle Honess Roe, Cristina Formenti, and </w:t>
      </w:r>
      <w:r w:rsidRPr="000D20FF">
        <w:t>Mihaela Mihailova</w:t>
      </w:r>
      <w:r>
        <w:t xml:space="preserve"> have contributed valuable insight into the types of factual and instructional historical work that is the focus here </w:t>
      </w:r>
      <w:r>
        <w:fldChar w:fldCharType="begin"/>
      </w:r>
      <w:r>
        <w:instrText xml:space="preserve"> ADDIN EN.CITE &lt;EndNote&gt;&lt;Cite&gt;&lt;Author&gt;Honess Roe&lt;/Author&gt;&lt;Year&gt;2013&lt;/Year&gt;&lt;RecNum&gt;1049&lt;/RecNum&gt;&lt;DisplayText&gt;(Honess Roe 2013; Mihailova 2019; Formenti 2022)&lt;/DisplayText&gt;&lt;record&gt;&lt;rec-number&gt;1049&lt;/rec-number&gt;&lt;foreign-keys&gt;&lt;key app="EN" db-id="tpdvrsxvi90zzleszf5pxzx3s2ezv2szt9t0" timestamp="1501837205"&gt;1049&lt;/key&gt;&lt;/foreign-keys&gt;&lt;ref-type name="Book"&gt;6&lt;/ref-type&gt;&lt;contributors&gt;&lt;authors&gt;&lt;author&gt;Honess Roe, Annabelle&lt;/author&gt;&lt;/authors&gt;&lt;/contributors&gt;&lt;titles&gt;&lt;title&gt;Animated Documentary&lt;/title&gt;&lt;/titles&gt;&lt;dates&gt;&lt;year&gt;2013&lt;/year&gt;&lt;/dates&gt;&lt;pub-location&gt;Basingstoke&lt;/pub-location&gt;&lt;publisher&gt;Palgrave Macmillan&lt;/publisher&gt;&lt;urls&gt;&lt;/urls&gt;&lt;/record&gt;&lt;/Cite&gt;&lt;Cite&gt;&lt;Author&gt;Mihailova&lt;/Author&gt;&lt;Year&gt;2019&lt;/Year&gt;&lt;RecNum&gt;1478&lt;/RecNum&gt;&lt;record&gt;&lt;rec-number&gt;1478&lt;/rec-number&gt;&lt;foreign-keys&gt;&lt;key app="EN" db-id="tpdvrsxvi90zzleszf5pxzx3s2ezv2szt9t0" timestamp="1663064356"&gt;1478&lt;/key&gt;&lt;/foreign-keys&gt;&lt;ref-type name="Book Section"&gt;5&lt;/ref-type&gt;&lt;contributors&gt;&lt;authors&gt;&lt;author&gt;Mihailova, Mihaela&lt;/author&gt;&lt;/authors&gt;&lt;secondary-authors&gt;&lt;author&gt;Jonathan Murray&lt;/author&gt;&lt;author&gt;Nea Ehrlich&lt;/author&gt;&lt;/secondary-authors&gt;&lt;/contributors&gt;&lt;titles&gt;&lt;title&gt;Before Sound, there was Soul: The Role of Animation in Silent Nonfiction Cinema&lt;/title&gt;&lt;secondary-title&gt;Drawn from life : issues and themes in animated documentary cinema&lt;/secondary-title&gt;&lt;/titles&gt;&lt;dates&gt;&lt;year&gt;2019&lt;/year&gt;&lt;/dates&gt;&lt;pub-location&gt;Edinburgh&lt;/pub-location&gt;&lt;publisher&gt;Edinburgh University Press&lt;/publisher&gt;&lt;urls&gt;&lt;/urls&gt;&lt;/record&gt;&lt;/Cite&gt;&lt;Cite&gt;&lt;Author&gt;Formenti&lt;/Author&gt;&lt;Year&gt;2022&lt;/Year&gt;&lt;RecNum&gt;1479&lt;/RecNum&gt;&lt;record&gt;&lt;rec-number&gt;1479&lt;/rec-number&gt;&lt;foreign-keys&gt;&lt;key app="EN" db-id="tpdvrsxvi90zzleszf5pxzx3s2ezv2szt9t0" timestamp="1663064412"&gt;1479&lt;/key&gt;&lt;/foreign-keys&gt;&lt;ref-type name="Book"&gt;6&lt;/ref-type&gt;&lt;contributors&gt;&lt;authors&gt;&lt;author&gt;Formenti, Cristina&lt;/author&gt;&lt;/authors&gt;&lt;/contributors&gt;&lt;titles&gt;&lt;title&gt;The Classical Animated Documentary and Its Contemporary Evolution&lt;/title&gt;&lt;/titles&gt;&lt;dates&gt;&lt;year&gt;2022&lt;/year&gt;&lt;/dates&gt;&lt;pub-location&gt;London&lt;/pub-location&gt;&lt;publisher&gt;Bloomsbury&lt;/publisher&gt;&lt;urls&gt;&lt;/urls&gt;&lt;/record&gt;&lt;/Cite&gt;&lt;/EndNote&gt;</w:instrText>
      </w:r>
      <w:r>
        <w:fldChar w:fldCharType="separate"/>
      </w:r>
      <w:r>
        <w:rPr>
          <w:noProof/>
        </w:rPr>
        <w:t>(Honess Roe 2013; Mihailova 2019; Formenti 2022)</w:t>
      </w:r>
      <w:r>
        <w:fldChar w:fldCharType="end"/>
      </w:r>
      <w:r w:rsidR="00CF2B40">
        <w:t xml:space="preserve"> building upon earlier accounts of animated documentary </w:t>
      </w:r>
      <w:r w:rsidR="00CF2B40">
        <w:fldChar w:fldCharType="begin"/>
      </w:r>
      <w:r w:rsidR="00CF2B40">
        <w:instrText xml:space="preserve"> ADDIN EN.CITE &lt;EndNote&gt;&lt;Cite&gt;&lt;Author&gt;Wells&lt;/Author&gt;&lt;Year&gt;1998&lt;/Year&gt;&lt;RecNum&gt;288&lt;/RecNum&gt;&lt;DisplayText&gt;(Wells 1998; Ward 2005)&lt;/DisplayText&gt;&lt;record&gt;&lt;rec-number&gt;288&lt;/rec-number&gt;&lt;foreign-keys&gt;&lt;key app="EN" db-id="tpdvrsxvi90zzleszf5pxzx3s2ezv2szt9t0" timestamp="1292939751"&gt;288&lt;/key&gt;&lt;/foreign-keys&gt;&lt;ref-type name="Book"&gt;6&lt;/ref-type&gt;&lt;contributors&gt;&lt;authors&gt;&lt;author&gt;Wells, Paul&lt;/author&gt;&lt;/authors&gt;&lt;/contributors&gt;&lt;titles&gt;&lt;title&gt;Understanding animation&lt;/title&gt;&lt;/titles&gt;&lt;pages&gt;x,265p.&lt;/pages&gt;&lt;keywords&gt;&lt;keyword&gt;Animated films History and criticism.&lt;/keyword&gt;&lt;/keywords&gt;&lt;dates&gt;&lt;year&gt;1998&lt;/year&gt;&lt;/dates&gt;&lt;pub-location&gt;Abingdon&lt;/pub-location&gt;&lt;publisher&gt;Routledge&lt;/publisher&gt;&lt;isbn&gt;0415115965 (cased) : No price&amp;#xD;0415115973 (pbk) : No price&lt;/isbn&gt;&lt;accession-num&gt;b9846956&lt;/accession-num&gt;&lt;call-num&gt;791.433 21&amp;#xD;British Library DSC 98/16327&amp;#xD;British Library HMNTS YC.1998.b.4286&lt;/call-num&gt;&lt;urls&gt;&lt;/urls&gt;&lt;/record&gt;&lt;/Cite&gt;&lt;Cite&gt;&lt;Author&gt;Ward&lt;/Author&gt;&lt;Year&gt;2005&lt;/Year&gt;&lt;RecNum&gt;1520&lt;/RecNum&gt;&lt;record&gt;&lt;rec-number&gt;1520&lt;/rec-number&gt;&lt;foreign-keys&gt;&lt;key app="EN" db-id="tpdvrsxvi90zzleszf5pxzx3s2ezv2szt9t0" timestamp="1679311153"&gt;1520&lt;/key&gt;&lt;/foreign-keys&gt;&lt;ref-type name="Book"&gt;6&lt;/ref-type&gt;&lt;contributors&gt;&lt;authors&gt;&lt;author&gt;Ward, Paul&lt;/author&gt;&lt;/authors&gt;&lt;/contributors&gt;&lt;titles&gt;&lt;title&gt;Documentary: The Margins of Reality&lt;/title&gt;&lt;/titles&gt;&lt;dates&gt;&lt;year&gt;2005&lt;/year&gt;&lt;/dates&gt;&lt;pub-location&gt;London&lt;/pub-location&gt;&lt;publisher&gt;Wallflower&lt;/publisher&gt;&lt;urls&gt;&lt;/urls&gt;&lt;/record&gt;&lt;/Cite&gt;&lt;/EndNote&gt;</w:instrText>
      </w:r>
      <w:r w:rsidR="00CF2B40">
        <w:fldChar w:fldCharType="separate"/>
      </w:r>
      <w:r w:rsidR="00CF2B40">
        <w:rPr>
          <w:noProof/>
        </w:rPr>
        <w:t>(Wells 1998; Ward 2005)</w:t>
      </w:r>
      <w:r w:rsidR="00CF2B40">
        <w:fldChar w:fldCharType="end"/>
      </w:r>
      <w:r w:rsidR="004A1184">
        <w:t>.</w:t>
      </w:r>
    </w:p>
  </w:footnote>
  <w:footnote w:id="5">
    <w:p w14:paraId="3605A8EB" w14:textId="596B4855" w:rsidR="00F241B8" w:rsidRDefault="00F241B8">
      <w:pPr>
        <w:pStyle w:val="FootnoteText"/>
      </w:pPr>
      <w:r>
        <w:rPr>
          <w:rStyle w:val="FootnoteReference"/>
        </w:rPr>
        <w:footnoteRef/>
      </w:r>
      <w:r>
        <w:t xml:space="preserve"> Most of these films can be viewed online on at </w:t>
      </w:r>
      <w:hyperlink r:id="rId1" w:history="1">
        <w:r w:rsidRPr="00434A60">
          <w:rPr>
            <w:rStyle w:val="Hyperlink"/>
          </w:rPr>
          <w:t>https://www.bpvideolibrary.com/</w:t>
        </w:r>
      </w:hyperlink>
      <w:r>
        <w:t xml:space="preserve"> </w:t>
      </w:r>
    </w:p>
  </w:footnote>
  <w:footnote w:id="6">
    <w:p w14:paraId="113729C3" w14:textId="6884808C" w:rsidR="003F3289" w:rsidRPr="0027436F" w:rsidRDefault="003F3289" w:rsidP="003F3289">
      <w:pPr>
        <w:pStyle w:val="FootnoteText"/>
      </w:pPr>
      <w:r>
        <w:rPr>
          <w:rStyle w:val="FootnoteReference"/>
        </w:rPr>
        <w:footnoteRef/>
      </w:r>
      <w:r w:rsidR="00076318">
        <w:t xml:space="preserve"> C</w:t>
      </w:r>
      <w:r>
        <w:t>ertificates for festival entries are included in many of the files in the Halas and Batchelor Special Collection held by the BFI – see BFI/HAB-1-22-4, BFI/HAB-1-32-2, BFI/HAB-1-42-2, BFI/HAB-1-45-1/2, BFI/HAB-1-46-3.</w:t>
      </w:r>
    </w:p>
  </w:footnote>
  <w:footnote w:id="7">
    <w:p w14:paraId="0F141E77" w14:textId="175F0CE3" w:rsidR="00433DC4" w:rsidRDefault="00433DC4">
      <w:pPr>
        <w:pStyle w:val="FootnoteText"/>
      </w:pPr>
      <w:r>
        <w:rPr>
          <w:rStyle w:val="FootnoteReference"/>
        </w:rPr>
        <w:footnoteRef/>
      </w:r>
      <w:r>
        <w:t xml:space="preserve"> For further exploration of these issues in relation to animated maps see </w:t>
      </w:r>
      <w:r>
        <w:fldChar w:fldCharType="begin"/>
      </w:r>
      <w:r>
        <w:instrText xml:space="preserve"> ADDIN EN.CITE &lt;EndNote&gt;&lt;Cite&gt;&lt;Author&gt;Fidotta&lt;/Author&gt;&lt;Year&gt;2014&lt;/Year&gt;&lt;RecNum&gt;1538&lt;/RecNum&gt;&lt;DisplayText&gt;(Fidotta 2014)&lt;/DisplayText&gt;&lt;record&gt;&lt;rec-number&gt;1538&lt;/rec-number&gt;&lt;foreign-keys&gt;&lt;key app="EN" db-id="tpdvrsxvi90zzleszf5pxzx3s2ezv2szt9t0" timestamp="1688040425"&gt;1538&lt;/key&gt;&lt;/foreign-keys&gt;&lt;ref-type name="Journal Article"&gt;17&lt;/ref-type&gt;&lt;contributors&gt;&lt;authors&gt;&lt;author&gt;Fidotta, Giuseppe&lt;/author&gt;&lt;/authors&gt;&lt;/contributors&gt;&lt;titles&gt;&lt;title&gt;Animated maps and the power of the trace&lt;/title&gt;&lt;secondary-title&gt;NECSUS: European Journal of Media Studies&lt;/secondary-title&gt;&lt;/titles&gt;&lt;periodical&gt;&lt;full-title&gt;NECSUS: European Journal of Media Studies&lt;/full-title&gt;&lt;/periodical&gt;&lt;pages&gt;267–298&lt;/pages&gt;&lt;volume&gt;3&lt;/volume&gt;&lt;number&gt;1&lt;/number&gt;&lt;dates&gt;&lt;year&gt;2014&lt;/year&gt;&lt;/dates&gt;&lt;urls&gt;&lt;/urls&gt;&lt;/record&gt;&lt;/Cite&gt;&lt;/EndNote&gt;</w:instrText>
      </w:r>
      <w:r>
        <w:fldChar w:fldCharType="separate"/>
      </w:r>
      <w:r>
        <w:rPr>
          <w:noProof/>
        </w:rPr>
        <w:t>(Fidotta 2014)</w:t>
      </w:r>
      <w:r>
        <w:fldChar w:fldCharType="end"/>
      </w:r>
      <w:r>
        <w:t>.</w:t>
      </w:r>
    </w:p>
  </w:footnote>
  <w:footnote w:id="8">
    <w:p w14:paraId="7A711827" w14:textId="01259D53" w:rsidR="00495A76" w:rsidRDefault="00495A76" w:rsidP="00495A76">
      <w:pPr>
        <w:pStyle w:val="FootnoteText"/>
      </w:pPr>
      <w:r>
        <w:rPr>
          <w:rStyle w:val="FootnoteReference"/>
        </w:rPr>
        <w:footnoteRef/>
      </w:r>
      <w:r>
        <w:t xml:space="preserve"> </w:t>
      </w:r>
      <w:proofErr w:type="spellStart"/>
      <w:r>
        <w:t>Malm</w:t>
      </w:r>
      <w:proofErr w:type="spellEnd"/>
      <w:r>
        <w:t xml:space="preserve"> and </w:t>
      </w:r>
      <w:proofErr w:type="spellStart"/>
      <w:r>
        <w:t>Esmailian</w:t>
      </w:r>
      <w:proofErr w:type="spellEnd"/>
      <w:r>
        <w:t xml:space="preserve"> provide a chronology of key events and broader context for the political history of Iran </w:t>
      </w:r>
      <w:r>
        <w:fldChar w:fldCharType="begin"/>
      </w:r>
      <w:r>
        <w:instrText xml:space="preserve"> ADDIN EN.CITE &lt;EndNote&gt;&lt;Cite&gt;&lt;Author&gt;Malm&lt;/Author&gt;&lt;Year&gt;2007&lt;/Year&gt;&lt;RecNum&gt;1522&lt;/RecNum&gt;&lt;DisplayText&gt;(Malm and Esmailian 2007)&lt;/DisplayText&gt;&lt;record&gt;&lt;rec-number&gt;1522&lt;/rec-number&gt;&lt;foreign-keys&gt;&lt;key app="EN" db-id="tpdvrsxvi90zzleszf5pxzx3s2ezv2szt9t0" timestamp="1679313564"&gt;1522&lt;/key&gt;&lt;/foreign-keys&gt;&lt;ref-type name="Book"&gt;6&lt;/ref-type&gt;&lt;contributors&gt;&lt;authors&gt;&lt;author&gt;Malm, Andreas&lt;/author&gt;&lt;author&gt;Esmailian, Shora&lt;/author&gt;&lt;/authors&gt;&lt;/contributors&gt;&lt;titles&gt;&lt;title&gt;Iran on the Brink: Rising Workers and Threats of War&lt;/title&gt;&lt;/titles&gt;&lt;dates&gt;&lt;year&gt;2007&lt;/year&gt;&lt;/dates&gt;&lt;pub-location&gt;London&lt;/pub-location&gt;&lt;publisher&gt;Pluto Press&lt;/publisher&gt;&lt;urls&gt;&lt;/urls&gt;&lt;/record&gt;&lt;/Cite&gt;&lt;/EndNote&gt;</w:instrText>
      </w:r>
      <w:r>
        <w:fldChar w:fldCharType="separate"/>
      </w:r>
      <w:r>
        <w:rPr>
          <w:noProof/>
        </w:rPr>
        <w:t>(Malm and Esmailian 2007)</w:t>
      </w:r>
      <w:r>
        <w:fldChar w:fldCharType="end"/>
      </w:r>
      <w:r>
        <w:t xml:space="preserve">. Bamberg’s official company history of BP provides a corporate perspective on these events </w:t>
      </w:r>
      <w:r>
        <w:fldChar w:fldCharType="begin"/>
      </w:r>
      <w:r>
        <w:instrText xml:space="preserve"> ADDIN EN.CITE &lt;EndNote&gt;&lt;Cite&gt;&lt;Author&gt;Bamberg&lt;/Author&gt;&lt;Year&gt;1994&lt;/Year&gt;&lt;RecNum&gt;1494&lt;/RecNum&gt;&lt;DisplayText&gt;(Bamberg 1994)&lt;/DisplayText&gt;&lt;record&gt;&lt;rec-number&gt;1494&lt;/rec-number&gt;&lt;foreign-keys&gt;&lt;key app="EN" db-id="tpdvrsxvi90zzleszf5pxzx3s2ezv2szt9t0" timestamp="1663922195"&gt;1494&lt;/key&gt;&lt;/foreign-keys&gt;&lt;ref-type name="Book"&gt;6&lt;/ref-type&gt;&lt;contributors&gt;&lt;authors&gt;&lt;author&gt;Bamberg, James&lt;/author&gt;&lt;/authors&gt;&lt;/contributors&gt;&lt;titles&gt;&lt;title&gt;The History of the British Petroleum Company: Volume 2 The Anglo-Iranian Years, 1928-1954&lt;/title&gt;&lt;/titles&gt;&lt;dates&gt;&lt;year&gt;1994&lt;/year&gt;&lt;/dates&gt;&lt;pub-location&gt;Cambridge&lt;/pub-location&gt;&lt;publisher&gt;Cambridge University Press&lt;/publisher&gt;&lt;urls&gt;&lt;/urls&gt;&lt;/record&gt;&lt;/Cite&gt;&lt;/EndNote&gt;</w:instrText>
      </w:r>
      <w:r>
        <w:fldChar w:fldCharType="separate"/>
      </w:r>
      <w:r>
        <w:rPr>
          <w:noProof/>
        </w:rPr>
        <w:t>(Bamberg 1994)</w:t>
      </w:r>
      <w:r>
        <w:fldChar w:fldCharType="end"/>
      </w:r>
      <w:r w:rsidR="00C33BC9">
        <w:t xml:space="preserve">, while </w:t>
      </w:r>
      <w:proofErr w:type="spellStart"/>
      <w:r w:rsidR="00C33BC9">
        <w:t>Shafiee</w:t>
      </w:r>
      <w:proofErr w:type="spellEnd"/>
      <w:r w:rsidR="00C33BC9">
        <w:t xml:space="preserve"> provides a sociotechnical perspective </w:t>
      </w:r>
      <w:r w:rsidR="00C33BC9">
        <w:fldChar w:fldCharType="begin"/>
      </w:r>
      <w:r w:rsidR="00C33BC9">
        <w:instrText xml:space="preserve"> ADDIN EN.CITE &lt;EndNote&gt;&lt;Cite&gt;&lt;Author&gt;Shafiee&lt;/Author&gt;&lt;Year&gt;2018&lt;/Year&gt;&lt;RecNum&gt;1535&lt;/RecNum&gt;&lt;DisplayText&gt;(Shafiee 2018b)&lt;/DisplayText&gt;&lt;record&gt;&lt;rec-number&gt;1535&lt;/rec-number&gt;&lt;foreign-keys&gt;&lt;key app="EN" db-id="tpdvrsxvi90zzleszf5pxzx3s2ezv2szt9t0" timestamp="1680019579"&gt;1535&lt;/key&gt;&lt;/foreign-keys&gt;&lt;ref-type name="Book"&gt;6&lt;/ref-type&gt;&lt;contributors&gt;&lt;authors&gt;&lt;author&gt;Shafiee, Katayoun&lt;/author&gt;&lt;/authors&gt;&lt;/contributors&gt;&lt;titles&gt;&lt;title&gt;Machineries of Oil : An Infrastructural History of BP in Iran,&lt;/title&gt;&lt;/titles&gt;&lt;dates&gt;&lt;year&gt;2018&lt;/year&gt;&lt;/dates&gt;&lt;pub-location&gt;Cambridge, MA&lt;/pub-location&gt;&lt;publisher&gt;MIT Press&lt;/publisher&gt;&lt;urls&gt;&lt;/urls&gt;&lt;/record&gt;&lt;/Cite&gt;&lt;/EndNote&gt;</w:instrText>
      </w:r>
      <w:r w:rsidR="00C33BC9">
        <w:fldChar w:fldCharType="separate"/>
      </w:r>
      <w:r w:rsidR="00C33BC9">
        <w:rPr>
          <w:noProof/>
        </w:rPr>
        <w:t>(Shafiee 2018b)</w:t>
      </w:r>
      <w:r w:rsidR="00C33BC9">
        <w:fldChar w:fldCharType="end"/>
      </w:r>
      <w:r>
        <w:t>.</w:t>
      </w:r>
    </w:p>
  </w:footnote>
  <w:footnote w:id="9">
    <w:p w14:paraId="6CCC945B" w14:textId="4167E0BF" w:rsidR="00DA4466" w:rsidRPr="0079202E" w:rsidRDefault="00DA4466">
      <w:pPr>
        <w:pStyle w:val="FootnoteText"/>
      </w:pPr>
      <w:r>
        <w:rPr>
          <w:rStyle w:val="FootnoteReference"/>
        </w:rPr>
        <w:footnoteRef/>
      </w:r>
      <w:r w:rsidR="0079202E">
        <w:t xml:space="preserve"> Comparable film </w:t>
      </w:r>
      <w:r w:rsidR="0079202E">
        <w:rPr>
          <w:i/>
          <w:iCs/>
        </w:rPr>
        <w:t>As Old as the Hills</w:t>
      </w:r>
      <w:r w:rsidR="0079202E">
        <w:t xml:space="preserve"> (1950) had an initial budget of £5000 (BP/183094 Invoice from Halas and Batchelor to AIOC 6 July 1949), the same price as quoted for </w:t>
      </w:r>
      <w:r w:rsidR="0079202E">
        <w:rPr>
          <w:i/>
          <w:iCs/>
        </w:rPr>
        <w:t xml:space="preserve">We’ve Come </w:t>
      </w:r>
      <w:r w:rsidR="00710C35">
        <w:rPr>
          <w:i/>
          <w:iCs/>
        </w:rPr>
        <w:t>a</w:t>
      </w:r>
      <w:r w:rsidR="0079202E">
        <w:rPr>
          <w:i/>
          <w:iCs/>
        </w:rPr>
        <w:t xml:space="preserve"> Long Way</w:t>
      </w:r>
      <w:r w:rsidR="0079202E">
        <w:t xml:space="preserve"> (1952) (BP/183149 Halas and Batchelor budget 16 February 1951)</w:t>
      </w:r>
    </w:p>
  </w:footnote>
  <w:footnote w:id="10">
    <w:p w14:paraId="7E2CCC01" w14:textId="77777777" w:rsidR="00AB0594" w:rsidRDefault="00AB0594" w:rsidP="00AB0594">
      <w:pPr>
        <w:pStyle w:val="FootnoteText"/>
      </w:pPr>
      <w:r>
        <w:rPr>
          <w:rStyle w:val="FootnoteReference"/>
        </w:rPr>
        <w:footnoteRef/>
      </w:r>
      <w:r>
        <w:t xml:space="preserve"> While John Halas did use the term “animated documentary” in other times and contexts </w:t>
      </w:r>
      <w:r>
        <w:fldChar w:fldCharType="begin"/>
      </w:r>
      <w:r>
        <w:instrText xml:space="preserve"> ADDIN EN.CITE &lt;EndNote&gt;&lt;Cite&gt;&lt;Author&gt;Formenti&lt;/Author&gt;&lt;Year&gt;2022&lt;/Year&gt;&lt;RecNum&gt;1479&lt;/RecNum&gt;&lt;Pages&gt;54-55&lt;/Pages&gt;&lt;DisplayText&gt;(Formenti 2022, 54-55)&lt;/DisplayText&gt;&lt;record&gt;&lt;rec-number&gt;1479&lt;/rec-number&gt;&lt;foreign-keys&gt;&lt;key app="EN" db-id="tpdvrsxvi90zzleszf5pxzx3s2ezv2szt9t0" timestamp="1663064412"&gt;1479&lt;/key&gt;&lt;/foreign-keys&gt;&lt;ref-type name="Book"&gt;6&lt;/ref-type&gt;&lt;contributors&gt;&lt;authors&gt;&lt;author&gt;Formenti, Cristina&lt;/author&gt;&lt;/authors&gt;&lt;/contributors&gt;&lt;titles&gt;&lt;title&gt;The Classical Animated Documentary and Its Contemporary Evolution&lt;/title&gt;&lt;/titles&gt;&lt;dates&gt;&lt;year&gt;2022&lt;/year&gt;&lt;/dates&gt;&lt;pub-location&gt;London&lt;/pub-location&gt;&lt;publisher&gt;Bloomsbury&lt;/publisher&gt;&lt;urls&gt;&lt;/urls&gt;&lt;/record&gt;&lt;/Cite&gt;&lt;/EndNote&gt;</w:instrText>
      </w:r>
      <w:r>
        <w:fldChar w:fldCharType="separate"/>
      </w:r>
      <w:r>
        <w:rPr>
          <w:noProof/>
        </w:rPr>
        <w:t>(Formenti 2022, 54-55)</w:t>
      </w:r>
      <w:r>
        <w:fldChar w:fldCharType="end"/>
      </w:r>
      <w:r>
        <w:t xml:space="preserve"> it is never used within the production materials for the films discussed in detail here, suggesting these animated petroleum films were understood as a distinctive form of filmmaking. The contemporary terms animated documentary, useful animation, and </w:t>
      </w:r>
      <w:proofErr w:type="spellStart"/>
      <w:r>
        <w:t>petroculture</w:t>
      </w:r>
      <w:proofErr w:type="spellEnd"/>
      <w:r>
        <w:t xml:space="preserve"> are retroactively applied here to clarify the historical perspectives.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A44B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A6D6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90E8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7010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E21D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2217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3A99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9C08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2C4B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C09F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6E5E2D"/>
    <w:multiLevelType w:val="hybridMultilevel"/>
    <w:tmpl w:val="49CEEF9E"/>
    <w:lvl w:ilvl="0" w:tplc="9AB6BB4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A85943"/>
    <w:multiLevelType w:val="hybridMultilevel"/>
    <w:tmpl w:val="E2AC6A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C5D0C07"/>
    <w:multiLevelType w:val="hybridMultilevel"/>
    <w:tmpl w:val="DD440E6E"/>
    <w:lvl w:ilvl="0" w:tplc="A388355E">
      <w:start w:val="1"/>
      <w:numFmt w:val="decimal"/>
      <w:pStyle w:val="Numberedlists"/>
      <w:lvlText w:val="(%1)"/>
      <w:lvlJc w:val="right"/>
      <w:pPr>
        <w:ind w:left="720" w:hanging="15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F03F78"/>
    <w:multiLevelType w:val="hybridMultilevel"/>
    <w:tmpl w:val="12F6C34A"/>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6" w15:restartNumberingAfterBreak="0">
    <w:nsid w:val="59B71815"/>
    <w:multiLevelType w:val="hybridMultilevel"/>
    <w:tmpl w:val="14B00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BD96BF8"/>
    <w:multiLevelType w:val="hybridMultilevel"/>
    <w:tmpl w:val="6382FEEA"/>
    <w:lvl w:ilvl="0" w:tplc="1B70FA46">
      <w:start w:val="1"/>
      <w:numFmt w:val="bullet"/>
      <w:pStyle w:val="Bulletedlis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D559A2"/>
    <w:multiLevelType w:val="hybridMultilevel"/>
    <w:tmpl w:val="BD4A4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DC639E"/>
    <w:multiLevelType w:val="hybridMultilevel"/>
    <w:tmpl w:val="CF44DE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02689290">
    <w:abstractNumId w:val="11"/>
  </w:num>
  <w:num w:numId="2" w16cid:durableId="1529759142">
    <w:abstractNumId w:val="14"/>
  </w:num>
  <w:num w:numId="3" w16cid:durableId="2057656533">
    <w:abstractNumId w:val="0"/>
  </w:num>
  <w:num w:numId="4" w16cid:durableId="1262761726">
    <w:abstractNumId w:val="1"/>
  </w:num>
  <w:num w:numId="5" w16cid:durableId="1998609174">
    <w:abstractNumId w:val="2"/>
  </w:num>
  <w:num w:numId="6" w16cid:durableId="1988778182">
    <w:abstractNumId w:val="3"/>
  </w:num>
  <w:num w:numId="7" w16cid:durableId="1759864343">
    <w:abstractNumId w:val="8"/>
  </w:num>
  <w:num w:numId="8" w16cid:durableId="925041064">
    <w:abstractNumId w:val="4"/>
  </w:num>
  <w:num w:numId="9" w16cid:durableId="508564287">
    <w:abstractNumId w:val="6"/>
  </w:num>
  <w:num w:numId="10" w16cid:durableId="1715155748">
    <w:abstractNumId w:val="5"/>
  </w:num>
  <w:num w:numId="11" w16cid:durableId="766583279">
    <w:abstractNumId w:val="9"/>
  </w:num>
  <w:num w:numId="12" w16cid:durableId="645665989">
    <w:abstractNumId w:val="7"/>
  </w:num>
  <w:num w:numId="13" w16cid:durableId="1873569261">
    <w:abstractNumId w:val="13"/>
  </w:num>
  <w:num w:numId="14" w16cid:durableId="1660301648">
    <w:abstractNumId w:val="17"/>
  </w:num>
  <w:num w:numId="15" w16cid:durableId="396325496">
    <w:abstractNumId w:val="19"/>
  </w:num>
  <w:num w:numId="16" w16cid:durableId="253320984">
    <w:abstractNumId w:val="16"/>
  </w:num>
  <w:num w:numId="17" w16cid:durableId="1632831922">
    <w:abstractNumId w:val="12"/>
  </w:num>
  <w:num w:numId="18" w16cid:durableId="1175611958">
    <w:abstractNumId w:val="15"/>
  </w:num>
  <w:num w:numId="19" w16cid:durableId="1682464080">
    <w:abstractNumId w:val="10"/>
  </w:num>
  <w:num w:numId="20" w16cid:durableId="16337061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icago 17th 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dvrsxvi90zzleszf5pxzx3s2ezv2szt9t0&quot;&gt;PhDEndNoteLibrary-Converted&lt;record-ids&gt;&lt;item&gt;288&lt;/item&gt;&lt;item&gt;774&lt;/item&gt;&lt;item&gt;775&lt;/item&gt;&lt;item&gt;778&lt;/item&gt;&lt;item&gt;779&lt;/item&gt;&lt;item&gt;781&lt;/item&gt;&lt;item&gt;785&lt;/item&gt;&lt;item&gt;1048&lt;/item&gt;&lt;item&gt;1049&lt;/item&gt;&lt;item&gt;1121&lt;/item&gt;&lt;item&gt;1122&lt;/item&gt;&lt;item&gt;1125&lt;/item&gt;&lt;item&gt;1134&lt;/item&gt;&lt;item&gt;1145&lt;/item&gt;&lt;item&gt;1146&lt;/item&gt;&lt;item&gt;1148&lt;/item&gt;&lt;item&gt;1324&lt;/item&gt;&lt;item&gt;1409&lt;/item&gt;&lt;item&gt;1410&lt;/item&gt;&lt;item&gt;1411&lt;/item&gt;&lt;item&gt;1477&lt;/item&gt;&lt;item&gt;1478&lt;/item&gt;&lt;item&gt;1479&lt;/item&gt;&lt;item&gt;1483&lt;/item&gt;&lt;item&gt;1484&lt;/item&gt;&lt;item&gt;1485&lt;/item&gt;&lt;item&gt;1487&lt;/item&gt;&lt;item&gt;1488&lt;/item&gt;&lt;item&gt;1489&lt;/item&gt;&lt;item&gt;1491&lt;/item&gt;&lt;item&gt;1492&lt;/item&gt;&lt;item&gt;1493&lt;/item&gt;&lt;item&gt;1494&lt;/item&gt;&lt;item&gt;1496&lt;/item&gt;&lt;item&gt;1497&lt;/item&gt;&lt;item&gt;1498&lt;/item&gt;&lt;item&gt;1499&lt;/item&gt;&lt;item&gt;1500&lt;/item&gt;&lt;item&gt;1520&lt;/item&gt;&lt;item&gt;1521&lt;/item&gt;&lt;item&gt;1522&lt;/item&gt;&lt;item&gt;1524&lt;/item&gt;&lt;item&gt;1525&lt;/item&gt;&lt;item&gt;1526&lt;/item&gt;&lt;item&gt;1528&lt;/item&gt;&lt;item&gt;1530&lt;/item&gt;&lt;item&gt;1532&lt;/item&gt;&lt;item&gt;1533&lt;/item&gt;&lt;item&gt;1535&lt;/item&gt;&lt;item&gt;1538&lt;/item&gt;&lt;item&gt;1539&lt;/item&gt;&lt;item&gt;1540&lt;/item&gt;&lt;item&gt;1541&lt;/item&gt;&lt;item&gt;1542&lt;/item&gt;&lt;item&gt;1543&lt;/item&gt;&lt;item&gt;1544&lt;/item&gt;&lt;item&gt;1545&lt;/item&gt;&lt;item&gt;1546&lt;/item&gt;&lt;/record-ids&gt;&lt;/item&gt;&lt;/Libraries&gt;"/>
  </w:docVars>
  <w:rsids>
    <w:rsidRoot w:val="00623814"/>
    <w:rsid w:val="000017C7"/>
    <w:rsid w:val="00005DAC"/>
    <w:rsid w:val="00006150"/>
    <w:rsid w:val="000103BB"/>
    <w:rsid w:val="00012049"/>
    <w:rsid w:val="00012AA4"/>
    <w:rsid w:val="00012FA4"/>
    <w:rsid w:val="0001675C"/>
    <w:rsid w:val="00017B7A"/>
    <w:rsid w:val="00020785"/>
    <w:rsid w:val="0002202B"/>
    <w:rsid w:val="00023100"/>
    <w:rsid w:val="00025EE3"/>
    <w:rsid w:val="00034144"/>
    <w:rsid w:val="0004098C"/>
    <w:rsid w:val="00041002"/>
    <w:rsid w:val="000517EE"/>
    <w:rsid w:val="0005353B"/>
    <w:rsid w:val="0005404A"/>
    <w:rsid w:val="00054229"/>
    <w:rsid w:val="00055925"/>
    <w:rsid w:val="0005753E"/>
    <w:rsid w:val="00062C38"/>
    <w:rsid w:val="00063136"/>
    <w:rsid w:val="000632A6"/>
    <w:rsid w:val="00065AA6"/>
    <w:rsid w:val="0006689E"/>
    <w:rsid w:val="00066FC0"/>
    <w:rsid w:val="00067D9D"/>
    <w:rsid w:val="00075645"/>
    <w:rsid w:val="00076318"/>
    <w:rsid w:val="00082174"/>
    <w:rsid w:val="00083658"/>
    <w:rsid w:val="00084C03"/>
    <w:rsid w:val="00085ABE"/>
    <w:rsid w:val="0008708F"/>
    <w:rsid w:val="00087F25"/>
    <w:rsid w:val="00090DA0"/>
    <w:rsid w:val="00092030"/>
    <w:rsid w:val="00094017"/>
    <w:rsid w:val="00094E19"/>
    <w:rsid w:val="000A42F3"/>
    <w:rsid w:val="000A4BEA"/>
    <w:rsid w:val="000A61A7"/>
    <w:rsid w:val="000A691A"/>
    <w:rsid w:val="000A7E60"/>
    <w:rsid w:val="000B0E95"/>
    <w:rsid w:val="000B1F40"/>
    <w:rsid w:val="000B474D"/>
    <w:rsid w:val="000B4B59"/>
    <w:rsid w:val="000B65B3"/>
    <w:rsid w:val="000C0229"/>
    <w:rsid w:val="000C0E74"/>
    <w:rsid w:val="000C5341"/>
    <w:rsid w:val="000C5A37"/>
    <w:rsid w:val="000C6193"/>
    <w:rsid w:val="000C7D4F"/>
    <w:rsid w:val="000C7D5E"/>
    <w:rsid w:val="000D011A"/>
    <w:rsid w:val="000D20FF"/>
    <w:rsid w:val="000D50CA"/>
    <w:rsid w:val="000D5D81"/>
    <w:rsid w:val="000D6116"/>
    <w:rsid w:val="000E01F0"/>
    <w:rsid w:val="000E0AB7"/>
    <w:rsid w:val="000E51E9"/>
    <w:rsid w:val="000E578B"/>
    <w:rsid w:val="000E5F56"/>
    <w:rsid w:val="000F0273"/>
    <w:rsid w:val="000F2D81"/>
    <w:rsid w:val="00100376"/>
    <w:rsid w:val="00101337"/>
    <w:rsid w:val="00101F1F"/>
    <w:rsid w:val="00103E51"/>
    <w:rsid w:val="00105684"/>
    <w:rsid w:val="0010772B"/>
    <w:rsid w:val="001118CD"/>
    <w:rsid w:val="00113871"/>
    <w:rsid w:val="0011634B"/>
    <w:rsid w:val="00116503"/>
    <w:rsid w:val="00123720"/>
    <w:rsid w:val="00125594"/>
    <w:rsid w:val="00126D6C"/>
    <w:rsid w:val="001319E1"/>
    <w:rsid w:val="00131EAA"/>
    <w:rsid w:val="001325AD"/>
    <w:rsid w:val="00132CCB"/>
    <w:rsid w:val="0013334E"/>
    <w:rsid w:val="00135275"/>
    <w:rsid w:val="001425E9"/>
    <w:rsid w:val="00146CF6"/>
    <w:rsid w:val="00150A51"/>
    <w:rsid w:val="0015658E"/>
    <w:rsid w:val="00157E56"/>
    <w:rsid w:val="00165AAD"/>
    <w:rsid w:val="00166B99"/>
    <w:rsid w:val="001672ED"/>
    <w:rsid w:val="00167F42"/>
    <w:rsid w:val="001726F9"/>
    <w:rsid w:val="00172B0E"/>
    <w:rsid w:val="00177AF7"/>
    <w:rsid w:val="001825A6"/>
    <w:rsid w:val="0018279F"/>
    <w:rsid w:val="00183595"/>
    <w:rsid w:val="00185CD4"/>
    <w:rsid w:val="00186D49"/>
    <w:rsid w:val="00192E96"/>
    <w:rsid w:val="00193C10"/>
    <w:rsid w:val="001A0236"/>
    <w:rsid w:val="001A10E8"/>
    <w:rsid w:val="001A6F78"/>
    <w:rsid w:val="001B567B"/>
    <w:rsid w:val="001C0C44"/>
    <w:rsid w:val="001C1DFC"/>
    <w:rsid w:val="001C3159"/>
    <w:rsid w:val="001C324F"/>
    <w:rsid w:val="001D307D"/>
    <w:rsid w:val="001D35B5"/>
    <w:rsid w:val="001D4567"/>
    <w:rsid w:val="001D775D"/>
    <w:rsid w:val="001D77C4"/>
    <w:rsid w:val="001F010A"/>
    <w:rsid w:val="001F19B8"/>
    <w:rsid w:val="001F3096"/>
    <w:rsid w:val="001F3C6E"/>
    <w:rsid w:val="001F3F01"/>
    <w:rsid w:val="001F4076"/>
    <w:rsid w:val="001F6C20"/>
    <w:rsid w:val="0020042D"/>
    <w:rsid w:val="00202EF0"/>
    <w:rsid w:val="00203477"/>
    <w:rsid w:val="002067E3"/>
    <w:rsid w:val="00207161"/>
    <w:rsid w:val="00207991"/>
    <w:rsid w:val="0021228D"/>
    <w:rsid w:val="002122FC"/>
    <w:rsid w:val="0022692E"/>
    <w:rsid w:val="00233B8D"/>
    <w:rsid w:val="00237AD5"/>
    <w:rsid w:val="002400DA"/>
    <w:rsid w:val="00240A61"/>
    <w:rsid w:val="002414B1"/>
    <w:rsid w:val="002418A6"/>
    <w:rsid w:val="00242743"/>
    <w:rsid w:val="00244B9E"/>
    <w:rsid w:val="002530F2"/>
    <w:rsid w:val="0025397B"/>
    <w:rsid w:val="0025639E"/>
    <w:rsid w:val="00257888"/>
    <w:rsid w:val="00260139"/>
    <w:rsid w:val="002601BA"/>
    <w:rsid w:val="002618DA"/>
    <w:rsid w:val="00262CC8"/>
    <w:rsid w:val="00264143"/>
    <w:rsid w:val="0026581D"/>
    <w:rsid w:val="00266B7C"/>
    <w:rsid w:val="002670FF"/>
    <w:rsid w:val="00271EEB"/>
    <w:rsid w:val="0027436F"/>
    <w:rsid w:val="002779F5"/>
    <w:rsid w:val="002845F2"/>
    <w:rsid w:val="0028522B"/>
    <w:rsid w:val="0029221F"/>
    <w:rsid w:val="00292972"/>
    <w:rsid w:val="002935DB"/>
    <w:rsid w:val="002940B9"/>
    <w:rsid w:val="00294711"/>
    <w:rsid w:val="00295909"/>
    <w:rsid w:val="00297293"/>
    <w:rsid w:val="002A0095"/>
    <w:rsid w:val="002A0F77"/>
    <w:rsid w:val="002A1117"/>
    <w:rsid w:val="002A282C"/>
    <w:rsid w:val="002A4AE9"/>
    <w:rsid w:val="002A54B4"/>
    <w:rsid w:val="002A5F95"/>
    <w:rsid w:val="002B001E"/>
    <w:rsid w:val="002B01FE"/>
    <w:rsid w:val="002B0C10"/>
    <w:rsid w:val="002B1501"/>
    <w:rsid w:val="002B25DE"/>
    <w:rsid w:val="002B4F0F"/>
    <w:rsid w:val="002B6500"/>
    <w:rsid w:val="002B722D"/>
    <w:rsid w:val="002B794D"/>
    <w:rsid w:val="002C053B"/>
    <w:rsid w:val="002C2A48"/>
    <w:rsid w:val="002C315D"/>
    <w:rsid w:val="002C4A1E"/>
    <w:rsid w:val="002C5038"/>
    <w:rsid w:val="002C78B1"/>
    <w:rsid w:val="002C7F70"/>
    <w:rsid w:val="002D2467"/>
    <w:rsid w:val="002D4302"/>
    <w:rsid w:val="002D6FE6"/>
    <w:rsid w:val="002D78FD"/>
    <w:rsid w:val="002E22EF"/>
    <w:rsid w:val="002E4789"/>
    <w:rsid w:val="002E56EF"/>
    <w:rsid w:val="002F2CBC"/>
    <w:rsid w:val="002F4481"/>
    <w:rsid w:val="00303AA6"/>
    <w:rsid w:val="003077AB"/>
    <w:rsid w:val="003122B7"/>
    <w:rsid w:val="0031280F"/>
    <w:rsid w:val="003129DB"/>
    <w:rsid w:val="00320B07"/>
    <w:rsid w:val="0032196C"/>
    <w:rsid w:val="00323A52"/>
    <w:rsid w:val="00324933"/>
    <w:rsid w:val="00326CCF"/>
    <w:rsid w:val="00331396"/>
    <w:rsid w:val="00331A5D"/>
    <w:rsid w:val="003321E0"/>
    <w:rsid w:val="00333542"/>
    <w:rsid w:val="00333587"/>
    <w:rsid w:val="003336B3"/>
    <w:rsid w:val="0033520A"/>
    <w:rsid w:val="00335B5F"/>
    <w:rsid w:val="00337A03"/>
    <w:rsid w:val="00340EF8"/>
    <w:rsid w:val="00341936"/>
    <w:rsid w:val="00341F21"/>
    <w:rsid w:val="00342DF7"/>
    <w:rsid w:val="003452A1"/>
    <w:rsid w:val="00345F7C"/>
    <w:rsid w:val="00346C8D"/>
    <w:rsid w:val="00347D84"/>
    <w:rsid w:val="0035105B"/>
    <w:rsid w:val="003518DE"/>
    <w:rsid w:val="003550A6"/>
    <w:rsid w:val="003554CC"/>
    <w:rsid w:val="003568FC"/>
    <w:rsid w:val="00356D27"/>
    <w:rsid w:val="00357650"/>
    <w:rsid w:val="003641E4"/>
    <w:rsid w:val="003649F8"/>
    <w:rsid w:val="0036519C"/>
    <w:rsid w:val="003652E8"/>
    <w:rsid w:val="003705CA"/>
    <w:rsid w:val="00374439"/>
    <w:rsid w:val="003749C4"/>
    <w:rsid w:val="00374A66"/>
    <w:rsid w:val="00375631"/>
    <w:rsid w:val="00380236"/>
    <w:rsid w:val="00383E58"/>
    <w:rsid w:val="003856C2"/>
    <w:rsid w:val="00385970"/>
    <w:rsid w:val="00385976"/>
    <w:rsid w:val="0038682A"/>
    <w:rsid w:val="0038707C"/>
    <w:rsid w:val="003875BF"/>
    <w:rsid w:val="003879E9"/>
    <w:rsid w:val="00390000"/>
    <w:rsid w:val="00390108"/>
    <w:rsid w:val="00390210"/>
    <w:rsid w:val="00394871"/>
    <w:rsid w:val="00396C50"/>
    <w:rsid w:val="00397348"/>
    <w:rsid w:val="003A07EE"/>
    <w:rsid w:val="003A15C4"/>
    <w:rsid w:val="003A2222"/>
    <w:rsid w:val="003A3285"/>
    <w:rsid w:val="003A3444"/>
    <w:rsid w:val="003B0831"/>
    <w:rsid w:val="003B244C"/>
    <w:rsid w:val="003B484D"/>
    <w:rsid w:val="003B4F1B"/>
    <w:rsid w:val="003B6779"/>
    <w:rsid w:val="003B6FE7"/>
    <w:rsid w:val="003C1C9A"/>
    <w:rsid w:val="003C412C"/>
    <w:rsid w:val="003D0D0C"/>
    <w:rsid w:val="003D7841"/>
    <w:rsid w:val="003E0B92"/>
    <w:rsid w:val="003E2D7B"/>
    <w:rsid w:val="003E3DF1"/>
    <w:rsid w:val="003E5680"/>
    <w:rsid w:val="003E586A"/>
    <w:rsid w:val="003E7695"/>
    <w:rsid w:val="003F3289"/>
    <w:rsid w:val="003F3FB0"/>
    <w:rsid w:val="003F448D"/>
    <w:rsid w:val="003F4F1C"/>
    <w:rsid w:val="003F5B90"/>
    <w:rsid w:val="003F6DB6"/>
    <w:rsid w:val="003F777A"/>
    <w:rsid w:val="004003FF"/>
    <w:rsid w:val="00401570"/>
    <w:rsid w:val="00402E03"/>
    <w:rsid w:val="00406EEB"/>
    <w:rsid w:val="0041092C"/>
    <w:rsid w:val="00413A6A"/>
    <w:rsid w:val="00415AC5"/>
    <w:rsid w:val="0041742E"/>
    <w:rsid w:val="00425C67"/>
    <w:rsid w:val="00426407"/>
    <w:rsid w:val="00427952"/>
    <w:rsid w:val="004300D0"/>
    <w:rsid w:val="00433DC4"/>
    <w:rsid w:val="00437ADF"/>
    <w:rsid w:val="00442A9A"/>
    <w:rsid w:val="004433D1"/>
    <w:rsid w:val="00444708"/>
    <w:rsid w:val="00447E96"/>
    <w:rsid w:val="004537F9"/>
    <w:rsid w:val="0045469F"/>
    <w:rsid w:val="004550AB"/>
    <w:rsid w:val="00461169"/>
    <w:rsid w:val="0046190A"/>
    <w:rsid w:val="00461A6A"/>
    <w:rsid w:val="00461E69"/>
    <w:rsid w:val="00463BD1"/>
    <w:rsid w:val="00464ED7"/>
    <w:rsid w:val="004655E8"/>
    <w:rsid w:val="00467127"/>
    <w:rsid w:val="004674B7"/>
    <w:rsid w:val="00467B4B"/>
    <w:rsid w:val="00467CE8"/>
    <w:rsid w:val="00470F42"/>
    <w:rsid w:val="00472679"/>
    <w:rsid w:val="0047418D"/>
    <w:rsid w:val="00474AE4"/>
    <w:rsid w:val="0048123A"/>
    <w:rsid w:val="004867DD"/>
    <w:rsid w:val="00487961"/>
    <w:rsid w:val="00490BBC"/>
    <w:rsid w:val="0049268B"/>
    <w:rsid w:val="0049445A"/>
    <w:rsid w:val="00495A76"/>
    <w:rsid w:val="004A01F9"/>
    <w:rsid w:val="004A1184"/>
    <w:rsid w:val="004A1569"/>
    <w:rsid w:val="004A1BD7"/>
    <w:rsid w:val="004A5940"/>
    <w:rsid w:val="004A7EB5"/>
    <w:rsid w:val="004B3099"/>
    <w:rsid w:val="004B46E9"/>
    <w:rsid w:val="004B4C0E"/>
    <w:rsid w:val="004B79DD"/>
    <w:rsid w:val="004C1C8D"/>
    <w:rsid w:val="004C22DA"/>
    <w:rsid w:val="004D0B3B"/>
    <w:rsid w:val="004D4466"/>
    <w:rsid w:val="004D533A"/>
    <w:rsid w:val="004D60A8"/>
    <w:rsid w:val="004D70F0"/>
    <w:rsid w:val="004D7A2D"/>
    <w:rsid w:val="004D7EF7"/>
    <w:rsid w:val="004E38C7"/>
    <w:rsid w:val="004E5B85"/>
    <w:rsid w:val="004E72C1"/>
    <w:rsid w:val="004F027B"/>
    <w:rsid w:val="004F0301"/>
    <w:rsid w:val="004F0472"/>
    <w:rsid w:val="004F0D95"/>
    <w:rsid w:val="004F3384"/>
    <w:rsid w:val="004F7797"/>
    <w:rsid w:val="004F7F2E"/>
    <w:rsid w:val="005004D9"/>
    <w:rsid w:val="00500CBD"/>
    <w:rsid w:val="00502AFA"/>
    <w:rsid w:val="00503125"/>
    <w:rsid w:val="00504CFE"/>
    <w:rsid w:val="005072E9"/>
    <w:rsid w:val="00514521"/>
    <w:rsid w:val="005156E9"/>
    <w:rsid w:val="005162B8"/>
    <w:rsid w:val="00517D56"/>
    <w:rsid w:val="005214CB"/>
    <w:rsid w:val="005218DB"/>
    <w:rsid w:val="0052212D"/>
    <w:rsid w:val="005236C9"/>
    <w:rsid w:val="00524D40"/>
    <w:rsid w:val="0052631B"/>
    <w:rsid w:val="00526A0F"/>
    <w:rsid w:val="005270BD"/>
    <w:rsid w:val="00532FCF"/>
    <w:rsid w:val="005343F7"/>
    <w:rsid w:val="00536407"/>
    <w:rsid w:val="00542390"/>
    <w:rsid w:val="00542B19"/>
    <w:rsid w:val="00546572"/>
    <w:rsid w:val="005550A4"/>
    <w:rsid w:val="00555B39"/>
    <w:rsid w:val="00560E34"/>
    <w:rsid w:val="00561076"/>
    <w:rsid w:val="00565EE2"/>
    <w:rsid w:val="0056666F"/>
    <w:rsid w:val="00570E2C"/>
    <w:rsid w:val="00573219"/>
    <w:rsid w:val="005732E2"/>
    <w:rsid w:val="0057357F"/>
    <w:rsid w:val="00574C0E"/>
    <w:rsid w:val="0057604C"/>
    <w:rsid w:val="00576AF4"/>
    <w:rsid w:val="00583D43"/>
    <w:rsid w:val="005877D7"/>
    <w:rsid w:val="0059098C"/>
    <w:rsid w:val="00596A41"/>
    <w:rsid w:val="005A4E49"/>
    <w:rsid w:val="005A53DD"/>
    <w:rsid w:val="005A734E"/>
    <w:rsid w:val="005A74A3"/>
    <w:rsid w:val="005B1327"/>
    <w:rsid w:val="005B25C9"/>
    <w:rsid w:val="005B2C59"/>
    <w:rsid w:val="005C08F1"/>
    <w:rsid w:val="005C2D60"/>
    <w:rsid w:val="005C40CC"/>
    <w:rsid w:val="005C44BB"/>
    <w:rsid w:val="005C716C"/>
    <w:rsid w:val="005D10F1"/>
    <w:rsid w:val="005D142B"/>
    <w:rsid w:val="005D52C7"/>
    <w:rsid w:val="005D6131"/>
    <w:rsid w:val="005E0A47"/>
    <w:rsid w:val="005E2BBA"/>
    <w:rsid w:val="005E7731"/>
    <w:rsid w:val="005F1717"/>
    <w:rsid w:val="005F1B10"/>
    <w:rsid w:val="005F2499"/>
    <w:rsid w:val="005F50F5"/>
    <w:rsid w:val="005F5A48"/>
    <w:rsid w:val="005F7D36"/>
    <w:rsid w:val="005F7F7E"/>
    <w:rsid w:val="006017FF"/>
    <w:rsid w:val="0060215B"/>
    <w:rsid w:val="006022B6"/>
    <w:rsid w:val="006063F8"/>
    <w:rsid w:val="00607F3E"/>
    <w:rsid w:val="006123D6"/>
    <w:rsid w:val="0061541F"/>
    <w:rsid w:val="00615674"/>
    <w:rsid w:val="00623814"/>
    <w:rsid w:val="00625453"/>
    <w:rsid w:val="00626917"/>
    <w:rsid w:val="00626DFD"/>
    <w:rsid w:val="00630F2B"/>
    <w:rsid w:val="006320F5"/>
    <w:rsid w:val="006331A2"/>
    <w:rsid w:val="00633C33"/>
    <w:rsid w:val="00636236"/>
    <w:rsid w:val="00637E44"/>
    <w:rsid w:val="00642120"/>
    <w:rsid w:val="00643142"/>
    <w:rsid w:val="00650445"/>
    <w:rsid w:val="00651BAD"/>
    <w:rsid w:val="006529D3"/>
    <w:rsid w:val="00652ACE"/>
    <w:rsid w:val="00652CFD"/>
    <w:rsid w:val="00653DBC"/>
    <w:rsid w:val="00654B47"/>
    <w:rsid w:val="006556E1"/>
    <w:rsid w:val="00656D7A"/>
    <w:rsid w:val="006608C1"/>
    <w:rsid w:val="00660AE3"/>
    <w:rsid w:val="00662CC4"/>
    <w:rsid w:val="00666125"/>
    <w:rsid w:val="00667153"/>
    <w:rsid w:val="00670628"/>
    <w:rsid w:val="006730B5"/>
    <w:rsid w:val="006739D1"/>
    <w:rsid w:val="00674933"/>
    <w:rsid w:val="00674A9E"/>
    <w:rsid w:val="00676E91"/>
    <w:rsid w:val="006772A4"/>
    <w:rsid w:val="00677961"/>
    <w:rsid w:val="0068057D"/>
    <w:rsid w:val="006855EC"/>
    <w:rsid w:val="00685BE1"/>
    <w:rsid w:val="00685C47"/>
    <w:rsid w:val="006862B5"/>
    <w:rsid w:val="006873F2"/>
    <w:rsid w:val="00691272"/>
    <w:rsid w:val="00692AB8"/>
    <w:rsid w:val="00694FCE"/>
    <w:rsid w:val="006951BA"/>
    <w:rsid w:val="00695DA4"/>
    <w:rsid w:val="0069638B"/>
    <w:rsid w:val="006A383D"/>
    <w:rsid w:val="006A41FA"/>
    <w:rsid w:val="006A4AD9"/>
    <w:rsid w:val="006A7FB3"/>
    <w:rsid w:val="006B092E"/>
    <w:rsid w:val="006B3FAB"/>
    <w:rsid w:val="006B4196"/>
    <w:rsid w:val="006B4AF9"/>
    <w:rsid w:val="006B4C26"/>
    <w:rsid w:val="006B6F73"/>
    <w:rsid w:val="006B733E"/>
    <w:rsid w:val="006C4099"/>
    <w:rsid w:val="006D069D"/>
    <w:rsid w:val="006D07D6"/>
    <w:rsid w:val="006D535A"/>
    <w:rsid w:val="006D6102"/>
    <w:rsid w:val="006E1996"/>
    <w:rsid w:val="006E5B19"/>
    <w:rsid w:val="006E5E33"/>
    <w:rsid w:val="006E78A5"/>
    <w:rsid w:val="006F187E"/>
    <w:rsid w:val="006F257E"/>
    <w:rsid w:val="006F2E1F"/>
    <w:rsid w:val="006F4F65"/>
    <w:rsid w:val="006F7917"/>
    <w:rsid w:val="0070035B"/>
    <w:rsid w:val="007003E1"/>
    <w:rsid w:val="00702619"/>
    <w:rsid w:val="00702880"/>
    <w:rsid w:val="00704206"/>
    <w:rsid w:val="00705782"/>
    <w:rsid w:val="00710C35"/>
    <w:rsid w:val="00712A55"/>
    <w:rsid w:val="007141B2"/>
    <w:rsid w:val="00715835"/>
    <w:rsid w:val="00717F5B"/>
    <w:rsid w:val="00720096"/>
    <w:rsid w:val="00720478"/>
    <w:rsid w:val="007235BD"/>
    <w:rsid w:val="00723B95"/>
    <w:rsid w:val="00725337"/>
    <w:rsid w:val="00732D8B"/>
    <w:rsid w:val="00735E99"/>
    <w:rsid w:val="0073647A"/>
    <w:rsid w:val="00736B25"/>
    <w:rsid w:val="0073765B"/>
    <w:rsid w:val="00750E8C"/>
    <w:rsid w:val="007510D2"/>
    <w:rsid w:val="007528BB"/>
    <w:rsid w:val="00752F3F"/>
    <w:rsid w:val="007541C3"/>
    <w:rsid w:val="007542C9"/>
    <w:rsid w:val="007556EA"/>
    <w:rsid w:val="00756113"/>
    <w:rsid w:val="00756D32"/>
    <w:rsid w:val="00756DAC"/>
    <w:rsid w:val="007611CA"/>
    <w:rsid w:val="00761AD6"/>
    <w:rsid w:val="0076282C"/>
    <w:rsid w:val="0076349E"/>
    <w:rsid w:val="007645FC"/>
    <w:rsid w:val="00764DB3"/>
    <w:rsid w:val="00774F11"/>
    <w:rsid w:val="00775057"/>
    <w:rsid w:val="00780D91"/>
    <w:rsid w:val="00783CC8"/>
    <w:rsid w:val="00784172"/>
    <w:rsid w:val="0078685C"/>
    <w:rsid w:val="0079058E"/>
    <w:rsid w:val="007907EB"/>
    <w:rsid w:val="00790F3A"/>
    <w:rsid w:val="0079202E"/>
    <w:rsid w:val="007931AD"/>
    <w:rsid w:val="007959E3"/>
    <w:rsid w:val="0079677C"/>
    <w:rsid w:val="007978F3"/>
    <w:rsid w:val="007A0E10"/>
    <w:rsid w:val="007A1DC1"/>
    <w:rsid w:val="007A2E48"/>
    <w:rsid w:val="007A32AD"/>
    <w:rsid w:val="007A3859"/>
    <w:rsid w:val="007A401D"/>
    <w:rsid w:val="007A572B"/>
    <w:rsid w:val="007A57DF"/>
    <w:rsid w:val="007A6045"/>
    <w:rsid w:val="007A75FA"/>
    <w:rsid w:val="007A77D4"/>
    <w:rsid w:val="007B2660"/>
    <w:rsid w:val="007B543F"/>
    <w:rsid w:val="007B66F5"/>
    <w:rsid w:val="007B7155"/>
    <w:rsid w:val="007C0339"/>
    <w:rsid w:val="007C090C"/>
    <w:rsid w:val="007C126E"/>
    <w:rsid w:val="007C12E7"/>
    <w:rsid w:val="007C3364"/>
    <w:rsid w:val="007C72FF"/>
    <w:rsid w:val="007C78AA"/>
    <w:rsid w:val="007D0D5D"/>
    <w:rsid w:val="007D18CA"/>
    <w:rsid w:val="007D3BD6"/>
    <w:rsid w:val="007D4B3A"/>
    <w:rsid w:val="007E036F"/>
    <w:rsid w:val="007E0819"/>
    <w:rsid w:val="007E268E"/>
    <w:rsid w:val="007E3DCB"/>
    <w:rsid w:val="007F0FF0"/>
    <w:rsid w:val="007F4006"/>
    <w:rsid w:val="007F48C9"/>
    <w:rsid w:val="007F4F98"/>
    <w:rsid w:val="00800E59"/>
    <w:rsid w:val="0080134E"/>
    <w:rsid w:val="00801978"/>
    <w:rsid w:val="008031F8"/>
    <w:rsid w:val="008074A6"/>
    <w:rsid w:val="00811B12"/>
    <w:rsid w:val="00811D7A"/>
    <w:rsid w:val="00811FC8"/>
    <w:rsid w:val="0082087E"/>
    <w:rsid w:val="00820ABC"/>
    <w:rsid w:val="00821103"/>
    <w:rsid w:val="0082254A"/>
    <w:rsid w:val="00825F1F"/>
    <w:rsid w:val="008343FD"/>
    <w:rsid w:val="00835802"/>
    <w:rsid w:val="008363F9"/>
    <w:rsid w:val="00837569"/>
    <w:rsid w:val="00841ECB"/>
    <w:rsid w:val="00854604"/>
    <w:rsid w:val="00854BC7"/>
    <w:rsid w:val="00856173"/>
    <w:rsid w:val="008601C2"/>
    <w:rsid w:val="00862D3B"/>
    <w:rsid w:val="008632C8"/>
    <w:rsid w:val="00867E62"/>
    <w:rsid w:val="00870C76"/>
    <w:rsid w:val="00872235"/>
    <w:rsid w:val="00874262"/>
    <w:rsid w:val="008763ED"/>
    <w:rsid w:val="008773A7"/>
    <w:rsid w:val="00877990"/>
    <w:rsid w:val="0088110E"/>
    <w:rsid w:val="008875B7"/>
    <w:rsid w:val="00887981"/>
    <w:rsid w:val="008909BD"/>
    <w:rsid w:val="0089252B"/>
    <w:rsid w:val="008960EE"/>
    <w:rsid w:val="00896133"/>
    <w:rsid w:val="00896363"/>
    <w:rsid w:val="008A016D"/>
    <w:rsid w:val="008A0AE2"/>
    <w:rsid w:val="008A121A"/>
    <w:rsid w:val="008A500A"/>
    <w:rsid w:val="008A6975"/>
    <w:rsid w:val="008A770F"/>
    <w:rsid w:val="008B26E0"/>
    <w:rsid w:val="008B4399"/>
    <w:rsid w:val="008B4B1E"/>
    <w:rsid w:val="008B548F"/>
    <w:rsid w:val="008B60BE"/>
    <w:rsid w:val="008B637C"/>
    <w:rsid w:val="008B6E29"/>
    <w:rsid w:val="008C05D1"/>
    <w:rsid w:val="008C1260"/>
    <w:rsid w:val="008D0BAE"/>
    <w:rsid w:val="008D2452"/>
    <w:rsid w:val="008D5521"/>
    <w:rsid w:val="008D5A12"/>
    <w:rsid w:val="008D5AE3"/>
    <w:rsid w:val="008D751A"/>
    <w:rsid w:val="008E0FE9"/>
    <w:rsid w:val="008E1DF8"/>
    <w:rsid w:val="008E37E8"/>
    <w:rsid w:val="008E3805"/>
    <w:rsid w:val="008E3CF6"/>
    <w:rsid w:val="008E6EED"/>
    <w:rsid w:val="008E6FED"/>
    <w:rsid w:val="008E7F5F"/>
    <w:rsid w:val="008F03A4"/>
    <w:rsid w:val="008F4902"/>
    <w:rsid w:val="008F5D99"/>
    <w:rsid w:val="008F6878"/>
    <w:rsid w:val="009005F2"/>
    <w:rsid w:val="00903B7D"/>
    <w:rsid w:val="00903CEE"/>
    <w:rsid w:val="00904887"/>
    <w:rsid w:val="00910508"/>
    <w:rsid w:val="00911B85"/>
    <w:rsid w:val="009152B9"/>
    <w:rsid w:val="0091615C"/>
    <w:rsid w:val="009243E3"/>
    <w:rsid w:val="00924B59"/>
    <w:rsid w:val="00925F22"/>
    <w:rsid w:val="009265CF"/>
    <w:rsid w:val="00926642"/>
    <w:rsid w:val="00933A79"/>
    <w:rsid w:val="00934DC7"/>
    <w:rsid w:val="009359CD"/>
    <w:rsid w:val="00941495"/>
    <w:rsid w:val="00941BD4"/>
    <w:rsid w:val="009426F8"/>
    <w:rsid w:val="0094377E"/>
    <w:rsid w:val="00944F0E"/>
    <w:rsid w:val="00946C8A"/>
    <w:rsid w:val="00946F86"/>
    <w:rsid w:val="00951A76"/>
    <w:rsid w:val="00951C30"/>
    <w:rsid w:val="00953D8B"/>
    <w:rsid w:val="00956591"/>
    <w:rsid w:val="0095737C"/>
    <w:rsid w:val="00962019"/>
    <w:rsid w:val="0096210B"/>
    <w:rsid w:val="00962739"/>
    <w:rsid w:val="009630D3"/>
    <w:rsid w:val="0096534D"/>
    <w:rsid w:val="009705DB"/>
    <w:rsid w:val="009717B6"/>
    <w:rsid w:val="00973B3B"/>
    <w:rsid w:val="0097459D"/>
    <w:rsid w:val="00977328"/>
    <w:rsid w:val="00983865"/>
    <w:rsid w:val="00983A91"/>
    <w:rsid w:val="00984E48"/>
    <w:rsid w:val="009859E0"/>
    <w:rsid w:val="00987CFF"/>
    <w:rsid w:val="00990B6C"/>
    <w:rsid w:val="0099104F"/>
    <w:rsid w:val="00991559"/>
    <w:rsid w:val="00996D31"/>
    <w:rsid w:val="009A10B5"/>
    <w:rsid w:val="009A1677"/>
    <w:rsid w:val="009A2C8E"/>
    <w:rsid w:val="009A3445"/>
    <w:rsid w:val="009A36D1"/>
    <w:rsid w:val="009A555E"/>
    <w:rsid w:val="009A57F3"/>
    <w:rsid w:val="009A5AE9"/>
    <w:rsid w:val="009A6393"/>
    <w:rsid w:val="009B26EE"/>
    <w:rsid w:val="009B3599"/>
    <w:rsid w:val="009C0F6E"/>
    <w:rsid w:val="009C2672"/>
    <w:rsid w:val="009D007F"/>
    <w:rsid w:val="009D36CC"/>
    <w:rsid w:val="009D57A6"/>
    <w:rsid w:val="009E0A5C"/>
    <w:rsid w:val="009E3002"/>
    <w:rsid w:val="009E6E50"/>
    <w:rsid w:val="009F3037"/>
    <w:rsid w:val="009F7C4C"/>
    <w:rsid w:val="00A006C9"/>
    <w:rsid w:val="00A0332F"/>
    <w:rsid w:val="00A0675A"/>
    <w:rsid w:val="00A074EA"/>
    <w:rsid w:val="00A07B07"/>
    <w:rsid w:val="00A1227C"/>
    <w:rsid w:val="00A12C65"/>
    <w:rsid w:val="00A20CEF"/>
    <w:rsid w:val="00A2114E"/>
    <w:rsid w:val="00A2155C"/>
    <w:rsid w:val="00A26E67"/>
    <w:rsid w:val="00A270BA"/>
    <w:rsid w:val="00A31E9C"/>
    <w:rsid w:val="00A36214"/>
    <w:rsid w:val="00A36660"/>
    <w:rsid w:val="00A40C51"/>
    <w:rsid w:val="00A41E0C"/>
    <w:rsid w:val="00A428C8"/>
    <w:rsid w:val="00A42AD9"/>
    <w:rsid w:val="00A50F10"/>
    <w:rsid w:val="00A528DB"/>
    <w:rsid w:val="00A5358D"/>
    <w:rsid w:val="00A539ED"/>
    <w:rsid w:val="00A55056"/>
    <w:rsid w:val="00A5570C"/>
    <w:rsid w:val="00A563F1"/>
    <w:rsid w:val="00A56805"/>
    <w:rsid w:val="00A56F6B"/>
    <w:rsid w:val="00A57AC2"/>
    <w:rsid w:val="00A61335"/>
    <w:rsid w:val="00A62A85"/>
    <w:rsid w:val="00A63298"/>
    <w:rsid w:val="00A65883"/>
    <w:rsid w:val="00A6616A"/>
    <w:rsid w:val="00A70C9F"/>
    <w:rsid w:val="00A73407"/>
    <w:rsid w:val="00A73E18"/>
    <w:rsid w:val="00A74995"/>
    <w:rsid w:val="00A84CD3"/>
    <w:rsid w:val="00A84D4A"/>
    <w:rsid w:val="00A863CB"/>
    <w:rsid w:val="00A87A0E"/>
    <w:rsid w:val="00A90C86"/>
    <w:rsid w:val="00A921F7"/>
    <w:rsid w:val="00A95144"/>
    <w:rsid w:val="00A961B2"/>
    <w:rsid w:val="00A96286"/>
    <w:rsid w:val="00A9708E"/>
    <w:rsid w:val="00A97A9E"/>
    <w:rsid w:val="00AA1774"/>
    <w:rsid w:val="00AA3928"/>
    <w:rsid w:val="00AA401F"/>
    <w:rsid w:val="00AA46EA"/>
    <w:rsid w:val="00AA4BB4"/>
    <w:rsid w:val="00AA670F"/>
    <w:rsid w:val="00AB0594"/>
    <w:rsid w:val="00AB0E2B"/>
    <w:rsid w:val="00AB162C"/>
    <w:rsid w:val="00AB31EE"/>
    <w:rsid w:val="00AB49CD"/>
    <w:rsid w:val="00AC0901"/>
    <w:rsid w:val="00AC6556"/>
    <w:rsid w:val="00AC7042"/>
    <w:rsid w:val="00AC72C0"/>
    <w:rsid w:val="00AD0316"/>
    <w:rsid w:val="00AD038A"/>
    <w:rsid w:val="00AD165F"/>
    <w:rsid w:val="00AD1E81"/>
    <w:rsid w:val="00AE24A5"/>
    <w:rsid w:val="00AE256C"/>
    <w:rsid w:val="00AE2674"/>
    <w:rsid w:val="00AE2CCC"/>
    <w:rsid w:val="00AE4173"/>
    <w:rsid w:val="00AE637E"/>
    <w:rsid w:val="00AF381F"/>
    <w:rsid w:val="00AF463F"/>
    <w:rsid w:val="00AF4A92"/>
    <w:rsid w:val="00AF5B0A"/>
    <w:rsid w:val="00AF5F07"/>
    <w:rsid w:val="00AF69E9"/>
    <w:rsid w:val="00AF7BBB"/>
    <w:rsid w:val="00B03379"/>
    <w:rsid w:val="00B0354C"/>
    <w:rsid w:val="00B0390F"/>
    <w:rsid w:val="00B04F26"/>
    <w:rsid w:val="00B05426"/>
    <w:rsid w:val="00B0594F"/>
    <w:rsid w:val="00B07C80"/>
    <w:rsid w:val="00B14D66"/>
    <w:rsid w:val="00B17CE7"/>
    <w:rsid w:val="00B251D0"/>
    <w:rsid w:val="00B253B7"/>
    <w:rsid w:val="00B26056"/>
    <w:rsid w:val="00B3003B"/>
    <w:rsid w:val="00B3165F"/>
    <w:rsid w:val="00B338C6"/>
    <w:rsid w:val="00B352A1"/>
    <w:rsid w:val="00B407CA"/>
    <w:rsid w:val="00B41056"/>
    <w:rsid w:val="00B41F90"/>
    <w:rsid w:val="00B44F15"/>
    <w:rsid w:val="00B516DA"/>
    <w:rsid w:val="00B51DBB"/>
    <w:rsid w:val="00B53757"/>
    <w:rsid w:val="00B53F94"/>
    <w:rsid w:val="00B545A8"/>
    <w:rsid w:val="00B56BFE"/>
    <w:rsid w:val="00B60800"/>
    <w:rsid w:val="00B63258"/>
    <w:rsid w:val="00B64EFC"/>
    <w:rsid w:val="00B65DF4"/>
    <w:rsid w:val="00B6636D"/>
    <w:rsid w:val="00B66B6A"/>
    <w:rsid w:val="00B678BA"/>
    <w:rsid w:val="00B67D11"/>
    <w:rsid w:val="00B71051"/>
    <w:rsid w:val="00B7369A"/>
    <w:rsid w:val="00B73CCA"/>
    <w:rsid w:val="00B7451B"/>
    <w:rsid w:val="00B7496A"/>
    <w:rsid w:val="00B751F8"/>
    <w:rsid w:val="00B75DE8"/>
    <w:rsid w:val="00B84B80"/>
    <w:rsid w:val="00B87955"/>
    <w:rsid w:val="00B901B6"/>
    <w:rsid w:val="00B906E0"/>
    <w:rsid w:val="00B921E3"/>
    <w:rsid w:val="00B94B47"/>
    <w:rsid w:val="00B96C80"/>
    <w:rsid w:val="00BA1280"/>
    <w:rsid w:val="00BA3EE7"/>
    <w:rsid w:val="00BA72A5"/>
    <w:rsid w:val="00BB0C38"/>
    <w:rsid w:val="00BB11AD"/>
    <w:rsid w:val="00BB2DC2"/>
    <w:rsid w:val="00BB6634"/>
    <w:rsid w:val="00BC769F"/>
    <w:rsid w:val="00BD29DB"/>
    <w:rsid w:val="00BD3D56"/>
    <w:rsid w:val="00BD46C6"/>
    <w:rsid w:val="00BD4EFF"/>
    <w:rsid w:val="00BD74C0"/>
    <w:rsid w:val="00BD7720"/>
    <w:rsid w:val="00BE0C2B"/>
    <w:rsid w:val="00BE14EA"/>
    <w:rsid w:val="00BE1801"/>
    <w:rsid w:val="00BE26E9"/>
    <w:rsid w:val="00BE2A24"/>
    <w:rsid w:val="00BE2A63"/>
    <w:rsid w:val="00BE35E7"/>
    <w:rsid w:val="00BE3739"/>
    <w:rsid w:val="00BE39FE"/>
    <w:rsid w:val="00BE57E4"/>
    <w:rsid w:val="00BE5CA7"/>
    <w:rsid w:val="00BE66EF"/>
    <w:rsid w:val="00BE7287"/>
    <w:rsid w:val="00BE7953"/>
    <w:rsid w:val="00BF6D4A"/>
    <w:rsid w:val="00BF7DA5"/>
    <w:rsid w:val="00C0093B"/>
    <w:rsid w:val="00C0404A"/>
    <w:rsid w:val="00C11D40"/>
    <w:rsid w:val="00C157AB"/>
    <w:rsid w:val="00C15B1E"/>
    <w:rsid w:val="00C1643F"/>
    <w:rsid w:val="00C16CD1"/>
    <w:rsid w:val="00C173C6"/>
    <w:rsid w:val="00C20A94"/>
    <w:rsid w:val="00C215E5"/>
    <w:rsid w:val="00C22907"/>
    <w:rsid w:val="00C25322"/>
    <w:rsid w:val="00C2573B"/>
    <w:rsid w:val="00C25A0A"/>
    <w:rsid w:val="00C3330A"/>
    <w:rsid w:val="00C33516"/>
    <w:rsid w:val="00C33BC9"/>
    <w:rsid w:val="00C34437"/>
    <w:rsid w:val="00C34B60"/>
    <w:rsid w:val="00C35047"/>
    <w:rsid w:val="00C4228C"/>
    <w:rsid w:val="00C44A1D"/>
    <w:rsid w:val="00C45208"/>
    <w:rsid w:val="00C46291"/>
    <w:rsid w:val="00C4780F"/>
    <w:rsid w:val="00C47996"/>
    <w:rsid w:val="00C51B83"/>
    <w:rsid w:val="00C55A2F"/>
    <w:rsid w:val="00C56B18"/>
    <w:rsid w:val="00C56CDE"/>
    <w:rsid w:val="00C5783D"/>
    <w:rsid w:val="00C57E5C"/>
    <w:rsid w:val="00C57EB2"/>
    <w:rsid w:val="00C6267B"/>
    <w:rsid w:val="00C62B12"/>
    <w:rsid w:val="00C63692"/>
    <w:rsid w:val="00C63984"/>
    <w:rsid w:val="00C67706"/>
    <w:rsid w:val="00C70457"/>
    <w:rsid w:val="00C7098B"/>
    <w:rsid w:val="00C719AE"/>
    <w:rsid w:val="00C743B8"/>
    <w:rsid w:val="00C74B6C"/>
    <w:rsid w:val="00C76525"/>
    <w:rsid w:val="00C76F05"/>
    <w:rsid w:val="00C77429"/>
    <w:rsid w:val="00C77846"/>
    <w:rsid w:val="00C82C16"/>
    <w:rsid w:val="00C8323F"/>
    <w:rsid w:val="00C85D80"/>
    <w:rsid w:val="00C8610B"/>
    <w:rsid w:val="00C8666A"/>
    <w:rsid w:val="00C9218F"/>
    <w:rsid w:val="00C922EC"/>
    <w:rsid w:val="00C9480D"/>
    <w:rsid w:val="00C973E3"/>
    <w:rsid w:val="00C97B39"/>
    <w:rsid w:val="00CA0BC1"/>
    <w:rsid w:val="00CA0E45"/>
    <w:rsid w:val="00CA1AA0"/>
    <w:rsid w:val="00CA5E6F"/>
    <w:rsid w:val="00CB03C3"/>
    <w:rsid w:val="00CB1A1B"/>
    <w:rsid w:val="00CB5DF7"/>
    <w:rsid w:val="00CB6084"/>
    <w:rsid w:val="00CB71FD"/>
    <w:rsid w:val="00CB7BF5"/>
    <w:rsid w:val="00CC3F6C"/>
    <w:rsid w:val="00CC61CB"/>
    <w:rsid w:val="00CC6DA5"/>
    <w:rsid w:val="00CC7815"/>
    <w:rsid w:val="00CD1251"/>
    <w:rsid w:val="00CD1FEA"/>
    <w:rsid w:val="00CD5945"/>
    <w:rsid w:val="00CD61CD"/>
    <w:rsid w:val="00CE0E53"/>
    <w:rsid w:val="00CE14BC"/>
    <w:rsid w:val="00CE1784"/>
    <w:rsid w:val="00CE40F0"/>
    <w:rsid w:val="00CE41EA"/>
    <w:rsid w:val="00CE4DCC"/>
    <w:rsid w:val="00CE6BA1"/>
    <w:rsid w:val="00CE7787"/>
    <w:rsid w:val="00CF0224"/>
    <w:rsid w:val="00CF2B40"/>
    <w:rsid w:val="00D0110C"/>
    <w:rsid w:val="00D01FC5"/>
    <w:rsid w:val="00D02589"/>
    <w:rsid w:val="00D05A76"/>
    <w:rsid w:val="00D07BDE"/>
    <w:rsid w:val="00D1071A"/>
    <w:rsid w:val="00D1133D"/>
    <w:rsid w:val="00D11F6D"/>
    <w:rsid w:val="00D15A80"/>
    <w:rsid w:val="00D17E4F"/>
    <w:rsid w:val="00D17E86"/>
    <w:rsid w:val="00D20917"/>
    <w:rsid w:val="00D30FFB"/>
    <w:rsid w:val="00D3277C"/>
    <w:rsid w:val="00D3437C"/>
    <w:rsid w:val="00D368E6"/>
    <w:rsid w:val="00D36CC4"/>
    <w:rsid w:val="00D372BD"/>
    <w:rsid w:val="00D4254E"/>
    <w:rsid w:val="00D468C5"/>
    <w:rsid w:val="00D47C07"/>
    <w:rsid w:val="00D50E2A"/>
    <w:rsid w:val="00D51E98"/>
    <w:rsid w:val="00D528E1"/>
    <w:rsid w:val="00D52E1B"/>
    <w:rsid w:val="00D531B9"/>
    <w:rsid w:val="00D55703"/>
    <w:rsid w:val="00D56A30"/>
    <w:rsid w:val="00D57C89"/>
    <w:rsid w:val="00D62727"/>
    <w:rsid w:val="00D65AAC"/>
    <w:rsid w:val="00D72AD6"/>
    <w:rsid w:val="00D73742"/>
    <w:rsid w:val="00D75D3F"/>
    <w:rsid w:val="00D76D95"/>
    <w:rsid w:val="00D76EC0"/>
    <w:rsid w:val="00D823E9"/>
    <w:rsid w:val="00D827D6"/>
    <w:rsid w:val="00D87F52"/>
    <w:rsid w:val="00D9138C"/>
    <w:rsid w:val="00D94AC5"/>
    <w:rsid w:val="00D95377"/>
    <w:rsid w:val="00D95442"/>
    <w:rsid w:val="00D95AF0"/>
    <w:rsid w:val="00D974DA"/>
    <w:rsid w:val="00DA074A"/>
    <w:rsid w:val="00DA0C6A"/>
    <w:rsid w:val="00DA10FD"/>
    <w:rsid w:val="00DA2C24"/>
    <w:rsid w:val="00DA3800"/>
    <w:rsid w:val="00DA4466"/>
    <w:rsid w:val="00DA64DA"/>
    <w:rsid w:val="00DB1415"/>
    <w:rsid w:val="00DB167C"/>
    <w:rsid w:val="00DB178E"/>
    <w:rsid w:val="00DB1F5D"/>
    <w:rsid w:val="00DB24F8"/>
    <w:rsid w:val="00DB3F99"/>
    <w:rsid w:val="00DB511E"/>
    <w:rsid w:val="00DC3C71"/>
    <w:rsid w:val="00DC6275"/>
    <w:rsid w:val="00DC7E38"/>
    <w:rsid w:val="00DD0AA8"/>
    <w:rsid w:val="00DD17BD"/>
    <w:rsid w:val="00DD1FA8"/>
    <w:rsid w:val="00DD4F65"/>
    <w:rsid w:val="00DD6DC3"/>
    <w:rsid w:val="00DD73BE"/>
    <w:rsid w:val="00DD7A9C"/>
    <w:rsid w:val="00DE094C"/>
    <w:rsid w:val="00DE28CB"/>
    <w:rsid w:val="00DE2DC6"/>
    <w:rsid w:val="00DE419E"/>
    <w:rsid w:val="00DE5EB8"/>
    <w:rsid w:val="00DE7B08"/>
    <w:rsid w:val="00DF1783"/>
    <w:rsid w:val="00DF27FC"/>
    <w:rsid w:val="00DF44EE"/>
    <w:rsid w:val="00DF5FB6"/>
    <w:rsid w:val="00DF73C9"/>
    <w:rsid w:val="00E0087D"/>
    <w:rsid w:val="00E00F74"/>
    <w:rsid w:val="00E01B43"/>
    <w:rsid w:val="00E02219"/>
    <w:rsid w:val="00E0330F"/>
    <w:rsid w:val="00E03BF3"/>
    <w:rsid w:val="00E04409"/>
    <w:rsid w:val="00E16514"/>
    <w:rsid w:val="00E21671"/>
    <w:rsid w:val="00E23722"/>
    <w:rsid w:val="00E25257"/>
    <w:rsid w:val="00E264E8"/>
    <w:rsid w:val="00E308D2"/>
    <w:rsid w:val="00E310A2"/>
    <w:rsid w:val="00E332F3"/>
    <w:rsid w:val="00E354DB"/>
    <w:rsid w:val="00E36714"/>
    <w:rsid w:val="00E36A32"/>
    <w:rsid w:val="00E4097F"/>
    <w:rsid w:val="00E40A3E"/>
    <w:rsid w:val="00E4239C"/>
    <w:rsid w:val="00E428FF"/>
    <w:rsid w:val="00E437A8"/>
    <w:rsid w:val="00E44BD3"/>
    <w:rsid w:val="00E457FA"/>
    <w:rsid w:val="00E46756"/>
    <w:rsid w:val="00E46CD2"/>
    <w:rsid w:val="00E5008A"/>
    <w:rsid w:val="00E50257"/>
    <w:rsid w:val="00E511AE"/>
    <w:rsid w:val="00E51D78"/>
    <w:rsid w:val="00E51F98"/>
    <w:rsid w:val="00E52A9C"/>
    <w:rsid w:val="00E5568E"/>
    <w:rsid w:val="00E57B01"/>
    <w:rsid w:val="00E57C4F"/>
    <w:rsid w:val="00E60314"/>
    <w:rsid w:val="00E62F5F"/>
    <w:rsid w:val="00E63ECA"/>
    <w:rsid w:val="00E65585"/>
    <w:rsid w:val="00E66C40"/>
    <w:rsid w:val="00E6775D"/>
    <w:rsid w:val="00E679AA"/>
    <w:rsid w:val="00E7028C"/>
    <w:rsid w:val="00E70452"/>
    <w:rsid w:val="00E70F8D"/>
    <w:rsid w:val="00E716C0"/>
    <w:rsid w:val="00E74F86"/>
    <w:rsid w:val="00E74FE9"/>
    <w:rsid w:val="00E76EBC"/>
    <w:rsid w:val="00E81007"/>
    <w:rsid w:val="00E81E77"/>
    <w:rsid w:val="00E8266A"/>
    <w:rsid w:val="00E82E5A"/>
    <w:rsid w:val="00E83DBD"/>
    <w:rsid w:val="00E857AE"/>
    <w:rsid w:val="00E86733"/>
    <w:rsid w:val="00E870B8"/>
    <w:rsid w:val="00E91101"/>
    <w:rsid w:val="00E92FB8"/>
    <w:rsid w:val="00E9337E"/>
    <w:rsid w:val="00E93897"/>
    <w:rsid w:val="00E972AA"/>
    <w:rsid w:val="00E97856"/>
    <w:rsid w:val="00EA1C3E"/>
    <w:rsid w:val="00EA3201"/>
    <w:rsid w:val="00EA33DE"/>
    <w:rsid w:val="00EA3A16"/>
    <w:rsid w:val="00EA6753"/>
    <w:rsid w:val="00EA79C9"/>
    <w:rsid w:val="00EB0C85"/>
    <w:rsid w:val="00EB0E19"/>
    <w:rsid w:val="00EB1082"/>
    <w:rsid w:val="00EB27F7"/>
    <w:rsid w:val="00EB532F"/>
    <w:rsid w:val="00EC0848"/>
    <w:rsid w:val="00EC1283"/>
    <w:rsid w:val="00EC2CD3"/>
    <w:rsid w:val="00EC44E5"/>
    <w:rsid w:val="00EC679A"/>
    <w:rsid w:val="00EC6BE0"/>
    <w:rsid w:val="00EC77C5"/>
    <w:rsid w:val="00ED012B"/>
    <w:rsid w:val="00ED3D01"/>
    <w:rsid w:val="00ED4434"/>
    <w:rsid w:val="00EE2320"/>
    <w:rsid w:val="00EE7E12"/>
    <w:rsid w:val="00EF0AA9"/>
    <w:rsid w:val="00EF0DA2"/>
    <w:rsid w:val="00EF160E"/>
    <w:rsid w:val="00EF3DBE"/>
    <w:rsid w:val="00EF46C5"/>
    <w:rsid w:val="00EF55E5"/>
    <w:rsid w:val="00EF6010"/>
    <w:rsid w:val="00EF683B"/>
    <w:rsid w:val="00EF7D47"/>
    <w:rsid w:val="00F0037F"/>
    <w:rsid w:val="00F025F6"/>
    <w:rsid w:val="00F02780"/>
    <w:rsid w:val="00F02E8C"/>
    <w:rsid w:val="00F035DF"/>
    <w:rsid w:val="00F04ABA"/>
    <w:rsid w:val="00F05A13"/>
    <w:rsid w:val="00F05C11"/>
    <w:rsid w:val="00F05DD7"/>
    <w:rsid w:val="00F06A67"/>
    <w:rsid w:val="00F07C0C"/>
    <w:rsid w:val="00F07DE5"/>
    <w:rsid w:val="00F10B8B"/>
    <w:rsid w:val="00F1228D"/>
    <w:rsid w:val="00F14313"/>
    <w:rsid w:val="00F162D6"/>
    <w:rsid w:val="00F17159"/>
    <w:rsid w:val="00F1773F"/>
    <w:rsid w:val="00F21CC2"/>
    <w:rsid w:val="00F221E3"/>
    <w:rsid w:val="00F23797"/>
    <w:rsid w:val="00F23B2F"/>
    <w:rsid w:val="00F241B8"/>
    <w:rsid w:val="00F249F4"/>
    <w:rsid w:val="00F33C4C"/>
    <w:rsid w:val="00F341FD"/>
    <w:rsid w:val="00F34B79"/>
    <w:rsid w:val="00F34DCA"/>
    <w:rsid w:val="00F40EC2"/>
    <w:rsid w:val="00F419FC"/>
    <w:rsid w:val="00F4331A"/>
    <w:rsid w:val="00F458BA"/>
    <w:rsid w:val="00F47DC8"/>
    <w:rsid w:val="00F515A4"/>
    <w:rsid w:val="00F5235C"/>
    <w:rsid w:val="00F52922"/>
    <w:rsid w:val="00F54768"/>
    <w:rsid w:val="00F60335"/>
    <w:rsid w:val="00F612C4"/>
    <w:rsid w:val="00F61A49"/>
    <w:rsid w:val="00F67E86"/>
    <w:rsid w:val="00F70218"/>
    <w:rsid w:val="00F721D7"/>
    <w:rsid w:val="00F74FA3"/>
    <w:rsid w:val="00F75CE5"/>
    <w:rsid w:val="00F81286"/>
    <w:rsid w:val="00F81499"/>
    <w:rsid w:val="00F81C3C"/>
    <w:rsid w:val="00F8200F"/>
    <w:rsid w:val="00F83D4E"/>
    <w:rsid w:val="00F8401D"/>
    <w:rsid w:val="00F8450A"/>
    <w:rsid w:val="00F85667"/>
    <w:rsid w:val="00F875F5"/>
    <w:rsid w:val="00F878E9"/>
    <w:rsid w:val="00F9193E"/>
    <w:rsid w:val="00F942C7"/>
    <w:rsid w:val="00F96310"/>
    <w:rsid w:val="00F966EE"/>
    <w:rsid w:val="00F97019"/>
    <w:rsid w:val="00F97B43"/>
    <w:rsid w:val="00FA1E38"/>
    <w:rsid w:val="00FA20C6"/>
    <w:rsid w:val="00FA518F"/>
    <w:rsid w:val="00FA57CA"/>
    <w:rsid w:val="00FA6B25"/>
    <w:rsid w:val="00FB5FE3"/>
    <w:rsid w:val="00FB69F2"/>
    <w:rsid w:val="00FB6A98"/>
    <w:rsid w:val="00FB7921"/>
    <w:rsid w:val="00FC0454"/>
    <w:rsid w:val="00FC09B4"/>
    <w:rsid w:val="00FC193E"/>
    <w:rsid w:val="00FC1B01"/>
    <w:rsid w:val="00FC327B"/>
    <w:rsid w:val="00FC5005"/>
    <w:rsid w:val="00FC5277"/>
    <w:rsid w:val="00FC76D7"/>
    <w:rsid w:val="00FD1D10"/>
    <w:rsid w:val="00FD262C"/>
    <w:rsid w:val="00FD3C26"/>
    <w:rsid w:val="00FD5F6C"/>
    <w:rsid w:val="00FD6A9E"/>
    <w:rsid w:val="00FD73B4"/>
    <w:rsid w:val="00FD7CD9"/>
    <w:rsid w:val="00FE07E0"/>
    <w:rsid w:val="00FE104E"/>
    <w:rsid w:val="00FE1FFD"/>
    <w:rsid w:val="00FE3498"/>
    <w:rsid w:val="00FE3A3A"/>
    <w:rsid w:val="00FE3C79"/>
    <w:rsid w:val="00FE66CF"/>
    <w:rsid w:val="00FF1FDA"/>
    <w:rsid w:val="00FF3F6D"/>
    <w:rsid w:val="00FF5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F8440"/>
  <w15:chartTrackingRefBased/>
  <w15:docId w15:val="{639135A8-E6C1-4213-A4E6-7FD3D5DB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9B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909BD"/>
    <w:pPr>
      <w:keepNext/>
      <w:spacing w:before="240" w:after="60"/>
      <w:outlineLvl w:val="0"/>
    </w:pPr>
    <w:rPr>
      <w:rFonts w:cs="Arial"/>
      <w:b/>
      <w:bCs/>
      <w:kern w:val="32"/>
      <w:szCs w:val="32"/>
    </w:rPr>
  </w:style>
  <w:style w:type="paragraph" w:styleId="Heading2">
    <w:name w:val="heading 2"/>
    <w:basedOn w:val="Normal"/>
    <w:next w:val="Normal"/>
    <w:link w:val="Heading2Char"/>
    <w:qFormat/>
    <w:rsid w:val="008909BD"/>
    <w:pPr>
      <w:keepNext/>
      <w:spacing w:before="240" w:after="60"/>
      <w:outlineLvl w:val="1"/>
    </w:pPr>
    <w:rPr>
      <w:rFonts w:cs="Arial"/>
      <w:b/>
      <w:bCs/>
      <w:i/>
      <w:iCs/>
      <w:szCs w:val="28"/>
    </w:rPr>
  </w:style>
  <w:style w:type="paragraph" w:styleId="Heading3">
    <w:name w:val="heading 3"/>
    <w:basedOn w:val="Normal"/>
    <w:next w:val="Normal"/>
    <w:link w:val="Heading3Char"/>
    <w:qFormat/>
    <w:rsid w:val="008909BD"/>
    <w:pPr>
      <w:keepNext/>
      <w:spacing w:before="240" w:after="60"/>
      <w:outlineLvl w:val="2"/>
    </w:pPr>
    <w:rPr>
      <w:rFonts w:cs="Arial"/>
      <w:bCs/>
      <w:i/>
      <w:szCs w:val="26"/>
    </w:rPr>
  </w:style>
  <w:style w:type="paragraph" w:styleId="Heading4">
    <w:name w:val="heading 4"/>
    <w:basedOn w:val="Normal"/>
    <w:next w:val="Normal"/>
    <w:link w:val="Heading4Char"/>
    <w:rsid w:val="008909BD"/>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9BD"/>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8909BD"/>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8909BD"/>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8909BD"/>
    <w:rPr>
      <w:rFonts w:ascii="Times New Roman" w:eastAsia="Times New Roman" w:hAnsi="Times New Roman" w:cs="Times New Roman"/>
      <w:bCs/>
      <w:i/>
      <w:sz w:val="24"/>
      <w:szCs w:val="28"/>
      <w:lang w:eastAsia="en-GB"/>
    </w:rPr>
  </w:style>
  <w:style w:type="paragraph" w:customStyle="1" w:styleId="ChapterTitle">
    <w:name w:val="Chapter Title"/>
    <w:basedOn w:val="Normal"/>
    <w:next w:val="Normal"/>
    <w:link w:val="ChapterTitleChar"/>
    <w:qFormat/>
    <w:rsid w:val="008909BD"/>
    <w:rPr>
      <w:b/>
      <w:sz w:val="28"/>
    </w:rPr>
  </w:style>
  <w:style w:type="paragraph" w:customStyle="1" w:styleId="Authornames">
    <w:name w:val="Author names"/>
    <w:basedOn w:val="Normal"/>
    <w:next w:val="Normal"/>
    <w:qFormat/>
    <w:rsid w:val="008909BD"/>
    <w:rPr>
      <w:sz w:val="28"/>
    </w:rPr>
  </w:style>
  <w:style w:type="paragraph" w:customStyle="1" w:styleId="Affiliation">
    <w:name w:val="Affiliation"/>
    <w:basedOn w:val="Normal"/>
    <w:next w:val="Normal"/>
    <w:qFormat/>
    <w:rsid w:val="008909BD"/>
    <w:rPr>
      <w:i/>
    </w:rPr>
  </w:style>
  <w:style w:type="paragraph" w:customStyle="1" w:styleId="Receiveddates">
    <w:name w:val="Received dates"/>
    <w:basedOn w:val="Normal"/>
    <w:next w:val="Normal"/>
    <w:qFormat/>
    <w:rsid w:val="008909BD"/>
    <w:rPr>
      <w:i/>
    </w:rPr>
  </w:style>
  <w:style w:type="paragraph" w:customStyle="1" w:styleId="Abstract">
    <w:name w:val="Abstract"/>
    <w:basedOn w:val="Normal"/>
    <w:next w:val="Normal"/>
    <w:qFormat/>
    <w:rsid w:val="008909BD"/>
    <w:pPr>
      <w:ind w:left="720" w:right="567"/>
    </w:pPr>
    <w:rPr>
      <w:sz w:val="22"/>
    </w:rPr>
  </w:style>
  <w:style w:type="paragraph" w:customStyle="1" w:styleId="Keywords">
    <w:name w:val="Keywords"/>
    <w:basedOn w:val="Normal"/>
    <w:next w:val="Normal"/>
    <w:qFormat/>
    <w:rsid w:val="008909BD"/>
    <w:pPr>
      <w:spacing w:after="120"/>
      <w:ind w:left="720" w:right="567"/>
    </w:pPr>
    <w:rPr>
      <w:sz w:val="22"/>
    </w:rPr>
  </w:style>
  <w:style w:type="paragraph" w:customStyle="1" w:styleId="Correspondencedetails">
    <w:name w:val="Correspondence details"/>
    <w:basedOn w:val="Normal"/>
    <w:next w:val="Normal"/>
    <w:qFormat/>
    <w:rsid w:val="008909BD"/>
  </w:style>
  <w:style w:type="paragraph" w:customStyle="1" w:styleId="Displayedquotations">
    <w:name w:val="Displayed quotations"/>
    <w:basedOn w:val="Normal"/>
    <w:next w:val="Normal"/>
    <w:autoRedefine/>
    <w:qFormat/>
    <w:rsid w:val="008909BD"/>
    <w:pPr>
      <w:tabs>
        <w:tab w:val="left" w:pos="1077"/>
        <w:tab w:val="left" w:pos="1440"/>
      </w:tabs>
      <w:spacing w:after="120"/>
      <w:ind w:left="720" w:right="567"/>
      <w:contextualSpacing/>
      <w:jc w:val="both"/>
    </w:pPr>
    <w:rPr>
      <w:sz w:val="22"/>
    </w:rPr>
  </w:style>
  <w:style w:type="paragraph" w:customStyle="1" w:styleId="Numberedlists">
    <w:name w:val="Numbered lists"/>
    <w:basedOn w:val="Normal"/>
    <w:next w:val="Normal"/>
    <w:qFormat/>
    <w:rsid w:val="008909BD"/>
    <w:pPr>
      <w:numPr>
        <w:numId w:val="13"/>
      </w:numPr>
      <w:spacing w:line="480" w:lineRule="auto"/>
    </w:pPr>
  </w:style>
  <w:style w:type="paragraph" w:customStyle="1" w:styleId="Bulletedlists">
    <w:name w:val="Bulleted lists"/>
    <w:basedOn w:val="Normal"/>
    <w:qFormat/>
    <w:rsid w:val="008909BD"/>
    <w:pPr>
      <w:numPr>
        <w:numId w:val="14"/>
      </w:numPr>
      <w:spacing w:line="480" w:lineRule="auto"/>
      <w:jc w:val="both"/>
    </w:pPr>
  </w:style>
  <w:style w:type="paragraph" w:customStyle="1" w:styleId="Equations">
    <w:name w:val="Equations"/>
    <w:basedOn w:val="Normal"/>
    <w:next w:val="Normal"/>
    <w:qFormat/>
    <w:rsid w:val="008909BD"/>
    <w:pPr>
      <w:jc w:val="center"/>
    </w:pPr>
  </w:style>
  <w:style w:type="paragraph" w:customStyle="1" w:styleId="Acknowledgements">
    <w:name w:val="Acknowledgements"/>
    <w:basedOn w:val="Normal"/>
    <w:next w:val="Normal"/>
    <w:qFormat/>
    <w:rsid w:val="008909BD"/>
    <w:rPr>
      <w:sz w:val="22"/>
    </w:rPr>
  </w:style>
  <w:style w:type="paragraph" w:customStyle="1" w:styleId="Tabletitle">
    <w:name w:val="Table title"/>
    <w:basedOn w:val="Normal"/>
    <w:next w:val="Normal"/>
    <w:qFormat/>
    <w:rsid w:val="008909BD"/>
  </w:style>
  <w:style w:type="paragraph" w:customStyle="1" w:styleId="Figurelegend">
    <w:name w:val="Figure legend"/>
    <w:basedOn w:val="Normal"/>
    <w:next w:val="Normal"/>
    <w:qFormat/>
    <w:rsid w:val="008909BD"/>
  </w:style>
  <w:style w:type="paragraph" w:customStyle="1" w:styleId="Footnotes">
    <w:name w:val="Footnotes"/>
    <w:basedOn w:val="Normal"/>
    <w:next w:val="Normal"/>
    <w:qFormat/>
    <w:rsid w:val="008909BD"/>
    <w:pPr>
      <w:ind w:left="539" w:hanging="539"/>
      <w:jc w:val="both"/>
    </w:pPr>
    <w:rPr>
      <w:sz w:val="18"/>
    </w:rPr>
  </w:style>
  <w:style w:type="paragraph" w:customStyle="1" w:styleId="Notesoncontributors">
    <w:name w:val="Notes on contributors"/>
    <w:basedOn w:val="Normal"/>
    <w:next w:val="Normal"/>
    <w:qFormat/>
    <w:rsid w:val="008909BD"/>
    <w:rPr>
      <w:sz w:val="22"/>
    </w:rPr>
  </w:style>
  <w:style w:type="paragraph" w:customStyle="1" w:styleId="Normalparagraphstyle">
    <w:name w:val="Normal paragraph style"/>
    <w:basedOn w:val="Normal"/>
    <w:next w:val="Normal"/>
    <w:rsid w:val="008909BD"/>
    <w:pPr>
      <w:spacing w:line="480" w:lineRule="auto"/>
    </w:pPr>
  </w:style>
  <w:style w:type="paragraph" w:customStyle="1" w:styleId="Firstparagraphstyle">
    <w:name w:val="First paragraph style"/>
    <w:basedOn w:val="Normal"/>
    <w:next w:val="Follow-onparagraphstyle"/>
    <w:qFormat/>
    <w:rsid w:val="008909BD"/>
    <w:pPr>
      <w:spacing w:line="360" w:lineRule="auto"/>
      <w:jc w:val="both"/>
    </w:pPr>
  </w:style>
  <w:style w:type="paragraph" w:customStyle="1" w:styleId="Follow-onparagraphstyle">
    <w:name w:val="Follow-on paragraph style"/>
    <w:basedOn w:val="Normal"/>
    <w:qFormat/>
    <w:rsid w:val="008909BD"/>
    <w:pPr>
      <w:spacing w:line="360" w:lineRule="auto"/>
      <w:ind w:firstLine="720"/>
      <w:jc w:val="both"/>
    </w:pPr>
  </w:style>
  <w:style w:type="paragraph" w:styleId="NormalIndent">
    <w:name w:val="Normal Indent"/>
    <w:basedOn w:val="Normal"/>
    <w:rsid w:val="008909BD"/>
    <w:pPr>
      <w:ind w:left="720"/>
    </w:pPr>
  </w:style>
  <w:style w:type="paragraph" w:customStyle="1" w:styleId="References">
    <w:name w:val="References"/>
    <w:basedOn w:val="Normal"/>
    <w:next w:val="Normal"/>
    <w:qFormat/>
    <w:rsid w:val="008909BD"/>
    <w:pPr>
      <w:ind w:left="720" w:hanging="720"/>
    </w:pPr>
  </w:style>
  <w:style w:type="paragraph" w:styleId="FootnoteText">
    <w:name w:val="footnote text"/>
    <w:basedOn w:val="Normal"/>
    <w:link w:val="FootnoteTextChar"/>
    <w:rsid w:val="008909BD"/>
    <w:rPr>
      <w:sz w:val="20"/>
      <w:szCs w:val="20"/>
    </w:rPr>
  </w:style>
  <w:style w:type="character" w:customStyle="1" w:styleId="FootnoteTextChar">
    <w:name w:val="Footnote Text Char"/>
    <w:basedOn w:val="DefaultParagraphFont"/>
    <w:link w:val="FootnoteText"/>
    <w:rsid w:val="008909BD"/>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8909BD"/>
    <w:rPr>
      <w:vertAlign w:val="superscript"/>
    </w:rPr>
  </w:style>
  <w:style w:type="character" w:styleId="Hyperlink">
    <w:name w:val="Hyperlink"/>
    <w:basedOn w:val="DefaultParagraphFont"/>
    <w:rsid w:val="008909BD"/>
    <w:rPr>
      <w:color w:val="0563C1" w:themeColor="hyperlink"/>
      <w:u w:val="single"/>
    </w:rPr>
  </w:style>
  <w:style w:type="paragraph" w:styleId="ListParagraph">
    <w:name w:val="List Paragraph"/>
    <w:basedOn w:val="Normal"/>
    <w:uiPriority w:val="34"/>
    <w:rsid w:val="008909BD"/>
    <w:pPr>
      <w:ind w:left="720"/>
      <w:contextualSpacing/>
    </w:pPr>
  </w:style>
  <w:style w:type="character" w:customStyle="1" w:styleId="occ">
    <w:name w:val="occ"/>
    <w:basedOn w:val="DefaultParagraphFont"/>
    <w:rsid w:val="008909BD"/>
  </w:style>
  <w:style w:type="paragraph" w:customStyle="1" w:styleId="EndNoteBibliographyTitle">
    <w:name w:val="EndNote Bibliography Title"/>
    <w:basedOn w:val="Normal"/>
    <w:link w:val="EndNoteBibliographyTitleChar"/>
    <w:rsid w:val="008909BD"/>
    <w:pPr>
      <w:jc w:val="center"/>
    </w:pPr>
    <w:rPr>
      <w:noProof/>
    </w:rPr>
  </w:style>
  <w:style w:type="character" w:customStyle="1" w:styleId="ChapterTitleChar">
    <w:name w:val="Chapter Title Char"/>
    <w:basedOn w:val="DefaultParagraphFont"/>
    <w:link w:val="ChapterTitle"/>
    <w:rsid w:val="008909BD"/>
    <w:rPr>
      <w:rFonts w:ascii="Times New Roman" w:eastAsia="Times New Roman" w:hAnsi="Times New Roman" w:cs="Times New Roman"/>
      <w:b/>
      <w:sz w:val="28"/>
      <w:szCs w:val="24"/>
      <w:lang w:eastAsia="en-GB"/>
    </w:rPr>
  </w:style>
  <w:style w:type="character" w:customStyle="1" w:styleId="EndNoteBibliographyTitleChar">
    <w:name w:val="EndNote Bibliography Title Char"/>
    <w:basedOn w:val="ChapterTitleChar"/>
    <w:link w:val="EndNoteBibliographyTitle"/>
    <w:rsid w:val="008909BD"/>
    <w:rPr>
      <w:rFonts w:ascii="Times New Roman" w:eastAsia="Times New Roman" w:hAnsi="Times New Roman" w:cs="Times New Roman"/>
      <w:b w:val="0"/>
      <w:noProof/>
      <w:sz w:val="24"/>
      <w:szCs w:val="24"/>
      <w:lang w:eastAsia="en-GB"/>
    </w:rPr>
  </w:style>
  <w:style w:type="paragraph" w:customStyle="1" w:styleId="EndNoteBibliography">
    <w:name w:val="EndNote Bibliography"/>
    <w:basedOn w:val="Normal"/>
    <w:link w:val="EndNoteBibliographyChar"/>
    <w:rsid w:val="008909BD"/>
    <w:pPr>
      <w:jc w:val="both"/>
    </w:pPr>
    <w:rPr>
      <w:noProof/>
    </w:rPr>
  </w:style>
  <w:style w:type="character" w:customStyle="1" w:styleId="EndNoteBibliographyChar">
    <w:name w:val="EndNote Bibliography Char"/>
    <w:basedOn w:val="ChapterTitleChar"/>
    <w:link w:val="EndNoteBibliography"/>
    <w:rsid w:val="008909BD"/>
    <w:rPr>
      <w:rFonts w:ascii="Times New Roman" w:eastAsia="Times New Roman" w:hAnsi="Times New Roman" w:cs="Times New Roman"/>
      <w:b w:val="0"/>
      <w:noProof/>
      <w:sz w:val="24"/>
      <w:szCs w:val="24"/>
      <w:lang w:eastAsia="en-GB"/>
    </w:rPr>
  </w:style>
  <w:style w:type="table" w:styleId="TableGrid">
    <w:name w:val="Table Grid"/>
    <w:basedOn w:val="TableNormal"/>
    <w:rsid w:val="008909B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909BD"/>
    <w:pPr>
      <w:tabs>
        <w:tab w:val="center" w:pos="4513"/>
        <w:tab w:val="right" w:pos="9026"/>
      </w:tabs>
    </w:pPr>
  </w:style>
  <w:style w:type="character" w:customStyle="1" w:styleId="HeaderChar">
    <w:name w:val="Header Char"/>
    <w:basedOn w:val="DefaultParagraphFont"/>
    <w:link w:val="Header"/>
    <w:rsid w:val="008909B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909BD"/>
    <w:pPr>
      <w:tabs>
        <w:tab w:val="center" w:pos="4513"/>
        <w:tab w:val="right" w:pos="9026"/>
      </w:tabs>
    </w:pPr>
  </w:style>
  <w:style w:type="character" w:customStyle="1" w:styleId="FooterChar">
    <w:name w:val="Footer Char"/>
    <w:basedOn w:val="DefaultParagraphFont"/>
    <w:link w:val="Footer"/>
    <w:uiPriority w:val="99"/>
    <w:rsid w:val="008909BD"/>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rsid w:val="008909BD"/>
    <w:rPr>
      <w:sz w:val="20"/>
      <w:szCs w:val="20"/>
      <w:lang w:eastAsia="en-US"/>
    </w:rPr>
  </w:style>
  <w:style w:type="character" w:customStyle="1" w:styleId="CommentTextChar">
    <w:name w:val="Comment Text Char"/>
    <w:basedOn w:val="DefaultParagraphFont"/>
    <w:link w:val="CommentText"/>
    <w:uiPriority w:val="99"/>
    <w:rsid w:val="008909B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909BD"/>
    <w:rPr>
      <w:sz w:val="16"/>
      <w:szCs w:val="16"/>
    </w:rPr>
  </w:style>
  <w:style w:type="paragraph" w:styleId="BalloonText">
    <w:name w:val="Balloon Text"/>
    <w:basedOn w:val="Normal"/>
    <w:link w:val="BalloonTextChar"/>
    <w:semiHidden/>
    <w:unhideWhenUsed/>
    <w:rsid w:val="008909BD"/>
    <w:rPr>
      <w:rFonts w:ascii="Segoe UI" w:hAnsi="Segoe UI" w:cs="Segoe UI"/>
      <w:sz w:val="18"/>
      <w:szCs w:val="18"/>
    </w:rPr>
  </w:style>
  <w:style w:type="character" w:customStyle="1" w:styleId="BalloonTextChar">
    <w:name w:val="Balloon Text Char"/>
    <w:basedOn w:val="DefaultParagraphFont"/>
    <w:link w:val="BalloonText"/>
    <w:semiHidden/>
    <w:rsid w:val="008909BD"/>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semiHidden/>
    <w:unhideWhenUsed/>
    <w:rsid w:val="008909BD"/>
    <w:rPr>
      <w:b/>
      <w:bCs/>
      <w:lang w:eastAsia="en-GB"/>
    </w:rPr>
  </w:style>
  <w:style w:type="character" w:customStyle="1" w:styleId="CommentSubjectChar">
    <w:name w:val="Comment Subject Char"/>
    <w:basedOn w:val="CommentTextChar"/>
    <w:link w:val="CommentSubject"/>
    <w:semiHidden/>
    <w:rsid w:val="008909BD"/>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8909BD"/>
    <w:rPr>
      <w:color w:val="605E5C"/>
      <w:shd w:val="clear" w:color="auto" w:fill="E1DFDD"/>
    </w:rPr>
  </w:style>
  <w:style w:type="paragraph" w:styleId="Revision">
    <w:name w:val="Revision"/>
    <w:hidden/>
    <w:uiPriority w:val="99"/>
    <w:semiHidden/>
    <w:rsid w:val="00CD125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79679">
      <w:bodyDiv w:val="1"/>
      <w:marLeft w:val="0"/>
      <w:marRight w:val="0"/>
      <w:marTop w:val="0"/>
      <w:marBottom w:val="0"/>
      <w:divBdr>
        <w:top w:val="none" w:sz="0" w:space="0" w:color="auto"/>
        <w:left w:val="none" w:sz="0" w:space="0" w:color="auto"/>
        <w:bottom w:val="none" w:sz="0" w:space="0" w:color="auto"/>
        <w:right w:val="none" w:sz="0" w:space="0" w:color="auto"/>
      </w:divBdr>
    </w:div>
    <w:div w:id="875896673">
      <w:bodyDiv w:val="1"/>
      <w:marLeft w:val="0"/>
      <w:marRight w:val="0"/>
      <w:marTop w:val="0"/>
      <w:marBottom w:val="0"/>
      <w:divBdr>
        <w:top w:val="none" w:sz="0" w:space="0" w:color="auto"/>
        <w:left w:val="none" w:sz="0" w:space="0" w:color="auto"/>
        <w:bottom w:val="none" w:sz="0" w:space="0" w:color="auto"/>
        <w:right w:val="none" w:sz="0" w:space="0" w:color="auto"/>
      </w:divBdr>
    </w:div>
    <w:div w:id="888760610">
      <w:bodyDiv w:val="1"/>
      <w:marLeft w:val="0"/>
      <w:marRight w:val="0"/>
      <w:marTop w:val="0"/>
      <w:marBottom w:val="0"/>
      <w:divBdr>
        <w:top w:val="none" w:sz="0" w:space="0" w:color="auto"/>
        <w:left w:val="none" w:sz="0" w:space="0" w:color="auto"/>
        <w:bottom w:val="none" w:sz="0" w:space="0" w:color="auto"/>
        <w:right w:val="none" w:sz="0" w:space="0" w:color="auto"/>
      </w:divBdr>
    </w:div>
    <w:div w:id="106368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daliyya.com/Details/4035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pvideolibrar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ppy\Documents\Custom%20Office%20Templates\EPV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83FE5-989F-4FA9-A7B2-A847B83C9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EPVC.dotx</Template>
  <TotalTime>465</TotalTime>
  <Pages>23</Pages>
  <Words>16402</Words>
  <Characters>93497</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Cook</dc:creator>
  <cp:keywords/>
  <dc:description/>
  <cp:lastModifiedBy>Malcolm Cook</cp:lastModifiedBy>
  <cp:revision>75</cp:revision>
  <cp:lastPrinted>2023-03-21T14:00:00Z</cp:lastPrinted>
  <dcterms:created xsi:type="dcterms:W3CDTF">2024-02-26T14:00:00Z</dcterms:created>
  <dcterms:modified xsi:type="dcterms:W3CDTF">2024-04-22T15:29:00Z</dcterms:modified>
</cp:coreProperties>
</file>