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A306" w14:textId="51DAC333" w:rsidR="00D349C4" w:rsidRPr="00D349C4" w:rsidRDefault="000D343D" w:rsidP="00D349C4">
      <w:pPr>
        <w:jc w:val="right"/>
        <w:rPr>
          <w:rFonts w:ascii="Calibri" w:eastAsia="MS Mincho" w:hAnsi="Calibri" w:cs="Times New Roman"/>
          <w:i/>
          <w:sz w:val="20"/>
          <w:szCs w:val="20"/>
          <w:lang w:eastAsia="ja-JP"/>
        </w:rPr>
      </w:pPr>
      <w:r>
        <w:rPr>
          <w:rFonts w:ascii="Calibri" w:eastAsia="MS Mincho" w:hAnsi="Calibri" w:cs="Times New Roman"/>
          <w:i/>
          <w:sz w:val="20"/>
          <w:szCs w:val="20"/>
          <w:lang w:eastAsia="ja-JP"/>
        </w:rPr>
        <w:t xml:space="preserve">Number of prior fractures </w:t>
      </w:r>
      <w:r w:rsidR="00E325D4">
        <w:rPr>
          <w:rFonts w:ascii="Calibri" w:eastAsia="MS Mincho" w:hAnsi="Calibri" w:cs="Times New Roman"/>
          <w:i/>
          <w:sz w:val="20"/>
          <w:szCs w:val="20"/>
          <w:lang w:eastAsia="ja-JP"/>
        </w:rPr>
        <w:t>v</w:t>
      </w:r>
      <w:r w:rsidR="008B38E3">
        <w:rPr>
          <w:rFonts w:ascii="Calibri" w:eastAsia="MS Mincho" w:hAnsi="Calibri" w:cs="Times New Roman"/>
          <w:i/>
          <w:sz w:val="20"/>
          <w:szCs w:val="20"/>
          <w:lang w:eastAsia="ja-JP"/>
        </w:rPr>
        <w:t>4</w:t>
      </w:r>
    </w:p>
    <w:p w14:paraId="11650B1A" w14:textId="77777777" w:rsidR="00D349C4" w:rsidRPr="00D349C4" w:rsidRDefault="00D349C4" w:rsidP="00D349C4">
      <w:pPr>
        <w:rPr>
          <w:rFonts w:ascii="Calibri" w:eastAsia="MS Mincho" w:hAnsi="Calibri" w:cs="Times New Roman"/>
          <w:lang w:eastAsia="ja-JP"/>
        </w:rPr>
      </w:pPr>
    </w:p>
    <w:p w14:paraId="5724ED1D" w14:textId="77777777" w:rsidR="00D349C4" w:rsidRPr="00D349C4" w:rsidRDefault="00D349C4" w:rsidP="00D349C4">
      <w:pPr>
        <w:rPr>
          <w:rFonts w:ascii="Calibri" w:eastAsia="MS Mincho" w:hAnsi="Calibri" w:cs="Times New Roman"/>
          <w:b/>
          <w:lang w:eastAsia="ja-JP"/>
        </w:rPr>
      </w:pPr>
    </w:p>
    <w:p w14:paraId="00F6C574" w14:textId="3922B520" w:rsidR="00D349C4" w:rsidRPr="00407CA8" w:rsidRDefault="00407CA8" w:rsidP="003E4C6F">
      <w:pPr>
        <w:spacing w:line="480" w:lineRule="auto"/>
        <w:jc w:val="center"/>
        <w:rPr>
          <w:rFonts w:ascii="Calibri" w:eastAsia="MS Mincho" w:hAnsi="Calibri" w:cs="Times New Roman"/>
          <w:b/>
          <w:sz w:val="28"/>
          <w:szCs w:val="28"/>
          <w:lang w:eastAsia="ja-JP"/>
        </w:rPr>
      </w:pPr>
      <w:r w:rsidRPr="00407CA8">
        <w:rPr>
          <w:rFonts w:ascii="Calibri" w:eastAsia="MS Mincho" w:hAnsi="Calibri" w:cs="Times New Roman"/>
          <w:b/>
          <w:sz w:val="28"/>
          <w:szCs w:val="28"/>
          <w:lang w:eastAsia="ja-JP"/>
        </w:rPr>
        <w:t>Adjusting</w:t>
      </w:r>
      <w:r w:rsidRPr="00407CA8">
        <w:rPr>
          <w:sz w:val="28"/>
          <w:szCs w:val="28"/>
        </w:rPr>
        <w:t xml:space="preserve"> </w:t>
      </w:r>
      <w:r w:rsidRPr="00407CA8">
        <w:rPr>
          <w:rFonts w:ascii="Calibri" w:eastAsia="MS Mincho" w:hAnsi="Calibri" w:cs="Times New Roman"/>
          <w:b/>
          <w:sz w:val="28"/>
          <w:szCs w:val="28"/>
          <w:lang w:eastAsia="ja-JP"/>
        </w:rPr>
        <w:t>conventional FRAX estimates of fracture probability according to the</w:t>
      </w:r>
      <w:r w:rsidR="0073196A">
        <w:rPr>
          <w:rFonts w:ascii="Calibri" w:eastAsia="MS Mincho" w:hAnsi="Calibri" w:cs="Times New Roman"/>
          <w:b/>
          <w:sz w:val="28"/>
          <w:szCs w:val="28"/>
          <w:lang w:eastAsia="ja-JP"/>
        </w:rPr>
        <w:t xml:space="preserve"> number of prior</w:t>
      </w:r>
      <w:r w:rsidR="000143C5">
        <w:rPr>
          <w:rFonts w:ascii="Calibri" w:eastAsia="MS Mincho" w:hAnsi="Calibri" w:cs="Times New Roman"/>
          <w:b/>
          <w:sz w:val="28"/>
          <w:szCs w:val="28"/>
          <w:lang w:eastAsia="ja-JP"/>
        </w:rPr>
        <w:t xml:space="preserve"> </w:t>
      </w:r>
      <w:r w:rsidR="00D349C4" w:rsidRPr="00407CA8">
        <w:rPr>
          <w:rFonts w:ascii="Calibri" w:eastAsia="MS Mincho" w:hAnsi="Calibri" w:cs="Times New Roman"/>
          <w:b/>
          <w:sz w:val="28"/>
          <w:szCs w:val="28"/>
          <w:lang w:eastAsia="ja-JP"/>
        </w:rPr>
        <w:t>fractures</w:t>
      </w:r>
    </w:p>
    <w:p w14:paraId="1601B156" w14:textId="77777777" w:rsidR="00D349C4" w:rsidRPr="00D349C4" w:rsidRDefault="00D349C4" w:rsidP="00A8549A">
      <w:pPr>
        <w:ind w:left="567"/>
        <w:rPr>
          <w:rFonts w:ascii="Calibri" w:eastAsia="MS Mincho" w:hAnsi="Calibri" w:cs="Times New Roman"/>
          <w:b/>
          <w:lang w:eastAsia="ja-JP"/>
        </w:rPr>
      </w:pPr>
    </w:p>
    <w:p w14:paraId="59FCDA94" w14:textId="41413735" w:rsidR="00D349C4" w:rsidRPr="00D349C4" w:rsidRDefault="00D349C4" w:rsidP="00A8549A">
      <w:pPr>
        <w:ind w:left="567"/>
        <w:jc w:val="center"/>
        <w:outlineLvl w:val="0"/>
        <w:rPr>
          <w:rFonts w:asciiTheme="minorHAnsi" w:eastAsia="MS Mincho" w:hAnsiTheme="minorHAnsi" w:cs="Times New Roman"/>
          <w:lang w:eastAsia="ja-JP"/>
        </w:rPr>
      </w:pPr>
      <w:r w:rsidRPr="00D349C4">
        <w:rPr>
          <w:rFonts w:asciiTheme="minorHAnsi" w:eastAsia="MS Mincho" w:hAnsiTheme="minorHAnsi" w:cs="Times New Roman"/>
          <w:lang w:eastAsia="ja-JP"/>
        </w:rPr>
        <w:t>John A Kanis</w:t>
      </w:r>
      <w:r w:rsidRPr="00D349C4">
        <w:rPr>
          <w:rFonts w:asciiTheme="minorHAnsi" w:eastAsia="MS Mincho" w:hAnsiTheme="minorHAnsi" w:cs="Times New Roman"/>
          <w:vertAlign w:val="superscript"/>
          <w:lang w:eastAsia="ja-JP"/>
        </w:rPr>
        <w:t>1,</w:t>
      </w:r>
      <w:r w:rsidR="00D03799" w:rsidRPr="00F94FAA">
        <w:rPr>
          <w:rFonts w:asciiTheme="minorHAnsi" w:eastAsia="MS Mincho" w:hAnsiTheme="minorHAnsi" w:cs="Times New Roman"/>
          <w:vertAlign w:val="superscript"/>
          <w:lang w:eastAsia="ja-JP"/>
        </w:rPr>
        <w:t>2</w:t>
      </w:r>
      <w:r w:rsidR="00B20654">
        <w:rPr>
          <w:rFonts w:asciiTheme="minorHAnsi" w:eastAsia="MS Mincho" w:hAnsiTheme="minorHAnsi" w:cs="Times New Roman"/>
          <w:vertAlign w:val="superscript"/>
          <w:lang w:eastAsia="ja-JP"/>
        </w:rPr>
        <w:t xml:space="preserve"> </w:t>
      </w:r>
      <w:r w:rsidR="00B20654" w:rsidRPr="00557551">
        <w:rPr>
          <w:rFonts w:ascii="Calibri" w:eastAsia="Calibri" w:hAnsi="Calibri" w:cs="Times New Roman"/>
        </w:rPr>
        <w:t>∙</w:t>
      </w:r>
      <w:r w:rsidR="00B20654">
        <w:rPr>
          <w:rFonts w:ascii="Calibri" w:eastAsia="Calibri" w:hAnsi="Calibri" w:cs="Times New Roman"/>
        </w:rPr>
        <w:t xml:space="preserve"> Helena</w:t>
      </w:r>
      <w:r w:rsidRPr="00557551">
        <w:rPr>
          <w:rFonts w:asciiTheme="minorHAnsi" w:eastAsia="MS Mincho" w:hAnsiTheme="minorHAnsi" w:cs="Times New Roman"/>
          <w:lang w:eastAsia="ja-JP"/>
        </w:rPr>
        <w:t xml:space="preserve"> Johansson</w:t>
      </w:r>
      <w:r w:rsidRPr="00557551">
        <w:rPr>
          <w:rFonts w:asciiTheme="minorHAnsi" w:eastAsia="MS Mincho" w:hAnsiTheme="minorHAnsi" w:cs="Times New Roman"/>
          <w:vertAlign w:val="superscript"/>
          <w:lang w:eastAsia="ja-JP"/>
        </w:rPr>
        <w:t>1,</w:t>
      </w:r>
      <w:r w:rsidR="00D03799" w:rsidRPr="00557551">
        <w:rPr>
          <w:rFonts w:asciiTheme="minorHAnsi" w:eastAsia="MS Mincho" w:hAnsiTheme="minorHAnsi" w:cs="Times New Roman"/>
          <w:vertAlign w:val="superscript"/>
          <w:lang w:eastAsia="ja-JP"/>
        </w:rPr>
        <w:t>2</w:t>
      </w:r>
      <w:bookmarkStart w:id="0" w:name="_Hlk109041118"/>
      <w:r w:rsidR="00B20654">
        <w:rPr>
          <w:rFonts w:asciiTheme="minorHAnsi" w:eastAsia="MS Mincho" w:hAnsiTheme="minorHAnsi" w:cs="Times New Roman"/>
          <w:vertAlign w:val="superscript"/>
          <w:lang w:eastAsia="ja-JP"/>
        </w:rPr>
        <w:t xml:space="preserve"> </w:t>
      </w:r>
      <w:r w:rsidR="00B20654" w:rsidRPr="00557551">
        <w:rPr>
          <w:rFonts w:ascii="Calibri" w:eastAsia="Calibri" w:hAnsi="Calibri" w:cs="Times New Roman"/>
        </w:rPr>
        <w:t>∙</w:t>
      </w:r>
      <w:r w:rsidR="00B20654">
        <w:rPr>
          <w:rFonts w:ascii="Calibri" w:eastAsia="Calibri" w:hAnsi="Calibri" w:cs="Times New Roman"/>
        </w:rPr>
        <w:t xml:space="preserve"> </w:t>
      </w:r>
      <w:bookmarkEnd w:id="0"/>
      <w:r w:rsidRPr="00557551">
        <w:rPr>
          <w:rFonts w:asciiTheme="minorHAnsi" w:eastAsia="MS Mincho" w:hAnsiTheme="minorHAnsi" w:cs="Times New Roman"/>
          <w:lang w:eastAsia="ja-JP"/>
        </w:rPr>
        <w:t>Nicholas C Harvey</w:t>
      </w:r>
      <w:r w:rsidR="00EC7993" w:rsidRPr="00557551">
        <w:rPr>
          <w:rFonts w:asciiTheme="minorHAnsi" w:eastAsia="MS Mincho" w:hAnsiTheme="minorHAnsi" w:cs="Times New Roman"/>
          <w:vertAlign w:val="superscript"/>
          <w:lang w:eastAsia="ja-JP"/>
        </w:rPr>
        <w:t>3</w:t>
      </w:r>
      <w:r w:rsidRPr="00557551">
        <w:rPr>
          <w:rFonts w:asciiTheme="minorHAnsi" w:eastAsia="MS Mincho" w:hAnsiTheme="minorHAnsi" w:cs="Times New Roman"/>
          <w:vertAlign w:val="superscript"/>
          <w:lang w:eastAsia="ja-JP"/>
        </w:rPr>
        <w:t>,</w:t>
      </w:r>
      <w:r w:rsidR="00EC7993" w:rsidRPr="00557551">
        <w:rPr>
          <w:rFonts w:asciiTheme="minorHAnsi" w:eastAsia="MS Mincho" w:hAnsiTheme="minorHAnsi" w:cs="Times New Roman"/>
          <w:vertAlign w:val="superscript"/>
          <w:lang w:eastAsia="ja-JP"/>
        </w:rPr>
        <w:t>4</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Vilmundur Gudnason</w:t>
      </w:r>
      <w:r w:rsidR="00EC7993" w:rsidRPr="00557551">
        <w:rPr>
          <w:rFonts w:asciiTheme="minorHAnsi" w:eastAsia="MS Mincho" w:hAnsiTheme="minorHAnsi" w:cs="Times New Roman"/>
          <w:vertAlign w:val="superscript"/>
          <w:lang w:eastAsia="ja-JP"/>
        </w:rPr>
        <w:t>5</w:t>
      </w:r>
      <w:r w:rsidRPr="00557551">
        <w:rPr>
          <w:rFonts w:asciiTheme="minorHAnsi" w:eastAsia="MS Mincho" w:hAnsiTheme="minorHAnsi" w:cs="Times New Roman"/>
          <w:vertAlign w:val="superscript"/>
          <w:lang w:eastAsia="ja-JP"/>
        </w:rPr>
        <w:t>,</w:t>
      </w:r>
      <w:r w:rsidR="00EC7993" w:rsidRPr="00557551">
        <w:rPr>
          <w:rFonts w:asciiTheme="minorHAnsi" w:eastAsia="MS Mincho" w:hAnsiTheme="minorHAnsi" w:cs="Times New Roman"/>
          <w:vertAlign w:val="superscript"/>
          <w:lang w:eastAsia="ja-JP"/>
        </w:rPr>
        <w:t>6</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 xml:space="preserve"> Gunnar Sigurdsson</w:t>
      </w:r>
      <w:r w:rsidR="00123122" w:rsidRPr="00557551">
        <w:rPr>
          <w:rFonts w:asciiTheme="minorHAnsi" w:eastAsia="MS Mincho" w:hAnsiTheme="minorHAnsi" w:cs="Times New Roman"/>
          <w:vertAlign w:val="superscript"/>
          <w:lang w:eastAsia="ja-JP"/>
        </w:rPr>
        <w:t>5</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Kristin Siggeirsdottir</w:t>
      </w:r>
      <w:r w:rsidR="00EC5E7A" w:rsidRPr="00557551">
        <w:rPr>
          <w:rFonts w:asciiTheme="minorHAnsi" w:eastAsia="MS Mincho" w:hAnsiTheme="minorHAnsi" w:cs="Times New Roman"/>
          <w:vertAlign w:val="superscript"/>
          <w:lang w:eastAsia="ja-JP"/>
        </w:rPr>
        <w:t>5</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Mattias Lorentzon</w:t>
      </w:r>
      <w:r w:rsidR="00CF5099" w:rsidRPr="00557551">
        <w:rPr>
          <w:rFonts w:asciiTheme="minorHAnsi" w:eastAsia="MS Mincho" w:hAnsiTheme="minorHAnsi" w:cs="Times New Roman"/>
          <w:vertAlign w:val="superscript"/>
          <w:lang w:eastAsia="ja-JP"/>
        </w:rPr>
        <w:t>1</w:t>
      </w:r>
      <w:r w:rsidRPr="00557551">
        <w:rPr>
          <w:rFonts w:asciiTheme="minorHAnsi" w:eastAsia="MS Mincho" w:hAnsiTheme="minorHAnsi" w:cs="Times New Roman"/>
          <w:vertAlign w:val="superscript"/>
          <w:lang w:eastAsia="ja-JP"/>
        </w:rPr>
        <w:t>,</w:t>
      </w:r>
      <w:r w:rsidR="00CF5099" w:rsidRPr="00557551">
        <w:rPr>
          <w:rFonts w:asciiTheme="minorHAnsi" w:eastAsia="MS Mincho" w:hAnsiTheme="minorHAnsi" w:cs="Times New Roman"/>
          <w:vertAlign w:val="superscript"/>
          <w:lang w:eastAsia="ja-JP"/>
        </w:rPr>
        <w:t>7</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00AF05ED" w:rsidRPr="00557551">
        <w:rPr>
          <w:rFonts w:ascii="Calibri" w:eastAsia="Calibri" w:hAnsi="Calibri" w:cs="Times New Roman"/>
        </w:rPr>
        <w:t>Enwu Liu</w:t>
      </w:r>
      <w:r w:rsidR="00CF5099" w:rsidRPr="00557551">
        <w:rPr>
          <w:rFonts w:ascii="Calibri" w:eastAsia="Calibri" w:hAnsi="Calibri" w:cs="Times New Roman"/>
          <w:vertAlign w:val="superscript"/>
        </w:rPr>
        <w:t>1</w:t>
      </w:r>
      <w:r w:rsidR="00AF05ED" w:rsidRPr="00557551">
        <w:rPr>
          <w:rFonts w:ascii="Calibri" w:eastAsia="Calibri" w:hAnsi="Calibri" w:cs="Times New Roman"/>
        </w:rPr>
        <w:t xml:space="preserve"> </w:t>
      </w:r>
      <w:bookmarkStart w:id="1" w:name="_Hlk22287265"/>
      <w:r w:rsidR="00AF05ED" w:rsidRPr="00557551">
        <w:rPr>
          <w:rFonts w:ascii="Calibri" w:eastAsia="Calibri" w:hAnsi="Calibri" w:cs="Times New Roman"/>
        </w:rPr>
        <w:t xml:space="preserve">∙ </w:t>
      </w:r>
      <w:bookmarkStart w:id="2" w:name="_Hlk39741729"/>
      <w:bookmarkEnd w:id="1"/>
      <w:r w:rsidR="00AF05ED" w:rsidRPr="00557551">
        <w:rPr>
          <w:rFonts w:ascii="Calibri" w:eastAsia="Calibri" w:hAnsi="Calibri" w:cs="Times New Roman"/>
        </w:rPr>
        <w:t>Liesbeth Vandenput</w:t>
      </w:r>
      <w:bookmarkEnd w:id="2"/>
      <w:r w:rsidR="00E265FA" w:rsidRPr="00557551">
        <w:rPr>
          <w:rFonts w:ascii="Calibri" w:eastAsia="Calibri" w:hAnsi="Calibri" w:cs="Times New Roman"/>
          <w:vertAlign w:val="superscript"/>
        </w:rPr>
        <w:t>1</w:t>
      </w:r>
      <w:r w:rsidR="00F56250" w:rsidRPr="00557551">
        <w:rPr>
          <w:rFonts w:ascii="Calibri" w:eastAsia="Calibri" w:hAnsi="Calibri" w:cs="Times New Roman"/>
          <w:vertAlign w:val="superscript"/>
        </w:rPr>
        <w:t>,8</w:t>
      </w:r>
      <w:r w:rsidR="00AF05ED" w:rsidRPr="00557551">
        <w:rPr>
          <w:rFonts w:ascii="Calibri" w:eastAsia="Calibri" w:hAnsi="Calibri" w:cs="Times New Roman"/>
        </w:rPr>
        <w:t xml:space="preserve"> </w:t>
      </w:r>
      <w:r w:rsidR="00DC64B3">
        <w:rPr>
          <w:rFonts w:asciiTheme="minorHAnsi" w:eastAsia="MS Mincho" w:hAnsiTheme="minorHAnsi" w:cs="Times New Roman"/>
          <w:vertAlign w:val="superscript"/>
          <w:lang w:eastAsia="ja-JP"/>
        </w:rPr>
        <w:t xml:space="preserve"> </w:t>
      </w:r>
      <w:r w:rsidR="00DC64B3" w:rsidRPr="00557551">
        <w:rPr>
          <w:rFonts w:ascii="Calibri" w:eastAsia="Calibri" w:hAnsi="Calibri" w:cs="Times New Roman"/>
        </w:rPr>
        <w:t>∙</w:t>
      </w:r>
      <w:r w:rsidR="00DC64B3">
        <w:rPr>
          <w:rFonts w:ascii="Calibri" w:eastAsia="Calibri" w:hAnsi="Calibri" w:cs="Times New Roman"/>
        </w:rPr>
        <w:t xml:space="preserve"> </w:t>
      </w:r>
      <w:r w:rsidRPr="00557551">
        <w:rPr>
          <w:rFonts w:asciiTheme="minorHAnsi" w:eastAsia="MS Mincho" w:hAnsiTheme="minorHAnsi" w:cs="Times New Roman"/>
          <w:lang w:eastAsia="ja-JP"/>
        </w:rPr>
        <w:t>Eugene V McCloskey</w:t>
      </w:r>
      <w:r w:rsidR="008007D2" w:rsidRPr="00557551">
        <w:rPr>
          <w:rFonts w:asciiTheme="minorHAnsi" w:eastAsia="MS Mincho" w:hAnsiTheme="minorHAnsi" w:cs="Times New Roman"/>
          <w:vertAlign w:val="superscript"/>
          <w:lang w:eastAsia="ja-JP"/>
        </w:rPr>
        <w:t>2</w:t>
      </w:r>
      <w:r w:rsidR="00B13AC9" w:rsidRPr="00557551">
        <w:rPr>
          <w:rFonts w:asciiTheme="minorHAnsi" w:eastAsia="MS Mincho" w:hAnsiTheme="minorHAnsi" w:cs="Times New Roman"/>
          <w:vertAlign w:val="superscript"/>
          <w:lang w:eastAsia="ja-JP"/>
        </w:rPr>
        <w:t>, 9</w:t>
      </w:r>
    </w:p>
    <w:p w14:paraId="545A36CB" w14:textId="72787B06" w:rsidR="00D349C4" w:rsidRPr="00D349C4" w:rsidRDefault="00D349C4" w:rsidP="00A8549A">
      <w:pPr>
        <w:ind w:left="567"/>
        <w:jc w:val="center"/>
        <w:rPr>
          <w:rFonts w:ascii="Calibri" w:eastAsia="MS Mincho" w:hAnsi="Calibri" w:cs="Times New Roman"/>
          <w:lang w:eastAsia="ja-JP"/>
        </w:rPr>
      </w:pPr>
    </w:p>
    <w:p w14:paraId="078643BE" w14:textId="23BDDDF4" w:rsidR="00D349C4" w:rsidRPr="00D349C4" w:rsidRDefault="00D349C4" w:rsidP="00A8549A">
      <w:pPr>
        <w:ind w:left="567"/>
        <w:rPr>
          <w:rFonts w:ascii="Calibri" w:eastAsia="MS Mincho" w:hAnsi="Calibri" w:cs="Times New Roman"/>
          <w:lang w:eastAsia="ja-JP"/>
        </w:rPr>
      </w:pPr>
    </w:p>
    <w:p w14:paraId="44E17F14" w14:textId="77777777" w:rsidR="00D349C4" w:rsidRPr="00D349C4" w:rsidRDefault="00D349C4" w:rsidP="00A8549A">
      <w:pPr>
        <w:ind w:left="567"/>
        <w:rPr>
          <w:rFonts w:ascii="Calibri" w:eastAsia="MS Mincho" w:hAnsi="Calibri" w:cs="Times New Roman"/>
          <w:lang w:eastAsia="ja-JP"/>
        </w:rPr>
      </w:pPr>
    </w:p>
    <w:p w14:paraId="7D3A5122" w14:textId="69FAE2DC" w:rsidR="00D03799" w:rsidRDefault="002454DE" w:rsidP="00A8549A">
      <w:pPr>
        <w:spacing w:after="240"/>
        <w:ind w:left="567" w:hanging="142"/>
        <w:rPr>
          <w:rFonts w:ascii="Calibri" w:eastAsia="Calibri" w:hAnsi="Calibri" w:cs="Times New Roman"/>
          <w:lang w:val="en-AU"/>
        </w:rPr>
      </w:pPr>
      <w:r>
        <w:rPr>
          <w:rFonts w:ascii="Calibri" w:eastAsia="Times New Roman" w:hAnsi="Calibri" w:cs="Times New Roman"/>
          <w:szCs w:val="20"/>
          <w:vertAlign w:val="superscript"/>
          <w:lang w:eastAsia="fr-FR"/>
        </w:rPr>
        <w:t>1</w:t>
      </w:r>
      <w:r w:rsidR="00D03799" w:rsidRPr="00D03799">
        <w:rPr>
          <w:rFonts w:ascii="Calibri" w:eastAsia="Times New Roman" w:hAnsi="Calibri" w:cs="Times New Roman"/>
          <w:szCs w:val="20"/>
          <w:vertAlign w:val="superscript"/>
          <w:lang w:eastAsia="fr-FR"/>
        </w:rPr>
        <w:t xml:space="preserve"> </w:t>
      </w:r>
      <w:r w:rsidR="00CE5227" w:rsidRPr="00CE5227">
        <w:rPr>
          <w:rFonts w:ascii="Calibri" w:eastAsia="Calibri" w:hAnsi="Calibri" w:cs="Times New Roman"/>
          <w:lang w:val="en-AU"/>
        </w:rPr>
        <w:t>Mary McKillop Institute for Health Research, Australian Catholic University, Melbourne, Australia</w:t>
      </w:r>
    </w:p>
    <w:p w14:paraId="5F6BC193" w14:textId="77777777" w:rsidR="00F8122D" w:rsidRDefault="00F8122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2</w:t>
      </w:r>
      <w:r w:rsidRPr="00D349C4">
        <w:rPr>
          <w:rFonts w:ascii="Calibri" w:eastAsia="MS Mincho" w:hAnsi="Calibri" w:cs="Times New Roman"/>
          <w:lang w:eastAsia="ja-JP"/>
        </w:rPr>
        <w:t xml:space="preserve"> Centre for Metabolic Bone Diseases, University of Sheffield, Sheffield, UK</w:t>
      </w:r>
    </w:p>
    <w:p w14:paraId="4147876D" w14:textId="36A5A92E" w:rsidR="00D349C4" w:rsidRPr="00D349C4" w:rsidRDefault="00E46260"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3</w:t>
      </w:r>
      <w:r w:rsidR="00D349C4" w:rsidRPr="00D349C4">
        <w:rPr>
          <w:rFonts w:ascii="Calibri" w:eastAsia="MS Mincho" w:hAnsi="Calibri" w:cs="Times New Roman"/>
          <w:vertAlign w:val="superscript"/>
          <w:lang w:eastAsia="ja-JP"/>
        </w:rPr>
        <w:t xml:space="preserve"> </w:t>
      </w:r>
      <w:r w:rsidR="00D349C4" w:rsidRPr="00D349C4">
        <w:rPr>
          <w:rFonts w:ascii="Calibri" w:eastAsia="MS Mincho" w:hAnsi="Calibri" w:cs="Times New Roman"/>
          <w:lang w:eastAsia="ja-JP"/>
        </w:rPr>
        <w:t xml:space="preserve">MRC Lifecourse Epidemiology </w:t>
      </w:r>
      <w:r w:rsidR="00D86C79">
        <w:rPr>
          <w:rFonts w:ascii="Calibri" w:eastAsia="MS Mincho" w:hAnsi="Calibri" w:cs="Times New Roman"/>
          <w:lang w:eastAsia="ja-JP"/>
        </w:rPr>
        <w:t>Centre</w:t>
      </w:r>
      <w:r w:rsidR="00D349C4" w:rsidRPr="00D349C4">
        <w:rPr>
          <w:rFonts w:ascii="Calibri" w:eastAsia="MS Mincho" w:hAnsi="Calibri" w:cs="Times New Roman"/>
          <w:lang w:eastAsia="ja-JP"/>
        </w:rPr>
        <w:t xml:space="preserve">, University of Southampton, Southampton, UK </w:t>
      </w:r>
    </w:p>
    <w:p w14:paraId="006694A3" w14:textId="77777777" w:rsidR="00EE4FA7" w:rsidRDefault="00D45AA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 xml:space="preserve">4 </w:t>
      </w:r>
      <w:r w:rsidRPr="003201AD">
        <w:rPr>
          <w:rFonts w:ascii="Calibri" w:eastAsia="MS Mincho" w:hAnsi="Calibri" w:cs="Times New Roman"/>
          <w:lang w:eastAsia="ja-JP"/>
        </w:rPr>
        <w:t>NIHR Southampton Biomedical Research Centre, University of Southampton and University Hospital Southampton NHS Foundation Trust, Southampton, UK</w:t>
      </w:r>
    </w:p>
    <w:p w14:paraId="146896A3" w14:textId="6E63A966" w:rsidR="00D03799" w:rsidRPr="00F94FAA" w:rsidRDefault="00D45AAD" w:rsidP="00A8549A">
      <w:pPr>
        <w:spacing w:after="240"/>
        <w:ind w:left="567" w:hanging="142"/>
        <w:rPr>
          <w:rFonts w:asciiTheme="minorHAnsi" w:hAnsiTheme="minorHAnsi"/>
        </w:rPr>
      </w:pPr>
      <w:r>
        <w:rPr>
          <w:rFonts w:asciiTheme="minorHAnsi" w:hAnsiTheme="minorHAnsi"/>
          <w:vertAlign w:val="superscript"/>
        </w:rPr>
        <w:t xml:space="preserve"> </w:t>
      </w:r>
      <w:r w:rsidR="00EC7993">
        <w:rPr>
          <w:rFonts w:asciiTheme="minorHAnsi" w:hAnsiTheme="minorHAnsi"/>
          <w:vertAlign w:val="superscript"/>
        </w:rPr>
        <w:t>5</w:t>
      </w:r>
      <w:r w:rsidR="00D03799" w:rsidRPr="00F94FAA">
        <w:rPr>
          <w:rFonts w:asciiTheme="minorHAnsi" w:hAnsiTheme="minorHAnsi"/>
        </w:rPr>
        <w:t xml:space="preserve"> Icelandic Heart Association Research Institute, Kopavogur, Iceland</w:t>
      </w:r>
    </w:p>
    <w:p w14:paraId="0B679C99" w14:textId="6635BCC7" w:rsidR="00D03799" w:rsidRPr="00F94FAA" w:rsidRDefault="00EC7993" w:rsidP="00A8549A">
      <w:pPr>
        <w:spacing w:after="240"/>
        <w:ind w:left="567" w:hanging="142"/>
        <w:rPr>
          <w:rFonts w:asciiTheme="minorHAnsi" w:hAnsiTheme="minorHAnsi"/>
        </w:rPr>
      </w:pPr>
      <w:r>
        <w:rPr>
          <w:rFonts w:asciiTheme="minorHAnsi" w:hAnsiTheme="minorHAnsi"/>
          <w:vertAlign w:val="superscript"/>
        </w:rPr>
        <w:t>6</w:t>
      </w:r>
      <w:r w:rsidR="00D03799" w:rsidRPr="00F94FAA">
        <w:rPr>
          <w:rFonts w:asciiTheme="minorHAnsi" w:hAnsiTheme="minorHAnsi"/>
        </w:rPr>
        <w:t xml:space="preserve"> University of Iceland, Reykjavik, Iceland</w:t>
      </w:r>
    </w:p>
    <w:p w14:paraId="20EF4199" w14:textId="442FF40B" w:rsidR="00D349C4" w:rsidRDefault="00CF5099" w:rsidP="00A8549A">
      <w:pPr>
        <w:spacing w:after="240"/>
        <w:ind w:left="567" w:hanging="142"/>
        <w:rPr>
          <w:rFonts w:ascii="Calibri" w:eastAsia="MS Mincho" w:hAnsi="Calibri" w:cs="Times New Roman"/>
          <w:lang w:val="en-US" w:eastAsia="ja-JP"/>
        </w:rPr>
      </w:pPr>
      <w:r>
        <w:rPr>
          <w:rFonts w:ascii="Calibri" w:eastAsia="MS Mincho" w:hAnsi="Calibri" w:cs="Times New Roman"/>
          <w:vertAlign w:val="superscript"/>
          <w:lang w:val="en-US" w:eastAsia="ja-JP"/>
        </w:rPr>
        <w:t>7</w:t>
      </w:r>
      <w:r w:rsidR="00F94FAA">
        <w:rPr>
          <w:rFonts w:ascii="Calibri" w:eastAsia="MS Mincho" w:hAnsi="Calibri" w:cs="Times New Roman"/>
          <w:vertAlign w:val="superscript"/>
          <w:lang w:val="en-US" w:eastAsia="ja-JP"/>
        </w:rPr>
        <w:t xml:space="preserve"> </w:t>
      </w:r>
      <w:r w:rsidR="00D530DC">
        <w:rPr>
          <w:rFonts w:ascii="Calibri" w:eastAsia="MS Mincho" w:hAnsi="Calibri" w:cs="Times New Roman"/>
          <w:lang w:val="en-US" w:eastAsia="ja-JP"/>
        </w:rPr>
        <w:t xml:space="preserve">Geriatric </w:t>
      </w:r>
      <w:r w:rsidR="008176DD">
        <w:rPr>
          <w:rFonts w:ascii="Calibri" w:eastAsia="MS Mincho" w:hAnsi="Calibri" w:cs="Times New Roman"/>
          <w:lang w:val="en-US" w:eastAsia="ja-JP"/>
        </w:rPr>
        <w:t>Medicine</w:t>
      </w:r>
      <w:r w:rsidR="008176DD" w:rsidRPr="00D349C4">
        <w:rPr>
          <w:rFonts w:ascii="Calibri" w:eastAsia="MS Mincho" w:hAnsi="Calibri" w:cs="Times New Roman"/>
          <w:lang w:val="en-US" w:eastAsia="ja-JP"/>
        </w:rPr>
        <w:t>, Institute</w:t>
      </w:r>
      <w:r w:rsidR="00D349C4" w:rsidRPr="00D349C4">
        <w:rPr>
          <w:rFonts w:ascii="Calibri" w:eastAsia="MS Mincho" w:hAnsi="Calibri" w:cs="Times New Roman"/>
          <w:lang w:val="en-US" w:eastAsia="ja-JP"/>
        </w:rPr>
        <w:t xml:space="preserve"> of Medicine, University </w:t>
      </w:r>
      <w:r w:rsidR="00F94FAA" w:rsidRPr="00D349C4">
        <w:rPr>
          <w:rFonts w:ascii="Calibri" w:eastAsia="MS Mincho" w:hAnsi="Calibri" w:cs="Times New Roman"/>
          <w:lang w:val="en-US" w:eastAsia="ja-JP"/>
        </w:rPr>
        <w:t xml:space="preserve">of </w:t>
      </w:r>
      <w:r w:rsidR="00F94FAA">
        <w:rPr>
          <w:rFonts w:ascii="Calibri" w:eastAsia="MS Mincho" w:hAnsi="Calibri" w:cs="Times New Roman"/>
          <w:lang w:val="en-US" w:eastAsia="ja-JP"/>
        </w:rPr>
        <w:t>Gothenburg</w:t>
      </w:r>
      <w:r w:rsidR="00D349C4" w:rsidRPr="00D349C4">
        <w:rPr>
          <w:rFonts w:ascii="Calibri" w:eastAsia="MS Mincho" w:hAnsi="Calibri" w:cs="Times New Roman"/>
          <w:lang w:val="en-US" w:eastAsia="ja-JP"/>
        </w:rPr>
        <w:t>, Sweden</w:t>
      </w:r>
    </w:p>
    <w:p w14:paraId="697B54BF" w14:textId="4742CDBA" w:rsidR="008C4764" w:rsidRPr="00D349C4" w:rsidRDefault="00F56250" w:rsidP="00A8549A">
      <w:pPr>
        <w:spacing w:after="240"/>
        <w:ind w:left="567" w:hanging="142"/>
        <w:rPr>
          <w:rFonts w:ascii="Calibri" w:eastAsia="MS Mincho" w:hAnsi="Calibri" w:cs="Times New Roman"/>
          <w:lang w:val="en-US" w:eastAsia="ja-JP"/>
        </w:rPr>
      </w:pPr>
      <w:r w:rsidRPr="00F56250">
        <w:rPr>
          <w:rFonts w:ascii="Calibri" w:eastAsia="MS Mincho" w:hAnsi="Calibri" w:cs="Times New Roman"/>
          <w:vertAlign w:val="superscript"/>
          <w:lang w:val="en-US" w:eastAsia="ja-JP"/>
        </w:rPr>
        <w:t>8</w:t>
      </w:r>
      <w:r>
        <w:rPr>
          <w:rFonts w:ascii="Calibri" w:eastAsia="MS Mincho" w:hAnsi="Calibri" w:cs="Times New Roman"/>
          <w:vertAlign w:val="superscript"/>
          <w:lang w:val="en-US" w:eastAsia="ja-JP"/>
        </w:rPr>
        <w:t xml:space="preserve"> </w:t>
      </w:r>
      <w:r w:rsidR="00A44441" w:rsidRPr="00A44441">
        <w:rPr>
          <w:rFonts w:ascii="Calibri" w:eastAsia="MS Mincho" w:hAnsi="Calibri" w:cs="Times New Roman"/>
          <w:lang w:val="en-US" w:eastAsia="ja-JP"/>
        </w:rPr>
        <w:t xml:space="preserve">Sahlgrenska Osteoporosis Centre, </w:t>
      </w:r>
      <w:r w:rsidR="00F619A1" w:rsidRPr="00F619A1">
        <w:rPr>
          <w:rFonts w:ascii="Calibri" w:eastAsia="MS Mincho" w:hAnsi="Calibri" w:cs="Times New Roman"/>
          <w:lang w:val="en-US" w:eastAsia="ja-JP"/>
        </w:rPr>
        <w:t>Institute of Medicine and Clinical Nutrition, Sahlgrenska Academy, University of Gothenburg, Gothenburg, Sweden</w:t>
      </w:r>
    </w:p>
    <w:p w14:paraId="3EB7D761" w14:textId="70E307E0" w:rsidR="00D349C4" w:rsidRPr="00D349C4" w:rsidRDefault="00F56250" w:rsidP="00A8549A">
      <w:pPr>
        <w:spacing w:after="240"/>
        <w:ind w:left="567" w:hanging="142"/>
        <w:rPr>
          <w:rFonts w:ascii="Calibri" w:eastAsia="MS Mincho" w:hAnsi="Calibri" w:cs="Times New Roman"/>
          <w:bCs/>
          <w:lang w:val="en-US" w:eastAsia="ja-JP"/>
        </w:rPr>
      </w:pPr>
      <w:r>
        <w:rPr>
          <w:rFonts w:ascii="Calibri" w:eastAsia="MS Mincho" w:hAnsi="Calibri" w:cs="Times New Roman"/>
          <w:bCs/>
          <w:vertAlign w:val="superscript"/>
          <w:lang w:val="en-US" w:eastAsia="ja-JP"/>
        </w:rPr>
        <w:t>9</w:t>
      </w:r>
      <w:r w:rsidR="00DC457B">
        <w:rPr>
          <w:rFonts w:ascii="Calibri" w:eastAsia="MS Mincho" w:hAnsi="Calibri" w:cs="Times New Roman"/>
          <w:bCs/>
          <w:vertAlign w:val="superscript"/>
          <w:lang w:val="en-US" w:eastAsia="ja-JP"/>
        </w:rPr>
        <w:t xml:space="preserve"> </w:t>
      </w:r>
      <w:r w:rsidR="00D349C4" w:rsidRPr="00D349C4">
        <w:rPr>
          <w:rFonts w:ascii="Calibri" w:eastAsia="MS Mincho" w:hAnsi="Calibri" w:cs="Times New Roman"/>
          <w:bCs/>
          <w:lang w:val="en-US" w:eastAsia="ja-JP"/>
        </w:rPr>
        <w:t xml:space="preserve">Mellanby Centre for </w:t>
      </w:r>
      <w:r w:rsidR="00BC3CDA" w:rsidRPr="00BC3CDA">
        <w:rPr>
          <w:rFonts w:ascii="Calibri" w:eastAsia="MS Mincho" w:hAnsi="Calibri" w:cs="Times New Roman"/>
          <w:bCs/>
          <w:lang w:val="en-US" w:eastAsia="ja-JP"/>
        </w:rPr>
        <w:t>musculoskeletal</w:t>
      </w:r>
      <w:r w:rsidR="00D349C4" w:rsidRPr="00D349C4">
        <w:rPr>
          <w:rFonts w:ascii="Calibri" w:eastAsia="MS Mincho" w:hAnsi="Calibri" w:cs="Times New Roman"/>
          <w:bCs/>
          <w:lang w:val="en-US" w:eastAsia="ja-JP"/>
        </w:rPr>
        <w:t xml:space="preserve"> research, Department of Oncology and Metabolism, University of Sheffield, Sheffield, UK</w:t>
      </w:r>
    </w:p>
    <w:p w14:paraId="2DCE85DF" w14:textId="77777777" w:rsidR="00D349C4" w:rsidRPr="00D349C4" w:rsidRDefault="00D349C4" w:rsidP="00A8549A">
      <w:pPr>
        <w:ind w:left="567" w:hanging="142"/>
        <w:rPr>
          <w:rFonts w:ascii="Calibri" w:eastAsia="MS Mincho" w:hAnsi="Calibri" w:cs="Times New Roman"/>
          <w:lang w:val="en-US" w:eastAsia="ja-JP"/>
        </w:rPr>
      </w:pPr>
    </w:p>
    <w:p w14:paraId="3F31E714" w14:textId="77777777" w:rsidR="00D349C4" w:rsidRPr="00D349C4" w:rsidRDefault="00D349C4" w:rsidP="00A8549A">
      <w:pPr>
        <w:ind w:left="567"/>
        <w:rPr>
          <w:rFonts w:ascii="Calibri" w:eastAsia="MS Mincho" w:hAnsi="Calibri" w:cs="Times New Roman"/>
          <w:lang w:eastAsia="ja-JP"/>
        </w:rPr>
      </w:pPr>
    </w:p>
    <w:p w14:paraId="3FCFAAC3" w14:textId="77777777" w:rsidR="008B38E3" w:rsidRDefault="008B38E3" w:rsidP="00A8549A">
      <w:pPr>
        <w:spacing w:after="160" w:line="259" w:lineRule="auto"/>
        <w:ind w:left="567"/>
        <w:rPr>
          <w:rFonts w:ascii="Calibri" w:eastAsia="Calibri" w:hAnsi="Calibri" w:cs="Times New Roman"/>
        </w:rPr>
      </w:pPr>
    </w:p>
    <w:p w14:paraId="765CA364" w14:textId="77777777" w:rsidR="008B38E3" w:rsidRDefault="008B38E3" w:rsidP="00A8549A">
      <w:pPr>
        <w:spacing w:after="160" w:line="259" w:lineRule="auto"/>
        <w:ind w:left="567"/>
        <w:rPr>
          <w:rFonts w:ascii="Calibri" w:eastAsia="Calibri" w:hAnsi="Calibri" w:cs="Times New Roman"/>
        </w:rPr>
      </w:pPr>
    </w:p>
    <w:p w14:paraId="4F14F632" w14:textId="1CD6C552" w:rsidR="000C647D" w:rsidRPr="000C647D" w:rsidRDefault="000C647D" w:rsidP="00A8549A">
      <w:pPr>
        <w:spacing w:after="160" w:line="259" w:lineRule="auto"/>
        <w:ind w:left="567"/>
        <w:rPr>
          <w:rFonts w:ascii="Calibri" w:eastAsia="Calibri" w:hAnsi="Calibri" w:cs="Times New Roman"/>
        </w:rPr>
      </w:pPr>
      <w:r w:rsidRPr="000C647D">
        <w:rPr>
          <w:rFonts w:ascii="Calibri" w:eastAsia="Calibri" w:hAnsi="Calibri" w:cs="Times New Roman"/>
        </w:rPr>
        <w:t>Correspondence to: Prof John A Kanis, Centre for Metabolic Bone Diseases, University of Sheffield Medical School, Beech Hill Road, Sheffield S10 2RX, UK; Tel: +44 114 285 1109; Fax: +44 114 285 1813; w.j.pontefract@shef.ac.uk</w:t>
      </w:r>
    </w:p>
    <w:p w14:paraId="19409742" w14:textId="1312B0CA" w:rsidR="00D349C4" w:rsidRDefault="00D349C4" w:rsidP="00A8549A">
      <w:pPr>
        <w:spacing w:after="240"/>
        <w:ind w:left="567"/>
        <w:rPr>
          <w:rFonts w:asciiTheme="minorHAnsi" w:hAnsiTheme="minorHAnsi"/>
          <w:b/>
        </w:rPr>
      </w:pPr>
      <w:r w:rsidRPr="00D349C4">
        <w:rPr>
          <w:rFonts w:ascii="Calibri" w:eastAsia="MS Mincho" w:hAnsi="Calibri" w:cs="Times New Roman"/>
          <w:b/>
          <w:lang w:eastAsia="ja-JP"/>
        </w:rPr>
        <w:br w:type="page"/>
      </w:r>
    </w:p>
    <w:p w14:paraId="793F1A30" w14:textId="47D04FC1" w:rsidR="00D349C4" w:rsidRPr="00380207" w:rsidRDefault="00B819EC" w:rsidP="00A8549A">
      <w:pPr>
        <w:spacing w:after="200" w:line="276" w:lineRule="auto"/>
        <w:ind w:left="567"/>
        <w:rPr>
          <w:rFonts w:ascii="Calibri" w:eastAsia="MS Mincho" w:hAnsi="Calibri" w:cs="Arial"/>
          <w:b/>
          <w:lang w:eastAsia="ja-JP"/>
        </w:rPr>
      </w:pPr>
      <w:r>
        <w:rPr>
          <w:rFonts w:ascii="Calibri" w:eastAsia="MS Mincho" w:hAnsi="Calibri" w:cs="Arial"/>
          <w:b/>
          <w:lang w:eastAsia="ja-JP"/>
        </w:rPr>
        <w:lastRenderedPageBreak/>
        <w:t>A</w:t>
      </w:r>
      <w:r w:rsidR="00B234DE">
        <w:rPr>
          <w:rFonts w:ascii="Calibri" w:eastAsia="MS Mincho" w:hAnsi="Calibri" w:cs="Arial"/>
          <w:b/>
          <w:lang w:eastAsia="ja-JP"/>
        </w:rPr>
        <w:t>bstract</w:t>
      </w:r>
    </w:p>
    <w:p w14:paraId="4108B66F" w14:textId="632CDB42" w:rsidR="00520935" w:rsidRPr="00C80B94" w:rsidRDefault="00520935" w:rsidP="00A8549A">
      <w:pPr>
        <w:spacing w:after="200" w:line="276" w:lineRule="auto"/>
        <w:ind w:left="567"/>
        <w:rPr>
          <w:rFonts w:ascii="Calibri" w:eastAsia="MS Mincho" w:hAnsi="Calibri" w:cs="Arial"/>
          <w:bCs/>
          <w:lang w:eastAsia="ja-JP"/>
        </w:rPr>
      </w:pPr>
      <w:r w:rsidRPr="00520935">
        <w:rPr>
          <w:rFonts w:ascii="Calibri" w:eastAsia="MS Mincho" w:hAnsi="Calibri" w:cs="Arial"/>
          <w:bCs/>
          <w:i/>
          <w:iCs/>
          <w:lang w:eastAsia="ja-JP"/>
        </w:rPr>
        <w:t>Summary</w:t>
      </w:r>
      <w:r>
        <w:rPr>
          <w:rFonts w:ascii="Calibri" w:eastAsia="MS Mincho" w:hAnsi="Calibri" w:cs="Arial"/>
          <w:bCs/>
          <w:i/>
          <w:iCs/>
          <w:lang w:eastAsia="ja-JP"/>
        </w:rPr>
        <w:t xml:space="preserve"> </w:t>
      </w:r>
      <w:r w:rsidR="00FB0975">
        <w:rPr>
          <w:rFonts w:ascii="Calibri" w:eastAsia="MS Mincho" w:hAnsi="Calibri" w:cs="Arial"/>
          <w:bCs/>
          <w:lang w:eastAsia="ja-JP"/>
        </w:rPr>
        <w:t>The risk of a recurrent</w:t>
      </w:r>
      <w:r w:rsidR="006B76A4" w:rsidRPr="006B76A4">
        <w:rPr>
          <w:rFonts w:ascii="Calibri" w:eastAsia="MS Mincho" w:hAnsi="Calibri" w:cs="Arial"/>
          <w:bCs/>
          <w:lang w:eastAsia="ja-JP"/>
        </w:rPr>
        <w:t xml:space="preserve"> fragility fracture</w:t>
      </w:r>
      <w:r w:rsidR="006B76A4">
        <w:rPr>
          <w:rFonts w:ascii="Calibri" w:eastAsia="MS Mincho" w:hAnsi="Calibri" w:cs="Arial"/>
          <w:bCs/>
          <w:lang w:eastAsia="ja-JP"/>
        </w:rPr>
        <w:t xml:space="preserve"> </w:t>
      </w:r>
      <w:r w:rsidR="00FB0975">
        <w:rPr>
          <w:rFonts w:ascii="Calibri" w:eastAsia="MS Mincho" w:hAnsi="Calibri" w:cs="Arial"/>
          <w:bCs/>
          <w:lang w:eastAsia="ja-JP"/>
        </w:rPr>
        <w:t xml:space="preserve">is </w:t>
      </w:r>
      <w:r w:rsidR="008E7742">
        <w:rPr>
          <w:rFonts w:ascii="Calibri" w:eastAsia="MS Mincho" w:hAnsi="Calibri" w:cs="Arial"/>
          <w:bCs/>
          <w:lang w:eastAsia="ja-JP"/>
        </w:rPr>
        <w:t xml:space="preserve">high following </w:t>
      </w:r>
      <w:r w:rsidR="0063185A">
        <w:rPr>
          <w:rFonts w:ascii="Calibri" w:eastAsia="MS Mincho" w:hAnsi="Calibri" w:cs="Arial"/>
          <w:bCs/>
          <w:lang w:eastAsia="ja-JP"/>
        </w:rPr>
        <w:t>a fir</w:t>
      </w:r>
      <w:r w:rsidR="007C4832">
        <w:rPr>
          <w:rFonts w:ascii="Calibri" w:eastAsia="MS Mincho" w:hAnsi="Calibri" w:cs="Arial"/>
          <w:bCs/>
          <w:lang w:eastAsia="ja-JP"/>
        </w:rPr>
        <w:t>s</w:t>
      </w:r>
      <w:r w:rsidR="0063185A">
        <w:rPr>
          <w:rFonts w:ascii="Calibri" w:eastAsia="MS Mincho" w:hAnsi="Calibri" w:cs="Arial"/>
          <w:bCs/>
          <w:lang w:eastAsia="ja-JP"/>
        </w:rPr>
        <w:t>t</w:t>
      </w:r>
      <w:r w:rsidR="008E7742">
        <w:rPr>
          <w:rFonts w:ascii="Calibri" w:eastAsia="MS Mincho" w:hAnsi="Calibri" w:cs="Arial"/>
          <w:bCs/>
          <w:lang w:eastAsia="ja-JP"/>
        </w:rPr>
        <w:t xml:space="preserve"> fracture</w:t>
      </w:r>
      <w:r w:rsidR="008578BC">
        <w:rPr>
          <w:rFonts w:ascii="Calibri" w:eastAsia="MS Mincho" w:hAnsi="Calibri" w:cs="Arial"/>
          <w:bCs/>
          <w:lang w:eastAsia="ja-JP"/>
        </w:rPr>
        <w:t xml:space="preserve"> and higher still </w:t>
      </w:r>
      <w:r w:rsidR="003B3580">
        <w:rPr>
          <w:rFonts w:ascii="Calibri" w:eastAsia="MS Mincho" w:hAnsi="Calibri" w:cs="Arial"/>
          <w:bCs/>
          <w:lang w:eastAsia="ja-JP"/>
        </w:rPr>
        <w:t>with more than on</w:t>
      </w:r>
      <w:r w:rsidR="00D92363">
        <w:rPr>
          <w:rFonts w:ascii="Calibri" w:eastAsia="MS Mincho" w:hAnsi="Calibri" w:cs="Arial"/>
          <w:bCs/>
          <w:lang w:eastAsia="ja-JP"/>
        </w:rPr>
        <w:t>e</w:t>
      </w:r>
      <w:r w:rsidR="003B3580">
        <w:rPr>
          <w:rFonts w:ascii="Calibri" w:eastAsia="MS Mincho" w:hAnsi="Calibri" w:cs="Arial"/>
          <w:bCs/>
          <w:lang w:eastAsia="ja-JP"/>
        </w:rPr>
        <w:t xml:space="preserve"> prior fracture</w:t>
      </w:r>
      <w:r w:rsidR="00C05377">
        <w:rPr>
          <w:rFonts w:ascii="Calibri" w:eastAsia="MS Mincho" w:hAnsi="Calibri" w:cs="Arial"/>
          <w:bCs/>
          <w:lang w:eastAsia="ja-JP"/>
        </w:rPr>
        <w:t>.</w:t>
      </w:r>
      <w:r w:rsidR="00FB0975">
        <w:rPr>
          <w:rFonts w:ascii="Calibri" w:eastAsia="MS Mincho" w:hAnsi="Calibri" w:cs="Arial"/>
          <w:bCs/>
          <w:lang w:eastAsia="ja-JP"/>
        </w:rPr>
        <w:t xml:space="preserve"> </w:t>
      </w:r>
      <w:r w:rsidR="00C05377">
        <w:rPr>
          <w:rFonts w:ascii="Calibri" w:eastAsia="MS Mincho" w:hAnsi="Calibri" w:cs="Arial"/>
          <w:bCs/>
          <w:lang w:eastAsia="ja-JP"/>
        </w:rPr>
        <w:t xml:space="preserve"> </w:t>
      </w:r>
      <w:r w:rsidR="00FB0975">
        <w:rPr>
          <w:rFonts w:ascii="Calibri" w:eastAsia="MS Mincho" w:hAnsi="Calibri" w:cs="Arial"/>
          <w:bCs/>
          <w:lang w:eastAsia="ja-JP"/>
        </w:rPr>
        <w:t xml:space="preserve"> </w:t>
      </w:r>
      <w:r w:rsidR="00101B8F" w:rsidRPr="00C80B94">
        <w:rPr>
          <w:rFonts w:ascii="Calibri" w:eastAsia="MS Mincho" w:hAnsi="Calibri" w:cs="Arial"/>
          <w:bCs/>
          <w:lang w:eastAsia="ja-JP"/>
        </w:rPr>
        <w:t>This study provides adjustments to FRAX</w:t>
      </w:r>
      <w:r w:rsidR="004E2E7F">
        <w:rPr>
          <w:rFonts w:ascii="Calibri" w:eastAsia="MS Mincho" w:hAnsi="Calibri" w:cs="Arial"/>
          <w:bCs/>
          <w:lang w:eastAsia="ja-JP"/>
        </w:rPr>
        <w:t>-</w:t>
      </w:r>
      <w:r w:rsidR="00101B8F" w:rsidRPr="00C80B94">
        <w:rPr>
          <w:rFonts w:ascii="Calibri" w:eastAsia="MS Mincho" w:hAnsi="Calibri" w:cs="Arial"/>
          <w:bCs/>
          <w:lang w:eastAsia="ja-JP"/>
        </w:rPr>
        <w:t xml:space="preserve">based fracture probabilities </w:t>
      </w:r>
      <w:r w:rsidR="00101B8F">
        <w:rPr>
          <w:rFonts w:ascii="Calibri" w:eastAsia="MS Mincho" w:hAnsi="Calibri" w:cs="Arial"/>
          <w:bCs/>
          <w:lang w:eastAsia="ja-JP"/>
        </w:rPr>
        <w:t xml:space="preserve">accounting for the </w:t>
      </w:r>
      <w:r w:rsidR="007C4832">
        <w:rPr>
          <w:rFonts w:ascii="Calibri" w:eastAsia="MS Mincho" w:hAnsi="Calibri" w:cs="Arial"/>
          <w:bCs/>
          <w:lang w:eastAsia="ja-JP"/>
        </w:rPr>
        <w:t>number of prior</w:t>
      </w:r>
      <w:r w:rsidR="00101B8F" w:rsidRPr="00C80B94">
        <w:rPr>
          <w:rFonts w:ascii="Calibri" w:eastAsia="MS Mincho" w:hAnsi="Calibri" w:cs="Arial"/>
          <w:bCs/>
          <w:lang w:eastAsia="ja-JP"/>
        </w:rPr>
        <w:t xml:space="preserve"> fracture</w:t>
      </w:r>
      <w:r w:rsidR="000F0005">
        <w:rPr>
          <w:rFonts w:ascii="Calibri" w:eastAsia="MS Mincho" w:hAnsi="Calibri" w:cs="Arial"/>
          <w:bCs/>
          <w:lang w:eastAsia="ja-JP"/>
        </w:rPr>
        <w:t>s</w:t>
      </w:r>
      <w:r w:rsidR="00101B8F" w:rsidRPr="00C80B94">
        <w:rPr>
          <w:rFonts w:ascii="Calibri" w:eastAsia="MS Mincho" w:hAnsi="Calibri" w:cs="Arial"/>
          <w:bCs/>
          <w:lang w:eastAsia="ja-JP"/>
        </w:rPr>
        <w:t>.</w:t>
      </w:r>
    </w:p>
    <w:p w14:paraId="3CE3808F" w14:textId="018E3F5F" w:rsidR="00DF0430" w:rsidRDefault="00DF0430" w:rsidP="00A8549A">
      <w:pPr>
        <w:spacing w:after="200" w:line="276" w:lineRule="auto"/>
        <w:ind w:left="567"/>
        <w:rPr>
          <w:rFonts w:ascii="Calibri" w:eastAsia="MS Mincho" w:hAnsi="Calibri" w:cs="Arial"/>
          <w:lang w:eastAsia="ja-JP"/>
        </w:rPr>
      </w:pPr>
      <w:r w:rsidRPr="00ED4D35">
        <w:rPr>
          <w:rFonts w:ascii="Calibri" w:eastAsia="MS Mincho" w:hAnsi="Calibri" w:cs="Calibri"/>
          <w:i/>
          <w:iCs/>
          <w:lang w:eastAsia="ja-JP"/>
        </w:rPr>
        <w:t>Introduction</w:t>
      </w:r>
      <w:r w:rsidR="00C604D4" w:rsidRPr="00ED4D35">
        <w:rPr>
          <w:rFonts w:ascii="Calibri" w:hAnsi="Calibri" w:cs="Calibri"/>
        </w:rPr>
        <w:t xml:space="preserve"> </w:t>
      </w:r>
      <w:r w:rsidR="000F0005">
        <w:rPr>
          <w:rFonts w:ascii="Calibri" w:hAnsi="Calibri" w:cs="Calibri"/>
        </w:rPr>
        <w:t>P</w:t>
      </w:r>
      <w:r w:rsidR="00E94CA6" w:rsidRPr="00ED4D35">
        <w:rPr>
          <w:rFonts w:ascii="Calibri" w:hAnsi="Calibri" w:cs="Calibri"/>
        </w:rPr>
        <w:t>rior fractures</w:t>
      </w:r>
      <w:r w:rsidR="00053B27">
        <w:rPr>
          <w:rFonts w:ascii="Calibri" w:hAnsi="Calibri" w:cs="Calibri"/>
        </w:rPr>
        <w:t xml:space="preserve"> </w:t>
      </w:r>
      <w:r w:rsidR="001937B3">
        <w:rPr>
          <w:rFonts w:ascii="Calibri" w:hAnsi="Calibri" w:cs="Calibri"/>
        </w:rPr>
        <w:t>increase</w:t>
      </w:r>
      <w:r w:rsidR="00053B27">
        <w:rPr>
          <w:rFonts w:ascii="Calibri" w:hAnsi="Calibri" w:cs="Calibri"/>
        </w:rPr>
        <w:t xml:space="preserve"> subsequent fracture risk</w:t>
      </w:r>
      <w:r w:rsidR="008B6F8A">
        <w:rPr>
          <w:rFonts w:ascii="Calibri" w:hAnsi="Calibri" w:cs="Calibri"/>
        </w:rPr>
        <w:t>.</w:t>
      </w:r>
      <w:r w:rsidR="00EB6237">
        <w:rPr>
          <w:rFonts w:ascii="Calibri" w:hAnsi="Calibri" w:cs="Calibri"/>
        </w:rPr>
        <w:t xml:space="preserve"> </w:t>
      </w:r>
      <w:r w:rsidR="00E94CA6" w:rsidRPr="00ED4D35">
        <w:rPr>
          <w:rFonts w:ascii="Calibri" w:hAnsi="Calibri" w:cs="Calibri"/>
        </w:rPr>
        <w:t xml:space="preserve"> </w:t>
      </w:r>
      <w:r w:rsidR="00C604D4" w:rsidRPr="00ED4D35">
        <w:rPr>
          <w:rFonts w:ascii="Calibri" w:eastAsia="MS Mincho" w:hAnsi="Calibri" w:cs="Calibri"/>
          <w:lang w:eastAsia="ja-JP"/>
        </w:rPr>
        <w:t>The</w:t>
      </w:r>
      <w:r w:rsidR="00C604D4" w:rsidRPr="00C604D4">
        <w:rPr>
          <w:rFonts w:ascii="Calibri" w:eastAsia="MS Mincho" w:hAnsi="Calibri" w:cs="Arial"/>
          <w:lang w:eastAsia="ja-JP"/>
        </w:rPr>
        <w:t xml:space="preserve"> aim of this study </w:t>
      </w:r>
      <w:r w:rsidR="00ED5516">
        <w:rPr>
          <w:rFonts w:ascii="Calibri" w:eastAsia="MS Mincho" w:hAnsi="Calibri" w:cs="Arial"/>
          <w:lang w:eastAsia="ja-JP"/>
        </w:rPr>
        <w:t>was</w:t>
      </w:r>
      <w:r w:rsidR="00C604D4" w:rsidRPr="00C604D4">
        <w:rPr>
          <w:rFonts w:ascii="Calibri" w:eastAsia="MS Mincho" w:hAnsi="Calibri" w:cs="Arial"/>
          <w:lang w:eastAsia="ja-JP"/>
        </w:rPr>
        <w:t xml:space="preserve"> to quantify the effect of </w:t>
      </w:r>
      <w:r w:rsidR="00EB6237">
        <w:rPr>
          <w:rFonts w:ascii="Calibri" w:eastAsia="MS Mincho" w:hAnsi="Calibri" w:cs="Arial"/>
          <w:lang w:eastAsia="ja-JP"/>
        </w:rPr>
        <w:t>t</w:t>
      </w:r>
      <w:r w:rsidR="000F0005">
        <w:rPr>
          <w:rFonts w:ascii="Calibri" w:eastAsia="MS Mincho" w:hAnsi="Calibri" w:cs="Arial"/>
          <w:lang w:eastAsia="ja-JP"/>
        </w:rPr>
        <w:t xml:space="preserve">he number of prior </w:t>
      </w:r>
      <w:r w:rsidR="00EB6237">
        <w:rPr>
          <w:rFonts w:ascii="Calibri" w:eastAsia="MS Mincho" w:hAnsi="Calibri" w:cs="Arial"/>
          <w:lang w:eastAsia="ja-JP"/>
        </w:rPr>
        <w:t xml:space="preserve">fractures </w:t>
      </w:r>
      <w:r w:rsidR="00EB6237" w:rsidRPr="00C604D4">
        <w:rPr>
          <w:rFonts w:ascii="Calibri" w:eastAsia="MS Mincho" w:hAnsi="Calibri" w:cs="Arial"/>
          <w:lang w:eastAsia="ja-JP"/>
        </w:rPr>
        <w:t>on</w:t>
      </w:r>
      <w:r w:rsidR="00C604D4" w:rsidRPr="00C604D4">
        <w:rPr>
          <w:rFonts w:ascii="Calibri" w:eastAsia="MS Mincho" w:hAnsi="Calibri" w:cs="Arial"/>
          <w:lang w:eastAsia="ja-JP"/>
        </w:rPr>
        <w:t xml:space="preserve"> the 10-year probability of fracture determined with FRAX</w:t>
      </w:r>
      <w:r w:rsidR="00837F2E" w:rsidRPr="00837F2E">
        <w:rPr>
          <w:rFonts w:ascii="Calibri" w:eastAsia="MS Mincho" w:hAnsi="Calibri" w:cs="Arial"/>
          <w:lang w:eastAsia="ja-JP"/>
        </w:rPr>
        <w:t>®</w:t>
      </w:r>
      <w:r w:rsidR="00C604D4" w:rsidRPr="00C604D4">
        <w:rPr>
          <w:rFonts w:ascii="Calibri" w:eastAsia="MS Mincho" w:hAnsi="Calibri" w:cs="Arial"/>
          <w:lang w:eastAsia="ja-JP"/>
        </w:rPr>
        <w:t>.</w:t>
      </w:r>
    </w:p>
    <w:p w14:paraId="2F1CCF81" w14:textId="567B262A" w:rsidR="007B355F" w:rsidRDefault="007B355F" w:rsidP="00A8549A">
      <w:pPr>
        <w:spacing w:after="200" w:line="276" w:lineRule="auto"/>
        <w:ind w:left="567"/>
        <w:rPr>
          <w:rFonts w:ascii="Calibri" w:eastAsia="MS Mincho" w:hAnsi="Calibri" w:cs="Arial"/>
          <w:lang w:eastAsia="ja-JP"/>
        </w:rPr>
      </w:pPr>
      <w:r w:rsidRPr="003D474F">
        <w:rPr>
          <w:rFonts w:ascii="Calibri" w:eastAsia="MS Mincho" w:hAnsi="Calibri" w:cs="Arial"/>
          <w:i/>
          <w:iCs/>
          <w:lang w:eastAsia="ja-JP"/>
        </w:rPr>
        <w:t>M</w:t>
      </w:r>
      <w:r w:rsidR="002D6E3F" w:rsidRPr="003D474F">
        <w:rPr>
          <w:rFonts w:ascii="Calibri" w:eastAsia="MS Mincho" w:hAnsi="Calibri" w:cs="Arial"/>
          <w:i/>
          <w:iCs/>
          <w:lang w:eastAsia="ja-JP"/>
        </w:rPr>
        <w:t>e</w:t>
      </w:r>
      <w:r w:rsidRPr="003D474F">
        <w:rPr>
          <w:rFonts w:ascii="Calibri" w:eastAsia="MS Mincho" w:hAnsi="Calibri" w:cs="Arial"/>
          <w:i/>
          <w:iCs/>
          <w:lang w:eastAsia="ja-JP"/>
        </w:rPr>
        <w:t>thods</w:t>
      </w:r>
      <w:r w:rsidR="003D474F" w:rsidRPr="003D474F">
        <w:t xml:space="preserve"> </w:t>
      </w:r>
      <w:r w:rsidR="003D474F" w:rsidRPr="003D474F">
        <w:rPr>
          <w:rFonts w:ascii="Calibri" w:eastAsia="MS Mincho" w:hAnsi="Calibri" w:cs="Arial"/>
          <w:lang w:eastAsia="ja-JP"/>
        </w:rPr>
        <w:t xml:space="preserve">The study used data from the Reykjavik Study fracture register that documented </w:t>
      </w:r>
      <w:r w:rsidR="005C7793" w:rsidRPr="005C7793">
        <w:rPr>
          <w:rFonts w:ascii="Calibri" w:eastAsia="MS Mincho" w:hAnsi="Calibri" w:cs="Arial"/>
          <w:lang w:eastAsia="ja-JP"/>
        </w:rPr>
        <w:t xml:space="preserve">prospectively </w:t>
      </w:r>
      <w:r w:rsidR="003D474F" w:rsidRPr="003D474F">
        <w:rPr>
          <w:rFonts w:ascii="Calibri" w:eastAsia="MS Mincho" w:hAnsi="Calibri" w:cs="Arial"/>
          <w:lang w:eastAsia="ja-JP"/>
        </w:rPr>
        <w:t xml:space="preserve">all fractures at all skeletal sites in a large sample of the population of Iceland. </w:t>
      </w:r>
      <w:r w:rsidR="00EB6237">
        <w:rPr>
          <w:rFonts w:ascii="Calibri" w:eastAsia="MS Mincho" w:hAnsi="Calibri" w:cs="Arial"/>
          <w:lang w:eastAsia="ja-JP"/>
        </w:rPr>
        <w:t xml:space="preserve"> </w:t>
      </w:r>
      <w:r w:rsidR="00BF61C2">
        <w:rPr>
          <w:rFonts w:ascii="Calibri" w:eastAsia="MS Mincho" w:hAnsi="Calibri" w:cs="Arial"/>
          <w:lang w:eastAsia="ja-JP"/>
        </w:rPr>
        <w:t>Ten-year p</w:t>
      </w:r>
      <w:r w:rsidR="003D474F" w:rsidRPr="003D474F">
        <w:rPr>
          <w:rFonts w:ascii="Calibri" w:eastAsia="MS Mincho" w:hAnsi="Calibri" w:cs="Arial"/>
          <w:lang w:eastAsia="ja-JP"/>
        </w:rPr>
        <w:t xml:space="preserve">robabilities </w:t>
      </w:r>
      <w:r w:rsidR="00A868E2">
        <w:rPr>
          <w:rFonts w:ascii="Calibri" w:eastAsia="MS Mincho" w:hAnsi="Calibri" w:cs="Arial"/>
          <w:lang w:eastAsia="ja-JP"/>
        </w:rPr>
        <w:t>of hip fracture and major osteoporotic fracture</w:t>
      </w:r>
      <w:r w:rsidR="00BF61C2">
        <w:rPr>
          <w:rFonts w:ascii="Calibri" w:eastAsia="MS Mincho" w:hAnsi="Calibri" w:cs="Arial"/>
          <w:lang w:eastAsia="ja-JP"/>
        </w:rPr>
        <w:t xml:space="preserve"> </w:t>
      </w:r>
      <w:r w:rsidR="00A81476">
        <w:rPr>
          <w:rFonts w:ascii="Calibri" w:eastAsia="MS Mincho" w:hAnsi="Calibri" w:cs="Arial"/>
          <w:lang w:eastAsia="ja-JP"/>
        </w:rPr>
        <w:t>(MOF</w:t>
      </w:r>
      <w:r w:rsidR="004B40A7">
        <w:rPr>
          <w:rFonts w:ascii="Calibri" w:eastAsia="MS Mincho" w:hAnsi="Calibri" w:cs="Arial"/>
          <w:lang w:eastAsia="ja-JP"/>
        </w:rPr>
        <w:t xml:space="preserve">) </w:t>
      </w:r>
      <w:r w:rsidR="003D474F" w:rsidRPr="003D474F">
        <w:rPr>
          <w:rFonts w:ascii="Calibri" w:eastAsia="MS Mincho" w:hAnsi="Calibri" w:cs="Arial"/>
          <w:lang w:eastAsia="ja-JP"/>
        </w:rPr>
        <w:t xml:space="preserve">were determined </w:t>
      </w:r>
      <w:r w:rsidR="000659AA">
        <w:rPr>
          <w:rFonts w:ascii="Calibri" w:eastAsia="MS Mincho" w:hAnsi="Calibri" w:cs="Arial"/>
          <w:lang w:eastAsia="ja-JP"/>
        </w:rPr>
        <w:t xml:space="preserve">according to the number of prior </w:t>
      </w:r>
      <w:r w:rsidR="004B40A7">
        <w:rPr>
          <w:rFonts w:ascii="Calibri" w:eastAsia="MS Mincho" w:hAnsi="Calibri" w:cs="Arial"/>
          <w:lang w:eastAsia="ja-JP"/>
        </w:rPr>
        <w:t>osteoporotic</w:t>
      </w:r>
      <w:r w:rsidR="00C55C8F">
        <w:rPr>
          <w:rFonts w:ascii="Calibri" w:eastAsia="MS Mincho" w:hAnsi="Calibri" w:cs="Arial"/>
          <w:lang w:eastAsia="ja-JP"/>
        </w:rPr>
        <w:t xml:space="preserve"> </w:t>
      </w:r>
      <w:r w:rsidR="000659AA">
        <w:rPr>
          <w:rFonts w:ascii="Calibri" w:eastAsia="MS Mincho" w:hAnsi="Calibri" w:cs="Arial"/>
          <w:lang w:eastAsia="ja-JP"/>
        </w:rPr>
        <w:t>fractur</w:t>
      </w:r>
      <w:r w:rsidR="00B41159">
        <w:rPr>
          <w:rFonts w:ascii="Calibri" w:eastAsia="MS Mincho" w:hAnsi="Calibri" w:cs="Arial"/>
          <w:lang w:eastAsia="ja-JP"/>
        </w:rPr>
        <w:t>e</w:t>
      </w:r>
      <w:r w:rsidR="000659AA">
        <w:rPr>
          <w:rFonts w:ascii="Calibri" w:eastAsia="MS Mincho" w:hAnsi="Calibri" w:cs="Arial"/>
          <w:lang w:eastAsia="ja-JP"/>
        </w:rPr>
        <w:t>s</w:t>
      </w:r>
      <w:r w:rsidR="00C55C8F">
        <w:rPr>
          <w:rFonts w:ascii="Calibri" w:eastAsia="MS Mincho" w:hAnsi="Calibri" w:cs="Arial"/>
          <w:lang w:eastAsia="ja-JP"/>
        </w:rPr>
        <w:t xml:space="preserve"> over a 20</w:t>
      </w:r>
      <w:r w:rsidR="00E02740">
        <w:rPr>
          <w:rFonts w:ascii="Calibri" w:eastAsia="MS Mincho" w:hAnsi="Calibri" w:cs="Arial"/>
          <w:lang w:eastAsia="ja-JP"/>
        </w:rPr>
        <w:t xml:space="preserve">-year interval </w:t>
      </w:r>
      <w:r w:rsidR="003D474F" w:rsidRPr="003D474F">
        <w:rPr>
          <w:rFonts w:ascii="Calibri" w:eastAsia="MS Mincho" w:hAnsi="Calibri" w:cs="Arial"/>
          <w:lang w:eastAsia="ja-JP"/>
        </w:rPr>
        <w:t xml:space="preserve">from the hazards of death and fracture.  </w:t>
      </w:r>
      <w:r w:rsidR="000675B9">
        <w:rPr>
          <w:rFonts w:ascii="Calibri" w:eastAsia="MS Mincho" w:hAnsi="Calibri" w:cs="Arial"/>
          <w:lang w:eastAsia="ja-JP"/>
        </w:rPr>
        <w:t xml:space="preserve">Fracture probabilities were </w:t>
      </w:r>
      <w:r w:rsidR="00502375">
        <w:rPr>
          <w:rFonts w:ascii="Calibri" w:eastAsia="MS Mincho" w:hAnsi="Calibri" w:cs="Arial"/>
          <w:lang w:eastAsia="ja-JP"/>
        </w:rPr>
        <w:t xml:space="preserve">also </w:t>
      </w:r>
      <w:r w:rsidR="000675B9">
        <w:rPr>
          <w:rFonts w:ascii="Calibri" w:eastAsia="MS Mincho" w:hAnsi="Calibri" w:cs="Arial"/>
          <w:lang w:eastAsia="ja-JP"/>
        </w:rPr>
        <w:t>computed</w:t>
      </w:r>
      <w:r w:rsidR="00A33D9B">
        <w:rPr>
          <w:rFonts w:ascii="Calibri" w:eastAsia="MS Mincho" w:hAnsi="Calibri" w:cs="Arial"/>
          <w:lang w:eastAsia="ja-JP"/>
        </w:rPr>
        <w:t xml:space="preserve"> </w:t>
      </w:r>
      <w:r w:rsidR="006E0B25">
        <w:rPr>
          <w:rFonts w:ascii="Calibri" w:eastAsia="MS Mincho" w:hAnsi="Calibri" w:cs="Arial"/>
          <w:lang w:eastAsia="ja-JP"/>
        </w:rPr>
        <w:t xml:space="preserve">for a </w:t>
      </w:r>
      <w:r w:rsidR="006E0B25" w:rsidRPr="008D1BAE">
        <w:rPr>
          <w:rFonts w:ascii="Calibri" w:eastAsia="MS Mincho" w:hAnsi="Calibri" w:cs="Arial"/>
          <w:lang w:eastAsia="ja-JP"/>
        </w:rPr>
        <w:t>prior osteoporotic fracture</w:t>
      </w:r>
      <w:r w:rsidR="00AB6668">
        <w:rPr>
          <w:rFonts w:ascii="Calibri" w:eastAsia="MS Mincho" w:hAnsi="Calibri" w:cs="Arial"/>
          <w:lang w:eastAsia="ja-JP"/>
        </w:rPr>
        <w:t xml:space="preserve"> irrespective of </w:t>
      </w:r>
      <w:r w:rsidR="00502375">
        <w:rPr>
          <w:rFonts w:ascii="Calibri" w:eastAsia="MS Mincho" w:hAnsi="Calibri" w:cs="Arial"/>
          <w:lang w:eastAsia="ja-JP"/>
        </w:rPr>
        <w:t>the number o</w:t>
      </w:r>
      <w:r w:rsidR="003939D5">
        <w:rPr>
          <w:rFonts w:ascii="Calibri" w:eastAsia="MS Mincho" w:hAnsi="Calibri" w:cs="Arial"/>
          <w:lang w:eastAsia="ja-JP"/>
        </w:rPr>
        <w:t>f previous fractur</w:t>
      </w:r>
      <w:r w:rsidR="00A82045">
        <w:rPr>
          <w:rFonts w:ascii="Calibri" w:eastAsia="MS Mincho" w:hAnsi="Calibri" w:cs="Arial"/>
          <w:lang w:eastAsia="ja-JP"/>
        </w:rPr>
        <w:t>e</w:t>
      </w:r>
      <w:r w:rsidR="003939D5">
        <w:rPr>
          <w:rFonts w:ascii="Calibri" w:eastAsia="MS Mincho" w:hAnsi="Calibri" w:cs="Arial"/>
          <w:lang w:eastAsia="ja-JP"/>
        </w:rPr>
        <w:t>s</w:t>
      </w:r>
      <w:r w:rsidR="00C90C3D">
        <w:rPr>
          <w:rFonts w:ascii="Calibri" w:eastAsia="MS Mincho" w:hAnsi="Calibri" w:cs="Arial"/>
          <w:lang w:eastAsia="ja-JP"/>
        </w:rPr>
        <w:t xml:space="preserve">.  The probability ratios </w:t>
      </w:r>
      <w:r w:rsidR="00085D04">
        <w:rPr>
          <w:rFonts w:ascii="Calibri" w:eastAsia="MS Mincho" w:hAnsi="Calibri" w:cs="Arial"/>
          <w:lang w:eastAsia="ja-JP"/>
        </w:rPr>
        <w:t>provided</w:t>
      </w:r>
      <w:r w:rsidR="00AF2D9D">
        <w:rPr>
          <w:rFonts w:ascii="Calibri" w:eastAsia="MS Mincho" w:hAnsi="Calibri" w:cs="Arial"/>
          <w:lang w:eastAsia="ja-JP"/>
        </w:rPr>
        <w:t xml:space="preserve"> adjustments to conventional</w:t>
      </w:r>
      <w:r w:rsidR="000E0FBE">
        <w:rPr>
          <w:rFonts w:ascii="Calibri" w:eastAsia="MS Mincho" w:hAnsi="Calibri" w:cs="Arial"/>
          <w:lang w:eastAsia="ja-JP"/>
        </w:rPr>
        <w:t xml:space="preserve"> FRAX estimates</w:t>
      </w:r>
      <w:r w:rsidR="00B94E69">
        <w:rPr>
          <w:rFonts w:ascii="Calibri" w:eastAsia="MS Mincho" w:hAnsi="Calibri" w:cs="Arial"/>
          <w:lang w:eastAsia="ja-JP"/>
        </w:rPr>
        <w:t xml:space="preserve"> of </w:t>
      </w:r>
      <w:r w:rsidR="00385003">
        <w:rPr>
          <w:rFonts w:ascii="Calibri" w:eastAsia="MS Mincho" w:hAnsi="Calibri" w:cs="Arial"/>
          <w:lang w:eastAsia="ja-JP"/>
        </w:rPr>
        <w:t>fracture probability</w:t>
      </w:r>
      <w:r w:rsidR="00742F3C">
        <w:rPr>
          <w:rFonts w:ascii="Calibri" w:eastAsia="MS Mincho" w:hAnsi="Calibri" w:cs="Arial"/>
          <w:lang w:eastAsia="ja-JP"/>
        </w:rPr>
        <w:t xml:space="preserve"> </w:t>
      </w:r>
      <w:r w:rsidR="000C1113">
        <w:rPr>
          <w:rFonts w:ascii="Calibri" w:eastAsia="MS Mincho" w:hAnsi="Calibri" w:cs="Arial"/>
          <w:lang w:eastAsia="ja-JP"/>
        </w:rPr>
        <w:t xml:space="preserve">according to the </w:t>
      </w:r>
      <w:r w:rsidR="000C1113" w:rsidRPr="008D1BAE">
        <w:rPr>
          <w:rFonts w:ascii="Calibri" w:eastAsia="MS Mincho" w:hAnsi="Calibri" w:cs="Arial"/>
          <w:lang w:eastAsia="ja-JP"/>
        </w:rPr>
        <w:t>number of prior</w:t>
      </w:r>
      <w:r w:rsidR="00742F3C" w:rsidRPr="008D1BAE">
        <w:rPr>
          <w:rFonts w:ascii="Calibri" w:eastAsia="MS Mincho" w:hAnsi="Calibri" w:cs="Arial"/>
          <w:lang w:eastAsia="ja-JP"/>
        </w:rPr>
        <w:t xml:space="preserve"> fractures</w:t>
      </w:r>
      <w:r w:rsidR="003B02D3">
        <w:rPr>
          <w:rFonts w:ascii="Calibri" w:eastAsia="MS Mincho" w:hAnsi="Calibri" w:cs="Arial"/>
          <w:lang w:eastAsia="ja-JP"/>
        </w:rPr>
        <w:t>.</w:t>
      </w:r>
      <w:r w:rsidR="00C90C3D">
        <w:rPr>
          <w:rFonts w:ascii="Calibri" w:eastAsia="MS Mincho" w:hAnsi="Calibri" w:cs="Arial"/>
          <w:lang w:eastAsia="ja-JP"/>
        </w:rPr>
        <w:t xml:space="preserve"> </w:t>
      </w:r>
    </w:p>
    <w:p w14:paraId="71BFF6D3" w14:textId="2FA49891" w:rsidR="007B355F" w:rsidRPr="004F615C" w:rsidRDefault="007B355F" w:rsidP="00A8549A">
      <w:pPr>
        <w:spacing w:after="200" w:line="276" w:lineRule="auto"/>
        <w:ind w:left="567"/>
        <w:rPr>
          <w:rFonts w:ascii="Calibri" w:eastAsia="MS Mincho" w:hAnsi="Calibri" w:cs="Arial"/>
          <w:lang w:eastAsia="ja-JP"/>
        </w:rPr>
      </w:pPr>
      <w:r w:rsidRPr="0031610D">
        <w:rPr>
          <w:rFonts w:ascii="Calibri" w:eastAsia="MS Mincho" w:hAnsi="Calibri" w:cs="Arial"/>
          <w:i/>
          <w:iCs/>
          <w:lang w:eastAsia="ja-JP"/>
        </w:rPr>
        <w:t>Resul</w:t>
      </w:r>
      <w:r w:rsidR="001D2557" w:rsidRPr="0031610D">
        <w:rPr>
          <w:rFonts w:ascii="Calibri" w:eastAsia="MS Mincho" w:hAnsi="Calibri" w:cs="Arial"/>
          <w:i/>
          <w:iCs/>
          <w:lang w:eastAsia="ja-JP"/>
        </w:rPr>
        <w:t>ts</w:t>
      </w:r>
      <w:r w:rsidR="003B02D3" w:rsidRPr="0031610D">
        <w:rPr>
          <w:rFonts w:ascii="Calibri" w:eastAsia="MS Mincho" w:hAnsi="Calibri" w:cs="Arial"/>
          <w:i/>
          <w:iCs/>
          <w:lang w:eastAsia="ja-JP"/>
        </w:rPr>
        <w:t xml:space="preserve"> </w:t>
      </w:r>
      <w:r w:rsidR="005A23D2" w:rsidRPr="0031610D">
        <w:rPr>
          <w:rFonts w:ascii="Calibri" w:eastAsia="MS Mincho" w:hAnsi="Calibri" w:cs="Arial"/>
          <w:lang w:eastAsia="ja-JP"/>
        </w:rPr>
        <w:t xml:space="preserve">Probability ratios to </w:t>
      </w:r>
      <w:r w:rsidR="00DD2D7B" w:rsidRPr="0031610D">
        <w:rPr>
          <w:rFonts w:ascii="Calibri" w:eastAsia="MS Mincho" w:hAnsi="Calibri" w:cs="Arial"/>
          <w:lang w:eastAsia="ja-JP"/>
        </w:rPr>
        <w:t>adjust</w:t>
      </w:r>
      <w:r w:rsidR="00752258" w:rsidRPr="0031610D">
        <w:rPr>
          <w:rFonts w:ascii="Calibri" w:eastAsia="MS Mincho" w:hAnsi="Calibri" w:cs="Arial"/>
          <w:lang w:eastAsia="ja-JP"/>
        </w:rPr>
        <w:t xml:space="preserve"> </w:t>
      </w:r>
      <w:r w:rsidR="00E342DF" w:rsidRPr="0031610D">
        <w:rPr>
          <w:rFonts w:ascii="Calibri" w:eastAsia="MS Mincho" w:hAnsi="Calibri" w:cs="Arial"/>
          <w:lang w:eastAsia="ja-JP"/>
        </w:rPr>
        <w:t xml:space="preserve">10-year FRAX probabilities of a </w:t>
      </w:r>
      <w:r w:rsidR="0004566F" w:rsidRPr="0031610D">
        <w:rPr>
          <w:rFonts w:ascii="Calibri" w:eastAsia="MS Mincho" w:hAnsi="Calibri" w:cs="Arial"/>
          <w:lang w:eastAsia="ja-JP"/>
        </w:rPr>
        <w:t xml:space="preserve">hip </w:t>
      </w:r>
      <w:r w:rsidR="00066506">
        <w:rPr>
          <w:rFonts w:ascii="Calibri" w:eastAsia="MS Mincho" w:hAnsi="Calibri" w:cs="Arial"/>
          <w:lang w:eastAsia="ja-JP"/>
        </w:rPr>
        <w:t xml:space="preserve">fracture </w:t>
      </w:r>
      <w:r w:rsidR="0004566F" w:rsidRPr="0031610D">
        <w:rPr>
          <w:rFonts w:ascii="Calibri" w:eastAsia="MS Mincho" w:hAnsi="Calibri" w:cs="Arial"/>
          <w:lang w:eastAsia="ja-JP"/>
        </w:rPr>
        <w:t xml:space="preserve">and </w:t>
      </w:r>
      <w:r w:rsidR="00066506">
        <w:rPr>
          <w:rFonts w:ascii="Calibri" w:eastAsia="MS Mincho" w:hAnsi="Calibri" w:cs="Arial"/>
          <w:lang w:eastAsia="ja-JP"/>
        </w:rPr>
        <w:t>MOF</w:t>
      </w:r>
      <w:r w:rsidR="003E67FC" w:rsidRPr="0031610D">
        <w:rPr>
          <w:rFonts w:ascii="Calibri" w:eastAsia="MS Mincho" w:hAnsi="Calibri" w:cs="Arial"/>
          <w:lang w:eastAsia="ja-JP"/>
        </w:rPr>
        <w:t xml:space="preserve"> </w:t>
      </w:r>
      <w:r w:rsidR="0004566F" w:rsidRPr="0031610D">
        <w:rPr>
          <w:rFonts w:ascii="Calibri" w:eastAsia="MS Mincho" w:hAnsi="Calibri" w:cs="Arial"/>
          <w:lang w:eastAsia="ja-JP"/>
        </w:rPr>
        <w:t xml:space="preserve">increased with the number of prior fractures </w:t>
      </w:r>
      <w:r w:rsidR="0031610D" w:rsidRPr="0031610D">
        <w:rPr>
          <w:rFonts w:ascii="Calibri" w:eastAsia="MS Mincho" w:hAnsi="Calibri" w:cs="Arial"/>
          <w:lang w:eastAsia="ja-JP"/>
        </w:rPr>
        <w:t xml:space="preserve">but </w:t>
      </w:r>
      <w:r w:rsidR="00272AAB" w:rsidRPr="0031610D">
        <w:rPr>
          <w:rFonts w:ascii="Calibri" w:eastAsia="MS Mincho" w:hAnsi="Calibri" w:cs="Arial"/>
          <w:lang w:eastAsia="ja-JP"/>
        </w:rPr>
        <w:t>decreas</w:t>
      </w:r>
      <w:r w:rsidR="000A246F" w:rsidRPr="0031610D">
        <w:rPr>
          <w:rFonts w:ascii="Calibri" w:eastAsia="MS Mincho" w:hAnsi="Calibri" w:cs="Arial"/>
          <w:lang w:eastAsia="ja-JP"/>
        </w:rPr>
        <w:t>ed</w:t>
      </w:r>
      <w:r w:rsidR="00272AAB" w:rsidRPr="0031610D">
        <w:rPr>
          <w:rFonts w:ascii="Calibri" w:eastAsia="MS Mincho" w:hAnsi="Calibri" w:cs="Arial"/>
          <w:lang w:eastAsia="ja-JP"/>
        </w:rPr>
        <w:t xml:space="preserve"> </w:t>
      </w:r>
      <w:r w:rsidR="006E4020" w:rsidRPr="0031610D">
        <w:rPr>
          <w:rFonts w:ascii="Calibri" w:eastAsia="MS Mincho" w:hAnsi="Calibri" w:cs="Arial"/>
          <w:lang w:eastAsia="ja-JP"/>
        </w:rPr>
        <w:t>with age</w:t>
      </w:r>
      <w:r w:rsidR="00CE3CAC" w:rsidRPr="0031610D">
        <w:rPr>
          <w:rFonts w:ascii="Calibri" w:eastAsia="MS Mincho" w:hAnsi="Calibri" w:cs="Arial"/>
          <w:lang w:eastAsia="ja-JP"/>
        </w:rPr>
        <w:t xml:space="preserve"> in both men and women</w:t>
      </w:r>
      <w:r w:rsidR="006E4020" w:rsidRPr="003C689E">
        <w:rPr>
          <w:rFonts w:ascii="Calibri" w:eastAsia="MS Mincho" w:hAnsi="Calibri" w:cs="Arial"/>
          <w:lang w:eastAsia="ja-JP"/>
        </w:rPr>
        <w:t xml:space="preserve">.  </w:t>
      </w:r>
      <w:r w:rsidR="00024A7D" w:rsidRPr="003C689E">
        <w:rPr>
          <w:rFonts w:ascii="Calibri" w:eastAsia="MS Mincho" w:hAnsi="Calibri" w:cs="Arial"/>
          <w:lang w:eastAsia="ja-JP"/>
        </w:rPr>
        <w:t xml:space="preserve"> </w:t>
      </w:r>
      <w:r w:rsidR="00C43BE0" w:rsidRPr="003C689E">
        <w:rPr>
          <w:rFonts w:ascii="Calibri" w:eastAsia="MS Mincho" w:hAnsi="Calibri" w:cs="Arial"/>
          <w:lang w:eastAsia="ja-JP"/>
        </w:rPr>
        <w:t>Probability ratios</w:t>
      </w:r>
      <w:r w:rsidR="0073733C" w:rsidRPr="003C689E">
        <w:rPr>
          <w:rFonts w:ascii="Calibri" w:eastAsia="MS Mincho" w:hAnsi="Calibri" w:cs="Arial"/>
          <w:lang w:eastAsia="ja-JP"/>
        </w:rPr>
        <w:t xml:space="preserve"> </w:t>
      </w:r>
      <w:r w:rsidR="00872B01" w:rsidRPr="003C689E">
        <w:rPr>
          <w:rFonts w:ascii="Calibri" w:eastAsia="MS Mincho" w:hAnsi="Calibri" w:cs="Arial"/>
          <w:lang w:eastAsia="ja-JP"/>
        </w:rPr>
        <w:t xml:space="preserve">were </w:t>
      </w:r>
      <w:r w:rsidR="00C97133" w:rsidRPr="003C689E">
        <w:rPr>
          <w:rFonts w:ascii="Calibri" w:eastAsia="MS Mincho" w:hAnsi="Calibri" w:cs="Arial"/>
          <w:lang w:eastAsia="ja-JP"/>
        </w:rPr>
        <w:t>similar</w:t>
      </w:r>
      <w:r w:rsidR="00872B01" w:rsidRPr="003C689E">
        <w:rPr>
          <w:rFonts w:ascii="Calibri" w:eastAsia="MS Mincho" w:hAnsi="Calibri" w:cs="Arial"/>
          <w:lang w:eastAsia="ja-JP"/>
        </w:rPr>
        <w:t xml:space="preserve"> in men </w:t>
      </w:r>
      <w:r w:rsidR="00C97133" w:rsidRPr="003C689E">
        <w:rPr>
          <w:rFonts w:ascii="Calibri" w:eastAsia="MS Mincho" w:hAnsi="Calibri" w:cs="Arial"/>
          <w:lang w:eastAsia="ja-JP"/>
        </w:rPr>
        <w:t>and</w:t>
      </w:r>
      <w:r w:rsidR="00872B01" w:rsidRPr="003C689E">
        <w:rPr>
          <w:rFonts w:ascii="Calibri" w:eastAsia="MS Mincho" w:hAnsi="Calibri" w:cs="Arial"/>
          <w:lang w:eastAsia="ja-JP"/>
        </w:rPr>
        <w:t xml:space="preserve"> women</w:t>
      </w:r>
      <w:r w:rsidR="00C97133" w:rsidRPr="003C689E">
        <w:rPr>
          <w:rFonts w:ascii="Calibri" w:eastAsia="MS Mincho" w:hAnsi="Calibri" w:cs="Arial"/>
          <w:lang w:eastAsia="ja-JP"/>
        </w:rPr>
        <w:t xml:space="preserve">, and for hip fracture and </w:t>
      </w:r>
      <w:r w:rsidR="00C97133" w:rsidRPr="00321A1B">
        <w:rPr>
          <w:rFonts w:ascii="Calibri" w:eastAsia="MS Mincho" w:hAnsi="Calibri" w:cs="Arial"/>
          <w:lang w:eastAsia="ja-JP"/>
        </w:rPr>
        <w:t>MOF</w:t>
      </w:r>
      <w:r w:rsidR="005929AB" w:rsidRPr="00321A1B">
        <w:rPr>
          <w:rFonts w:ascii="Calibri" w:eastAsia="MS Mincho" w:hAnsi="Calibri" w:cs="Arial"/>
          <w:lang w:eastAsia="ja-JP"/>
        </w:rPr>
        <w:t xml:space="preserve">. </w:t>
      </w:r>
      <w:r w:rsidR="00C97133" w:rsidRPr="00321A1B">
        <w:rPr>
          <w:rFonts w:ascii="Calibri" w:eastAsia="MS Mincho" w:hAnsi="Calibri" w:cs="Arial"/>
          <w:lang w:eastAsia="ja-JP"/>
        </w:rPr>
        <w:t xml:space="preserve"> </w:t>
      </w:r>
      <w:r w:rsidR="004665BD">
        <w:rPr>
          <w:rFonts w:ascii="Calibri" w:eastAsia="Times New Roman" w:hAnsi="Calibri" w:cs="Calibri"/>
          <w:lang w:eastAsia="en-GB"/>
        </w:rPr>
        <w:t>M</w:t>
      </w:r>
      <w:r w:rsidR="00321A1B" w:rsidRPr="00EC6A38">
        <w:rPr>
          <w:rFonts w:ascii="Calibri" w:eastAsia="Times New Roman" w:hAnsi="Calibri" w:cs="Calibri"/>
          <w:lang w:eastAsia="en-GB"/>
        </w:rPr>
        <w:t>ean probability ratio</w:t>
      </w:r>
      <w:r w:rsidR="0042041D">
        <w:rPr>
          <w:rFonts w:ascii="Calibri" w:eastAsia="Times New Roman" w:hAnsi="Calibri" w:cs="Calibri"/>
          <w:lang w:eastAsia="en-GB"/>
        </w:rPr>
        <w:t xml:space="preserve">s </w:t>
      </w:r>
      <w:r w:rsidR="00321A1B" w:rsidRPr="00EC6A38">
        <w:rPr>
          <w:rFonts w:ascii="Calibri" w:eastAsia="Times New Roman" w:hAnsi="Calibri" w:cs="Calibri"/>
          <w:lang w:eastAsia="en-GB"/>
        </w:rPr>
        <w:t>according to the number of prior fractures for all scenarios were 0</w:t>
      </w:r>
      <w:r w:rsidR="00321A1B" w:rsidRPr="00361044">
        <w:rPr>
          <w:rFonts w:ascii="Calibri" w:eastAsia="Times New Roman" w:hAnsi="Calibri" w:cs="Calibri"/>
          <w:lang w:eastAsia="en-GB"/>
        </w:rPr>
        <w:t>.9</w:t>
      </w:r>
      <w:r w:rsidR="00AB06DF" w:rsidRPr="00361044">
        <w:rPr>
          <w:rFonts w:ascii="Calibri" w:eastAsia="Times New Roman" w:hAnsi="Calibri" w:cs="Calibri"/>
          <w:lang w:eastAsia="en-GB"/>
        </w:rPr>
        <w:t>5</w:t>
      </w:r>
      <w:r w:rsidR="00321A1B" w:rsidRPr="00361044">
        <w:rPr>
          <w:rFonts w:ascii="Calibri" w:eastAsia="Times New Roman" w:hAnsi="Calibri" w:cs="Calibri"/>
          <w:lang w:eastAsia="en-GB"/>
        </w:rPr>
        <w:t>, 1.0</w:t>
      </w:r>
      <w:r w:rsidR="00AB06DF" w:rsidRPr="00361044">
        <w:rPr>
          <w:rFonts w:ascii="Calibri" w:eastAsia="Times New Roman" w:hAnsi="Calibri" w:cs="Calibri"/>
          <w:lang w:eastAsia="en-GB"/>
        </w:rPr>
        <w:t>8</w:t>
      </w:r>
      <w:r w:rsidR="00321A1B" w:rsidRPr="00361044">
        <w:rPr>
          <w:rFonts w:ascii="Calibri" w:eastAsia="Times New Roman" w:hAnsi="Calibri" w:cs="Calibri"/>
          <w:lang w:eastAsia="en-GB"/>
        </w:rPr>
        <w:t>, 1.</w:t>
      </w:r>
      <w:r w:rsidR="00AB06DF" w:rsidRPr="00361044">
        <w:rPr>
          <w:rFonts w:ascii="Calibri" w:eastAsia="Times New Roman" w:hAnsi="Calibri" w:cs="Calibri"/>
          <w:lang w:eastAsia="en-GB"/>
        </w:rPr>
        <w:t>21</w:t>
      </w:r>
      <w:r w:rsidR="00C7325B" w:rsidRPr="00361044">
        <w:rPr>
          <w:rFonts w:ascii="Calibri" w:eastAsia="Times New Roman" w:hAnsi="Calibri" w:cs="Calibri"/>
          <w:lang w:eastAsia="en-GB"/>
        </w:rPr>
        <w:t xml:space="preserve"> </w:t>
      </w:r>
      <w:r w:rsidR="00187026" w:rsidRPr="00361044">
        <w:rPr>
          <w:rFonts w:ascii="Calibri" w:eastAsia="Times New Roman" w:hAnsi="Calibri" w:cs="Calibri"/>
          <w:lang w:eastAsia="en-GB"/>
        </w:rPr>
        <w:t>a</w:t>
      </w:r>
      <w:r w:rsidR="007644D3" w:rsidRPr="00361044">
        <w:rPr>
          <w:rFonts w:ascii="Calibri" w:eastAsia="Times New Roman" w:hAnsi="Calibri" w:cs="Calibri"/>
          <w:lang w:eastAsia="en-GB"/>
        </w:rPr>
        <w:t>nd</w:t>
      </w:r>
      <w:r w:rsidR="00790FE8" w:rsidRPr="00361044">
        <w:rPr>
          <w:rFonts w:ascii="Calibri" w:eastAsia="Times New Roman" w:hAnsi="Calibri" w:cs="Calibri"/>
          <w:lang w:eastAsia="en-GB"/>
        </w:rPr>
        <w:t xml:space="preserve"> </w:t>
      </w:r>
      <w:r w:rsidR="00F15407" w:rsidRPr="00361044">
        <w:rPr>
          <w:rFonts w:ascii="Calibri" w:eastAsia="Times New Roman" w:hAnsi="Calibri" w:cs="Calibri"/>
          <w:lang w:eastAsia="en-GB"/>
        </w:rPr>
        <w:t>1</w:t>
      </w:r>
      <w:r w:rsidR="00321A1B" w:rsidRPr="00361044">
        <w:rPr>
          <w:rFonts w:ascii="Calibri" w:eastAsia="Times New Roman" w:hAnsi="Calibri" w:cs="Calibri"/>
          <w:lang w:eastAsia="en-GB"/>
        </w:rPr>
        <w:t>.3</w:t>
      </w:r>
      <w:r w:rsidR="00AB06DF" w:rsidRPr="00361044">
        <w:rPr>
          <w:rFonts w:ascii="Calibri" w:eastAsia="Times New Roman" w:hAnsi="Calibri" w:cs="Calibri"/>
          <w:lang w:eastAsia="en-GB"/>
        </w:rPr>
        <w:t>5</w:t>
      </w:r>
      <w:r w:rsidR="00321A1B" w:rsidRPr="00361044">
        <w:rPr>
          <w:rFonts w:ascii="Calibri" w:eastAsia="Times New Roman" w:hAnsi="Calibri" w:cs="Calibri"/>
          <w:lang w:eastAsia="en-GB"/>
        </w:rPr>
        <w:t>, for 1,2, 3</w:t>
      </w:r>
      <w:r w:rsidR="001C6D73" w:rsidRPr="00361044">
        <w:rPr>
          <w:rFonts w:ascii="Calibri" w:eastAsia="Times New Roman" w:hAnsi="Calibri" w:cs="Calibri"/>
          <w:lang w:eastAsia="en-GB"/>
        </w:rPr>
        <w:t xml:space="preserve"> and </w:t>
      </w:r>
      <w:r w:rsidR="00321A1B" w:rsidRPr="00361044">
        <w:rPr>
          <w:rFonts w:ascii="Calibri" w:eastAsia="Times New Roman" w:hAnsi="Calibri" w:cs="Calibri"/>
          <w:lang w:eastAsia="en-GB"/>
        </w:rPr>
        <w:t xml:space="preserve">4 </w:t>
      </w:r>
      <w:r w:rsidR="001C6D73" w:rsidRPr="00361044">
        <w:rPr>
          <w:rFonts w:ascii="Calibri" w:eastAsia="Times New Roman" w:hAnsi="Calibri" w:cs="Calibri"/>
          <w:lang w:eastAsia="en-GB"/>
        </w:rPr>
        <w:t>or more</w:t>
      </w:r>
      <w:r w:rsidR="00F26CB6" w:rsidRPr="00361044">
        <w:rPr>
          <w:rFonts w:ascii="Calibri" w:eastAsia="Times New Roman" w:hAnsi="Calibri" w:cs="Calibri"/>
          <w:lang w:eastAsia="en-GB"/>
        </w:rPr>
        <w:t xml:space="preserve"> </w:t>
      </w:r>
      <w:r w:rsidR="00321A1B" w:rsidRPr="00361044">
        <w:rPr>
          <w:rFonts w:ascii="Calibri" w:eastAsia="Times New Roman" w:hAnsi="Calibri" w:cs="Calibri"/>
          <w:lang w:eastAsia="en-GB"/>
        </w:rPr>
        <w:t xml:space="preserve">prior fractures, respectively.  </w:t>
      </w:r>
      <w:r w:rsidR="005D1985" w:rsidRPr="00361044">
        <w:rPr>
          <w:rFonts w:ascii="Calibri" w:eastAsia="Times New Roman" w:hAnsi="Calibri" w:cs="Calibri"/>
          <w:lang w:eastAsia="en-GB"/>
        </w:rPr>
        <w:t>Thus,</w:t>
      </w:r>
      <w:r w:rsidR="00580320" w:rsidRPr="00361044">
        <w:rPr>
          <w:rFonts w:ascii="Calibri" w:eastAsia="Times New Roman" w:hAnsi="Calibri" w:cs="Calibri"/>
          <w:lang w:eastAsia="en-GB"/>
        </w:rPr>
        <w:t xml:space="preserve"> a simple rule of thumb </w:t>
      </w:r>
      <w:r w:rsidR="008D0873" w:rsidRPr="00361044">
        <w:rPr>
          <w:rFonts w:ascii="Calibri" w:eastAsia="Times New Roman" w:hAnsi="Calibri" w:cs="Calibri"/>
          <w:lang w:eastAsia="en-GB"/>
        </w:rPr>
        <w:t>Is</w:t>
      </w:r>
      <w:r w:rsidR="00580320" w:rsidRPr="00361044">
        <w:rPr>
          <w:rFonts w:ascii="Calibri" w:eastAsia="Times New Roman" w:hAnsi="Calibri" w:cs="Calibri"/>
          <w:lang w:eastAsia="en-GB"/>
        </w:rPr>
        <w:t xml:space="preserve"> to downward adjust FRAX-based fracture probabilities by 5% in the presence of a single prior fracture and to uplift probabilities by 10, 20, </w:t>
      </w:r>
      <w:r w:rsidR="008C16B6" w:rsidRPr="00361044">
        <w:rPr>
          <w:rFonts w:ascii="Calibri" w:eastAsia="Times New Roman" w:hAnsi="Calibri" w:cs="Calibri"/>
          <w:lang w:eastAsia="en-GB"/>
        </w:rPr>
        <w:t>and 3</w:t>
      </w:r>
      <w:r w:rsidR="00580320" w:rsidRPr="00361044">
        <w:rPr>
          <w:rFonts w:ascii="Calibri" w:eastAsia="Times New Roman" w:hAnsi="Calibri" w:cs="Calibri"/>
          <w:lang w:eastAsia="en-GB"/>
        </w:rPr>
        <w:t>0% with</w:t>
      </w:r>
      <w:r w:rsidR="00580320" w:rsidRPr="00580320">
        <w:rPr>
          <w:rFonts w:ascii="Calibri" w:eastAsia="Times New Roman" w:hAnsi="Calibri" w:cs="Calibri"/>
          <w:lang w:eastAsia="en-GB"/>
        </w:rPr>
        <w:t xml:space="preserve"> a history of 2, 3</w:t>
      </w:r>
      <w:r w:rsidR="00473772">
        <w:rPr>
          <w:rFonts w:ascii="Calibri" w:eastAsia="Times New Roman" w:hAnsi="Calibri" w:cs="Calibri"/>
          <w:lang w:eastAsia="en-GB"/>
        </w:rPr>
        <w:t xml:space="preserve"> and 4</w:t>
      </w:r>
      <w:r w:rsidR="00580320" w:rsidRPr="00580320">
        <w:rPr>
          <w:rFonts w:ascii="Calibri" w:eastAsia="Times New Roman" w:hAnsi="Calibri" w:cs="Calibri"/>
          <w:lang w:eastAsia="en-GB"/>
        </w:rPr>
        <w:t xml:space="preserve"> or more prior fractures, respectively</w:t>
      </w:r>
      <w:r w:rsidR="00473772">
        <w:rPr>
          <w:rFonts w:ascii="Calibri" w:eastAsia="Times New Roman" w:hAnsi="Calibri" w:cs="Calibri"/>
          <w:lang w:eastAsia="en-GB"/>
        </w:rPr>
        <w:t>.</w:t>
      </w:r>
      <w:r w:rsidR="00872B01">
        <w:rPr>
          <w:rFonts w:ascii="Calibri" w:eastAsia="MS Mincho" w:hAnsi="Calibri" w:cs="Arial"/>
          <w:highlight w:val="yellow"/>
          <w:lang w:eastAsia="ja-JP"/>
        </w:rPr>
        <w:t xml:space="preserve"> </w:t>
      </w:r>
    </w:p>
    <w:p w14:paraId="7B9CD2BA" w14:textId="1C7DEB7B" w:rsidR="001D2557" w:rsidRPr="006E0035" w:rsidRDefault="001D2557" w:rsidP="00A8549A">
      <w:pPr>
        <w:spacing w:after="200" w:line="276" w:lineRule="auto"/>
        <w:ind w:left="567"/>
        <w:rPr>
          <w:rFonts w:ascii="Calibri" w:eastAsia="MS Mincho" w:hAnsi="Calibri" w:cs="Arial"/>
          <w:lang w:eastAsia="ja-JP"/>
        </w:rPr>
      </w:pPr>
      <w:r w:rsidRPr="00046C7F">
        <w:rPr>
          <w:rFonts w:ascii="Calibri" w:eastAsia="MS Mincho" w:hAnsi="Calibri" w:cs="Arial"/>
          <w:i/>
          <w:iCs/>
          <w:lang w:eastAsia="ja-JP"/>
        </w:rPr>
        <w:t>Conclusion</w:t>
      </w:r>
      <w:r w:rsidR="006E0035" w:rsidRPr="006E0035">
        <w:t xml:space="preserve"> </w:t>
      </w:r>
      <w:r w:rsidR="006E0035" w:rsidRPr="006E0035">
        <w:rPr>
          <w:rFonts w:ascii="Calibri" w:eastAsia="MS Mincho" w:hAnsi="Calibri" w:cs="Arial"/>
          <w:lang w:eastAsia="ja-JP"/>
        </w:rPr>
        <w:t xml:space="preserve">The probability ratios provide adjustments to conventional FRAX estimates of fracture probability </w:t>
      </w:r>
      <w:r w:rsidR="00A03F91">
        <w:rPr>
          <w:rFonts w:ascii="Calibri" w:eastAsia="MS Mincho" w:hAnsi="Calibri" w:cs="Arial"/>
          <w:lang w:eastAsia="ja-JP"/>
        </w:rPr>
        <w:t>according to the number of prior</w:t>
      </w:r>
      <w:r w:rsidR="006E0035" w:rsidRPr="006E0035">
        <w:rPr>
          <w:rFonts w:ascii="Calibri" w:eastAsia="MS Mincho" w:hAnsi="Calibri" w:cs="Arial"/>
          <w:lang w:eastAsia="ja-JP"/>
        </w:rPr>
        <w:t xml:space="preserve"> fractures.</w:t>
      </w:r>
    </w:p>
    <w:p w14:paraId="3CFB5B25" w14:textId="77777777" w:rsidR="004375C7" w:rsidRDefault="004375C7" w:rsidP="00A8549A">
      <w:pPr>
        <w:spacing w:after="200" w:line="276" w:lineRule="auto"/>
        <w:ind w:left="567"/>
        <w:rPr>
          <w:rFonts w:ascii="Calibri" w:eastAsia="MS Mincho" w:hAnsi="Calibri" w:cs="Arial"/>
          <w:highlight w:val="yellow"/>
          <w:lang w:eastAsia="ja-JP"/>
        </w:rPr>
      </w:pPr>
    </w:p>
    <w:p w14:paraId="50092C6F" w14:textId="06011F5D" w:rsidR="00A20A49" w:rsidRPr="00380207" w:rsidRDefault="00A20A49" w:rsidP="00A8549A">
      <w:pPr>
        <w:spacing w:after="200" w:line="276" w:lineRule="auto"/>
        <w:ind w:left="567"/>
        <w:rPr>
          <w:rFonts w:ascii="Calibri" w:eastAsia="MS Mincho" w:hAnsi="Calibri" w:cs="Arial"/>
          <w:lang w:eastAsia="ja-JP"/>
        </w:rPr>
      </w:pPr>
      <w:r w:rsidRPr="005C33D2">
        <w:rPr>
          <w:rFonts w:ascii="Calibri" w:eastAsia="MS Mincho" w:hAnsi="Calibri" w:cs="Arial"/>
          <w:b/>
          <w:bCs/>
          <w:lang w:eastAsia="ja-JP"/>
        </w:rPr>
        <w:t>Key words</w:t>
      </w:r>
      <w:r w:rsidRPr="00BB7497">
        <w:rPr>
          <w:rFonts w:ascii="Calibri" w:eastAsia="MS Mincho" w:hAnsi="Calibri" w:cs="Arial"/>
          <w:lang w:eastAsia="ja-JP"/>
        </w:rPr>
        <w:t>:  FRAX</w:t>
      </w:r>
      <w:r w:rsidR="0016336E">
        <w:rPr>
          <w:rFonts w:ascii="Calibri" w:eastAsia="MS Mincho" w:hAnsi="Calibri" w:cs="Arial"/>
          <w:lang w:eastAsia="ja-JP"/>
        </w:rPr>
        <w:t xml:space="preserve"> adjustment</w:t>
      </w:r>
      <w:r w:rsidRPr="00BB7497">
        <w:rPr>
          <w:rFonts w:ascii="Calibri" w:eastAsia="MS Mincho" w:hAnsi="Calibri" w:cs="Arial"/>
          <w:lang w:eastAsia="ja-JP"/>
        </w:rPr>
        <w:t xml:space="preserve"> ∙ Fracture probability ∙ </w:t>
      </w:r>
      <w:r w:rsidR="00BA543F" w:rsidRPr="00BB7497">
        <w:rPr>
          <w:rFonts w:ascii="Calibri" w:eastAsia="MS Mincho" w:hAnsi="Calibri" w:cs="Arial"/>
          <w:lang w:eastAsia="ja-JP"/>
        </w:rPr>
        <w:t>Prior fracture</w:t>
      </w:r>
      <w:r w:rsidRPr="00BB7497">
        <w:rPr>
          <w:rFonts w:ascii="Calibri" w:eastAsia="MS Mincho" w:hAnsi="Calibri" w:cs="Arial"/>
          <w:lang w:eastAsia="ja-JP"/>
        </w:rPr>
        <w:t xml:space="preserve"> ∙ Risk assessment</w:t>
      </w:r>
      <w:bookmarkStart w:id="3" w:name="_Hlk31285550"/>
      <w:r w:rsidRPr="00BB7497">
        <w:rPr>
          <w:rFonts w:ascii="Calibri" w:eastAsia="MS Mincho" w:hAnsi="Calibri" w:cs="Arial"/>
          <w:lang w:eastAsia="ja-JP"/>
        </w:rPr>
        <w:t xml:space="preserve"> </w:t>
      </w:r>
      <w:bookmarkEnd w:id="3"/>
    </w:p>
    <w:p w14:paraId="04BDDACA" w14:textId="5E4AA812" w:rsidR="00131A62" w:rsidRDefault="00131A62" w:rsidP="00A8549A">
      <w:pPr>
        <w:spacing w:after="160" w:line="259" w:lineRule="auto"/>
        <w:ind w:left="567"/>
        <w:rPr>
          <w:rFonts w:ascii="Calibri" w:eastAsia="MS Mincho" w:hAnsi="Calibri" w:cs="Arial"/>
          <w:b/>
          <w:lang w:eastAsia="ja-JP"/>
        </w:rPr>
      </w:pPr>
      <w:r>
        <w:rPr>
          <w:rFonts w:ascii="Calibri" w:eastAsia="MS Mincho" w:hAnsi="Calibri" w:cs="Arial"/>
          <w:b/>
          <w:lang w:eastAsia="ja-JP"/>
        </w:rPr>
        <w:br w:type="page"/>
      </w:r>
    </w:p>
    <w:p w14:paraId="087FD99B" w14:textId="11E47735" w:rsidR="002973F6" w:rsidRDefault="002973F6" w:rsidP="00A8549A">
      <w:pPr>
        <w:spacing w:after="200" w:line="276" w:lineRule="auto"/>
        <w:ind w:left="567"/>
        <w:rPr>
          <w:rFonts w:ascii="Calibri" w:eastAsia="MS Mincho" w:hAnsi="Calibri" w:cs="Arial"/>
          <w:b/>
          <w:lang w:eastAsia="ja-JP"/>
        </w:rPr>
      </w:pPr>
      <w:r w:rsidRPr="00380207">
        <w:rPr>
          <w:rFonts w:ascii="Calibri" w:eastAsia="MS Mincho" w:hAnsi="Calibri" w:cs="Arial"/>
          <w:b/>
          <w:lang w:eastAsia="ja-JP"/>
        </w:rPr>
        <w:lastRenderedPageBreak/>
        <w:t>Introduction</w:t>
      </w:r>
    </w:p>
    <w:p w14:paraId="40154F9A" w14:textId="3EEC9CAE" w:rsidR="00593964" w:rsidRPr="0036413A" w:rsidRDefault="00593964" w:rsidP="00A8549A">
      <w:pPr>
        <w:spacing w:after="200" w:line="276" w:lineRule="auto"/>
        <w:ind w:left="567"/>
        <w:rPr>
          <w:rFonts w:ascii="Calibri" w:eastAsia="MS Mincho" w:hAnsi="Calibri" w:cs="Arial"/>
          <w:bCs/>
          <w:lang w:eastAsia="ja-JP"/>
        </w:rPr>
      </w:pPr>
      <w:r w:rsidRPr="0036413A">
        <w:rPr>
          <w:rFonts w:ascii="Calibri" w:eastAsia="MS Mincho" w:hAnsi="Calibri" w:cs="Arial"/>
          <w:bCs/>
          <w:lang w:eastAsia="ja-JP"/>
        </w:rPr>
        <w:t xml:space="preserve">In 2008, the </w:t>
      </w:r>
      <w:r w:rsidR="00C973E7" w:rsidRPr="0036413A">
        <w:rPr>
          <w:rFonts w:ascii="Calibri" w:eastAsia="MS Mincho" w:hAnsi="Calibri" w:cs="Arial"/>
          <w:bCs/>
          <w:lang w:eastAsia="ja-JP"/>
        </w:rPr>
        <w:t xml:space="preserve">then </w:t>
      </w:r>
      <w:r w:rsidRPr="0036413A">
        <w:rPr>
          <w:rFonts w:ascii="Calibri" w:eastAsia="MS Mincho" w:hAnsi="Calibri" w:cs="Arial"/>
          <w:bCs/>
          <w:lang w:eastAsia="ja-JP"/>
        </w:rPr>
        <w:t>World Health Organization (WHO) Collaborating Centre at Sheffield, UK released FRAX</w:t>
      </w:r>
      <w:r w:rsidR="009421AD" w:rsidRPr="0036413A">
        <w:rPr>
          <w:rFonts w:ascii="Calibri" w:eastAsia="MS Mincho" w:hAnsi="Calibri" w:cs="Arial"/>
          <w:bCs/>
          <w:lang w:eastAsia="ja-JP"/>
        </w:rPr>
        <w:t>®</w:t>
      </w:r>
      <w:r w:rsidR="00C973E7" w:rsidRPr="0036413A">
        <w:rPr>
          <w:rFonts w:ascii="Calibri" w:eastAsia="MS Mincho" w:hAnsi="Calibri" w:cs="Arial"/>
          <w:bCs/>
          <w:lang w:eastAsia="ja-JP"/>
        </w:rPr>
        <w:t xml:space="preserve">, </w:t>
      </w:r>
      <w:r w:rsidRPr="0036413A">
        <w:rPr>
          <w:rFonts w:ascii="Calibri" w:eastAsia="MS Mincho" w:hAnsi="Calibri" w:cs="Arial"/>
          <w:bCs/>
          <w:lang w:eastAsia="ja-JP"/>
        </w:rPr>
        <w:t>a fracture risk assessment tool for estimating individualized 10-year probability of hip and major osteoporotic fracture (</w:t>
      </w:r>
      <w:r w:rsidR="00A830F0">
        <w:rPr>
          <w:rFonts w:ascii="Calibri" w:eastAsia="MS Mincho" w:hAnsi="Calibri" w:cs="Arial"/>
          <w:bCs/>
          <w:lang w:eastAsia="ja-JP"/>
        </w:rPr>
        <w:t xml:space="preserve">MOF; </w:t>
      </w:r>
      <w:r w:rsidRPr="0036413A">
        <w:rPr>
          <w:rFonts w:ascii="Calibri" w:eastAsia="MS Mincho" w:hAnsi="Calibri" w:cs="Arial"/>
          <w:bCs/>
          <w:lang w:eastAsia="ja-JP"/>
        </w:rPr>
        <w:t>hip, clinical spine, distal forearm</w:t>
      </w:r>
      <w:r w:rsidR="002105B7" w:rsidRPr="0036413A">
        <w:rPr>
          <w:rFonts w:ascii="Calibri" w:eastAsia="MS Mincho" w:hAnsi="Calibri" w:cs="Arial"/>
          <w:bCs/>
          <w:lang w:eastAsia="ja-JP"/>
        </w:rPr>
        <w:t xml:space="preserve"> or</w:t>
      </w:r>
      <w:r w:rsidRPr="0036413A">
        <w:rPr>
          <w:rFonts w:ascii="Calibri" w:eastAsia="MS Mincho" w:hAnsi="Calibri" w:cs="Arial"/>
          <w:bCs/>
          <w:lang w:eastAsia="ja-JP"/>
        </w:rPr>
        <w:t xml:space="preserve"> proximal humerus) [</w:t>
      </w:r>
      <w:r w:rsidR="00111FDB">
        <w:rPr>
          <w:rFonts w:ascii="Calibri" w:eastAsia="MS Mincho" w:hAnsi="Calibri" w:cs="Arial"/>
          <w:bCs/>
          <w:lang w:eastAsia="ja-JP"/>
        </w:rPr>
        <w:t>1]</w:t>
      </w:r>
      <w:r w:rsidRPr="0036413A">
        <w:rPr>
          <w:rFonts w:ascii="Calibri" w:eastAsia="MS Mincho" w:hAnsi="Calibri" w:cs="Arial"/>
          <w:bCs/>
          <w:lang w:eastAsia="ja-JP"/>
        </w:rPr>
        <w:t xml:space="preserve">.  The FRAX tool integrates seven dichotomous clinical risk factors (prior fragility fracture, parental hip fracture, smoking, systemic glucocorticoid use, excess alcohol intake, rheumatoid arthritis, and other </w:t>
      </w:r>
      <w:r w:rsidR="003E4F4E" w:rsidRPr="003E4F4E">
        <w:rPr>
          <w:rFonts w:ascii="Calibri" w:eastAsia="MS Mincho" w:hAnsi="Calibri" w:cs="Arial"/>
          <w:bCs/>
          <w:lang w:eastAsia="ja-JP"/>
        </w:rPr>
        <w:t xml:space="preserve">secondary </w:t>
      </w:r>
      <w:r w:rsidRPr="0036413A">
        <w:rPr>
          <w:rFonts w:ascii="Calibri" w:eastAsia="MS Mincho" w:hAnsi="Calibri" w:cs="Arial"/>
          <w:bCs/>
          <w:lang w:eastAsia="ja-JP"/>
        </w:rPr>
        <w:t>causes of osteoporosis) which, in addition to age</w:t>
      </w:r>
      <w:r w:rsidR="00C973E7" w:rsidRPr="0036413A">
        <w:rPr>
          <w:rFonts w:ascii="Calibri" w:eastAsia="MS Mincho" w:hAnsi="Calibri" w:cs="Arial"/>
          <w:bCs/>
          <w:lang w:eastAsia="ja-JP"/>
        </w:rPr>
        <w:t xml:space="preserve">, </w:t>
      </w:r>
      <w:r w:rsidRPr="0036413A">
        <w:rPr>
          <w:rFonts w:ascii="Calibri" w:eastAsia="MS Mincho" w:hAnsi="Calibri" w:cs="Arial"/>
          <w:bCs/>
          <w:lang w:eastAsia="ja-JP"/>
        </w:rPr>
        <w:t>sex and body mass index (BMI), contribute to a 10-year fracture probability estimate independently of bone mineral density (</w:t>
      </w:r>
      <w:r w:rsidR="008171AD" w:rsidRPr="0036413A">
        <w:rPr>
          <w:rFonts w:ascii="Calibri" w:eastAsia="MS Mincho" w:hAnsi="Calibri" w:cs="Arial"/>
          <w:bCs/>
          <w:lang w:eastAsia="ja-JP"/>
        </w:rPr>
        <w:t>BMD) [</w:t>
      </w:r>
      <w:r w:rsidR="00DF0A40">
        <w:rPr>
          <w:rFonts w:ascii="Calibri" w:eastAsia="MS Mincho" w:hAnsi="Calibri" w:cs="Arial"/>
          <w:bCs/>
          <w:lang w:eastAsia="ja-JP"/>
        </w:rPr>
        <w:t>1, 2</w:t>
      </w:r>
      <w:r w:rsidR="00DB471C">
        <w:rPr>
          <w:rFonts w:ascii="Calibri" w:eastAsia="MS Mincho" w:hAnsi="Calibri" w:cs="Arial"/>
          <w:bCs/>
          <w:lang w:eastAsia="ja-JP"/>
        </w:rPr>
        <w:t>]</w:t>
      </w:r>
      <w:r w:rsidRPr="0036413A">
        <w:rPr>
          <w:rFonts w:ascii="Calibri" w:eastAsia="MS Mincho" w:hAnsi="Calibri" w:cs="Arial"/>
          <w:bCs/>
          <w:lang w:eastAsia="ja-JP"/>
        </w:rPr>
        <w:t xml:space="preserve">. </w:t>
      </w:r>
      <w:r w:rsidR="00087F4F">
        <w:rPr>
          <w:rFonts w:ascii="Calibri" w:eastAsia="MS Mincho" w:hAnsi="Calibri" w:cs="Arial"/>
          <w:bCs/>
          <w:lang w:eastAsia="ja-JP"/>
        </w:rPr>
        <w:t xml:space="preserve"> </w:t>
      </w:r>
      <w:r w:rsidRPr="0036413A">
        <w:rPr>
          <w:rFonts w:ascii="Calibri" w:eastAsia="MS Mincho" w:hAnsi="Calibri" w:cs="Arial"/>
          <w:bCs/>
          <w:lang w:eastAsia="ja-JP"/>
        </w:rPr>
        <w:t>BMD at the femoral neck is an optional input variable.</w:t>
      </w:r>
      <w:r w:rsidR="00777988" w:rsidRPr="0036413A">
        <w:t xml:space="preserve"> </w:t>
      </w:r>
      <w:r w:rsidR="00087F4F">
        <w:t xml:space="preserve"> </w:t>
      </w:r>
      <w:r w:rsidR="00777988" w:rsidRPr="0036413A">
        <w:rPr>
          <w:rFonts w:ascii="Calibri" w:eastAsia="MS Mincho" w:hAnsi="Calibri" w:cs="Arial"/>
          <w:bCs/>
          <w:lang w:eastAsia="ja-JP"/>
        </w:rPr>
        <w:t>FRAX</w:t>
      </w:r>
      <w:r w:rsidR="009421AD" w:rsidRPr="0036413A">
        <w:rPr>
          <w:rFonts w:ascii="Calibri" w:eastAsia="MS Mincho" w:hAnsi="Calibri" w:cs="Arial"/>
          <w:bCs/>
          <w:lang w:eastAsia="ja-JP"/>
        </w:rPr>
        <w:t xml:space="preserve"> tools are country </w:t>
      </w:r>
      <w:r w:rsidR="00EA3876" w:rsidRPr="0036413A">
        <w:rPr>
          <w:rFonts w:ascii="Calibri" w:eastAsia="MS Mincho" w:hAnsi="Calibri" w:cs="Arial"/>
          <w:bCs/>
          <w:lang w:eastAsia="ja-JP"/>
        </w:rPr>
        <w:t xml:space="preserve">specific to take account of the </w:t>
      </w:r>
      <w:r w:rsidR="00320A76" w:rsidRPr="0036413A">
        <w:rPr>
          <w:rFonts w:ascii="Calibri" w:eastAsia="MS Mincho" w:hAnsi="Calibri" w:cs="Arial"/>
          <w:bCs/>
          <w:lang w:eastAsia="ja-JP"/>
        </w:rPr>
        <w:t>heterogeneity</w:t>
      </w:r>
      <w:r w:rsidR="00EA3876" w:rsidRPr="0036413A">
        <w:rPr>
          <w:rFonts w:ascii="Calibri" w:eastAsia="MS Mincho" w:hAnsi="Calibri" w:cs="Arial"/>
          <w:bCs/>
          <w:lang w:eastAsia="ja-JP"/>
        </w:rPr>
        <w:t xml:space="preserve"> of </w:t>
      </w:r>
      <w:r w:rsidR="00D3612A" w:rsidRPr="0036413A">
        <w:rPr>
          <w:rFonts w:ascii="Calibri" w:eastAsia="MS Mincho" w:hAnsi="Calibri" w:cs="Arial"/>
          <w:bCs/>
          <w:lang w:eastAsia="ja-JP"/>
        </w:rPr>
        <w:t>fracture risk and mortality worldwi</w:t>
      </w:r>
      <w:r w:rsidR="00427E32" w:rsidRPr="0036413A">
        <w:rPr>
          <w:rFonts w:ascii="Calibri" w:eastAsia="MS Mincho" w:hAnsi="Calibri" w:cs="Arial"/>
          <w:bCs/>
          <w:lang w:eastAsia="ja-JP"/>
        </w:rPr>
        <w:t>de [</w:t>
      </w:r>
      <w:r w:rsidR="00A835C6">
        <w:rPr>
          <w:rFonts w:ascii="Calibri" w:eastAsia="MS Mincho" w:hAnsi="Calibri" w:cs="Arial"/>
          <w:bCs/>
          <w:lang w:eastAsia="ja-JP"/>
        </w:rPr>
        <w:t>3]</w:t>
      </w:r>
      <w:r w:rsidR="00D77E52" w:rsidRPr="0036413A">
        <w:rPr>
          <w:rFonts w:ascii="Calibri" w:eastAsia="MS Mincho" w:hAnsi="Calibri" w:cs="Arial"/>
          <w:bCs/>
          <w:lang w:eastAsia="ja-JP"/>
        </w:rPr>
        <w:t xml:space="preserve">. </w:t>
      </w:r>
      <w:r w:rsidR="00777988" w:rsidRPr="0036413A">
        <w:rPr>
          <w:rFonts w:ascii="Calibri" w:eastAsia="MS Mincho" w:hAnsi="Calibri" w:cs="Arial"/>
          <w:bCs/>
          <w:lang w:eastAsia="ja-JP"/>
        </w:rPr>
        <w:t xml:space="preserve"> Since its release, </w:t>
      </w:r>
      <w:r w:rsidR="005419EE">
        <w:rPr>
          <w:rFonts w:ascii="Calibri" w:eastAsia="MS Mincho" w:hAnsi="Calibri" w:cs="Arial"/>
          <w:bCs/>
          <w:lang w:eastAsia="ja-JP"/>
        </w:rPr>
        <w:t>86</w:t>
      </w:r>
      <w:r w:rsidR="00777988" w:rsidRPr="0036413A">
        <w:rPr>
          <w:rFonts w:ascii="Calibri" w:eastAsia="MS Mincho" w:hAnsi="Calibri" w:cs="Arial"/>
          <w:bCs/>
          <w:lang w:eastAsia="ja-JP"/>
        </w:rPr>
        <w:t xml:space="preserve"> models have been </w:t>
      </w:r>
      <w:r w:rsidR="00777988" w:rsidRPr="002B6D4C">
        <w:rPr>
          <w:rFonts w:ascii="Calibri" w:eastAsia="MS Mincho" w:hAnsi="Calibri" w:cs="Arial"/>
          <w:bCs/>
          <w:lang w:eastAsia="ja-JP"/>
        </w:rPr>
        <w:t xml:space="preserve">made available for </w:t>
      </w:r>
      <w:r w:rsidR="00E37C35" w:rsidRPr="002B6D4C">
        <w:rPr>
          <w:rFonts w:ascii="Calibri" w:eastAsia="MS Mincho" w:hAnsi="Calibri" w:cs="Arial"/>
          <w:bCs/>
          <w:lang w:eastAsia="ja-JP"/>
        </w:rPr>
        <w:t>78</w:t>
      </w:r>
      <w:r w:rsidR="00777988" w:rsidRPr="002B6D4C">
        <w:rPr>
          <w:rFonts w:ascii="Calibri" w:eastAsia="MS Mincho" w:hAnsi="Calibri" w:cs="Arial"/>
          <w:bCs/>
          <w:lang w:eastAsia="ja-JP"/>
        </w:rPr>
        <w:t xml:space="preserve"> countries covering more than 80% of the world population</w:t>
      </w:r>
      <w:r w:rsidR="00923AEF" w:rsidRPr="002B6D4C">
        <w:rPr>
          <w:rFonts w:ascii="Calibri" w:eastAsia="MS Mincho" w:hAnsi="Calibri" w:cs="Arial"/>
          <w:bCs/>
          <w:lang w:eastAsia="ja-JP"/>
        </w:rPr>
        <w:t xml:space="preserve"> [</w:t>
      </w:r>
      <w:r w:rsidR="002B6D4C" w:rsidRPr="002B6D4C">
        <w:rPr>
          <w:rFonts w:ascii="Calibri" w:eastAsia="MS Mincho" w:hAnsi="Calibri" w:cs="Arial"/>
          <w:bCs/>
          <w:lang w:eastAsia="ja-JP"/>
        </w:rPr>
        <w:t>4]</w:t>
      </w:r>
      <w:r w:rsidR="00777988" w:rsidRPr="0036413A">
        <w:rPr>
          <w:rFonts w:ascii="Calibri" w:eastAsia="MS Mincho" w:hAnsi="Calibri" w:cs="Arial"/>
          <w:bCs/>
          <w:lang w:eastAsia="ja-JP"/>
        </w:rPr>
        <w:t xml:space="preserve">. </w:t>
      </w:r>
      <w:r w:rsidR="00AC572B">
        <w:rPr>
          <w:rFonts w:ascii="Calibri" w:eastAsia="MS Mincho" w:hAnsi="Calibri" w:cs="Arial"/>
          <w:bCs/>
          <w:lang w:eastAsia="ja-JP"/>
        </w:rPr>
        <w:t xml:space="preserve"> </w:t>
      </w:r>
      <w:r w:rsidR="00C973E7" w:rsidRPr="0036413A">
        <w:rPr>
          <w:rFonts w:ascii="Calibri" w:eastAsia="MS Mincho" w:hAnsi="Calibri" w:cs="Arial"/>
          <w:bCs/>
          <w:lang w:eastAsia="ja-JP"/>
        </w:rPr>
        <w:t>The tool p</w:t>
      </w:r>
      <w:r w:rsidR="00A7211D" w:rsidRPr="0036413A">
        <w:rPr>
          <w:rFonts w:ascii="Calibri" w:eastAsia="MS Mincho" w:hAnsi="Calibri" w:cs="Arial"/>
          <w:bCs/>
          <w:lang w:eastAsia="ja-JP"/>
        </w:rPr>
        <w:t>rovides metric</w:t>
      </w:r>
      <w:r w:rsidR="00C973E7" w:rsidRPr="0036413A">
        <w:rPr>
          <w:rFonts w:ascii="Calibri" w:eastAsia="MS Mincho" w:hAnsi="Calibri" w:cs="Arial"/>
          <w:bCs/>
          <w:lang w:eastAsia="ja-JP"/>
        </w:rPr>
        <w:t>s which are increasingly used in</w:t>
      </w:r>
      <w:r w:rsidR="00A7211D" w:rsidRPr="0036413A">
        <w:rPr>
          <w:rFonts w:ascii="Calibri" w:eastAsia="MS Mincho" w:hAnsi="Calibri" w:cs="Arial"/>
          <w:bCs/>
          <w:lang w:eastAsia="ja-JP"/>
        </w:rPr>
        <w:t xml:space="preserve"> </w:t>
      </w:r>
      <w:r w:rsidR="00677C6C" w:rsidRPr="0036413A">
        <w:rPr>
          <w:rFonts w:ascii="Calibri" w:eastAsia="MS Mincho" w:hAnsi="Calibri" w:cs="Arial"/>
          <w:bCs/>
          <w:lang w:eastAsia="ja-JP"/>
        </w:rPr>
        <w:t xml:space="preserve">health </w:t>
      </w:r>
      <w:r w:rsidR="00A7211D" w:rsidRPr="0036413A">
        <w:rPr>
          <w:rFonts w:ascii="Calibri" w:eastAsia="MS Mincho" w:hAnsi="Calibri" w:cs="Arial"/>
          <w:bCs/>
          <w:lang w:eastAsia="ja-JP"/>
        </w:rPr>
        <w:t>technology assessment [</w:t>
      </w:r>
      <w:r w:rsidR="00911C6B">
        <w:rPr>
          <w:rFonts w:ascii="Calibri" w:eastAsia="MS Mincho" w:hAnsi="Calibri" w:cs="Arial"/>
          <w:bCs/>
          <w:lang w:eastAsia="ja-JP"/>
        </w:rPr>
        <w:t xml:space="preserve">5, 6, </w:t>
      </w:r>
      <w:r w:rsidR="00786378">
        <w:rPr>
          <w:rFonts w:ascii="Calibri" w:eastAsia="MS Mincho" w:hAnsi="Calibri" w:cs="Arial"/>
          <w:bCs/>
          <w:lang w:eastAsia="ja-JP"/>
        </w:rPr>
        <w:t xml:space="preserve">7] </w:t>
      </w:r>
      <w:r w:rsidR="00A7211D" w:rsidRPr="0036413A">
        <w:rPr>
          <w:rFonts w:ascii="Calibri" w:eastAsia="MS Mincho" w:hAnsi="Calibri" w:cs="Arial"/>
          <w:bCs/>
          <w:lang w:eastAsia="ja-JP"/>
        </w:rPr>
        <w:t>and regulatory guidance [</w:t>
      </w:r>
      <w:r w:rsidR="007E670C">
        <w:rPr>
          <w:rFonts w:ascii="Calibri" w:eastAsia="MS Mincho" w:hAnsi="Calibri" w:cs="Arial"/>
          <w:bCs/>
          <w:lang w:eastAsia="ja-JP"/>
        </w:rPr>
        <w:t>8]</w:t>
      </w:r>
      <w:r w:rsidR="00A7211D" w:rsidRPr="0036413A">
        <w:rPr>
          <w:rFonts w:ascii="Calibri" w:eastAsia="MS Mincho" w:hAnsi="Calibri" w:cs="Arial"/>
          <w:bCs/>
          <w:lang w:eastAsia="ja-JP"/>
        </w:rPr>
        <w:t>.</w:t>
      </w:r>
    </w:p>
    <w:p w14:paraId="150AA256" w14:textId="1512B593" w:rsidR="000850A8" w:rsidRPr="000850A8" w:rsidRDefault="003F3108" w:rsidP="000850A8">
      <w:pPr>
        <w:spacing w:after="200" w:line="276" w:lineRule="auto"/>
        <w:ind w:left="567"/>
        <w:rPr>
          <w:rFonts w:ascii="Calibri" w:eastAsia="MS Mincho" w:hAnsi="Calibri" w:cs="Arial"/>
          <w:lang w:eastAsia="ja-JP"/>
        </w:rPr>
      </w:pPr>
      <w:r w:rsidRPr="0036413A">
        <w:rPr>
          <w:rFonts w:ascii="Calibri" w:eastAsia="MS Mincho" w:hAnsi="Calibri" w:cs="Arial"/>
          <w:lang w:eastAsia="ja-JP"/>
        </w:rPr>
        <w:t>Prior fragility fracture, a</w:t>
      </w:r>
      <w:r w:rsidR="002973F6" w:rsidRPr="0036413A">
        <w:rPr>
          <w:rFonts w:ascii="Calibri" w:eastAsia="MS Mincho" w:hAnsi="Calibri" w:cs="Arial"/>
          <w:lang w:eastAsia="ja-JP"/>
        </w:rPr>
        <w:t xml:space="preserve"> </w:t>
      </w:r>
      <w:r w:rsidR="00FF28A2" w:rsidRPr="0036413A">
        <w:rPr>
          <w:rFonts w:ascii="Calibri" w:eastAsia="MS Mincho" w:hAnsi="Calibri" w:cs="Arial"/>
          <w:lang w:eastAsia="ja-JP"/>
        </w:rPr>
        <w:t>well-established</w:t>
      </w:r>
      <w:r w:rsidRPr="0036413A">
        <w:rPr>
          <w:rFonts w:ascii="Calibri" w:eastAsia="MS Mincho" w:hAnsi="Calibri" w:cs="Arial"/>
          <w:lang w:eastAsia="ja-JP"/>
        </w:rPr>
        <w:t xml:space="preserve"> r</w:t>
      </w:r>
      <w:r w:rsidR="002973F6" w:rsidRPr="0036413A">
        <w:rPr>
          <w:rFonts w:ascii="Calibri" w:eastAsia="MS Mincho" w:hAnsi="Calibri" w:cs="Arial"/>
          <w:lang w:eastAsia="ja-JP"/>
        </w:rPr>
        <w:t>isk factor for a future fracture [</w:t>
      </w:r>
      <w:r w:rsidR="00D46166">
        <w:rPr>
          <w:rFonts w:ascii="Calibri" w:eastAsia="MS Mincho" w:hAnsi="Calibri" w:cs="Arial"/>
          <w:lang w:eastAsia="ja-JP"/>
        </w:rPr>
        <w:t xml:space="preserve">9, </w:t>
      </w:r>
      <w:r w:rsidR="004F6B29">
        <w:rPr>
          <w:rFonts w:ascii="Calibri" w:eastAsia="MS Mincho" w:hAnsi="Calibri" w:cs="Arial"/>
          <w:lang w:eastAsia="ja-JP"/>
        </w:rPr>
        <w:t xml:space="preserve">10, </w:t>
      </w:r>
      <w:r w:rsidR="006607F0">
        <w:rPr>
          <w:rFonts w:ascii="Calibri" w:eastAsia="MS Mincho" w:hAnsi="Calibri" w:cs="Arial"/>
          <w:lang w:eastAsia="ja-JP"/>
        </w:rPr>
        <w:t xml:space="preserve">11, 12, </w:t>
      </w:r>
      <w:r w:rsidR="004218C0">
        <w:rPr>
          <w:rFonts w:ascii="Calibri" w:eastAsia="MS Mincho" w:hAnsi="Calibri" w:cs="Arial"/>
          <w:lang w:eastAsia="ja-JP"/>
        </w:rPr>
        <w:t>13]</w:t>
      </w:r>
      <w:r w:rsidR="00DA60E8">
        <w:rPr>
          <w:rFonts w:ascii="Calibri" w:eastAsia="MS Mincho" w:hAnsi="Calibri" w:cs="Arial"/>
          <w:lang w:eastAsia="ja-JP"/>
        </w:rPr>
        <w:t xml:space="preserve">, is already </w:t>
      </w:r>
      <w:r w:rsidR="00937784" w:rsidRPr="0036413A">
        <w:rPr>
          <w:rFonts w:ascii="Calibri" w:eastAsia="MS Mincho" w:hAnsi="Calibri" w:cs="Arial"/>
          <w:lang w:eastAsia="ja-JP"/>
        </w:rPr>
        <w:t xml:space="preserve">accommodated within FRAX </w:t>
      </w:r>
      <w:r w:rsidR="00937784" w:rsidRPr="0036413A">
        <w:rPr>
          <w:rFonts w:ascii="Calibri" w:eastAsia="MS Mincho" w:hAnsi="Calibri" w:cs="Arial"/>
          <w:bCs/>
          <w:lang w:eastAsia="ja-JP"/>
        </w:rPr>
        <w:t>[</w:t>
      </w:r>
      <w:r w:rsidR="00312B86">
        <w:rPr>
          <w:rFonts w:ascii="Calibri" w:eastAsia="MS Mincho" w:hAnsi="Calibri" w:cs="Arial"/>
          <w:bCs/>
          <w:lang w:eastAsia="ja-JP"/>
        </w:rPr>
        <w:t>1]</w:t>
      </w:r>
      <w:r w:rsidR="00937784" w:rsidRPr="0036413A">
        <w:rPr>
          <w:rFonts w:ascii="Calibri" w:eastAsia="MS Mincho" w:hAnsi="Calibri" w:cs="Arial"/>
          <w:lang w:eastAsia="ja-JP"/>
        </w:rPr>
        <w:t>.</w:t>
      </w:r>
      <w:r w:rsidR="002973F6" w:rsidRPr="0036413A">
        <w:rPr>
          <w:rFonts w:ascii="Calibri" w:eastAsia="MS Mincho" w:hAnsi="Calibri" w:cs="Arial"/>
          <w:lang w:eastAsia="ja-JP"/>
        </w:rPr>
        <w:t xml:space="preserve">  The </w:t>
      </w:r>
      <w:r w:rsidR="00DA60E8">
        <w:rPr>
          <w:rFonts w:ascii="Calibri" w:eastAsia="MS Mincho" w:hAnsi="Calibri" w:cs="Arial"/>
          <w:lang w:eastAsia="ja-JP"/>
        </w:rPr>
        <w:t xml:space="preserve">population </w:t>
      </w:r>
      <w:r w:rsidR="002973F6" w:rsidRPr="0036413A">
        <w:rPr>
          <w:rFonts w:ascii="Calibri" w:eastAsia="MS Mincho" w:hAnsi="Calibri" w:cs="Arial"/>
          <w:lang w:eastAsia="ja-JP"/>
        </w:rPr>
        <w:t xml:space="preserve">relative risk of having a hip fracture or </w:t>
      </w:r>
      <w:r w:rsidR="003769DB" w:rsidRPr="0036413A">
        <w:rPr>
          <w:rFonts w:ascii="Calibri" w:eastAsia="MS Mincho" w:hAnsi="Calibri" w:cs="Arial"/>
          <w:lang w:eastAsia="ja-JP"/>
        </w:rPr>
        <w:t>other</w:t>
      </w:r>
      <w:r w:rsidR="007659E4" w:rsidRPr="0036413A">
        <w:rPr>
          <w:rFonts w:ascii="Calibri" w:eastAsia="MS Mincho" w:hAnsi="Calibri" w:cs="Arial"/>
          <w:lang w:eastAsia="ja-JP"/>
        </w:rPr>
        <w:t xml:space="preserve"> osteoporotic fracture</w:t>
      </w:r>
      <w:r w:rsidR="002973F6" w:rsidRPr="0036413A">
        <w:rPr>
          <w:rFonts w:ascii="Calibri" w:eastAsia="MS Mincho" w:hAnsi="Calibri" w:cs="Arial"/>
          <w:lang w:eastAsia="ja-JP"/>
        </w:rPr>
        <w:t xml:space="preserve"> is approximately 2-fold higher for most types of prior fracture.</w:t>
      </w:r>
      <w:r w:rsidR="00F06206">
        <w:rPr>
          <w:rFonts w:ascii="Calibri" w:eastAsia="MS Mincho" w:hAnsi="Calibri" w:cs="Arial"/>
          <w:lang w:eastAsia="ja-JP"/>
        </w:rPr>
        <w:t xml:space="preserve"> </w:t>
      </w:r>
      <w:r w:rsidR="002973F6" w:rsidRPr="0036413A">
        <w:rPr>
          <w:rFonts w:ascii="Calibri" w:eastAsia="MS Mincho" w:hAnsi="Calibri" w:cs="Arial"/>
          <w:lang w:eastAsia="ja-JP"/>
        </w:rPr>
        <w:t xml:space="preserve"> However, the increase in risk </w:t>
      </w:r>
      <w:r w:rsidR="00F87807" w:rsidRPr="0036413A">
        <w:rPr>
          <w:rFonts w:ascii="Calibri" w:eastAsia="MS Mincho" w:hAnsi="Calibri" w:cs="Arial"/>
          <w:lang w:eastAsia="ja-JP"/>
        </w:rPr>
        <w:t>is</w:t>
      </w:r>
      <w:r w:rsidR="002973F6" w:rsidRPr="0036413A">
        <w:rPr>
          <w:rFonts w:ascii="Calibri" w:eastAsia="MS Mincho" w:hAnsi="Calibri" w:cs="Arial"/>
          <w:lang w:eastAsia="ja-JP"/>
        </w:rPr>
        <w:t xml:space="preserve"> not constant with age. </w:t>
      </w:r>
      <w:r w:rsidR="007458B9">
        <w:rPr>
          <w:rFonts w:ascii="Calibri" w:eastAsia="MS Mincho" w:hAnsi="Calibri" w:cs="Arial"/>
          <w:lang w:eastAsia="ja-JP"/>
        </w:rPr>
        <w:t xml:space="preserve"> </w:t>
      </w:r>
      <w:r w:rsidRPr="0036413A">
        <w:rPr>
          <w:rFonts w:ascii="Calibri" w:eastAsia="MS Mincho" w:hAnsi="Calibri" w:cs="Arial"/>
          <w:lang w:eastAsia="ja-JP"/>
        </w:rPr>
        <w:t>For example, a</w:t>
      </w:r>
      <w:r w:rsidR="002973F6" w:rsidRPr="0036413A">
        <w:rPr>
          <w:rFonts w:ascii="Calibri" w:eastAsia="MS Mincho" w:hAnsi="Calibri" w:cs="Arial"/>
          <w:lang w:eastAsia="ja-JP"/>
        </w:rPr>
        <w:t xml:space="preserve"> large meta-analysis showed that a prior fracture history was a significant risk factor for hip fracture at all </w:t>
      </w:r>
      <w:r w:rsidR="00882278" w:rsidRPr="0036413A">
        <w:rPr>
          <w:rFonts w:ascii="Calibri" w:eastAsia="MS Mincho" w:hAnsi="Calibri" w:cs="Arial"/>
          <w:lang w:eastAsia="ja-JP"/>
        </w:rPr>
        <w:t>ages,</w:t>
      </w:r>
      <w:r w:rsidR="002973F6" w:rsidRPr="0036413A">
        <w:rPr>
          <w:rFonts w:ascii="Calibri" w:eastAsia="MS Mincho" w:hAnsi="Calibri" w:cs="Arial"/>
          <w:lang w:eastAsia="ja-JP"/>
        </w:rPr>
        <w:t xml:space="preserve"> but </w:t>
      </w:r>
      <w:r w:rsidR="002C2D07" w:rsidRPr="002C2D07">
        <w:rPr>
          <w:rFonts w:ascii="Calibri" w:eastAsia="MS Mincho" w:hAnsi="Calibri" w:cs="Arial"/>
          <w:lang w:eastAsia="ja-JP"/>
        </w:rPr>
        <w:t xml:space="preserve">the population relative risk </w:t>
      </w:r>
      <w:r w:rsidR="002973F6" w:rsidRPr="0036413A">
        <w:rPr>
          <w:rFonts w:ascii="Calibri" w:eastAsia="MS Mincho" w:hAnsi="Calibri" w:cs="Arial"/>
          <w:lang w:eastAsia="ja-JP"/>
        </w:rPr>
        <w:t>was highest at younger ages and decreased progressively with age [</w:t>
      </w:r>
      <w:r w:rsidR="008028FB">
        <w:rPr>
          <w:rFonts w:ascii="Calibri" w:eastAsia="MS Mincho" w:hAnsi="Calibri" w:cs="Arial"/>
          <w:lang w:eastAsia="ja-JP"/>
        </w:rPr>
        <w:t>13]</w:t>
      </w:r>
      <w:r w:rsidR="002973F6" w:rsidRPr="0036413A">
        <w:rPr>
          <w:rFonts w:ascii="Calibri" w:eastAsia="MS Mincho" w:hAnsi="Calibri" w:cs="Arial"/>
          <w:lang w:eastAsia="ja-JP"/>
        </w:rPr>
        <w:t xml:space="preserve">.  </w:t>
      </w:r>
      <w:r w:rsidR="004C7C4C">
        <w:rPr>
          <w:rFonts w:ascii="Calibri" w:eastAsia="MS Mincho" w:hAnsi="Calibri" w:cs="Arial"/>
          <w:lang w:eastAsia="ja-JP"/>
        </w:rPr>
        <w:t>Also, t</w:t>
      </w:r>
      <w:r w:rsidR="0064495F">
        <w:rPr>
          <w:rFonts w:ascii="Calibri" w:eastAsia="MS Mincho" w:hAnsi="Calibri" w:cs="Arial"/>
          <w:lang w:eastAsia="ja-JP"/>
        </w:rPr>
        <w:t xml:space="preserve">he </w:t>
      </w:r>
      <w:r w:rsidR="002973F6" w:rsidRPr="0036413A">
        <w:rPr>
          <w:rFonts w:ascii="Calibri" w:eastAsia="MS Mincho" w:hAnsi="Calibri" w:cs="Arial"/>
          <w:lang w:eastAsia="ja-JP"/>
        </w:rPr>
        <w:t xml:space="preserve">risk of a subsequent osteoporotic fracture is particularly acute immediately after </w:t>
      </w:r>
      <w:r w:rsidR="003E7120" w:rsidRPr="0036413A">
        <w:rPr>
          <w:rFonts w:ascii="Calibri" w:eastAsia="MS Mincho" w:hAnsi="Calibri" w:cs="Arial"/>
          <w:lang w:eastAsia="ja-JP"/>
        </w:rPr>
        <w:t>an</w:t>
      </w:r>
      <w:r w:rsidR="002973F6" w:rsidRPr="0036413A">
        <w:rPr>
          <w:rFonts w:ascii="Calibri" w:eastAsia="MS Mincho" w:hAnsi="Calibri" w:cs="Arial"/>
          <w:lang w:eastAsia="ja-JP"/>
        </w:rPr>
        <w:t xml:space="preserve"> index fracture and wanes progressively with time [</w:t>
      </w:r>
      <w:r w:rsidR="00A46F2F">
        <w:rPr>
          <w:rFonts w:ascii="Calibri" w:eastAsia="MS Mincho" w:hAnsi="Calibri" w:cs="Arial"/>
          <w:lang w:eastAsia="ja-JP"/>
        </w:rPr>
        <w:t xml:space="preserve">14, </w:t>
      </w:r>
      <w:r w:rsidR="00A64F26">
        <w:rPr>
          <w:rFonts w:ascii="Calibri" w:eastAsia="MS Mincho" w:hAnsi="Calibri" w:cs="Arial"/>
          <w:lang w:eastAsia="ja-JP"/>
        </w:rPr>
        <w:t xml:space="preserve">15, </w:t>
      </w:r>
      <w:r w:rsidR="00124476">
        <w:rPr>
          <w:rFonts w:ascii="Calibri" w:eastAsia="MS Mincho" w:hAnsi="Calibri" w:cs="Arial"/>
          <w:lang w:eastAsia="ja-JP"/>
        </w:rPr>
        <w:t>16</w:t>
      </w:r>
      <w:r w:rsidR="00A46F2F">
        <w:rPr>
          <w:rFonts w:ascii="Calibri" w:eastAsia="MS Mincho" w:hAnsi="Calibri" w:cs="Arial"/>
          <w:lang w:eastAsia="ja-JP"/>
        </w:rPr>
        <w:t>]</w:t>
      </w:r>
      <w:r w:rsidR="002973F6" w:rsidRPr="0036413A">
        <w:rPr>
          <w:rFonts w:ascii="Calibri" w:eastAsia="MS Mincho" w:hAnsi="Calibri" w:cs="Arial"/>
          <w:lang w:eastAsia="ja-JP"/>
        </w:rPr>
        <w:t xml:space="preserve">.  </w:t>
      </w:r>
      <w:r w:rsidR="00767B6C">
        <w:rPr>
          <w:rFonts w:ascii="Calibri" w:eastAsia="MS Mincho" w:hAnsi="Calibri" w:cs="Arial"/>
          <w:lang w:eastAsia="ja-JP"/>
        </w:rPr>
        <w:t>The waning of risk with time is also</w:t>
      </w:r>
      <w:r w:rsidR="002973F6" w:rsidRPr="0036413A">
        <w:rPr>
          <w:rFonts w:ascii="Calibri" w:eastAsia="MS Mincho" w:hAnsi="Calibri" w:cs="Arial"/>
          <w:lang w:eastAsia="ja-JP"/>
        </w:rPr>
        <w:t xml:space="preserve"> age-dependen</w:t>
      </w:r>
      <w:r w:rsidR="00C931B6">
        <w:rPr>
          <w:rFonts w:ascii="Calibri" w:eastAsia="MS Mincho" w:hAnsi="Calibri" w:cs="Arial"/>
          <w:lang w:eastAsia="ja-JP"/>
        </w:rPr>
        <w:t>t</w:t>
      </w:r>
      <w:r w:rsidR="002973F6" w:rsidRPr="0036413A">
        <w:rPr>
          <w:rFonts w:ascii="Calibri" w:eastAsia="MS Mincho" w:hAnsi="Calibri" w:cs="Arial"/>
          <w:lang w:eastAsia="ja-JP"/>
        </w:rPr>
        <w:t xml:space="preserve"> </w:t>
      </w:r>
      <w:bookmarkStart w:id="4" w:name="_Hlk526248211"/>
      <w:r w:rsidR="002973F6" w:rsidRPr="0036413A">
        <w:rPr>
          <w:rFonts w:ascii="Calibri" w:eastAsia="MS Mincho" w:hAnsi="Calibri" w:cs="Arial"/>
          <w:lang w:eastAsia="ja-JP"/>
        </w:rPr>
        <w:t>[</w:t>
      </w:r>
      <w:r w:rsidR="006B2175">
        <w:rPr>
          <w:rFonts w:ascii="Calibri" w:eastAsia="MS Mincho" w:hAnsi="Calibri" w:cs="Arial"/>
          <w:lang w:eastAsia="ja-JP"/>
        </w:rPr>
        <w:t>17]</w:t>
      </w:r>
      <w:bookmarkEnd w:id="4"/>
      <w:r w:rsidR="008E1A3C" w:rsidRPr="005867AA">
        <w:rPr>
          <w:rFonts w:ascii="Calibri" w:eastAsia="MS Mincho" w:hAnsi="Calibri" w:cs="Arial"/>
          <w:lang w:eastAsia="ja-JP"/>
        </w:rPr>
        <w:t xml:space="preserve">.  </w:t>
      </w:r>
      <w:r w:rsidR="00F42574">
        <w:rPr>
          <w:rFonts w:ascii="Calibri" w:eastAsia="MS Mincho" w:hAnsi="Calibri" w:cs="Arial"/>
          <w:lang w:eastAsia="ja-JP"/>
        </w:rPr>
        <w:t xml:space="preserve"> Although these </w:t>
      </w:r>
      <w:r w:rsidR="006945AF">
        <w:rPr>
          <w:rFonts w:ascii="Calibri" w:eastAsia="MS Mincho" w:hAnsi="Calibri" w:cs="Arial"/>
          <w:lang w:eastAsia="ja-JP"/>
        </w:rPr>
        <w:t xml:space="preserve">additional </w:t>
      </w:r>
      <w:r w:rsidR="00863235">
        <w:rPr>
          <w:rFonts w:ascii="Calibri" w:eastAsia="MS Mincho" w:hAnsi="Calibri" w:cs="Arial"/>
          <w:lang w:eastAsia="ja-JP"/>
        </w:rPr>
        <w:t>refinements</w:t>
      </w:r>
      <w:r w:rsidR="006945AF">
        <w:rPr>
          <w:rFonts w:ascii="Calibri" w:eastAsia="MS Mincho" w:hAnsi="Calibri" w:cs="Arial"/>
          <w:lang w:eastAsia="ja-JP"/>
        </w:rPr>
        <w:t xml:space="preserve"> </w:t>
      </w:r>
      <w:r w:rsidR="007F4C30">
        <w:rPr>
          <w:rFonts w:ascii="Calibri" w:eastAsia="MS Mincho" w:hAnsi="Calibri" w:cs="Arial"/>
          <w:lang w:eastAsia="ja-JP"/>
        </w:rPr>
        <w:t xml:space="preserve">of risk </w:t>
      </w:r>
      <w:r w:rsidR="006945AF">
        <w:rPr>
          <w:rFonts w:ascii="Calibri" w:eastAsia="MS Mincho" w:hAnsi="Calibri" w:cs="Arial"/>
          <w:lang w:eastAsia="ja-JP"/>
        </w:rPr>
        <w:t xml:space="preserve">are not </w:t>
      </w:r>
      <w:r w:rsidR="004F269F">
        <w:rPr>
          <w:rFonts w:ascii="Calibri" w:eastAsia="MS Mincho" w:hAnsi="Calibri" w:cs="Arial"/>
          <w:lang w:eastAsia="ja-JP"/>
        </w:rPr>
        <w:t xml:space="preserve">currently </w:t>
      </w:r>
      <w:r w:rsidR="006945AF">
        <w:rPr>
          <w:rFonts w:ascii="Calibri" w:eastAsia="MS Mincho" w:hAnsi="Calibri" w:cs="Arial"/>
          <w:lang w:eastAsia="ja-JP"/>
        </w:rPr>
        <w:t xml:space="preserve">captured </w:t>
      </w:r>
      <w:r w:rsidR="007F4C30">
        <w:rPr>
          <w:rFonts w:ascii="Calibri" w:eastAsia="MS Mincho" w:hAnsi="Calibri" w:cs="Arial"/>
          <w:lang w:eastAsia="ja-JP"/>
        </w:rPr>
        <w:t>in FRAX</w:t>
      </w:r>
      <w:r w:rsidR="00863235">
        <w:rPr>
          <w:rFonts w:ascii="Calibri" w:eastAsia="MS Mincho" w:hAnsi="Calibri" w:cs="Arial"/>
          <w:lang w:eastAsia="ja-JP"/>
        </w:rPr>
        <w:t xml:space="preserve">, </w:t>
      </w:r>
      <w:r w:rsidR="00EF4CEB" w:rsidRPr="00EF4CEB">
        <w:rPr>
          <w:rFonts w:ascii="Calibri" w:eastAsia="MS Mincho" w:hAnsi="Calibri" w:cs="Arial"/>
          <w:lang w:eastAsia="ja-JP"/>
        </w:rPr>
        <w:t xml:space="preserve">exploratory </w:t>
      </w:r>
      <w:r w:rsidR="000850A8" w:rsidRPr="000850A8">
        <w:rPr>
          <w:rFonts w:ascii="Calibri" w:eastAsia="MS Mincho" w:hAnsi="Calibri" w:cs="Arial"/>
          <w:lang w:eastAsia="ja-JP"/>
        </w:rPr>
        <w:t>arithmetic adjustments have been developed which can be applied to conventional FRAX estimates of probabilities of hip fracture and a MOF</w:t>
      </w:r>
      <w:r w:rsidR="008A2AAC">
        <w:rPr>
          <w:rFonts w:ascii="Calibri" w:eastAsia="MS Mincho" w:hAnsi="Calibri" w:cs="Arial"/>
          <w:lang w:eastAsia="ja-JP"/>
        </w:rPr>
        <w:t xml:space="preserve"> [</w:t>
      </w:r>
      <w:r w:rsidR="00921DEF">
        <w:rPr>
          <w:rFonts w:ascii="Calibri" w:eastAsia="MS Mincho" w:hAnsi="Calibri" w:cs="Arial"/>
          <w:lang w:eastAsia="ja-JP"/>
        </w:rPr>
        <w:t xml:space="preserve">18, </w:t>
      </w:r>
      <w:r w:rsidR="00295662">
        <w:rPr>
          <w:rFonts w:ascii="Calibri" w:eastAsia="MS Mincho" w:hAnsi="Calibri" w:cs="Arial"/>
          <w:lang w:eastAsia="ja-JP"/>
        </w:rPr>
        <w:t>19]</w:t>
      </w:r>
      <w:r w:rsidR="000850A8" w:rsidRPr="000850A8">
        <w:rPr>
          <w:rFonts w:ascii="Calibri" w:eastAsia="MS Mincho" w:hAnsi="Calibri" w:cs="Arial"/>
          <w:lang w:eastAsia="ja-JP"/>
        </w:rPr>
        <w:t xml:space="preserve">. </w:t>
      </w:r>
      <w:r w:rsidR="007B126F">
        <w:rPr>
          <w:rFonts w:ascii="Calibri" w:eastAsia="MS Mincho" w:hAnsi="Calibri" w:cs="Arial"/>
          <w:lang w:eastAsia="ja-JP"/>
        </w:rPr>
        <w:t xml:space="preserve"> These and other adjustments to FRAX </w:t>
      </w:r>
      <w:r w:rsidR="00520436">
        <w:rPr>
          <w:rFonts w:ascii="Calibri" w:eastAsia="MS Mincho" w:hAnsi="Calibri" w:cs="Arial"/>
          <w:lang w:eastAsia="ja-JP"/>
        </w:rPr>
        <w:t xml:space="preserve">will </w:t>
      </w:r>
      <w:r w:rsidR="00295E11">
        <w:rPr>
          <w:rFonts w:ascii="Calibri" w:eastAsia="MS Mincho" w:hAnsi="Calibri" w:cs="Arial"/>
          <w:lang w:eastAsia="ja-JP"/>
        </w:rPr>
        <w:t>shortly</w:t>
      </w:r>
      <w:r w:rsidR="00C40E79">
        <w:rPr>
          <w:rFonts w:ascii="Calibri" w:eastAsia="MS Mincho" w:hAnsi="Calibri" w:cs="Arial"/>
          <w:lang w:eastAsia="ja-JP"/>
        </w:rPr>
        <w:t xml:space="preserve"> be access</w:t>
      </w:r>
      <w:r w:rsidR="00DB20F7">
        <w:rPr>
          <w:rFonts w:ascii="Calibri" w:eastAsia="MS Mincho" w:hAnsi="Calibri" w:cs="Arial"/>
          <w:lang w:eastAsia="ja-JP"/>
        </w:rPr>
        <w:t>ible</w:t>
      </w:r>
      <w:r w:rsidR="007B126F">
        <w:rPr>
          <w:rFonts w:ascii="Calibri" w:eastAsia="MS Mincho" w:hAnsi="Calibri" w:cs="Arial"/>
          <w:lang w:eastAsia="ja-JP"/>
        </w:rPr>
        <w:t xml:space="preserve"> </w:t>
      </w:r>
      <w:r w:rsidR="00C40E79">
        <w:rPr>
          <w:rFonts w:ascii="Calibri" w:eastAsia="MS Mincho" w:hAnsi="Calibri" w:cs="Arial"/>
          <w:lang w:eastAsia="ja-JP"/>
        </w:rPr>
        <w:t>in FRAXplus through the FRAX web po</w:t>
      </w:r>
      <w:r w:rsidR="008A2AAC">
        <w:rPr>
          <w:rFonts w:ascii="Calibri" w:eastAsia="MS Mincho" w:hAnsi="Calibri" w:cs="Arial"/>
          <w:lang w:eastAsia="ja-JP"/>
        </w:rPr>
        <w:t>rtal.</w:t>
      </w:r>
    </w:p>
    <w:p w14:paraId="24F5608A" w14:textId="655257C5" w:rsidR="00D629EC" w:rsidRDefault="00C0008D" w:rsidP="00A8549A">
      <w:pPr>
        <w:spacing w:after="200" w:line="276" w:lineRule="auto"/>
        <w:ind w:left="567"/>
        <w:rPr>
          <w:rFonts w:ascii="Calibri" w:eastAsia="MS Mincho" w:hAnsi="Calibri" w:cs="Arial"/>
          <w:lang w:eastAsia="ja-JP"/>
        </w:rPr>
      </w:pPr>
      <w:r w:rsidRPr="005867AA">
        <w:rPr>
          <w:rFonts w:ascii="Calibri" w:eastAsia="MS Mincho" w:hAnsi="Calibri" w:cs="Arial"/>
          <w:lang w:eastAsia="ja-JP"/>
        </w:rPr>
        <w:t>Several</w:t>
      </w:r>
      <w:r w:rsidR="00C11D33" w:rsidRPr="005867AA">
        <w:rPr>
          <w:rFonts w:ascii="Calibri" w:eastAsia="MS Mincho" w:hAnsi="Calibri" w:cs="Arial"/>
          <w:lang w:eastAsia="ja-JP"/>
        </w:rPr>
        <w:t xml:space="preserve"> prior frac</w:t>
      </w:r>
      <w:r w:rsidR="000F4ADC" w:rsidRPr="005867AA">
        <w:rPr>
          <w:rFonts w:ascii="Calibri" w:eastAsia="MS Mincho" w:hAnsi="Calibri" w:cs="Arial"/>
          <w:lang w:eastAsia="ja-JP"/>
        </w:rPr>
        <w:t xml:space="preserve">tures </w:t>
      </w:r>
      <w:r w:rsidR="009041C9" w:rsidRPr="005867AA">
        <w:rPr>
          <w:rFonts w:ascii="Calibri" w:eastAsia="MS Mincho" w:hAnsi="Calibri" w:cs="Arial"/>
          <w:lang w:eastAsia="ja-JP"/>
        </w:rPr>
        <w:t>carry</w:t>
      </w:r>
      <w:r w:rsidRPr="005867AA">
        <w:rPr>
          <w:rFonts w:ascii="Calibri" w:eastAsia="MS Mincho" w:hAnsi="Calibri" w:cs="Arial"/>
          <w:lang w:eastAsia="ja-JP"/>
        </w:rPr>
        <w:t xml:space="preserve"> a risk greater than a</w:t>
      </w:r>
      <w:r>
        <w:rPr>
          <w:rFonts w:ascii="Calibri" w:eastAsia="MS Mincho" w:hAnsi="Calibri" w:cs="Arial"/>
          <w:lang w:eastAsia="ja-JP"/>
        </w:rPr>
        <w:t xml:space="preserve"> single prior </w:t>
      </w:r>
      <w:r w:rsidRPr="005867AA">
        <w:rPr>
          <w:rFonts w:ascii="Calibri" w:eastAsia="MS Mincho" w:hAnsi="Calibri" w:cs="Arial"/>
          <w:lang w:eastAsia="ja-JP"/>
        </w:rPr>
        <w:t>fractu</w:t>
      </w:r>
      <w:r w:rsidR="00C70897" w:rsidRPr="005867AA">
        <w:rPr>
          <w:rFonts w:ascii="Calibri" w:eastAsia="MS Mincho" w:hAnsi="Calibri" w:cs="Arial"/>
          <w:lang w:eastAsia="ja-JP"/>
        </w:rPr>
        <w:t>r</w:t>
      </w:r>
      <w:r w:rsidRPr="005867AA">
        <w:rPr>
          <w:rFonts w:ascii="Calibri" w:eastAsia="MS Mincho" w:hAnsi="Calibri" w:cs="Arial"/>
          <w:lang w:eastAsia="ja-JP"/>
        </w:rPr>
        <w:t>e</w:t>
      </w:r>
      <w:r w:rsidR="00C70897" w:rsidRPr="005867AA">
        <w:rPr>
          <w:rFonts w:ascii="Calibri" w:eastAsia="MS Mincho" w:hAnsi="Calibri" w:cs="Arial"/>
          <w:lang w:eastAsia="ja-JP"/>
        </w:rPr>
        <w:t xml:space="preserve"> </w:t>
      </w:r>
      <w:r w:rsidR="005867AA" w:rsidRPr="005867AA">
        <w:rPr>
          <w:rFonts w:ascii="Calibri" w:eastAsia="MS Mincho" w:hAnsi="Calibri" w:cs="Arial"/>
          <w:lang w:eastAsia="ja-JP"/>
        </w:rPr>
        <w:t>[</w:t>
      </w:r>
      <w:r w:rsidR="003B345F">
        <w:rPr>
          <w:rFonts w:ascii="Calibri" w:eastAsia="MS Mincho" w:hAnsi="Calibri" w:cs="Arial"/>
          <w:lang w:eastAsia="ja-JP"/>
        </w:rPr>
        <w:t xml:space="preserve">20, </w:t>
      </w:r>
      <w:r w:rsidR="00B62BB7">
        <w:rPr>
          <w:rFonts w:ascii="Calibri" w:eastAsia="MS Mincho" w:hAnsi="Calibri" w:cs="Arial"/>
          <w:lang w:eastAsia="ja-JP"/>
        </w:rPr>
        <w:t>21</w:t>
      </w:r>
      <w:r w:rsidR="00B14C4F">
        <w:rPr>
          <w:rFonts w:ascii="Calibri" w:eastAsia="MS Mincho" w:hAnsi="Calibri" w:cs="Arial"/>
          <w:lang w:eastAsia="ja-JP"/>
        </w:rPr>
        <w:t xml:space="preserve">, 22, </w:t>
      </w:r>
      <w:r w:rsidR="0098558E">
        <w:rPr>
          <w:rFonts w:ascii="Calibri" w:eastAsia="MS Mincho" w:hAnsi="Calibri" w:cs="Arial"/>
          <w:lang w:eastAsia="ja-JP"/>
        </w:rPr>
        <w:t xml:space="preserve">23, </w:t>
      </w:r>
      <w:r w:rsidR="00D35BB5">
        <w:rPr>
          <w:rFonts w:ascii="Calibri" w:eastAsia="MS Mincho" w:hAnsi="Calibri" w:cs="Arial"/>
          <w:lang w:eastAsia="ja-JP"/>
        </w:rPr>
        <w:t>24, 25]</w:t>
      </w:r>
      <w:r w:rsidR="006D41EC">
        <w:rPr>
          <w:rFonts w:ascii="Calibri" w:eastAsia="MS Mincho" w:hAnsi="Calibri" w:cs="Arial"/>
          <w:lang w:eastAsia="ja-JP"/>
        </w:rPr>
        <w:t>, but the impact on FRAX</w:t>
      </w:r>
      <w:r w:rsidR="00EF1385">
        <w:rPr>
          <w:rFonts w:ascii="Calibri" w:eastAsia="MS Mincho" w:hAnsi="Calibri" w:cs="Arial"/>
          <w:lang w:eastAsia="ja-JP"/>
        </w:rPr>
        <w:t>-</w:t>
      </w:r>
      <w:r w:rsidR="006D41EC">
        <w:rPr>
          <w:rFonts w:ascii="Calibri" w:eastAsia="MS Mincho" w:hAnsi="Calibri" w:cs="Arial"/>
          <w:lang w:eastAsia="ja-JP"/>
        </w:rPr>
        <w:t xml:space="preserve">based </w:t>
      </w:r>
      <w:r w:rsidR="00D75FBA">
        <w:rPr>
          <w:rFonts w:ascii="Calibri" w:eastAsia="MS Mincho" w:hAnsi="Calibri" w:cs="Arial"/>
          <w:lang w:eastAsia="ja-JP"/>
        </w:rPr>
        <w:t>probabilities</w:t>
      </w:r>
      <w:r w:rsidR="006D41EC">
        <w:rPr>
          <w:rFonts w:ascii="Calibri" w:eastAsia="MS Mincho" w:hAnsi="Calibri" w:cs="Arial"/>
          <w:lang w:eastAsia="ja-JP"/>
        </w:rPr>
        <w:t xml:space="preserve"> is not known</w:t>
      </w:r>
      <w:r w:rsidR="00D75FBA">
        <w:rPr>
          <w:rFonts w:ascii="Calibri" w:eastAsia="MS Mincho" w:hAnsi="Calibri" w:cs="Arial"/>
          <w:lang w:eastAsia="ja-JP"/>
        </w:rPr>
        <w:t>.</w:t>
      </w:r>
      <w:r w:rsidR="00EA044A">
        <w:rPr>
          <w:rFonts w:ascii="Calibri" w:eastAsia="MS Mincho" w:hAnsi="Calibri" w:cs="Arial"/>
          <w:lang w:eastAsia="ja-JP"/>
        </w:rPr>
        <w:t xml:space="preserve">  T</w:t>
      </w:r>
      <w:r w:rsidR="00D018B7" w:rsidRPr="00D018B7">
        <w:rPr>
          <w:rFonts w:ascii="Calibri" w:eastAsia="MS Mincho" w:hAnsi="Calibri" w:cs="Arial"/>
          <w:lang w:eastAsia="ja-JP"/>
        </w:rPr>
        <w:t xml:space="preserve">he </w:t>
      </w:r>
      <w:r w:rsidR="00FE209E">
        <w:rPr>
          <w:rFonts w:ascii="Calibri" w:eastAsia="MS Mincho" w:hAnsi="Calibri" w:cs="Arial"/>
          <w:lang w:eastAsia="ja-JP"/>
        </w:rPr>
        <w:t xml:space="preserve">aim of the present study was to determine the impact of </w:t>
      </w:r>
      <w:r w:rsidR="00D81A7F">
        <w:rPr>
          <w:rFonts w:ascii="Calibri" w:eastAsia="MS Mincho" w:hAnsi="Calibri" w:cs="Arial"/>
          <w:lang w:eastAsia="ja-JP"/>
        </w:rPr>
        <w:t>the number of prior fractures</w:t>
      </w:r>
      <w:r w:rsidR="007B7E39">
        <w:rPr>
          <w:rFonts w:ascii="Calibri" w:eastAsia="MS Mincho" w:hAnsi="Calibri" w:cs="Arial"/>
          <w:lang w:eastAsia="ja-JP"/>
        </w:rPr>
        <w:t xml:space="preserve"> on fracture probability </w:t>
      </w:r>
      <w:r w:rsidR="00DF00C8">
        <w:rPr>
          <w:rFonts w:ascii="Calibri" w:eastAsia="MS Mincho" w:hAnsi="Calibri" w:cs="Arial"/>
          <w:lang w:eastAsia="ja-JP"/>
        </w:rPr>
        <w:t xml:space="preserve">and a means </w:t>
      </w:r>
      <w:r w:rsidR="0036077E">
        <w:rPr>
          <w:rFonts w:ascii="Calibri" w:eastAsia="MS Mincho" w:hAnsi="Calibri" w:cs="Arial"/>
          <w:lang w:eastAsia="ja-JP"/>
        </w:rPr>
        <w:t xml:space="preserve">to adjust </w:t>
      </w:r>
      <w:r w:rsidR="007B7E39">
        <w:rPr>
          <w:rFonts w:ascii="Calibri" w:eastAsia="MS Mincho" w:hAnsi="Calibri" w:cs="Arial"/>
          <w:lang w:eastAsia="ja-JP"/>
        </w:rPr>
        <w:t>FRAX</w:t>
      </w:r>
      <w:r w:rsidR="0036077E">
        <w:rPr>
          <w:rFonts w:ascii="Calibri" w:eastAsia="MS Mincho" w:hAnsi="Calibri" w:cs="Arial"/>
          <w:lang w:eastAsia="ja-JP"/>
        </w:rPr>
        <w:t>-based probabilities</w:t>
      </w:r>
      <w:r w:rsidR="007B7E39">
        <w:rPr>
          <w:rFonts w:ascii="Calibri" w:eastAsia="MS Mincho" w:hAnsi="Calibri" w:cs="Arial"/>
          <w:lang w:eastAsia="ja-JP"/>
        </w:rPr>
        <w:t>.</w:t>
      </w:r>
    </w:p>
    <w:p w14:paraId="3F062EAB" w14:textId="77777777" w:rsidR="00E00A11" w:rsidRDefault="00E00A11" w:rsidP="00A8549A">
      <w:pPr>
        <w:spacing w:after="200" w:line="276" w:lineRule="auto"/>
        <w:ind w:left="567"/>
        <w:rPr>
          <w:rFonts w:ascii="Calibri" w:eastAsia="MS Mincho" w:hAnsi="Calibri" w:cs="Arial"/>
          <w:b/>
          <w:bCs/>
          <w:lang w:eastAsia="ja-JP"/>
        </w:rPr>
      </w:pPr>
    </w:p>
    <w:p w14:paraId="0A3715F5" w14:textId="77777777" w:rsidR="00E00A11" w:rsidRDefault="00E00A11" w:rsidP="00A8549A">
      <w:pPr>
        <w:spacing w:after="200" w:line="276" w:lineRule="auto"/>
        <w:ind w:left="567"/>
        <w:rPr>
          <w:rFonts w:ascii="Calibri" w:eastAsia="MS Mincho" w:hAnsi="Calibri" w:cs="Arial"/>
          <w:b/>
          <w:bCs/>
          <w:lang w:eastAsia="ja-JP"/>
        </w:rPr>
      </w:pPr>
    </w:p>
    <w:p w14:paraId="4E4797FA" w14:textId="77777777" w:rsidR="008F0307" w:rsidRDefault="008F0307" w:rsidP="00A8549A">
      <w:pPr>
        <w:spacing w:after="200" w:line="276" w:lineRule="auto"/>
        <w:ind w:left="567"/>
        <w:rPr>
          <w:rFonts w:ascii="Calibri" w:eastAsia="MS Mincho" w:hAnsi="Calibri" w:cs="Arial"/>
          <w:b/>
          <w:bCs/>
          <w:lang w:eastAsia="ja-JP"/>
        </w:rPr>
      </w:pPr>
    </w:p>
    <w:p w14:paraId="6E4E4071" w14:textId="77777777" w:rsidR="008F0307" w:rsidRDefault="008F0307" w:rsidP="00A8549A">
      <w:pPr>
        <w:spacing w:after="200" w:line="276" w:lineRule="auto"/>
        <w:ind w:left="567"/>
        <w:rPr>
          <w:rFonts w:ascii="Calibri" w:eastAsia="MS Mincho" w:hAnsi="Calibri" w:cs="Arial"/>
          <w:b/>
          <w:bCs/>
          <w:lang w:eastAsia="ja-JP"/>
        </w:rPr>
      </w:pPr>
    </w:p>
    <w:p w14:paraId="465213FE" w14:textId="2B9E2DC2" w:rsidR="00AD20A9" w:rsidRPr="008724F0" w:rsidRDefault="008724F0" w:rsidP="00A8549A">
      <w:pPr>
        <w:spacing w:after="200" w:line="276" w:lineRule="auto"/>
        <w:ind w:left="567"/>
        <w:rPr>
          <w:rFonts w:ascii="Calibri" w:eastAsia="MS Mincho" w:hAnsi="Calibri" w:cs="Arial"/>
          <w:b/>
          <w:bCs/>
          <w:lang w:eastAsia="ja-JP"/>
        </w:rPr>
      </w:pPr>
      <w:r w:rsidRPr="008724F0">
        <w:rPr>
          <w:rFonts w:ascii="Calibri" w:eastAsia="MS Mincho" w:hAnsi="Calibri" w:cs="Arial"/>
          <w:b/>
          <w:bCs/>
          <w:lang w:eastAsia="ja-JP"/>
        </w:rPr>
        <w:lastRenderedPageBreak/>
        <w:t>Methods</w:t>
      </w:r>
    </w:p>
    <w:p w14:paraId="5EA6E045" w14:textId="71F54298" w:rsidR="00544AAA" w:rsidRDefault="00E637C2" w:rsidP="00A8549A">
      <w:pPr>
        <w:spacing w:after="200" w:line="276" w:lineRule="auto"/>
        <w:ind w:left="567"/>
        <w:rPr>
          <w:rFonts w:ascii="Calibri" w:eastAsia="MS Mincho" w:hAnsi="Calibri" w:cs="AdvTT3713a231"/>
          <w:color w:val="131413"/>
        </w:rPr>
      </w:pPr>
      <w:r w:rsidRPr="00380207">
        <w:rPr>
          <w:rFonts w:ascii="Calibri" w:eastAsia="MS Mincho" w:hAnsi="Calibri" w:cs="Arial"/>
          <w:i/>
          <w:lang w:eastAsia="ja-JP"/>
        </w:rPr>
        <w:t>Study cohort</w:t>
      </w:r>
      <w:r w:rsidR="009E6B70" w:rsidRPr="00380207">
        <w:rPr>
          <w:rFonts w:ascii="Calibri" w:eastAsia="MS Mincho" w:hAnsi="Calibri" w:cs="Arial"/>
          <w:i/>
          <w:lang w:eastAsia="ja-JP"/>
        </w:rPr>
        <w:br/>
      </w:r>
      <w:r w:rsidRPr="00380207">
        <w:rPr>
          <w:rFonts w:ascii="Calibri" w:eastAsia="MS Mincho" w:hAnsi="Calibri" w:cs="AdvTT3713a231"/>
          <w:color w:val="131413"/>
        </w:rPr>
        <w:t xml:space="preserve">The </w:t>
      </w:r>
      <w:r w:rsidR="00A8759D">
        <w:rPr>
          <w:rFonts w:ascii="Calibri" w:eastAsia="MS Mincho" w:hAnsi="Calibri" w:cs="AdvTT3713a231"/>
          <w:color w:val="131413"/>
        </w:rPr>
        <w:t xml:space="preserve">total </w:t>
      </w:r>
      <w:r w:rsidRPr="00380207">
        <w:rPr>
          <w:rFonts w:ascii="Calibri" w:eastAsia="MS Mincho" w:hAnsi="Calibri" w:cs="AdvTT3713a231"/>
          <w:color w:val="131413"/>
        </w:rPr>
        <w:t>study cohort consists of 30,795 men and w</w:t>
      </w:r>
      <w:r w:rsidR="009E272F">
        <w:rPr>
          <w:rFonts w:ascii="Calibri" w:eastAsia="MS Mincho" w:hAnsi="Calibri" w:cs="AdvTT3713a231"/>
          <w:color w:val="131413"/>
        </w:rPr>
        <w:t>o</w:t>
      </w:r>
      <w:r w:rsidRPr="00380207">
        <w:rPr>
          <w:rFonts w:ascii="Calibri" w:eastAsia="MS Mincho" w:hAnsi="Calibri" w:cs="AdvTT3713a231"/>
          <w:color w:val="131413"/>
        </w:rPr>
        <w:t>men, comprising all residents in the greater Reykjavik Area on December 1, 1967, born between 1907 and 1935 (both years included), which represent</w:t>
      </w:r>
      <w:r w:rsidR="00543BF8">
        <w:rPr>
          <w:rFonts w:ascii="Calibri" w:eastAsia="MS Mincho" w:hAnsi="Calibri" w:cs="AdvTT3713a231"/>
          <w:color w:val="131413"/>
        </w:rPr>
        <w:t>ed</w:t>
      </w:r>
      <w:r w:rsidRPr="00380207">
        <w:rPr>
          <w:rFonts w:ascii="Calibri" w:eastAsia="MS Mincho" w:hAnsi="Calibri" w:cs="AdvTT3713a231"/>
          <w:color w:val="131413"/>
        </w:rPr>
        <w:t xml:space="preserve"> 55% </w:t>
      </w:r>
      <w:r w:rsidRPr="00A6494F">
        <w:rPr>
          <w:rFonts w:ascii="Calibri" w:eastAsia="MS Mincho" w:hAnsi="Calibri" w:cs="AdvTT3713a231"/>
          <w:color w:val="131413"/>
        </w:rPr>
        <w:t>of the total Icelandic population in this age range</w:t>
      </w:r>
      <w:r w:rsidR="001364B5" w:rsidRPr="00A6494F">
        <w:rPr>
          <w:rFonts w:ascii="Calibri" w:eastAsia="MS Mincho" w:hAnsi="Calibri" w:cs="Arial"/>
          <w:lang w:eastAsia="ja-JP"/>
        </w:rPr>
        <w:t xml:space="preserve"> </w:t>
      </w:r>
      <w:r w:rsidR="00543BF8">
        <w:rPr>
          <w:rFonts w:ascii="Calibri" w:eastAsia="MS Mincho" w:hAnsi="Calibri" w:cs="Arial"/>
          <w:lang w:eastAsia="ja-JP"/>
        </w:rPr>
        <w:t xml:space="preserve">at that </w:t>
      </w:r>
      <w:r w:rsidR="00543BF8" w:rsidRPr="00E90E1A">
        <w:rPr>
          <w:rFonts w:ascii="Calibri" w:eastAsia="MS Mincho" w:hAnsi="Calibri" w:cs="Arial"/>
          <w:lang w:eastAsia="ja-JP"/>
        </w:rPr>
        <w:t xml:space="preserve">time </w:t>
      </w:r>
      <w:r w:rsidR="001364B5" w:rsidRPr="00E90E1A">
        <w:rPr>
          <w:rFonts w:ascii="Calibri" w:eastAsia="MS Mincho" w:hAnsi="Calibri" w:cs="Arial"/>
          <w:lang w:eastAsia="ja-JP"/>
        </w:rPr>
        <w:t>[</w:t>
      </w:r>
      <w:r w:rsidR="00655E4E" w:rsidRPr="00950D32">
        <w:rPr>
          <w:rFonts w:ascii="Calibri" w:eastAsia="MS Mincho" w:hAnsi="Calibri" w:cs="Arial"/>
          <w:lang w:eastAsia="ja-JP"/>
        </w:rPr>
        <w:t>26, 27]</w:t>
      </w:r>
      <w:r w:rsidRPr="00950D32">
        <w:rPr>
          <w:rFonts w:ascii="Calibri" w:eastAsia="MS Mincho" w:hAnsi="Calibri" w:cs="AdvTT3713a231"/>
          <w:color w:val="131413"/>
        </w:rPr>
        <w:t xml:space="preserve">. </w:t>
      </w:r>
      <w:r w:rsidR="00544AAA" w:rsidRPr="00950D32">
        <w:rPr>
          <w:rFonts w:ascii="Calibri" w:eastAsia="MS Mincho" w:hAnsi="Calibri" w:cs="AdvTT3713a231"/>
          <w:color w:val="131413"/>
        </w:rPr>
        <w:t>The</w:t>
      </w:r>
      <w:r w:rsidR="00544AAA" w:rsidRPr="00544AAA">
        <w:rPr>
          <w:rFonts w:ascii="Calibri" w:eastAsia="MS Mincho" w:hAnsi="Calibri" w:cs="AdvTT3713a231"/>
          <w:color w:val="131413"/>
        </w:rPr>
        <w:t xml:space="preserve"> study was approved by the National Bioethics Committee and the Data Protection Authority in Iceland.  All participants gave written consent.</w:t>
      </w:r>
    </w:p>
    <w:p w14:paraId="4C69E5AB" w14:textId="64E5E426" w:rsidR="00E637C2" w:rsidRPr="00380207" w:rsidRDefault="00E637C2" w:rsidP="00A8549A">
      <w:pPr>
        <w:spacing w:after="200" w:line="276" w:lineRule="auto"/>
        <w:ind w:left="567"/>
        <w:rPr>
          <w:rFonts w:ascii="Calibri" w:eastAsia="MS Mincho" w:hAnsi="Calibri" w:cs="AdvTT3713a231"/>
          <w:color w:val="131413"/>
        </w:rPr>
      </w:pPr>
      <w:r w:rsidRPr="00E90E1A">
        <w:rPr>
          <w:rFonts w:ascii="Calibri" w:eastAsia="MS Mincho" w:hAnsi="Calibri" w:cs="AdvTT3713a231"/>
          <w:color w:val="131413"/>
        </w:rPr>
        <w:t xml:space="preserve">The current study </w:t>
      </w:r>
      <w:r w:rsidR="00543BF8" w:rsidRPr="00E90E1A">
        <w:rPr>
          <w:rFonts w:ascii="Calibri" w:eastAsia="MS Mincho" w:hAnsi="Calibri" w:cs="AdvTT3713a231"/>
          <w:color w:val="131413"/>
        </w:rPr>
        <w:t xml:space="preserve">is </w:t>
      </w:r>
      <w:r w:rsidRPr="00E90E1A">
        <w:rPr>
          <w:rFonts w:ascii="Calibri" w:eastAsia="MS Mincho" w:hAnsi="Calibri" w:cs="AdvTT3713a231"/>
          <w:color w:val="131413"/>
        </w:rPr>
        <w:t xml:space="preserve">based on 18,872 </w:t>
      </w:r>
      <w:r w:rsidR="00E266BD" w:rsidRPr="00E90E1A">
        <w:rPr>
          <w:rFonts w:ascii="Calibri" w:eastAsia="MS Mincho" w:hAnsi="Calibri" w:cs="AdvTT3713a231"/>
          <w:color w:val="131413"/>
        </w:rPr>
        <w:t>participants who</w:t>
      </w:r>
      <w:r w:rsidRPr="00E90E1A">
        <w:rPr>
          <w:rFonts w:ascii="Calibri" w:eastAsia="MS Mincho" w:hAnsi="Calibri" w:cs="AdvTT3713a231"/>
          <w:color w:val="131413"/>
        </w:rPr>
        <w:t xml:space="preserve"> attended during the recruitment period in 1967</w:t>
      </w:r>
      <w:r w:rsidRPr="00E90E1A">
        <w:rPr>
          <w:rFonts w:ascii="Calibri" w:eastAsia="MS Mincho" w:hAnsi="Calibri" w:cs="AdvTT3713a231+20"/>
          <w:color w:val="131413"/>
        </w:rPr>
        <w:t>–</w:t>
      </w:r>
      <w:r w:rsidRPr="00E90E1A">
        <w:rPr>
          <w:rFonts w:ascii="Calibri" w:eastAsia="MS Mincho" w:hAnsi="Calibri" w:cs="AdvTT3713a231"/>
          <w:color w:val="131413"/>
        </w:rPr>
        <w:t xml:space="preserve">1991, </w:t>
      </w:r>
      <w:r w:rsidR="00543BF8" w:rsidRPr="00E90E1A">
        <w:rPr>
          <w:rFonts w:ascii="Calibri" w:eastAsia="MS Mincho" w:hAnsi="Calibri" w:cs="AdvTT3713a231"/>
          <w:color w:val="131413"/>
        </w:rPr>
        <w:t xml:space="preserve">comprising </w:t>
      </w:r>
      <w:r w:rsidRPr="00E90E1A">
        <w:rPr>
          <w:rFonts w:ascii="Calibri" w:eastAsia="MS Mincho" w:hAnsi="Calibri" w:cs="AdvTT3713a231"/>
          <w:color w:val="131413"/>
        </w:rPr>
        <w:t>9,116 men and 9,756 women</w:t>
      </w:r>
      <w:r w:rsidR="00B011D1" w:rsidRPr="00E90E1A">
        <w:rPr>
          <w:rFonts w:ascii="Calibri" w:eastAsia="MS Mincho" w:hAnsi="Calibri" w:cs="AdvTT3713a231"/>
          <w:color w:val="131413"/>
        </w:rPr>
        <w:t xml:space="preserve"> as previously descri</w:t>
      </w:r>
      <w:r w:rsidR="004B38D9" w:rsidRPr="00E90E1A">
        <w:rPr>
          <w:rFonts w:ascii="Calibri" w:eastAsia="MS Mincho" w:hAnsi="Calibri" w:cs="AdvTT3713a231"/>
          <w:color w:val="131413"/>
        </w:rPr>
        <w:t>bed</w:t>
      </w:r>
      <w:r w:rsidR="00505E85" w:rsidRPr="00E90E1A">
        <w:rPr>
          <w:rFonts w:ascii="Calibri" w:eastAsia="MS Mincho" w:hAnsi="Calibri" w:cs="AdvTT3713a231"/>
          <w:color w:val="131413"/>
        </w:rPr>
        <w:t xml:space="preserve"> [</w:t>
      </w:r>
      <w:r w:rsidR="00F90C69">
        <w:rPr>
          <w:rFonts w:ascii="Calibri" w:eastAsia="MS Mincho" w:hAnsi="Calibri" w:cs="AdvTT3713a231"/>
          <w:color w:val="131413"/>
        </w:rPr>
        <w:t>18]</w:t>
      </w:r>
      <w:r w:rsidRPr="00E90E1A">
        <w:rPr>
          <w:rFonts w:ascii="Calibri" w:eastAsia="MS Mincho" w:hAnsi="Calibri" w:cs="AdvTT3713a231"/>
          <w:color w:val="131413"/>
        </w:rPr>
        <w:t>.</w:t>
      </w:r>
      <w:r w:rsidR="001364B5" w:rsidRPr="00E90E1A">
        <w:t xml:space="preserve"> </w:t>
      </w:r>
      <w:r w:rsidR="00F52E83" w:rsidRPr="00E90E1A">
        <w:t xml:space="preserve"> </w:t>
      </w:r>
      <w:r w:rsidR="006D0484" w:rsidRPr="00E90E1A">
        <w:rPr>
          <w:rFonts w:ascii="Calibri" w:hAnsi="Calibri" w:cs="Calibri"/>
        </w:rPr>
        <w:t xml:space="preserve">The </w:t>
      </w:r>
      <w:r w:rsidR="008C436A">
        <w:rPr>
          <w:rFonts w:ascii="Calibri" w:hAnsi="Calibri" w:cs="Calibri"/>
        </w:rPr>
        <w:t xml:space="preserve">present </w:t>
      </w:r>
      <w:r w:rsidR="006D0484" w:rsidRPr="00E90E1A">
        <w:rPr>
          <w:rFonts w:ascii="Calibri" w:hAnsi="Calibri" w:cs="Calibri"/>
        </w:rPr>
        <w:t xml:space="preserve">analysis </w:t>
      </w:r>
      <w:r w:rsidR="00B011D1" w:rsidRPr="00E90E1A">
        <w:rPr>
          <w:rFonts w:ascii="Calibri" w:hAnsi="Calibri" w:cs="Calibri"/>
        </w:rPr>
        <w:t xml:space="preserve">was confined to </w:t>
      </w:r>
      <w:r w:rsidR="00505E85" w:rsidRPr="00E90E1A">
        <w:rPr>
          <w:rFonts w:ascii="Calibri" w:eastAsia="MS Mincho" w:hAnsi="Calibri" w:cs="Calibri"/>
          <w:color w:val="131413"/>
        </w:rPr>
        <w:t>2783 i</w:t>
      </w:r>
      <w:r w:rsidR="001364B5" w:rsidRPr="00E90E1A">
        <w:rPr>
          <w:rFonts w:ascii="Calibri" w:eastAsia="MS Mincho" w:hAnsi="Calibri" w:cs="Calibri"/>
          <w:color w:val="131413"/>
        </w:rPr>
        <w:t>ndividuals</w:t>
      </w:r>
      <w:r w:rsidR="001364B5" w:rsidRPr="00E90E1A">
        <w:rPr>
          <w:rFonts w:ascii="Calibri" w:eastAsia="MS Mincho" w:hAnsi="Calibri" w:cs="AdvTT3713a231"/>
          <w:color w:val="131413"/>
        </w:rPr>
        <w:t xml:space="preserve"> </w:t>
      </w:r>
      <w:r w:rsidR="00EB3543" w:rsidRPr="00E90E1A">
        <w:rPr>
          <w:rFonts w:ascii="Calibri" w:eastAsia="MS Mincho" w:hAnsi="Calibri" w:cs="AdvTT3713a231"/>
          <w:color w:val="131413"/>
        </w:rPr>
        <w:t xml:space="preserve">who </w:t>
      </w:r>
      <w:r w:rsidR="00354803" w:rsidRPr="00E90E1A">
        <w:rPr>
          <w:rFonts w:ascii="Calibri" w:eastAsia="MS Mincho" w:hAnsi="Calibri" w:cs="AdvTT3713a231"/>
          <w:color w:val="131413"/>
        </w:rPr>
        <w:t xml:space="preserve">had sustained </w:t>
      </w:r>
      <w:r w:rsidR="005D727F">
        <w:rPr>
          <w:rFonts w:ascii="Calibri" w:eastAsia="MS Mincho" w:hAnsi="Calibri" w:cs="AdvTT3713a231"/>
          <w:color w:val="131413"/>
        </w:rPr>
        <w:t>one or more</w:t>
      </w:r>
      <w:r w:rsidR="00354803" w:rsidRPr="00E90E1A">
        <w:rPr>
          <w:rFonts w:ascii="Calibri" w:eastAsia="MS Mincho" w:hAnsi="Calibri" w:cs="AdvTT3713a231"/>
          <w:color w:val="131413"/>
        </w:rPr>
        <w:t xml:space="preserve"> fracture</w:t>
      </w:r>
      <w:r w:rsidR="005D727F">
        <w:rPr>
          <w:rFonts w:ascii="Calibri" w:eastAsia="MS Mincho" w:hAnsi="Calibri" w:cs="AdvTT3713a231"/>
          <w:color w:val="131413"/>
        </w:rPr>
        <w:t>s</w:t>
      </w:r>
      <w:r w:rsidR="00354803" w:rsidRPr="00E90E1A">
        <w:rPr>
          <w:rFonts w:ascii="Calibri" w:eastAsia="MS Mincho" w:hAnsi="Calibri" w:cs="AdvTT3713a231"/>
          <w:color w:val="131413"/>
        </w:rPr>
        <w:t xml:space="preserve"> in </w:t>
      </w:r>
      <w:r w:rsidR="00C96A44" w:rsidRPr="00E90E1A">
        <w:rPr>
          <w:rFonts w:ascii="Calibri" w:eastAsia="MS Mincho" w:hAnsi="Calibri" w:cs="AdvTT3713a231"/>
          <w:color w:val="131413"/>
        </w:rPr>
        <w:t>the previous</w:t>
      </w:r>
      <w:r w:rsidR="00F01A93" w:rsidRPr="00E90E1A">
        <w:rPr>
          <w:rFonts w:ascii="Calibri" w:eastAsia="MS Mincho" w:hAnsi="Calibri" w:cs="AdvTT3713a231"/>
          <w:color w:val="131413"/>
        </w:rPr>
        <w:t xml:space="preserve"> 20 years</w:t>
      </w:r>
      <w:r w:rsidR="004B2ED9" w:rsidRPr="00E90E1A">
        <w:rPr>
          <w:rFonts w:ascii="Calibri" w:eastAsia="MS Mincho" w:hAnsi="Calibri" w:cs="AdvTT3713a231"/>
          <w:color w:val="131413"/>
        </w:rPr>
        <w:t>.  Thus</w:t>
      </w:r>
      <w:r w:rsidR="00C96A44" w:rsidRPr="00E90E1A">
        <w:rPr>
          <w:rFonts w:ascii="Calibri" w:eastAsia="MS Mincho" w:hAnsi="Calibri" w:cs="AdvTT3713a231"/>
          <w:color w:val="131413"/>
        </w:rPr>
        <w:t>,</w:t>
      </w:r>
      <w:r w:rsidR="004B2ED9" w:rsidRPr="00E90E1A">
        <w:rPr>
          <w:rFonts w:ascii="Calibri" w:eastAsia="MS Mincho" w:hAnsi="Calibri" w:cs="AdvTT3713a231"/>
          <w:color w:val="131413"/>
        </w:rPr>
        <w:t xml:space="preserve"> the baseline for analysis was 20 years after </w:t>
      </w:r>
      <w:r w:rsidR="00C96A44" w:rsidRPr="00E90E1A">
        <w:rPr>
          <w:rFonts w:ascii="Calibri" w:eastAsia="MS Mincho" w:hAnsi="Calibri" w:cs="AdvTT3713a231"/>
          <w:color w:val="131413"/>
        </w:rPr>
        <w:t>enrolment to the study</w:t>
      </w:r>
      <w:r w:rsidR="006F6BC9" w:rsidRPr="00E90E1A">
        <w:rPr>
          <w:rFonts w:ascii="Calibri" w:eastAsia="MS Mincho" w:hAnsi="Calibri" w:cs="AdvTT3713a231"/>
          <w:color w:val="131413"/>
        </w:rPr>
        <w:t xml:space="preserve"> with a </w:t>
      </w:r>
      <w:r w:rsidR="0037765F" w:rsidRPr="00E90E1A">
        <w:rPr>
          <w:rFonts w:ascii="Calibri" w:eastAsia="MS Mincho" w:hAnsi="Calibri" w:cs="AdvTT3713a231"/>
          <w:color w:val="131413"/>
        </w:rPr>
        <w:t xml:space="preserve">mean follow up time of </w:t>
      </w:r>
      <w:r w:rsidR="000958DF" w:rsidRPr="00E90E1A">
        <w:rPr>
          <w:rFonts w:ascii="Calibri" w:eastAsia="MS Mincho" w:hAnsi="Calibri" w:cs="AdvTT3713a231"/>
          <w:color w:val="131413"/>
        </w:rPr>
        <w:t>11.2 years</w:t>
      </w:r>
      <w:r w:rsidR="0037765F" w:rsidRPr="00E90E1A">
        <w:rPr>
          <w:rFonts w:ascii="Calibri" w:eastAsia="MS Mincho" w:hAnsi="Calibri" w:cs="AdvTT3713a231"/>
          <w:color w:val="131413"/>
        </w:rPr>
        <w:t xml:space="preserve"> </w:t>
      </w:r>
      <w:r w:rsidR="001364B5" w:rsidRPr="00E90E1A">
        <w:rPr>
          <w:rFonts w:ascii="Calibri" w:eastAsia="MS Mincho" w:hAnsi="Calibri" w:cs="AdvTT3713a231"/>
          <w:color w:val="131413"/>
        </w:rPr>
        <w:t xml:space="preserve">until death, </w:t>
      </w:r>
      <w:r w:rsidR="000619AE" w:rsidRPr="00E90E1A">
        <w:rPr>
          <w:rFonts w:ascii="Calibri" w:eastAsia="MS Mincho" w:hAnsi="Calibri" w:cs="AdvTT3713a231"/>
          <w:color w:val="131413"/>
        </w:rPr>
        <w:t>emigration,</w:t>
      </w:r>
      <w:r w:rsidR="001364B5" w:rsidRPr="00E90E1A">
        <w:rPr>
          <w:rFonts w:ascii="Calibri" w:eastAsia="MS Mincho" w:hAnsi="Calibri" w:cs="AdvTT3713a231"/>
          <w:color w:val="131413"/>
        </w:rPr>
        <w:t xml:space="preserve"> or December 31</w:t>
      </w:r>
      <w:r w:rsidR="001364B5" w:rsidRPr="00B62BB7">
        <w:rPr>
          <w:rFonts w:ascii="Calibri" w:eastAsia="MS Mincho" w:hAnsi="Calibri" w:cs="AdvTT3713a231"/>
          <w:color w:val="131413"/>
          <w:vertAlign w:val="superscript"/>
        </w:rPr>
        <w:t>st</w:t>
      </w:r>
      <w:r w:rsidR="007F3149" w:rsidRPr="00E90E1A">
        <w:rPr>
          <w:rFonts w:ascii="Calibri" w:eastAsia="MS Mincho" w:hAnsi="Calibri" w:cs="AdvTT3713a231"/>
          <w:color w:val="131413"/>
        </w:rPr>
        <w:t>, 2012</w:t>
      </w:r>
      <w:r w:rsidR="001364B5" w:rsidRPr="00E90E1A">
        <w:rPr>
          <w:rFonts w:ascii="Calibri" w:eastAsia="MS Mincho" w:hAnsi="Calibri" w:cs="AdvTT3713a231"/>
          <w:color w:val="131413"/>
        </w:rPr>
        <w:t xml:space="preserve">, </w:t>
      </w:r>
      <w:r w:rsidR="00D225CB" w:rsidRPr="00E90E1A">
        <w:rPr>
          <w:rFonts w:ascii="Calibri" w:eastAsia="MS Mincho" w:hAnsi="Calibri" w:cs="AdvTT3713a231"/>
          <w:color w:val="131413"/>
        </w:rPr>
        <w:t>yiel</w:t>
      </w:r>
      <w:r w:rsidR="00543BF8" w:rsidRPr="00E90E1A">
        <w:rPr>
          <w:rFonts w:ascii="Calibri" w:eastAsia="MS Mincho" w:hAnsi="Calibri" w:cs="AdvTT3713a231"/>
          <w:color w:val="131413"/>
        </w:rPr>
        <w:t xml:space="preserve">ding </w:t>
      </w:r>
      <w:r w:rsidR="001364B5" w:rsidRPr="00E90E1A">
        <w:rPr>
          <w:rFonts w:ascii="Calibri" w:eastAsia="MS Mincho" w:hAnsi="Calibri" w:cs="AdvTT3713a231"/>
          <w:color w:val="131413"/>
        </w:rPr>
        <w:t xml:space="preserve">a </w:t>
      </w:r>
      <w:r w:rsidR="001364B5" w:rsidRPr="00F128DE">
        <w:rPr>
          <w:rFonts w:ascii="Calibri" w:eastAsia="MS Mincho" w:hAnsi="Calibri" w:cs="AdvTT3713a231"/>
          <w:color w:val="131413"/>
        </w:rPr>
        <w:t xml:space="preserve">total of </w:t>
      </w:r>
      <w:r w:rsidR="000958DF" w:rsidRPr="00F128DE">
        <w:rPr>
          <w:rFonts w:ascii="Calibri" w:eastAsia="MS Mincho" w:hAnsi="Calibri" w:cs="AdvTT3713a231"/>
          <w:color w:val="131413"/>
        </w:rPr>
        <w:t>31,</w:t>
      </w:r>
      <w:r w:rsidR="004B54C7" w:rsidRPr="00F128DE">
        <w:rPr>
          <w:rFonts w:ascii="Calibri" w:eastAsia="MS Mincho" w:hAnsi="Calibri" w:cs="AdvTT3713a231"/>
          <w:color w:val="131413"/>
        </w:rPr>
        <w:t>170</w:t>
      </w:r>
      <w:r w:rsidR="001364B5" w:rsidRPr="00F128DE">
        <w:rPr>
          <w:rFonts w:ascii="Calibri" w:eastAsia="MS Mincho" w:hAnsi="Calibri" w:cs="AdvTT3713a231"/>
          <w:color w:val="131413"/>
        </w:rPr>
        <w:t xml:space="preserve"> person</w:t>
      </w:r>
      <w:r w:rsidR="007F3149" w:rsidRPr="00E90E1A">
        <w:rPr>
          <w:rFonts w:ascii="Calibri" w:eastAsia="MS Mincho" w:hAnsi="Calibri" w:cs="AdvTT3713a231"/>
          <w:color w:val="131413"/>
        </w:rPr>
        <w:t>-</w:t>
      </w:r>
      <w:r w:rsidR="001364B5" w:rsidRPr="00E90E1A">
        <w:rPr>
          <w:rFonts w:ascii="Calibri" w:eastAsia="MS Mincho" w:hAnsi="Calibri" w:cs="AdvTT3713a231"/>
          <w:color w:val="131413"/>
        </w:rPr>
        <w:t>years</w:t>
      </w:r>
      <w:r w:rsidR="00543BF8" w:rsidRPr="00E90E1A">
        <w:rPr>
          <w:rFonts w:ascii="Calibri" w:eastAsia="MS Mincho" w:hAnsi="Calibri" w:cs="AdvTT3713a231"/>
          <w:color w:val="131413"/>
        </w:rPr>
        <w:t xml:space="preserve"> of observation</w:t>
      </w:r>
      <w:r w:rsidR="001364B5" w:rsidRPr="00E90E1A">
        <w:rPr>
          <w:rFonts w:ascii="Calibri" w:eastAsia="MS Mincho" w:hAnsi="Calibri" w:cs="AdvTT3713a231"/>
          <w:color w:val="131413"/>
        </w:rPr>
        <w:t>.</w:t>
      </w:r>
      <w:r w:rsidR="00CF6C1B" w:rsidRPr="00E90E1A">
        <w:t xml:space="preserve"> </w:t>
      </w:r>
    </w:p>
    <w:p w14:paraId="159CB108" w14:textId="77777777" w:rsidR="00E637C2" w:rsidRPr="00380207" w:rsidRDefault="00E637C2" w:rsidP="00A8549A">
      <w:pPr>
        <w:autoSpaceDE w:val="0"/>
        <w:autoSpaceDN w:val="0"/>
        <w:adjustRightInd w:val="0"/>
        <w:spacing w:line="276" w:lineRule="auto"/>
        <w:ind w:left="567"/>
        <w:rPr>
          <w:rFonts w:ascii="Calibri" w:eastAsia="MS Mincho" w:hAnsi="Calibri" w:cs="AdvTT3713a231"/>
          <w:color w:val="131413"/>
        </w:rPr>
      </w:pPr>
    </w:p>
    <w:p w14:paraId="37404691" w14:textId="77777777" w:rsidR="00E637C2" w:rsidRPr="00380207" w:rsidRDefault="00E637C2" w:rsidP="00A8549A">
      <w:pPr>
        <w:autoSpaceDE w:val="0"/>
        <w:autoSpaceDN w:val="0"/>
        <w:adjustRightInd w:val="0"/>
        <w:spacing w:line="276" w:lineRule="auto"/>
        <w:ind w:left="567"/>
        <w:rPr>
          <w:rFonts w:ascii="Calibri" w:eastAsia="MS Mincho" w:hAnsi="Calibri" w:cs="AdvTT3713a231"/>
          <w:i/>
          <w:color w:val="131413"/>
        </w:rPr>
      </w:pPr>
      <w:r w:rsidRPr="00380207">
        <w:rPr>
          <w:rFonts w:ascii="Calibri" w:eastAsia="MS Mincho" w:hAnsi="Calibri" w:cs="AdvTT3713a231"/>
          <w:i/>
          <w:color w:val="131413"/>
        </w:rPr>
        <w:t>Assessment of fractures</w:t>
      </w:r>
    </w:p>
    <w:p w14:paraId="32803E9F" w14:textId="147CF792" w:rsidR="00683277" w:rsidRDefault="00D629EC" w:rsidP="001D6F70">
      <w:pPr>
        <w:autoSpaceDE w:val="0"/>
        <w:autoSpaceDN w:val="0"/>
        <w:adjustRightInd w:val="0"/>
        <w:spacing w:line="276" w:lineRule="auto"/>
        <w:ind w:left="567"/>
        <w:rPr>
          <w:rFonts w:ascii="Calibri" w:eastAsia="MS Mincho" w:hAnsi="Calibri" w:cs="Calibri"/>
          <w:lang w:eastAsia="ja-JP"/>
        </w:rPr>
      </w:pPr>
      <w:bookmarkStart w:id="5" w:name="_Hlk526289271"/>
      <w:r w:rsidRPr="00380207">
        <w:rPr>
          <w:rFonts w:ascii="Calibri" w:eastAsia="MS Mincho" w:hAnsi="Calibri" w:cs="AdvTT3713a231"/>
          <w:color w:val="131413"/>
        </w:rPr>
        <w:t xml:space="preserve">The </w:t>
      </w:r>
      <w:bookmarkStart w:id="6" w:name="_Hlk526260135"/>
      <w:r w:rsidRPr="00380207">
        <w:rPr>
          <w:rFonts w:ascii="Calibri" w:eastAsia="MS Mincho" w:hAnsi="Calibri" w:cs="AdvTT3713a231"/>
          <w:color w:val="131413"/>
        </w:rPr>
        <w:t xml:space="preserve">Reykjavik Study fracture </w:t>
      </w:r>
      <w:bookmarkEnd w:id="6"/>
      <w:r>
        <w:rPr>
          <w:rFonts w:ascii="Calibri" w:eastAsia="MS Mincho" w:hAnsi="Calibri" w:cs="AdvTT3713a231"/>
          <w:color w:val="131413"/>
        </w:rPr>
        <w:t>register</w:t>
      </w:r>
      <w:r w:rsidRPr="00380207">
        <w:rPr>
          <w:rFonts w:ascii="Calibri" w:eastAsia="MS Mincho" w:hAnsi="Calibri" w:cs="AdvTT3713a231"/>
          <w:color w:val="131413"/>
        </w:rPr>
        <w:t xml:space="preserve"> document</w:t>
      </w:r>
      <w:r w:rsidR="00615819">
        <w:rPr>
          <w:rFonts w:ascii="Calibri" w:eastAsia="MS Mincho" w:hAnsi="Calibri" w:cs="AdvTT3713a231"/>
          <w:color w:val="131413"/>
        </w:rPr>
        <w:t>ed</w:t>
      </w:r>
      <w:r w:rsidRPr="00380207">
        <w:rPr>
          <w:rFonts w:ascii="Calibri" w:eastAsia="MS Mincho" w:hAnsi="Calibri" w:cs="AdvTT3713a231"/>
          <w:color w:val="131413"/>
        </w:rPr>
        <w:t xml:space="preserve"> all </w:t>
      </w:r>
      <w:r w:rsidR="001D7B98">
        <w:rPr>
          <w:rFonts w:ascii="Calibri" w:eastAsia="MS Mincho" w:hAnsi="Calibri" w:cs="AdvTT3713a231"/>
          <w:color w:val="131413"/>
        </w:rPr>
        <w:t xml:space="preserve">incident </w:t>
      </w:r>
      <w:r w:rsidRPr="00380207">
        <w:rPr>
          <w:rFonts w:ascii="Calibri" w:eastAsia="MS Mincho" w:hAnsi="Calibri" w:cs="AdvTT3713a231"/>
          <w:color w:val="131413"/>
        </w:rPr>
        <w:t xml:space="preserve">fractures </w:t>
      </w:r>
      <w:r>
        <w:rPr>
          <w:rFonts w:ascii="Calibri" w:eastAsia="MS Mincho" w:hAnsi="Calibri" w:cs="AdvTT3713a231"/>
          <w:color w:val="131413"/>
        </w:rPr>
        <w:t xml:space="preserve">and their date of </w:t>
      </w:r>
      <w:r w:rsidR="00502195">
        <w:rPr>
          <w:rFonts w:ascii="Calibri" w:eastAsia="MS Mincho" w:hAnsi="Calibri" w:cs="AdvTT3713a231"/>
          <w:color w:val="131413"/>
        </w:rPr>
        <w:t>occurrence</w:t>
      </w:r>
      <w:r>
        <w:rPr>
          <w:rFonts w:ascii="Calibri" w:eastAsia="MS Mincho" w:hAnsi="Calibri" w:cs="AdvTT3713a231"/>
          <w:color w:val="131413"/>
        </w:rPr>
        <w:t xml:space="preserve"> in all</w:t>
      </w:r>
      <w:r w:rsidRPr="00380207">
        <w:rPr>
          <w:rFonts w:ascii="Calibri" w:eastAsia="MS Mincho" w:hAnsi="Calibri" w:cs="AdvTT3713a231"/>
          <w:color w:val="131413"/>
        </w:rPr>
        <w:t xml:space="preserve"> participants from their entry into the study until December 31, 2012.  </w:t>
      </w:r>
      <w:r w:rsidR="00E637C2" w:rsidRPr="00380207">
        <w:rPr>
          <w:rFonts w:ascii="Calibri" w:eastAsia="MS Mincho" w:hAnsi="Calibri" w:cs="AdvTT3713a231"/>
          <w:color w:val="131413"/>
        </w:rPr>
        <w:t xml:space="preserve">All medical records for the participants, including referral letters if needed, were manually examined and verified. </w:t>
      </w:r>
      <w:bookmarkEnd w:id="5"/>
      <w:r w:rsidR="00F52E83">
        <w:rPr>
          <w:rFonts w:ascii="Calibri" w:eastAsia="MS Mincho" w:hAnsi="Calibri" w:cs="AdvTT3713a231"/>
          <w:color w:val="131413"/>
        </w:rPr>
        <w:t xml:space="preserve"> </w:t>
      </w:r>
      <w:r w:rsidR="00E637C2" w:rsidRPr="00380207">
        <w:rPr>
          <w:rFonts w:ascii="Calibri" w:eastAsia="MS Mincho" w:hAnsi="Calibri" w:cs="AdvTT3713a231"/>
          <w:color w:val="131413"/>
        </w:rPr>
        <w:t xml:space="preserve">All fractures were registered according to the International Classification of Diseases (ICD version 10 or ICD version 9). </w:t>
      </w:r>
      <w:r w:rsidR="00A830F0">
        <w:rPr>
          <w:rFonts w:ascii="Calibri" w:eastAsia="MS Mincho" w:hAnsi="Calibri" w:cs="AdvTT3713a231"/>
          <w:color w:val="131413"/>
        </w:rPr>
        <w:t xml:space="preserve"> </w:t>
      </w:r>
      <w:r w:rsidR="00A830F0" w:rsidRPr="00380207">
        <w:rPr>
          <w:rFonts w:ascii="Calibri" w:eastAsia="MS Mincho" w:hAnsi="Calibri" w:cs="AdvTT3713a231"/>
          <w:color w:val="131413"/>
        </w:rPr>
        <w:t>Avulsions less than 5×6 mm, fractures secondary to malignancy and stress fractures were excluded</w:t>
      </w:r>
      <w:r w:rsidR="00A830F0">
        <w:rPr>
          <w:rFonts w:ascii="Calibri" w:eastAsia="MS Mincho" w:hAnsi="Calibri" w:cs="AdvTT3713a231"/>
          <w:color w:val="131413"/>
        </w:rPr>
        <w:t xml:space="preserve">, as were </w:t>
      </w:r>
      <w:bookmarkStart w:id="7" w:name="_Hlk103183473"/>
      <w:r w:rsidR="00A830F0">
        <w:rPr>
          <w:rFonts w:ascii="Calibri" w:eastAsia="MS Mincho" w:hAnsi="Calibri" w:cs="Arial"/>
          <w:lang w:eastAsia="ja-JP"/>
        </w:rPr>
        <w:t>f</w:t>
      </w:r>
      <w:r w:rsidR="00A830F0" w:rsidRPr="00380207">
        <w:rPr>
          <w:rFonts w:ascii="Calibri" w:eastAsia="MS Mincho" w:hAnsi="Calibri" w:cs="Arial"/>
          <w:lang w:eastAsia="ja-JP"/>
        </w:rPr>
        <w:t xml:space="preserve">ractures at </w:t>
      </w:r>
      <w:r w:rsidR="00A830F0">
        <w:rPr>
          <w:rFonts w:ascii="Calibri" w:eastAsia="MS Mincho" w:hAnsi="Calibri" w:cs="Arial"/>
          <w:lang w:eastAsia="ja-JP"/>
        </w:rPr>
        <w:t xml:space="preserve">skeletal </w:t>
      </w:r>
      <w:r w:rsidR="00A830F0" w:rsidRPr="00380207">
        <w:rPr>
          <w:rFonts w:ascii="Calibri" w:eastAsia="MS Mincho" w:hAnsi="Calibri" w:cs="Arial"/>
          <w:lang w:eastAsia="ja-JP"/>
        </w:rPr>
        <w:t xml:space="preserve">sites not considered to be associated with osteoporosis (e.g. </w:t>
      </w:r>
      <w:r w:rsidR="00A830F0">
        <w:rPr>
          <w:rFonts w:ascii="Calibri" w:eastAsia="MS Mincho" w:hAnsi="Calibri" w:cs="Arial"/>
          <w:lang w:eastAsia="ja-JP"/>
        </w:rPr>
        <w:t>f</w:t>
      </w:r>
      <w:r w:rsidR="00A830F0" w:rsidRPr="00380207">
        <w:rPr>
          <w:rFonts w:ascii="Calibri" w:eastAsia="MS Mincho" w:hAnsi="Calibri" w:cs="Arial"/>
          <w:lang w:eastAsia="ja-JP"/>
        </w:rPr>
        <w:t xml:space="preserve">ace, skull, hands, </w:t>
      </w:r>
      <w:r w:rsidR="00A830F0" w:rsidRPr="0036413A">
        <w:rPr>
          <w:rFonts w:ascii="Calibri" w:eastAsia="MS Mincho" w:hAnsi="Calibri" w:cs="Arial"/>
          <w:lang w:eastAsia="ja-JP"/>
        </w:rPr>
        <w:t>feet</w:t>
      </w:r>
      <w:r w:rsidR="00A830F0" w:rsidRPr="000619AE">
        <w:rPr>
          <w:rFonts w:ascii="Calibri" w:eastAsia="MS Mincho" w:hAnsi="Calibri" w:cs="Arial"/>
          <w:lang w:eastAsia="ja-JP"/>
        </w:rPr>
        <w:t>) [</w:t>
      </w:r>
      <w:r w:rsidR="00355A26" w:rsidRPr="000619AE">
        <w:rPr>
          <w:rFonts w:ascii="Calibri" w:eastAsia="MS Mincho" w:hAnsi="Calibri" w:cs="Arial"/>
          <w:lang w:eastAsia="ja-JP"/>
        </w:rPr>
        <w:t>28]</w:t>
      </w:r>
      <w:r w:rsidR="00A830F0" w:rsidRPr="000619AE">
        <w:rPr>
          <w:rFonts w:ascii="Calibri" w:eastAsia="MS Mincho" w:hAnsi="Calibri" w:cs="Arial"/>
          <w:lang w:eastAsia="ja-JP"/>
        </w:rPr>
        <w:t xml:space="preserve">. </w:t>
      </w:r>
      <w:bookmarkEnd w:id="7"/>
      <w:r w:rsidR="00A830F0" w:rsidRPr="000619AE">
        <w:rPr>
          <w:rFonts w:ascii="Calibri" w:eastAsia="MS Mincho" w:hAnsi="Calibri" w:cs="Arial"/>
          <w:lang w:eastAsia="ja-JP"/>
        </w:rPr>
        <w:t xml:space="preserve"> </w:t>
      </w:r>
      <w:r w:rsidR="00E637C2" w:rsidRPr="000619AE">
        <w:rPr>
          <w:rFonts w:ascii="Calibri" w:eastAsia="MS Mincho" w:hAnsi="Calibri" w:cs="AdvTT3713a231"/>
          <w:color w:val="131413"/>
        </w:rPr>
        <w:t>The</w:t>
      </w:r>
      <w:r w:rsidR="00E637C2" w:rsidRPr="00380207">
        <w:rPr>
          <w:rFonts w:ascii="Calibri" w:eastAsia="MS Mincho" w:hAnsi="Calibri" w:cs="AdvTT3713a231"/>
          <w:color w:val="131413"/>
        </w:rPr>
        <w:t xml:space="preserve"> </w:t>
      </w:r>
      <w:r>
        <w:rPr>
          <w:rFonts w:ascii="Calibri" w:eastAsia="MS Mincho" w:hAnsi="Calibri" w:cs="AdvTT3713a231"/>
          <w:color w:val="131413"/>
        </w:rPr>
        <w:t>register</w:t>
      </w:r>
      <w:r w:rsidR="00E637C2" w:rsidRPr="00380207">
        <w:rPr>
          <w:rFonts w:ascii="Calibri" w:eastAsia="MS Mincho" w:hAnsi="Calibri" w:cs="AdvTT3713a231"/>
          <w:color w:val="131413"/>
        </w:rPr>
        <w:t xml:space="preserve"> has been shown to have a capture rate of about 97% for hip, forearm, and clinical vertebral </w:t>
      </w:r>
      <w:r w:rsidR="00E637C2" w:rsidRPr="0036413A">
        <w:rPr>
          <w:rFonts w:ascii="Calibri" w:eastAsia="MS Mincho" w:hAnsi="Calibri" w:cs="AdvTT3713a231"/>
          <w:color w:val="131413"/>
        </w:rPr>
        <w:t>fractures</w:t>
      </w:r>
      <w:r w:rsidR="009E6B70" w:rsidRPr="0036413A">
        <w:rPr>
          <w:rFonts w:ascii="Calibri" w:eastAsia="MS Mincho" w:hAnsi="Calibri" w:cs="AdvTT3713a231"/>
          <w:color w:val="131413"/>
        </w:rPr>
        <w:t xml:space="preserve"> [</w:t>
      </w:r>
      <w:r w:rsidR="00CB7790">
        <w:rPr>
          <w:rFonts w:ascii="Calibri" w:eastAsia="MS Mincho" w:hAnsi="Calibri" w:cs="AdvTT3713a231"/>
          <w:color w:val="131413"/>
        </w:rPr>
        <w:t>29]</w:t>
      </w:r>
      <w:r w:rsidR="00E637C2" w:rsidRPr="0036413A">
        <w:rPr>
          <w:rFonts w:ascii="Calibri" w:eastAsia="MS Mincho" w:hAnsi="Calibri" w:cs="AdvTT3713a231"/>
          <w:color w:val="131413"/>
        </w:rPr>
        <w:t xml:space="preserve">. </w:t>
      </w:r>
      <w:r w:rsidR="005F3E8B">
        <w:rPr>
          <w:rFonts w:ascii="Calibri" w:eastAsia="MS Mincho" w:hAnsi="Calibri" w:cs="AdvTT3713a231"/>
          <w:color w:val="131413"/>
        </w:rPr>
        <w:t xml:space="preserve"> </w:t>
      </w:r>
      <w:r w:rsidRPr="0036413A">
        <w:rPr>
          <w:rFonts w:ascii="Calibri" w:eastAsia="MS Mincho" w:hAnsi="Calibri" w:cs="Arial"/>
          <w:lang w:eastAsia="ja-JP"/>
        </w:rPr>
        <w:t>The circumstances</w:t>
      </w:r>
      <w:r w:rsidRPr="00380207">
        <w:rPr>
          <w:rFonts w:ascii="Calibri" w:eastAsia="MS Mincho" w:hAnsi="Calibri" w:cs="Arial"/>
          <w:lang w:eastAsia="ja-JP"/>
        </w:rPr>
        <w:t xml:space="preserve"> of the trauma leading to the fracture were assessed</w:t>
      </w:r>
      <w:r>
        <w:rPr>
          <w:rFonts w:ascii="Calibri" w:eastAsia="MS Mincho" w:hAnsi="Calibri" w:cs="Arial"/>
          <w:lang w:eastAsia="ja-JP"/>
        </w:rPr>
        <w:t xml:space="preserve">, but </w:t>
      </w:r>
      <w:r w:rsidRPr="00380207">
        <w:rPr>
          <w:rFonts w:ascii="Calibri" w:eastAsia="MS Mincho" w:hAnsi="Calibri" w:cs="Arial"/>
          <w:lang w:eastAsia="ja-JP"/>
        </w:rPr>
        <w:t>all fractures were counted regardless of trauma</w:t>
      </w:r>
      <w:r w:rsidR="00E01482">
        <w:rPr>
          <w:rFonts w:ascii="Calibri" w:eastAsia="MS Mincho" w:hAnsi="Calibri" w:cs="Arial"/>
          <w:lang w:eastAsia="ja-JP"/>
        </w:rPr>
        <w:t xml:space="preserve"> since</w:t>
      </w:r>
      <w:r w:rsidR="001D6F70" w:rsidRPr="001D6F70">
        <w:rPr>
          <w:rFonts w:ascii="Calibri" w:eastAsia="MS Mincho" w:hAnsi="Calibri" w:cs="Arial"/>
          <w:lang w:eastAsia="ja-JP"/>
        </w:rPr>
        <w:t xml:space="preserve"> high-trauma fractures are associated with low bone mineral density</w:t>
      </w:r>
      <w:r w:rsidR="00E01482">
        <w:rPr>
          <w:rFonts w:ascii="Calibri" w:eastAsia="MS Mincho" w:hAnsi="Calibri" w:cs="Arial"/>
          <w:lang w:eastAsia="ja-JP"/>
        </w:rPr>
        <w:t xml:space="preserve"> </w:t>
      </w:r>
      <w:r w:rsidR="001D6F70" w:rsidRPr="001D6F70">
        <w:rPr>
          <w:rFonts w:ascii="Calibri" w:eastAsia="MS Mincho" w:hAnsi="Calibri" w:cs="Arial"/>
          <w:lang w:eastAsia="ja-JP"/>
        </w:rPr>
        <w:t>and future fracture risk to the same extent as fractures without high-</w:t>
      </w:r>
      <w:r w:rsidR="001D6F70" w:rsidRPr="000619AE">
        <w:rPr>
          <w:rFonts w:ascii="Calibri" w:eastAsia="MS Mincho" w:hAnsi="Calibri" w:cs="Arial"/>
          <w:lang w:eastAsia="ja-JP"/>
        </w:rPr>
        <w:t>trauma</w:t>
      </w:r>
      <w:r w:rsidR="00E01482" w:rsidRPr="000619AE">
        <w:rPr>
          <w:rFonts w:ascii="Calibri" w:eastAsia="MS Mincho" w:hAnsi="Calibri" w:cs="Arial"/>
          <w:lang w:eastAsia="ja-JP"/>
        </w:rPr>
        <w:t xml:space="preserve"> </w:t>
      </w:r>
      <w:r w:rsidR="008E2A7B" w:rsidRPr="000619AE">
        <w:rPr>
          <w:rFonts w:ascii="Calibri" w:eastAsia="MS Mincho" w:hAnsi="Calibri" w:cs="Arial"/>
          <w:lang w:eastAsia="ja-JP"/>
        </w:rPr>
        <w:t>[</w:t>
      </w:r>
      <w:r w:rsidR="00CB7790" w:rsidRPr="000619AE">
        <w:rPr>
          <w:rFonts w:ascii="Calibri" w:eastAsia="MS Mincho" w:hAnsi="Calibri" w:cs="Arial"/>
          <w:lang w:eastAsia="ja-JP"/>
        </w:rPr>
        <w:t>30</w:t>
      </w:r>
      <w:r w:rsidR="00FD07D5" w:rsidRPr="000619AE">
        <w:rPr>
          <w:rFonts w:ascii="Calibri" w:eastAsia="MS Mincho" w:hAnsi="Calibri" w:cs="Arial"/>
          <w:lang w:eastAsia="ja-JP"/>
        </w:rPr>
        <w:t>]</w:t>
      </w:r>
      <w:r w:rsidR="001D6F70" w:rsidRPr="000619AE">
        <w:rPr>
          <w:rFonts w:ascii="Calibri" w:eastAsia="MS Mincho" w:hAnsi="Calibri" w:cs="Arial"/>
          <w:lang w:eastAsia="ja-JP"/>
        </w:rPr>
        <w:t>.</w:t>
      </w:r>
      <w:r w:rsidR="00A830F0">
        <w:rPr>
          <w:rFonts w:ascii="Calibri" w:eastAsia="MS Mincho" w:hAnsi="Calibri" w:cs="Arial"/>
          <w:lang w:eastAsia="ja-JP"/>
        </w:rPr>
        <w:t xml:space="preserve"> </w:t>
      </w:r>
      <w:r w:rsidR="00E01482">
        <w:rPr>
          <w:rFonts w:ascii="Calibri" w:eastAsia="MS Mincho" w:hAnsi="Calibri" w:cs="Arial"/>
          <w:lang w:eastAsia="ja-JP"/>
        </w:rPr>
        <w:t xml:space="preserve"> </w:t>
      </w:r>
      <w:r w:rsidR="00E637C2" w:rsidRPr="0036413A">
        <w:rPr>
          <w:rFonts w:ascii="Calibri" w:eastAsia="MS Mincho" w:hAnsi="Calibri" w:cs="Arial"/>
          <w:lang w:eastAsia="ja-JP"/>
        </w:rPr>
        <w:t>In</w:t>
      </w:r>
      <w:r w:rsidR="00E637C2" w:rsidRPr="00380207">
        <w:rPr>
          <w:rFonts w:ascii="Calibri" w:eastAsia="MS Mincho" w:hAnsi="Calibri" w:cs="Arial"/>
          <w:lang w:eastAsia="ja-JP"/>
        </w:rPr>
        <w:t xml:space="preserve"> order to minimise double counting,</w:t>
      </w:r>
      <w:r w:rsidR="00E637C2" w:rsidRPr="00380207">
        <w:rPr>
          <w:rFonts w:ascii="Calibri" w:eastAsia="MS Mincho" w:hAnsi="Calibri" w:cs="AdvTT3713a231"/>
          <w:color w:val="131413"/>
        </w:rPr>
        <w:t xml:space="preserve"> subsequent consecutive fractures that occurred </w:t>
      </w:r>
      <w:r w:rsidR="00E637C2" w:rsidRPr="00A90777">
        <w:rPr>
          <w:rFonts w:ascii="Calibri" w:eastAsia="MS Mincho" w:hAnsi="Calibri" w:cs="Calibri"/>
          <w:color w:val="131413"/>
        </w:rPr>
        <w:t xml:space="preserve">at the same site </w:t>
      </w:r>
      <w:r w:rsidRPr="00A90777">
        <w:rPr>
          <w:rFonts w:ascii="Calibri" w:eastAsia="MS Mincho" w:hAnsi="Calibri" w:cs="Calibri"/>
          <w:color w:val="131413"/>
        </w:rPr>
        <w:t>were</w:t>
      </w:r>
      <w:r w:rsidR="00E637C2" w:rsidRPr="00A90777">
        <w:rPr>
          <w:rFonts w:ascii="Calibri" w:eastAsia="MS Mincho" w:hAnsi="Calibri" w:cs="Calibri"/>
          <w:color w:val="131413"/>
        </w:rPr>
        <w:t xml:space="preserve"> excluded where the interval between fractures </w:t>
      </w:r>
      <w:r w:rsidR="00871243" w:rsidRPr="00A90777">
        <w:rPr>
          <w:rFonts w:ascii="Calibri" w:eastAsia="MS Mincho" w:hAnsi="Calibri" w:cs="Calibri"/>
          <w:color w:val="131413"/>
        </w:rPr>
        <w:t>wa</w:t>
      </w:r>
      <w:r w:rsidR="00E637C2" w:rsidRPr="00A90777">
        <w:rPr>
          <w:rFonts w:ascii="Calibri" w:eastAsia="MS Mincho" w:hAnsi="Calibri" w:cs="Calibri"/>
          <w:color w:val="131413"/>
        </w:rPr>
        <w:t>s less than</w:t>
      </w:r>
      <w:r w:rsidR="00E637C2" w:rsidRPr="00A90777">
        <w:rPr>
          <w:rFonts w:ascii="Calibri" w:eastAsia="MS Mincho" w:hAnsi="Calibri" w:cs="Calibri"/>
          <w:lang w:eastAsia="ja-JP"/>
        </w:rPr>
        <w:t xml:space="preserve"> 30 days.</w:t>
      </w:r>
      <w:r w:rsidR="00CD3122">
        <w:rPr>
          <w:rFonts w:ascii="Calibri" w:eastAsia="MS Mincho" w:hAnsi="Calibri" w:cs="Calibri"/>
          <w:lang w:eastAsia="ja-JP"/>
        </w:rPr>
        <w:t xml:space="preserve">  In a sensitivity analysis</w:t>
      </w:r>
      <w:r w:rsidR="0013644D" w:rsidRPr="0013644D">
        <w:t xml:space="preserve"> </w:t>
      </w:r>
      <w:r w:rsidR="0013644D" w:rsidRPr="0013644D">
        <w:rPr>
          <w:rFonts w:ascii="Calibri" w:eastAsia="MS Mincho" w:hAnsi="Calibri" w:cs="Calibri"/>
          <w:lang w:eastAsia="ja-JP"/>
        </w:rPr>
        <w:t xml:space="preserve">to further </w:t>
      </w:r>
      <w:r w:rsidR="000D0854" w:rsidRPr="000D0854">
        <w:rPr>
          <w:rFonts w:ascii="Calibri" w:eastAsia="MS Mincho" w:hAnsi="Calibri" w:cs="Calibri"/>
          <w:lang w:eastAsia="ja-JP"/>
        </w:rPr>
        <w:t>explore the potential impact of</w:t>
      </w:r>
      <w:r w:rsidR="0013644D" w:rsidRPr="0013644D">
        <w:rPr>
          <w:rFonts w:ascii="Calibri" w:eastAsia="MS Mincho" w:hAnsi="Calibri" w:cs="Calibri"/>
          <w:lang w:eastAsia="ja-JP"/>
        </w:rPr>
        <w:t xml:space="preserve"> double counting</w:t>
      </w:r>
      <w:r w:rsidR="007010CB">
        <w:rPr>
          <w:rFonts w:ascii="Calibri" w:eastAsia="MS Mincho" w:hAnsi="Calibri" w:cs="Calibri"/>
          <w:lang w:eastAsia="ja-JP"/>
        </w:rPr>
        <w:t xml:space="preserve">, </w:t>
      </w:r>
      <w:r w:rsidR="00E7160D">
        <w:rPr>
          <w:rFonts w:ascii="Calibri" w:eastAsia="MS Mincho" w:hAnsi="Calibri" w:cs="Calibri"/>
          <w:lang w:eastAsia="ja-JP"/>
        </w:rPr>
        <w:t>h</w:t>
      </w:r>
      <w:r w:rsidR="009D3F72">
        <w:rPr>
          <w:rFonts w:ascii="Calibri" w:eastAsia="MS Mincho" w:hAnsi="Calibri" w:cs="Calibri"/>
          <w:lang w:eastAsia="ja-JP"/>
        </w:rPr>
        <w:t xml:space="preserve">azard ratios for fracture </w:t>
      </w:r>
      <w:r w:rsidR="00AF543A" w:rsidRPr="00AF543A">
        <w:rPr>
          <w:rFonts w:ascii="Calibri" w:eastAsia="MS Mincho" w:hAnsi="Calibri" w:cs="Calibri"/>
          <w:lang w:eastAsia="ja-JP"/>
        </w:rPr>
        <w:t xml:space="preserve">were compared </w:t>
      </w:r>
      <w:r w:rsidR="00A51EFA" w:rsidRPr="00A51EFA">
        <w:rPr>
          <w:rFonts w:ascii="Calibri" w:eastAsia="MS Mincho" w:hAnsi="Calibri" w:cs="Calibri"/>
          <w:lang w:eastAsia="ja-JP"/>
        </w:rPr>
        <w:t xml:space="preserve">where </w:t>
      </w:r>
      <w:r w:rsidR="007010CB">
        <w:rPr>
          <w:rFonts w:ascii="Calibri" w:eastAsia="MS Mincho" w:hAnsi="Calibri" w:cs="Calibri"/>
          <w:lang w:eastAsia="ja-JP"/>
        </w:rPr>
        <w:t>two or more conse</w:t>
      </w:r>
      <w:r w:rsidR="004D00F9">
        <w:rPr>
          <w:rFonts w:ascii="Calibri" w:eastAsia="MS Mincho" w:hAnsi="Calibri" w:cs="Calibri"/>
          <w:lang w:eastAsia="ja-JP"/>
        </w:rPr>
        <w:t xml:space="preserve">cutive fractures at the same site were </w:t>
      </w:r>
      <w:r w:rsidR="00D74DB5">
        <w:rPr>
          <w:rFonts w:ascii="Calibri" w:eastAsia="MS Mincho" w:hAnsi="Calibri" w:cs="Calibri"/>
          <w:lang w:eastAsia="ja-JP"/>
        </w:rPr>
        <w:t xml:space="preserve">additionally </w:t>
      </w:r>
      <w:r w:rsidR="004D00F9">
        <w:rPr>
          <w:rFonts w:ascii="Calibri" w:eastAsia="MS Mincho" w:hAnsi="Calibri" w:cs="Calibri"/>
          <w:lang w:eastAsia="ja-JP"/>
        </w:rPr>
        <w:t>excluded</w:t>
      </w:r>
      <w:r w:rsidR="0025789B">
        <w:rPr>
          <w:rFonts w:ascii="Calibri" w:eastAsia="MS Mincho" w:hAnsi="Calibri" w:cs="Calibri"/>
          <w:lang w:eastAsia="ja-JP"/>
        </w:rPr>
        <w:t xml:space="preserve"> from analysis</w:t>
      </w:r>
      <w:r w:rsidR="00D74DB5">
        <w:rPr>
          <w:rFonts w:ascii="Calibri" w:eastAsia="MS Mincho" w:hAnsi="Calibri" w:cs="Calibri"/>
          <w:lang w:eastAsia="ja-JP"/>
        </w:rPr>
        <w:t>.</w:t>
      </w:r>
      <w:r w:rsidR="00476789">
        <w:rPr>
          <w:rFonts w:ascii="Calibri" w:eastAsia="MS Mincho" w:hAnsi="Calibri" w:cs="Calibri"/>
          <w:lang w:eastAsia="ja-JP"/>
        </w:rPr>
        <w:t xml:space="preserve"> </w:t>
      </w:r>
    </w:p>
    <w:p w14:paraId="717B4AEB" w14:textId="77777777" w:rsidR="00421F42" w:rsidRDefault="00421F42" w:rsidP="00A8549A">
      <w:pPr>
        <w:autoSpaceDE w:val="0"/>
        <w:autoSpaceDN w:val="0"/>
        <w:adjustRightInd w:val="0"/>
        <w:spacing w:line="276" w:lineRule="auto"/>
        <w:ind w:left="567"/>
        <w:rPr>
          <w:rFonts w:ascii="Calibri" w:eastAsia="MS Mincho" w:hAnsi="Calibri" w:cs="Calibri"/>
          <w:lang w:eastAsia="ja-JP"/>
        </w:rPr>
      </w:pPr>
    </w:p>
    <w:p w14:paraId="29AF8892" w14:textId="1CAA5236" w:rsidR="009E2BAB" w:rsidRPr="00A90777" w:rsidRDefault="00421F42" w:rsidP="00A8549A">
      <w:pPr>
        <w:autoSpaceDE w:val="0"/>
        <w:autoSpaceDN w:val="0"/>
        <w:adjustRightInd w:val="0"/>
        <w:spacing w:line="276" w:lineRule="auto"/>
        <w:ind w:left="567"/>
        <w:rPr>
          <w:rFonts w:ascii="Calibri" w:eastAsia="MS Mincho" w:hAnsi="Calibri" w:cs="Calibri"/>
          <w:lang w:eastAsia="ja-JP"/>
        </w:rPr>
      </w:pPr>
      <w:r>
        <w:rPr>
          <w:rFonts w:ascii="Calibri" w:eastAsia="MS Mincho" w:hAnsi="Calibri" w:cs="Calibri"/>
          <w:lang w:eastAsia="ja-JP"/>
        </w:rPr>
        <w:t>Prior fractures comprised those</w:t>
      </w:r>
      <w:r w:rsidRPr="00421F42">
        <w:rPr>
          <w:rFonts w:ascii="Calibri" w:eastAsia="MS Mincho" w:hAnsi="Calibri" w:cs="Calibri"/>
          <w:lang w:eastAsia="ja-JP"/>
        </w:rPr>
        <w:t xml:space="preserve"> at skeletal sites considered to be associated with </w:t>
      </w:r>
      <w:r w:rsidR="00F4035E" w:rsidRPr="00421F42">
        <w:rPr>
          <w:rFonts w:ascii="Calibri" w:eastAsia="MS Mincho" w:hAnsi="Calibri" w:cs="Calibri"/>
          <w:lang w:eastAsia="ja-JP"/>
        </w:rPr>
        <w:t>osteoporosis [</w:t>
      </w:r>
      <w:r w:rsidR="00D11809">
        <w:rPr>
          <w:rFonts w:ascii="Calibri" w:eastAsia="MS Mincho" w:hAnsi="Calibri" w:cs="Calibri"/>
          <w:lang w:eastAsia="ja-JP"/>
        </w:rPr>
        <w:t>28</w:t>
      </w:r>
      <w:r w:rsidR="00694A5F">
        <w:rPr>
          <w:rFonts w:ascii="Calibri" w:eastAsia="MS Mincho" w:hAnsi="Calibri" w:cs="Calibri"/>
          <w:lang w:eastAsia="ja-JP"/>
        </w:rPr>
        <w:t>]</w:t>
      </w:r>
      <w:r w:rsidRPr="00421F42">
        <w:rPr>
          <w:rFonts w:ascii="Calibri" w:eastAsia="MS Mincho" w:hAnsi="Calibri" w:cs="Calibri"/>
          <w:lang w:eastAsia="ja-JP"/>
        </w:rPr>
        <w:t>.</w:t>
      </w:r>
      <w:r w:rsidR="00297032">
        <w:rPr>
          <w:rFonts w:ascii="Calibri" w:eastAsia="MS Mincho" w:hAnsi="Calibri" w:cs="Calibri"/>
          <w:lang w:eastAsia="ja-JP"/>
        </w:rPr>
        <w:t xml:space="preserve"> </w:t>
      </w:r>
      <w:r w:rsidR="00E576C0">
        <w:rPr>
          <w:rFonts w:ascii="Calibri" w:eastAsia="MS Mincho" w:hAnsi="Calibri" w:cs="Calibri"/>
          <w:lang w:eastAsia="ja-JP"/>
        </w:rPr>
        <w:t xml:space="preserve"> </w:t>
      </w:r>
      <w:r w:rsidR="00724683">
        <w:rPr>
          <w:rFonts w:ascii="Calibri" w:eastAsia="MS Mincho" w:hAnsi="Calibri" w:cs="Calibri"/>
          <w:lang w:eastAsia="ja-JP"/>
        </w:rPr>
        <w:t>Outcome fractures</w:t>
      </w:r>
      <w:r w:rsidR="0076418D" w:rsidRPr="00A90777">
        <w:rPr>
          <w:rFonts w:ascii="Calibri" w:hAnsi="Calibri" w:cs="Calibri"/>
        </w:rPr>
        <w:t xml:space="preserve"> </w:t>
      </w:r>
      <w:r w:rsidR="009D7990" w:rsidRPr="00724683">
        <w:rPr>
          <w:rFonts w:ascii="Calibri" w:hAnsi="Calibri" w:cs="Calibri"/>
        </w:rPr>
        <w:t>compris</w:t>
      </w:r>
      <w:r w:rsidR="00724683" w:rsidRPr="00724683">
        <w:rPr>
          <w:rFonts w:ascii="Calibri" w:hAnsi="Calibri" w:cs="Calibri"/>
        </w:rPr>
        <w:t>ed</w:t>
      </w:r>
      <w:r w:rsidR="009D7990" w:rsidRPr="00724683">
        <w:rPr>
          <w:rFonts w:ascii="Calibri" w:hAnsi="Calibri" w:cs="Calibri"/>
        </w:rPr>
        <w:t xml:space="preserve"> </w:t>
      </w:r>
      <w:r w:rsidR="009D7990" w:rsidRPr="00724683">
        <w:rPr>
          <w:rFonts w:ascii="Calibri" w:eastAsia="MS Mincho" w:hAnsi="Calibri" w:cs="Calibri"/>
          <w:lang w:eastAsia="ja-JP"/>
        </w:rPr>
        <w:t xml:space="preserve">clinical vertebral fracture (ICD 10 codes S12.0-S12.2, S12.7, S22.0-22.1, S32.0), humeral fractures (S42.2-42.3), distal </w:t>
      </w:r>
      <w:r w:rsidR="009D7990" w:rsidRPr="00724683">
        <w:rPr>
          <w:rFonts w:ascii="Calibri" w:eastAsia="MS Mincho" w:hAnsi="Calibri" w:cs="Calibri"/>
          <w:lang w:eastAsia="ja-JP"/>
        </w:rPr>
        <w:lastRenderedPageBreak/>
        <w:t>forearm fracture (S52.5-52.6)</w:t>
      </w:r>
      <w:r w:rsidR="00391025" w:rsidRPr="00724683">
        <w:rPr>
          <w:rFonts w:ascii="Calibri" w:eastAsia="MS Mincho" w:hAnsi="Calibri" w:cs="Calibri"/>
          <w:lang w:eastAsia="ja-JP"/>
        </w:rPr>
        <w:t xml:space="preserve"> a</w:t>
      </w:r>
      <w:r w:rsidR="00B84B65" w:rsidRPr="00724683">
        <w:rPr>
          <w:rFonts w:ascii="Calibri" w:eastAsia="MS Mincho" w:hAnsi="Calibri" w:cs="Calibri"/>
          <w:lang w:eastAsia="ja-JP"/>
        </w:rPr>
        <w:t xml:space="preserve">nd </w:t>
      </w:r>
      <w:r w:rsidR="009D7990" w:rsidRPr="00724683">
        <w:rPr>
          <w:rFonts w:ascii="Calibri" w:eastAsia="MS Mincho" w:hAnsi="Calibri" w:cs="Calibri"/>
          <w:lang w:eastAsia="ja-JP"/>
        </w:rPr>
        <w:t>hip fracture (S72.0-S72.2)</w:t>
      </w:r>
      <w:r w:rsidR="00F73290">
        <w:rPr>
          <w:rFonts w:ascii="Calibri" w:eastAsia="MS Mincho" w:hAnsi="Calibri" w:cs="Calibri"/>
          <w:lang w:eastAsia="ja-JP"/>
        </w:rPr>
        <w:t>, collectively termed major osteoporotic hip fracture (MO</w:t>
      </w:r>
      <w:r w:rsidR="00EF79D0">
        <w:rPr>
          <w:rFonts w:ascii="Calibri" w:eastAsia="MS Mincho" w:hAnsi="Calibri" w:cs="Calibri"/>
          <w:lang w:eastAsia="ja-JP"/>
        </w:rPr>
        <w:t>F) and hip fracture alone</w:t>
      </w:r>
      <w:r w:rsidR="00D45B89" w:rsidRPr="00724683">
        <w:rPr>
          <w:rFonts w:ascii="Calibri" w:eastAsia="MS Mincho" w:hAnsi="Calibri" w:cs="Calibri"/>
          <w:lang w:eastAsia="ja-JP"/>
        </w:rPr>
        <w:t>.</w:t>
      </w:r>
      <w:r w:rsidR="00B84B65">
        <w:rPr>
          <w:rFonts w:ascii="Calibri" w:eastAsia="MS Mincho" w:hAnsi="Calibri" w:cs="Calibri"/>
          <w:lang w:eastAsia="ja-JP"/>
        </w:rPr>
        <w:t xml:space="preserve"> </w:t>
      </w:r>
    </w:p>
    <w:p w14:paraId="1B6F97AD" w14:textId="77777777" w:rsidR="00203EAC" w:rsidRDefault="00203EAC" w:rsidP="00A8549A">
      <w:pPr>
        <w:autoSpaceDE w:val="0"/>
        <w:autoSpaceDN w:val="0"/>
        <w:adjustRightInd w:val="0"/>
        <w:spacing w:line="276" w:lineRule="auto"/>
        <w:ind w:left="567"/>
        <w:rPr>
          <w:rFonts w:ascii="Calibri" w:eastAsia="MS Mincho" w:hAnsi="Calibri" w:cs="Arial"/>
          <w:i/>
          <w:iCs/>
          <w:lang w:eastAsia="ja-JP"/>
        </w:rPr>
      </w:pPr>
    </w:p>
    <w:p w14:paraId="6694AE1A" w14:textId="3C38CCA5" w:rsidR="001B4FE2" w:rsidRDefault="003D74EE" w:rsidP="00A8549A">
      <w:pPr>
        <w:autoSpaceDE w:val="0"/>
        <w:autoSpaceDN w:val="0"/>
        <w:adjustRightInd w:val="0"/>
        <w:spacing w:line="276" w:lineRule="auto"/>
        <w:ind w:left="567"/>
        <w:rPr>
          <w:rFonts w:ascii="Calibri" w:eastAsia="MS Mincho" w:hAnsi="Calibri" w:cs="Arial"/>
          <w:i/>
          <w:iCs/>
          <w:lang w:eastAsia="ja-JP"/>
        </w:rPr>
      </w:pPr>
      <w:r>
        <w:rPr>
          <w:rFonts w:ascii="Calibri" w:eastAsia="MS Mincho" w:hAnsi="Calibri" w:cs="Arial"/>
          <w:i/>
          <w:iCs/>
          <w:lang w:eastAsia="ja-JP"/>
        </w:rPr>
        <w:t xml:space="preserve">Fracture </w:t>
      </w:r>
      <w:r w:rsidR="00DB39B3">
        <w:rPr>
          <w:rFonts w:ascii="Calibri" w:eastAsia="MS Mincho" w:hAnsi="Calibri" w:cs="Arial"/>
          <w:i/>
          <w:iCs/>
          <w:lang w:eastAsia="ja-JP"/>
        </w:rPr>
        <w:t>probabilities</w:t>
      </w:r>
      <w:r w:rsidR="0072073F" w:rsidRPr="0072073F">
        <w:rPr>
          <w:rFonts w:ascii="Calibri" w:eastAsia="MS Mincho" w:hAnsi="Calibri" w:cs="Arial"/>
          <w:i/>
          <w:iCs/>
          <w:lang w:eastAsia="ja-JP"/>
        </w:rPr>
        <w:t>.</w:t>
      </w:r>
    </w:p>
    <w:p w14:paraId="76CC85B5" w14:textId="07121E1E" w:rsidR="001D7B98" w:rsidRDefault="00160E1E" w:rsidP="00577FBF">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FRA</w:t>
      </w:r>
      <w:r w:rsidR="009D68B6">
        <w:rPr>
          <w:rFonts w:ascii="Calibri" w:eastAsia="MS Mincho" w:hAnsi="Calibri" w:cs="Arial"/>
          <w:lang w:eastAsia="ja-JP"/>
        </w:rPr>
        <w:t>X computes the 10</w:t>
      </w:r>
      <w:r w:rsidR="00C50106">
        <w:rPr>
          <w:rFonts w:ascii="Calibri" w:eastAsia="MS Mincho" w:hAnsi="Calibri" w:cs="Arial"/>
          <w:lang w:eastAsia="ja-JP"/>
        </w:rPr>
        <w:t>-</w:t>
      </w:r>
      <w:r w:rsidR="00D236DA">
        <w:rPr>
          <w:rFonts w:ascii="Calibri" w:eastAsia="MS Mincho" w:hAnsi="Calibri" w:cs="Arial"/>
          <w:lang w:eastAsia="ja-JP"/>
        </w:rPr>
        <w:t xml:space="preserve">year </w:t>
      </w:r>
      <w:r w:rsidR="001E472C">
        <w:rPr>
          <w:rFonts w:ascii="Calibri" w:eastAsia="MS Mincho" w:hAnsi="Calibri" w:cs="Arial"/>
          <w:lang w:eastAsia="ja-JP"/>
        </w:rPr>
        <w:t xml:space="preserve">probability of hip </w:t>
      </w:r>
      <w:r w:rsidR="00302552">
        <w:rPr>
          <w:rFonts w:ascii="Calibri" w:eastAsia="MS Mincho" w:hAnsi="Calibri" w:cs="Arial"/>
          <w:lang w:eastAsia="ja-JP"/>
        </w:rPr>
        <w:t>or major</w:t>
      </w:r>
      <w:r w:rsidR="001E472C">
        <w:rPr>
          <w:rFonts w:ascii="Calibri" w:eastAsia="MS Mincho" w:hAnsi="Calibri" w:cs="Arial"/>
          <w:lang w:eastAsia="ja-JP"/>
        </w:rPr>
        <w:t xml:space="preserve"> osteoporotic fracture</w:t>
      </w:r>
      <w:r w:rsidR="00461D7D">
        <w:rPr>
          <w:rFonts w:ascii="Calibri" w:eastAsia="MS Mincho" w:hAnsi="Calibri" w:cs="Arial"/>
          <w:lang w:eastAsia="ja-JP"/>
        </w:rPr>
        <w:t xml:space="preserve">.  In the case of a prior </w:t>
      </w:r>
      <w:r w:rsidR="00302552">
        <w:rPr>
          <w:rFonts w:ascii="Calibri" w:eastAsia="MS Mincho" w:hAnsi="Calibri" w:cs="Arial"/>
          <w:lang w:eastAsia="ja-JP"/>
        </w:rPr>
        <w:t>fracture</w:t>
      </w:r>
      <w:r w:rsidR="00C263AC">
        <w:rPr>
          <w:rFonts w:ascii="Calibri" w:eastAsia="MS Mincho" w:hAnsi="Calibri" w:cs="Arial"/>
          <w:lang w:eastAsia="ja-JP"/>
        </w:rPr>
        <w:t xml:space="preserve">, FRAX </w:t>
      </w:r>
      <w:r w:rsidR="00FF3B13">
        <w:rPr>
          <w:rFonts w:ascii="Calibri" w:eastAsia="MS Mincho" w:hAnsi="Calibri" w:cs="Arial"/>
          <w:lang w:eastAsia="ja-JP"/>
        </w:rPr>
        <w:t xml:space="preserve">does not characterise </w:t>
      </w:r>
      <w:r w:rsidR="00F34ADE">
        <w:rPr>
          <w:rFonts w:ascii="Calibri" w:eastAsia="MS Mincho" w:hAnsi="Calibri" w:cs="Arial"/>
          <w:lang w:eastAsia="ja-JP"/>
        </w:rPr>
        <w:t>the number</w:t>
      </w:r>
      <w:r w:rsidR="008723C2">
        <w:rPr>
          <w:rFonts w:ascii="Calibri" w:eastAsia="MS Mincho" w:hAnsi="Calibri" w:cs="Arial"/>
          <w:lang w:eastAsia="ja-JP"/>
        </w:rPr>
        <w:t xml:space="preserve"> </w:t>
      </w:r>
      <w:r w:rsidR="007308A2">
        <w:rPr>
          <w:rFonts w:ascii="Calibri" w:eastAsia="MS Mincho" w:hAnsi="Calibri" w:cs="Arial"/>
          <w:lang w:eastAsia="ja-JP"/>
        </w:rPr>
        <w:t xml:space="preserve">of </w:t>
      </w:r>
      <w:r w:rsidR="008723C2">
        <w:rPr>
          <w:rFonts w:ascii="Calibri" w:eastAsia="MS Mincho" w:hAnsi="Calibri" w:cs="Arial"/>
          <w:lang w:eastAsia="ja-JP"/>
        </w:rPr>
        <w:t xml:space="preserve">prior </w:t>
      </w:r>
      <w:r w:rsidR="007308A2">
        <w:rPr>
          <w:rFonts w:ascii="Calibri" w:eastAsia="MS Mincho" w:hAnsi="Calibri" w:cs="Arial"/>
          <w:lang w:eastAsia="ja-JP"/>
        </w:rPr>
        <w:t>fractu</w:t>
      </w:r>
      <w:r w:rsidR="00CF6366">
        <w:rPr>
          <w:rFonts w:ascii="Calibri" w:eastAsia="MS Mincho" w:hAnsi="Calibri" w:cs="Arial"/>
          <w:lang w:eastAsia="ja-JP"/>
        </w:rPr>
        <w:t>r</w:t>
      </w:r>
      <w:r w:rsidR="007308A2">
        <w:rPr>
          <w:rFonts w:ascii="Calibri" w:eastAsia="MS Mincho" w:hAnsi="Calibri" w:cs="Arial"/>
          <w:lang w:eastAsia="ja-JP"/>
        </w:rPr>
        <w:t>e</w:t>
      </w:r>
      <w:r w:rsidR="008723C2">
        <w:rPr>
          <w:rFonts w:ascii="Calibri" w:eastAsia="MS Mincho" w:hAnsi="Calibri" w:cs="Arial"/>
          <w:lang w:eastAsia="ja-JP"/>
        </w:rPr>
        <w:t>s</w:t>
      </w:r>
      <w:r w:rsidR="00334BE7" w:rsidRPr="00334BE7">
        <w:t xml:space="preserve"> </w:t>
      </w:r>
      <w:r w:rsidR="00334BE7" w:rsidRPr="00334BE7">
        <w:rPr>
          <w:rFonts w:ascii="Calibri" w:eastAsia="MS Mincho" w:hAnsi="Calibri" w:cs="Arial"/>
          <w:lang w:eastAsia="ja-JP"/>
        </w:rPr>
        <w:t>so that the coefficient reflects an exposure to an average number of prior fractures</w:t>
      </w:r>
      <w:r w:rsidR="00FD2613">
        <w:rPr>
          <w:rFonts w:ascii="Calibri" w:eastAsia="MS Mincho" w:hAnsi="Calibri" w:cs="Arial"/>
          <w:lang w:eastAsia="ja-JP"/>
        </w:rPr>
        <w:t xml:space="preserve">.  In order to </w:t>
      </w:r>
      <w:r w:rsidR="00823811">
        <w:rPr>
          <w:rFonts w:ascii="Calibri" w:eastAsia="MS Mincho" w:hAnsi="Calibri" w:cs="Arial"/>
          <w:lang w:eastAsia="ja-JP"/>
        </w:rPr>
        <w:t xml:space="preserve">determine an </w:t>
      </w:r>
      <w:r w:rsidR="00DC6312">
        <w:rPr>
          <w:rFonts w:ascii="Calibri" w:eastAsia="MS Mincho" w:hAnsi="Calibri" w:cs="Arial"/>
          <w:lang w:eastAsia="ja-JP"/>
        </w:rPr>
        <w:t>adjustment</w:t>
      </w:r>
      <w:r w:rsidR="00582ED5">
        <w:rPr>
          <w:rFonts w:ascii="Calibri" w:eastAsia="MS Mincho" w:hAnsi="Calibri" w:cs="Arial"/>
          <w:lang w:eastAsia="ja-JP"/>
        </w:rPr>
        <w:t xml:space="preserve"> to FRAX for </w:t>
      </w:r>
      <w:r w:rsidR="00AB6C9D">
        <w:rPr>
          <w:rFonts w:ascii="Calibri" w:eastAsia="MS Mincho" w:hAnsi="Calibri" w:cs="Arial"/>
          <w:lang w:eastAsia="ja-JP"/>
        </w:rPr>
        <w:t>the actual number of prior fractures</w:t>
      </w:r>
      <w:r w:rsidR="00FD7E13">
        <w:rPr>
          <w:rFonts w:ascii="Calibri" w:eastAsia="MS Mincho" w:hAnsi="Calibri" w:cs="Arial"/>
          <w:lang w:eastAsia="ja-JP"/>
        </w:rPr>
        <w:t>, fracture probabilities were calculated</w:t>
      </w:r>
      <w:r w:rsidR="00B36367">
        <w:rPr>
          <w:rFonts w:ascii="Calibri" w:eastAsia="MS Mincho" w:hAnsi="Calibri" w:cs="Arial"/>
          <w:lang w:eastAsia="ja-JP"/>
        </w:rPr>
        <w:t xml:space="preserve"> usin</w:t>
      </w:r>
      <w:r w:rsidR="00F65336">
        <w:rPr>
          <w:rFonts w:ascii="Calibri" w:eastAsia="MS Mincho" w:hAnsi="Calibri" w:cs="Arial"/>
          <w:lang w:eastAsia="ja-JP"/>
        </w:rPr>
        <w:t xml:space="preserve">g the </w:t>
      </w:r>
      <w:r w:rsidR="001D7B98">
        <w:rPr>
          <w:rFonts w:ascii="Calibri" w:eastAsia="MS Mincho" w:hAnsi="Calibri" w:cs="Arial"/>
          <w:lang w:eastAsia="ja-JP"/>
        </w:rPr>
        <w:t>Reykjavik study</w:t>
      </w:r>
      <w:r w:rsidR="004A4C79">
        <w:rPr>
          <w:rFonts w:ascii="Calibri" w:eastAsia="MS Mincho" w:hAnsi="Calibri" w:cs="Arial"/>
          <w:lang w:eastAsia="ja-JP"/>
        </w:rPr>
        <w:t xml:space="preserve"> as previously described </w:t>
      </w:r>
      <w:r w:rsidR="0083416D" w:rsidRPr="0083416D">
        <w:rPr>
          <w:rFonts w:ascii="Calibri" w:eastAsia="MS Mincho" w:hAnsi="Calibri" w:cs="Arial"/>
          <w:lang w:eastAsia="ja-JP"/>
        </w:rPr>
        <w:t xml:space="preserve">from the hazards of death and </w:t>
      </w:r>
      <w:r w:rsidR="0083416D" w:rsidRPr="00E576C0">
        <w:rPr>
          <w:rFonts w:ascii="Calibri" w:eastAsia="MS Mincho" w:hAnsi="Calibri" w:cs="Arial"/>
          <w:lang w:eastAsia="ja-JP"/>
        </w:rPr>
        <w:t>fracture [</w:t>
      </w:r>
      <w:r w:rsidR="00876507" w:rsidRPr="00E576C0">
        <w:rPr>
          <w:rFonts w:ascii="Calibri" w:eastAsia="MS Mincho" w:hAnsi="Calibri" w:cs="Arial"/>
          <w:lang w:eastAsia="ja-JP"/>
        </w:rPr>
        <w:t xml:space="preserve">31, </w:t>
      </w:r>
      <w:r w:rsidR="005515B4" w:rsidRPr="00E576C0">
        <w:rPr>
          <w:rFonts w:ascii="Calibri" w:eastAsia="MS Mincho" w:hAnsi="Calibri" w:cs="Arial"/>
          <w:lang w:eastAsia="ja-JP"/>
        </w:rPr>
        <w:t>32]</w:t>
      </w:r>
      <w:r w:rsidR="00D66279" w:rsidRPr="00E576C0">
        <w:rPr>
          <w:rFonts w:ascii="Calibri" w:eastAsia="MS Mincho" w:hAnsi="Calibri" w:cs="Arial"/>
          <w:lang w:eastAsia="ja-JP"/>
        </w:rPr>
        <w:t>.  In this</w:t>
      </w:r>
      <w:r w:rsidR="00D66279">
        <w:rPr>
          <w:rFonts w:ascii="Calibri" w:eastAsia="MS Mincho" w:hAnsi="Calibri" w:cs="Arial"/>
          <w:lang w:eastAsia="ja-JP"/>
        </w:rPr>
        <w:t xml:space="preserve"> way</w:t>
      </w:r>
      <w:r w:rsidR="00AC57F0">
        <w:rPr>
          <w:rFonts w:ascii="Calibri" w:eastAsia="MS Mincho" w:hAnsi="Calibri" w:cs="Arial"/>
          <w:lang w:eastAsia="ja-JP"/>
        </w:rPr>
        <w:t xml:space="preserve">, the </w:t>
      </w:r>
      <w:r w:rsidR="00093C2B">
        <w:rPr>
          <w:rFonts w:ascii="Calibri" w:eastAsia="MS Mincho" w:hAnsi="Calibri" w:cs="Arial"/>
          <w:lang w:eastAsia="ja-JP"/>
        </w:rPr>
        <w:t xml:space="preserve">10-year </w:t>
      </w:r>
      <w:r w:rsidR="00AC57F0">
        <w:rPr>
          <w:rFonts w:ascii="Calibri" w:eastAsia="MS Mincho" w:hAnsi="Calibri" w:cs="Arial"/>
          <w:lang w:eastAsia="ja-JP"/>
        </w:rPr>
        <w:t>probability of</w:t>
      </w:r>
      <w:r w:rsidR="002E1AFB">
        <w:rPr>
          <w:rFonts w:ascii="Calibri" w:eastAsia="MS Mincho" w:hAnsi="Calibri" w:cs="Arial"/>
          <w:lang w:eastAsia="ja-JP"/>
        </w:rPr>
        <w:t xml:space="preserve"> fracture</w:t>
      </w:r>
      <w:r w:rsidR="005B3B87">
        <w:rPr>
          <w:rFonts w:ascii="Calibri" w:eastAsia="MS Mincho" w:hAnsi="Calibri" w:cs="Arial"/>
          <w:lang w:eastAsia="ja-JP"/>
        </w:rPr>
        <w:t>,</w:t>
      </w:r>
      <w:r w:rsidR="00E35043">
        <w:rPr>
          <w:rFonts w:ascii="Calibri" w:eastAsia="MS Mincho" w:hAnsi="Calibri" w:cs="Arial"/>
          <w:lang w:eastAsia="ja-JP"/>
        </w:rPr>
        <w:t xml:space="preserve"> for e</w:t>
      </w:r>
      <w:r w:rsidR="005B3B87">
        <w:rPr>
          <w:rFonts w:ascii="Calibri" w:eastAsia="MS Mincho" w:hAnsi="Calibri" w:cs="Arial"/>
          <w:lang w:eastAsia="ja-JP"/>
        </w:rPr>
        <w:t>xample,</w:t>
      </w:r>
      <w:r w:rsidR="00582ED5">
        <w:rPr>
          <w:rFonts w:ascii="Calibri" w:eastAsia="MS Mincho" w:hAnsi="Calibri" w:cs="Arial"/>
          <w:lang w:eastAsia="ja-JP"/>
        </w:rPr>
        <w:t xml:space="preserve"> </w:t>
      </w:r>
      <w:r w:rsidR="002E1AFB">
        <w:rPr>
          <w:rFonts w:ascii="Calibri" w:eastAsia="MS Mincho" w:hAnsi="Calibri" w:cs="Arial"/>
          <w:lang w:eastAsia="ja-JP"/>
        </w:rPr>
        <w:t xml:space="preserve">after a </w:t>
      </w:r>
      <w:r w:rsidR="00193BB2">
        <w:rPr>
          <w:rFonts w:ascii="Calibri" w:eastAsia="MS Mincho" w:hAnsi="Calibri" w:cs="Arial"/>
          <w:lang w:eastAsia="ja-JP"/>
        </w:rPr>
        <w:t xml:space="preserve">single prior </w:t>
      </w:r>
      <w:r w:rsidR="002E1AFB">
        <w:rPr>
          <w:rFonts w:ascii="Calibri" w:eastAsia="MS Mincho" w:hAnsi="Calibri" w:cs="Arial"/>
          <w:lang w:eastAsia="ja-JP"/>
        </w:rPr>
        <w:t>fracture</w:t>
      </w:r>
      <w:r w:rsidR="00193BB2">
        <w:rPr>
          <w:rFonts w:ascii="Calibri" w:eastAsia="MS Mincho" w:hAnsi="Calibri" w:cs="Arial"/>
          <w:lang w:eastAsia="ja-JP"/>
        </w:rPr>
        <w:t xml:space="preserve">, </w:t>
      </w:r>
      <w:r w:rsidR="00C96566">
        <w:rPr>
          <w:rFonts w:ascii="Calibri" w:eastAsia="MS Mincho" w:hAnsi="Calibri" w:cs="Arial"/>
          <w:lang w:eastAsia="ja-JP"/>
        </w:rPr>
        <w:t>two prior fractures</w:t>
      </w:r>
      <w:r w:rsidR="00A169D0">
        <w:rPr>
          <w:rFonts w:ascii="Calibri" w:eastAsia="MS Mincho" w:hAnsi="Calibri" w:cs="Arial"/>
          <w:lang w:eastAsia="ja-JP"/>
        </w:rPr>
        <w:t xml:space="preserve"> or three</w:t>
      </w:r>
      <w:r w:rsidR="003D4D4F" w:rsidRPr="003D4D4F">
        <w:t xml:space="preserve"> </w:t>
      </w:r>
      <w:r w:rsidR="003D4D4F" w:rsidRPr="003D4D4F">
        <w:rPr>
          <w:rFonts w:ascii="Calibri" w:eastAsia="MS Mincho" w:hAnsi="Calibri" w:cs="Arial"/>
          <w:lang w:eastAsia="ja-JP"/>
        </w:rPr>
        <w:t>prior fractures</w:t>
      </w:r>
      <w:r w:rsidR="00C96566">
        <w:rPr>
          <w:rFonts w:ascii="Calibri" w:eastAsia="MS Mincho" w:hAnsi="Calibri" w:cs="Arial"/>
          <w:lang w:eastAsia="ja-JP"/>
        </w:rPr>
        <w:t xml:space="preserve"> etc</w:t>
      </w:r>
      <w:r w:rsidR="00FD4678">
        <w:rPr>
          <w:rFonts w:ascii="Calibri" w:eastAsia="MS Mincho" w:hAnsi="Calibri" w:cs="Arial"/>
          <w:lang w:eastAsia="ja-JP"/>
        </w:rPr>
        <w:t xml:space="preserve"> </w:t>
      </w:r>
      <w:r w:rsidR="00D47C56">
        <w:rPr>
          <w:rFonts w:ascii="Calibri" w:eastAsia="MS Mincho" w:hAnsi="Calibri" w:cs="Arial"/>
          <w:lang w:eastAsia="ja-JP"/>
        </w:rPr>
        <w:t>was</w:t>
      </w:r>
      <w:r w:rsidR="00AE77E1">
        <w:rPr>
          <w:rFonts w:ascii="Calibri" w:eastAsia="MS Mincho" w:hAnsi="Calibri" w:cs="Arial"/>
          <w:lang w:eastAsia="ja-JP"/>
        </w:rPr>
        <w:t xml:space="preserve"> compared with the 10</w:t>
      </w:r>
      <w:r w:rsidR="0046569D">
        <w:rPr>
          <w:rFonts w:ascii="Calibri" w:eastAsia="MS Mincho" w:hAnsi="Calibri" w:cs="Arial"/>
          <w:lang w:eastAsia="ja-JP"/>
        </w:rPr>
        <w:t>-year probability</w:t>
      </w:r>
      <w:r w:rsidR="00865188">
        <w:rPr>
          <w:rFonts w:ascii="Calibri" w:eastAsia="MS Mincho" w:hAnsi="Calibri" w:cs="Arial"/>
          <w:lang w:eastAsia="ja-JP"/>
        </w:rPr>
        <w:t xml:space="preserve"> of a prior </w:t>
      </w:r>
      <w:r w:rsidR="00A9645B">
        <w:rPr>
          <w:rFonts w:ascii="Calibri" w:eastAsia="MS Mincho" w:hAnsi="Calibri" w:cs="Arial"/>
          <w:lang w:eastAsia="ja-JP"/>
        </w:rPr>
        <w:t>fragility</w:t>
      </w:r>
      <w:r w:rsidR="00865188">
        <w:rPr>
          <w:rFonts w:ascii="Calibri" w:eastAsia="MS Mincho" w:hAnsi="Calibri" w:cs="Arial"/>
          <w:lang w:eastAsia="ja-JP"/>
        </w:rPr>
        <w:t xml:space="preserve"> fracture</w:t>
      </w:r>
      <w:r w:rsidR="000F782C">
        <w:rPr>
          <w:rFonts w:ascii="Calibri" w:eastAsia="MS Mincho" w:hAnsi="Calibri" w:cs="Arial"/>
          <w:lang w:eastAsia="ja-JP"/>
        </w:rPr>
        <w:t xml:space="preserve"> irrespective of </w:t>
      </w:r>
      <w:r w:rsidR="00B0485D">
        <w:rPr>
          <w:rFonts w:ascii="Calibri" w:eastAsia="MS Mincho" w:hAnsi="Calibri" w:cs="Arial"/>
          <w:lang w:eastAsia="ja-JP"/>
        </w:rPr>
        <w:t>their number</w:t>
      </w:r>
      <w:r w:rsidR="001D7B98">
        <w:rPr>
          <w:rFonts w:ascii="Calibri" w:eastAsia="MS Mincho" w:hAnsi="Calibri" w:cs="Arial"/>
          <w:lang w:eastAsia="ja-JP"/>
        </w:rPr>
        <w:t xml:space="preserve"> </w:t>
      </w:r>
      <w:r w:rsidR="00BE0387" w:rsidRPr="00BE0387">
        <w:rPr>
          <w:rFonts w:ascii="Calibri" w:eastAsia="MS Mincho" w:hAnsi="Calibri" w:cs="Arial"/>
          <w:lang w:eastAsia="ja-JP"/>
        </w:rPr>
        <w:t>(in keeping with that</w:t>
      </w:r>
      <w:r w:rsidR="00BE0387">
        <w:rPr>
          <w:rFonts w:ascii="Calibri" w:eastAsia="MS Mincho" w:hAnsi="Calibri" w:cs="Arial"/>
          <w:lang w:eastAsia="ja-JP"/>
        </w:rPr>
        <w:t xml:space="preserve"> </w:t>
      </w:r>
      <w:r w:rsidR="00BE0387" w:rsidRPr="00BE0387">
        <w:rPr>
          <w:rFonts w:ascii="Calibri" w:eastAsia="MS Mincho" w:hAnsi="Calibri" w:cs="Arial"/>
          <w:lang w:eastAsia="ja-JP"/>
        </w:rPr>
        <w:t>provided in the current FRAX algorithm</w:t>
      </w:r>
      <w:r w:rsidR="001D7B98">
        <w:rPr>
          <w:rFonts w:ascii="Calibri" w:eastAsia="MS Mincho" w:hAnsi="Calibri" w:cs="Arial"/>
          <w:lang w:eastAsia="ja-JP"/>
        </w:rPr>
        <w:t>)</w:t>
      </w:r>
      <w:r w:rsidR="00EA33F9">
        <w:rPr>
          <w:rFonts w:ascii="Calibri" w:eastAsia="MS Mincho" w:hAnsi="Calibri" w:cs="Arial"/>
          <w:lang w:eastAsia="ja-JP"/>
        </w:rPr>
        <w:t xml:space="preserve">.  </w:t>
      </w:r>
      <w:r w:rsidR="00577FBF" w:rsidRPr="00577FBF">
        <w:rPr>
          <w:rFonts w:ascii="Calibri" w:eastAsia="MS Mincho" w:hAnsi="Calibri" w:cs="Arial"/>
          <w:lang w:eastAsia="ja-JP"/>
        </w:rPr>
        <w:t>It is important to note that the probability models</w:t>
      </w:r>
      <w:r w:rsidR="00577FBF">
        <w:rPr>
          <w:rFonts w:ascii="Calibri" w:eastAsia="MS Mincho" w:hAnsi="Calibri" w:cs="Arial"/>
          <w:lang w:eastAsia="ja-JP"/>
        </w:rPr>
        <w:t xml:space="preserve"> </w:t>
      </w:r>
      <w:r w:rsidR="00577FBF" w:rsidRPr="00577FBF">
        <w:rPr>
          <w:rFonts w:ascii="Calibri" w:eastAsia="MS Mincho" w:hAnsi="Calibri" w:cs="Arial"/>
          <w:lang w:eastAsia="ja-JP"/>
        </w:rPr>
        <w:t>used were based on purpose-built models similar, but not</w:t>
      </w:r>
      <w:r w:rsidR="00AB6C9D">
        <w:rPr>
          <w:rFonts w:ascii="Calibri" w:eastAsia="MS Mincho" w:hAnsi="Calibri" w:cs="Arial"/>
          <w:lang w:eastAsia="ja-JP"/>
        </w:rPr>
        <w:t xml:space="preserve"> </w:t>
      </w:r>
      <w:r w:rsidR="00577FBF" w:rsidRPr="00577FBF">
        <w:rPr>
          <w:rFonts w:ascii="Calibri" w:eastAsia="MS Mincho" w:hAnsi="Calibri" w:cs="Arial"/>
          <w:lang w:eastAsia="ja-JP"/>
        </w:rPr>
        <w:t xml:space="preserve">identical, to FRAX. </w:t>
      </w:r>
      <w:r w:rsidR="00523B66">
        <w:rPr>
          <w:rFonts w:ascii="Calibri" w:eastAsia="MS Mincho" w:hAnsi="Calibri" w:cs="Arial"/>
          <w:lang w:eastAsia="ja-JP"/>
        </w:rPr>
        <w:t xml:space="preserve"> </w:t>
      </w:r>
      <w:r w:rsidR="00EA33F9">
        <w:rPr>
          <w:rFonts w:ascii="Calibri" w:eastAsia="MS Mincho" w:hAnsi="Calibri" w:cs="Arial"/>
          <w:lang w:eastAsia="ja-JP"/>
        </w:rPr>
        <w:t xml:space="preserve">The ratio of the two </w:t>
      </w:r>
      <w:r w:rsidR="005F021E">
        <w:rPr>
          <w:rFonts w:ascii="Calibri" w:eastAsia="MS Mincho" w:hAnsi="Calibri" w:cs="Arial"/>
          <w:lang w:eastAsia="ja-JP"/>
        </w:rPr>
        <w:t>probabilities</w:t>
      </w:r>
      <w:r w:rsidR="00555432">
        <w:rPr>
          <w:rFonts w:ascii="Calibri" w:eastAsia="MS Mincho" w:hAnsi="Calibri" w:cs="Arial"/>
          <w:lang w:eastAsia="ja-JP"/>
        </w:rPr>
        <w:t xml:space="preserve"> provide</w:t>
      </w:r>
      <w:r w:rsidR="00D47C56">
        <w:rPr>
          <w:rFonts w:ascii="Calibri" w:eastAsia="MS Mincho" w:hAnsi="Calibri" w:cs="Arial"/>
          <w:lang w:eastAsia="ja-JP"/>
        </w:rPr>
        <w:t>d</w:t>
      </w:r>
      <w:r w:rsidR="00555432">
        <w:rPr>
          <w:rFonts w:ascii="Calibri" w:eastAsia="MS Mincho" w:hAnsi="Calibri" w:cs="Arial"/>
          <w:lang w:eastAsia="ja-JP"/>
        </w:rPr>
        <w:t xml:space="preserve"> an a</w:t>
      </w:r>
      <w:r w:rsidR="00193703">
        <w:rPr>
          <w:rFonts w:ascii="Calibri" w:eastAsia="MS Mincho" w:hAnsi="Calibri" w:cs="Arial"/>
          <w:lang w:eastAsia="ja-JP"/>
        </w:rPr>
        <w:t>djustment</w:t>
      </w:r>
      <w:r w:rsidR="005D40B4">
        <w:rPr>
          <w:rFonts w:ascii="Calibri" w:eastAsia="MS Mincho" w:hAnsi="Calibri" w:cs="Arial"/>
          <w:lang w:eastAsia="ja-JP"/>
        </w:rPr>
        <w:t xml:space="preserve"> to FRAX</w:t>
      </w:r>
      <w:r w:rsidR="00E1033C">
        <w:rPr>
          <w:rFonts w:ascii="Calibri" w:eastAsia="MS Mincho" w:hAnsi="Calibri" w:cs="Arial"/>
          <w:lang w:eastAsia="ja-JP"/>
        </w:rPr>
        <w:t xml:space="preserve"> hereafter referred to as </w:t>
      </w:r>
      <w:r w:rsidR="005310F6">
        <w:rPr>
          <w:rFonts w:ascii="Calibri" w:eastAsia="MS Mincho" w:hAnsi="Calibri" w:cs="Arial"/>
          <w:lang w:eastAsia="ja-JP"/>
        </w:rPr>
        <w:t>the probability ratio</w:t>
      </w:r>
      <w:r w:rsidR="00D643A8">
        <w:rPr>
          <w:rFonts w:ascii="Calibri" w:eastAsia="MS Mincho" w:hAnsi="Calibri" w:cs="Arial"/>
          <w:lang w:eastAsia="ja-JP"/>
        </w:rPr>
        <w:t xml:space="preserve"> </w:t>
      </w:r>
      <w:r w:rsidR="00B865CE">
        <w:rPr>
          <w:rFonts w:ascii="Calibri" w:eastAsia="MS Mincho" w:hAnsi="Calibri" w:cs="Arial"/>
          <w:lang w:eastAsia="ja-JP"/>
        </w:rPr>
        <w:t>o</w:t>
      </w:r>
      <w:r w:rsidR="00D643A8">
        <w:rPr>
          <w:rFonts w:ascii="Calibri" w:eastAsia="MS Mincho" w:hAnsi="Calibri" w:cs="Arial"/>
          <w:lang w:eastAsia="ja-JP"/>
        </w:rPr>
        <w:t>r ad</w:t>
      </w:r>
      <w:r w:rsidR="00B865CE">
        <w:rPr>
          <w:rFonts w:ascii="Calibri" w:eastAsia="MS Mincho" w:hAnsi="Calibri" w:cs="Arial"/>
          <w:lang w:eastAsia="ja-JP"/>
        </w:rPr>
        <w:t>justment ratio</w:t>
      </w:r>
      <w:r w:rsidR="005D40B4">
        <w:rPr>
          <w:rFonts w:ascii="Calibri" w:eastAsia="MS Mincho" w:hAnsi="Calibri" w:cs="Arial"/>
          <w:lang w:eastAsia="ja-JP"/>
        </w:rPr>
        <w:t>.</w:t>
      </w:r>
    </w:p>
    <w:p w14:paraId="6D6612FF" w14:textId="77777777" w:rsidR="001D7B98" w:rsidRDefault="001D7B98" w:rsidP="00A8549A">
      <w:pPr>
        <w:autoSpaceDE w:val="0"/>
        <w:autoSpaceDN w:val="0"/>
        <w:adjustRightInd w:val="0"/>
        <w:spacing w:line="276" w:lineRule="auto"/>
        <w:ind w:left="567"/>
        <w:rPr>
          <w:rFonts w:ascii="Calibri" w:eastAsia="MS Mincho" w:hAnsi="Calibri" w:cs="Arial"/>
          <w:lang w:eastAsia="ja-JP"/>
        </w:rPr>
      </w:pPr>
    </w:p>
    <w:p w14:paraId="455526C6" w14:textId="308C0A0B" w:rsidR="00925966" w:rsidRDefault="00EF7699" w:rsidP="00A8549A">
      <w:pPr>
        <w:autoSpaceDE w:val="0"/>
        <w:autoSpaceDN w:val="0"/>
        <w:adjustRightInd w:val="0"/>
        <w:spacing w:line="276" w:lineRule="auto"/>
        <w:ind w:left="567"/>
        <w:rPr>
          <w:rFonts w:ascii="Calibri" w:eastAsia="MS Mincho" w:hAnsi="Calibri" w:cs="Arial"/>
          <w:lang w:eastAsia="ja-JP"/>
        </w:rPr>
      </w:pPr>
      <w:r w:rsidRPr="00EF7699">
        <w:rPr>
          <w:rFonts w:ascii="Calibri" w:eastAsia="MS Mincho" w:hAnsi="Calibri" w:cs="Arial"/>
          <w:lang w:eastAsia="ja-JP"/>
        </w:rPr>
        <w:t xml:space="preserve">A modification of the Poisson regression </w:t>
      </w:r>
      <w:r w:rsidRPr="0036413A">
        <w:rPr>
          <w:rFonts w:ascii="Calibri" w:eastAsia="MS Mincho" w:hAnsi="Calibri" w:cs="Arial"/>
          <w:lang w:eastAsia="ja-JP"/>
        </w:rPr>
        <w:t xml:space="preserve">model </w:t>
      </w:r>
      <w:r w:rsidR="00FA4A73" w:rsidRPr="0036413A">
        <w:rPr>
          <w:rFonts w:ascii="Calibri" w:eastAsia="MS Mincho" w:hAnsi="Calibri" w:cs="Arial"/>
          <w:lang w:eastAsia="ja-JP"/>
        </w:rPr>
        <w:t>[</w:t>
      </w:r>
      <w:r w:rsidR="00B82AD6">
        <w:rPr>
          <w:rFonts w:ascii="Calibri" w:eastAsia="MS Mincho" w:hAnsi="Calibri" w:cs="Arial"/>
          <w:lang w:eastAsia="ja-JP"/>
        </w:rPr>
        <w:t>33</w:t>
      </w:r>
      <w:r w:rsidR="00B82AD6" w:rsidRPr="0000632C">
        <w:rPr>
          <w:rFonts w:ascii="Calibri" w:eastAsia="MS Mincho" w:hAnsi="Calibri" w:cs="Arial"/>
          <w:lang w:eastAsia="ja-JP"/>
        </w:rPr>
        <w:t xml:space="preserve">, 34] </w:t>
      </w:r>
      <w:r w:rsidRPr="0000632C">
        <w:rPr>
          <w:rFonts w:ascii="Calibri" w:eastAsia="MS Mincho" w:hAnsi="Calibri" w:cs="Arial"/>
          <w:lang w:eastAsia="ja-JP"/>
        </w:rPr>
        <w:t>was used</w:t>
      </w:r>
      <w:r w:rsidRPr="00EF7699">
        <w:rPr>
          <w:rFonts w:ascii="Calibri" w:eastAsia="MS Mincho" w:hAnsi="Calibri" w:cs="Arial"/>
          <w:lang w:eastAsia="ja-JP"/>
        </w:rPr>
        <w:t xml:space="preserve"> to study the relationship between sex, age, and the </w:t>
      </w:r>
      <w:r w:rsidR="003951CE">
        <w:rPr>
          <w:rFonts w:ascii="Calibri" w:eastAsia="MS Mincho" w:hAnsi="Calibri" w:cs="Arial"/>
          <w:lang w:eastAsia="ja-JP"/>
        </w:rPr>
        <w:t>number of</w:t>
      </w:r>
      <w:r w:rsidRPr="00EF7699">
        <w:rPr>
          <w:rFonts w:ascii="Calibri" w:eastAsia="MS Mincho" w:hAnsi="Calibri" w:cs="Arial"/>
          <w:lang w:eastAsia="ja-JP"/>
        </w:rPr>
        <w:t xml:space="preserve"> previous fracture</w:t>
      </w:r>
      <w:r w:rsidR="0000632C">
        <w:rPr>
          <w:rFonts w:ascii="Calibri" w:eastAsia="MS Mincho" w:hAnsi="Calibri" w:cs="Arial"/>
          <w:lang w:eastAsia="ja-JP"/>
        </w:rPr>
        <w:t>s</w:t>
      </w:r>
      <w:r w:rsidRPr="00EF7699">
        <w:rPr>
          <w:rFonts w:ascii="Calibri" w:eastAsia="MS Mincho" w:hAnsi="Calibri" w:cs="Arial"/>
          <w:lang w:eastAsia="ja-JP"/>
        </w:rPr>
        <w:t xml:space="preserve"> on the one hand and on the other hand, the risk of a </w:t>
      </w:r>
      <w:r w:rsidR="009A0BC7" w:rsidRPr="009A0BC7">
        <w:rPr>
          <w:rFonts w:ascii="Calibri" w:eastAsia="MS Mincho" w:hAnsi="Calibri" w:cs="Arial"/>
          <w:lang w:eastAsia="ja-JP"/>
        </w:rPr>
        <w:t xml:space="preserve">future </w:t>
      </w:r>
      <w:r w:rsidR="003951CE">
        <w:rPr>
          <w:rFonts w:ascii="Calibri" w:eastAsia="MS Mincho" w:hAnsi="Calibri" w:cs="Arial"/>
          <w:lang w:eastAsia="ja-JP"/>
        </w:rPr>
        <w:t>MOF or hip fracture</w:t>
      </w:r>
      <w:r w:rsidRPr="003951CE">
        <w:rPr>
          <w:rFonts w:ascii="Calibri" w:eastAsia="MS Mincho" w:hAnsi="Calibri" w:cs="Arial"/>
          <w:lang w:eastAsia="ja-JP"/>
        </w:rPr>
        <w:t>. Note that the model determine</w:t>
      </w:r>
      <w:r w:rsidR="00EE3FD3" w:rsidRPr="003951CE">
        <w:rPr>
          <w:rFonts w:ascii="Calibri" w:eastAsia="MS Mincho" w:hAnsi="Calibri" w:cs="Arial"/>
          <w:lang w:eastAsia="ja-JP"/>
        </w:rPr>
        <w:t>d</w:t>
      </w:r>
      <w:r w:rsidRPr="003951CE">
        <w:rPr>
          <w:rFonts w:ascii="Calibri" w:eastAsia="MS Mincho" w:hAnsi="Calibri" w:cs="Arial"/>
          <w:lang w:eastAsia="ja-JP"/>
        </w:rPr>
        <w:t xml:space="preserve"> the hazard function for fracture and not fracture probability.</w:t>
      </w:r>
      <w:r w:rsidRPr="00EF7699">
        <w:rPr>
          <w:rFonts w:ascii="Calibri" w:eastAsia="MS Mincho" w:hAnsi="Calibri" w:cs="Arial"/>
          <w:lang w:eastAsia="ja-JP"/>
        </w:rPr>
        <w:t xml:space="preserve"> Follow up was measured in person years and the observation period of each participant was divided in intervals of one month. </w:t>
      </w:r>
      <w:r w:rsidR="00B47760" w:rsidRPr="00B47760">
        <w:rPr>
          <w:rFonts w:ascii="Calibri" w:eastAsia="MS Mincho" w:hAnsi="Calibri" w:cs="Arial"/>
          <w:lang w:eastAsia="ja-JP"/>
        </w:rPr>
        <w:t>The hazard function was assumed to be exp(β0 + β1 · sex + β2 · current time from baseline</w:t>
      </w:r>
      <w:r w:rsidR="00A710B0">
        <w:rPr>
          <w:rFonts w:ascii="Calibri" w:eastAsia="MS Mincho" w:hAnsi="Calibri" w:cs="Arial"/>
          <w:lang w:eastAsia="ja-JP"/>
        </w:rPr>
        <w:t xml:space="preserve"> </w:t>
      </w:r>
      <w:r w:rsidR="00B47760" w:rsidRPr="00B47760">
        <w:rPr>
          <w:rFonts w:ascii="Calibri" w:eastAsia="MS Mincho" w:hAnsi="Calibri" w:cs="Arial"/>
          <w:lang w:eastAsia="ja-JP"/>
        </w:rPr>
        <w:t>fracture + β3 · current age + β4 · number of previous fracture</w:t>
      </w:r>
      <w:r w:rsidR="0026652B">
        <w:rPr>
          <w:rFonts w:ascii="Calibri" w:eastAsia="MS Mincho" w:hAnsi="Calibri" w:cs="Arial"/>
          <w:lang w:eastAsia="ja-JP"/>
        </w:rPr>
        <w:t>).</w:t>
      </w:r>
      <w:r w:rsidR="005048F2">
        <w:rPr>
          <w:rFonts w:ascii="Calibri" w:eastAsia="MS Mincho" w:hAnsi="Calibri" w:cs="Arial"/>
          <w:lang w:eastAsia="ja-JP"/>
        </w:rPr>
        <w:t xml:space="preserve"> </w:t>
      </w:r>
      <w:r w:rsidR="00FC186D" w:rsidRPr="00FC186D">
        <w:rPr>
          <w:rFonts w:ascii="Calibri" w:eastAsia="MS Mincho" w:hAnsi="Calibri" w:cs="Arial"/>
          <w:lang w:eastAsia="ja-JP"/>
        </w:rPr>
        <w:t xml:space="preserve">The beta coefficients reflect the importance of the variables, and βx = 0 denotes that the corresponding variable does not contribute to fracture risk. All associations were adjusted for age and time since baseline. </w:t>
      </w:r>
      <w:r w:rsidR="0076445D" w:rsidRPr="0076445D">
        <w:rPr>
          <w:rFonts w:ascii="Calibri" w:eastAsia="MS Mincho" w:hAnsi="Calibri" w:cs="Arial"/>
          <w:lang w:eastAsia="ja-JP"/>
        </w:rPr>
        <w:t>For the sensitivity analysis, the hazard function for a further fracture (MOF or hip fracture) was calculated in men and women with no prior fracture and after 1, 2, and 3 or more prior fractures.</w:t>
      </w:r>
    </w:p>
    <w:p w14:paraId="70FB75F5" w14:textId="77777777" w:rsidR="00925966" w:rsidRDefault="00925966" w:rsidP="00A8549A">
      <w:pPr>
        <w:autoSpaceDE w:val="0"/>
        <w:autoSpaceDN w:val="0"/>
        <w:adjustRightInd w:val="0"/>
        <w:spacing w:line="276" w:lineRule="auto"/>
        <w:ind w:left="567"/>
        <w:rPr>
          <w:rFonts w:ascii="Calibri" w:eastAsia="MS Mincho" w:hAnsi="Calibri" w:cs="Arial"/>
          <w:lang w:eastAsia="ja-JP"/>
        </w:rPr>
      </w:pPr>
    </w:p>
    <w:p w14:paraId="39FB9E56" w14:textId="77777777" w:rsidR="00EF7699" w:rsidRDefault="00EF7699" w:rsidP="00A8549A">
      <w:pPr>
        <w:autoSpaceDE w:val="0"/>
        <w:autoSpaceDN w:val="0"/>
        <w:adjustRightInd w:val="0"/>
        <w:spacing w:line="276" w:lineRule="auto"/>
        <w:ind w:left="567"/>
        <w:rPr>
          <w:rFonts w:ascii="Calibri" w:eastAsia="MS Mincho" w:hAnsi="Calibri" w:cs="Arial"/>
          <w:lang w:eastAsia="ja-JP"/>
        </w:rPr>
      </w:pPr>
    </w:p>
    <w:p w14:paraId="329D9B26" w14:textId="77777777" w:rsidR="003E7120" w:rsidRPr="00BC2FEE" w:rsidRDefault="003E7120" w:rsidP="00A8549A">
      <w:pPr>
        <w:autoSpaceDE w:val="0"/>
        <w:autoSpaceDN w:val="0"/>
        <w:adjustRightInd w:val="0"/>
        <w:spacing w:line="276" w:lineRule="auto"/>
        <w:ind w:left="567" w:right="1088"/>
        <w:rPr>
          <w:rFonts w:ascii="Calibri" w:eastAsia="MS Mincho" w:hAnsi="Calibri" w:cs="Arial"/>
          <w:sz w:val="20"/>
          <w:szCs w:val="20"/>
          <w:highlight w:val="yellow"/>
          <w:lang w:eastAsia="ja-JP"/>
        </w:rPr>
      </w:pPr>
    </w:p>
    <w:p w14:paraId="74D9CDEC" w14:textId="11C13090" w:rsidR="006C4E8C" w:rsidRPr="0015220E" w:rsidRDefault="0044481E" w:rsidP="00A8549A">
      <w:pPr>
        <w:spacing w:after="160" w:line="276" w:lineRule="auto"/>
        <w:ind w:left="567"/>
        <w:rPr>
          <w:rFonts w:asciiTheme="minorHAnsi" w:hAnsiTheme="minorHAnsi"/>
          <w:b/>
        </w:rPr>
      </w:pPr>
      <w:r w:rsidRPr="0015220E">
        <w:rPr>
          <w:rFonts w:asciiTheme="minorHAnsi" w:hAnsiTheme="minorHAnsi"/>
          <w:b/>
        </w:rPr>
        <w:t>Results</w:t>
      </w:r>
    </w:p>
    <w:p w14:paraId="3DC79D36" w14:textId="39F5A27A" w:rsidR="00916FC3" w:rsidRDefault="0015220E" w:rsidP="00B929FE">
      <w:pPr>
        <w:spacing w:after="160" w:line="276" w:lineRule="auto"/>
        <w:ind w:left="567"/>
        <w:rPr>
          <w:rFonts w:asciiTheme="minorHAnsi" w:hAnsiTheme="minorHAnsi"/>
          <w:bCs/>
        </w:rPr>
      </w:pPr>
      <w:r w:rsidRPr="006649F9">
        <w:rPr>
          <w:rFonts w:asciiTheme="minorHAnsi" w:hAnsiTheme="minorHAnsi"/>
          <w:bCs/>
        </w:rPr>
        <w:t xml:space="preserve">Characteristics of the </w:t>
      </w:r>
      <w:r w:rsidR="003D7F8D" w:rsidRPr="006649F9">
        <w:rPr>
          <w:rFonts w:asciiTheme="minorHAnsi" w:hAnsiTheme="minorHAnsi"/>
          <w:bCs/>
        </w:rPr>
        <w:t>population studied are given in Table 1</w:t>
      </w:r>
      <w:r w:rsidR="00015DF7">
        <w:rPr>
          <w:rFonts w:asciiTheme="minorHAnsi" w:hAnsiTheme="minorHAnsi"/>
          <w:bCs/>
        </w:rPr>
        <w:t>.</w:t>
      </w:r>
      <w:r w:rsidRPr="006649F9">
        <w:rPr>
          <w:rFonts w:asciiTheme="minorHAnsi" w:hAnsiTheme="minorHAnsi"/>
          <w:bCs/>
        </w:rPr>
        <w:t xml:space="preserve"> </w:t>
      </w:r>
      <w:r w:rsidR="00FB27AE">
        <w:rPr>
          <w:rFonts w:asciiTheme="minorHAnsi" w:hAnsiTheme="minorHAnsi"/>
          <w:bCs/>
        </w:rPr>
        <w:t xml:space="preserve"> </w:t>
      </w:r>
      <w:r w:rsidR="00F94D1B">
        <w:rPr>
          <w:rFonts w:asciiTheme="minorHAnsi" w:hAnsiTheme="minorHAnsi"/>
          <w:bCs/>
        </w:rPr>
        <w:t>Mean a</w:t>
      </w:r>
      <w:r w:rsidR="008D76F0">
        <w:rPr>
          <w:rFonts w:asciiTheme="minorHAnsi" w:hAnsiTheme="minorHAnsi"/>
          <w:bCs/>
        </w:rPr>
        <w:t xml:space="preserve">ge at recruitment to the </w:t>
      </w:r>
      <w:r w:rsidR="00F74D69">
        <w:rPr>
          <w:rFonts w:asciiTheme="minorHAnsi" w:hAnsiTheme="minorHAnsi"/>
          <w:bCs/>
        </w:rPr>
        <w:t>Reykjavik study was 52 ye</w:t>
      </w:r>
      <w:r w:rsidR="001B102D">
        <w:rPr>
          <w:rFonts w:asciiTheme="minorHAnsi" w:hAnsiTheme="minorHAnsi"/>
          <w:bCs/>
        </w:rPr>
        <w:t>a</w:t>
      </w:r>
      <w:r w:rsidR="00F74D69">
        <w:rPr>
          <w:rFonts w:asciiTheme="minorHAnsi" w:hAnsiTheme="minorHAnsi"/>
          <w:bCs/>
        </w:rPr>
        <w:t>rs</w:t>
      </w:r>
      <w:r w:rsidR="001B102D">
        <w:rPr>
          <w:rFonts w:asciiTheme="minorHAnsi" w:hAnsiTheme="minorHAnsi"/>
          <w:bCs/>
        </w:rPr>
        <w:t>.  Thus</w:t>
      </w:r>
      <w:r w:rsidR="00015DF7">
        <w:rPr>
          <w:rFonts w:asciiTheme="minorHAnsi" w:hAnsiTheme="minorHAnsi"/>
          <w:bCs/>
        </w:rPr>
        <w:t>,</w:t>
      </w:r>
      <w:r w:rsidR="001B102D">
        <w:rPr>
          <w:rFonts w:asciiTheme="minorHAnsi" w:hAnsiTheme="minorHAnsi"/>
          <w:bCs/>
        </w:rPr>
        <w:t xml:space="preserve"> age at baseline </w:t>
      </w:r>
      <w:r w:rsidR="002813E7">
        <w:rPr>
          <w:rFonts w:asciiTheme="minorHAnsi" w:hAnsiTheme="minorHAnsi"/>
          <w:bCs/>
        </w:rPr>
        <w:t xml:space="preserve">for </w:t>
      </w:r>
      <w:r w:rsidR="00B8262A">
        <w:rPr>
          <w:rFonts w:asciiTheme="minorHAnsi" w:hAnsiTheme="minorHAnsi"/>
          <w:bCs/>
        </w:rPr>
        <w:t xml:space="preserve">the present analysis </w:t>
      </w:r>
      <w:r w:rsidR="002813E7">
        <w:rPr>
          <w:rFonts w:asciiTheme="minorHAnsi" w:hAnsiTheme="minorHAnsi"/>
          <w:bCs/>
        </w:rPr>
        <w:t xml:space="preserve">was 20 years on with a mean age of 73 </w:t>
      </w:r>
      <w:r w:rsidR="001810F6">
        <w:rPr>
          <w:rFonts w:asciiTheme="minorHAnsi" w:hAnsiTheme="minorHAnsi"/>
          <w:bCs/>
        </w:rPr>
        <w:t xml:space="preserve">years and a range of 53-99 years. </w:t>
      </w:r>
      <w:r w:rsidR="001B102D">
        <w:rPr>
          <w:rFonts w:asciiTheme="minorHAnsi" w:hAnsiTheme="minorHAnsi"/>
          <w:bCs/>
        </w:rPr>
        <w:t xml:space="preserve"> </w:t>
      </w:r>
      <w:r w:rsidR="00FB27AE">
        <w:rPr>
          <w:rFonts w:asciiTheme="minorHAnsi" w:hAnsiTheme="minorHAnsi"/>
          <w:bCs/>
        </w:rPr>
        <w:t>As expected</w:t>
      </w:r>
      <w:r w:rsidR="0070188A">
        <w:rPr>
          <w:rFonts w:asciiTheme="minorHAnsi" w:hAnsiTheme="minorHAnsi"/>
          <w:bCs/>
        </w:rPr>
        <w:t>, more women than men had sustained a prior fragility fracture</w:t>
      </w:r>
      <w:r w:rsidR="00001CC5">
        <w:rPr>
          <w:rFonts w:asciiTheme="minorHAnsi" w:hAnsiTheme="minorHAnsi"/>
          <w:bCs/>
        </w:rPr>
        <w:t xml:space="preserve"> </w:t>
      </w:r>
      <w:r w:rsidR="001940BC">
        <w:rPr>
          <w:rFonts w:asciiTheme="minorHAnsi" w:hAnsiTheme="minorHAnsi"/>
          <w:bCs/>
        </w:rPr>
        <w:t>(</w:t>
      </w:r>
      <w:r w:rsidR="00001CC5">
        <w:rPr>
          <w:rFonts w:asciiTheme="minorHAnsi" w:hAnsiTheme="minorHAnsi"/>
          <w:bCs/>
        </w:rPr>
        <w:t>2065 vs. 718).  During follow up,</w:t>
      </w:r>
      <w:r w:rsidR="00B929FE">
        <w:rPr>
          <w:rFonts w:asciiTheme="minorHAnsi" w:hAnsiTheme="minorHAnsi"/>
          <w:bCs/>
        </w:rPr>
        <w:t xml:space="preserve"> </w:t>
      </w:r>
      <w:r w:rsidR="00B929FE" w:rsidRPr="00B929FE">
        <w:rPr>
          <w:rFonts w:asciiTheme="minorHAnsi" w:hAnsiTheme="minorHAnsi"/>
          <w:bCs/>
        </w:rPr>
        <w:t>1021</w:t>
      </w:r>
      <w:r w:rsidR="00326C03">
        <w:rPr>
          <w:rFonts w:asciiTheme="minorHAnsi" w:hAnsiTheme="minorHAnsi"/>
          <w:bCs/>
        </w:rPr>
        <w:t xml:space="preserve"> MOFs were sustained of which </w:t>
      </w:r>
      <w:r w:rsidR="00B929FE" w:rsidRPr="00B929FE">
        <w:rPr>
          <w:rFonts w:asciiTheme="minorHAnsi" w:hAnsiTheme="minorHAnsi"/>
          <w:bCs/>
        </w:rPr>
        <w:t>476</w:t>
      </w:r>
      <w:r w:rsidR="00001CC5">
        <w:rPr>
          <w:rFonts w:asciiTheme="minorHAnsi" w:hAnsiTheme="minorHAnsi"/>
          <w:bCs/>
        </w:rPr>
        <w:t xml:space="preserve"> </w:t>
      </w:r>
      <w:r w:rsidR="00326C03">
        <w:rPr>
          <w:rFonts w:asciiTheme="minorHAnsi" w:hAnsiTheme="minorHAnsi"/>
          <w:bCs/>
        </w:rPr>
        <w:t>were fractures at the hip</w:t>
      </w:r>
      <w:r w:rsidR="00916FC3">
        <w:rPr>
          <w:rFonts w:asciiTheme="minorHAnsi" w:hAnsiTheme="minorHAnsi"/>
          <w:bCs/>
        </w:rPr>
        <w:t>.</w:t>
      </w:r>
      <w:r w:rsidR="00BF33C4">
        <w:rPr>
          <w:rFonts w:asciiTheme="minorHAnsi" w:hAnsiTheme="minorHAnsi"/>
          <w:bCs/>
        </w:rPr>
        <w:t xml:space="preserve"> </w:t>
      </w:r>
    </w:p>
    <w:p w14:paraId="223B83E6" w14:textId="77777777" w:rsidR="00E00A11" w:rsidRDefault="00E00A11" w:rsidP="00B929FE">
      <w:pPr>
        <w:spacing w:after="160" w:line="276" w:lineRule="auto"/>
        <w:ind w:left="567"/>
        <w:rPr>
          <w:rFonts w:asciiTheme="minorHAnsi" w:hAnsiTheme="minorHAnsi"/>
          <w:b/>
        </w:rPr>
      </w:pPr>
    </w:p>
    <w:p w14:paraId="20D1E6FC" w14:textId="394EE1DC" w:rsidR="005C2FA7" w:rsidRDefault="00916FC3" w:rsidP="00B929FE">
      <w:pPr>
        <w:spacing w:after="160" w:line="276" w:lineRule="auto"/>
        <w:ind w:left="567"/>
        <w:rPr>
          <w:rFonts w:asciiTheme="minorHAnsi" w:hAnsiTheme="minorHAnsi"/>
          <w:bCs/>
        </w:rPr>
      </w:pPr>
      <w:r w:rsidRPr="001940BC">
        <w:rPr>
          <w:rFonts w:asciiTheme="minorHAnsi" w:hAnsiTheme="minorHAnsi"/>
          <w:b/>
        </w:rPr>
        <w:t>Table 1.</w:t>
      </w:r>
      <w:r>
        <w:rPr>
          <w:rFonts w:asciiTheme="minorHAnsi" w:hAnsiTheme="minorHAnsi"/>
          <w:bCs/>
        </w:rPr>
        <w:t xml:space="preserve">  </w:t>
      </w:r>
      <w:r w:rsidRPr="00916FC3">
        <w:rPr>
          <w:rFonts w:asciiTheme="minorHAnsi" w:hAnsiTheme="minorHAnsi"/>
          <w:bCs/>
        </w:rPr>
        <w:t>Characteristics of the population with one or more prior osteoporotic fractures</w:t>
      </w:r>
      <w:r w:rsidR="009D3108">
        <w:rPr>
          <w:rFonts w:asciiTheme="minorHAnsi" w:hAnsiTheme="minorHAnsi"/>
          <w:bCs/>
        </w:rPr>
        <w:t>.</w:t>
      </w:r>
    </w:p>
    <w:tbl>
      <w:tblPr>
        <w:tblpPr w:leftFromText="180" w:rightFromText="180" w:vertAnchor="text" w:horzAnchor="margin" w:tblpY="-7"/>
        <w:tblW w:w="8389" w:type="dxa"/>
        <w:tblBorders>
          <w:top w:val="single" w:sz="4" w:space="0" w:color="auto"/>
          <w:bottom w:val="single" w:sz="4" w:space="0" w:color="auto"/>
        </w:tblBorders>
        <w:tblLook w:val="0000" w:firstRow="0" w:lastRow="0" w:firstColumn="0" w:lastColumn="0" w:noHBand="0" w:noVBand="0"/>
      </w:tblPr>
      <w:tblGrid>
        <w:gridCol w:w="3085"/>
        <w:gridCol w:w="980"/>
        <w:gridCol w:w="1081"/>
        <w:gridCol w:w="1081"/>
        <w:gridCol w:w="1081"/>
        <w:gridCol w:w="1081"/>
      </w:tblGrid>
      <w:tr w:rsidR="005C2FA7" w:rsidRPr="005C2FA7" w14:paraId="3955837D" w14:textId="77777777" w:rsidTr="00A250CF">
        <w:tc>
          <w:tcPr>
            <w:tcW w:w="3085" w:type="dxa"/>
            <w:tcBorders>
              <w:top w:val="single" w:sz="4" w:space="0" w:color="auto"/>
              <w:bottom w:val="single" w:sz="4" w:space="0" w:color="auto"/>
            </w:tcBorders>
            <w:shd w:val="clear" w:color="auto" w:fill="auto"/>
          </w:tcPr>
          <w:p w14:paraId="2F971369"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Variable</w:t>
            </w:r>
          </w:p>
        </w:tc>
        <w:tc>
          <w:tcPr>
            <w:tcW w:w="980" w:type="dxa"/>
            <w:tcBorders>
              <w:top w:val="single" w:sz="4" w:space="0" w:color="auto"/>
              <w:bottom w:val="single" w:sz="4" w:space="0" w:color="auto"/>
            </w:tcBorders>
            <w:shd w:val="clear" w:color="auto" w:fill="auto"/>
          </w:tcPr>
          <w:p w14:paraId="51D07005"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Mean</w:t>
            </w:r>
          </w:p>
        </w:tc>
        <w:tc>
          <w:tcPr>
            <w:tcW w:w="1081" w:type="dxa"/>
            <w:tcBorders>
              <w:top w:val="single" w:sz="4" w:space="0" w:color="auto"/>
              <w:bottom w:val="single" w:sz="4" w:space="0" w:color="auto"/>
            </w:tcBorders>
            <w:shd w:val="clear" w:color="auto" w:fill="auto"/>
          </w:tcPr>
          <w:p w14:paraId="44665798"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SD</w:t>
            </w:r>
          </w:p>
        </w:tc>
        <w:tc>
          <w:tcPr>
            <w:tcW w:w="1081" w:type="dxa"/>
            <w:tcBorders>
              <w:top w:val="single" w:sz="4" w:space="0" w:color="auto"/>
              <w:bottom w:val="single" w:sz="4" w:space="0" w:color="auto"/>
            </w:tcBorders>
          </w:tcPr>
          <w:p w14:paraId="253B2BA7"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Range</w:t>
            </w:r>
          </w:p>
        </w:tc>
        <w:tc>
          <w:tcPr>
            <w:tcW w:w="1081" w:type="dxa"/>
            <w:tcBorders>
              <w:top w:val="single" w:sz="4" w:space="0" w:color="auto"/>
              <w:bottom w:val="single" w:sz="4" w:space="0" w:color="auto"/>
            </w:tcBorders>
            <w:shd w:val="clear" w:color="auto" w:fill="auto"/>
          </w:tcPr>
          <w:p w14:paraId="6A065971"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n</w:t>
            </w:r>
          </w:p>
        </w:tc>
        <w:tc>
          <w:tcPr>
            <w:tcW w:w="1081" w:type="dxa"/>
            <w:tcBorders>
              <w:top w:val="single" w:sz="4" w:space="0" w:color="auto"/>
              <w:bottom w:val="single" w:sz="4" w:space="0" w:color="auto"/>
            </w:tcBorders>
            <w:shd w:val="clear" w:color="auto" w:fill="auto"/>
          </w:tcPr>
          <w:p w14:paraId="10A23199"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w:t>
            </w:r>
          </w:p>
        </w:tc>
      </w:tr>
      <w:tr w:rsidR="005C2FA7" w:rsidRPr="005C2FA7" w14:paraId="34EC05A5" w14:textId="77777777" w:rsidTr="00A250CF">
        <w:tc>
          <w:tcPr>
            <w:tcW w:w="3085" w:type="dxa"/>
            <w:tcBorders>
              <w:bottom w:val="nil"/>
            </w:tcBorders>
          </w:tcPr>
          <w:p w14:paraId="20A22223" w14:textId="77777777" w:rsidR="005C2FA7" w:rsidRPr="005C2FA7" w:rsidRDefault="005C2FA7" w:rsidP="005C2FA7">
            <w:pPr>
              <w:spacing w:before="60" w:after="60" w:line="259" w:lineRule="auto"/>
              <w:rPr>
                <w:rFonts w:ascii="Calibri" w:eastAsia="Cambria" w:hAnsi="Calibri" w:cs="Calibri"/>
                <w:iCs/>
              </w:rPr>
            </w:pPr>
            <w:r w:rsidRPr="005C2FA7">
              <w:rPr>
                <w:rFonts w:ascii="Calibri" w:eastAsia="Cambria" w:hAnsi="Calibri" w:cs="Calibri"/>
                <w:iCs/>
              </w:rPr>
              <w:t>Men</w:t>
            </w:r>
          </w:p>
        </w:tc>
        <w:tc>
          <w:tcPr>
            <w:tcW w:w="980" w:type="dxa"/>
            <w:tcBorders>
              <w:bottom w:val="nil"/>
            </w:tcBorders>
          </w:tcPr>
          <w:p w14:paraId="07045662"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bottom w:val="nil"/>
            </w:tcBorders>
          </w:tcPr>
          <w:p w14:paraId="4C72B3E2"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bottom w:val="nil"/>
            </w:tcBorders>
          </w:tcPr>
          <w:p w14:paraId="676BCD79" w14:textId="77777777" w:rsidR="005C2FA7" w:rsidRPr="005C2FA7" w:rsidRDefault="005C2FA7" w:rsidP="005C2FA7">
            <w:pPr>
              <w:spacing w:before="60" w:after="60" w:line="259" w:lineRule="auto"/>
              <w:jc w:val="center"/>
              <w:rPr>
                <w:rFonts w:ascii="Calibri" w:eastAsia="Cambria" w:hAnsi="Calibri" w:cs="Calibri"/>
                <w:iCs/>
              </w:rPr>
            </w:pPr>
          </w:p>
        </w:tc>
        <w:tc>
          <w:tcPr>
            <w:tcW w:w="1081" w:type="dxa"/>
            <w:tcBorders>
              <w:bottom w:val="nil"/>
            </w:tcBorders>
          </w:tcPr>
          <w:p w14:paraId="2DB69C23" w14:textId="77777777" w:rsidR="005C2FA7" w:rsidRPr="005C2FA7" w:rsidRDefault="005C2FA7" w:rsidP="005C2FA7">
            <w:pPr>
              <w:spacing w:before="60" w:after="60" w:line="259" w:lineRule="auto"/>
              <w:jc w:val="center"/>
              <w:rPr>
                <w:rFonts w:ascii="Calibri" w:eastAsia="Cambria" w:hAnsi="Calibri" w:cs="Calibri"/>
                <w:iCs/>
                <w:highlight w:val="yellow"/>
              </w:rPr>
            </w:pPr>
            <w:r w:rsidRPr="005C2FA7">
              <w:rPr>
                <w:rFonts w:ascii="Calibri" w:eastAsia="Cambria" w:hAnsi="Calibri" w:cs="Calibri"/>
                <w:iCs/>
              </w:rPr>
              <w:t>718</w:t>
            </w:r>
          </w:p>
        </w:tc>
        <w:tc>
          <w:tcPr>
            <w:tcW w:w="1081" w:type="dxa"/>
            <w:tcBorders>
              <w:bottom w:val="nil"/>
            </w:tcBorders>
          </w:tcPr>
          <w:p w14:paraId="5190A3E2" w14:textId="77777777" w:rsidR="005C2FA7" w:rsidRPr="005C2FA7" w:rsidRDefault="005C2FA7" w:rsidP="005C2FA7">
            <w:pPr>
              <w:spacing w:before="60" w:after="60" w:line="259" w:lineRule="auto"/>
              <w:jc w:val="center"/>
              <w:rPr>
                <w:rFonts w:ascii="Calibri" w:eastAsia="Cambria" w:hAnsi="Calibri" w:cs="Calibri"/>
                <w:iCs/>
                <w:highlight w:val="yellow"/>
              </w:rPr>
            </w:pPr>
            <w:r w:rsidRPr="005C2FA7">
              <w:rPr>
                <w:rFonts w:ascii="Calibri" w:eastAsia="Cambria" w:hAnsi="Calibri" w:cs="Calibri"/>
                <w:iCs/>
              </w:rPr>
              <w:t>26</w:t>
            </w:r>
          </w:p>
        </w:tc>
      </w:tr>
      <w:tr w:rsidR="005C2FA7" w:rsidRPr="005C2FA7" w14:paraId="6914D1E0" w14:textId="77777777" w:rsidTr="00A250CF">
        <w:tc>
          <w:tcPr>
            <w:tcW w:w="3085" w:type="dxa"/>
            <w:tcBorders>
              <w:top w:val="nil"/>
              <w:bottom w:val="nil"/>
            </w:tcBorders>
          </w:tcPr>
          <w:p w14:paraId="5DA15E09" w14:textId="77777777" w:rsidR="005C2FA7" w:rsidRPr="005C2FA7" w:rsidRDefault="005C2FA7" w:rsidP="005C2FA7">
            <w:pPr>
              <w:spacing w:before="60" w:after="60" w:line="259" w:lineRule="auto"/>
              <w:rPr>
                <w:rFonts w:ascii="Calibri" w:eastAsia="Cambria" w:hAnsi="Calibri" w:cs="Calibri"/>
                <w:iCs/>
              </w:rPr>
            </w:pPr>
            <w:r w:rsidRPr="005C2FA7">
              <w:rPr>
                <w:rFonts w:ascii="Calibri" w:eastAsia="Cambria" w:hAnsi="Calibri" w:cs="Calibri"/>
                <w:iCs/>
              </w:rPr>
              <w:t>Women</w:t>
            </w:r>
          </w:p>
        </w:tc>
        <w:tc>
          <w:tcPr>
            <w:tcW w:w="980" w:type="dxa"/>
            <w:tcBorders>
              <w:top w:val="nil"/>
              <w:bottom w:val="nil"/>
            </w:tcBorders>
          </w:tcPr>
          <w:p w14:paraId="12A169F8"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top w:val="nil"/>
              <w:bottom w:val="nil"/>
            </w:tcBorders>
          </w:tcPr>
          <w:p w14:paraId="556B1BBF" w14:textId="77777777" w:rsidR="005C2FA7" w:rsidRPr="005C2FA7" w:rsidRDefault="005C2FA7" w:rsidP="005C2FA7">
            <w:pPr>
              <w:spacing w:before="60" w:after="60" w:line="259" w:lineRule="auto"/>
              <w:jc w:val="center"/>
              <w:rPr>
                <w:rFonts w:ascii="Calibri" w:eastAsia="Cambria" w:hAnsi="Calibri" w:cs="Calibri"/>
                <w:iCs/>
                <w:highlight w:val="yellow"/>
              </w:rPr>
            </w:pPr>
          </w:p>
        </w:tc>
        <w:tc>
          <w:tcPr>
            <w:tcW w:w="1081" w:type="dxa"/>
            <w:tcBorders>
              <w:top w:val="nil"/>
              <w:bottom w:val="nil"/>
            </w:tcBorders>
          </w:tcPr>
          <w:p w14:paraId="09144143"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bottom w:val="nil"/>
            </w:tcBorders>
          </w:tcPr>
          <w:p w14:paraId="691856C4" w14:textId="77777777" w:rsidR="005C2FA7" w:rsidRPr="005C2FA7" w:rsidRDefault="005C2FA7" w:rsidP="005C2FA7">
            <w:pPr>
              <w:spacing w:before="60" w:after="60" w:line="259" w:lineRule="auto"/>
              <w:jc w:val="center"/>
              <w:rPr>
                <w:rFonts w:ascii="Calibri" w:eastAsia="Cambria" w:hAnsi="Calibri" w:cs="Calibri"/>
                <w:iCs/>
              </w:rPr>
            </w:pPr>
            <w:r w:rsidRPr="005C2FA7">
              <w:rPr>
                <w:rFonts w:ascii="Calibri" w:eastAsia="Calibri" w:hAnsi="Calibri" w:cs="Calibri"/>
              </w:rPr>
              <w:t>2065</w:t>
            </w:r>
          </w:p>
        </w:tc>
        <w:tc>
          <w:tcPr>
            <w:tcW w:w="1081" w:type="dxa"/>
            <w:tcBorders>
              <w:top w:val="nil"/>
              <w:bottom w:val="nil"/>
            </w:tcBorders>
          </w:tcPr>
          <w:p w14:paraId="65C59C94" w14:textId="77777777" w:rsidR="005C2FA7" w:rsidRPr="005C2FA7" w:rsidRDefault="005C2FA7" w:rsidP="005C2FA7">
            <w:pPr>
              <w:spacing w:before="60" w:after="60" w:line="259" w:lineRule="auto"/>
              <w:jc w:val="center"/>
              <w:rPr>
                <w:rFonts w:ascii="Calibri" w:eastAsia="Cambria" w:hAnsi="Calibri" w:cs="Calibri"/>
                <w:iCs/>
              </w:rPr>
            </w:pPr>
            <w:r w:rsidRPr="005C2FA7">
              <w:rPr>
                <w:rFonts w:ascii="Calibri" w:eastAsia="Cambria" w:hAnsi="Calibri" w:cs="Calibri"/>
                <w:iCs/>
              </w:rPr>
              <w:t>74</w:t>
            </w:r>
          </w:p>
        </w:tc>
      </w:tr>
      <w:tr w:rsidR="005C2FA7" w:rsidRPr="005C2FA7" w14:paraId="715262CB" w14:textId="77777777" w:rsidTr="00A250CF">
        <w:tc>
          <w:tcPr>
            <w:tcW w:w="3085" w:type="dxa"/>
            <w:tcBorders>
              <w:top w:val="nil"/>
              <w:left w:val="nil"/>
              <w:bottom w:val="nil"/>
              <w:right w:val="nil"/>
            </w:tcBorders>
            <w:shd w:val="clear" w:color="auto" w:fill="auto"/>
          </w:tcPr>
          <w:p w14:paraId="5EC45EBB" w14:textId="77777777" w:rsidR="005C2FA7" w:rsidRPr="005C2FA7" w:rsidRDefault="005C2FA7" w:rsidP="005C2FA7">
            <w:pPr>
              <w:spacing w:before="60" w:after="60" w:line="259" w:lineRule="auto"/>
              <w:rPr>
                <w:rFonts w:ascii="Calibri" w:eastAsia="Cambria" w:hAnsi="Calibri" w:cs="Calibri"/>
                <w:highlight w:val="yellow"/>
              </w:rPr>
            </w:pPr>
            <w:r w:rsidRPr="005C2FA7">
              <w:rPr>
                <w:rFonts w:ascii="Calibri" w:eastAsia="Cambria" w:hAnsi="Calibri" w:cs="Calibri"/>
              </w:rPr>
              <w:t>Age at recruitment (years)</w:t>
            </w:r>
          </w:p>
        </w:tc>
        <w:tc>
          <w:tcPr>
            <w:tcW w:w="980" w:type="dxa"/>
            <w:tcBorders>
              <w:top w:val="nil"/>
              <w:left w:val="nil"/>
              <w:bottom w:val="nil"/>
              <w:right w:val="nil"/>
            </w:tcBorders>
            <w:shd w:val="clear" w:color="auto" w:fill="auto"/>
          </w:tcPr>
          <w:p w14:paraId="2E731C67"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52.3</w:t>
            </w:r>
          </w:p>
        </w:tc>
        <w:tc>
          <w:tcPr>
            <w:tcW w:w="1081" w:type="dxa"/>
            <w:tcBorders>
              <w:top w:val="nil"/>
              <w:left w:val="nil"/>
              <w:bottom w:val="nil"/>
              <w:right w:val="nil"/>
            </w:tcBorders>
            <w:shd w:val="clear" w:color="auto" w:fill="auto"/>
          </w:tcPr>
          <w:p w14:paraId="1115678C"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7.8</w:t>
            </w:r>
          </w:p>
        </w:tc>
        <w:tc>
          <w:tcPr>
            <w:tcW w:w="1081" w:type="dxa"/>
            <w:tcBorders>
              <w:top w:val="nil"/>
              <w:left w:val="nil"/>
              <w:bottom w:val="nil"/>
              <w:right w:val="nil"/>
            </w:tcBorders>
          </w:tcPr>
          <w:p w14:paraId="7D322E50"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33-79</w:t>
            </w:r>
          </w:p>
        </w:tc>
        <w:tc>
          <w:tcPr>
            <w:tcW w:w="1081" w:type="dxa"/>
            <w:tcBorders>
              <w:top w:val="nil"/>
              <w:left w:val="nil"/>
              <w:bottom w:val="nil"/>
              <w:right w:val="nil"/>
            </w:tcBorders>
          </w:tcPr>
          <w:p w14:paraId="0927A5B5" w14:textId="77777777" w:rsidR="005C2FA7" w:rsidRPr="005C2FA7" w:rsidRDefault="005C2FA7" w:rsidP="005C2FA7">
            <w:pPr>
              <w:spacing w:before="60" w:after="60" w:line="259" w:lineRule="auto"/>
              <w:jc w:val="center"/>
              <w:rPr>
                <w:rFonts w:ascii="Calibri" w:eastAsia="Cambria" w:hAnsi="Calibri" w:cs="Calibri"/>
                <w:highlight w:val="yellow"/>
              </w:rPr>
            </w:pPr>
            <w:r w:rsidRPr="005C2FA7">
              <w:rPr>
                <w:rFonts w:ascii="Calibri" w:eastAsia="Cambria" w:hAnsi="Calibri" w:cs="Calibri"/>
              </w:rPr>
              <w:t>2783</w:t>
            </w:r>
          </w:p>
        </w:tc>
        <w:tc>
          <w:tcPr>
            <w:tcW w:w="1081" w:type="dxa"/>
            <w:tcBorders>
              <w:top w:val="nil"/>
              <w:left w:val="nil"/>
              <w:bottom w:val="nil"/>
              <w:right w:val="nil"/>
            </w:tcBorders>
          </w:tcPr>
          <w:p w14:paraId="510CC0EF" w14:textId="77777777" w:rsidR="005C2FA7" w:rsidRPr="005C2FA7" w:rsidRDefault="005C2FA7" w:rsidP="005C2FA7">
            <w:pPr>
              <w:spacing w:before="60" w:after="60" w:line="259" w:lineRule="auto"/>
              <w:jc w:val="center"/>
              <w:rPr>
                <w:rFonts w:ascii="Calibri" w:eastAsia="Cambria" w:hAnsi="Calibri" w:cs="Calibri"/>
                <w:highlight w:val="yellow"/>
              </w:rPr>
            </w:pPr>
          </w:p>
        </w:tc>
      </w:tr>
      <w:tr w:rsidR="005C2FA7" w:rsidRPr="005C2FA7" w14:paraId="1B31A85C" w14:textId="77777777" w:rsidTr="00A250CF">
        <w:tc>
          <w:tcPr>
            <w:tcW w:w="3085" w:type="dxa"/>
            <w:tcBorders>
              <w:top w:val="nil"/>
              <w:left w:val="nil"/>
              <w:bottom w:val="nil"/>
              <w:right w:val="nil"/>
            </w:tcBorders>
          </w:tcPr>
          <w:p w14:paraId="00A4FB03" w14:textId="77777777" w:rsidR="005C2FA7" w:rsidRPr="005C2FA7" w:rsidRDefault="005C2FA7" w:rsidP="005C2FA7">
            <w:pPr>
              <w:spacing w:before="60" w:after="60" w:line="259" w:lineRule="auto"/>
              <w:rPr>
                <w:rFonts w:ascii="Calibri" w:eastAsia="Cambria" w:hAnsi="Calibri" w:cs="Calibri"/>
                <w:highlight w:val="yellow"/>
              </w:rPr>
            </w:pPr>
            <w:r w:rsidRPr="005C2FA7">
              <w:rPr>
                <w:rFonts w:ascii="Calibri" w:eastAsia="Cambria" w:hAnsi="Calibri" w:cs="Calibri"/>
              </w:rPr>
              <w:t>Age at baseline (years)</w:t>
            </w:r>
          </w:p>
        </w:tc>
        <w:tc>
          <w:tcPr>
            <w:tcW w:w="980" w:type="dxa"/>
            <w:tcBorders>
              <w:top w:val="nil"/>
              <w:left w:val="nil"/>
              <w:bottom w:val="nil"/>
              <w:right w:val="nil"/>
            </w:tcBorders>
          </w:tcPr>
          <w:p w14:paraId="543E5FE8"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73.2</w:t>
            </w:r>
          </w:p>
        </w:tc>
        <w:tc>
          <w:tcPr>
            <w:tcW w:w="1081" w:type="dxa"/>
            <w:tcBorders>
              <w:top w:val="nil"/>
              <w:left w:val="nil"/>
              <w:bottom w:val="nil"/>
              <w:right w:val="nil"/>
            </w:tcBorders>
          </w:tcPr>
          <w:p w14:paraId="77F21B80"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7.8</w:t>
            </w:r>
          </w:p>
        </w:tc>
        <w:tc>
          <w:tcPr>
            <w:tcW w:w="1081" w:type="dxa"/>
            <w:tcBorders>
              <w:top w:val="nil"/>
              <w:left w:val="nil"/>
              <w:bottom w:val="nil"/>
              <w:right w:val="nil"/>
            </w:tcBorders>
          </w:tcPr>
          <w:p w14:paraId="1E15E919"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53-99</w:t>
            </w:r>
          </w:p>
        </w:tc>
        <w:tc>
          <w:tcPr>
            <w:tcW w:w="1081" w:type="dxa"/>
            <w:tcBorders>
              <w:top w:val="nil"/>
              <w:left w:val="nil"/>
              <w:bottom w:val="nil"/>
              <w:right w:val="nil"/>
            </w:tcBorders>
          </w:tcPr>
          <w:p w14:paraId="499C37A0"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2783</w:t>
            </w:r>
          </w:p>
        </w:tc>
        <w:tc>
          <w:tcPr>
            <w:tcW w:w="1081" w:type="dxa"/>
            <w:tcBorders>
              <w:top w:val="nil"/>
              <w:left w:val="nil"/>
              <w:bottom w:val="nil"/>
              <w:right w:val="nil"/>
            </w:tcBorders>
          </w:tcPr>
          <w:p w14:paraId="090EE346" w14:textId="77777777" w:rsidR="005C2FA7" w:rsidRPr="005C2FA7" w:rsidRDefault="005C2FA7" w:rsidP="005C2FA7">
            <w:pPr>
              <w:spacing w:before="60" w:after="60" w:line="259" w:lineRule="auto"/>
              <w:jc w:val="center"/>
              <w:rPr>
                <w:rFonts w:ascii="Calibri" w:eastAsia="Cambria" w:hAnsi="Calibri" w:cs="Calibri"/>
                <w:highlight w:val="yellow"/>
              </w:rPr>
            </w:pPr>
          </w:p>
        </w:tc>
      </w:tr>
      <w:tr w:rsidR="005C2FA7" w:rsidRPr="005C2FA7" w14:paraId="47EAD529" w14:textId="77777777" w:rsidTr="00A250CF">
        <w:tc>
          <w:tcPr>
            <w:tcW w:w="3085" w:type="dxa"/>
            <w:tcBorders>
              <w:top w:val="nil"/>
              <w:left w:val="nil"/>
              <w:bottom w:val="nil"/>
              <w:right w:val="nil"/>
            </w:tcBorders>
            <w:shd w:val="clear" w:color="auto" w:fill="auto"/>
          </w:tcPr>
          <w:p w14:paraId="5B14802D" w14:textId="77777777" w:rsidR="005C2FA7" w:rsidRPr="005C2FA7" w:rsidRDefault="005C2FA7" w:rsidP="005C2FA7">
            <w:pPr>
              <w:spacing w:before="60" w:after="60" w:line="259" w:lineRule="auto"/>
              <w:rPr>
                <w:rFonts w:ascii="Calibri" w:eastAsia="Cambria" w:hAnsi="Calibri" w:cs="Calibri"/>
                <w:highlight w:val="yellow"/>
              </w:rPr>
            </w:pPr>
            <w:r w:rsidRPr="005C2FA7">
              <w:rPr>
                <w:rFonts w:ascii="Calibri" w:eastAsia="Cambria" w:hAnsi="Calibri" w:cs="Calibri"/>
              </w:rPr>
              <w:t>Previous MOF</w:t>
            </w:r>
          </w:p>
        </w:tc>
        <w:tc>
          <w:tcPr>
            <w:tcW w:w="980" w:type="dxa"/>
            <w:tcBorders>
              <w:top w:val="nil"/>
              <w:left w:val="nil"/>
              <w:bottom w:val="nil"/>
              <w:right w:val="nil"/>
            </w:tcBorders>
          </w:tcPr>
          <w:p w14:paraId="3C862560"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0154A45A"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2731C752"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3BB8583A" w14:textId="2166F6A8" w:rsidR="005C2FA7" w:rsidRPr="005C2FA7" w:rsidRDefault="001B654E" w:rsidP="005C2FA7">
            <w:pPr>
              <w:spacing w:before="60" w:after="60" w:line="259" w:lineRule="auto"/>
              <w:jc w:val="center"/>
              <w:rPr>
                <w:rFonts w:ascii="Calibri" w:eastAsia="Cambria" w:hAnsi="Calibri" w:cs="Calibri"/>
              </w:rPr>
            </w:pPr>
            <w:r w:rsidRPr="001B654E">
              <w:rPr>
                <w:rFonts w:ascii="Calibri" w:eastAsia="Cambria" w:hAnsi="Calibri" w:cs="Calibri"/>
              </w:rPr>
              <w:t>2123</w:t>
            </w:r>
          </w:p>
        </w:tc>
        <w:tc>
          <w:tcPr>
            <w:tcW w:w="1081" w:type="dxa"/>
            <w:tcBorders>
              <w:top w:val="nil"/>
              <w:left w:val="nil"/>
              <w:bottom w:val="nil"/>
              <w:right w:val="nil"/>
            </w:tcBorders>
            <w:shd w:val="clear" w:color="auto" w:fill="auto"/>
          </w:tcPr>
          <w:p w14:paraId="2A1D7A55"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76.3</w:t>
            </w:r>
          </w:p>
        </w:tc>
      </w:tr>
      <w:tr w:rsidR="005C2FA7" w:rsidRPr="005C2FA7" w14:paraId="0B0ABF93" w14:textId="77777777" w:rsidTr="00A250CF">
        <w:tc>
          <w:tcPr>
            <w:tcW w:w="3085" w:type="dxa"/>
            <w:tcBorders>
              <w:top w:val="nil"/>
              <w:left w:val="nil"/>
              <w:bottom w:val="nil"/>
              <w:right w:val="nil"/>
            </w:tcBorders>
            <w:shd w:val="clear" w:color="auto" w:fill="auto"/>
          </w:tcPr>
          <w:p w14:paraId="17006E46" w14:textId="77777777" w:rsidR="005C2FA7" w:rsidRPr="005C2FA7" w:rsidRDefault="005C2FA7" w:rsidP="005C2FA7">
            <w:pPr>
              <w:spacing w:before="60" w:after="60" w:line="259" w:lineRule="auto"/>
              <w:rPr>
                <w:rFonts w:ascii="Calibri" w:eastAsia="Cambria" w:hAnsi="Calibri" w:cs="Calibri"/>
              </w:rPr>
            </w:pPr>
            <w:r w:rsidRPr="005C2FA7">
              <w:rPr>
                <w:rFonts w:ascii="Calibri" w:eastAsia="Cambria" w:hAnsi="Calibri" w:cs="Calibri"/>
              </w:rPr>
              <w:t>Number of prior fractures</w:t>
            </w:r>
          </w:p>
        </w:tc>
        <w:tc>
          <w:tcPr>
            <w:tcW w:w="980" w:type="dxa"/>
            <w:tcBorders>
              <w:top w:val="nil"/>
              <w:left w:val="nil"/>
              <w:bottom w:val="nil"/>
              <w:right w:val="nil"/>
            </w:tcBorders>
          </w:tcPr>
          <w:p w14:paraId="069327E2"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566DC245"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4BC2C19C" w14:textId="77777777" w:rsidR="005C2FA7" w:rsidRPr="005C2FA7" w:rsidRDefault="005C2FA7" w:rsidP="005C2FA7">
            <w:pPr>
              <w:spacing w:before="60" w:after="60" w:line="259" w:lineRule="auto"/>
              <w:jc w:val="center"/>
              <w:rPr>
                <w:rFonts w:ascii="Calibri" w:eastAsia="Cambria" w:hAnsi="Calibri" w:cs="Calibri"/>
                <w:highlight w:val="yellow"/>
              </w:rPr>
            </w:pPr>
          </w:p>
        </w:tc>
        <w:tc>
          <w:tcPr>
            <w:tcW w:w="1081" w:type="dxa"/>
            <w:tcBorders>
              <w:top w:val="nil"/>
              <w:left w:val="nil"/>
              <w:bottom w:val="nil"/>
              <w:right w:val="nil"/>
            </w:tcBorders>
          </w:tcPr>
          <w:p w14:paraId="098A50C5"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shd w:val="clear" w:color="auto" w:fill="auto"/>
          </w:tcPr>
          <w:p w14:paraId="1A4959E7" w14:textId="77777777" w:rsidR="005C2FA7" w:rsidRPr="005C2FA7" w:rsidRDefault="005C2FA7" w:rsidP="005C2FA7">
            <w:pPr>
              <w:spacing w:before="60" w:after="60" w:line="259" w:lineRule="auto"/>
              <w:jc w:val="center"/>
              <w:rPr>
                <w:rFonts w:ascii="Calibri" w:eastAsia="Cambria" w:hAnsi="Calibri" w:cs="Calibri"/>
              </w:rPr>
            </w:pPr>
          </w:p>
        </w:tc>
      </w:tr>
      <w:tr w:rsidR="005C2FA7" w:rsidRPr="005C2FA7" w14:paraId="6F3BF4DA" w14:textId="77777777" w:rsidTr="00A250CF">
        <w:tc>
          <w:tcPr>
            <w:tcW w:w="3085" w:type="dxa"/>
            <w:tcBorders>
              <w:top w:val="nil"/>
              <w:left w:val="nil"/>
              <w:bottom w:val="nil"/>
              <w:right w:val="nil"/>
            </w:tcBorders>
          </w:tcPr>
          <w:p w14:paraId="366416E9"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1</w:t>
            </w:r>
          </w:p>
        </w:tc>
        <w:tc>
          <w:tcPr>
            <w:tcW w:w="980" w:type="dxa"/>
            <w:tcBorders>
              <w:top w:val="nil"/>
              <w:left w:val="nil"/>
              <w:bottom w:val="nil"/>
              <w:right w:val="nil"/>
            </w:tcBorders>
          </w:tcPr>
          <w:p w14:paraId="38CFBE70"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14C9A7B5"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17337624"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2C47FD13"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1907</w:t>
            </w:r>
          </w:p>
        </w:tc>
        <w:tc>
          <w:tcPr>
            <w:tcW w:w="1081" w:type="dxa"/>
            <w:tcBorders>
              <w:top w:val="nil"/>
              <w:left w:val="nil"/>
              <w:bottom w:val="nil"/>
              <w:right w:val="nil"/>
            </w:tcBorders>
          </w:tcPr>
          <w:p w14:paraId="60C48C01"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68.5</w:t>
            </w:r>
          </w:p>
        </w:tc>
      </w:tr>
      <w:tr w:rsidR="005C2FA7" w:rsidRPr="005C2FA7" w14:paraId="0EA2120B" w14:textId="77777777" w:rsidTr="00A250CF">
        <w:tc>
          <w:tcPr>
            <w:tcW w:w="3085" w:type="dxa"/>
            <w:tcBorders>
              <w:top w:val="nil"/>
              <w:left w:val="nil"/>
              <w:bottom w:val="nil"/>
              <w:right w:val="nil"/>
            </w:tcBorders>
          </w:tcPr>
          <w:p w14:paraId="6A2D3E03"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2</w:t>
            </w:r>
          </w:p>
        </w:tc>
        <w:tc>
          <w:tcPr>
            <w:tcW w:w="980" w:type="dxa"/>
            <w:tcBorders>
              <w:top w:val="nil"/>
              <w:left w:val="nil"/>
              <w:bottom w:val="nil"/>
              <w:right w:val="nil"/>
            </w:tcBorders>
          </w:tcPr>
          <w:p w14:paraId="64B0EBCE"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72531B32"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79473370"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3B8D4DA4" w14:textId="77777777" w:rsidR="005C2FA7" w:rsidRPr="005C2FA7" w:rsidRDefault="005C2FA7" w:rsidP="005C2FA7">
            <w:pPr>
              <w:spacing w:before="60" w:after="60" w:line="259" w:lineRule="auto"/>
              <w:jc w:val="center"/>
              <w:rPr>
                <w:rFonts w:ascii="Calibri" w:eastAsia="Calibri" w:hAnsi="Calibri" w:cs="Calibri"/>
              </w:rPr>
            </w:pPr>
            <w:r w:rsidRPr="005C2FA7">
              <w:rPr>
                <w:rFonts w:ascii="Calibri" w:eastAsia="Calibri" w:hAnsi="Calibri" w:cs="Calibri"/>
              </w:rPr>
              <w:t>586</w:t>
            </w:r>
          </w:p>
        </w:tc>
        <w:tc>
          <w:tcPr>
            <w:tcW w:w="1081" w:type="dxa"/>
            <w:tcBorders>
              <w:top w:val="nil"/>
              <w:left w:val="nil"/>
              <w:bottom w:val="nil"/>
              <w:right w:val="nil"/>
            </w:tcBorders>
          </w:tcPr>
          <w:p w14:paraId="36E87375"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21.1</w:t>
            </w:r>
          </w:p>
        </w:tc>
      </w:tr>
      <w:tr w:rsidR="005C2FA7" w:rsidRPr="005C2FA7" w14:paraId="3AEE217E" w14:textId="77777777" w:rsidTr="00A250CF">
        <w:tc>
          <w:tcPr>
            <w:tcW w:w="3085" w:type="dxa"/>
            <w:tcBorders>
              <w:top w:val="nil"/>
              <w:left w:val="nil"/>
              <w:bottom w:val="nil"/>
              <w:right w:val="nil"/>
            </w:tcBorders>
          </w:tcPr>
          <w:p w14:paraId="7A9AEEDC" w14:textId="77777777"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3</w:t>
            </w:r>
          </w:p>
        </w:tc>
        <w:tc>
          <w:tcPr>
            <w:tcW w:w="980" w:type="dxa"/>
            <w:tcBorders>
              <w:top w:val="nil"/>
              <w:left w:val="nil"/>
              <w:bottom w:val="nil"/>
              <w:right w:val="nil"/>
            </w:tcBorders>
          </w:tcPr>
          <w:p w14:paraId="24CA56F9"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01775B6A"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5AFA9386"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59FA675A" w14:textId="77777777" w:rsidR="005C2FA7" w:rsidRPr="005C2FA7" w:rsidRDefault="005C2FA7" w:rsidP="005C2FA7">
            <w:pPr>
              <w:spacing w:before="60" w:after="60" w:line="259" w:lineRule="auto"/>
              <w:jc w:val="center"/>
              <w:rPr>
                <w:rFonts w:ascii="Calibri" w:eastAsia="Calibri" w:hAnsi="Calibri" w:cs="Calibri"/>
              </w:rPr>
            </w:pPr>
            <w:r w:rsidRPr="005C2FA7">
              <w:rPr>
                <w:rFonts w:ascii="Calibri" w:eastAsia="Calibri" w:hAnsi="Calibri" w:cs="Calibri"/>
              </w:rPr>
              <w:t>179</w:t>
            </w:r>
          </w:p>
        </w:tc>
        <w:tc>
          <w:tcPr>
            <w:tcW w:w="1081" w:type="dxa"/>
            <w:tcBorders>
              <w:top w:val="nil"/>
              <w:left w:val="nil"/>
              <w:bottom w:val="nil"/>
              <w:right w:val="nil"/>
            </w:tcBorders>
          </w:tcPr>
          <w:p w14:paraId="765BCDAB"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6.4</w:t>
            </w:r>
          </w:p>
        </w:tc>
      </w:tr>
      <w:tr w:rsidR="005C2FA7" w:rsidRPr="005C2FA7" w14:paraId="13785EB5" w14:textId="77777777" w:rsidTr="00A250CF">
        <w:tc>
          <w:tcPr>
            <w:tcW w:w="3085" w:type="dxa"/>
            <w:tcBorders>
              <w:top w:val="nil"/>
              <w:left w:val="nil"/>
              <w:bottom w:val="nil"/>
              <w:right w:val="nil"/>
            </w:tcBorders>
          </w:tcPr>
          <w:p w14:paraId="5C87A8BA" w14:textId="7B7D3DE6" w:rsidR="005C2FA7" w:rsidRPr="005C2FA7" w:rsidRDefault="005C2FA7" w:rsidP="005C2FA7">
            <w:pPr>
              <w:spacing w:before="60" w:after="60" w:line="259" w:lineRule="auto"/>
              <w:rPr>
                <w:rFonts w:ascii="Calibri" w:eastAsia="Calibri" w:hAnsi="Calibri" w:cs="Calibri"/>
              </w:rPr>
            </w:pPr>
            <w:r w:rsidRPr="005C2FA7">
              <w:rPr>
                <w:rFonts w:ascii="Calibri" w:eastAsia="Calibri" w:hAnsi="Calibri" w:cs="Calibri"/>
              </w:rPr>
              <w:t xml:space="preserve">    </w:t>
            </w:r>
            <w:r w:rsidR="000D4958" w:rsidRPr="000D4958">
              <w:rPr>
                <w:rFonts w:ascii="Calibri" w:eastAsia="Calibri" w:hAnsi="Calibri" w:cs="Calibri"/>
                <w:u w:val="single"/>
              </w:rPr>
              <w:t>&gt;</w:t>
            </w:r>
            <w:r w:rsidRPr="005C2FA7">
              <w:rPr>
                <w:rFonts w:ascii="Calibri" w:eastAsia="Calibri" w:hAnsi="Calibri" w:cs="Calibri"/>
              </w:rPr>
              <w:t xml:space="preserve"> 4</w:t>
            </w:r>
          </w:p>
        </w:tc>
        <w:tc>
          <w:tcPr>
            <w:tcW w:w="980" w:type="dxa"/>
            <w:tcBorders>
              <w:top w:val="nil"/>
              <w:left w:val="nil"/>
              <w:bottom w:val="nil"/>
              <w:right w:val="nil"/>
            </w:tcBorders>
          </w:tcPr>
          <w:p w14:paraId="5B60CC1F"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2B83B853"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tcPr>
          <w:p w14:paraId="774313AD"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tcPr>
          <w:p w14:paraId="6356D7A5" w14:textId="0834647E" w:rsidR="005C2FA7" w:rsidRPr="005C2FA7" w:rsidRDefault="00033878" w:rsidP="005C2FA7">
            <w:pPr>
              <w:spacing w:before="60" w:after="60" w:line="259" w:lineRule="auto"/>
              <w:jc w:val="center"/>
              <w:rPr>
                <w:rFonts w:ascii="Calibri" w:eastAsia="Calibri" w:hAnsi="Calibri" w:cs="Calibri"/>
              </w:rPr>
            </w:pPr>
            <w:r>
              <w:rPr>
                <w:rFonts w:ascii="Calibri" w:eastAsia="Calibri" w:hAnsi="Calibri" w:cs="Calibri"/>
              </w:rPr>
              <w:t>111</w:t>
            </w:r>
          </w:p>
        </w:tc>
        <w:tc>
          <w:tcPr>
            <w:tcW w:w="1081" w:type="dxa"/>
            <w:tcBorders>
              <w:top w:val="nil"/>
              <w:left w:val="nil"/>
              <w:bottom w:val="nil"/>
              <w:right w:val="nil"/>
            </w:tcBorders>
          </w:tcPr>
          <w:p w14:paraId="159BC244" w14:textId="03CA5E22" w:rsidR="005C2FA7" w:rsidRPr="005C2FA7" w:rsidRDefault="00554086" w:rsidP="005C2FA7">
            <w:pPr>
              <w:spacing w:before="60" w:after="60" w:line="259" w:lineRule="auto"/>
              <w:jc w:val="center"/>
              <w:rPr>
                <w:rFonts w:ascii="Calibri" w:eastAsia="Cambria" w:hAnsi="Calibri" w:cs="Calibri"/>
              </w:rPr>
            </w:pPr>
            <w:r>
              <w:rPr>
                <w:rFonts w:ascii="Calibri" w:eastAsia="Cambria" w:hAnsi="Calibri" w:cs="Calibri"/>
              </w:rPr>
              <w:t>4</w:t>
            </w:r>
            <w:r w:rsidR="00D85406">
              <w:rPr>
                <w:rFonts w:ascii="Calibri" w:eastAsia="Cambria" w:hAnsi="Calibri" w:cs="Calibri"/>
              </w:rPr>
              <w:t>.1</w:t>
            </w:r>
          </w:p>
        </w:tc>
      </w:tr>
      <w:tr w:rsidR="00850836" w:rsidRPr="005C2FA7" w14:paraId="052FE300" w14:textId="77777777" w:rsidTr="00A250CF">
        <w:tc>
          <w:tcPr>
            <w:tcW w:w="3085" w:type="dxa"/>
            <w:tcBorders>
              <w:top w:val="nil"/>
              <w:left w:val="nil"/>
              <w:bottom w:val="nil"/>
              <w:right w:val="nil"/>
            </w:tcBorders>
          </w:tcPr>
          <w:p w14:paraId="546CEEC5" w14:textId="77777777" w:rsidR="00850836" w:rsidRPr="005C2FA7" w:rsidRDefault="00850836" w:rsidP="00850836">
            <w:pPr>
              <w:spacing w:before="60" w:after="60" w:line="259" w:lineRule="auto"/>
              <w:rPr>
                <w:rFonts w:ascii="Calibri" w:eastAsia="Cambria" w:hAnsi="Calibri" w:cs="Calibri"/>
                <w:highlight w:val="yellow"/>
              </w:rPr>
            </w:pPr>
            <w:r w:rsidRPr="005C2FA7">
              <w:rPr>
                <w:rFonts w:ascii="Calibri" w:eastAsia="Cambria" w:hAnsi="Calibri" w:cs="Calibri"/>
              </w:rPr>
              <w:t>Follow up (years)</w:t>
            </w:r>
          </w:p>
        </w:tc>
        <w:tc>
          <w:tcPr>
            <w:tcW w:w="980" w:type="dxa"/>
            <w:tcBorders>
              <w:top w:val="nil"/>
              <w:left w:val="nil"/>
              <w:bottom w:val="nil"/>
              <w:right w:val="nil"/>
            </w:tcBorders>
          </w:tcPr>
          <w:p w14:paraId="7210EB95" w14:textId="570D4145" w:rsidR="00850836" w:rsidRPr="007D6E21" w:rsidRDefault="00850836" w:rsidP="00850836">
            <w:pPr>
              <w:spacing w:before="60" w:after="60" w:line="259" w:lineRule="auto"/>
              <w:jc w:val="center"/>
              <w:rPr>
                <w:rFonts w:ascii="Calibri" w:eastAsia="Cambria" w:hAnsi="Calibri" w:cs="Calibri"/>
              </w:rPr>
            </w:pPr>
            <w:r w:rsidRPr="007D6E21">
              <w:rPr>
                <w:rFonts w:ascii="Calibri" w:eastAsia="Cambria" w:hAnsi="Calibri" w:cs="Calibri"/>
              </w:rPr>
              <w:t>11.2</w:t>
            </w:r>
          </w:p>
        </w:tc>
        <w:tc>
          <w:tcPr>
            <w:tcW w:w="1081" w:type="dxa"/>
            <w:tcBorders>
              <w:top w:val="nil"/>
              <w:left w:val="nil"/>
              <w:bottom w:val="nil"/>
              <w:right w:val="nil"/>
            </w:tcBorders>
          </w:tcPr>
          <w:p w14:paraId="0E2AA22D" w14:textId="0629830F" w:rsidR="00850836" w:rsidRPr="007D6E21" w:rsidRDefault="00850836" w:rsidP="00850836">
            <w:pPr>
              <w:spacing w:before="60" w:after="60" w:line="259" w:lineRule="auto"/>
              <w:jc w:val="center"/>
              <w:rPr>
                <w:rFonts w:ascii="Calibri" w:eastAsia="Cambria" w:hAnsi="Calibri" w:cs="Calibri"/>
              </w:rPr>
            </w:pPr>
            <w:r w:rsidRPr="007D6E21">
              <w:rPr>
                <w:rFonts w:ascii="Calibri" w:eastAsia="Cambria" w:hAnsi="Calibri" w:cs="Calibri"/>
              </w:rPr>
              <w:t>6.8</w:t>
            </w:r>
          </w:p>
        </w:tc>
        <w:tc>
          <w:tcPr>
            <w:tcW w:w="1081" w:type="dxa"/>
            <w:tcBorders>
              <w:top w:val="nil"/>
              <w:left w:val="nil"/>
              <w:bottom w:val="nil"/>
              <w:right w:val="nil"/>
            </w:tcBorders>
          </w:tcPr>
          <w:p w14:paraId="149C5352" w14:textId="617453C9" w:rsidR="00850836" w:rsidRPr="007D6E21" w:rsidRDefault="00850836" w:rsidP="00850836">
            <w:pPr>
              <w:spacing w:before="60" w:after="60" w:line="259" w:lineRule="auto"/>
              <w:jc w:val="center"/>
              <w:rPr>
                <w:rFonts w:ascii="Calibri" w:eastAsia="Calibri" w:hAnsi="Calibri" w:cs="Calibri"/>
              </w:rPr>
            </w:pPr>
            <w:r w:rsidRPr="007D6E21">
              <w:rPr>
                <w:rFonts w:ascii="Calibri" w:eastAsia="Calibri" w:hAnsi="Calibri" w:cs="Calibri"/>
              </w:rPr>
              <w:t>0.0-25.1</w:t>
            </w:r>
          </w:p>
        </w:tc>
        <w:tc>
          <w:tcPr>
            <w:tcW w:w="1081" w:type="dxa"/>
            <w:tcBorders>
              <w:top w:val="nil"/>
              <w:left w:val="nil"/>
              <w:bottom w:val="nil"/>
              <w:right w:val="nil"/>
            </w:tcBorders>
          </w:tcPr>
          <w:p w14:paraId="4C352264" w14:textId="46BF270E" w:rsidR="00850836" w:rsidRPr="007D6E21" w:rsidRDefault="00850836" w:rsidP="00850836">
            <w:pPr>
              <w:spacing w:before="60" w:after="60" w:line="259" w:lineRule="auto"/>
              <w:jc w:val="center"/>
              <w:rPr>
                <w:rFonts w:ascii="Calibri" w:eastAsia="Cambria" w:hAnsi="Calibri" w:cs="Calibri"/>
              </w:rPr>
            </w:pPr>
            <w:r w:rsidRPr="007D6E21">
              <w:rPr>
                <w:rFonts w:ascii="Calibri" w:eastAsia="Cambria" w:hAnsi="Calibri" w:cs="Calibri"/>
              </w:rPr>
              <w:t>2783</w:t>
            </w:r>
          </w:p>
        </w:tc>
        <w:tc>
          <w:tcPr>
            <w:tcW w:w="1081" w:type="dxa"/>
            <w:tcBorders>
              <w:top w:val="nil"/>
              <w:left w:val="nil"/>
              <w:bottom w:val="nil"/>
              <w:right w:val="nil"/>
            </w:tcBorders>
          </w:tcPr>
          <w:p w14:paraId="2D75399C" w14:textId="1FFBD62D" w:rsidR="00850836" w:rsidRPr="007D6E21" w:rsidRDefault="00850836" w:rsidP="00850836">
            <w:pPr>
              <w:spacing w:before="60" w:after="60" w:line="259" w:lineRule="auto"/>
              <w:jc w:val="center"/>
              <w:rPr>
                <w:rFonts w:ascii="Calibri" w:eastAsia="Cambria" w:hAnsi="Calibri" w:cs="Calibri"/>
              </w:rPr>
            </w:pPr>
          </w:p>
        </w:tc>
      </w:tr>
      <w:tr w:rsidR="005C2FA7" w:rsidRPr="005C2FA7" w14:paraId="570E71FE" w14:textId="77777777" w:rsidTr="00A250CF">
        <w:tc>
          <w:tcPr>
            <w:tcW w:w="3085" w:type="dxa"/>
            <w:tcBorders>
              <w:top w:val="nil"/>
              <w:left w:val="nil"/>
              <w:bottom w:val="nil"/>
              <w:right w:val="nil"/>
            </w:tcBorders>
            <w:shd w:val="clear" w:color="auto" w:fill="auto"/>
          </w:tcPr>
          <w:p w14:paraId="19243BDD" w14:textId="77777777" w:rsidR="005C2FA7" w:rsidRPr="005C2FA7" w:rsidRDefault="005C2FA7" w:rsidP="005C2FA7">
            <w:pPr>
              <w:spacing w:before="60" w:after="60" w:line="259" w:lineRule="auto"/>
              <w:rPr>
                <w:rFonts w:ascii="Calibri" w:eastAsia="Cambria" w:hAnsi="Calibri" w:cs="Calibri"/>
              </w:rPr>
            </w:pPr>
            <w:r w:rsidRPr="005C2FA7">
              <w:rPr>
                <w:rFonts w:ascii="Calibri" w:eastAsia="Cambria" w:hAnsi="Calibri" w:cs="Calibri"/>
              </w:rPr>
              <w:t>MOF during follow up</w:t>
            </w:r>
          </w:p>
        </w:tc>
        <w:tc>
          <w:tcPr>
            <w:tcW w:w="980" w:type="dxa"/>
            <w:tcBorders>
              <w:top w:val="nil"/>
              <w:left w:val="nil"/>
              <w:bottom w:val="nil"/>
              <w:right w:val="nil"/>
            </w:tcBorders>
            <w:shd w:val="clear" w:color="auto" w:fill="auto"/>
          </w:tcPr>
          <w:p w14:paraId="1E193DFE"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shd w:val="clear" w:color="auto" w:fill="auto"/>
          </w:tcPr>
          <w:p w14:paraId="496BEF4C"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left w:val="nil"/>
              <w:bottom w:val="nil"/>
              <w:right w:val="nil"/>
            </w:tcBorders>
            <w:shd w:val="clear" w:color="auto" w:fill="auto"/>
          </w:tcPr>
          <w:p w14:paraId="4CC80F06"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left w:val="nil"/>
              <w:bottom w:val="nil"/>
              <w:right w:val="nil"/>
            </w:tcBorders>
            <w:shd w:val="clear" w:color="auto" w:fill="auto"/>
          </w:tcPr>
          <w:p w14:paraId="31F53FE8"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1021</w:t>
            </w:r>
          </w:p>
        </w:tc>
        <w:tc>
          <w:tcPr>
            <w:tcW w:w="1081" w:type="dxa"/>
            <w:tcBorders>
              <w:top w:val="nil"/>
              <w:left w:val="nil"/>
              <w:bottom w:val="nil"/>
              <w:right w:val="nil"/>
            </w:tcBorders>
            <w:shd w:val="clear" w:color="auto" w:fill="auto"/>
          </w:tcPr>
          <w:p w14:paraId="28A1823F"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mbria" w:hAnsi="Calibri" w:cs="Calibri"/>
              </w:rPr>
              <w:t>36.7</w:t>
            </w:r>
          </w:p>
        </w:tc>
      </w:tr>
      <w:tr w:rsidR="005C2FA7" w:rsidRPr="005C2FA7" w14:paraId="52C797E3" w14:textId="77777777" w:rsidTr="00A250CF">
        <w:tc>
          <w:tcPr>
            <w:tcW w:w="3085" w:type="dxa"/>
            <w:tcBorders>
              <w:top w:val="nil"/>
            </w:tcBorders>
            <w:shd w:val="clear" w:color="auto" w:fill="auto"/>
          </w:tcPr>
          <w:p w14:paraId="60380592" w14:textId="77777777" w:rsidR="005C2FA7" w:rsidRPr="005C2FA7" w:rsidRDefault="005C2FA7" w:rsidP="005C2FA7">
            <w:pPr>
              <w:spacing w:before="60" w:after="60" w:line="259" w:lineRule="auto"/>
              <w:rPr>
                <w:rFonts w:ascii="Calibri" w:eastAsia="Cambria" w:hAnsi="Calibri" w:cs="Calibri"/>
              </w:rPr>
            </w:pPr>
            <w:r w:rsidRPr="005C2FA7">
              <w:rPr>
                <w:rFonts w:ascii="Calibri" w:eastAsia="Calibri" w:hAnsi="Calibri" w:cs="Calibri"/>
              </w:rPr>
              <w:t>Hip fracture during follow up</w:t>
            </w:r>
          </w:p>
        </w:tc>
        <w:tc>
          <w:tcPr>
            <w:tcW w:w="980" w:type="dxa"/>
            <w:tcBorders>
              <w:top w:val="nil"/>
            </w:tcBorders>
            <w:shd w:val="clear" w:color="auto" w:fill="auto"/>
          </w:tcPr>
          <w:p w14:paraId="603AAC3F"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tcBorders>
            <w:shd w:val="clear" w:color="auto" w:fill="auto"/>
          </w:tcPr>
          <w:p w14:paraId="45EED08B" w14:textId="77777777" w:rsidR="005C2FA7" w:rsidRPr="005C2FA7" w:rsidRDefault="005C2FA7" w:rsidP="005C2FA7">
            <w:pPr>
              <w:spacing w:before="60" w:after="60" w:line="259" w:lineRule="auto"/>
              <w:jc w:val="center"/>
              <w:rPr>
                <w:rFonts w:ascii="Calibri" w:eastAsia="Cambria" w:hAnsi="Calibri" w:cs="Calibri"/>
              </w:rPr>
            </w:pPr>
          </w:p>
        </w:tc>
        <w:tc>
          <w:tcPr>
            <w:tcW w:w="1081" w:type="dxa"/>
            <w:tcBorders>
              <w:top w:val="nil"/>
            </w:tcBorders>
            <w:shd w:val="clear" w:color="auto" w:fill="auto"/>
          </w:tcPr>
          <w:p w14:paraId="75C32E4C" w14:textId="77777777" w:rsidR="005C2FA7" w:rsidRPr="005C2FA7" w:rsidRDefault="005C2FA7" w:rsidP="005C2FA7">
            <w:pPr>
              <w:spacing w:before="60" w:after="60" w:line="259" w:lineRule="auto"/>
              <w:jc w:val="center"/>
              <w:rPr>
                <w:rFonts w:ascii="Calibri" w:eastAsia="Calibri" w:hAnsi="Calibri" w:cs="Calibri"/>
              </w:rPr>
            </w:pPr>
          </w:p>
        </w:tc>
        <w:tc>
          <w:tcPr>
            <w:tcW w:w="1081" w:type="dxa"/>
            <w:tcBorders>
              <w:top w:val="nil"/>
            </w:tcBorders>
            <w:shd w:val="clear" w:color="auto" w:fill="auto"/>
          </w:tcPr>
          <w:p w14:paraId="5BD41697"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476</w:t>
            </w:r>
          </w:p>
        </w:tc>
        <w:tc>
          <w:tcPr>
            <w:tcW w:w="1081" w:type="dxa"/>
            <w:tcBorders>
              <w:top w:val="nil"/>
            </w:tcBorders>
            <w:shd w:val="clear" w:color="auto" w:fill="auto"/>
          </w:tcPr>
          <w:p w14:paraId="727377CB" w14:textId="77777777" w:rsidR="005C2FA7" w:rsidRPr="005C2FA7" w:rsidRDefault="005C2FA7" w:rsidP="005C2FA7">
            <w:pPr>
              <w:spacing w:before="60" w:after="60" w:line="259" w:lineRule="auto"/>
              <w:jc w:val="center"/>
              <w:rPr>
                <w:rFonts w:ascii="Calibri" w:eastAsia="Cambria" w:hAnsi="Calibri" w:cs="Calibri"/>
              </w:rPr>
            </w:pPr>
            <w:r w:rsidRPr="005C2FA7">
              <w:rPr>
                <w:rFonts w:ascii="Calibri" w:eastAsia="Calibri" w:hAnsi="Calibri" w:cs="Calibri"/>
              </w:rPr>
              <w:t>17.1</w:t>
            </w:r>
          </w:p>
        </w:tc>
      </w:tr>
    </w:tbl>
    <w:p w14:paraId="72F1C74D" w14:textId="32E1F071" w:rsidR="006E04D8" w:rsidRDefault="006E04D8" w:rsidP="00B929FE">
      <w:pPr>
        <w:spacing w:after="160" w:line="276" w:lineRule="auto"/>
        <w:ind w:left="567"/>
        <w:rPr>
          <w:rFonts w:asciiTheme="minorHAnsi" w:hAnsiTheme="minorHAnsi"/>
          <w:bCs/>
        </w:rPr>
      </w:pPr>
    </w:p>
    <w:p w14:paraId="073CFCE3" w14:textId="77777777" w:rsidR="00B31775" w:rsidRDefault="00B31775" w:rsidP="00B929FE">
      <w:pPr>
        <w:spacing w:after="160" w:line="276" w:lineRule="auto"/>
        <w:ind w:left="567"/>
        <w:rPr>
          <w:rFonts w:asciiTheme="minorHAnsi" w:hAnsiTheme="minorHAnsi"/>
          <w:bCs/>
        </w:rPr>
      </w:pPr>
    </w:p>
    <w:p w14:paraId="10CBF712" w14:textId="77777777" w:rsidR="009D3108" w:rsidRPr="006649F9" w:rsidRDefault="009D3108" w:rsidP="00B929FE">
      <w:pPr>
        <w:spacing w:after="160" w:line="276" w:lineRule="auto"/>
        <w:ind w:left="567"/>
        <w:rPr>
          <w:rFonts w:asciiTheme="minorHAnsi" w:hAnsiTheme="minorHAnsi"/>
          <w:bCs/>
        </w:rPr>
      </w:pPr>
    </w:p>
    <w:p w14:paraId="349AA0D8" w14:textId="77777777" w:rsidR="00410ED7" w:rsidRDefault="00410ED7" w:rsidP="00A8549A">
      <w:pPr>
        <w:tabs>
          <w:tab w:val="left" w:pos="1215"/>
          <w:tab w:val="left" w:pos="1465"/>
        </w:tabs>
        <w:spacing w:after="120" w:line="276" w:lineRule="auto"/>
        <w:ind w:left="567"/>
        <w:rPr>
          <w:rFonts w:ascii="Calibri" w:eastAsia="Cambria" w:hAnsi="Calibri" w:cs="Calibri"/>
          <w:highlight w:val="yellow"/>
        </w:rPr>
      </w:pPr>
    </w:p>
    <w:p w14:paraId="06B6BC5E" w14:textId="77777777" w:rsidR="00410ED7" w:rsidRDefault="00410ED7" w:rsidP="00A8549A">
      <w:pPr>
        <w:tabs>
          <w:tab w:val="left" w:pos="1215"/>
          <w:tab w:val="left" w:pos="1465"/>
        </w:tabs>
        <w:spacing w:after="120" w:line="276" w:lineRule="auto"/>
        <w:ind w:left="567"/>
        <w:rPr>
          <w:rFonts w:ascii="Calibri" w:eastAsia="Cambria" w:hAnsi="Calibri" w:cs="Calibri"/>
          <w:highlight w:val="yellow"/>
        </w:rPr>
      </w:pPr>
    </w:p>
    <w:p w14:paraId="5E04636D" w14:textId="77777777" w:rsidR="00410ED7" w:rsidRDefault="00410ED7" w:rsidP="00A8549A">
      <w:pPr>
        <w:tabs>
          <w:tab w:val="left" w:pos="1215"/>
          <w:tab w:val="left" w:pos="1465"/>
        </w:tabs>
        <w:spacing w:after="120" w:line="276" w:lineRule="auto"/>
        <w:ind w:left="567"/>
        <w:rPr>
          <w:rFonts w:ascii="Calibri" w:eastAsia="Cambria" w:hAnsi="Calibri" w:cs="Calibri"/>
          <w:highlight w:val="yellow"/>
        </w:rPr>
      </w:pPr>
    </w:p>
    <w:p w14:paraId="73F8E663"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r>
        <w:rPr>
          <w:rFonts w:ascii="Calibri" w:eastAsia="Cambria" w:hAnsi="Calibri" w:cs="Calibri"/>
          <w:highlight w:val="yellow"/>
        </w:rPr>
        <w:t xml:space="preserve"> </w:t>
      </w:r>
      <w:r w:rsidR="00083AEA" w:rsidRPr="00C11252">
        <w:rPr>
          <w:rFonts w:ascii="Calibri" w:eastAsia="Cambria" w:hAnsi="Calibri" w:cs="Calibri"/>
          <w:highlight w:val="yellow"/>
        </w:rPr>
        <w:t xml:space="preserve"> </w:t>
      </w:r>
    </w:p>
    <w:p w14:paraId="7C2C659C"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7C59C3FB"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630479E2"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3D848737"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6F019A97"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7CA1265D" w14:textId="77777777" w:rsidR="00E260D9" w:rsidRDefault="00E260D9" w:rsidP="00A8549A">
      <w:pPr>
        <w:tabs>
          <w:tab w:val="left" w:pos="1215"/>
          <w:tab w:val="left" w:pos="1465"/>
        </w:tabs>
        <w:spacing w:after="120" w:line="276" w:lineRule="auto"/>
        <w:ind w:left="567"/>
        <w:rPr>
          <w:rFonts w:ascii="Calibri" w:eastAsia="Cambria" w:hAnsi="Calibri" w:cs="Calibri"/>
          <w:highlight w:val="yellow"/>
        </w:rPr>
      </w:pPr>
    </w:p>
    <w:p w14:paraId="70A97669" w14:textId="77777777" w:rsidR="00F12624" w:rsidRDefault="00F12624" w:rsidP="00A8549A">
      <w:pPr>
        <w:spacing w:line="276" w:lineRule="auto"/>
        <w:ind w:left="567"/>
        <w:rPr>
          <w:rFonts w:ascii="Calibri" w:eastAsia="Cambria" w:hAnsi="Calibri" w:cs="Calibri"/>
          <w:highlight w:val="yellow"/>
        </w:rPr>
      </w:pPr>
    </w:p>
    <w:p w14:paraId="38ED14A5" w14:textId="77777777" w:rsidR="005C2FA7" w:rsidRDefault="005C2FA7" w:rsidP="00A8549A">
      <w:pPr>
        <w:spacing w:line="276" w:lineRule="auto"/>
        <w:ind w:left="567"/>
        <w:rPr>
          <w:rFonts w:ascii="Calibri" w:eastAsia="Cambria" w:hAnsi="Calibri" w:cs="Calibri"/>
        </w:rPr>
      </w:pPr>
    </w:p>
    <w:p w14:paraId="2F4FDF11" w14:textId="77777777" w:rsidR="005C2FA7" w:rsidRDefault="005C2FA7" w:rsidP="00A8549A">
      <w:pPr>
        <w:spacing w:line="276" w:lineRule="auto"/>
        <w:ind w:left="567"/>
        <w:rPr>
          <w:rFonts w:ascii="Calibri" w:eastAsia="Cambria" w:hAnsi="Calibri" w:cs="Calibri"/>
        </w:rPr>
      </w:pPr>
    </w:p>
    <w:p w14:paraId="7BAEE765" w14:textId="77777777" w:rsidR="005C2FA7" w:rsidRDefault="005C2FA7" w:rsidP="00A8549A">
      <w:pPr>
        <w:spacing w:line="276" w:lineRule="auto"/>
        <w:ind w:left="567"/>
        <w:rPr>
          <w:rFonts w:ascii="Calibri" w:eastAsia="Cambria" w:hAnsi="Calibri" w:cs="Calibri"/>
        </w:rPr>
      </w:pPr>
    </w:p>
    <w:p w14:paraId="5056BFD7" w14:textId="6003E7C0" w:rsidR="00F12624" w:rsidRDefault="00306373" w:rsidP="0058634A">
      <w:pPr>
        <w:spacing w:line="276" w:lineRule="auto"/>
        <w:ind w:left="567"/>
        <w:rPr>
          <w:rFonts w:ascii="Calibri" w:eastAsia="Cambria" w:hAnsi="Calibri" w:cs="Calibri"/>
        </w:rPr>
      </w:pPr>
      <w:r>
        <w:rPr>
          <w:rFonts w:ascii="Calibri" w:eastAsia="Cambria" w:hAnsi="Calibri" w:cs="Calibri"/>
        </w:rPr>
        <w:t xml:space="preserve">Fracture </w:t>
      </w:r>
      <w:r w:rsidR="000D3006">
        <w:rPr>
          <w:rFonts w:ascii="Calibri" w:eastAsia="Cambria" w:hAnsi="Calibri" w:cs="Calibri"/>
        </w:rPr>
        <w:t xml:space="preserve">probabilities were calculated </w:t>
      </w:r>
      <w:r w:rsidR="002F0E3E">
        <w:rPr>
          <w:rFonts w:ascii="Calibri" w:eastAsia="Cambria" w:hAnsi="Calibri" w:cs="Calibri"/>
        </w:rPr>
        <w:t>between the ages of 60</w:t>
      </w:r>
      <w:r w:rsidR="00B71D4C">
        <w:rPr>
          <w:rFonts w:ascii="Calibri" w:eastAsia="Cambria" w:hAnsi="Calibri" w:cs="Calibri"/>
        </w:rPr>
        <w:t xml:space="preserve"> and 85 years</w:t>
      </w:r>
      <w:r w:rsidR="00996314">
        <w:rPr>
          <w:rFonts w:ascii="Calibri" w:eastAsia="Cambria" w:hAnsi="Calibri" w:cs="Calibri"/>
        </w:rPr>
        <w:t xml:space="preserve"> </w:t>
      </w:r>
      <w:r w:rsidR="00626E91">
        <w:rPr>
          <w:rFonts w:ascii="Calibri" w:eastAsia="Cambria" w:hAnsi="Calibri" w:cs="Calibri"/>
        </w:rPr>
        <w:t>since</w:t>
      </w:r>
      <w:r w:rsidR="00996314">
        <w:rPr>
          <w:rFonts w:ascii="Calibri" w:eastAsia="Cambria" w:hAnsi="Calibri" w:cs="Calibri"/>
        </w:rPr>
        <w:t xml:space="preserve"> there were few individuals outsi</w:t>
      </w:r>
      <w:r w:rsidR="00F55608">
        <w:rPr>
          <w:rFonts w:ascii="Calibri" w:eastAsia="Cambria" w:hAnsi="Calibri" w:cs="Calibri"/>
        </w:rPr>
        <w:t>de this age range</w:t>
      </w:r>
      <w:r w:rsidR="00773B5E">
        <w:rPr>
          <w:rFonts w:ascii="Calibri" w:eastAsia="Cambria" w:hAnsi="Calibri" w:cs="Calibri"/>
        </w:rPr>
        <w:t xml:space="preserve"> (</w:t>
      </w:r>
      <w:r w:rsidR="00773B5E" w:rsidRPr="0058634A">
        <w:rPr>
          <w:rFonts w:ascii="Calibri" w:eastAsia="Cambria" w:hAnsi="Calibri" w:cs="Calibri"/>
        </w:rPr>
        <w:t>37</w:t>
      </w:r>
      <w:r w:rsidR="008377DF">
        <w:rPr>
          <w:rFonts w:ascii="Calibri" w:eastAsia="Cambria" w:hAnsi="Calibri" w:cs="Calibri"/>
        </w:rPr>
        <w:t xml:space="preserve"> men </w:t>
      </w:r>
      <w:r w:rsidR="0008619E">
        <w:rPr>
          <w:rFonts w:ascii="Calibri" w:eastAsia="Cambria" w:hAnsi="Calibri" w:cs="Calibri"/>
        </w:rPr>
        <w:t>and 78 women</w:t>
      </w:r>
      <w:r w:rsidR="0058634A" w:rsidRPr="0058634A">
        <w:rPr>
          <w:rFonts w:ascii="Calibri" w:eastAsia="Cambria" w:hAnsi="Calibri" w:cs="Calibri"/>
        </w:rPr>
        <w:t xml:space="preserve"> age &lt;60</w:t>
      </w:r>
      <w:r w:rsidR="002F037C">
        <w:rPr>
          <w:rFonts w:ascii="Calibri" w:eastAsia="Cambria" w:hAnsi="Calibri" w:cs="Calibri"/>
        </w:rPr>
        <w:t xml:space="preserve"> years</w:t>
      </w:r>
      <w:r w:rsidR="00D74B51">
        <w:rPr>
          <w:rFonts w:ascii="Calibri" w:eastAsia="Cambria" w:hAnsi="Calibri" w:cs="Calibri"/>
        </w:rPr>
        <w:t>,</w:t>
      </w:r>
      <w:r w:rsidR="00B64AA9">
        <w:rPr>
          <w:rFonts w:ascii="Calibri" w:eastAsia="Cambria" w:hAnsi="Calibri" w:cs="Calibri"/>
        </w:rPr>
        <w:t xml:space="preserve"> and</w:t>
      </w:r>
      <w:r w:rsidR="005077C5">
        <w:rPr>
          <w:rFonts w:ascii="Calibri" w:eastAsia="Cambria" w:hAnsi="Calibri" w:cs="Calibri"/>
        </w:rPr>
        <w:t xml:space="preserve"> 23 men </w:t>
      </w:r>
      <w:r w:rsidR="007855BF">
        <w:rPr>
          <w:rFonts w:ascii="Calibri" w:eastAsia="Cambria" w:hAnsi="Calibri" w:cs="Calibri"/>
        </w:rPr>
        <w:t xml:space="preserve">and </w:t>
      </w:r>
      <w:r w:rsidR="00877105">
        <w:rPr>
          <w:rFonts w:ascii="Calibri" w:eastAsia="Cambria" w:hAnsi="Calibri" w:cs="Calibri"/>
        </w:rPr>
        <w:t>146</w:t>
      </w:r>
      <w:r w:rsidR="007855BF">
        <w:rPr>
          <w:rFonts w:ascii="Calibri" w:eastAsia="Cambria" w:hAnsi="Calibri" w:cs="Calibri"/>
        </w:rPr>
        <w:t xml:space="preserve"> women</w:t>
      </w:r>
      <w:r w:rsidR="00B976C4">
        <w:rPr>
          <w:rFonts w:ascii="Calibri" w:eastAsia="Cambria" w:hAnsi="Calibri" w:cs="Calibri"/>
        </w:rPr>
        <w:t xml:space="preserve"> age</w:t>
      </w:r>
      <w:r w:rsidR="00B976C4" w:rsidRPr="00B976C4">
        <w:rPr>
          <w:rFonts w:ascii="Calibri" w:eastAsia="Cambria" w:hAnsi="Calibri" w:cs="Calibri"/>
        </w:rPr>
        <w:t xml:space="preserve"> &gt;</w:t>
      </w:r>
      <w:r w:rsidR="006F0A30">
        <w:rPr>
          <w:rFonts w:ascii="Calibri" w:eastAsia="Cambria" w:hAnsi="Calibri" w:cs="Calibri"/>
        </w:rPr>
        <w:t>85 years</w:t>
      </w:r>
      <w:r w:rsidR="00C66196">
        <w:rPr>
          <w:rFonts w:ascii="Calibri" w:eastAsia="Cambria" w:hAnsi="Calibri" w:cs="Calibri"/>
        </w:rPr>
        <w:t>).</w:t>
      </w:r>
      <w:r w:rsidR="0058634A" w:rsidRPr="0058634A">
        <w:rPr>
          <w:rFonts w:ascii="Calibri" w:eastAsia="Cambria" w:hAnsi="Calibri" w:cs="Calibri"/>
        </w:rPr>
        <w:t xml:space="preserve"> </w:t>
      </w:r>
      <w:r w:rsidR="00F12624" w:rsidRPr="00F12624">
        <w:rPr>
          <w:rFonts w:ascii="Calibri" w:eastAsia="Cambria" w:hAnsi="Calibri" w:cs="Calibri"/>
        </w:rPr>
        <w:t>Ten-year probabilities of MOF and hip fracture are given in Tables 2 and 3</w:t>
      </w:r>
      <w:r w:rsidR="00150FC0">
        <w:rPr>
          <w:rFonts w:ascii="Calibri" w:eastAsia="Cambria" w:hAnsi="Calibri" w:cs="Calibri"/>
        </w:rPr>
        <w:t>, respectively</w:t>
      </w:r>
      <w:r w:rsidR="00F12624" w:rsidRPr="00F12624">
        <w:rPr>
          <w:rFonts w:ascii="Calibri" w:eastAsia="Cambria" w:hAnsi="Calibri" w:cs="Calibri"/>
        </w:rPr>
        <w:t>.</w:t>
      </w:r>
      <w:r w:rsidR="00150199">
        <w:rPr>
          <w:rFonts w:ascii="Calibri" w:eastAsia="Cambria" w:hAnsi="Calibri" w:cs="Calibri"/>
        </w:rPr>
        <w:t xml:space="preserve"> </w:t>
      </w:r>
      <w:r w:rsidR="008D7DCF">
        <w:rPr>
          <w:rFonts w:ascii="Calibri" w:eastAsia="Cambria" w:hAnsi="Calibri" w:cs="Calibri"/>
        </w:rPr>
        <w:t>Fracture probabilities were higher in women than in men</w:t>
      </w:r>
      <w:r w:rsidR="00BD1B09">
        <w:rPr>
          <w:rFonts w:ascii="Calibri" w:eastAsia="Cambria" w:hAnsi="Calibri" w:cs="Calibri"/>
        </w:rPr>
        <w:t xml:space="preserve">.  In the case of MOF, </w:t>
      </w:r>
      <w:r w:rsidR="00522123">
        <w:rPr>
          <w:rFonts w:ascii="Calibri" w:eastAsia="Cambria" w:hAnsi="Calibri" w:cs="Calibri"/>
        </w:rPr>
        <w:t>fracture probabilities rose with age</w:t>
      </w:r>
      <w:r w:rsidR="000B42F9">
        <w:rPr>
          <w:rFonts w:ascii="Calibri" w:eastAsia="Cambria" w:hAnsi="Calibri" w:cs="Calibri"/>
        </w:rPr>
        <w:t xml:space="preserve">, though </w:t>
      </w:r>
      <w:r w:rsidR="00AE629F">
        <w:rPr>
          <w:rFonts w:ascii="Calibri" w:eastAsia="Cambria" w:hAnsi="Calibri" w:cs="Calibri"/>
        </w:rPr>
        <w:t>above the</w:t>
      </w:r>
      <w:r w:rsidR="000B42F9">
        <w:rPr>
          <w:rFonts w:ascii="Calibri" w:eastAsia="Cambria" w:hAnsi="Calibri" w:cs="Calibri"/>
        </w:rPr>
        <w:t xml:space="preserve"> age</w:t>
      </w:r>
      <w:r w:rsidR="00AE629F">
        <w:rPr>
          <w:rFonts w:ascii="Calibri" w:eastAsia="Cambria" w:hAnsi="Calibri" w:cs="Calibri"/>
        </w:rPr>
        <w:t xml:space="preserve"> of 80 years</w:t>
      </w:r>
      <w:r w:rsidR="00785664">
        <w:rPr>
          <w:rFonts w:ascii="Calibri" w:eastAsia="Cambria" w:hAnsi="Calibri" w:cs="Calibri"/>
        </w:rPr>
        <w:t xml:space="preserve"> they decreased due to the competing effect of mortality.  </w:t>
      </w:r>
      <w:r w:rsidR="00D53371">
        <w:rPr>
          <w:rFonts w:ascii="Calibri" w:eastAsia="Cambria" w:hAnsi="Calibri" w:cs="Calibri"/>
        </w:rPr>
        <w:t xml:space="preserve">When </w:t>
      </w:r>
      <w:r w:rsidR="000E380F">
        <w:rPr>
          <w:rFonts w:ascii="Calibri" w:eastAsia="Cambria" w:hAnsi="Calibri" w:cs="Calibri"/>
        </w:rPr>
        <w:t xml:space="preserve">10-year </w:t>
      </w:r>
      <w:r w:rsidR="00D53371">
        <w:rPr>
          <w:rFonts w:ascii="Calibri" w:eastAsia="Cambria" w:hAnsi="Calibri" w:cs="Calibri"/>
        </w:rPr>
        <w:t>fracture probability was calculated in a</w:t>
      </w:r>
      <w:r w:rsidR="0060517E">
        <w:rPr>
          <w:rFonts w:ascii="Calibri" w:eastAsia="Cambria" w:hAnsi="Calibri" w:cs="Calibri"/>
        </w:rPr>
        <w:t xml:space="preserve">ll </w:t>
      </w:r>
      <w:r w:rsidR="002D49E8">
        <w:rPr>
          <w:rFonts w:ascii="Calibri" w:eastAsia="Cambria" w:hAnsi="Calibri" w:cs="Calibri"/>
        </w:rPr>
        <w:t>participants</w:t>
      </w:r>
      <w:r w:rsidR="00ED580E">
        <w:rPr>
          <w:rFonts w:ascii="Calibri" w:eastAsia="Cambria" w:hAnsi="Calibri" w:cs="Calibri"/>
        </w:rPr>
        <w:t xml:space="preserve"> </w:t>
      </w:r>
      <w:r w:rsidR="0060517E">
        <w:rPr>
          <w:rFonts w:ascii="Calibri" w:eastAsia="Cambria" w:hAnsi="Calibri" w:cs="Calibri"/>
        </w:rPr>
        <w:t>irrespective of the number of prior fractures</w:t>
      </w:r>
      <w:r w:rsidR="00B21E23">
        <w:rPr>
          <w:rFonts w:ascii="Calibri" w:eastAsia="Cambria" w:hAnsi="Calibri" w:cs="Calibri"/>
        </w:rPr>
        <w:t>, the p</w:t>
      </w:r>
      <w:r w:rsidR="000E380F">
        <w:rPr>
          <w:rFonts w:ascii="Calibri" w:eastAsia="Cambria" w:hAnsi="Calibri" w:cs="Calibri"/>
        </w:rPr>
        <w:t xml:space="preserve">robability was marginally higher than in </w:t>
      </w:r>
      <w:r w:rsidR="002B118A">
        <w:rPr>
          <w:rFonts w:ascii="Calibri" w:eastAsia="Cambria" w:hAnsi="Calibri" w:cs="Calibri"/>
        </w:rPr>
        <w:t>men or women with a single prior fracture</w:t>
      </w:r>
      <w:r w:rsidR="000872DB">
        <w:rPr>
          <w:rFonts w:ascii="Calibri" w:eastAsia="Cambria" w:hAnsi="Calibri" w:cs="Calibri"/>
        </w:rPr>
        <w:t>.  For example,</w:t>
      </w:r>
      <w:r w:rsidR="008A499E" w:rsidRPr="008A499E">
        <w:rPr>
          <w:rFonts w:ascii="Calibri" w:eastAsia="Cambria" w:hAnsi="Calibri" w:cs="Calibri"/>
        </w:rPr>
        <w:t xml:space="preserve"> </w:t>
      </w:r>
      <w:r w:rsidR="008A499E">
        <w:rPr>
          <w:rFonts w:ascii="Calibri" w:eastAsia="Cambria" w:hAnsi="Calibri" w:cs="Calibri"/>
        </w:rPr>
        <w:t xml:space="preserve">in women age </w:t>
      </w:r>
      <w:r w:rsidR="008A499E" w:rsidRPr="008A499E">
        <w:rPr>
          <w:rFonts w:ascii="Calibri" w:eastAsia="Cambria" w:hAnsi="Calibri" w:cs="Calibri"/>
        </w:rPr>
        <w:t>65</w:t>
      </w:r>
      <w:r w:rsidR="008A499E">
        <w:rPr>
          <w:rFonts w:ascii="Calibri" w:eastAsia="Cambria" w:hAnsi="Calibri" w:cs="Calibri"/>
        </w:rPr>
        <w:t xml:space="preserve"> </w:t>
      </w:r>
      <w:r w:rsidR="001C232B">
        <w:rPr>
          <w:rFonts w:ascii="Calibri" w:eastAsia="Cambria" w:hAnsi="Calibri" w:cs="Calibri"/>
        </w:rPr>
        <w:t xml:space="preserve">years, </w:t>
      </w:r>
      <w:bookmarkStart w:id="8" w:name="_Hlk103602276"/>
      <w:r w:rsidR="001C232B">
        <w:rPr>
          <w:rFonts w:ascii="Calibri" w:eastAsia="Cambria" w:hAnsi="Calibri" w:cs="Calibri"/>
        </w:rPr>
        <w:t>the 10-year probability of a MOF was</w:t>
      </w:r>
      <w:r w:rsidR="00001915">
        <w:rPr>
          <w:rFonts w:ascii="Calibri" w:eastAsia="Cambria" w:hAnsi="Calibri" w:cs="Calibri"/>
        </w:rPr>
        <w:t xml:space="preserve"> </w:t>
      </w:r>
      <w:r w:rsidR="008A499E" w:rsidRPr="008A499E">
        <w:rPr>
          <w:rFonts w:ascii="Calibri" w:eastAsia="Cambria" w:hAnsi="Calibri" w:cs="Calibri"/>
        </w:rPr>
        <w:t>30.2</w:t>
      </w:r>
      <w:r w:rsidR="00001915">
        <w:rPr>
          <w:rFonts w:ascii="Calibri" w:eastAsia="Cambria" w:hAnsi="Calibri" w:cs="Calibri"/>
        </w:rPr>
        <w:t>% when no account was taken of the number of prior fractures</w:t>
      </w:r>
      <w:r w:rsidR="006F64D0">
        <w:rPr>
          <w:rFonts w:ascii="Calibri" w:eastAsia="Cambria" w:hAnsi="Calibri" w:cs="Calibri"/>
        </w:rPr>
        <w:t xml:space="preserve"> (see Table 2)</w:t>
      </w:r>
      <w:r w:rsidR="00A71370">
        <w:rPr>
          <w:rFonts w:ascii="Calibri" w:eastAsia="Cambria" w:hAnsi="Calibri" w:cs="Calibri"/>
        </w:rPr>
        <w:t>.  In women of the same age but with a single prior fracture</w:t>
      </w:r>
      <w:r w:rsidR="00292EB8">
        <w:rPr>
          <w:rFonts w:ascii="Calibri" w:eastAsia="Cambria" w:hAnsi="Calibri" w:cs="Calibri"/>
        </w:rPr>
        <w:t>, the probability was</w:t>
      </w:r>
      <w:r w:rsidR="004A0C4D">
        <w:rPr>
          <w:rFonts w:ascii="Calibri" w:eastAsia="Cambria" w:hAnsi="Calibri" w:cs="Calibri"/>
        </w:rPr>
        <w:t xml:space="preserve"> </w:t>
      </w:r>
      <w:r w:rsidR="000A2A39">
        <w:rPr>
          <w:rFonts w:ascii="Calibri" w:eastAsia="Cambria" w:hAnsi="Calibri" w:cs="Calibri"/>
        </w:rPr>
        <w:t xml:space="preserve">marginally </w:t>
      </w:r>
      <w:r w:rsidR="00FC7B0D">
        <w:rPr>
          <w:rFonts w:ascii="Calibri" w:eastAsia="Cambria" w:hAnsi="Calibri" w:cs="Calibri"/>
        </w:rPr>
        <w:t>lower at</w:t>
      </w:r>
      <w:r w:rsidR="00292EB8">
        <w:rPr>
          <w:rFonts w:ascii="Calibri" w:eastAsia="Cambria" w:hAnsi="Calibri" w:cs="Calibri"/>
        </w:rPr>
        <w:t xml:space="preserve"> </w:t>
      </w:r>
      <w:r w:rsidR="008A499E" w:rsidRPr="008A499E">
        <w:rPr>
          <w:rFonts w:ascii="Calibri" w:eastAsia="Cambria" w:hAnsi="Calibri" w:cs="Calibri"/>
        </w:rPr>
        <w:t>28.</w:t>
      </w:r>
      <w:r w:rsidR="00884C7C">
        <w:rPr>
          <w:rFonts w:ascii="Calibri" w:eastAsia="Cambria" w:hAnsi="Calibri" w:cs="Calibri"/>
        </w:rPr>
        <w:t>2</w:t>
      </w:r>
      <w:r w:rsidR="00FC7B0D">
        <w:rPr>
          <w:rFonts w:ascii="Calibri" w:eastAsia="Cambria" w:hAnsi="Calibri" w:cs="Calibri"/>
        </w:rPr>
        <w:t xml:space="preserve">%.  </w:t>
      </w:r>
      <w:bookmarkEnd w:id="8"/>
      <w:r w:rsidR="00FC7B0D">
        <w:rPr>
          <w:rFonts w:ascii="Calibri" w:eastAsia="Cambria" w:hAnsi="Calibri" w:cs="Calibri"/>
        </w:rPr>
        <w:t xml:space="preserve">Thereafter, fracture probability </w:t>
      </w:r>
      <w:r w:rsidR="00A2361D">
        <w:rPr>
          <w:rFonts w:ascii="Calibri" w:eastAsia="Cambria" w:hAnsi="Calibri" w:cs="Calibri"/>
        </w:rPr>
        <w:t>rose</w:t>
      </w:r>
      <w:r w:rsidR="00C54356">
        <w:rPr>
          <w:rFonts w:ascii="Calibri" w:eastAsia="Cambria" w:hAnsi="Calibri" w:cs="Calibri"/>
        </w:rPr>
        <w:t xml:space="preserve"> with increasing number of prior fractur</w:t>
      </w:r>
      <w:r w:rsidR="00A2361D">
        <w:rPr>
          <w:rFonts w:ascii="Calibri" w:eastAsia="Cambria" w:hAnsi="Calibri" w:cs="Calibri"/>
        </w:rPr>
        <w:t>es</w:t>
      </w:r>
      <w:r w:rsidR="002328AC">
        <w:rPr>
          <w:rFonts w:ascii="Calibri" w:eastAsia="Cambria" w:hAnsi="Calibri" w:cs="Calibri"/>
        </w:rPr>
        <w:t xml:space="preserve"> in men and in women, irrespective of age.</w:t>
      </w:r>
    </w:p>
    <w:p w14:paraId="69915F15" w14:textId="77777777" w:rsidR="00DE0BCB" w:rsidRPr="00F12624" w:rsidRDefault="00DE0BCB" w:rsidP="00A8549A">
      <w:pPr>
        <w:spacing w:line="276" w:lineRule="auto"/>
        <w:ind w:left="567"/>
        <w:rPr>
          <w:rFonts w:ascii="Calibri" w:eastAsia="Cambria" w:hAnsi="Calibri" w:cs="Calibri"/>
        </w:rPr>
      </w:pPr>
    </w:p>
    <w:p w14:paraId="0B98A0D6" w14:textId="77777777" w:rsidR="00E00A11" w:rsidRDefault="00E00A11" w:rsidP="00DE0BCB">
      <w:pPr>
        <w:spacing w:after="160" w:line="259" w:lineRule="auto"/>
        <w:rPr>
          <w:rFonts w:ascii="Calibri" w:eastAsia="Calibri" w:hAnsi="Calibri" w:cs="Times New Roman"/>
          <w:b/>
          <w:bCs/>
          <w:sz w:val="22"/>
          <w:szCs w:val="22"/>
        </w:rPr>
      </w:pPr>
    </w:p>
    <w:p w14:paraId="4A2A5464" w14:textId="77777777" w:rsidR="00E00A11" w:rsidRDefault="00E00A11" w:rsidP="00DE0BCB">
      <w:pPr>
        <w:spacing w:after="160" w:line="259" w:lineRule="auto"/>
        <w:rPr>
          <w:rFonts w:ascii="Calibri" w:eastAsia="Calibri" w:hAnsi="Calibri" w:cs="Times New Roman"/>
          <w:b/>
          <w:bCs/>
          <w:sz w:val="22"/>
          <w:szCs w:val="22"/>
        </w:rPr>
      </w:pPr>
    </w:p>
    <w:p w14:paraId="02E60817" w14:textId="795EF001" w:rsidR="00DE0BCB" w:rsidRPr="00DE0BCB" w:rsidRDefault="00DE0BCB" w:rsidP="00DE0BCB">
      <w:pPr>
        <w:spacing w:after="160" w:line="259" w:lineRule="auto"/>
        <w:rPr>
          <w:rFonts w:ascii="Calibri" w:eastAsia="Calibri" w:hAnsi="Calibri" w:cs="Times New Roman"/>
          <w:sz w:val="22"/>
          <w:szCs w:val="22"/>
        </w:rPr>
      </w:pPr>
      <w:r w:rsidRPr="00DE0BCB">
        <w:rPr>
          <w:rFonts w:ascii="Calibri" w:eastAsia="Calibri" w:hAnsi="Calibri" w:cs="Times New Roman"/>
          <w:b/>
          <w:bCs/>
          <w:sz w:val="22"/>
          <w:szCs w:val="22"/>
        </w:rPr>
        <w:t>Table 2</w:t>
      </w:r>
      <w:r w:rsidRPr="00DE0BCB">
        <w:rPr>
          <w:rFonts w:ascii="Calibri" w:eastAsia="Calibri" w:hAnsi="Calibri" w:cs="Times New Roman"/>
          <w:sz w:val="22"/>
          <w:szCs w:val="22"/>
        </w:rPr>
        <w:t xml:space="preserve">.  Ten- year probability of a major osteoporotic fracture by age in men and women with a prior fragility fracture irrespective of the number of prior fractures and according to the number of prior fractures.  </w:t>
      </w:r>
    </w:p>
    <w:tbl>
      <w:tblPr>
        <w:tblStyle w:val="TableGrid1"/>
        <w:tblW w:w="0" w:type="auto"/>
        <w:tblLook w:val="04A0" w:firstRow="1" w:lastRow="0" w:firstColumn="1" w:lastColumn="0" w:noHBand="0" w:noVBand="1"/>
      </w:tblPr>
      <w:tblGrid>
        <w:gridCol w:w="930"/>
        <w:gridCol w:w="1050"/>
        <w:gridCol w:w="1276"/>
        <w:gridCol w:w="1134"/>
        <w:gridCol w:w="1134"/>
        <w:gridCol w:w="1134"/>
        <w:gridCol w:w="1134"/>
      </w:tblGrid>
      <w:tr w:rsidR="00DE0BCB" w:rsidRPr="00DE0BCB" w14:paraId="3E7D7473" w14:textId="77777777" w:rsidTr="00350095">
        <w:tc>
          <w:tcPr>
            <w:tcW w:w="930" w:type="dxa"/>
          </w:tcPr>
          <w:p w14:paraId="4DD0FD59" w14:textId="77777777" w:rsidR="00DE0BCB" w:rsidRPr="00DE0BCB" w:rsidRDefault="00DE0BCB" w:rsidP="00DE0BCB">
            <w:pPr>
              <w:rPr>
                <w:rFonts w:ascii="Calibri" w:hAnsi="Calibri" w:cs="Calibri"/>
                <w:sz w:val="22"/>
                <w:szCs w:val="22"/>
              </w:rPr>
            </w:pPr>
          </w:p>
        </w:tc>
        <w:tc>
          <w:tcPr>
            <w:tcW w:w="1050" w:type="dxa"/>
          </w:tcPr>
          <w:p w14:paraId="65941281" w14:textId="77777777" w:rsidR="00DE0BCB" w:rsidRPr="00DE0BCB" w:rsidRDefault="00DE0BCB" w:rsidP="00DE0BCB">
            <w:pPr>
              <w:rPr>
                <w:rFonts w:ascii="Calibri" w:hAnsi="Calibri" w:cs="Calibri"/>
                <w:sz w:val="22"/>
                <w:szCs w:val="22"/>
              </w:rPr>
            </w:pPr>
          </w:p>
        </w:tc>
        <w:tc>
          <w:tcPr>
            <w:tcW w:w="5812" w:type="dxa"/>
            <w:gridSpan w:val="5"/>
          </w:tcPr>
          <w:p w14:paraId="7C96C12A" w14:textId="77777777" w:rsidR="00DE0BCB" w:rsidRPr="00DE0BCB" w:rsidRDefault="00DE0BCB" w:rsidP="00DE0BCB">
            <w:pPr>
              <w:rPr>
                <w:rFonts w:ascii="Calibri" w:hAnsi="Calibri" w:cs="Calibri"/>
                <w:sz w:val="22"/>
                <w:szCs w:val="22"/>
              </w:rPr>
            </w:pPr>
            <w:r w:rsidRPr="00DE0BCB">
              <w:rPr>
                <w:rFonts w:ascii="Calibri" w:hAnsi="Calibri" w:cs="Calibri"/>
                <w:sz w:val="22"/>
                <w:szCs w:val="22"/>
              </w:rPr>
              <w:t>Number of prior fractures</w:t>
            </w:r>
          </w:p>
        </w:tc>
      </w:tr>
      <w:tr w:rsidR="00350095" w:rsidRPr="00DE0BCB" w14:paraId="3AD89877" w14:textId="77777777" w:rsidTr="00A250CF">
        <w:tc>
          <w:tcPr>
            <w:tcW w:w="930" w:type="dxa"/>
          </w:tcPr>
          <w:p w14:paraId="6DE933EB" w14:textId="77777777" w:rsidR="00350095" w:rsidRPr="00DE0BCB" w:rsidRDefault="00350095" w:rsidP="00DE0BCB">
            <w:pPr>
              <w:rPr>
                <w:rFonts w:ascii="Calibri" w:hAnsi="Calibri" w:cs="Calibri"/>
                <w:sz w:val="22"/>
                <w:szCs w:val="22"/>
              </w:rPr>
            </w:pPr>
          </w:p>
        </w:tc>
        <w:tc>
          <w:tcPr>
            <w:tcW w:w="1050" w:type="dxa"/>
          </w:tcPr>
          <w:p w14:paraId="2679BDE7" w14:textId="5BB006B3" w:rsidR="00350095" w:rsidRPr="00DE0BCB" w:rsidRDefault="00350095" w:rsidP="00DE0BCB">
            <w:pPr>
              <w:rPr>
                <w:rFonts w:ascii="Calibri" w:hAnsi="Calibri" w:cs="Calibri"/>
                <w:sz w:val="22"/>
                <w:szCs w:val="22"/>
              </w:rPr>
            </w:pPr>
            <w:r>
              <w:rPr>
                <w:rFonts w:ascii="Calibri" w:hAnsi="Calibri" w:cs="Calibri"/>
                <w:sz w:val="22"/>
                <w:szCs w:val="22"/>
              </w:rPr>
              <w:t>Age (years)</w:t>
            </w:r>
          </w:p>
        </w:tc>
        <w:tc>
          <w:tcPr>
            <w:tcW w:w="1276" w:type="dxa"/>
          </w:tcPr>
          <w:p w14:paraId="27770064"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Any number</w:t>
            </w:r>
          </w:p>
        </w:tc>
        <w:tc>
          <w:tcPr>
            <w:tcW w:w="1134" w:type="dxa"/>
          </w:tcPr>
          <w:p w14:paraId="1B56BC05"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1</w:t>
            </w:r>
          </w:p>
        </w:tc>
        <w:tc>
          <w:tcPr>
            <w:tcW w:w="1134" w:type="dxa"/>
          </w:tcPr>
          <w:p w14:paraId="6977CE6D"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2</w:t>
            </w:r>
          </w:p>
        </w:tc>
        <w:tc>
          <w:tcPr>
            <w:tcW w:w="1134" w:type="dxa"/>
          </w:tcPr>
          <w:p w14:paraId="343717CC" w14:textId="77777777" w:rsidR="00350095" w:rsidRPr="00DE0BCB" w:rsidRDefault="00350095" w:rsidP="00DE0BCB">
            <w:pPr>
              <w:rPr>
                <w:rFonts w:ascii="Calibri" w:hAnsi="Calibri" w:cs="Calibri"/>
                <w:sz w:val="22"/>
                <w:szCs w:val="22"/>
              </w:rPr>
            </w:pPr>
            <w:r w:rsidRPr="00DE0BCB">
              <w:rPr>
                <w:rFonts w:ascii="Calibri" w:hAnsi="Calibri" w:cs="Calibri"/>
                <w:sz w:val="22"/>
                <w:szCs w:val="22"/>
              </w:rPr>
              <w:t>3</w:t>
            </w:r>
          </w:p>
        </w:tc>
        <w:tc>
          <w:tcPr>
            <w:tcW w:w="1134" w:type="dxa"/>
          </w:tcPr>
          <w:p w14:paraId="4098ABAD" w14:textId="1A6597F5" w:rsidR="00350095" w:rsidRPr="00DE0BCB" w:rsidRDefault="00350095" w:rsidP="00DE0BCB">
            <w:pPr>
              <w:rPr>
                <w:rFonts w:ascii="Calibri" w:hAnsi="Calibri" w:cs="Calibri"/>
                <w:sz w:val="22"/>
                <w:szCs w:val="22"/>
              </w:rPr>
            </w:pPr>
            <w:r>
              <w:rPr>
                <w:rFonts w:ascii="Calibri" w:hAnsi="Calibri" w:cs="Calibri"/>
                <w:sz w:val="22"/>
                <w:szCs w:val="22"/>
              </w:rPr>
              <w:t>≥</w:t>
            </w:r>
            <w:r w:rsidRPr="00DE0BCB">
              <w:rPr>
                <w:rFonts w:ascii="Calibri" w:hAnsi="Calibri" w:cs="Calibri"/>
                <w:sz w:val="22"/>
                <w:szCs w:val="22"/>
              </w:rPr>
              <w:t>4</w:t>
            </w:r>
          </w:p>
        </w:tc>
      </w:tr>
      <w:tr w:rsidR="00350095" w:rsidRPr="00DE0BCB" w14:paraId="5DC8EAAA" w14:textId="77777777" w:rsidTr="00A250CF">
        <w:tc>
          <w:tcPr>
            <w:tcW w:w="930" w:type="dxa"/>
          </w:tcPr>
          <w:p w14:paraId="316A7773"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Men </w:t>
            </w:r>
          </w:p>
        </w:tc>
        <w:tc>
          <w:tcPr>
            <w:tcW w:w="1050" w:type="dxa"/>
          </w:tcPr>
          <w:p w14:paraId="5C753FE8"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19218BE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14.</w:t>
            </w:r>
            <w:r w:rsidRPr="00DE0BCB">
              <w:rPr>
                <w:rFonts w:ascii="Calibri" w:hAnsi="Calibri" w:cs="Calibri"/>
                <w:sz w:val="22"/>
                <w:szCs w:val="22"/>
              </w:rPr>
              <w:t>6</w:t>
            </w:r>
            <w:r w:rsidRPr="00DE0BCB">
              <w:rPr>
                <w:rFonts w:ascii="Calibri" w:eastAsia="Calibri" w:hAnsi="Calibri" w:cs="Calibri"/>
                <w:sz w:val="22"/>
                <w:szCs w:val="22"/>
              </w:rPr>
              <w:t xml:space="preserve"> </w:t>
            </w:r>
          </w:p>
        </w:tc>
        <w:tc>
          <w:tcPr>
            <w:tcW w:w="1134" w:type="dxa"/>
          </w:tcPr>
          <w:p w14:paraId="37014150" w14:textId="6A8FD725"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14.</w:t>
            </w:r>
            <w:r>
              <w:rPr>
                <w:rFonts w:ascii="Calibri" w:hAnsi="Calibri" w:cs="Calibri"/>
                <w:sz w:val="22"/>
                <w:szCs w:val="22"/>
              </w:rPr>
              <w:t>1</w:t>
            </w:r>
          </w:p>
        </w:tc>
        <w:tc>
          <w:tcPr>
            <w:tcW w:w="1134" w:type="dxa"/>
          </w:tcPr>
          <w:p w14:paraId="46336178" w14:textId="3099E467" w:rsidR="00350095" w:rsidRPr="00DE0BCB" w:rsidRDefault="00350095" w:rsidP="00DE0BCB">
            <w:pPr>
              <w:rPr>
                <w:rFonts w:ascii="Calibri" w:hAnsi="Calibri" w:cs="Calibri"/>
                <w:sz w:val="22"/>
                <w:szCs w:val="22"/>
              </w:rPr>
            </w:pPr>
            <w:r w:rsidRPr="00DE0BCB">
              <w:rPr>
                <w:rFonts w:ascii="Calibri" w:hAnsi="Calibri" w:cs="Calibri"/>
                <w:sz w:val="22"/>
                <w:szCs w:val="22"/>
              </w:rPr>
              <w:t>16.</w:t>
            </w:r>
            <w:r>
              <w:rPr>
                <w:rFonts w:ascii="Calibri" w:hAnsi="Calibri" w:cs="Calibri"/>
                <w:sz w:val="22"/>
                <w:szCs w:val="22"/>
              </w:rPr>
              <w:t>7</w:t>
            </w:r>
          </w:p>
        </w:tc>
        <w:tc>
          <w:tcPr>
            <w:tcW w:w="1134" w:type="dxa"/>
          </w:tcPr>
          <w:p w14:paraId="3C2F1668" w14:textId="2E4A04A5" w:rsidR="00350095" w:rsidRPr="00DE0BCB" w:rsidRDefault="00350095" w:rsidP="00DE0BCB">
            <w:pPr>
              <w:rPr>
                <w:rFonts w:ascii="Calibri" w:hAnsi="Calibri" w:cs="Calibri"/>
                <w:sz w:val="22"/>
                <w:szCs w:val="22"/>
              </w:rPr>
            </w:pPr>
            <w:r w:rsidRPr="00DE0BCB">
              <w:rPr>
                <w:rFonts w:ascii="Calibri" w:hAnsi="Calibri" w:cs="Calibri"/>
                <w:sz w:val="22"/>
                <w:szCs w:val="22"/>
              </w:rPr>
              <w:t>19.</w:t>
            </w:r>
            <w:r>
              <w:rPr>
                <w:rFonts w:ascii="Calibri" w:hAnsi="Calibri" w:cs="Calibri"/>
                <w:sz w:val="22"/>
                <w:szCs w:val="22"/>
              </w:rPr>
              <w:t>7</w:t>
            </w:r>
          </w:p>
        </w:tc>
        <w:tc>
          <w:tcPr>
            <w:tcW w:w="1134" w:type="dxa"/>
          </w:tcPr>
          <w:p w14:paraId="757B5724" w14:textId="14D9F9B6"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0</w:t>
            </w:r>
          </w:p>
        </w:tc>
      </w:tr>
      <w:tr w:rsidR="00350095" w:rsidRPr="00DE0BCB" w14:paraId="6E4E9641" w14:textId="77777777" w:rsidTr="00A250CF">
        <w:tc>
          <w:tcPr>
            <w:tcW w:w="930" w:type="dxa"/>
          </w:tcPr>
          <w:p w14:paraId="7FDF5A9D" w14:textId="77777777" w:rsidR="00350095" w:rsidRPr="00DE0BCB" w:rsidRDefault="00350095" w:rsidP="00DE0BCB">
            <w:pPr>
              <w:rPr>
                <w:rFonts w:ascii="Calibri" w:eastAsia="Calibri" w:hAnsi="Calibri" w:cs="Calibri"/>
                <w:sz w:val="22"/>
                <w:szCs w:val="22"/>
              </w:rPr>
            </w:pPr>
          </w:p>
        </w:tc>
        <w:tc>
          <w:tcPr>
            <w:tcW w:w="1050" w:type="dxa"/>
          </w:tcPr>
          <w:p w14:paraId="36A43797"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54F56DC0"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16.5  </w:t>
            </w:r>
          </w:p>
        </w:tc>
        <w:tc>
          <w:tcPr>
            <w:tcW w:w="1134" w:type="dxa"/>
          </w:tcPr>
          <w:p w14:paraId="66804D0B" w14:textId="75EE31F4"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w:t>
            </w:r>
            <w:r>
              <w:rPr>
                <w:rFonts w:ascii="Calibri" w:hAnsi="Calibri" w:cs="Calibri"/>
                <w:sz w:val="22"/>
                <w:szCs w:val="22"/>
              </w:rPr>
              <w:t>5</w:t>
            </w:r>
            <w:r w:rsidRPr="00DE0BCB">
              <w:rPr>
                <w:rFonts w:ascii="Calibri" w:hAnsi="Calibri" w:cs="Calibri"/>
                <w:sz w:val="22"/>
                <w:szCs w:val="22"/>
              </w:rPr>
              <w:t>.</w:t>
            </w:r>
            <w:r>
              <w:rPr>
                <w:rFonts w:ascii="Calibri" w:hAnsi="Calibri" w:cs="Calibri"/>
                <w:sz w:val="22"/>
                <w:szCs w:val="22"/>
              </w:rPr>
              <w:t>6</w:t>
            </w:r>
          </w:p>
        </w:tc>
        <w:tc>
          <w:tcPr>
            <w:tcW w:w="1134" w:type="dxa"/>
          </w:tcPr>
          <w:p w14:paraId="63188738" w14:textId="6701072B" w:rsidR="00350095" w:rsidRPr="00DE0BCB" w:rsidRDefault="00350095" w:rsidP="00DE0BCB">
            <w:pPr>
              <w:rPr>
                <w:rFonts w:ascii="Calibri" w:hAnsi="Calibri" w:cs="Calibri"/>
                <w:sz w:val="22"/>
                <w:szCs w:val="22"/>
              </w:rPr>
            </w:pPr>
            <w:r w:rsidRPr="00DE0BCB">
              <w:rPr>
                <w:rFonts w:ascii="Calibri" w:hAnsi="Calibri" w:cs="Calibri"/>
                <w:sz w:val="22"/>
                <w:szCs w:val="22"/>
              </w:rPr>
              <w:t>18.</w:t>
            </w:r>
            <w:r>
              <w:rPr>
                <w:rFonts w:ascii="Calibri" w:hAnsi="Calibri" w:cs="Calibri"/>
                <w:sz w:val="22"/>
                <w:szCs w:val="22"/>
              </w:rPr>
              <w:t>6</w:t>
            </w:r>
          </w:p>
        </w:tc>
        <w:tc>
          <w:tcPr>
            <w:tcW w:w="1134" w:type="dxa"/>
          </w:tcPr>
          <w:p w14:paraId="3F086295" w14:textId="5D12A2E8" w:rsidR="00350095" w:rsidRPr="00DE0BCB" w:rsidRDefault="00350095" w:rsidP="00DE0BCB">
            <w:pPr>
              <w:rPr>
                <w:rFonts w:ascii="Calibri" w:hAnsi="Calibri" w:cs="Calibri"/>
                <w:sz w:val="22"/>
                <w:szCs w:val="22"/>
              </w:rPr>
            </w:pPr>
            <w:r w:rsidRPr="00DE0BCB">
              <w:rPr>
                <w:rFonts w:ascii="Calibri" w:hAnsi="Calibri" w:cs="Calibri"/>
                <w:sz w:val="22"/>
                <w:szCs w:val="22"/>
              </w:rPr>
              <w:t>21.</w:t>
            </w:r>
            <w:r>
              <w:rPr>
                <w:rFonts w:ascii="Calibri" w:hAnsi="Calibri" w:cs="Calibri"/>
                <w:sz w:val="22"/>
                <w:szCs w:val="22"/>
              </w:rPr>
              <w:t>8</w:t>
            </w:r>
          </w:p>
        </w:tc>
        <w:tc>
          <w:tcPr>
            <w:tcW w:w="1134" w:type="dxa"/>
          </w:tcPr>
          <w:p w14:paraId="3FBAD5E8" w14:textId="7368F1AB"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5</w:t>
            </w:r>
            <w:r w:rsidRPr="00DE0BCB">
              <w:rPr>
                <w:rFonts w:ascii="Calibri" w:hAnsi="Calibri" w:cs="Calibri"/>
                <w:sz w:val="22"/>
                <w:szCs w:val="22"/>
              </w:rPr>
              <w:t>.</w:t>
            </w:r>
            <w:r>
              <w:rPr>
                <w:rFonts w:ascii="Calibri" w:hAnsi="Calibri" w:cs="Calibri"/>
                <w:sz w:val="22"/>
                <w:szCs w:val="22"/>
              </w:rPr>
              <w:t>2</w:t>
            </w:r>
          </w:p>
        </w:tc>
      </w:tr>
      <w:tr w:rsidR="00350095" w:rsidRPr="00DE0BCB" w14:paraId="234AA14C" w14:textId="77777777" w:rsidTr="00A250CF">
        <w:tc>
          <w:tcPr>
            <w:tcW w:w="930" w:type="dxa"/>
          </w:tcPr>
          <w:p w14:paraId="57E7293B" w14:textId="77777777" w:rsidR="00350095" w:rsidRPr="00DE0BCB" w:rsidRDefault="00350095" w:rsidP="00DE0BCB">
            <w:pPr>
              <w:rPr>
                <w:rFonts w:ascii="Calibri" w:eastAsia="Calibri" w:hAnsi="Calibri" w:cs="Calibri"/>
                <w:sz w:val="22"/>
                <w:szCs w:val="22"/>
              </w:rPr>
            </w:pPr>
          </w:p>
        </w:tc>
        <w:tc>
          <w:tcPr>
            <w:tcW w:w="1050" w:type="dxa"/>
          </w:tcPr>
          <w:p w14:paraId="5A25B2B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73471BF4"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18.3  </w:t>
            </w:r>
          </w:p>
        </w:tc>
        <w:tc>
          <w:tcPr>
            <w:tcW w:w="1134" w:type="dxa"/>
          </w:tcPr>
          <w:p w14:paraId="0A08664A" w14:textId="58AC397A"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17.</w:t>
            </w:r>
            <w:r>
              <w:rPr>
                <w:rFonts w:ascii="Calibri" w:hAnsi="Calibri" w:cs="Calibri"/>
                <w:sz w:val="22"/>
                <w:szCs w:val="22"/>
              </w:rPr>
              <w:t>5</w:t>
            </w:r>
          </w:p>
        </w:tc>
        <w:tc>
          <w:tcPr>
            <w:tcW w:w="1134" w:type="dxa"/>
          </w:tcPr>
          <w:p w14:paraId="7F48E817" w14:textId="38972267" w:rsidR="00350095" w:rsidRPr="00DE0BCB" w:rsidRDefault="00350095" w:rsidP="00DE0BCB">
            <w:pPr>
              <w:rPr>
                <w:rFonts w:ascii="Calibri" w:hAnsi="Calibri" w:cs="Calibri"/>
                <w:sz w:val="22"/>
                <w:szCs w:val="22"/>
              </w:rPr>
            </w:pPr>
            <w:r w:rsidRPr="00DE0BCB">
              <w:rPr>
                <w:rFonts w:ascii="Calibri" w:hAnsi="Calibri" w:cs="Calibri"/>
                <w:sz w:val="22"/>
                <w:szCs w:val="22"/>
              </w:rPr>
              <w:t>20.</w:t>
            </w:r>
            <w:r>
              <w:rPr>
                <w:rFonts w:ascii="Calibri" w:hAnsi="Calibri" w:cs="Calibri"/>
                <w:sz w:val="22"/>
                <w:szCs w:val="22"/>
              </w:rPr>
              <w:t>3</w:t>
            </w:r>
          </w:p>
        </w:tc>
        <w:tc>
          <w:tcPr>
            <w:tcW w:w="1134" w:type="dxa"/>
          </w:tcPr>
          <w:p w14:paraId="2AFCB7F0" w14:textId="15B465B7"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4</w:t>
            </w:r>
          </w:p>
        </w:tc>
        <w:tc>
          <w:tcPr>
            <w:tcW w:w="1134" w:type="dxa"/>
          </w:tcPr>
          <w:p w14:paraId="3C293626" w14:textId="496FF690"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6</w:t>
            </w:r>
            <w:r w:rsidRPr="00DE0BCB">
              <w:rPr>
                <w:rFonts w:ascii="Calibri" w:hAnsi="Calibri" w:cs="Calibri"/>
                <w:sz w:val="22"/>
                <w:szCs w:val="22"/>
              </w:rPr>
              <w:t>.8</w:t>
            </w:r>
          </w:p>
        </w:tc>
      </w:tr>
      <w:tr w:rsidR="00350095" w:rsidRPr="00DE0BCB" w14:paraId="74FF644F" w14:textId="77777777" w:rsidTr="00A250CF">
        <w:tc>
          <w:tcPr>
            <w:tcW w:w="930" w:type="dxa"/>
          </w:tcPr>
          <w:p w14:paraId="011AB489" w14:textId="77777777" w:rsidR="00350095" w:rsidRPr="00DE0BCB" w:rsidRDefault="00350095" w:rsidP="00DE0BCB">
            <w:pPr>
              <w:rPr>
                <w:rFonts w:ascii="Calibri" w:eastAsia="Calibri" w:hAnsi="Calibri" w:cs="Calibri"/>
                <w:sz w:val="22"/>
                <w:szCs w:val="22"/>
              </w:rPr>
            </w:pPr>
          </w:p>
        </w:tc>
        <w:tc>
          <w:tcPr>
            <w:tcW w:w="1050" w:type="dxa"/>
          </w:tcPr>
          <w:p w14:paraId="788C89A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428A2AC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19.4  </w:t>
            </w:r>
          </w:p>
        </w:tc>
        <w:tc>
          <w:tcPr>
            <w:tcW w:w="1134" w:type="dxa"/>
          </w:tcPr>
          <w:p w14:paraId="4999035E" w14:textId="25430584"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18.</w:t>
            </w:r>
            <w:r>
              <w:rPr>
                <w:rFonts w:ascii="Calibri" w:hAnsi="Calibri" w:cs="Calibri"/>
                <w:sz w:val="22"/>
                <w:szCs w:val="22"/>
              </w:rPr>
              <w:t>6</w:t>
            </w:r>
          </w:p>
        </w:tc>
        <w:tc>
          <w:tcPr>
            <w:tcW w:w="1134" w:type="dxa"/>
          </w:tcPr>
          <w:p w14:paraId="0E230185" w14:textId="5F97AF97" w:rsidR="00350095" w:rsidRPr="00DE0BCB" w:rsidRDefault="00350095" w:rsidP="00DE0BCB">
            <w:pPr>
              <w:rPr>
                <w:rFonts w:ascii="Calibri" w:hAnsi="Calibri" w:cs="Calibri"/>
                <w:sz w:val="22"/>
                <w:szCs w:val="22"/>
              </w:rPr>
            </w:pPr>
            <w:r w:rsidRPr="00DE0BCB">
              <w:rPr>
                <w:rFonts w:ascii="Calibri" w:hAnsi="Calibri" w:cs="Calibri"/>
                <w:sz w:val="22"/>
                <w:szCs w:val="22"/>
              </w:rPr>
              <w:t>21.</w:t>
            </w:r>
            <w:r>
              <w:rPr>
                <w:rFonts w:ascii="Calibri" w:hAnsi="Calibri" w:cs="Calibri"/>
                <w:sz w:val="22"/>
                <w:szCs w:val="22"/>
              </w:rPr>
              <w:t>2</w:t>
            </w:r>
          </w:p>
        </w:tc>
        <w:tc>
          <w:tcPr>
            <w:tcW w:w="1134" w:type="dxa"/>
          </w:tcPr>
          <w:p w14:paraId="6FFE1305" w14:textId="30BFCCBA" w:rsidR="00350095" w:rsidRPr="00DE0BCB" w:rsidRDefault="00350095" w:rsidP="00DE0BCB">
            <w:pPr>
              <w:rPr>
                <w:rFonts w:ascii="Calibri" w:hAnsi="Calibri" w:cs="Calibri"/>
                <w:sz w:val="22"/>
                <w:szCs w:val="22"/>
              </w:rPr>
            </w:pPr>
            <w:r w:rsidRPr="00DE0BCB">
              <w:rPr>
                <w:rFonts w:ascii="Calibri" w:eastAsia="Calibri" w:hAnsi="Calibri" w:cs="Calibri"/>
                <w:sz w:val="22"/>
                <w:szCs w:val="22"/>
              </w:rPr>
              <w:t>23.</w:t>
            </w:r>
            <w:r>
              <w:rPr>
                <w:rFonts w:ascii="Calibri" w:eastAsia="Calibri" w:hAnsi="Calibri" w:cs="Calibri"/>
                <w:sz w:val="22"/>
                <w:szCs w:val="22"/>
              </w:rPr>
              <w:t>9</w:t>
            </w:r>
          </w:p>
        </w:tc>
        <w:tc>
          <w:tcPr>
            <w:tcW w:w="1134" w:type="dxa"/>
          </w:tcPr>
          <w:p w14:paraId="012CA081" w14:textId="3287B509"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6</w:t>
            </w:r>
          </w:p>
        </w:tc>
      </w:tr>
      <w:tr w:rsidR="00350095" w:rsidRPr="00DE0BCB" w14:paraId="0D5CF0D3" w14:textId="77777777" w:rsidTr="00A250CF">
        <w:tc>
          <w:tcPr>
            <w:tcW w:w="930" w:type="dxa"/>
          </w:tcPr>
          <w:p w14:paraId="04B83090" w14:textId="77777777" w:rsidR="00350095" w:rsidRPr="00DE0BCB" w:rsidRDefault="00350095" w:rsidP="00DE0BCB">
            <w:pPr>
              <w:rPr>
                <w:rFonts w:ascii="Calibri" w:eastAsia="Calibri" w:hAnsi="Calibri" w:cs="Calibri"/>
                <w:sz w:val="22"/>
                <w:szCs w:val="22"/>
              </w:rPr>
            </w:pPr>
          </w:p>
        </w:tc>
        <w:tc>
          <w:tcPr>
            <w:tcW w:w="1050" w:type="dxa"/>
          </w:tcPr>
          <w:p w14:paraId="292BB7F1"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0D3C51CD"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18.</w:t>
            </w:r>
            <w:r w:rsidRPr="00DE0BCB">
              <w:rPr>
                <w:rFonts w:ascii="Calibri" w:hAnsi="Calibri" w:cs="Calibri"/>
                <w:sz w:val="22"/>
                <w:szCs w:val="22"/>
              </w:rPr>
              <w:t>9</w:t>
            </w:r>
            <w:r w:rsidRPr="00DE0BCB">
              <w:rPr>
                <w:rFonts w:ascii="Calibri" w:eastAsia="Calibri" w:hAnsi="Calibri" w:cs="Calibri"/>
                <w:sz w:val="22"/>
                <w:szCs w:val="22"/>
              </w:rPr>
              <w:t xml:space="preserve">  </w:t>
            </w:r>
          </w:p>
        </w:tc>
        <w:tc>
          <w:tcPr>
            <w:tcW w:w="1134" w:type="dxa"/>
          </w:tcPr>
          <w:p w14:paraId="5E1AD041" w14:textId="309E81F4"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18.</w:t>
            </w:r>
            <w:r>
              <w:rPr>
                <w:rFonts w:ascii="Calibri" w:hAnsi="Calibri" w:cs="Calibri"/>
                <w:sz w:val="22"/>
                <w:szCs w:val="22"/>
              </w:rPr>
              <w:t>1</w:t>
            </w:r>
          </w:p>
        </w:tc>
        <w:tc>
          <w:tcPr>
            <w:tcW w:w="1134" w:type="dxa"/>
          </w:tcPr>
          <w:p w14:paraId="45B442F3" w14:textId="19CFC251" w:rsidR="00350095" w:rsidRPr="00DE0BCB" w:rsidRDefault="00350095" w:rsidP="00DE0BCB">
            <w:pPr>
              <w:rPr>
                <w:rFonts w:ascii="Calibri" w:hAnsi="Calibri" w:cs="Calibri"/>
                <w:sz w:val="22"/>
                <w:szCs w:val="22"/>
              </w:rPr>
            </w:pPr>
            <w:r>
              <w:rPr>
                <w:rFonts w:ascii="Calibri" w:hAnsi="Calibri" w:cs="Calibri"/>
                <w:sz w:val="22"/>
                <w:szCs w:val="22"/>
              </w:rPr>
              <w:t>20.1</w:t>
            </w:r>
          </w:p>
        </w:tc>
        <w:tc>
          <w:tcPr>
            <w:tcW w:w="1134" w:type="dxa"/>
          </w:tcPr>
          <w:p w14:paraId="2F794F5A" w14:textId="5FA59101" w:rsidR="00350095" w:rsidRPr="00DE0BCB" w:rsidRDefault="00350095" w:rsidP="00DE0BCB">
            <w:pPr>
              <w:rPr>
                <w:rFonts w:ascii="Calibri" w:hAnsi="Calibri" w:cs="Calibri"/>
                <w:sz w:val="22"/>
                <w:szCs w:val="22"/>
              </w:rPr>
            </w:pPr>
            <w:r w:rsidRPr="00DE0BCB">
              <w:rPr>
                <w:rFonts w:ascii="Calibri" w:hAnsi="Calibri" w:cs="Calibri"/>
                <w:sz w:val="22"/>
                <w:szCs w:val="22"/>
              </w:rPr>
              <w:t>2</w:t>
            </w:r>
            <w:r>
              <w:rPr>
                <w:rFonts w:ascii="Calibri" w:hAnsi="Calibri" w:cs="Calibri"/>
                <w:sz w:val="22"/>
                <w:szCs w:val="22"/>
              </w:rPr>
              <w:t>2</w:t>
            </w:r>
            <w:r w:rsidRPr="00DE0BCB">
              <w:rPr>
                <w:rFonts w:ascii="Calibri" w:hAnsi="Calibri" w:cs="Calibri"/>
                <w:sz w:val="22"/>
                <w:szCs w:val="22"/>
              </w:rPr>
              <w:t>.</w:t>
            </w:r>
            <w:r>
              <w:rPr>
                <w:rFonts w:ascii="Calibri" w:hAnsi="Calibri" w:cs="Calibri"/>
                <w:sz w:val="22"/>
                <w:szCs w:val="22"/>
              </w:rPr>
              <w:t>0</w:t>
            </w:r>
          </w:p>
        </w:tc>
        <w:tc>
          <w:tcPr>
            <w:tcW w:w="1134" w:type="dxa"/>
          </w:tcPr>
          <w:p w14:paraId="5BE5F8D3" w14:textId="2AEB73D5" w:rsidR="00350095" w:rsidRPr="00DE0BCB" w:rsidRDefault="00350095" w:rsidP="00DE0BCB">
            <w:pPr>
              <w:rPr>
                <w:rFonts w:ascii="Calibri" w:hAnsi="Calibri" w:cs="Calibri"/>
                <w:sz w:val="22"/>
                <w:szCs w:val="22"/>
              </w:rPr>
            </w:pPr>
            <w:r w:rsidRPr="00DE0BCB">
              <w:rPr>
                <w:rFonts w:ascii="Calibri" w:hAnsi="Calibri" w:cs="Calibri"/>
                <w:sz w:val="22"/>
                <w:szCs w:val="22"/>
              </w:rPr>
              <w:t>23.</w:t>
            </w:r>
            <w:r>
              <w:rPr>
                <w:rFonts w:ascii="Calibri" w:hAnsi="Calibri" w:cs="Calibri"/>
                <w:sz w:val="22"/>
                <w:szCs w:val="22"/>
              </w:rPr>
              <w:t>9</w:t>
            </w:r>
          </w:p>
        </w:tc>
      </w:tr>
      <w:tr w:rsidR="00350095" w:rsidRPr="00DE0BCB" w14:paraId="4F639537" w14:textId="77777777" w:rsidTr="00A250CF">
        <w:tc>
          <w:tcPr>
            <w:tcW w:w="930" w:type="dxa"/>
          </w:tcPr>
          <w:p w14:paraId="418F960F" w14:textId="77777777" w:rsidR="00350095" w:rsidRPr="00DE0BCB" w:rsidRDefault="00350095" w:rsidP="00DE0BCB">
            <w:pPr>
              <w:rPr>
                <w:rFonts w:ascii="Calibri" w:eastAsia="Calibri" w:hAnsi="Calibri" w:cs="Calibri"/>
                <w:sz w:val="22"/>
                <w:szCs w:val="22"/>
              </w:rPr>
            </w:pPr>
          </w:p>
        </w:tc>
        <w:tc>
          <w:tcPr>
            <w:tcW w:w="1050" w:type="dxa"/>
          </w:tcPr>
          <w:p w14:paraId="3C7C9B43"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135D1CB4"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16.3  </w:t>
            </w:r>
          </w:p>
        </w:tc>
        <w:tc>
          <w:tcPr>
            <w:tcW w:w="1134" w:type="dxa"/>
          </w:tcPr>
          <w:p w14:paraId="7622E42D" w14:textId="5CC42AE6"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1</w:t>
            </w:r>
            <w:r>
              <w:rPr>
                <w:rFonts w:ascii="Calibri" w:hAnsi="Calibri" w:cs="Calibri"/>
                <w:sz w:val="22"/>
                <w:szCs w:val="22"/>
              </w:rPr>
              <w:t>5</w:t>
            </w:r>
            <w:r w:rsidRPr="00DE0BCB">
              <w:rPr>
                <w:rFonts w:ascii="Calibri" w:hAnsi="Calibri" w:cs="Calibri"/>
                <w:sz w:val="22"/>
                <w:szCs w:val="22"/>
              </w:rPr>
              <w:t>.</w:t>
            </w:r>
            <w:r>
              <w:rPr>
                <w:rFonts w:ascii="Calibri" w:hAnsi="Calibri" w:cs="Calibri"/>
                <w:sz w:val="22"/>
                <w:szCs w:val="22"/>
              </w:rPr>
              <w:t>9</w:t>
            </w:r>
          </w:p>
        </w:tc>
        <w:tc>
          <w:tcPr>
            <w:tcW w:w="1134" w:type="dxa"/>
          </w:tcPr>
          <w:p w14:paraId="33989ACB" w14:textId="054462B9" w:rsidR="00350095" w:rsidRPr="00DE0BCB" w:rsidRDefault="00350095"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7</w:t>
            </w:r>
            <w:r w:rsidRPr="00DE0BCB">
              <w:rPr>
                <w:rFonts w:ascii="Calibri" w:hAnsi="Calibri" w:cs="Calibri"/>
                <w:sz w:val="22"/>
                <w:szCs w:val="22"/>
              </w:rPr>
              <w:t>.</w:t>
            </w:r>
            <w:r>
              <w:rPr>
                <w:rFonts w:ascii="Calibri" w:hAnsi="Calibri" w:cs="Calibri"/>
                <w:sz w:val="22"/>
                <w:szCs w:val="22"/>
              </w:rPr>
              <w:t>1</w:t>
            </w:r>
          </w:p>
        </w:tc>
        <w:tc>
          <w:tcPr>
            <w:tcW w:w="1134" w:type="dxa"/>
          </w:tcPr>
          <w:p w14:paraId="00772EBF" w14:textId="358D3D63" w:rsidR="00350095" w:rsidRPr="00DE0BCB" w:rsidRDefault="00350095"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8</w:t>
            </w:r>
            <w:r w:rsidRPr="00DE0BCB">
              <w:rPr>
                <w:rFonts w:ascii="Calibri" w:hAnsi="Calibri" w:cs="Calibri"/>
                <w:sz w:val="22"/>
                <w:szCs w:val="22"/>
              </w:rPr>
              <w:t>.</w:t>
            </w:r>
            <w:r>
              <w:rPr>
                <w:rFonts w:ascii="Calibri" w:hAnsi="Calibri" w:cs="Calibri"/>
                <w:sz w:val="22"/>
                <w:szCs w:val="22"/>
              </w:rPr>
              <w:t>2</w:t>
            </w:r>
          </w:p>
        </w:tc>
        <w:tc>
          <w:tcPr>
            <w:tcW w:w="1134" w:type="dxa"/>
          </w:tcPr>
          <w:p w14:paraId="7749166C" w14:textId="61D50E87" w:rsidR="00350095" w:rsidRPr="00DE0BCB" w:rsidRDefault="00350095"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9</w:t>
            </w:r>
            <w:r w:rsidRPr="00DE0BCB">
              <w:rPr>
                <w:rFonts w:ascii="Calibri" w:hAnsi="Calibri" w:cs="Calibri"/>
                <w:sz w:val="22"/>
                <w:szCs w:val="22"/>
              </w:rPr>
              <w:t>.</w:t>
            </w:r>
            <w:r>
              <w:rPr>
                <w:rFonts w:ascii="Calibri" w:hAnsi="Calibri" w:cs="Calibri"/>
                <w:sz w:val="22"/>
                <w:szCs w:val="22"/>
              </w:rPr>
              <w:t>3</w:t>
            </w:r>
          </w:p>
        </w:tc>
      </w:tr>
      <w:tr w:rsidR="00350095" w:rsidRPr="00DE0BCB" w14:paraId="2E8A3E68" w14:textId="77777777" w:rsidTr="00A250CF">
        <w:tc>
          <w:tcPr>
            <w:tcW w:w="930" w:type="dxa"/>
          </w:tcPr>
          <w:p w14:paraId="3A605093" w14:textId="77777777" w:rsidR="00350095" w:rsidRPr="00DE0BCB" w:rsidRDefault="00350095" w:rsidP="00DE0BCB">
            <w:pPr>
              <w:rPr>
                <w:rFonts w:ascii="Calibri" w:eastAsia="Calibri" w:hAnsi="Calibri" w:cs="Calibri"/>
                <w:sz w:val="22"/>
                <w:szCs w:val="22"/>
              </w:rPr>
            </w:pPr>
          </w:p>
        </w:tc>
        <w:tc>
          <w:tcPr>
            <w:tcW w:w="1050" w:type="dxa"/>
          </w:tcPr>
          <w:p w14:paraId="1BFFD8F8" w14:textId="77777777" w:rsidR="00350095" w:rsidRPr="00DE0BCB" w:rsidRDefault="00350095" w:rsidP="00DE0BCB">
            <w:pPr>
              <w:rPr>
                <w:rFonts w:ascii="Calibri" w:eastAsia="Calibri" w:hAnsi="Calibri" w:cs="Calibri"/>
                <w:sz w:val="22"/>
                <w:szCs w:val="22"/>
              </w:rPr>
            </w:pPr>
          </w:p>
        </w:tc>
        <w:tc>
          <w:tcPr>
            <w:tcW w:w="1276" w:type="dxa"/>
          </w:tcPr>
          <w:p w14:paraId="41335319" w14:textId="77777777" w:rsidR="00350095" w:rsidRPr="00DE0BCB" w:rsidRDefault="00350095" w:rsidP="00DE0BCB">
            <w:pPr>
              <w:rPr>
                <w:rFonts w:ascii="Calibri" w:eastAsia="Calibri" w:hAnsi="Calibri" w:cs="Calibri"/>
                <w:sz w:val="22"/>
                <w:szCs w:val="22"/>
              </w:rPr>
            </w:pPr>
          </w:p>
        </w:tc>
        <w:tc>
          <w:tcPr>
            <w:tcW w:w="1134" w:type="dxa"/>
          </w:tcPr>
          <w:p w14:paraId="6907B7FA" w14:textId="77777777" w:rsidR="00350095" w:rsidRPr="00DE0BCB" w:rsidRDefault="00350095" w:rsidP="00DE0BCB">
            <w:pPr>
              <w:rPr>
                <w:rFonts w:ascii="Calibri" w:eastAsia="Calibri" w:hAnsi="Calibri" w:cs="Calibri"/>
                <w:sz w:val="22"/>
                <w:szCs w:val="22"/>
              </w:rPr>
            </w:pPr>
          </w:p>
        </w:tc>
        <w:tc>
          <w:tcPr>
            <w:tcW w:w="1134" w:type="dxa"/>
          </w:tcPr>
          <w:p w14:paraId="6829E01D" w14:textId="77777777" w:rsidR="00350095" w:rsidRPr="00DE0BCB" w:rsidRDefault="00350095" w:rsidP="00DE0BCB">
            <w:pPr>
              <w:rPr>
                <w:rFonts w:ascii="Calibri" w:hAnsi="Calibri" w:cs="Calibri"/>
                <w:sz w:val="22"/>
                <w:szCs w:val="22"/>
              </w:rPr>
            </w:pPr>
          </w:p>
        </w:tc>
        <w:tc>
          <w:tcPr>
            <w:tcW w:w="1134" w:type="dxa"/>
          </w:tcPr>
          <w:p w14:paraId="2987A0C3" w14:textId="77777777" w:rsidR="00350095" w:rsidRPr="00DE0BCB" w:rsidRDefault="00350095" w:rsidP="00DE0BCB">
            <w:pPr>
              <w:rPr>
                <w:rFonts w:ascii="Calibri" w:hAnsi="Calibri" w:cs="Calibri"/>
                <w:sz w:val="22"/>
                <w:szCs w:val="22"/>
              </w:rPr>
            </w:pPr>
          </w:p>
        </w:tc>
        <w:tc>
          <w:tcPr>
            <w:tcW w:w="1134" w:type="dxa"/>
          </w:tcPr>
          <w:p w14:paraId="532F25B7" w14:textId="77777777" w:rsidR="00350095" w:rsidRPr="00DE0BCB" w:rsidRDefault="00350095" w:rsidP="00DE0BCB">
            <w:pPr>
              <w:rPr>
                <w:rFonts w:ascii="Calibri" w:hAnsi="Calibri" w:cs="Calibri"/>
                <w:sz w:val="22"/>
                <w:szCs w:val="22"/>
              </w:rPr>
            </w:pPr>
          </w:p>
        </w:tc>
      </w:tr>
      <w:tr w:rsidR="00350095" w:rsidRPr="00DE0BCB" w14:paraId="65724CD0" w14:textId="77777777" w:rsidTr="00A250CF">
        <w:tc>
          <w:tcPr>
            <w:tcW w:w="930" w:type="dxa"/>
          </w:tcPr>
          <w:p w14:paraId="0888F5EC"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Women</w:t>
            </w:r>
          </w:p>
        </w:tc>
        <w:tc>
          <w:tcPr>
            <w:tcW w:w="1050" w:type="dxa"/>
          </w:tcPr>
          <w:p w14:paraId="094F25EB"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3C6E7147"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26.6  </w:t>
            </w:r>
          </w:p>
        </w:tc>
        <w:tc>
          <w:tcPr>
            <w:tcW w:w="1134" w:type="dxa"/>
          </w:tcPr>
          <w:p w14:paraId="73FC8084" w14:textId="70104C02"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25.</w:t>
            </w:r>
            <w:r>
              <w:rPr>
                <w:rFonts w:ascii="Calibri" w:hAnsi="Calibri" w:cs="Calibri"/>
                <w:sz w:val="22"/>
                <w:szCs w:val="22"/>
              </w:rPr>
              <w:t>0</w:t>
            </w:r>
          </w:p>
        </w:tc>
        <w:tc>
          <w:tcPr>
            <w:tcW w:w="1134" w:type="dxa"/>
          </w:tcPr>
          <w:p w14:paraId="38DB2BFC" w14:textId="3C40DA65" w:rsidR="00350095" w:rsidRPr="00DE0BCB" w:rsidRDefault="00350095" w:rsidP="00DE0BCB">
            <w:pPr>
              <w:rPr>
                <w:rFonts w:ascii="Calibri" w:hAnsi="Calibri" w:cs="Calibri"/>
                <w:sz w:val="22"/>
                <w:szCs w:val="22"/>
              </w:rPr>
            </w:pPr>
            <w:r w:rsidRPr="00DE0BCB">
              <w:rPr>
                <w:rFonts w:ascii="Calibri" w:hAnsi="Calibri" w:cs="Calibri"/>
                <w:sz w:val="22"/>
                <w:szCs w:val="22"/>
              </w:rPr>
              <w:t>29.</w:t>
            </w:r>
            <w:r>
              <w:rPr>
                <w:rFonts w:ascii="Calibri" w:hAnsi="Calibri" w:cs="Calibri"/>
                <w:sz w:val="22"/>
                <w:szCs w:val="22"/>
              </w:rPr>
              <w:t>3</w:t>
            </w:r>
          </w:p>
        </w:tc>
        <w:tc>
          <w:tcPr>
            <w:tcW w:w="1134" w:type="dxa"/>
          </w:tcPr>
          <w:p w14:paraId="4B3328E7" w14:textId="6EFBC6D2" w:rsidR="00350095" w:rsidRPr="00DE0BCB" w:rsidRDefault="00350095"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4</w:t>
            </w:r>
            <w:r w:rsidRPr="00DE0BCB">
              <w:rPr>
                <w:rFonts w:ascii="Calibri" w:hAnsi="Calibri" w:cs="Calibri"/>
                <w:sz w:val="22"/>
                <w:szCs w:val="22"/>
              </w:rPr>
              <w:t>.</w:t>
            </w:r>
            <w:r>
              <w:rPr>
                <w:rFonts w:ascii="Calibri" w:hAnsi="Calibri" w:cs="Calibri"/>
                <w:sz w:val="22"/>
                <w:szCs w:val="22"/>
              </w:rPr>
              <w:t>1</w:t>
            </w:r>
          </w:p>
        </w:tc>
        <w:tc>
          <w:tcPr>
            <w:tcW w:w="1134" w:type="dxa"/>
          </w:tcPr>
          <w:p w14:paraId="04B51544" w14:textId="513355B2" w:rsidR="00350095" w:rsidRPr="00DE0BCB" w:rsidRDefault="00350095"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9</w:t>
            </w:r>
            <w:r w:rsidRPr="00DE0BCB">
              <w:rPr>
                <w:rFonts w:ascii="Calibri" w:hAnsi="Calibri" w:cs="Calibri"/>
                <w:sz w:val="22"/>
                <w:szCs w:val="22"/>
              </w:rPr>
              <w:t>.</w:t>
            </w:r>
            <w:r>
              <w:rPr>
                <w:rFonts w:ascii="Calibri" w:hAnsi="Calibri" w:cs="Calibri"/>
                <w:sz w:val="22"/>
                <w:szCs w:val="22"/>
              </w:rPr>
              <w:t>4</w:t>
            </w:r>
          </w:p>
        </w:tc>
      </w:tr>
      <w:tr w:rsidR="00350095" w:rsidRPr="00DE0BCB" w14:paraId="00167AC2" w14:textId="77777777" w:rsidTr="00A250CF">
        <w:tc>
          <w:tcPr>
            <w:tcW w:w="930" w:type="dxa"/>
          </w:tcPr>
          <w:p w14:paraId="6CF9B495" w14:textId="77777777" w:rsidR="00350095" w:rsidRPr="00DE0BCB" w:rsidRDefault="00350095" w:rsidP="00DE0BCB">
            <w:pPr>
              <w:rPr>
                <w:rFonts w:ascii="Calibri" w:eastAsia="Calibri" w:hAnsi="Calibri" w:cs="Calibri"/>
                <w:sz w:val="22"/>
                <w:szCs w:val="22"/>
              </w:rPr>
            </w:pPr>
          </w:p>
        </w:tc>
        <w:tc>
          <w:tcPr>
            <w:tcW w:w="1050" w:type="dxa"/>
          </w:tcPr>
          <w:p w14:paraId="42919CFC"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674035E7" w14:textId="15F6EB98"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30.</w:t>
            </w:r>
            <w:r w:rsidRPr="00DE0BCB">
              <w:rPr>
                <w:rFonts w:ascii="Calibri" w:hAnsi="Calibri" w:cs="Calibri"/>
                <w:sz w:val="22"/>
                <w:szCs w:val="22"/>
              </w:rPr>
              <w:t>2</w:t>
            </w:r>
            <w:r w:rsidRPr="00DE0BCB">
              <w:rPr>
                <w:rFonts w:ascii="Calibri" w:eastAsia="Calibri" w:hAnsi="Calibri" w:cs="Calibri"/>
                <w:sz w:val="22"/>
                <w:szCs w:val="22"/>
              </w:rPr>
              <w:t xml:space="preserve">  </w:t>
            </w:r>
          </w:p>
        </w:tc>
        <w:tc>
          <w:tcPr>
            <w:tcW w:w="1134" w:type="dxa"/>
          </w:tcPr>
          <w:p w14:paraId="2560CE43" w14:textId="68043651"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28.</w:t>
            </w:r>
            <w:r>
              <w:rPr>
                <w:rFonts w:ascii="Calibri" w:hAnsi="Calibri" w:cs="Calibri"/>
                <w:sz w:val="22"/>
                <w:szCs w:val="22"/>
              </w:rPr>
              <w:t>2</w:t>
            </w:r>
          </w:p>
        </w:tc>
        <w:tc>
          <w:tcPr>
            <w:tcW w:w="1134" w:type="dxa"/>
          </w:tcPr>
          <w:p w14:paraId="0DD5B709" w14:textId="04A4C035" w:rsidR="00350095" w:rsidRPr="00DE0BCB" w:rsidRDefault="00350095" w:rsidP="00DE0BCB">
            <w:pPr>
              <w:rPr>
                <w:rFonts w:ascii="Calibri" w:hAnsi="Calibri" w:cs="Calibri"/>
                <w:sz w:val="22"/>
                <w:szCs w:val="22"/>
              </w:rPr>
            </w:pPr>
            <w:r w:rsidRPr="00DE0BCB">
              <w:rPr>
                <w:rFonts w:ascii="Calibri" w:hAnsi="Calibri" w:cs="Calibri"/>
                <w:sz w:val="22"/>
                <w:szCs w:val="22"/>
              </w:rPr>
              <w:t>32.</w:t>
            </w:r>
            <w:r>
              <w:rPr>
                <w:rFonts w:ascii="Calibri" w:hAnsi="Calibri" w:cs="Calibri"/>
                <w:sz w:val="22"/>
                <w:szCs w:val="22"/>
              </w:rPr>
              <w:t>8</w:t>
            </w:r>
          </w:p>
        </w:tc>
        <w:tc>
          <w:tcPr>
            <w:tcW w:w="1134" w:type="dxa"/>
          </w:tcPr>
          <w:p w14:paraId="5ADB8DD0" w14:textId="3F6E719E" w:rsidR="00350095" w:rsidRPr="00DE0BCB" w:rsidRDefault="00350095" w:rsidP="00DE0BCB">
            <w:pPr>
              <w:rPr>
                <w:rFonts w:ascii="Calibri" w:hAnsi="Calibri" w:cs="Calibri"/>
                <w:sz w:val="22"/>
                <w:szCs w:val="22"/>
              </w:rPr>
            </w:pPr>
            <w:r w:rsidRPr="00DE0BCB">
              <w:rPr>
                <w:rFonts w:ascii="Calibri" w:hAnsi="Calibri" w:cs="Calibri"/>
                <w:sz w:val="22"/>
                <w:szCs w:val="22"/>
              </w:rPr>
              <w:t>37.</w:t>
            </w:r>
            <w:r>
              <w:rPr>
                <w:rFonts w:ascii="Calibri" w:hAnsi="Calibri" w:cs="Calibri"/>
                <w:sz w:val="22"/>
                <w:szCs w:val="22"/>
              </w:rPr>
              <w:t>9</w:t>
            </w:r>
          </w:p>
        </w:tc>
        <w:tc>
          <w:tcPr>
            <w:tcW w:w="1134" w:type="dxa"/>
          </w:tcPr>
          <w:p w14:paraId="33DC5196" w14:textId="09B3D7E5"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3</w:t>
            </w:r>
          </w:p>
        </w:tc>
      </w:tr>
      <w:tr w:rsidR="00350095" w:rsidRPr="00DE0BCB" w14:paraId="5A0FBAB9" w14:textId="77777777" w:rsidTr="00A250CF">
        <w:tc>
          <w:tcPr>
            <w:tcW w:w="930" w:type="dxa"/>
          </w:tcPr>
          <w:p w14:paraId="79701F84" w14:textId="77777777" w:rsidR="00350095" w:rsidRPr="00DE0BCB" w:rsidRDefault="00350095" w:rsidP="00DE0BCB">
            <w:pPr>
              <w:rPr>
                <w:rFonts w:ascii="Calibri" w:eastAsia="Calibri" w:hAnsi="Calibri" w:cs="Calibri"/>
                <w:sz w:val="22"/>
                <w:szCs w:val="22"/>
              </w:rPr>
            </w:pPr>
          </w:p>
        </w:tc>
        <w:tc>
          <w:tcPr>
            <w:tcW w:w="1050" w:type="dxa"/>
          </w:tcPr>
          <w:p w14:paraId="5D761040"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155A5420" w14:textId="506E9355"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33.</w:t>
            </w:r>
            <w:r w:rsidRPr="00DE0BCB">
              <w:rPr>
                <w:rFonts w:ascii="Calibri" w:hAnsi="Calibri" w:cs="Calibri"/>
                <w:sz w:val="22"/>
                <w:szCs w:val="22"/>
              </w:rPr>
              <w:t>7</w:t>
            </w:r>
            <w:r w:rsidRPr="00DE0BCB">
              <w:rPr>
                <w:rFonts w:ascii="Calibri" w:eastAsia="Calibri" w:hAnsi="Calibri" w:cs="Calibri"/>
                <w:sz w:val="22"/>
                <w:szCs w:val="22"/>
              </w:rPr>
              <w:t xml:space="preserve">  </w:t>
            </w:r>
          </w:p>
        </w:tc>
        <w:tc>
          <w:tcPr>
            <w:tcW w:w="1134" w:type="dxa"/>
          </w:tcPr>
          <w:p w14:paraId="455A002E" w14:textId="44EC7BD5"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31.</w:t>
            </w:r>
            <w:r>
              <w:rPr>
                <w:rFonts w:ascii="Calibri" w:hAnsi="Calibri" w:cs="Calibri"/>
                <w:sz w:val="22"/>
                <w:szCs w:val="22"/>
              </w:rPr>
              <w:t>4</w:t>
            </w:r>
          </w:p>
        </w:tc>
        <w:tc>
          <w:tcPr>
            <w:tcW w:w="1134" w:type="dxa"/>
          </w:tcPr>
          <w:p w14:paraId="28C5B32A" w14:textId="1A8AE914" w:rsidR="00350095" w:rsidRPr="00DE0BCB" w:rsidRDefault="00350095"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2</w:t>
            </w:r>
          </w:p>
        </w:tc>
        <w:tc>
          <w:tcPr>
            <w:tcW w:w="1134" w:type="dxa"/>
          </w:tcPr>
          <w:p w14:paraId="43770C8D" w14:textId="7FE34B41"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1</w:t>
            </w:r>
            <w:r w:rsidRPr="00DE0BCB">
              <w:rPr>
                <w:rFonts w:ascii="Calibri" w:hAnsi="Calibri" w:cs="Calibri"/>
                <w:sz w:val="22"/>
                <w:szCs w:val="22"/>
              </w:rPr>
              <w:t>.</w:t>
            </w:r>
            <w:r>
              <w:rPr>
                <w:rFonts w:ascii="Calibri" w:hAnsi="Calibri" w:cs="Calibri"/>
                <w:sz w:val="22"/>
                <w:szCs w:val="22"/>
              </w:rPr>
              <w:t>2</w:t>
            </w:r>
          </w:p>
        </w:tc>
        <w:tc>
          <w:tcPr>
            <w:tcW w:w="1134" w:type="dxa"/>
          </w:tcPr>
          <w:p w14:paraId="49296333" w14:textId="7D0FE9BD"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5</w:t>
            </w:r>
          </w:p>
        </w:tc>
      </w:tr>
      <w:tr w:rsidR="00350095" w:rsidRPr="00DE0BCB" w14:paraId="30569C2F" w14:textId="77777777" w:rsidTr="00A250CF">
        <w:tc>
          <w:tcPr>
            <w:tcW w:w="930" w:type="dxa"/>
          </w:tcPr>
          <w:p w14:paraId="287B2FC3" w14:textId="77777777" w:rsidR="00350095" w:rsidRPr="00DE0BCB" w:rsidRDefault="00350095" w:rsidP="00DE0BCB">
            <w:pPr>
              <w:rPr>
                <w:rFonts w:ascii="Calibri" w:eastAsia="Calibri" w:hAnsi="Calibri" w:cs="Calibri"/>
                <w:sz w:val="22"/>
                <w:szCs w:val="22"/>
              </w:rPr>
            </w:pPr>
          </w:p>
        </w:tc>
        <w:tc>
          <w:tcPr>
            <w:tcW w:w="1050" w:type="dxa"/>
          </w:tcPr>
          <w:p w14:paraId="18E41C8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0227A5AA"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36.5  </w:t>
            </w:r>
          </w:p>
        </w:tc>
        <w:tc>
          <w:tcPr>
            <w:tcW w:w="1134" w:type="dxa"/>
          </w:tcPr>
          <w:p w14:paraId="460B21D4" w14:textId="628C4EDB"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34.</w:t>
            </w:r>
            <w:r>
              <w:rPr>
                <w:rFonts w:ascii="Calibri" w:hAnsi="Calibri" w:cs="Calibri"/>
                <w:sz w:val="22"/>
                <w:szCs w:val="22"/>
              </w:rPr>
              <w:t>2</w:t>
            </w:r>
          </w:p>
        </w:tc>
        <w:tc>
          <w:tcPr>
            <w:tcW w:w="1134" w:type="dxa"/>
          </w:tcPr>
          <w:p w14:paraId="341DAF44" w14:textId="3BBA134E" w:rsidR="00350095" w:rsidRPr="00DE0BCB" w:rsidRDefault="00350095" w:rsidP="00DE0BCB">
            <w:pPr>
              <w:rPr>
                <w:rFonts w:ascii="Calibri" w:hAnsi="Calibri" w:cs="Calibri"/>
                <w:sz w:val="22"/>
                <w:szCs w:val="22"/>
              </w:rPr>
            </w:pPr>
            <w:r w:rsidRPr="00DE0BCB">
              <w:rPr>
                <w:rFonts w:ascii="Calibri" w:hAnsi="Calibri" w:cs="Calibri"/>
                <w:sz w:val="22"/>
                <w:szCs w:val="22"/>
              </w:rPr>
              <w:t>38.</w:t>
            </w:r>
            <w:r>
              <w:rPr>
                <w:rFonts w:ascii="Calibri" w:hAnsi="Calibri" w:cs="Calibri"/>
                <w:sz w:val="22"/>
                <w:szCs w:val="22"/>
              </w:rPr>
              <w:t>7</w:t>
            </w:r>
          </w:p>
        </w:tc>
        <w:tc>
          <w:tcPr>
            <w:tcW w:w="1134" w:type="dxa"/>
          </w:tcPr>
          <w:p w14:paraId="71D987BC" w14:textId="0ABECFD5"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3</w:t>
            </w:r>
            <w:r w:rsidRPr="00DE0BCB">
              <w:rPr>
                <w:rFonts w:ascii="Calibri" w:hAnsi="Calibri" w:cs="Calibri"/>
                <w:sz w:val="22"/>
                <w:szCs w:val="22"/>
              </w:rPr>
              <w:t>.</w:t>
            </w:r>
            <w:r>
              <w:rPr>
                <w:rFonts w:ascii="Calibri" w:hAnsi="Calibri" w:cs="Calibri"/>
                <w:sz w:val="22"/>
                <w:szCs w:val="22"/>
              </w:rPr>
              <w:t>3</w:t>
            </w:r>
          </w:p>
        </w:tc>
        <w:tc>
          <w:tcPr>
            <w:tcW w:w="1134" w:type="dxa"/>
          </w:tcPr>
          <w:p w14:paraId="413934CD" w14:textId="59A88E29"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8</w:t>
            </w:r>
            <w:r w:rsidRPr="00DE0BCB">
              <w:rPr>
                <w:rFonts w:ascii="Calibri" w:hAnsi="Calibri" w:cs="Calibri"/>
                <w:sz w:val="22"/>
                <w:szCs w:val="22"/>
              </w:rPr>
              <w:t>.</w:t>
            </w:r>
            <w:r>
              <w:rPr>
                <w:rFonts w:ascii="Calibri" w:hAnsi="Calibri" w:cs="Calibri"/>
                <w:sz w:val="22"/>
                <w:szCs w:val="22"/>
              </w:rPr>
              <w:t>0</w:t>
            </w:r>
          </w:p>
        </w:tc>
      </w:tr>
      <w:tr w:rsidR="00350095" w:rsidRPr="00DE0BCB" w14:paraId="4771426F" w14:textId="77777777" w:rsidTr="00A250CF">
        <w:tc>
          <w:tcPr>
            <w:tcW w:w="930" w:type="dxa"/>
          </w:tcPr>
          <w:p w14:paraId="05B273B2" w14:textId="77777777" w:rsidR="00350095" w:rsidRPr="00DE0BCB" w:rsidRDefault="00350095" w:rsidP="00DE0BCB">
            <w:pPr>
              <w:rPr>
                <w:rFonts w:ascii="Calibri" w:eastAsia="Calibri" w:hAnsi="Calibri" w:cs="Calibri"/>
                <w:sz w:val="22"/>
                <w:szCs w:val="22"/>
              </w:rPr>
            </w:pPr>
          </w:p>
        </w:tc>
        <w:tc>
          <w:tcPr>
            <w:tcW w:w="1050" w:type="dxa"/>
          </w:tcPr>
          <w:p w14:paraId="2A0D251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5555C53E"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37.</w:t>
            </w:r>
            <w:r w:rsidRPr="00DE0BCB">
              <w:rPr>
                <w:rFonts w:ascii="Calibri" w:hAnsi="Calibri" w:cs="Calibri"/>
                <w:sz w:val="22"/>
                <w:szCs w:val="22"/>
              </w:rPr>
              <w:t>3</w:t>
            </w:r>
            <w:r w:rsidRPr="00DE0BCB">
              <w:rPr>
                <w:rFonts w:ascii="Calibri" w:eastAsia="Calibri" w:hAnsi="Calibri" w:cs="Calibri"/>
                <w:sz w:val="22"/>
                <w:szCs w:val="22"/>
              </w:rPr>
              <w:t xml:space="preserve">  </w:t>
            </w:r>
          </w:p>
        </w:tc>
        <w:tc>
          <w:tcPr>
            <w:tcW w:w="1134" w:type="dxa"/>
          </w:tcPr>
          <w:p w14:paraId="567CB117" w14:textId="0C7D7020"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35.</w:t>
            </w:r>
            <w:r>
              <w:rPr>
                <w:rFonts w:ascii="Calibri" w:hAnsi="Calibri" w:cs="Calibri"/>
                <w:sz w:val="22"/>
                <w:szCs w:val="22"/>
              </w:rPr>
              <w:t>2</w:t>
            </w:r>
          </w:p>
        </w:tc>
        <w:tc>
          <w:tcPr>
            <w:tcW w:w="1134" w:type="dxa"/>
          </w:tcPr>
          <w:p w14:paraId="08A2A9D5" w14:textId="43433565" w:rsidR="00350095" w:rsidRPr="00DE0BCB" w:rsidRDefault="00350095" w:rsidP="00DE0BCB">
            <w:pPr>
              <w:rPr>
                <w:rFonts w:ascii="Calibri" w:hAnsi="Calibri" w:cs="Calibri"/>
                <w:sz w:val="22"/>
                <w:szCs w:val="22"/>
              </w:rPr>
            </w:pPr>
            <w:r w:rsidRPr="00DE0BCB">
              <w:rPr>
                <w:rFonts w:ascii="Calibri" w:hAnsi="Calibri" w:cs="Calibri"/>
                <w:sz w:val="22"/>
                <w:szCs w:val="22"/>
              </w:rPr>
              <w:t>38.</w:t>
            </w:r>
            <w:r>
              <w:rPr>
                <w:rFonts w:ascii="Calibri" w:hAnsi="Calibri" w:cs="Calibri"/>
                <w:sz w:val="22"/>
                <w:szCs w:val="22"/>
              </w:rPr>
              <w:t>9</w:t>
            </w:r>
          </w:p>
        </w:tc>
        <w:tc>
          <w:tcPr>
            <w:tcW w:w="1134" w:type="dxa"/>
          </w:tcPr>
          <w:p w14:paraId="635A0820" w14:textId="14DB791B"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2</w:t>
            </w:r>
            <w:r w:rsidRPr="00DE0BCB">
              <w:rPr>
                <w:rFonts w:ascii="Calibri" w:hAnsi="Calibri" w:cs="Calibri"/>
                <w:sz w:val="22"/>
                <w:szCs w:val="22"/>
              </w:rPr>
              <w:t>.</w:t>
            </w:r>
            <w:r>
              <w:rPr>
                <w:rFonts w:ascii="Calibri" w:hAnsi="Calibri" w:cs="Calibri"/>
                <w:sz w:val="22"/>
                <w:szCs w:val="22"/>
              </w:rPr>
              <w:t>6</w:t>
            </w:r>
          </w:p>
        </w:tc>
        <w:tc>
          <w:tcPr>
            <w:tcW w:w="1134" w:type="dxa"/>
          </w:tcPr>
          <w:p w14:paraId="0FF692DD" w14:textId="1F27E3EC" w:rsidR="00350095" w:rsidRPr="00DE0BCB" w:rsidRDefault="00350095" w:rsidP="00DE0BCB">
            <w:pPr>
              <w:rPr>
                <w:rFonts w:ascii="Calibri" w:hAnsi="Calibri" w:cs="Calibri"/>
                <w:sz w:val="22"/>
                <w:szCs w:val="22"/>
              </w:rPr>
            </w:pPr>
            <w:r w:rsidRPr="00DE0BCB">
              <w:rPr>
                <w:rFonts w:ascii="Calibri" w:hAnsi="Calibri" w:cs="Calibri"/>
                <w:sz w:val="22"/>
                <w:szCs w:val="22"/>
              </w:rPr>
              <w:t>4</w:t>
            </w:r>
            <w:r>
              <w:rPr>
                <w:rFonts w:ascii="Calibri" w:hAnsi="Calibri" w:cs="Calibri"/>
                <w:sz w:val="22"/>
                <w:szCs w:val="22"/>
              </w:rPr>
              <w:t>6</w:t>
            </w:r>
            <w:r w:rsidRPr="00DE0BCB">
              <w:rPr>
                <w:rFonts w:ascii="Calibri" w:hAnsi="Calibri" w:cs="Calibri"/>
                <w:sz w:val="22"/>
                <w:szCs w:val="22"/>
              </w:rPr>
              <w:t>.</w:t>
            </w:r>
            <w:r>
              <w:rPr>
                <w:rFonts w:ascii="Calibri" w:hAnsi="Calibri" w:cs="Calibri"/>
                <w:sz w:val="22"/>
                <w:szCs w:val="22"/>
              </w:rPr>
              <w:t>1</w:t>
            </w:r>
          </w:p>
        </w:tc>
      </w:tr>
      <w:tr w:rsidR="00350095" w:rsidRPr="00DE0BCB" w14:paraId="0074915F" w14:textId="77777777" w:rsidTr="00A250CF">
        <w:tc>
          <w:tcPr>
            <w:tcW w:w="930" w:type="dxa"/>
          </w:tcPr>
          <w:p w14:paraId="5F0E8586" w14:textId="77777777" w:rsidR="00350095" w:rsidRPr="00DE0BCB" w:rsidRDefault="00350095" w:rsidP="00DE0BCB">
            <w:pPr>
              <w:rPr>
                <w:rFonts w:ascii="Calibri" w:eastAsia="Calibri" w:hAnsi="Calibri" w:cs="Calibri"/>
                <w:sz w:val="22"/>
                <w:szCs w:val="22"/>
              </w:rPr>
            </w:pPr>
          </w:p>
        </w:tc>
        <w:tc>
          <w:tcPr>
            <w:tcW w:w="1050" w:type="dxa"/>
          </w:tcPr>
          <w:p w14:paraId="4B254BE2" w14:textId="77777777"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70DCEDA6" w14:textId="2E897225" w:rsidR="00350095" w:rsidRPr="00DE0BCB" w:rsidRDefault="00350095" w:rsidP="00DE0BCB">
            <w:pPr>
              <w:rPr>
                <w:rFonts w:ascii="Calibri" w:eastAsia="Calibri" w:hAnsi="Calibri" w:cs="Calibri"/>
                <w:sz w:val="22"/>
                <w:szCs w:val="22"/>
              </w:rPr>
            </w:pPr>
            <w:r w:rsidRPr="00DE0BCB">
              <w:rPr>
                <w:rFonts w:ascii="Calibri" w:eastAsia="Calibri" w:hAnsi="Calibri" w:cs="Calibri"/>
                <w:sz w:val="22"/>
                <w:szCs w:val="22"/>
              </w:rPr>
              <w:t xml:space="preserve"> 34.9  </w:t>
            </w:r>
          </w:p>
        </w:tc>
        <w:tc>
          <w:tcPr>
            <w:tcW w:w="1134" w:type="dxa"/>
          </w:tcPr>
          <w:p w14:paraId="6695DD42" w14:textId="66F8CEC2" w:rsidR="00350095" w:rsidRPr="00DE0BCB" w:rsidRDefault="00350095" w:rsidP="00DE0BCB">
            <w:pPr>
              <w:rPr>
                <w:rFonts w:ascii="Calibri" w:eastAsia="Calibri" w:hAnsi="Calibri" w:cs="Calibri"/>
                <w:sz w:val="22"/>
                <w:szCs w:val="22"/>
              </w:rPr>
            </w:pPr>
            <w:r w:rsidRPr="00DE0BCB">
              <w:rPr>
                <w:rFonts w:ascii="Calibri" w:hAnsi="Calibri" w:cs="Calibri"/>
                <w:sz w:val="22"/>
                <w:szCs w:val="22"/>
              </w:rPr>
              <w:t>33.</w:t>
            </w:r>
            <w:r>
              <w:rPr>
                <w:rFonts w:ascii="Calibri" w:hAnsi="Calibri" w:cs="Calibri"/>
                <w:sz w:val="22"/>
                <w:szCs w:val="22"/>
              </w:rPr>
              <w:t>3</w:t>
            </w:r>
          </w:p>
        </w:tc>
        <w:tc>
          <w:tcPr>
            <w:tcW w:w="1134" w:type="dxa"/>
          </w:tcPr>
          <w:p w14:paraId="1E5612CE" w14:textId="6F8EBACA" w:rsidR="00350095" w:rsidRPr="00DE0BCB" w:rsidRDefault="00350095" w:rsidP="00DE0BCB">
            <w:pPr>
              <w:rPr>
                <w:rFonts w:ascii="Calibri" w:hAnsi="Calibri" w:cs="Calibri"/>
                <w:sz w:val="22"/>
                <w:szCs w:val="22"/>
              </w:rPr>
            </w:pPr>
            <w:r w:rsidRPr="00DE0BCB">
              <w:rPr>
                <w:rFonts w:ascii="Calibri" w:eastAsia="Calibri" w:hAnsi="Calibri" w:cs="Calibri"/>
                <w:sz w:val="22"/>
                <w:szCs w:val="22"/>
              </w:rPr>
              <w:t>3</w:t>
            </w:r>
            <w:r>
              <w:rPr>
                <w:rFonts w:ascii="Calibri" w:eastAsia="Calibri" w:hAnsi="Calibri" w:cs="Calibri"/>
                <w:sz w:val="22"/>
                <w:szCs w:val="22"/>
              </w:rPr>
              <w:t>6</w:t>
            </w:r>
            <w:r w:rsidRPr="00DE0BCB">
              <w:rPr>
                <w:rFonts w:ascii="Calibri" w:eastAsia="Calibri" w:hAnsi="Calibri" w:cs="Calibri"/>
                <w:sz w:val="22"/>
                <w:szCs w:val="22"/>
              </w:rPr>
              <w:t>.</w:t>
            </w:r>
            <w:r>
              <w:rPr>
                <w:rFonts w:ascii="Calibri" w:eastAsia="Calibri" w:hAnsi="Calibri" w:cs="Calibri"/>
                <w:sz w:val="22"/>
                <w:szCs w:val="22"/>
              </w:rPr>
              <w:t>0</w:t>
            </w:r>
            <w:r w:rsidRPr="00DE0BCB">
              <w:rPr>
                <w:rFonts w:ascii="Calibri" w:eastAsia="Calibri" w:hAnsi="Calibri" w:cs="Calibri"/>
                <w:sz w:val="22"/>
                <w:szCs w:val="22"/>
              </w:rPr>
              <w:t xml:space="preserve">  </w:t>
            </w:r>
          </w:p>
        </w:tc>
        <w:tc>
          <w:tcPr>
            <w:tcW w:w="1134" w:type="dxa"/>
          </w:tcPr>
          <w:p w14:paraId="671C3CE7" w14:textId="23335EF7" w:rsidR="00350095" w:rsidRPr="00DE0BCB" w:rsidRDefault="00350095" w:rsidP="00DE0BCB">
            <w:pPr>
              <w:rPr>
                <w:rFonts w:ascii="Calibri" w:hAnsi="Calibri" w:cs="Calibri"/>
                <w:sz w:val="22"/>
                <w:szCs w:val="22"/>
              </w:rPr>
            </w:pPr>
            <w:r w:rsidRPr="00DE0BCB">
              <w:rPr>
                <w:rFonts w:ascii="Calibri" w:eastAsia="Calibri" w:hAnsi="Calibri" w:cs="Calibri"/>
                <w:sz w:val="22"/>
                <w:szCs w:val="22"/>
              </w:rPr>
              <w:t>3</w:t>
            </w:r>
            <w:r>
              <w:rPr>
                <w:rFonts w:ascii="Calibri" w:eastAsia="Calibri" w:hAnsi="Calibri" w:cs="Calibri"/>
                <w:sz w:val="22"/>
                <w:szCs w:val="22"/>
              </w:rPr>
              <w:t>8</w:t>
            </w:r>
            <w:r w:rsidRPr="00DE0BCB">
              <w:rPr>
                <w:rFonts w:ascii="Calibri" w:eastAsia="Calibri" w:hAnsi="Calibri" w:cs="Calibri"/>
                <w:sz w:val="22"/>
                <w:szCs w:val="22"/>
              </w:rPr>
              <w:t>.</w:t>
            </w:r>
            <w:r>
              <w:rPr>
                <w:rFonts w:ascii="Calibri" w:eastAsia="Calibri" w:hAnsi="Calibri" w:cs="Calibri"/>
                <w:sz w:val="22"/>
                <w:szCs w:val="22"/>
              </w:rPr>
              <w:t>4</w:t>
            </w:r>
            <w:r w:rsidRPr="00DE0BCB">
              <w:rPr>
                <w:rFonts w:ascii="Calibri" w:eastAsia="Calibri" w:hAnsi="Calibri" w:cs="Calibri"/>
                <w:sz w:val="22"/>
                <w:szCs w:val="22"/>
              </w:rPr>
              <w:t xml:space="preserve">  </w:t>
            </w:r>
          </w:p>
        </w:tc>
        <w:tc>
          <w:tcPr>
            <w:tcW w:w="1134" w:type="dxa"/>
          </w:tcPr>
          <w:p w14:paraId="4159627A" w14:textId="74A3D1F9" w:rsidR="00350095" w:rsidRPr="00DE0BCB" w:rsidRDefault="00350095" w:rsidP="00DE0BCB">
            <w:pPr>
              <w:rPr>
                <w:rFonts w:ascii="Calibri" w:hAnsi="Calibri" w:cs="Calibri"/>
                <w:sz w:val="22"/>
                <w:szCs w:val="22"/>
              </w:rPr>
            </w:pPr>
            <w:r>
              <w:rPr>
                <w:rFonts w:ascii="Calibri" w:eastAsia="Calibri" w:hAnsi="Calibri" w:cs="Calibri"/>
                <w:sz w:val="22"/>
                <w:szCs w:val="22"/>
              </w:rPr>
              <w:t>40.6</w:t>
            </w:r>
          </w:p>
        </w:tc>
      </w:tr>
      <w:tr w:rsidR="00350095" w:rsidRPr="00DE0BCB" w14:paraId="0D15568D" w14:textId="77777777" w:rsidTr="00A250CF">
        <w:tc>
          <w:tcPr>
            <w:tcW w:w="930" w:type="dxa"/>
          </w:tcPr>
          <w:p w14:paraId="12F99187" w14:textId="77777777" w:rsidR="00350095" w:rsidRPr="00DE0BCB" w:rsidRDefault="00350095" w:rsidP="00DE0BCB">
            <w:pPr>
              <w:rPr>
                <w:rFonts w:ascii="Calibri" w:hAnsi="Calibri" w:cs="Calibri"/>
                <w:sz w:val="22"/>
                <w:szCs w:val="22"/>
              </w:rPr>
            </w:pPr>
          </w:p>
        </w:tc>
        <w:tc>
          <w:tcPr>
            <w:tcW w:w="1050" w:type="dxa"/>
          </w:tcPr>
          <w:p w14:paraId="0B509B60" w14:textId="77777777" w:rsidR="00350095" w:rsidRPr="00DE0BCB" w:rsidRDefault="00350095" w:rsidP="00DE0BCB">
            <w:pPr>
              <w:rPr>
                <w:rFonts w:ascii="Calibri" w:hAnsi="Calibri" w:cs="Calibri"/>
                <w:sz w:val="22"/>
                <w:szCs w:val="22"/>
              </w:rPr>
            </w:pPr>
          </w:p>
        </w:tc>
        <w:tc>
          <w:tcPr>
            <w:tcW w:w="1276" w:type="dxa"/>
          </w:tcPr>
          <w:p w14:paraId="2E655AC0" w14:textId="13F68227" w:rsidR="00350095" w:rsidRPr="00DE0BCB" w:rsidRDefault="00350095" w:rsidP="00DE0BCB">
            <w:pPr>
              <w:rPr>
                <w:rFonts w:ascii="Calibri" w:hAnsi="Calibri" w:cs="Calibri"/>
                <w:sz w:val="22"/>
                <w:szCs w:val="22"/>
              </w:rPr>
            </w:pPr>
          </w:p>
        </w:tc>
        <w:tc>
          <w:tcPr>
            <w:tcW w:w="1134" w:type="dxa"/>
          </w:tcPr>
          <w:p w14:paraId="015741AC" w14:textId="77777777" w:rsidR="00350095" w:rsidRPr="00DE0BCB" w:rsidRDefault="00350095" w:rsidP="00DE0BCB">
            <w:pPr>
              <w:rPr>
                <w:rFonts w:ascii="Calibri" w:hAnsi="Calibri" w:cs="Calibri"/>
                <w:sz w:val="22"/>
                <w:szCs w:val="22"/>
              </w:rPr>
            </w:pPr>
          </w:p>
        </w:tc>
        <w:tc>
          <w:tcPr>
            <w:tcW w:w="1134" w:type="dxa"/>
          </w:tcPr>
          <w:p w14:paraId="0B7F0B03" w14:textId="77777777" w:rsidR="00350095" w:rsidRPr="00DE0BCB" w:rsidRDefault="00350095" w:rsidP="00DE0BCB">
            <w:pPr>
              <w:rPr>
                <w:rFonts w:ascii="Calibri" w:hAnsi="Calibri" w:cs="Calibri"/>
                <w:sz w:val="22"/>
                <w:szCs w:val="22"/>
              </w:rPr>
            </w:pPr>
          </w:p>
        </w:tc>
        <w:tc>
          <w:tcPr>
            <w:tcW w:w="1134" w:type="dxa"/>
          </w:tcPr>
          <w:p w14:paraId="23D631AB" w14:textId="77777777" w:rsidR="00350095" w:rsidRPr="00DE0BCB" w:rsidRDefault="00350095" w:rsidP="00DE0BCB">
            <w:pPr>
              <w:rPr>
                <w:rFonts w:ascii="Calibri" w:hAnsi="Calibri" w:cs="Calibri"/>
                <w:sz w:val="22"/>
                <w:szCs w:val="22"/>
              </w:rPr>
            </w:pPr>
          </w:p>
        </w:tc>
        <w:tc>
          <w:tcPr>
            <w:tcW w:w="1134" w:type="dxa"/>
          </w:tcPr>
          <w:p w14:paraId="6B3C43F6" w14:textId="77777777" w:rsidR="00350095" w:rsidRPr="00DE0BCB" w:rsidRDefault="00350095" w:rsidP="00DE0BCB">
            <w:pPr>
              <w:rPr>
                <w:rFonts w:ascii="Calibri" w:hAnsi="Calibri" w:cs="Calibri"/>
                <w:sz w:val="22"/>
                <w:szCs w:val="22"/>
              </w:rPr>
            </w:pPr>
          </w:p>
        </w:tc>
      </w:tr>
    </w:tbl>
    <w:p w14:paraId="06A6060B" w14:textId="0C60898E" w:rsidR="00DE0BCB" w:rsidRPr="00DE0BCB" w:rsidRDefault="00DE0BCB" w:rsidP="00DE0BCB">
      <w:pPr>
        <w:spacing w:after="160" w:line="259" w:lineRule="auto"/>
        <w:rPr>
          <w:rFonts w:ascii="Calibri" w:eastAsia="Calibri" w:hAnsi="Calibri" w:cs="Times New Roman"/>
          <w:sz w:val="22"/>
          <w:szCs w:val="22"/>
        </w:rPr>
      </w:pPr>
    </w:p>
    <w:p w14:paraId="2A427B8D" w14:textId="14524E0D" w:rsidR="00DE0BCB" w:rsidRPr="00DE0BCB" w:rsidRDefault="00DE0BCB" w:rsidP="00DE0BCB">
      <w:pPr>
        <w:spacing w:after="160" w:line="259" w:lineRule="auto"/>
        <w:rPr>
          <w:rFonts w:ascii="Calibri" w:eastAsia="Calibri" w:hAnsi="Calibri" w:cs="Times New Roman"/>
          <w:sz w:val="22"/>
          <w:szCs w:val="22"/>
        </w:rPr>
      </w:pPr>
      <w:r w:rsidRPr="00DE0BCB">
        <w:rPr>
          <w:rFonts w:ascii="Calibri" w:eastAsia="Calibri" w:hAnsi="Calibri" w:cs="Times New Roman"/>
          <w:b/>
          <w:bCs/>
          <w:sz w:val="22"/>
          <w:szCs w:val="22"/>
        </w:rPr>
        <w:t>Table 3</w:t>
      </w:r>
      <w:r w:rsidRPr="00DE0BCB">
        <w:rPr>
          <w:rFonts w:ascii="Calibri" w:eastAsia="Calibri" w:hAnsi="Calibri" w:cs="Times New Roman"/>
          <w:sz w:val="22"/>
          <w:szCs w:val="22"/>
        </w:rPr>
        <w:t xml:space="preserve">.  Ten- year probability of a hip fracture by age in men and women with a prior fragility fracture irrespective of the number of prior fractures and according to the number of prior fractures.  </w:t>
      </w:r>
    </w:p>
    <w:tbl>
      <w:tblPr>
        <w:tblStyle w:val="TableGrid1"/>
        <w:tblW w:w="0" w:type="auto"/>
        <w:tblLook w:val="04A0" w:firstRow="1" w:lastRow="0" w:firstColumn="1" w:lastColumn="0" w:noHBand="0" w:noVBand="1"/>
      </w:tblPr>
      <w:tblGrid>
        <w:gridCol w:w="930"/>
        <w:gridCol w:w="1050"/>
        <w:gridCol w:w="1276"/>
        <w:gridCol w:w="1134"/>
        <w:gridCol w:w="1134"/>
        <w:gridCol w:w="1134"/>
        <w:gridCol w:w="1134"/>
      </w:tblGrid>
      <w:tr w:rsidR="00DE0BCB" w:rsidRPr="00DE0BCB" w14:paraId="77D58620" w14:textId="77777777" w:rsidTr="005621B3">
        <w:tc>
          <w:tcPr>
            <w:tcW w:w="930" w:type="dxa"/>
          </w:tcPr>
          <w:p w14:paraId="538A9735" w14:textId="77777777" w:rsidR="00DE0BCB" w:rsidRPr="00DE0BCB" w:rsidRDefault="00DE0BCB" w:rsidP="00DE0BCB">
            <w:pPr>
              <w:rPr>
                <w:rFonts w:ascii="Calibri" w:hAnsi="Calibri" w:cs="Calibri"/>
                <w:sz w:val="22"/>
                <w:szCs w:val="22"/>
              </w:rPr>
            </w:pPr>
          </w:p>
        </w:tc>
        <w:tc>
          <w:tcPr>
            <w:tcW w:w="1050" w:type="dxa"/>
          </w:tcPr>
          <w:p w14:paraId="06D7AE0A" w14:textId="77777777" w:rsidR="00DE0BCB" w:rsidRPr="00DE0BCB" w:rsidRDefault="00DE0BCB" w:rsidP="00DE0BCB">
            <w:pPr>
              <w:rPr>
                <w:rFonts w:ascii="Calibri" w:hAnsi="Calibri" w:cs="Calibri"/>
                <w:sz w:val="22"/>
                <w:szCs w:val="22"/>
              </w:rPr>
            </w:pPr>
          </w:p>
        </w:tc>
        <w:tc>
          <w:tcPr>
            <w:tcW w:w="5812" w:type="dxa"/>
            <w:gridSpan w:val="5"/>
          </w:tcPr>
          <w:p w14:paraId="1B3C6AAF" w14:textId="3E2AA55C" w:rsidR="00DE0BCB" w:rsidRPr="00DE0BCB" w:rsidRDefault="00DE0BCB" w:rsidP="00DE0BCB">
            <w:pPr>
              <w:rPr>
                <w:rFonts w:ascii="Calibri" w:hAnsi="Calibri" w:cs="Calibri"/>
                <w:sz w:val="22"/>
                <w:szCs w:val="22"/>
              </w:rPr>
            </w:pPr>
            <w:r w:rsidRPr="00DE0BCB">
              <w:rPr>
                <w:rFonts w:ascii="Calibri" w:hAnsi="Calibri" w:cs="Calibri"/>
                <w:sz w:val="22"/>
                <w:szCs w:val="22"/>
              </w:rPr>
              <w:t>Number of prior fractures</w:t>
            </w:r>
          </w:p>
        </w:tc>
      </w:tr>
      <w:tr w:rsidR="005621B3" w:rsidRPr="00DE0BCB" w14:paraId="086EEC10" w14:textId="77777777" w:rsidTr="00A250CF">
        <w:tc>
          <w:tcPr>
            <w:tcW w:w="930" w:type="dxa"/>
          </w:tcPr>
          <w:p w14:paraId="55876F90" w14:textId="77777777" w:rsidR="005621B3" w:rsidRPr="00DE0BCB" w:rsidRDefault="005621B3" w:rsidP="00DE0BCB">
            <w:pPr>
              <w:rPr>
                <w:rFonts w:ascii="Calibri" w:hAnsi="Calibri" w:cs="Calibri"/>
                <w:sz w:val="22"/>
                <w:szCs w:val="22"/>
              </w:rPr>
            </w:pPr>
          </w:p>
        </w:tc>
        <w:tc>
          <w:tcPr>
            <w:tcW w:w="1050" w:type="dxa"/>
          </w:tcPr>
          <w:p w14:paraId="47CFBD8E" w14:textId="6DE62090" w:rsidR="005621B3" w:rsidRPr="00DE0BCB" w:rsidRDefault="005621B3" w:rsidP="00DE0BCB">
            <w:pPr>
              <w:rPr>
                <w:rFonts w:ascii="Calibri" w:hAnsi="Calibri" w:cs="Calibri"/>
                <w:sz w:val="22"/>
                <w:szCs w:val="22"/>
              </w:rPr>
            </w:pPr>
            <w:r w:rsidRPr="007C601C">
              <w:rPr>
                <w:rFonts w:ascii="Calibri" w:hAnsi="Calibri" w:cs="Calibri"/>
                <w:sz w:val="22"/>
                <w:szCs w:val="22"/>
              </w:rPr>
              <w:t>Age (years)</w:t>
            </w:r>
          </w:p>
        </w:tc>
        <w:tc>
          <w:tcPr>
            <w:tcW w:w="1276" w:type="dxa"/>
          </w:tcPr>
          <w:p w14:paraId="07A7CD0D"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Any number</w:t>
            </w:r>
          </w:p>
        </w:tc>
        <w:tc>
          <w:tcPr>
            <w:tcW w:w="1134" w:type="dxa"/>
          </w:tcPr>
          <w:p w14:paraId="4B7224BE"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1</w:t>
            </w:r>
          </w:p>
        </w:tc>
        <w:tc>
          <w:tcPr>
            <w:tcW w:w="1134" w:type="dxa"/>
          </w:tcPr>
          <w:p w14:paraId="74F86FA0"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2</w:t>
            </w:r>
          </w:p>
        </w:tc>
        <w:tc>
          <w:tcPr>
            <w:tcW w:w="1134" w:type="dxa"/>
          </w:tcPr>
          <w:p w14:paraId="79DF4ED3"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3</w:t>
            </w:r>
          </w:p>
        </w:tc>
        <w:tc>
          <w:tcPr>
            <w:tcW w:w="1134" w:type="dxa"/>
          </w:tcPr>
          <w:p w14:paraId="06DFDEAE" w14:textId="5A1992F1" w:rsidR="005621B3" w:rsidRPr="00DE0BCB" w:rsidRDefault="005621B3" w:rsidP="00DE0BCB">
            <w:pPr>
              <w:rPr>
                <w:rFonts w:ascii="Calibri" w:hAnsi="Calibri" w:cs="Calibri"/>
                <w:sz w:val="22"/>
                <w:szCs w:val="22"/>
              </w:rPr>
            </w:pPr>
            <w:r>
              <w:rPr>
                <w:rFonts w:ascii="Calibri" w:hAnsi="Calibri" w:cs="Calibri"/>
                <w:sz w:val="22"/>
                <w:szCs w:val="22"/>
              </w:rPr>
              <w:t>≥</w:t>
            </w:r>
            <w:r w:rsidRPr="00DE0BCB">
              <w:rPr>
                <w:rFonts w:ascii="Calibri" w:hAnsi="Calibri" w:cs="Calibri"/>
                <w:sz w:val="22"/>
                <w:szCs w:val="22"/>
              </w:rPr>
              <w:t>4</w:t>
            </w:r>
          </w:p>
        </w:tc>
      </w:tr>
      <w:tr w:rsidR="005621B3" w:rsidRPr="00DE0BCB" w14:paraId="6AD02D91" w14:textId="77777777" w:rsidTr="00A250CF">
        <w:tc>
          <w:tcPr>
            <w:tcW w:w="930" w:type="dxa"/>
          </w:tcPr>
          <w:p w14:paraId="2915579F"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Men </w:t>
            </w:r>
          </w:p>
        </w:tc>
        <w:tc>
          <w:tcPr>
            <w:tcW w:w="1050" w:type="dxa"/>
          </w:tcPr>
          <w:p w14:paraId="32CF30B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518C16DF"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2.4  </w:t>
            </w:r>
          </w:p>
        </w:tc>
        <w:tc>
          <w:tcPr>
            <w:tcW w:w="1134" w:type="dxa"/>
          </w:tcPr>
          <w:p w14:paraId="06564CAC" w14:textId="3B3D52D0" w:rsidR="005621B3" w:rsidRPr="00DE0BCB" w:rsidRDefault="005621B3" w:rsidP="00DE0BCB">
            <w:pPr>
              <w:rPr>
                <w:rFonts w:ascii="Calibri" w:eastAsia="Calibri" w:hAnsi="Calibri" w:cs="Calibri"/>
                <w:sz w:val="22"/>
                <w:szCs w:val="22"/>
              </w:rPr>
            </w:pPr>
            <w:r w:rsidRPr="00DE0BCB">
              <w:rPr>
                <w:rFonts w:ascii="Calibri" w:hAnsi="Calibri" w:cs="Calibri"/>
                <w:sz w:val="22"/>
                <w:szCs w:val="22"/>
              </w:rPr>
              <w:t>2.4</w:t>
            </w:r>
          </w:p>
        </w:tc>
        <w:tc>
          <w:tcPr>
            <w:tcW w:w="1134" w:type="dxa"/>
          </w:tcPr>
          <w:p w14:paraId="37C805ED" w14:textId="77777777" w:rsidR="005621B3" w:rsidRPr="00DE0BCB" w:rsidRDefault="005621B3" w:rsidP="00DE0BCB">
            <w:pPr>
              <w:rPr>
                <w:rFonts w:ascii="Calibri" w:hAnsi="Calibri" w:cs="Calibri"/>
                <w:sz w:val="22"/>
                <w:szCs w:val="22"/>
              </w:rPr>
            </w:pPr>
            <w:r w:rsidRPr="00DE0BCB">
              <w:rPr>
                <w:rFonts w:ascii="Calibri" w:hAnsi="Calibri" w:cs="Calibri"/>
                <w:sz w:val="22"/>
                <w:szCs w:val="22"/>
              </w:rPr>
              <w:t>2.8</w:t>
            </w:r>
          </w:p>
        </w:tc>
        <w:tc>
          <w:tcPr>
            <w:tcW w:w="1134" w:type="dxa"/>
          </w:tcPr>
          <w:p w14:paraId="0F982BB8" w14:textId="26A78337" w:rsidR="005621B3" w:rsidRPr="00DE0BCB" w:rsidRDefault="005621B3"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2</w:t>
            </w:r>
          </w:p>
        </w:tc>
        <w:tc>
          <w:tcPr>
            <w:tcW w:w="1134" w:type="dxa"/>
          </w:tcPr>
          <w:p w14:paraId="5BD1E46B" w14:textId="03618E9B" w:rsidR="005621B3" w:rsidRPr="00DE0BCB" w:rsidRDefault="005621B3" w:rsidP="00DE0BCB">
            <w:pPr>
              <w:rPr>
                <w:rFonts w:ascii="Calibri" w:hAnsi="Calibri" w:cs="Calibri"/>
                <w:sz w:val="22"/>
                <w:szCs w:val="22"/>
              </w:rPr>
            </w:pPr>
            <w:r w:rsidRPr="00DE0BCB">
              <w:rPr>
                <w:rFonts w:ascii="Calibri" w:hAnsi="Calibri" w:cs="Calibri"/>
                <w:sz w:val="22"/>
                <w:szCs w:val="22"/>
              </w:rPr>
              <w:t>3.</w:t>
            </w:r>
            <w:r>
              <w:rPr>
                <w:rFonts w:ascii="Calibri" w:hAnsi="Calibri" w:cs="Calibri"/>
                <w:sz w:val="22"/>
                <w:szCs w:val="22"/>
              </w:rPr>
              <w:t>7</w:t>
            </w:r>
          </w:p>
        </w:tc>
      </w:tr>
      <w:tr w:rsidR="005621B3" w:rsidRPr="00DE0BCB" w14:paraId="6D688849" w14:textId="77777777" w:rsidTr="00A250CF">
        <w:tc>
          <w:tcPr>
            <w:tcW w:w="930" w:type="dxa"/>
          </w:tcPr>
          <w:p w14:paraId="4F7103C5" w14:textId="77777777" w:rsidR="005621B3" w:rsidRPr="00DE0BCB" w:rsidRDefault="005621B3" w:rsidP="00DE0BCB">
            <w:pPr>
              <w:rPr>
                <w:rFonts w:ascii="Calibri" w:eastAsia="Calibri" w:hAnsi="Calibri" w:cs="Calibri"/>
                <w:sz w:val="22"/>
                <w:szCs w:val="22"/>
              </w:rPr>
            </w:pPr>
          </w:p>
        </w:tc>
        <w:tc>
          <w:tcPr>
            <w:tcW w:w="1050" w:type="dxa"/>
          </w:tcPr>
          <w:p w14:paraId="3DAA6C37"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4E06570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4.3  </w:t>
            </w:r>
          </w:p>
        </w:tc>
        <w:tc>
          <w:tcPr>
            <w:tcW w:w="1134" w:type="dxa"/>
          </w:tcPr>
          <w:p w14:paraId="64460B66" w14:textId="3F718A44"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4.1  </w:t>
            </w:r>
          </w:p>
        </w:tc>
        <w:tc>
          <w:tcPr>
            <w:tcW w:w="1134" w:type="dxa"/>
          </w:tcPr>
          <w:p w14:paraId="6E30300D"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4.8  </w:t>
            </w:r>
          </w:p>
        </w:tc>
        <w:tc>
          <w:tcPr>
            <w:tcW w:w="1134" w:type="dxa"/>
          </w:tcPr>
          <w:p w14:paraId="49B0676C" w14:textId="69FFFCC5"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5.</w:t>
            </w:r>
            <w:r>
              <w:rPr>
                <w:rFonts w:ascii="Calibri" w:eastAsia="Calibri" w:hAnsi="Calibri" w:cs="Calibri"/>
                <w:sz w:val="22"/>
                <w:szCs w:val="22"/>
              </w:rPr>
              <w:t>5</w:t>
            </w:r>
            <w:r w:rsidRPr="00DE0BCB">
              <w:rPr>
                <w:rFonts w:ascii="Calibri" w:eastAsia="Calibri" w:hAnsi="Calibri" w:cs="Calibri"/>
                <w:sz w:val="22"/>
                <w:szCs w:val="22"/>
              </w:rPr>
              <w:t xml:space="preserve">  </w:t>
            </w:r>
          </w:p>
        </w:tc>
        <w:tc>
          <w:tcPr>
            <w:tcW w:w="1134" w:type="dxa"/>
          </w:tcPr>
          <w:p w14:paraId="0F7C6817" w14:textId="1C90FE84"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6.</w:t>
            </w:r>
            <w:r>
              <w:rPr>
                <w:rFonts w:ascii="Calibri" w:eastAsia="Calibri" w:hAnsi="Calibri" w:cs="Calibri"/>
                <w:sz w:val="22"/>
                <w:szCs w:val="22"/>
              </w:rPr>
              <w:t>3</w:t>
            </w:r>
            <w:r w:rsidRPr="00DE0BCB">
              <w:rPr>
                <w:rFonts w:ascii="Calibri" w:eastAsia="Calibri" w:hAnsi="Calibri" w:cs="Calibri"/>
                <w:sz w:val="22"/>
                <w:szCs w:val="22"/>
              </w:rPr>
              <w:t xml:space="preserve">  </w:t>
            </w:r>
          </w:p>
        </w:tc>
      </w:tr>
      <w:tr w:rsidR="005621B3" w:rsidRPr="00DE0BCB" w14:paraId="6E8F0068" w14:textId="77777777" w:rsidTr="00A250CF">
        <w:tc>
          <w:tcPr>
            <w:tcW w:w="930" w:type="dxa"/>
          </w:tcPr>
          <w:p w14:paraId="5E413787" w14:textId="77777777" w:rsidR="005621B3" w:rsidRPr="00DE0BCB" w:rsidRDefault="005621B3" w:rsidP="00DE0BCB">
            <w:pPr>
              <w:rPr>
                <w:rFonts w:ascii="Calibri" w:eastAsia="Calibri" w:hAnsi="Calibri" w:cs="Calibri"/>
                <w:sz w:val="22"/>
                <w:szCs w:val="22"/>
              </w:rPr>
            </w:pPr>
          </w:p>
        </w:tc>
        <w:tc>
          <w:tcPr>
            <w:tcW w:w="1050" w:type="dxa"/>
          </w:tcPr>
          <w:p w14:paraId="06FC1C2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10D18D91"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6.9  </w:t>
            </w:r>
          </w:p>
        </w:tc>
        <w:tc>
          <w:tcPr>
            <w:tcW w:w="1134" w:type="dxa"/>
          </w:tcPr>
          <w:p w14:paraId="5230B563" w14:textId="7B06E829"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6.6</w:t>
            </w:r>
          </w:p>
        </w:tc>
        <w:tc>
          <w:tcPr>
            <w:tcW w:w="1134" w:type="dxa"/>
          </w:tcPr>
          <w:p w14:paraId="31AB7C45"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7.6  </w:t>
            </w:r>
          </w:p>
        </w:tc>
        <w:tc>
          <w:tcPr>
            <w:tcW w:w="1134" w:type="dxa"/>
          </w:tcPr>
          <w:p w14:paraId="1ACB2CB9" w14:textId="4424A3A6"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8.</w:t>
            </w:r>
            <w:r>
              <w:rPr>
                <w:rFonts w:ascii="Calibri" w:eastAsia="Calibri" w:hAnsi="Calibri" w:cs="Calibri"/>
                <w:sz w:val="22"/>
                <w:szCs w:val="22"/>
              </w:rPr>
              <w:t>6</w:t>
            </w:r>
          </w:p>
        </w:tc>
        <w:tc>
          <w:tcPr>
            <w:tcW w:w="1134" w:type="dxa"/>
          </w:tcPr>
          <w:p w14:paraId="7F7F7DE2" w14:textId="4CA6F856"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9.</w:t>
            </w:r>
            <w:r>
              <w:rPr>
                <w:rFonts w:ascii="Calibri" w:eastAsia="Calibri" w:hAnsi="Calibri" w:cs="Calibri"/>
                <w:sz w:val="22"/>
                <w:szCs w:val="22"/>
              </w:rPr>
              <w:t>7</w:t>
            </w:r>
          </w:p>
        </w:tc>
      </w:tr>
      <w:tr w:rsidR="005621B3" w:rsidRPr="00DE0BCB" w14:paraId="36AD3310" w14:textId="77777777" w:rsidTr="00A250CF">
        <w:tc>
          <w:tcPr>
            <w:tcW w:w="930" w:type="dxa"/>
          </w:tcPr>
          <w:p w14:paraId="7F0F8845" w14:textId="77777777" w:rsidR="005621B3" w:rsidRPr="00DE0BCB" w:rsidRDefault="005621B3" w:rsidP="00DE0BCB">
            <w:pPr>
              <w:rPr>
                <w:rFonts w:ascii="Calibri" w:eastAsia="Calibri" w:hAnsi="Calibri" w:cs="Calibri"/>
                <w:sz w:val="22"/>
                <w:szCs w:val="22"/>
              </w:rPr>
            </w:pPr>
          </w:p>
        </w:tc>
        <w:tc>
          <w:tcPr>
            <w:tcW w:w="1050" w:type="dxa"/>
          </w:tcPr>
          <w:p w14:paraId="11EBADE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197AA9D2" w14:textId="71E9947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9.6  </w:t>
            </w:r>
          </w:p>
        </w:tc>
        <w:tc>
          <w:tcPr>
            <w:tcW w:w="1134" w:type="dxa"/>
          </w:tcPr>
          <w:p w14:paraId="11D1944A" w14:textId="258AD1B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9.</w:t>
            </w:r>
            <w:r w:rsidRPr="00DE0BCB">
              <w:rPr>
                <w:rFonts w:ascii="Calibri" w:hAnsi="Calibri" w:cs="Calibri"/>
                <w:sz w:val="22"/>
                <w:szCs w:val="22"/>
              </w:rPr>
              <w:t>3</w:t>
            </w:r>
            <w:r w:rsidRPr="00DE0BCB">
              <w:rPr>
                <w:rFonts w:ascii="Calibri" w:eastAsia="Calibri" w:hAnsi="Calibri" w:cs="Calibri"/>
                <w:sz w:val="22"/>
                <w:szCs w:val="22"/>
              </w:rPr>
              <w:t xml:space="preserve">  </w:t>
            </w:r>
          </w:p>
        </w:tc>
        <w:tc>
          <w:tcPr>
            <w:tcW w:w="1134" w:type="dxa"/>
          </w:tcPr>
          <w:p w14:paraId="30329ACC"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10.4</w:t>
            </w:r>
          </w:p>
        </w:tc>
        <w:tc>
          <w:tcPr>
            <w:tcW w:w="1134" w:type="dxa"/>
          </w:tcPr>
          <w:p w14:paraId="20695BA1" w14:textId="03B1C35B"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11.</w:t>
            </w:r>
            <w:r>
              <w:rPr>
                <w:rFonts w:ascii="Calibri" w:eastAsia="Calibri" w:hAnsi="Calibri" w:cs="Calibri"/>
                <w:sz w:val="22"/>
                <w:szCs w:val="22"/>
              </w:rPr>
              <w:t>5</w:t>
            </w:r>
            <w:r w:rsidRPr="00DE0BCB">
              <w:rPr>
                <w:rFonts w:ascii="Calibri" w:eastAsia="Calibri" w:hAnsi="Calibri" w:cs="Calibri"/>
                <w:sz w:val="22"/>
                <w:szCs w:val="22"/>
              </w:rPr>
              <w:t xml:space="preserve">  </w:t>
            </w:r>
          </w:p>
        </w:tc>
        <w:tc>
          <w:tcPr>
            <w:tcW w:w="1134" w:type="dxa"/>
          </w:tcPr>
          <w:p w14:paraId="04ECE8F6" w14:textId="55A02EBB"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w:t>
            </w:r>
            <w:r>
              <w:rPr>
                <w:rFonts w:ascii="Calibri" w:eastAsia="Calibri" w:hAnsi="Calibri" w:cs="Calibri"/>
                <w:sz w:val="22"/>
                <w:szCs w:val="22"/>
              </w:rPr>
              <w:t>6</w:t>
            </w:r>
            <w:r w:rsidRPr="00DE0BCB">
              <w:rPr>
                <w:rFonts w:ascii="Calibri" w:eastAsia="Calibri" w:hAnsi="Calibri" w:cs="Calibri"/>
                <w:sz w:val="22"/>
                <w:szCs w:val="22"/>
              </w:rPr>
              <w:t xml:space="preserve">  </w:t>
            </w:r>
          </w:p>
        </w:tc>
      </w:tr>
      <w:tr w:rsidR="005621B3" w:rsidRPr="00DE0BCB" w14:paraId="41FCC6CD" w14:textId="77777777" w:rsidTr="00A250CF">
        <w:tc>
          <w:tcPr>
            <w:tcW w:w="930" w:type="dxa"/>
          </w:tcPr>
          <w:p w14:paraId="2D8CB2A6" w14:textId="77777777" w:rsidR="005621B3" w:rsidRPr="00DE0BCB" w:rsidRDefault="005621B3" w:rsidP="00DE0BCB">
            <w:pPr>
              <w:rPr>
                <w:rFonts w:ascii="Calibri" w:eastAsia="Calibri" w:hAnsi="Calibri" w:cs="Calibri"/>
                <w:sz w:val="22"/>
                <w:szCs w:val="22"/>
              </w:rPr>
            </w:pPr>
          </w:p>
        </w:tc>
        <w:tc>
          <w:tcPr>
            <w:tcW w:w="1050" w:type="dxa"/>
          </w:tcPr>
          <w:p w14:paraId="09AE48E0"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7E2E602F"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11.6  </w:t>
            </w:r>
          </w:p>
        </w:tc>
        <w:tc>
          <w:tcPr>
            <w:tcW w:w="1134" w:type="dxa"/>
          </w:tcPr>
          <w:p w14:paraId="542CEEB9" w14:textId="5CD410B0"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11.</w:t>
            </w:r>
            <w:r>
              <w:rPr>
                <w:rFonts w:ascii="Calibri" w:eastAsia="Calibri" w:hAnsi="Calibri" w:cs="Calibri"/>
                <w:sz w:val="22"/>
                <w:szCs w:val="22"/>
              </w:rPr>
              <w:t>3</w:t>
            </w:r>
          </w:p>
        </w:tc>
        <w:tc>
          <w:tcPr>
            <w:tcW w:w="1134" w:type="dxa"/>
          </w:tcPr>
          <w:p w14:paraId="5ACF0E97"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12.2</w:t>
            </w:r>
          </w:p>
        </w:tc>
        <w:tc>
          <w:tcPr>
            <w:tcW w:w="1134" w:type="dxa"/>
          </w:tcPr>
          <w:p w14:paraId="546F9976" w14:textId="321BF052"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13.</w:t>
            </w:r>
            <w:r>
              <w:rPr>
                <w:rFonts w:ascii="Calibri" w:eastAsia="Calibri" w:hAnsi="Calibri" w:cs="Calibri"/>
                <w:sz w:val="22"/>
                <w:szCs w:val="22"/>
              </w:rPr>
              <w:t>0</w:t>
            </w:r>
            <w:r w:rsidRPr="00DE0BCB">
              <w:rPr>
                <w:rFonts w:ascii="Calibri" w:eastAsia="Calibri" w:hAnsi="Calibri" w:cs="Calibri"/>
                <w:sz w:val="22"/>
                <w:szCs w:val="22"/>
              </w:rPr>
              <w:t xml:space="preserve"> </w:t>
            </w:r>
          </w:p>
        </w:tc>
        <w:tc>
          <w:tcPr>
            <w:tcW w:w="1134" w:type="dxa"/>
          </w:tcPr>
          <w:p w14:paraId="585F1F34" w14:textId="363C1D4D"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w:t>
            </w:r>
            <w:r>
              <w:rPr>
                <w:rFonts w:ascii="Calibri" w:eastAsia="Calibri" w:hAnsi="Calibri" w:cs="Calibri"/>
                <w:sz w:val="22"/>
                <w:szCs w:val="22"/>
              </w:rPr>
              <w:t>3</w:t>
            </w:r>
            <w:r w:rsidRPr="00DE0BCB">
              <w:rPr>
                <w:rFonts w:ascii="Calibri" w:eastAsia="Calibri" w:hAnsi="Calibri" w:cs="Calibri"/>
                <w:sz w:val="22"/>
                <w:szCs w:val="22"/>
              </w:rPr>
              <w:t>.</w:t>
            </w:r>
            <w:r>
              <w:rPr>
                <w:rFonts w:ascii="Calibri" w:eastAsia="Calibri" w:hAnsi="Calibri" w:cs="Calibri"/>
                <w:sz w:val="22"/>
                <w:szCs w:val="22"/>
              </w:rPr>
              <w:t>8</w:t>
            </w:r>
            <w:r w:rsidRPr="00DE0BCB">
              <w:rPr>
                <w:rFonts w:ascii="Calibri" w:eastAsia="Calibri" w:hAnsi="Calibri" w:cs="Calibri"/>
                <w:sz w:val="22"/>
                <w:szCs w:val="22"/>
              </w:rPr>
              <w:t xml:space="preserve">  </w:t>
            </w:r>
          </w:p>
        </w:tc>
      </w:tr>
      <w:tr w:rsidR="005621B3" w:rsidRPr="00DE0BCB" w14:paraId="69BC97EE" w14:textId="77777777" w:rsidTr="00A250CF">
        <w:tc>
          <w:tcPr>
            <w:tcW w:w="930" w:type="dxa"/>
          </w:tcPr>
          <w:p w14:paraId="19637C31" w14:textId="77777777" w:rsidR="005621B3" w:rsidRPr="00DE0BCB" w:rsidRDefault="005621B3" w:rsidP="00DE0BCB">
            <w:pPr>
              <w:rPr>
                <w:rFonts w:ascii="Calibri" w:eastAsia="Calibri" w:hAnsi="Calibri" w:cs="Calibri"/>
                <w:sz w:val="22"/>
                <w:szCs w:val="22"/>
              </w:rPr>
            </w:pPr>
          </w:p>
        </w:tc>
        <w:tc>
          <w:tcPr>
            <w:tcW w:w="1050" w:type="dxa"/>
          </w:tcPr>
          <w:p w14:paraId="18A035D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553E9BB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12.1  </w:t>
            </w:r>
          </w:p>
        </w:tc>
        <w:tc>
          <w:tcPr>
            <w:tcW w:w="1134" w:type="dxa"/>
          </w:tcPr>
          <w:p w14:paraId="5DE80202" w14:textId="4A5F441D"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w:t>
            </w:r>
            <w:r>
              <w:rPr>
                <w:rFonts w:ascii="Calibri" w:eastAsia="Calibri" w:hAnsi="Calibri" w:cs="Calibri"/>
                <w:sz w:val="22"/>
                <w:szCs w:val="22"/>
              </w:rPr>
              <w:t>2</w:t>
            </w:r>
            <w:r w:rsidRPr="00DE0BCB">
              <w:rPr>
                <w:rFonts w:ascii="Calibri" w:eastAsia="Calibri" w:hAnsi="Calibri" w:cs="Calibri"/>
                <w:sz w:val="22"/>
                <w:szCs w:val="22"/>
              </w:rPr>
              <w:t>.</w:t>
            </w:r>
            <w:r>
              <w:rPr>
                <w:rFonts w:ascii="Calibri" w:eastAsia="Calibri" w:hAnsi="Calibri" w:cs="Calibri"/>
                <w:sz w:val="22"/>
                <w:szCs w:val="22"/>
              </w:rPr>
              <w:t>0</w:t>
            </w:r>
          </w:p>
        </w:tc>
        <w:tc>
          <w:tcPr>
            <w:tcW w:w="1134" w:type="dxa"/>
          </w:tcPr>
          <w:p w14:paraId="28A1FAB8" w14:textId="43C4E074"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w:t>
            </w:r>
            <w:r>
              <w:rPr>
                <w:rFonts w:ascii="Calibri" w:eastAsia="Calibri" w:hAnsi="Calibri" w:cs="Calibri"/>
                <w:sz w:val="22"/>
                <w:szCs w:val="22"/>
              </w:rPr>
              <w:t>4</w:t>
            </w:r>
            <w:r w:rsidRPr="00DE0BCB">
              <w:rPr>
                <w:rFonts w:ascii="Calibri" w:eastAsia="Calibri" w:hAnsi="Calibri" w:cs="Calibri"/>
                <w:sz w:val="22"/>
                <w:szCs w:val="22"/>
              </w:rPr>
              <w:t xml:space="preserve">  </w:t>
            </w:r>
          </w:p>
        </w:tc>
        <w:tc>
          <w:tcPr>
            <w:tcW w:w="1134" w:type="dxa"/>
          </w:tcPr>
          <w:p w14:paraId="691C1F36" w14:textId="2367A0E3" w:rsidR="005621B3" w:rsidRPr="00DE0BCB" w:rsidRDefault="005621B3" w:rsidP="00DE0BCB">
            <w:pPr>
              <w:rPr>
                <w:rFonts w:ascii="Calibri" w:hAnsi="Calibri" w:cs="Calibri"/>
                <w:sz w:val="22"/>
                <w:szCs w:val="22"/>
              </w:rPr>
            </w:pPr>
            <w:r w:rsidRPr="00DE0BCB">
              <w:rPr>
                <w:rFonts w:ascii="Calibri" w:hAnsi="Calibri" w:cs="Calibri"/>
                <w:sz w:val="22"/>
                <w:szCs w:val="22"/>
              </w:rPr>
              <w:t>1</w:t>
            </w:r>
            <w:r>
              <w:rPr>
                <w:rFonts w:ascii="Calibri" w:hAnsi="Calibri" w:cs="Calibri"/>
                <w:sz w:val="22"/>
                <w:szCs w:val="22"/>
              </w:rPr>
              <w:t>2</w:t>
            </w:r>
            <w:r w:rsidRPr="00DE0BCB">
              <w:rPr>
                <w:rFonts w:ascii="Calibri" w:hAnsi="Calibri" w:cs="Calibri"/>
                <w:sz w:val="22"/>
                <w:szCs w:val="22"/>
              </w:rPr>
              <w:t>.</w:t>
            </w:r>
            <w:r>
              <w:rPr>
                <w:rFonts w:ascii="Calibri" w:hAnsi="Calibri" w:cs="Calibri"/>
                <w:sz w:val="22"/>
                <w:szCs w:val="22"/>
              </w:rPr>
              <w:t>8</w:t>
            </w:r>
            <w:r w:rsidRPr="00DE0BCB">
              <w:rPr>
                <w:rFonts w:ascii="Calibri" w:eastAsia="Calibri" w:hAnsi="Calibri" w:cs="Calibri"/>
                <w:sz w:val="22"/>
                <w:szCs w:val="22"/>
              </w:rPr>
              <w:t xml:space="preserve">  </w:t>
            </w:r>
          </w:p>
        </w:tc>
        <w:tc>
          <w:tcPr>
            <w:tcW w:w="1134" w:type="dxa"/>
          </w:tcPr>
          <w:p w14:paraId="76E6478F" w14:textId="5993FB9B"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13.</w:t>
            </w:r>
            <w:r>
              <w:rPr>
                <w:rFonts w:ascii="Calibri" w:eastAsia="Calibri" w:hAnsi="Calibri" w:cs="Calibri"/>
                <w:sz w:val="22"/>
                <w:szCs w:val="22"/>
              </w:rPr>
              <w:t>1</w:t>
            </w:r>
            <w:r w:rsidRPr="00DE0BCB">
              <w:rPr>
                <w:rFonts w:ascii="Calibri" w:eastAsia="Calibri" w:hAnsi="Calibri" w:cs="Calibri"/>
                <w:sz w:val="22"/>
                <w:szCs w:val="22"/>
              </w:rPr>
              <w:t xml:space="preserve">  </w:t>
            </w:r>
          </w:p>
        </w:tc>
      </w:tr>
      <w:tr w:rsidR="005621B3" w:rsidRPr="00DE0BCB" w14:paraId="12339D5D" w14:textId="77777777" w:rsidTr="00A250CF">
        <w:tc>
          <w:tcPr>
            <w:tcW w:w="930" w:type="dxa"/>
          </w:tcPr>
          <w:p w14:paraId="031D6D8A" w14:textId="77777777" w:rsidR="005621B3" w:rsidRPr="00DE0BCB" w:rsidRDefault="005621B3" w:rsidP="00DE0BCB">
            <w:pPr>
              <w:rPr>
                <w:rFonts w:ascii="Calibri" w:eastAsia="Calibri" w:hAnsi="Calibri" w:cs="Calibri"/>
                <w:sz w:val="22"/>
                <w:szCs w:val="22"/>
              </w:rPr>
            </w:pPr>
          </w:p>
        </w:tc>
        <w:tc>
          <w:tcPr>
            <w:tcW w:w="1050" w:type="dxa"/>
          </w:tcPr>
          <w:p w14:paraId="1B000613" w14:textId="77777777" w:rsidR="005621B3" w:rsidRPr="00DE0BCB" w:rsidRDefault="005621B3" w:rsidP="00DE0BCB">
            <w:pPr>
              <w:rPr>
                <w:rFonts w:ascii="Calibri" w:eastAsia="Calibri" w:hAnsi="Calibri" w:cs="Calibri"/>
                <w:sz w:val="22"/>
                <w:szCs w:val="22"/>
              </w:rPr>
            </w:pPr>
          </w:p>
        </w:tc>
        <w:tc>
          <w:tcPr>
            <w:tcW w:w="1276" w:type="dxa"/>
          </w:tcPr>
          <w:p w14:paraId="6AF5D08F" w14:textId="77777777" w:rsidR="005621B3" w:rsidRPr="00DE0BCB" w:rsidRDefault="005621B3" w:rsidP="00DE0BCB">
            <w:pPr>
              <w:rPr>
                <w:rFonts w:ascii="Calibri" w:eastAsia="Calibri" w:hAnsi="Calibri" w:cs="Calibri"/>
                <w:sz w:val="22"/>
                <w:szCs w:val="22"/>
              </w:rPr>
            </w:pPr>
          </w:p>
        </w:tc>
        <w:tc>
          <w:tcPr>
            <w:tcW w:w="1134" w:type="dxa"/>
          </w:tcPr>
          <w:p w14:paraId="734EDDA1" w14:textId="77777777" w:rsidR="005621B3" w:rsidRPr="00DE0BCB" w:rsidRDefault="005621B3" w:rsidP="00DE0BCB">
            <w:pPr>
              <w:rPr>
                <w:rFonts w:ascii="Calibri" w:eastAsia="Calibri" w:hAnsi="Calibri" w:cs="Calibri"/>
                <w:sz w:val="22"/>
                <w:szCs w:val="22"/>
              </w:rPr>
            </w:pPr>
          </w:p>
        </w:tc>
        <w:tc>
          <w:tcPr>
            <w:tcW w:w="1134" w:type="dxa"/>
          </w:tcPr>
          <w:p w14:paraId="3399680B" w14:textId="77777777" w:rsidR="005621B3" w:rsidRPr="00DE0BCB" w:rsidRDefault="005621B3" w:rsidP="00DE0BCB">
            <w:pPr>
              <w:rPr>
                <w:rFonts w:ascii="Calibri" w:hAnsi="Calibri" w:cs="Calibri"/>
                <w:sz w:val="22"/>
                <w:szCs w:val="22"/>
              </w:rPr>
            </w:pPr>
          </w:p>
        </w:tc>
        <w:tc>
          <w:tcPr>
            <w:tcW w:w="1134" w:type="dxa"/>
          </w:tcPr>
          <w:p w14:paraId="1F393FE5" w14:textId="77777777" w:rsidR="005621B3" w:rsidRPr="00DE0BCB" w:rsidRDefault="005621B3" w:rsidP="00DE0BCB">
            <w:pPr>
              <w:rPr>
                <w:rFonts w:ascii="Calibri" w:hAnsi="Calibri" w:cs="Calibri"/>
                <w:sz w:val="22"/>
                <w:szCs w:val="22"/>
              </w:rPr>
            </w:pPr>
          </w:p>
        </w:tc>
        <w:tc>
          <w:tcPr>
            <w:tcW w:w="1134" w:type="dxa"/>
          </w:tcPr>
          <w:p w14:paraId="7254FC1F" w14:textId="77777777" w:rsidR="005621B3" w:rsidRPr="00DE0BCB" w:rsidRDefault="005621B3" w:rsidP="00DE0BCB">
            <w:pPr>
              <w:rPr>
                <w:rFonts w:ascii="Calibri" w:hAnsi="Calibri" w:cs="Calibri"/>
                <w:sz w:val="22"/>
                <w:szCs w:val="22"/>
              </w:rPr>
            </w:pPr>
          </w:p>
        </w:tc>
      </w:tr>
      <w:tr w:rsidR="005621B3" w:rsidRPr="00DE0BCB" w14:paraId="55C77E0B" w14:textId="77777777" w:rsidTr="00A250CF">
        <w:tc>
          <w:tcPr>
            <w:tcW w:w="930" w:type="dxa"/>
          </w:tcPr>
          <w:p w14:paraId="6128C12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Women</w:t>
            </w:r>
          </w:p>
        </w:tc>
        <w:tc>
          <w:tcPr>
            <w:tcW w:w="1050" w:type="dxa"/>
          </w:tcPr>
          <w:p w14:paraId="738753E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60 </w:t>
            </w:r>
          </w:p>
        </w:tc>
        <w:tc>
          <w:tcPr>
            <w:tcW w:w="1276" w:type="dxa"/>
          </w:tcPr>
          <w:p w14:paraId="29ABABFA"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3.5  </w:t>
            </w:r>
          </w:p>
        </w:tc>
        <w:tc>
          <w:tcPr>
            <w:tcW w:w="1134" w:type="dxa"/>
          </w:tcPr>
          <w:p w14:paraId="39F1597B"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3.</w:t>
            </w:r>
            <w:r w:rsidRPr="00DE0BCB">
              <w:rPr>
                <w:rFonts w:ascii="Calibri" w:hAnsi="Calibri" w:cs="Calibri"/>
                <w:sz w:val="22"/>
                <w:szCs w:val="22"/>
              </w:rPr>
              <w:t>3</w:t>
            </w:r>
            <w:r w:rsidRPr="00DE0BCB">
              <w:rPr>
                <w:rFonts w:ascii="Calibri" w:eastAsia="Calibri" w:hAnsi="Calibri" w:cs="Calibri"/>
                <w:sz w:val="22"/>
                <w:szCs w:val="22"/>
              </w:rPr>
              <w:t xml:space="preserve">  </w:t>
            </w:r>
          </w:p>
        </w:tc>
        <w:tc>
          <w:tcPr>
            <w:tcW w:w="1134" w:type="dxa"/>
          </w:tcPr>
          <w:p w14:paraId="7B029E58"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3.</w:t>
            </w:r>
            <w:r w:rsidRPr="00DE0BCB">
              <w:rPr>
                <w:rFonts w:ascii="Calibri" w:hAnsi="Calibri" w:cs="Calibri"/>
                <w:sz w:val="22"/>
                <w:szCs w:val="22"/>
              </w:rPr>
              <w:t>9</w:t>
            </w:r>
            <w:r w:rsidRPr="00DE0BCB">
              <w:rPr>
                <w:rFonts w:ascii="Calibri" w:eastAsia="Calibri" w:hAnsi="Calibri" w:cs="Calibri"/>
                <w:sz w:val="22"/>
                <w:szCs w:val="22"/>
              </w:rPr>
              <w:t xml:space="preserve">  </w:t>
            </w:r>
          </w:p>
        </w:tc>
        <w:tc>
          <w:tcPr>
            <w:tcW w:w="1134" w:type="dxa"/>
          </w:tcPr>
          <w:p w14:paraId="2E818DEE" w14:textId="2E11EA0E"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4.</w:t>
            </w:r>
            <w:r>
              <w:rPr>
                <w:rFonts w:ascii="Calibri" w:eastAsia="Calibri" w:hAnsi="Calibri" w:cs="Calibri"/>
                <w:sz w:val="22"/>
                <w:szCs w:val="22"/>
              </w:rPr>
              <w:t>5</w:t>
            </w:r>
            <w:r w:rsidRPr="00DE0BCB">
              <w:rPr>
                <w:rFonts w:ascii="Calibri" w:eastAsia="Calibri" w:hAnsi="Calibri" w:cs="Calibri"/>
                <w:sz w:val="22"/>
                <w:szCs w:val="22"/>
              </w:rPr>
              <w:t xml:space="preserve">  </w:t>
            </w:r>
          </w:p>
        </w:tc>
        <w:tc>
          <w:tcPr>
            <w:tcW w:w="1134" w:type="dxa"/>
          </w:tcPr>
          <w:p w14:paraId="3B2EB5F5" w14:textId="004CDBD4"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5.</w:t>
            </w:r>
            <w:r>
              <w:rPr>
                <w:rFonts w:ascii="Calibri" w:eastAsia="Calibri" w:hAnsi="Calibri" w:cs="Calibri"/>
                <w:sz w:val="22"/>
                <w:szCs w:val="22"/>
              </w:rPr>
              <w:t>3</w:t>
            </w:r>
            <w:r w:rsidRPr="00DE0BCB">
              <w:rPr>
                <w:rFonts w:ascii="Calibri" w:eastAsia="Calibri" w:hAnsi="Calibri" w:cs="Calibri"/>
                <w:sz w:val="22"/>
                <w:szCs w:val="22"/>
              </w:rPr>
              <w:t xml:space="preserve">  </w:t>
            </w:r>
          </w:p>
        </w:tc>
      </w:tr>
      <w:tr w:rsidR="005621B3" w:rsidRPr="00DE0BCB" w14:paraId="60CD4CC1" w14:textId="77777777" w:rsidTr="00A250CF">
        <w:tc>
          <w:tcPr>
            <w:tcW w:w="930" w:type="dxa"/>
          </w:tcPr>
          <w:p w14:paraId="613B623B" w14:textId="77777777" w:rsidR="005621B3" w:rsidRPr="00DE0BCB" w:rsidRDefault="005621B3" w:rsidP="00DE0BCB">
            <w:pPr>
              <w:rPr>
                <w:rFonts w:ascii="Calibri" w:eastAsia="Calibri" w:hAnsi="Calibri" w:cs="Calibri"/>
                <w:sz w:val="22"/>
                <w:szCs w:val="22"/>
              </w:rPr>
            </w:pPr>
          </w:p>
        </w:tc>
        <w:tc>
          <w:tcPr>
            <w:tcW w:w="1050" w:type="dxa"/>
          </w:tcPr>
          <w:p w14:paraId="3E346366"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65 </w:t>
            </w:r>
          </w:p>
        </w:tc>
        <w:tc>
          <w:tcPr>
            <w:tcW w:w="1276" w:type="dxa"/>
          </w:tcPr>
          <w:p w14:paraId="7AD62475"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6.2  </w:t>
            </w:r>
          </w:p>
        </w:tc>
        <w:tc>
          <w:tcPr>
            <w:tcW w:w="1134" w:type="dxa"/>
          </w:tcPr>
          <w:p w14:paraId="044185A2"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5.8  </w:t>
            </w:r>
          </w:p>
        </w:tc>
        <w:tc>
          <w:tcPr>
            <w:tcW w:w="1134" w:type="dxa"/>
          </w:tcPr>
          <w:p w14:paraId="60B04555"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6.8  </w:t>
            </w:r>
          </w:p>
        </w:tc>
        <w:tc>
          <w:tcPr>
            <w:tcW w:w="1134" w:type="dxa"/>
          </w:tcPr>
          <w:p w14:paraId="6560B188"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7.9  </w:t>
            </w:r>
          </w:p>
        </w:tc>
        <w:tc>
          <w:tcPr>
            <w:tcW w:w="1134" w:type="dxa"/>
          </w:tcPr>
          <w:p w14:paraId="49879E93" w14:textId="72C24295"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9.</w:t>
            </w:r>
            <w:r>
              <w:rPr>
                <w:rFonts w:ascii="Calibri" w:eastAsia="Calibri" w:hAnsi="Calibri" w:cs="Calibri"/>
                <w:sz w:val="22"/>
                <w:szCs w:val="22"/>
              </w:rPr>
              <w:t>1</w:t>
            </w:r>
            <w:r w:rsidRPr="00DE0BCB">
              <w:rPr>
                <w:rFonts w:ascii="Calibri" w:eastAsia="Calibri" w:hAnsi="Calibri" w:cs="Calibri"/>
                <w:sz w:val="22"/>
                <w:szCs w:val="22"/>
              </w:rPr>
              <w:t xml:space="preserve">  </w:t>
            </w:r>
          </w:p>
        </w:tc>
      </w:tr>
      <w:tr w:rsidR="005621B3" w:rsidRPr="00DE0BCB" w14:paraId="072692B6" w14:textId="77777777" w:rsidTr="00A250CF">
        <w:tc>
          <w:tcPr>
            <w:tcW w:w="930" w:type="dxa"/>
          </w:tcPr>
          <w:p w14:paraId="3F067955" w14:textId="77777777" w:rsidR="005621B3" w:rsidRPr="00DE0BCB" w:rsidRDefault="005621B3" w:rsidP="00DE0BCB">
            <w:pPr>
              <w:rPr>
                <w:rFonts w:ascii="Calibri" w:eastAsia="Calibri" w:hAnsi="Calibri" w:cs="Calibri"/>
                <w:sz w:val="22"/>
                <w:szCs w:val="22"/>
              </w:rPr>
            </w:pPr>
          </w:p>
        </w:tc>
        <w:tc>
          <w:tcPr>
            <w:tcW w:w="1050" w:type="dxa"/>
          </w:tcPr>
          <w:p w14:paraId="766976F6"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70 </w:t>
            </w:r>
          </w:p>
        </w:tc>
        <w:tc>
          <w:tcPr>
            <w:tcW w:w="1276" w:type="dxa"/>
          </w:tcPr>
          <w:p w14:paraId="4705A757"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10.3  </w:t>
            </w:r>
          </w:p>
        </w:tc>
        <w:tc>
          <w:tcPr>
            <w:tcW w:w="1134" w:type="dxa"/>
          </w:tcPr>
          <w:p w14:paraId="3EF184B4" w14:textId="7781B1D0"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9.</w:t>
            </w:r>
            <w:r>
              <w:rPr>
                <w:rFonts w:ascii="Calibri" w:eastAsia="Calibri" w:hAnsi="Calibri" w:cs="Calibri"/>
                <w:sz w:val="22"/>
                <w:szCs w:val="22"/>
              </w:rPr>
              <w:t>6</w:t>
            </w:r>
            <w:r w:rsidRPr="00DE0BCB">
              <w:rPr>
                <w:rFonts w:ascii="Calibri" w:eastAsia="Calibri" w:hAnsi="Calibri" w:cs="Calibri"/>
                <w:sz w:val="22"/>
                <w:szCs w:val="22"/>
              </w:rPr>
              <w:t xml:space="preserve">  </w:t>
            </w:r>
          </w:p>
        </w:tc>
        <w:tc>
          <w:tcPr>
            <w:tcW w:w="1134" w:type="dxa"/>
          </w:tcPr>
          <w:p w14:paraId="527CCDE6"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 xml:space="preserve">11.0  </w:t>
            </w:r>
          </w:p>
        </w:tc>
        <w:tc>
          <w:tcPr>
            <w:tcW w:w="1134" w:type="dxa"/>
          </w:tcPr>
          <w:p w14:paraId="18F3C899" w14:textId="458F7DA3"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12.</w:t>
            </w:r>
            <w:r>
              <w:rPr>
                <w:rFonts w:ascii="Calibri" w:eastAsia="Calibri" w:hAnsi="Calibri" w:cs="Calibri"/>
                <w:sz w:val="22"/>
                <w:szCs w:val="22"/>
              </w:rPr>
              <w:t>6</w:t>
            </w:r>
            <w:r w:rsidRPr="00DE0BCB">
              <w:rPr>
                <w:rFonts w:ascii="Calibri" w:eastAsia="Calibri" w:hAnsi="Calibri" w:cs="Calibri"/>
                <w:sz w:val="22"/>
                <w:szCs w:val="22"/>
              </w:rPr>
              <w:t xml:space="preserve">  </w:t>
            </w:r>
          </w:p>
        </w:tc>
        <w:tc>
          <w:tcPr>
            <w:tcW w:w="1134" w:type="dxa"/>
          </w:tcPr>
          <w:p w14:paraId="5B635977" w14:textId="2CD3A078"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14.</w:t>
            </w:r>
            <w:r>
              <w:rPr>
                <w:rFonts w:ascii="Calibri" w:eastAsia="Calibri" w:hAnsi="Calibri" w:cs="Calibri"/>
                <w:sz w:val="22"/>
                <w:szCs w:val="22"/>
              </w:rPr>
              <w:t>4</w:t>
            </w:r>
            <w:r w:rsidRPr="00DE0BCB">
              <w:rPr>
                <w:rFonts w:ascii="Calibri" w:eastAsia="Calibri" w:hAnsi="Calibri" w:cs="Calibri"/>
                <w:sz w:val="22"/>
                <w:szCs w:val="22"/>
              </w:rPr>
              <w:t xml:space="preserve">  </w:t>
            </w:r>
          </w:p>
        </w:tc>
      </w:tr>
      <w:tr w:rsidR="005621B3" w:rsidRPr="00DE0BCB" w14:paraId="4A17AD83" w14:textId="77777777" w:rsidTr="00A250CF">
        <w:tc>
          <w:tcPr>
            <w:tcW w:w="930" w:type="dxa"/>
          </w:tcPr>
          <w:p w14:paraId="6DD6FD4C" w14:textId="77777777" w:rsidR="005621B3" w:rsidRPr="00DE0BCB" w:rsidRDefault="005621B3" w:rsidP="00DE0BCB">
            <w:pPr>
              <w:rPr>
                <w:rFonts w:ascii="Calibri" w:eastAsia="Calibri" w:hAnsi="Calibri" w:cs="Calibri"/>
                <w:sz w:val="22"/>
                <w:szCs w:val="22"/>
              </w:rPr>
            </w:pPr>
          </w:p>
        </w:tc>
        <w:tc>
          <w:tcPr>
            <w:tcW w:w="1050" w:type="dxa"/>
          </w:tcPr>
          <w:p w14:paraId="6BC03AC0"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75 </w:t>
            </w:r>
          </w:p>
        </w:tc>
        <w:tc>
          <w:tcPr>
            <w:tcW w:w="1276" w:type="dxa"/>
          </w:tcPr>
          <w:p w14:paraId="489AD88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14.8  </w:t>
            </w:r>
          </w:p>
        </w:tc>
        <w:tc>
          <w:tcPr>
            <w:tcW w:w="1134" w:type="dxa"/>
          </w:tcPr>
          <w:p w14:paraId="77727C5A" w14:textId="5840149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13.</w:t>
            </w:r>
            <w:r>
              <w:rPr>
                <w:rFonts w:ascii="Calibri" w:eastAsia="Calibri" w:hAnsi="Calibri" w:cs="Calibri"/>
                <w:sz w:val="22"/>
                <w:szCs w:val="22"/>
              </w:rPr>
              <w:t>8</w:t>
            </w:r>
            <w:r w:rsidRPr="00DE0BCB">
              <w:rPr>
                <w:rFonts w:ascii="Calibri" w:eastAsia="Calibri" w:hAnsi="Calibri" w:cs="Calibri"/>
                <w:sz w:val="22"/>
                <w:szCs w:val="22"/>
              </w:rPr>
              <w:t xml:space="preserve">  </w:t>
            </w:r>
          </w:p>
        </w:tc>
        <w:tc>
          <w:tcPr>
            <w:tcW w:w="1134" w:type="dxa"/>
          </w:tcPr>
          <w:p w14:paraId="7E196E72" w14:textId="2D6371B3"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15.</w:t>
            </w:r>
            <w:r>
              <w:rPr>
                <w:rFonts w:ascii="Calibri" w:eastAsia="Calibri" w:hAnsi="Calibri" w:cs="Calibri"/>
                <w:sz w:val="22"/>
                <w:szCs w:val="22"/>
              </w:rPr>
              <w:t>7</w:t>
            </w:r>
            <w:r w:rsidRPr="00DE0BCB">
              <w:rPr>
                <w:rFonts w:ascii="Calibri" w:eastAsia="Calibri" w:hAnsi="Calibri" w:cs="Calibri"/>
                <w:sz w:val="22"/>
                <w:szCs w:val="22"/>
              </w:rPr>
              <w:t xml:space="preserve">  </w:t>
            </w:r>
          </w:p>
        </w:tc>
        <w:tc>
          <w:tcPr>
            <w:tcW w:w="1134" w:type="dxa"/>
          </w:tcPr>
          <w:p w14:paraId="30AEFF08" w14:textId="5B0DAF60"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17.</w:t>
            </w:r>
            <w:r>
              <w:rPr>
                <w:rFonts w:ascii="Calibri" w:eastAsia="Calibri" w:hAnsi="Calibri" w:cs="Calibri"/>
                <w:sz w:val="22"/>
                <w:szCs w:val="22"/>
              </w:rPr>
              <w:t>6</w:t>
            </w:r>
            <w:r w:rsidRPr="00DE0BCB">
              <w:rPr>
                <w:rFonts w:ascii="Calibri" w:eastAsia="Calibri" w:hAnsi="Calibri" w:cs="Calibri"/>
                <w:sz w:val="22"/>
                <w:szCs w:val="22"/>
              </w:rPr>
              <w:t xml:space="preserve">  </w:t>
            </w:r>
          </w:p>
        </w:tc>
        <w:tc>
          <w:tcPr>
            <w:tcW w:w="1134" w:type="dxa"/>
          </w:tcPr>
          <w:p w14:paraId="447A93DF" w14:textId="370DDD6D"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19.</w:t>
            </w:r>
            <w:r>
              <w:rPr>
                <w:rFonts w:ascii="Calibri" w:eastAsia="Calibri" w:hAnsi="Calibri" w:cs="Calibri"/>
                <w:sz w:val="22"/>
                <w:szCs w:val="22"/>
              </w:rPr>
              <w:t>6</w:t>
            </w:r>
            <w:r w:rsidRPr="00DE0BCB">
              <w:rPr>
                <w:rFonts w:ascii="Calibri" w:eastAsia="Calibri" w:hAnsi="Calibri" w:cs="Calibri"/>
                <w:sz w:val="22"/>
                <w:szCs w:val="22"/>
              </w:rPr>
              <w:t xml:space="preserve">  </w:t>
            </w:r>
          </w:p>
        </w:tc>
      </w:tr>
      <w:tr w:rsidR="005621B3" w:rsidRPr="00DE0BCB" w14:paraId="22FE9337" w14:textId="77777777" w:rsidTr="00A250CF">
        <w:tc>
          <w:tcPr>
            <w:tcW w:w="930" w:type="dxa"/>
          </w:tcPr>
          <w:p w14:paraId="096856E8" w14:textId="77777777" w:rsidR="005621B3" w:rsidRPr="00DE0BCB" w:rsidRDefault="005621B3" w:rsidP="00DE0BCB">
            <w:pPr>
              <w:rPr>
                <w:rFonts w:ascii="Calibri" w:eastAsia="Calibri" w:hAnsi="Calibri" w:cs="Calibri"/>
                <w:sz w:val="22"/>
                <w:szCs w:val="22"/>
              </w:rPr>
            </w:pPr>
          </w:p>
        </w:tc>
        <w:tc>
          <w:tcPr>
            <w:tcW w:w="1050" w:type="dxa"/>
          </w:tcPr>
          <w:p w14:paraId="02DAAD5E"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80 </w:t>
            </w:r>
          </w:p>
        </w:tc>
        <w:tc>
          <w:tcPr>
            <w:tcW w:w="1276" w:type="dxa"/>
          </w:tcPr>
          <w:p w14:paraId="1A39B3A3"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19.0  </w:t>
            </w:r>
          </w:p>
        </w:tc>
        <w:tc>
          <w:tcPr>
            <w:tcW w:w="1134" w:type="dxa"/>
          </w:tcPr>
          <w:p w14:paraId="32AD2871" w14:textId="602B794D"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1</w:t>
            </w:r>
            <w:r>
              <w:rPr>
                <w:rFonts w:ascii="Calibri" w:eastAsia="Calibri" w:hAnsi="Calibri" w:cs="Calibri"/>
                <w:sz w:val="22"/>
                <w:szCs w:val="22"/>
              </w:rPr>
              <w:t>8</w:t>
            </w:r>
            <w:r w:rsidRPr="00DE0BCB">
              <w:rPr>
                <w:rFonts w:ascii="Calibri" w:eastAsia="Calibri" w:hAnsi="Calibri" w:cs="Calibri"/>
                <w:sz w:val="22"/>
                <w:szCs w:val="22"/>
              </w:rPr>
              <w:t>.</w:t>
            </w:r>
            <w:r>
              <w:rPr>
                <w:rFonts w:ascii="Calibri" w:eastAsia="Calibri" w:hAnsi="Calibri" w:cs="Calibri"/>
                <w:sz w:val="22"/>
                <w:szCs w:val="22"/>
              </w:rPr>
              <w:t>0</w:t>
            </w:r>
          </w:p>
        </w:tc>
        <w:tc>
          <w:tcPr>
            <w:tcW w:w="1134" w:type="dxa"/>
          </w:tcPr>
          <w:p w14:paraId="37F558AF" w14:textId="7ED95D61"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19.</w:t>
            </w:r>
            <w:r>
              <w:rPr>
                <w:rFonts w:ascii="Calibri" w:eastAsia="Calibri" w:hAnsi="Calibri" w:cs="Calibri"/>
                <w:sz w:val="22"/>
                <w:szCs w:val="22"/>
              </w:rPr>
              <w:t>8</w:t>
            </w:r>
            <w:r w:rsidRPr="00DE0BCB">
              <w:rPr>
                <w:rFonts w:ascii="Calibri" w:eastAsia="Calibri" w:hAnsi="Calibri" w:cs="Calibri"/>
                <w:sz w:val="22"/>
                <w:szCs w:val="22"/>
              </w:rPr>
              <w:t xml:space="preserve">  </w:t>
            </w:r>
          </w:p>
        </w:tc>
        <w:tc>
          <w:tcPr>
            <w:tcW w:w="1134" w:type="dxa"/>
          </w:tcPr>
          <w:p w14:paraId="5A57FF0C" w14:textId="73E04D58"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21</w:t>
            </w:r>
            <w:r w:rsidRPr="00DE0BCB">
              <w:rPr>
                <w:rFonts w:ascii="Calibri" w:hAnsi="Calibri" w:cs="Calibri"/>
                <w:sz w:val="22"/>
                <w:szCs w:val="22"/>
              </w:rPr>
              <w:t>.</w:t>
            </w:r>
            <w:r>
              <w:rPr>
                <w:rFonts w:ascii="Calibri" w:hAnsi="Calibri" w:cs="Calibri"/>
                <w:sz w:val="22"/>
                <w:szCs w:val="22"/>
              </w:rPr>
              <w:t>5</w:t>
            </w:r>
            <w:r w:rsidRPr="00DE0BCB">
              <w:rPr>
                <w:rFonts w:ascii="Calibri" w:eastAsia="Calibri" w:hAnsi="Calibri" w:cs="Calibri"/>
                <w:sz w:val="22"/>
                <w:szCs w:val="22"/>
              </w:rPr>
              <w:t xml:space="preserve">  </w:t>
            </w:r>
          </w:p>
        </w:tc>
        <w:tc>
          <w:tcPr>
            <w:tcW w:w="1134" w:type="dxa"/>
          </w:tcPr>
          <w:p w14:paraId="7CE06884" w14:textId="7F04139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23.</w:t>
            </w:r>
            <w:r>
              <w:rPr>
                <w:rFonts w:ascii="Calibri" w:eastAsia="Calibri" w:hAnsi="Calibri" w:cs="Calibri"/>
                <w:sz w:val="22"/>
                <w:szCs w:val="22"/>
              </w:rPr>
              <w:t>2</w:t>
            </w:r>
            <w:r w:rsidRPr="00DE0BCB">
              <w:rPr>
                <w:rFonts w:ascii="Calibri" w:eastAsia="Calibri" w:hAnsi="Calibri" w:cs="Calibri"/>
                <w:sz w:val="22"/>
                <w:szCs w:val="22"/>
              </w:rPr>
              <w:t xml:space="preserve">  </w:t>
            </w:r>
          </w:p>
        </w:tc>
      </w:tr>
      <w:tr w:rsidR="005621B3" w:rsidRPr="00DE0BCB" w14:paraId="05FE4758" w14:textId="77777777" w:rsidTr="00A250CF">
        <w:tc>
          <w:tcPr>
            <w:tcW w:w="930" w:type="dxa"/>
          </w:tcPr>
          <w:p w14:paraId="1B62765B" w14:textId="77777777" w:rsidR="005621B3" w:rsidRPr="00DE0BCB" w:rsidRDefault="005621B3" w:rsidP="00DE0BCB">
            <w:pPr>
              <w:rPr>
                <w:rFonts w:ascii="Calibri" w:eastAsia="Calibri" w:hAnsi="Calibri" w:cs="Calibri"/>
                <w:sz w:val="22"/>
                <w:szCs w:val="22"/>
              </w:rPr>
            </w:pPr>
          </w:p>
        </w:tc>
        <w:tc>
          <w:tcPr>
            <w:tcW w:w="1050" w:type="dxa"/>
          </w:tcPr>
          <w:p w14:paraId="2B633E94"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85 </w:t>
            </w:r>
          </w:p>
        </w:tc>
        <w:tc>
          <w:tcPr>
            <w:tcW w:w="1276" w:type="dxa"/>
          </w:tcPr>
          <w:p w14:paraId="19646C1D" w14:textId="77777777"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 xml:space="preserve"> 21.6  </w:t>
            </w:r>
          </w:p>
        </w:tc>
        <w:tc>
          <w:tcPr>
            <w:tcW w:w="1134" w:type="dxa"/>
          </w:tcPr>
          <w:p w14:paraId="3C945ECA" w14:textId="271E1BDB" w:rsidR="005621B3" w:rsidRPr="00DE0BCB" w:rsidRDefault="005621B3" w:rsidP="00DE0BCB">
            <w:pPr>
              <w:rPr>
                <w:rFonts w:ascii="Calibri" w:eastAsia="Calibri" w:hAnsi="Calibri" w:cs="Calibri"/>
                <w:sz w:val="22"/>
                <w:szCs w:val="22"/>
              </w:rPr>
            </w:pPr>
            <w:r w:rsidRPr="00DE0BCB">
              <w:rPr>
                <w:rFonts w:ascii="Calibri" w:eastAsia="Calibri" w:hAnsi="Calibri" w:cs="Calibri"/>
                <w:sz w:val="22"/>
                <w:szCs w:val="22"/>
              </w:rPr>
              <w:t>20.</w:t>
            </w:r>
            <w:r>
              <w:rPr>
                <w:rFonts w:ascii="Calibri" w:eastAsia="Calibri" w:hAnsi="Calibri" w:cs="Calibri"/>
                <w:sz w:val="22"/>
                <w:szCs w:val="22"/>
              </w:rPr>
              <w:t>8</w:t>
            </w:r>
            <w:r w:rsidRPr="00DE0BCB">
              <w:rPr>
                <w:rFonts w:ascii="Calibri" w:eastAsia="Calibri" w:hAnsi="Calibri" w:cs="Calibri"/>
                <w:sz w:val="22"/>
                <w:szCs w:val="22"/>
              </w:rPr>
              <w:t xml:space="preserve">  </w:t>
            </w:r>
          </w:p>
        </w:tc>
        <w:tc>
          <w:tcPr>
            <w:tcW w:w="1134" w:type="dxa"/>
          </w:tcPr>
          <w:p w14:paraId="23054573" w14:textId="77777777"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22.</w:t>
            </w:r>
            <w:r w:rsidRPr="00DE0BCB">
              <w:rPr>
                <w:rFonts w:ascii="Calibri" w:hAnsi="Calibri" w:cs="Calibri"/>
                <w:sz w:val="22"/>
                <w:szCs w:val="22"/>
              </w:rPr>
              <w:t>1</w:t>
            </w:r>
            <w:r w:rsidRPr="00DE0BCB">
              <w:rPr>
                <w:rFonts w:ascii="Calibri" w:eastAsia="Calibri" w:hAnsi="Calibri" w:cs="Calibri"/>
                <w:sz w:val="22"/>
                <w:szCs w:val="22"/>
              </w:rPr>
              <w:t xml:space="preserve">  </w:t>
            </w:r>
          </w:p>
        </w:tc>
        <w:tc>
          <w:tcPr>
            <w:tcW w:w="1134" w:type="dxa"/>
          </w:tcPr>
          <w:p w14:paraId="1C460CFE" w14:textId="491F78D3"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23.</w:t>
            </w:r>
            <w:r>
              <w:rPr>
                <w:rFonts w:ascii="Calibri" w:eastAsia="Calibri" w:hAnsi="Calibri" w:cs="Calibri"/>
                <w:sz w:val="22"/>
                <w:szCs w:val="22"/>
              </w:rPr>
              <w:t>2</w:t>
            </w:r>
            <w:r w:rsidRPr="00DE0BCB">
              <w:rPr>
                <w:rFonts w:ascii="Calibri" w:eastAsia="Calibri" w:hAnsi="Calibri" w:cs="Calibri"/>
                <w:sz w:val="22"/>
                <w:szCs w:val="22"/>
              </w:rPr>
              <w:t xml:space="preserve">  </w:t>
            </w:r>
          </w:p>
        </w:tc>
        <w:tc>
          <w:tcPr>
            <w:tcW w:w="1134" w:type="dxa"/>
          </w:tcPr>
          <w:p w14:paraId="466D394D" w14:textId="576B0F71" w:rsidR="005621B3" w:rsidRPr="00DE0BCB" w:rsidRDefault="005621B3" w:rsidP="00DE0BCB">
            <w:pPr>
              <w:rPr>
                <w:rFonts w:ascii="Calibri" w:hAnsi="Calibri" w:cs="Calibri"/>
                <w:sz w:val="22"/>
                <w:szCs w:val="22"/>
              </w:rPr>
            </w:pPr>
            <w:r w:rsidRPr="00DE0BCB">
              <w:rPr>
                <w:rFonts w:ascii="Calibri" w:eastAsia="Calibri" w:hAnsi="Calibri" w:cs="Calibri"/>
                <w:sz w:val="22"/>
                <w:szCs w:val="22"/>
              </w:rPr>
              <w:t>24.</w:t>
            </w:r>
            <w:r>
              <w:rPr>
                <w:rFonts w:ascii="Calibri" w:eastAsia="Calibri" w:hAnsi="Calibri" w:cs="Calibri"/>
                <w:sz w:val="22"/>
                <w:szCs w:val="22"/>
              </w:rPr>
              <w:t>1</w:t>
            </w:r>
            <w:r w:rsidRPr="00DE0BCB">
              <w:rPr>
                <w:rFonts w:ascii="Calibri" w:hAnsi="Calibri" w:cs="Calibri"/>
                <w:sz w:val="22"/>
                <w:szCs w:val="22"/>
              </w:rPr>
              <w:t xml:space="preserve"> </w:t>
            </w:r>
            <w:r w:rsidRPr="00DE0BCB">
              <w:rPr>
                <w:rFonts w:ascii="Calibri" w:eastAsia="Calibri" w:hAnsi="Calibri" w:cs="Calibri"/>
                <w:sz w:val="22"/>
                <w:szCs w:val="22"/>
              </w:rPr>
              <w:t xml:space="preserve">  </w:t>
            </w:r>
          </w:p>
        </w:tc>
      </w:tr>
    </w:tbl>
    <w:p w14:paraId="0703AF7F" w14:textId="76F27E86" w:rsidR="00DE0BCB" w:rsidRPr="00DE0BCB" w:rsidRDefault="00DE0BCB" w:rsidP="00DE0BCB">
      <w:pPr>
        <w:spacing w:after="160" w:line="259" w:lineRule="auto"/>
        <w:rPr>
          <w:rFonts w:ascii="Calibri" w:eastAsia="Calibri" w:hAnsi="Calibri" w:cs="Times New Roman"/>
          <w:sz w:val="22"/>
          <w:szCs w:val="22"/>
        </w:rPr>
      </w:pPr>
    </w:p>
    <w:p w14:paraId="72816BB2" w14:textId="596A0A9E" w:rsidR="00880900" w:rsidRPr="005423E2" w:rsidRDefault="004F1631" w:rsidP="00AB6D17">
      <w:pPr>
        <w:spacing w:after="160" w:line="259" w:lineRule="auto"/>
        <w:rPr>
          <w:rFonts w:asciiTheme="minorHAnsi" w:hAnsiTheme="minorHAnsi"/>
          <w:bCs/>
        </w:rPr>
      </w:pPr>
      <w:r w:rsidRPr="005423E2">
        <w:rPr>
          <w:rFonts w:asciiTheme="minorHAnsi" w:hAnsiTheme="minorHAnsi"/>
          <w:bCs/>
        </w:rPr>
        <w:t>The probability ratio</w:t>
      </w:r>
      <w:r w:rsidR="00AB1FBE">
        <w:rPr>
          <w:rFonts w:asciiTheme="minorHAnsi" w:hAnsiTheme="minorHAnsi"/>
          <w:bCs/>
        </w:rPr>
        <w:t>,</w:t>
      </w:r>
      <w:r w:rsidRPr="005423E2">
        <w:rPr>
          <w:rFonts w:asciiTheme="minorHAnsi" w:hAnsiTheme="minorHAnsi"/>
          <w:bCs/>
        </w:rPr>
        <w:t xml:space="preserve"> </w:t>
      </w:r>
      <w:r w:rsidR="00880900" w:rsidRPr="005423E2">
        <w:rPr>
          <w:rFonts w:asciiTheme="minorHAnsi" w:hAnsiTheme="minorHAnsi"/>
          <w:bCs/>
        </w:rPr>
        <w:t>represent</w:t>
      </w:r>
      <w:r w:rsidR="00853AB5" w:rsidRPr="005423E2">
        <w:rPr>
          <w:rFonts w:asciiTheme="minorHAnsi" w:hAnsiTheme="minorHAnsi"/>
          <w:bCs/>
        </w:rPr>
        <w:t>ing</w:t>
      </w:r>
      <w:r w:rsidRPr="005423E2">
        <w:rPr>
          <w:rFonts w:asciiTheme="minorHAnsi" w:hAnsiTheme="minorHAnsi"/>
          <w:bCs/>
        </w:rPr>
        <w:t xml:space="preserve"> </w:t>
      </w:r>
      <w:bookmarkStart w:id="9" w:name="_Hlk103941677"/>
      <w:r w:rsidRPr="005423E2">
        <w:rPr>
          <w:rFonts w:asciiTheme="minorHAnsi" w:hAnsiTheme="minorHAnsi"/>
          <w:bCs/>
        </w:rPr>
        <w:t>the ratio</w:t>
      </w:r>
      <w:r w:rsidR="00880900" w:rsidRPr="005423E2">
        <w:rPr>
          <w:rFonts w:asciiTheme="minorHAnsi" w:hAnsiTheme="minorHAnsi"/>
          <w:bCs/>
        </w:rPr>
        <w:t xml:space="preserve"> </w:t>
      </w:r>
      <w:r w:rsidR="00853AB5" w:rsidRPr="005423E2">
        <w:rPr>
          <w:rFonts w:asciiTheme="minorHAnsi" w:hAnsiTheme="minorHAnsi"/>
          <w:bCs/>
        </w:rPr>
        <w:t>of</w:t>
      </w:r>
      <w:r w:rsidR="00880900" w:rsidRPr="005423E2">
        <w:rPr>
          <w:rFonts w:asciiTheme="minorHAnsi" w:hAnsiTheme="minorHAnsi"/>
          <w:bCs/>
        </w:rPr>
        <w:t xml:space="preserve"> 10-year probability </w:t>
      </w:r>
      <w:r w:rsidR="00AD1721" w:rsidRPr="005423E2">
        <w:rPr>
          <w:rFonts w:asciiTheme="minorHAnsi" w:hAnsiTheme="minorHAnsi"/>
          <w:bCs/>
        </w:rPr>
        <w:t>with a given number of prior fractures versus</w:t>
      </w:r>
      <w:r w:rsidR="00AA640E" w:rsidRPr="005423E2">
        <w:rPr>
          <w:rFonts w:asciiTheme="minorHAnsi" w:hAnsiTheme="minorHAnsi"/>
          <w:bCs/>
        </w:rPr>
        <w:t xml:space="preserve"> the probability irrespective</w:t>
      </w:r>
      <w:r w:rsidR="00880900" w:rsidRPr="005423E2">
        <w:rPr>
          <w:rFonts w:asciiTheme="minorHAnsi" w:hAnsiTheme="minorHAnsi"/>
          <w:bCs/>
        </w:rPr>
        <w:t xml:space="preserve"> of the number of prior fractures</w:t>
      </w:r>
      <w:bookmarkEnd w:id="9"/>
      <w:r w:rsidR="00C715AD">
        <w:rPr>
          <w:rFonts w:asciiTheme="minorHAnsi" w:hAnsiTheme="minorHAnsi"/>
          <w:bCs/>
        </w:rPr>
        <w:t>, is shown in figure 1</w:t>
      </w:r>
      <w:r w:rsidR="00880900" w:rsidRPr="005423E2">
        <w:rPr>
          <w:rFonts w:asciiTheme="minorHAnsi" w:hAnsiTheme="minorHAnsi"/>
          <w:bCs/>
        </w:rPr>
        <w:t xml:space="preserve">.  </w:t>
      </w:r>
      <w:r w:rsidR="0063046F" w:rsidRPr="005423E2">
        <w:rPr>
          <w:rFonts w:asciiTheme="minorHAnsi" w:hAnsiTheme="minorHAnsi"/>
          <w:bCs/>
        </w:rPr>
        <w:t>In men and women with a</w:t>
      </w:r>
      <w:r w:rsidR="005A084B" w:rsidRPr="005423E2">
        <w:rPr>
          <w:rFonts w:asciiTheme="minorHAnsi" w:hAnsiTheme="minorHAnsi"/>
          <w:bCs/>
        </w:rPr>
        <w:t xml:space="preserve"> single prior fracture</w:t>
      </w:r>
      <w:r w:rsidR="00880900" w:rsidRPr="005423E2">
        <w:rPr>
          <w:rFonts w:asciiTheme="minorHAnsi" w:hAnsiTheme="minorHAnsi"/>
          <w:bCs/>
        </w:rPr>
        <w:t xml:space="preserve">, the probability </w:t>
      </w:r>
      <w:r w:rsidR="00BF0FD7">
        <w:rPr>
          <w:rFonts w:asciiTheme="minorHAnsi" w:hAnsiTheme="minorHAnsi"/>
          <w:bCs/>
        </w:rPr>
        <w:t xml:space="preserve">ratio </w:t>
      </w:r>
      <w:r w:rsidR="00880900" w:rsidRPr="005423E2">
        <w:rPr>
          <w:rFonts w:asciiTheme="minorHAnsi" w:hAnsiTheme="minorHAnsi"/>
          <w:bCs/>
        </w:rPr>
        <w:t xml:space="preserve">was </w:t>
      </w:r>
      <w:r w:rsidR="00880900" w:rsidRPr="005423E2">
        <w:rPr>
          <w:rFonts w:asciiTheme="minorHAnsi" w:hAnsiTheme="minorHAnsi"/>
          <w:bCs/>
        </w:rPr>
        <w:lastRenderedPageBreak/>
        <w:t xml:space="preserve">marginally lower </w:t>
      </w:r>
      <w:r w:rsidR="00103EDA" w:rsidRPr="005423E2">
        <w:rPr>
          <w:rFonts w:asciiTheme="minorHAnsi" w:hAnsiTheme="minorHAnsi"/>
          <w:bCs/>
        </w:rPr>
        <w:t>than unity, but rose progressively as the number of prior fractures increased</w:t>
      </w:r>
      <w:r w:rsidR="009F44A4">
        <w:rPr>
          <w:rFonts w:asciiTheme="minorHAnsi" w:hAnsiTheme="minorHAnsi"/>
          <w:bCs/>
        </w:rPr>
        <w:t xml:space="preserve">.  </w:t>
      </w:r>
      <w:r w:rsidR="00103EDA" w:rsidRPr="005423E2">
        <w:rPr>
          <w:rFonts w:asciiTheme="minorHAnsi" w:hAnsiTheme="minorHAnsi"/>
          <w:bCs/>
        </w:rPr>
        <w:t xml:space="preserve"> </w:t>
      </w:r>
      <w:r w:rsidR="000160CC">
        <w:rPr>
          <w:rFonts w:asciiTheme="minorHAnsi" w:hAnsiTheme="minorHAnsi"/>
          <w:bCs/>
        </w:rPr>
        <w:t>Probability ratios decreased with age</w:t>
      </w:r>
      <w:r w:rsidR="002F6795">
        <w:rPr>
          <w:rFonts w:asciiTheme="minorHAnsi" w:hAnsiTheme="minorHAnsi"/>
          <w:bCs/>
        </w:rPr>
        <w:t>, a</w:t>
      </w:r>
      <w:r w:rsidR="00F97732">
        <w:rPr>
          <w:rFonts w:asciiTheme="minorHAnsi" w:hAnsiTheme="minorHAnsi"/>
          <w:bCs/>
        </w:rPr>
        <w:t>n</w:t>
      </w:r>
      <w:r w:rsidR="002F6795">
        <w:rPr>
          <w:rFonts w:asciiTheme="minorHAnsi" w:hAnsiTheme="minorHAnsi"/>
          <w:bCs/>
        </w:rPr>
        <w:t xml:space="preserve"> effect that was </w:t>
      </w:r>
      <w:r w:rsidR="00EC3EA6">
        <w:rPr>
          <w:rFonts w:asciiTheme="minorHAnsi" w:hAnsiTheme="minorHAnsi"/>
          <w:bCs/>
        </w:rPr>
        <w:t>more marked the greater the number</w:t>
      </w:r>
      <w:r w:rsidR="006C2B97">
        <w:rPr>
          <w:rFonts w:asciiTheme="minorHAnsi" w:hAnsiTheme="minorHAnsi"/>
          <w:bCs/>
        </w:rPr>
        <w:t xml:space="preserve"> of prior fractures.</w:t>
      </w:r>
    </w:p>
    <w:p w14:paraId="1DB5E0CA" w14:textId="77777777" w:rsidR="009D12AE" w:rsidRDefault="009D12AE" w:rsidP="00C04181">
      <w:pPr>
        <w:autoSpaceDE w:val="0"/>
        <w:autoSpaceDN w:val="0"/>
        <w:adjustRightInd w:val="0"/>
        <w:spacing w:after="240" w:line="276" w:lineRule="auto"/>
        <w:ind w:left="567"/>
        <w:rPr>
          <w:rFonts w:ascii="Calibri" w:eastAsia="Times New Roman" w:hAnsi="Calibri" w:cs="Calibri"/>
          <w:lang w:eastAsia="en-GB"/>
        </w:rPr>
      </w:pPr>
    </w:p>
    <w:p w14:paraId="19220F6B" w14:textId="77777777" w:rsidR="009D12AE" w:rsidRDefault="009D12AE" w:rsidP="00C04181">
      <w:pPr>
        <w:autoSpaceDE w:val="0"/>
        <w:autoSpaceDN w:val="0"/>
        <w:adjustRightInd w:val="0"/>
        <w:spacing w:after="240" w:line="276" w:lineRule="auto"/>
        <w:ind w:left="567"/>
        <w:rPr>
          <w:rFonts w:ascii="Calibri" w:eastAsia="Times New Roman" w:hAnsi="Calibri" w:cs="Calibri"/>
          <w:lang w:eastAsia="en-GB"/>
        </w:rPr>
      </w:pPr>
    </w:p>
    <w:p w14:paraId="3DA1306C" w14:textId="032964FC" w:rsidR="00C64EFB" w:rsidRDefault="005658F1" w:rsidP="00C04181">
      <w:pPr>
        <w:autoSpaceDE w:val="0"/>
        <w:autoSpaceDN w:val="0"/>
        <w:adjustRightInd w:val="0"/>
        <w:spacing w:after="240" w:line="276" w:lineRule="auto"/>
        <w:ind w:left="567"/>
        <w:rPr>
          <w:rFonts w:ascii="Calibri" w:eastAsia="Times New Roman" w:hAnsi="Calibri" w:cs="Calibri"/>
          <w:lang w:eastAsia="en-GB"/>
        </w:rPr>
      </w:pPr>
      <w:r>
        <w:rPr>
          <w:noProof/>
        </w:rPr>
        <w:drawing>
          <wp:anchor distT="0" distB="0" distL="114300" distR="114300" simplePos="0" relativeHeight="251674624" behindDoc="0" locked="0" layoutInCell="1" allowOverlap="1" wp14:anchorId="622114B5" wp14:editId="24C8978D">
            <wp:simplePos x="0" y="0"/>
            <wp:positionH relativeFrom="column">
              <wp:posOffset>347663</wp:posOffset>
            </wp:positionH>
            <wp:positionV relativeFrom="paragraph">
              <wp:posOffset>2876867</wp:posOffset>
            </wp:positionV>
            <wp:extent cx="5731510" cy="2571750"/>
            <wp:effectExtent l="0" t="0" r="2540" b="0"/>
            <wp:wrapTopAndBottom/>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rcRect t="9307" b="10913"/>
                    <a:stretch/>
                  </pic:blipFill>
                  <pic:spPr bwMode="auto">
                    <a:xfrm>
                      <a:off x="0" y="0"/>
                      <a:ext cx="5731510" cy="2571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5E0A05">
        <w:rPr>
          <w:noProof/>
        </w:rPr>
        <w:drawing>
          <wp:anchor distT="0" distB="0" distL="114300" distR="114300" simplePos="0" relativeHeight="251671552" behindDoc="0" locked="0" layoutInCell="1" allowOverlap="1" wp14:anchorId="44A69C6D" wp14:editId="765D2E10">
            <wp:simplePos x="0" y="0"/>
            <wp:positionH relativeFrom="column">
              <wp:posOffset>361950</wp:posOffset>
            </wp:positionH>
            <wp:positionV relativeFrom="paragraph">
              <wp:posOffset>311150</wp:posOffset>
            </wp:positionV>
            <wp:extent cx="5731510" cy="2538095"/>
            <wp:effectExtent l="0" t="0" r="254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rcRect t="9602" b="11652"/>
                    <a:stretch/>
                  </pic:blipFill>
                  <pic:spPr bwMode="auto">
                    <a:xfrm>
                      <a:off x="0" y="0"/>
                      <a:ext cx="5731510" cy="25380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521FFE7" w14:textId="60A69E51" w:rsidR="00C64EFB" w:rsidRDefault="00855F2E" w:rsidP="00C04181">
      <w:pPr>
        <w:autoSpaceDE w:val="0"/>
        <w:autoSpaceDN w:val="0"/>
        <w:adjustRightInd w:val="0"/>
        <w:spacing w:after="240" w:line="276" w:lineRule="auto"/>
        <w:ind w:left="567"/>
        <w:rPr>
          <w:rFonts w:ascii="Calibri" w:eastAsia="Times New Roman" w:hAnsi="Calibri" w:cs="Calibri"/>
          <w:lang w:eastAsia="en-GB"/>
        </w:rPr>
      </w:pPr>
      <w:r w:rsidRPr="003E29A1">
        <w:rPr>
          <w:rFonts w:ascii="Calibri" w:eastAsia="Times New Roman" w:hAnsi="Calibri" w:cs="Calibri"/>
          <w:b/>
          <w:bCs/>
          <w:sz w:val="22"/>
          <w:szCs w:val="22"/>
          <w:lang w:eastAsia="en-GB"/>
        </w:rPr>
        <w:t>Fig</w:t>
      </w:r>
      <w:r w:rsidR="00D91597" w:rsidRPr="003E29A1">
        <w:rPr>
          <w:rFonts w:ascii="Calibri" w:eastAsia="Times New Roman" w:hAnsi="Calibri" w:cs="Calibri"/>
          <w:b/>
          <w:bCs/>
          <w:sz w:val="22"/>
          <w:szCs w:val="22"/>
          <w:lang w:eastAsia="en-GB"/>
        </w:rPr>
        <w:t>.1.</w:t>
      </w:r>
      <w:r w:rsidR="00D91597" w:rsidRPr="003E29A1">
        <w:rPr>
          <w:rFonts w:ascii="Calibri" w:eastAsia="Times New Roman" w:hAnsi="Calibri" w:cs="Calibri"/>
          <w:sz w:val="22"/>
          <w:szCs w:val="22"/>
          <w:lang w:eastAsia="en-GB"/>
        </w:rPr>
        <w:t xml:space="preserve">  Probability ratios </w:t>
      </w:r>
      <w:r w:rsidR="008378E2" w:rsidRPr="003E29A1">
        <w:rPr>
          <w:rFonts w:ascii="Calibri" w:eastAsia="Times New Roman" w:hAnsi="Calibri" w:cs="Calibri"/>
          <w:sz w:val="22"/>
          <w:szCs w:val="22"/>
          <w:lang w:eastAsia="en-GB"/>
        </w:rPr>
        <w:t>f</w:t>
      </w:r>
      <w:r w:rsidR="00D91597" w:rsidRPr="003E29A1">
        <w:rPr>
          <w:rFonts w:ascii="Calibri" w:eastAsia="Times New Roman" w:hAnsi="Calibri" w:cs="Calibri"/>
          <w:sz w:val="22"/>
          <w:szCs w:val="22"/>
          <w:lang w:eastAsia="en-GB"/>
        </w:rPr>
        <w:t xml:space="preserve">or </w:t>
      </w:r>
      <w:r w:rsidR="008378E2" w:rsidRPr="003E29A1">
        <w:rPr>
          <w:rFonts w:ascii="Calibri" w:eastAsia="Times New Roman" w:hAnsi="Calibri" w:cs="Calibri"/>
          <w:sz w:val="22"/>
          <w:szCs w:val="22"/>
          <w:lang w:eastAsia="en-GB"/>
        </w:rPr>
        <w:t>a major ost</w:t>
      </w:r>
      <w:r w:rsidR="0081777E" w:rsidRPr="003E29A1">
        <w:rPr>
          <w:rFonts w:ascii="Calibri" w:eastAsia="Times New Roman" w:hAnsi="Calibri" w:cs="Calibri"/>
          <w:sz w:val="22"/>
          <w:szCs w:val="22"/>
          <w:lang w:eastAsia="en-GB"/>
        </w:rPr>
        <w:t>eoporotic fracture (</w:t>
      </w:r>
      <w:r w:rsidR="00D91597" w:rsidRPr="003E29A1">
        <w:rPr>
          <w:rFonts w:ascii="Calibri" w:eastAsia="Times New Roman" w:hAnsi="Calibri" w:cs="Calibri"/>
          <w:sz w:val="22"/>
          <w:szCs w:val="22"/>
          <w:lang w:eastAsia="en-GB"/>
        </w:rPr>
        <w:t>MOF</w:t>
      </w:r>
      <w:r w:rsidR="0081777E" w:rsidRPr="003E29A1">
        <w:rPr>
          <w:rFonts w:ascii="Calibri" w:eastAsia="Times New Roman" w:hAnsi="Calibri" w:cs="Calibri"/>
          <w:sz w:val="22"/>
          <w:szCs w:val="22"/>
          <w:lang w:eastAsia="en-GB"/>
        </w:rPr>
        <w:t>)</w:t>
      </w:r>
      <w:r w:rsidR="00D91597" w:rsidRPr="003E29A1">
        <w:rPr>
          <w:rFonts w:ascii="Calibri" w:eastAsia="Times New Roman" w:hAnsi="Calibri" w:cs="Calibri"/>
          <w:sz w:val="22"/>
          <w:szCs w:val="22"/>
          <w:lang w:eastAsia="en-GB"/>
        </w:rPr>
        <w:t xml:space="preserve"> and </w:t>
      </w:r>
      <w:r w:rsidR="005C456D" w:rsidRPr="003E29A1">
        <w:rPr>
          <w:rFonts w:ascii="Calibri" w:eastAsia="Times New Roman" w:hAnsi="Calibri" w:cs="Calibri"/>
          <w:sz w:val="22"/>
          <w:szCs w:val="22"/>
          <w:lang w:eastAsia="en-GB"/>
        </w:rPr>
        <w:t>h</w:t>
      </w:r>
      <w:r w:rsidR="00D91597" w:rsidRPr="003E29A1">
        <w:rPr>
          <w:rFonts w:ascii="Calibri" w:eastAsia="Times New Roman" w:hAnsi="Calibri" w:cs="Calibri"/>
          <w:sz w:val="22"/>
          <w:szCs w:val="22"/>
          <w:lang w:eastAsia="en-GB"/>
        </w:rPr>
        <w:t>ip</w:t>
      </w:r>
      <w:r w:rsidR="005C456D" w:rsidRPr="003E29A1">
        <w:rPr>
          <w:rFonts w:ascii="Calibri" w:eastAsia="Times New Roman" w:hAnsi="Calibri" w:cs="Calibri"/>
          <w:sz w:val="22"/>
          <w:szCs w:val="22"/>
          <w:lang w:eastAsia="en-GB"/>
        </w:rPr>
        <w:t xml:space="preserve"> fracture</w:t>
      </w:r>
      <w:r w:rsidR="0081777E" w:rsidRPr="003E29A1">
        <w:rPr>
          <w:rFonts w:ascii="Calibri" w:eastAsia="Times New Roman" w:hAnsi="Calibri" w:cs="Calibri"/>
          <w:sz w:val="22"/>
          <w:szCs w:val="22"/>
          <w:lang w:eastAsia="en-GB"/>
        </w:rPr>
        <w:t xml:space="preserve"> (</w:t>
      </w:r>
      <w:r w:rsidR="003E29A1" w:rsidRPr="003E29A1">
        <w:rPr>
          <w:rFonts w:ascii="Calibri" w:eastAsia="Times New Roman" w:hAnsi="Calibri" w:cs="Calibri"/>
          <w:sz w:val="22"/>
          <w:szCs w:val="22"/>
          <w:lang w:eastAsia="en-GB"/>
        </w:rPr>
        <w:t>HF)</w:t>
      </w:r>
      <w:r w:rsidR="005C456D" w:rsidRPr="003E29A1">
        <w:rPr>
          <w:rFonts w:ascii="Calibri" w:eastAsia="Times New Roman" w:hAnsi="Calibri" w:cs="Calibri"/>
          <w:sz w:val="22"/>
          <w:szCs w:val="22"/>
          <w:lang w:eastAsia="en-GB"/>
        </w:rPr>
        <w:t xml:space="preserve"> in men and in women </w:t>
      </w:r>
      <w:r w:rsidR="003E29A1" w:rsidRPr="003E29A1">
        <w:rPr>
          <w:rFonts w:ascii="Calibri" w:eastAsia="Times New Roman" w:hAnsi="Calibri" w:cs="Calibri"/>
          <w:sz w:val="22"/>
          <w:szCs w:val="22"/>
          <w:lang w:eastAsia="en-GB"/>
        </w:rPr>
        <w:t xml:space="preserve">by age </w:t>
      </w:r>
      <w:r w:rsidR="005C456D" w:rsidRPr="003E29A1">
        <w:rPr>
          <w:rFonts w:ascii="Calibri" w:eastAsia="Times New Roman" w:hAnsi="Calibri" w:cs="Calibri"/>
          <w:sz w:val="22"/>
          <w:szCs w:val="22"/>
          <w:lang w:eastAsia="en-GB"/>
        </w:rPr>
        <w:t xml:space="preserve">according to the number of </w:t>
      </w:r>
      <w:r w:rsidR="008D72B0" w:rsidRPr="003E29A1">
        <w:rPr>
          <w:rFonts w:ascii="Calibri" w:eastAsia="Times New Roman" w:hAnsi="Calibri" w:cs="Calibri"/>
          <w:sz w:val="22"/>
          <w:szCs w:val="22"/>
          <w:lang w:eastAsia="en-GB"/>
        </w:rPr>
        <w:t>prior fractures</w:t>
      </w:r>
      <w:r w:rsidR="003E29A1">
        <w:rPr>
          <w:rFonts w:ascii="Calibri" w:eastAsia="Times New Roman" w:hAnsi="Calibri" w:cs="Calibri"/>
          <w:lang w:eastAsia="en-GB"/>
        </w:rPr>
        <w:t>.</w:t>
      </w:r>
    </w:p>
    <w:p w14:paraId="5DE01E5A" w14:textId="149CF972" w:rsidR="00C64EFB" w:rsidRDefault="000327C9" w:rsidP="00C04181">
      <w:pPr>
        <w:autoSpaceDE w:val="0"/>
        <w:autoSpaceDN w:val="0"/>
        <w:adjustRightInd w:val="0"/>
        <w:spacing w:after="240" w:line="276" w:lineRule="auto"/>
        <w:ind w:left="567"/>
        <w:rPr>
          <w:rFonts w:ascii="Calibri" w:eastAsia="Times New Roman" w:hAnsi="Calibri" w:cs="Calibri"/>
          <w:lang w:eastAsia="en-GB"/>
        </w:rPr>
      </w:pPr>
      <w:r>
        <w:rPr>
          <w:rFonts w:ascii="Calibri" w:eastAsia="Times New Roman" w:hAnsi="Calibri" w:cs="Calibri"/>
          <w:lang w:eastAsia="en-GB"/>
        </w:rPr>
        <w:t xml:space="preserve">There were </w:t>
      </w:r>
      <w:r w:rsidR="00522943">
        <w:rPr>
          <w:rFonts w:ascii="Calibri" w:eastAsia="Times New Roman" w:hAnsi="Calibri" w:cs="Calibri"/>
          <w:lang w:eastAsia="en-GB"/>
        </w:rPr>
        <w:t>differences in probability ratios between men a</w:t>
      </w:r>
      <w:r w:rsidR="007A40A5">
        <w:rPr>
          <w:rFonts w:ascii="Calibri" w:eastAsia="Times New Roman" w:hAnsi="Calibri" w:cs="Calibri"/>
          <w:lang w:eastAsia="en-GB"/>
        </w:rPr>
        <w:t>nd women but the differences were of statistical si</w:t>
      </w:r>
      <w:r w:rsidR="00335E49">
        <w:rPr>
          <w:rFonts w:ascii="Calibri" w:eastAsia="Times New Roman" w:hAnsi="Calibri" w:cs="Calibri"/>
          <w:lang w:eastAsia="en-GB"/>
        </w:rPr>
        <w:t xml:space="preserve">gnificance </w:t>
      </w:r>
      <w:r w:rsidR="00175A17">
        <w:rPr>
          <w:rFonts w:ascii="Calibri" w:eastAsia="Times New Roman" w:hAnsi="Calibri" w:cs="Calibri"/>
          <w:lang w:eastAsia="en-GB"/>
        </w:rPr>
        <w:t>rather than</w:t>
      </w:r>
      <w:r w:rsidR="00335E49">
        <w:rPr>
          <w:rFonts w:ascii="Calibri" w:eastAsia="Times New Roman" w:hAnsi="Calibri" w:cs="Calibri"/>
          <w:lang w:eastAsia="en-GB"/>
        </w:rPr>
        <w:t xml:space="preserve"> of clinical significance</w:t>
      </w:r>
      <w:r w:rsidR="008364D1">
        <w:rPr>
          <w:rFonts w:ascii="Calibri" w:eastAsia="Times New Roman" w:hAnsi="Calibri" w:cs="Calibri"/>
          <w:lang w:eastAsia="en-GB"/>
        </w:rPr>
        <w:t>.  For MOF</w:t>
      </w:r>
      <w:r w:rsidR="00FF5529">
        <w:rPr>
          <w:rFonts w:ascii="Calibri" w:eastAsia="Times New Roman" w:hAnsi="Calibri" w:cs="Calibri"/>
          <w:lang w:eastAsia="en-GB"/>
        </w:rPr>
        <w:t xml:space="preserve">, the mean probability ratio </w:t>
      </w:r>
      <w:r w:rsidR="00485496">
        <w:rPr>
          <w:rFonts w:ascii="Calibri" w:eastAsia="Times New Roman" w:hAnsi="Calibri" w:cs="Calibri"/>
          <w:lang w:eastAsia="en-GB"/>
        </w:rPr>
        <w:t xml:space="preserve">in women </w:t>
      </w:r>
      <w:r w:rsidR="00FF5529">
        <w:rPr>
          <w:rFonts w:ascii="Calibri" w:eastAsia="Times New Roman" w:hAnsi="Calibri" w:cs="Calibri"/>
          <w:lang w:eastAsia="en-GB"/>
        </w:rPr>
        <w:t xml:space="preserve">was lower </w:t>
      </w:r>
      <w:r w:rsidR="008A2E93">
        <w:rPr>
          <w:rFonts w:ascii="Calibri" w:eastAsia="Times New Roman" w:hAnsi="Calibri" w:cs="Calibri"/>
          <w:lang w:eastAsia="en-GB"/>
        </w:rPr>
        <w:t>by 0.023 than in men</w:t>
      </w:r>
      <w:r w:rsidR="006B194D">
        <w:rPr>
          <w:rFonts w:ascii="Calibri" w:eastAsia="Times New Roman" w:hAnsi="Calibri" w:cs="Calibri"/>
          <w:lang w:eastAsia="en-GB"/>
        </w:rPr>
        <w:t xml:space="preserve"> </w:t>
      </w:r>
      <w:r w:rsidR="008A2E93" w:rsidRPr="008A2E93">
        <w:rPr>
          <w:rFonts w:ascii="Calibri" w:eastAsia="Times New Roman" w:hAnsi="Calibri" w:cs="Calibri"/>
          <w:lang w:eastAsia="en-GB"/>
        </w:rPr>
        <w:t>(p&lt;0.001, 95% CI: 0.021</w:t>
      </w:r>
      <w:r w:rsidR="006B194D">
        <w:rPr>
          <w:rFonts w:ascii="Calibri" w:eastAsia="Times New Roman" w:hAnsi="Calibri" w:cs="Calibri"/>
          <w:lang w:eastAsia="en-GB"/>
        </w:rPr>
        <w:t>-</w:t>
      </w:r>
      <w:r w:rsidR="008A2E93" w:rsidRPr="008A2E93">
        <w:rPr>
          <w:rFonts w:ascii="Calibri" w:eastAsia="Times New Roman" w:hAnsi="Calibri" w:cs="Calibri"/>
          <w:lang w:eastAsia="en-GB"/>
        </w:rPr>
        <w:t xml:space="preserve"> 0.026).</w:t>
      </w:r>
      <w:r w:rsidR="00431C98" w:rsidRPr="00431C98">
        <w:t xml:space="preserve"> </w:t>
      </w:r>
      <w:r w:rsidR="00431C98" w:rsidRPr="00431C98">
        <w:rPr>
          <w:rFonts w:ascii="Calibri" w:eastAsia="Times New Roman" w:hAnsi="Calibri" w:cs="Calibri"/>
          <w:lang w:eastAsia="en-GB"/>
        </w:rPr>
        <w:t xml:space="preserve">For </w:t>
      </w:r>
      <w:r w:rsidR="00431C98">
        <w:rPr>
          <w:rFonts w:ascii="Calibri" w:eastAsia="Times New Roman" w:hAnsi="Calibri" w:cs="Calibri"/>
          <w:lang w:eastAsia="en-GB"/>
        </w:rPr>
        <w:t xml:space="preserve">hip fracture the </w:t>
      </w:r>
      <w:r w:rsidR="00431C98" w:rsidRPr="00431C98">
        <w:rPr>
          <w:rFonts w:ascii="Calibri" w:eastAsia="Times New Roman" w:hAnsi="Calibri" w:cs="Calibri"/>
          <w:lang w:eastAsia="en-GB"/>
        </w:rPr>
        <w:t xml:space="preserve">ratio </w:t>
      </w:r>
      <w:r w:rsidR="00485496">
        <w:rPr>
          <w:rFonts w:ascii="Calibri" w:eastAsia="Times New Roman" w:hAnsi="Calibri" w:cs="Calibri"/>
          <w:lang w:eastAsia="en-GB"/>
        </w:rPr>
        <w:t xml:space="preserve">in </w:t>
      </w:r>
      <w:r w:rsidR="00431C98" w:rsidRPr="00431C98">
        <w:rPr>
          <w:rFonts w:ascii="Calibri" w:eastAsia="Times New Roman" w:hAnsi="Calibri" w:cs="Calibri"/>
          <w:lang w:eastAsia="en-GB"/>
        </w:rPr>
        <w:t xml:space="preserve">women </w:t>
      </w:r>
      <w:r w:rsidR="00485496">
        <w:rPr>
          <w:rFonts w:ascii="Calibri" w:eastAsia="Times New Roman" w:hAnsi="Calibri" w:cs="Calibri"/>
          <w:lang w:eastAsia="en-GB"/>
        </w:rPr>
        <w:t>was</w:t>
      </w:r>
      <w:r w:rsidR="00431C98" w:rsidRPr="00431C98">
        <w:rPr>
          <w:rFonts w:ascii="Calibri" w:eastAsia="Times New Roman" w:hAnsi="Calibri" w:cs="Calibri"/>
          <w:lang w:eastAsia="en-GB"/>
        </w:rPr>
        <w:t xml:space="preserve"> 0.025 lower than </w:t>
      </w:r>
      <w:r w:rsidR="008577A8">
        <w:rPr>
          <w:rFonts w:ascii="Calibri" w:eastAsia="Times New Roman" w:hAnsi="Calibri" w:cs="Calibri"/>
          <w:lang w:eastAsia="en-GB"/>
        </w:rPr>
        <w:t xml:space="preserve">in </w:t>
      </w:r>
      <w:r w:rsidR="00431C98" w:rsidRPr="00431C98">
        <w:rPr>
          <w:rFonts w:ascii="Calibri" w:eastAsia="Times New Roman" w:hAnsi="Calibri" w:cs="Calibri"/>
          <w:lang w:eastAsia="en-GB"/>
        </w:rPr>
        <w:t>men (p&lt;0.001, 95% CI: 0.022</w:t>
      </w:r>
      <w:r w:rsidR="008577A8">
        <w:rPr>
          <w:rFonts w:ascii="Calibri" w:eastAsia="Times New Roman" w:hAnsi="Calibri" w:cs="Calibri"/>
          <w:lang w:eastAsia="en-GB"/>
        </w:rPr>
        <w:t>-</w:t>
      </w:r>
      <w:r w:rsidR="00431C98" w:rsidRPr="00431C98">
        <w:rPr>
          <w:rFonts w:ascii="Calibri" w:eastAsia="Times New Roman" w:hAnsi="Calibri" w:cs="Calibri"/>
          <w:lang w:eastAsia="en-GB"/>
        </w:rPr>
        <w:t>0.028)</w:t>
      </w:r>
      <w:r w:rsidR="008577A8">
        <w:rPr>
          <w:rFonts w:ascii="Calibri" w:eastAsia="Times New Roman" w:hAnsi="Calibri" w:cs="Calibri"/>
          <w:lang w:eastAsia="en-GB"/>
        </w:rPr>
        <w:t xml:space="preserve">.  </w:t>
      </w:r>
      <w:r w:rsidR="00B91EB7">
        <w:rPr>
          <w:rFonts w:ascii="Calibri" w:eastAsia="Times New Roman" w:hAnsi="Calibri" w:cs="Calibri"/>
          <w:lang w:eastAsia="en-GB"/>
        </w:rPr>
        <w:t>Similarly, t</w:t>
      </w:r>
      <w:r w:rsidR="00B91EB7" w:rsidRPr="00B91EB7">
        <w:rPr>
          <w:rFonts w:ascii="Calibri" w:eastAsia="Times New Roman" w:hAnsi="Calibri" w:cs="Calibri"/>
          <w:lang w:eastAsia="en-GB"/>
        </w:rPr>
        <w:t xml:space="preserve">here </w:t>
      </w:r>
      <w:r w:rsidR="00B91EB7">
        <w:rPr>
          <w:rFonts w:ascii="Calibri" w:eastAsia="Times New Roman" w:hAnsi="Calibri" w:cs="Calibri"/>
          <w:lang w:eastAsia="en-GB"/>
        </w:rPr>
        <w:t>was</w:t>
      </w:r>
      <w:r w:rsidR="00B91EB7" w:rsidRPr="00B91EB7">
        <w:rPr>
          <w:rFonts w:ascii="Calibri" w:eastAsia="Times New Roman" w:hAnsi="Calibri" w:cs="Calibri"/>
          <w:lang w:eastAsia="en-GB"/>
        </w:rPr>
        <w:t xml:space="preserve"> a statistically significant difference between the </w:t>
      </w:r>
      <w:r w:rsidR="00B91EB7">
        <w:rPr>
          <w:rFonts w:ascii="Calibri" w:eastAsia="Times New Roman" w:hAnsi="Calibri" w:cs="Calibri"/>
          <w:lang w:eastAsia="en-GB"/>
        </w:rPr>
        <w:t>probability</w:t>
      </w:r>
      <w:r w:rsidR="00AC64AE">
        <w:rPr>
          <w:rFonts w:ascii="Calibri" w:eastAsia="Times New Roman" w:hAnsi="Calibri" w:cs="Calibri"/>
          <w:lang w:eastAsia="en-GB"/>
        </w:rPr>
        <w:t xml:space="preserve"> </w:t>
      </w:r>
      <w:r w:rsidR="00B91EB7" w:rsidRPr="00B91EB7">
        <w:rPr>
          <w:rFonts w:ascii="Calibri" w:eastAsia="Times New Roman" w:hAnsi="Calibri" w:cs="Calibri"/>
          <w:lang w:eastAsia="en-GB"/>
        </w:rPr>
        <w:t>ratio</w:t>
      </w:r>
      <w:r w:rsidR="00AC64AE">
        <w:rPr>
          <w:rFonts w:ascii="Calibri" w:eastAsia="Times New Roman" w:hAnsi="Calibri" w:cs="Calibri"/>
          <w:lang w:eastAsia="en-GB"/>
        </w:rPr>
        <w:t>s</w:t>
      </w:r>
      <w:r w:rsidR="00B91EB7" w:rsidRPr="00B91EB7">
        <w:rPr>
          <w:rFonts w:ascii="Calibri" w:eastAsia="Times New Roman" w:hAnsi="Calibri" w:cs="Calibri"/>
          <w:lang w:eastAsia="en-GB"/>
        </w:rPr>
        <w:t xml:space="preserve"> for MOF and </w:t>
      </w:r>
      <w:r w:rsidR="00AC64AE">
        <w:rPr>
          <w:rFonts w:ascii="Calibri" w:eastAsia="Times New Roman" w:hAnsi="Calibri" w:cs="Calibri"/>
          <w:lang w:eastAsia="en-GB"/>
        </w:rPr>
        <w:t>hip fracture</w:t>
      </w:r>
      <w:r w:rsidR="00B91EB7" w:rsidRPr="00B91EB7">
        <w:rPr>
          <w:rFonts w:ascii="Calibri" w:eastAsia="Times New Roman" w:hAnsi="Calibri" w:cs="Calibri"/>
          <w:lang w:eastAsia="en-GB"/>
        </w:rPr>
        <w:t xml:space="preserve"> (p&lt;0.001</w:t>
      </w:r>
      <w:r w:rsidR="00EA7171">
        <w:rPr>
          <w:rFonts w:ascii="Calibri" w:eastAsia="Times New Roman" w:hAnsi="Calibri" w:cs="Calibri"/>
          <w:lang w:eastAsia="en-GB"/>
        </w:rPr>
        <w:t xml:space="preserve">) but the </w:t>
      </w:r>
      <w:r w:rsidR="00EA7171">
        <w:rPr>
          <w:rFonts w:ascii="Calibri" w:eastAsia="Times New Roman" w:hAnsi="Calibri" w:cs="Calibri"/>
          <w:lang w:eastAsia="en-GB"/>
        </w:rPr>
        <w:lastRenderedPageBreak/>
        <w:t>difference was small</w:t>
      </w:r>
      <w:r w:rsidR="00F954DB">
        <w:rPr>
          <w:rFonts w:ascii="Calibri" w:eastAsia="Times New Roman" w:hAnsi="Calibri" w:cs="Calibri"/>
          <w:lang w:eastAsia="en-GB"/>
        </w:rPr>
        <w:t xml:space="preserve"> and of no clinical significance </w:t>
      </w:r>
      <w:r w:rsidR="00601D15">
        <w:rPr>
          <w:rFonts w:ascii="Calibri" w:eastAsia="Times New Roman" w:hAnsi="Calibri" w:cs="Calibri"/>
          <w:lang w:eastAsia="en-GB"/>
        </w:rPr>
        <w:t>(mean</w:t>
      </w:r>
      <w:r w:rsidR="00B91EB7" w:rsidRPr="00B91EB7">
        <w:rPr>
          <w:rFonts w:ascii="Calibri" w:eastAsia="Times New Roman" w:hAnsi="Calibri" w:cs="Calibri"/>
          <w:lang w:eastAsia="en-GB"/>
        </w:rPr>
        <w:t xml:space="preserve"> difference overall 0.0010 with a SD of 0.011 (95% CI: 0.0006</w:t>
      </w:r>
      <w:r w:rsidR="00601D15">
        <w:rPr>
          <w:rFonts w:ascii="Calibri" w:eastAsia="Times New Roman" w:hAnsi="Calibri" w:cs="Calibri"/>
          <w:lang w:eastAsia="en-GB"/>
        </w:rPr>
        <w:t>-</w:t>
      </w:r>
      <w:r w:rsidR="00B91EB7" w:rsidRPr="00B91EB7">
        <w:rPr>
          <w:rFonts w:ascii="Calibri" w:eastAsia="Times New Roman" w:hAnsi="Calibri" w:cs="Calibri"/>
          <w:lang w:eastAsia="en-GB"/>
        </w:rPr>
        <w:t>0.0014).</w:t>
      </w:r>
    </w:p>
    <w:p w14:paraId="6DF812DF" w14:textId="77777777" w:rsidR="00C64EFB" w:rsidRDefault="00C64EFB" w:rsidP="00C04181">
      <w:pPr>
        <w:autoSpaceDE w:val="0"/>
        <w:autoSpaceDN w:val="0"/>
        <w:adjustRightInd w:val="0"/>
        <w:spacing w:after="240" w:line="276" w:lineRule="auto"/>
        <w:ind w:left="567"/>
        <w:rPr>
          <w:rFonts w:ascii="Calibri" w:eastAsia="Times New Roman" w:hAnsi="Calibri" w:cs="Calibri"/>
          <w:lang w:eastAsia="en-GB"/>
        </w:rPr>
      </w:pPr>
    </w:p>
    <w:p w14:paraId="31A7EB09" w14:textId="1CAC08C7" w:rsidR="005E3089" w:rsidRDefault="00C72716" w:rsidP="00C04181">
      <w:pPr>
        <w:autoSpaceDE w:val="0"/>
        <w:autoSpaceDN w:val="0"/>
        <w:adjustRightInd w:val="0"/>
        <w:spacing w:after="240" w:line="276" w:lineRule="auto"/>
        <w:ind w:left="567"/>
        <w:rPr>
          <w:rFonts w:ascii="Calibri" w:eastAsia="Times New Roman" w:hAnsi="Calibri" w:cs="Calibri"/>
          <w:lang w:eastAsia="en-GB"/>
        </w:rPr>
      </w:pPr>
      <w:r>
        <w:rPr>
          <w:rFonts w:ascii="Calibri" w:eastAsia="Times New Roman" w:hAnsi="Calibri" w:cs="Calibri"/>
          <w:lang w:eastAsia="en-GB"/>
        </w:rPr>
        <w:t>In the sensitivity analysis</w:t>
      </w:r>
      <w:r w:rsidR="00AB2BA0">
        <w:rPr>
          <w:rFonts w:ascii="Calibri" w:eastAsia="Times New Roman" w:hAnsi="Calibri" w:cs="Calibri"/>
          <w:lang w:eastAsia="en-GB"/>
        </w:rPr>
        <w:t>, h</w:t>
      </w:r>
      <w:r w:rsidR="00D07D88">
        <w:rPr>
          <w:rFonts w:ascii="Calibri" w:eastAsia="Times New Roman" w:hAnsi="Calibri" w:cs="Calibri"/>
          <w:lang w:eastAsia="en-GB"/>
        </w:rPr>
        <w:t xml:space="preserve">azard ratios </w:t>
      </w:r>
      <w:r w:rsidR="00AC3C24">
        <w:rPr>
          <w:rFonts w:ascii="Calibri" w:eastAsia="Times New Roman" w:hAnsi="Calibri" w:cs="Calibri"/>
          <w:lang w:eastAsia="en-GB"/>
        </w:rPr>
        <w:t xml:space="preserve">for </w:t>
      </w:r>
      <w:r w:rsidR="008179AE">
        <w:rPr>
          <w:rFonts w:ascii="Calibri" w:eastAsia="Times New Roman" w:hAnsi="Calibri" w:cs="Calibri"/>
          <w:lang w:eastAsia="en-GB"/>
        </w:rPr>
        <w:t xml:space="preserve">fracture outcomes </w:t>
      </w:r>
      <w:r>
        <w:rPr>
          <w:rFonts w:ascii="Calibri" w:eastAsia="Times New Roman" w:hAnsi="Calibri" w:cs="Calibri"/>
          <w:lang w:eastAsia="en-GB"/>
        </w:rPr>
        <w:t>did not differ when</w:t>
      </w:r>
      <w:r w:rsidRPr="00C72716">
        <w:t xml:space="preserve"> </w:t>
      </w:r>
      <w:r w:rsidRPr="00C72716">
        <w:rPr>
          <w:rFonts w:ascii="Calibri" w:eastAsia="Times New Roman" w:hAnsi="Calibri" w:cs="Calibri"/>
          <w:lang w:eastAsia="en-GB"/>
        </w:rPr>
        <w:t>two or more consecutive fractures at the same site were excluded from analysis</w:t>
      </w:r>
      <w:r w:rsidR="00107EEE">
        <w:rPr>
          <w:rFonts w:ascii="Calibri" w:eastAsia="Times New Roman" w:hAnsi="Calibri" w:cs="Calibri"/>
          <w:lang w:eastAsia="en-GB"/>
        </w:rPr>
        <w:t>.  This held true for men and for women</w:t>
      </w:r>
      <w:r w:rsidR="008D64E9">
        <w:rPr>
          <w:rFonts w:ascii="Calibri" w:eastAsia="Times New Roman" w:hAnsi="Calibri" w:cs="Calibri"/>
          <w:lang w:eastAsia="en-GB"/>
        </w:rPr>
        <w:t>, for hip fracture and MO</w:t>
      </w:r>
      <w:r w:rsidR="000462EB">
        <w:rPr>
          <w:rFonts w:ascii="Calibri" w:eastAsia="Times New Roman" w:hAnsi="Calibri" w:cs="Calibri"/>
          <w:lang w:eastAsia="en-GB"/>
        </w:rPr>
        <w:t>F. Data are shown for women in</w:t>
      </w:r>
      <w:r w:rsidR="0087243E">
        <w:rPr>
          <w:rFonts w:ascii="Calibri" w:eastAsia="Times New Roman" w:hAnsi="Calibri" w:cs="Calibri"/>
          <w:lang w:eastAsia="en-GB"/>
        </w:rPr>
        <w:t xml:space="preserve"> Figure </w:t>
      </w:r>
      <w:r w:rsidR="00F9592C">
        <w:rPr>
          <w:rFonts w:ascii="Calibri" w:eastAsia="Times New Roman" w:hAnsi="Calibri" w:cs="Calibri"/>
          <w:lang w:eastAsia="en-GB"/>
        </w:rPr>
        <w:t>2.</w:t>
      </w:r>
      <w:r w:rsidR="000462EB">
        <w:rPr>
          <w:rFonts w:ascii="Calibri" w:eastAsia="Times New Roman" w:hAnsi="Calibri" w:cs="Calibri"/>
          <w:lang w:eastAsia="en-GB"/>
        </w:rPr>
        <w:t xml:space="preserve"> </w:t>
      </w:r>
    </w:p>
    <w:p w14:paraId="549E5BB0" w14:textId="0C6CFA3B" w:rsidR="00740E24" w:rsidRDefault="00C23BDB" w:rsidP="003E2446">
      <w:pPr>
        <w:autoSpaceDE w:val="0"/>
        <w:autoSpaceDN w:val="0"/>
        <w:adjustRightInd w:val="0"/>
        <w:spacing w:line="276" w:lineRule="auto"/>
        <w:ind w:left="567"/>
        <w:rPr>
          <w:rFonts w:ascii="Calibri" w:eastAsia="MS Mincho" w:hAnsi="Calibri" w:cs="Arial"/>
          <w:b/>
          <w:bCs/>
          <w:lang w:eastAsia="ja-JP"/>
        </w:rPr>
      </w:pPr>
      <w:r>
        <w:rPr>
          <w:noProof/>
        </w:rPr>
        <w:drawing>
          <wp:anchor distT="0" distB="0" distL="114300" distR="114300" simplePos="0" relativeHeight="251673600" behindDoc="0" locked="0" layoutInCell="1" allowOverlap="1" wp14:anchorId="4BC8563E" wp14:editId="5A8FCB2A">
            <wp:simplePos x="0" y="0"/>
            <wp:positionH relativeFrom="column">
              <wp:posOffset>361950</wp:posOffset>
            </wp:positionH>
            <wp:positionV relativeFrom="paragraph">
              <wp:posOffset>-1270</wp:posOffset>
            </wp:positionV>
            <wp:extent cx="5730868" cy="2347913"/>
            <wp:effectExtent l="0" t="0" r="381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12261" b="14902"/>
                    <a:stretch/>
                  </pic:blipFill>
                  <pic:spPr bwMode="auto">
                    <a:xfrm>
                      <a:off x="0" y="0"/>
                      <a:ext cx="5730868" cy="2347913"/>
                    </a:xfrm>
                    <a:prstGeom prst="rect">
                      <a:avLst/>
                    </a:prstGeom>
                    <a:ln>
                      <a:noFill/>
                    </a:ln>
                    <a:extLst>
                      <a:ext uri="{53640926-AAD7-44D8-BBD7-CCE9431645EC}">
                        <a14:shadowObscured xmlns:a14="http://schemas.microsoft.com/office/drawing/2010/main"/>
                      </a:ext>
                    </a:extLst>
                  </pic:spPr>
                </pic:pic>
              </a:graphicData>
            </a:graphic>
          </wp:anchor>
        </w:drawing>
      </w:r>
    </w:p>
    <w:p w14:paraId="77889D22" w14:textId="483B5989" w:rsidR="00F34902" w:rsidRPr="008179AE" w:rsidRDefault="00F34902" w:rsidP="003E2446">
      <w:pPr>
        <w:autoSpaceDE w:val="0"/>
        <w:autoSpaceDN w:val="0"/>
        <w:adjustRightInd w:val="0"/>
        <w:spacing w:line="276" w:lineRule="auto"/>
        <w:ind w:left="567"/>
        <w:rPr>
          <w:rFonts w:ascii="Calibri" w:eastAsia="MS Mincho" w:hAnsi="Calibri" w:cs="Arial"/>
          <w:sz w:val="22"/>
          <w:szCs w:val="22"/>
          <w:lang w:eastAsia="ja-JP"/>
        </w:rPr>
      </w:pPr>
      <w:r w:rsidRPr="008179AE">
        <w:rPr>
          <w:rFonts w:ascii="Calibri" w:eastAsia="MS Mincho" w:hAnsi="Calibri" w:cs="Arial"/>
          <w:b/>
          <w:bCs/>
          <w:sz w:val="22"/>
          <w:szCs w:val="22"/>
          <w:lang w:eastAsia="ja-JP"/>
        </w:rPr>
        <w:t xml:space="preserve">Fig. </w:t>
      </w:r>
      <w:r w:rsidR="00D63A4F" w:rsidRPr="008179AE">
        <w:rPr>
          <w:rFonts w:ascii="Calibri" w:eastAsia="MS Mincho" w:hAnsi="Calibri" w:cs="Arial"/>
          <w:b/>
          <w:bCs/>
          <w:sz w:val="22"/>
          <w:szCs w:val="22"/>
          <w:lang w:eastAsia="ja-JP"/>
        </w:rPr>
        <w:t>2</w:t>
      </w:r>
      <w:r w:rsidRPr="008179AE">
        <w:rPr>
          <w:rFonts w:ascii="Calibri" w:eastAsia="MS Mincho" w:hAnsi="Calibri" w:cs="Arial"/>
          <w:b/>
          <w:bCs/>
          <w:sz w:val="22"/>
          <w:szCs w:val="22"/>
          <w:lang w:eastAsia="ja-JP"/>
        </w:rPr>
        <w:t xml:space="preserve"> </w:t>
      </w:r>
      <w:r w:rsidR="008951CC" w:rsidRPr="008179AE">
        <w:rPr>
          <w:rFonts w:ascii="Calibri" w:eastAsia="MS Mincho" w:hAnsi="Calibri" w:cs="Arial"/>
          <w:sz w:val="22"/>
          <w:szCs w:val="22"/>
          <w:lang w:eastAsia="ja-JP"/>
        </w:rPr>
        <w:t>Hazard ratio</w:t>
      </w:r>
      <w:r w:rsidR="003536EB" w:rsidRPr="008179AE">
        <w:rPr>
          <w:rFonts w:ascii="Calibri" w:eastAsia="MS Mincho" w:hAnsi="Calibri" w:cs="Arial"/>
          <w:sz w:val="22"/>
          <w:szCs w:val="22"/>
          <w:lang w:eastAsia="ja-JP"/>
        </w:rPr>
        <w:t xml:space="preserve"> </w:t>
      </w:r>
      <w:r w:rsidR="00740E24" w:rsidRPr="008179AE">
        <w:rPr>
          <w:rFonts w:ascii="Calibri" w:eastAsia="MS Mincho" w:hAnsi="Calibri" w:cs="Arial"/>
          <w:sz w:val="22"/>
          <w:szCs w:val="22"/>
          <w:lang w:eastAsia="ja-JP"/>
        </w:rPr>
        <w:t xml:space="preserve">(HR) </w:t>
      </w:r>
      <w:r w:rsidR="004910B9" w:rsidRPr="008179AE">
        <w:rPr>
          <w:rFonts w:ascii="Calibri" w:eastAsia="MS Mincho" w:hAnsi="Calibri" w:cs="Arial"/>
          <w:sz w:val="22"/>
          <w:szCs w:val="22"/>
          <w:lang w:eastAsia="ja-JP"/>
        </w:rPr>
        <w:t xml:space="preserve">for a </w:t>
      </w:r>
      <w:r w:rsidR="006A1C9A" w:rsidRPr="008179AE">
        <w:rPr>
          <w:rFonts w:ascii="Calibri" w:eastAsia="MS Mincho" w:hAnsi="Calibri" w:cs="Arial"/>
          <w:sz w:val="22"/>
          <w:szCs w:val="22"/>
          <w:lang w:eastAsia="ja-JP"/>
        </w:rPr>
        <w:t xml:space="preserve">major osteoporotic fracture (left </w:t>
      </w:r>
      <w:r w:rsidR="00740E24" w:rsidRPr="008179AE">
        <w:rPr>
          <w:rFonts w:ascii="Calibri" w:eastAsia="MS Mincho" w:hAnsi="Calibri" w:cs="Arial"/>
          <w:sz w:val="22"/>
          <w:szCs w:val="22"/>
          <w:lang w:eastAsia="ja-JP"/>
        </w:rPr>
        <w:t>panel) and</w:t>
      </w:r>
      <w:r w:rsidR="006A1C9A" w:rsidRPr="008179AE">
        <w:rPr>
          <w:rFonts w:ascii="Calibri" w:eastAsia="MS Mincho" w:hAnsi="Calibri" w:cs="Arial"/>
          <w:sz w:val="22"/>
          <w:szCs w:val="22"/>
          <w:lang w:eastAsia="ja-JP"/>
        </w:rPr>
        <w:t xml:space="preserve"> hip fracture</w:t>
      </w:r>
      <w:r w:rsidR="004910B9" w:rsidRPr="008179AE">
        <w:rPr>
          <w:rFonts w:ascii="Calibri" w:eastAsia="MS Mincho" w:hAnsi="Calibri" w:cs="Arial"/>
          <w:sz w:val="22"/>
          <w:szCs w:val="22"/>
          <w:lang w:eastAsia="ja-JP"/>
        </w:rPr>
        <w:t xml:space="preserve"> (right)</w:t>
      </w:r>
      <w:r w:rsidR="008738AE" w:rsidRPr="008179AE">
        <w:rPr>
          <w:rFonts w:ascii="Calibri" w:eastAsia="MS Mincho" w:hAnsi="Calibri" w:cs="Arial"/>
          <w:sz w:val="22"/>
          <w:szCs w:val="22"/>
          <w:lang w:eastAsia="ja-JP"/>
        </w:rPr>
        <w:t xml:space="preserve"> according to the number of prior osteoporotic fracture</w:t>
      </w:r>
      <w:r w:rsidR="004910B9" w:rsidRPr="008179AE">
        <w:rPr>
          <w:rFonts w:ascii="Calibri" w:eastAsia="MS Mincho" w:hAnsi="Calibri" w:cs="Arial"/>
          <w:sz w:val="22"/>
          <w:szCs w:val="22"/>
          <w:lang w:eastAsia="ja-JP"/>
        </w:rPr>
        <w:t>s</w:t>
      </w:r>
      <w:r w:rsidR="00DA6A80" w:rsidRPr="008179AE">
        <w:rPr>
          <w:rFonts w:ascii="Calibri" w:eastAsia="MS Mincho" w:hAnsi="Calibri" w:cs="Arial"/>
          <w:sz w:val="22"/>
          <w:szCs w:val="22"/>
          <w:lang w:eastAsia="ja-JP"/>
        </w:rPr>
        <w:t xml:space="preserve">.  The unshaded </w:t>
      </w:r>
      <w:r w:rsidR="00740E24" w:rsidRPr="008179AE">
        <w:rPr>
          <w:rFonts w:ascii="Calibri" w:eastAsia="MS Mincho" w:hAnsi="Calibri" w:cs="Arial"/>
          <w:sz w:val="22"/>
          <w:szCs w:val="22"/>
          <w:lang w:eastAsia="ja-JP"/>
        </w:rPr>
        <w:t>bars</w:t>
      </w:r>
      <w:r w:rsidR="00A43375" w:rsidRPr="008179AE">
        <w:rPr>
          <w:rFonts w:ascii="Calibri" w:eastAsia="MS Mincho" w:hAnsi="Calibri" w:cs="Arial"/>
          <w:sz w:val="22"/>
          <w:szCs w:val="22"/>
          <w:lang w:eastAsia="ja-JP"/>
        </w:rPr>
        <w:t xml:space="preserve"> provide values where</w:t>
      </w:r>
      <w:r w:rsidR="00740E24" w:rsidRPr="008179AE">
        <w:rPr>
          <w:rFonts w:ascii="Calibri" w:eastAsia="MS Mincho" w:hAnsi="Calibri" w:cs="Arial"/>
          <w:sz w:val="22"/>
          <w:szCs w:val="22"/>
          <w:lang w:eastAsia="ja-JP"/>
        </w:rPr>
        <w:t xml:space="preserve"> </w:t>
      </w:r>
      <w:r w:rsidR="00A43375" w:rsidRPr="008179AE">
        <w:rPr>
          <w:rFonts w:ascii="Calibri" w:eastAsia="MS Mincho" w:hAnsi="Calibri" w:cs="Arial"/>
          <w:sz w:val="22"/>
          <w:szCs w:val="22"/>
          <w:lang w:eastAsia="ja-JP"/>
        </w:rPr>
        <w:t>two or more consecutive fractures at the same site were excluded from analysis to avoid double counting.</w:t>
      </w:r>
    </w:p>
    <w:p w14:paraId="4A9A2776" w14:textId="77777777" w:rsidR="00A43375" w:rsidRDefault="00A43375" w:rsidP="003E2446">
      <w:pPr>
        <w:autoSpaceDE w:val="0"/>
        <w:autoSpaceDN w:val="0"/>
        <w:adjustRightInd w:val="0"/>
        <w:spacing w:line="276" w:lineRule="auto"/>
        <w:ind w:left="567"/>
        <w:rPr>
          <w:rFonts w:ascii="Calibri" w:eastAsia="MS Mincho" w:hAnsi="Calibri" w:cs="Arial"/>
          <w:b/>
          <w:bCs/>
          <w:highlight w:val="yellow"/>
          <w:lang w:eastAsia="ja-JP"/>
        </w:rPr>
      </w:pPr>
    </w:p>
    <w:p w14:paraId="6E9DB42A" w14:textId="2C95F202" w:rsidR="00BB0A7C" w:rsidRPr="00567BF6" w:rsidRDefault="00660114" w:rsidP="003E2446">
      <w:pPr>
        <w:autoSpaceDE w:val="0"/>
        <w:autoSpaceDN w:val="0"/>
        <w:adjustRightInd w:val="0"/>
        <w:spacing w:line="276" w:lineRule="auto"/>
        <w:ind w:left="567"/>
        <w:rPr>
          <w:rFonts w:ascii="Calibri" w:eastAsia="MS Mincho" w:hAnsi="Calibri" w:cs="Arial"/>
          <w:b/>
          <w:bCs/>
          <w:lang w:eastAsia="ja-JP"/>
        </w:rPr>
      </w:pPr>
      <w:r w:rsidRPr="00567BF6">
        <w:rPr>
          <w:rFonts w:ascii="Calibri" w:eastAsia="MS Mincho" w:hAnsi="Calibri" w:cs="Arial"/>
          <w:b/>
          <w:bCs/>
          <w:lang w:eastAsia="ja-JP"/>
        </w:rPr>
        <w:t>Discussion</w:t>
      </w:r>
      <w:r w:rsidR="00037F2D">
        <w:rPr>
          <w:rFonts w:ascii="Calibri" w:eastAsia="MS Mincho" w:hAnsi="Calibri" w:cs="Arial"/>
          <w:b/>
          <w:bCs/>
          <w:lang w:eastAsia="ja-JP"/>
        </w:rPr>
        <w:t xml:space="preserve"> </w:t>
      </w:r>
    </w:p>
    <w:p w14:paraId="56951638" w14:textId="77777777" w:rsidR="00567BF6" w:rsidRDefault="00567BF6" w:rsidP="003E2446">
      <w:pPr>
        <w:autoSpaceDE w:val="0"/>
        <w:autoSpaceDN w:val="0"/>
        <w:adjustRightInd w:val="0"/>
        <w:spacing w:line="276" w:lineRule="auto"/>
        <w:ind w:left="567"/>
        <w:rPr>
          <w:rFonts w:ascii="Calibri" w:eastAsia="MS Mincho" w:hAnsi="Calibri" w:cs="Arial"/>
          <w:b/>
          <w:bCs/>
          <w:highlight w:val="yellow"/>
          <w:lang w:eastAsia="ja-JP"/>
        </w:rPr>
      </w:pPr>
    </w:p>
    <w:p w14:paraId="395E2862" w14:textId="73F458B6" w:rsidR="00C0526F" w:rsidRDefault="00D7007E" w:rsidP="003E2446">
      <w:pPr>
        <w:autoSpaceDE w:val="0"/>
        <w:autoSpaceDN w:val="0"/>
        <w:adjustRightInd w:val="0"/>
        <w:spacing w:line="276" w:lineRule="auto"/>
        <w:ind w:left="567"/>
        <w:rPr>
          <w:rFonts w:ascii="Calibri" w:eastAsia="MS Mincho" w:hAnsi="Calibri" w:cs="Arial"/>
          <w:lang w:eastAsia="ja-JP"/>
        </w:rPr>
      </w:pPr>
      <w:r w:rsidRPr="00E153A2">
        <w:rPr>
          <w:rFonts w:ascii="Calibri" w:eastAsia="MS Mincho" w:hAnsi="Calibri" w:cs="Arial"/>
          <w:lang w:eastAsia="ja-JP"/>
        </w:rPr>
        <w:t>This</w:t>
      </w:r>
      <w:r w:rsidR="00E153A2">
        <w:rPr>
          <w:rFonts w:ascii="Calibri" w:eastAsia="MS Mincho" w:hAnsi="Calibri" w:cs="Arial"/>
          <w:lang w:eastAsia="ja-JP"/>
        </w:rPr>
        <w:t xml:space="preserve"> study </w:t>
      </w:r>
      <w:r w:rsidR="003B0177">
        <w:rPr>
          <w:rFonts w:ascii="Calibri" w:eastAsia="MS Mincho" w:hAnsi="Calibri" w:cs="Arial"/>
          <w:lang w:eastAsia="ja-JP"/>
        </w:rPr>
        <w:t>shows that</w:t>
      </w:r>
      <w:r w:rsidR="00DA22F5">
        <w:rPr>
          <w:rFonts w:ascii="Calibri" w:eastAsia="MS Mincho" w:hAnsi="Calibri" w:cs="Arial"/>
          <w:lang w:eastAsia="ja-JP"/>
        </w:rPr>
        <w:t xml:space="preserve"> the </w:t>
      </w:r>
      <w:r w:rsidR="00AB7CDE">
        <w:rPr>
          <w:rFonts w:ascii="Calibri" w:eastAsia="MS Mincho" w:hAnsi="Calibri" w:cs="Arial"/>
          <w:lang w:eastAsia="ja-JP"/>
        </w:rPr>
        <w:t xml:space="preserve">risk of a hip fracture and </w:t>
      </w:r>
      <w:r w:rsidR="00573ECB">
        <w:rPr>
          <w:rFonts w:ascii="Calibri" w:eastAsia="MS Mincho" w:hAnsi="Calibri" w:cs="Arial"/>
          <w:lang w:eastAsia="ja-JP"/>
        </w:rPr>
        <w:t>MOF</w:t>
      </w:r>
      <w:r w:rsidR="003B0177">
        <w:rPr>
          <w:rFonts w:ascii="Calibri" w:eastAsia="MS Mincho" w:hAnsi="Calibri" w:cs="Arial"/>
          <w:lang w:eastAsia="ja-JP"/>
        </w:rPr>
        <w:t xml:space="preserve"> </w:t>
      </w:r>
      <w:r w:rsidR="00D676C6">
        <w:rPr>
          <w:rFonts w:ascii="Calibri" w:eastAsia="MS Mincho" w:hAnsi="Calibri" w:cs="Arial"/>
          <w:lang w:eastAsia="ja-JP"/>
        </w:rPr>
        <w:t>increases with the number of p</w:t>
      </w:r>
      <w:r w:rsidR="002509EE">
        <w:rPr>
          <w:rFonts w:ascii="Calibri" w:eastAsia="MS Mincho" w:hAnsi="Calibri" w:cs="Arial"/>
          <w:lang w:eastAsia="ja-JP"/>
        </w:rPr>
        <w:t>r</w:t>
      </w:r>
      <w:r w:rsidR="00D676C6">
        <w:rPr>
          <w:rFonts w:ascii="Calibri" w:eastAsia="MS Mincho" w:hAnsi="Calibri" w:cs="Arial"/>
          <w:lang w:eastAsia="ja-JP"/>
        </w:rPr>
        <w:t>ior fragility fractures</w:t>
      </w:r>
      <w:r w:rsidR="00536036">
        <w:rPr>
          <w:rFonts w:ascii="Calibri" w:eastAsia="MS Mincho" w:hAnsi="Calibri" w:cs="Arial"/>
          <w:lang w:eastAsia="ja-JP"/>
        </w:rPr>
        <w:t>.</w:t>
      </w:r>
      <w:r w:rsidR="00DA22F5">
        <w:rPr>
          <w:rFonts w:ascii="Calibri" w:eastAsia="MS Mincho" w:hAnsi="Calibri" w:cs="Arial"/>
          <w:lang w:eastAsia="ja-JP"/>
        </w:rPr>
        <w:t xml:space="preserve"> </w:t>
      </w:r>
      <w:r w:rsidR="00DA0037">
        <w:rPr>
          <w:rFonts w:ascii="Calibri" w:eastAsia="MS Mincho" w:hAnsi="Calibri" w:cs="Arial"/>
          <w:lang w:eastAsia="ja-JP"/>
        </w:rPr>
        <w:t xml:space="preserve"> </w:t>
      </w:r>
      <w:r w:rsidR="00536036" w:rsidRPr="00536036">
        <w:rPr>
          <w:rFonts w:ascii="Calibri" w:eastAsia="MS Mincho" w:hAnsi="Calibri" w:cs="Arial"/>
          <w:lang w:eastAsia="ja-JP"/>
        </w:rPr>
        <w:t xml:space="preserve">Several studies have shown </w:t>
      </w:r>
      <w:r w:rsidR="002D3900">
        <w:rPr>
          <w:rFonts w:ascii="Calibri" w:eastAsia="MS Mincho" w:hAnsi="Calibri" w:cs="Arial"/>
          <w:lang w:eastAsia="ja-JP"/>
        </w:rPr>
        <w:t>similar effects</w:t>
      </w:r>
      <w:r w:rsidR="00536036" w:rsidRPr="00536036">
        <w:rPr>
          <w:rFonts w:ascii="Calibri" w:eastAsia="MS Mincho" w:hAnsi="Calibri" w:cs="Arial"/>
          <w:lang w:eastAsia="ja-JP"/>
        </w:rPr>
        <w:t xml:space="preserve">.  The increase in risk is particularly marked when the prior fracture and outcome fractures are </w:t>
      </w:r>
      <w:r w:rsidR="00B240A7" w:rsidRPr="00B240A7">
        <w:rPr>
          <w:rFonts w:ascii="Calibri" w:eastAsia="MS Mincho" w:hAnsi="Calibri" w:cs="Arial"/>
          <w:lang w:eastAsia="ja-JP"/>
        </w:rPr>
        <w:t xml:space="preserve">radiographic </w:t>
      </w:r>
      <w:r w:rsidR="00536036" w:rsidRPr="00536036">
        <w:rPr>
          <w:rFonts w:ascii="Calibri" w:eastAsia="MS Mincho" w:hAnsi="Calibri" w:cs="Arial"/>
          <w:lang w:eastAsia="ja-JP"/>
        </w:rPr>
        <w:t>spine fractures [</w:t>
      </w:r>
      <w:r w:rsidR="004E2F69">
        <w:rPr>
          <w:rFonts w:ascii="Calibri" w:eastAsia="MS Mincho" w:hAnsi="Calibri" w:cs="Arial"/>
          <w:lang w:eastAsia="ja-JP"/>
        </w:rPr>
        <w:t xml:space="preserve">20, </w:t>
      </w:r>
      <w:r w:rsidR="002E2C3B">
        <w:rPr>
          <w:rFonts w:ascii="Calibri" w:eastAsia="MS Mincho" w:hAnsi="Calibri" w:cs="Arial"/>
          <w:lang w:eastAsia="ja-JP"/>
        </w:rPr>
        <w:t>21</w:t>
      </w:r>
      <w:r w:rsidR="00DE5B0F">
        <w:rPr>
          <w:rFonts w:ascii="Calibri" w:eastAsia="MS Mincho" w:hAnsi="Calibri" w:cs="Arial"/>
          <w:lang w:eastAsia="ja-JP"/>
        </w:rPr>
        <w:t xml:space="preserve">, </w:t>
      </w:r>
      <w:r w:rsidR="002E2C3B">
        <w:rPr>
          <w:rFonts w:ascii="Calibri" w:eastAsia="MS Mincho" w:hAnsi="Calibri" w:cs="Arial"/>
          <w:lang w:eastAsia="ja-JP"/>
        </w:rPr>
        <w:t xml:space="preserve">22, </w:t>
      </w:r>
      <w:r w:rsidR="00847986">
        <w:rPr>
          <w:rFonts w:ascii="Calibri" w:eastAsia="MS Mincho" w:hAnsi="Calibri" w:cs="Arial"/>
          <w:lang w:eastAsia="ja-JP"/>
        </w:rPr>
        <w:t xml:space="preserve">23, </w:t>
      </w:r>
      <w:r w:rsidR="004E2F69">
        <w:rPr>
          <w:rFonts w:ascii="Calibri" w:eastAsia="MS Mincho" w:hAnsi="Calibri" w:cs="Arial"/>
          <w:lang w:eastAsia="ja-JP"/>
        </w:rPr>
        <w:t>24</w:t>
      </w:r>
      <w:r w:rsidR="00DE5B0F">
        <w:rPr>
          <w:rFonts w:ascii="Calibri" w:eastAsia="MS Mincho" w:hAnsi="Calibri" w:cs="Arial"/>
          <w:lang w:eastAsia="ja-JP"/>
        </w:rPr>
        <w:t>]</w:t>
      </w:r>
      <w:r w:rsidR="00536036" w:rsidRPr="00536036">
        <w:rPr>
          <w:rFonts w:ascii="Calibri" w:eastAsia="MS Mincho" w:hAnsi="Calibri" w:cs="Arial"/>
          <w:lang w:eastAsia="ja-JP"/>
        </w:rPr>
        <w:t>.  In these studies, the increment in risk between a first and second fracture ranged from 1.4</w:t>
      </w:r>
      <w:r w:rsidR="00464A87">
        <w:rPr>
          <w:rFonts w:ascii="Calibri" w:eastAsia="MS Mincho" w:hAnsi="Calibri" w:cs="Arial"/>
          <w:lang w:eastAsia="ja-JP"/>
        </w:rPr>
        <w:t>0</w:t>
      </w:r>
      <w:r w:rsidR="00536036" w:rsidRPr="00536036">
        <w:rPr>
          <w:rFonts w:ascii="Calibri" w:eastAsia="MS Mincho" w:hAnsi="Calibri" w:cs="Arial"/>
          <w:lang w:eastAsia="ja-JP"/>
        </w:rPr>
        <w:t xml:space="preserve"> to 3.06 in women (Table 4).   The impact of the number of prior clinical fractures on subsequent fracture outcomes is less well studied. The increment in risk is more modest where prior fractures are osteoporotic fracture which in women ranged from 1.05 to 1.26 [</w:t>
      </w:r>
      <w:r w:rsidR="006000CA">
        <w:rPr>
          <w:rFonts w:ascii="Calibri" w:eastAsia="MS Mincho" w:hAnsi="Calibri" w:cs="Arial"/>
          <w:lang w:eastAsia="ja-JP"/>
        </w:rPr>
        <w:t>25]</w:t>
      </w:r>
      <w:r w:rsidR="00536036" w:rsidRPr="00536036">
        <w:rPr>
          <w:rFonts w:ascii="Calibri" w:eastAsia="MS Mincho" w:hAnsi="Calibri" w:cs="Arial"/>
          <w:lang w:eastAsia="ja-JP"/>
        </w:rPr>
        <w:t xml:space="preserve">, similar to the increments found in the present study (see Table 4). </w:t>
      </w:r>
    </w:p>
    <w:p w14:paraId="6E888923" w14:textId="77777777" w:rsidR="00C0526F" w:rsidRDefault="00C0526F" w:rsidP="003E2446">
      <w:pPr>
        <w:autoSpaceDE w:val="0"/>
        <w:autoSpaceDN w:val="0"/>
        <w:adjustRightInd w:val="0"/>
        <w:spacing w:line="276" w:lineRule="auto"/>
        <w:ind w:left="567"/>
        <w:rPr>
          <w:rFonts w:ascii="Calibri" w:eastAsia="MS Mincho" w:hAnsi="Calibri" w:cs="Arial"/>
          <w:lang w:eastAsia="ja-JP"/>
        </w:rPr>
      </w:pPr>
    </w:p>
    <w:p w14:paraId="2F959C1E" w14:textId="77777777" w:rsidR="006D7FA7" w:rsidRDefault="006D7FA7" w:rsidP="00B6745E">
      <w:pPr>
        <w:autoSpaceDE w:val="0"/>
        <w:autoSpaceDN w:val="0"/>
        <w:adjustRightInd w:val="0"/>
        <w:spacing w:line="276" w:lineRule="auto"/>
        <w:ind w:left="567"/>
        <w:rPr>
          <w:rFonts w:ascii="Calibri" w:eastAsia="MS Mincho" w:hAnsi="Calibri" w:cs="Arial"/>
          <w:b/>
          <w:bCs/>
          <w:sz w:val="22"/>
          <w:szCs w:val="22"/>
          <w:lang w:eastAsia="ja-JP"/>
        </w:rPr>
      </w:pPr>
    </w:p>
    <w:p w14:paraId="35BCB444" w14:textId="77777777" w:rsidR="006D7FA7" w:rsidRDefault="006D7FA7" w:rsidP="00B6745E">
      <w:pPr>
        <w:autoSpaceDE w:val="0"/>
        <w:autoSpaceDN w:val="0"/>
        <w:adjustRightInd w:val="0"/>
        <w:spacing w:line="276" w:lineRule="auto"/>
        <w:ind w:left="567"/>
        <w:rPr>
          <w:rFonts w:ascii="Calibri" w:eastAsia="MS Mincho" w:hAnsi="Calibri" w:cs="Arial"/>
          <w:b/>
          <w:bCs/>
          <w:sz w:val="22"/>
          <w:szCs w:val="22"/>
          <w:lang w:eastAsia="ja-JP"/>
        </w:rPr>
      </w:pPr>
    </w:p>
    <w:p w14:paraId="2386942A" w14:textId="1992F48E" w:rsidR="00B6745E" w:rsidRPr="00B6745E" w:rsidRDefault="00B6745E" w:rsidP="00B6745E">
      <w:pPr>
        <w:autoSpaceDE w:val="0"/>
        <w:autoSpaceDN w:val="0"/>
        <w:adjustRightInd w:val="0"/>
        <w:spacing w:line="276" w:lineRule="auto"/>
        <w:ind w:left="567"/>
        <w:rPr>
          <w:rFonts w:ascii="Calibri" w:eastAsia="MS Mincho" w:hAnsi="Calibri" w:cs="Arial"/>
          <w:sz w:val="22"/>
          <w:szCs w:val="22"/>
          <w:lang w:eastAsia="ja-JP"/>
        </w:rPr>
      </w:pPr>
      <w:r w:rsidRPr="00B6745E">
        <w:rPr>
          <w:rFonts w:ascii="Calibri" w:eastAsia="MS Mincho" w:hAnsi="Calibri" w:cs="Arial"/>
          <w:b/>
          <w:bCs/>
          <w:sz w:val="22"/>
          <w:szCs w:val="22"/>
          <w:lang w:eastAsia="ja-JP"/>
        </w:rPr>
        <w:lastRenderedPageBreak/>
        <w:t xml:space="preserve">Table 4 </w:t>
      </w:r>
      <w:r w:rsidR="000E171B" w:rsidRPr="000E171B">
        <w:rPr>
          <w:rFonts w:ascii="Calibri" w:eastAsia="MS Mincho" w:hAnsi="Calibri" w:cs="Arial"/>
          <w:sz w:val="22"/>
          <w:szCs w:val="22"/>
          <w:lang w:eastAsia="ja-JP"/>
        </w:rPr>
        <w:t xml:space="preserve">Risk ratio for a subsequent fracture in the presence of two prior fractures versus a single prior fracture at the sites shown.  </w:t>
      </w:r>
      <w:r w:rsidRPr="00B6745E">
        <w:rPr>
          <w:rFonts w:ascii="Calibri" w:eastAsia="MS Mincho" w:hAnsi="Calibri" w:cs="Arial"/>
          <w:sz w:val="22"/>
          <w:szCs w:val="22"/>
          <w:lang w:eastAsia="ja-JP"/>
        </w:rPr>
        <w:t xml:space="preserve">Vertebral fracture refers to radiographic vertebral deformities. </w:t>
      </w:r>
    </w:p>
    <w:p w14:paraId="7CEECEF2" w14:textId="77777777" w:rsidR="00B6745E" w:rsidRDefault="00B6745E" w:rsidP="00B6745E">
      <w:pPr>
        <w:autoSpaceDE w:val="0"/>
        <w:autoSpaceDN w:val="0"/>
        <w:adjustRightInd w:val="0"/>
        <w:spacing w:line="276" w:lineRule="auto"/>
        <w:ind w:left="567"/>
        <w:rPr>
          <w:rFonts w:ascii="Calibri" w:eastAsia="MS Mincho" w:hAnsi="Calibri" w:cs="Arial"/>
          <w:lang w:eastAsia="ja-JP"/>
        </w:rPr>
      </w:pPr>
    </w:p>
    <w:tbl>
      <w:tblPr>
        <w:tblStyle w:val="TableGrid"/>
        <w:tblW w:w="9214" w:type="dxa"/>
        <w:tblInd w:w="279" w:type="dxa"/>
        <w:tblLook w:val="04A0" w:firstRow="1" w:lastRow="0" w:firstColumn="1" w:lastColumn="0" w:noHBand="0" w:noVBand="1"/>
      </w:tblPr>
      <w:tblGrid>
        <w:gridCol w:w="1559"/>
        <w:gridCol w:w="1701"/>
        <w:gridCol w:w="1701"/>
        <w:gridCol w:w="1276"/>
        <w:gridCol w:w="992"/>
        <w:gridCol w:w="1985"/>
      </w:tblGrid>
      <w:tr w:rsidR="00B6745E" w:rsidRPr="0095359D" w14:paraId="3284F082" w14:textId="77777777" w:rsidTr="004E0B31">
        <w:tc>
          <w:tcPr>
            <w:tcW w:w="1559" w:type="dxa"/>
          </w:tcPr>
          <w:p w14:paraId="708602E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Prior fracture</w:t>
            </w:r>
          </w:p>
        </w:tc>
        <w:tc>
          <w:tcPr>
            <w:tcW w:w="1701" w:type="dxa"/>
          </w:tcPr>
          <w:p w14:paraId="6029AAB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Outcome fracture</w:t>
            </w:r>
          </w:p>
        </w:tc>
        <w:tc>
          <w:tcPr>
            <w:tcW w:w="1701" w:type="dxa"/>
          </w:tcPr>
          <w:p w14:paraId="3987DA4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2 vs. 1 prior fracture</w:t>
            </w:r>
          </w:p>
        </w:tc>
        <w:tc>
          <w:tcPr>
            <w:tcW w:w="1276" w:type="dxa"/>
          </w:tcPr>
          <w:p w14:paraId="2BCD5917"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Average age</w:t>
            </w:r>
          </w:p>
          <w:p w14:paraId="7FDFA0E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(Years) </w:t>
            </w:r>
          </w:p>
        </w:tc>
        <w:tc>
          <w:tcPr>
            <w:tcW w:w="992" w:type="dxa"/>
          </w:tcPr>
          <w:p w14:paraId="412C4D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Sex</w:t>
            </w:r>
          </w:p>
        </w:tc>
        <w:tc>
          <w:tcPr>
            <w:tcW w:w="1985" w:type="dxa"/>
          </w:tcPr>
          <w:p w14:paraId="5BA05FB8" w14:textId="77777777"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Publication</w:t>
            </w:r>
          </w:p>
        </w:tc>
      </w:tr>
      <w:tr w:rsidR="00B6745E" w:rsidRPr="0095359D" w14:paraId="1CFB45EB" w14:textId="77777777" w:rsidTr="004E0B31">
        <w:tc>
          <w:tcPr>
            <w:tcW w:w="1559" w:type="dxa"/>
          </w:tcPr>
          <w:p w14:paraId="310B7CD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bookmarkStart w:id="10" w:name="_Hlk103620786"/>
            <w:r w:rsidRPr="0095359D">
              <w:rPr>
                <w:rFonts w:ascii="Calibri" w:eastAsia="MS Mincho" w:hAnsi="Calibri" w:cs="Calibri"/>
                <w:sz w:val="20"/>
                <w:szCs w:val="20"/>
                <w:lang w:eastAsia="ja-JP"/>
              </w:rPr>
              <w:t>Vertebral</w:t>
            </w:r>
          </w:p>
        </w:tc>
        <w:tc>
          <w:tcPr>
            <w:tcW w:w="1701" w:type="dxa"/>
          </w:tcPr>
          <w:p w14:paraId="20C07D1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138B144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2.28</w:t>
            </w:r>
          </w:p>
        </w:tc>
        <w:tc>
          <w:tcPr>
            <w:tcW w:w="1276" w:type="dxa"/>
          </w:tcPr>
          <w:p w14:paraId="5994A6A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69</w:t>
            </w:r>
          </w:p>
        </w:tc>
        <w:tc>
          <w:tcPr>
            <w:tcW w:w="992" w:type="dxa"/>
          </w:tcPr>
          <w:p w14:paraId="36C93DF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615BE208" w14:textId="583DA5E9"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Gallacher 2005</w:t>
            </w:r>
            <w:r w:rsidR="0076580E" w:rsidRPr="009F2360">
              <w:rPr>
                <w:rFonts w:ascii="Calibri" w:eastAsia="MS Mincho" w:hAnsi="Calibri" w:cs="Calibri"/>
                <w:sz w:val="20"/>
                <w:szCs w:val="20"/>
                <w:lang w:eastAsia="ja-JP"/>
              </w:rPr>
              <w:t xml:space="preserve"> [23]</w:t>
            </w:r>
          </w:p>
        </w:tc>
      </w:tr>
      <w:tr w:rsidR="00B6745E" w:rsidRPr="0095359D" w14:paraId="32192374" w14:textId="77777777" w:rsidTr="004E0B31">
        <w:tc>
          <w:tcPr>
            <w:tcW w:w="1559" w:type="dxa"/>
          </w:tcPr>
          <w:p w14:paraId="6EB6094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588E0E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5CC989C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1.68</w:t>
            </w:r>
          </w:p>
        </w:tc>
        <w:tc>
          <w:tcPr>
            <w:tcW w:w="1276" w:type="dxa"/>
          </w:tcPr>
          <w:p w14:paraId="3AB6A301"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 xml:space="preserve">69 </w:t>
            </w:r>
          </w:p>
        </w:tc>
        <w:tc>
          <w:tcPr>
            <w:tcW w:w="992" w:type="dxa"/>
          </w:tcPr>
          <w:p w14:paraId="0B983ACD" w14:textId="49544FFD"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F</w:t>
            </w:r>
          </w:p>
        </w:tc>
        <w:tc>
          <w:tcPr>
            <w:tcW w:w="1985" w:type="dxa"/>
          </w:tcPr>
          <w:p w14:paraId="6A14915A" w14:textId="2A22D2BC"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hAnsi="Calibri" w:cs="Calibri"/>
                <w:sz w:val="20"/>
                <w:szCs w:val="20"/>
              </w:rPr>
              <w:t>Black 1999</w:t>
            </w:r>
            <w:r w:rsidR="0076580E" w:rsidRPr="009F2360">
              <w:rPr>
                <w:rFonts w:ascii="Calibri" w:hAnsi="Calibri" w:cs="Calibri"/>
                <w:sz w:val="20"/>
                <w:szCs w:val="20"/>
              </w:rPr>
              <w:t xml:space="preserve"> [20]</w:t>
            </w:r>
          </w:p>
        </w:tc>
      </w:tr>
      <w:tr w:rsidR="00B6745E" w:rsidRPr="0095359D" w14:paraId="5243204A" w14:textId="77777777" w:rsidTr="004E0B31">
        <w:tc>
          <w:tcPr>
            <w:tcW w:w="1559" w:type="dxa"/>
          </w:tcPr>
          <w:p w14:paraId="0971F9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7477ADD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Vertebral</w:t>
            </w:r>
          </w:p>
        </w:tc>
        <w:tc>
          <w:tcPr>
            <w:tcW w:w="1701" w:type="dxa"/>
          </w:tcPr>
          <w:p w14:paraId="2E55CBA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val="fr-FR" w:eastAsia="ja-JP"/>
              </w:rPr>
              <w:t>1.53-1.84</w:t>
            </w:r>
            <w:r w:rsidRPr="0095359D">
              <w:rPr>
                <w:rFonts w:ascii="Calibri" w:eastAsia="MS Mincho" w:hAnsi="Calibri" w:cs="Calibri"/>
                <w:sz w:val="20"/>
                <w:szCs w:val="20"/>
                <w:vertAlign w:val="superscript"/>
                <w:lang w:val="fr-FR" w:eastAsia="ja-JP"/>
              </w:rPr>
              <w:t>a</w:t>
            </w:r>
          </w:p>
        </w:tc>
        <w:tc>
          <w:tcPr>
            <w:tcW w:w="1276" w:type="dxa"/>
          </w:tcPr>
          <w:p w14:paraId="2C72B3E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66 </w:t>
            </w:r>
          </w:p>
        </w:tc>
        <w:tc>
          <w:tcPr>
            <w:tcW w:w="992" w:type="dxa"/>
          </w:tcPr>
          <w:p w14:paraId="476BECB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val="fr-FR" w:eastAsia="ja-JP"/>
              </w:rPr>
              <w:t>F</w:t>
            </w:r>
          </w:p>
        </w:tc>
        <w:tc>
          <w:tcPr>
            <w:tcW w:w="1985" w:type="dxa"/>
          </w:tcPr>
          <w:p w14:paraId="12654635" w14:textId="167DDC3A"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Siris 2007</w:t>
            </w:r>
            <w:r w:rsidR="004B3CCD" w:rsidRPr="009F2360">
              <w:rPr>
                <w:rFonts w:ascii="Calibri" w:eastAsia="MS Mincho" w:hAnsi="Calibri" w:cs="Calibri"/>
                <w:sz w:val="20"/>
                <w:szCs w:val="20"/>
                <w:lang w:eastAsia="ja-JP"/>
              </w:rPr>
              <w:t xml:space="preserve"> [24]</w:t>
            </w:r>
          </w:p>
        </w:tc>
      </w:tr>
      <w:tr w:rsidR="00B6745E" w:rsidRPr="0095359D" w14:paraId="3C0F5D91" w14:textId="77777777" w:rsidTr="004E0B31">
        <w:tc>
          <w:tcPr>
            <w:tcW w:w="1559" w:type="dxa"/>
          </w:tcPr>
          <w:p w14:paraId="743AAA3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Vertebral</w:t>
            </w:r>
          </w:p>
        </w:tc>
        <w:tc>
          <w:tcPr>
            <w:tcW w:w="1701" w:type="dxa"/>
          </w:tcPr>
          <w:p w14:paraId="09A02EE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Vertebral</w:t>
            </w:r>
          </w:p>
        </w:tc>
        <w:tc>
          <w:tcPr>
            <w:tcW w:w="1701" w:type="dxa"/>
          </w:tcPr>
          <w:p w14:paraId="6134661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3.06</w:t>
            </w:r>
          </w:p>
        </w:tc>
        <w:tc>
          <w:tcPr>
            <w:tcW w:w="1276" w:type="dxa"/>
          </w:tcPr>
          <w:p w14:paraId="323DDBE6"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0A29C1F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 and F</w:t>
            </w:r>
          </w:p>
        </w:tc>
        <w:tc>
          <w:tcPr>
            <w:tcW w:w="1985" w:type="dxa"/>
          </w:tcPr>
          <w:p w14:paraId="7F0348DE" w14:textId="461EC70E"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Lunt 2003</w:t>
            </w:r>
            <w:r w:rsidR="00091999" w:rsidRPr="009F2360">
              <w:rPr>
                <w:rFonts w:ascii="Calibri" w:eastAsia="MS Mincho" w:hAnsi="Calibri" w:cs="Calibri"/>
                <w:sz w:val="20"/>
                <w:szCs w:val="20"/>
                <w:lang w:val="fr-FR" w:eastAsia="ja-JP"/>
              </w:rPr>
              <w:t xml:space="preserve"> [22]</w:t>
            </w:r>
          </w:p>
        </w:tc>
      </w:tr>
      <w:tr w:rsidR="00B6745E" w:rsidRPr="0095359D" w14:paraId="0EAEA569" w14:textId="77777777" w:rsidTr="004E0B31">
        <w:tc>
          <w:tcPr>
            <w:tcW w:w="1559" w:type="dxa"/>
          </w:tcPr>
          <w:p w14:paraId="34855353"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eastAsia="MS Mincho" w:hAnsi="Calibri" w:cs="Calibri"/>
                <w:sz w:val="20"/>
                <w:szCs w:val="20"/>
                <w:lang w:eastAsia="ja-JP"/>
              </w:rPr>
              <w:t>Vertebral</w:t>
            </w:r>
          </w:p>
        </w:tc>
        <w:tc>
          <w:tcPr>
            <w:tcW w:w="1701" w:type="dxa"/>
          </w:tcPr>
          <w:p w14:paraId="79DA7436"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eastAsia="MS Mincho" w:hAnsi="Calibri" w:cs="Calibri"/>
                <w:sz w:val="20"/>
                <w:szCs w:val="20"/>
                <w:lang w:eastAsia="ja-JP"/>
              </w:rPr>
              <w:t>Vertebral</w:t>
            </w:r>
          </w:p>
        </w:tc>
        <w:tc>
          <w:tcPr>
            <w:tcW w:w="1701" w:type="dxa"/>
          </w:tcPr>
          <w:p w14:paraId="4CA92C6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1.40</w:t>
            </w:r>
          </w:p>
        </w:tc>
        <w:tc>
          <w:tcPr>
            <w:tcW w:w="1276" w:type="dxa"/>
          </w:tcPr>
          <w:p w14:paraId="111893A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67 </w:t>
            </w:r>
          </w:p>
        </w:tc>
        <w:tc>
          <w:tcPr>
            <w:tcW w:w="992" w:type="dxa"/>
          </w:tcPr>
          <w:p w14:paraId="76E63926"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792B56D2" w14:textId="6B0EDBE9"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Delmas 2003</w:t>
            </w:r>
            <w:r w:rsidR="004B3CCD" w:rsidRPr="009F2360">
              <w:rPr>
                <w:rFonts w:ascii="Calibri" w:eastAsia="MS Mincho" w:hAnsi="Calibri" w:cs="Calibri"/>
                <w:sz w:val="20"/>
                <w:szCs w:val="20"/>
                <w:lang w:val="fr-FR" w:eastAsia="ja-JP"/>
              </w:rPr>
              <w:t xml:space="preserve"> [21]</w:t>
            </w:r>
          </w:p>
        </w:tc>
      </w:tr>
      <w:bookmarkEnd w:id="10"/>
      <w:tr w:rsidR="00B6745E" w:rsidRPr="0095359D" w14:paraId="06B4C56F" w14:textId="77777777" w:rsidTr="004E0B31">
        <w:tc>
          <w:tcPr>
            <w:tcW w:w="1559" w:type="dxa"/>
          </w:tcPr>
          <w:p w14:paraId="5D0C6F0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410B6C9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Forearm</w:t>
            </w:r>
          </w:p>
        </w:tc>
        <w:tc>
          <w:tcPr>
            <w:tcW w:w="1701" w:type="dxa"/>
          </w:tcPr>
          <w:p w14:paraId="6E5237B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1.02</w:t>
            </w:r>
          </w:p>
        </w:tc>
        <w:tc>
          <w:tcPr>
            <w:tcW w:w="1276" w:type="dxa"/>
          </w:tcPr>
          <w:p w14:paraId="63307DA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5650B05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708A5A3D" w14:textId="3FB9636E"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Black 1999</w:t>
            </w:r>
            <w:r w:rsidR="0076580E" w:rsidRPr="009F2360">
              <w:rPr>
                <w:rFonts w:ascii="Calibri" w:eastAsia="MS Mincho" w:hAnsi="Calibri" w:cs="Calibri"/>
                <w:sz w:val="20"/>
                <w:szCs w:val="20"/>
                <w:lang w:eastAsia="ja-JP"/>
              </w:rPr>
              <w:t xml:space="preserve"> </w:t>
            </w:r>
            <w:r w:rsidR="0076580E" w:rsidRPr="009F2360">
              <w:rPr>
                <w:rFonts w:ascii="Calibri" w:hAnsi="Calibri" w:cs="Calibri"/>
                <w:sz w:val="20"/>
                <w:szCs w:val="20"/>
              </w:rPr>
              <w:t>[20]</w:t>
            </w:r>
          </w:p>
        </w:tc>
      </w:tr>
      <w:tr w:rsidR="00B6745E" w:rsidRPr="0095359D" w14:paraId="3E1B8A00" w14:textId="77777777" w:rsidTr="004E0B31">
        <w:tc>
          <w:tcPr>
            <w:tcW w:w="1559" w:type="dxa"/>
          </w:tcPr>
          <w:p w14:paraId="6006DCC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024FE97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Nonvertebral</w:t>
            </w:r>
          </w:p>
        </w:tc>
        <w:tc>
          <w:tcPr>
            <w:tcW w:w="1701" w:type="dxa"/>
          </w:tcPr>
          <w:p w14:paraId="4EBCAF7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1.22</w:t>
            </w:r>
          </w:p>
        </w:tc>
        <w:tc>
          <w:tcPr>
            <w:tcW w:w="1276" w:type="dxa"/>
          </w:tcPr>
          <w:p w14:paraId="37A4EA7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4CC2929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5F7F9F9F" w14:textId="70EFD147"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Black 1999</w:t>
            </w:r>
            <w:r w:rsidR="0076580E" w:rsidRPr="009F2360">
              <w:rPr>
                <w:rFonts w:ascii="Calibri" w:eastAsia="MS Mincho" w:hAnsi="Calibri" w:cs="Calibri"/>
                <w:sz w:val="20"/>
                <w:szCs w:val="20"/>
                <w:lang w:eastAsia="ja-JP"/>
              </w:rPr>
              <w:t xml:space="preserve"> [20]</w:t>
            </w:r>
          </w:p>
        </w:tc>
      </w:tr>
      <w:tr w:rsidR="00B6745E" w:rsidRPr="0095359D" w14:paraId="46B4CCD7" w14:textId="77777777" w:rsidTr="004E0B31">
        <w:tc>
          <w:tcPr>
            <w:tcW w:w="1559" w:type="dxa"/>
          </w:tcPr>
          <w:p w14:paraId="418A09C7"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67A5E0B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Hip</w:t>
            </w:r>
          </w:p>
        </w:tc>
        <w:tc>
          <w:tcPr>
            <w:tcW w:w="1701" w:type="dxa"/>
          </w:tcPr>
          <w:p w14:paraId="61AAF35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1.10</w:t>
            </w:r>
          </w:p>
        </w:tc>
        <w:tc>
          <w:tcPr>
            <w:tcW w:w="1276" w:type="dxa"/>
          </w:tcPr>
          <w:p w14:paraId="7646648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058AE4D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3C7A9BB9" w14:textId="0593C156"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Black 1999</w:t>
            </w:r>
            <w:r w:rsidR="0076580E" w:rsidRPr="009F2360">
              <w:rPr>
                <w:rFonts w:ascii="Calibri" w:eastAsia="MS Mincho" w:hAnsi="Calibri" w:cs="Calibri"/>
                <w:sz w:val="20"/>
                <w:szCs w:val="20"/>
                <w:lang w:eastAsia="ja-JP"/>
              </w:rPr>
              <w:t xml:space="preserve"> [20]</w:t>
            </w:r>
          </w:p>
        </w:tc>
      </w:tr>
      <w:tr w:rsidR="00B6745E" w:rsidRPr="0095359D" w14:paraId="70344326" w14:textId="77777777" w:rsidTr="004E0B31">
        <w:tc>
          <w:tcPr>
            <w:tcW w:w="1559" w:type="dxa"/>
          </w:tcPr>
          <w:p w14:paraId="21233CA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Vertebral</w:t>
            </w:r>
          </w:p>
        </w:tc>
        <w:tc>
          <w:tcPr>
            <w:tcW w:w="1701" w:type="dxa"/>
          </w:tcPr>
          <w:p w14:paraId="5FD9D53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Any</w:t>
            </w:r>
          </w:p>
        </w:tc>
        <w:tc>
          <w:tcPr>
            <w:tcW w:w="1701" w:type="dxa"/>
          </w:tcPr>
          <w:p w14:paraId="42D65C7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1.05-1.12</w:t>
            </w:r>
            <w:r w:rsidRPr="0095359D">
              <w:rPr>
                <w:rFonts w:ascii="Calibri" w:eastAsia="MS Mincho" w:hAnsi="Calibri" w:cs="Calibri"/>
                <w:sz w:val="20"/>
                <w:szCs w:val="20"/>
                <w:vertAlign w:val="superscript"/>
                <w:lang w:eastAsia="ja-JP"/>
              </w:rPr>
              <w:t>a,c</w:t>
            </w:r>
          </w:p>
        </w:tc>
        <w:tc>
          <w:tcPr>
            <w:tcW w:w="1276" w:type="dxa"/>
          </w:tcPr>
          <w:p w14:paraId="34A5991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66 </w:t>
            </w:r>
          </w:p>
        </w:tc>
        <w:tc>
          <w:tcPr>
            <w:tcW w:w="992" w:type="dxa"/>
          </w:tcPr>
          <w:p w14:paraId="4FEE1397"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eastAsia="MS Mincho" w:hAnsi="Calibri" w:cs="Calibri"/>
                <w:sz w:val="20"/>
                <w:szCs w:val="20"/>
                <w:lang w:eastAsia="ja-JP"/>
              </w:rPr>
              <w:t>F</w:t>
            </w:r>
          </w:p>
        </w:tc>
        <w:tc>
          <w:tcPr>
            <w:tcW w:w="1985" w:type="dxa"/>
          </w:tcPr>
          <w:p w14:paraId="7B726FB4" w14:textId="50AF6F63" w:rsidR="00B6745E" w:rsidRPr="009F2360" w:rsidRDefault="00B6745E" w:rsidP="00935864">
            <w:pPr>
              <w:autoSpaceDE w:val="0"/>
              <w:autoSpaceDN w:val="0"/>
              <w:adjustRightInd w:val="0"/>
              <w:spacing w:line="276" w:lineRule="auto"/>
              <w:rPr>
                <w:rFonts w:ascii="Calibri" w:eastAsia="MS Mincho" w:hAnsi="Calibri" w:cs="Calibri"/>
                <w:sz w:val="20"/>
                <w:szCs w:val="20"/>
                <w:lang w:eastAsia="ja-JP"/>
              </w:rPr>
            </w:pPr>
            <w:r w:rsidRPr="009F2360">
              <w:rPr>
                <w:rFonts w:ascii="Calibri" w:eastAsia="MS Mincho" w:hAnsi="Calibri" w:cs="Calibri"/>
                <w:sz w:val="20"/>
                <w:szCs w:val="20"/>
                <w:lang w:eastAsia="ja-JP"/>
              </w:rPr>
              <w:t>Siris 2007</w:t>
            </w:r>
            <w:r w:rsidR="004B3CCD" w:rsidRPr="009F2360">
              <w:rPr>
                <w:rFonts w:ascii="Calibri" w:eastAsia="MS Mincho" w:hAnsi="Calibri" w:cs="Calibri"/>
                <w:sz w:val="20"/>
                <w:szCs w:val="20"/>
                <w:lang w:eastAsia="ja-JP"/>
              </w:rPr>
              <w:t xml:space="preserve"> [24]</w:t>
            </w:r>
          </w:p>
        </w:tc>
      </w:tr>
      <w:tr w:rsidR="00B6745E" w:rsidRPr="0095359D" w14:paraId="15E7AE85" w14:textId="77777777" w:rsidTr="004E0B31">
        <w:tc>
          <w:tcPr>
            <w:tcW w:w="1559" w:type="dxa"/>
          </w:tcPr>
          <w:p w14:paraId="2001054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Nonvertebral</w:t>
            </w:r>
          </w:p>
        </w:tc>
        <w:tc>
          <w:tcPr>
            <w:tcW w:w="1701" w:type="dxa"/>
          </w:tcPr>
          <w:p w14:paraId="6233A9F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Nonvertebral</w:t>
            </w:r>
          </w:p>
        </w:tc>
        <w:tc>
          <w:tcPr>
            <w:tcW w:w="1701" w:type="dxa"/>
          </w:tcPr>
          <w:p w14:paraId="730B4AC7"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2.20</w:t>
            </w:r>
            <w:r w:rsidRPr="0095359D">
              <w:rPr>
                <w:rFonts w:ascii="Calibri" w:eastAsia="MS Mincho" w:hAnsi="Calibri" w:cs="Calibri"/>
                <w:sz w:val="20"/>
                <w:szCs w:val="20"/>
                <w:vertAlign w:val="superscript"/>
                <w:lang w:eastAsia="ja-JP"/>
              </w:rPr>
              <w:t>c</w:t>
            </w:r>
          </w:p>
        </w:tc>
        <w:tc>
          <w:tcPr>
            <w:tcW w:w="1276" w:type="dxa"/>
          </w:tcPr>
          <w:p w14:paraId="1340B86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eastAsia="ja-JP"/>
              </w:rPr>
            </w:pPr>
            <w:r w:rsidRPr="0095359D">
              <w:rPr>
                <w:rFonts w:ascii="Calibri" w:hAnsi="Calibri" w:cs="Calibri"/>
                <w:sz w:val="20"/>
                <w:szCs w:val="20"/>
              </w:rPr>
              <w:t xml:space="preserve">69 </w:t>
            </w:r>
          </w:p>
        </w:tc>
        <w:tc>
          <w:tcPr>
            <w:tcW w:w="992" w:type="dxa"/>
          </w:tcPr>
          <w:p w14:paraId="34EEB72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eastAsia="ja-JP"/>
              </w:rPr>
              <w:t>F</w:t>
            </w:r>
          </w:p>
        </w:tc>
        <w:tc>
          <w:tcPr>
            <w:tcW w:w="1985" w:type="dxa"/>
          </w:tcPr>
          <w:p w14:paraId="44F569C6" w14:textId="045CDECF"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eastAsia="ja-JP"/>
              </w:rPr>
              <w:t>Gallacher 2005</w:t>
            </w:r>
            <w:r w:rsidR="0076580E" w:rsidRPr="009F2360">
              <w:rPr>
                <w:rFonts w:ascii="Calibri" w:eastAsia="MS Mincho" w:hAnsi="Calibri" w:cs="Calibri"/>
                <w:sz w:val="20"/>
                <w:szCs w:val="20"/>
                <w:lang w:eastAsia="ja-JP"/>
              </w:rPr>
              <w:t xml:space="preserve"> [23]</w:t>
            </w:r>
          </w:p>
        </w:tc>
      </w:tr>
      <w:tr w:rsidR="00B6745E" w:rsidRPr="0095359D" w14:paraId="42D49817" w14:textId="77777777" w:rsidTr="004E0B31">
        <w:tc>
          <w:tcPr>
            <w:tcW w:w="1559" w:type="dxa"/>
          </w:tcPr>
          <w:p w14:paraId="741ED2C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Osteoporotic</w:t>
            </w:r>
          </w:p>
        </w:tc>
        <w:tc>
          <w:tcPr>
            <w:tcW w:w="1701" w:type="dxa"/>
          </w:tcPr>
          <w:p w14:paraId="5D88C11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Osteoporotic</w:t>
            </w:r>
          </w:p>
        </w:tc>
        <w:tc>
          <w:tcPr>
            <w:tcW w:w="1701" w:type="dxa"/>
          </w:tcPr>
          <w:p w14:paraId="626423A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1.26</w:t>
            </w:r>
          </w:p>
        </w:tc>
        <w:tc>
          <w:tcPr>
            <w:tcW w:w="1276" w:type="dxa"/>
          </w:tcPr>
          <w:p w14:paraId="36B8ECDA"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67 </w:t>
            </w:r>
          </w:p>
        </w:tc>
        <w:tc>
          <w:tcPr>
            <w:tcW w:w="992" w:type="dxa"/>
          </w:tcPr>
          <w:p w14:paraId="6F63349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4BE59D69" w14:textId="47EC442E"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Agarwal 2021</w:t>
            </w:r>
            <w:r w:rsidR="00312D55" w:rsidRPr="009F2360">
              <w:rPr>
                <w:rFonts w:ascii="Calibri" w:eastAsia="MS Mincho" w:hAnsi="Calibri" w:cs="Calibri"/>
                <w:sz w:val="20"/>
                <w:szCs w:val="20"/>
                <w:lang w:val="fr-FR" w:eastAsia="ja-JP"/>
              </w:rPr>
              <w:t xml:space="preserve"> [25]</w:t>
            </w:r>
          </w:p>
        </w:tc>
      </w:tr>
      <w:tr w:rsidR="00B6745E" w:rsidRPr="0095359D" w14:paraId="596FAE85" w14:textId="77777777" w:rsidTr="004E0B31">
        <w:tc>
          <w:tcPr>
            <w:tcW w:w="1559" w:type="dxa"/>
          </w:tcPr>
          <w:p w14:paraId="70DB871D"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30DB5EC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6AD063F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0.75</w:t>
            </w:r>
          </w:p>
        </w:tc>
        <w:tc>
          <w:tcPr>
            <w:tcW w:w="1276" w:type="dxa"/>
          </w:tcPr>
          <w:p w14:paraId="5796F85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69 </w:t>
            </w:r>
          </w:p>
        </w:tc>
        <w:tc>
          <w:tcPr>
            <w:tcW w:w="992" w:type="dxa"/>
          </w:tcPr>
          <w:p w14:paraId="55C292C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w:t>
            </w:r>
          </w:p>
        </w:tc>
        <w:tc>
          <w:tcPr>
            <w:tcW w:w="1985" w:type="dxa"/>
          </w:tcPr>
          <w:p w14:paraId="248690DA" w14:textId="583ADFCC"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hAnsi="Calibri" w:cs="Calibri"/>
                <w:sz w:val="20"/>
                <w:szCs w:val="20"/>
              </w:rPr>
              <w:t>Agarwal 2021</w:t>
            </w:r>
            <w:r w:rsidR="00312D55" w:rsidRPr="009F2360">
              <w:rPr>
                <w:rFonts w:ascii="Calibri" w:hAnsi="Calibri" w:cs="Calibri"/>
                <w:sz w:val="20"/>
                <w:szCs w:val="20"/>
              </w:rPr>
              <w:t xml:space="preserve"> [25]</w:t>
            </w:r>
          </w:p>
        </w:tc>
      </w:tr>
      <w:tr w:rsidR="00B6745E" w:rsidRPr="0095359D" w14:paraId="72E13BAB" w14:textId="77777777" w:rsidTr="004E0B31">
        <w:tc>
          <w:tcPr>
            <w:tcW w:w="1559" w:type="dxa"/>
          </w:tcPr>
          <w:p w14:paraId="2C870E6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5440DA2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Hip</w:t>
            </w:r>
          </w:p>
        </w:tc>
        <w:tc>
          <w:tcPr>
            <w:tcW w:w="1701" w:type="dxa"/>
          </w:tcPr>
          <w:p w14:paraId="56FD648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w:t>
            </w:r>
            <w:r>
              <w:rPr>
                <w:rFonts w:ascii="Calibri" w:eastAsia="MS Mincho" w:hAnsi="Calibri" w:cs="Calibri"/>
                <w:sz w:val="20"/>
                <w:szCs w:val="20"/>
                <w:lang w:val="fr-FR" w:eastAsia="ja-JP"/>
              </w:rPr>
              <w:t>2</w:t>
            </w:r>
            <w:r w:rsidRPr="0095359D">
              <w:rPr>
                <w:rFonts w:ascii="Calibri" w:eastAsia="MS Mincho" w:hAnsi="Calibri" w:cs="Calibri"/>
                <w:sz w:val="20"/>
                <w:szCs w:val="20"/>
                <w:lang w:val="fr-FR" w:eastAsia="ja-JP"/>
              </w:rPr>
              <w:t>5</w:t>
            </w:r>
          </w:p>
        </w:tc>
        <w:tc>
          <w:tcPr>
            <w:tcW w:w="1276" w:type="dxa"/>
          </w:tcPr>
          <w:p w14:paraId="52076E62"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67 </w:t>
            </w:r>
          </w:p>
        </w:tc>
        <w:tc>
          <w:tcPr>
            <w:tcW w:w="992" w:type="dxa"/>
          </w:tcPr>
          <w:p w14:paraId="0222746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7ED956BB" w14:textId="095B17E6"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hAnsi="Calibri" w:cs="Calibri"/>
                <w:sz w:val="20"/>
                <w:szCs w:val="20"/>
              </w:rPr>
              <w:t>Agarwal 2021</w:t>
            </w:r>
            <w:r w:rsidR="0047312E" w:rsidRPr="009F2360">
              <w:rPr>
                <w:rFonts w:ascii="Calibri" w:hAnsi="Calibri" w:cs="Calibri"/>
                <w:sz w:val="20"/>
                <w:szCs w:val="20"/>
              </w:rPr>
              <w:t xml:space="preserve"> [25]</w:t>
            </w:r>
          </w:p>
        </w:tc>
      </w:tr>
      <w:tr w:rsidR="00B6745E" w:rsidRPr="0095359D" w14:paraId="3263AF72" w14:textId="77777777" w:rsidTr="004E0B31">
        <w:tc>
          <w:tcPr>
            <w:tcW w:w="1559" w:type="dxa"/>
          </w:tcPr>
          <w:p w14:paraId="45BB0A1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337E7DF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Major osteoporotic</w:t>
            </w:r>
          </w:p>
        </w:tc>
        <w:tc>
          <w:tcPr>
            <w:tcW w:w="1701" w:type="dxa"/>
          </w:tcPr>
          <w:p w14:paraId="16B2C792" w14:textId="25D4C56A"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w:t>
            </w:r>
            <w:r w:rsidR="00203BF2">
              <w:rPr>
                <w:rFonts w:ascii="Calibri" w:eastAsia="MS Mincho" w:hAnsi="Calibri" w:cs="Calibri"/>
                <w:sz w:val="20"/>
                <w:szCs w:val="20"/>
                <w:lang w:val="fr-FR" w:eastAsia="ja-JP"/>
              </w:rPr>
              <w:t>6</w:t>
            </w:r>
            <w:r w:rsidRPr="0095359D">
              <w:rPr>
                <w:rFonts w:ascii="Calibri" w:eastAsia="MS Mincho" w:hAnsi="Calibri" w:cs="Calibri"/>
                <w:sz w:val="20"/>
                <w:szCs w:val="20"/>
                <w:vertAlign w:val="superscript"/>
                <w:lang w:val="fr-FR" w:eastAsia="ja-JP"/>
              </w:rPr>
              <w:t>b</w:t>
            </w:r>
          </w:p>
        </w:tc>
        <w:tc>
          <w:tcPr>
            <w:tcW w:w="1276" w:type="dxa"/>
          </w:tcPr>
          <w:p w14:paraId="639EDBEB"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6067A2D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w:t>
            </w:r>
          </w:p>
        </w:tc>
        <w:tc>
          <w:tcPr>
            <w:tcW w:w="1985" w:type="dxa"/>
          </w:tcPr>
          <w:p w14:paraId="02DEA4C4" w14:textId="77777777" w:rsidR="00B6745E" w:rsidRPr="009F2360"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F2360">
              <w:rPr>
                <w:rFonts w:ascii="Calibri" w:eastAsia="MS Mincho" w:hAnsi="Calibri" w:cs="Calibri"/>
                <w:sz w:val="20"/>
                <w:szCs w:val="20"/>
                <w:lang w:val="fr-FR" w:eastAsia="ja-JP"/>
              </w:rPr>
              <w:t>Present study</w:t>
            </w:r>
          </w:p>
        </w:tc>
      </w:tr>
      <w:tr w:rsidR="00B6745E" w:rsidRPr="0095359D" w14:paraId="1258CFF6" w14:textId="77777777" w:rsidTr="004E0B31">
        <w:tc>
          <w:tcPr>
            <w:tcW w:w="1559" w:type="dxa"/>
          </w:tcPr>
          <w:p w14:paraId="354E83C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Osteoporotic</w:t>
            </w:r>
          </w:p>
        </w:tc>
        <w:tc>
          <w:tcPr>
            <w:tcW w:w="1701" w:type="dxa"/>
          </w:tcPr>
          <w:p w14:paraId="20215DB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Hip</w:t>
            </w:r>
          </w:p>
        </w:tc>
        <w:tc>
          <w:tcPr>
            <w:tcW w:w="1701" w:type="dxa"/>
          </w:tcPr>
          <w:p w14:paraId="3B148D05" w14:textId="14D006EA"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w:t>
            </w:r>
            <w:r w:rsidR="00304221">
              <w:rPr>
                <w:rFonts w:ascii="Calibri" w:eastAsia="MS Mincho" w:hAnsi="Calibri" w:cs="Calibri"/>
                <w:sz w:val="20"/>
                <w:szCs w:val="20"/>
                <w:lang w:val="fr-FR" w:eastAsia="ja-JP"/>
              </w:rPr>
              <w:t>7</w:t>
            </w:r>
            <w:r w:rsidRPr="0095359D">
              <w:rPr>
                <w:rFonts w:ascii="Calibri" w:eastAsia="MS Mincho" w:hAnsi="Calibri" w:cs="Calibri"/>
                <w:sz w:val="20"/>
                <w:szCs w:val="20"/>
                <w:vertAlign w:val="superscript"/>
                <w:lang w:val="fr-FR" w:eastAsia="ja-JP"/>
              </w:rPr>
              <w:t>b</w:t>
            </w:r>
          </w:p>
        </w:tc>
        <w:tc>
          <w:tcPr>
            <w:tcW w:w="1276" w:type="dxa"/>
          </w:tcPr>
          <w:p w14:paraId="1E72CF5C"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3589CE6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w:t>
            </w:r>
          </w:p>
        </w:tc>
        <w:tc>
          <w:tcPr>
            <w:tcW w:w="1985" w:type="dxa"/>
          </w:tcPr>
          <w:p w14:paraId="02BFC79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Present study</w:t>
            </w:r>
          </w:p>
        </w:tc>
      </w:tr>
      <w:tr w:rsidR="00B6745E" w:rsidRPr="0095359D" w14:paraId="1FE0F11F" w14:textId="77777777" w:rsidTr="004E0B31">
        <w:tc>
          <w:tcPr>
            <w:tcW w:w="1559" w:type="dxa"/>
          </w:tcPr>
          <w:p w14:paraId="742EDD9E"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Osteoporotic</w:t>
            </w:r>
          </w:p>
        </w:tc>
        <w:tc>
          <w:tcPr>
            <w:tcW w:w="1701" w:type="dxa"/>
          </w:tcPr>
          <w:p w14:paraId="44F8F1A8"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Major osteoporotic</w:t>
            </w:r>
          </w:p>
        </w:tc>
        <w:tc>
          <w:tcPr>
            <w:tcW w:w="1701" w:type="dxa"/>
          </w:tcPr>
          <w:p w14:paraId="1D5B8C3B" w14:textId="7E8C5F58"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w:t>
            </w:r>
            <w:r w:rsidR="00153E96">
              <w:rPr>
                <w:rFonts w:ascii="Calibri" w:eastAsia="MS Mincho" w:hAnsi="Calibri" w:cs="Calibri"/>
                <w:sz w:val="20"/>
                <w:szCs w:val="20"/>
                <w:lang w:val="fr-FR" w:eastAsia="ja-JP"/>
              </w:rPr>
              <w:t>5</w:t>
            </w:r>
            <w:r w:rsidRPr="0095359D">
              <w:rPr>
                <w:rFonts w:ascii="Calibri" w:eastAsia="MS Mincho" w:hAnsi="Calibri" w:cs="Calibri"/>
                <w:sz w:val="20"/>
                <w:szCs w:val="20"/>
                <w:vertAlign w:val="superscript"/>
                <w:lang w:val="fr-FR" w:eastAsia="ja-JP"/>
              </w:rPr>
              <w:t>b</w:t>
            </w:r>
          </w:p>
        </w:tc>
        <w:tc>
          <w:tcPr>
            <w:tcW w:w="1276" w:type="dxa"/>
          </w:tcPr>
          <w:p w14:paraId="5C1F70E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3D3A191E"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78E2624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Present study</w:t>
            </w:r>
          </w:p>
        </w:tc>
      </w:tr>
      <w:tr w:rsidR="00B6745E" w:rsidRPr="0095359D" w14:paraId="7999F993" w14:textId="77777777" w:rsidTr="004E0B31">
        <w:tc>
          <w:tcPr>
            <w:tcW w:w="1559" w:type="dxa"/>
          </w:tcPr>
          <w:p w14:paraId="138EF613" w14:textId="77777777" w:rsidR="00B6745E" w:rsidRPr="0095359D" w:rsidRDefault="00B6745E" w:rsidP="00935864">
            <w:pPr>
              <w:autoSpaceDE w:val="0"/>
              <w:autoSpaceDN w:val="0"/>
              <w:adjustRightInd w:val="0"/>
              <w:spacing w:line="276" w:lineRule="auto"/>
              <w:rPr>
                <w:rFonts w:ascii="Calibri" w:hAnsi="Calibri" w:cs="Calibri"/>
                <w:sz w:val="20"/>
                <w:szCs w:val="20"/>
              </w:rPr>
            </w:pPr>
            <w:r w:rsidRPr="0095359D">
              <w:rPr>
                <w:rFonts w:ascii="Calibri" w:hAnsi="Calibri" w:cs="Calibri"/>
                <w:sz w:val="20"/>
                <w:szCs w:val="20"/>
              </w:rPr>
              <w:t>Osteoporotic</w:t>
            </w:r>
          </w:p>
        </w:tc>
        <w:tc>
          <w:tcPr>
            <w:tcW w:w="1701" w:type="dxa"/>
          </w:tcPr>
          <w:p w14:paraId="6E82F923"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Hip</w:t>
            </w:r>
          </w:p>
        </w:tc>
        <w:tc>
          <w:tcPr>
            <w:tcW w:w="1701" w:type="dxa"/>
          </w:tcPr>
          <w:p w14:paraId="319CA36F"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1.17</w:t>
            </w:r>
            <w:r w:rsidRPr="0095359D">
              <w:rPr>
                <w:rFonts w:ascii="Calibri" w:eastAsia="MS Mincho" w:hAnsi="Calibri" w:cs="Calibri"/>
                <w:sz w:val="20"/>
                <w:szCs w:val="20"/>
                <w:vertAlign w:val="superscript"/>
                <w:lang w:val="fr-FR" w:eastAsia="ja-JP"/>
              </w:rPr>
              <w:t>b</w:t>
            </w:r>
          </w:p>
        </w:tc>
        <w:tc>
          <w:tcPr>
            <w:tcW w:w="1276" w:type="dxa"/>
          </w:tcPr>
          <w:p w14:paraId="6136AC91"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hAnsi="Calibri" w:cs="Calibri"/>
                <w:sz w:val="20"/>
                <w:szCs w:val="20"/>
              </w:rPr>
              <w:t xml:space="preserve">65 </w:t>
            </w:r>
          </w:p>
        </w:tc>
        <w:tc>
          <w:tcPr>
            <w:tcW w:w="992" w:type="dxa"/>
          </w:tcPr>
          <w:p w14:paraId="09872F5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F</w:t>
            </w:r>
          </w:p>
        </w:tc>
        <w:tc>
          <w:tcPr>
            <w:tcW w:w="1985" w:type="dxa"/>
          </w:tcPr>
          <w:p w14:paraId="222ED479"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lang w:val="fr-FR" w:eastAsia="ja-JP"/>
              </w:rPr>
            </w:pPr>
            <w:r w:rsidRPr="0095359D">
              <w:rPr>
                <w:rFonts w:ascii="Calibri" w:eastAsia="MS Mincho" w:hAnsi="Calibri" w:cs="Calibri"/>
                <w:sz w:val="20"/>
                <w:szCs w:val="20"/>
                <w:lang w:val="fr-FR" w:eastAsia="ja-JP"/>
              </w:rPr>
              <w:t>Present study</w:t>
            </w:r>
          </w:p>
        </w:tc>
      </w:tr>
      <w:tr w:rsidR="00B6745E" w:rsidRPr="004A0840" w14:paraId="15F7AB33" w14:textId="77777777" w:rsidTr="004E0B31">
        <w:tc>
          <w:tcPr>
            <w:tcW w:w="9214" w:type="dxa"/>
            <w:gridSpan w:val="6"/>
          </w:tcPr>
          <w:p w14:paraId="23087184"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vertAlign w:val="superscript"/>
                <w:lang w:val="fr-FR" w:eastAsia="ja-JP"/>
              </w:rPr>
            </w:pPr>
            <w:r w:rsidRPr="0095359D">
              <w:rPr>
                <w:rFonts w:ascii="Calibri" w:eastAsia="MS Mincho" w:hAnsi="Calibri" w:cs="Calibri"/>
                <w:sz w:val="20"/>
                <w:szCs w:val="20"/>
                <w:vertAlign w:val="superscript"/>
                <w:lang w:val="fr-FR" w:eastAsia="ja-JP"/>
              </w:rPr>
              <w:t>a</w:t>
            </w:r>
            <w:r w:rsidRPr="0095359D">
              <w:rPr>
                <w:rFonts w:ascii="Calibri" w:eastAsia="MS Mincho" w:hAnsi="Calibri" w:cs="Calibri"/>
                <w:sz w:val="20"/>
                <w:szCs w:val="20"/>
                <w:lang w:val="fr-FR" w:eastAsia="ja-JP"/>
              </w:rPr>
              <w:t xml:space="preserve"> Range dépendent on T-score</w:t>
            </w:r>
          </w:p>
        </w:tc>
      </w:tr>
      <w:tr w:rsidR="00B6745E" w:rsidRPr="0095359D" w14:paraId="2499CE83" w14:textId="77777777" w:rsidTr="004E0B31">
        <w:tc>
          <w:tcPr>
            <w:tcW w:w="9214" w:type="dxa"/>
            <w:gridSpan w:val="6"/>
          </w:tcPr>
          <w:p w14:paraId="596F79A0"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vertAlign w:val="superscript"/>
                <w:lang w:eastAsia="ja-JP"/>
              </w:rPr>
            </w:pPr>
            <w:r w:rsidRPr="0095359D">
              <w:rPr>
                <w:rFonts w:ascii="Calibri" w:eastAsia="MS Mincho" w:hAnsi="Calibri" w:cs="Calibri"/>
                <w:sz w:val="20"/>
                <w:szCs w:val="20"/>
                <w:vertAlign w:val="superscript"/>
                <w:lang w:eastAsia="ja-JP"/>
              </w:rPr>
              <w:t>b</w:t>
            </w:r>
            <w:r w:rsidRPr="0095359D">
              <w:rPr>
                <w:rFonts w:ascii="Calibri" w:eastAsia="MS Mincho" w:hAnsi="Calibri" w:cs="Calibri"/>
                <w:sz w:val="20"/>
                <w:szCs w:val="20"/>
                <w:lang w:eastAsia="ja-JP"/>
              </w:rPr>
              <w:t xml:space="preserve"> Range dependent on age</w:t>
            </w:r>
          </w:p>
        </w:tc>
      </w:tr>
      <w:tr w:rsidR="00B6745E" w:rsidRPr="0095359D" w14:paraId="3F954DB8" w14:textId="77777777" w:rsidTr="004E0B31">
        <w:tc>
          <w:tcPr>
            <w:tcW w:w="9214" w:type="dxa"/>
            <w:gridSpan w:val="6"/>
          </w:tcPr>
          <w:p w14:paraId="3B9433D5" w14:textId="77777777" w:rsidR="00B6745E" w:rsidRPr="0095359D" w:rsidRDefault="00B6745E" w:rsidP="00935864">
            <w:pPr>
              <w:autoSpaceDE w:val="0"/>
              <w:autoSpaceDN w:val="0"/>
              <w:adjustRightInd w:val="0"/>
              <w:spacing w:line="276" w:lineRule="auto"/>
              <w:rPr>
                <w:rFonts w:ascii="Calibri" w:eastAsia="MS Mincho" w:hAnsi="Calibri" w:cs="Calibri"/>
                <w:sz w:val="20"/>
                <w:szCs w:val="20"/>
                <w:vertAlign w:val="superscript"/>
                <w:lang w:eastAsia="ja-JP"/>
              </w:rPr>
            </w:pPr>
            <w:r w:rsidRPr="0095359D">
              <w:rPr>
                <w:rFonts w:ascii="Calibri" w:eastAsia="MS Mincho" w:hAnsi="Calibri" w:cs="Calibri"/>
                <w:sz w:val="20"/>
                <w:szCs w:val="20"/>
                <w:vertAlign w:val="superscript"/>
                <w:lang w:eastAsia="ja-JP"/>
              </w:rPr>
              <w:t>c</w:t>
            </w:r>
            <w:r w:rsidRPr="0095359D">
              <w:rPr>
                <w:rFonts w:ascii="Calibri" w:eastAsia="MS Mincho" w:hAnsi="Calibri" w:cs="Calibri"/>
                <w:sz w:val="20"/>
                <w:szCs w:val="20"/>
                <w:lang w:eastAsia="ja-JP"/>
              </w:rPr>
              <w:t xml:space="preserve"> &gt;2 vs. 1 fracture</w:t>
            </w:r>
          </w:p>
        </w:tc>
      </w:tr>
    </w:tbl>
    <w:p w14:paraId="5DD34F6D" w14:textId="77777777" w:rsidR="00B6745E" w:rsidRPr="00F577A6" w:rsidRDefault="00B6745E" w:rsidP="00B6745E">
      <w:pPr>
        <w:autoSpaceDE w:val="0"/>
        <w:autoSpaceDN w:val="0"/>
        <w:adjustRightInd w:val="0"/>
        <w:spacing w:line="276" w:lineRule="auto"/>
        <w:ind w:left="567"/>
        <w:rPr>
          <w:rFonts w:ascii="Calibri" w:eastAsia="MS Mincho" w:hAnsi="Calibri" w:cs="Arial"/>
          <w:lang w:eastAsia="ja-JP"/>
        </w:rPr>
      </w:pPr>
    </w:p>
    <w:p w14:paraId="62277CED" w14:textId="77777777" w:rsidR="00B6745E" w:rsidRDefault="00B6745E" w:rsidP="003E2446">
      <w:pPr>
        <w:autoSpaceDE w:val="0"/>
        <w:autoSpaceDN w:val="0"/>
        <w:adjustRightInd w:val="0"/>
        <w:spacing w:line="276" w:lineRule="auto"/>
        <w:ind w:left="567"/>
        <w:rPr>
          <w:rFonts w:ascii="Calibri" w:eastAsia="MS Mincho" w:hAnsi="Calibri" w:cs="Arial"/>
          <w:lang w:eastAsia="ja-JP"/>
        </w:rPr>
      </w:pPr>
    </w:p>
    <w:p w14:paraId="7B3C6828" w14:textId="19F717F4" w:rsidR="00D7007E" w:rsidRDefault="00C0526F" w:rsidP="003E2446">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As expected, 10-year fract</w:t>
      </w:r>
      <w:r w:rsidR="0047312E">
        <w:rPr>
          <w:rFonts w:ascii="Calibri" w:eastAsia="MS Mincho" w:hAnsi="Calibri" w:cs="Arial"/>
          <w:lang w:eastAsia="ja-JP"/>
        </w:rPr>
        <w:t>u</w:t>
      </w:r>
      <w:r>
        <w:rPr>
          <w:rFonts w:ascii="Calibri" w:eastAsia="MS Mincho" w:hAnsi="Calibri" w:cs="Arial"/>
          <w:lang w:eastAsia="ja-JP"/>
        </w:rPr>
        <w:t>re probabilities in</w:t>
      </w:r>
      <w:r w:rsidR="00AA7344">
        <w:rPr>
          <w:rFonts w:ascii="Calibri" w:eastAsia="MS Mincho" w:hAnsi="Calibri" w:cs="Arial"/>
          <w:lang w:eastAsia="ja-JP"/>
        </w:rPr>
        <w:t>creased progressively as the number of prior fractures increased</w:t>
      </w:r>
      <w:r w:rsidR="00895780">
        <w:rPr>
          <w:rFonts w:ascii="Calibri" w:eastAsia="MS Mincho" w:hAnsi="Calibri" w:cs="Arial"/>
          <w:lang w:eastAsia="ja-JP"/>
        </w:rPr>
        <w:t xml:space="preserve">.  Probability </w:t>
      </w:r>
      <w:r w:rsidR="00631FB9">
        <w:rPr>
          <w:rFonts w:ascii="Calibri" w:eastAsia="MS Mincho" w:hAnsi="Calibri" w:cs="Arial"/>
          <w:lang w:eastAsia="ja-JP"/>
        </w:rPr>
        <w:t>ratios</w:t>
      </w:r>
      <w:r w:rsidR="00631FB9" w:rsidRPr="00631FB9">
        <w:t xml:space="preserve"> </w:t>
      </w:r>
      <w:r w:rsidR="009A762C">
        <w:t>(</w:t>
      </w:r>
      <w:r w:rsidR="00631FB9" w:rsidRPr="00631FB9">
        <w:rPr>
          <w:rFonts w:ascii="Calibri" w:eastAsia="MS Mincho" w:hAnsi="Calibri" w:cs="Arial"/>
          <w:lang w:eastAsia="ja-JP"/>
        </w:rPr>
        <w:t>the ratio of 10-year probability with a given number of prior fractures versus the probability irrespective of the number of prior fractures</w:t>
      </w:r>
      <w:r w:rsidR="009A762C">
        <w:rPr>
          <w:rFonts w:ascii="Calibri" w:eastAsia="MS Mincho" w:hAnsi="Calibri" w:cs="Arial"/>
          <w:lang w:eastAsia="ja-JP"/>
        </w:rPr>
        <w:t>) permit the</w:t>
      </w:r>
      <w:r w:rsidR="006D3F79">
        <w:rPr>
          <w:rFonts w:ascii="Calibri" w:eastAsia="MS Mincho" w:hAnsi="Calibri" w:cs="Arial"/>
          <w:lang w:eastAsia="ja-JP"/>
        </w:rPr>
        <w:t xml:space="preserve"> </w:t>
      </w:r>
      <w:r w:rsidR="009A762C">
        <w:rPr>
          <w:rFonts w:ascii="Calibri" w:eastAsia="MS Mincho" w:hAnsi="Calibri" w:cs="Arial"/>
          <w:lang w:eastAsia="ja-JP"/>
        </w:rPr>
        <w:t>a</w:t>
      </w:r>
      <w:r w:rsidR="006D3F79">
        <w:rPr>
          <w:rFonts w:ascii="Calibri" w:eastAsia="MS Mincho" w:hAnsi="Calibri" w:cs="Arial"/>
          <w:lang w:eastAsia="ja-JP"/>
        </w:rPr>
        <w:t xml:space="preserve">djustment of </w:t>
      </w:r>
      <w:r w:rsidR="007118AE" w:rsidRPr="007118AE">
        <w:rPr>
          <w:rFonts w:ascii="Calibri" w:eastAsia="MS Mincho" w:hAnsi="Calibri" w:cs="Arial"/>
          <w:lang w:eastAsia="ja-JP"/>
        </w:rPr>
        <w:t>FRAX-based probabilities</w:t>
      </w:r>
      <w:r w:rsidR="008C730B" w:rsidRPr="008C730B">
        <w:t xml:space="preserve"> </w:t>
      </w:r>
      <w:r w:rsidR="008C730B" w:rsidRPr="008C730B">
        <w:rPr>
          <w:rFonts w:ascii="Calibri" w:eastAsia="MS Mincho" w:hAnsi="Calibri" w:cs="Arial"/>
          <w:lang w:eastAsia="ja-JP"/>
        </w:rPr>
        <w:t>with knowledge of the number of prior osteoporotic fractures</w:t>
      </w:r>
      <w:r w:rsidR="00881145">
        <w:rPr>
          <w:rFonts w:ascii="Calibri" w:eastAsia="MS Mincho" w:hAnsi="Calibri" w:cs="Arial"/>
          <w:lang w:eastAsia="ja-JP"/>
        </w:rPr>
        <w:t xml:space="preserve">. </w:t>
      </w:r>
      <w:r w:rsidR="00546E9A">
        <w:rPr>
          <w:rFonts w:ascii="Calibri" w:eastAsia="MS Mincho" w:hAnsi="Calibri" w:cs="Arial"/>
          <w:lang w:eastAsia="ja-JP"/>
        </w:rPr>
        <w:t xml:space="preserve"> In the case of a single </w:t>
      </w:r>
      <w:r w:rsidR="00FC416E">
        <w:rPr>
          <w:rFonts w:ascii="Calibri" w:eastAsia="MS Mincho" w:hAnsi="Calibri" w:cs="Arial"/>
          <w:lang w:eastAsia="ja-JP"/>
        </w:rPr>
        <w:t>prior fracture,</w:t>
      </w:r>
      <w:r w:rsidR="00881145">
        <w:rPr>
          <w:rFonts w:ascii="Calibri" w:eastAsia="MS Mincho" w:hAnsi="Calibri" w:cs="Arial"/>
          <w:lang w:eastAsia="ja-JP"/>
        </w:rPr>
        <w:t xml:space="preserve"> </w:t>
      </w:r>
      <w:r w:rsidR="00FC416E" w:rsidRPr="00FC416E">
        <w:rPr>
          <w:rFonts w:ascii="Calibri" w:eastAsia="MS Mincho" w:hAnsi="Calibri" w:cs="Arial"/>
          <w:lang w:eastAsia="ja-JP"/>
        </w:rPr>
        <w:t>FRAX is marginally downward adjusted</w:t>
      </w:r>
      <w:r w:rsidR="00FC416E">
        <w:rPr>
          <w:rFonts w:ascii="Calibri" w:eastAsia="MS Mincho" w:hAnsi="Calibri" w:cs="Arial"/>
          <w:lang w:eastAsia="ja-JP"/>
        </w:rPr>
        <w:t>.  The reason is that FRAX</w:t>
      </w:r>
      <w:r w:rsidR="00FC416E" w:rsidRPr="00FC416E">
        <w:t xml:space="preserve"> </w:t>
      </w:r>
      <w:r w:rsidR="00FC416E" w:rsidRPr="00FC416E">
        <w:rPr>
          <w:rFonts w:ascii="Calibri" w:eastAsia="MS Mincho" w:hAnsi="Calibri" w:cs="Arial"/>
          <w:lang w:eastAsia="ja-JP"/>
        </w:rPr>
        <w:t>takes no account of the number of prior fractures.  Rather, it assumes an average number of prior fractures which, in the present study, was 1.48.</w:t>
      </w:r>
      <w:r w:rsidR="004F4436">
        <w:rPr>
          <w:rFonts w:ascii="Calibri" w:eastAsia="MS Mincho" w:hAnsi="Calibri" w:cs="Arial"/>
          <w:lang w:eastAsia="ja-JP"/>
        </w:rPr>
        <w:t xml:space="preserve">  </w:t>
      </w:r>
      <w:r w:rsidR="00DF32A2" w:rsidRPr="00DF32A2">
        <w:rPr>
          <w:rFonts w:ascii="Calibri" w:eastAsia="MS Mincho" w:hAnsi="Calibri" w:cs="Arial"/>
          <w:lang w:eastAsia="ja-JP"/>
        </w:rPr>
        <w:t xml:space="preserve">Thereafter, FRAX is </w:t>
      </w:r>
      <w:r w:rsidR="00E73CE8">
        <w:rPr>
          <w:rFonts w:ascii="Calibri" w:eastAsia="MS Mincho" w:hAnsi="Calibri" w:cs="Arial"/>
          <w:lang w:eastAsia="ja-JP"/>
        </w:rPr>
        <w:t xml:space="preserve">progressively </w:t>
      </w:r>
      <w:r w:rsidR="00DF32A2" w:rsidRPr="00DF32A2">
        <w:rPr>
          <w:rFonts w:ascii="Calibri" w:eastAsia="MS Mincho" w:hAnsi="Calibri" w:cs="Arial"/>
          <w:lang w:eastAsia="ja-JP"/>
        </w:rPr>
        <w:t xml:space="preserve">upward adjusted </w:t>
      </w:r>
      <w:r w:rsidR="00E73CE8">
        <w:rPr>
          <w:rFonts w:ascii="Calibri" w:eastAsia="MS Mincho" w:hAnsi="Calibri" w:cs="Arial"/>
          <w:lang w:eastAsia="ja-JP"/>
        </w:rPr>
        <w:t>as the number of</w:t>
      </w:r>
      <w:r w:rsidR="00DF32A2" w:rsidRPr="00DF32A2">
        <w:rPr>
          <w:rFonts w:ascii="Calibri" w:eastAsia="MS Mincho" w:hAnsi="Calibri" w:cs="Arial"/>
          <w:lang w:eastAsia="ja-JP"/>
        </w:rPr>
        <w:t xml:space="preserve"> prior fracture</w:t>
      </w:r>
      <w:r w:rsidR="00E73CE8">
        <w:rPr>
          <w:rFonts w:ascii="Calibri" w:eastAsia="MS Mincho" w:hAnsi="Calibri" w:cs="Arial"/>
          <w:lang w:eastAsia="ja-JP"/>
        </w:rPr>
        <w:t xml:space="preserve">s </w:t>
      </w:r>
      <w:r w:rsidR="00546B87">
        <w:rPr>
          <w:rFonts w:ascii="Calibri" w:eastAsia="MS Mincho" w:hAnsi="Calibri" w:cs="Arial"/>
          <w:lang w:eastAsia="ja-JP"/>
        </w:rPr>
        <w:t>increase.</w:t>
      </w:r>
    </w:p>
    <w:p w14:paraId="284FEF66" w14:textId="77777777" w:rsidR="00536036" w:rsidRPr="00E153A2" w:rsidRDefault="00536036" w:rsidP="003E2446">
      <w:pPr>
        <w:autoSpaceDE w:val="0"/>
        <w:autoSpaceDN w:val="0"/>
        <w:adjustRightInd w:val="0"/>
        <w:spacing w:line="276" w:lineRule="auto"/>
        <w:ind w:left="567"/>
        <w:rPr>
          <w:rFonts w:ascii="Calibri" w:eastAsia="MS Mincho" w:hAnsi="Calibri" w:cs="Arial"/>
          <w:lang w:eastAsia="ja-JP"/>
        </w:rPr>
      </w:pPr>
    </w:p>
    <w:p w14:paraId="15641834" w14:textId="46675E5A" w:rsidR="00F753D4" w:rsidRDefault="004F5D40" w:rsidP="00F753D4">
      <w:pPr>
        <w:autoSpaceDE w:val="0"/>
        <w:autoSpaceDN w:val="0"/>
        <w:adjustRightInd w:val="0"/>
        <w:spacing w:after="240" w:line="276" w:lineRule="auto"/>
        <w:ind w:left="567"/>
        <w:rPr>
          <w:rFonts w:ascii="Calibri" w:eastAsia="Times New Roman" w:hAnsi="Calibri" w:cs="Calibri"/>
          <w:lang w:eastAsia="en-GB"/>
        </w:rPr>
      </w:pPr>
      <w:r>
        <w:rPr>
          <w:rFonts w:ascii="Calibri" w:eastAsia="MS Mincho" w:hAnsi="Calibri" w:cs="Arial"/>
          <w:lang w:eastAsia="ja-JP"/>
        </w:rPr>
        <w:t>Although t</w:t>
      </w:r>
      <w:r w:rsidR="00E5509A" w:rsidRPr="00E5509A">
        <w:rPr>
          <w:rFonts w:ascii="Calibri" w:eastAsia="MS Mincho" w:hAnsi="Calibri" w:cs="Arial"/>
          <w:lang w:eastAsia="ja-JP"/>
        </w:rPr>
        <w:t>he magnitude of the adjustment varie</w:t>
      </w:r>
      <w:r>
        <w:rPr>
          <w:rFonts w:ascii="Calibri" w:eastAsia="MS Mincho" w:hAnsi="Calibri" w:cs="Arial"/>
          <w:lang w:eastAsia="ja-JP"/>
        </w:rPr>
        <w:t>d</w:t>
      </w:r>
      <w:r w:rsidR="00E5509A" w:rsidRPr="00E5509A">
        <w:rPr>
          <w:rFonts w:ascii="Calibri" w:eastAsia="MS Mincho" w:hAnsi="Calibri" w:cs="Arial"/>
          <w:lang w:eastAsia="ja-JP"/>
        </w:rPr>
        <w:t xml:space="preserve"> </w:t>
      </w:r>
      <w:r w:rsidR="00A00BB6" w:rsidRPr="00E5509A">
        <w:rPr>
          <w:rFonts w:ascii="Calibri" w:eastAsia="MS Mincho" w:hAnsi="Calibri" w:cs="Arial"/>
          <w:lang w:eastAsia="ja-JP"/>
        </w:rPr>
        <w:t>according to</w:t>
      </w:r>
      <w:r w:rsidR="00E5509A" w:rsidRPr="00E5509A">
        <w:rPr>
          <w:rFonts w:ascii="Calibri" w:eastAsia="MS Mincho" w:hAnsi="Calibri" w:cs="Arial"/>
          <w:lang w:eastAsia="ja-JP"/>
        </w:rPr>
        <w:t xml:space="preserve"> the </w:t>
      </w:r>
      <w:r w:rsidR="00CA63A8">
        <w:rPr>
          <w:rFonts w:ascii="Calibri" w:eastAsia="MS Mincho" w:hAnsi="Calibri" w:cs="Arial"/>
          <w:lang w:eastAsia="ja-JP"/>
        </w:rPr>
        <w:t>number</w:t>
      </w:r>
      <w:r w:rsidR="00E5509A" w:rsidRPr="00E5509A">
        <w:rPr>
          <w:rFonts w:ascii="Calibri" w:eastAsia="MS Mincho" w:hAnsi="Calibri" w:cs="Arial"/>
          <w:lang w:eastAsia="ja-JP"/>
        </w:rPr>
        <w:t xml:space="preserve"> of prior fracture</w:t>
      </w:r>
      <w:r w:rsidR="00CA63A8">
        <w:rPr>
          <w:rFonts w:ascii="Calibri" w:eastAsia="MS Mincho" w:hAnsi="Calibri" w:cs="Arial"/>
          <w:lang w:eastAsia="ja-JP"/>
        </w:rPr>
        <w:t>s</w:t>
      </w:r>
      <w:r>
        <w:rPr>
          <w:rFonts w:ascii="Calibri" w:eastAsia="MS Mincho" w:hAnsi="Calibri" w:cs="Arial"/>
          <w:lang w:eastAsia="ja-JP"/>
        </w:rPr>
        <w:t>,</w:t>
      </w:r>
      <w:r w:rsidR="00E5509A" w:rsidRPr="00E5509A">
        <w:rPr>
          <w:rFonts w:ascii="Calibri" w:eastAsia="MS Mincho" w:hAnsi="Calibri" w:cs="Arial"/>
          <w:lang w:eastAsia="ja-JP"/>
        </w:rPr>
        <w:t xml:space="preserve"> for </w:t>
      </w:r>
      <w:r w:rsidR="00CA63A8">
        <w:rPr>
          <w:rFonts w:ascii="Calibri" w:eastAsia="MS Mincho" w:hAnsi="Calibri" w:cs="Arial"/>
          <w:lang w:eastAsia="ja-JP"/>
        </w:rPr>
        <w:t xml:space="preserve">the most part </w:t>
      </w:r>
      <w:r w:rsidR="001D19E7">
        <w:rPr>
          <w:rFonts w:ascii="Calibri" w:eastAsia="MS Mincho" w:hAnsi="Calibri" w:cs="Arial"/>
          <w:lang w:eastAsia="ja-JP"/>
        </w:rPr>
        <w:t xml:space="preserve">the adjustment </w:t>
      </w:r>
      <w:r w:rsidR="009469A3">
        <w:rPr>
          <w:rFonts w:ascii="Calibri" w:eastAsia="MS Mincho" w:hAnsi="Calibri" w:cs="Arial"/>
          <w:lang w:eastAsia="ja-JP"/>
        </w:rPr>
        <w:t>was</w:t>
      </w:r>
      <w:r w:rsidR="009B4BE5">
        <w:rPr>
          <w:rFonts w:ascii="Calibri" w:eastAsia="MS Mincho" w:hAnsi="Calibri" w:cs="Arial"/>
          <w:lang w:eastAsia="ja-JP"/>
        </w:rPr>
        <w:t xml:space="preserve"> </w:t>
      </w:r>
      <w:r w:rsidR="00CA63A8">
        <w:rPr>
          <w:rFonts w:ascii="Calibri" w:eastAsia="MS Mincho" w:hAnsi="Calibri" w:cs="Arial"/>
          <w:lang w:eastAsia="ja-JP"/>
        </w:rPr>
        <w:t>similar in men and w</w:t>
      </w:r>
      <w:r w:rsidR="00421CE2">
        <w:rPr>
          <w:rFonts w:ascii="Calibri" w:eastAsia="MS Mincho" w:hAnsi="Calibri" w:cs="Arial"/>
          <w:lang w:eastAsia="ja-JP"/>
        </w:rPr>
        <w:t>omen</w:t>
      </w:r>
      <w:r w:rsidR="0081260B">
        <w:rPr>
          <w:rFonts w:ascii="Calibri" w:eastAsia="MS Mincho" w:hAnsi="Calibri" w:cs="Arial"/>
          <w:lang w:eastAsia="ja-JP"/>
        </w:rPr>
        <w:t>,</w:t>
      </w:r>
      <w:r w:rsidR="00421CE2">
        <w:rPr>
          <w:rFonts w:ascii="Calibri" w:eastAsia="MS Mincho" w:hAnsi="Calibri" w:cs="Arial"/>
          <w:lang w:eastAsia="ja-JP"/>
        </w:rPr>
        <w:t xml:space="preserve"> and for MOF and hip fracture probability</w:t>
      </w:r>
      <w:r w:rsidR="0022388B">
        <w:rPr>
          <w:rFonts w:ascii="Calibri" w:eastAsia="MS Mincho" w:hAnsi="Calibri" w:cs="Arial"/>
          <w:lang w:eastAsia="ja-JP"/>
        </w:rPr>
        <w:t>.  This permit</w:t>
      </w:r>
      <w:r w:rsidR="00F753D4">
        <w:rPr>
          <w:rFonts w:ascii="Calibri" w:eastAsia="MS Mincho" w:hAnsi="Calibri" w:cs="Arial"/>
          <w:lang w:eastAsia="ja-JP"/>
        </w:rPr>
        <w:t>s</w:t>
      </w:r>
      <w:r w:rsidR="0022388B">
        <w:rPr>
          <w:rFonts w:ascii="Calibri" w:eastAsia="MS Mincho" w:hAnsi="Calibri" w:cs="Arial"/>
          <w:lang w:eastAsia="ja-JP"/>
        </w:rPr>
        <w:t xml:space="preserve"> </w:t>
      </w:r>
      <w:r w:rsidR="009B4BE5">
        <w:rPr>
          <w:rFonts w:ascii="Calibri" w:eastAsia="MS Mincho" w:hAnsi="Calibri" w:cs="Arial"/>
          <w:lang w:eastAsia="ja-JP"/>
        </w:rPr>
        <w:t>a</w:t>
      </w:r>
      <w:r w:rsidR="0022388B">
        <w:rPr>
          <w:rFonts w:ascii="Calibri" w:eastAsia="MS Mincho" w:hAnsi="Calibri" w:cs="Arial"/>
          <w:lang w:eastAsia="ja-JP"/>
        </w:rPr>
        <w:t xml:space="preserve"> simplification of the adjustment algorithm</w:t>
      </w:r>
      <w:r w:rsidR="00EF713B">
        <w:rPr>
          <w:rFonts w:ascii="Calibri" w:eastAsia="MS Mincho" w:hAnsi="Calibri" w:cs="Arial"/>
          <w:lang w:eastAsia="ja-JP"/>
        </w:rPr>
        <w:t xml:space="preserve"> for </w:t>
      </w:r>
      <w:r w:rsidR="00092248">
        <w:rPr>
          <w:rFonts w:ascii="Calibri" w:eastAsia="MS Mincho" w:hAnsi="Calibri" w:cs="Arial"/>
          <w:lang w:eastAsia="ja-JP"/>
        </w:rPr>
        <w:t xml:space="preserve">clinical </w:t>
      </w:r>
      <w:r w:rsidR="00EF713B">
        <w:rPr>
          <w:rFonts w:ascii="Calibri" w:eastAsia="MS Mincho" w:hAnsi="Calibri" w:cs="Arial"/>
          <w:lang w:eastAsia="ja-JP"/>
        </w:rPr>
        <w:t>use</w:t>
      </w:r>
      <w:r w:rsidR="0022388B">
        <w:rPr>
          <w:rFonts w:ascii="Calibri" w:eastAsia="MS Mincho" w:hAnsi="Calibri" w:cs="Arial"/>
          <w:lang w:eastAsia="ja-JP"/>
        </w:rPr>
        <w:t>.</w:t>
      </w:r>
      <w:r w:rsidR="00092248">
        <w:rPr>
          <w:rFonts w:ascii="Calibri" w:eastAsia="MS Mincho" w:hAnsi="Calibri" w:cs="Arial"/>
          <w:lang w:eastAsia="ja-JP"/>
        </w:rPr>
        <w:t xml:space="preserve">  </w:t>
      </w:r>
      <w:r w:rsidR="00F753D4" w:rsidRPr="00EC6A38">
        <w:rPr>
          <w:rFonts w:ascii="Calibri" w:eastAsia="Times New Roman" w:hAnsi="Calibri" w:cs="Calibri"/>
          <w:lang w:eastAsia="en-GB"/>
        </w:rPr>
        <w:t xml:space="preserve">The mean probability ratio according to the number of prior fractures for all scenarios in Figure 1 were 0.95, 1.08, 1.21, </w:t>
      </w:r>
      <w:r w:rsidR="00F753D4">
        <w:rPr>
          <w:rFonts w:ascii="Calibri" w:eastAsia="Times New Roman" w:hAnsi="Calibri" w:cs="Calibri"/>
          <w:lang w:eastAsia="en-GB"/>
        </w:rPr>
        <w:t xml:space="preserve">and </w:t>
      </w:r>
      <w:r w:rsidR="00F753D4" w:rsidRPr="00EC6A38">
        <w:rPr>
          <w:rFonts w:ascii="Calibri" w:eastAsia="Times New Roman" w:hAnsi="Calibri" w:cs="Calibri"/>
          <w:lang w:eastAsia="en-GB"/>
        </w:rPr>
        <w:t>1.3</w:t>
      </w:r>
      <w:r w:rsidR="00F753D4">
        <w:rPr>
          <w:rFonts w:ascii="Calibri" w:eastAsia="Times New Roman" w:hAnsi="Calibri" w:cs="Calibri"/>
          <w:lang w:eastAsia="en-GB"/>
        </w:rPr>
        <w:t>5</w:t>
      </w:r>
      <w:r w:rsidR="00F753D4" w:rsidRPr="00EC6A38">
        <w:rPr>
          <w:rFonts w:ascii="Calibri" w:eastAsia="Times New Roman" w:hAnsi="Calibri" w:cs="Calibri"/>
          <w:lang w:eastAsia="en-GB"/>
        </w:rPr>
        <w:t xml:space="preserve"> for 1,2, 3</w:t>
      </w:r>
      <w:r w:rsidR="00F753D4">
        <w:rPr>
          <w:rFonts w:ascii="Calibri" w:eastAsia="Times New Roman" w:hAnsi="Calibri" w:cs="Calibri"/>
          <w:lang w:eastAsia="en-GB"/>
        </w:rPr>
        <w:t xml:space="preserve"> and </w:t>
      </w:r>
      <w:r w:rsidR="00F753D4" w:rsidRPr="00EC6A38">
        <w:rPr>
          <w:rFonts w:ascii="Calibri" w:eastAsia="Times New Roman" w:hAnsi="Calibri" w:cs="Calibri"/>
          <w:lang w:eastAsia="en-GB"/>
        </w:rPr>
        <w:t xml:space="preserve">4 and </w:t>
      </w:r>
      <w:r w:rsidR="00F753D4">
        <w:rPr>
          <w:rFonts w:ascii="Calibri" w:eastAsia="Times New Roman" w:hAnsi="Calibri" w:cs="Calibri"/>
          <w:lang w:eastAsia="en-GB"/>
        </w:rPr>
        <w:t>more</w:t>
      </w:r>
      <w:r w:rsidR="00F753D4" w:rsidRPr="00EC6A38">
        <w:rPr>
          <w:rFonts w:ascii="Calibri" w:eastAsia="Times New Roman" w:hAnsi="Calibri" w:cs="Calibri"/>
          <w:lang w:eastAsia="en-GB"/>
        </w:rPr>
        <w:t xml:space="preserve"> prior fractures, respectively.  Thus</w:t>
      </w:r>
      <w:r w:rsidR="00E22C14">
        <w:rPr>
          <w:rFonts w:ascii="Calibri" w:eastAsia="Times New Roman" w:hAnsi="Calibri" w:cs="Calibri"/>
          <w:lang w:eastAsia="en-GB"/>
        </w:rPr>
        <w:t>,</w:t>
      </w:r>
      <w:r w:rsidR="00F753D4" w:rsidRPr="00EC6A38">
        <w:rPr>
          <w:rFonts w:ascii="Calibri" w:eastAsia="Times New Roman" w:hAnsi="Calibri" w:cs="Calibri"/>
          <w:lang w:eastAsia="en-GB"/>
        </w:rPr>
        <w:t xml:space="preserve"> a simple rule of thumb would be to downward adjust FRAX-based fracture probabilities by 5% in the presence of a single prior fracture and to uplift probabilities by 10, 20, and </w:t>
      </w:r>
      <w:r w:rsidR="00F753D4">
        <w:rPr>
          <w:rFonts w:ascii="Calibri" w:eastAsia="Times New Roman" w:hAnsi="Calibri" w:cs="Calibri"/>
          <w:lang w:eastAsia="en-GB"/>
        </w:rPr>
        <w:t>30</w:t>
      </w:r>
      <w:r w:rsidR="00F753D4" w:rsidRPr="00EC6A38">
        <w:rPr>
          <w:rFonts w:ascii="Calibri" w:eastAsia="Times New Roman" w:hAnsi="Calibri" w:cs="Calibri"/>
          <w:lang w:eastAsia="en-GB"/>
        </w:rPr>
        <w:t xml:space="preserve">% with a history of 2, 3 and </w:t>
      </w:r>
      <w:r w:rsidR="00F753D4">
        <w:rPr>
          <w:rFonts w:ascii="Calibri" w:eastAsia="Times New Roman" w:hAnsi="Calibri" w:cs="Calibri"/>
          <w:lang w:eastAsia="en-GB"/>
        </w:rPr>
        <w:t>4</w:t>
      </w:r>
      <w:r w:rsidR="00F753D4" w:rsidRPr="00EC6A38">
        <w:rPr>
          <w:rFonts w:ascii="Calibri" w:eastAsia="Times New Roman" w:hAnsi="Calibri" w:cs="Calibri"/>
          <w:lang w:eastAsia="en-GB"/>
        </w:rPr>
        <w:t xml:space="preserve"> or more prior fractures, respectively.</w:t>
      </w:r>
      <w:r w:rsidR="00F753D4">
        <w:rPr>
          <w:rFonts w:ascii="Calibri" w:eastAsia="Times New Roman" w:hAnsi="Calibri" w:cs="Calibri"/>
          <w:lang w:eastAsia="en-GB"/>
        </w:rPr>
        <w:t xml:space="preserve">  The rule makes the assumption that differences in fracture probability (MOF or hip fracture), sex and age are similar.  Inspection of figure 1, however, indicates that constancy of the probability ratio by age to be an oversimplification, particularly the </w:t>
      </w:r>
      <w:r w:rsidR="005D3361">
        <w:rPr>
          <w:rFonts w:ascii="Calibri" w:eastAsia="Times New Roman" w:hAnsi="Calibri" w:cs="Calibri"/>
          <w:lang w:eastAsia="en-GB"/>
        </w:rPr>
        <w:t>higher</w:t>
      </w:r>
      <w:r w:rsidR="00F753D4">
        <w:rPr>
          <w:rFonts w:ascii="Calibri" w:eastAsia="Times New Roman" w:hAnsi="Calibri" w:cs="Calibri"/>
          <w:lang w:eastAsia="en-GB"/>
        </w:rPr>
        <w:t xml:space="preserve"> the number of prior fractures.</w:t>
      </w:r>
      <w:r w:rsidR="005D3361">
        <w:rPr>
          <w:rFonts w:ascii="Calibri" w:eastAsia="Times New Roman" w:hAnsi="Calibri" w:cs="Calibri"/>
          <w:lang w:eastAsia="en-GB"/>
        </w:rPr>
        <w:t xml:space="preserve"> For this reason,</w:t>
      </w:r>
      <w:r w:rsidR="005D3361" w:rsidRPr="005D3361">
        <w:t xml:space="preserve"> </w:t>
      </w:r>
      <w:r w:rsidR="005D3361" w:rsidRPr="005D3361">
        <w:rPr>
          <w:rFonts w:ascii="Calibri" w:eastAsia="Times New Roman" w:hAnsi="Calibri" w:cs="Calibri"/>
          <w:lang w:eastAsia="en-GB"/>
        </w:rPr>
        <w:t>computer-based algorithms could provide a more accurate assessment of the adjustment for the number of prior fractures.</w:t>
      </w:r>
    </w:p>
    <w:p w14:paraId="5E58BFFD" w14:textId="795D9AE2" w:rsidR="00A05753" w:rsidRPr="00F577A6" w:rsidRDefault="005C2776" w:rsidP="00527971">
      <w:pPr>
        <w:autoSpaceDE w:val="0"/>
        <w:autoSpaceDN w:val="0"/>
        <w:adjustRightInd w:val="0"/>
        <w:spacing w:line="276" w:lineRule="auto"/>
        <w:ind w:left="567"/>
        <w:rPr>
          <w:rFonts w:ascii="Calibri" w:eastAsia="MS Mincho" w:hAnsi="Calibri" w:cs="Arial"/>
          <w:lang w:eastAsia="ja-JP"/>
        </w:rPr>
      </w:pPr>
      <w:r w:rsidRPr="005C2776">
        <w:rPr>
          <w:rFonts w:ascii="Calibri" w:eastAsia="MS Mincho" w:hAnsi="Calibri" w:cs="Arial"/>
          <w:lang w:eastAsia="ja-JP"/>
        </w:rPr>
        <w:t xml:space="preserve">Many practice guidelines recommend treatment in individuals </w:t>
      </w:r>
      <w:r w:rsidR="00EF042C" w:rsidRPr="00EF042C">
        <w:rPr>
          <w:rFonts w:ascii="Calibri" w:eastAsia="MS Mincho" w:hAnsi="Calibri" w:cs="Arial"/>
          <w:lang w:eastAsia="ja-JP"/>
        </w:rPr>
        <w:t xml:space="preserve">who have sustained a fragility </w:t>
      </w:r>
      <w:r w:rsidR="00EF042C" w:rsidRPr="009F2360">
        <w:rPr>
          <w:rFonts w:ascii="Calibri" w:eastAsia="MS Mincho" w:hAnsi="Calibri" w:cs="Arial"/>
          <w:lang w:eastAsia="ja-JP"/>
        </w:rPr>
        <w:t>fracture [</w:t>
      </w:r>
      <w:r w:rsidR="001D16AD" w:rsidRPr="009F2360">
        <w:rPr>
          <w:rFonts w:ascii="Calibri" w:eastAsia="MS Mincho" w:hAnsi="Calibri" w:cs="Arial"/>
          <w:lang w:eastAsia="ja-JP"/>
        </w:rPr>
        <w:t>35</w:t>
      </w:r>
      <w:r w:rsidR="00CD0B07" w:rsidRPr="009F2360">
        <w:rPr>
          <w:rFonts w:ascii="Calibri" w:eastAsia="MS Mincho" w:hAnsi="Calibri" w:cs="Arial"/>
          <w:lang w:eastAsia="ja-JP"/>
        </w:rPr>
        <w:t>]</w:t>
      </w:r>
      <w:r w:rsidR="00EF042C" w:rsidRPr="009F2360">
        <w:rPr>
          <w:rFonts w:ascii="Calibri" w:eastAsia="MS Mincho" w:hAnsi="Calibri" w:cs="Arial"/>
          <w:lang w:eastAsia="ja-JP"/>
        </w:rPr>
        <w:t>.</w:t>
      </w:r>
      <w:r w:rsidR="00EF042C" w:rsidRPr="00EF042C">
        <w:rPr>
          <w:rFonts w:ascii="Calibri" w:eastAsia="MS Mincho" w:hAnsi="Calibri" w:cs="Arial"/>
          <w:lang w:eastAsia="ja-JP"/>
        </w:rPr>
        <w:t xml:space="preserve">  It might be argued that, if patients with a prior fracture are to be </w:t>
      </w:r>
      <w:r w:rsidR="00EF042C" w:rsidRPr="009D4D05">
        <w:rPr>
          <w:rFonts w:ascii="Calibri" w:eastAsia="MS Mincho" w:hAnsi="Calibri" w:cs="Calibri"/>
          <w:lang w:eastAsia="ja-JP"/>
        </w:rPr>
        <w:t xml:space="preserve">treated, then adjustment for </w:t>
      </w:r>
      <w:r w:rsidR="005169E2" w:rsidRPr="009D4D05">
        <w:rPr>
          <w:rFonts w:ascii="Calibri" w:eastAsia="MS Mincho" w:hAnsi="Calibri" w:cs="Calibri"/>
          <w:lang w:eastAsia="ja-JP"/>
        </w:rPr>
        <w:t>number</w:t>
      </w:r>
      <w:r w:rsidR="00EF042C" w:rsidRPr="009D4D05">
        <w:rPr>
          <w:rFonts w:ascii="Calibri" w:eastAsia="MS Mincho" w:hAnsi="Calibri" w:cs="Calibri"/>
          <w:lang w:eastAsia="ja-JP"/>
        </w:rPr>
        <w:t xml:space="preserve"> of </w:t>
      </w:r>
      <w:r w:rsidR="005169E2" w:rsidRPr="009D4D05">
        <w:rPr>
          <w:rFonts w:ascii="Calibri" w:eastAsia="MS Mincho" w:hAnsi="Calibri" w:cs="Calibri"/>
          <w:lang w:eastAsia="ja-JP"/>
        </w:rPr>
        <w:t xml:space="preserve">prior </w:t>
      </w:r>
      <w:r w:rsidR="00EF042C" w:rsidRPr="009D4D05">
        <w:rPr>
          <w:rFonts w:ascii="Calibri" w:eastAsia="MS Mincho" w:hAnsi="Calibri" w:cs="Calibri"/>
          <w:lang w:eastAsia="ja-JP"/>
        </w:rPr>
        <w:t>fracture</w:t>
      </w:r>
      <w:r w:rsidR="005169E2" w:rsidRPr="009D4D05">
        <w:rPr>
          <w:rFonts w:ascii="Calibri" w:eastAsia="MS Mincho" w:hAnsi="Calibri" w:cs="Calibri"/>
          <w:lang w:eastAsia="ja-JP"/>
        </w:rPr>
        <w:t>s</w:t>
      </w:r>
      <w:r w:rsidR="00EF042C" w:rsidRPr="009D4D05">
        <w:rPr>
          <w:rFonts w:ascii="Calibri" w:eastAsia="MS Mincho" w:hAnsi="Calibri" w:cs="Calibri"/>
          <w:lang w:eastAsia="ja-JP"/>
        </w:rPr>
        <w:t xml:space="preserve"> is not worthwhile</w:t>
      </w:r>
      <w:r w:rsidR="00E05254" w:rsidRPr="009D4D05">
        <w:rPr>
          <w:rFonts w:ascii="Calibri" w:hAnsi="Calibri" w:cs="Calibri"/>
        </w:rPr>
        <w:t xml:space="preserve"> in that </w:t>
      </w:r>
      <w:r w:rsidR="00E05254" w:rsidRPr="009D4D05">
        <w:rPr>
          <w:rFonts w:ascii="Calibri" w:eastAsia="MS Mincho" w:hAnsi="Calibri" w:cs="Calibri"/>
          <w:lang w:eastAsia="ja-JP"/>
        </w:rPr>
        <w:t>the adjustm</w:t>
      </w:r>
      <w:r w:rsidR="00E05254" w:rsidRPr="00E05254">
        <w:rPr>
          <w:rFonts w:ascii="Calibri" w:eastAsia="MS Mincho" w:hAnsi="Calibri" w:cs="Arial"/>
          <w:lang w:eastAsia="ja-JP"/>
        </w:rPr>
        <w:t>ent to FRAX would not change the decision to treat an individual</w:t>
      </w:r>
      <w:r w:rsidR="00EF042C" w:rsidRPr="00EF042C">
        <w:rPr>
          <w:rFonts w:ascii="Calibri" w:eastAsia="MS Mincho" w:hAnsi="Calibri" w:cs="Arial"/>
          <w:lang w:eastAsia="ja-JP"/>
        </w:rPr>
        <w:t>.  However, several considerations should temper this view.  First, some assessment guidelines restrict the indication for treatment to a prior hip fracture alone, prior hip or vertebral fractures, to multiple fractures, or to fracture patients only in the presence of densitometric osteoporosis [</w:t>
      </w:r>
      <w:r w:rsidR="0073282A">
        <w:rPr>
          <w:rFonts w:ascii="Calibri" w:eastAsia="MS Mincho" w:hAnsi="Calibri" w:cs="Arial"/>
          <w:lang w:eastAsia="ja-JP"/>
        </w:rPr>
        <w:t>24</w:t>
      </w:r>
      <w:r w:rsidR="0073282A" w:rsidRPr="009F2360">
        <w:rPr>
          <w:rFonts w:ascii="Calibri" w:eastAsia="MS Mincho" w:hAnsi="Calibri" w:cs="Arial"/>
          <w:lang w:eastAsia="ja-JP"/>
        </w:rPr>
        <w:t xml:space="preserve">, </w:t>
      </w:r>
      <w:r w:rsidR="009145D4" w:rsidRPr="009F2360">
        <w:rPr>
          <w:rFonts w:ascii="Calibri" w:eastAsia="MS Mincho" w:hAnsi="Calibri" w:cs="Arial"/>
          <w:lang w:eastAsia="ja-JP"/>
        </w:rPr>
        <w:t xml:space="preserve">36, </w:t>
      </w:r>
      <w:r w:rsidR="00C84044" w:rsidRPr="009F2360">
        <w:rPr>
          <w:rFonts w:ascii="Calibri" w:eastAsia="MS Mincho" w:hAnsi="Calibri" w:cs="Arial"/>
          <w:lang w:eastAsia="ja-JP"/>
        </w:rPr>
        <w:t xml:space="preserve">37, </w:t>
      </w:r>
      <w:r w:rsidR="002E1947" w:rsidRPr="009F2360">
        <w:rPr>
          <w:rFonts w:ascii="Calibri" w:eastAsia="MS Mincho" w:hAnsi="Calibri" w:cs="Arial"/>
          <w:lang w:eastAsia="ja-JP"/>
        </w:rPr>
        <w:t>38, 39,</w:t>
      </w:r>
      <w:r w:rsidR="0020156E" w:rsidRPr="009F2360">
        <w:rPr>
          <w:rFonts w:ascii="Calibri" w:eastAsia="MS Mincho" w:hAnsi="Calibri" w:cs="Arial"/>
          <w:lang w:eastAsia="ja-JP"/>
        </w:rPr>
        <w:t xml:space="preserve"> </w:t>
      </w:r>
      <w:r w:rsidR="00874CBB" w:rsidRPr="009F2360">
        <w:rPr>
          <w:rFonts w:ascii="Calibri" w:eastAsia="MS Mincho" w:hAnsi="Calibri" w:cs="Arial"/>
          <w:lang w:eastAsia="ja-JP"/>
        </w:rPr>
        <w:t>40]</w:t>
      </w:r>
      <w:r w:rsidR="00EF042C" w:rsidRPr="009F2360">
        <w:rPr>
          <w:rFonts w:ascii="Calibri" w:eastAsia="MS Mincho" w:hAnsi="Calibri" w:cs="Arial"/>
          <w:lang w:eastAsia="ja-JP"/>
        </w:rPr>
        <w:t>.</w:t>
      </w:r>
      <w:r w:rsidR="00EF042C" w:rsidRPr="00EF042C">
        <w:rPr>
          <w:rFonts w:ascii="Calibri" w:eastAsia="MS Mincho" w:hAnsi="Calibri" w:cs="Arial"/>
          <w:lang w:eastAsia="ja-JP"/>
        </w:rPr>
        <w:t xml:space="preserve"> </w:t>
      </w:r>
      <w:r w:rsidRPr="005C2776">
        <w:rPr>
          <w:rFonts w:ascii="Calibri" w:eastAsia="MS Mincho" w:hAnsi="Calibri" w:cs="Arial"/>
          <w:lang w:eastAsia="ja-JP"/>
        </w:rPr>
        <w:t xml:space="preserve"> </w:t>
      </w:r>
      <w:r w:rsidR="004C71A4" w:rsidRPr="004C71A4">
        <w:rPr>
          <w:rFonts w:ascii="Calibri" w:eastAsia="MS Mincho" w:hAnsi="Calibri" w:cs="Arial"/>
          <w:lang w:eastAsia="ja-JP"/>
        </w:rPr>
        <w:t xml:space="preserve">Second, </w:t>
      </w:r>
      <w:r w:rsidR="00A60862">
        <w:rPr>
          <w:rFonts w:ascii="Calibri" w:eastAsia="MS Mincho" w:hAnsi="Calibri" w:cs="Arial"/>
          <w:lang w:eastAsia="ja-JP"/>
        </w:rPr>
        <w:t>pat</w:t>
      </w:r>
      <w:r w:rsidR="0055667A">
        <w:rPr>
          <w:rFonts w:ascii="Calibri" w:eastAsia="MS Mincho" w:hAnsi="Calibri" w:cs="Arial"/>
          <w:lang w:eastAsia="ja-JP"/>
        </w:rPr>
        <w:t>ients may be reclassified from high risk to very high risk</w:t>
      </w:r>
      <w:r w:rsidR="008C5B04">
        <w:rPr>
          <w:rFonts w:ascii="Calibri" w:eastAsia="MS Mincho" w:hAnsi="Calibri" w:cs="Arial"/>
          <w:lang w:eastAsia="ja-JP"/>
        </w:rPr>
        <w:t xml:space="preserve">, a dichotomisation </w:t>
      </w:r>
      <w:r w:rsidR="008C5B04" w:rsidRPr="008C5B04">
        <w:rPr>
          <w:rFonts w:ascii="Calibri" w:eastAsia="MS Mincho" w:hAnsi="Calibri" w:cs="Arial"/>
          <w:lang w:eastAsia="ja-JP"/>
        </w:rPr>
        <w:t>recognise</w:t>
      </w:r>
      <w:r w:rsidR="00DB4773">
        <w:rPr>
          <w:rFonts w:ascii="Calibri" w:eastAsia="MS Mincho" w:hAnsi="Calibri" w:cs="Arial"/>
          <w:lang w:eastAsia="ja-JP"/>
        </w:rPr>
        <w:t xml:space="preserve">d </w:t>
      </w:r>
      <w:r w:rsidR="00C10642">
        <w:rPr>
          <w:rFonts w:ascii="Calibri" w:eastAsia="MS Mincho" w:hAnsi="Calibri" w:cs="Arial"/>
          <w:lang w:eastAsia="ja-JP"/>
        </w:rPr>
        <w:t>by the</w:t>
      </w:r>
      <w:r w:rsidR="004C71A4" w:rsidRPr="004C71A4">
        <w:rPr>
          <w:rFonts w:ascii="Calibri" w:eastAsia="MS Mincho" w:hAnsi="Calibri" w:cs="Arial"/>
          <w:lang w:eastAsia="ja-JP"/>
        </w:rPr>
        <w:t xml:space="preserve"> International Osteoporosis Foundation (IOF)</w:t>
      </w:r>
      <w:r w:rsidR="00102704">
        <w:rPr>
          <w:rFonts w:ascii="Calibri" w:eastAsia="MS Mincho" w:hAnsi="Calibri" w:cs="Arial"/>
          <w:lang w:eastAsia="ja-JP"/>
        </w:rPr>
        <w:t>,</w:t>
      </w:r>
      <w:r w:rsidR="004C71A4" w:rsidRPr="004C71A4">
        <w:rPr>
          <w:rFonts w:ascii="Calibri" w:eastAsia="MS Mincho" w:hAnsi="Calibri" w:cs="Arial"/>
          <w:lang w:eastAsia="ja-JP"/>
        </w:rPr>
        <w:t xml:space="preserve"> the European Society for Clinical and Economic Evaluation of Osteoporosis and </w:t>
      </w:r>
      <w:r w:rsidR="004C71A4" w:rsidRPr="008400CE">
        <w:rPr>
          <w:rFonts w:ascii="Calibri" w:eastAsia="MS Mincho" w:hAnsi="Calibri" w:cs="Arial"/>
          <w:lang w:eastAsia="ja-JP"/>
        </w:rPr>
        <w:t>Osteoarthritis (ESCEO) [</w:t>
      </w:r>
      <w:r w:rsidR="000856D2" w:rsidRPr="008400CE">
        <w:rPr>
          <w:rFonts w:ascii="Calibri" w:eastAsia="MS Mincho" w:hAnsi="Calibri" w:cs="Arial"/>
          <w:lang w:eastAsia="ja-JP"/>
        </w:rPr>
        <w:t>41]</w:t>
      </w:r>
      <w:r w:rsidR="00A20E0C" w:rsidRPr="008400CE">
        <w:rPr>
          <w:rFonts w:ascii="Calibri" w:eastAsia="MS Mincho" w:hAnsi="Calibri" w:cs="Arial"/>
          <w:lang w:eastAsia="ja-JP"/>
        </w:rPr>
        <w:t xml:space="preserve">, </w:t>
      </w:r>
      <w:r w:rsidR="00D56412" w:rsidRPr="008400CE">
        <w:rPr>
          <w:rFonts w:ascii="Calibri" w:eastAsia="MS Mincho" w:hAnsi="Calibri" w:cs="Arial"/>
          <w:lang w:eastAsia="ja-JP"/>
        </w:rPr>
        <w:t xml:space="preserve">American Association </w:t>
      </w:r>
      <w:r w:rsidR="00F73E3C" w:rsidRPr="008400CE">
        <w:rPr>
          <w:rFonts w:ascii="Calibri" w:eastAsia="MS Mincho" w:hAnsi="Calibri" w:cs="Arial"/>
          <w:lang w:eastAsia="ja-JP"/>
        </w:rPr>
        <w:t>o</w:t>
      </w:r>
      <w:r w:rsidR="00D56412" w:rsidRPr="008400CE">
        <w:rPr>
          <w:rFonts w:ascii="Calibri" w:eastAsia="MS Mincho" w:hAnsi="Calibri" w:cs="Arial"/>
          <w:lang w:eastAsia="ja-JP"/>
        </w:rPr>
        <w:t xml:space="preserve">f Clinical Endocrinologists, American College </w:t>
      </w:r>
      <w:r w:rsidR="00F73E3C" w:rsidRPr="008400CE">
        <w:rPr>
          <w:rFonts w:ascii="Calibri" w:eastAsia="MS Mincho" w:hAnsi="Calibri" w:cs="Arial"/>
          <w:lang w:eastAsia="ja-JP"/>
        </w:rPr>
        <w:t>o</w:t>
      </w:r>
      <w:r w:rsidR="00D56412" w:rsidRPr="008400CE">
        <w:rPr>
          <w:rFonts w:ascii="Calibri" w:eastAsia="MS Mincho" w:hAnsi="Calibri" w:cs="Arial"/>
          <w:lang w:eastAsia="ja-JP"/>
        </w:rPr>
        <w:t xml:space="preserve">f Endocrinology </w:t>
      </w:r>
      <w:r w:rsidR="00A635AF" w:rsidRPr="008400CE">
        <w:rPr>
          <w:rFonts w:ascii="Calibri" w:eastAsia="MS Mincho" w:hAnsi="Calibri" w:cs="Arial"/>
          <w:lang w:eastAsia="ja-JP"/>
        </w:rPr>
        <w:t>[</w:t>
      </w:r>
      <w:r w:rsidR="00BF4A9A" w:rsidRPr="008400CE">
        <w:rPr>
          <w:rFonts w:ascii="Calibri" w:eastAsia="MS Mincho" w:hAnsi="Calibri" w:cs="Arial"/>
          <w:lang w:eastAsia="ja-JP"/>
        </w:rPr>
        <w:t xml:space="preserve">42] </w:t>
      </w:r>
      <w:r w:rsidR="00A635AF" w:rsidRPr="008400CE">
        <w:rPr>
          <w:rFonts w:ascii="Calibri" w:eastAsia="MS Mincho" w:hAnsi="Calibri" w:cs="Arial"/>
          <w:lang w:eastAsia="ja-JP"/>
        </w:rPr>
        <w:t>a</w:t>
      </w:r>
      <w:r w:rsidR="00A20E0C" w:rsidRPr="008400CE">
        <w:rPr>
          <w:rFonts w:ascii="Calibri" w:eastAsia="MS Mincho" w:hAnsi="Calibri" w:cs="Arial"/>
          <w:lang w:eastAsia="ja-JP"/>
        </w:rPr>
        <w:t>nd more recently by the National Osteoporosis Guideline G</w:t>
      </w:r>
      <w:r w:rsidR="005423BD" w:rsidRPr="008400CE">
        <w:rPr>
          <w:rFonts w:ascii="Calibri" w:eastAsia="MS Mincho" w:hAnsi="Calibri" w:cs="Arial"/>
          <w:lang w:eastAsia="ja-JP"/>
        </w:rPr>
        <w:t>roup (NOGG) in the UK [</w:t>
      </w:r>
      <w:r w:rsidR="0028504D" w:rsidRPr="008400CE">
        <w:rPr>
          <w:rFonts w:ascii="Calibri" w:eastAsia="MS Mincho" w:hAnsi="Calibri" w:cs="Arial"/>
          <w:lang w:eastAsia="ja-JP"/>
        </w:rPr>
        <w:t>43,</w:t>
      </w:r>
      <w:r w:rsidR="00890FBB" w:rsidRPr="008400CE">
        <w:rPr>
          <w:rFonts w:ascii="Calibri" w:eastAsia="MS Mincho" w:hAnsi="Calibri" w:cs="Arial"/>
          <w:lang w:eastAsia="ja-JP"/>
        </w:rPr>
        <w:t xml:space="preserve"> 44</w:t>
      </w:r>
      <w:r w:rsidR="004C71A4" w:rsidRPr="008400CE">
        <w:rPr>
          <w:rFonts w:ascii="Calibri" w:eastAsia="MS Mincho" w:hAnsi="Calibri" w:cs="Arial"/>
          <w:lang w:eastAsia="ja-JP"/>
        </w:rPr>
        <w:t xml:space="preserve">.  </w:t>
      </w:r>
      <w:r w:rsidR="004F4A21" w:rsidRPr="008400CE">
        <w:rPr>
          <w:rFonts w:ascii="Calibri" w:eastAsia="MS Mincho" w:hAnsi="Calibri" w:cs="Arial"/>
          <w:lang w:eastAsia="ja-JP"/>
        </w:rPr>
        <w:t>Those designated at very high risk are considered</w:t>
      </w:r>
      <w:r w:rsidR="004F4A21" w:rsidRPr="004F4A21">
        <w:rPr>
          <w:rFonts w:ascii="Calibri" w:eastAsia="MS Mincho" w:hAnsi="Calibri" w:cs="Arial"/>
          <w:lang w:eastAsia="ja-JP"/>
        </w:rPr>
        <w:t xml:space="preserve"> to be candidates for anabolic treatment followed by antiresorptive treatment as first line rather than treatment with inhibitors of bone resorption alone.</w:t>
      </w:r>
      <w:r w:rsidR="009A47C6">
        <w:rPr>
          <w:rFonts w:ascii="Calibri" w:eastAsia="MS Mincho" w:hAnsi="Calibri" w:cs="Arial"/>
          <w:lang w:eastAsia="ja-JP"/>
        </w:rPr>
        <w:t xml:space="preserve"> </w:t>
      </w:r>
      <w:r w:rsidR="00BE3F62">
        <w:rPr>
          <w:rFonts w:ascii="Calibri" w:eastAsia="MS Mincho" w:hAnsi="Calibri" w:cs="Arial"/>
          <w:lang w:eastAsia="ja-JP"/>
        </w:rPr>
        <w:t xml:space="preserve"> </w:t>
      </w:r>
      <w:r w:rsidR="00BC2DD5">
        <w:rPr>
          <w:rFonts w:ascii="Calibri" w:eastAsia="MS Mincho" w:hAnsi="Calibri" w:cs="Arial"/>
          <w:lang w:eastAsia="ja-JP"/>
        </w:rPr>
        <w:t>A</w:t>
      </w:r>
      <w:r w:rsidR="004C71A4" w:rsidRPr="004C71A4">
        <w:rPr>
          <w:rFonts w:ascii="Calibri" w:eastAsia="MS Mincho" w:hAnsi="Calibri" w:cs="Arial"/>
          <w:lang w:eastAsia="ja-JP"/>
        </w:rPr>
        <w:t xml:space="preserve">nabolic agents, including new agents such as abaloparatide and romosozumab, or established agents such as teriparatide, have demonstrably more rapid and greater fracture risk reductions than antiresorptive </w:t>
      </w:r>
      <w:r w:rsidR="004C71A4" w:rsidRPr="008400CE">
        <w:rPr>
          <w:rFonts w:ascii="Calibri" w:eastAsia="MS Mincho" w:hAnsi="Calibri" w:cs="Arial"/>
          <w:lang w:eastAsia="ja-JP"/>
        </w:rPr>
        <w:t>treatments [</w:t>
      </w:r>
      <w:r w:rsidR="006E73BD" w:rsidRPr="008400CE">
        <w:rPr>
          <w:rFonts w:ascii="Calibri" w:eastAsia="MS Mincho" w:hAnsi="Calibri" w:cs="Arial"/>
          <w:lang w:eastAsia="ja-JP"/>
        </w:rPr>
        <w:t xml:space="preserve">45, </w:t>
      </w:r>
      <w:r w:rsidR="003710DE" w:rsidRPr="008400CE">
        <w:rPr>
          <w:rFonts w:ascii="Calibri" w:eastAsia="MS Mincho" w:hAnsi="Calibri" w:cs="Arial"/>
          <w:lang w:eastAsia="ja-JP"/>
        </w:rPr>
        <w:t xml:space="preserve">46, </w:t>
      </w:r>
      <w:r w:rsidR="00BF4792" w:rsidRPr="008400CE">
        <w:rPr>
          <w:rFonts w:ascii="Calibri" w:eastAsia="MS Mincho" w:hAnsi="Calibri" w:cs="Arial"/>
          <w:lang w:eastAsia="ja-JP"/>
        </w:rPr>
        <w:t>47]</w:t>
      </w:r>
      <w:r w:rsidR="004C71A4" w:rsidRPr="008400CE">
        <w:rPr>
          <w:rFonts w:ascii="Calibri" w:eastAsia="MS Mincho" w:hAnsi="Calibri" w:cs="Arial"/>
          <w:lang w:eastAsia="ja-JP"/>
        </w:rPr>
        <w:t>.</w:t>
      </w:r>
      <w:r w:rsidR="004C71A4" w:rsidRPr="004C71A4">
        <w:rPr>
          <w:rFonts w:ascii="Calibri" w:eastAsia="MS Mincho" w:hAnsi="Calibri" w:cs="Arial"/>
          <w:lang w:eastAsia="ja-JP"/>
        </w:rPr>
        <w:t xml:space="preserve">  </w:t>
      </w:r>
      <w:r w:rsidR="00E92A2E" w:rsidRPr="00E92A2E">
        <w:rPr>
          <w:rFonts w:ascii="Calibri" w:eastAsia="MS Mincho" w:hAnsi="Calibri" w:cs="Arial"/>
          <w:lang w:eastAsia="ja-JP"/>
        </w:rPr>
        <w:t xml:space="preserve">Finally, the discussion of fracture probabilities is of value in the interaction of patients and health care professionals which may in turn promote adherence to </w:t>
      </w:r>
      <w:r w:rsidR="00E92A2E" w:rsidRPr="008400CE">
        <w:rPr>
          <w:rFonts w:ascii="Calibri" w:eastAsia="MS Mincho" w:hAnsi="Calibri" w:cs="Arial"/>
          <w:lang w:eastAsia="ja-JP"/>
        </w:rPr>
        <w:t>medication [</w:t>
      </w:r>
      <w:r w:rsidR="00BF4792" w:rsidRPr="008400CE">
        <w:rPr>
          <w:rFonts w:ascii="Calibri" w:eastAsia="MS Mincho" w:hAnsi="Calibri" w:cs="Arial"/>
          <w:lang w:eastAsia="ja-JP"/>
        </w:rPr>
        <w:t>48]</w:t>
      </w:r>
      <w:r w:rsidR="00E92A2E" w:rsidRPr="008400CE">
        <w:rPr>
          <w:rFonts w:ascii="Calibri" w:eastAsia="MS Mincho" w:hAnsi="Calibri" w:cs="Arial"/>
          <w:lang w:eastAsia="ja-JP"/>
        </w:rPr>
        <w:t>.</w:t>
      </w:r>
    </w:p>
    <w:p w14:paraId="76C5AA6A" w14:textId="77777777" w:rsidR="002E6967" w:rsidRPr="00F577A6" w:rsidRDefault="002E6967" w:rsidP="003E2446">
      <w:pPr>
        <w:autoSpaceDE w:val="0"/>
        <w:autoSpaceDN w:val="0"/>
        <w:adjustRightInd w:val="0"/>
        <w:spacing w:line="276" w:lineRule="auto"/>
        <w:ind w:left="567"/>
        <w:rPr>
          <w:rFonts w:ascii="Calibri" w:eastAsia="MS Mincho" w:hAnsi="Calibri" w:cs="Arial"/>
          <w:b/>
          <w:bCs/>
          <w:highlight w:val="yellow"/>
          <w:lang w:eastAsia="ja-JP"/>
        </w:rPr>
      </w:pPr>
    </w:p>
    <w:p w14:paraId="756AEB7C" w14:textId="5818158D" w:rsidR="00F426F6" w:rsidRPr="004222BC" w:rsidRDefault="009C48CF" w:rsidP="00921CAC">
      <w:pPr>
        <w:autoSpaceDE w:val="0"/>
        <w:autoSpaceDN w:val="0"/>
        <w:adjustRightInd w:val="0"/>
        <w:spacing w:line="276" w:lineRule="auto"/>
        <w:ind w:left="567"/>
        <w:rPr>
          <w:rFonts w:ascii="Calibri" w:hAnsi="Calibri" w:cs="Calibri"/>
          <w:color w:val="131413"/>
          <w:highlight w:val="yellow"/>
        </w:rPr>
      </w:pPr>
      <w:r w:rsidRPr="00F72115">
        <w:rPr>
          <w:rFonts w:ascii="Calibri" w:hAnsi="Calibri" w:cs="Calibri"/>
          <w:color w:val="131413"/>
        </w:rPr>
        <w:t xml:space="preserve">Strengths </w:t>
      </w:r>
      <w:r w:rsidR="006702CB">
        <w:rPr>
          <w:rFonts w:ascii="Calibri" w:hAnsi="Calibri" w:cs="Calibri"/>
          <w:color w:val="131413"/>
        </w:rPr>
        <w:t>of</w:t>
      </w:r>
      <w:r w:rsidRPr="00F72115">
        <w:rPr>
          <w:rFonts w:ascii="Calibri" w:hAnsi="Calibri" w:cs="Calibri"/>
          <w:color w:val="131413"/>
        </w:rPr>
        <w:t xml:space="preserve"> this study were the random sampling of a</w:t>
      </w:r>
      <w:r w:rsidR="00950760" w:rsidRPr="00F72115">
        <w:rPr>
          <w:rFonts w:ascii="Calibri" w:hAnsi="Calibri" w:cs="Calibri"/>
          <w:color w:val="131413"/>
        </w:rPr>
        <w:t xml:space="preserve"> </w:t>
      </w:r>
      <w:r w:rsidRPr="00F72115">
        <w:rPr>
          <w:rFonts w:ascii="Calibri" w:hAnsi="Calibri" w:cs="Calibri"/>
          <w:color w:val="131413"/>
        </w:rPr>
        <w:t>large population</w:t>
      </w:r>
      <w:r w:rsidR="00D00246" w:rsidRPr="00F72115">
        <w:rPr>
          <w:rFonts w:ascii="Calibri" w:hAnsi="Calibri" w:cs="Calibri"/>
          <w:color w:val="131413"/>
        </w:rPr>
        <w:t>,</w:t>
      </w:r>
      <w:r w:rsidRPr="00F72115">
        <w:rPr>
          <w:rFonts w:ascii="Calibri" w:hAnsi="Calibri" w:cs="Calibri"/>
          <w:color w:val="131413"/>
        </w:rPr>
        <w:t xml:space="preserve"> the detail placed on fracture ascertainment</w:t>
      </w:r>
      <w:r w:rsidR="009C73C8" w:rsidRPr="00F72115">
        <w:rPr>
          <w:rFonts w:ascii="Calibri" w:hAnsi="Calibri" w:cs="Calibri"/>
          <w:color w:val="131413"/>
        </w:rPr>
        <w:t>,</w:t>
      </w:r>
      <w:r w:rsidR="00D00246" w:rsidRPr="00F72115">
        <w:rPr>
          <w:rFonts w:ascii="Calibri" w:hAnsi="Calibri" w:cs="Calibri"/>
          <w:color w:val="131413"/>
        </w:rPr>
        <w:t xml:space="preserve"> </w:t>
      </w:r>
      <w:r w:rsidRPr="00F72115">
        <w:rPr>
          <w:rFonts w:ascii="Calibri" w:hAnsi="Calibri" w:cs="Calibri"/>
          <w:color w:val="131413"/>
        </w:rPr>
        <w:t>the long duration of observation</w:t>
      </w:r>
      <w:r w:rsidR="001E6DED" w:rsidRPr="00F72115">
        <w:rPr>
          <w:rFonts w:ascii="Calibri" w:hAnsi="Calibri" w:cs="Calibri"/>
          <w:color w:val="131413"/>
        </w:rPr>
        <w:t xml:space="preserve"> </w:t>
      </w:r>
      <w:r w:rsidR="00E150BF" w:rsidRPr="00F72115">
        <w:rPr>
          <w:rFonts w:ascii="Calibri" w:hAnsi="Calibri" w:cs="Calibri"/>
          <w:color w:val="131413"/>
        </w:rPr>
        <w:t>[</w:t>
      </w:r>
      <w:r w:rsidR="004C19F0">
        <w:rPr>
          <w:rFonts w:ascii="Calibri" w:hAnsi="Calibri" w:cs="Calibri"/>
          <w:color w:val="131413"/>
        </w:rPr>
        <w:t xml:space="preserve">27] </w:t>
      </w:r>
      <w:r w:rsidR="00E45221" w:rsidRPr="00F72115">
        <w:rPr>
          <w:rFonts w:ascii="Calibri" w:hAnsi="Calibri" w:cs="Calibri"/>
          <w:color w:val="131413"/>
        </w:rPr>
        <w:t>and the high accuracy</w:t>
      </w:r>
      <w:r w:rsidR="009F3979" w:rsidRPr="00F72115">
        <w:rPr>
          <w:rFonts w:ascii="Calibri" w:hAnsi="Calibri" w:cs="Calibri"/>
          <w:color w:val="131413"/>
        </w:rPr>
        <w:t xml:space="preserve"> for the ascertainment of</w:t>
      </w:r>
      <w:r w:rsidR="00B72712" w:rsidRPr="00F72115">
        <w:rPr>
          <w:rFonts w:ascii="Calibri" w:hAnsi="Calibri" w:cs="Calibri"/>
          <w:color w:val="131413"/>
        </w:rPr>
        <w:t xml:space="preserve"> fractures [</w:t>
      </w:r>
      <w:r w:rsidR="00523D1C">
        <w:rPr>
          <w:rFonts w:ascii="Calibri" w:hAnsi="Calibri" w:cs="Calibri"/>
          <w:color w:val="131413"/>
        </w:rPr>
        <w:t>29]</w:t>
      </w:r>
      <w:r w:rsidR="00647857" w:rsidRPr="00F72115">
        <w:rPr>
          <w:rFonts w:ascii="Calibri" w:hAnsi="Calibri" w:cs="Calibri"/>
          <w:color w:val="131413"/>
        </w:rPr>
        <w:t>.</w:t>
      </w:r>
      <w:r w:rsidR="00C40BF0" w:rsidRPr="00F72115">
        <w:rPr>
          <w:rFonts w:ascii="Calibri" w:hAnsi="Calibri" w:cs="Calibri"/>
          <w:color w:val="131413"/>
        </w:rPr>
        <w:t xml:space="preserve"> </w:t>
      </w:r>
      <w:r w:rsidR="00B142D5" w:rsidRPr="00F72115">
        <w:rPr>
          <w:rFonts w:ascii="Calibri" w:hAnsi="Calibri" w:cs="Calibri"/>
          <w:color w:val="131413"/>
        </w:rPr>
        <w:t xml:space="preserve"> </w:t>
      </w:r>
      <w:r w:rsidR="00C40BF0" w:rsidRPr="00F72115">
        <w:rPr>
          <w:rFonts w:ascii="Calibri" w:hAnsi="Calibri" w:cs="Calibri"/>
          <w:color w:val="131413"/>
        </w:rPr>
        <w:t>H</w:t>
      </w:r>
      <w:r w:rsidRPr="00F72115">
        <w:rPr>
          <w:rFonts w:ascii="Calibri" w:hAnsi="Calibri" w:cs="Calibri"/>
          <w:color w:val="131413"/>
        </w:rPr>
        <w:t>owever, there were also, some limitations</w:t>
      </w:r>
      <w:r w:rsidR="0039024C" w:rsidRPr="00F72115">
        <w:rPr>
          <w:rFonts w:ascii="Calibri" w:hAnsi="Calibri" w:cs="Calibri"/>
          <w:color w:val="131413"/>
        </w:rPr>
        <w:t xml:space="preserve"> </w:t>
      </w:r>
      <w:r w:rsidR="004D2C1F" w:rsidRPr="004D2C1F">
        <w:rPr>
          <w:rFonts w:ascii="Calibri" w:hAnsi="Calibri" w:cs="Calibri"/>
          <w:color w:val="131413"/>
        </w:rPr>
        <w:t>which should be considered in the interpretation of the results</w:t>
      </w:r>
      <w:r w:rsidRPr="00F72115">
        <w:rPr>
          <w:rFonts w:ascii="Calibri" w:hAnsi="Calibri" w:cs="Calibri"/>
          <w:color w:val="131413"/>
        </w:rPr>
        <w:t xml:space="preserve">. </w:t>
      </w:r>
      <w:r w:rsidR="00B142D5" w:rsidRPr="00F72115">
        <w:rPr>
          <w:rFonts w:ascii="Calibri" w:hAnsi="Calibri" w:cs="Calibri"/>
          <w:color w:val="131413"/>
        </w:rPr>
        <w:t xml:space="preserve"> </w:t>
      </w:r>
      <w:r w:rsidR="00CE2831">
        <w:rPr>
          <w:rFonts w:ascii="Calibri" w:hAnsi="Calibri" w:cs="Calibri"/>
          <w:color w:val="131413"/>
        </w:rPr>
        <w:t>First,</w:t>
      </w:r>
      <w:r w:rsidR="005A5777" w:rsidRPr="00070CDD">
        <w:rPr>
          <w:rFonts w:ascii="Calibri" w:hAnsi="Calibri" w:cs="Calibri"/>
          <w:color w:val="131413"/>
        </w:rPr>
        <w:t xml:space="preserve"> the probability </w:t>
      </w:r>
      <w:r w:rsidR="00905AB2" w:rsidRPr="00070CDD">
        <w:rPr>
          <w:rFonts w:ascii="Calibri" w:hAnsi="Calibri" w:cs="Calibri"/>
          <w:color w:val="131413"/>
        </w:rPr>
        <w:t xml:space="preserve">calculations and the </w:t>
      </w:r>
      <w:r w:rsidR="005A5777" w:rsidRPr="00070CDD">
        <w:rPr>
          <w:rFonts w:ascii="Calibri" w:hAnsi="Calibri" w:cs="Calibri"/>
          <w:color w:val="131413"/>
        </w:rPr>
        <w:t xml:space="preserve">ratios </w:t>
      </w:r>
      <w:r w:rsidR="00905AB2" w:rsidRPr="00070CDD">
        <w:rPr>
          <w:rFonts w:ascii="Calibri" w:hAnsi="Calibri" w:cs="Calibri"/>
          <w:color w:val="131413"/>
        </w:rPr>
        <w:t>derived ther</w:t>
      </w:r>
      <w:r w:rsidR="00956C6B" w:rsidRPr="00070CDD">
        <w:rPr>
          <w:rFonts w:ascii="Calibri" w:hAnsi="Calibri" w:cs="Calibri"/>
          <w:color w:val="131413"/>
        </w:rPr>
        <w:t xml:space="preserve">efrom </w:t>
      </w:r>
      <w:r w:rsidR="005A5777" w:rsidRPr="00070CDD">
        <w:rPr>
          <w:rFonts w:ascii="Calibri" w:hAnsi="Calibri" w:cs="Calibri"/>
          <w:color w:val="131413"/>
        </w:rPr>
        <w:t xml:space="preserve">were determined </w:t>
      </w:r>
      <w:r w:rsidR="00956C6B" w:rsidRPr="00070CDD">
        <w:rPr>
          <w:rFonts w:ascii="Calibri" w:hAnsi="Calibri" w:cs="Calibri"/>
          <w:color w:val="131413"/>
        </w:rPr>
        <w:t xml:space="preserve">without the inclusion of bone mineral </w:t>
      </w:r>
      <w:r w:rsidR="00640B9B" w:rsidRPr="00070CDD">
        <w:rPr>
          <w:rFonts w:ascii="Calibri" w:hAnsi="Calibri" w:cs="Calibri"/>
          <w:color w:val="131413"/>
        </w:rPr>
        <w:t>density</w:t>
      </w:r>
      <w:r w:rsidR="00B65D17">
        <w:rPr>
          <w:rFonts w:ascii="Calibri" w:hAnsi="Calibri" w:cs="Calibri"/>
          <w:color w:val="131413"/>
        </w:rPr>
        <w:t xml:space="preserve"> or other FRAX risk facto</w:t>
      </w:r>
      <w:r w:rsidR="00DC1D65">
        <w:rPr>
          <w:rFonts w:ascii="Calibri" w:hAnsi="Calibri" w:cs="Calibri"/>
          <w:color w:val="131413"/>
        </w:rPr>
        <w:t xml:space="preserve">rs for fracture, </w:t>
      </w:r>
      <w:r w:rsidR="008E3E1A" w:rsidRPr="00070CDD">
        <w:rPr>
          <w:rFonts w:ascii="Calibri" w:hAnsi="Calibri" w:cs="Calibri"/>
          <w:color w:val="131413"/>
        </w:rPr>
        <w:t>an omission that requires further study.</w:t>
      </w:r>
      <w:r w:rsidR="00C40F6E" w:rsidRPr="00070CDD">
        <w:rPr>
          <w:rFonts w:ascii="Calibri" w:hAnsi="Calibri" w:cs="Calibri"/>
          <w:color w:val="131413"/>
        </w:rPr>
        <w:t xml:space="preserve"> </w:t>
      </w:r>
      <w:r w:rsidR="00070CDD">
        <w:rPr>
          <w:rFonts w:ascii="Calibri" w:hAnsi="Calibri" w:cs="Calibri"/>
          <w:color w:val="131413"/>
        </w:rPr>
        <w:t xml:space="preserve"> Notwithstanding, the</w:t>
      </w:r>
      <w:r w:rsidR="00B448C1">
        <w:rPr>
          <w:rFonts w:ascii="Calibri" w:hAnsi="Calibri" w:cs="Calibri"/>
          <w:color w:val="131413"/>
        </w:rPr>
        <w:t xml:space="preserve"> </w:t>
      </w:r>
      <w:r w:rsidR="00070CDD">
        <w:rPr>
          <w:rFonts w:ascii="Calibri" w:hAnsi="Calibri" w:cs="Calibri"/>
          <w:color w:val="131413"/>
        </w:rPr>
        <w:t>increased fracture risk asso</w:t>
      </w:r>
      <w:r w:rsidR="009926CB">
        <w:rPr>
          <w:rFonts w:ascii="Calibri" w:hAnsi="Calibri" w:cs="Calibri"/>
          <w:color w:val="131413"/>
        </w:rPr>
        <w:t xml:space="preserve">ciated with a prior fracture is largely independent of </w:t>
      </w:r>
      <w:r w:rsidR="00B448C1" w:rsidRPr="00B448C1">
        <w:rPr>
          <w:rFonts w:ascii="Calibri" w:hAnsi="Calibri" w:cs="Calibri"/>
          <w:color w:val="131413"/>
        </w:rPr>
        <w:t>bone mineral density</w:t>
      </w:r>
      <w:r w:rsidR="00B448C1">
        <w:rPr>
          <w:rFonts w:ascii="Calibri" w:hAnsi="Calibri" w:cs="Calibri"/>
          <w:color w:val="131413"/>
        </w:rPr>
        <w:t xml:space="preserve"> [</w:t>
      </w:r>
      <w:r w:rsidR="005606EC">
        <w:rPr>
          <w:rFonts w:ascii="Calibri" w:hAnsi="Calibri" w:cs="Calibri"/>
          <w:color w:val="131413"/>
        </w:rPr>
        <w:t>12]</w:t>
      </w:r>
      <w:r w:rsidR="00B448C1">
        <w:rPr>
          <w:rFonts w:ascii="Calibri" w:hAnsi="Calibri" w:cs="Calibri"/>
          <w:color w:val="131413"/>
        </w:rPr>
        <w:t>.</w:t>
      </w:r>
      <w:r w:rsidR="00E21428" w:rsidRPr="00E21428">
        <w:t xml:space="preserve"> </w:t>
      </w:r>
      <w:r w:rsidR="00E529C2">
        <w:t xml:space="preserve"> </w:t>
      </w:r>
      <w:r w:rsidR="00E21428" w:rsidRPr="00E21428">
        <w:rPr>
          <w:rFonts w:ascii="Calibri" w:hAnsi="Calibri" w:cs="Calibri"/>
          <w:color w:val="131413"/>
        </w:rPr>
        <w:t xml:space="preserve">A </w:t>
      </w:r>
      <w:r w:rsidR="00E529C2">
        <w:rPr>
          <w:rFonts w:ascii="Calibri" w:hAnsi="Calibri" w:cs="Calibri"/>
          <w:color w:val="131413"/>
        </w:rPr>
        <w:t xml:space="preserve">further </w:t>
      </w:r>
      <w:r w:rsidR="00E21428" w:rsidRPr="00E21428">
        <w:rPr>
          <w:rFonts w:ascii="Calibri" w:hAnsi="Calibri" w:cs="Calibri"/>
          <w:color w:val="131413"/>
        </w:rPr>
        <w:t>limitation is the lack of external</w:t>
      </w:r>
      <w:r w:rsidR="006976AE">
        <w:rPr>
          <w:rFonts w:ascii="Calibri" w:hAnsi="Calibri" w:cs="Calibri"/>
          <w:color w:val="131413"/>
        </w:rPr>
        <w:t xml:space="preserve"> </w:t>
      </w:r>
      <w:r w:rsidR="00F85F33">
        <w:rPr>
          <w:rFonts w:ascii="Calibri" w:hAnsi="Calibri" w:cs="Calibri"/>
          <w:color w:val="131413"/>
        </w:rPr>
        <w:t>v</w:t>
      </w:r>
      <w:r w:rsidR="00E21428" w:rsidRPr="00E21428">
        <w:rPr>
          <w:rFonts w:ascii="Calibri" w:hAnsi="Calibri" w:cs="Calibri"/>
          <w:color w:val="131413"/>
        </w:rPr>
        <w:t>alidation</w:t>
      </w:r>
      <w:r w:rsidR="00CF5D84">
        <w:rPr>
          <w:rFonts w:ascii="Calibri" w:hAnsi="Calibri" w:cs="Calibri"/>
          <w:color w:val="131413"/>
        </w:rPr>
        <w:t xml:space="preserve"> in terms of probability </w:t>
      </w:r>
      <w:r w:rsidR="00F85F33">
        <w:rPr>
          <w:rFonts w:ascii="Calibri" w:hAnsi="Calibri" w:cs="Calibri"/>
          <w:color w:val="131413"/>
        </w:rPr>
        <w:t>ratios</w:t>
      </w:r>
      <w:r w:rsidR="00CF5D84">
        <w:rPr>
          <w:rFonts w:ascii="Calibri" w:hAnsi="Calibri" w:cs="Calibri"/>
          <w:color w:val="131413"/>
        </w:rPr>
        <w:t>.  The increase in fracture risk, however,</w:t>
      </w:r>
      <w:r w:rsidR="00921CAC">
        <w:rPr>
          <w:rFonts w:ascii="Calibri" w:hAnsi="Calibri" w:cs="Calibri"/>
          <w:color w:val="131413"/>
        </w:rPr>
        <w:t xml:space="preserve"> was comparable to other independent studies.</w:t>
      </w:r>
      <w:r w:rsidR="00AE21EB">
        <w:rPr>
          <w:rFonts w:ascii="Calibri" w:hAnsi="Calibri" w:cs="Calibri"/>
          <w:color w:val="131413"/>
        </w:rPr>
        <w:t xml:space="preserve">  </w:t>
      </w:r>
      <w:r w:rsidR="004A0840" w:rsidRPr="00403C65">
        <w:rPr>
          <w:rFonts w:ascii="Calibri" w:hAnsi="Calibri" w:cs="Calibri"/>
          <w:color w:val="131413"/>
          <w:highlight w:val="yellow"/>
        </w:rPr>
        <w:t>Moreover</w:t>
      </w:r>
      <w:r w:rsidR="006B2534" w:rsidRPr="00403C65">
        <w:rPr>
          <w:rFonts w:ascii="Calibri" w:hAnsi="Calibri" w:cs="Calibri"/>
          <w:color w:val="131413"/>
          <w:highlight w:val="yellow"/>
        </w:rPr>
        <w:t xml:space="preserve">, the increase in fracture risk associated with a prior fracture is remarkably constant </w:t>
      </w:r>
      <w:r w:rsidR="00403C65" w:rsidRPr="00F84AFD">
        <w:rPr>
          <w:rFonts w:ascii="Calibri" w:hAnsi="Calibri" w:cs="Calibri"/>
          <w:color w:val="131413"/>
          <w:highlight w:val="yellow"/>
        </w:rPr>
        <w:t xml:space="preserve">worldwide.  </w:t>
      </w:r>
      <w:r w:rsidR="00403C65" w:rsidRPr="00F17381">
        <w:rPr>
          <w:rFonts w:ascii="Calibri" w:hAnsi="Calibri" w:cs="Calibri"/>
          <w:color w:val="131413"/>
          <w:highlight w:val="yellow"/>
        </w:rPr>
        <w:t>Notwithstanding</w:t>
      </w:r>
      <w:r w:rsidR="00F84AFD" w:rsidRPr="00F17381">
        <w:rPr>
          <w:rFonts w:ascii="Calibri" w:hAnsi="Calibri" w:cs="Calibri"/>
          <w:color w:val="131413"/>
          <w:highlight w:val="yellow"/>
        </w:rPr>
        <w:t xml:space="preserve">, </w:t>
      </w:r>
      <w:r w:rsidR="00F42EB0" w:rsidRPr="00F17381">
        <w:rPr>
          <w:rFonts w:ascii="Calibri" w:hAnsi="Calibri" w:cs="Calibri"/>
          <w:color w:val="131413"/>
          <w:highlight w:val="yellow"/>
        </w:rPr>
        <w:t>confirmation in further studies in different populations is warranted</w:t>
      </w:r>
      <w:r w:rsidR="00F17381" w:rsidRPr="00F17381">
        <w:rPr>
          <w:rFonts w:ascii="Calibri" w:hAnsi="Calibri" w:cs="Calibri"/>
          <w:color w:val="131413"/>
          <w:highlight w:val="yellow"/>
        </w:rPr>
        <w:t>.</w:t>
      </w:r>
      <w:r w:rsidR="00F17381">
        <w:rPr>
          <w:rFonts w:ascii="Calibri" w:hAnsi="Calibri" w:cs="Calibri"/>
          <w:color w:val="131413"/>
        </w:rPr>
        <w:t xml:space="preserve">  </w:t>
      </w:r>
      <w:r w:rsidR="009D55FD">
        <w:rPr>
          <w:rFonts w:ascii="Calibri" w:hAnsi="Calibri" w:cs="Calibri"/>
          <w:color w:val="131413"/>
        </w:rPr>
        <w:t>Finally</w:t>
      </w:r>
      <w:r w:rsidR="00041BA2">
        <w:rPr>
          <w:rFonts w:ascii="Calibri" w:hAnsi="Calibri" w:cs="Calibri"/>
          <w:color w:val="131413"/>
        </w:rPr>
        <w:t xml:space="preserve">, a </w:t>
      </w:r>
      <w:r w:rsidR="00FE5340">
        <w:rPr>
          <w:rFonts w:ascii="Calibri" w:hAnsi="Calibri" w:cs="Calibri"/>
          <w:color w:val="131413"/>
        </w:rPr>
        <w:t>20-year</w:t>
      </w:r>
      <w:r w:rsidR="00041BA2">
        <w:rPr>
          <w:rFonts w:ascii="Calibri" w:hAnsi="Calibri" w:cs="Calibri"/>
          <w:color w:val="131413"/>
        </w:rPr>
        <w:t xml:space="preserve"> horizon</w:t>
      </w:r>
      <w:r w:rsidR="002F68D6">
        <w:rPr>
          <w:rFonts w:ascii="Calibri" w:hAnsi="Calibri" w:cs="Calibri"/>
          <w:color w:val="131413"/>
        </w:rPr>
        <w:t xml:space="preserve"> for fracture history was chosen</w:t>
      </w:r>
      <w:r w:rsidR="006C5C43">
        <w:rPr>
          <w:rFonts w:ascii="Calibri" w:hAnsi="Calibri" w:cs="Calibri"/>
          <w:color w:val="131413"/>
        </w:rPr>
        <w:t xml:space="preserve"> and it is possible that </w:t>
      </w:r>
      <w:r w:rsidR="00DD1898">
        <w:rPr>
          <w:rFonts w:ascii="Calibri" w:hAnsi="Calibri" w:cs="Calibri"/>
          <w:color w:val="131413"/>
        </w:rPr>
        <w:t xml:space="preserve">other horizons could yield different </w:t>
      </w:r>
      <w:r w:rsidR="00372297">
        <w:rPr>
          <w:rFonts w:ascii="Calibri" w:hAnsi="Calibri" w:cs="Calibri"/>
          <w:color w:val="131413"/>
        </w:rPr>
        <w:t xml:space="preserve">fracture risks.  The omission of some fractures in </w:t>
      </w:r>
      <w:r w:rsidR="00227760">
        <w:rPr>
          <w:rFonts w:ascii="Calibri" w:hAnsi="Calibri" w:cs="Calibri"/>
          <w:color w:val="131413"/>
        </w:rPr>
        <w:t>our sensitivity analysis suggests that the effect, i</w:t>
      </w:r>
      <w:r w:rsidR="00AE323D">
        <w:rPr>
          <w:rFonts w:ascii="Calibri" w:hAnsi="Calibri" w:cs="Calibri"/>
          <w:color w:val="131413"/>
        </w:rPr>
        <w:t>f any, is likely to be small.</w:t>
      </w:r>
    </w:p>
    <w:p w14:paraId="48F1AAEC" w14:textId="77777777" w:rsidR="00F426F6" w:rsidRPr="004222BC" w:rsidRDefault="00F426F6" w:rsidP="003E2446">
      <w:pPr>
        <w:autoSpaceDE w:val="0"/>
        <w:autoSpaceDN w:val="0"/>
        <w:adjustRightInd w:val="0"/>
        <w:spacing w:line="276" w:lineRule="auto"/>
        <w:ind w:left="567"/>
        <w:rPr>
          <w:rFonts w:ascii="Calibri" w:hAnsi="Calibri" w:cs="Calibri"/>
          <w:color w:val="131413"/>
          <w:highlight w:val="yellow"/>
        </w:rPr>
      </w:pPr>
    </w:p>
    <w:p w14:paraId="34237FAC" w14:textId="2837EBA0" w:rsidR="007B4893" w:rsidRDefault="003F4826" w:rsidP="003E2446">
      <w:pPr>
        <w:autoSpaceDE w:val="0"/>
        <w:autoSpaceDN w:val="0"/>
        <w:adjustRightInd w:val="0"/>
        <w:spacing w:line="276" w:lineRule="auto"/>
        <w:ind w:left="567"/>
        <w:rPr>
          <w:rFonts w:ascii="Calibri" w:hAnsi="Calibri" w:cs="Calibri"/>
          <w:color w:val="131413"/>
        </w:rPr>
      </w:pPr>
      <w:r w:rsidRPr="00555A25">
        <w:rPr>
          <w:rFonts w:ascii="Calibri" w:hAnsi="Calibri" w:cs="Calibri"/>
          <w:color w:val="131413"/>
        </w:rPr>
        <w:t>For the present stu</w:t>
      </w:r>
      <w:r w:rsidR="00B7653F" w:rsidRPr="00555A25">
        <w:rPr>
          <w:rFonts w:ascii="Calibri" w:hAnsi="Calibri" w:cs="Calibri"/>
          <w:color w:val="131413"/>
        </w:rPr>
        <w:t>dy</w:t>
      </w:r>
      <w:r w:rsidR="00416919" w:rsidRPr="00555A25">
        <w:rPr>
          <w:rFonts w:ascii="Calibri" w:hAnsi="Calibri" w:cs="Calibri"/>
          <w:color w:val="131413"/>
        </w:rPr>
        <w:t xml:space="preserve">, we relied on </w:t>
      </w:r>
      <w:r w:rsidR="00CD423D" w:rsidRPr="00555A25">
        <w:rPr>
          <w:rFonts w:ascii="Calibri" w:hAnsi="Calibri" w:cs="Calibri"/>
          <w:color w:val="131413"/>
        </w:rPr>
        <w:t>withi</w:t>
      </w:r>
      <w:r w:rsidR="00894DCE" w:rsidRPr="00555A25">
        <w:rPr>
          <w:rFonts w:ascii="Calibri" w:hAnsi="Calibri" w:cs="Calibri"/>
          <w:color w:val="131413"/>
        </w:rPr>
        <w:t>n cohort</w:t>
      </w:r>
      <w:r w:rsidR="003451C5" w:rsidRPr="00555A25">
        <w:rPr>
          <w:rFonts w:ascii="Calibri" w:hAnsi="Calibri" w:cs="Calibri"/>
          <w:color w:val="131413"/>
        </w:rPr>
        <w:t xml:space="preserve"> </w:t>
      </w:r>
      <w:r w:rsidR="00416919" w:rsidRPr="00555A25">
        <w:rPr>
          <w:rFonts w:ascii="Calibri" w:hAnsi="Calibri" w:cs="Calibri"/>
          <w:color w:val="131413"/>
        </w:rPr>
        <w:t xml:space="preserve">probability </w:t>
      </w:r>
      <w:r w:rsidR="00CD423D" w:rsidRPr="00555A25">
        <w:rPr>
          <w:rFonts w:ascii="Calibri" w:hAnsi="Calibri" w:cs="Calibri"/>
          <w:color w:val="131413"/>
        </w:rPr>
        <w:t>calculations</w:t>
      </w:r>
      <w:r w:rsidR="003451C5" w:rsidRPr="00555A25">
        <w:rPr>
          <w:rFonts w:ascii="Calibri" w:hAnsi="Calibri" w:cs="Calibri"/>
          <w:color w:val="131413"/>
        </w:rPr>
        <w:t xml:space="preserve"> rather than on </w:t>
      </w:r>
      <w:r w:rsidR="00691445" w:rsidRPr="00555A25">
        <w:rPr>
          <w:rFonts w:ascii="Calibri" w:hAnsi="Calibri" w:cs="Calibri"/>
          <w:color w:val="131413"/>
        </w:rPr>
        <w:t xml:space="preserve">FRAX.  </w:t>
      </w:r>
      <w:r w:rsidR="005B1368" w:rsidRPr="00555A25">
        <w:rPr>
          <w:rFonts w:ascii="Calibri" w:hAnsi="Calibri" w:cs="Calibri"/>
          <w:color w:val="131413"/>
        </w:rPr>
        <w:t xml:space="preserve">This was required because </w:t>
      </w:r>
      <w:r w:rsidR="00CC3D57" w:rsidRPr="00555A25">
        <w:rPr>
          <w:rFonts w:ascii="Calibri" w:hAnsi="Calibri" w:cs="Calibri"/>
          <w:color w:val="131413"/>
        </w:rPr>
        <w:t>a proportion</w:t>
      </w:r>
      <w:r w:rsidR="00610126" w:rsidRPr="00555A25">
        <w:rPr>
          <w:rFonts w:ascii="Calibri" w:hAnsi="Calibri" w:cs="Calibri"/>
          <w:color w:val="131413"/>
        </w:rPr>
        <w:t xml:space="preserve"> of</w:t>
      </w:r>
      <w:r w:rsidR="00CC3D57" w:rsidRPr="00555A25">
        <w:rPr>
          <w:rFonts w:ascii="Calibri" w:hAnsi="Calibri" w:cs="Calibri"/>
          <w:color w:val="131413"/>
        </w:rPr>
        <w:t xml:space="preserve"> </w:t>
      </w:r>
      <w:r w:rsidR="005B1368" w:rsidRPr="00555A25">
        <w:rPr>
          <w:rFonts w:ascii="Calibri" w:hAnsi="Calibri" w:cs="Calibri"/>
          <w:color w:val="131413"/>
        </w:rPr>
        <w:t>individuals with a prior fracture</w:t>
      </w:r>
      <w:r w:rsidR="00CC3D57" w:rsidRPr="00555A25">
        <w:rPr>
          <w:rFonts w:ascii="Calibri" w:hAnsi="Calibri" w:cs="Calibri"/>
          <w:color w:val="131413"/>
        </w:rPr>
        <w:t xml:space="preserve"> would have other risk factors</w:t>
      </w:r>
      <w:r w:rsidR="001A310C" w:rsidRPr="00555A25">
        <w:rPr>
          <w:rFonts w:ascii="Calibri" w:hAnsi="Calibri" w:cs="Calibri"/>
          <w:color w:val="131413"/>
        </w:rPr>
        <w:t xml:space="preserve"> whereas FRAX</w:t>
      </w:r>
      <w:r w:rsidR="00B81D91" w:rsidRPr="00555A25">
        <w:rPr>
          <w:rFonts w:ascii="Calibri" w:hAnsi="Calibri" w:cs="Calibri"/>
          <w:color w:val="131413"/>
        </w:rPr>
        <w:t xml:space="preserve">, </w:t>
      </w:r>
      <w:r w:rsidR="009161AB" w:rsidRPr="00555A25">
        <w:rPr>
          <w:rFonts w:ascii="Calibri" w:hAnsi="Calibri" w:cs="Calibri"/>
          <w:color w:val="131413"/>
        </w:rPr>
        <w:t>developed for individual rather than populatio</w:t>
      </w:r>
      <w:r w:rsidR="001C5EE3" w:rsidRPr="00555A25">
        <w:rPr>
          <w:rFonts w:ascii="Calibri" w:hAnsi="Calibri" w:cs="Calibri"/>
          <w:color w:val="131413"/>
        </w:rPr>
        <w:t>n assessment,</w:t>
      </w:r>
      <w:r w:rsidR="001A310C" w:rsidRPr="00555A25">
        <w:rPr>
          <w:rFonts w:ascii="Calibri" w:hAnsi="Calibri" w:cs="Calibri"/>
          <w:color w:val="131413"/>
        </w:rPr>
        <w:t xml:space="preserve"> does not accommodate</w:t>
      </w:r>
      <w:r w:rsidR="0040278B" w:rsidRPr="00555A25">
        <w:rPr>
          <w:rFonts w:ascii="Calibri" w:hAnsi="Calibri" w:cs="Calibri"/>
          <w:color w:val="131413"/>
        </w:rPr>
        <w:t xml:space="preserve"> proportional </w:t>
      </w:r>
      <w:r w:rsidR="001F7D82" w:rsidRPr="00555A25">
        <w:rPr>
          <w:rFonts w:ascii="Calibri" w:hAnsi="Calibri" w:cs="Calibri"/>
          <w:color w:val="131413"/>
        </w:rPr>
        <w:t xml:space="preserve">exposure to clinical risk factors.  </w:t>
      </w:r>
      <w:r w:rsidR="00CE6352" w:rsidRPr="00555A25">
        <w:rPr>
          <w:rFonts w:ascii="Calibri" w:hAnsi="Calibri" w:cs="Calibri"/>
          <w:color w:val="131413"/>
        </w:rPr>
        <w:t>Despite the differences</w:t>
      </w:r>
      <w:r w:rsidR="004841FE" w:rsidRPr="00555A25">
        <w:rPr>
          <w:rFonts w:ascii="Calibri" w:hAnsi="Calibri" w:cs="Calibri"/>
          <w:color w:val="131413"/>
        </w:rPr>
        <w:t xml:space="preserve"> in absolute</w:t>
      </w:r>
      <w:r w:rsidR="00250D87" w:rsidRPr="00555A25">
        <w:rPr>
          <w:rFonts w:ascii="Calibri" w:hAnsi="Calibri" w:cs="Calibri"/>
          <w:color w:val="131413"/>
        </w:rPr>
        <w:t xml:space="preserve"> probabilities</w:t>
      </w:r>
      <w:r w:rsidR="006E7360" w:rsidRPr="00555A25">
        <w:rPr>
          <w:rFonts w:ascii="Calibri" w:hAnsi="Calibri" w:cs="Calibri"/>
          <w:color w:val="131413"/>
        </w:rPr>
        <w:t>, the risk ratio</w:t>
      </w:r>
      <w:r w:rsidR="008A180E" w:rsidRPr="00555A25">
        <w:rPr>
          <w:rFonts w:ascii="Calibri" w:hAnsi="Calibri" w:cs="Calibri"/>
          <w:color w:val="131413"/>
        </w:rPr>
        <w:t xml:space="preserve"> for a</w:t>
      </w:r>
      <w:r w:rsidR="00F77853" w:rsidRPr="00555A25">
        <w:rPr>
          <w:rFonts w:ascii="Calibri" w:hAnsi="Calibri" w:cs="Calibri"/>
          <w:color w:val="131413"/>
        </w:rPr>
        <w:t xml:space="preserve"> prior fracture versus no prior fracture was </w:t>
      </w:r>
      <w:r w:rsidR="00250D87" w:rsidRPr="00555A25">
        <w:rPr>
          <w:rFonts w:ascii="Calibri" w:hAnsi="Calibri" w:cs="Calibri"/>
          <w:color w:val="131413"/>
        </w:rPr>
        <w:t xml:space="preserve">near </w:t>
      </w:r>
      <w:r w:rsidR="001D37D8" w:rsidRPr="00555A25">
        <w:rPr>
          <w:rFonts w:ascii="Calibri" w:hAnsi="Calibri" w:cs="Calibri"/>
          <w:color w:val="131413"/>
        </w:rPr>
        <w:t>identi</w:t>
      </w:r>
      <w:r w:rsidR="00250D87" w:rsidRPr="00555A25">
        <w:rPr>
          <w:rFonts w:ascii="Calibri" w:hAnsi="Calibri" w:cs="Calibri"/>
          <w:color w:val="131413"/>
        </w:rPr>
        <w:t>c</w:t>
      </w:r>
      <w:r w:rsidR="001D37D8" w:rsidRPr="00555A25">
        <w:rPr>
          <w:rFonts w:ascii="Calibri" w:hAnsi="Calibri" w:cs="Calibri"/>
          <w:color w:val="131413"/>
        </w:rPr>
        <w:t xml:space="preserve">al </w:t>
      </w:r>
      <w:r w:rsidR="00250D87" w:rsidRPr="00555A25">
        <w:rPr>
          <w:rFonts w:ascii="Calibri" w:hAnsi="Calibri" w:cs="Calibri"/>
          <w:color w:val="131413"/>
        </w:rPr>
        <w:t xml:space="preserve">in the present study </w:t>
      </w:r>
      <w:r w:rsidR="001D37D8" w:rsidRPr="00555A25">
        <w:rPr>
          <w:rFonts w:ascii="Calibri" w:hAnsi="Calibri" w:cs="Calibri"/>
          <w:color w:val="131413"/>
        </w:rPr>
        <w:t>to that of FRAX</w:t>
      </w:r>
      <w:r w:rsidR="00555A25">
        <w:rPr>
          <w:rFonts w:ascii="Calibri" w:hAnsi="Calibri" w:cs="Calibri"/>
          <w:color w:val="131413"/>
        </w:rPr>
        <w:t xml:space="preserve"> </w:t>
      </w:r>
      <w:r w:rsidR="00AF50AB">
        <w:rPr>
          <w:rFonts w:ascii="Calibri" w:hAnsi="Calibri" w:cs="Calibri"/>
          <w:color w:val="131413"/>
        </w:rPr>
        <w:t>[</w:t>
      </w:r>
      <w:r w:rsidR="0044521C">
        <w:rPr>
          <w:rFonts w:ascii="Calibri" w:hAnsi="Calibri" w:cs="Calibri"/>
          <w:color w:val="131413"/>
        </w:rPr>
        <w:t>18]</w:t>
      </w:r>
      <w:r w:rsidR="00661B09" w:rsidRPr="002F43A1">
        <w:rPr>
          <w:rFonts w:ascii="Calibri" w:hAnsi="Calibri" w:cs="Calibri"/>
          <w:color w:val="131413"/>
        </w:rPr>
        <w:t>.</w:t>
      </w:r>
      <w:r w:rsidR="003E0D20" w:rsidRPr="003E0D20">
        <w:t xml:space="preserve"> </w:t>
      </w:r>
      <w:r w:rsidR="008400CE">
        <w:t xml:space="preserve"> </w:t>
      </w:r>
      <w:r w:rsidR="003E0D20" w:rsidRPr="003E0D20">
        <w:rPr>
          <w:rFonts w:ascii="Calibri" w:hAnsi="Calibri" w:cs="Calibri"/>
          <w:color w:val="131413"/>
        </w:rPr>
        <w:t xml:space="preserve">This </w:t>
      </w:r>
      <w:r w:rsidR="00710E01">
        <w:rPr>
          <w:rFonts w:ascii="Calibri" w:hAnsi="Calibri" w:cs="Calibri"/>
          <w:color w:val="131413"/>
        </w:rPr>
        <w:t>supports a view</w:t>
      </w:r>
      <w:r w:rsidR="003E0D20" w:rsidRPr="003E0D20">
        <w:rPr>
          <w:rFonts w:ascii="Calibri" w:hAnsi="Calibri" w:cs="Calibri"/>
          <w:color w:val="131413"/>
        </w:rPr>
        <w:t xml:space="preserve"> that the probability ratios derived in the present study can be applied to adjust FRAX estimates of fracture probability in all FRAX models.</w:t>
      </w:r>
    </w:p>
    <w:p w14:paraId="22D2A779" w14:textId="77777777" w:rsidR="00710E01" w:rsidRPr="004222BC" w:rsidRDefault="00710E01" w:rsidP="003E2446">
      <w:pPr>
        <w:autoSpaceDE w:val="0"/>
        <w:autoSpaceDN w:val="0"/>
        <w:adjustRightInd w:val="0"/>
        <w:spacing w:line="276" w:lineRule="auto"/>
        <w:ind w:left="567"/>
        <w:rPr>
          <w:rFonts w:ascii="Calibri" w:hAnsi="Calibri" w:cs="Calibri"/>
          <w:color w:val="131413"/>
          <w:highlight w:val="yellow"/>
        </w:rPr>
      </w:pPr>
    </w:p>
    <w:p w14:paraId="7E3B961A" w14:textId="2F13164F" w:rsidR="001E69B9" w:rsidRPr="0098285F" w:rsidRDefault="001F43A3" w:rsidP="003E2446">
      <w:pPr>
        <w:autoSpaceDE w:val="0"/>
        <w:autoSpaceDN w:val="0"/>
        <w:adjustRightInd w:val="0"/>
        <w:spacing w:line="276" w:lineRule="auto"/>
        <w:ind w:left="567"/>
        <w:rPr>
          <w:rFonts w:ascii="Calibri" w:hAnsi="Calibri" w:cs="Calibri"/>
          <w:color w:val="131413"/>
        </w:rPr>
      </w:pPr>
      <w:r>
        <w:rPr>
          <w:rFonts w:ascii="Calibri" w:hAnsi="Calibri" w:cs="Calibri"/>
          <w:color w:val="131413"/>
        </w:rPr>
        <w:t>Ideally, FRAX s</w:t>
      </w:r>
      <w:r w:rsidR="002F61E8">
        <w:rPr>
          <w:rFonts w:ascii="Calibri" w:hAnsi="Calibri" w:cs="Calibri"/>
          <w:color w:val="131413"/>
        </w:rPr>
        <w:t>h</w:t>
      </w:r>
      <w:r>
        <w:rPr>
          <w:rFonts w:ascii="Calibri" w:hAnsi="Calibri" w:cs="Calibri"/>
          <w:color w:val="131413"/>
        </w:rPr>
        <w:t xml:space="preserve">ould incorporate the </w:t>
      </w:r>
      <w:r w:rsidR="008A73B3">
        <w:rPr>
          <w:rFonts w:ascii="Calibri" w:hAnsi="Calibri" w:cs="Calibri"/>
          <w:color w:val="131413"/>
        </w:rPr>
        <w:t>number of prior fragility fractures as an input variable</w:t>
      </w:r>
      <w:r w:rsidR="002F61E8">
        <w:rPr>
          <w:rFonts w:ascii="Calibri" w:hAnsi="Calibri" w:cs="Calibri"/>
          <w:color w:val="131413"/>
        </w:rPr>
        <w:t>. However, t</w:t>
      </w:r>
      <w:r w:rsidR="001E69B9" w:rsidRPr="001E69B9">
        <w:rPr>
          <w:rFonts w:ascii="Calibri" w:hAnsi="Calibri" w:cs="Calibri"/>
          <w:color w:val="131413"/>
        </w:rPr>
        <w:t xml:space="preserve">he incorporation of this variable into FRAX would demand international confirmation with prospective databases that had more or less complete information on all FRAX risk factors.  Such data do not (yet) exist.  For this reason, our intent is to develop an ‘add on’ to FRAX in much the same way as is undertaken for Trabecular Bone Score, </w:t>
      </w:r>
      <w:r w:rsidR="00374ED1" w:rsidRPr="00374ED1">
        <w:rPr>
          <w:rFonts w:ascii="Calibri" w:hAnsi="Calibri" w:cs="Calibri"/>
          <w:color w:val="131413"/>
        </w:rPr>
        <w:t xml:space="preserve">to allow for exploratory examination of the impact of prior fracture number as well as </w:t>
      </w:r>
      <w:r w:rsidR="001E69B9" w:rsidRPr="001E69B9">
        <w:rPr>
          <w:rFonts w:ascii="Calibri" w:hAnsi="Calibri" w:cs="Calibri"/>
          <w:color w:val="131413"/>
        </w:rPr>
        <w:t>recency of fracture, glucocorticoid dose etc under the banner of FRAXplus®</w:t>
      </w:r>
      <w:r w:rsidR="00206C05">
        <w:rPr>
          <w:rFonts w:ascii="Calibri" w:hAnsi="Calibri" w:cs="Calibri"/>
          <w:color w:val="131413"/>
        </w:rPr>
        <w:t>.</w:t>
      </w:r>
      <w:r w:rsidR="001E69B9" w:rsidRPr="001E69B9">
        <w:rPr>
          <w:rFonts w:ascii="Calibri" w:hAnsi="Calibri" w:cs="Calibri"/>
          <w:color w:val="131413"/>
        </w:rPr>
        <w:t xml:space="preserve">  </w:t>
      </w:r>
    </w:p>
    <w:p w14:paraId="0520CCA6" w14:textId="77777777" w:rsidR="000640DA" w:rsidRPr="004222BC" w:rsidRDefault="000640DA" w:rsidP="003E2446">
      <w:pPr>
        <w:autoSpaceDE w:val="0"/>
        <w:autoSpaceDN w:val="0"/>
        <w:adjustRightInd w:val="0"/>
        <w:spacing w:line="276" w:lineRule="auto"/>
        <w:ind w:left="567"/>
        <w:rPr>
          <w:rFonts w:ascii="Calibri" w:hAnsi="Calibri" w:cs="Calibri"/>
          <w:color w:val="131413"/>
          <w:highlight w:val="yellow"/>
        </w:rPr>
      </w:pPr>
    </w:p>
    <w:p w14:paraId="66D461F5" w14:textId="78D063F8" w:rsidR="002463B9" w:rsidRPr="00133046" w:rsidRDefault="0059475B" w:rsidP="002463B9">
      <w:pPr>
        <w:autoSpaceDE w:val="0"/>
        <w:autoSpaceDN w:val="0"/>
        <w:adjustRightInd w:val="0"/>
        <w:spacing w:line="276" w:lineRule="auto"/>
        <w:ind w:left="567"/>
        <w:rPr>
          <w:rFonts w:ascii="Calibri" w:eastAsia="MS Mincho" w:hAnsi="Calibri" w:cs="Arial"/>
          <w:lang w:eastAsia="ja-JP"/>
        </w:rPr>
      </w:pPr>
      <w:r w:rsidRPr="00133046">
        <w:rPr>
          <w:rFonts w:ascii="Calibri" w:eastAsia="MS Mincho" w:hAnsi="Calibri" w:cs="Arial"/>
          <w:lang w:eastAsia="ja-JP"/>
        </w:rPr>
        <w:t>We co</w:t>
      </w:r>
      <w:r w:rsidR="00E4201B" w:rsidRPr="00133046">
        <w:rPr>
          <w:rFonts w:ascii="Calibri" w:eastAsia="MS Mincho" w:hAnsi="Calibri" w:cs="Arial"/>
          <w:lang w:eastAsia="ja-JP"/>
        </w:rPr>
        <w:t xml:space="preserve">nclude that </w:t>
      </w:r>
      <w:r w:rsidR="002463B9" w:rsidRPr="00133046">
        <w:rPr>
          <w:rFonts w:ascii="Calibri" w:eastAsia="MS Mincho" w:hAnsi="Calibri" w:cs="Arial"/>
          <w:lang w:eastAsia="ja-JP"/>
        </w:rPr>
        <w:t>that it is feasible to use a simple</w:t>
      </w:r>
      <w:r w:rsidR="00E4201B" w:rsidRPr="00133046">
        <w:rPr>
          <w:rFonts w:ascii="Calibri" w:eastAsia="MS Mincho" w:hAnsi="Calibri" w:cs="Arial"/>
          <w:lang w:eastAsia="ja-JP"/>
        </w:rPr>
        <w:t xml:space="preserve"> </w:t>
      </w:r>
      <w:r w:rsidR="002463B9" w:rsidRPr="00133046">
        <w:rPr>
          <w:rFonts w:ascii="Calibri" w:eastAsia="MS Mincho" w:hAnsi="Calibri" w:cs="Arial"/>
          <w:lang w:eastAsia="ja-JP"/>
        </w:rPr>
        <w:t xml:space="preserve">arithmetic procedure </w:t>
      </w:r>
    </w:p>
    <w:p w14:paraId="2DAD8564" w14:textId="251B8A50" w:rsidR="002463B9" w:rsidRPr="00133046" w:rsidRDefault="002463B9" w:rsidP="002463B9">
      <w:pPr>
        <w:autoSpaceDE w:val="0"/>
        <w:autoSpaceDN w:val="0"/>
        <w:adjustRightInd w:val="0"/>
        <w:spacing w:line="276" w:lineRule="auto"/>
        <w:ind w:left="567"/>
        <w:rPr>
          <w:rFonts w:ascii="Calibri" w:eastAsia="MS Mincho" w:hAnsi="Calibri" w:cs="Arial"/>
          <w:lang w:eastAsia="ja-JP"/>
        </w:rPr>
      </w:pPr>
      <w:r w:rsidRPr="00133046">
        <w:rPr>
          <w:rFonts w:ascii="Calibri" w:eastAsia="MS Mincho" w:hAnsi="Calibri" w:cs="Arial"/>
          <w:lang w:eastAsia="ja-JP"/>
        </w:rPr>
        <w:t xml:space="preserve">to adjust major osteoporotic fracture </w:t>
      </w:r>
      <w:r w:rsidR="00633970" w:rsidRPr="00133046">
        <w:rPr>
          <w:rFonts w:ascii="Calibri" w:eastAsia="MS Mincho" w:hAnsi="Calibri" w:cs="Arial"/>
          <w:lang w:eastAsia="ja-JP"/>
        </w:rPr>
        <w:t>and hip</w:t>
      </w:r>
      <w:r w:rsidR="00107988">
        <w:rPr>
          <w:rFonts w:ascii="Calibri" w:eastAsia="MS Mincho" w:hAnsi="Calibri" w:cs="Arial"/>
          <w:lang w:eastAsia="ja-JP"/>
        </w:rPr>
        <w:t xml:space="preserve"> </w:t>
      </w:r>
      <w:r w:rsidR="00633970" w:rsidRPr="00133046">
        <w:rPr>
          <w:rFonts w:ascii="Calibri" w:eastAsia="MS Mincho" w:hAnsi="Calibri" w:cs="Arial"/>
          <w:lang w:eastAsia="ja-JP"/>
        </w:rPr>
        <w:t xml:space="preserve">fracture </w:t>
      </w:r>
      <w:r w:rsidRPr="00133046">
        <w:rPr>
          <w:rFonts w:ascii="Calibri" w:eastAsia="MS Mincho" w:hAnsi="Calibri" w:cs="Arial"/>
          <w:lang w:eastAsia="ja-JP"/>
        </w:rPr>
        <w:t>risk</w:t>
      </w:r>
      <w:r w:rsidR="00A356EC" w:rsidRPr="00133046">
        <w:rPr>
          <w:rFonts w:ascii="Calibri" w:eastAsia="MS Mincho" w:hAnsi="Calibri" w:cs="Arial"/>
          <w:lang w:eastAsia="ja-JP"/>
        </w:rPr>
        <w:t xml:space="preserve"> </w:t>
      </w:r>
      <w:r w:rsidRPr="00133046">
        <w:rPr>
          <w:rFonts w:ascii="Calibri" w:eastAsia="MS Mincho" w:hAnsi="Calibri" w:cs="Arial"/>
          <w:lang w:eastAsia="ja-JP"/>
        </w:rPr>
        <w:t xml:space="preserve">predictions from FRAX based upon the </w:t>
      </w:r>
      <w:r w:rsidR="00A356EC" w:rsidRPr="00133046">
        <w:rPr>
          <w:rFonts w:ascii="Calibri" w:eastAsia="MS Mincho" w:hAnsi="Calibri" w:cs="Arial"/>
          <w:lang w:eastAsia="ja-JP"/>
        </w:rPr>
        <w:t>number of prior fractures</w:t>
      </w:r>
      <w:r w:rsidRPr="00133046">
        <w:rPr>
          <w:rFonts w:ascii="Calibri" w:eastAsia="MS Mincho" w:hAnsi="Calibri" w:cs="Arial"/>
          <w:lang w:eastAsia="ja-JP"/>
        </w:rPr>
        <w:t>. This</w:t>
      </w:r>
      <w:r w:rsidR="00A356EC" w:rsidRPr="00133046">
        <w:rPr>
          <w:rFonts w:ascii="Calibri" w:eastAsia="MS Mincho" w:hAnsi="Calibri" w:cs="Arial"/>
          <w:lang w:eastAsia="ja-JP"/>
        </w:rPr>
        <w:t xml:space="preserve"> will </w:t>
      </w:r>
      <w:r w:rsidRPr="00133046">
        <w:rPr>
          <w:rFonts w:ascii="Calibri" w:eastAsia="MS Mincho" w:hAnsi="Calibri" w:cs="Arial"/>
          <w:lang w:eastAsia="ja-JP"/>
        </w:rPr>
        <w:t>shift some individuals into a different risk category and</w:t>
      </w:r>
      <w:r w:rsidR="00133046" w:rsidRPr="00133046">
        <w:rPr>
          <w:rFonts w:ascii="Calibri" w:eastAsia="MS Mincho" w:hAnsi="Calibri" w:cs="Arial"/>
          <w:lang w:eastAsia="ja-JP"/>
        </w:rPr>
        <w:t xml:space="preserve"> </w:t>
      </w:r>
      <w:r w:rsidRPr="00133046">
        <w:rPr>
          <w:rFonts w:ascii="Calibri" w:eastAsia="MS Mincho" w:hAnsi="Calibri" w:cs="Arial"/>
          <w:lang w:eastAsia="ja-JP"/>
        </w:rPr>
        <w:t>thereby facilitate identification and treatment of those who</w:t>
      </w:r>
      <w:r w:rsidR="00133046" w:rsidRPr="00133046">
        <w:rPr>
          <w:rFonts w:ascii="Calibri" w:eastAsia="MS Mincho" w:hAnsi="Calibri" w:cs="Arial"/>
          <w:lang w:eastAsia="ja-JP"/>
        </w:rPr>
        <w:t xml:space="preserve"> </w:t>
      </w:r>
      <w:r w:rsidRPr="00133046">
        <w:rPr>
          <w:rFonts w:ascii="Calibri" w:eastAsia="MS Mincho" w:hAnsi="Calibri" w:cs="Arial"/>
          <w:lang w:eastAsia="ja-JP"/>
        </w:rPr>
        <w:t>would most benefit.</w:t>
      </w:r>
    </w:p>
    <w:p w14:paraId="1DC8B1D8" w14:textId="77777777" w:rsidR="00C1364E" w:rsidRPr="00380207" w:rsidRDefault="00C1364E" w:rsidP="003E2446">
      <w:pPr>
        <w:autoSpaceDE w:val="0"/>
        <w:autoSpaceDN w:val="0"/>
        <w:adjustRightInd w:val="0"/>
        <w:spacing w:line="276" w:lineRule="auto"/>
        <w:ind w:left="567"/>
        <w:rPr>
          <w:rFonts w:ascii="Calibri" w:eastAsia="MS Mincho" w:hAnsi="Calibri" w:cs="Arial"/>
          <w:lang w:eastAsia="ja-JP"/>
        </w:rPr>
      </w:pPr>
    </w:p>
    <w:p w14:paraId="559FD86F" w14:textId="77777777" w:rsidR="0076647C"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Acknowledgements </w:t>
      </w:r>
    </w:p>
    <w:p w14:paraId="3307D74C" w14:textId="44615F84" w:rsidR="00F737D3" w:rsidRPr="00F737D3" w:rsidRDefault="00F737D3" w:rsidP="003E2446">
      <w:pPr>
        <w:spacing w:after="200" w:line="276" w:lineRule="auto"/>
        <w:ind w:left="567"/>
        <w:rPr>
          <w:rFonts w:ascii="Calibri" w:eastAsia="MS Mincho" w:hAnsi="Calibri" w:cs="Times New Roman"/>
          <w:bCs/>
        </w:rPr>
      </w:pPr>
      <w:r w:rsidRPr="00F737D3">
        <w:rPr>
          <w:rFonts w:ascii="Calibri" w:eastAsia="MS Mincho" w:hAnsi="Calibri" w:cs="Times New Roman"/>
          <w:bCs/>
        </w:rPr>
        <w:t>We thank the participants in the Reykjavik Study</w:t>
      </w:r>
      <w:r w:rsidR="001E2D4E">
        <w:rPr>
          <w:rFonts w:ascii="Calibri" w:eastAsia="MS Mincho" w:hAnsi="Calibri" w:cs="Times New Roman"/>
          <w:bCs/>
        </w:rPr>
        <w:t xml:space="preserve"> </w:t>
      </w:r>
      <w:r w:rsidRPr="00F737D3">
        <w:rPr>
          <w:rFonts w:ascii="Calibri" w:eastAsia="MS Mincho" w:hAnsi="Calibri" w:cs="Times New Roman"/>
          <w:bCs/>
        </w:rPr>
        <w:t>for their valuable contribution.</w:t>
      </w:r>
      <w:r w:rsidR="00F223C0">
        <w:rPr>
          <w:rFonts w:ascii="Calibri" w:eastAsia="MS Mincho" w:hAnsi="Calibri" w:cs="Times New Roman"/>
          <w:bCs/>
        </w:rPr>
        <w:t xml:space="preserve"> </w:t>
      </w:r>
      <w:r w:rsidR="00F374F2">
        <w:rPr>
          <w:rFonts w:ascii="Calibri" w:eastAsia="MS Mincho" w:hAnsi="Calibri" w:cs="Times New Roman"/>
          <w:bCs/>
        </w:rPr>
        <w:t xml:space="preserve"> </w:t>
      </w:r>
    </w:p>
    <w:p w14:paraId="3D0A7308" w14:textId="77777777" w:rsidR="001E2D4E"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Compliance with ethical standards </w:t>
      </w:r>
    </w:p>
    <w:p w14:paraId="0A0DA1F0" w14:textId="15DD9588" w:rsidR="00F737D3" w:rsidRPr="00D633E0" w:rsidRDefault="00F737D3" w:rsidP="003E2446">
      <w:pPr>
        <w:spacing w:after="200" w:line="276" w:lineRule="auto"/>
        <w:ind w:left="567"/>
        <w:rPr>
          <w:rFonts w:ascii="Calibri" w:eastAsia="MS Mincho" w:hAnsi="Calibri" w:cs="Times New Roman"/>
          <w:bCs/>
        </w:rPr>
      </w:pPr>
      <w:r w:rsidRPr="00D633E0">
        <w:rPr>
          <w:rFonts w:ascii="Calibri" w:eastAsia="MS Mincho" w:hAnsi="Calibri" w:cs="Times New Roman"/>
          <w:bCs/>
        </w:rPr>
        <w:t>The study was approved by the</w:t>
      </w:r>
      <w:r w:rsidR="00C06F0E" w:rsidRPr="00D633E0">
        <w:rPr>
          <w:rFonts w:ascii="Calibri" w:eastAsia="MS Mincho" w:hAnsi="Calibri" w:cs="Times New Roman"/>
          <w:bCs/>
        </w:rPr>
        <w:t xml:space="preserve"> </w:t>
      </w:r>
      <w:r w:rsidRPr="00D633E0">
        <w:rPr>
          <w:rFonts w:ascii="Calibri" w:eastAsia="MS Mincho" w:hAnsi="Calibri" w:cs="Times New Roman"/>
          <w:bCs/>
        </w:rPr>
        <w:t>National Bioethics Committee and the Data Protection Authority in</w:t>
      </w:r>
      <w:r w:rsidR="00C06F0E" w:rsidRPr="00D633E0">
        <w:rPr>
          <w:rFonts w:ascii="Calibri" w:eastAsia="MS Mincho" w:hAnsi="Calibri" w:cs="Times New Roman"/>
          <w:bCs/>
        </w:rPr>
        <w:t xml:space="preserve"> </w:t>
      </w:r>
      <w:r w:rsidRPr="00D633E0">
        <w:rPr>
          <w:rFonts w:ascii="Calibri" w:eastAsia="MS Mincho" w:hAnsi="Calibri" w:cs="Times New Roman"/>
          <w:bCs/>
        </w:rPr>
        <w:t>Iceland. All participants gave informed written consent.</w:t>
      </w:r>
    </w:p>
    <w:p w14:paraId="665F3636" w14:textId="77777777" w:rsidR="00D633E0"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Conflicts of interest </w:t>
      </w:r>
    </w:p>
    <w:p w14:paraId="52503535" w14:textId="3F3F7C8F" w:rsidR="00B23187" w:rsidRDefault="009E6993" w:rsidP="003E2446">
      <w:pPr>
        <w:spacing w:after="200" w:line="276" w:lineRule="auto"/>
        <w:ind w:left="567"/>
        <w:rPr>
          <w:rFonts w:ascii="Calibri" w:eastAsia="MS Mincho" w:hAnsi="Calibri" w:cs="Times New Roman"/>
          <w:bCs/>
        </w:rPr>
      </w:pPr>
      <w:r w:rsidRPr="009E6993">
        <w:rPr>
          <w:rFonts w:asciiTheme="minorHAnsi" w:eastAsia="MS Mincho" w:hAnsiTheme="minorHAnsi" w:cs="Times New Roman"/>
          <w:highlight w:val="yellow"/>
          <w:lang w:eastAsia="ja-JP"/>
        </w:rPr>
        <w:t>V Gudnason, G Sigurdsson, K Siggeirsdottir, E Liu, L Vandenput and H Johansson have no competing interests to declare</w:t>
      </w:r>
      <w:r w:rsidRPr="009E6993">
        <w:rPr>
          <w:rFonts w:asciiTheme="minorHAnsi" w:eastAsia="MS Mincho" w:hAnsiTheme="minorHAnsi" w:cs="Times New Roman"/>
          <w:lang w:eastAsia="ja-JP"/>
        </w:rPr>
        <w:t>.</w:t>
      </w:r>
    </w:p>
    <w:p w14:paraId="3265FDA8" w14:textId="7B760CB2" w:rsidR="006664AC" w:rsidRDefault="006664AC" w:rsidP="003E2446">
      <w:pPr>
        <w:spacing w:after="200" w:line="276" w:lineRule="auto"/>
        <w:ind w:left="567"/>
        <w:rPr>
          <w:rFonts w:ascii="Calibri" w:eastAsia="MS Mincho" w:hAnsi="Calibri" w:cs="Times New Roman"/>
          <w:bCs/>
        </w:rPr>
      </w:pPr>
      <w:r w:rsidRPr="006664AC">
        <w:rPr>
          <w:rFonts w:ascii="Calibri" w:eastAsia="MS Mincho" w:hAnsi="Calibri" w:cs="Times New Roman"/>
          <w:bCs/>
        </w:rPr>
        <w:t>N Harvey has received consultancy, lecture fees and honoraria from Alliance for Better Bone Health, A</w:t>
      </w:r>
      <w:r w:rsidR="00A91AD7">
        <w:rPr>
          <w:rFonts w:ascii="Calibri" w:eastAsia="MS Mincho" w:hAnsi="Calibri" w:cs="Times New Roman"/>
          <w:bCs/>
        </w:rPr>
        <w:t>mgen</w:t>
      </w:r>
      <w:r w:rsidRPr="006664AC">
        <w:rPr>
          <w:rFonts w:ascii="Calibri" w:eastAsia="MS Mincho" w:hAnsi="Calibri" w:cs="Times New Roman"/>
          <w:bCs/>
        </w:rPr>
        <w:t>, MSD, Eli Lilly, Servier, Shire, UCB, Kyowa Kirin, Consilient Healthcare, Radius Health and Internis Pharma.</w:t>
      </w:r>
    </w:p>
    <w:p w14:paraId="651AB12D" w14:textId="799739F2" w:rsidR="00C364F0" w:rsidRPr="003B65C8" w:rsidRDefault="00C364F0" w:rsidP="00C364F0">
      <w:pPr>
        <w:spacing w:after="240" w:line="276" w:lineRule="auto"/>
        <w:ind w:left="567"/>
        <w:jc w:val="both"/>
        <w:rPr>
          <w:rFonts w:asciiTheme="minorHAnsi" w:hAnsiTheme="minorHAnsi" w:cstheme="minorHAnsi"/>
          <w:bCs/>
          <w:iCs/>
        </w:rPr>
      </w:pPr>
      <w:r w:rsidRPr="003B65C8">
        <w:rPr>
          <w:rFonts w:asciiTheme="minorHAnsi" w:hAnsiTheme="minorHAnsi" w:cstheme="minorHAnsi"/>
          <w:bCs/>
          <w:iCs/>
        </w:rPr>
        <w:t xml:space="preserve">EV McCloskey has received consultancy/lecture fees/grant funding/honoraria from AgNovos, Amgen, AstraZeneca, Consilient Healthcare, Fresenius Kabi, Gilead, GSK, Hologic, Internis, Lilly, Merck, Novartis, Pfizer, Radius Health, Redx Oncology, Roche, SanofiAventis, Servier, Synexus, UCB, Viiv, Warner Chilcott, I3 Innovus and Unilever. </w:t>
      </w:r>
    </w:p>
    <w:p w14:paraId="787FCE60" w14:textId="04580FA1" w:rsidR="009865EB"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JA Kanis is the architect of FRAX but has no financial interest.</w:t>
      </w:r>
    </w:p>
    <w:p w14:paraId="73FDD61B" w14:textId="5A1D3315" w:rsidR="00C364F0" w:rsidRPr="00A00D00"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M Lorentzon has received lecture fees from Amgen, Lilly, Meda, Renapharma, UCB Pharma, and consulting fees from Amgen, Radius Health, UCB Pharma, Renapharma and Consilient Health, all outside the presented work</w:t>
      </w:r>
    </w:p>
    <w:p w14:paraId="3E297FEA" w14:textId="77777777" w:rsidR="00A82F9A" w:rsidRDefault="00A82F9A" w:rsidP="003E2446">
      <w:pPr>
        <w:spacing w:after="200" w:line="276" w:lineRule="auto"/>
        <w:ind w:left="567"/>
        <w:rPr>
          <w:rFonts w:ascii="Calibri" w:eastAsia="MS Mincho" w:hAnsi="Calibri" w:cs="Times New Roman"/>
          <w:b/>
        </w:rPr>
      </w:pPr>
    </w:p>
    <w:p w14:paraId="5492B389" w14:textId="6466286B" w:rsidR="002973F6" w:rsidRDefault="002973F6" w:rsidP="003E2446">
      <w:pPr>
        <w:spacing w:after="200" w:line="276" w:lineRule="auto"/>
        <w:ind w:left="567"/>
        <w:rPr>
          <w:rFonts w:ascii="Calibri" w:eastAsia="MS Mincho" w:hAnsi="Calibri" w:cs="Times New Roman"/>
          <w:b/>
        </w:rPr>
      </w:pPr>
      <w:r w:rsidRPr="00DC457B">
        <w:rPr>
          <w:rFonts w:ascii="Calibri" w:eastAsia="MS Mincho" w:hAnsi="Calibri" w:cs="Times New Roman"/>
          <w:b/>
        </w:rPr>
        <w:t>References</w:t>
      </w:r>
    </w:p>
    <w:tbl>
      <w:tblPr>
        <w:tblStyle w:val="TableGrid3"/>
        <w:tblpPr w:leftFromText="180" w:rightFromText="180" w:vertAnchor="text" w:tblpX="26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7931"/>
      </w:tblGrid>
      <w:tr w:rsidR="0044521C" w:rsidRPr="009F3515" w14:paraId="711181ED" w14:textId="77777777" w:rsidTr="00353E15">
        <w:tc>
          <w:tcPr>
            <w:tcW w:w="830" w:type="dxa"/>
          </w:tcPr>
          <w:p w14:paraId="4BDD47BB" w14:textId="77777777" w:rsidR="0044521C" w:rsidRPr="009F3515" w:rsidRDefault="0044521C" w:rsidP="00286C34">
            <w:pPr>
              <w:jc w:val="right"/>
              <w:rPr>
                <w:rFonts w:ascii="Calibri" w:eastAsia="Calibri" w:hAnsi="Calibri" w:cs="Calibri"/>
                <w:sz w:val="20"/>
                <w:szCs w:val="20"/>
              </w:rPr>
            </w:pPr>
            <w:r>
              <w:rPr>
                <w:rFonts w:ascii="Calibri" w:hAnsi="Calibri" w:cs="Calibri"/>
                <w:sz w:val="20"/>
                <w:szCs w:val="20"/>
              </w:rPr>
              <w:t>1.</w:t>
            </w:r>
          </w:p>
        </w:tc>
        <w:tc>
          <w:tcPr>
            <w:tcW w:w="7931" w:type="dxa"/>
            <w:shd w:val="clear" w:color="auto" w:fill="auto"/>
          </w:tcPr>
          <w:p w14:paraId="0315A96E"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Kanis JA on behalf of</w:t>
            </w:r>
            <w:r w:rsidRPr="009F3515">
              <w:rPr>
                <w:rFonts w:ascii="Calibri" w:eastAsia="Calibri" w:hAnsi="Calibri" w:cs="Calibri"/>
                <w:sz w:val="20"/>
                <w:szCs w:val="20"/>
              </w:rPr>
              <w:t xml:space="preserve"> the World Health Organization Scientific </w:t>
            </w:r>
            <w:r w:rsidRPr="00C05A74">
              <w:rPr>
                <w:rFonts w:ascii="Calibri" w:eastAsia="Calibri" w:hAnsi="Calibri" w:cs="Calibri"/>
                <w:sz w:val="20"/>
                <w:szCs w:val="20"/>
              </w:rPr>
              <w:t>Group (2007) Assessment</w:t>
            </w:r>
            <w:r w:rsidRPr="009F3515">
              <w:rPr>
                <w:rFonts w:ascii="Calibri" w:eastAsia="Calibri" w:hAnsi="Calibri" w:cs="Calibri"/>
                <w:sz w:val="20"/>
                <w:szCs w:val="20"/>
              </w:rPr>
              <w:t xml:space="preserve"> of osteoporosis at the primary health-care level. Technical Report. WHO Collaborating Centre, University of Sheffield, UK. Available at </w:t>
            </w:r>
            <w:hyperlink r:id="rId13" w:history="1">
              <w:r w:rsidRPr="009F3515">
                <w:rPr>
                  <w:rFonts w:ascii="Calibri" w:eastAsia="Calibri" w:hAnsi="Calibri" w:cs="Calibri"/>
                  <w:color w:val="0000FF"/>
                  <w:sz w:val="20"/>
                  <w:szCs w:val="20"/>
                  <w:u w:val="single"/>
                </w:rPr>
                <w:t>http://www.shef.ac.uk/FRAX/index.htm</w:t>
              </w:r>
            </w:hyperlink>
          </w:p>
        </w:tc>
      </w:tr>
      <w:tr w:rsidR="0044521C" w:rsidRPr="009F3515" w14:paraId="349DB801" w14:textId="77777777" w:rsidTr="00353E15">
        <w:tc>
          <w:tcPr>
            <w:tcW w:w="830" w:type="dxa"/>
          </w:tcPr>
          <w:p w14:paraId="47B25E4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2.</w:t>
            </w:r>
          </w:p>
        </w:tc>
        <w:tc>
          <w:tcPr>
            <w:tcW w:w="7931" w:type="dxa"/>
            <w:shd w:val="clear" w:color="auto" w:fill="auto"/>
          </w:tcPr>
          <w:p w14:paraId="20D8B4D3" w14:textId="77777777" w:rsidR="0044521C" w:rsidRPr="0036581F" w:rsidRDefault="0044521C" w:rsidP="007E1560">
            <w:pPr>
              <w:spacing w:after="240"/>
              <w:rPr>
                <w:rFonts w:ascii="Calibri" w:eastAsia="Calibri" w:hAnsi="Calibri" w:cs="Calibri"/>
                <w:sz w:val="20"/>
                <w:szCs w:val="20"/>
                <w:highlight w:val="yellow"/>
              </w:rPr>
            </w:pPr>
            <w:r w:rsidRPr="00973968">
              <w:rPr>
                <w:rFonts w:ascii="Calibri" w:eastAsia="Calibri" w:hAnsi="Calibri" w:cs="Calibri"/>
                <w:sz w:val="20"/>
                <w:szCs w:val="20"/>
              </w:rPr>
              <w:t>Kanis JA, Johnell O</w:t>
            </w:r>
            <w:r w:rsidRPr="009F3515">
              <w:rPr>
                <w:rFonts w:ascii="Calibri" w:eastAsia="Calibri" w:hAnsi="Calibri" w:cs="Calibri"/>
                <w:sz w:val="20"/>
                <w:szCs w:val="20"/>
              </w:rPr>
              <w:t>, Oden A, Johansson H, McCloskey EV (2008) FRAX™ and the assessment of fracture probability in men and women from the UK.  Osteoporos Int 19: 385-397.</w:t>
            </w:r>
          </w:p>
        </w:tc>
      </w:tr>
      <w:tr w:rsidR="0044521C" w:rsidRPr="009F3515" w14:paraId="0F326751" w14:textId="77777777" w:rsidTr="00353E15">
        <w:tc>
          <w:tcPr>
            <w:tcW w:w="830" w:type="dxa"/>
          </w:tcPr>
          <w:p w14:paraId="21A8BE6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3.</w:t>
            </w:r>
          </w:p>
        </w:tc>
        <w:tc>
          <w:tcPr>
            <w:tcW w:w="7931" w:type="dxa"/>
            <w:shd w:val="clear" w:color="auto" w:fill="auto"/>
          </w:tcPr>
          <w:p w14:paraId="619E410D" w14:textId="578A2004" w:rsidR="0044521C" w:rsidRPr="0036581F" w:rsidRDefault="0044521C" w:rsidP="007E1560">
            <w:pPr>
              <w:spacing w:after="240"/>
              <w:rPr>
                <w:rFonts w:ascii="Calibri" w:eastAsia="Calibri" w:hAnsi="Calibri" w:cs="Calibri"/>
                <w:sz w:val="20"/>
                <w:szCs w:val="20"/>
                <w:highlight w:val="yellow"/>
              </w:rPr>
            </w:pPr>
            <w:r w:rsidRPr="00973968">
              <w:rPr>
                <w:rFonts w:ascii="Calibri" w:eastAsia="Calibri" w:hAnsi="Calibri" w:cs="Calibri"/>
                <w:sz w:val="20"/>
                <w:szCs w:val="20"/>
              </w:rPr>
              <w:t>Kanis JA, Odén A,</w:t>
            </w:r>
            <w:r w:rsidRPr="009F3515">
              <w:rPr>
                <w:rFonts w:ascii="Calibri" w:eastAsia="Calibri" w:hAnsi="Calibri" w:cs="Calibri"/>
                <w:sz w:val="20"/>
                <w:szCs w:val="20"/>
              </w:rPr>
              <w:t xml:space="preserve"> McCloskey EV, Johansson H, Wahl D, Cyrus Cooper C on behalf of the IOF Working Group on Epidemiology and Quality of </w:t>
            </w:r>
            <w:r w:rsidRPr="00E2125A">
              <w:rPr>
                <w:rFonts w:ascii="Calibri" w:eastAsia="Calibri" w:hAnsi="Calibri" w:cs="Calibri"/>
                <w:sz w:val="20"/>
                <w:szCs w:val="20"/>
              </w:rPr>
              <w:t>Life (2012) A systematic</w:t>
            </w:r>
            <w:r w:rsidRPr="009F3515">
              <w:rPr>
                <w:rFonts w:ascii="Calibri" w:eastAsia="Calibri" w:hAnsi="Calibri" w:cs="Calibri"/>
                <w:sz w:val="20"/>
                <w:szCs w:val="20"/>
              </w:rPr>
              <w:t xml:space="preserve"> review of hip fracture incidence and probability of fracture worldwide. </w:t>
            </w:r>
            <w:r w:rsidR="003B4F49">
              <w:rPr>
                <w:rFonts w:ascii="Calibri" w:eastAsia="Calibri" w:hAnsi="Calibri" w:cs="Calibri"/>
                <w:sz w:val="20"/>
                <w:szCs w:val="20"/>
              </w:rPr>
              <w:t xml:space="preserve"> </w:t>
            </w:r>
            <w:r w:rsidRPr="009F3515">
              <w:rPr>
                <w:rFonts w:ascii="Calibri" w:eastAsia="Calibri" w:hAnsi="Calibri" w:cs="Calibri"/>
                <w:sz w:val="20"/>
                <w:szCs w:val="20"/>
              </w:rPr>
              <w:t>Osteoporos Int 23: 2239-2256.</w:t>
            </w:r>
          </w:p>
        </w:tc>
      </w:tr>
      <w:tr w:rsidR="0044521C" w:rsidRPr="009F3515" w14:paraId="63606554" w14:textId="77777777" w:rsidTr="00353E15">
        <w:tc>
          <w:tcPr>
            <w:tcW w:w="830" w:type="dxa"/>
          </w:tcPr>
          <w:p w14:paraId="1BB24ED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4.</w:t>
            </w:r>
          </w:p>
        </w:tc>
        <w:tc>
          <w:tcPr>
            <w:tcW w:w="7931" w:type="dxa"/>
            <w:shd w:val="clear" w:color="auto" w:fill="auto"/>
          </w:tcPr>
          <w:p w14:paraId="22885638" w14:textId="77777777"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bCs/>
                <w:sz w:val="20"/>
                <w:szCs w:val="20"/>
              </w:rPr>
              <w:t>Kanis JA, Johansson H, Oden A, Cooper C, McCloskey EV and the Epidemiology and Quality of Life Working Group of IOF (2014) Worldwide uptake of FRAX.  Arch Osteoporos 9:166. doi: 10.1007/s11657-013-0166-8.</w:t>
            </w:r>
          </w:p>
        </w:tc>
      </w:tr>
      <w:tr w:rsidR="0044521C" w:rsidRPr="009F3515" w14:paraId="48E5D2AD" w14:textId="77777777" w:rsidTr="00353E15">
        <w:tc>
          <w:tcPr>
            <w:tcW w:w="830" w:type="dxa"/>
          </w:tcPr>
          <w:p w14:paraId="041C3032"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5.</w:t>
            </w:r>
          </w:p>
        </w:tc>
        <w:tc>
          <w:tcPr>
            <w:tcW w:w="7931" w:type="dxa"/>
            <w:shd w:val="clear" w:color="auto" w:fill="auto"/>
          </w:tcPr>
          <w:p w14:paraId="48719820" w14:textId="68FB15C3" w:rsidR="0044521C" w:rsidRPr="00E2125A" w:rsidRDefault="0044521C" w:rsidP="007E1560">
            <w:pPr>
              <w:spacing w:after="240"/>
              <w:rPr>
                <w:rFonts w:ascii="Calibri" w:eastAsia="Calibri" w:hAnsi="Calibri" w:cs="Calibri"/>
                <w:bCs/>
                <w:sz w:val="20"/>
                <w:szCs w:val="20"/>
              </w:rPr>
            </w:pPr>
            <w:r w:rsidRPr="00E2125A">
              <w:rPr>
                <w:rFonts w:ascii="Calibri" w:eastAsia="Calibri" w:hAnsi="Calibri" w:cs="Calibri"/>
                <w:bCs/>
                <w:sz w:val="20"/>
                <w:szCs w:val="20"/>
              </w:rPr>
              <w:t xml:space="preserve">National Institute for Health and Care Excellence (2012) CG146: osteoporosis: fragility fracture risk. </w:t>
            </w:r>
            <w:r w:rsidR="003B4F49">
              <w:rPr>
                <w:rFonts w:ascii="Calibri" w:eastAsia="Calibri" w:hAnsi="Calibri" w:cs="Calibri"/>
                <w:bCs/>
                <w:sz w:val="20"/>
                <w:szCs w:val="20"/>
              </w:rPr>
              <w:t xml:space="preserve"> </w:t>
            </w:r>
            <w:r w:rsidRPr="00E2125A">
              <w:rPr>
                <w:rFonts w:ascii="Calibri" w:eastAsia="Calibri" w:hAnsi="Calibri" w:cs="Calibri"/>
                <w:bCs/>
                <w:sz w:val="20"/>
                <w:szCs w:val="20"/>
              </w:rPr>
              <w:t>Short clinical guideline- evidence and recommendation, National Clinical Guideline Centre, London</w:t>
            </w:r>
          </w:p>
        </w:tc>
      </w:tr>
      <w:tr w:rsidR="0044521C" w:rsidRPr="009F3515" w14:paraId="19D769BB" w14:textId="77777777" w:rsidTr="00353E15">
        <w:tc>
          <w:tcPr>
            <w:tcW w:w="830" w:type="dxa"/>
          </w:tcPr>
          <w:p w14:paraId="33D00287"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6.</w:t>
            </w:r>
          </w:p>
        </w:tc>
        <w:tc>
          <w:tcPr>
            <w:tcW w:w="7931" w:type="dxa"/>
            <w:shd w:val="clear" w:color="auto" w:fill="auto"/>
          </w:tcPr>
          <w:p w14:paraId="4DFDBA0D" w14:textId="77777777" w:rsidR="0044521C" w:rsidRPr="00E2125A" w:rsidRDefault="0044521C" w:rsidP="007E1560">
            <w:pPr>
              <w:spacing w:after="240"/>
              <w:rPr>
                <w:rFonts w:ascii="Calibri" w:eastAsia="Calibri" w:hAnsi="Calibri" w:cs="Calibri"/>
                <w:bCs/>
                <w:sz w:val="20"/>
                <w:szCs w:val="20"/>
              </w:rPr>
            </w:pPr>
            <w:r w:rsidRPr="00E2125A">
              <w:rPr>
                <w:rFonts w:ascii="Calibri" w:eastAsia="Calibri" w:hAnsi="Calibri" w:cs="Calibri"/>
                <w:bCs/>
                <w:sz w:val="20"/>
                <w:szCs w:val="20"/>
              </w:rPr>
              <w:t>National Institute for Health and Care Excellence (2017) TA 464: Bisphosphonates for treating osteoporosis. Technology appraisal guidance 464. National Institute for Health and Care Excellence, London. nice.org.uk/guidance/ta464</w:t>
            </w:r>
          </w:p>
        </w:tc>
      </w:tr>
      <w:tr w:rsidR="0044521C" w:rsidRPr="009F3515" w14:paraId="355D42C7" w14:textId="77777777" w:rsidTr="00353E15">
        <w:tc>
          <w:tcPr>
            <w:tcW w:w="830" w:type="dxa"/>
          </w:tcPr>
          <w:p w14:paraId="77FFD8B6"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7.</w:t>
            </w:r>
          </w:p>
        </w:tc>
        <w:tc>
          <w:tcPr>
            <w:tcW w:w="7931" w:type="dxa"/>
            <w:shd w:val="clear" w:color="auto" w:fill="auto"/>
          </w:tcPr>
          <w:p w14:paraId="2D29BDA6" w14:textId="77777777" w:rsidR="0044521C" w:rsidRPr="00E2125A" w:rsidRDefault="0044521C" w:rsidP="007E1560">
            <w:pPr>
              <w:spacing w:after="240"/>
              <w:rPr>
                <w:rFonts w:ascii="Calibri" w:eastAsia="Calibri" w:hAnsi="Calibri" w:cs="Calibri"/>
                <w:bCs/>
                <w:sz w:val="20"/>
                <w:szCs w:val="20"/>
              </w:rPr>
            </w:pPr>
            <w:r w:rsidRPr="00E2125A">
              <w:rPr>
                <w:rFonts w:ascii="Calibri" w:eastAsia="Calibri" w:hAnsi="Calibri" w:cs="Calibri"/>
                <w:bCs/>
                <w:sz w:val="20"/>
                <w:szCs w:val="20"/>
              </w:rPr>
              <w:t xml:space="preserve">Kanis JA, Cooper C, Rizzoli R, Reginster J-Y; Scientific Advisory Board of the European Society for Clinical and Economic Aspects of Osteoporosis (ESCEO) and the Committees of Scientific Advisors and National Societies of the International Osteoporosis Foundation (IOF) (2019) European guidance for the diagnosis and management of osteoporosis in postmenopausal women.  Osteoporosis International 30: 3-44.   </w:t>
            </w:r>
          </w:p>
        </w:tc>
      </w:tr>
      <w:tr w:rsidR="0044521C" w:rsidRPr="009F3515" w14:paraId="392CBBBA" w14:textId="77777777" w:rsidTr="00353E15">
        <w:tc>
          <w:tcPr>
            <w:tcW w:w="830" w:type="dxa"/>
          </w:tcPr>
          <w:p w14:paraId="55D78BFB"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8.</w:t>
            </w:r>
          </w:p>
        </w:tc>
        <w:tc>
          <w:tcPr>
            <w:tcW w:w="7931" w:type="dxa"/>
          </w:tcPr>
          <w:p w14:paraId="49220528" w14:textId="2C27BBCB" w:rsidR="0044521C" w:rsidRPr="00973968" w:rsidRDefault="0044521C" w:rsidP="007E1560">
            <w:pPr>
              <w:spacing w:after="240"/>
              <w:rPr>
                <w:rFonts w:ascii="Calibri" w:eastAsia="Calibri" w:hAnsi="Calibri" w:cs="Calibri"/>
                <w:bCs/>
                <w:sz w:val="20"/>
                <w:szCs w:val="20"/>
              </w:rPr>
            </w:pPr>
            <w:r w:rsidRPr="00973968">
              <w:rPr>
                <w:rFonts w:ascii="Calibri" w:eastAsia="Calibri" w:hAnsi="Calibri" w:cs="Calibri"/>
                <w:bCs/>
                <w:sz w:val="20"/>
                <w:szCs w:val="20"/>
              </w:rPr>
              <w:t xml:space="preserve">Committee for Medicinal Products for Human Use (CHMP) (2006) Guideline on the evaluation of medicinal products in the treatment of primary osteoporosis. </w:t>
            </w:r>
            <w:r w:rsidR="00B614B6">
              <w:rPr>
                <w:rFonts w:ascii="Calibri" w:eastAsia="Calibri" w:hAnsi="Calibri" w:cs="Calibri"/>
                <w:bCs/>
                <w:sz w:val="20"/>
                <w:szCs w:val="20"/>
              </w:rPr>
              <w:t xml:space="preserve"> </w:t>
            </w:r>
            <w:r w:rsidRPr="00973968">
              <w:rPr>
                <w:rFonts w:ascii="Calibri" w:eastAsia="Calibri" w:hAnsi="Calibri" w:cs="Calibri"/>
                <w:bCs/>
                <w:sz w:val="20"/>
                <w:szCs w:val="20"/>
              </w:rPr>
              <w:t>CHMP, London</w:t>
            </w:r>
          </w:p>
        </w:tc>
      </w:tr>
      <w:tr w:rsidR="0044521C" w:rsidRPr="009F3515" w14:paraId="0DB48423" w14:textId="77777777" w:rsidTr="00353E15">
        <w:tc>
          <w:tcPr>
            <w:tcW w:w="830" w:type="dxa"/>
          </w:tcPr>
          <w:p w14:paraId="042AB381"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9.</w:t>
            </w:r>
          </w:p>
        </w:tc>
        <w:tc>
          <w:tcPr>
            <w:tcW w:w="7931" w:type="dxa"/>
          </w:tcPr>
          <w:p w14:paraId="753502AC" w14:textId="77777777" w:rsidR="0044521C" w:rsidRPr="00973968" w:rsidRDefault="0044521C" w:rsidP="007E1560">
            <w:pPr>
              <w:spacing w:after="240"/>
              <w:rPr>
                <w:rFonts w:ascii="Calibri" w:eastAsia="Calibri" w:hAnsi="Calibri" w:cs="Calibri"/>
                <w:sz w:val="20"/>
                <w:szCs w:val="20"/>
              </w:rPr>
            </w:pPr>
            <w:bookmarkStart w:id="11" w:name="_Hlk103166954"/>
            <w:r w:rsidRPr="00973968">
              <w:rPr>
                <w:rFonts w:ascii="Calibri" w:eastAsia="Calibri" w:hAnsi="Calibri" w:cs="Calibri"/>
                <w:sz w:val="20"/>
                <w:szCs w:val="20"/>
              </w:rPr>
              <w:t>Klotzbuecher</w:t>
            </w:r>
            <w:bookmarkEnd w:id="11"/>
            <w:r w:rsidRPr="00973968">
              <w:rPr>
                <w:rFonts w:ascii="Calibri" w:eastAsia="Calibri" w:hAnsi="Calibri" w:cs="Calibri"/>
                <w:sz w:val="20"/>
                <w:szCs w:val="20"/>
              </w:rPr>
              <w:t xml:space="preserve"> CM, Ross PD, Landsman PB, Abbott TA, 3rd, Berger M (2000) Patients with prior fractures have an increased risk of future fractures: a summary of the literature and statistical synthesis. J Bone Miner Res 15: 721-739.</w:t>
            </w:r>
          </w:p>
        </w:tc>
      </w:tr>
      <w:tr w:rsidR="0044521C" w:rsidRPr="009F3515" w14:paraId="764A1241" w14:textId="77777777" w:rsidTr="00353E15">
        <w:tc>
          <w:tcPr>
            <w:tcW w:w="830" w:type="dxa"/>
          </w:tcPr>
          <w:p w14:paraId="613DEBBC"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10.</w:t>
            </w:r>
          </w:p>
        </w:tc>
        <w:tc>
          <w:tcPr>
            <w:tcW w:w="7931" w:type="dxa"/>
          </w:tcPr>
          <w:p w14:paraId="1F896DE8" w14:textId="77777777"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Hansen L, Petersen KD, Eriksen SA, Langdahl BL, Eiken PA, Brixen K, Abrahamsen B, Jensen JE, Harslof T, Vestergaard P (2015) Subsequent fracture rates in a nationwide population-based cohort study with a 10-year perspective. Osteoporos Int 26: 513-9.</w:t>
            </w:r>
          </w:p>
        </w:tc>
      </w:tr>
      <w:tr w:rsidR="0044521C" w:rsidRPr="009F3515" w14:paraId="2C992330" w14:textId="77777777" w:rsidTr="00353E15">
        <w:tc>
          <w:tcPr>
            <w:tcW w:w="830" w:type="dxa"/>
          </w:tcPr>
          <w:p w14:paraId="12AB3191"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11.</w:t>
            </w:r>
          </w:p>
        </w:tc>
        <w:tc>
          <w:tcPr>
            <w:tcW w:w="7931" w:type="dxa"/>
          </w:tcPr>
          <w:p w14:paraId="4C993528" w14:textId="77777777"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Haentjens P, Johnell O, Kanis JA, Bouillon R, Cooper C, Lamraski G, Vanderschuren D, Kauffman J-M, Boonen S (2004) Gender-related differences in short and long-term absolute risk of hip fracture after Colles’ or spine fracture: Colles’ fracture as an early and sensitive marker of skeletal fragility in men. J Bone Miner Res 19: 1933-1944</w:t>
            </w:r>
          </w:p>
        </w:tc>
      </w:tr>
      <w:tr w:rsidR="0044521C" w:rsidRPr="009F3515" w14:paraId="5E56FD04" w14:textId="77777777" w:rsidTr="00353E15">
        <w:tc>
          <w:tcPr>
            <w:tcW w:w="830" w:type="dxa"/>
          </w:tcPr>
          <w:p w14:paraId="09E7B23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12.</w:t>
            </w:r>
          </w:p>
        </w:tc>
        <w:tc>
          <w:tcPr>
            <w:tcW w:w="7931" w:type="dxa"/>
          </w:tcPr>
          <w:p w14:paraId="18ADCB25" w14:textId="77777777" w:rsidR="0044521C" w:rsidRPr="00973968" w:rsidRDefault="0044521C" w:rsidP="007E1560">
            <w:pPr>
              <w:spacing w:after="240"/>
              <w:rPr>
                <w:rFonts w:ascii="Calibri" w:eastAsia="Calibri" w:hAnsi="Calibri" w:cs="Calibri"/>
                <w:sz w:val="20"/>
                <w:szCs w:val="20"/>
              </w:rPr>
            </w:pPr>
            <w:bookmarkStart w:id="12" w:name="_Hlk103167010"/>
            <w:r w:rsidRPr="00973968">
              <w:rPr>
                <w:rFonts w:ascii="Calibri" w:eastAsia="Calibri" w:hAnsi="Calibri" w:cs="Calibri"/>
                <w:sz w:val="20"/>
                <w:szCs w:val="20"/>
              </w:rPr>
              <w:t xml:space="preserve">Johnell </w:t>
            </w:r>
            <w:bookmarkEnd w:id="12"/>
            <w:r w:rsidRPr="00973968">
              <w:rPr>
                <w:rFonts w:ascii="Calibri" w:eastAsia="Calibri" w:hAnsi="Calibri" w:cs="Calibri"/>
                <w:sz w:val="20"/>
                <w:szCs w:val="20"/>
              </w:rPr>
              <w:t>O, Kanis JA, Oden A, Sernbo I, Redlund-Johnell I, Pettersen C, De Laet C, Jonsson B (2004) Fracture risk following an osteoporotic fracture. Osteoporos Int 15: 175-179.</w:t>
            </w:r>
          </w:p>
        </w:tc>
      </w:tr>
      <w:tr w:rsidR="0044521C" w:rsidRPr="009F3515" w14:paraId="495D06C2" w14:textId="77777777" w:rsidTr="00353E15">
        <w:tc>
          <w:tcPr>
            <w:tcW w:w="830" w:type="dxa"/>
          </w:tcPr>
          <w:p w14:paraId="4A357398" w14:textId="77777777" w:rsidR="0044521C" w:rsidRPr="009F3515" w:rsidRDefault="0044521C" w:rsidP="00286C34">
            <w:pPr>
              <w:jc w:val="right"/>
              <w:rPr>
                <w:rFonts w:ascii="Calibri" w:hAnsi="Calibri" w:cs="Calibri"/>
                <w:sz w:val="20"/>
                <w:szCs w:val="20"/>
              </w:rPr>
            </w:pPr>
            <w:r>
              <w:rPr>
                <w:rFonts w:ascii="Calibri" w:hAnsi="Calibri" w:cs="Calibri"/>
                <w:sz w:val="20"/>
                <w:szCs w:val="20"/>
              </w:rPr>
              <w:t>13.</w:t>
            </w:r>
          </w:p>
        </w:tc>
        <w:tc>
          <w:tcPr>
            <w:tcW w:w="7931" w:type="dxa"/>
          </w:tcPr>
          <w:p w14:paraId="7FA072B2" w14:textId="77777777"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sz w:val="20"/>
                <w:szCs w:val="20"/>
              </w:rPr>
              <w:t>Kanis JA, Johnell O, De Laet C, Johansson H, Oden A, Delmas P, Eisman J, Fujiwara S, Garnero P, Kroger H, McCloskey EV, Mellstrom D, Melton III LJ, Pols H, Reeve J, Silman A, Tenenhouse A (2004) A meta-analysis of previous fracture and subsequent fracture risk. Bone; 35: 375-382</w:t>
            </w:r>
          </w:p>
        </w:tc>
      </w:tr>
      <w:tr w:rsidR="0044521C" w:rsidRPr="009F3515" w14:paraId="7ABEC257" w14:textId="77777777" w:rsidTr="00353E15">
        <w:tc>
          <w:tcPr>
            <w:tcW w:w="830" w:type="dxa"/>
          </w:tcPr>
          <w:p w14:paraId="10D91021"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14.</w:t>
            </w:r>
          </w:p>
        </w:tc>
        <w:tc>
          <w:tcPr>
            <w:tcW w:w="7931" w:type="dxa"/>
          </w:tcPr>
          <w:p w14:paraId="724C78AF" w14:textId="77777777"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sz w:val="20"/>
                <w:szCs w:val="20"/>
              </w:rPr>
              <w:t>Johnell O, Oden A, Caulin F, Kanis JA (2001) Acute and long-term increase in fracture risk after hospitalization for vertebral fracture. Osteoporos Int 12: 207-214.</w:t>
            </w:r>
          </w:p>
        </w:tc>
      </w:tr>
      <w:tr w:rsidR="0044521C" w:rsidRPr="009F3515" w14:paraId="51B08C7B" w14:textId="77777777" w:rsidTr="00353E15">
        <w:tc>
          <w:tcPr>
            <w:tcW w:w="830" w:type="dxa"/>
          </w:tcPr>
          <w:p w14:paraId="03326BA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15.</w:t>
            </w:r>
          </w:p>
        </w:tc>
        <w:tc>
          <w:tcPr>
            <w:tcW w:w="7931" w:type="dxa"/>
          </w:tcPr>
          <w:p w14:paraId="4059D797" w14:textId="77777777" w:rsidR="0044521C" w:rsidRPr="00E2125A" w:rsidRDefault="0044521C" w:rsidP="007E1560">
            <w:pPr>
              <w:spacing w:after="240"/>
              <w:rPr>
                <w:rFonts w:ascii="Calibri" w:eastAsia="Calibri" w:hAnsi="Calibri" w:cs="Calibri"/>
                <w:sz w:val="20"/>
                <w:szCs w:val="20"/>
              </w:rPr>
            </w:pPr>
            <w:bookmarkStart w:id="13" w:name="_Hlk103167259"/>
            <w:r w:rsidRPr="00E2125A">
              <w:rPr>
                <w:rFonts w:ascii="Calibri" w:eastAsia="Calibri" w:hAnsi="Calibri" w:cs="Calibri"/>
                <w:sz w:val="20"/>
                <w:szCs w:val="20"/>
              </w:rPr>
              <w:t>Giangregorio</w:t>
            </w:r>
            <w:bookmarkEnd w:id="13"/>
            <w:r w:rsidRPr="00E2125A">
              <w:rPr>
                <w:rFonts w:ascii="Calibri" w:eastAsia="Calibri" w:hAnsi="Calibri" w:cs="Calibri"/>
                <w:sz w:val="20"/>
                <w:szCs w:val="20"/>
              </w:rPr>
              <w:t xml:space="preserve"> LM, Leslie WD (2010) Manitoba Bone Density Program. Time since prior fracture is a risk modifier for 10-year osteoporotic fractures. J Bone Miner Res 25: 1400-5.</w:t>
            </w:r>
          </w:p>
        </w:tc>
      </w:tr>
      <w:tr w:rsidR="0044521C" w:rsidRPr="009F3515" w14:paraId="460FABA5" w14:textId="77777777" w:rsidTr="00353E15">
        <w:tc>
          <w:tcPr>
            <w:tcW w:w="830" w:type="dxa"/>
          </w:tcPr>
          <w:p w14:paraId="7D0A263E"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16.</w:t>
            </w:r>
          </w:p>
        </w:tc>
        <w:tc>
          <w:tcPr>
            <w:tcW w:w="7931" w:type="dxa"/>
          </w:tcPr>
          <w:p w14:paraId="096A1761" w14:textId="747EC0C6" w:rsidR="0044521C" w:rsidRPr="00E2125A" w:rsidRDefault="0044521C" w:rsidP="007E1560">
            <w:pPr>
              <w:spacing w:after="240"/>
              <w:rPr>
                <w:rFonts w:ascii="Calibri" w:eastAsia="Calibri" w:hAnsi="Calibri" w:cs="Calibri"/>
                <w:sz w:val="20"/>
                <w:szCs w:val="20"/>
              </w:rPr>
            </w:pPr>
            <w:r w:rsidRPr="00E2125A">
              <w:rPr>
                <w:rFonts w:ascii="Calibri" w:eastAsia="Calibri" w:hAnsi="Calibri" w:cs="Calibri"/>
                <w:sz w:val="20"/>
                <w:szCs w:val="20"/>
              </w:rPr>
              <w:t>Nymark T, Lauritsen JM, Ovesen O, Röck ND, Jeune B (2006) Short time-frame from first to second hip fracture in the Funen County Hip Fracture Study. Osteoporos Int</w:t>
            </w:r>
            <w:r w:rsidR="00456390">
              <w:rPr>
                <w:rFonts w:ascii="Calibri" w:eastAsia="Calibri" w:hAnsi="Calibri" w:cs="Calibri"/>
                <w:sz w:val="20"/>
                <w:szCs w:val="20"/>
              </w:rPr>
              <w:t xml:space="preserve"> </w:t>
            </w:r>
            <w:r w:rsidRPr="00E2125A">
              <w:rPr>
                <w:rFonts w:ascii="Calibri" w:eastAsia="Calibri" w:hAnsi="Calibri" w:cs="Calibri"/>
                <w:sz w:val="20"/>
                <w:szCs w:val="20"/>
              </w:rPr>
              <w:t>17</w:t>
            </w:r>
            <w:r w:rsidR="00302B96">
              <w:rPr>
                <w:rFonts w:ascii="Calibri" w:eastAsia="Calibri" w:hAnsi="Calibri" w:cs="Calibri"/>
                <w:sz w:val="20"/>
                <w:szCs w:val="20"/>
              </w:rPr>
              <w:t xml:space="preserve">: </w:t>
            </w:r>
            <w:r w:rsidRPr="00E2125A">
              <w:rPr>
                <w:rFonts w:ascii="Calibri" w:eastAsia="Calibri" w:hAnsi="Calibri" w:cs="Calibri"/>
                <w:sz w:val="20"/>
                <w:szCs w:val="20"/>
              </w:rPr>
              <w:t>1353-7.</w:t>
            </w:r>
          </w:p>
        </w:tc>
      </w:tr>
      <w:tr w:rsidR="0044521C" w:rsidRPr="009F3515" w14:paraId="7022801C" w14:textId="77777777" w:rsidTr="00353E15">
        <w:tc>
          <w:tcPr>
            <w:tcW w:w="830" w:type="dxa"/>
          </w:tcPr>
          <w:p w14:paraId="6238B6C0"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17.</w:t>
            </w:r>
          </w:p>
        </w:tc>
        <w:tc>
          <w:tcPr>
            <w:tcW w:w="7931" w:type="dxa"/>
          </w:tcPr>
          <w:p w14:paraId="34C7CD7A" w14:textId="77777777" w:rsidR="0044521C" w:rsidRPr="00E2125A" w:rsidRDefault="0044521C" w:rsidP="007E1560">
            <w:pPr>
              <w:spacing w:after="240"/>
              <w:rPr>
                <w:rFonts w:ascii="Calibri" w:eastAsia="Calibri" w:hAnsi="Calibri" w:cs="Calibri"/>
                <w:sz w:val="20"/>
                <w:szCs w:val="20"/>
              </w:rPr>
            </w:pPr>
            <w:r w:rsidRPr="00E2125A">
              <w:rPr>
                <w:rFonts w:ascii="Calibri" w:eastAsia="Times New Roman" w:hAnsi="Calibri" w:cs="Calibri"/>
                <w:bCs/>
                <w:sz w:val="20"/>
                <w:szCs w:val="20"/>
              </w:rPr>
              <w:t xml:space="preserve">Johansson H, Siggeirsdóttir K, Harvey NC, Odén A, Gudnason V, McCloskey E, Sigurdsson G, Kanis JA </w:t>
            </w:r>
            <w:r w:rsidRPr="00E2125A">
              <w:rPr>
                <w:rFonts w:ascii="Calibri" w:eastAsia="Calibri" w:hAnsi="Calibri" w:cs="Calibri"/>
                <w:sz w:val="20"/>
                <w:szCs w:val="20"/>
              </w:rPr>
              <w:t>(2017) Imminent risk of fracture after fracture. Osteoporos Int 28:775-780</w:t>
            </w:r>
          </w:p>
        </w:tc>
      </w:tr>
      <w:tr w:rsidR="0044521C" w:rsidRPr="009F3515" w14:paraId="38431226" w14:textId="77777777" w:rsidTr="00353E15">
        <w:tc>
          <w:tcPr>
            <w:tcW w:w="830" w:type="dxa"/>
          </w:tcPr>
          <w:p w14:paraId="76999440"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18.</w:t>
            </w:r>
          </w:p>
        </w:tc>
        <w:tc>
          <w:tcPr>
            <w:tcW w:w="7931" w:type="dxa"/>
          </w:tcPr>
          <w:p w14:paraId="7CD9529B" w14:textId="1A36E7E9"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 xml:space="preserve">Kanis JA, Johansson H, Harvey NC, Gudnason V, Sigurdsson G, Siggeirsdottir K, Lorentzon M, Liu M, Vandenput L, McCloskey E (2020) Adjusting conventional FRAX estimates of fracture probability according to the recency of sentinel fractures.  Osteoporos Int 31: 1817-1828.  </w:t>
            </w:r>
          </w:p>
        </w:tc>
      </w:tr>
      <w:tr w:rsidR="0044521C" w:rsidRPr="009F3515" w14:paraId="6D8318F4" w14:textId="77777777" w:rsidTr="00353E15">
        <w:tc>
          <w:tcPr>
            <w:tcW w:w="830" w:type="dxa"/>
          </w:tcPr>
          <w:p w14:paraId="001C0FCE" w14:textId="77777777" w:rsidR="0044521C" w:rsidRPr="009F3515" w:rsidRDefault="0044521C" w:rsidP="00286C34">
            <w:pPr>
              <w:jc w:val="right"/>
              <w:rPr>
                <w:rFonts w:ascii="Calibri" w:hAnsi="Calibri" w:cs="Calibri"/>
                <w:sz w:val="20"/>
                <w:szCs w:val="20"/>
              </w:rPr>
            </w:pPr>
            <w:r>
              <w:rPr>
                <w:rFonts w:ascii="Calibri" w:hAnsi="Calibri" w:cs="Calibri"/>
                <w:sz w:val="20"/>
                <w:szCs w:val="20"/>
              </w:rPr>
              <w:t>19.</w:t>
            </w:r>
          </w:p>
        </w:tc>
        <w:tc>
          <w:tcPr>
            <w:tcW w:w="7931" w:type="dxa"/>
            <w:shd w:val="clear" w:color="auto" w:fill="auto"/>
          </w:tcPr>
          <w:p w14:paraId="4F96F6B3" w14:textId="2C6D4BAC"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Kanis JA, Johansson H, Harvey NC, Gudnason V, Sigurdsson G, Siggeirsdottir K, Lorentzon M, Liu M, Vandenput L, McCloskey E (2021) The effect on subsequent fracture risk of age, sex and prior fracture site by recency of prior fracture.  Osteoporosis International 32</w:t>
            </w:r>
            <w:r w:rsidR="00334F6D">
              <w:rPr>
                <w:rFonts w:ascii="Calibri" w:eastAsia="Calibri" w:hAnsi="Calibri" w:cs="Calibri"/>
                <w:sz w:val="20"/>
                <w:szCs w:val="20"/>
              </w:rPr>
              <w:t xml:space="preserve">: </w:t>
            </w:r>
            <w:r w:rsidRPr="00036205">
              <w:rPr>
                <w:rFonts w:ascii="Calibri" w:eastAsia="Calibri" w:hAnsi="Calibri" w:cs="Calibri"/>
                <w:sz w:val="20"/>
                <w:szCs w:val="20"/>
              </w:rPr>
              <w:t>1547-1555.</w:t>
            </w:r>
          </w:p>
        </w:tc>
      </w:tr>
      <w:tr w:rsidR="0044521C" w:rsidRPr="009F3515" w14:paraId="5813F2CE" w14:textId="77777777" w:rsidTr="00353E15">
        <w:tc>
          <w:tcPr>
            <w:tcW w:w="830" w:type="dxa"/>
          </w:tcPr>
          <w:p w14:paraId="59612E64"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20.</w:t>
            </w:r>
          </w:p>
        </w:tc>
        <w:tc>
          <w:tcPr>
            <w:tcW w:w="7931" w:type="dxa"/>
            <w:shd w:val="clear" w:color="auto" w:fill="auto"/>
          </w:tcPr>
          <w:p w14:paraId="003DA5F2" w14:textId="2C833554"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Black DM, Arden NK, Palermo L, Pearson J, Cummings SR</w:t>
            </w:r>
            <w:r w:rsidR="00334F6D">
              <w:rPr>
                <w:rFonts w:ascii="Calibri" w:eastAsia="Calibri" w:hAnsi="Calibri" w:cs="Calibri"/>
                <w:sz w:val="20"/>
                <w:szCs w:val="20"/>
              </w:rPr>
              <w:t xml:space="preserve"> (1999)</w:t>
            </w:r>
            <w:r w:rsidRPr="00036205">
              <w:rPr>
                <w:rFonts w:ascii="Calibri" w:eastAsia="Calibri" w:hAnsi="Calibri" w:cs="Calibri"/>
                <w:sz w:val="20"/>
                <w:szCs w:val="20"/>
              </w:rPr>
              <w:t xml:space="preserve"> Prevalent vertebral deformities predict hip fractures and new vertebral deformities but not wrist fractures. Study of Osteoporotic Fractures Research Group. J Bone Miner Res</w:t>
            </w:r>
            <w:r w:rsidR="00334F6D">
              <w:rPr>
                <w:rFonts w:ascii="Calibri" w:eastAsia="Calibri" w:hAnsi="Calibri" w:cs="Calibri"/>
                <w:sz w:val="20"/>
                <w:szCs w:val="20"/>
              </w:rPr>
              <w:t xml:space="preserve"> </w:t>
            </w:r>
            <w:r w:rsidRPr="00036205">
              <w:rPr>
                <w:rFonts w:ascii="Calibri" w:eastAsia="Calibri" w:hAnsi="Calibri" w:cs="Calibri"/>
                <w:sz w:val="20"/>
                <w:szCs w:val="20"/>
              </w:rPr>
              <w:t>14</w:t>
            </w:r>
            <w:r w:rsidR="00334F6D">
              <w:rPr>
                <w:rFonts w:ascii="Calibri" w:eastAsia="Calibri" w:hAnsi="Calibri" w:cs="Calibri"/>
                <w:sz w:val="20"/>
                <w:szCs w:val="20"/>
              </w:rPr>
              <w:t xml:space="preserve">: </w:t>
            </w:r>
            <w:r w:rsidRPr="00036205">
              <w:rPr>
                <w:rFonts w:ascii="Calibri" w:eastAsia="Calibri" w:hAnsi="Calibri" w:cs="Calibri"/>
                <w:sz w:val="20"/>
                <w:szCs w:val="20"/>
              </w:rPr>
              <w:t>821-8.</w:t>
            </w:r>
          </w:p>
        </w:tc>
      </w:tr>
      <w:tr w:rsidR="0044521C" w:rsidRPr="009F3515" w14:paraId="232258E9" w14:textId="77777777" w:rsidTr="00353E15">
        <w:tc>
          <w:tcPr>
            <w:tcW w:w="830" w:type="dxa"/>
          </w:tcPr>
          <w:p w14:paraId="1056A407"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21.</w:t>
            </w:r>
          </w:p>
        </w:tc>
        <w:tc>
          <w:tcPr>
            <w:tcW w:w="7931" w:type="dxa"/>
          </w:tcPr>
          <w:p w14:paraId="66DF6493" w14:textId="32339362" w:rsidR="0044521C" w:rsidRPr="00036205" w:rsidRDefault="00723360" w:rsidP="007E1560">
            <w:pPr>
              <w:spacing w:after="240"/>
              <w:rPr>
                <w:rFonts w:ascii="Calibri" w:eastAsia="Calibri" w:hAnsi="Calibri" w:cs="Calibri"/>
                <w:sz w:val="20"/>
                <w:szCs w:val="20"/>
              </w:rPr>
            </w:pPr>
            <w:r w:rsidRPr="00723360">
              <w:rPr>
                <w:rFonts w:ascii="Calibri" w:eastAsia="Calibri" w:hAnsi="Calibri" w:cs="Calibri"/>
                <w:sz w:val="20"/>
                <w:szCs w:val="20"/>
              </w:rPr>
              <w:t>Delmas PD, Genant HK, Crans GG, Stock JL, Wong M, Siris E, Adachi JD</w:t>
            </w:r>
            <w:r>
              <w:rPr>
                <w:rFonts w:ascii="Calibri" w:eastAsia="Calibri" w:hAnsi="Calibri" w:cs="Calibri"/>
                <w:sz w:val="20"/>
                <w:szCs w:val="20"/>
              </w:rPr>
              <w:t xml:space="preserve"> (</w:t>
            </w:r>
            <w:r w:rsidR="00147672">
              <w:rPr>
                <w:rFonts w:ascii="Calibri" w:eastAsia="Calibri" w:hAnsi="Calibri" w:cs="Calibri"/>
                <w:sz w:val="20"/>
                <w:szCs w:val="20"/>
              </w:rPr>
              <w:t>2003)</w:t>
            </w:r>
            <w:r w:rsidRPr="00723360">
              <w:rPr>
                <w:rFonts w:ascii="Calibri" w:eastAsia="Calibri" w:hAnsi="Calibri" w:cs="Calibri"/>
                <w:sz w:val="20"/>
                <w:szCs w:val="20"/>
              </w:rPr>
              <w:t xml:space="preserve"> Severity of prevalent vertebral fractures and the risk of subsequent vertebral and nonvertebral fractures: results from the MORE trial. Bone</w:t>
            </w:r>
            <w:r w:rsidR="00147672">
              <w:rPr>
                <w:rFonts w:ascii="Calibri" w:eastAsia="Calibri" w:hAnsi="Calibri" w:cs="Calibri"/>
                <w:sz w:val="20"/>
                <w:szCs w:val="20"/>
              </w:rPr>
              <w:t xml:space="preserve"> </w:t>
            </w:r>
            <w:r w:rsidRPr="00723360">
              <w:rPr>
                <w:rFonts w:ascii="Calibri" w:eastAsia="Calibri" w:hAnsi="Calibri" w:cs="Calibri"/>
                <w:sz w:val="20"/>
                <w:szCs w:val="20"/>
              </w:rPr>
              <w:t>33:</w:t>
            </w:r>
            <w:r w:rsidR="00E444F2">
              <w:rPr>
                <w:rFonts w:ascii="Calibri" w:eastAsia="Calibri" w:hAnsi="Calibri" w:cs="Calibri"/>
                <w:sz w:val="20"/>
                <w:szCs w:val="20"/>
              </w:rPr>
              <w:t xml:space="preserve"> </w:t>
            </w:r>
            <w:r w:rsidRPr="00723360">
              <w:rPr>
                <w:rFonts w:ascii="Calibri" w:eastAsia="Calibri" w:hAnsi="Calibri" w:cs="Calibri"/>
                <w:sz w:val="20"/>
                <w:szCs w:val="20"/>
              </w:rPr>
              <w:t>522-32.</w:t>
            </w:r>
          </w:p>
        </w:tc>
      </w:tr>
      <w:tr w:rsidR="0044521C" w:rsidRPr="009F3515" w14:paraId="2B6FD668" w14:textId="77777777" w:rsidTr="00353E15">
        <w:tc>
          <w:tcPr>
            <w:tcW w:w="830" w:type="dxa"/>
          </w:tcPr>
          <w:p w14:paraId="77B99FA2"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22.</w:t>
            </w:r>
          </w:p>
        </w:tc>
        <w:tc>
          <w:tcPr>
            <w:tcW w:w="7931" w:type="dxa"/>
            <w:shd w:val="clear" w:color="auto" w:fill="auto"/>
          </w:tcPr>
          <w:p w14:paraId="272E0483" w14:textId="50877C5D" w:rsidR="0044521C" w:rsidRPr="00036205" w:rsidRDefault="00FC6DB8" w:rsidP="00824060">
            <w:pPr>
              <w:spacing w:after="240"/>
              <w:rPr>
                <w:rFonts w:ascii="Calibri" w:eastAsia="Calibri" w:hAnsi="Calibri" w:cs="Calibri"/>
                <w:sz w:val="20"/>
                <w:szCs w:val="20"/>
              </w:rPr>
            </w:pPr>
            <w:r w:rsidRPr="00FC6DB8">
              <w:rPr>
                <w:rFonts w:ascii="Calibri" w:eastAsia="Calibri" w:hAnsi="Calibri" w:cs="Calibri"/>
                <w:sz w:val="20"/>
                <w:szCs w:val="20"/>
              </w:rPr>
              <w:t xml:space="preserve">Lunt M, O'Neill TW, Felsenberg D, Reeve J, Kanis JA, Cooper C, Silman AJ; European Prospective Osteoporosis Study Group </w:t>
            </w:r>
            <w:r w:rsidR="0044521C" w:rsidRPr="00036205">
              <w:rPr>
                <w:rFonts w:ascii="Calibri" w:eastAsia="Calibri" w:hAnsi="Calibri" w:cs="Calibri"/>
                <w:sz w:val="20"/>
                <w:szCs w:val="20"/>
              </w:rPr>
              <w:t>(2003) Characteristics of a prevalent vertebral deformity predict subsequent vertebral fracture: results from the European Prospective Osteoporosis Study (EPOS). Bone 33:505–513</w:t>
            </w:r>
          </w:p>
        </w:tc>
      </w:tr>
      <w:tr w:rsidR="0044521C" w:rsidRPr="009F3515" w14:paraId="54843519" w14:textId="77777777" w:rsidTr="00353E15">
        <w:tc>
          <w:tcPr>
            <w:tcW w:w="830" w:type="dxa"/>
          </w:tcPr>
          <w:p w14:paraId="7C810BD3"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23.</w:t>
            </w:r>
          </w:p>
        </w:tc>
        <w:tc>
          <w:tcPr>
            <w:tcW w:w="7931" w:type="dxa"/>
            <w:shd w:val="clear" w:color="auto" w:fill="auto"/>
          </w:tcPr>
          <w:p w14:paraId="7DAF98C2" w14:textId="77777777" w:rsidR="0044521C" w:rsidRPr="00036205" w:rsidRDefault="0044521C" w:rsidP="00731AB6">
            <w:pPr>
              <w:spacing w:after="240"/>
              <w:rPr>
                <w:rFonts w:ascii="Calibri" w:eastAsia="Calibri" w:hAnsi="Calibri" w:cs="Calibri"/>
                <w:sz w:val="20"/>
                <w:szCs w:val="20"/>
              </w:rPr>
            </w:pPr>
            <w:r w:rsidRPr="00036205">
              <w:rPr>
                <w:rFonts w:ascii="Calibri" w:eastAsia="Calibri" w:hAnsi="Calibri" w:cs="Calibri"/>
                <w:sz w:val="20"/>
                <w:szCs w:val="20"/>
              </w:rPr>
              <w:t>Gallagher JC, Genant HK, Crans GG, Vargas SJ, Krege JH (2005) Teriparatide reduces the fracture risk associated with increasing number and severity of osteoporotic fractures. J Clin Endocrinol Metab 90:1583–1587</w:t>
            </w:r>
          </w:p>
        </w:tc>
      </w:tr>
      <w:tr w:rsidR="0044521C" w:rsidRPr="009F3515" w14:paraId="44F0D0A4" w14:textId="77777777" w:rsidTr="00353E15">
        <w:tc>
          <w:tcPr>
            <w:tcW w:w="830" w:type="dxa"/>
          </w:tcPr>
          <w:p w14:paraId="6EF5EC33"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24.</w:t>
            </w:r>
          </w:p>
        </w:tc>
        <w:tc>
          <w:tcPr>
            <w:tcW w:w="7931" w:type="dxa"/>
          </w:tcPr>
          <w:p w14:paraId="6B7364D9" w14:textId="6295F4B4" w:rsidR="0044521C" w:rsidRPr="00036205" w:rsidRDefault="000F4887" w:rsidP="007E1560">
            <w:pPr>
              <w:spacing w:after="240"/>
              <w:rPr>
                <w:rFonts w:ascii="Calibri" w:eastAsia="Calibri" w:hAnsi="Calibri" w:cs="Calibri"/>
                <w:sz w:val="20"/>
                <w:szCs w:val="20"/>
              </w:rPr>
            </w:pPr>
            <w:r w:rsidRPr="000F4887">
              <w:rPr>
                <w:rFonts w:ascii="Calibri" w:eastAsia="Calibri" w:hAnsi="Calibri" w:cs="Calibri"/>
                <w:sz w:val="20"/>
                <w:szCs w:val="20"/>
              </w:rPr>
              <w:t>Siris ES, Genant HK, Laster AJ, Chen P, Misurski DA, Krege JH. Enhanced prediction of fracture risk combining vertebral fracture status and BMD. Osteoporos Int. 2007 Jun;18(6):761-70.</w:t>
            </w:r>
          </w:p>
        </w:tc>
      </w:tr>
      <w:tr w:rsidR="0044521C" w:rsidRPr="009F3515" w14:paraId="23BED3F5" w14:textId="77777777" w:rsidTr="00353E15">
        <w:tc>
          <w:tcPr>
            <w:tcW w:w="830" w:type="dxa"/>
          </w:tcPr>
          <w:p w14:paraId="65810E80" w14:textId="77777777" w:rsidR="0044521C" w:rsidRPr="00973968" w:rsidRDefault="0044521C" w:rsidP="00286C34">
            <w:pPr>
              <w:jc w:val="right"/>
              <w:rPr>
                <w:rFonts w:ascii="Calibri" w:hAnsi="Calibri" w:cs="Calibri"/>
                <w:sz w:val="20"/>
                <w:szCs w:val="20"/>
              </w:rPr>
            </w:pPr>
            <w:r>
              <w:rPr>
                <w:rFonts w:ascii="Calibri" w:hAnsi="Calibri" w:cs="Calibri"/>
                <w:sz w:val="20"/>
                <w:szCs w:val="20"/>
              </w:rPr>
              <w:t>25.</w:t>
            </w:r>
          </w:p>
        </w:tc>
        <w:tc>
          <w:tcPr>
            <w:tcW w:w="7931" w:type="dxa"/>
            <w:shd w:val="clear" w:color="auto" w:fill="auto"/>
          </w:tcPr>
          <w:p w14:paraId="2316260F" w14:textId="5905F6B9"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Agarwal A, Leslie WD, Nguyen TV, Morin SN, Lix LM, Eisman JA</w:t>
            </w:r>
            <w:r w:rsidR="00BD4A06">
              <w:rPr>
                <w:rFonts w:ascii="Calibri" w:eastAsia="Calibri" w:hAnsi="Calibri" w:cs="Calibri"/>
                <w:sz w:val="20"/>
                <w:szCs w:val="20"/>
              </w:rPr>
              <w:t xml:space="preserve"> (2022) </w:t>
            </w:r>
            <w:r w:rsidRPr="00036205">
              <w:rPr>
                <w:rFonts w:ascii="Calibri" w:eastAsia="Calibri" w:hAnsi="Calibri" w:cs="Calibri"/>
                <w:sz w:val="20"/>
                <w:szCs w:val="20"/>
              </w:rPr>
              <w:t>Predictive performance of the Garvan Fracture Risk Calculator: a registry-based cohort study. Osteoporos Int</w:t>
            </w:r>
            <w:r w:rsidR="00BD4A06">
              <w:rPr>
                <w:rFonts w:ascii="Calibri" w:eastAsia="Calibri" w:hAnsi="Calibri" w:cs="Calibri"/>
                <w:sz w:val="20"/>
                <w:szCs w:val="20"/>
              </w:rPr>
              <w:t xml:space="preserve"> </w:t>
            </w:r>
            <w:r w:rsidRPr="00036205">
              <w:rPr>
                <w:rFonts w:ascii="Calibri" w:eastAsia="Calibri" w:hAnsi="Calibri" w:cs="Calibri"/>
                <w:sz w:val="20"/>
                <w:szCs w:val="20"/>
              </w:rPr>
              <w:t>33</w:t>
            </w:r>
            <w:r w:rsidR="00407CC0">
              <w:rPr>
                <w:rFonts w:ascii="Calibri" w:eastAsia="Calibri" w:hAnsi="Calibri" w:cs="Calibri"/>
                <w:sz w:val="20"/>
                <w:szCs w:val="20"/>
              </w:rPr>
              <w:t xml:space="preserve">: </w:t>
            </w:r>
            <w:r w:rsidRPr="00036205">
              <w:rPr>
                <w:rFonts w:ascii="Calibri" w:eastAsia="Calibri" w:hAnsi="Calibri" w:cs="Calibri"/>
                <w:sz w:val="20"/>
                <w:szCs w:val="20"/>
              </w:rPr>
              <w:t>541-548.</w:t>
            </w:r>
          </w:p>
        </w:tc>
      </w:tr>
      <w:tr w:rsidR="0044521C" w:rsidRPr="009F3515" w14:paraId="74AEBBCE" w14:textId="77777777" w:rsidTr="00353E15">
        <w:tc>
          <w:tcPr>
            <w:tcW w:w="830" w:type="dxa"/>
          </w:tcPr>
          <w:p w14:paraId="6AD634EB"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26.</w:t>
            </w:r>
          </w:p>
        </w:tc>
        <w:tc>
          <w:tcPr>
            <w:tcW w:w="7931" w:type="dxa"/>
          </w:tcPr>
          <w:p w14:paraId="36B9102F" w14:textId="77777777" w:rsidR="0044521C" w:rsidRPr="00036205" w:rsidRDefault="0044521C" w:rsidP="007E1560">
            <w:pPr>
              <w:spacing w:after="240"/>
              <w:rPr>
                <w:rFonts w:ascii="Calibri" w:eastAsia="Calibri" w:hAnsi="Calibri" w:cs="Calibri"/>
                <w:sz w:val="20"/>
                <w:szCs w:val="20"/>
              </w:rPr>
            </w:pPr>
            <w:r w:rsidRPr="00036205">
              <w:rPr>
                <w:rFonts w:ascii="Calibri" w:eastAsia="MS Mincho" w:hAnsi="Calibri" w:cs="Calibri"/>
                <w:sz w:val="20"/>
                <w:szCs w:val="20"/>
                <w:lang w:eastAsia="ja-JP"/>
              </w:rPr>
              <w:t xml:space="preserve">Bjornsson G, Bjornsson OJ, Davidsson D et al (1982) Report abc XXIV. Health Survey in the Reykjavik Area. – Women. Stages I-III, 1968–1969, 1971-1972 and 1976-1978. Participants, Invitation, Response etc. The Icelandic Heart Association, Reykjavík </w:t>
            </w:r>
          </w:p>
        </w:tc>
      </w:tr>
      <w:tr w:rsidR="0044521C" w:rsidRPr="009F3515" w14:paraId="5F3E26A4" w14:textId="77777777" w:rsidTr="00353E15">
        <w:tc>
          <w:tcPr>
            <w:tcW w:w="830" w:type="dxa"/>
          </w:tcPr>
          <w:p w14:paraId="6E67BAC7"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27.</w:t>
            </w:r>
          </w:p>
        </w:tc>
        <w:tc>
          <w:tcPr>
            <w:tcW w:w="7931" w:type="dxa"/>
          </w:tcPr>
          <w:p w14:paraId="1C7568B2" w14:textId="77777777" w:rsidR="0044521C" w:rsidRPr="00036205" w:rsidRDefault="0044521C" w:rsidP="007E1560">
            <w:pPr>
              <w:spacing w:after="240"/>
              <w:rPr>
                <w:rFonts w:ascii="Calibri" w:eastAsia="Calibri" w:hAnsi="Calibri" w:cs="Calibri"/>
                <w:sz w:val="20"/>
                <w:szCs w:val="20"/>
              </w:rPr>
            </w:pPr>
            <w:r w:rsidRPr="00036205">
              <w:rPr>
                <w:rFonts w:ascii="Calibri" w:eastAsia="MS Mincho" w:hAnsi="Calibri" w:cs="Calibri"/>
                <w:sz w:val="20"/>
                <w:szCs w:val="20"/>
                <w:lang w:eastAsia="ja-JP"/>
              </w:rPr>
              <w:t>Bjornsson OJ, Davidsson. D., Olafsson H et al (1979) Report XVIII. Health Survey in the Reykjavik Area. — Men. Stages I–III, 1967–1968, 1970–1971 and 1974–1975. Participants, Invitation, Response etc. The Icelandic Heart Association, Reykjavík</w:t>
            </w:r>
          </w:p>
        </w:tc>
      </w:tr>
      <w:tr w:rsidR="0044521C" w:rsidRPr="009F3515" w14:paraId="4575E053" w14:textId="77777777" w:rsidTr="00353E15">
        <w:tc>
          <w:tcPr>
            <w:tcW w:w="830" w:type="dxa"/>
          </w:tcPr>
          <w:p w14:paraId="6E5D4155" w14:textId="77777777" w:rsidR="0044521C" w:rsidRPr="009F3515" w:rsidRDefault="0044521C" w:rsidP="00286C34">
            <w:pPr>
              <w:jc w:val="right"/>
              <w:rPr>
                <w:rFonts w:ascii="Calibri" w:hAnsi="Calibri" w:cs="Calibri"/>
                <w:sz w:val="20"/>
                <w:szCs w:val="20"/>
              </w:rPr>
            </w:pPr>
            <w:r>
              <w:rPr>
                <w:rFonts w:ascii="Calibri" w:hAnsi="Calibri" w:cs="Calibri"/>
                <w:sz w:val="20"/>
                <w:szCs w:val="20"/>
              </w:rPr>
              <w:t>28.</w:t>
            </w:r>
          </w:p>
        </w:tc>
        <w:tc>
          <w:tcPr>
            <w:tcW w:w="7931" w:type="dxa"/>
          </w:tcPr>
          <w:p w14:paraId="0AA05F54"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Kanis JA, Oden A, Johnell O, Jonsson B, de Laet C, Dawson A (2001) The burden of osteoporotic fractures: a method for setting intervention thresholds. Osteoporos Int 12:417–427</w:t>
            </w:r>
          </w:p>
        </w:tc>
      </w:tr>
      <w:tr w:rsidR="0044521C" w:rsidRPr="009F3515" w14:paraId="69E380DF" w14:textId="77777777" w:rsidTr="00353E15">
        <w:tc>
          <w:tcPr>
            <w:tcW w:w="830" w:type="dxa"/>
          </w:tcPr>
          <w:p w14:paraId="562B9C94"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29.</w:t>
            </w:r>
          </w:p>
        </w:tc>
        <w:tc>
          <w:tcPr>
            <w:tcW w:w="7931" w:type="dxa"/>
          </w:tcPr>
          <w:p w14:paraId="6222BE18" w14:textId="77777777" w:rsidR="0044521C" w:rsidRPr="009F3515" w:rsidRDefault="0044521C" w:rsidP="007E1560">
            <w:pPr>
              <w:spacing w:after="240"/>
              <w:rPr>
                <w:rFonts w:ascii="Calibri" w:eastAsia="Calibri" w:hAnsi="Calibri" w:cs="Calibri"/>
                <w:sz w:val="20"/>
                <w:szCs w:val="20"/>
              </w:rPr>
            </w:pPr>
            <w:bookmarkStart w:id="14" w:name="_Hlk103172346"/>
            <w:r w:rsidRPr="00973968">
              <w:rPr>
                <w:rFonts w:ascii="Calibri" w:eastAsia="Calibri" w:hAnsi="Calibri" w:cs="Calibri"/>
                <w:sz w:val="20"/>
                <w:szCs w:val="20"/>
                <w:lang w:val="sv-SE"/>
              </w:rPr>
              <w:t>Siggeirsdottir</w:t>
            </w:r>
            <w:r w:rsidRPr="009F3515">
              <w:rPr>
                <w:rFonts w:ascii="Calibri" w:eastAsia="Calibri" w:hAnsi="Calibri" w:cs="Calibri"/>
                <w:sz w:val="20"/>
                <w:szCs w:val="20"/>
                <w:lang w:val="sv-SE"/>
              </w:rPr>
              <w:t xml:space="preserve"> </w:t>
            </w:r>
            <w:bookmarkEnd w:id="14"/>
            <w:r w:rsidRPr="009F3515">
              <w:rPr>
                <w:rFonts w:ascii="Calibri" w:eastAsia="Calibri" w:hAnsi="Calibri" w:cs="Calibri"/>
                <w:sz w:val="20"/>
                <w:szCs w:val="20"/>
                <w:lang w:val="sv-SE"/>
              </w:rPr>
              <w:t xml:space="preserve">K, Aspelund T, Sigurdsson G, Mogensen B, Chang M, Jonsdottir </w:t>
            </w:r>
            <w:r w:rsidRPr="009F3515">
              <w:rPr>
                <w:rFonts w:ascii="Calibri" w:eastAsia="Calibri" w:hAnsi="Calibri" w:cs="Calibri"/>
                <w:sz w:val="20"/>
                <w:szCs w:val="20"/>
              </w:rPr>
              <w:t>B, Eiriksdottir G, Launer LJ, Harris TB, Jonsson BY, Gudnason V (2007) Inaccuracy in self-report of fractures may underestimate association with health outcomes when compared with medical record based fracture registry. Eur J Epidemiol 22: 631-639.</w:t>
            </w:r>
          </w:p>
        </w:tc>
      </w:tr>
      <w:tr w:rsidR="0044521C" w:rsidRPr="009F3515" w14:paraId="1DC214E7" w14:textId="77777777" w:rsidTr="00353E15">
        <w:tc>
          <w:tcPr>
            <w:tcW w:w="830" w:type="dxa"/>
          </w:tcPr>
          <w:p w14:paraId="57D3E944" w14:textId="77777777" w:rsidR="0044521C" w:rsidRPr="00973968" w:rsidRDefault="0044521C" w:rsidP="00286C34">
            <w:pPr>
              <w:jc w:val="right"/>
              <w:rPr>
                <w:rFonts w:ascii="Calibri" w:hAnsi="Calibri" w:cs="Calibri"/>
                <w:sz w:val="20"/>
                <w:szCs w:val="20"/>
              </w:rPr>
            </w:pPr>
            <w:r>
              <w:rPr>
                <w:rFonts w:ascii="Calibri" w:hAnsi="Calibri" w:cs="Calibri"/>
                <w:sz w:val="20"/>
                <w:szCs w:val="20"/>
              </w:rPr>
              <w:t>30.</w:t>
            </w:r>
          </w:p>
        </w:tc>
        <w:tc>
          <w:tcPr>
            <w:tcW w:w="7931" w:type="dxa"/>
            <w:shd w:val="clear" w:color="auto" w:fill="auto"/>
          </w:tcPr>
          <w:p w14:paraId="77A8B203" w14:textId="77777777" w:rsidR="0044521C" w:rsidRPr="00973968" w:rsidRDefault="0044521C" w:rsidP="00731AB6">
            <w:pPr>
              <w:spacing w:after="240"/>
              <w:rPr>
                <w:rFonts w:ascii="Calibri" w:eastAsia="Calibri" w:hAnsi="Calibri" w:cs="Calibri"/>
                <w:sz w:val="20"/>
                <w:szCs w:val="20"/>
              </w:rPr>
            </w:pPr>
            <w:r w:rsidRPr="00973968">
              <w:rPr>
                <w:rFonts w:ascii="Calibri" w:eastAsia="Calibri" w:hAnsi="Calibri" w:cs="Calibri"/>
                <w:sz w:val="20"/>
                <w:szCs w:val="20"/>
              </w:rPr>
              <w:t>Leslie WD, Schousboe JT, Morin SN, Martineau P, Lix JM, Johansson H, McCloskey EV, Harvey NC, Kanis JA (2020) Fracture risk following high-trauma versus non-trauma fracture: A registry-based cohort study.  Osteoporosis International 31: 1059–1067.</w:t>
            </w:r>
          </w:p>
        </w:tc>
      </w:tr>
      <w:tr w:rsidR="0044521C" w:rsidRPr="009F3515" w14:paraId="378EB93F" w14:textId="77777777" w:rsidTr="00353E15">
        <w:tc>
          <w:tcPr>
            <w:tcW w:w="830" w:type="dxa"/>
          </w:tcPr>
          <w:p w14:paraId="39A8A67A" w14:textId="77777777" w:rsidR="0044521C" w:rsidRPr="00973968" w:rsidRDefault="0044521C" w:rsidP="00286C34">
            <w:pPr>
              <w:jc w:val="right"/>
              <w:rPr>
                <w:rFonts w:ascii="Calibri" w:hAnsi="Calibri" w:cs="Calibri"/>
                <w:sz w:val="20"/>
                <w:szCs w:val="20"/>
              </w:rPr>
            </w:pPr>
            <w:r>
              <w:rPr>
                <w:rFonts w:ascii="Calibri" w:hAnsi="Calibri" w:cs="Calibri"/>
                <w:sz w:val="20"/>
                <w:szCs w:val="20"/>
              </w:rPr>
              <w:t>31.</w:t>
            </w:r>
          </w:p>
        </w:tc>
        <w:tc>
          <w:tcPr>
            <w:tcW w:w="7931" w:type="dxa"/>
            <w:shd w:val="clear" w:color="auto" w:fill="auto"/>
          </w:tcPr>
          <w:p w14:paraId="160777E1" w14:textId="77777777" w:rsidR="0044521C" w:rsidRPr="009F3515" w:rsidRDefault="0044521C" w:rsidP="0039174F">
            <w:pPr>
              <w:spacing w:after="240"/>
              <w:rPr>
                <w:rFonts w:ascii="Calibri" w:eastAsia="Calibri" w:hAnsi="Calibri" w:cs="Calibri"/>
                <w:sz w:val="20"/>
                <w:szCs w:val="20"/>
              </w:rPr>
            </w:pPr>
            <w:r w:rsidRPr="00973968">
              <w:rPr>
                <w:rFonts w:ascii="Calibri" w:eastAsia="Calibri" w:hAnsi="Calibri" w:cs="Calibri"/>
                <w:sz w:val="20"/>
                <w:szCs w:val="20"/>
              </w:rPr>
              <w:t>Kanis JA,</w:t>
            </w:r>
            <w:r w:rsidRPr="00CC45F6">
              <w:rPr>
                <w:rFonts w:ascii="Calibri" w:eastAsia="Calibri" w:hAnsi="Calibri" w:cs="Calibri"/>
                <w:sz w:val="20"/>
                <w:szCs w:val="20"/>
              </w:rPr>
              <w:t xml:space="preserve"> Johnell O, Oden A, Sernbo I, Redlund-Johnell I, Dawson</w:t>
            </w:r>
            <w:r>
              <w:rPr>
                <w:rFonts w:ascii="Calibri" w:eastAsia="Calibri" w:hAnsi="Calibri" w:cs="Calibri"/>
                <w:sz w:val="20"/>
                <w:szCs w:val="20"/>
              </w:rPr>
              <w:t xml:space="preserve"> </w:t>
            </w:r>
            <w:r w:rsidRPr="00CC45F6">
              <w:rPr>
                <w:rFonts w:ascii="Calibri" w:eastAsia="Calibri" w:hAnsi="Calibri" w:cs="Calibri"/>
                <w:sz w:val="20"/>
                <w:szCs w:val="20"/>
              </w:rPr>
              <w:t>A, de Laet C, Jonsson B (2000) Long-term risk of osteoporotic</w:t>
            </w:r>
            <w:r>
              <w:rPr>
                <w:rFonts w:ascii="Calibri" w:eastAsia="Calibri" w:hAnsi="Calibri" w:cs="Calibri"/>
                <w:sz w:val="20"/>
                <w:szCs w:val="20"/>
              </w:rPr>
              <w:t xml:space="preserve"> </w:t>
            </w:r>
            <w:r w:rsidRPr="00CC45F6">
              <w:rPr>
                <w:rFonts w:ascii="Calibri" w:eastAsia="Calibri" w:hAnsi="Calibri" w:cs="Calibri"/>
                <w:sz w:val="20"/>
                <w:szCs w:val="20"/>
              </w:rPr>
              <w:t>fractures in Malmo. Osteoporos Int 11:669–674</w:t>
            </w:r>
          </w:p>
        </w:tc>
      </w:tr>
      <w:tr w:rsidR="0044521C" w:rsidRPr="009F3515" w14:paraId="36DE0641" w14:textId="77777777" w:rsidTr="00353E15">
        <w:tc>
          <w:tcPr>
            <w:tcW w:w="830" w:type="dxa"/>
          </w:tcPr>
          <w:p w14:paraId="79657CCD" w14:textId="77777777" w:rsidR="0044521C" w:rsidRPr="009F3515" w:rsidRDefault="0044521C" w:rsidP="00286C34">
            <w:pPr>
              <w:jc w:val="right"/>
              <w:rPr>
                <w:rFonts w:ascii="Calibri" w:hAnsi="Calibri" w:cs="Calibri"/>
                <w:sz w:val="20"/>
                <w:szCs w:val="20"/>
              </w:rPr>
            </w:pPr>
            <w:r>
              <w:rPr>
                <w:rFonts w:ascii="Calibri" w:hAnsi="Calibri" w:cs="Calibri"/>
                <w:sz w:val="20"/>
                <w:szCs w:val="20"/>
              </w:rPr>
              <w:t>32.</w:t>
            </w:r>
          </w:p>
        </w:tc>
        <w:tc>
          <w:tcPr>
            <w:tcW w:w="7931" w:type="dxa"/>
          </w:tcPr>
          <w:p w14:paraId="4571B949"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Kanis JA, Johnell O, De Laet C, Jonsson B, Oden A, Oglesby A (2002) International variations in hip fracture probabilities: implications for risk assessment. Journal of Bone &amp; Mineral Research 17: 1237-1244</w:t>
            </w:r>
          </w:p>
        </w:tc>
      </w:tr>
      <w:tr w:rsidR="0044521C" w:rsidRPr="009F3515" w14:paraId="5043EB20" w14:textId="77777777" w:rsidTr="00353E15">
        <w:tc>
          <w:tcPr>
            <w:tcW w:w="830" w:type="dxa"/>
          </w:tcPr>
          <w:p w14:paraId="7EA2B231" w14:textId="77777777" w:rsidR="0044521C" w:rsidRPr="00973968" w:rsidRDefault="0044521C" w:rsidP="00286C34">
            <w:pPr>
              <w:tabs>
                <w:tab w:val="left" w:pos="255"/>
              </w:tabs>
              <w:jc w:val="right"/>
              <w:rPr>
                <w:rFonts w:ascii="Calibri" w:eastAsia="Calibri" w:hAnsi="Calibri" w:cs="Calibri"/>
                <w:sz w:val="20"/>
                <w:szCs w:val="20"/>
              </w:rPr>
            </w:pPr>
            <w:r>
              <w:rPr>
                <w:rFonts w:ascii="Calibri" w:eastAsia="Calibri" w:hAnsi="Calibri" w:cs="Calibri"/>
                <w:sz w:val="20"/>
                <w:szCs w:val="20"/>
              </w:rPr>
              <w:tab/>
              <w:t>33.</w:t>
            </w:r>
          </w:p>
        </w:tc>
        <w:tc>
          <w:tcPr>
            <w:tcW w:w="7931" w:type="dxa"/>
          </w:tcPr>
          <w:p w14:paraId="429B060D"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Breslow NE, Day NE (1987) Statistical methods in cancer research, vol 2. IARC Scientific Publications, no 32, Lyon 131–135</w:t>
            </w:r>
          </w:p>
        </w:tc>
      </w:tr>
      <w:tr w:rsidR="0044521C" w:rsidRPr="009F3515" w14:paraId="208916A5" w14:textId="77777777" w:rsidTr="00353E15">
        <w:tc>
          <w:tcPr>
            <w:tcW w:w="830" w:type="dxa"/>
          </w:tcPr>
          <w:p w14:paraId="58A012A0"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34.</w:t>
            </w:r>
          </w:p>
        </w:tc>
        <w:tc>
          <w:tcPr>
            <w:tcW w:w="7931" w:type="dxa"/>
          </w:tcPr>
          <w:p w14:paraId="0FF76277" w14:textId="77777777" w:rsidR="0044521C" w:rsidRPr="00036205" w:rsidRDefault="0044521C" w:rsidP="007E1560">
            <w:pPr>
              <w:spacing w:after="240"/>
              <w:rPr>
                <w:rFonts w:ascii="Calibri" w:eastAsia="Calibri" w:hAnsi="Calibri" w:cs="Calibri"/>
                <w:sz w:val="20"/>
                <w:szCs w:val="20"/>
              </w:rPr>
            </w:pPr>
            <w:r w:rsidRPr="00036205">
              <w:rPr>
                <w:rFonts w:ascii="Calibri" w:eastAsia="Calibri" w:hAnsi="Calibri" w:cs="Calibri"/>
                <w:sz w:val="20"/>
                <w:szCs w:val="20"/>
              </w:rPr>
              <w:t>Albertsson-Wikland K, Martensson A, Savendahl L Niklasson A, Bang P, Dahlgren J, Gustafsson J, Kriström B, Norgren S, Pehrsson NG, Odén A (2016) Mortality is not increased in recombinant human growth hormone-treated patients when adjusting for birth characteristics. J Clin Endocrinol Metab 101: 2149-2159.</w:t>
            </w:r>
          </w:p>
        </w:tc>
      </w:tr>
      <w:tr w:rsidR="0044521C" w:rsidRPr="009F3515" w14:paraId="2028E07E" w14:textId="77777777" w:rsidTr="00353E15">
        <w:tc>
          <w:tcPr>
            <w:tcW w:w="830" w:type="dxa"/>
          </w:tcPr>
          <w:p w14:paraId="4636803F" w14:textId="77777777" w:rsidR="0044521C" w:rsidRPr="00143C25" w:rsidRDefault="0044521C" w:rsidP="00286C34">
            <w:pPr>
              <w:jc w:val="right"/>
              <w:rPr>
                <w:rFonts w:ascii="Calibri" w:hAnsi="Calibri" w:cs="Calibri"/>
                <w:sz w:val="20"/>
                <w:szCs w:val="20"/>
              </w:rPr>
            </w:pPr>
            <w:r>
              <w:rPr>
                <w:rFonts w:ascii="Calibri" w:hAnsi="Calibri" w:cs="Calibri"/>
                <w:sz w:val="20"/>
                <w:szCs w:val="20"/>
              </w:rPr>
              <w:t>35.</w:t>
            </w:r>
          </w:p>
        </w:tc>
        <w:tc>
          <w:tcPr>
            <w:tcW w:w="7931" w:type="dxa"/>
            <w:shd w:val="clear" w:color="auto" w:fill="auto"/>
          </w:tcPr>
          <w:p w14:paraId="33E2D597" w14:textId="46536F70" w:rsidR="0044521C" w:rsidRPr="00036205" w:rsidRDefault="0044521C" w:rsidP="00E200C6">
            <w:pPr>
              <w:spacing w:after="240"/>
              <w:rPr>
                <w:rFonts w:ascii="Calibri" w:eastAsia="Calibri" w:hAnsi="Calibri" w:cs="Calibri"/>
                <w:sz w:val="20"/>
                <w:szCs w:val="20"/>
              </w:rPr>
            </w:pPr>
            <w:r w:rsidRPr="00036205">
              <w:rPr>
                <w:rFonts w:ascii="Calibri" w:hAnsi="Calibri" w:cs="Calibri"/>
                <w:sz w:val="20"/>
                <w:szCs w:val="20"/>
              </w:rPr>
              <w:t>Kanis JA, Harvey NC, Cooper C, Johansson H, Odén A, McCloskey EV (2016) A systematic review of intervention thresholds based on FRAX. Arch Osteoporos 11:</w:t>
            </w:r>
            <w:r w:rsidR="00505EE7">
              <w:rPr>
                <w:rFonts w:ascii="Calibri" w:hAnsi="Calibri" w:cs="Calibri"/>
                <w:sz w:val="20"/>
                <w:szCs w:val="20"/>
              </w:rPr>
              <w:t xml:space="preserve"> </w:t>
            </w:r>
            <w:r w:rsidRPr="00036205">
              <w:rPr>
                <w:rFonts w:ascii="Calibri" w:hAnsi="Calibri" w:cs="Calibri"/>
                <w:sz w:val="20"/>
                <w:szCs w:val="20"/>
              </w:rPr>
              <w:t>25.</w:t>
            </w:r>
            <w:r w:rsidR="00611ABF">
              <w:t xml:space="preserve"> </w:t>
            </w:r>
            <w:r w:rsidR="00611ABF" w:rsidRPr="00611ABF">
              <w:rPr>
                <w:rFonts w:ascii="Calibri" w:hAnsi="Calibri" w:cs="Calibri"/>
                <w:sz w:val="20"/>
                <w:szCs w:val="20"/>
              </w:rPr>
              <w:t>doi: 10.1007/s11657-016-0278-z.</w:t>
            </w:r>
          </w:p>
        </w:tc>
      </w:tr>
      <w:tr w:rsidR="0044521C" w:rsidRPr="009F3515" w14:paraId="2166A30E" w14:textId="77777777" w:rsidTr="00353E15">
        <w:tc>
          <w:tcPr>
            <w:tcW w:w="830" w:type="dxa"/>
          </w:tcPr>
          <w:p w14:paraId="5B39050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36.</w:t>
            </w:r>
          </w:p>
        </w:tc>
        <w:tc>
          <w:tcPr>
            <w:tcW w:w="7931" w:type="dxa"/>
          </w:tcPr>
          <w:p w14:paraId="3583EEA3" w14:textId="475AADE5" w:rsidR="0044521C" w:rsidRPr="00973968" w:rsidRDefault="004D1B13" w:rsidP="007E1560">
            <w:pPr>
              <w:spacing w:after="240"/>
              <w:rPr>
                <w:rFonts w:ascii="Calibri" w:eastAsia="Calibri" w:hAnsi="Calibri" w:cs="Calibri"/>
                <w:sz w:val="20"/>
                <w:szCs w:val="20"/>
              </w:rPr>
            </w:pPr>
            <w:r w:rsidRPr="004D1B13">
              <w:rPr>
                <w:rFonts w:ascii="Calibri" w:eastAsia="Calibri" w:hAnsi="Calibri" w:cs="Calibri"/>
                <w:sz w:val="20"/>
                <w:szCs w:val="20"/>
              </w:rPr>
              <w:t>Chakhtoura M, Leslie WD, McClung M, Cheung AM, Fuleihan GE</w:t>
            </w:r>
            <w:r>
              <w:rPr>
                <w:rFonts w:ascii="Calibri" w:eastAsia="Calibri" w:hAnsi="Calibri" w:cs="Calibri"/>
                <w:sz w:val="20"/>
                <w:szCs w:val="20"/>
              </w:rPr>
              <w:t xml:space="preserve"> </w:t>
            </w:r>
            <w:r w:rsidR="0046232D">
              <w:rPr>
                <w:rFonts w:ascii="Calibri" w:eastAsia="Calibri" w:hAnsi="Calibri" w:cs="Calibri"/>
                <w:sz w:val="20"/>
                <w:szCs w:val="20"/>
              </w:rPr>
              <w:t xml:space="preserve">(2017) </w:t>
            </w:r>
            <w:r w:rsidRPr="004D1B13">
              <w:rPr>
                <w:rFonts w:ascii="Calibri" w:eastAsia="Calibri" w:hAnsi="Calibri" w:cs="Calibri"/>
                <w:sz w:val="20"/>
                <w:szCs w:val="20"/>
              </w:rPr>
              <w:t>The FRAX-based Lebanese osteoporosis treatment guidelines: rationale for a hybrid model. Osteoporos Int 28</w:t>
            </w:r>
            <w:r w:rsidR="00767C01">
              <w:rPr>
                <w:rFonts w:ascii="Calibri" w:eastAsia="Calibri" w:hAnsi="Calibri" w:cs="Calibri"/>
                <w:sz w:val="20"/>
                <w:szCs w:val="20"/>
              </w:rPr>
              <w:t xml:space="preserve">: </w:t>
            </w:r>
            <w:r w:rsidRPr="004D1B13">
              <w:rPr>
                <w:rFonts w:ascii="Calibri" w:eastAsia="Calibri" w:hAnsi="Calibri" w:cs="Calibri"/>
                <w:sz w:val="20"/>
                <w:szCs w:val="20"/>
              </w:rPr>
              <w:t>127-137.</w:t>
            </w:r>
          </w:p>
        </w:tc>
      </w:tr>
      <w:tr w:rsidR="0044521C" w:rsidRPr="009F3515" w14:paraId="42FB26AA" w14:textId="77777777" w:rsidTr="00353E15">
        <w:tc>
          <w:tcPr>
            <w:tcW w:w="830" w:type="dxa"/>
          </w:tcPr>
          <w:p w14:paraId="798A20A1"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37.</w:t>
            </w:r>
          </w:p>
        </w:tc>
        <w:tc>
          <w:tcPr>
            <w:tcW w:w="7931" w:type="dxa"/>
          </w:tcPr>
          <w:p w14:paraId="4312CACE" w14:textId="3C2FF27F"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Cosman F, de Beur SJ, LeBoff MS, Lewiecki EM, Tanner B Randall S, Lindsay R</w:t>
            </w:r>
            <w:r w:rsidR="00611ABF">
              <w:rPr>
                <w:rFonts w:ascii="Calibri" w:eastAsia="Calibri" w:hAnsi="Calibri" w:cs="Calibri"/>
                <w:sz w:val="20"/>
                <w:szCs w:val="20"/>
              </w:rPr>
              <w:t xml:space="preserve"> (</w:t>
            </w:r>
            <w:r w:rsidR="005610ED">
              <w:rPr>
                <w:rFonts w:ascii="Calibri" w:eastAsia="Calibri" w:hAnsi="Calibri" w:cs="Calibri"/>
                <w:sz w:val="20"/>
                <w:szCs w:val="20"/>
              </w:rPr>
              <w:t xml:space="preserve">2014) </w:t>
            </w:r>
            <w:r w:rsidRPr="00973968">
              <w:rPr>
                <w:rFonts w:ascii="Calibri" w:eastAsia="Calibri" w:hAnsi="Calibri" w:cs="Calibri"/>
                <w:sz w:val="20"/>
                <w:szCs w:val="20"/>
              </w:rPr>
              <w:t xml:space="preserve">Clinician’s guide to prevention and treatment of osteoporosis. Osteoporos </w:t>
            </w:r>
            <w:r w:rsidR="005610ED" w:rsidRPr="00973968">
              <w:rPr>
                <w:rFonts w:ascii="Calibri" w:eastAsia="Calibri" w:hAnsi="Calibri" w:cs="Calibri"/>
                <w:sz w:val="20"/>
                <w:szCs w:val="20"/>
              </w:rPr>
              <w:t>Int</w:t>
            </w:r>
            <w:r w:rsidR="005610ED">
              <w:rPr>
                <w:rFonts w:ascii="Calibri" w:eastAsia="Calibri" w:hAnsi="Calibri" w:cs="Calibri"/>
                <w:sz w:val="20"/>
                <w:szCs w:val="20"/>
              </w:rPr>
              <w:t xml:space="preserve"> </w:t>
            </w:r>
            <w:r w:rsidR="005610ED" w:rsidRPr="00973968">
              <w:rPr>
                <w:rFonts w:ascii="Calibri" w:eastAsia="Calibri" w:hAnsi="Calibri" w:cs="Calibri"/>
                <w:sz w:val="20"/>
                <w:szCs w:val="20"/>
              </w:rPr>
              <w:t>25:</w:t>
            </w:r>
            <w:r w:rsidR="005610ED">
              <w:rPr>
                <w:rFonts w:ascii="Calibri" w:eastAsia="Calibri" w:hAnsi="Calibri" w:cs="Calibri"/>
                <w:sz w:val="20"/>
                <w:szCs w:val="20"/>
              </w:rPr>
              <w:t xml:space="preserve"> </w:t>
            </w:r>
            <w:r w:rsidR="005610ED" w:rsidRPr="00973968">
              <w:rPr>
                <w:rFonts w:ascii="Calibri" w:eastAsia="Calibri" w:hAnsi="Calibri" w:cs="Calibri"/>
                <w:sz w:val="20"/>
                <w:szCs w:val="20"/>
              </w:rPr>
              <w:t>2359</w:t>
            </w:r>
            <w:r w:rsidRPr="00973968">
              <w:rPr>
                <w:rFonts w:ascii="Calibri" w:eastAsia="Calibri" w:hAnsi="Calibri" w:cs="Calibri"/>
                <w:sz w:val="20"/>
                <w:szCs w:val="20"/>
              </w:rPr>
              <w:t>–81.</w:t>
            </w:r>
          </w:p>
        </w:tc>
      </w:tr>
      <w:tr w:rsidR="0044521C" w:rsidRPr="009F3515" w14:paraId="7A35096B" w14:textId="77777777" w:rsidTr="00353E15">
        <w:tc>
          <w:tcPr>
            <w:tcW w:w="830" w:type="dxa"/>
          </w:tcPr>
          <w:p w14:paraId="38071BD4"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38.</w:t>
            </w:r>
          </w:p>
        </w:tc>
        <w:tc>
          <w:tcPr>
            <w:tcW w:w="7931" w:type="dxa"/>
          </w:tcPr>
          <w:p w14:paraId="03C36637"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Papaioannou A, Morin S,</w:t>
            </w:r>
            <w:r w:rsidRPr="009F3515">
              <w:rPr>
                <w:rFonts w:ascii="Calibri" w:eastAsia="Calibri" w:hAnsi="Calibri" w:cs="Calibri"/>
                <w:sz w:val="20"/>
                <w:szCs w:val="20"/>
              </w:rPr>
              <w:t xml:space="preserve"> Cheung AM, Atkinson S, Brown JP, Feldman S, Hanley DA, Hodsman A, Jamal SA, Kaiser SM, Kvern B, Siminoski K, Leslie WD; Scientific Advisory Council of Osteoporosis Canada (2010) 2010 Clinical practice guidelines for the diagnosis and management of osteoporosis in Canada: summary. CMAJ 182:1864–1873</w:t>
            </w:r>
          </w:p>
        </w:tc>
      </w:tr>
      <w:tr w:rsidR="0044521C" w:rsidRPr="009F3515" w14:paraId="60E12BB9" w14:textId="77777777" w:rsidTr="00353E15">
        <w:tc>
          <w:tcPr>
            <w:tcW w:w="830" w:type="dxa"/>
          </w:tcPr>
          <w:p w14:paraId="5FB74BF9"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39.</w:t>
            </w:r>
          </w:p>
        </w:tc>
        <w:tc>
          <w:tcPr>
            <w:tcW w:w="7931" w:type="dxa"/>
          </w:tcPr>
          <w:p w14:paraId="15EA8446" w14:textId="77777777" w:rsidR="0044521C" w:rsidRPr="00973968" w:rsidRDefault="0044521C" w:rsidP="002D3F54">
            <w:pPr>
              <w:spacing w:after="240"/>
              <w:rPr>
                <w:rFonts w:ascii="Calibri" w:eastAsia="Calibri" w:hAnsi="Calibri" w:cs="Calibri"/>
                <w:sz w:val="20"/>
                <w:szCs w:val="20"/>
              </w:rPr>
            </w:pPr>
            <w:r w:rsidRPr="00973968">
              <w:rPr>
                <w:rFonts w:ascii="Calibri" w:eastAsia="Calibri" w:hAnsi="Calibri" w:cs="Calibri"/>
                <w:sz w:val="20"/>
                <w:szCs w:val="20"/>
              </w:rPr>
              <w:t>Scottish Intercollegiate Guidelines Network (SIGN) (20</w:t>
            </w:r>
            <w:r>
              <w:rPr>
                <w:rFonts w:ascii="Calibri" w:eastAsia="Calibri" w:hAnsi="Calibri" w:cs="Calibri"/>
                <w:sz w:val="20"/>
                <w:szCs w:val="20"/>
              </w:rPr>
              <w:t>20</w:t>
            </w:r>
            <w:r w:rsidRPr="00973968">
              <w:rPr>
                <w:rFonts w:ascii="Calibri" w:eastAsia="Calibri" w:hAnsi="Calibri" w:cs="Calibri"/>
                <w:sz w:val="20"/>
                <w:szCs w:val="20"/>
              </w:rPr>
              <w:t>) Management of osteoporosis and the prevention of fragility fractures. Edinburgh: SIGN; 2015. (SIGN publication no. 142).</w:t>
            </w:r>
            <w:r>
              <w:rPr>
                <w:rFonts w:ascii="Calibri" w:eastAsia="Calibri" w:hAnsi="Calibri" w:cs="Calibri"/>
                <w:sz w:val="20"/>
                <w:szCs w:val="20"/>
              </w:rPr>
              <w:t xml:space="preserve"> </w:t>
            </w:r>
            <w:r w:rsidRPr="00973968">
              <w:rPr>
                <w:rFonts w:ascii="Calibri" w:eastAsia="Calibri" w:hAnsi="Calibri" w:cs="Calibri"/>
                <w:sz w:val="20"/>
                <w:szCs w:val="20"/>
              </w:rPr>
              <w:t>[March 2015</w:t>
            </w:r>
            <w:r>
              <w:rPr>
                <w:rFonts w:ascii="Calibri" w:eastAsia="Calibri" w:hAnsi="Calibri" w:cs="Calibri"/>
                <w:sz w:val="20"/>
                <w:szCs w:val="20"/>
              </w:rPr>
              <w:t>, revised June 2020</w:t>
            </w:r>
            <w:r w:rsidRPr="00973968">
              <w:rPr>
                <w:rFonts w:ascii="Calibri" w:eastAsia="Calibri" w:hAnsi="Calibri" w:cs="Calibri"/>
                <w:sz w:val="20"/>
                <w:szCs w:val="20"/>
              </w:rPr>
              <w:t xml:space="preserve">]. Available from </w:t>
            </w:r>
            <w:hyperlink r:id="rId14" w:history="1">
              <w:r w:rsidRPr="00236C62">
                <w:rPr>
                  <w:rStyle w:val="Hyperlink"/>
                  <w:rFonts w:ascii="Calibri" w:eastAsia="Calibri" w:hAnsi="Calibri" w:cs="Calibri"/>
                  <w:sz w:val="20"/>
                  <w:szCs w:val="20"/>
                </w:rPr>
                <w:t>https://www.sign.ac.uk/media/1741/sign142.pdf</w:t>
              </w:r>
            </w:hyperlink>
            <w:r>
              <w:rPr>
                <w:rFonts w:ascii="Calibri" w:eastAsia="Calibri" w:hAnsi="Calibri" w:cs="Calibri"/>
                <w:sz w:val="20"/>
                <w:szCs w:val="20"/>
              </w:rPr>
              <w:t xml:space="preserve">  Accessed 17 June 2022</w:t>
            </w:r>
          </w:p>
        </w:tc>
      </w:tr>
      <w:tr w:rsidR="0044521C" w:rsidRPr="009F3515" w14:paraId="16C0B696" w14:textId="77777777" w:rsidTr="00353E15">
        <w:tc>
          <w:tcPr>
            <w:tcW w:w="830" w:type="dxa"/>
          </w:tcPr>
          <w:p w14:paraId="39573E2F"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40.</w:t>
            </w:r>
          </w:p>
        </w:tc>
        <w:tc>
          <w:tcPr>
            <w:tcW w:w="7931" w:type="dxa"/>
          </w:tcPr>
          <w:p w14:paraId="62F97314" w14:textId="485C7A25"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 xml:space="preserve">Agency for care effectiveness (2018) </w:t>
            </w:r>
            <w:r w:rsidR="0023645D" w:rsidRPr="0023645D">
              <w:rPr>
                <w:rFonts w:ascii="Calibri" w:eastAsia="Calibri" w:hAnsi="Calibri" w:cs="Calibri"/>
                <w:sz w:val="20"/>
                <w:szCs w:val="20"/>
              </w:rPr>
              <w:t xml:space="preserve">A comprehensive guide on how to assess and manage osteoporosis </w:t>
            </w:r>
            <w:r w:rsidRPr="00973968">
              <w:rPr>
                <w:rFonts w:ascii="Calibri" w:eastAsia="Calibri" w:hAnsi="Calibri" w:cs="Calibri"/>
                <w:sz w:val="20"/>
                <w:szCs w:val="20"/>
              </w:rPr>
              <w:t xml:space="preserve">.  Available at </w:t>
            </w:r>
            <w:r w:rsidR="0007351F">
              <w:t xml:space="preserve"> </w:t>
            </w:r>
            <w:hyperlink r:id="rId15" w:history="1">
              <w:r w:rsidR="0023645D" w:rsidRPr="00784EA8">
                <w:rPr>
                  <w:rStyle w:val="Hyperlink"/>
                  <w:rFonts w:ascii="Calibri" w:eastAsia="Calibri" w:hAnsi="Calibri" w:cs="Calibri"/>
                  <w:sz w:val="20"/>
                  <w:szCs w:val="20"/>
                </w:rPr>
                <w:t>https://www.ace-hta.gov.sg/news/announcements/Details/a-comprehensive-guide-on-how-to-assess-and-manage-osteoporosis</w:t>
              </w:r>
            </w:hyperlink>
            <w:r w:rsidR="00C05A74" w:rsidRPr="00C05A74">
              <w:rPr>
                <w:rFonts w:ascii="Calibri" w:eastAsia="Calibri" w:hAnsi="Calibri" w:cs="Calibri"/>
                <w:sz w:val="20"/>
                <w:szCs w:val="20"/>
              </w:rPr>
              <w:t xml:space="preserve">. </w:t>
            </w:r>
            <w:r w:rsidR="0023645D" w:rsidRPr="00C05A74">
              <w:rPr>
                <w:rFonts w:ascii="Calibri" w:eastAsia="Calibri" w:hAnsi="Calibri" w:cs="Calibri"/>
                <w:sz w:val="20"/>
                <w:szCs w:val="20"/>
              </w:rPr>
              <w:t xml:space="preserve"> </w:t>
            </w:r>
            <w:r w:rsidR="00E2393C" w:rsidRPr="00C05A74">
              <w:rPr>
                <w:rFonts w:ascii="Calibri" w:eastAsia="Calibri" w:hAnsi="Calibri" w:cs="Calibri"/>
                <w:sz w:val="20"/>
                <w:szCs w:val="20"/>
              </w:rPr>
              <w:t>Accessed 6 Ju</w:t>
            </w:r>
            <w:r w:rsidR="00C05A74">
              <w:rPr>
                <w:rFonts w:ascii="Calibri" w:eastAsia="Calibri" w:hAnsi="Calibri" w:cs="Calibri"/>
                <w:sz w:val="20"/>
                <w:szCs w:val="20"/>
              </w:rPr>
              <w:t>ly</w:t>
            </w:r>
            <w:r w:rsidR="00E2393C" w:rsidRPr="00C05A74">
              <w:rPr>
                <w:rFonts w:ascii="Calibri" w:eastAsia="Calibri" w:hAnsi="Calibri" w:cs="Calibri"/>
                <w:sz w:val="20"/>
                <w:szCs w:val="20"/>
              </w:rPr>
              <w:t xml:space="preserve"> 2022</w:t>
            </w:r>
          </w:p>
        </w:tc>
      </w:tr>
      <w:tr w:rsidR="0044521C" w:rsidRPr="009F3515" w14:paraId="5CB47108" w14:textId="77777777" w:rsidTr="00353E15">
        <w:tc>
          <w:tcPr>
            <w:tcW w:w="830" w:type="dxa"/>
          </w:tcPr>
          <w:p w14:paraId="7A2956AE"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41,</w:t>
            </w:r>
          </w:p>
        </w:tc>
        <w:tc>
          <w:tcPr>
            <w:tcW w:w="7931" w:type="dxa"/>
          </w:tcPr>
          <w:p w14:paraId="1EEF4846" w14:textId="1EBCF281" w:rsidR="0044521C" w:rsidRPr="009F3515" w:rsidRDefault="0044521C" w:rsidP="007E1560">
            <w:pPr>
              <w:spacing w:after="240"/>
              <w:rPr>
                <w:rFonts w:ascii="Calibri" w:eastAsia="Calibri" w:hAnsi="Calibri" w:cs="Calibri"/>
                <w:sz w:val="20"/>
                <w:szCs w:val="20"/>
              </w:rPr>
            </w:pPr>
            <w:r w:rsidRPr="00767C01">
              <w:rPr>
                <w:rFonts w:ascii="Calibri" w:eastAsia="Calibri" w:hAnsi="Calibri" w:cs="Calibri"/>
                <w:sz w:val="20"/>
                <w:szCs w:val="20"/>
              </w:rPr>
              <w:t xml:space="preserve">Kanis JA, Harvey NC, McCloskey E, Bruyère O, Veronese N, Lorentzon M, Cooper C, Rizzoli R, Adib G, Al-Daghri N, Campusano C, Chandran M, Dawson-Hughes B, Javaid K, F Jiwa F, Johansson H, </w:t>
            </w:r>
            <w:r w:rsidRPr="008E52C7">
              <w:rPr>
                <w:rFonts w:ascii="Calibri" w:eastAsia="Calibri" w:hAnsi="Calibri" w:cs="Calibri"/>
                <w:sz w:val="20"/>
                <w:szCs w:val="20"/>
              </w:rPr>
              <w:t>Lee JK, Liu E, Messina D, Mkinsi O, Pinto D,  Prieto-Alhambra D, Saag K, Xia W, Zakraoui L,  Reginster J-Y (2020) Algorithm</w:t>
            </w:r>
            <w:r w:rsidRPr="009F3515">
              <w:rPr>
                <w:rFonts w:ascii="Calibri" w:eastAsia="Calibri" w:hAnsi="Calibri" w:cs="Calibri"/>
                <w:sz w:val="20"/>
                <w:szCs w:val="20"/>
              </w:rPr>
              <w:t xml:space="preserve"> for the management of patients at low/middle/high risk of osteoporotic fracture: a global perspective.  Osteoporos Int</w:t>
            </w:r>
            <w:r w:rsidR="00432CD9">
              <w:rPr>
                <w:rFonts w:ascii="Calibri" w:eastAsia="Calibri" w:hAnsi="Calibri" w:cs="Calibri"/>
                <w:sz w:val="20"/>
                <w:szCs w:val="20"/>
              </w:rPr>
              <w:t xml:space="preserve"> </w:t>
            </w:r>
            <w:r w:rsidRPr="009F3515">
              <w:rPr>
                <w:rFonts w:ascii="Calibri" w:eastAsia="Calibri" w:hAnsi="Calibri" w:cs="Calibri"/>
                <w:sz w:val="20"/>
                <w:szCs w:val="20"/>
              </w:rPr>
              <w:t xml:space="preserve">31: 1-12.  </w:t>
            </w:r>
          </w:p>
        </w:tc>
      </w:tr>
      <w:tr w:rsidR="0044521C" w:rsidRPr="009F3515" w14:paraId="585D196C" w14:textId="77777777" w:rsidTr="00353E15">
        <w:tc>
          <w:tcPr>
            <w:tcW w:w="830" w:type="dxa"/>
          </w:tcPr>
          <w:p w14:paraId="11612450"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42.</w:t>
            </w:r>
          </w:p>
        </w:tc>
        <w:tc>
          <w:tcPr>
            <w:tcW w:w="7931" w:type="dxa"/>
          </w:tcPr>
          <w:p w14:paraId="56BAD3D3" w14:textId="751A4C06" w:rsidR="0044521C" w:rsidRPr="00973968" w:rsidRDefault="0044521C" w:rsidP="007E1560">
            <w:pPr>
              <w:spacing w:after="240"/>
              <w:rPr>
                <w:rFonts w:ascii="Calibri" w:eastAsia="Calibri" w:hAnsi="Calibri" w:cs="Calibri"/>
                <w:sz w:val="20"/>
                <w:szCs w:val="20"/>
              </w:rPr>
            </w:pPr>
            <w:r w:rsidRPr="00686467">
              <w:rPr>
                <w:rFonts w:ascii="Calibri" w:eastAsia="Calibri" w:hAnsi="Calibri" w:cs="Calibri"/>
                <w:sz w:val="20"/>
                <w:szCs w:val="20"/>
              </w:rPr>
              <w:t>Camacho PM, Petak SM, Binkley N, Diab DL, Eldeiry LS, Farooki A, Harris ST, Hurley DL, Kelly J, Lewiecki EM, Pessah-Pollack R, McClung M, Wimalawansa SJ, Watts NB</w:t>
            </w:r>
            <w:r>
              <w:rPr>
                <w:rFonts w:ascii="Calibri" w:eastAsia="Calibri" w:hAnsi="Calibri" w:cs="Calibri"/>
                <w:sz w:val="20"/>
                <w:szCs w:val="20"/>
              </w:rPr>
              <w:t xml:space="preserve"> (2020) </w:t>
            </w:r>
            <w:r w:rsidRPr="00686467">
              <w:rPr>
                <w:rFonts w:ascii="Calibri" w:eastAsia="Calibri" w:hAnsi="Calibri" w:cs="Calibri"/>
                <w:sz w:val="20"/>
                <w:szCs w:val="20"/>
              </w:rPr>
              <w:t xml:space="preserve">American Association </w:t>
            </w:r>
            <w:r>
              <w:rPr>
                <w:rFonts w:ascii="Calibri" w:eastAsia="Calibri" w:hAnsi="Calibri" w:cs="Calibri"/>
                <w:sz w:val="20"/>
                <w:szCs w:val="20"/>
              </w:rPr>
              <w:t>o</w:t>
            </w:r>
            <w:r w:rsidRPr="00686467">
              <w:rPr>
                <w:rFonts w:ascii="Calibri" w:eastAsia="Calibri" w:hAnsi="Calibri" w:cs="Calibri"/>
                <w:sz w:val="20"/>
                <w:szCs w:val="20"/>
              </w:rPr>
              <w:t xml:space="preserve">f Clinical Endocrinologists/American College </w:t>
            </w:r>
            <w:r>
              <w:rPr>
                <w:rFonts w:ascii="Calibri" w:eastAsia="Calibri" w:hAnsi="Calibri" w:cs="Calibri"/>
                <w:sz w:val="20"/>
                <w:szCs w:val="20"/>
              </w:rPr>
              <w:t>o</w:t>
            </w:r>
            <w:r w:rsidRPr="00686467">
              <w:rPr>
                <w:rFonts w:ascii="Calibri" w:eastAsia="Calibri" w:hAnsi="Calibri" w:cs="Calibri"/>
                <w:sz w:val="20"/>
                <w:szCs w:val="20"/>
              </w:rPr>
              <w:t>f Endocrinology</w:t>
            </w:r>
            <w:r>
              <w:rPr>
                <w:rFonts w:ascii="Calibri" w:eastAsia="Calibri" w:hAnsi="Calibri" w:cs="Calibri"/>
                <w:sz w:val="20"/>
                <w:szCs w:val="20"/>
              </w:rPr>
              <w:t xml:space="preserve"> </w:t>
            </w:r>
            <w:r w:rsidRPr="00686467">
              <w:rPr>
                <w:rFonts w:ascii="Calibri" w:eastAsia="Calibri" w:hAnsi="Calibri" w:cs="Calibri"/>
                <w:sz w:val="20"/>
                <w:szCs w:val="20"/>
              </w:rPr>
              <w:t xml:space="preserve">clinical practice guidelines </w:t>
            </w:r>
            <w:r>
              <w:rPr>
                <w:rFonts w:ascii="Calibri" w:eastAsia="Calibri" w:hAnsi="Calibri" w:cs="Calibri"/>
                <w:sz w:val="20"/>
                <w:szCs w:val="20"/>
              </w:rPr>
              <w:t>f</w:t>
            </w:r>
            <w:r w:rsidRPr="00686467">
              <w:rPr>
                <w:rFonts w:ascii="Calibri" w:eastAsia="Calibri" w:hAnsi="Calibri" w:cs="Calibri"/>
                <w:sz w:val="20"/>
                <w:szCs w:val="20"/>
              </w:rPr>
              <w:t>or the diagnosis and treatment of postmenopausal osteoporosis-2020 update. Endocr Pract</w:t>
            </w:r>
            <w:r w:rsidR="00EE789E">
              <w:rPr>
                <w:rFonts w:ascii="Calibri" w:eastAsia="Calibri" w:hAnsi="Calibri" w:cs="Calibri"/>
                <w:sz w:val="20"/>
                <w:szCs w:val="20"/>
              </w:rPr>
              <w:t xml:space="preserve"> </w:t>
            </w:r>
            <w:r w:rsidRPr="00686467">
              <w:rPr>
                <w:rFonts w:ascii="Calibri" w:eastAsia="Calibri" w:hAnsi="Calibri" w:cs="Calibri"/>
                <w:sz w:val="20"/>
                <w:szCs w:val="20"/>
              </w:rPr>
              <w:t>26</w:t>
            </w:r>
            <w:r w:rsidR="00EE789E">
              <w:rPr>
                <w:rFonts w:ascii="Calibri" w:eastAsia="Calibri" w:hAnsi="Calibri" w:cs="Calibri"/>
                <w:sz w:val="20"/>
                <w:szCs w:val="20"/>
              </w:rPr>
              <w:t xml:space="preserve"> </w:t>
            </w:r>
            <w:r w:rsidRPr="00686467">
              <w:rPr>
                <w:rFonts w:ascii="Calibri" w:eastAsia="Calibri" w:hAnsi="Calibri" w:cs="Calibri"/>
                <w:sz w:val="20"/>
                <w:szCs w:val="20"/>
              </w:rPr>
              <w:t>(Suppl 1):</w:t>
            </w:r>
            <w:r w:rsidR="00EE789E">
              <w:rPr>
                <w:rFonts w:ascii="Calibri" w:eastAsia="Calibri" w:hAnsi="Calibri" w:cs="Calibri"/>
                <w:sz w:val="20"/>
                <w:szCs w:val="20"/>
              </w:rPr>
              <w:t xml:space="preserve"> </w:t>
            </w:r>
            <w:r w:rsidRPr="00686467">
              <w:rPr>
                <w:rFonts w:ascii="Calibri" w:eastAsia="Calibri" w:hAnsi="Calibri" w:cs="Calibri"/>
                <w:sz w:val="20"/>
                <w:szCs w:val="20"/>
              </w:rPr>
              <w:t>1-46. </w:t>
            </w:r>
          </w:p>
        </w:tc>
      </w:tr>
      <w:tr w:rsidR="0044521C" w:rsidRPr="009F3515" w14:paraId="224DE8A4" w14:textId="77777777" w:rsidTr="00353E15">
        <w:tc>
          <w:tcPr>
            <w:tcW w:w="830" w:type="dxa"/>
          </w:tcPr>
          <w:p w14:paraId="06A520ED" w14:textId="77777777" w:rsidR="0044521C" w:rsidRPr="009F3515" w:rsidRDefault="0044521C" w:rsidP="00286C34">
            <w:pPr>
              <w:jc w:val="right"/>
              <w:rPr>
                <w:rFonts w:ascii="Calibri" w:hAnsi="Calibri" w:cs="Calibri"/>
                <w:sz w:val="20"/>
                <w:szCs w:val="20"/>
              </w:rPr>
            </w:pPr>
            <w:r>
              <w:rPr>
                <w:rFonts w:ascii="Calibri" w:hAnsi="Calibri" w:cs="Calibri"/>
                <w:sz w:val="20"/>
                <w:szCs w:val="20"/>
              </w:rPr>
              <w:t>43.</w:t>
            </w:r>
          </w:p>
        </w:tc>
        <w:tc>
          <w:tcPr>
            <w:tcW w:w="7931" w:type="dxa"/>
            <w:shd w:val="clear" w:color="auto" w:fill="auto"/>
          </w:tcPr>
          <w:p w14:paraId="07ECCBAA" w14:textId="7BCF7B34" w:rsidR="0044521C" w:rsidRPr="00973968" w:rsidRDefault="0044521C" w:rsidP="007E1560">
            <w:pPr>
              <w:spacing w:after="240"/>
              <w:rPr>
                <w:rFonts w:ascii="Calibri" w:eastAsia="Calibri" w:hAnsi="Calibri" w:cs="Calibri"/>
                <w:sz w:val="20"/>
                <w:szCs w:val="20"/>
              </w:rPr>
            </w:pPr>
            <w:r w:rsidRPr="00BE7AD7">
              <w:rPr>
                <w:rFonts w:ascii="Calibri" w:eastAsia="Calibri" w:hAnsi="Calibri" w:cs="Calibri"/>
                <w:sz w:val="20"/>
                <w:szCs w:val="20"/>
              </w:rPr>
              <w:t>Kanis JA, Johansson H, Harvey NC, McCloskey EV Lorentzon M, Liu E, Vandenput L, McCloskey EV ∙ National Osteoporosis Guideline Group (2021) An assessment of intervention thresholds for very high risk applied to the NOGG guidelines. A report for the National Osteoporosis Guideline Group (NOGG). Osteoporos Int 32: 1951-1960.</w:t>
            </w:r>
          </w:p>
        </w:tc>
      </w:tr>
      <w:tr w:rsidR="0044521C" w:rsidRPr="009F3515" w14:paraId="4966AF0A" w14:textId="77777777" w:rsidTr="00353E15">
        <w:tc>
          <w:tcPr>
            <w:tcW w:w="830" w:type="dxa"/>
          </w:tcPr>
          <w:p w14:paraId="21E291AE"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44.</w:t>
            </w:r>
          </w:p>
        </w:tc>
        <w:tc>
          <w:tcPr>
            <w:tcW w:w="7931" w:type="dxa"/>
          </w:tcPr>
          <w:p w14:paraId="0BFB793C" w14:textId="364BAC8C" w:rsidR="0044521C" w:rsidRPr="00973968" w:rsidRDefault="00604E1C" w:rsidP="007E1560">
            <w:pPr>
              <w:spacing w:after="240"/>
              <w:rPr>
                <w:rFonts w:ascii="Calibri" w:eastAsia="Calibri" w:hAnsi="Calibri" w:cs="Calibri"/>
                <w:sz w:val="20"/>
                <w:szCs w:val="20"/>
              </w:rPr>
            </w:pPr>
            <w:r w:rsidRPr="00604E1C">
              <w:rPr>
                <w:rFonts w:ascii="Calibri" w:eastAsia="Calibri" w:hAnsi="Calibri" w:cs="Calibri"/>
                <w:sz w:val="20"/>
                <w:szCs w:val="20"/>
              </w:rPr>
              <w:t>Gregson CL, Armstrong DJ, Bowden J, Cooper C, Edwards J, Gittoes NJL, Harvey N, Kanis J, Leyland S, Low R, McCloskey E, Moss K, Parker J, Paskins Z, Poole K, Reid DM, Stone M, Thomson J, Vine N, Compston J</w:t>
            </w:r>
            <w:r w:rsidR="003165F6">
              <w:rPr>
                <w:rFonts w:ascii="Calibri" w:eastAsia="Calibri" w:hAnsi="Calibri" w:cs="Calibri"/>
                <w:sz w:val="20"/>
                <w:szCs w:val="20"/>
              </w:rPr>
              <w:t xml:space="preserve"> (2022) </w:t>
            </w:r>
            <w:r w:rsidRPr="00604E1C">
              <w:rPr>
                <w:rFonts w:ascii="Calibri" w:eastAsia="Calibri" w:hAnsi="Calibri" w:cs="Calibri"/>
                <w:sz w:val="20"/>
                <w:szCs w:val="20"/>
              </w:rPr>
              <w:t>UK clinical guideline for the prevention and treatment of osteoporosis. Arch Osteoporos</w:t>
            </w:r>
            <w:r w:rsidR="003165F6">
              <w:rPr>
                <w:rFonts w:ascii="Calibri" w:eastAsia="Calibri" w:hAnsi="Calibri" w:cs="Calibri"/>
                <w:sz w:val="20"/>
                <w:szCs w:val="20"/>
              </w:rPr>
              <w:t xml:space="preserve"> </w:t>
            </w:r>
            <w:r w:rsidRPr="00604E1C">
              <w:rPr>
                <w:rFonts w:ascii="Calibri" w:eastAsia="Calibri" w:hAnsi="Calibri" w:cs="Calibri"/>
                <w:sz w:val="20"/>
                <w:szCs w:val="20"/>
              </w:rPr>
              <w:t xml:space="preserve">17(1):58. doi: 10.1007/s11657-022-01061-5. Erratum in: </w:t>
            </w:r>
            <w:r w:rsidR="003165F6">
              <w:rPr>
                <w:rFonts w:ascii="Calibri" w:eastAsia="Calibri" w:hAnsi="Calibri" w:cs="Calibri"/>
                <w:sz w:val="20"/>
                <w:szCs w:val="20"/>
              </w:rPr>
              <w:t xml:space="preserve">(2022) </w:t>
            </w:r>
            <w:r w:rsidRPr="00604E1C">
              <w:rPr>
                <w:rFonts w:ascii="Calibri" w:eastAsia="Calibri" w:hAnsi="Calibri" w:cs="Calibri"/>
                <w:sz w:val="20"/>
                <w:szCs w:val="20"/>
              </w:rPr>
              <w:t>Arch Osteoporos</w:t>
            </w:r>
            <w:r w:rsidR="003165F6">
              <w:rPr>
                <w:rFonts w:ascii="Calibri" w:eastAsia="Calibri" w:hAnsi="Calibri" w:cs="Calibri"/>
                <w:sz w:val="20"/>
                <w:szCs w:val="20"/>
              </w:rPr>
              <w:t xml:space="preserve"> </w:t>
            </w:r>
            <w:r w:rsidRPr="00604E1C">
              <w:rPr>
                <w:rFonts w:ascii="Calibri" w:eastAsia="Calibri" w:hAnsi="Calibri" w:cs="Calibri"/>
                <w:sz w:val="20"/>
                <w:szCs w:val="20"/>
              </w:rPr>
              <w:t>17(1):80.</w:t>
            </w:r>
          </w:p>
        </w:tc>
      </w:tr>
      <w:tr w:rsidR="0044521C" w:rsidRPr="009F3515" w14:paraId="4CA7D2B1" w14:textId="77777777" w:rsidTr="00353E15">
        <w:tc>
          <w:tcPr>
            <w:tcW w:w="830" w:type="dxa"/>
          </w:tcPr>
          <w:p w14:paraId="0355EDF9" w14:textId="77777777" w:rsidR="0044521C" w:rsidRPr="00973968" w:rsidRDefault="0044521C" w:rsidP="00286C34">
            <w:pPr>
              <w:jc w:val="right"/>
              <w:rPr>
                <w:rFonts w:ascii="Calibri" w:eastAsia="Calibri" w:hAnsi="Calibri" w:cs="Calibri"/>
                <w:sz w:val="20"/>
                <w:szCs w:val="20"/>
              </w:rPr>
            </w:pPr>
            <w:r>
              <w:rPr>
                <w:rFonts w:ascii="Calibri" w:eastAsia="Calibri" w:hAnsi="Calibri" w:cs="Calibri"/>
                <w:sz w:val="20"/>
                <w:szCs w:val="20"/>
              </w:rPr>
              <w:t>45.</w:t>
            </w:r>
          </w:p>
        </w:tc>
        <w:tc>
          <w:tcPr>
            <w:tcW w:w="7931" w:type="dxa"/>
          </w:tcPr>
          <w:p w14:paraId="12972D0C" w14:textId="77777777" w:rsidR="0044521C" w:rsidRPr="00973968"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Cosman F, Nieves JW, Dempster DW (2017) Treatment sequence matters: anabolic and antiresorptive therapy for osteoporosis. J Bone Miner Res 32: 198–202.</w:t>
            </w:r>
          </w:p>
        </w:tc>
      </w:tr>
      <w:tr w:rsidR="0044521C" w:rsidRPr="009F3515" w14:paraId="28CBF728" w14:textId="77777777" w:rsidTr="00353E15">
        <w:tc>
          <w:tcPr>
            <w:tcW w:w="830" w:type="dxa"/>
          </w:tcPr>
          <w:p w14:paraId="5D4AA604" w14:textId="77777777" w:rsidR="0044521C" w:rsidRPr="009F3515" w:rsidRDefault="0044521C" w:rsidP="00286C34">
            <w:pPr>
              <w:jc w:val="right"/>
              <w:rPr>
                <w:rFonts w:ascii="Calibri" w:eastAsia="Calibri" w:hAnsi="Calibri" w:cs="Calibri"/>
                <w:sz w:val="20"/>
                <w:szCs w:val="20"/>
              </w:rPr>
            </w:pPr>
            <w:r>
              <w:rPr>
                <w:rFonts w:ascii="Calibri" w:eastAsia="Calibri" w:hAnsi="Calibri" w:cs="Calibri"/>
                <w:sz w:val="20"/>
                <w:szCs w:val="20"/>
              </w:rPr>
              <w:t>46.</w:t>
            </w:r>
          </w:p>
        </w:tc>
        <w:tc>
          <w:tcPr>
            <w:tcW w:w="7931" w:type="dxa"/>
          </w:tcPr>
          <w:p w14:paraId="13CFDFDE"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Saag KG, Petersen</w:t>
            </w:r>
            <w:r w:rsidRPr="009F3515">
              <w:rPr>
                <w:rFonts w:ascii="Calibri" w:eastAsia="Calibri" w:hAnsi="Calibri" w:cs="Calibri"/>
                <w:sz w:val="20"/>
                <w:szCs w:val="20"/>
              </w:rPr>
              <w:t xml:space="preserve"> J, Brandi ML, Karaplis AC, Lorentzon M, Thomas T, Maddox J, Fan M, Meisner PD, Grauer A (2017) Romosozumab or alendronate for fracture prevention in women with osteoporosis. N Engl J Med 377: 1417-1427.</w:t>
            </w:r>
          </w:p>
        </w:tc>
      </w:tr>
      <w:tr w:rsidR="0044521C" w:rsidRPr="009F3515" w14:paraId="4AED887A" w14:textId="77777777" w:rsidTr="00353E15">
        <w:tc>
          <w:tcPr>
            <w:tcW w:w="830" w:type="dxa"/>
          </w:tcPr>
          <w:p w14:paraId="33D57327" w14:textId="77777777" w:rsidR="0044521C" w:rsidRPr="009F3515" w:rsidRDefault="0044521C" w:rsidP="00286C34">
            <w:pPr>
              <w:tabs>
                <w:tab w:val="left" w:pos="360"/>
              </w:tabs>
              <w:jc w:val="right"/>
              <w:rPr>
                <w:rFonts w:ascii="Calibri" w:eastAsia="Calibri" w:hAnsi="Calibri" w:cs="Calibri"/>
                <w:sz w:val="20"/>
                <w:szCs w:val="20"/>
              </w:rPr>
            </w:pPr>
            <w:r>
              <w:rPr>
                <w:rFonts w:ascii="Calibri" w:eastAsia="Calibri" w:hAnsi="Calibri" w:cs="Calibri"/>
                <w:sz w:val="20"/>
                <w:szCs w:val="20"/>
              </w:rPr>
              <w:tab/>
              <w:t>47.</w:t>
            </w:r>
          </w:p>
        </w:tc>
        <w:tc>
          <w:tcPr>
            <w:tcW w:w="7931" w:type="dxa"/>
          </w:tcPr>
          <w:p w14:paraId="1EAF6CCC"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Kendler DL, Marin F</w:t>
            </w:r>
            <w:r w:rsidRPr="009F3515">
              <w:rPr>
                <w:rFonts w:ascii="Calibri" w:eastAsia="Calibri" w:hAnsi="Calibri" w:cs="Calibri"/>
                <w:sz w:val="20"/>
                <w:szCs w:val="20"/>
              </w:rPr>
              <w:t>, Zerbini CAF, Russo LA, Greenspan SL, Zikan V, Bagur A, Malouf-Sierra J, Lakatos P, Fahrleitner-Pammer A, Lespessailles E, Minisola S, Body JJ, Geusens P, Möricke R, López-Romero P (2018) Effects of teriparatide and risedronate on new fractures in post-menopausal women with severe osteoporosis (VERO): a multicentre, double-blind, double-dummy, randomised controlled trial. Lancet 391: 230-240.</w:t>
            </w:r>
          </w:p>
        </w:tc>
      </w:tr>
      <w:tr w:rsidR="0044521C" w:rsidRPr="009F3515" w14:paraId="601CC62F" w14:textId="77777777" w:rsidTr="00353E15">
        <w:tc>
          <w:tcPr>
            <w:tcW w:w="830" w:type="dxa"/>
          </w:tcPr>
          <w:p w14:paraId="15999D45" w14:textId="77777777" w:rsidR="0044521C" w:rsidRPr="009F3515" w:rsidRDefault="0044521C" w:rsidP="00286C34">
            <w:pPr>
              <w:tabs>
                <w:tab w:val="left" w:pos="360"/>
              </w:tabs>
              <w:jc w:val="right"/>
              <w:rPr>
                <w:rFonts w:ascii="Calibri" w:eastAsia="Calibri" w:hAnsi="Calibri" w:cs="Calibri"/>
                <w:sz w:val="20"/>
                <w:szCs w:val="20"/>
              </w:rPr>
            </w:pPr>
            <w:r>
              <w:rPr>
                <w:rFonts w:ascii="Calibri" w:eastAsia="Calibri" w:hAnsi="Calibri" w:cs="Calibri"/>
                <w:sz w:val="20"/>
                <w:szCs w:val="20"/>
              </w:rPr>
              <w:tab/>
              <w:t>48.</w:t>
            </w:r>
          </w:p>
        </w:tc>
        <w:tc>
          <w:tcPr>
            <w:tcW w:w="7931" w:type="dxa"/>
          </w:tcPr>
          <w:p w14:paraId="41331797" w14:textId="77777777" w:rsidR="0044521C" w:rsidRPr="009F3515" w:rsidRDefault="0044521C" w:rsidP="007E1560">
            <w:pPr>
              <w:spacing w:after="240"/>
              <w:rPr>
                <w:rFonts w:ascii="Calibri" w:eastAsia="Calibri" w:hAnsi="Calibri" w:cs="Calibri"/>
                <w:sz w:val="20"/>
                <w:szCs w:val="20"/>
              </w:rPr>
            </w:pPr>
            <w:r w:rsidRPr="00973968">
              <w:rPr>
                <w:rFonts w:ascii="Calibri" w:eastAsia="Calibri" w:hAnsi="Calibri" w:cs="Calibri"/>
                <w:sz w:val="20"/>
                <w:szCs w:val="20"/>
              </w:rPr>
              <w:t>Parsons CM,</w:t>
            </w:r>
            <w:r w:rsidRPr="009F3515">
              <w:rPr>
                <w:rFonts w:ascii="Calibri" w:eastAsia="Calibri" w:hAnsi="Calibri" w:cs="Calibri"/>
                <w:sz w:val="20"/>
                <w:szCs w:val="20"/>
              </w:rPr>
              <w:t xml:space="preserve"> Harvey N, Shepstone L, Kanis JA, Lenaghan E, Clarke S, Fordham R, Gittoes N, Harvey I, Holland R, Redmond NM, Howe A, Marshall T, Peters TJ, Torgerson D, O'Neill TW, McCloskey E, Cooper C; SCOOP Trial Group (2020) Systematic screening using FRAX leads to increased use of, and adherence to, anti-osteoporosis medications: the Uk SCOOP Trial. Osteoporosis Int 2018; 31: 67-75</w:t>
            </w:r>
          </w:p>
        </w:tc>
      </w:tr>
    </w:tbl>
    <w:p w14:paraId="0D47D5D0" w14:textId="77777777" w:rsidR="00FA43AD" w:rsidRPr="00DC457B" w:rsidRDefault="00FA43AD" w:rsidP="002973F6">
      <w:pPr>
        <w:spacing w:after="200" w:line="276" w:lineRule="auto"/>
        <w:rPr>
          <w:rFonts w:ascii="Calibri" w:eastAsia="MS Mincho" w:hAnsi="Calibri" w:cs="Times New Roman"/>
          <w:b/>
        </w:rPr>
      </w:pPr>
    </w:p>
    <w:sectPr w:rsidR="00FA43AD" w:rsidRPr="00DC457B" w:rsidSect="00B66D5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454F" w14:textId="77777777" w:rsidR="004C794C" w:rsidRDefault="004C794C" w:rsidP="00D349C4">
      <w:r>
        <w:separator/>
      </w:r>
    </w:p>
  </w:endnote>
  <w:endnote w:type="continuationSeparator" w:id="0">
    <w:p w14:paraId="5DF12490" w14:textId="77777777" w:rsidR="004C794C" w:rsidRDefault="004C794C" w:rsidP="00D3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3713a231+2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134841"/>
      <w:docPartObj>
        <w:docPartGallery w:val="Page Numbers (Bottom of Page)"/>
        <w:docPartUnique/>
      </w:docPartObj>
    </w:sdtPr>
    <w:sdtEndPr>
      <w:rPr>
        <w:noProof/>
      </w:rPr>
    </w:sdtEndPr>
    <w:sdtContent>
      <w:p w14:paraId="4ED71599" w14:textId="1173E7A2" w:rsidR="00A048FF" w:rsidRDefault="00A048F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06AD69D1" w14:textId="77777777" w:rsidR="00A048FF" w:rsidRDefault="00A04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DF2F" w14:textId="77777777" w:rsidR="004C794C" w:rsidRDefault="004C794C" w:rsidP="00D349C4">
      <w:r>
        <w:separator/>
      </w:r>
    </w:p>
  </w:footnote>
  <w:footnote w:type="continuationSeparator" w:id="0">
    <w:p w14:paraId="4994FF57" w14:textId="77777777" w:rsidR="004C794C" w:rsidRDefault="004C794C" w:rsidP="00D34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B2EF08-DDBD-44C4-9443-E2A960A2F825}"/>
    <w:docVar w:name="dgnword-eventsink" w:val="2143237905328"/>
  </w:docVars>
  <w:rsids>
    <w:rsidRoot w:val="00E55AED"/>
    <w:rsid w:val="00000702"/>
    <w:rsid w:val="000009AC"/>
    <w:rsid w:val="00000E8D"/>
    <w:rsid w:val="0000122F"/>
    <w:rsid w:val="00001915"/>
    <w:rsid w:val="00001A58"/>
    <w:rsid w:val="00001CC5"/>
    <w:rsid w:val="000034C4"/>
    <w:rsid w:val="00004215"/>
    <w:rsid w:val="0000498D"/>
    <w:rsid w:val="00005813"/>
    <w:rsid w:val="00006299"/>
    <w:rsid w:val="0000632C"/>
    <w:rsid w:val="00006419"/>
    <w:rsid w:val="00006B3F"/>
    <w:rsid w:val="000107FB"/>
    <w:rsid w:val="00010F5B"/>
    <w:rsid w:val="0001158E"/>
    <w:rsid w:val="0001170D"/>
    <w:rsid w:val="00011E0E"/>
    <w:rsid w:val="00012153"/>
    <w:rsid w:val="000124F8"/>
    <w:rsid w:val="0001265C"/>
    <w:rsid w:val="0001332B"/>
    <w:rsid w:val="00013C96"/>
    <w:rsid w:val="000143C5"/>
    <w:rsid w:val="00015393"/>
    <w:rsid w:val="000153BC"/>
    <w:rsid w:val="000159D4"/>
    <w:rsid w:val="00015A70"/>
    <w:rsid w:val="00015DF7"/>
    <w:rsid w:val="000160CC"/>
    <w:rsid w:val="00016248"/>
    <w:rsid w:val="0001635E"/>
    <w:rsid w:val="000165E4"/>
    <w:rsid w:val="0001712B"/>
    <w:rsid w:val="00020333"/>
    <w:rsid w:val="000210A5"/>
    <w:rsid w:val="00021345"/>
    <w:rsid w:val="000224A3"/>
    <w:rsid w:val="00022619"/>
    <w:rsid w:val="000238D0"/>
    <w:rsid w:val="0002393B"/>
    <w:rsid w:val="00024A7D"/>
    <w:rsid w:val="00024E21"/>
    <w:rsid w:val="0002523C"/>
    <w:rsid w:val="00026CF8"/>
    <w:rsid w:val="00026ED1"/>
    <w:rsid w:val="00027C17"/>
    <w:rsid w:val="0003022F"/>
    <w:rsid w:val="00031584"/>
    <w:rsid w:val="000327C9"/>
    <w:rsid w:val="00032DC8"/>
    <w:rsid w:val="00032E67"/>
    <w:rsid w:val="00033878"/>
    <w:rsid w:val="00033F2C"/>
    <w:rsid w:val="00034195"/>
    <w:rsid w:val="000342EB"/>
    <w:rsid w:val="00034A95"/>
    <w:rsid w:val="000354B9"/>
    <w:rsid w:val="00035B6C"/>
    <w:rsid w:val="00036205"/>
    <w:rsid w:val="00036214"/>
    <w:rsid w:val="00037A68"/>
    <w:rsid w:val="00037EF4"/>
    <w:rsid w:val="00037F2D"/>
    <w:rsid w:val="000404BA"/>
    <w:rsid w:val="00040658"/>
    <w:rsid w:val="0004114B"/>
    <w:rsid w:val="000413EC"/>
    <w:rsid w:val="00041BA2"/>
    <w:rsid w:val="00042FA8"/>
    <w:rsid w:val="00044C0D"/>
    <w:rsid w:val="000455A5"/>
    <w:rsid w:val="0004566F"/>
    <w:rsid w:val="00045D54"/>
    <w:rsid w:val="00045E81"/>
    <w:rsid w:val="00045FEE"/>
    <w:rsid w:val="000462EB"/>
    <w:rsid w:val="000469F9"/>
    <w:rsid w:val="00046AF3"/>
    <w:rsid w:val="00046C7F"/>
    <w:rsid w:val="00046EDA"/>
    <w:rsid w:val="00046FCD"/>
    <w:rsid w:val="0004752B"/>
    <w:rsid w:val="00047972"/>
    <w:rsid w:val="00050303"/>
    <w:rsid w:val="00050E3A"/>
    <w:rsid w:val="000520A8"/>
    <w:rsid w:val="000520DE"/>
    <w:rsid w:val="00052E97"/>
    <w:rsid w:val="00053218"/>
    <w:rsid w:val="00053B27"/>
    <w:rsid w:val="00053E90"/>
    <w:rsid w:val="000540BE"/>
    <w:rsid w:val="00056EA6"/>
    <w:rsid w:val="000572D5"/>
    <w:rsid w:val="000572E4"/>
    <w:rsid w:val="00057378"/>
    <w:rsid w:val="000575A9"/>
    <w:rsid w:val="000577D2"/>
    <w:rsid w:val="0006077B"/>
    <w:rsid w:val="000613DB"/>
    <w:rsid w:val="000619AE"/>
    <w:rsid w:val="00063833"/>
    <w:rsid w:val="000640DA"/>
    <w:rsid w:val="00064389"/>
    <w:rsid w:val="00065887"/>
    <w:rsid w:val="000658F1"/>
    <w:rsid w:val="000659AA"/>
    <w:rsid w:val="00065F93"/>
    <w:rsid w:val="000660B5"/>
    <w:rsid w:val="00066112"/>
    <w:rsid w:val="00066506"/>
    <w:rsid w:val="000675B9"/>
    <w:rsid w:val="00070C7C"/>
    <w:rsid w:val="00070CDD"/>
    <w:rsid w:val="00070ECC"/>
    <w:rsid w:val="00072B31"/>
    <w:rsid w:val="00072DE9"/>
    <w:rsid w:val="0007351F"/>
    <w:rsid w:val="00074055"/>
    <w:rsid w:val="000744C1"/>
    <w:rsid w:val="00074E33"/>
    <w:rsid w:val="00075413"/>
    <w:rsid w:val="00076C2D"/>
    <w:rsid w:val="0008013A"/>
    <w:rsid w:val="00080703"/>
    <w:rsid w:val="00080963"/>
    <w:rsid w:val="00080C6F"/>
    <w:rsid w:val="00080F66"/>
    <w:rsid w:val="0008100B"/>
    <w:rsid w:val="00081072"/>
    <w:rsid w:val="000821C1"/>
    <w:rsid w:val="00082350"/>
    <w:rsid w:val="00083477"/>
    <w:rsid w:val="0008369B"/>
    <w:rsid w:val="000838EE"/>
    <w:rsid w:val="00083AEA"/>
    <w:rsid w:val="00083C36"/>
    <w:rsid w:val="00084D49"/>
    <w:rsid w:val="000850A8"/>
    <w:rsid w:val="000856D2"/>
    <w:rsid w:val="00085CC2"/>
    <w:rsid w:val="00085D04"/>
    <w:rsid w:val="0008619E"/>
    <w:rsid w:val="00086315"/>
    <w:rsid w:val="00086D01"/>
    <w:rsid w:val="000872DB"/>
    <w:rsid w:val="00087485"/>
    <w:rsid w:val="00087F4F"/>
    <w:rsid w:val="00090804"/>
    <w:rsid w:val="00090E12"/>
    <w:rsid w:val="00091999"/>
    <w:rsid w:val="00092248"/>
    <w:rsid w:val="00093C2B"/>
    <w:rsid w:val="000940F6"/>
    <w:rsid w:val="00094691"/>
    <w:rsid w:val="00094A22"/>
    <w:rsid w:val="00094D5B"/>
    <w:rsid w:val="000958DF"/>
    <w:rsid w:val="00095D27"/>
    <w:rsid w:val="00096637"/>
    <w:rsid w:val="000966D6"/>
    <w:rsid w:val="000978D9"/>
    <w:rsid w:val="00097E58"/>
    <w:rsid w:val="00097EE0"/>
    <w:rsid w:val="000A013C"/>
    <w:rsid w:val="000A099E"/>
    <w:rsid w:val="000A0F26"/>
    <w:rsid w:val="000A134C"/>
    <w:rsid w:val="000A246F"/>
    <w:rsid w:val="000A2A39"/>
    <w:rsid w:val="000A2CDA"/>
    <w:rsid w:val="000A2E63"/>
    <w:rsid w:val="000A39CC"/>
    <w:rsid w:val="000A3E3A"/>
    <w:rsid w:val="000A453A"/>
    <w:rsid w:val="000A47E8"/>
    <w:rsid w:val="000A4A3D"/>
    <w:rsid w:val="000A5279"/>
    <w:rsid w:val="000A5499"/>
    <w:rsid w:val="000A575A"/>
    <w:rsid w:val="000A57B0"/>
    <w:rsid w:val="000A58E4"/>
    <w:rsid w:val="000A69BE"/>
    <w:rsid w:val="000A6B6F"/>
    <w:rsid w:val="000A6BA2"/>
    <w:rsid w:val="000A6FE3"/>
    <w:rsid w:val="000A7717"/>
    <w:rsid w:val="000B061B"/>
    <w:rsid w:val="000B1449"/>
    <w:rsid w:val="000B1AD9"/>
    <w:rsid w:val="000B1C35"/>
    <w:rsid w:val="000B2238"/>
    <w:rsid w:val="000B22F1"/>
    <w:rsid w:val="000B3447"/>
    <w:rsid w:val="000B3589"/>
    <w:rsid w:val="000B3DBE"/>
    <w:rsid w:val="000B42F9"/>
    <w:rsid w:val="000B43BF"/>
    <w:rsid w:val="000B442D"/>
    <w:rsid w:val="000B4ADA"/>
    <w:rsid w:val="000B4FD3"/>
    <w:rsid w:val="000B5001"/>
    <w:rsid w:val="000B5915"/>
    <w:rsid w:val="000B594E"/>
    <w:rsid w:val="000B6651"/>
    <w:rsid w:val="000B687E"/>
    <w:rsid w:val="000B6B8C"/>
    <w:rsid w:val="000B702C"/>
    <w:rsid w:val="000B7040"/>
    <w:rsid w:val="000B7A8C"/>
    <w:rsid w:val="000C1113"/>
    <w:rsid w:val="000C2991"/>
    <w:rsid w:val="000C2B38"/>
    <w:rsid w:val="000C2E0E"/>
    <w:rsid w:val="000C31BB"/>
    <w:rsid w:val="000C3B31"/>
    <w:rsid w:val="000C4851"/>
    <w:rsid w:val="000C53FA"/>
    <w:rsid w:val="000C5CFF"/>
    <w:rsid w:val="000C5D55"/>
    <w:rsid w:val="000C5F62"/>
    <w:rsid w:val="000C647D"/>
    <w:rsid w:val="000C7E0C"/>
    <w:rsid w:val="000C7F8F"/>
    <w:rsid w:val="000D070F"/>
    <w:rsid w:val="000D0854"/>
    <w:rsid w:val="000D13A0"/>
    <w:rsid w:val="000D191E"/>
    <w:rsid w:val="000D2649"/>
    <w:rsid w:val="000D3006"/>
    <w:rsid w:val="000D343D"/>
    <w:rsid w:val="000D365A"/>
    <w:rsid w:val="000D4958"/>
    <w:rsid w:val="000D4A42"/>
    <w:rsid w:val="000D4ACE"/>
    <w:rsid w:val="000D4FAF"/>
    <w:rsid w:val="000D5102"/>
    <w:rsid w:val="000D5555"/>
    <w:rsid w:val="000D59E1"/>
    <w:rsid w:val="000D7EDA"/>
    <w:rsid w:val="000E060E"/>
    <w:rsid w:val="000E0A0F"/>
    <w:rsid w:val="000E0B2F"/>
    <w:rsid w:val="000E0FBE"/>
    <w:rsid w:val="000E171B"/>
    <w:rsid w:val="000E1837"/>
    <w:rsid w:val="000E1A25"/>
    <w:rsid w:val="000E1B27"/>
    <w:rsid w:val="000E24D9"/>
    <w:rsid w:val="000E284E"/>
    <w:rsid w:val="000E3702"/>
    <w:rsid w:val="000E380F"/>
    <w:rsid w:val="000E3B9B"/>
    <w:rsid w:val="000E5BF5"/>
    <w:rsid w:val="000E5F2A"/>
    <w:rsid w:val="000E6586"/>
    <w:rsid w:val="000E6609"/>
    <w:rsid w:val="000E6DF1"/>
    <w:rsid w:val="000E6EF8"/>
    <w:rsid w:val="000F0005"/>
    <w:rsid w:val="000F0795"/>
    <w:rsid w:val="000F0813"/>
    <w:rsid w:val="000F0A91"/>
    <w:rsid w:val="000F0B66"/>
    <w:rsid w:val="000F0B96"/>
    <w:rsid w:val="000F2618"/>
    <w:rsid w:val="000F287E"/>
    <w:rsid w:val="000F3B4D"/>
    <w:rsid w:val="000F41A3"/>
    <w:rsid w:val="000F4408"/>
    <w:rsid w:val="000F4643"/>
    <w:rsid w:val="000F4887"/>
    <w:rsid w:val="000F4ADC"/>
    <w:rsid w:val="000F4D35"/>
    <w:rsid w:val="000F569B"/>
    <w:rsid w:val="000F6377"/>
    <w:rsid w:val="000F6384"/>
    <w:rsid w:val="000F6555"/>
    <w:rsid w:val="000F66C4"/>
    <w:rsid w:val="000F6802"/>
    <w:rsid w:val="000F749B"/>
    <w:rsid w:val="000F782C"/>
    <w:rsid w:val="000F78B1"/>
    <w:rsid w:val="000F7D81"/>
    <w:rsid w:val="000F7DA8"/>
    <w:rsid w:val="0010131B"/>
    <w:rsid w:val="00101B8F"/>
    <w:rsid w:val="0010206B"/>
    <w:rsid w:val="00102704"/>
    <w:rsid w:val="00103659"/>
    <w:rsid w:val="00103EDA"/>
    <w:rsid w:val="001040BC"/>
    <w:rsid w:val="00104359"/>
    <w:rsid w:val="00104970"/>
    <w:rsid w:val="00104AA3"/>
    <w:rsid w:val="00104C4C"/>
    <w:rsid w:val="00105E86"/>
    <w:rsid w:val="00106020"/>
    <w:rsid w:val="00106328"/>
    <w:rsid w:val="0010643E"/>
    <w:rsid w:val="00106D39"/>
    <w:rsid w:val="00107988"/>
    <w:rsid w:val="00107AAA"/>
    <w:rsid w:val="00107EEE"/>
    <w:rsid w:val="0011042C"/>
    <w:rsid w:val="0011056E"/>
    <w:rsid w:val="00111FDB"/>
    <w:rsid w:val="0011258E"/>
    <w:rsid w:val="00112855"/>
    <w:rsid w:val="00113E67"/>
    <w:rsid w:val="00113F61"/>
    <w:rsid w:val="00114666"/>
    <w:rsid w:val="001160E0"/>
    <w:rsid w:val="001172CF"/>
    <w:rsid w:val="00120086"/>
    <w:rsid w:val="0012011B"/>
    <w:rsid w:val="00120689"/>
    <w:rsid w:val="0012152E"/>
    <w:rsid w:val="001219C6"/>
    <w:rsid w:val="001226D9"/>
    <w:rsid w:val="001228A1"/>
    <w:rsid w:val="00122BEE"/>
    <w:rsid w:val="00122D7D"/>
    <w:rsid w:val="00122DA5"/>
    <w:rsid w:val="00123122"/>
    <w:rsid w:val="00123816"/>
    <w:rsid w:val="00124476"/>
    <w:rsid w:val="00124962"/>
    <w:rsid w:val="00124AEC"/>
    <w:rsid w:val="00124B73"/>
    <w:rsid w:val="00124CE4"/>
    <w:rsid w:val="0012520E"/>
    <w:rsid w:val="001252E9"/>
    <w:rsid w:val="001255E8"/>
    <w:rsid w:val="001259B8"/>
    <w:rsid w:val="0012622F"/>
    <w:rsid w:val="00126CA6"/>
    <w:rsid w:val="00127C86"/>
    <w:rsid w:val="00127EBE"/>
    <w:rsid w:val="00130970"/>
    <w:rsid w:val="00131A62"/>
    <w:rsid w:val="00133046"/>
    <w:rsid w:val="0013387E"/>
    <w:rsid w:val="00134C61"/>
    <w:rsid w:val="00135426"/>
    <w:rsid w:val="00135672"/>
    <w:rsid w:val="001358C8"/>
    <w:rsid w:val="00135F12"/>
    <w:rsid w:val="001361E1"/>
    <w:rsid w:val="0013644D"/>
    <w:rsid w:val="001364B5"/>
    <w:rsid w:val="001373F4"/>
    <w:rsid w:val="001404C8"/>
    <w:rsid w:val="0014050F"/>
    <w:rsid w:val="001405A5"/>
    <w:rsid w:val="001407AE"/>
    <w:rsid w:val="00140C89"/>
    <w:rsid w:val="00140CE7"/>
    <w:rsid w:val="00141259"/>
    <w:rsid w:val="0014183A"/>
    <w:rsid w:val="0014192B"/>
    <w:rsid w:val="00141F0A"/>
    <w:rsid w:val="00143389"/>
    <w:rsid w:val="00143C25"/>
    <w:rsid w:val="001449CE"/>
    <w:rsid w:val="00145430"/>
    <w:rsid w:val="00145513"/>
    <w:rsid w:val="001455A3"/>
    <w:rsid w:val="0014568E"/>
    <w:rsid w:val="00147672"/>
    <w:rsid w:val="001479B9"/>
    <w:rsid w:val="00150199"/>
    <w:rsid w:val="00150FC0"/>
    <w:rsid w:val="001515CD"/>
    <w:rsid w:val="0015220E"/>
    <w:rsid w:val="00152B73"/>
    <w:rsid w:val="00153626"/>
    <w:rsid w:val="0015364D"/>
    <w:rsid w:val="00153E96"/>
    <w:rsid w:val="00155468"/>
    <w:rsid w:val="00156A6B"/>
    <w:rsid w:val="00160037"/>
    <w:rsid w:val="00160690"/>
    <w:rsid w:val="00160E1E"/>
    <w:rsid w:val="00161B90"/>
    <w:rsid w:val="00161C97"/>
    <w:rsid w:val="00162031"/>
    <w:rsid w:val="001629C8"/>
    <w:rsid w:val="00163042"/>
    <w:rsid w:val="0016336E"/>
    <w:rsid w:val="0016361D"/>
    <w:rsid w:val="00164AA2"/>
    <w:rsid w:val="00165415"/>
    <w:rsid w:val="0016591F"/>
    <w:rsid w:val="00165B49"/>
    <w:rsid w:val="00166678"/>
    <w:rsid w:val="001671BE"/>
    <w:rsid w:val="00170EFA"/>
    <w:rsid w:val="00171995"/>
    <w:rsid w:val="001724F0"/>
    <w:rsid w:val="00174789"/>
    <w:rsid w:val="00174B30"/>
    <w:rsid w:val="00174B57"/>
    <w:rsid w:val="00174DB3"/>
    <w:rsid w:val="0017521F"/>
    <w:rsid w:val="00175A17"/>
    <w:rsid w:val="0017655E"/>
    <w:rsid w:val="00176B50"/>
    <w:rsid w:val="00177687"/>
    <w:rsid w:val="001778BF"/>
    <w:rsid w:val="00180287"/>
    <w:rsid w:val="0018047E"/>
    <w:rsid w:val="00180705"/>
    <w:rsid w:val="001808F6"/>
    <w:rsid w:val="00180E06"/>
    <w:rsid w:val="001810F6"/>
    <w:rsid w:val="001813F6"/>
    <w:rsid w:val="00182586"/>
    <w:rsid w:val="00182B7C"/>
    <w:rsid w:val="00183A46"/>
    <w:rsid w:val="0018490E"/>
    <w:rsid w:val="00185361"/>
    <w:rsid w:val="00185A96"/>
    <w:rsid w:val="00185E4F"/>
    <w:rsid w:val="001862A0"/>
    <w:rsid w:val="00187026"/>
    <w:rsid w:val="0018760D"/>
    <w:rsid w:val="00187947"/>
    <w:rsid w:val="00187D86"/>
    <w:rsid w:val="00187FF3"/>
    <w:rsid w:val="0019304A"/>
    <w:rsid w:val="00193703"/>
    <w:rsid w:val="001937B3"/>
    <w:rsid w:val="00193BB2"/>
    <w:rsid w:val="00193CD8"/>
    <w:rsid w:val="001940BC"/>
    <w:rsid w:val="001946EE"/>
    <w:rsid w:val="00195852"/>
    <w:rsid w:val="00196EFA"/>
    <w:rsid w:val="001971FB"/>
    <w:rsid w:val="00197997"/>
    <w:rsid w:val="001A0148"/>
    <w:rsid w:val="001A06B6"/>
    <w:rsid w:val="001A0CE6"/>
    <w:rsid w:val="001A0F92"/>
    <w:rsid w:val="001A11A6"/>
    <w:rsid w:val="001A144E"/>
    <w:rsid w:val="001A1C02"/>
    <w:rsid w:val="001A2A9E"/>
    <w:rsid w:val="001A310C"/>
    <w:rsid w:val="001A32C3"/>
    <w:rsid w:val="001A5A0A"/>
    <w:rsid w:val="001A6174"/>
    <w:rsid w:val="001A67F3"/>
    <w:rsid w:val="001B04A0"/>
    <w:rsid w:val="001B07C4"/>
    <w:rsid w:val="001B0A0E"/>
    <w:rsid w:val="001B0E2D"/>
    <w:rsid w:val="001B0E7F"/>
    <w:rsid w:val="001B102D"/>
    <w:rsid w:val="001B1729"/>
    <w:rsid w:val="001B17CC"/>
    <w:rsid w:val="001B22E8"/>
    <w:rsid w:val="001B3042"/>
    <w:rsid w:val="001B392C"/>
    <w:rsid w:val="001B3DAF"/>
    <w:rsid w:val="001B4210"/>
    <w:rsid w:val="001B4CD2"/>
    <w:rsid w:val="001B4FE2"/>
    <w:rsid w:val="001B501E"/>
    <w:rsid w:val="001B5615"/>
    <w:rsid w:val="001B617A"/>
    <w:rsid w:val="001B633E"/>
    <w:rsid w:val="001B654E"/>
    <w:rsid w:val="001B670F"/>
    <w:rsid w:val="001B681C"/>
    <w:rsid w:val="001B7575"/>
    <w:rsid w:val="001B7576"/>
    <w:rsid w:val="001B7DDC"/>
    <w:rsid w:val="001C02AC"/>
    <w:rsid w:val="001C05B2"/>
    <w:rsid w:val="001C060A"/>
    <w:rsid w:val="001C09C7"/>
    <w:rsid w:val="001C16CF"/>
    <w:rsid w:val="001C232B"/>
    <w:rsid w:val="001C2E2E"/>
    <w:rsid w:val="001C3363"/>
    <w:rsid w:val="001C33F5"/>
    <w:rsid w:val="001C3ACE"/>
    <w:rsid w:val="001C4318"/>
    <w:rsid w:val="001C537D"/>
    <w:rsid w:val="001C5971"/>
    <w:rsid w:val="001C5EE3"/>
    <w:rsid w:val="001C5F39"/>
    <w:rsid w:val="001C64F4"/>
    <w:rsid w:val="001C6784"/>
    <w:rsid w:val="001C6A4D"/>
    <w:rsid w:val="001C6D73"/>
    <w:rsid w:val="001C74B1"/>
    <w:rsid w:val="001C7F09"/>
    <w:rsid w:val="001D07A2"/>
    <w:rsid w:val="001D0CE2"/>
    <w:rsid w:val="001D16AD"/>
    <w:rsid w:val="001D19E7"/>
    <w:rsid w:val="001D2557"/>
    <w:rsid w:val="001D26AB"/>
    <w:rsid w:val="001D287C"/>
    <w:rsid w:val="001D37D8"/>
    <w:rsid w:val="001D5F75"/>
    <w:rsid w:val="001D6F70"/>
    <w:rsid w:val="001D7B98"/>
    <w:rsid w:val="001E1355"/>
    <w:rsid w:val="001E193F"/>
    <w:rsid w:val="001E2D4E"/>
    <w:rsid w:val="001E2F75"/>
    <w:rsid w:val="001E2FE7"/>
    <w:rsid w:val="001E31CD"/>
    <w:rsid w:val="001E3663"/>
    <w:rsid w:val="001E3D19"/>
    <w:rsid w:val="001E4294"/>
    <w:rsid w:val="001E472C"/>
    <w:rsid w:val="001E4EC9"/>
    <w:rsid w:val="001E5B3E"/>
    <w:rsid w:val="001E5F07"/>
    <w:rsid w:val="001E6869"/>
    <w:rsid w:val="001E69B9"/>
    <w:rsid w:val="001E6DED"/>
    <w:rsid w:val="001E74B5"/>
    <w:rsid w:val="001F0CD1"/>
    <w:rsid w:val="001F12CE"/>
    <w:rsid w:val="001F16D6"/>
    <w:rsid w:val="001F19F4"/>
    <w:rsid w:val="001F2532"/>
    <w:rsid w:val="001F272F"/>
    <w:rsid w:val="001F3029"/>
    <w:rsid w:val="001F3527"/>
    <w:rsid w:val="001F43A3"/>
    <w:rsid w:val="001F446D"/>
    <w:rsid w:val="001F4474"/>
    <w:rsid w:val="001F51E3"/>
    <w:rsid w:val="001F580C"/>
    <w:rsid w:val="001F598C"/>
    <w:rsid w:val="001F5FEB"/>
    <w:rsid w:val="001F6F71"/>
    <w:rsid w:val="001F79B5"/>
    <w:rsid w:val="001F7C4B"/>
    <w:rsid w:val="001F7D3F"/>
    <w:rsid w:val="001F7D82"/>
    <w:rsid w:val="00201257"/>
    <w:rsid w:val="0020156E"/>
    <w:rsid w:val="002018A4"/>
    <w:rsid w:val="00203BF2"/>
    <w:rsid w:val="00203DBE"/>
    <w:rsid w:val="00203EAC"/>
    <w:rsid w:val="00204268"/>
    <w:rsid w:val="00205CD9"/>
    <w:rsid w:val="00206C05"/>
    <w:rsid w:val="00207E69"/>
    <w:rsid w:val="002105B7"/>
    <w:rsid w:val="00210EF3"/>
    <w:rsid w:val="002115A0"/>
    <w:rsid w:val="00211C22"/>
    <w:rsid w:val="00211C6A"/>
    <w:rsid w:val="00211EC0"/>
    <w:rsid w:val="0021268F"/>
    <w:rsid w:val="0021277A"/>
    <w:rsid w:val="00212B5D"/>
    <w:rsid w:val="00212BC5"/>
    <w:rsid w:val="00212E0B"/>
    <w:rsid w:val="00213153"/>
    <w:rsid w:val="00213AC0"/>
    <w:rsid w:val="00213FB2"/>
    <w:rsid w:val="00214568"/>
    <w:rsid w:val="00214C2D"/>
    <w:rsid w:val="00214D30"/>
    <w:rsid w:val="00215E01"/>
    <w:rsid w:val="002161C1"/>
    <w:rsid w:val="00217192"/>
    <w:rsid w:val="00217321"/>
    <w:rsid w:val="002178F9"/>
    <w:rsid w:val="002179AC"/>
    <w:rsid w:val="00217B6A"/>
    <w:rsid w:val="00220003"/>
    <w:rsid w:val="0022133D"/>
    <w:rsid w:val="00221550"/>
    <w:rsid w:val="00221B6A"/>
    <w:rsid w:val="002223B1"/>
    <w:rsid w:val="00222FEC"/>
    <w:rsid w:val="0022300A"/>
    <w:rsid w:val="002232F1"/>
    <w:rsid w:val="0022388B"/>
    <w:rsid w:val="00224D85"/>
    <w:rsid w:val="002269CB"/>
    <w:rsid w:val="00227243"/>
    <w:rsid w:val="002275B7"/>
    <w:rsid w:val="002275CD"/>
    <w:rsid w:val="00227760"/>
    <w:rsid w:val="00230813"/>
    <w:rsid w:val="002309E4"/>
    <w:rsid w:val="002318F2"/>
    <w:rsid w:val="00232253"/>
    <w:rsid w:val="00232861"/>
    <w:rsid w:val="002328AC"/>
    <w:rsid w:val="0023318F"/>
    <w:rsid w:val="00233481"/>
    <w:rsid w:val="002336C4"/>
    <w:rsid w:val="00233DDD"/>
    <w:rsid w:val="00234218"/>
    <w:rsid w:val="002346F4"/>
    <w:rsid w:val="002348C5"/>
    <w:rsid w:val="00234A43"/>
    <w:rsid w:val="002354D4"/>
    <w:rsid w:val="00235ECE"/>
    <w:rsid w:val="00236224"/>
    <w:rsid w:val="0023645D"/>
    <w:rsid w:val="00236711"/>
    <w:rsid w:val="00236C76"/>
    <w:rsid w:val="002374AB"/>
    <w:rsid w:val="002404DC"/>
    <w:rsid w:val="00242286"/>
    <w:rsid w:val="00242386"/>
    <w:rsid w:val="002428F3"/>
    <w:rsid w:val="00242A4B"/>
    <w:rsid w:val="00243567"/>
    <w:rsid w:val="00243B99"/>
    <w:rsid w:val="0024439E"/>
    <w:rsid w:val="002449ED"/>
    <w:rsid w:val="00244A84"/>
    <w:rsid w:val="00244AC6"/>
    <w:rsid w:val="00245480"/>
    <w:rsid w:val="002454DE"/>
    <w:rsid w:val="00245C10"/>
    <w:rsid w:val="00245EA0"/>
    <w:rsid w:val="0024617E"/>
    <w:rsid w:val="002463B9"/>
    <w:rsid w:val="0024699B"/>
    <w:rsid w:val="002504DF"/>
    <w:rsid w:val="002509EE"/>
    <w:rsid w:val="00250D87"/>
    <w:rsid w:val="0025131B"/>
    <w:rsid w:val="002513C9"/>
    <w:rsid w:val="00251538"/>
    <w:rsid w:val="00251E07"/>
    <w:rsid w:val="002529CE"/>
    <w:rsid w:val="002538F5"/>
    <w:rsid w:val="00253BA2"/>
    <w:rsid w:val="00253C1D"/>
    <w:rsid w:val="002548AC"/>
    <w:rsid w:val="00254A57"/>
    <w:rsid w:val="00254C74"/>
    <w:rsid w:val="002553AF"/>
    <w:rsid w:val="002557A7"/>
    <w:rsid w:val="00255944"/>
    <w:rsid w:val="00256169"/>
    <w:rsid w:val="002569BC"/>
    <w:rsid w:val="00256D46"/>
    <w:rsid w:val="0025789B"/>
    <w:rsid w:val="00257A80"/>
    <w:rsid w:val="0026041A"/>
    <w:rsid w:val="00260803"/>
    <w:rsid w:val="00260898"/>
    <w:rsid w:val="002627B2"/>
    <w:rsid w:val="002629FB"/>
    <w:rsid w:val="00262C44"/>
    <w:rsid w:val="0026328C"/>
    <w:rsid w:val="002632EC"/>
    <w:rsid w:val="002633F8"/>
    <w:rsid w:val="002634B7"/>
    <w:rsid w:val="00263960"/>
    <w:rsid w:val="00264240"/>
    <w:rsid w:val="00265A02"/>
    <w:rsid w:val="0026652B"/>
    <w:rsid w:val="00266B14"/>
    <w:rsid w:val="00266FE2"/>
    <w:rsid w:val="00270833"/>
    <w:rsid w:val="00270F61"/>
    <w:rsid w:val="00271034"/>
    <w:rsid w:val="0027110F"/>
    <w:rsid w:val="00271923"/>
    <w:rsid w:val="00271DE9"/>
    <w:rsid w:val="00272AAB"/>
    <w:rsid w:val="00272FBE"/>
    <w:rsid w:val="00273AC8"/>
    <w:rsid w:val="0027432D"/>
    <w:rsid w:val="00275B6C"/>
    <w:rsid w:val="00275F16"/>
    <w:rsid w:val="00276586"/>
    <w:rsid w:val="00276755"/>
    <w:rsid w:val="00276F53"/>
    <w:rsid w:val="00277836"/>
    <w:rsid w:val="002802D3"/>
    <w:rsid w:val="002813E7"/>
    <w:rsid w:val="00281C66"/>
    <w:rsid w:val="002820C6"/>
    <w:rsid w:val="00283A44"/>
    <w:rsid w:val="00284561"/>
    <w:rsid w:val="00284CD9"/>
    <w:rsid w:val="0028504D"/>
    <w:rsid w:val="00285924"/>
    <w:rsid w:val="00285948"/>
    <w:rsid w:val="00285CC6"/>
    <w:rsid w:val="002860D8"/>
    <w:rsid w:val="00286846"/>
    <w:rsid w:val="00286B80"/>
    <w:rsid w:val="00286C34"/>
    <w:rsid w:val="00287AB9"/>
    <w:rsid w:val="0029021C"/>
    <w:rsid w:val="00291F06"/>
    <w:rsid w:val="00292103"/>
    <w:rsid w:val="00292EB8"/>
    <w:rsid w:val="002947F3"/>
    <w:rsid w:val="00294F48"/>
    <w:rsid w:val="002950BE"/>
    <w:rsid w:val="00295662"/>
    <w:rsid w:val="0029568F"/>
    <w:rsid w:val="00295A0E"/>
    <w:rsid w:val="00295E11"/>
    <w:rsid w:val="0029605B"/>
    <w:rsid w:val="002968FB"/>
    <w:rsid w:val="00297032"/>
    <w:rsid w:val="0029713B"/>
    <w:rsid w:val="0029729B"/>
    <w:rsid w:val="002973F6"/>
    <w:rsid w:val="00297473"/>
    <w:rsid w:val="0029766D"/>
    <w:rsid w:val="002A0462"/>
    <w:rsid w:val="002A1094"/>
    <w:rsid w:val="002A162D"/>
    <w:rsid w:val="002A29B1"/>
    <w:rsid w:val="002A52B5"/>
    <w:rsid w:val="002A5819"/>
    <w:rsid w:val="002A5EC6"/>
    <w:rsid w:val="002A6DC3"/>
    <w:rsid w:val="002A7060"/>
    <w:rsid w:val="002A71B1"/>
    <w:rsid w:val="002A77CB"/>
    <w:rsid w:val="002B05E9"/>
    <w:rsid w:val="002B081F"/>
    <w:rsid w:val="002B0B4F"/>
    <w:rsid w:val="002B118A"/>
    <w:rsid w:val="002B1249"/>
    <w:rsid w:val="002B1939"/>
    <w:rsid w:val="002B2E63"/>
    <w:rsid w:val="002B3F79"/>
    <w:rsid w:val="002B60F4"/>
    <w:rsid w:val="002B63D6"/>
    <w:rsid w:val="002B6447"/>
    <w:rsid w:val="002B6BAB"/>
    <w:rsid w:val="002B6D4C"/>
    <w:rsid w:val="002B6DEB"/>
    <w:rsid w:val="002B7D52"/>
    <w:rsid w:val="002C175B"/>
    <w:rsid w:val="002C2D07"/>
    <w:rsid w:val="002C2F5F"/>
    <w:rsid w:val="002C364D"/>
    <w:rsid w:val="002C4DDF"/>
    <w:rsid w:val="002C5802"/>
    <w:rsid w:val="002C6158"/>
    <w:rsid w:val="002C6423"/>
    <w:rsid w:val="002C6D2B"/>
    <w:rsid w:val="002C6E00"/>
    <w:rsid w:val="002C7A07"/>
    <w:rsid w:val="002C7FD0"/>
    <w:rsid w:val="002D1540"/>
    <w:rsid w:val="002D17D3"/>
    <w:rsid w:val="002D2FFD"/>
    <w:rsid w:val="002D362E"/>
    <w:rsid w:val="002D3900"/>
    <w:rsid w:val="002D3F54"/>
    <w:rsid w:val="002D422E"/>
    <w:rsid w:val="002D49E8"/>
    <w:rsid w:val="002D4C3F"/>
    <w:rsid w:val="002D5AD6"/>
    <w:rsid w:val="002D5B11"/>
    <w:rsid w:val="002D669B"/>
    <w:rsid w:val="002D67EE"/>
    <w:rsid w:val="002D6872"/>
    <w:rsid w:val="002D6E3F"/>
    <w:rsid w:val="002D721C"/>
    <w:rsid w:val="002D7AAA"/>
    <w:rsid w:val="002E03B8"/>
    <w:rsid w:val="002E1027"/>
    <w:rsid w:val="002E10E0"/>
    <w:rsid w:val="002E1558"/>
    <w:rsid w:val="002E1947"/>
    <w:rsid w:val="002E1AFB"/>
    <w:rsid w:val="002E2343"/>
    <w:rsid w:val="002E2A04"/>
    <w:rsid w:val="002E2C3B"/>
    <w:rsid w:val="002E3837"/>
    <w:rsid w:val="002E4B04"/>
    <w:rsid w:val="002E56AF"/>
    <w:rsid w:val="002E5C9B"/>
    <w:rsid w:val="002E6967"/>
    <w:rsid w:val="002E7127"/>
    <w:rsid w:val="002F037C"/>
    <w:rsid w:val="002F0E3E"/>
    <w:rsid w:val="002F2735"/>
    <w:rsid w:val="002F2B5F"/>
    <w:rsid w:val="002F2DEB"/>
    <w:rsid w:val="002F342E"/>
    <w:rsid w:val="002F3FE5"/>
    <w:rsid w:val="002F4050"/>
    <w:rsid w:val="002F43A1"/>
    <w:rsid w:val="002F5829"/>
    <w:rsid w:val="002F61E8"/>
    <w:rsid w:val="002F6795"/>
    <w:rsid w:val="002F68D6"/>
    <w:rsid w:val="002F6BC6"/>
    <w:rsid w:val="002F71F5"/>
    <w:rsid w:val="00300189"/>
    <w:rsid w:val="00300809"/>
    <w:rsid w:val="00300FAD"/>
    <w:rsid w:val="00301254"/>
    <w:rsid w:val="003016DB"/>
    <w:rsid w:val="0030198E"/>
    <w:rsid w:val="00301DF2"/>
    <w:rsid w:val="00302019"/>
    <w:rsid w:val="003024DC"/>
    <w:rsid w:val="00302552"/>
    <w:rsid w:val="00302B96"/>
    <w:rsid w:val="003039D2"/>
    <w:rsid w:val="00303E26"/>
    <w:rsid w:val="0030407D"/>
    <w:rsid w:val="00304221"/>
    <w:rsid w:val="003043C7"/>
    <w:rsid w:val="00305177"/>
    <w:rsid w:val="00305270"/>
    <w:rsid w:val="00305514"/>
    <w:rsid w:val="00305884"/>
    <w:rsid w:val="003060A0"/>
    <w:rsid w:val="00306373"/>
    <w:rsid w:val="0030699C"/>
    <w:rsid w:val="00306C8C"/>
    <w:rsid w:val="0030743B"/>
    <w:rsid w:val="00311370"/>
    <w:rsid w:val="00311738"/>
    <w:rsid w:val="003126FD"/>
    <w:rsid w:val="00312B86"/>
    <w:rsid w:val="00312D55"/>
    <w:rsid w:val="00312E5A"/>
    <w:rsid w:val="00313318"/>
    <w:rsid w:val="00313652"/>
    <w:rsid w:val="00313BB9"/>
    <w:rsid w:val="00313E84"/>
    <w:rsid w:val="003144C8"/>
    <w:rsid w:val="00314AA0"/>
    <w:rsid w:val="00314FE0"/>
    <w:rsid w:val="0031610D"/>
    <w:rsid w:val="003161A4"/>
    <w:rsid w:val="003165F6"/>
    <w:rsid w:val="00316B58"/>
    <w:rsid w:val="00317EB7"/>
    <w:rsid w:val="003202C7"/>
    <w:rsid w:val="00320A76"/>
    <w:rsid w:val="00320B1D"/>
    <w:rsid w:val="00321271"/>
    <w:rsid w:val="003213A7"/>
    <w:rsid w:val="00321A1B"/>
    <w:rsid w:val="00323F9D"/>
    <w:rsid w:val="00324AB8"/>
    <w:rsid w:val="00324D83"/>
    <w:rsid w:val="003251CA"/>
    <w:rsid w:val="00325204"/>
    <w:rsid w:val="003264A4"/>
    <w:rsid w:val="00326C03"/>
    <w:rsid w:val="0032729B"/>
    <w:rsid w:val="003301D7"/>
    <w:rsid w:val="00330369"/>
    <w:rsid w:val="00330A7D"/>
    <w:rsid w:val="003312D5"/>
    <w:rsid w:val="00333D7F"/>
    <w:rsid w:val="003345DA"/>
    <w:rsid w:val="003346D8"/>
    <w:rsid w:val="0033488A"/>
    <w:rsid w:val="00334BE7"/>
    <w:rsid w:val="00334F6D"/>
    <w:rsid w:val="003353DA"/>
    <w:rsid w:val="00335637"/>
    <w:rsid w:val="00335851"/>
    <w:rsid w:val="00335A14"/>
    <w:rsid w:val="00335D7E"/>
    <w:rsid w:val="00335D8A"/>
    <w:rsid w:val="00335E49"/>
    <w:rsid w:val="00337275"/>
    <w:rsid w:val="003372F1"/>
    <w:rsid w:val="0033774F"/>
    <w:rsid w:val="003404FF"/>
    <w:rsid w:val="00340515"/>
    <w:rsid w:val="00340AB3"/>
    <w:rsid w:val="00342099"/>
    <w:rsid w:val="00342AE0"/>
    <w:rsid w:val="00342B8A"/>
    <w:rsid w:val="0034313E"/>
    <w:rsid w:val="00343467"/>
    <w:rsid w:val="003436AB"/>
    <w:rsid w:val="00343A8F"/>
    <w:rsid w:val="00343E5F"/>
    <w:rsid w:val="00344918"/>
    <w:rsid w:val="00344E58"/>
    <w:rsid w:val="003451C5"/>
    <w:rsid w:val="00345523"/>
    <w:rsid w:val="003465FF"/>
    <w:rsid w:val="00346F48"/>
    <w:rsid w:val="0034706E"/>
    <w:rsid w:val="003470BD"/>
    <w:rsid w:val="00350095"/>
    <w:rsid w:val="00350AD5"/>
    <w:rsid w:val="00351621"/>
    <w:rsid w:val="003525D3"/>
    <w:rsid w:val="00353664"/>
    <w:rsid w:val="003536EB"/>
    <w:rsid w:val="00353CB3"/>
    <w:rsid w:val="00353E15"/>
    <w:rsid w:val="0035409A"/>
    <w:rsid w:val="0035419D"/>
    <w:rsid w:val="003546A8"/>
    <w:rsid w:val="00354803"/>
    <w:rsid w:val="0035572F"/>
    <w:rsid w:val="003557C1"/>
    <w:rsid w:val="00355A26"/>
    <w:rsid w:val="003562F9"/>
    <w:rsid w:val="003568F7"/>
    <w:rsid w:val="00356EAD"/>
    <w:rsid w:val="00356F25"/>
    <w:rsid w:val="00357475"/>
    <w:rsid w:val="00357B94"/>
    <w:rsid w:val="00360330"/>
    <w:rsid w:val="0036077E"/>
    <w:rsid w:val="00361044"/>
    <w:rsid w:val="00361519"/>
    <w:rsid w:val="00361F0C"/>
    <w:rsid w:val="00362140"/>
    <w:rsid w:val="003621AC"/>
    <w:rsid w:val="003623F8"/>
    <w:rsid w:val="00362BE9"/>
    <w:rsid w:val="00363617"/>
    <w:rsid w:val="0036413A"/>
    <w:rsid w:val="0036494D"/>
    <w:rsid w:val="00364B87"/>
    <w:rsid w:val="00365200"/>
    <w:rsid w:val="0036581F"/>
    <w:rsid w:val="003665C5"/>
    <w:rsid w:val="0036669C"/>
    <w:rsid w:val="00366BB0"/>
    <w:rsid w:val="00366C65"/>
    <w:rsid w:val="0036778B"/>
    <w:rsid w:val="003678E9"/>
    <w:rsid w:val="00367B12"/>
    <w:rsid w:val="003710DE"/>
    <w:rsid w:val="00371216"/>
    <w:rsid w:val="003713B0"/>
    <w:rsid w:val="0037214B"/>
    <w:rsid w:val="00372297"/>
    <w:rsid w:val="00373294"/>
    <w:rsid w:val="00373A3D"/>
    <w:rsid w:val="00373EC3"/>
    <w:rsid w:val="00373F07"/>
    <w:rsid w:val="00374654"/>
    <w:rsid w:val="00374A82"/>
    <w:rsid w:val="00374C99"/>
    <w:rsid w:val="00374CDC"/>
    <w:rsid w:val="00374ED1"/>
    <w:rsid w:val="00376400"/>
    <w:rsid w:val="003769DB"/>
    <w:rsid w:val="0037765F"/>
    <w:rsid w:val="003779C7"/>
    <w:rsid w:val="00380207"/>
    <w:rsid w:val="003809F8"/>
    <w:rsid w:val="00380DF0"/>
    <w:rsid w:val="00382681"/>
    <w:rsid w:val="00382CE3"/>
    <w:rsid w:val="003832BD"/>
    <w:rsid w:val="0038351F"/>
    <w:rsid w:val="00384053"/>
    <w:rsid w:val="0038421C"/>
    <w:rsid w:val="0038491A"/>
    <w:rsid w:val="003849FC"/>
    <w:rsid w:val="00385003"/>
    <w:rsid w:val="00385042"/>
    <w:rsid w:val="00385049"/>
    <w:rsid w:val="0038510A"/>
    <w:rsid w:val="00385266"/>
    <w:rsid w:val="00386BF4"/>
    <w:rsid w:val="00386CF3"/>
    <w:rsid w:val="00387063"/>
    <w:rsid w:val="00387A91"/>
    <w:rsid w:val="0039024C"/>
    <w:rsid w:val="003907BC"/>
    <w:rsid w:val="00391021"/>
    <w:rsid w:val="00391025"/>
    <w:rsid w:val="0039174F"/>
    <w:rsid w:val="003918D3"/>
    <w:rsid w:val="003939D5"/>
    <w:rsid w:val="00394D0B"/>
    <w:rsid w:val="003951CE"/>
    <w:rsid w:val="00395238"/>
    <w:rsid w:val="00395E00"/>
    <w:rsid w:val="00396BA2"/>
    <w:rsid w:val="003976E2"/>
    <w:rsid w:val="003A0483"/>
    <w:rsid w:val="003A0C6C"/>
    <w:rsid w:val="003A1B54"/>
    <w:rsid w:val="003A1EB4"/>
    <w:rsid w:val="003A22AE"/>
    <w:rsid w:val="003A27E4"/>
    <w:rsid w:val="003A2C44"/>
    <w:rsid w:val="003A4C71"/>
    <w:rsid w:val="003A5795"/>
    <w:rsid w:val="003A62C9"/>
    <w:rsid w:val="003A6AEF"/>
    <w:rsid w:val="003A778E"/>
    <w:rsid w:val="003B0177"/>
    <w:rsid w:val="003B02D3"/>
    <w:rsid w:val="003B1B26"/>
    <w:rsid w:val="003B1D78"/>
    <w:rsid w:val="003B1D8E"/>
    <w:rsid w:val="003B1F47"/>
    <w:rsid w:val="003B2F4B"/>
    <w:rsid w:val="003B345F"/>
    <w:rsid w:val="003B3580"/>
    <w:rsid w:val="003B3DE3"/>
    <w:rsid w:val="003B44D1"/>
    <w:rsid w:val="003B4F49"/>
    <w:rsid w:val="003B5DE3"/>
    <w:rsid w:val="003B65C8"/>
    <w:rsid w:val="003B6C97"/>
    <w:rsid w:val="003B6CA2"/>
    <w:rsid w:val="003B718B"/>
    <w:rsid w:val="003B746E"/>
    <w:rsid w:val="003C02F4"/>
    <w:rsid w:val="003C0E65"/>
    <w:rsid w:val="003C1C19"/>
    <w:rsid w:val="003C2817"/>
    <w:rsid w:val="003C3664"/>
    <w:rsid w:val="003C39D0"/>
    <w:rsid w:val="003C4146"/>
    <w:rsid w:val="003C44A9"/>
    <w:rsid w:val="003C484D"/>
    <w:rsid w:val="003C4F47"/>
    <w:rsid w:val="003C5998"/>
    <w:rsid w:val="003C661C"/>
    <w:rsid w:val="003C689E"/>
    <w:rsid w:val="003C70E6"/>
    <w:rsid w:val="003C7928"/>
    <w:rsid w:val="003C7C11"/>
    <w:rsid w:val="003D007B"/>
    <w:rsid w:val="003D1A90"/>
    <w:rsid w:val="003D219E"/>
    <w:rsid w:val="003D264F"/>
    <w:rsid w:val="003D3143"/>
    <w:rsid w:val="003D3295"/>
    <w:rsid w:val="003D3A40"/>
    <w:rsid w:val="003D474F"/>
    <w:rsid w:val="003D4AD4"/>
    <w:rsid w:val="003D4D4F"/>
    <w:rsid w:val="003D4FA6"/>
    <w:rsid w:val="003D74EE"/>
    <w:rsid w:val="003D7EB6"/>
    <w:rsid w:val="003D7EFA"/>
    <w:rsid w:val="003D7F8D"/>
    <w:rsid w:val="003D7FBD"/>
    <w:rsid w:val="003E0540"/>
    <w:rsid w:val="003E0D20"/>
    <w:rsid w:val="003E2446"/>
    <w:rsid w:val="003E29A1"/>
    <w:rsid w:val="003E4C6F"/>
    <w:rsid w:val="003E4F4E"/>
    <w:rsid w:val="003E590D"/>
    <w:rsid w:val="003E5D0C"/>
    <w:rsid w:val="003E6127"/>
    <w:rsid w:val="003E67FC"/>
    <w:rsid w:val="003E7013"/>
    <w:rsid w:val="003E7120"/>
    <w:rsid w:val="003E75AD"/>
    <w:rsid w:val="003E7710"/>
    <w:rsid w:val="003E775B"/>
    <w:rsid w:val="003E789E"/>
    <w:rsid w:val="003F0393"/>
    <w:rsid w:val="003F03C5"/>
    <w:rsid w:val="003F04F4"/>
    <w:rsid w:val="003F0536"/>
    <w:rsid w:val="003F0B5C"/>
    <w:rsid w:val="003F0BA2"/>
    <w:rsid w:val="003F1233"/>
    <w:rsid w:val="003F1336"/>
    <w:rsid w:val="003F13AC"/>
    <w:rsid w:val="003F164C"/>
    <w:rsid w:val="003F1723"/>
    <w:rsid w:val="003F1B8A"/>
    <w:rsid w:val="003F2C37"/>
    <w:rsid w:val="003F3108"/>
    <w:rsid w:val="003F35CE"/>
    <w:rsid w:val="003F3ACD"/>
    <w:rsid w:val="003F3DF7"/>
    <w:rsid w:val="003F3EE6"/>
    <w:rsid w:val="003F3F42"/>
    <w:rsid w:val="003F45F9"/>
    <w:rsid w:val="003F4826"/>
    <w:rsid w:val="003F4D12"/>
    <w:rsid w:val="003F701D"/>
    <w:rsid w:val="003F7779"/>
    <w:rsid w:val="003F7C04"/>
    <w:rsid w:val="003F7FA0"/>
    <w:rsid w:val="0040036A"/>
    <w:rsid w:val="00401A4A"/>
    <w:rsid w:val="00401DA2"/>
    <w:rsid w:val="00401F34"/>
    <w:rsid w:val="0040278B"/>
    <w:rsid w:val="00403C65"/>
    <w:rsid w:val="004044F1"/>
    <w:rsid w:val="004049DA"/>
    <w:rsid w:val="00405A09"/>
    <w:rsid w:val="00406B5E"/>
    <w:rsid w:val="00406C39"/>
    <w:rsid w:val="0040714B"/>
    <w:rsid w:val="00407866"/>
    <w:rsid w:val="00407B4A"/>
    <w:rsid w:val="00407CA8"/>
    <w:rsid w:val="00407CC0"/>
    <w:rsid w:val="0041049D"/>
    <w:rsid w:val="00410ED7"/>
    <w:rsid w:val="004119E8"/>
    <w:rsid w:val="00411D51"/>
    <w:rsid w:val="00411F2C"/>
    <w:rsid w:val="0041486E"/>
    <w:rsid w:val="004149FF"/>
    <w:rsid w:val="00414B98"/>
    <w:rsid w:val="00415260"/>
    <w:rsid w:val="004153AE"/>
    <w:rsid w:val="004156FD"/>
    <w:rsid w:val="00415870"/>
    <w:rsid w:val="00415AFA"/>
    <w:rsid w:val="00416919"/>
    <w:rsid w:val="004172B8"/>
    <w:rsid w:val="004174DB"/>
    <w:rsid w:val="0042041D"/>
    <w:rsid w:val="00420E70"/>
    <w:rsid w:val="0042109A"/>
    <w:rsid w:val="0042117A"/>
    <w:rsid w:val="004218C0"/>
    <w:rsid w:val="00421CE2"/>
    <w:rsid w:val="00421E22"/>
    <w:rsid w:val="00421F42"/>
    <w:rsid w:val="004222BC"/>
    <w:rsid w:val="004222D4"/>
    <w:rsid w:val="00424528"/>
    <w:rsid w:val="00424563"/>
    <w:rsid w:val="00424893"/>
    <w:rsid w:val="00425367"/>
    <w:rsid w:val="00425741"/>
    <w:rsid w:val="00425EC4"/>
    <w:rsid w:val="004269FD"/>
    <w:rsid w:val="00427E32"/>
    <w:rsid w:val="00430ECE"/>
    <w:rsid w:val="004316DB"/>
    <w:rsid w:val="00431C98"/>
    <w:rsid w:val="00432CD9"/>
    <w:rsid w:val="00432F3F"/>
    <w:rsid w:val="0043309D"/>
    <w:rsid w:val="004337BE"/>
    <w:rsid w:val="00433A07"/>
    <w:rsid w:val="00433DF3"/>
    <w:rsid w:val="00434DA0"/>
    <w:rsid w:val="00434DBD"/>
    <w:rsid w:val="00435606"/>
    <w:rsid w:val="004357FD"/>
    <w:rsid w:val="00437154"/>
    <w:rsid w:val="004372CC"/>
    <w:rsid w:val="0043756E"/>
    <w:rsid w:val="004375C7"/>
    <w:rsid w:val="0044034E"/>
    <w:rsid w:val="004409F0"/>
    <w:rsid w:val="00440ECE"/>
    <w:rsid w:val="00440FC7"/>
    <w:rsid w:val="004415E3"/>
    <w:rsid w:val="00441B57"/>
    <w:rsid w:val="00441B5E"/>
    <w:rsid w:val="004423E9"/>
    <w:rsid w:val="004424DD"/>
    <w:rsid w:val="0044330D"/>
    <w:rsid w:val="0044481E"/>
    <w:rsid w:val="0044521C"/>
    <w:rsid w:val="00445A1C"/>
    <w:rsid w:val="00446149"/>
    <w:rsid w:val="00450310"/>
    <w:rsid w:val="00451995"/>
    <w:rsid w:val="00451D0E"/>
    <w:rsid w:val="00451D38"/>
    <w:rsid w:val="00452283"/>
    <w:rsid w:val="00453A8A"/>
    <w:rsid w:val="00453B5D"/>
    <w:rsid w:val="00453E64"/>
    <w:rsid w:val="00454443"/>
    <w:rsid w:val="00454C55"/>
    <w:rsid w:val="00454E1B"/>
    <w:rsid w:val="00455CCF"/>
    <w:rsid w:val="00456390"/>
    <w:rsid w:val="0045648A"/>
    <w:rsid w:val="00456A49"/>
    <w:rsid w:val="004579CA"/>
    <w:rsid w:val="00457C0C"/>
    <w:rsid w:val="00457E64"/>
    <w:rsid w:val="00457F4F"/>
    <w:rsid w:val="0046014A"/>
    <w:rsid w:val="0046023B"/>
    <w:rsid w:val="00460F47"/>
    <w:rsid w:val="0046142F"/>
    <w:rsid w:val="00461C40"/>
    <w:rsid w:val="00461D53"/>
    <w:rsid w:val="00461D7D"/>
    <w:rsid w:val="0046232D"/>
    <w:rsid w:val="004637CC"/>
    <w:rsid w:val="00463AAA"/>
    <w:rsid w:val="00463D9C"/>
    <w:rsid w:val="0046426A"/>
    <w:rsid w:val="00464A87"/>
    <w:rsid w:val="0046569D"/>
    <w:rsid w:val="004662B7"/>
    <w:rsid w:val="004665BD"/>
    <w:rsid w:val="00466FA8"/>
    <w:rsid w:val="00467425"/>
    <w:rsid w:val="00467709"/>
    <w:rsid w:val="0047071D"/>
    <w:rsid w:val="00472064"/>
    <w:rsid w:val="00472710"/>
    <w:rsid w:val="0047312E"/>
    <w:rsid w:val="00473772"/>
    <w:rsid w:val="004737E2"/>
    <w:rsid w:val="004739D9"/>
    <w:rsid w:val="00473F57"/>
    <w:rsid w:val="00474726"/>
    <w:rsid w:val="0047517D"/>
    <w:rsid w:val="00475454"/>
    <w:rsid w:val="00475612"/>
    <w:rsid w:val="00475891"/>
    <w:rsid w:val="00476789"/>
    <w:rsid w:val="00476FF5"/>
    <w:rsid w:val="00477549"/>
    <w:rsid w:val="004801E2"/>
    <w:rsid w:val="00480354"/>
    <w:rsid w:val="00480463"/>
    <w:rsid w:val="0048054C"/>
    <w:rsid w:val="00480E1E"/>
    <w:rsid w:val="00481290"/>
    <w:rsid w:val="004813EB"/>
    <w:rsid w:val="00481A30"/>
    <w:rsid w:val="00482228"/>
    <w:rsid w:val="004825A9"/>
    <w:rsid w:val="0048299C"/>
    <w:rsid w:val="00482E11"/>
    <w:rsid w:val="004830E8"/>
    <w:rsid w:val="00483917"/>
    <w:rsid w:val="004841FE"/>
    <w:rsid w:val="004849FA"/>
    <w:rsid w:val="00484F66"/>
    <w:rsid w:val="0048540F"/>
    <w:rsid w:val="00485496"/>
    <w:rsid w:val="00485A72"/>
    <w:rsid w:val="0048632D"/>
    <w:rsid w:val="004868A7"/>
    <w:rsid w:val="00486A38"/>
    <w:rsid w:val="004874D1"/>
    <w:rsid w:val="00487C87"/>
    <w:rsid w:val="00490602"/>
    <w:rsid w:val="00490666"/>
    <w:rsid w:val="004910B9"/>
    <w:rsid w:val="0049121E"/>
    <w:rsid w:val="00491B9D"/>
    <w:rsid w:val="00492281"/>
    <w:rsid w:val="00492651"/>
    <w:rsid w:val="0049354B"/>
    <w:rsid w:val="0049493A"/>
    <w:rsid w:val="004949A6"/>
    <w:rsid w:val="00494A57"/>
    <w:rsid w:val="00494C59"/>
    <w:rsid w:val="00494EFE"/>
    <w:rsid w:val="004951D8"/>
    <w:rsid w:val="00495CE6"/>
    <w:rsid w:val="004A02D5"/>
    <w:rsid w:val="004A0840"/>
    <w:rsid w:val="004A0A0C"/>
    <w:rsid w:val="004A0C4D"/>
    <w:rsid w:val="004A16DE"/>
    <w:rsid w:val="004A2004"/>
    <w:rsid w:val="004A47C6"/>
    <w:rsid w:val="004A4C79"/>
    <w:rsid w:val="004A4EFB"/>
    <w:rsid w:val="004A5306"/>
    <w:rsid w:val="004A5CE4"/>
    <w:rsid w:val="004A5E38"/>
    <w:rsid w:val="004A616F"/>
    <w:rsid w:val="004A6DD2"/>
    <w:rsid w:val="004A70D1"/>
    <w:rsid w:val="004A7120"/>
    <w:rsid w:val="004A77D8"/>
    <w:rsid w:val="004A7CB8"/>
    <w:rsid w:val="004B0473"/>
    <w:rsid w:val="004B0711"/>
    <w:rsid w:val="004B0A68"/>
    <w:rsid w:val="004B128F"/>
    <w:rsid w:val="004B12AA"/>
    <w:rsid w:val="004B1673"/>
    <w:rsid w:val="004B2ED9"/>
    <w:rsid w:val="004B38D9"/>
    <w:rsid w:val="004B3CCD"/>
    <w:rsid w:val="004B3D49"/>
    <w:rsid w:val="004B4016"/>
    <w:rsid w:val="004B40A7"/>
    <w:rsid w:val="004B47BF"/>
    <w:rsid w:val="004B4D91"/>
    <w:rsid w:val="004B54C7"/>
    <w:rsid w:val="004B6508"/>
    <w:rsid w:val="004B6DE7"/>
    <w:rsid w:val="004C0AFB"/>
    <w:rsid w:val="004C0B03"/>
    <w:rsid w:val="004C15DA"/>
    <w:rsid w:val="004C19F0"/>
    <w:rsid w:val="004C3136"/>
    <w:rsid w:val="004C42F8"/>
    <w:rsid w:val="004C4A0D"/>
    <w:rsid w:val="004C4A77"/>
    <w:rsid w:val="004C5FA5"/>
    <w:rsid w:val="004C611C"/>
    <w:rsid w:val="004C6343"/>
    <w:rsid w:val="004C6376"/>
    <w:rsid w:val="004C71A4"/>
    <w:rsid w:val="004C794C"/>
    <w:rsid w:val="004C7C39"/>
    <w:rsid w:val="004C7C4C"/>
    <w:rsid w:val="004D00F9"/>
    <w:rsid w:val="004D0F43"/>
    <w:rsid w:val="004D1065"/>
    <w:rsid w:val="004D13F6"/>
    <w:rsid w:val="004D17B5"/>
    <w:rsid w:val="004D1B13"/>
    <w:rsid w:val="004D22FA"/>
    <w:rsid w:val="004D2C1F"/>
    <w:rsid w:val="004D320F"/>
    <w:rsid w:val="004D3CFE"/>
    <w:rsid w:val="004D45E4"/>
    <w:rsid w:val="004D70E9"/>
    <w:rsid w:val="004D75E9"/>
    <w:rsid w:val="004D79CA"/>
    <w:rsid w:val="004E05BA"/>
    <w:rsid w:val="004E0B31"/>
    <w:rsid w:val="004E0BC4"/>
    <w:rsid w:val="004E194A"/>
    <w:rsid w:val="004E195D"/>
    <w:rsid w:val="004E1A13"/>
    <w:rsid w:val="004E2E7F"/>
    <w:rsid w:val="004E2F69"/>
    <w:rsid w:val="004E366B"/>
    <w:rsid w:val="004E3EB9"/>
    <w:rsid w:val="004E5221"/>
    <w:rsid w:val="004E5AF4"/>
    <w:rsid w:val="004E5C61"/>
    <w:rsid w:val="004E6BA8"/>
    <w:rsid w:val="004F0EDF"/>
    <w:rsid w:val="004F1013"/>
    <w:rsid w:val="004F14A5"/>
    <w:rsid w:val="004F1631"/>
    <w:rsid w:val="004F269F"/>
    <w:rsid w:val="004F2EE7"/>
    <w:rsid w:val="004F33D0"/>
    <w:rsid w:val="004F3592"/>
    <w:rsid w:val="004F417B"/>
    <w:rsid w:val="004F4436"/>
    <w:rsid w:val="004F4A21"/>
    <w:rsid w:val="004F4ACA"/>
    <w:rsid w:val="004F4CE3"/>
    <w:rsid w:val="004F5D40"/>
    <w:rsid w:val="004F615C"/>
    <w:rsid w:val="004F6798"/>
    <w:rsid w:val="004F6902"/>
    <w:rsid w:val="004F6944"/>
    <w:rsid w:val="004F6B29"/>
    <w:rsid w:val="004F7865"/>
    <w:rsid w:val="00500212"/>
    <w:rsid w:val="005002A3"/>
    <w:rsid w:val="0050086A"/>
    <w:rsid w:val="00501195"/>
    <w:rsid w:val="00502195"/>
    <w:rsid w:val="00502375"/>
    <w:rsid w:val="00502C54"/>
    <w:rsid w:val="00502FBA"/>
    <w:rsid w:val="0050403E"/>
    <w:rsid w:val="005048F2"/>
    <w:rsid w:val="00505550"/>
    <w:rsid w:val="005057F0"/>
    <w:rsid w:val="00505D1B"/>
    <w:rsid w:val="00505E85"/>
    <w:rsid w:val="00505EE7"/>
    <w:rsid w:val="00506328"/>
    <w:rsid w:val="005063A5"/>
    <w:rsid w:val="0050693A"/>
    <w:rsid w:val="005077C5"/>
    <w:rsid w:val="005079F2"/>
    <w:rsid w:val="0051063B"/>
    <w:rsid w:val="0051157C"/>
    <w:rsid w:val="005131E6"/>
    <w:rsid w:val="0051371A"/>
    <w:rsid w:val="005137AB"/>
    <w:rsid w:val="005149C3"/>
    <w:rsid w:val="0051505E"/>
    <w:rsid w:val="005150F3"/>
    <w:rsid w:val="00515271"/>
    <w:rsid w:val="00515C44"/>
    <w:rsid w:val="005169E2"/>
    <w:rsid w:val="00517182"/>
    <w:rsid w:val="00517223"/>
    <w:rsid w:val="005178C5"/>
    <w:rsid w:val="00520436"/>
    <w:rsid w:val="00520596"/>
    <w:rsid w:val="00520935"/>
    <w:rsid w:val="00520CF9"/>
    <w:rsid w:val="00522123"/>
    <w:rsid w:val="00522480"/>
    <w:rsid w:val="00522943"/>
    <w:rsid w:val="00522DAB"/>
    <w:rsid w:val="00523B66"/>
    <w:rsid w:val="00523D1C"/>
    <w:rsid w:val="005244A6"/>
    <w:rsid w:val="00524877"/>
    <w:rsid w:val="005249D2"/>
    <w:rsid w:val="00525219"/>
    <w:rsid w:val="00525DFA"/>
    <w:rsid w:val="00526AE5"/>
    <w:rsid w:val="00526BB7"/>
    <w:rsid w:val="00526FFD"/>
    <w:rsid w:val="00527025"/>
    <w:rsid w:val="00527153"/>
    <w:rsid w:val="00527587"/>
    <w:rsid w:val="005276CE"/>
    <w:rsid w:val="0052770E"/>
    <w:rsid w:val="00527971"/>
    <w:rsid w:val="00527E53"/>
    <w:rsid w:val="00530EC5"/>
    <w:rsid w:val="005310F6"/>
    <w:rsid w:val="00531278"/>
    <w:rsid w:val="00531475"/>
    <w:rsid w:val="005314B0"/>
    <w:rsid w:val="00531651"/>
    <w:rsid w:val="0053167E"/>
    <w:rsid w:val="005317E1"/>
    <w:rsid w:val="005319B8"/>
    <w:rsid w:val="00532842"/>
    <w:rsid w:val="0053342E"/>
    <w:rsid w:val="00533F18"/>
    <w:rsid w:val="0053476C"/>
    <w:rsid w:val="0053529A"/>
    <w:rsid w:val="00536036"/>
    <w:rsid w:val="0053668B"/>
    <w:rsid w:val="00536DB7"/>
    <w:rsid w:val="005404DE"/>
    <w:rsid w:val="0054084C"/>
    <w:rsid w:val="00541266"/>
    <w:rsid w:val="005419EE"/>
    <w:rsid w:val="0054201A"/>
    <w:rsid w:val="0054230B"/>
    <w:rsid w:val="005423BD"/>
    <w:rsid w:val="005423E2"/>
    <w:rsid w:val="00542DB8"/>
    <w:rsid w:val="0054333C"/>
    <w:rsid w:val="005436DD"/>
    <w:rsid w:val="00543BCD"/>
    <w:rsid w:val="00543BF8"/>
    <w:rsid w:val="00544AAA"/>
    <w:rsid w:val="00544CA8"/>
    <w:rsid w:val="00545FDB"/>
    <w:rsid w:val="0054602A"/>
    <w:rsid w:val="00546B87"/>
    <w:rsid w:val="00546D09"/>
    <w:rsid w:val="00546E9A"/>
    <w:rsid w:val="0054787C"/>
    <w:rsid w:val="00547D44"/>
    <w:rsid w:val="00547E93"/>
    <w:rsid w:val="00547F5E"/>
    <w:rsid w:val="00550505"/>
    <w:rsid w:val="00550F79"/>
    <w:rsid w:val="005515B4"/>
    <w:rsid w:val="00551A9E"/>
    <w:rsid w:val="00551AF2"/>
    <w:rsid w:val="005521A9"/>
    <w:rsid w:val="005522D1"/>
    <w:rsid w:val="005525BD"/>
    <w:rsid w:val="00552764"/>
    <w:rsid w:val="005536CE"/>
    <w:rsid w:val="00553B25"/>
    <w:rsid w:val="00553D74"/>
    <w:rsid w:val="00554086"/>
    <w:rsid w:val="005542F8"/>
    <w:rsid w:val="00555432"/>
    <w:rsid w:val="00555A25"/>
    <w:rsid w:val="005561AE"/>
    <w:rsid w:val="0055620E"/>
    <w:rsid w:val="0055667A"/>
    <w:rsid w:val="00556E9A"/>
    <w:rsid w:val="0055711B"/>
    <w:rsid w:val="00557551"/>
    <w:rsid w:val="00557918"/>
    <w:rsid w:val="00560069"/>
    <w:rsid w:val="00560156"/>
    <w:rsid w:val="005606EC"/>
    <w:rsid w:val="00560A06"/>
    <w:rsid w:val="00560E18"/>
    <w:rsid w:val="005610ED"/>
    <w:rsid w:val="0056139D"/>
    <w:rsid w:val="005621B3"/>
    <w:rsid w:val="00562527"/>
    <w:rsid w:val="00562DC2"/>
    <w:rsid w:val="005634C7"/>
    <w:rsid w:val="00563A41"/>
    <w:rsid w:val="00564C3C"/>
    <w:rsid w:val="00564DD1"/>
    <w:rsid w:val="00565586"/>
    <w:rsid w:val="00565775"/>
    <w:rsid w:val="005658F1"/>
    <w:rsid w:val="00566181"/>
    <w:rsid w:val="00567394"/>
    <w:rsid w:val="00567BF6"/>
    <w:rsid w:val="00570F6F"/>
    <w:rsid w:val="0057204F"/>
    <w:rsid w:val="0057329D"/>
    <w:rsid w:val="00573656"/>
    <w:rsid w:val="00573E51"/>
    <w:rsid w:val="00573ECB"/>
    <w:rsid w:val="00574888"/>
    <w:rsid w:val="00574F78"/>
    <w:rsid w:val="005754D6"/>
    <w:rsid w:val="00575596"/>
    <w:rsid w:val="0057774E"/>
    <w:rsid w:val="00577AE7"/>
    <w:rsid w:val="00577B1C"/>
    <w:rsid w:val="00577E12"/>
    <w:rsid w:val="00577E24"/>
    <w:rsid w:val="00577FBF"/>
    <w:rsid w:val="00580320"/>
    <w:rsid w:val="00580B0D"/>
    <w:rsid w:val="00582977"/>
    <w:rsid w:val="00582ED5"/>
    <w:rsid w:val="005842D0"/>
    <w:rsid w:val="00584768"/>
    <w:rsid w:val="00584F84"/>
    <w:rsid w:val="005856E2"/>
    <w:rsid w:val="0058592B"/>
    <w:rsid w:val="00585F9D"/>
    <w:rsid w:val="0058634A"/>
    <w:rsid w:val="0058670C"/>
    <w:rsid w:val="005867AA"/>
    <w:rsid w:val="005868D2"/>
    <w:rsid w:val="00587413"/>
    <w:rsid w:val="005876D1"/>
    <w:rsid w:val="00587749"/>
    <w:rsid w:val="00590047"/>
    <w:rsid w:val="0059107D"/>
    <w:rsid w:val="0059111A"/>
    <w:rsid w:val="005915C7"/>
    <w:rsid w:val="005918C9"/>
    <w:rsid w:val="00591BD0"/>
    <w:rsid w:val="00592159"/>
    <w:rsid w:val="0059228A"/>
    <w:rsid w:val="005929AB"/>
    <w:rsid w:val="0059383E"/>
    <w:rsid w:val="00593964"/>
    <w:rsid w:val="0059410E"/>
    <w:rsid w:val="0059475B"/>
    <w:rsid w:val="00594898"/>
    <w:rsid w:val="00594899"/>
    <w:rsid w:val="005948B5"/>
    <w:rsid w:val="005949C1"/>
    <w:rsid w:val="00595A6F"/>
    <w:rsid w:val="005962A5"/>
    <w:rsid w:val="00596EB8"/>
    <w:rsid w:val="00597358"/>
    <w:rsid w:val="00597732"/>
    <w:rsid w:val="005A0156"/>
    <w:rsid w:val="005A04DB"/>
    <w:rsid w:val="005A084B"/>
    <w:rsid w:val="005A0999"/>
    <w:rsid w:val="005A157A"/>
    <w:rsid w:val="005A1D66"/>
    <w:rsid w:val="005A23D2"/>
    <w:rsid w:val="005A41DD"/>
    <w:rsid w:val="005A5777"/>
    <w:rsid w:val="005B026F"/>
    <w:rsid w:val="005B0D5B"/>
    <w:rsid w:val="005B1221"/>
    <w:rsid w:val="005B1368"/>
    <w:rsid w:val="005B1402"/>
    <w:rsid w:val="005B1B23"/>
    <w:rsid w:val="005B2776"/>
    <w:rsid w:val="005B278D"/>
    <w:rsid w:val="005B3102"/>
    <w:rsid w:val="005B3B0E"/>
    <w:rsid w:val="005B3B87"/>
    <w:rsid w:val="005B48AC"/>
    <w:rsid w:val="005B6ACE"/>
    <w:rsid w:val="005B7B00"/>
    <w:rsid w:val="005B7F57"/>
    <w:rsid w:val="005C035C"/>
    <w:rsid w:val="005C05F2"/>
    <w:rsid w:val="005C0B32"/>
    <w:rsid w:val="005C0BD3"/>
    <w:rsid w:val="005C0EBC"/>
    <w:rsid w:val="005C1341"/>
    <w:rsid w:val="005C1EAC"/>
    <w:rsid w:val="005C2483"/>
    <w:rsid w:val="005C2776"/>
    <w:rsid w:val="005C2B21"/>
    <w:rsid w:val="005C2F22"/>
    <w:rsid w:val="005C2FA7"/>
    <w:rsid w:val="005C33D2"/>
    <w:rsid w:val="005C3781"/>
    <w:rsid w:val="005C456D"/>
    <w:rsid w:val="005C4E66"/>
    <w:rsid w:val="005C5619"/>
    <w:rsid w:val="005C5E6B"/>
    <w:rsid w:val="005C693C"/>
    <w:rsid w:val="005C7793"/>
    <w:rsid w:val="005D02BB"/>
    <w:rsid w:val="005D1256"/>
    <w:rsid w:val="005D1985"/>
    <w:rsid w:val="005D3361"/>
    <w:rsid w:val="005D3531"/>
    <w:rsid w:val="005D39EA"/>
    <w:rsid w:val="005D3DB3"/>
    <w:rsid w:val="005D3FAD"/>
    <w:rsid w:val="005D40B4"/>
    <w:rsid w:val="005D5BDA"/>
    <w:rsid w:val="005D606E"/>
    <w:rsid w:val="005D7078"/>
    <w:rsid w:val="005D727F"/>
    <w:rsid w:val="005D7D61"/>
    <w:rsid w:val="005E0A05"/>
    <w:rsid w:val="005E14A0"/>
    <w:rsid w:val="005E1C78"/>
    <w:rsid w:val="005E2180"/>
    <w:rsid w:val="005E24A8"/>
    <w:rsid w:val="005E25C8"/>
    <w:rsid w:val="005E3089"/>
    <w:rsid w:val="005E3895"/>
    <w:rsid w:val="005E3C25"/>
    <w:rsid w:val="005E5407"/>
    <w:rsid w:val="005E6B46"/>
    <w:rsid w:val="005E7BEB"/>
    <w:rsid w:val="005E7D82"/>
    <w:rsid w:val="005E7E8C"/>
    <w:rsid w:val="005F021E"/>
    <w:rsid w:val="005F04AD"/>
    <w:rsid w:val="005F1451"/>
    <w:rsid w:val="005F1AEB"/>
    <w:rsid w:val="005F2424"/>
    <w:rsid w:val="005F304D"/>
    <w:rsid w:val="005F33ED"/>
    <w:rsid w:val="005F3447"/>
    <w:rsid w:val="005F346B"/>
    <w:rsid w:val="005F3996"/>
    <w:rsid w:val="005F39EE"/>
    <w:rsid w:val="005F3A0B"/>
    <w:rsid w:val="005F3E8B"/>
    <w:rsid w:val="005F453E"/>
    <w:rsid w:val="005F4D23"/>
    <w:rsid w:val="005F525C"/>
    <w:rsid w:val="005F5926"/>
    <w:rsid w:val="005F5ACA"/>
    <w:rsid w:val="005F6297"/>
    <w:rsid w:val="005F6958"/>
    <w:rsid w:val="005F7A67"/>
    <w:rsid w:val="005F7FE4"/>
    <w:rsid w:val="006000CA"/>
    <w:rsid w:val="00600815"/>
    <w:rsid w:val="006014D8"/>
    <w:rsid w:val="00601543"/>
    <w:rsid w:val="006019DF"/>
    <w:rsid w:val="00601B94"/>
    <w:rsid w:val="00601D15"/>
    <w:rsid w:val="00602251"/>
    <w:rsid w:val="00602A16"/>
    <w:rsid w:val="00602BED"/>
    <w:rsid w:val="006030F4"/>
    <w:rsid w:val="00603BBE"/>
    <w:rsid w:val="00604E1C"/>
    <w:rsid w:val="0060517E"/>
    <w:rsid w:val="006051EB"/>
    <w:rsid w:val="00605A08"/>
    <w:rsid w:val="00606035"/>
    <w:rsid w:val="00606444"/>
    <w:rsid w:val="00606FE1"/>
    <w:rsid w:val="00606FF0"/>
    <w:rsid w:val="00607A7D"/>
    <w:rsid w:val="00607C6C"/>
    <w:rsid w:val="00610126"/>
    <w:rsid w:val="00610140"/>
    <w:rsid w:val="00610EF4"/>
    <w:rsid w:val="00611177"/>
    <w:rsid w:val="00611201"/>
    <w:rsid w:val="00611ABF"/>
    <w:rsid w:val="00611C08"/>
    <w:rsid w:val="00611E42"/>
    <w:rsid w:val="0061392E"/>
    <w:rsid w:val="00614CA6"/>
    <w:rsid w:val="006153C5"/>
    <w:rsid w:val="00615819"/>
    <w:rsid w:val="006159EE"/>
    <w:rsid w:val="0061672C"/>
    <w:rsid w:val="006168D0"/>
    <w:rsid w:val="006169E7"/>
    <w:rsid w:val="00616BD5"/>
    <w:rsid w:val="006170BA"/>
    <w:rsid w:val="00617541"/>
    <w:rsid w:val="006177B9"/>
    <w:rsid w:val="00617AAC"/>
    <w:rsid w:val="00617C61"/>
    <w:rsid w:val="00617D5C"/>
    <w:rsid w:val="00617E81"/>
    <w:rsid w:val="0062048E"/>
    <w:rsid w:val="006212E0"/>
    <w:rsid w:val="0062141A"/>
    <w:rsid w:val="0062191F"/>
    <w:rsid w:val="00621EB3"/>
    <w:rsid w:val="00622784"/>
    <w:rsid w:val="00622943"/>
    <w:rsid w:val="006237CE"/>
    <w:rsid w:val="00624609"/>
    <w:rsid w:val="006246AA"/>
    <w:rsid w:val="00624C31"/>
    <w:rsid w:val="00625276"/>
    <w:rsid w:val="00625ACD"/>
    <w:rsid w:val="00626E91"/>
    <w:rsid w:val="00627ED8"/>
    <w:rsid w:val="0063046F"/>
    <w:rsid w:val="0063185A"/>
    <w:rsid w:val="00631A32"/>
    <w:rsid w:val="00631FB9"/>
    <w:rsid w:val="0063217D"/>
    <w:rsid w:val="00632AA6"/>
    <w:rsid w:val="00633970"/>
    <w:rsid w:val="00633B00"/>
    <w:rsid w:val="0063405B"/>
    <w:rsid w:val="00634082"/>
    <w:rsid w:val="00634110"/>
    <w:rsid w:val="00635871"/>
    <w:rsid w:val="00635B56"/>
    <w:rsid w:val="006367B5"/>
    <w:rsid w:val="006375D5"/>
    <w:rsid w:val="00637D3A"/>
    <w:rsid w:val="00640B9B"/>
    <w:rsid w:val="00640FEE"/>
    <w:rsid w:val="006410A3"/>
    <w:rsid w:val="00641E3C"/>
    <w:rsid w:val="00642C9D"/>
    <w:rsid w:val="00642E66"/>
    <w:rsid w:val="00643CE2"/>
    <w:rsid w:val="00643E98"/>
    <w:rsid w:val="0064421A"/>
    <w:rsid w:val="0064495F"/>
    <w:rsid w:val="006461E2"/>
    <w:rsid w:val="006474F4"/>
    <w:rsid w:val="006477DF"/>
    <w:rsid w:val="00647857"/>
    <w:rsid w:val="00651C12"/>
    <w:rsid w:val="0065222B"/>
    <w:rsid w:val="00652933"/>
    <w:rsid w:val="0065307E"/>
    <w:rsid w:val="006534E0"/>
    <w:rsid w:val="006538EC"/>
    <w:rsid w:val="00655E4E"/>
    <w:rsid w:val="00657921"/>
    <w:rsid w:val="00657C2E"/>
    <w:rsid w:val="00660114"/>
    <w:rsid w:val="00660479"/>
    <w:rsid w:val="006607F0"/>
    <w:rsid w:val="00660C05"/>
    <w:rsid w:val="00661448"/>
    <w:rsid w:val="0066161A"/>
    <w:rsid w:val="00661650"/>
    <w:rsid w:val="00661B09"/>
    <w:rsid w:val="00662439"/>
    <w:rsid w:val="00662970"/>
    <w:rsid w:val="00662B34"/>
    <w:rsid w:val="00663C12"/>
    <w:rsid w:val="0066490A"/>
    <w:rsid w:val="006649F9"/>
    <w:rsid w:val="00664B18"/>
    <w:rsid w:val="00665577"/>
    <w:rsid w:val="006664AC"/>
    <w:rsid w:val="00667143"/>
    <w:rsid w:val="006674E0"/>
    <w:rsid w:val="006679F3"/>
    <w:rsid w:val="00670049"/>
    <w:rsid w:val="006702CB"/>
    <w:rsid w:val="00670D7A"/>
    <w:rsid w:val="006716F5"/>
    <w:rsid w:val="00672242"/>
    <w:rsid w:val="006743B5"/>
    <w:rsid w:val="00674F3E"/>
    <w:rsid w:val="0067510B"/>
    <w:rsid w:val="00676954"/>
    <w:rsid w:val="006773CF"/>
    <w:rsid w:val="00677C6C"/>
    <w:rsid w:val="0068042B"/>
    <w:rsid w:val="00680CE7"/>
    <w:rsid w:val="00681799"/>
    <w:rsid w:val="006824B0"/>
    <w:rsid w:val="00683277"/>
    <w:rsid w:val="00683976"/>
    <w:rsid w:val="0068406E"/>
    <w:rsid w:val="006848DD"/>
    <w:rsid w:val="00685069"/>
    <w:rsid w:val="00686467"/>
    <w:rsid w:val="00686735"/>
    <w:rsid w:val="00687181"/>
    <w:rsid w:val="00687346"/>
    <w:rsid w:val="00687975"/>
    <w:rsid w:val="00687EB1"/>
    <w:rsid w:val="00691127"/>
    <w:rsid w:val="00691129"/>
    <w:rsid w:val="00691445"/>
    <w:rsid w:val="00691CF6"/>
    <w:rsid w:val="006921FB"/>
    <w:rsid w:val="006922D7"/>
    <w:rsid w:val="00692469"/>
    <w:rsid w:val="006945AF"/>
    <w:rsid w:val="00694A5F"/>
    <w:rsid w:val="00694E30"/>
    <w:rsid w:val="00695193"/>
    <w:rsid w:val="00696A5C"/>
    <w:rsid w:val="0069747F"/>
    <w:rsid w:val="006976AE"/>
    <w:rsid w:val="006976B6"/>
    <w:rsid w:val="0069785C"/>
    <w:rsid w:val="006A0277"/>
    <w:rsid w:val="006A1C9A"/>
    <w:rsid w:val="006A1F8A"/>
    <w:rsid w:val="006A201B"/>
    <w:rsid w:val="006A2B2F"/>
    <w:rsid w:val="006A31FC"/>
    <w:rsid w:val="006A3A32"/>
    <w:rsid w:val="006A42A1"/>
    <w:rsid w:val="006A4D41"/>
    <w:rsid w:val="006A5033"/>
    <w:rsid w:val="006A54CC"/>
    <w:rsid w:val="006A5902"/>
    <w:rsid w:val="006A6F92"/>
    <w:rsid w:val="006A76C5"/>
    <w:rsid w:val="006A7B6E"/>
    <w:rsid w:val="006B03F0"/>
    <w:rsid w:val="006B0C9B"/>
    <w:rsid w:val="006B0DE9"/>
    <w:rsid w:val="006B138B"/>
    <w:rsid w:val="006B194D"/>
    <w:rsid w:val="006B2166"/>
    <w:rsid w:val="006B2175"/>
    <w:rsid w:val="006B2534"/>
    <w:rsid w:val="006B3398"/>
    <w:rsid w:val="006B5A5D"/>
    <w:rsid w:val="006B5B80"/>
    <w:rsid w:val="006B5E7A"/>
    <w:rsid w:val="006B6624"/>
    <w:rsid w:val="006B76A4"/>
    <w:rsid w:val="006B7D4E"/>
    <w:rsid w:val="006C0AD9"/>
    <w:rsid w:val="006C1316"/>
    <w:rsid w:val="006C1FDA"/>
    <w:rsid w:val="006C2B97"/>
    <w:rsid w:val="006C2BF1"/>
    <w:rsid w:val="006C37C1"/>
    <w:rsid w:val="006C4E8C"/>
    <w:rsid w:val="006C4FBF"/>
    <w:rsid w:val="006C578C"/>
    <w:rsid w:val="006C57E0"/>
    <w:rsid w:val="006C580E"/>
    <w:rsid w:val="006C5C43"/>
    <w:rsid w:val="006C6014"/>
    <w:rsid w:val="006C7062"/>
    <w:rsid w:val="006D01AA"/>
    <w:rsid w:val="006D0484"/>
    <w:rsid w:val="006D0B7E"/>
    <w:rsid w:val="006D1102"/>
    <w:rsid w:val="006D117C"/>
    <w:rsid w:val="006D151F"/>
    <w:rsid w:val="006D1679"/>
    <w:rsid w:val="006D22BB"/>
    <w:rsid w:val="006D2309"/>
    <w:rsid w:val="006D2492"/>
    <w:rsid w:val="006D24DE"/>
    <w:rsid w:val="006D2652"/>
    <w:rsid w:val="006D26FC"/>
    <w:rsid w:val="006D3628"/>
    <w:rsid w:val="006D3D99"/>
    <w:rsid w:val="006D3F79"/>
    <w:rsid w:val="006D41EC"/>
    <w:rsid w:val="006D4767"/>
    <w:rsid w:val="006D49BA"/>
    <w:rsid w:val="006D4A6F"/>
    <w:rsid w:val="006D4D8C"/>
    <w:rsid w:val="006D52AD"/>
    <w:rsid w:val="006D563D"/>
    <w:rsid w:val="006D7A2F"/>
    <w:rsid w:val="006D7FA7"/>
    <w:rsid w:val="006E0035"/>
    <w:rsid w:val="006E00FA"/>
    <w:rsid w:val="006E04D8"/>
    <w:rsid w:val="006E0913"/>
    <w:rsid w:val="006E0B25"/>
    <w:rsid w:val="006E4020"/>
    <w:rsid w:val="006E5191"/>
    <w:rsid w:val="006E5729"/>
    <w:rsid w:val="006E7360"/>
    <w:rsid w:val="006E73BD"/>
    <w:rsid w:val="006E7CC3"/>
    <w:rsid w:val="006E7DC0"/>
    <w:rsid w:val="006E7F70"/>
    <w:rsid w:val="006F08D5"/>
    <w:rsid w:val="006F0A30"/>
    <w:rsid w:val="006F0F79"/>
    <w:rsid w:val="006F1278"/>
    <w:rsid w:val="006F15FA"/>
    <w:rsid w:val="006F2977"/>
    <w:rsid w:val="006F2E87"/>
    <w:rsid w:val="006F3D17"/>
    <w:rsid w:val="006F4EB6"/>
    <w:rsid w:val="006F53DF"/>
    <w:rsid w:val="006F584C"/>
    <w:rsid w:val="006F5ABF"/>
    <w:rsid w:val="006F64D0"/>
    <w:rsid w:val="006F68DC"/>
    <w:rsid w:val="006F6BC9"/>
    <w:rsid w:val="006F79AD"/>
    <w:rsid w:val="006F7AD6"/>
    <w:rsid w:val="00700363"/>
    <w:rsid w:val="007010CB"/>
    <w:rsid w:val="00701299"/>
    <w:rsid w:val="0070188A"/>
    <w:rsid w:val="00702C6F"/>
    <w:rsid w:val="00703DEC"/>
    <w:rsid w:val="007044F1"/>
    <w:rsid w:val="00704D47"/>
    <w:rsid w:val="0070500E"/>
    <w:rsid w:val="007068AF"/>
    <w:rsid w:val="007071FE"/>
    <w:rsid w:val="00710C83"/>
    <w:rsid w:val="00710D80"/>
    <w:rsid w:val="00710E01"/>
    <w:rsid w:val="007118AE"/>
    <w:rsid w:val="00712AE2"/>
    <w:rsid w:val="00712B3A"/>
    <w:rsid w:val="0071357B"/>
    <w:rsid w:val="00714842"/>
    <w:rsid w:val="00714954"/>
    <w:rsid w:val="00715238"/>
    <w:rsid w:val="007157DF"/>
    <w:rsid w:val="007167B3"/>
    <w:rsid w:val="007174D0"/>
    <w:rsid w:val="00717D03"/>
    <w:rsid w:val="0072073F"/>
    <w:rsid w:val="00720E62"/>
    <w:rsid w:val="00721627"/>
    <w:rsid w:val="00721863"/>
    <w:rsid w:val="00722270"/>
    <w:rsid w:val="00722377"/>
    <w:rsid w:val="00722DF4"/>
    <w:rsid w:val="00723360"/>
    <w:rsid w:val="00723CE2"/>
    <w:rsid w:val="00723D1C"/>
    <w:rsid w:val="00724041"/>
    <w:rsid w:val="00724683"/>
    <w:rsid w:val="00724AB8"/>
    <w:rsid w:val="0072509D"/>
    <w:rsid w:val="00725C30"/>
    <w:rsid w:val="00725E62"/>
    <w:rsid w:val="00726433"/>
    <w:rsid w:val="0072682B"/>
    <w:rsid w:val="00726AB6"/>
    <w:rsid w:val="00726FD7"/>
    <w:rsid w:val="00727CB0"/>
    <w:rsid w:val="00727EA9"/>
    <w:rsid w:val="007308A2"/>
    <w:rsid w:val="00730E40"/>
    <w:rsid w:val="007312F5"/>
    <w:rsid w:val="0073196A"/>
    <w:rsid w:val="00731AB6"/>
    <w:rsid w:val="007320C5"/>
    <w:rsid w:val="0073282A"/>
    <w:rsid w:val="00733F28"/>
    <w:rsid w:val="0073733C"/>
    <w:rsid w:val="0074010A"/>
    <w:rsid w:val="00740CDB"/>
    <w:rsid w:val="00740E24"/>
    <w:rsid w:val="007411E6"/>
    <w:rsid w:val="00742F3C"/>
    <w:rsid w:val="007439EE"/>
    <w:rsid w:val="0074457E"/>
    <w:rsid w:val="00744848"/>
    <w:rsid w:val="007458B9"/>
    <w:rsid w:val="0074597F"/>
    <w:rsid w:val="007459CD"/>
    <w:rsid w:val="00745A1E"/>
    <w:rsid w:val="00745CEE"/>
    <w:rsid w:val="00745F19"/>
    <w:rsid w:val="00746262"/>
    <w:rsid w:val="007465DF"/>
    <w:rsid w:val="007473CF"/>
    <w:rsid w:val="007503ED"/>
    <w:rsid w:val="0075040C"/>
    <w:rsid w:val="007506CC"/>
    <w:rsid w:val="00752258"/>
    <w:rsid w:val="00752AED"/>
    <w:rsid w:val="00752C37"/>
    <w:rsid w:val="00752EB3"/>
    <w:rsid w:val="00753DB6"/>
    <w:rsid w:val="007545AD"/>
    <w:rsid w:val="007546C9"/>
    <w:rsid w:val="00755165"/>
    <w:rsid w:val="00756376"/>
    <w:rsid w:val="00756992"/>
    <w:rsid w:val="00756C76"/>
    <w:rsid w:val="00756E00"/>
    <w:rsid w:val="00757248"/>
    <w:rsid w:val="007577AF"/>
    <w:rsid w:val="00757B99"/>
    <w:rsid w:val="00757C09"/>
    <w:rsid w:val="00757F45"/>
    <w:rsid w:val="00757F65"/>
    <w:rsid w:val="00760948"/>
    <w:rsid w:val="00760D31"/>
    <w:rsid w:val="00761438"/>
    <w:rsid w:val="007621D8"/>
    <w:rsid w:val="007624D8"/>
    <w:rsid w:val="00762A5E"/>
    <w:rsid w:val="00762D6F"/>
    <w:rsid w:val="00763253"/>
    <w:rsid w:val="00763520"/>
    <w:rsid w:val="0076418D"/>
    <w:rsid w:val="0076445D"/>
    <w:rsid w:val="007644D3"/>
    <w:rsid w:val="00764FB5"/>
    <w:rsid w:val="007651F4"/>
    <w:rsid w:val="00765241"/>
    <w:rsid w:val="007654C9"/>
    <w:rsid w:val="0076580E"/>
    <w:rsid w:val="007659E4"/>
    <w:rsid w:val="007659F2"/>
    <w:rsid w:val="00765A77"/>
    <w:rsid w:val="007660CD"/>
    <w:rsid w:val="0076647C"/>
    <w:rsid w:val="00766DF6"/>
    <w:rsid w:val="00767741"/>
    <w:rsid w:val="00767B6C"/>
    <w:rsid w:val="00767C01"/>
    <w:rsid w:val="007700EA"/>
    <w:rsid w:val="00770432"/>
    <w:rsid w:val="00771052"/>
    <w:rsid w:val="00772EBA"/>
    <w:rsid w:val="0077353C"/>
    <w:rsid w:val="007735A6"/>
    <w:rsid w:val="00773B5E"/>
    <w:rsid w:val="00773C87"/>
    <w:rsid w:val="00773F3E"/>
    <w:rsid w:val="0077488E"/>
    <w:rsid w:val="00774ADE"/>
    <w:rsid w:val="00774C1F"/>
    <w:rsid w:val="007753E1"/>
    <w:rsid w:val="0077656F"/>
    <w:rsid w:val="0077694F"/>
    <w:rsid w:val="00776ED2"/>
    <w:rsid w:val="00777988"/>
    <w:rsid w:val="00780537"/>
    <w:rsid w:val="00780B28"/>
    <w:rsid w:val="00781A6C"/>
    <w:rsid w:val="00781B15"/>
    <w:rsid w:val="00781EC8"/>
    <w:rsid w:val="00784353"/>
    <w:rsid w:val="007844DE"/>
    <w:rsid w:val="00785166"/>
    <w:rsid w:val="007855BF"/>
    <w:rsid w:val="00785664"/>
    <w:rsid w:val="00786378"/>
    <w:rsid w:val="007865AA"/>
    <w:rsid w:val="007866B3"/>
    <w:rsid w:val="00787BA3"/>
    <w:rsid w:val="00787BF7"/>
    <w:rsid w:val="00790281"/>
    <w:rsid w:val="00790382"/>
    <w:rsid w:val="007903B1"/>
    <w:rsid w:val="00790DBB"/>
    <w:rsid w:val="00790FE8"/>
    <w:rsid w:val="00792326"/>
    <w:rsid w:val="00792766"/>
    <w:rsid w:val="00792832"/>
    <w:rsid w:val="007932D8"/>
    <w:rsid w:val="00793532"/>
    <w:rsid w:val="00795647"/>
    <w:rsid w:val="007959BB"/>
    <w:rsid w:val="00795F73"/>
    <w:rsid w:val="00796DEC"/>
    <w:rsid w:val="007A019A"/>
    <w:rsid w:val="007A0D37"/>
    <w:rsid w:val="007A156D"/>
    <w:rsid w:val="007A345C"/>
    <w:rsid w:val="007A3524"/>
    <w:rsid w:val="007A40A5"/>
    <w:rsid w:val="007A54C4"/>
    <w:rsid w:val="007A54FE"/>
    <w:rsid w:val="007A55E2"/>
    <w:rsid w:val="007A617F"/>
    <w:rsid w:val="007A6851"/>
    <w:rsid w:val="007A7640"/>
    <w:rsid w:val="007A7938"/>
    <w:rsid w:val="007B0027"/>
    <w:rsid w:val="007B0039"/>
    <w:rsid w:val="007B0416"/>
    <w:rsid w:val="007B070C"/>
    <w:rsid w:val="007B0E88"/>
    <w:rsid w:val="007B107E"/>
    <w:rsid w:val="007B11BB"/>
    <w:rsid w:val="007B126F"/>
    <w:rsid w:val="007B197C"/>
    <w:rsid w:val="007B1F8C"/>
    <w:rsid w:val="007B2490"/>
    <w:rsid w:val="007B24F5"/>
    <w:rsid w:val="007B2597"/>
    <w:rsid w:val="007B2E43"/>
    <w:rsid w:val="007B34A2"/>
    <w:rsid w:val="007B355F"/>
    <w:rsid w:val="007B3C27"/>
    <w:rsid w:val="007B3D84"/>
    <w:rsid w:val="007B40F4"/>
    <w:rsid w:val="007B4749"/>
    <w:rsid w:val="007B4893"/>
    <w:rsid w:val="007B5403"/>
    <w:rsid w:val="007B55E8"/>
    <w:rsid w:val="007B6C2C"/>
    <w:rsid w:val="007B7E39"/>
    <w:rsid w:val="007C0019"/>
    <w:rsid w:val="007C0281"/>
    <w:rsid w:val="007C1DEB"/>
    <w:rsid w:val="007C244B"/>
    <w:rsid w:val="007C2524"/>
    <w:rsid w:val="007C3EF3"/>
    <w:rsid w:val="007C4538"/>
    <w:rsid w:val="007C4724"/>
    <w:rsid w:val="007C4832"/>
    <w:rsid w:val="007C4947"/>
    <w:rsid w:val="007C5179"/>
    <w:rsid w:val="007C601C"/>
    <w:rsid w:val="007C6165"/>
    <w:rsid w:val="007C63B7"/>
    <w:rsid w:val="007C661D"/>
    <w:rsid w:val="007C7030"/>
    <w:rsid w:val="007C79AC"/>
    <w:rsid w:val="007D232F"/>
    <w:rsid w:val="007D2A8C"/>
    <w:rsid w:val="007D4494"/>
    <w:rsid w:val="007D48AF"/>
    <w:rsid w:val="007D5730"/>
    <w:rsid w:val="007D578C"/>
    <w:rsid w:val="007D5BE2"/>
    <w:rsid w:val="007D5EB3"/>
    <w:rsid w:val="007D69DE"/>
    <w:rsid w:val="007D6E21"/>
    <w:rsid w:val="007D71A4"/>
    <w:rsid w:val="007E0172"/>
    <w:rsid w:val="007E1553"/>
    <w:rsid w:val="007E1560"/>
    <w:rsid w:val="007E175E"/>
    <w:rsid w:val="007E1F92"/>
    <w:rsid w:val="007E2530"/>
    <w:rsid w:val="007E266A"/>
    <w:rsid w:val="007E4B34"/>
    <w:rsid w:val="007E5320"/>
    <w:rsid w:val="007E56AC"/>
    <w:rsid w:val="007E5DC1"/>
    <w:rsid w:val="007E670C"/>
    <w:rsid w:val="007E6852"/>
    <w:rsid w:val="007E7104"/>
    <w:rsid w:val="007E7362"/>
    <w:rsid w:val="007F0536"/>
    <w:rsid w:val="007F08FA"/>
    <w:rsid w:val="007F118C"/>
    <w:rsid w:val="007F3149"/>
    <w:rsid w:val="007F323D"/>
    <w:rsid w:val="007F37B3"/>
    <w:rsid w:val="007F389D"/>
    <w:rsid w:val="007F39F3"/>
    <w:rsid w:val="007F3A65"/>
    <w:rsid w:val="007F3AA3"/>
    <w:rsid w:val="007F4C30"/>
    <w:rsid w:val="007F5592"/>
    <w:rsid w:val="007F656D"/>
    <w:rsid w:val="007F7093"/>
    <w:rsid w:val="007F7503"/>
    <w:rsid w:val="0080011B"/>
    <w:rsid w:val="008007D2"/>
    <w:rsid w:val="00800862"/>
    <w:rsid w:val="0080110D"/>
    <w:rsid w:val="00801C31"/>
    <w:rsid w:val="00801D72"/>
    <w:rsid w:val="008028FB"/>
    <w:rsid w:val="00802E7B"/>
    <w:rsid w:val="008033E6"/>
    <w:rsid w:val="00804828"/>
    <w:rsid w:val="00804AEF"/>
    <w:rsid w:val="00804D32"/>
    <w:rsid w:val="008054B6"/>
    <w:rsid w:val="00807A72"/>
    <w:rsid w:val="00807F6B"/>
    <w:rsid w:val="008104BA"/>
    <w:rsid w:val="008107B1"/>
    <w:rsid w:val="008120EE"/>
    <w:rsid w:val="008123BB"/>
    <w:rsid w:val="0081260B"/>
    <w:rsid w:val="0081268E"/>
    <w:rsid w:val="008135F1"/>
    <w:rsid w:val="00814616"/>
    <w:rsid w:val="00814755"/>
    <w:rsid w:val="008151F6"/>
    <w:rsid w:val="0081533F"/>
    <w:rsid w:val="00815347"/>
    <w:rsid w:val="00815FC8"/>
    <w:rsid w:val="00816498"/>
    <w:rsid w:val="008171AD"/>
    <w:rsid w:val="008176DD"/>
    <w:rsid w:val="0081777E"/>
    <w:rsid w:val="008179AE"/>
    <w:rsid w:val="00820560"/>
    <w:rsid w:val="0082081F"/>
    <w:rsid w:val="008208B5"/>
    <w:rsid w:val="00820AE3"/>
    <w:rsid w:val="008218D5"/>
    <w:rsid w:val="00821B06"/>
    <w:rsid w:val="00821C0D"/>
    <w:rsid w:val="00822494"/>
    <w:rsid w:val="008225FA"/>
    <w:rsid w:val="00823811"/>
    <w:rsid w:val="008238AB"/>
    <w:rsid w:val="00824060"/>
    <w:rsid w:val="00824F52"/>
    <w:rsid w:val="00825A33"/>
    <w:rsid w:val="00825F47"/>
    <w:rsid w:val="008262A8"/>
    <w:rsid w:val="00826C53"/>
    <w:rsid w:val="008272AC"/>
    <w:rsid w:val="0082748B"/>
    <w:rsid w:val="00827DF6"/>
    <w:rsid w:val="00830897"/>
    <w:rsid w:val="00831A96"/>
    <w:rsid w:val="00832C6B"/>
    <w:rsid w:val="00833106"/>
    <w:rsid w:val="00833C12"/>
    <w:rsid w:val="0083416D"/>
    <w:rsid w:val="008354EA"/>
    <w:rsid w:val="008355C0"/>
    <w:rsid w:val="0083576F"/>
    <w:rsid w:val="00836188"/>
    <w:rsid w:val="008364D1"/>
    <w:rsid w:val="00836F0F"/>
    <w:rsid w:val="008377DF"/>
    <w:rsid w:val="00837884"/>
    <w:rsid w:val="008378E2"/>
    <w:rsid w:val="00837F2E"/>
    <w:rsid w:val="008400CE"/>
    <w:rsid w:val="00840819"/>
    <w:rsid w:val="00841691"/>
    <w:rsid w:val="00841DDA"/>
    <w:rsid w:val="008438E5"/>
    <w:rsid w:val="0084452A"/>
    <w:rsid w:val="00845EFA"/>
    <w:rsid w:val="0084716A"/>
    <w:rsid w:val="008472B0"/>
    <w:rsid w:val="008478E1"/>
    <w:rsid w:val="00847986"/>
    <w:rsid w:val="00847F39"/>
    <w:rsid w:val="00850836"/>
    <w:rsid w:val="00850A32"/>
    <w:rsid w:val="00850D40"/>
    <w:rsid w:val="008512E2"/>
    <w:rsid w:val="00851B3B"/>
    <w:rsid w:val="00851BAB"/>
    <w:rsid w:val="0085263A"/>
    <w:rsid w:val="00852D0C"/>
    <w:rsid w:val="00852E1B"/>
    <w:rsid w:val="008532A6"/>
    <w:rsid w:val="00853AB5"/>
    <w:rsid w:val="00853EE9"/>
    <w:rsid w:val="008548C0"/>
    <w:rsid w:val="00855258"/>
    <w:rsid w:val="00855F2E"/>
    <w:rsid w:val="008577A8"/>
    <w:rsid w:val="008578BC"/>
    <w:rsid w:val="008604B0"/>
    <w:rsid w:val="008612D9"/>
    <w:rsid w:val="0086199B"/>
    <w:rsid w:val="00863235"/>
    <w:rsid w:val="00863478"/>
    <w:rsid w:val="00863C22"/>
    <w:rsid w:val="00865188"/>
    <w:rsid w:val="00865842"/>
    <w:rsid w:val="008663A2"/>
    <w:rsid w:val="00870EE5"/>
    <w:rsid w:val="00871243"/>
    <w:rsid w:val="0087135E"/>
    <w:rsid w:val="008721EE"/>
    <w:rsid w:val="008723C2"/>
    <w:rsid w:val="0087243E"/>
    <w:rsid w:val="008724F0"/>
    <w:rsid w:val="00872B01"/>
    <w:rsid w:val="008732CD"/>
    <w:rsid w:val="00873431"/>
    <w:rsid w:val="008738AE"/>
    <w:rsid w:val="00873B7A"/>
    <w:rsid w:val="00873FEB"/>
    <w:rsid w:val="00874B83"/>
    <w:rsid w:val="00874CBB"/>
    <w:rsid w:val="00876004"/>
    <w:rsid w:val="008762F7"/>
    <w:rsid w:val="00876355"/>
    <w:rsid w:val="00876356"/>
    <w:rsid w:val="00876507"/>
    <w:rsid w:val="00876A3A"/>
    <w:rsid w:val="00876C1D"/>
    <w:rsid w:val="008770AD"/>
    <w:rsid w:val="00877105"/>
    <w:rsid w:val="00877438"/>
    <w:rsid w:val="00880900"/>
    <w:rsid w:val="00881145"/>
    <w:rsid w:val="008811BC"/>
    <w:rsid w:val="00881F86"/>
    <w:rsid w:val="008820E4"/>
    <w:rsid w:val="00882278"/>
    <w:rsid w:val="00884807"/>
    <w:rsid w:val="00884C7C"/>
    <w:rsid w:val="008853EB"/>
    <w:rsid w:val="00885673"/>
    <w:rsid w:val="008861E5"/>
    <w:rsid w:val="008862AF"/>
    <w:rsid w:val="0088642F"/>
    <w:rsid w:val="008869F8"/>
    <w:rsid w:val="008901DE"/>
    <w:rsid w:val="00890E57"/>
    <w:rsid w:val="00890FBB"/>
    <w:rsid w:val="00891412"/>
    <w:rsid w:val="00892F67"/>
    <w:rsid w:val="008946BD"/>
    <w:rsid w:val="00894DB7"/>
    <w:rsid w:val="00894DCE"/>
    <w:rsid w:val="00894EFA"/>
    <w:rsid w:val="008951CC"/>
    <w:rsid w:val="00895780"/>
    <w:rsid w:val="0089614B"/>
    <w:rsid w:val="00897398"/>
    <w:rsid w:val="008A180E"/>
    <w:rsid w:val="008A2100"/>
    <w:rsid w:val="008A23BD"/>
    <w:rsid w:val="008A28DB"/>
    <w:rsid w:val="008A2AAC"/>
    <w:rsid w:val="008A2AE7"/>
    <w:rsid w:val="008A2E93"/>
    <w:rsid w:val="008A499E"/>
    <w:rsid w:val="008A53B3"/>
    <w:rsid w:val="008A5B2D"/>
    <w:rsid w:val="008A734E"/>
    <w:rsid w:val="008A73B3"/>
    <w:rsid w:val="008A78CF"/>
    <w:rsid w:val="008B035A"/>
    <w:rsid w:val="008B0D91"/>
    <w:rsid w:val="008B0FD4"/>
    <w:rsid w:val="008B19F2"/>
    <w:rsid w:val="008B3216"/>
    <w:rsid w:val="008B3241"/>
    <w:rsid w:val="008B38AF"/>
    <w:rsid w:val="008B38E3"/>
    <w:rsid w:val="008B4816"/>
    <w:rsid w:val="008B49A1"/>
    <w:rsid w:val="008B4D08"/>
    <w:rsid w:val="008B5EC8"/>
    <w:rsid w:val="008B631D"/>
    <w:rsid w:val="008B6F8A"/>
    <w:rsid w:val="008B74D1"/>
    <w:rsid w:val="008C10E3"/>
    <w:rsid w:val="008C16B6"/>
    <w:rsid w:val="008C1DC7"/>
    <w:rsid w:val="008C220B"/>
    <w:rsid w:val="008C2B06"/>
    <w:rsid w:val="008C2EE7"/>
    <w:rsid w:val="008C30C5"/>
    <w:rsid w:val="008C3760"/>
    <w:rsid w:val="008C3ACF"/>
    <w:rsid w:val="008C3C6B"/>
    <w:rsid w:val="008C3ED6"/>
    <w:rsid w:val="008C4332"/>
    <w:rsid w:val="008C436A"/>
    <w:rsid w:val="008C4764"/>
    <w:rsid w:val="008C5B04"/>
    <w:rsid w:val="008C5C59"/>
    <w:rsid w:val="008C6036"/>
    <w:rsid w:val="008C6977"/>
    <w:rsid w:val="008C730B"/>
    <w:rsid w:val="008D0002"/>
    <w:rsid w:val="008D0511"/>
    <w:rsid w:val="008D056C"/>
    <w:rsid w:val="008D0873"/>
    <w:rsid w:val="008D0ED0"/>
    <w:rsid w:val="008D1BAE"/>
    <w:rsid w:val="008D2000"/>
    <w:rsid w:val="008D2BD5"/>
    <w:rsid w:val="008D3CE5"/>
    <w:rsid w:val="008D3E90"/>
    <w:rsid w:val="008D42B6"/>
    <w:rsid w:val="008D45F3"/>
    <w:rsid w:val="008D4A69"/>
    <w:rsid w:val="008D4AE5"/>
    <w:rsid w:val="008D5C6B"/>
    <w:rsid w:val="008D62BD"/>
    <w:rsid w:val="008D64E9"/>
    <w:rsid w:val="008D6D7F"/>
    <w:rsid w:val="008D72B0"/>
    <w:rsid w:val="008D734C"/>
    <w:rsid w:val="008D76F0"/>
    <w:rsid w:val="008D7CF8"/>
    <w:rsid w:val="008D7DCF"/>
    <w:rsid w:val="008E09B2"/>
    <w:rsid w:val="008E0A8B"/>
    <w:rsid w:val="008E151A"/>
    <w:rsid w:val="008E1A3C"/>
    <w:rsid w:val="008E265A"/>
    <w:rsid w:val="008E2862"/>
    <w:rsid w:val="008E2A7B"/>
    <w:rsid w:val="008E2EBB"/>
    <w:rsid w:val="008E3E1A"/>
    <w:rsid w:val="008E514B"/>
    <w:rsid w:val="008E52C7"/>
    <w:rsid w:val="008E5708"/>
    <w:rsid w:val="008E59C1"/>
    <w:rsid w:val="008E62A8"/>
    <w:rsid w:val="008E7742"/>
    <w:rsid w:val="008E7905"/>
    <w:rsid w:val="008E7FB1"/>
    <w:rsid w:val="008F0307"/>
    <w:rsid w:val="008F1229"/>
    <w:rsid w:val="008F154F"/>
    <w:rsid w:val="008F156E"/>
    <w:rsid w:val="008F18CB"/>
    <w:rsid w:val="008F323A"/>
    <w:rsid w:val="008F3406"/>
    <w:rsid w:val="008F4DDA"/>
    <w:rsid w:val="008F5062"/>
    <w:rsid w:val="008F5E0F"/>
    <w:rsid w:val="008F614C"/>
    <w:rsid w:val="008F696F"/>
    <w:rsid w:val="008F6E2A"/>
    <w:rsid w:val="008F7285"/>
    <w:rsid w:val="008F74FA"/>
    <w:rsid w:val="008F79BA"/>
    <w:rsid w:val="0090047F"/>
    <w:rsid w:val="009004AD"/>
    <w:rsid w:val="0090138F"/>
    <w:rsid w:val="009032BF"/>
    <w:rsid w:val="009036AA"/>
    <w:rsid w:val="009041C9"/>
    <w:rsid w:val="00904723"/>
    <w:rsid w:val="00905AB2"/>
    <w:rsid w:val="00905DDC"/>
    <w:rsid w:val="00906AE4"/>
    <w:rsid w:val="00906BD7"/>
    <w:rsid w:val="00906D9E"/>
    <w:rsid w:val="00907C55"/>
    <w:rsid w:val="0091055B"/>
    <w:rsid w:val="00910633"/>
    <w:rsid w:val="0091129F"/>
    <w:rsid w:val="00911376"/>
    <w:rsid w:val="00911C6B"/>
    <w:rsid w:val="00911F5F"/>
    <w:rsid w:val="00914165"/>
    <w:rsid w:val="00914562"/>
    <w:rsid w:val="009145D4"/>
    <w:rsid w:val="00914C70"/>
    <w:rsid w:val="00914E2C"/>
    <w:rsid w:val="00914FD7"/>
    <w:rsid w:val="0091533E"/>
    <w:rsid w:val="00915E68"/>
    <w:rsid w:val="009161AB"/>
    <w:rsid w:val="00916FC3"/>
    <w:rsid w:val="009170E1"/>
    <w:rsid w:val="00921CAC"/>
    <w:rsid w:val="00921DD6"/>
    <w:rsid w:val="00921DEF"/>
    <w:rsid w:val="00922C19"/>
    <w:rsid w:val="00923AEF"/>
    <w:rsid w:val="00923CB1"/>
    <w:rsid w:val="00924628"/>
    <w:rsid w:val="00925269"/>
    <w:rsid w:val="00925966"/>
    <w:rsid w:val="00925FB1"/>
    <w:rsid w:val="00926367"/>
    <w:rsid w:val="009265FB"/>
    <w:rsid w:val="00927008"/>
    <w:rsid w:val="00927C37"/>
    <w:rsid w:val="00932388"/>
    <w:rsid w:val="00933874"/>
    <w:rsid w:val="00935DE4"/>
    <w:rsid w:val="009366C4"/>
    <w:rsid w:val="009370A7"/>
    <w:rsid w:val="00937305"/>
    <w:rsid w:val="00937784"/>
    <w:rsid w:val="00937838"/>
    <w:rsid w:val="009379B7"/>
    <w:rsid w:val="00937AEF"/>
    <w:rsid w:val="00937D3A"/>
    <w:rsid w:val="009401A2"/>
    <w:rsid w:val="00940EDD"/>
    <w:rsid w:val="00942087"/>
    <w:rsid w:val="009421AD"/>
    <w:rsid w:val="00942AA9"/>
    <w:rsid w:val="00943902"/>
    <w:rsid w:val="009441DE"/>
    <w:rsid w:val="00944442"/>
    <w:rsid w:val="0094493F"/>
    <w:rsid w:val="00945560"/>
    <w:rsid w:val="009465FB"/>
    <w:rsid w:val="009469A3"/>
    <w:rsid w:val="00947D25"/>
    <w:rsid w:val="00950760"/>
    <w:rsid w:val="00950829"/>
    <w:rsid w:val="00950D32"/>
    <w:rsid w:val="00951C9A"/>
    <w:rsid w:val="00952A48"/>
    <w:rsid w:val="009530A8"/>
    <w:rsid w:val="0095359D"/>
    <w:rsid w:val="00953EBE"/>
    <w:rsid w:val="00954490"/>
    <w:rsid w:val="009545FA"/>
    <w:rsid w:val="00954930"/>
    <w:rsid w:val="00954DC7"/>
    <w:rsid w:val="00955B27"/>
    <w:rsid w:val="009563A4"/>
    <w:rsid w:val="00956773"/>
    <w:rsid w:val="00956C56"/>
    <w:rsid w:val="00956C6B"/>
    <w:rsid w:val="00956FA0"/>
    <w:rsid w:val="009571FA"/>
    <w:rsid w:val="00960DF5"/>
    <w:rsid w:val="009615EE"/>
    <w:rsid w:val="009618A9"/>
    <w:rsid w:val="00962284"/>
    <w:rsid w:val="00964866"/>
    <w:rsid w:val="00965363"/>
    <w:rsid w:val="0096548D"/>
    <w:rsid w:val="00965892"/>
    <w:rsid w:val="0096634E"/>
    <w:rsid w:val="009664A2"/>
    <w:rsid w:val="00966D42"/>
    <w:rsid w:val="00967097"/>
    <w:rsid w:val="009675FD"/>
    <w:rsid w:val="009679C0"/>
    <w:rsid w:val="00967CE2"/>
    <w:rsid w:val="009703D2"/>
    <w:rsid w:val="009705F9"/>
    <w:rsid w:val="009706DA"/>
    <w:rsid w:val="009708C6"/>
    <w:rsid w:val="00970FBC"/>
    <w:rsid w:val="00971CAC"/>
    <w:rsid w:val="00972385"/>
    <w:rsid w:val="00972B48"/>
    <w:rsid w:val="009733EE"/>
    <w:rsid w:val="00973968"/>
    <w:rsid w:val="0097410C"/>
    <w:rsid w:val="009743D9"/>
    <w:rsid w:val="009747C1"/>
    <w:rsid w:val="009748D0"/>
    <w:rsid w:val="00974AF3"/>
    <w:rsid w:val="00974F46"/>
    <w:rsid w:val="0097583F"/>
    <w:rsid w:val="00976E05"/>
    <w:rsid w:val="009777AF"/>
    <w:rsid w:val="00977A0E"/>
    <w:rsid w:val="00977BFA"/>
    <w:rsid w:val="0098011D"/>
    <w:rsid w:val="009807AB"/>
    <w:rsid w:val="009810FC"/>
    <w:rsid w:val="00981150"/>
    <w:rsid w:val="009822C0"/>
    <w:rsid w:val="00982319"/>
    <w:rsid w:val="0098285F"/>
    <w:rsid w:val="00983047"/>
    <w:rsid w:val="009847EE"/>
    <w:rsid w:val="0098498D"/>
    <w:rsid w:val="00984CEE"/>
    <w:rsid w:val="0098558E"/>
    <w:rsid w:val="009865EB"/>
    <w:rsid w:val="00986F2B"/>
    <w:rsid w:val="00987145"/>
    <w:rsid w:val="0099007D"/>
    <w:rsid w:val="00990C64"/>
    <w:rsid w:val="00991A9B"/>
    <w:rsid w:val="009926CB"/>
    <w:rsid w:val="00993605"/>
    <w:rsid w:val="00993F9E"/>
    <w:rsid w:val="00994C89"/>
    <w:rsid w:val="00994D8C"/>
    <w:rsid w:val="009951C0"/>
    <w:rsid w:val="0099576B"/>
    <w:rsid w:val="00996314"/>
    <w:rsid w:val="00996EEC"/>
    <w:rsid w:val="009A0BC7"/>
    <w:rsid w:val="009A1A7B"/>
    <w:rsid w:val="009A1E2D"/>
    <w:rsid w:val="009A2266"/>
    <w:rsid w:val="009A2DDE"/>
    <w:rsid w:val="009A3204"/>
    <w:rsid w:val="009A32E6"/>
    <w:rsid w:val="009A365B"/>
    <w:rsid w:val="009A4483"/>
    <w:rsid w:val="009A47C6"/>
    <w:rsid w:val="009A4CD2"/>
    <w:rsid w:val="009A507D"/>
    <w:rsid w:val="009A60F8"/>
    <w:rsid w:val="009A6192"/>
    <w:rsid w:val="009A6788"/>
    <w:rsid w:val="009A72C2"/>
    <w:rsid w:val="009A74AA"/>
    <w:rsid w:val="009A762C"/>
    <w:rsid w:val="009A792F"/>
    <w:rsid w:val="009A7935"/>
    <w:rsid w:val="009A7AAE"/>
    <w:rsid w:val="009A7B87"/>
    <w:rsid w:val="009B0096"/>
    <w:rsid w:val="009B1030"/>
    <w:rsid w:val="009B1258"/>
    <w:rsid w:val="009B3A19"/>
    <w:rsid w:val="009B3C45"/>
    <w:rsid w:val="009B4BE5"/>
    <w:rsid w:val="009B50B6"/>
    <w:rsid w:val="009B62B3"/>
    <w:rsid w:val="009B6972"/>
    <w:rsid w:val="009B6D15"/>
    <w:rsid w:val="009B72B4"/>
    <w:rsid w:val="009B733A"/>
    <w:rsid w:val="009C0233"/>
    <w:rsid w:val="009C07CF"/>
    <w:rsid w:val="009C117A"/>
    <w:rsid w:val="009C1BD0"/>
    <w:rsid w:val="009C20BA"/>
    <w:rsid w:val="009C212B"/>
    <w:rsid w:val="009C22CA"/>
    <w:rsid w:val="009C2569"/>
    <w:rsid w:val="009C32D3"/>
    <w:rsid w:val="009C3E6C"/>
    <w:rsid w:val="009C48CF"/>
    <w:rsid w:val="009C52DE"/>
    <w:rsid w:val="009C5893"/>
    <w:rsid w:val="009C652B"/>
    <w:rsid w:val="009C71A8"/>
    <w:rsid w:val="009C73C8"/>
    <w:rsid w:val="009C7A6F"/>
    <w:rsid w:val="009C7D0B"/>
    <w:rsid w:val="009D0648"/>
    <w:rsid w:val="009D0778"/>
    <w:rsid w:val="009D12AE"/>
    <w:rsid w:val="009D2E7F"/>
    <w:rsid w:val="009D3108"/>
    <w:rsid w:val="009D36CE"/>
    <w:rsid w:val="009D3C3A"/>
    <w:rsid w:val="009D3F72"/>
    <w:rsid w:val="009D4008"/>
    <w:rsid w:val="009D4D05"/>
    <w:rsid w:val="009D4ED8"/>
    <w:rsid w:val="009D55FD"/>
    <w:rsid w:val="009D5C61"/>
    <w:rsid w:val="009D68B6"/>
    <w:rsid w:val="009D6C76"/>
    <w:rsid w:val="009D70D8"/>
    <w:rsid w:val="009D7453"/>
    <w:rsid w:val="009D7990"/>
    <w:rsid w:val="009D7A6E"/>
    <w:rsid w:val="009E004B"/>
    <w:rsid w:val="009E0284"/>
    <w:rsid w:val="009E0CA3"/>
    <w:rsid w:val="009E0E9E"/>
    <w:rsid w:val="009E0FC1"/>
    <w:rsid w:val="009E227E"/>
    <w:rsid w:val="009E272F"/>
    <w:rsid w:val="009E2764"/>
    <w:rsid w:val="009E2BAB"/>
    <w:rsid w:val="009E2CB4"/>
    <w:rsid w:val="009E3FE4"/>
    <w:rsid w:val="009E446B"/>
    <w:rsid w:val="009E59A8"/>
    <w:rsid w:val="009E5CBD"/>
    <w:rsid w:val="009E6993"/>
    <w:rsid w:val="009E6B70"/>
    <w:rsid w:val="009E6C84"/>
    <w:rsid w:val="009E6DC2"/>
    <w:rsid w:val="009E70F4"/>
    <w:rsid w:val="009E7CDC"/>
    <w:rsid w:val="009F061D"/>
    <w:rsid w:val="009F1667"/>
    <w:rsid w:val="009F1698"/>
    <w:rsid w:val="009F1E30"/>
    <w:rsid w:val="009F2060"/>
    <w:rsid w:val="009F2360"/>
    <w:rsid w:val="009F2BCB"/>
    <w:rsid w:val="009F3515"/>
    <w:rsid w:val="009F35E0"/>
    <w:rsid w:val="009F36AD"/>
    <w:rsid w:val="009F3979"/>
    <w:rsid w:val="009F44A4"/>
    <w:rsid w:val="009F4FAA"/>
    <w:rsid w:val="009F5206"/>
    <w:rsid w:val="009F6199"/>
    <w:rsid w:val="009F7AA8"/>
    <w:rsid w:val="00A00BB6"/>
    <w:rsid w:val="00A00D00"/>
    <w:rsid w:val="00A0140B"/>
    <w:rsid w:val="00A0164B"/>
    <w:rsid w:val="00A02052"/>
    <w:rsid w:val="00A02436"/>
    <w:rsid w:val="00A02869"/>
    <w:rsid w:val="00A02CA9"/>
    <w:rsid w:val="00A03066"/>
    <w:rsid w:val="00A03F91"/>
    <w:rsid w:val="00A03FE7"/>
    <w:rsid w:val="00A0414E"/>
    <w:rsid w:val="00A04286"/>
    <w:rsid w:val="00A046B3"/>
    <w:rsid w:val="00A04705"/>
    <w:rsid w:val="00A0486B"/>
    <w:rsid w:val="00A048FF"/>
    <w:rsid w:val="00A05239"/>
    <w:rsid w:val="00A05753"/>
    <w:rsid w:val="00A05871"/>
    <w:rsid w:val="00A0634B"/>
    <w:rsid w:val="00A068A3"/>
    <w:rsid w:val="00A0698B"/>
    <w:rsid w:val="00A07E76"/>
    <w:rsid w:val="00A105ED"/>
    <w:rsid w:val="00A11D9F"/>
    <w:rsid w:val="00A12CCA"/>
    <w:rsid w:val="00A13833"/>
    <w:rsid w:val="00A144E1"/>
    <w:rsid w:val="00A1456D"/>
    <w:rsid w:val="00A14B41"/>
    <w:rsid w:val="00A1506B"/>
    <w:rsid w:val="00A15871"/>
    <w:rsid w:val="00A169D0"/>
    <w:rsid w:val="00A171C3"/>
    <w:rsid w:val="00A17847"/>
    <w:rsid w:val="00A200B6"/>
    <w:rsid w:val="00A201E0"/>
    <w:rsid w:val="00A20853"/>
    <w:rsid w:val="00A20A49"/>
    <w:rsid w:val="00A20E0C"/>
    <w:rsid w:val="00A20EA0"/>
    <w:rsid w:val="00A2103C"/>
    <w:rsid w:val="00A21278"/>
    <w:rsid w:val="00A21977"/>
    <w:rsid w:val="00A220C5"/>
    <w:rsid w:val="00A2361D"/>
    <w:rsid w:val="00A241A5"/>
    <w:rsid w:val="00A24579"/>
    <w:rsid w:val="00A25171"/>
    <w:rsid w:val="00A251C3"/>
    <w:rsid w:val="00A25259"/>
    <w:rsid w:val="00A26423"/>
    <w:rsid w:val="00A265E4"/>
    <w:rsid w:val="00A27C71"/>
    <w:rsid w:val="00A27DF5"/>
    <w:rsid w:val="00A30DBB"/>
    <w:rsid w:val="00A310EC"/>
    <w:rsid w:val="00A315CD"/>
    <w:rsid w:val="00A3192D"/>
    <w:rsid w:val="00A31B22"/>
    <w:rsid w:val="00A31F29"/>
    <w:rsid w:val="00A320F4"/>
    <w:rsid w:val="00A32591"/>
    <w:rsid w:val="00A326CA"/>
    <w:rsid w:val="00A32E53"/>
    <w:rsid w:val="00A3339D"/>
    <w:rsid w:val="00A33565"/>
    <w:rsid w:val="00A33D9B"/>
    <w:rsid w:val="00A3459A"/>
    <w:rsid w:val="00A34BCB"/>
    <w:rsid w:val="00A356EC"/>
    <w:rsid w:val="00A35B64"/>
    <w:rsid w:val="00A36201"/>
    <w:rsid w:val="00A37347"/>
    <w:rsid w:val="00A37AED"/>
    <w:rsid w:val="00A37EC0"/>
    <w:rsid w:val="00A400DD"/>
    <w:rsid w:val="00A4097C"/>
    <w:rsid w:val="00A41506"/>
    <w:rsid w:val="00A41DE8"/>
    <w:rsid w:val="00A4226E"/>
    <w:rsid w:val="00A4316A"/>
    <w:rsid w:val="00A43375"/>
    <w:rsid w:val="00A433B7"/>
    <w:rsid w:val="00A43ECB"/>
    <w:rsid w:val="00A44124"/>
    <w:rsid w:val="00A4422F"/>
    <w:rsid w:val="00A44234"/>
    <w:rsid w:val="00A4439A"/>
    <w:rsid w:val="00A44441"/>
    <w:rsid w:val="00A4459A"/>
    <w:rsid w:val="00A45608"/>
    <w:rsid w:val="00A45866"/>
    <w:rsid w:val="00A469A7"/>
    <w:rsid w:val="00A46D15"/>
    <w:rsid w:val="00A46F2F"/>
    <w:rsid w:val="00A4704B"/>
    <w:rsid w:val="00A47728"/>
    <w:rsid w:val="00A47A35"/>
    <w:rsid w:val="00A506B9"/>
    <w:rsid w:val="00A5163C"/>
    <w:rsid w:val="00A51EFA"/>
    <w:rsid w:val="00A5332C"/>
    <w:rsid w:val="00A53F75"/>
    <w:rsid w:val="00A544DF"/>
    <w:rsid w:val="00A54F03"/>
    <w:rsid w:val="00A56B6D"/>
    <w:rsid w:val="00A56CF8"/>
    <w:rsid w:val="00A57122"/>
    <w:rsid w:val="00A57DBB"/>
    <w:rsid w:val="00A603A6"/>
    <w:rsid w:val="00A60862"/>
    <w:rsid w:val="00A62B71"/>
    <w:rsid w:val="00A63031"/>
    <w:rsid w:val="00A635AF"/>
    <w:rsid w:val="00A63AC7"/>
    <w:rsid w:val="00A64084"/>
    <w:rsid w:val="00A6412E"/>
    <w:rsid w:val="00A6494F"/>
    <w:rsid w:val="00A64A47"/>
    <w:rsid w:val="00A64F26"/>
    <w:rsid w:val="00A650A8"/>
    <w:rsid w:val="00A6554E"/>
    <w:rsid w:val="00A6583A"/>
    <w:rsid w:val="00A65C1B"/>
    <w:rsid w:val="00A661AC"/>
    <w:rsid w:val="00A6799F"/>
    <w:rsid w:val="00A701EF"/>
    <w:rsid w:val="00A70C0D"/>
    <w:rsid w:val="00A710B0"/>
    <w:rsid w:val="00A71370"/>
    <w:rsid w:val="00A719B3"/>
    <w:rsid w:val="00A71D00"/>
    <w:rsid w:val="00A7211D"/>
    <w:rsid w:val="00A7235A"/>
    <w:rsid w:val="00A73529"/>
    <w:rsid w:val="00A73ABA"/>
    <w:rsid w:val="00A73CB9"/>
    <w:rsid w:val="00A75390"/>
    <w:rsid w:val="00A7703B"/>
    <w:rsid w:val="00A77505"/>
    <w:rsid w:val="00A77AF5"/>
    <w:rsid w:val="00A77C49"/>
    <w:rsid w:val="00A80077"/>
    <w:rsid w:val="00A80322"/>
    <w:rsid w:val="00A80476"/>
    <w:rsid w:val="00A80863"/>
    <w:rsid w:val="00A81063"/>
    <w:rsid w:val="00A812BB"/>
    <w:rsid w:val="00A81464"/>
    <w:rsid w:val="00A81476"/>
    <w:rsid w:val="00A81B34"/>
    <w:rsid w:val="00A82045"/>
    <w:rsid w:val="00A8249A"/>
    <w:rsid w:val="00A82F9A"/>
    <w:rsid w:val="00A830F0"/>
    <w:rsid w:val="00A835C6"/>
    <w:rsid w:val="00A836FC"/>
    <w:rsid w:val="00A849ED"/>
    <w:rsid w:val="00A8549A"/>
    <w:rsid w:val="00A8549B"/>
    <w:rsid w:val="00A862E5"/>
    <w:rsid w:val="00A868E2"/>
    <w:rsid w:val="00A87521"/>
    <w:rsid w:val="00A8759D"/>
    <w:rsid w:val="00A877DB"/>
    <w:rsid w:val="00A90777"/>
    <w:rsid w:val="00A90809"/>
    <w:rsid w:val="00A91037"/>
    <w:rsid w:val="00A91AD7"/>
    <w:rsid w:val="00A93163"/>
    <w:rsid w:val="00A93EBB"/>
    <w:rsid w:val="00A953B2"/>
    <w:rsid w:val="00A95CE3"/>
    <w:rsid w:val="00A95FD3"/>
    <w:rsid w:val="00A96364"/>
    <w:rsid w:val="00A9645B"/>
    <w:rsid w:val="00A97FC7"/>
    <w:rsid w:val="00AA04D5"/>
    <w:rsid w:val="00AA074B"/>
    <w:rsid w:val="00AA125A"/>
    <w:rsid w:val="00AA1424"/>
    <w:rsid w:val="00AA164C"/>
    <w:rsid w:val="00AA1C17"/>
    <w:rsid w:val="00AA2DDF"/>
    <w:rsid w:val="00AA49D3"/>
    <w:rsid w:val="00AA49E1"/>
    <w:rsid w:val="00AA4E8D"/>
    <w:rsid w:val="00AA5E10"/>
    <w:rsid w:val="00AA640E"/>
    <w:rsid w:val="00AA6C91"/>
    <w:rsid w:val="00AA6CB5"/>
    <w:rsid w:val="00AA7344"/>
    <w:rsid w:val="00AA7EB9"/>
    <w:rsid w:val="00AB06DF"/>
    <w:rsid w:val="00AB07E4"/>
    <w:rsid w:val="00AB11B4"/>
    <w:rsid w:val="00AB11CF"/>
    <w:rsid w:val="00AB1FBE"/>
    <w:rsid w:val="00AB23E4"/>
    <w:rsid w:val="00AB25B9"/>
    <w:rsid w:val="00AB2BA0"/>
    <w:rsid w:val="00AB46F3"/>
    <w:rsid w:val="00AB4F0D"/>
    <w:rsid w:val="00AB5CFD"/>
    <w:rsid w:val="00AB6257"/>
    <w:rsid w:val="00AB6274"/>
    <w:rsid w:val="00AB63E8"/>
    <w:rsid w:val="00AB6668"/>
    <w:rsid w:val="00AB6C9D"/>
    <w:rsid w:val="00AB6D17"/>
    <w:rsid w:val="00AB70D2"/>
    <w:rsid w:val="00AB7CDE"/>
    <w:rsid w:val="00AB7E4A"/>
    <w:rsid w:val="00AC0C2F"/>
    <w:rsid w:val="00AC0CB2"/>
    <w:rsid w:val="00AC1EA6"/>
    <w:rsid w:val="00AC20F8"/>
    <w:rsid w:val="00AC2C89"/>
    <w:rsid w:val="00AC2DF9"/>
    <w:rsid w:val="00AC2F38"/>
    <w:rsid w:val="00AC3C24"/>
    <w:rsid w:val="00AC4309"/>
    <w:rsid w:val="00AC49EC"/>
    <w:rsid w:val="00AC4DD3"/>
    <w:rsid w:val="00AC4E85"/>
    <w:rsid w:val="00AC517D"/>
    <w:rsid w:val="00AC572B"/>
    <w:rsid w:val="00AC57F0"/>
    <w:rsid w:val="00AC5EB2"/>
    <w:rsid w:val="00AC64AE"/>
    <w:rsid w:val="00AC7331"/>
    <w:rsid w:val="00AC7399"/>
    <w:rsid w:val="00AC78E7"/>
    <w:rsid w:val="00AC7FB1"/>
    <w:rsid w:val="00AD02C8"/>
    <w:rsid w:val="00AD057B"/>
    <w:rsid w:val="00AD0E2D"/>
    <w:rsid w:val="00AD13E2"/>
    <w:rsid w:val="00AD16D0"/>
    <w:rsid w:val="00AD1721"/>
    <w:rsid w:val="00AD1AB2"/>
    <w:rsid w:val="00AD20A9"/>
    <w:rsid w:val="00AD246E"/>
    <w:rsid w:val="00AD2B1E"/>
    <w:rsid w:val="00AD3696"/>
    <w:rsid w:val="00AD546C"/>
    <w:rsid w:val="00AD61FF"/>
    <w:rsid w:val="00AD71D2"/>
    <w:rsid w:val="00AD7E64"/>
    <w:rsid w:val="00AE11BA"/>
    <w:rsid w:val="00AE155B"/>
    <w:rsid w:val="00AE190E"/>
    <w:rsid w:val="00AE1A8E"/>
    <w:rsid w:val="00AE21EB"/>
    <w:rsid w:val="00AE28A8"/>
    <w:rsid w:val="00AE2E01"/>
    <w:rsid w:val="00AE2EA3"/>
    <w:rsid w:val="00AE323D"/>
    <w:rsid w:val="00AE4B3F"/>
    <w:rsid w:val="00AE52C8"/>
    <w:rsid w:val="00AE629F"/>
    <w:rsid w:val="00AE678F"/>
    <w:rsid w:val="00AE6FB4"/>
    <w:rsid w:val="00AE77E1"/>
    <w:rsid w:val="00AE7E96"/>
    <w:rsid w:val="00AF05BE"/>
    <w:rsid w:val="00AF05ED"/>
    <w:rsid w:val="00AF0EBC"/>
    <w:rsid w:val="00AF1039"/>
    <w:rsid w:val="00AF1982"/>
    <w:rsid w:val="00AF2D9D"/>
    <w:rsid w:val="00AF300D"/>
    <w:rsid w:val="00AF3413"/>
    <w:rsid w:val="00AF393D"/>
    <w:rsid w:val="00AF470F"/>
    <w:rsid w:val="00AF48E6"/>
    <w:rsid w:val="00AF50AB"/>
    <w:rsid w:val="00AF543A"/>
    <w:rsid w:val="00AF5882"/>
    <w:rsid w:val="00AF5AC7"/>
    <w:rsid w:val="00AF62A7"/>
    <w:rsid w:val="00AF7765"/>
    <w:rsid w:val="00AF7BF2"/>
    <w:rsid w:val="00B011D1"/>
    <w:rsid w:val="00B0214B"/>
    <w:rsid w:val="00B02C6C"/>
    <w:rsid w:val="00B0407C"/>
    <w:rsid w:val="00B045CA"/>
    <w:rsid w:val="00B0485D"/>
    <w:rsid w:val="00B04FC4"/>
    <w:rsid w:val="00B05D84"/>
    <w:rsid w:val="00B05EE7"/>
    <w:rsid w:val="00B070F7"/>
    <w:rsid w:val="00B078F7"/>
    <w:rsid w:val="00B07DFC"/>
    <w:rsid w:val="00B1022D"/>
    <w:rsid w:val="00B107EC"/>
    <w:rsid w:val="00B11D7E"/>
    <w:rsid w:val="00B1210F"/>
    <w:rsid w:val="00B13108"/>
    <w:rsid w:val="00B13AC9"/>
    <w:rsid w:val="00B13BA1"/>
    <w:rsid w:val="00B142D5"/>
    <w:rsid w:val="00B14662"/>
    <w:rsid w:val="00B14C4F"/>
    <w:rsid w:val="00B16AF9"/>
    <w:rsid w:val="00B16BB3"/>
    <w:rsid w:val="00B176B6"/>
    <w:rsid w:val="00B17C24"/>
    <w:rsid w:val="00B17C6D"/>
    <w:rsid w:val="00B20654"/>
    <w:rsid w:val="00B2123A"/>
    <w:rsid w:val="00B21E23"/>
    <w:rsid w:val="00B23187"/>
    <w:rsid w:val="00B234DE"/>
    <w:rsid w:val="00B236A6"/>
    <w:rsid w:val="00B236D6"/>
    <w:rsid w:val="00B240A7"/>
    <w:rsid w:val="00B24520"/>
    <w:rsid w:val="00B24845"/>
    <w:rsid w:val="00B25E47"/>
    <w:rsid w:val="00B262F0"/>
    <w:rsid w:val="00B26502"/>
    <w:rsid w:val="00B26A71"/>
    <w:rsid w:val="00B26C40"/>
    <w:rsid w:val="00B27002"/>
    <w:rsid w:val="00B27CAE"/>
    <w:rsid w:val="00B3049A"/>
    <w:rsid w:val="00B3070D"/>
    <w:rsid w:val="00B30849"/>
    <w:rsid w:val="00B31775"/>
    <w:rsid w:val="00B337ED"/>
    <w:rsid w:val="00B35D7C"/>
    <w:rsid w:val="00B35EBC"/>
    <w:rsid w:val="00B36367"/>
    <w:rsid w:val="00B36D81"/>
    <w:rsid w:val="00B36E2B"/>
    <w:rsid w:val="00B37211"/>
    <w:rsid w:val="00B37C4D"/>
    <w:rsid w:val="00B37F1E"/>
    <w:rsid w:val="00B402C6"/>
    <w:rsid w:val="00B405BB"/>
    <w:rsid w:val="00B40B35"/>
    <w:rsid w:val="00B410B9"/>
    <w:rsid w:val="00B41159"/>
    <w:rsid w:val="00B41B63"/>
    <w:rsid w:val="00B424BD"/>
    <w:rsid w:val="00B42E6D"/>
    <w:rsid w:val="00B43099"/>
    <w:rsid w:val="00B433B0"/>
    <w:rsid w:val="00B43751"/>
    <w:rsid w:val="00B43C87"/>
    <w:rsid w:val="00B43F39"/>
    <w:rsid w:val="00B442CA"/>
    <w:rsid w:val="00B448C1"/>
    <w:rsid w:val="00B46A7B"/>
    <w:rsid w:val="00B47760"/>
    <w:rsid w:val="00B503EE"/>
    <w:rsid w:val="00B50430"/>
    <w:rsid w:val="00B505BE"/>
    <w:rsid w:val="00B51209"/>
    <w:rsid w:val="00B51A3C"/>
    <w:rsid w:val="00B5219D"/>
    <w:rsid w:val="00B52208"/>
    <w:rsid w:val="00B52283"/>
    <w:rsid w:val="00B5273F"/>
    <w:rsid w:val="00B52E3C"/>
    <w:rsid w:val="00B54180"/>
    <w:rsid w:val="00B558F2"/>
    <w:rsid w:val="00B55E0E"/>
    <w:rsid w:val="00B56495"/>
    <w:rsid w:val="00B56FF8"/>
    <w:rsid w:val="00B57133"/>
    <w:rsid w:val="00B5742A"/>
    <w:rsid w:val="00B57B9A"/>
    <w:rsid w:val="00B60D87"/>
    <w:rsid w:val="00B614B6"/>
    <w:rsid w:val="00B61B26"/>
    <w:rsid w:val="00B61D8B"/>
    <w:rsid w:val="00B61E75"/>
    <w:rsid w:val="00B625DA"/>
    <w:rsid w:val="00B62781"/>
    <w:rsid w:val="00B628E8"/>
    <w:rsid w:val="00B62BB7"/>
    <w:rsid w:val="00B62C32"/>
    <w:rsid w:val="00B63073"/>
    <w:rsid w:val="00B6434E"/>
    <w:rsid w:val="00B64681"/>
    <w:rsid w:val="00B64AA9"/>
    <w:rsid w:val="00B65CBC"/>
    <w:rsid w:val="00B65D17"/>
    <w:rsid w:val="00B65E96"/>
    <w:rsid w:val="00B66921"/>
    <w:rsid w:val="00B66D5C"/>
    <w:rsid w:val="00B6745E"/>
    <w:rsid w:val="00B6786B"/>
    <w:rsid w:val="00B70B1A"/>
    <w:rsid w:val="00B71D4C"/>
    <w:rsid w:val="00B72712"/>
    <w:rsid w:val="00B74C7E"/>
    <w:rsid w:val="00B7507A"/>
    <w:rsid w:val="00B75A91"/>
    <w:rsid w:val="00B7653F"/>
    <w:rsid w:val="00B779A1"/>
    <w:rsid w:val="00B77C8B"/>
    <w:rsid w:val="00B80307"/>
    <w:rsid w:val="00B80A08"/>
    <w:rsid w:val="00B80E97"/>
    <w:rsid w:val="00B81445"/>
    <w:rsid w:val="00B815A2"/>
    <w:rsid w:val="00B816F6"/>
    <w:rsid w:val="00B819EC"/>
    <w:rsid w:val="00B81D91"/>
    <w:rsid w:val="00B8262A"/>
    <w:rsid w:val="00B8293A"/>
    <w:rsid w:val="00B82AD6"/>
    <w:rsid w:val="00B83177"/>
    <w:rsid w:val="00B84751"/>
    <w:rsid w:val="00B84B65"/>
    <w:rsid w:val="00B858E4"/>
    <w:rsid w:val="00B858FC"/>
    <w:rsid w:val="00B85B96"/>
    <w:rsid w:val="00B86374"/>
    <w:rsid w:val="00B8658A"/>
    <w:rsid w:val="00B865CE"/>
    <w:rsid w:val="00B8678E"/>
    <w:rsid w:val="00B86D11"/>
    <w:rsid w:val="00B8732B"/>
    <w:rsid w:val="00B877BD"/>
    <w:rsid w:val="00B87E67"/>
    <w:rsid w:val="00B87F02"/>
    <w:rsid w:val="00B87FEC"/>
    <w:rsid w:val="00B902CE"/>
    <w:rsid w:val="00B90D08"/>
    <w:rsid w:val="00B914CB"/>
    <w:rsid w:val="00B91634"/>
    <w:rsid w:val="00B91EB7"/>
    <w:rsid w:val="00B929FE"/>
    <w:rsid w:val="00B93622"/>
    <w:rsid w:val="00B93DD8"/>
    <w:rsid w:val="00B93EEB"/>
    <w:rsid w:val="00B94E69"/>
    <w:rsid w:val="00B950E4"/>
    <w:rsid w:val="00B953BD"/>
    <w:rsid w:val="00B961D7"/>
    <w:rsid w:val="00B9675F"/>
    <w:rsid w:val="00B976C4"/>
    <w:rsid w:val="00BA22F5"/>
    <w:rsid w:val="00BA2DCF"/>
    <w:rsid w:val="00BA3337"/>
    <w:rsid w:val="00BA3A07"/>
    <w:rsid w:val="00BA446B"/>
    <w:rsid w:val="00BA45B4"/>
    <w:rsid w:val="00BA5261"/>
    <w:rsid w:val="00BA543F"/>
    <w:rsid w:val="00BA5D9E"/>
    <w:rsid w:val="00BA69C8"/>
    <w:rsid w:val="00BA6BD9"/>
    <w:rsid w:val="00BB02B2"/>
    <w:rsid w:val="00BB0A7C"/>
    <w:rsid w:val="00BB17B5"/>
    <w:rsid w:val="00BB2DA4"/>
    <w:rsid w:val="00BB34AD"/>
    <w:rsid w:val="00BB40AF"/>
    <w:rsid w:val="00BB43C8"/>
    <w:rsid w:val="00BB4D60"/>
    <w:rsid w:val="00BB5F40"/>
    <w:rsid w:val="00BB67D3"/>
    <w:rsid w:val="00BB7083"/>
    <w:rsid w:val="00BB7497"/>
    <w:rsid w:val="00BB7808"/>
    <w:rsid w:val="00BB7936"/>
    <w:rsid w:val="00BC0654"/>
    <w:rsid w:val="00BC0758"/>
    <w:rsid w:val="00BC138B"/>
    <w:rsid w:val="00BC18CB"/>
    <w:rsid w:val="00BC1C67"/>
    <w:rsid w:val="00BC1E45"/>
    <w:rsid w:val="00BC2DD5"/>
    <w:rsid w:val="00BC2FEE"/>
    <w:rsid w:val="00BC3672"/>
    <w:rsid w:val="00BC38F0"/>
    <w:rsid w:val="00BC3CDA"/>
    <w:rsid w:val="00BC464F"/>
    <w:rsid w:val="00BC5498"/>
    <w:rsid w:val="00BC6494"/>
    <w:rsid w:val="00BC651F"/>
    <w:rsid w:val="00BC7C56"/>
    <w:rsid w:val="00BD1B09"/>
    <w:rsid w:val="00BD1D66"/>
    <w:rsid w:val="00BD3A78"/>
    <w:rsid w:val="00BD4147"/>
    <w:rsid w:val="00BD417B"/>
    <w:rsid w:val="00BD485A"/>
    <w:rsid w:val="00BD489C"/>
    <w:rsid w:val="00BD4A06"/>
    <w:rsid w:val="00BD4E65"/>
    <w:rsid w:val="00BD5667"/>
    <w:rsid w:val="00BD6B1E"/>
    <w:rsid w:val="00BD7671"/>
    <w:rsid w:val="00BD7753"/>
    <w:rsid w:val="00BD7A53"/>
    <w:rsid w:val="00BD7ECD"/>
    <w:rsid w:val="00BE0387"/>
    <w:rsid w:val="00BE0659"/>
    <w:rsid w:val="00BE0B55"/>
    <w:rsid w:val="00BE1058"/>
    <w:rsid w:val="00BE1DF1"/>
    <w:rsid w:val="00BE2652"/>
    <w:rsid w:val="00BE39AE"/>
    <w:rsid w:val="00BE3F62"/>
    <w:rsid w:val="00BE5B18"/>
    <w:rsid w:val="00BE6FA0"/>
    <w:rsid w:val="00BE71C0"/>
    <w:rsid w:val="00BE7723"/>
    <w:rsid w:val="00BE78B0"/>
    <w:rsid w:val="00BE7AD7"/>
    <w:rsid w:val="00BE7C9B"/>
    <w:rsid w:val="00BF0AAB"/>
    <w:rsid w:val="00BF0FD7"/>
    <w:rsid w:val="00BF2967"/>
    <w:rsid w:val="00BF2C79"/>
    <w:rsid w:val="00BF31EC"/>
    <w:rsid w:val="00BF33C4"/>
    <w:rsid w:val="00BF346B"/>
    <w:rsid w:val="00BF3E40"/>
    <w:rsid w:val="00BF453A"/>
    <w:rsid w:val="00BF466B"/>
    <w:rsid w:val="00BF4792"/>
    <w:rsid w:val="00BF4A9A"/>
    <w:rsid w:val="00BF4BF0"/>
    <w:rsid w:val="00BF4EBF"/>
    <w:rsid w:val="00BF55E3"/>
    <w:rsid w:val="00BF585D"/>
    <w:rsid w:val="00BF58E2"/>
    <w:rsid w:val="00BF5C9C"/>
    <w:rsid w:val="00BF61C2"/>
    <w:rsid w:val="00BF702F"/>
    <w:rsid w:val="00BF74FD"/>
    <w:rsid w:val="00BF7F36"/>
    <w:rsid w:val="00C00003"/>
    <w:rsid w:val="00C0008D"/>
    <w:rsid w:val="00C00CAA"/>
    <w:rsid w:val="00C013A4"/>
    <w:rsid w:val="00C01559"/>
    <w:rsid w:val="00C0159D"/>
    <w:rsid w:val="00C016C9"/>
    <w:rsid w:val="00C017C5"/>
    <w:rsid w:val="00C02041"/>
    <w:rsid w:val="00C023EE"/>
    <w:rsid w:val="00C02F1D"/>
    <w:rsid w:val="00C04181"/>
    <w:rsid w:val="00C0526F"/>
    <w:rsid w:val="00C05377"/>
    <w:rsid w:val="00C05A74"/>
    <w:rsid w:val="00C05A8A"/>
    <w:rsid w:val="00C05F79"/>
    <w:rsid w:val="00C060C1"/>
    <w:rsid w:val="00C06F0E"/>
    <w:rsid w:val="00C0752D"/>
    <w:rsid w:val="00C07E53"/>
    <w:rsid w:val="00C10468"/>
    <w:rsid w:val="00C10642"/>
    <w:rsid w:val="00C10BD6"/>
    <w:rsid w:val="00C11252"/>
    <w:rsid w:val="00C115E5"/>
    <w:rsid w:val="00C11D33"/>
    <w:rsid w:val="00C12192"/>
    <w:rsid w:val="00C126AD"/>
    <w:rsid w:val="00C1308F"/>
    <w:rsid w:val="00C130C8"/>
    <w:rsid w:val="00C1364E"/>
    <w:rsid w:val="00C14585"/>
    <w:rsid w:val="00C16D55"/>
    <w:rsid w:val="00C202BC"/>
    <w:rsid w:val="00C20B5B"/>
    <w:rsid w:val="00C2120C"/>
    <w:rsid w:val="00C21B52"/>
    <w:rsid w:val="00C21BEC"/>
    <w:rsid w:val="00C220AD"/>
    <w:rsid w:val="00C234DD"/>
    <w:rsid w:val="00C23BDB"/>
    <w:rsid w:val="00C2413C"/>
    <w:rsid w:val="00C2436F"/>
    <w:rsid w:val="00C25DE5"/>
    <w:rsid w:val="00C263AC"/>
    <w:rsid w:val="00C26D27"/>
    <w:rsid w:val="00C278B2"/>
    <w:rsid w:val="00C27CFD"/>
    <w:rsid w:val="00C30FA6"/>
    <w:rsid w:val="00C3196F"/>
    <w:rsid w:val="00C32B2E"/>
    <w:rsid w:val="00C33E36"/>
    <w:rsid w:val="00C3400B"/>
    <w:rsid w:val="00C34073"/>
    <w:rsid w:val="00C34103"/>
    <w:rsid w:val="00C346E8"/>
    <w:rsid w:val="00C347C6"/>
    <w:rsid w:val="00C358AE"/>
    <w:rsid w:val="00C35C09"/>
    <w:rsid w:val="00C362AF"/>
    <w:rsid w:val="00C364F0"/>
    <w:rsid w:val="00C369F6"/>
    <w:rsid w:val="00C37070"/>
    <w:rsid w:val="00C37120"/>
    <w:rsid w:val="00C37D36"/>
    <w:rsid w:val="00C37F41"/>
    <w:rsid w:val="00C40196"/>
    <w:rsid w:val="00C40BF0"/>
    <w:rsid w:val="00C40E1D"/>
    <w:rsid w:val="00C40E79"/>
    <w:rsid w:val="00C40F6E"/>
    <w:rsid w:val="00C4265E"/>
    <w:rsid w:val="00C428B5"/>
    <w:rsid w:val="00C43BE0"/>
    <w:rsid w:val="00C44130"/>
    <w:rsid w:val="00C453F6"/>
    <w:rsid w:val="00C45B97"/>
    <w:rsid w:val="00C46013"/>
    <w:rsid w:val="00C4612D"/>
    <w:rsid w:val="00C46202"/>
    <w:rsid w:val="00C462FB"/>
    <w:rsid w:val="00C46AE6"/>
    <w:rsid w:val="00C50106"/>
    <w:rsid w:val="00C503E5"/>
    <w:rsid w:val="00C508DD"/>
    <w:rsid w:val="00C5143F"/>
    <w:rsid w:val="00C518C8"/>
    <w:rsid w:val="00C520C6"/>
    <w:rsid w:val="00C52C5F"/>
    <w:rsid w:val="00C53688"/>
    <w:rsid w:val="00C53905"/>
    <w:rsid w:val="00C53ADB"/>
    <w:rsid w:val="00C53E5C"/>
    <w:rsid w:val="00C54356"/>
    <w:rsid w:val="00C55503"/>
    <w:rsid w:val="00C55780"/>
    <w:rsid w:val="00C5585F"/>
    <w:rsid w:val="00C558E6"/>
    <w:rsid w:val="00C55C8F"/>
    <w:rsid w:val="00C5649D"/>
    <w:rsid w:val="00C56A82"/>
    <w:rsid w:val="00C57E30"/>
    <w:rsid w:val="00C57F51"/>
    <w:rsid w:val="00C604D4"/>
    <w:rsid w:val="00C6190D"/>
    <w:rsid w:val="00C6197D"/>
    <w:rsid w:val="00C630FC"/>
    <w:rsid w:val="00C639A6"/>
    <w:rsid w:val="00C64576"/>
    <w:rsid w:val="00C64694"/>
    <w:rsid w:val="00C649E2"/>
    <w:rsid w:val="00C64CAB"/>
    <w:rsid w:val="00C64EFB"/>
    <w:rsid w:val="00C65300"/>
    <w:rsid w:val="00C65987"/>
    <w:rsid w:val="00C66196"/>
    <w:rsid w:val="00C664ED"/>
    <w:rsid w:val="00C66ABF"/>
    <w:rsid w:val="00C67B96"/>
    <w:rsid w:val="00C70528"/>
    <w:rsid w:val="00C70897"/>
    <w:rsid w:val="00C7098A"/>
    <w:rsid w:val="00C715AD"/>
    <w:rsid w:val="00C71FAE"/>
    <w:rsid w:val="00C72716"/>
    <w:rsid w:val="00C7325B"/>
    <w:rsid w:val="00C74756"/>
    <w:rsid w:val="00C74B69"/>
    <w:rsid w:val="00C74F64"/>
    <w:rsid w:val="00C74FD6"/>
    <w:rsid w:val="00C7574B"/>
    <w:rsid w:val="00C7698A"/>
    <w:rsid w:val="00C775A5"/>
    <w:rsid w:val="00C776F8"/>
    <w:rsid w:val="00C779F2"/>
    <w:rsid w:val="00C77EC8"/>
    <w:rsid w:val="00C80B8C"/>
    <w:rsid w:val="00C80B94"/>
    <w:rsid w:val="00C80DD7"/>
    <w:rsid w:val="00C80F2A"/>
    <w:rsid w:val="00C81688"/>
    <w:rsid w:val="00C82399"/>
    <w:rsid w:val="00C84044"/>
    <w:rsid w:val="00C8430C"/>
    <w:rsid w:val="00C84ADF"/>
    <w:rsid w:val="00C84AE6"/>
    <w:rsid w:val="00C85101"/>
    <w:rsid w:val="00C85F71"/>
    <w:rsid w:val="00C872F2"/>
    <w:rsid w:val="00C909AC"/>
    <w:rsid w:val="00C90C3D"/>
    <w:rsid w:val="00C90C5B"/>
    <w:rsid w:val="00C9107F"/>
    <w:rsid w:val="00C91977"/>
    <w:rsid w:val="00C92860"/>
    <w:rsid w:val="00C92E0A"/>
    <w:rsid w:val="00C93131"/>
    <w:rsid w:val="00C931B6"/>
    <w:rsid w:val="00C9346B"/>
    <w:rsid w:val="00C942AF"/>
    <w:rsid w:val="00C9437E"/>
    <w:rsid w:val="00C96566"/>
    <w:rsid w:val="00C96764"/>
    <w:rsid w:val="00C96A44"/>
    <w:rsid w:val="00C97133"/>
    <w:rsid w:val="00C973E7"/>
    <w:rsid w:val="00C97BE9"/>
    <w:rsid w:val="00C97DE3"/>
    <w:rsid w:val="00C97EA0"/>
    <w:rsid w:val="00C97FF6"/>
    <w:rsid w:val="00CA060F"/>
    <w:rsid w:val="00CA16A3"/>
    <w:rsid w:val="00CA1739"/>
    <w:rsid w:val="00CA1C54"/>
    <w:rsid w:val="00CA31FE"/>
    <w:rsid w:val="00CA3635"/>
    <w:rsid w:val="00CA4C5E"/>
    <w:rsid w:val="00CA4F31"/>
    <w:rsid w:val="00CA5B92"/>
    <w:rsid w:val="00CA6142"/>
    <w:rsid w:val="00CA63A8"/>
    <w:rsid w:val="00CA6D7E"/>
    <w:rsid w:val="00CB1BC5"/>
    <w:rsid w:val="00CB1EC7"/>
    <w:rsid w:val="00CB2287"/>
    <w:rsid w:val="00CB3EDD"/>
    <w:rsid w:val="00CB43A9"/>
    <w:rsid w:val="00CB4531"/>
    <w:rsid w:val="00CB4ADE"/>
    <w:rsid w:val="00CB4FC8"/>
    <w:rsid w:val="00CB5DE9"/>
    <w:rsid w:val="00CB702E"/>
    <w:rsid w:val="00CB74F0"/>
    <w:rsid w:val="00CB7790"/>
    <w:rsid w:val="00CC03D1"/>
    <w:rsid w:val="00CC0C53"/>
    <w:rsid w:val="00CC10B3"/>
    <w:rsid w:val="00CC17EE"/>
    <w:rsid w:val="00CC1FF8"/>
    <w:rsid w:val="00CC2613"/>
    <w:rsid w:val="00CC2834"/>
    <w:rsid w:val="00CC2B75"/>
    <w:rsid w:val="00CC3D57"/>
    <w:rsid w:val="00CC3D72"/>
    <w:rsid w:val="00CC40C1"/>
    <w:rsid w:val="00CC457B"/>
    <w:rsid w:val="00CC45F6"/>
    <w:rsid w:val="00CC4A7E"/>
    <w:rsid w:val="00CC4D70"/>
    <w:rsid w:val="00CC53BA"/>
    <w:rsid w:val="00CC5422"/>
    <w:rsid w:val="00CC54AA"/>
    <w:rsid w:val="00CC5A36"/>
    <w:rsid w:val="00CC60DD"/>
    <w:rsid w:val="00CC658D"/>
    <w:rsid w:val="00CC6B1D"/>
    <w:rsid w:val="00CD07F4"/>
    <w:rsid w:val="00CD0B07"/>
    <w:rsid w:val="00CD0B90"/>
    <w:rsid w:val="00CD0BAA"/>
    <w:rsid w:val="00CD1788"/>
    <w:rsid w:val="00CD1D0A"/>
    <w:rsid w:val="00CD25BD"/>
    <w:rsid w:val="00CD3122"/>
    <w:rsid w:val="00CD423D"/>
    <w:rsid w:val="00CD53E5"/>
    <w:rsid w:val="00CD581D"/>
    <w:rsid w:val="00CD651A"/>
    <w:rsid w:val="00CD6AF9"/>
    <w:rsid w:val="00CD6ED5"/>
    <w:rsid w:val="00CD7367"/>
    <w:rsid w:val="00CE045C"/>
    <w:rsid w:val="00CE2831"/>
    <w:rsid w:val="00CE302D"/>
    <w:rsid w:val="00CE3620"/>
    <w:rsid w:val="00CE3C9D"/>
    <w:rsid w:val="00CE3CAC"/>
    <w:rsid w:val="00CE3E36"/>
    <w:rsid w:val="00CE3FA4"/>
    <w:rsid w:val="00CE405B"/>
    <w:rsid w:val="00CE48EA"/>
    <w:rsid w:val="00CE4902"/>
    <w:rsid w:val="00CE5227"/>
    <w:rsid w:val="00CE5D58"/>
    <w:rsid w:val="00CE6352"/>
    <w:rsid w:val="00CE646F"/>
    <w:rsid w:val="00CE721E"/>
    <w:rsid w:val="00CE7B4C"/>
    <w:rsid w:val="00CE7DFB"/>
    <w:rsid w:val="00CF0250"/>
    <w:rsid w:val="00CF0B46"/>
    <w:rsid w:val="00CF2622"/>
    <w:rsid w:val="00CF267E"/>
    <w:rsid w:val="00CF2D93"/>
    <w:rsid w:val="00CF327D"/>
    <w:rsid w:val="00CF336A"/>
    <w:rsid w:val="00CF349C"/>
    <w:rsid w:val="00CF392E"/>
    <w:rsid w:val="00CF3AA5"/>
    <w:rsid w:val="00CF3ED4"/>
    <w:rsid w:val="00CF40B2"/>
    <w:rsid w:val="00CF4243"/>
    <w:rsid w:val="00CF4FC4"/>
    <w:rsid w:val="00CF5099"/>
    <w:rsid w:val="00CF5C08"/>
    <w:rsid w:val="00CF5C17"/>
    <w:rsid w:val="00CF5D84"/>
    <w:rsid w:val="00CF605D"/>
    <w:rsid w:val="00CF61EC"/>
    <w:rsid w:val="00CF6366"/>
    <w:rsid w:val="00CF6C1B"/>
    <w:rsid w:val="00CF6CC6"/>
    <w:rsid w:val="00CF758A"/>
    <w:rsid w:val="00CF7B4C"/>
    <w:rsid w:val="00D0010B"/>
    <w:rsid w:val="00D0017B"/>
    <w:rsid w:val="00D00191"/>
    <w:rsid w:val="00D00246"/>
    <w:rsid w:val="00D0084B"/>
    <w:rsid w:val="00D009A5"/>
    <w:rsid w:val="00D00A60"/>
    <w:rsid w:val="00D00CFC"/>
    <w:rsid w:val="00D00D14"/>
    <w:rsid w:val="00D010D3"/>
    <w:rsid w:val="00D01126"/>
    <w:rsid w:val="00D012FD"/>
    <w:rsid w:val="00D018B7"/>
    <w:rsid w:val="00D019B5"/>
    <w:rsid w:val="00D01D74"/>
    <w:rsid w:val="00D02C9E"/>
    <w:rsid w:val="00D0331A"/>
    <w:rsid w:val="00D03799"/>
    <w:rsid w:val="00D03ABE"/>
    <w:rsid w:val="00D03D1F"/>
    <w:rsid w:val="00D03FB0"/>
    <w:rsid w:val="00D04193"/>
    <w:rsid w:val="00D06357"/>
    <w:rsid w:val="00D064EF"/>
    <w:rsid w:val="00D0670F"/>
    <w:rsid w:val="00D067BE"/>
    <w:rsid w:val="00D06C53"/>
    <w:rsid w:val="00D07018"/>
    <w:rsid w:val="00D07145"/>
    <w:rsid w:val="00D07BD7"/>
    <w:rsid w:val="00D07D88"/>
    <w:rsid w:val="00D07DD1"/>
    <w:rsid w:val="00D10959"/>
    <w:rsid w:val="00D10A51"/>
    <w:rsid w:val="00D10BB4"/>
    <w:rsid w:val="00D10C52"/>
    <w:rsid w:val="00D112E2"/>
    <w:rsid w:val="00D11809"/>
    <w:rsid w:val="00D118D5"/>
    <w:rsid w:val="00D124C1"/>
    <w:rsid w:val="00D1303F"/>
    <w:rsid w:val="00D13FA7"/>
    <w:rsid w:val="00D13FD0"/>
    <w:rsid w:val="00D1414C"/>
    <w:rsid w:val="00D154F5"/>
    <w:rsid w:val="00D15B3F"/>
    <w:rsid w:val="00D16091"/>
    <w:rsid w:val="00D1663A"/>
    <w:rsid w:val="00D16BEA"/>
    <w:rsid w:val="00D16C55"/>
    <w:rsid w:val="00D16F4E"/>
    <w:rsid w:val="00D21736"/>
    <w:rsid w:val="00D22030"/>
    <w:rsid w:val="00D22559"/>
    <w:rsid w:val="00D225CB"/>
    <w:rsid w:val="00D229BE"/>
    <w:rsid w:val="00D229F4"/>
    <w:rsid w:val="00D236DA"/>
    <w:rsid w:val="00D2424F"/>
    <w:rsid w:val="00D249CE"/>
    <w:rsid w:val="00D24F13"/>
    <w:rsid w:val="00D25123"/>
    <w:rsid w:val="00D26029"/>
    <w:rsid w:val="00D26AC9"/>
    <w:rsid w:val="00D27B45"/>
    <w:rsid w:val="00D313B7"/>
    <w:rsid w:val="00D349C4"/>
    <w:rsid w:val="00D35B1F"/>
    <w:rsid w:val="00D35BB5"/>
    <w:rsid w:val="00D3612A"/>
    <w:rsid w:val="00D36AF6"/>
    <w:rsid w:val="00D36C27"/>
    <w:rsid w:val="00D37121"/>
    <w:rsid w:val="00D37707"/>
    <w:rsid w:val="00D378DF"/>
    <w:rsid w:val="00D37C6E"/>
    <w:rsid w:val="00D40555"/>
    <w:rsid w:val="00D412C6"/>
    <w:rsid w:val="00D440E2"/>
    <w:rsid w:val="00D44144"/>
    <w:rsid w:val="00D445B5"/>
    <w:rsid w:val="00D44894"/>
    <w:rsid w:val="00D454C0"/>
    <w:rsid w:val="00D45AAD"/>
    <w:rsid w:val="00D45B89"/>
    <w:rsid w:val="00D46166"/>
    <w:rsid w:val="00D46B69"/>
    <w:rsid w:val="00D46CD1"/>
    <w:rsid w:val="00D47C56"/>
    <w:rsid w:val="00D50356"/>
    <w:rsid w:val="00D50643"/>
    <w:rsid w:val="00D50872"/>
    <w:rsid w:val="00D508EC"/>
    <w:rsid w:val="00D50DD2"/>
    <w:rsid w:val="00D51284"/>
    <w:rsid w:val="00D515BC"/>
    <w:rsid w:val="00D51C41"/>
    <w:rsid w:val="00D51D69"/>
    <w:rsid w:val="00D522C1"/>
    <w:rsid w:val="00D52493"/>
    <w:rsid w:val="00D52B75"/>
    <w:rsid w:val="00D530DC"/>
    <w:rsid w:val="00D53371"/>
    <w:rsid w:val="00D53D1D"/>
    <w:rsid w:val="00D54D87"/>
    <w:rsid w:val="00D54DCA"/>
    <w:rsid w:val="00D55578"/>
    <w:rsid w:val="00D56412"/>
    <w:rsid w:val="00D56794"/>
    <w:rsid w:val="00D567FE"/>
    <w:rsid w:val="00D576D8"/>
    <w:rsid w:val="00D577D4"/>
    <w:rsid w:val="00D6019E"/>
    <w:rsid w:val="00D601EE"/>
    <w:rsid w:val="00D60682"/>
    <w:rsid w:val="00D61221"/>
    <w:rsid w:val="00D6192B"/>
    <w:rsid w:val="00D61ED8"/>
    <w:rsid w:val="00D629EC"/>
    <w:rsid w:val="00D633E0"/>
    <w:rsid w:val="00D63874"/>
    <w:rsid w:val="00D63A4F"/>
    <w:rsid w:val="00D643A8"/>
    <w:rsid w:val="00D6466E"/>
    <w:rsid w:val="00D6561C"/>
    <w:rsid w:val="00D65684"/>
    <w:rsid w:val="00D65AE9"/>
    <w:rsid w:val="00D65AFD"/>
    <w:rsid w:val="00D66279"/>
    <w:rsid w:val="00D66512"/>
    <w:rsid w:val="00D668E0"/>
    <w:rsid w:val="00D6755B"/>
    <w:rsid w:val="00D67652"/>
    <w:rsid w:val="00D676C6"/>
    <w:rsid w:val="00D7007E"/>
    <w:rsid w:val="00D7015F"/>
    <w:rsid w:val="00D70320"/>
    <w:rsid w:val="00D71BAE"/>
    <w:rsid w:val="00D730D9"/>
    <w:rsid w:val="00D742E8"/>
    <w:rsid w:val="00D74B51"/>
    <w:rsid w:val="00D74DB5"/>
    <w:rsid w:val="00D75DCC"/>
    <w:rsid w:val="00D75FBA"/>
    <w:rsid w:val="00D76CC7"/>
    <w:rsid w:val="00D77541"/>
    <w:rsid w:val="00D77E52"/>
    <w:rsid w:val="00D80084"/>
    <w:rsid w:val="00D80625"/>
    <w:rsid w:val="00D8088A"/>
    <w:rsid w:val="00D80E49"/>
    <w:rsid w:val="00D81A7F"/>
    <w:rsid w:val="00D82090"/>
    <w:rsid w:val="00D825AC"/>
    <w:rsid w:val="00D833E1"/>
    <w:rsid w:val="00D85406"/>
    <w:rsid w:val="00D85CD5"/>
    <w:rsid w:val="00D86C1C"/>
    <w:rsid w:val="00D86C79"/>
    <w:rsid w:val="00D90510"/>
    <w:rsid w:val="00D90A94"/>
    <w:rsid w:val="00D910C4"/>
    <w:rsid w:val="00D91597"/>
    <w:rsid w:val="00D91ED2"/>
    <w:rsid w:val="00D92363"/>
    <w:rsid w:val="00D92ECE"/>
    <w:rsid w:val="00D934E9"/>
    <w:rsid w:val="00D93962"/>
    <w:rsid w:val="00D943F6"/>
    <w:rsid w:val="00D944F1"/>
    <w:rsid w:val="00D94D20"/>
    <w:rsid w:val="00D94E41"/>
    <w:rsid w:val="00D94FF4"/>
    <w:rsid w:val="00D950C9"/>
    <w:rsid w:val="00D957FD"/>
    <w:rsid w:val="00D95BCD"/>
    <w:rsid w:val="00D95CA6"/>
    <w:rsid w:val="00D96C88"/>
    <w:rsid w:val="00D96FA3"/>
    <w:rsid w:val="00D97766"/>
    <w:rsid w:val="00D97CA0"/>
    <w:rsid w:val="00DA0037"/>
    <w:rsid w:val="00DA028B"/>
    <w:rsid w:val="00DA0609"/>
    <w:rsid w:val="00DA22F5"/>
    <w:rsid w:val="00DA23C4"/>
    <w:rsid w:val="00DA4BB0"/>
    <w:rsid w:val="00DA5E8F"/>
    <w:rsid w:val="00DA60E8"/>
    <w:rsid w:val="00DA6A80"/>
    <w:rsid w:val="00DA6AA6"/>
    <w:rsid w:val="00DA6D62"/>
    <w:rsid w:val="00DA7806"/>
    <w:rsid w:val="00DA7E58"/>
    <w:rsid w:val="00DB1289"/>
    <w:rsid w:val="00DB13BC"/>
    <w:rsid w:val="00DB18B4"/>
    <w:rsid w:val="00DB1C77"/>
    <w:rsid w:val="00DB1E42"/>
    <w:rsid w:val="00DB1F12"/>
    <w:rsid w:val="00DB203B"/>
    <w:rsid w:val="00DB20F7"/>
    <w:rsid w:val="00DB2567"/>
    <w:rsid w:val="00DB2A19"/>
    <w:rsid w:val="00DB3901"/>
    <w:rsid w:val="00DB39B3"/>
    <w:rsid w:val="00DB471C"/>
    <w:rsid w:val="00DB4773"/>
    <w:rsid w:val="00DB48FE"/>
    <w:rsid w:val="00DB5676"/>
    <w:rsid w:val="00DB5BC0"/>
    <w:rsid w:val="00DB5D6C"/>
    <w:rsid w:val="00DB5ED7"/>
    <w:rsid w:val="00DB6179"/>
    <w:rsid w:val="00DB65B2"/>
    <w:rsid w:val="00DB75A6"/>
    <w:rsid w:val="00DB7C6C"/>
    <w:rsid w:val="00DC1377"/>
    <w:rsid w:val="00DC1624"/>
    <w:rsid w:val="00DC1B41"/>
    <w:rsid w:val="00DC1D65"/>
    <w:rsid w:val="00DC2317"/>
    <w:rsid w:val="00DC3322"/>
    <w:rsid w:val="00DC37E7"/>
    <w:rsid w:val="00DC457B"/>
    <w:rsid w:val="00DC5A5E"/>
    <w:rsid w:val="00DC6312"/>
    <w:rsid w:val="00DC64B3"/>
    <w:rsid w:val="00DC6962"/>
    <w:rsid w:val="00DC6B46"/>
    <w:rsid w:val="00DC7DAD"/>
    <w:rsid w:val="00DD012D"/>
    <w:rsid w:val="00DD07B5"/>
    <w:rsid w:val="00DD0E02"/>
    <w:rsid w:val="00DD12FE"/>
    <w:rsid w:val="00DD1898"/>
    <w:rsid w:val="00DD1DD0"/>
    <w:rsid w:val="00DD27AA"/>
    <w:rsid w:val="00DD2D7B"/>
    <w:rsid w:val="00DD2E52"/>
    <w:rsid w:val="00DD3DE0"/>
    <w:rsid w:val="00DD4502"/>
    <w:rsid w:val="00DD4608"/>
    <w:rsid w:val="00DD4F23"/>
    <w:rsid w:val="00DD52D2"/>
    <w:rsid w:val="00DD53BE"/>
    <w:rsid w:val="00DD5549"/>
    <w:rsid w:val="00DD55F5"/>
    <w:rsid w:val="00DD6E0D"/>
    <w:rsid w:val="00DD7100"/>
    <w:rsid w:val="00DD7C11"/>
    <w:rsid w:val="00DE00C4"/>
    <w:rsid w:val="00DE0BCB"/>
    <w:rsid w:val="00DE1242"/>
    <w:rsid w:val="00DE1BDC"/>
    <w:rsid w:val="00DE1CF6"/>
    <w:rsid w:val="00DE20AF"/>
    <w:rsid w:val="00DE3CA9"/>
    <w:rsid w:val="00DE3FE6"/>
    <w:rsid w:val="00DE59B6"/>
    <w:rsid w:val="00DE5B0F"/>
    <w:rsid w:val="00DE5C46"/>
    <w:rsid w:val="00DE7906"/>
    <w:rsid w:val="00DE7A56"/>
    <w:rsid w:val="00DF00C8"/>
    <w:rsid w:val="00DF0276"/>
    <w:rsid w:val="00DF0430"/>
    <w:rsid w:val="00DF0A40"/>
    <w:rsid w:val="00DF2009"/>
    <w:rsid w:val="00DF2880"/>
    <w:rsid w:val="00DF32A2"/>
    <w:rsid w:val="00DF353F"/>
    <w:rsid w:val="00DF52A7"/>
    <w:rsid w:val="00DF593D"/>
    <w:rsid w:val="00DF5947"/>
    <w:rsid w:val="00DF5F88"/>
    <w:rsid w:val="00DF637B"/>
    <w:rsid w:val="00DF6833"/>
    <w:rsid w:val="00DF6973"/>
    <w:rsid w:val="00DF704A"/>
    <w:rsid w:val="00DF7083"/>
    <w:rsid w:val="00DF7427"/>
    <w:rsid w:val="00DF7F09"/>
    <w:rsid w:val="00E00A11"/>
    <w:rsid w:val="00E01482"/>
    <w:rsid w:val="00E01616"/>
    <w:rsid w:val="00E02740"/>
    <w:rsid w:val="00E02B54"/>
    <w:rsid w:val="00E03917"/>
    <w:rsid w:val="00E03C34"/>
    <w:rsid w:val="00E03D54"/>
    <w:rsid w:val="00E04B14"/>
    <w:rsid w:val="00E04FAD"/>
    <w:rsid w:val="00E051E1"/>
    <w:rsid w:val="00E05254"/>
    <w:rsid w:val="00E055AF"/>
    <w:rsid w:val="00E05BF2"/>
    <w:rsid w:val="00E05E2A"/>
    <w:rsid w:val="00E06362"/>
    <w:rsid w:val="00E063BC"/>
    <w:rsid w:val="00E06AA6"/>
    <w:rsid w:val="00E06FCE"/>
    <w:rsid w:val="00E1033C"/>
    <w:rsid w:val="00E12AF7"/>
    <w:rsid w:val="00E12D6D"/>
    <w:rsid w:val="00E138F3"/>
    <w:rsid w:val="00E150BF"/>
    <w:rsid w:val="00E153A2"/>
    <w:rsid w:val="00E1598F"/>
    <w:rsid w:val="00E200C6"/>
    <w:rsid w:val="00E20347"/>
    <w:rsid w:val="00E203A3"/>
    <w:rsid w:val="00E20481"/>
    <w:rsid w:val="00E2125A"/>
    <w:rsid w:val="00E21428"/>
    <w:rsid w:val="00E21B5D"/>
    <w:rsid w:val="00E2265F"/>
    <w:rsid w:val="00E22C14"/>
    <w:rsid w:val="00E2393C"/>
    <w:rsid w:val="00E24D50"/>
    <w:rsid w:val="00E250B5"/>
    <w:rsid w:val="00E2510E"/>
    <w:rsid w:val="00E251DF"/>
    <w:rsid w:val="00E2523A"/>
    <w:rsid w:val="00E25947"/>
    <w:rsid w:val="00E25B6C"/>
    <w:rsid w:val="00E260D9"/>
    <w:rsid w:val="00E265FA"/>
    <w:rsid w:val="00E266BD"/>
    <w:rsid w:val="00E2741F"/>
    <w:rsid w:val="00E305C4"/>
    <w:rsid w:val="00E307FC"/>
    <w:rsid w:val="00E3114B"/>
    <w:rsid w:val="00E31274"/>
    <w:rsid w:val="00E312C7"/>
    <w:rsid w:val="00E31B3D"/>
    <w:rsid w:val="00E325D4"/>
    <w:rsid w:val="00E32E7E"/>
    <w:rsid w:val="00E32F49"/>
    <w:rsid w:val="00E32F93"/>
    <w:rsid w:val="00E32FAC"/>
    <w:rsid w:val="00E33D2E"/>
    <w:rsid w:val="00E342DF"/>
    <w:rsid w:val="00E34D49"/>
    <w:rsid w:val="00E35043"/>
    <w:rsid w:val="00E35D42"/>
    <w:rsid w:val="00E3720D"/>
    <w:rsid w:val="00E379DC"/>
    <w:rsid w:val="00E37C35"/>
    <w:rsid w:val="00E40C06"/>
    <w:rsid w:val="00E4201B"/>
    <w:rsid w:val="00E444F2"/>
    <w:rsid w:val="00E44CD2"/>
    <w:rsid w:val="00E451D2"/>
    <w:rsid w:val="00E45221"/>
    <w:rsid w:val="00E453C4"/>
    <w:rsid w:val="00E45BE3"/>
    <w:rsid w:val="00E46260"/>
    <w:rsid w:val="00E46521"/>
    <w:rsid w:val="00E46BF3"/>
    <w:rsid w:val="00E470CC"/>
    <w:rsid w:val="00E50BE4"/>
    <w:rsid w:val="00E50D87"/>
    <w:rsid w:val="00E5147D"/>
    <w:rsid w:val="00E51AE3"/>
    <w:rsid w:val="00E521C5"/>
    <w:rsid w:val="00E5227B"/>
    <w:rsid w:val="00E525C5"/>
    <w:rsid w:val="00E529C2"/>
    <w:rsid w:val="00E54270"/>
    <w:rsid w:val="00E5429E"/>
    <w:rsid w:val="00E5509A"/>
    <w:rsid w:val="00E55AED"/>
    <w:rsid w:val="00E56582"/>
    <w:rsid w:val="00E56872"/>
    <w:rsid w:val="00E568F8"/>
    <w:rsid w:val="00E56BAA"/>
    <w:rsid w:val="00E576C0"/>
    <w:rsid w:val="00E57CC8"/>
    <w:rsid w:val="00E60827"/>
    <w:rsid w:val="00E60EA6"/>
    <w:rsid w:val="00E61B55"/>
    <w:rsid w:val="00E621BF"/>
    <w:rsid w:val="00E6347B"/>
    <w:rsid w:val="00E637C2"/>
    <w:rsid w:val="00E6392D"/>
    <w:rsid w:val="00E63D74"/>
    <w:rsid w:val="00E65C4C"/>
    <w:rsid w:val="00E660A4"/>
    <w:rsid w:val="00E66DD2"/>
    <w:rsid w:val="00E67120"/>
    <w:rsid w:val="00E7140D"/>
    <w:rsid w:val="00E7159A"/>
    <w:rsid w:val="00E7160D"/>
    <w:rsid w:val="00E71DE0"/>
    <w:rsid w:val="00E722F6"/>
    <w:rsid w:val="00E73657"/>
    <w:rsid w:val="00E73CE8"/>
    <w:rsid w:val="00E73DA0"/>
    <w:rsid w:val="00E74327"/>
    <w:rsid w:val="00E747C7"/>
    <w:rsid w:val="00E74AE2"/>
    <w:rsid w:val="00E75BCD"/>
    <w:rsid w:val="00E76686"/>
    <w:rsid w:val="00E7710A"/>
    <w:rsid w:val="00E772CF"/>
    <w:rsid w:val="00E816AB"/>
    <w:rsid w:val="00E81D69"/>
    <w:rsid w:val="00E8335C"/>
    <w:rsid w:val="00E83E44"/>
    <w:rsid w:val="00E8486A"/>
    <w:rsid w:val="00E84B6D"/>
    <w:rsid w:val="00E85B05"/>
    <w:rsid w:val="00E8651F"/>
    <w:rsid w:val="00E87C5A"/>
    <w:rsid w:val="00E87C5D"/>
    <w:rsid w:val="00E903F6"/>
    <w:rsid w:val="00E9074E"/>
    <w:rsid w:val="00E90792"/>
    <w:rsid w:val="00E909DF"/>
    <w:rsid w:val="00E90E1A"/>
    <w:rsid w:val="00E9124D"/>
    <w:rsid w:val="00E91784"/>
    <w:rsid w:val="00E926AA"/>
    <w:rsid w:val="00E926F3"/>
    <w:rsid w:val="00E92A2E"/>
    <w:rsid w:val="00E92B55"/>
    <w:rsid w:val="00E92F14"/>
    <w:rsid w:val="00E94882"/>
    <w:rsid w:val="00E949E0"/>
    <w:rsid w:val="00E94AB1"/>
    <w:rsid w:val="00E94CA6"/>
    <w:rsid w:val="00E94E23"/>
    <w:rsid w:val="00E94E6A"/>
    <w:rsid w:val="00E95EB5"/>
    <w:rsid w:val="00E96975"/>
    <w:rsid w:val="00E96A14"/>
    <w:rsid w:val="00E96B33"/>
    <w:rsid w:val="00E96F6C"/>
    <w:rsid w:val="00EA044A"/>
    <w:rsid w:val="00EA06B1"/>
    <w:rsid w:val="00EA07C7"/>
    <w:rsid w:val="00EA1309"/>
    <w:rsid w:val="00EA2950"/>
    <w:rsid w:val="00EA33F9"/>
    <w:rsid w:val="00EA3876"/>
    <w:rsid w:val="00EA400E"/>
    <w:rsid w:val="00EA4FF4"/>
    <w:rsid w:val="00EA5A99"/>
    <w:rsid w:val="00EA6249"/>
    <w:rsid w:val="00EA7171"/>
    <w:rsid w:val="00EA721C"/>
    <w:rsid w:val="00EB0947"/>
    <w:rsid w:val="00EB0CE8"/>
    <w:rsid w:val="00EB0D0A"/>
    <w:rsid w:val="00EB1B94"/>
    <w:rsid w:val="00EB1C01"/>
    <w:rsid w:val="00EB3241"/>
    <w:rsid w:val="00EB3514"/>
    <w:rsid w:val="00EB3543"/>
    <w:rsid w:val="00EB3EF1"/>
    <w:rsid w:val="00EB449D"/>
    <w:rsid w:val="00EB44FF"/>
    <w:rsid w:val="00EB5BBB"/>
    <w:rsid w:val="00EB5D55"/>
    <w:rsid w:val="00EB6237"/>
    <w:rsid w:val="00EB6730"/>
    <w:rsid w:val="00EB72DE"/>
    <w:rsid w:val="00EB7796"/>
    <w:rsid w:val="00EB7977"/>
    <w:rsid w:val="00EC0B19"/>
    <w:rsid w:val="00EC2DDC"/>
    <w:rsid w:val="00EC350B"/>
    <w:rsid w:val="00EC371D"/>
    <w:rsid w:val="00EC3A54"/>
    <w:rsid w:val="00EC3EA6"/>
    <w:rsid w:val="00EC51CC"/>
    <w:rsid w:val="00EC56E1"/>
    <w:rsid w:val="00EC57E5"/>
    <w:rsid w:val="00EC5A75"/>
    <w:rsid w:val="00EC5E7A"/>
    <w:rsid w:val="00EC69C0"/>
    <w:rsid w:val="00EC6A38"/>
    <w:rsid w:val="00EC6E0D"/>
    <w:rsid w:val="00EC7993"/>
    <w:rsid w:val="00EC7E79"/>
    <w:rsid w:val="00ED0876"/>
    <w:rsid w:val="00ED0E13"/>
    <w:rsid w:val="00ED2F6C"/>
    <w:rsid w:val="00ED327A"/>
    <w:rsid w:val="00ED45B2"/>
    <w:rsid w:val="00ED4705"/>
    <w:rsid w:val="00ED4D35"/>
    <w:rsid w:val="00ED4EBA"/>
    <w:rsid w:val="00ED5516"/>
    <w:rsid w:val="00ED580E"/>
    <w:rsid w:val="00ED5DFD"/>
    <w:rsid w:val="00ED61EA"/>
    <w:rsid w:val="00ED6A75"/>
    <w:rsid w:val="00ED6FD7"/>
    <w:rsid w:val="00ED774E"/>
    <w:rsid w:val="00ED7AEF"/>
    <w:rsid w:val="00EE020E"/>
    <w:rsid w:val="00EE02F2"/>
    <w:rsid w:val="00EE0941"/>
    <w:rsid w:val="00EE0F6B"/>
    <w:rsid w:val="00EE1546"/>
    <w:rsid w:val="00EE15AF"/>
    <w:rsid w:val="00EE1B6E"/>
    <w:rsid w:val="00EE3117"/>
    <w:rsid w:val="00EE3FD3"/>
    <w:rsid w:val="00EE4ADF"/>
    <w:rsid w:val="00EE4FA7"/>
    <w:rsid w:val="00EE52F8"/>
    <w:rsid w:val="00EE58B3"/>
    <w:rsid w:val="00EE61EA"/>
    <w:rsid w:val="00EE789E"/>
    <w:rsid w:val="00EF042C"/>
    <w:rsid w:val="00EF1385"/>
    <w:rsid w:val="00EF27A6"/>
    <w:rsid w:val="00EF3411"/>
    <w:rsid w:val="00EF367C"/>
    <w:rsid w:val="00EF4CEB"/>
    <w:rsid w:val="00EF4ED5"/>
    <w:rsid w:val="00EF54BA"/>
    <w:rsid w:val="00EF61BA"/>
    <w:rsid w:val="00EF713B"/>
    <w:rsid w:val="00EF7640"/>
    <w:rsid w:val="00EF7699"/>
    <w:rsid w:val="00EF79D0"/>
    <w:rsid w:val="00F00D78"/>
    <w:rsid w:val="00F01A93"/>
    <w:rsid w:val="00F02606"/>
    <w:rsid w:val="00F02E80"/>
    <w:rsid w:val="00F04498"/>
    <w:rsid w:val="00F044C5"/>
    <w:rsid w:val="00F0467E"/>
    <w:rsid w:val="00F04CEC"/>
    <w:rsid w:val="00F05386"/>
    <w:rsid w:val="00F05860"/>
    <w:rsid w:val="00F05E56"/>
    <w:rsid w:val="00F06206"/>
    <w:rsid w:val="00F06529"/>
    <w:rsid w:val="00F06EBF"/>
    <w:rsid w:val="00F07621"/>
    <w:rsid w:val="00F078BA"/>
    <w:rsid w:val="00F07FD6"/>
    <w:rsid w:val="00F10C9B"/>
    <w:rsid w:val="00F11037"/>
    <w:rsid w:val="00F11998"/>
    <w:rsid w:val="00F12624"/>
    <w:rsid w:val="00F127FC"/>
    <w:rsid w:val="00F128DE"/>
    <w:rsid w:val="00F12A9A"/>
    <w:rsid w:val="00F13A07"/>
    <w:rsid w:val="00F14706"/>
    <w:rsid w:val="00F14A28"/>
    <w:rsid w:val="00F14CE2"/>
    <w:rsid w:val="00F15405"/>
    <w:rsid w:val="00F15407"/>
    <w:rsid w:val="00F17381"/>
    <w:rsid w:val="00F17599"/>
    <w:rsid w:val="00F176D1"/>
    <w:rsid w:val="00F2092A"/>
    <w:rsid w:val="00F2140A"/>
    <w:rsid w:val="00F2144D"/>
    <w:rsid w:val="00F21AD5"/>
    <w:rsid w:val="00F21B9E"/>
    <w:rsid w:val="00F22370"/>
    <w:rsid w:val="00F223C0"/>
    <w:rsid w:val="00F23043"/>
    <w:rsid w:val="00F230C2"/>
    <w:rsid w:val="00F236E4"/>
    <w:rsid w:val="00F2402C"/>
    <w:rsid w:val="00F24410"/>
    <w:rsid w:val="00F244F9"/>
    <w:rsid w:val="00F24802"/>
    <w:rsid w:val="00F25922"/>
    <w:rsid w:val="00F26CB6"/>
    <w:rsid w:val="00F27062"/>
    <w:rsid w:val="00F30B7F"/>
    <w:rsid w:val="00F316F0"/>
    <w:rsid w:val="00F31797"/>
    <w:rsid w:val="00F31D54"/>
    <w:rsid w:val="00F32D2A"/>
    <w:rsid w:val="00F3328F"/>
    <w:rsid w:val="00F338B8"/>
    <w:rsid w:val="00F3447C"/>
    <w:rsid w:val="00F34801"/>
    <w:rsid w:val="00F34819"/>
    <w:rsid w:val="00F34902"/>
    <w:rsid w:val="00F349D8"/>
    <w:rsid w:val="00F34ADE"/>
    <w:rsid w:val="00F3554F"/>
    <w:rsid w:val="00F35CDF"/>
    <w:rsid w:val="00F3643D"/>
    <w:rsid w:val="00F374F2"/>
    <w:rsid w:val="00F375D0"/>
    <w:rsid w:val="00F3782D"/>
    <w:rsid w:val="00F4035E"/>
    <w:rsid w:val="00F4122B"/>
    <w:rsid w:val="00F413AB"/>
    <w:rsid w:val="00F42574"/>
    <w:rsid w:val="00F426F6"/>
    <w:rsid w:val="00F42728"/>
    <w:rsid w:val="00F428BE"/>
    <w:rsid w:val="00F42EB0"/>
    <w:rsid w:val="00F4380F"/>
    <w:rsid w:val="00F43BEF"/>
    <w:rsid w:val="00F442D5"/>
    <w:rsid w:val="00F44A70"/>
    <w:rsid w:val="00F44CD3"/>
    <w:rsid w:val="00F459FB"/>
    <w:rsid w:val="00F462D5"/>
    <w:rsid w:val="00F46ABC"/>
    <w:rsid w:val="00F471A2"/>
    <w:rsid w:val="00F478F1"/>
    <w:rsid w:val="00F47E31"/>
    <w:rsid w:val="00F50086"/>
    <w:rsid w:val="00F5074D"/>
    <w:rsid w:val="00F5107D"/>
    <w:rsid w:val="00F516A3"/>
    <w:rsid w:val="00F51843"/>
    <w:rsid w:val="00F5277C"/>
    <w:rsid w:val="00F52E83"/>
    <w:rsid w:val="00F552CC"/>
    <w:rsid w:val="00F55608"/>
    <w:rsid w:val="00F55E3E"/>
    <w:rsid w:val="00F56250"/>
    <w:rsid w:val="00F56C15"/>
    <w:rsid w:val="00F577A6"/>
    <w:rsid w:val="00F619A1"/>
    <w:rsid w:val="00F62318"/>
    <w:rsid w:val="00F62BE9"/>
    <w:rsid w:val="00F638E5"/>
    <w:rsid w:val="00F63E20"/>
    <w:rsid w:val="00F64298"/>
    <w:rsid w:val="00F64509"/>
    <w:rsid w:val="00F64D33"/>
    <w:rsid w:val="00F65336"/>
    <w:rsid w:val="00F65A91"/>
    <w:rsid w:val="00F66D89"/>
    <w:rsid w:val="00F6723C"/>
    <w:rsid w:val="00F67637"/>
    <w:rsid w:val="00F67D3F"/>
    <w:rsid w:val="00F7053D"/>
    <w:rsid w:val="00F7090C"/>
    <w:rsid w:val="00F70CC6"/>
    <w:rsid w:val="00F70EA4"/>
    <w:rsid w:val="00F7110D"/>
    <w:rsid w:val="00F71E5B"/>
    <w:rsid w:val="00F72115"/>
    <w:rsid w:val="00F7244A"/>
    <w:rsid w:val="00F72752"/>
    <w:rsid w:val="00F72FCF"/>
    <w:rsid w:val="00F73240"/>
    <w:rsid w:val="00F73290"/>
    <w:rsid w:val="00F73668"/>
    <w:rsid w:val="00F73697"/>
    <w:rsid w:val="00F737D3"/>
    <w:rsid w:val="00F7388B"/>
    <w:rsid w:val="00F73E3C"/>
    <w:rsid w:val="00F73FD0"/>
    <w:rsid w:val="00F7452B"/>
    <w:rsid w:val="00F746B1"/>
    <w:rsid w:val="00F74D69"/>
    <w:rsid w:val="00F753D4"/>
    <w:rsid w:val="00F75716"/>
    <w:rsid w:val="00F77853"/>
    <w:rsid w:val="00F80511"/>
    <w:rsid w:val="00F80623"/>
    <w:rsid w:val="00F8122D"/>
    <w:rsid w:val="00F817D2"/>
    <w:rsid w:val="00F8183F"/>
    <w:rsid w:val="00F81C21"/>
    <w:rsid w:val="00F82121"/>
    <w:rsid w:val="00F828B8"/>
    <w:rsid w:val="00F84AFD"/>
    <w:rsid w:val="00F84FDB"/>
    <w:rsid w:val="00F85272"/>
    <w:rsid w:val="00F85A6D"/>
    <w:rsid w:val="00F85F33"/>
    <w:rsid w:val="00F86515"/>
    <w:rsid w:val="00F86655"/>
    <w:rsid w:val="00F8683E"/>
    <w:rsid w:val="00F86886"/>
    <w:rsid w:val="00F86DE4"/>
    <w:rsid w:val="00F8759A"/>
    <w:rsid w:val="00F87807"/>
    <w:rsid w:val="00F90C69"/>
    <w:rsid w:val="00F918CD"/>
    <w:rsid w:val="00F919BA"/>
    <w:rsid w:val="00F91E8C"/>
    <w:rsid w:val="00F93128"/>
    <w:rsid w:val="00F9337E"/>
    <w:rsid w:val="00F933D1"/>
    <w:rsid w:val="00F944E4"/>
    <w:rsid w:val="00F94D1B"/>
    <w:rsid w:val="00F94EB6"/>
    <w:rsid w:val="00F94FAA"/>
    <w:rsid w:val="00F954DB"/>
    <w:rsid w:val="00F958B4"/>
    <w:rsid w:val="00F9592C"/>
    <w:rsid w:val="00F961B8"/>
    <w:rsid w:val="00F97732"/>
    <w:rsid w:val="00FA01CA"/>
    <w:rsid w:val="00FA0ACF"/>
    <w:rsid w:val="00FA0AFA"/>
    <w:rsid w:val="00FA1423"/>
    <w:rsid w:val="00FA1890"/>
    <w:rsid w:val="00FA2324"/>
    <w:rsid w:val="00FA2D4F"/>
    <w:rsid w:val="00FA2FC0"/>
    <w:rsid w:val="00FA2FC2"/>
    <w:rsid w:val="00FA43AD"/>
    <w:rsid w:val="00FA45F5"/>
    <w:rsid w:val="00FA4859"/>
    <w:rsid w:val="00FA49EE"/>
    <w:rsid w:val="00FA4A73"/>
    <w:rsid w:val="00FA5DA6"/>
    <w:rsid w:val="00FA6441"/>
    <w:rsid w:val="00FA7146"/>
    <w:rsid w:val="00FB0975"/>
    <w:rsid w:val="00FB15C0"/>
    <w:rsid w:val="00FB174A"/>
    <w:rsid w:val="00FB1FA0"/>
    <w:rsid w:val="00FB27AE"/>
    <w:rsid w:val="00FB30BE"/>
    <w:rsid w:val="00FB314C"/>
    <w:rsid w:val="00FB327F"/>
    <w:rsid w:val="00FB32E5"/>
    <w:rsid w:val="00FB34FA"/>
    <w:rsid w:val="00FB3F81"/>
    <w:rsid w:val="00FB65D8"/>
    <w:rsid w:val="00FB683B"/>
    <w:rsid w:val="00FB760C"/>
    <w:rsid w:val="00FB770E"/>
    <w:rsid w:val="00FB7BE2"/>
    <w:rsid w:val="00FC09DC"/>
    <w:rsid w:val="00FC186D"/>
    <w:rsid w:val="00FC18D5"/>
    <w:rsid w:val="00FC2202"/>
    <w:rsid w:val="00FC331D"/>
    <w:rsid w:val="00FC3EEA"/>
    <w:rsid w:val="00FC416E"/>
    <w:rsid w:val="00FC57DA"/>
    <w:rsid w:val="00FC5C95"/>
    <w:rsid w:val="00FC620E"/>
    <w:rsid w:val="00FC6DB8"/>
    <w:rsid w:val="00FC747D"/>
    <w:rsid w:val="00FC7B0D"/>
    <w:rsid w:val="00FC7BD9"/>
    <w:rsid w:val="00FC7C9E"/>
    <w:rsid w:val="00FD07D5"/>
    <w:rsid w:val="00FD0E5D"/>
    <w:rsid w:val="00FD1283"/>
    <w:rsid w:val="00FD1BB0"/>
    <w:rsid w:val="00FD2564"/>
    <w:rsid w:val="00FD2613"/>
    <w:rsid w:val="00FD2719"/>
    <w:rsid w:val="00FD28DC"/>
    <w:rsid w:val="00FD2964"/>
    <w:rsid w:val="00FD2C92"/>
    <w:rsid w:val="00FD3C4C"/>
    <w:rsid w:val="00FD3D1F"/>
    <w:rsid w:val="00FD4678"/>
    <w:rsid w:val="00FD4BBA"/>
    <w:rsid w:val="00FD6001"/>
    <w:rsid w:val="00FD6AA4"/>
    <w:rsid w:val="00FD6B0C"/>
    <w:rsid w:val="00FD7709"/>
    <w:rsid w:val="00FD7D61"/>
    <w:rsid w:val="00FD7E13"/>
    <w:rsid w:val="00FE08D7"/>
    <w:rsid w:val="00FE1556"/>
    <w:rsid w:val="00FE209E"/>
    <w:rsid w:val="00FE21C6"/>
    <w:rsid w:val="00FE27DB"/>
    <w:rsid w:val="00FE2943"/>
    <w:rsid w:val="00FE34F3"/>
    <w:rsid w:val="00FE3CA0"/>
    <w:rsid w:val="00FE4207"/>
    <w:rsid w:val="00FE44A4"/>
    <w:rsid w:val="00FE4FF3"/>
    <w:rsid w:val="00FE5340"/>
    <w:rsid w:val="00FE616A"/>
    <w:rsid w:val="00FE64EE"/>
    <w:rsid w:val="00FE6653"/>
    <w:rsid w:val="00FE6856"/>
    <w:rsid w:val="00FE69D2"/>
    <w:rsid w:val="00FE7BA7"/>
    <w:rsid w:val="00FF056C"/>
    <w:rsid w:val="00FF165D"/>
    <w:rsid w:val="00FF23C8"/>
    <w:rsid w:val="00FF28A2"/>
    <w:rsid w:val="00FF3B13"/>
    <w:rsid w:val="00FF3BD1"/>
    <w:rsid w:val="00FF3EAA"/>
    <w:rsid w:val="00FF4835"/>
    <w:rsid w:val="00FF5529"/>
    <w:rsid w:val="00FF6873"/>
    <w:rsid w:val="00FF68A3"/>
    <w:rsid w:val="00FF6EDC"/>
    <w:rsid w:val="00FF7433"/>
    <w:rsid w:val="00FF78A5"/>
    <w:rsid w:val="00FF7D08"/>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896"/>
  <w15:chartTrackingRefBased/>
  <w15:docId w15:val="{210DE666-714D-4B50-BB19-337CBB27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4D6"/>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D50DD2"/>
    <w:pPr>
      <w:spacing w:before="180"/>
      <w:outlineLvl w:val="0"/>
    </w:pPr>
    <w:rPr>
      <w:rFonts w:eastAsia="Times New Roman" w:cs="Times New Roman"/>
      <w:b/>
      <w:szCs w:val="20"/>
      <w:lang w:val="en-US"/>
    </w:rPr>
  </w:style>
  <w:style w:type="paragraph" w:styleId="Heading2">
    <w:name w:val="heading 2"/>
    <w:basedOn w:val="Normal"/>
    <w:next w:val="Normal"/>
    <w:link w:val="Heading2Char"/>
    <w:qFormat/>
    <w:rsid w:val="00D50DD2"/>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50DD2"/>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50DD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Address"/>
    <w:basedOn w:val="Normal"/>
    <w:rsid w:val="00D50DD2"/>
    <w:pPr>
      <w:spacing w:before="480"/>
    </w:pPr>
    <w:rPr>
      <w:rFonts w:eastAsia="Times New Roman" w:cs="Times New Roman"/>
      <w:sz w:val="20"/>
      <w:szCs w:val="20"/>
      <w:lang w:val="en-US"/>
    </w:rPr>
  </w:style>
  <w:style w:type="paragraph" w:customStyle="1" w:styleId="CompClose">
    <w:name w:val="CompClose"/>
    <w:basedOn w:val="Normal"/>
    <w:next w:val="Normal"/>
    <w:rsid w:val="00D50DD2"/>
    <w:pPr>
      <w:spacing w:before="120" w:after="720"/>
    </w:pPr>
    <w:rPr>
      <w:rFonts w:eastAsia="Times New Roman" w:cs="Times New Roman"/>
      <w:sz w:val="20"/>
      <w:szCs w:val="20"/>
      <w:lang w:val="en-US"/>
    </w:rPr>
  </w:style>
  <w:style w:type="paragraph" w:customStyle="1" w:styleId="affiliation">
    <w:name w:val="affiliation"/>
    <w:basedOn w:val="Normal"/>
    <w:rsid w:val="00D50DD2"/>
    <w:pPr>
      <w:spacing w:before="100" w:beforeAutospacing="1" w:after="100" w:afterAutospacing="1"/>
    </w:pPr>
    <w:rPr>
      <w:rFonts w:eastAsia="MS Mincho" w:cs="Times New Roman"/>
      <w:lang w:eastAsia="ja-JP"/>
    </w:rPr>
  </w:style>
  <w:style w:type="paragraph" w:customStyle="1" w:styleId="source1">
    <w:name w:val="source1"/>
    <w:basedOn w:val="Normal"/>
    <w:rsid w:val="00D50DD2"/>
    <w:pPr>
      <w:spacing w:before="120" w:after="84" w:line="240" w:lineRule="atLeast"/>
      <w:ind w:left="825"/>
    </w:pPr>
    <w:rPr>
      <w:rFonts w:eastAsia="Times New Roman" w:cs="Times New Roman"/>
      <w:sz w:val="18"/>
      <w:szCs w:val="18"/>
      <w:lang w:eastAsia="en-GB"/>
    </w:rPr>
  </w:style>
  <w:style w:type="paragraph" w:customStyle="1" w:styleId="pmid1">
    <w:name w:val="pmid1"/>
    <w:basedOn w:val="Normal"/>
    <w:rsid w:val="00D50DD2"/>
    <w:pPr>
      <w:spacing w:before="84" w:after="84" w:line="240" w:lineRule="atLeast"/>
      <w:ind w:left="825"/>
    </w:pPr>
    <w:rPr>
      <w:rFonts w:eastAsia="Times New Roman" w:cs="Times New Roman"/>
      <w:color w:val="696969"/>
      <w:sz w:val="18"/>
      <w:szCs w:val="18"/>
      <w:lang w:eastAsia="en-GB"/>
    </w:rPr>
  </w:style>
  <w:style w:type="character" w:customStyle="1" w:styleId="journalname">
    <w:name w:val="journalname"/>
    <w:basedOn w:val="DefaultParagraphFont"/>
    <w:rsid w:val="00D50DD2"/>
  </w:style>
  <w:style w:type="character" w:customStyle="1" w:styleId="Kanis">
    <w:name w:val="Kanis"/>
    <w:semiHidden/>
    <w:rsid w:val="00D50DD2"/>
    <w:rPr>
      <w:rFonts w:ascii="Arial" w:hAnsi="Arial" w:cs="Arial"/>
      <w:color w:val="auto"/>
      <w:sz w:val="20"/>
      <w:szCs w:val="20"/>
    </w:rPr>
  </w:style>
  <w:style w:type="character" w:customStyle="1" w:styleId="contribution">
    <w:name w:val="contribution"/>
    <w:basedOn w:val="DefaultParagraphFont"/>
    <w:rsid w:val="00D50DD2"/>
  </w:style>
  <w:style w:type="character" w:customStyle="1" w:styleId="publication3">
    <w:name w:val="publication3"/>
    <w:basedOn w:val="DefaultParagraphFont"/>
    <w:rsid w:val="00D50DD2"/>
  </w:style>
  <w:style w:type="character" w:customStyle="1" w:styleId="volume">
    <w:name w:val="volume"/>
    <w:basedOn w:val="DefaultParagraphFont"/>
    <w:rsid w:val="00D50DD2"/>
  </w:style>
  <w:style w:type="character" w:customStyle="1" w:styleId="part">
    <w:name w:val="part"/>
    <w:basedOn w:val="DefaultParagraphFont"/>
    <w:rsid w:val="00D50DD2"/>
  </w:style>
  <w:style w:type="paragraph" w:customStyle="1" w:styleId="Paragraphedeliste">
    <w:name w:val="Paragraphe de liste"/>
    <w:basedOn w:val="Normal"/>
    <w:qFormat/>
    <w:rsid w:val="00D50DD2"/>
    <w:pPr>
      <w:spacing w:after="200"/>
      <w:ind w:left="720"/>
    </w:pPr>
    <w:rPr>
      <w:rFonts w:ascii="Cambria" w:eastAsia="Cambria" w:hAnsi="Cambria" w:cs="Times New Roman"/>
      <w:lang w:val="fr-FR"/>
    </w:rPr>
  </w:style>
  <w:style w:type="character" w:customStyle="1" w:styleId="rprtid1">
    <w:name w:val="rprtid1"/>
    <w:rsid w:val="00D50DD2"/>
    <w:rPr>
      <w:vanish w:val="0"/>
      <w:webHidden w:val="0"/>
      <w:color w:val="696969"/>
      <w:specVanish w:val="0"/>
    </w:rPr>
  </w:style>
  <w:style w:type="character" w:customStyle="1" w:styleId="src1">
    <w:name w:val="src1"/>
    <w:rsid w:val="00D50DD2"/>
    <w:rPr>
      <w:vanish w:val="0"/>
      <w:webHidden w:val="0"/>
      <w:specVanish w:val="0"/>
    </w:rPr>
  </w:style>
  <w:style w:type="paragraph" w:customStyle="1" w:styleId="author">
    <w:name w:val="author"/>
    <w:basedOn w:val="Normal"/>
    <w:next w:val="Normal"/>
    <w:rsid w:val="00D50DD2"/>
    <w:pPr>
      <w:overflowPunct w:val="0"/>
      <w:autoSpaceDE w:val="0"/>
      <w:autoSpaceDN w:val="0"/>
      <w:adjustRightInd w:val="0"/>
      <w:spacing w:before="120" w:line="360" w:lineRule="auto"/>
      <w:textAlignment w:val="baseline"/>
    </w:pPr>
    <w:rPr>
      <w:rFonts w:eastAsia="Times New Roman" w:cs="Times New Roman"/>
      <w:szCs w:val="20"/>
      <w:lang w:val="en-US" w:eastAsia="de-DE"/>
    </w:rPr>
  </w:style>
  <w:style w:type="paragraph" w:customStyle="1" w:styleId="Default">
    <w:name w:val="Default"/>
    <w:rsid w:val="00D50DD2"/>
    <w:pPr>
      <w:autoSpaceDE w:val="0"/>
      <w:autoSpaceDN w:val="0"/>
      <w:adjustRightInd w:val="0"/>
      <w:spacing w:after="0" w:line="240" w:lineRule="auto"/>
    </w:pPr>
    <w:rPr>
      <w:rFonts w:ascii="ITC Franklin Gothic Std Book" w:eastAsia="MS Mincho" w:hAnsi="ITC Franklin Gothic Std Book" w:cs="ITC Franklin Gothic Std Book"/>
      <w:color w:val="000000"/>
      <w:sz w:val="24"/>
      <w:szCs w:val="24"/>
      <w:lang w:eastAsia="ja-JP"/>
    </w:rPr>
  </w:style>
  <w:style w:type="character" w:customStyle="1" w:styleId="A9">
    <w:name w:val="A9"/>
    <w:rsid w:val="00D50DD2"/>
    <w:rPr>
      <w:rFonts w:cs="ITC Franklin Gothic Std Book"/>
      <w:color w:val="000000"/>
      <w:sz w:val="14"/>
      <w:szCs w:val="14"/>
      <w:u w:val="single"/>
    </w:rPr>
  </w:style>
  <w:style w:type="paragraph" w:customStyle="1" w:styleId="details">
    <w:name w:val="details"/>
    <w:basedOn w:val="Normal"/>
    <w:rsid w:val="00D50DD2"/>
    <w:pPr>
      <w:spacing w:before="100" w:beforeAutospacing="1" w:after="100" w:afterAutospacing="1"/>
    </w:pPr>
    <w:rPr>
      <w:rFonts w:eastAsia="MS Mincho" w:cs="Times New Roman"/>
      <w:lang w:eastAsia="ja-JP"/>
    </w:rPr>
  </w:style>
  <w:style w:type="character" w:customStyle="1" w:styleId="jrnl">
    <w:name w:val="jrnl"/>
    <w:basedOn w:val="DefaultParagraphFont"/>
    <w:rsid w:val="00D50DD2"/>
  </w:style>
  <w:style w:type="paragraph" w:customStyle="1" w:styleId="desc">
    <w:name w:val="desc"/>
    <w:basedOn w:val="Normal"/>
    <w:rsid w:val="00D50DD2"/>
    <w:pPr>
      <w:spacing w:before="100" w:beforeAutospacing="1" w:after="100" w:afterAutospacing="1"/>
    </w:pPr>
    <w:rPr>
      <w:rFonts w:eastAsia="MS Mincho" w:cs="Times New Roman"/>
      <w:color w:val="000000"/>
      <w:lang w:eastAsia="ja-JP"/>
    </w:rPr>
  </w:style>
  <w:style w:type="character" w:customStyle="1" w:styleId="Heading1Char">
    <w:name w:val="Heading 1 Char"/>
    <w:basedOn w:val="DefaultParagraphFont"/>
    <w:link w:val="Heading1"/>
    <w:rsid w:val="00D50DD2"/>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D50DD2"/>
    <w:rPr>
      <w:rFonts w:ascii="Arial" w:eastAsia="Times New Roman" w:hAnsi="Arial" w:cs="Arial"/>
      <w:b/>
      <w:bCs/>
      <w:i/>
      <w:iCs/>
      <w:sz w:val="28"/>
      <w:szCs w:val="28"/>
    </w:rPr>
  </w:style>
  <w:style w:type="character" w:customStyle="1" w:styleId="Heading3Char">
    <w:name w:val="Heading 3 Char"/>
    <w:basedOn w:val="DefaultParagraphFont"/>
    <w:link w:val="Heading3"/>
    <w:rsid w:val="00D50DD2"/>
    <w:rPr>
      <w:rFonts w:ascii="Arial" w:eastAsia="Times New Roman" w:hAnsi="Arial" w:cs="Arial"/>
      <w:b/>
      <w:bCs/>
      <w:sz w:val="26"/>
      <w:szCs w:val="26"/>
    </w:rPr>
  </w:style>
  <w:style w:type="character" w:customStyle="1" w:styleId="Heading4Char">
    <w:name w:val="Heading 4 Char"/>
    <w:basedOn w:val="DefaultParagraphFont"/>
    <w:link w:val="Heading4"/>
    <w:rsid w:val="00D50DD2"/>
    <w:rPr>
      <w:rFonts w:ascii="Times New Roman" w:eastAsia="Times New Roman" w:hAnsi="Times New Roman" w:cs="Times New Roman"/>
      <w:b/>
      <w:bCs/>
      <w:sz w:val="28"/>
      <w:szCs w:val="28"/>
    </w:rPr>
  </w:style>
  <w:style w:type="paragraph" w:styleId="CommentText">
    <w:name w:val="annotation text"/>
    <w:basedOn w:val="Normal"/>
    <w:link w:val="CommentTextChar"/>
    <w:semiHidden/>
    <w:rsid w:val="00D50DD2"/>
    <w:rPr>
      <w:rFonts w:eastAsia="Times New Roman" w:cs="Times New Roman"/>
      <w:sz w:val="20"/>
      <w:szCs w:val="20"/>
    </w:rPr>
  </w:style>
  <w:style w:type="character" w:customStyle="1" w:styleId="CommentTextChar">
    <w:name w:val="Comment Text Char"/>
    <w:basedOn w:val="DefaultParagraphFont"/>
    <w:link w:val="CommentText"/>
    <w:semiHidden/>
    <w:rsid w:val="00D50DD2"/>
    <w:rPr>
      <w:rFonts w:ascii="Times New Roman" w:eastAsia="Times New Roman" w:hAnsi="Times New Roman" w:cs="Times New Roman"/>
      <w:sz w:val="20"/>
      <w:szCs w:val="20"/>
    </w:rPr>
  </w:style>
  <w:style w:type="paragraph" w:styleId="Header">
    <w:name w:val="header"/>
    <w:basedOn w:val="Normal"/>
    <w:link w:val="HeaderChar"/>
    <w:uiPriority w:val="99"/>
    <w:rsid w:val="00D50DD2"/>
    <w:pPr>
      <w:tabs>
        <w:tab w:val="center" w:pos="4536"/>
        <w:tab w:val="right" w:pos="9072"/>
      </w:tabs>
    </w:pPr>
    <w:rPr>
      <w:rFonts w:eastAsia="Times New Roman" w:cs="Times New Roman"/>
      <w:lang w:val="tr-TR" w:eastAsia="tr-TR"/>
    </w:rPr>
  </w:style>
  <w:style w:type="character" w:customStyle="1" w:styleId="HeaderChar">
    <w:name w:val="Header Char"/>
    <w:basedOn w:val="DefaultParagraphFont"/>
    <w:link w:val="Header"/>
    <w:uiPriority w:val="99"/>
    <w:rsid w:val="00D50DD2"/>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rsid w:val="00D50DD2"/>
    <w:pPr>
      <w:tabs>
        <w:tab w:val="center" w:pos="4153"/>
        <w:tab w:val="right" w:pos="8306"/>
      </w:tabs>
    </w:pPr>
    <w:rPr>
      <w:rFonts w:eastAsia="Times New Roman" w:cs="Times New Roman"/>
      <w:sz w:val="20"/>
      <w:szCs w:val="20"/>
    </w:rPr>
  </w:style>
  <w:style w:type="character" w:customStyle="1" w:styleId="FooterChar">
    <w:name w:val="Footer Char"/>
    <w:basedOn w:val="DefaultParagraphFont"/>
    <w:link w:val="Footer"/>
    <w:uiPriority w:val="99"/>
    <w:rsid w:val="00D50DD2"/>
    <w:rPr>
      <w:rFonts w:ascii="Times New Roman" w:eastAsia="Times New Roman" w:hAnsi="Times New Roman" w:cs="Times New Roman"/>
      <w:sz w:val="20"/>
      <w:szCs w:val="20"/>
    </w:rPr>
  </w:style>
  <w:style w:type="character" w:styleId="CommentReference">
    <w:name w:val="annotation reference"/>
    <w:uiPriority w:val="99"/>
    <w:semiHidden/>
    <w:rsid w:val="00D50DD2"/>
    <w:rPr>
      <w:sz w:val="16"/>
      <w:szCs w:val="16"/>
    </w:rPr>
  </w:style>
  <w:style w:type="character" w:styleId="PageNumber">
    <w:name w:val="page number"/>
    <w:basedOn w:val="DefaultParagraphFont"/>
    <w:rsid w:val="00D50DD2"/>
  </w:style>
  <w:style w:type="character" w:styleId="EndnoteReference">
    <w:name w:val="endnote reference"/>
    <w:rsid w:val="00D50DD2"/>
    <w:rPr>
      <w:vertAlign w:val="superscript"/>
    </w:rPr>
  </w:style>
  <w:style w:type="paragraph" w:styleId="EndnoteText">
    <w:name w:val="endnote text"/>
    <w:basedOn w:val="Normal"/>
    <w:link w:val="EndnoteTextChar"/>
    <w:rsid w:val="00D50DD2"/>
    <w:rPr>
      <w:rFonts w:eastAsia="Times New Roman" w:cs="Times New Roman"/>
      <w:sz w:val="20"/>
      <w:szCs w:val="20"/>
    </w:rPr>
  </w:style>
  <w:style w:type="character" w:customStyle="1" w:styleId="EndnoteTextChar">
    <w:name w:val="Endnote Text Char"/>
    <w:basedOn w:val="DefaultParagraphFont"/>
    <w:link w:val="EndnoteText"/>
    <w:rsid w:val="00D50DD2"/>
    <w:rPr>
      <w:rFonts w:ascii="Times New Roman" w:eastAsia="Times New Roman" w:hAnsi="Times New Roman" w:cs="Times New Roman"/>
      <w:sz w:val="20"/>
      <w:szCs w:val="20"/>
    </w:rPr>
  </w:style>
  <w:style w:type="paragraph" w:styleId="BodyText">
    <w:name w:val="Body Text"/>
    <w:basedOn w:val="Normal"/>
    <w:link w:val="BodyTextChar"/>
    <w:rsid w:val="00D50DD2"/>
    <w:pPr>
      <w:widowControl w:val="0"/>
      <w:spacing w:line="480" w:lineRule="auto"/>
      <w:jc w:val="center"/>
    </w:pPr>
    <w:rPr>
      <w:rFonts w:eastAsia="PMingLiU" w:cs="Times New Roman"/>
      <w:b/>
      <w:bCs/>
      <w:kern w:val="2"/>
      <w:lang w:val="en-US" w:eastAsia="zh-TW"/>
    </w:rPr>
  </w:style>
  <w:style w:type="character" w:customStyle="1" w:styleId="BodyTextChar">
    <w:name w:val="Body Text Char"/>
    <w:basedOn w:val="DefaultParagraphFont"/>
    <w:link w:val="BodyText"/>
    <w:rsid w:val="00D50DD2"/>
    <w:rPr>
      <w:rFonts w:ascii="Times New Roman" w:eastAsia="PMingLiU" w:hAnsi="Times New Roman" w:cs="Times New Roman"/>
      <w:b/>
      <w:bCs/>
      <w:kern w:val="2"/>
      <w:sz w:val="24"/>
      <w:szCs w:val="24"/>
      <w:lang w:val="en-US" w:eastAsia="zh-TW"/>
    </w:rPr>
  </w:style>
  <w:style w:type="paragraph" w:styleId="BodyTextIndent">
    <w:name w:val="Body Text Indent"/>
    <w:basedOn w:val="Normal"/>
    <w:link w:val="BodyTextIndentChar"/>
    <w:rsid w:val="00D50DD2"/>
    <w:pPr>
      <w:spacing w:after="120"/>
      <w:ind w:left="283"/>
    </w:pPr>
    <w:rPr>
      <w:rFonts w:eastAsia="Times New Roman" w:cs="Times New Roman"/>
    </w:rPr>
  </w:style>
  <w:style w:type="character" w:customStyle="1" w:styleId="BodyTextIndentChar">
    <w:name w:val="Body Text Indent Char"/>
    <w:basedOn w:val="DefaultParagraphFont"/>
    <w:link w:val="BodyTextIndent"/>
    <w:rsid w:val="00D50DD2"/>
    <w:rPr>
      <w:rFonts w:ascii="Times New Roman" w:eastAsia="Times New Roman" w:hAnsi="Times New Roman" w:cs="Times New Roman"/>
      <w:sz w:val="24"/>
      <w:szCs w:val="24"/>
    </w:rPr>
  </w:style>
  <w:style w:type="paragraph" w:styleId="Date">
    <w:name w:val="Date"/>
    <w:basedOn w:val="Normal"/>
    <w:next w:val="InsideAddress"/>
    <w:link w:val="DateChar"/>
    <w:rsid w:val="00D50DD2"/>
    <w:rPr>
      <w:rFonts w:eastAsia="Times New Roman" w:cs="Times New Roman"/>
      <w:sz w:val="20"/>
      <w:szCs w:val="20"/>
      <w:lang w:val="en-US"/>
    </w:rPr>
  </w:style>
  <w:style w:type="character" w:customStyle="1" w:styleId="DateChar">
    <w:name w:val="Date Char"/>
    <w:basedOn w:val="DefaultParagraphFont"/>
    <w:link w:val="Date"/>
    <w:rsid w:val="00D50DD2"/>
    <w:rPr>
      <w:rFonts w:ascii="Times New Roman" w:eastAsia="Times New Roman" w:hAnsi="Times New Roman" w:cs="Times New Roman"/>
      <w:sz w:val="20"/>
      <w:szCs w:val="20"/>
      <w:lang w:val="en-US"/>
    </w:rPr>
  </w:style>
  <w:style w:type="character" w:styleId="Hyperlink">
    <w:name w:val="Hyperlink"/>
    <w:rsid w:val="00D50DD2"/>
    <w:rPr>
      <w:color w:val="0000FF"/>
      <w:u w:val="single"/>
    </w:rPr>
  </w:style>
  <w:style w:type="character" w:styleId="FollowedHyperlink">
    <w:name w:val="FollowedHyperlink"/>
    <w:rsid w:val="00D50DD2"/>
    <w:rPr>
      <w:color w:val="800080"/>
      <w:u w:val="single"/>
    </w:rPr>
  </w:style>
  <w:style w:type="character" w:styleId="Strong">
    <w:name w:val="Strong"/>
    <w:qFormat/>
    <w:rsid w:val="00D50DD2"/>
    <w:rPr>
      <w:b/>
      <w:bCs/>
    </w:rPr>
  </w:style>
  <w:style w:type="character" w:styleId="Emphasis">
    <w:name w:val="Emphasis"/>
    <w:qFormat/>
    <w:rsid w:val="00D50DD2"/>
    <w:rPr>
      <w:i/>
      <w:iCs/>
    </w:rPr>
  </w:style>
  <w:style w:type="paragraph" w:styleId="DocumentMap">
    <w:name w:val="Document Map"/>
    <w:basedOn w:val="Normal"/>
    <w:link w:val="DocumentMapChar"/>
    <w:semiHidden/>
    <w:rsid w:val="00D50DD2"/>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D50DD2"/>
    <w:rPr>
      <w:rFonts w:ascii="Tahoma" w:eastAsia="Times New Roman" w:hAnsi="Tahoma" w:cs="Tahoma"/>
      <w:sz w:val="24"/>
      <w:szCs w:val="24"/>
      <w:shd w:val="clear" w:color="auto" w:fill="000080"/>
    </w:rPr>
  </w:style>
  <w:style w:type="paragraph" w:styleId="NormalWeb">
    <w:name w:val="Normal (Web)"/>
    <w:basedOn w:val="Normal"/>
    <w:rsid w:val="00D50DD2"/>
    <w:pPr>
      <w:spacing w:before="100" w:beforeAutospacing="1" w:after="100" w:afterAutospacing="1"/>
    </w:pPr>
    <w:rPr>
      <w:rFonts w:eastAsia="Times New Roman" w:cs="Times New Roman"/>
      <w:lang w:val="en-US"/>
    </w:rPr>
  </w:style>
  <w:style w:type="paragraph" w:styleId="HTMLPreformatted">
    <w:name w:val="HTML Preformatted"/>
    <w:basedOn w:val="Normal"/>
    <w:link w:val="HTMLPreformattedChar"/>
    <w:rsid w:val="00D5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D50DD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rsid w:val="00D50DD2"/>
    <w:rPr>
      <w:b/>
      <w:bCs/>
    </w:rPr>
  </w:style>
  <w:style w:type="character" w:customStyle="1" w:styleId="CommentSubjectChar">
    <w:name w:val="Comment Subject Char"/>
    <w:basedOn w:val="CommentTextChar"/>
    <w:link w:val="CommentSubject"/>
    <w:semiHidden/>
    <w:rsid w:val="00D50D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50DD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50DD2"/>
    <w:rPr>
      <w:rFonts w:ascii="Tahoma" w:eastAsia="Times New Roman" w:hAnsi="Tahoma" w:cs="Tahoma"/>
      <w:sz w:val="16"/>
      <w:szCs w:val="16"/>
    </w:rPr>
  </w:style>
  <w:style w:type="paragraph" w:styleId="ListParagraph">
    <w:name w:val="List Paragraph"/>
    <w:basedOn w:val="Normal"/>
    <w:uiPriority w:val="34"/>
    <w:qFormat/>
    <w:rsid w:val="00D50DD2"/>
    <w:pPr>
      <w:ind w:left="720"/>
      <w:contextualSpacing/>
    </w:pPr>
    <w:rPr>
      <w:rFonts w:eastAsia="Times New Roman" w:cs="Times New Roman"/>
    </w:rPr>
  </w:style>
  <w:style w:type="character" w:customStyle="1" w:styleId="UnresolvedMention1">
    <w:name w:val="Unresolved Mention1"/>
    <w:basedOn w:val="DefaultParagraphFont"/>
    <w:uiPriority w:val="99"/>
    <w:semiHidden/>
    <w:unhideWhenUsed/>
    <w:rsid w:val="007903B1"/>
    <w:rPr>
      <w:color w:val="605E5C"/>
      <w:shd w:val="clear" w:color="auto" w:fill="E1DFDD"/>
    </w:rPr>
  </w:style>
  <w:style w:type="table" w:styleId="TableGrid">
    <w:name w:val="Table Grid"/>
    <w:basedOn w:val="TableNormal"/>
    <w:uiPriority w:val="39"/>
    <w:rsid w:val="00AB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0A7C"/>
    <w:pPr>
      <w:spacing w:after="0" w:line="240" w:lineRule="auto"/>
    </w:pPr>
    <w:rPr>
      <w:rFonts w:ascii="Calibri" w:eastAsia="Calibri" w:hAnsi="Calibri" w:cs="Times New Roman"/>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2F38"/>
  </w:style>
  <w:style w:type="table" w:customStyle="1" w:styleId="TableGrid1">
    <w:name w:val="Table Grid1"/>
    <w:basedOn w:val="TableNormal"/>
    <w:next w:val="TableGrid"/>
    <w:uiPriority w:val="39"/>
    <w:rsid w:val="00AC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404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000"/>
    <w:pPr>
      <w:spacing w:after="0" w:line="240" w:lineRule="auto"/>
    </w:pPr>
    <w:rPr>
      <w:rFonts w:ascii="Times New Roman" w:hAnsi="Times New Roman"/>
      <w:sz w:val="24"/>
      <w:szCs w:val="24"/>
    </w:rPr>
  </w:style>
  <w:style w:type="character" w:customStyle="1" w:styleId="Olstomnmnande1">
    <w:name w:val="Olöst omnämnande1"/>
    <w:basedOn w:val="DefaultParagraphFont"/>
    <w:uiPriority w:val="99"/>
    <w:semiHidden/>
    <w:unhideWhenUsed/>
    <w:rsid w:val="00D10C52"/>
    <w:rPr>
      <w:color w:val="605E5C"/>
      <w:shd w:val="clear" w:color="auto" w:fill="E1DFDD"/>
    </w:rPr>
  </w:style>
  <w:style w:type="character" w:styleId="UnresolvedMention">
    <w:name w:val="Unresolved Mention"/>
    <w:basedOn w:val="DefaultParagraphFont"/>
    <w:uiPriority w:val="99"/>
    <w:semiHidden/>
    <w:unhideWhenUsed/>
    <w:rsid w:val="00B62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6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shef.ac.uk/FRAX/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ace-hta.gov.sg/news/announcements/Details/a-comprehensive-guide-on-how-to-assess-and-manage-osteoporosis" TargetMode="Externa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ign.ac.uk/media/1741/sign1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75787-00F4-42C9-AC69-40AAA2B8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5781</Words>
  <Characters>32957</Characters>
  <Application>Microsoft Office Word</Application>
  <DocSecurity>4</DocSecurity>
  <Lines>274</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2020-03-13T18:22:00Z</cp:lastPrinted>
  <dcterms:created xsi:type="dcterms:W3CDTF">2023-02-16T10:27:00Z</dcterms:created>
  <dcterms:modified xsi:type="dcterms:W3CDTF">2023-02-16T10:27:00Z</dcterms:modified>
</cp:coreProperties>
</file>