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946C" w14:textId="77777777" w:rsidR="004F6FE0" w:rsidRPr="00D45DD7" w:rsidRDefault="004F6FE0" w:rsidP="004F6FE0">
      <w:pPr>
        <w:pStyle w:val="Title"/>
      </w:pPr>
      <w:r w:rsidRPr="00D45DD7">
        <w:t xml:space="preserve">Successful Dose Reduction of Dupilumab in Atopic Dermatitis </w:t>
      </w:r>
    </w:p>
    <w:p w14:paraId="07845853" w14:textId="2C4A2E36" w:rsidR="004F6FE0" w:rsidRPr="00D45DD7" w:rsidRDefault="004F6FE0" w:rsidP="00741FAB">
      <w:pPr>
        <w:pStyle w:val="Title"/>
      </w:pPr>
      <w:r w:rsidRPr="00D45DD7">
        <w:t>Running title: Dupilumab dosing</w:t>
      </w:r>
    </w:p>
    <w:p w14:paraId="08E8ACB3" w14:textId="4340203A" w:rsidR="004F6FE0" w:rsidRPr="00D45DD7" w:rsidRDefault="004F6FE0" w:rsidP="004F6FE0"/>
    <w:p w14:paraId="709D79F0" w14:textId="77777777" w:rsidR="004F6FE0" w:rsidRPr="00D45DD7" w:rsidRDefault="004F6FE0" w:rsidP="004F6FE0"/>
    <w:p w14:paraId="49AF0FC0" w14:textId="00BBEFEB" w:rsidR="004F6FE0" w:rsidRPr="00D45DD7" w:rsidRDefault="004F6FE0" w:rsidP="004F6FE0">
      <w:r w:rsidRPr="00D45DD7">
        <w:t xml:space="preserve">Words: </w:t>
      </w:r>
      <w:r w:rsidR="00405331" w:rsidRPr="00D45DD7">
        <w:t>747</w:t>
      </w:r>
    </w:p>
    <w:p w14:paraId="4B487766" w14:textId="77777777" w:rsidR="004F6FE0" w:rsidRPr="00D45DD7" w:rsidRDefault="004F6FE0" w:rsidP="004F6FE0"/>
    <w:p w14:paraId="7ADA9B3D" w14:textId="31422B82" w:rsidR="004F6FE0" w:rsidRPr="00D45DD7" w:rsidRDefault="004F6FE0" w:rsidP="004F6FE0">
      <w:r w:rsidRPr="00D45DD7">
        <w:t>Figures: 1</w:t>
      </w:r>
    </w:p>
    <w:p w14:paraId="61A26770" w14:textId="77777777" w:rsidR="004F6FE0" w:rsidRPr="00D45DD7" w:rsidRDefault="004F6FE0" w:rsidP="00741FAB">
      <w:pPr>
        <w:pStyle w:val="Title"/>
      </w:pPr>
    </w:p>
    <w:p w14:paraId="00FC78F2" w14:textId="0684F978" w:rsidR="004F6FE0" w:rsidRPr="00D45DD7" w:rsidRDefault="004F6FE0" w:rsidP="004F6FE0">
      <w:pPr>
        <w:rPr>
          <w:vertAlign w:val="superscript"/>
        </w:rPr>
      </w:pPr>
      <w:r w:rsidRPr="00D45DD7">
        <w:t>Michael R. Ardern-Jones</w:t>
      </w:r>
      <w:r w:rsidRPr="00D45DD7">
        <w:rPr>
          <w:vertAlign w:val="superscript"/>
        </w:rPr>
        <w:t>1,2</w:t>
      </w:r>
      <w:r w:rsidR="00336B1A" w:rsidRPr="00D45DD7">
        <w:t xml:space="preserve">, </w:t>
      </w:r>
      <w:r w:rsidRPr="00D45DD7">
        <w:t>Emily E. Buchanan</w:t>
      </w:r>
      <w:r w:rsidRPr="00D45DD7">
        <w:rPr>
          <w:vertAlign w:val="superscript"/>
        </w:rPr>
        <w:t>2</w:t>
      </w:r>
      <w:r w:rsidRPr="00D45DD7">
        <w:rPr>
          <w:vertAlign w:val="subscript"/>
        </w:rPr>
        <w:t>,</w:t>
      </w:r>
      <w:r w:rsidRPr="00D45DD7">
        <w:rPr>
          <w:vertAlign w:val="superscript"/>
        </w:rPr>
        <w:t xml:space="preserve"> </w:t>
      </w:r>
      <w:r w:rsidR="00F04CD8" w:rsidRPr="00D45DD7">
        <w:t>Samba Njungu</w:t>
      </w:r>
      <w:r w:rsidR="00F04CD8" w:rsidRPr="00D45DD7">
        <w:rPr>
          <w:vertAlign w:val="superscript"/>
        </w:rPr>
        <w:t xml:space="preserve">1, </w:t>
      </w:r>
      <w:r w:rsidRPr="00D45DD7">
        <w:t>Daniel O’Driscoll</w:t>
      </w:r>
      <w:r w:rsidRPr="00D45DD7">
        <w:rPr>
          <w:vertAlign w:val="superscript"/>
        </w:rPr>
        <w:t xml:space="preserve"> 1</w:t>
      </w:r>
    </w:p>
    <w:p w14:paraId="42821A51" w14:textId="77777777" w:rsidR="004F6FE0" w:rsidRPr="00D45DD7" w:rsidRDefault="004F6FE0" w:rsidP="004F6FE0">
      <w:r w:rsidRPr="00D45DD7">
        <w:rPr>
          <w:vertAlign w:val="superscript"/>
        </w:rPr>
        <w:t>1</w:t>
      </w:r>
      <w:r w:rsidRPr="00D45DD7">
        <w:t>Department of Dermatology, University Hospital Southampton NHS Foundation Trust, Southampton, Hampshire SO16 1DU, U.K.</w:t>
      </w:r>
    </w:p>
    <w:p w14:paraId="70B89768" w14:textId="6A1AB2DA" w:rsidR="004F6FE0" w:rsidRPr="00D45DD7" w:rsidRDefault="004F6FE0" w:rsidP="004F6FE0">
      <w:r w:rsidRPr="00D45DD7">
        <w:rPr>
          <w:bCs/>
          <w:vertAlign w:val="superscript"/>
        </w:rPr>
        <w:t>2</w:t>
      </w:r>
      <w:r w:rsidR="00524ED3" w:rsidRPr="00D45DD7">
        <w:rPr>
          <w:bCs/>
        </w:rPr>
        <w:t>Clinical Experimental Sciences,</w:t>
      </w:r>
      <w:r w:rsidR="00524ED3" w:rsidRPr="00D45DD7">
        <w:rPr>
          <w:bCs/>
          <w:vertAlign w:val="superscript"/>
        </w:rPr>
        <w:t xml:space="preserve"> </w:t>
      </w:r>
      <w:r w:rsidRPr="00D45DD7">
        <w:rPr>
          <w:bCs/>
        </w:rPr>
        <w:t>Faculty of Medicine, University of Southampton, Southampton, Hampshire SO16 1DU, UK.</w:t>
      </w:r>
    </w:p>
    <w:p w14:paraId="3909C2AD" w14:textId="77777777" w:rsidR="004F6FE0" w:rsidRPr="00D45DD7" w:rsidRDefault="004F6FE0" w:rsidP="004F6FE0"/>
    <w:p w14:paraId="73A43BB2" w14:textId="77777777" w:rsidR="004F6FE0" w:rsidRPr="00D45DD7" w:rsidRDefault="004F6FE0" w:rsidP="004F6FE0"/>
    <w:p w14:paraId="0B17B078" w14:textId="77777777" w:rsidR="004F6FE0" w:rsidRPr="00D45DD7" w:rsidRDefault="004F6FE0" w:rsidP="004F6FE0">
      <w:r w:rsidRPr="00D45DD7">
        <w:t xml:space="preserve">Corresponding author: </w:t>
      </w:r>
    </w:p>
    <w:p w14:paraId="5787BE89" w14:textId="0007BD80" w:rsidR="004F6FE0" w:rsidRPr="00D45DD7" w:rsidRDefault="004F6FE0" w:rsidP="004F6FE0">
      <w:r w:rsidRPr="00D45DD7">
        <w:t>Michael R. Ardern-Jones</w:t>
      </w:r>
    </w:p>
    <w:p w14:paraId="74955329" w14:textId="6A6C4B0A" w:rsidR="004F6FE0" w:rsidRPr="00D45DD7" w:rsidRDefault="004F6FE0" w:rsidP="004F6FE0">
      <w:r w:rsidRPr="00D45DD7">
        <w:rPr>
          <w:rStyle w:val="Hyperlink"/>
          <w:u w:val="none"/>
        </w:rPr>
        <w:t>m.aj@soton.ac.uk</w:t>
      </w:r>
    </w:p>
    <w:p w14:paraId="1FA4444E" w14:textId="77777777" w:rsidR="004F6FE0" w:rsidRPr="00D45DD7" w:rsidRDefault="004F6FE0" w:rsidP="004F6FE0"/>
    <w:p w14:paraId="476F8CD0" w14:textId="43FD8AAD" w:rsidR="004F6FE0" w:rsidRPr="00D45DD7" w:rsidRDefault="004F6FE0" w:rsidP="00741FAB">
      <w:pPr>
        <w:pStyle w:val="Title"/>
      </w:pPr>
    </w:p>
    <w:p w14:paraId="70BDEB02" w14:textId="1C7D6CEA" w:rsidR="004F6FE0" w:rsidRPr="00D45DD7" w:rsidRDefault="004F6FE0" w:rsidP="004F6FE0">
      <w:r w:rsidRPr="00D45DD7">
        <w:t>Funding sources: none</w:t>
      </w:r>
    </w:p>
    <w:p w14:paraId="12C80009" w14:textId="1DB6277F" w:rsidR="004F6FE0" w:rsidRPr="00D45DD7" w:rsidRDefault="004F6FE0" w:rsidP="004F6FE0"/>
    <w:p w14:paraId="7015FEE3" w14:textId="3663287E" w:rsidR="004F6FE0" w:rsidRPr="00D45DD7" w:rsidRDefault="0092458E" w:rsidP="004F6FE0">
      <w:r w:rsidRPr="00D45DD7">
        <w:t>Declaration</w:t>
      </w:r>
      <w:r w:rsidR="00336B1A" w:rsidRPr="00D45DD7">
        <w:t>s</w:t>
      </w:r>
      <w:r w:rsidR="004F6FE0" w:rsidRPr="00D45DD7">
        <w:t xml:space="preserve"> of Interest</w:t>
      </w:r>
      <w:r w:rsidRPr="00D45DD7">
        <w:t>s</w:t>
      </w:r>
      <w:r w:rsidR="004F6FE0" w:rsidRPr="00D45DD7">
        <w:t xml:space="preserve">: </w:t>
      </w:r>
    </w:p>
    <w:p w14:paraId="78595E27" w14:textId="79485168" w:rsidR="004F6FE0" w:rsidRPr="00D45DD7" w:rsidRDefault="004F6FE0" w:rsidP="004F6FE0">
      <w:r w:rsidRPr="00D45DD7">
        <w:t xml:space="preserve">MAJ has been a consultant/speaker/PI for </w:t>
      </w:r>
      <w:proofErr w:type="spellStart"/>
      <w:r w:rsidRPr="00D45DD7">
        <w:t>Almirall</w:t>
      </w:r>
      <w:proofErr w:type="spellEnd"/>
      <w:r w:rsidRPr="00D45DD7">
        <w:t xml:space="preserve">, AbbVie, Amgen, Galderma, Janssen, Leo, Lilly, Pfizer, Sanofi Genzyme, </w:t>
      </w:r>
      <w:proofErr w:type="spellStart"/>
      <w:r w:rsidRPr="00D45DD7">
        <w:t>Ducentis</w:t>
      </w:r>
      <w:proofErr w:type="spellEnd"/>
      <w:r w:rsidRPr="00D45DD7">
        <w:t xml:space="preserve">, </w:t>
      </w:r>
      <w:proofErr w:type="spellStart"/>
      <w:r w:rsidRPr="00D45DD7">
        <w:t>Heptares</w:t>
      </w:r>
      <w:proofErr w:type="spellEnd"/>
      <w:r w:rsidRPr="00D45DD7">
        <w:t>, and Unilever.</w:t>
      </w:r>
    </w:p>
    <w:p w14:paraId="26AEBE3C" w14:textId="22C015FD" w:rsidR="0092458E" w:rsidRPr="00D45DD7" w:rsidRDefault="0092458E" w:rsidP="004F6FE0">
      <w:r w:rsidRPr="00D45DD7">
        <w:t>EEB: None</w:t>
      </w:r>
    </w:p>
    <w:p w14:paraId="3E185504" w14:textId="5E3BEFE8" w:rsidR="0092458E" w:rsidRPr="00D45DD7" w:rsidRDefault="0092458E" w:rsidP="004F6FE0">
      <w:r w:rsidRPr="00D45DD7">
        <w:t>SN: None</w:t>
      </w:r>
    </w:p>
    <w:p w14:paraId="666803A8" w14:textId="754D0466" w:rsidR="004F6FE0" w:rsidRPr="00D45DD7" w:rsidRDefault="004F6FE0" w:rsidP="004F6FE0">
      <w:r w:rsidRPr="00D45DD7">
        <w:t>DOD has been a consultant/speaker/PI for Pfizer</w:t>
      </w:r>
      <w:r w:rsidR="00C652EA" w:rsidRPr="00D45DD7">
        <w:t>, AbbVie</w:t>
      </w:r>
    </w:p>
    <w:p w14:paraId="1EB3DDB4" w14:textId="77777777" w:rsidR="0092458E" w:rsidRPr="00D45DD7" w:rsidRDefault="0092458E" w:rsidP="004F6FE0"/>
    <w:p w14:paraId="6630D074" w14:textId="77777777" w:rsidR="004F6FE0" w:rsidRPr="00D45DD7" w:rsidRDefault="004F6FE0" w:rsidP="00741FAB">
      <w:pPr>
        <w:pStyle w:val="Title"/>
      </w:pPr>
    </w:p>
    <w:p w14:paraId="69379DD1" w14:textId="77777777" w:rsidR="004F6FE0" w:rsidRPr="00D45DD7" w:rsidRDefault="004F6FE0" w:rsidP="00741FAB">
      <w:pPr>
        <w:pStyle w:val="Title"/>
      </w:pPr>
    </w:p>
    <w:p w14:paraId="77E5292D" w14:textId="77777777" w:rsidR="004F6FE0" w:rsidRPr="00D45DD7" w:rsidRDefault="004F6FE0" w:rsidP="00741FAB">
      <w:pPr>
        <w:pStyle w:val="Title"/>
      </w:pPr>
    </w:p>
    <w:p w14:paraId="4904A659" w14:textId="77777777" w:rsidR="004F6FE0" w:rsidRPr="00D45DD7" w:rsidRDefault="004F6FE0" w:rsidP="00741FAB">
      <w:pPr>
        <w:pStyle w:val="Title"/>
      </w:pPr>
    </w:p>
    <w:p w14:paraId="74D9C4EB" w14:textId="77777777" w:rsidR="004F6FE0" w:rsidRPr="00D45DD7" w:rsidRDefault="004F6FE0" w:rsidP="00741FAB">
      <w:pPr>
        <w:pStyle w:val="Title"/>
      </w:pPr>
    </w:p>
    <w:p w14:paraId="64EA134A" w14:textId="77777777" w:rsidR="004F6FE0" w:rsidRPr="00D45DD7" w:rsidRDefault="004F6FE0" w:rsidP="00741FAB">
      <w:pPr>
        <w:pStyle w:val="Title"/>
      </w:pPr>
    </w:p>
    <w:p w14:paraId="395EC4F9" w14:textId="77777777" w:rsidR="004F6FE0" w:rsidRPr="00D45DD7" w:rsidRDefault="004F6FE0" w:rsidP="00741FAB">
      <w:pPr>
        <w:pStyle w:val="Title"/>
      </w:pPr>
    </w:p>
    <w:p w14:paraId="2E0542A3" w14:textId="7ECCD79D" w:rsidR="004F6FE0" w:rsidRPr="00D45DD7" w:rsidRDefault="004F6FE0" w:rsidP="00741FAB">
      <w:pPr>
        <w:pStyle w:val="Title"/>
      </w:pPr>
    </w:p>
    <w:p w14:paraId="1378ACBB" w14:textId="17873DCE" w:rsidR="00467984" w:rsidRPr="00D45DD7" w:rsidRDefault="00467984" w:rsidP="00467984"/>
    <w:p w14:paraId="3A5AC055" w14:textId="77777777" w:rsidR="00467984" w:rsidRPr="00D45DD7" w:rsidRDefault="00467984" w:rsidP="00467984"/>
    <w:p w14:paraId="4094580E" w14:textId="00067682" w:rsidR="004F6FE0" w:rsidRPr="00D45DD7" w:rsidRDefault="004F6FE0" w:rsidP="00741FAB">
      <w:pPr>
        <w:pStyle w:val="Title"/>
      </w:pPr>
    </w:p>
    <w:p w14:paraId="12FD19E5" w14:textId="12D7104E" w:rsidR="00CB0004" w:rsidRPr="00D45DD7" w:rsidRDefault="00CB0004" w:rsidP="00CB0004"/>
    <w:p w14:paraId="5F99449D" w14:textId="77777777" w:rsidR="00CB0004" w:rsidRPr="00D45DD7" w:rsidRDefault="00CB0004" w:rsidP="00CB0004"/>
    <w:p w14:paraId="063DF754" w14:textId="77777777" w:rsidR="004F6FE0" w:rsidRPr="00D45DD7" w:rsidRDefault="004F6FE0" w:rsidP="00741FAB">
      <w:pPr>
        <w:pStyle w:val="Title"/>
      </w:pPr>
    </w:p>
    <w:p w14:paraId="64DB942E" w14:textId="4945DEE3" w:rsidR="00741FAB" w:rsidRPr="00D45DD7" w:rsidRDefault="006B7D37" w:rsidP="00741FAB">
      <w:pPr>
        <w:pStyle w:val="Title"/>
      </w:pPr>
      <w:r w:rsidRPr="00D45DD7">
        <w:lastRenderedPageBreak/>
        <w:t xml:space="preserve">Successful </w:t>
      </w:r>
      <w:r w:rsidR="002A441F" w:rsidRPr="00D45DD7">
        <w:t xml:space="preserve">Dose </w:t>
      </w:r>
      <w:r w:rsidR="00D970AF" w:rsidRPr="00D45DD7">
        <w:t xml:space="preserve">Reduction </w:t>
      </w:r>
      <w:r w:rsidRPr="00D45DD7">
        <w:t xml:space="preserve">of Dupilumab </w:t>
      </w:r>
      <w:r w:rsidR="005970B7" w:rsidRPr="00D45DD7">
        <w:t>in Atopic Dermatitis</w:t>
      </w:r>
      <w:r w:rsidR="00D970AF" w:rsidRPr="00D45DD7">
        <w:t xml:space="preserve"> </w:t>
      </w:r>
    </w:p>
    <w:p w14:paraId="56D09714" w14:textId="77777777" w:rsidR="00741FAB" w:rsidRPr="00D45DD7" w:rsidRDefault="00741FAB" w:rsidP="00741FAB"/>
    <w:p w14:paraId="1B40C976" w14:textId="6D9B5BF2" w:rsidR="00741FAB" w:rsidRPr="00D45DD7" w:rsidRDefault="00741FAB" w:rsidP="00741FAB">
      <w:r w:rsidRPr="00D45DD7">
        <w:t>Dear Editor,</w:t>
      </w:r>
    </w:p>
    <w:p w14:paraId="7C2338BD" w14:textId="77777777" w:rsidR="002F1680" w:rsidRPr="00D45DD7" w:rsidRDefault="002F1680" w:rsidP="00741FAB"/>
    <w:p w14:paraId="32607F36" w14:textId="1E4E3776" w:rsidR="007A7AAB" w:rsidRPr="00D45DD7" w:rsidRDefault="00701CE5" w:rsidP="00741FAB">
      <w:pPr>
        <w:rPr>
          <w:color w:val="201F1E"/>
          <w:bdr w:val="none" w:sz="0" w:space="0" w:color="auto" w:frame="1"/>
        </w:rPr>
      </w:pPr>
      <w:r w:rsidRPr="00D45DD7">
        <w:rPr>
          <w:color w:val="201F1E"/>
          <w:bdr w:val="none" w:sz="0" w:space="0" w:color="auto" w:frame="1"/>
        </w:rPr>
        <w:t>Dupilumab, an interleukin (IL)-4 and IL-13 signalling inhibitor (</w:t>
      </w:r>
      <w:r w:rsidR="000679B9" w:rsidRPr="00D45DD7">
        <w:rPr>
          <w:color w:val="201F1E"/>
          <w:bdr w:val="none" w:sz="0" w:space="0" w:color="auto" w:frame="1"/>
        </w:rPr>
        <w:t>1</w:t>
      </w:r>
      <w:r w:rsidRPr="00D45DD7">
        <w:rPr>
          <w:color w:val="201F1E"/>
          <w:bdr w:val="none" w:sz="0" w:space="0" w:color="auto" w:frame="1"/>
        </w:rPr>
        <w:t xml:space="preserve">), </w:t>
      </w:r>
      <w:r w:rsidR="00EC7BC4" w:rsidRPr="00D45DD7">
        <w:rPr>
          <w:color w:val="201F1E"/>
          <w:bdr w:val="none" w:sz="0" w:space="0" w:color="auto" w:frame="1"/>
        </w:rPr>
        <w:t>has shown impressive</w:t>
      </w:r>
      <w:r w:rsidRPr="00D45DD7">
        <w:rPr>
          <w:color w:val="201F1E"/>
          <w:bdr w:val="none" w:sz="0" w:space="0" w:color="auto" w:frame="1"/>
        </w:rPr>
        <w:t xml:space="preserve"> success in</w:t>
      </w:r>
      <w:r w:rsidR="00EC7BC4" w:rsidRPr="00D45DD7">
        <w:rPr>
          <w:color w:val="201F1E"/>
          <w:bdr w:val="none" w:sz="0" w:space="0" w:color="auto" w:frame="1"/>
        </w:rPr>
        <w:t xml:space="preserve"> treatment of</w:t>
      </w:r>
      <w:r w:rsidRPr="00D45DD7">
        <w:rPr>
          <w:color w:val="201F1E"/>
          <w:bdr w:val="none" w:sz="0" w:space="0" w:color="auto" w:frame="1"/>
        </w:rPr>
        <w:t xml:space="preserve"> atopic dermatitis (AD) (</w:t>
      </w:r>
      <w:r w:rsidR="007955B7" w:rsidRPr="00D45DD7">
        <w:rPr>
          <w:color w:val="201F1E"/>
          <w:bdr w:val="none" w:sz="0" w:space="0" w:color="auto" w:frame="1"/>
        </w:rPr>
        <w:t>2</w:t>
      </w:r>
      <w:r w:rsidRPr="00D45DD7">
        <w:rPr>
          <w:color w:val="201F1E"/>
          <w:bdr w:val="none" w:sz="0" w:space="0" w:color="auto" w:frame="1"/>
        </w:rPr>
        <w:t>).</w:t>
      </w:r>
      <w:r w:rsidR="007A7AAB" w:rsidRPr="00D45DD7">
        <w:rPr>
          <w:color w:val="201F1E"/>
          <w:bdr w:val="none" w:sz="0" w:space="0" w:color="auto" w:frame="1"/>
        </w:rPr>
        <w:t xml:space="preserve"> Following a health economic analysis, </w:t>
      </w:r>
      <w:r w:rsidRPr="00D45DD7">
        <w:rPr>
          <w:color w:val="201F1E"/>
          <w:bdr w:val="none" w:sz="0" w:space="0" w:color="auto" w:frame="1"/>
        </w:rPr>
        <w:t xml:space="preserve">National Institute for </w:t>
      </w:r>
      <w:proofErr w:type="gramStart"/>
      <w:r w:rsidRPr="00D45DD7">
        <w:rPr>
          <w:color w:val="201F1E"/>
          <w:bdr w:val="none" w:sz="0" w:space="0" w:color="auto" w:frame="1"/>
        </w:rPr>
        <w:t>Health</w:t>
      </w:r>
      <w:proofErr w:type="gramEnd"/>
      <w:r w:rsidRPr="00D45DD7">
        <w:rPr>
          <w:color w:val="201F1E"/>
          <w:bdr w:val="none" w:sz="0" w:space="0" w:color="auto" w:frame="1"/>
        </w:rPr>
        <w:t xml:space="preserve"> and C</w:t>
      </w:r>
      <w:r w:rsidR="000679B9" w:rsidRPr="00D45DD7">
        <w:rPr>
          <w:color w:val="201F1E"/>
          <w:bdr w:val="none" w:sz="0" w:space="0" w:color="auto" w:frame="1"/>
        </w:rPr>
        <w:t>are</w:t>
      </w:r>
      <w:r w:rsidRPr="00D45DD7">
        <w:rPr>
          <w:color w:val="201F1E"/>
          <w:bdr w:val="none" w:sz="0" w:space="0" w:color="auto" w:frame="1"/>
        </w:rPr>
        <w:t xml:space="preserve"> Excellence</w:t>
      </w:r>
      <w:r w:rsidR="0045621C" w:rsidRPr="00D45DD7">
        <w:rPr>
          <w:color w:val="201F1E"/>
          <w:bdr w:val="none" w:sz="0" w:space="0" w:color="auto" w:frame="1"/>
        </w:rPr>
        <w:t xml:space="preserve"> (NICE)</w:t>
      </w:r>
      <w:r w:rsidR="002D1E19" w:rsidRPr="00D45DD7">
        <w:rPr>
          <w:color w:val="201F1E"/>
          <w:bdr w:val="none" w:sz="0" w:space="0" w:color="auto" w:frame="1"/>
        </w:rPr>
        <w:t xml:space="preserve"> </w:t>
      </w:r>
      <w:r w:rsidR="0045621C" w:rsidRPr="00D45DD7">
        <w:rPr>
          <w:color w:val="201F1E"/>
          <w:bdr w:val="none" w:sz="0" w:space="0" w:color="auto" w:frame="1"/>
        </w:rPr>
        <w:t>recommend</w:t>
      </w:r>
      <w:r w:rsidR="007A7AAB" w:rsidRPr="00D45DD7">
        <w:rPr>
          <w:color w:val="201F1E"/>
          <w:bdr w:val="none" w:sz="0" w:space="0" w:color="auto" w:frame="1"/>
        </w:rPr>
        <w:t>ed</w:t>
      </w:r>
      <w:r w:rsidR="0045621C" w:rsidRPr="00D45DD7">
        <w:rPr>
          <w:color w:val="201F1E"/>
          <w:bdr w:val="none" w:sz="0" w:space="0" w:color="auto" w:frame="1"/>
        </w:rPr>
        <w:t xml:space="preserve"> </w:t>
      </w:r>
      <w:r w:rsidR="007F1054" w:rsidRPr="00D45DD7">
        <w:rPr>
          <w:color w:val="201F1E"/>
          <w:bdr w:val="none" w:sz="0" w:space="0" w:color="auto" w:frame="1"/>
        </w:rPr>
        <w:t>d</w:t>
      </w:r>
      <w:r w:rsidR="0045621C" w:rsidRPr="00D45DD7">
        <w:rPr>
          <w:color w:val="201F1E"/>
          <w:bdr w:val="none" w:sz="0" w:space="0" w:color="auto" w:frame="1"/>
        </w:rPr>
        <w:t xml:space="preserve">upilumab </w:t>
      </w:r>
      <w:r w:rsidR="00214D5A" w:rsidRPr="00D45DD7">
        <w:rPr>
          <w:color w:val="201F1E"/>
          <w:bdr w:val="none" w:sz="0" w:space="0" w:color="auto" w:frame="1"/>
        </w:rPr>
        <w:t xml:space="preserve">300mg alternate weekly </w:t>
      </w:r>
      <w:r w:rsidR="00AB3AAC" w:rsidRPr="00D45DD7">
        <w:rPr>
          <w:color w:val="201F1E"/>
          <w:bdr w:val="none" w:sz="0" w:space="0" w:color="auto" w:frame="1"/>
        </w:rPr>
        <w:t>for</w:t>
      </w:r>
      <w:r w:rsidR="007A7AAB" w:rsidRPr="00D45DD7">
        <w:rPr>
          <w:color w:val="201F1E"/>
          <w:bdr w:val="none" w:sz="0" w:space="0" w:color="auto" w:frame="1"/>
        </w:rPr>
        <w:t xml:space="preserve"> the treatment of</w:t>
      </w:r>
      <w:r w:rsidR="00AB3AAC" w:rsidRPr="00D45DD7">
        <w:rPr>
          <w:color w:val="201F1E"/>
          <w:bdr w:val="none" w:sz="0" w:space="0" w:color="auto" w:frame="1"/>
        </w:rPr>
        <w:t xml:space="preserve"> moderate-to-severe AD </w:t>
      </w:r>
      <w:r w:rsidR="0045621C" w:rsidRPr="00D45DD7">
        <w:rPr>
          <w:color w:val="201F1E"/>
          <w:bdr w:val="none" w:sz="0" w:space="0" w:color="auto" w:frame="1"/>
        </w:rPr>
        <w:t xml:space="preserve">after failure, intolerance or contraindication of one classical immunosuppressive systemic therapy </w:t>
      </w:r>
      <w:r w:rsidR="00EC7BC4" w:rsidRPr="00D45DD7">
        <w:rPr>
          <w:color w:val="201F1E"/>
          <w:bdr w:val="none" w:sz="0" w:space="0" w:color="auto" w:frame="1"/>
        </w:rPr>
        <w:t>and demanded that treatment continuation was justified only in those achieving a</w:t>
      </w:r>
      <w:r w:rsidR="00106CA9" w:rsidRPr="00D45DD7">
        <w:rPr>
          <w:color w:val="201F1E"/>
          <w:bdr w:val="none" w:sz="0" w:space="0" w:color="auto" w:frame="1"/>
        </w:rPr>
        <w:t>n</w:t>
      </w:r>
      <w:r w:rsidR="00EC7BC4" w:rsidRPr="00D45DD7">
        <w:rPr>
          <w:color w:val="201F1E"/>
          <w:bdr w:val="none" w:sz="0" w:space="0" w:color="auto" w:frame="1"/>
        </w:rPr>
        <w:t xml:space="preserve"> Eczema Area and Severity Index score (EASI 50) and a 4‑point reduction in the Dermatology Life Quality Index (DLQI) (1). The health economic </w:t>
      </w:r>
      <w:r w:rsidR="007A7AAB" w:rsidRPr="00D45DD7">
        <w:rPr>
          <w:color w:val="201F1E"/>
          <w:bdr w:val="none" w:sz="0" w:space="0" w:color="auto" w:frame="1"/>
        </w:rPr>
        <w:t>analysis of the treatment</w:t>
      </w:r>
      <w:r w:rsidR="00EC7BC4" w:rsidRPr="00D45DD7">
        <w:rPr>
          <w:color w:val="201F1E"/>
          <w:bdr w:val="none" w:sz="0" w:space="0" w:color="auto" w:frame="1"/>
        </w:rPr>
        <w:t xml:space="preserve"> is closely dependent upon the dosing</w:t>
      </w:r>
      <w:r w:rsidR="00106CA9" w:rsidRPr="00D45DD7">
        <w:rPr>
          <w:color w:val="201F1E"/>
          <w:bdr w:val="none" w:sz="0" w:space="0" w:color="auto" w:frame="1"/>
        </w:rPr>
        <w:t>,</w:t>
      </w:r>
      <w:r w:rsidR="00EC7BC4" w:rsidRPr="00D45DD7">
        <w:rPr>
          <w:color w:val="201F1E"/>
          <w:bdr w:val="none" w:sz="0" w:space="0" w:color="auto" w:frame="1"/>
        </w:rPr>
        <w:t xml:space="preserve"> which affects the cost of therapy</w:t>
      </w:r>
      <w:r w:rsidR="00B03632" w:rsidRPr="00D45DD7">
        <w:rPr>
          <w:color w:val="201F1E"/>
          <w:bdr w:val="none" w:sz="0" w:space="0" w:color="auto" w:frame="1"/>
        </w:rPr>
        <w:t>.</w:t>
      </w:r>
      <w:r w:rsidR="00EC7BC4" w:rsidRPr="00D45DD7">
        <w:rPr>
          <w:color w:val="201F1E"/>
          <w:bdr w:val="none" w:sz="0" w:space="0" w:color="auto" w:frame="1"/>
        </w:rPr>
        <w:t xml:space="preserve"> </w:t>
      </w:r>
      <w:r w:rsidR="00B03632" w:rsidRPr="00D45DD7">
        <w:rPr>
          <w:color w:val="201F1E"/>
          <w:bdr w:val="none" w:sz="0" w:space="0" w:color="auto" w:frame="1"/>
        </w:rPr>
        <w:t>T</w:t>
      </w:r>
      <w:r w:rsidR="00EC7BC4" w:rsidRPr="00D45DD7">
        <w:rPr>
          <w:color w:val="201F1E"/>
          <w:bdr w:val="none" w:sz="0" w:space="0" w:color="auto" w:frame="1"/>
        </w:rPr>
        <w:t>herefore</w:t>
      </w:r>
      <w:r w:rsidR="00106CA9" w:rsidRPr="00D45DD7">
        <w:rPr>
          <w:color w:val="201F1E"/>
          <w:bdr w:val="none" w:sz="0" w:space="0" w:color="auto" w:frame="1"/>
        </w:rPr>
        <w:t>,</w:t>
      </w:r>
      <w:r w:rsidR="007A7AAB" w:rsidRPr="00D45DD7">
        <w:rPr>
          <w:color w:val="201F1E"/>
          <w:bdr w:val="none" w:sz="0" w:space="0" w:color="auto" w:frame="1"/>
        </w:rPr>
        <w:t xml:space="preserve"> </w:t>
      </w:r>
      <w:r w:rsidR="00EC7BC4" w:rsidRPr="00D45DD7">
        <w:rPr>
          <w:color w:val="201F1E"/>
          <w:bdr w:val="none" w:sz="0" w:space="0" w:color="auto" w:frame="1"/>
        </w:rPr>
        <w:t xml:space="preserve">dose reduction would increase the cost effectiveness of this therapy and </w:t>
      </w:r>
      <w:r w:rsidR="00B03632" w:rsidRPr="00D45DD7">
        <w:rPr>
          <w:color w:val="201F1E"/>
          <w:bdr w:val="none" w:sz="0" w:space="0" w:color="auto" w:frame="1"/>
        </w:rPr>
        <w:t>be cost saving in the NHS or potentially lessen the threshold for managing access to treatment</w:t>
      </w:r>
      <w:r w:rsidR="007F1054" w:rsidRPr="00D45DD7">
        <w:rPr>
          <w:color w:val="201F1E"/>
          <w:bdr w:val="none" w:sz="0" w:space="0" w:color="auto" w:frame="1"/>
        </w:rPr>
        <w:t>.</w:t>
      </w:r>
    </w:p>
    <w:p w14:paraId="2DDAA1DE" w14:textId="37808F46" w:rsidR="00694E2B" w:rsidRPr="00D45DD7" w:rsidRDefault="00694E2B" w:rsidP="00741FAB">
      <w:pPr>
        <w:rPr>
          <w:color w:val="201F1E"/>
          <w:bdr w:val="none" w:sz="0" w:space="0" w:color="auto" w:frame="1"/>
        </w:rPr>
      </w:pPr>
    </w:p>
    <w:p w14:paraId="1FE551B7" w14:textId="5E7CA0F2" w:rsidR="00A64E09" w:rsidRPr="00D45DD7" w:rsidRDefault="00AB3AAC" w:rsidP="00741FAB">
      <w:pPr>
        <w:rPr>
          <w:color w:val="201F1E"/>
          <w:bdr w:val="none" w:sz="0" w:space="0" w:color="auto" w:frame="1"/>
        </w:rPr>
      </w:pPr>
      <w:r w:rsidRPr="00D45DD7">
        <w:rPr>
          <w:color w:val="201F1E"/>
          <w:bdr w:val="none" w:sz="0" w:space="0" w:color="auto" w:frame="1"/>
        </w:rPr>
        <w:t>Current</w:t>
      </w:r>
      <w:r w:rsidR="00B03632" w:rsidRPr="00D45DD7">
        <w:rPr>
          <w:color w:val="201F1E"/>
          <w:bdr w:val="none" w:sz="0" w:space="0" w:color="auto" w:frame="1"/>
        </w:rPr>
        <w:t xml:space="preserve"> working</w:t>
      </w:r>
      <w:r w:rsidRPr="00D45DD7">
        <w:rPr>
          <w:color w:val="201F1E"/>
          <w:bdr w:val="none" w:sz="0" w:space="0" w:color="auto" w:frame="1"/>
        </w:rPr>
        <w:t xml:space="preserve"> </w:t>
      </w:r>
      <w:r w:rsidR="007A7AAB" w:rsidRPr="00D45DD7">
        <w:rPr>
          <w:color w:val="201F1E"/>
          <w:bdr w:val="none" w:sz="0" w:space="0" w:color="auto" w:frame="1"/>
        </w:rPr>
        <w:t>UK</w:t>
      </w:r>
      <w:r w:rsidR="007E4230" w:rsidRPr="00D45DD7">
        <w:rPr>
          <w:color w:val="201F1E"/>
          <w:bdr w:val="none" w:sz="0" w:space="0" w:color="auto" w:frame="1"/>
        </w:rPr>
        <w:t xml:space="preserve"> (</w:t>
      </w:r>
      <w:r w:rsidR="00214D5A" w:rsidRPr="00D45DD7">
        <w:rPr>
          <w:color w:val="201F1E"/>
          <w:bdr w:val="none" w:sz="0" w:space="0" w:color="auto" w:frame="1"/>
        </w:rPr>
        <w:t>3</w:t>
      </w:r>
      <w:r w:rsidR="007E4230" w:rsidRPr="00D45DD7">
        <w:rPr>
          <w:color w:val="201F1E"/>
          <w:bdr w:val="none" w:sz="0" w:space="0" w:color="auto" w:frame="1"/>
        </w:rPr>
        <w:t>)</w:t>
      </w:r>
      <w:r w:rsidR="007A7AAB" w:rsidRPr="00D45DD7">
        <w:rPr>
          <w:color w:val="201F1E"/>
          <w:bdr w:val="none" w:sz="0" w:space="0" w:color="auto" w:frame="1"/>
        </w:rPr>
        <w:t>, USA</w:t>
      </w:r>
      <w:r w:rsidR="00A11250" w:rsidRPr="00D45DD7">
        <w:rPr>
          <w:color w:val="201F1E"/>
          <w:bdr w:val="none" w:sz="0" w:space="0" w:color="auto" w:frame="1"/>
        </w:rPr>
        <w:t xml:space="preserve"> (</w:t>
      </w:r>
      <w:r w:rsidR="00214D5A" w:rsidRPr="00D45DD7">
        <w:rPr>
          <w:color w:val="201F1E"/>
          <w:bdr w:val="none" w:sz="0" w:space="0" w:color="auto" w:frame="1"/>
        </w:rPr>
        <w:t>4</w:t>
      </w:r>
      <w:r w:rsidR="00A11250" w:rsidRPr="00D45DD7">
        <w:rPr>
          <w:color w:val="201F1E"/>
          <w:bdr w:val="none" w:sz="0" w:space="0" w:color="auto" w:frame="1"/>
        </w:rPr>
        <w:t>)</w:t>
      </w:r>
      <w:r w:rsidR="007A7AAB" w:rsidRPr="00D45DD7">
        <w:rPr>
          <w:color w:val="201F1E"/>
          <w:bdr w:val="none" w:sz="0" w:space="0" w:color="auto" w:frame="1"/>
        </w:rPr>
        <w:t xml:space="preserve">, and </w:t>
      </w:r>
      <w:r w:rsidR="00A313E4" w:rsidRPr="00D45DD7">
        <w:rPr>
          <w:color w:val="201F1E"/>
          <w:bdr w:val="none" w:sz="0" w:space="0" w:color="auto" w:frame="1"/>
        </w:rPr>
        <w:t>European</w:t>
      </w:r>
      <w:r w:rsidR="00A11250" w:rsidRPr="00D45DD7">
        <w:rPr>
          <w:color w:val="201F1E"/>
          <w:bdr w:val="none" w:sz="0" w:space="0" w:color="auto" w:frame="1"/>
        </w:rPr>
        <w:t xml:space="preserve"> (</w:t>
      </w:r>
      <w:r w:rsidR="00214D5A" w:rsidRPr="00D45DD7">
        <w:rPr>
          <w:color w:val="201F1E"/>
          <w:bdr w:val="none" w:sz="0" w:space="0" w:color="auto" w:frame="1"/>
        </w:rPr>
        <w:t>5</w:t>
      </w:r>
      <w:r w:rsidR="00A11250" w:rsidRPr="00D45DD7">
        <w:rPr>
          <w:color w:val="201F1E"/>
          <w:bdr w:val="none" w:sz="0" w:space="0" w:color="auto" w:frame="1"/>
        </w:rPr>
        <w:t>)</w:t>
      </w:r>
      <w:r w:rsidR="00A313E4" w:rsidRPr="00D45DD7">
        <w:rPr>
          <w:color w:val="201F1E"/>
          <w:bdr w:val="none" w:sz="0" w:space="0" w:color="auto" w:frame="1"/>
        </w:rPr>
        <w:t xml:space="preserve"> AD guidelines </w:t>
      </w:r>
      <w:r w:rsidR="007A7AAB" w:rsidRPr="00D45DD7">
        <w:rPr>
          <w:color w:val="201F1E"/>
          <w:bdr w:val="none" w:sz="0" w:space="0" w:color="auto" w:frame="1"/>
        </w:rPr>
        <w:t>do not</w:t>
      </w:r>
      <w:r w:rsidR="00A313E4" w:rsidRPr="00D45DD7">
        <w:rPr>
          <w:color w:val="201F1E"/>
          <w:bdr w:val="none" w:sz="0" w:space="0" w:color="auto" w:frame="1"/>
        </w:rPr>
        <w:t xml:space="preserve"> </w:t>
      </w:r>
      <w:r w:rsidR="007A7AAB" w:rsidRPr="00D45DD7">
        <w:rPr>
          <w:color w:val="201F1E"/>
          <w:bdr w:val="none" w:sz="0" w:space="0" w:color="auto" w:frame="1"/>
        </w:rPr>
        <w:t xml:space="preserve">address </w:t>
      </w:r>
      <w:r w:rsidR="004F6FE0" w:rsidRPr="00D45DD7">
        <w:rPr>
          <w:color w:val="201F1E"/>
          <w:bdr w:val="none" w:sz="0" w:space="0" w:color="auto" w:frame="1"/>
        </w:rPr>
        <w:t xml:space="preserve">dupilumab </w:t>
      </w:r>
      <w:r w:rsidR="007A7AAB" w:rsidRPr="00D45DD7">
        <w:rPr>
          <w:color w:val="201F1E"/>
          <w:bdr w:val="none" w:sz="0" w:space="0" w:color="auto" w:frame="1"/>
        </w:rPr>
        <w:t>dose reduction</w:t>
      </w:r>
      <w:r w:rsidR="00106CA9" w:rsidRPr="00D45DD7">
        <w:rPr>
          <w:color w:val="201F1E"/>
          <w:bdr w:val="none" w:sz="0" w:space="0" w:color="auto" w:frame="1"/>
        </w:rPr>
        <w:t xml:space="preserve">, </w:t>
      </w:r>
      <w:r w:rsidR="00E62979" w:rsidRPr="00D45DD7">
        <w:rPr>
          <w:color w:val="201F1E"/>
          <w:bdr w:val="none" w:sz="0" w:space="0" w:color="auto" w:frame="1"/>
        </w:rPr>
        <w:t>when</w:t>
      </w:r>
      <w:r w:rsidR="007A7AAB" w:rsidRPr="00D45DD7">
        <w:rPr>
          <w:color w:val="201F1E"/>
          <w:bdr w:val="none" w:sz="0" w:space="0" w:color="auto" w:frame="1"/>
        </w:rPr>
        <w:t xml:space="preserve"> </w:t>
      </w:r>
      <w:r w:rsidR="004F6FE0" w:rsidRPr="00D45DD7">
        <w:rPr>
          <w:color w:val="201F1E"/>
          <w:bdr w:val="none" w:sz="0" w:space="0" w:color="auto" w:frame="1"/>
        </w:rPr>
        <w:t>AD</w:t>
      </w:r>
      <w:r w:rsidR="007A7AAB" w:rsidRPr="00D45DD7">
        <w:rPr>
          <w:color w:val="201F1E"/>
          <w:bdr w:val="none" w:sz="0" w:space="0" w:color="auto" w:frame="1"/>
        </w:rPr>
        <w:t xml:space="preserve"> has become</w:t>
      </w:r>
      <w:r w:rsidR="00A313E4" w:rsidRPr="00D45DD7">
        <w:rPr>
          <w:color w:val="201F1E"/>
          <w:bdr w:val="none" w:sz="0" w:space="0" w:color="auto" w:frame="1"/>
        </w:rPr>
        <w:t xml:space="preserve"> </w:t>
      </w:r>
      <w:r w:rsidR="007A7AAB" w:rsidRPr="00D45DD7">
        <w:rPr>
          <w:color w:val="201F1E"/>
          <w:bdr w:val="none" w:sz="0" w:space="0" w:color="auto" w:frame="1"/>
        </w:rPr>
        <w:t>well-controlled</w:t>
      </w:r>
      <w:r w:rsidR="007F1054" w:rsidRPr="00D45DD7">
        <w:rPr>
          <w:color w:val="201F1E"/>
          <w:bdr w:val="none" w:sz="0" w:space="0" w:color="auto" w:frame="1"/>
        </w:rPr>
        <w:t>.</w:t>
      </w:r>
      <w:r w:rsidR="00A313E4" w:rsidRPr="00D45DD7">
        <w:rPr>
          <w:color w:val="201F1E"/>
          <w:bdr w:val="none" w:sz="0" w:space="0" w:color="auto" w:frame="1"/>
        </w:rPr>
        <w:t xml:space="preserve"> </w:t>
      </w:r>
      <w:r w:rsidR="007F1054" w:rsidRPr="00D45DD7">
        <w:rPr>
          <w:color w:val="201F1E"/>
          <w:bdr w:val="none" w:sz="0" w:space="0" w:color="auto" w:frame="1"/>
        </w:rPr>
        <w:t>Locally, our approach for management of AD with dupilumab has been to aim for 12 months of good disease control</w:t>
      </w:r>
      <w:r w:rsidR="00106CA9" w:rsidRPr="00D45DD7">
        <w:rPr>
          <w:color w:val="201F1E"/>
          <w:bdr w:val="none" w:sz="0" w:space="0" w:color="auto" w:frame="1"/>
        </w:rPr>
        <w:t>,</w:t>
      </w:r>
      <w:r w:rsidR="007F1054" w:rsidRPr="00D45DD7">
        <w:rPr>
          <w:color w:val="201F1E"/>
          <w:bdr w:val="none" w:sz="0" w:space="0" w:color="auto" w:frame="1"/>
        </w:rPr>
        <w:t xml:space="preserve"> </w:t>
      </w:r>
      <w:r w:rsidR="001D4171" w:rsidRPr="00D45DD7">
        <w:rPr>
          <w:color w:val="201F1E"/>
          <w:bdr w:val="none" w:sz="0" w:space="0" w:color="auto" w:frame="1"/>
        </w:rPr>
        <w:t xml:space="preserve">as indicated by disease clear or nearly clear </w:t>
      </w:r>
      <w:r w:rsidR="007F1054" w:rsidRPr="00D45DD7">
        <w:rPr>
          <w:color w:val="201F1E"/>
          <w:bdr w:val="none" w:sz="0" w:space="0" w:color="auto" w:frame="1"/>
        </w:rPr>
        <w:t>(</w:t>
      </w:r>
      <w:r w:rsidR="00A81AA1" w:rsidRPr="00D45DD7">
        <w:rPr>
          <w:color w:val="201F1E"/>
          <w:bdr w:val="none" w:sz="0" w:space="0" w:color="auto" w:frame="1"/>
        </w:rPr>
        <w:t xml:space="preserve">modified </w:t>
      </w:r>
      <w:r w:rsidR="001D4171" w:rsidRPr="00D45DD7">
        <w:rPr>
          <w:color w:val="201F1E"/>
          <w:bdr w:val="none" w:sz="0" w:space="0" w:color="auto" w:frame="1"/>
        </w:rPr>
        <w:t xml:space="preserve">Investigators global assessment, </w:t>
      </w:r>
      <w:r w:rsidR="007F1054" w:rsidRPr="00D45DD7">
        <w:rPr>
          <w:color w:val="201F1E"/>
          <w:bdr w:val="none" w:sz="0" w:space="0" w:color="auto" w:frame="1"/>
        </w:rPr>
        <w:t>IGA</w:t>
      </w:r>
      <w:r w:rsidR="001D4171" w:rsidRPr="00D45DD7">
        <w:rPr>
          <w:color w:val="201F1E"/>
          <w:bdr w:val="none" w:sz="0" w:space="0" w:color="auto" w:frame="1"/>
        </w:rPr>
        <w:t xml:space="preserve">, equal to </w:t>
      </w:r>
      <w:r w:rsidR="007F1054" w:rsidRPr="00D45DD7">
        <w:rPr>
          <w:color w:val="201F1E"/>
          <w:bdr w:val="none" w:sz="0" w:space="0" w:color="auto" w:frame="1"/>
        </w:rPr>
        <w:t xml:space="preserve">0 or 1). In those who achieved this measure, </w:t>
      </w:r>
      <w:r w:rsidR="00C40D59" w:rsidRPr="00D45DD7">
        <w:rPr>
          <w:color w:val="201F1E"/>
          <w:bdr w:val="none" w:sz="0" w:space="0" w:color="auto" w:frame="1"/>
        </w:rPr>
        <w:t xml:space="preserve">with a patient-physician shared decision making approach, we </w:t>
      </w:r>
      <w:r w:rsidR="007F1054" w:rsidRPr="00D45DD7">
        <w:rPr>
          <w:color w:val="201F1E"/>
          <w:bdr w:val="none" w:sz="0" w:space="0" w:color="auto" w:frame="1"/>
        </w:rPr>
        <w:t>offered a trial of dose reduction</w:t>
      </w:r>
      <w:r w:rsidR="00B03632" w:rsidRPr="00D45DD7">
        <w:rPr>
          <w:color w:val="201F1E"/>
          <w:bdr w:val="none" w:sz="0" w:space="0" w:color="auto" w:frame="1"/>
        </w:rPr>
        <w:t xml:space="preserve">. </w:t>
      </w:r>
      <w:r w:rsidR="007F1054" w:rsidRPr="00D45DD7">
        <w:rPr>
          <w:color w:val="201F1E"/>
          <w:bdr w:val="none" w:sz="0" w:space="0" w:color="auto" w:frame="1"/>
        </w:rPr>
        <w:t xml:space="preserve">Here, </w:t>
      </w:r>
      <w:r w:rsidR="00A313E4" w:rsidRPr="00D45DD7">
        <w:rPr>
          <w:color w:val="201F1E"/>
          <w:bdr w:val="none" w:sz="0" w:space="0" w:color="auto" w:frame="1"/>
        </w:rPr>
        <w:t xml:space="preserve">we retrospectively </w:t>
      </w:r>
      <w:r w:rsidR="007F1054" w:rsidRPr="00D45DD7">
        <w:rPr>
          <w:color w:val="201F1E"/>
          <w:bdr w:val="none" w:sz="0" w:space="0" w:color="auto" w:frame="1"/>
        </w:rPr>
        <w:t xml:space="preserve">audit </w:t>
      </w:r>
      <w:r w:rsidR="00A313E4" w:rsidRPr="00D45DD7">
        <w:rPr>
          <w:color w:val="201F1E"/>
          <w:bdr w:val="none" w:sz="0" w:space="0" w:color="auto" w:frame="1"/>
        </w:rPr>
        <w:t xml:space="preserve">our cohort of patients on </w:t>
      </w:r>
      <w:r w:rsidR="007F1054" w:rsidRPr="00D45DD7">
        <w:rPr>
          <w:color w:val="201F1E"/>
          <w:bdr w:val="none" w:sz="0" w:space="0" w:color="auto" w:frame="1"/>
        </w:rPr>
        <w:t xml:space="preserve">dupilumab </w:t>
      </w:r>
      <w:r w:rsidR="00A313E4" w:rsidRPr="00D45DD7">
        <w:rPr>
          <w:color w:val="201F1E"/>
          <w:bdr w:val="none" w:sz="0" w:space="0" w:color="auto" w:frame="1"/>
        </w:rPr>
        <w:t xml:space="preserve">at </w:t>
      </w:r>
      <w:r w:rsidR="00106CA9" w:rsidRPr="00D45DD7">
        <w:rPr>
          <w:color w:val="201F1E"/>
          <w:bdr w:val="none" w:sz="0" w:space="0" w:color="auto" w:frame="1"/>
        </w:rPr>
        <w:t xml:space="preserve">the </w:t>
      </w:r>
      <w:r w:rsidR="007F1054" w:rsidRPr="00D45DD7">
        <w:rPr>
          <w:color w:val="201F1E"/>
          <w:bdr w:val="none" w:sz="0" w:space="0" w:color="auto" w:frame="1"/>
        </w:rPr>
        <w:t>reduced</w:t>
      </w:r>
      <w:r w:rsidR="00A64E09" w:rsidRPr="00D45DD7">
        <w:rPr>
          <w:color w:val="201F1E"/>
          <w:bdr w:val="none" w:sz="0" w:space="0" w:color="auto" w:frame="1"/>
        </w:rPr>
        <w:t xml:space="preserve"> dose.</w:t>
      </w:r>
      <w:r w:rsidR="0093509D" w:rsidRPr="00D45DD7">
        <w:rPr>
          <w:color w:val="201F1E"/>
          <w:bdr w:val="none" w:sz="0" w:space="0" w:color="auto" w:frame="1"/>
        </w:rPr>
        <w:t xml:space="preserve"> </w:t>
      </w:r>
    </w:p>
    <w:p w14:paraId="610A565D" w14:textId="77777777" w:rsidR="00C94314" w:rsidRPr="00D45DD7" w:rsidRDefault="00C94314" w:rsidP="00741FAB">
      <w:pPr>
        <w:rPr>
          <w:b/>
          <w:color w:val="201F1E"/>
          <w:bdr w:val="none" w:sz="0" w:space="0" w:color="auto" w:frame="1"/>
        </w:rPr>
      </w:pPr>
    </w:p>
    <w:p w14:paraId="3C91D72B" w14:textId="042E3F50" w:rsidR="00BA37E2" w:rsidRPr="00D45DD7" w:rsidRDefault="00405331" w:rsidP="00741FAB">
      <w:pPr>
        <w:rPr>
          <w:color w:val="201F1E"/>
          <w:bdr w:val="none" w:sz="0" w:space="0" w:color="auto" w:frame="1"/>
        </w:rPr>
      </w:pPr>
      <w:r w:rsidRPr="00D45DD7">
        <w:rPr>
          <w:color w:val="201F1E"/>
          <w:bdr w:val="none" w:sz="0" w:space="0" w:color="auto" w:frame="1"/>
        </w:rPr>
        <w:t xml:space="preserve">Following approval by the local review board, electronic records were analysed from adults treated with dupilumab for atopic dermatitis in 2020 and 2021. </w:t>
      </w:r>
      <w:r w:rsidR="007F1054" w:rsidRPr="00D45DD7">
        <w:rPr>
          <w:color w:val="201F1E"/>
          <w:bdr w:val="none" w:sz="0" w:space="0" w:color="auto" w:frame="1"/>
        </w:rPr>
        <w:t>Pre-dupilumab treatment measurements of disease severity were termed ‘baseline’, and the last measurement of disease severity on standard dose termed ‘standard’</w:t>
      </w:r>
      <w:r w:rsidR="001D4171" w:rsidRPr="00D45DD7">
        <w:rPr>
          <w:color w:val="201F1E"/>
          <w:bdr w:val="none" w:sz="0" w:space="0" w:color="auto" w:frame="1"/>
        </w:rPr>
        <w:t>.</w:t>
      </w:r>
      <w:r w:rsidR="00124F3F" w:rsidRPr="00D45DD7">
        <w:rPr>
          <w:color w:val="201F1E"/>
          <w:bdr w:val="none" w:sz="0" w:space="0" w:color="auto" w:frame="1"/>
        </w:rPr>
        <w:t xml:space="preserve"> </w:t>
      </w:r>
      <w:r w:rsidR="0011349C" w:rsidRPr="00D45DD7">
        <w:rPr>
          <w:color w:val="201F1E"/>
          <w:bdr w:val="none" w:sz="0" w:space="0" w:color="auto" w:frame="1"/>
        </w:rPr>
        <w:t>Cases with m</w:t>
      </w:r>
      <w:r w:rsidR="001D4171" w:rsidRPr="00D45DD7">
        <w:rPr>
          <w:color w:val="201F1E"/>
          <w:bdr w:val="none" w:sz="0" w:space="0" w:color="auto" w:frame="1"/>
        </w:rPr>
        <w:t>issing disease severity data w</w:t>
      </w:r>
      <w:r w:rsidR="0011349C" w:rsidRPr="00D45DD7">
        <w:rPr>
          <w:color w:val="201F1E"/>
          <w:bdr w:val="none" w:sz="0" w:space="0" w:color="auto" w:frame="1"/>
        </w:rPr>
        <w:t>ere</w:t>
      </w:r>
      <w:r w:rsidR="001D4171" w:rsidRPr="00D45DD7">
        <w:rPr>
          <w:color w:val="201F1E"/>
          <w:bdr w:val="none" w:sz="0" w:space="0" w:color="auto" w:frame="1"/>
        </w:rPr>
        <w:t xml:space="preserve"> excluded</w:t>
      </w:r>
      <w:r w:rsidR="0011599C" w:rsidRPr="00D45DD7">
        <w:rPr>
          <w:color w:val="201F1E"/>
          <w:bdr w:val="none" w:sz="0" w:space="0" w:color="auto" w:frame="1"/>
        </w:rPr>
        <w:t xml:space="preserve">. </w:t>
      </w:r>
      <w:r w:rsidR="00124F3F" w:rsidRPr="00D45DD7">
        <w:rPr>
          <w:color w:val="201F1E"/>
          <w:bdr w:val="none" w:sz="0" w:space="0" w:color="auto" w:frame="1"/>
        </w:rPr>
        <w:t>A</w:t>
      </w:r>
      <w:r w:rsidR="00FD5A29" w:rsidRPr="00D45DD7">
        <w:rPr>
          <w:color w:val="201F1E"/>
          <w:bdr w:val="none" w:sz="0" w:space="0" w:color="auto" w:frame="1"/>
        </w:rPr>
        <w:t xml:space="preserve"> two-tailed paired t-test was used to calculate the difference between </w:t>
      </w:r>
      <w:r w:rsidR="0011599C" w:rsidRPr="00D45DD7">
        <w:rPr>
          <w:color w:val="201F1E"/>
          <w:bdr w:val="none" w:sz="0" w:space="0" w:color="auto" w:frame="1"/>
        </w:rPr>
        <w:t xml:space="preserve">baseline, </w:t>
      </w:r>
      <w:proofErr w:type="gramStart"/>
      <w:r w:rsidR="004D5A00" w:rsidRPr="00D45DD7">
        <w:rPr>
          <w:color w:val="201F1E"/>
          <w:bdr w:val="none" w:sz="0" w:space="0" w:color="auto" w:frame="1"/>
        </w:rPr>
        <w:t>pre-treatment</w:t>
      </w:r>
      <w:proofErr w:type="gramEnd"/>
      <w:r w:rsidR="004D5A00" w:rsidRPr="00D45DD7">
        <w:rPr>
          <w:color w:val="201F1E"/>
          <w:bdr w:val="none" w:sz="0" w:space="0" w:color="auto" w:frame="1"/>
        </w:rPr>
        <w:t xml:space="preserve"> and standard dose EASI, and </w:t>
      </w:r>
      <w:r w:rsidR="008D2EA4" w:rsidRPr="00D45DD7">
        <w:rPr>
          <w:color w:val="201F1E"/>
          <w:bdr w:val="none" w:sz="0" w:space="0" w:color="auto" w:frame="1"/>
        </w:rPr>
        <w:t>Fisher exact test to compare IGA outcomes (clear or almost clear versus not)</w:t>
      </w:r>
      <w:r w:rsidR="004D5A00" w:rsidRPr="00D45DD7">
        <w:rPr>
          <w:color w:val="201F1E"/>
          <w:bdr w:val="none" w:sz="0" w:space="0" w:color="auto" w:frame="1"/>
        </w:rPr>
        <w:t xml:space="preserve">. </w:t>
      </w:r>
    </w:p>
    <w:p w14:paraId="70ADC142" w14:textId="77777777" w:rsidR="00B03632" w:rsidRPr="00D45DD7" w:rsidRDefault="00B03632" w:rsidP="00741FAB">
      <w:pPr>
        <w:rPr>
          <w:color w:val="201F1E"/>
          <w:bdr w:val="none" w:sz="0" w:space="0" w:color="auto" w:frame="1"/>
        </w:rPr>
      </w:pPr>
    </w:p>
    <w:p w14:paraId="69F82B93" w14:textId="16149240" w:rsidR="00B03632" w:rsidRPr="00D45DD7" w:rsidRDefault="00EC7BC4">
      <w:pPr>
        <w:rPr>
          <w:color w:val="201F1E"/>
          <w:bdr w:val="none" w:sz="0" w:space="0" w:color="auto" w:frame="1"/>
        </w:rPr>
      </w:pPr>
      <w:bookmarkStart w:id="0" w:name="_Hlk10123930"/>
      <w:r w:rsidRPr="00D45DD7">
        <w:rPr>
          <w:color w:val="201F1E"/>
          <w:bdr w:val="none" w:sz="0" w:space="0" w:color="auto" w:frame="1"/>
        </w:rPr>
        <w:t xml:space="preserve">All AD patients prescribed dupilumab at lower dose were included in the cohort (n=17; </w:t>
      </w:r>
      <w:r w:rsidR="004027D8" w:rsidRPr="00D45DD7">
        <w:rPr>
          <w:color w:val="201F1E"/>
          <w:bdr w:val="none" w:sz="0" w:space="0" w:color="auto" w:frame="1"/>
        </w:rPr>
        <w:t>mean age 41.</w:t>
      </w:r>
      <w:r w:rsidRPr="00D45DD7">
        <w:rPr>
          <w:color w:val="201F1E"/>
          <w:bdr w:val="none" w:sz="0" w:space="0" w:color="auto" w:frame="1"/>
        </w:rPr>
        <w:t xml:space="preserve">5 </w:t>
      </w:r>
      <w:r w:rsidR="0011349C" w:rsidRPr="00D45DD7">
        <w:rPr>
          <w:color w:val="201F1E"/>
          <w:bdr w:val="none" w:sz="0" w:space="0" w:color="auto" w:frame="1"/>
        </w:rPr>
        <w:t>years</w:t>
      </w:r>
      <w:r w:rsidRPr="00D45DD7">
        <w:rPr>
          <w:color w:val="201F1E"/>
          <w:bdr w:val="none" w:sz="0" w:space="0" w:color="auto" w:frame="1"/>
        </w:rPr>
        <w:t xml:space="preserve">; </w:t>
      </w:r>
      <w:r w:rsidR="004027D8" w:rsidRPr="00D45DD7">
        <w:rPr>
          <w:color w:val="201F1E"/>
          <w:bdr w:val="none" w:sz="0" w:space="0" w:color="auto" w:frame="1"/>
        </w:rPr>
        <w:t>female</w:t>
      </w:r>
      <w:r w:rsidR="0011349C" w:rsidRPr="00D45DD7">
        <w:rPr>
          <w:color w:val="201F1E"/>
          <w:bdr w:val="none" w:sz="0" w:space="0" w:color="auto" w:frame="1"/>
        </w:rPr>
        <w:t>s</w:t>
      </w:r>
      <w:r w:rsidR="004027D8" w:rsidRPr="00D45DD7">
        <w:rPr>
          <w:color w:val="201F1E"/>
          <w:bdr w:val="none" w:sz="0" w:space="0" w:color="auto" w:frame="1"/>
        </w:rPr>
        <w:t xml:space="preserve"> 11.67</w:t>
      </w:r>
      <w:r w:rsidR="00E20BAB" w:rsidRPr="00D45DD7">
        <w:rPr>
          <w:color w:val="201F1E"/>
          <w:bdr w:val="none" w:sz="0" w:space="0" w:color="auto" w:frame="1"/>
        </w:rPr>
        <w:t>%</w:t>
      </w:r>
      <w:r w:rsidR="005970B7" w:rsidRPr="00D45DD7">
        <w:rPr>
          <w:color w:val="201F1E"/>
          <w:bdr w:val="none" w:sz="0" w:space="0" w:color="auto" w:frame="1"/>
        </w:rPr>
        <w:t>)</w:t>
      </w:r>
      <w:r w:rsidR="001D4171" w:rsidRPr="00D45DD7">
        <w:rPr>
          <w:color w:val="201F1E"/>
          <w:bdr w:val="none" w:sz="0" w:space="0" w:color="auto" w:frame="1"/>
        </w:rPr>
        <w:t xml:space="preserve">. </w:t>
      </w:r>
      <w:r w:rsidR="00942CE8" w:rsidRPr="00D45DD7">
        <w:rPr>
          <w:color w:val="201F1E"/>
          <w:bdr w:val="none" w:sz="0" w:space="0" w:color="auto" w:frame="1"/>
        </w:rPr>
        <w:t xml:space="preserve"> </w:t>
      </w:r>
      <w:r w:rsidRPr="00D45DD7">
        <w:rPr>
          <w:color w:val="201F1E"/>
          <w:bdr w:val="none" w:sz="0" w:space="0" w:color="auto" w:frame="1"/>
        </w:rPr>
        <w:t>A</w:t>
      </w:r>
      <w:r w:rsidR="0011349C" w:rsidRPr="00D45DD7">
        <w:rPr>
          <w:color w:val="201F1E"/>
          <w:bdr w:val="none" w:sz="0" w:space="0" w:color="auto" w:frame="1"/>
        </w:rPr>
        <w:t>ll</w:t>
      </w:r>
      <w:r w:rsidRPr="00D45DD7">
        <w:rPr>
          <w:color w:val="201F1E"/>
          <w:bdr w:val="none" w:sz="0" w:space="0" w:color="auto" w:frame="1"/>
        </w:rPr>
        <w:t xml:space="preserve"> included</w:t>
      </w:r>
      <w:r w:rsidR="0011349C" w:rsidRPr="00D45DD7">
        <w:rPr>
          <w:color w:val="201F1E"/>
          <w:bdr w:val="none" w:sz="0" w:space="0" w:color="auto" w:frame="1"/>
        </w:rPr>
        <w:t xml:space="preserve"> cases </w:t>
      </w:r>
      <w:r w:rsidR="00B03632" w:rsidRPr="00D45DD7">
        <w:rPr>
          <w:color w:val="201F1E"/>
          <w:bdr w:val="none" w:sz="0" w:space="0" w:color="auto" w:frame="1"/>
        </w:rPr>
        <w:t xml:space="preserve">were initially prescribed standard dose treatment with dupilumab (300mg alternate weekly) and </w:t>
      </w:r>
      <w:r w:rsidR="0011349C" w:rsidRPr="00D45DD7">
        <w:rPr>
          <w:color w:val="201F1E"/>
          <w:bdr w:val="none" w:sz="0" w:space="0" w:color="auto" w:frame="1"/>
        </w:rPr>
        <w:t>had shown</w:t>
      </w:r>
      <w:r w:rsidR="00D970AF" w:rsidRPr="00D45DD7">
        <w:rPr>
          <w:color w:val="201F1E"/>
          <w:bdr w:val="none" w:sz="0" w:space="0" w:color="auto" w:frame="1"/>
        </w:rPr>
        <w:t xml:space="preserve"> a significant </w:t>
      </w:r>
      <w:r w:rsidRPr="00D45DD7">
        <w:rPr>
          <w:color w:val="201F1E"/>
          <w:bdr w:val="none" w:sz="0" w:space="0" w:color="auto" w:frame="1"/>
        </w:rPr>
        <w:t>improvement in</w:t>
      </w:r>
      <w:r w:rsidR="00D970AF" w:rsidRPr="00D45DD7">
        <w:rPr>
          <w:color w:val="201F1E"/>
          <w:bdr w:val="none" w:sz="0" w:space="0" w:color="auto" w:frame="1"/>
        </w:rPr>
        <w:t xml:space="preserve"> EASI</w:t>
      </w:r>
      <w:r w:rsidRPr="00D45DD7">
        <w:rPr>
          <w:color w:val="201F1E"/>
          <w:bdr w:val="none" w:sz="0" w:space="0" w:color="auto" w:frame="1"/>
        </w:rPr>
        <w:t xml:space="preserve"> </w:t>
      </w:r>
      <w:r w:rsidR="00D970AF" w:rsidRPr="00D45DD7">
        <w:rPr>
          <w:color w:val="201F1E"/>
          <w:bdr w:val="none" w:sz="0" w:space="0" w:color="auto" w:frame="1"/>
        </w:rPr>
        <w:t>(mean EASI -16.05, P=0.0039 [-25.47, -6.62</w:t>
      </w:r>
      <w:r w:rsidRPr="00D45DD7">
        <w:rPr>
          <w:color w:val="201F1E"/>
          <w:bdr w:val="none" w:sz="0" w:space="0" w:color="auto" w:frame="1"/>
        </w:rPr>
        <w:t>])</w:t>
      </w:r>
      <w:r w:rsidR="00B03632" w:rsidRPr="00D45DD7">
        <w:rPr>
          <w:color w:val="201F1E"/>
          <w:bdr w:val="none" w:sz="0" w:space="0" w:color="auto" w:frame="1"/>
        </w:rPr>
        <w:t xml:space="preserve">. </w:t>
      </w:r>
      <w:r w:rsidR="008F1C6E" w:rsidRPr="00D45DD7">
        <w:rPr>
          <w:color w:val="201F1E"/>
          <w:bdr w:val="none" w:sz="0" w:space="0" w:color="auto" w:frame="1"/>
        </w:rPr>
        <w:t>1</w:t>
      </w:r>
      <w:r w:rsidR="00973A10" w:rsidRPr="00D45DD7">
        <w:rPr>
          <w:color w:val="201F1E"/>
          <w:bdr w:val="none" w:sz="0" w:space="0" w:color="auto" w:frame="1"/>
        </w:rPr>
        <w:t xml:space="preserve">00% </w:t>
      </w:r>
      <w:r w:rsidRPr="00D45DD7">
        <w:rPr>
          <w:color w:val="201F1E"/>
          <w:bdr w:val="none" w:sz="0" w:space="0" w:color="auto" w:frame="1"/>
        </w:rPr>
        <w:t xml:space="preserve">had achieved </w:t>
      </w:r>
      <w:r w:rsidR="001D4171" w:rsidRPr="00D45DD7">
        <w:rPr>
          <w:color w:val="201F1E"/>
          <w:bdr w:val="none" w:sz="0" w:space="0" w:color="auto" w:frame="1"/>
        </w:rPr>
        <w:t xml:space="preserve">the NICE recommended target </w:t>
      </w:r>
      <w:r w:rsidR="00973A10" w:rsidRPr="00D45DD7">
        <w:rPr>
          <w:color w:val="201F1E"/>
          <w:bdr w:val="none" w:sz="0" w:space="0" w:color="auto" w:frame="1"/>
        </w:rPr>
        <w:t>EASI</w:t>
      </w:r>
      <w:r w:rsidR="001D4171" w:rsidRPr="00D45DD7">
        <w:rPr>
          <w:color w:val="201F1E"/>
          <w:bdr w:val="none" w:sz="0" w:space="0" w:color="auto" w:frame="1"/>
        </w:rPr>
        <w:t xml:space="preserve"> </w:t>
      </w:r>
      <w:r w:rsidR="00973A10" w:rsidRPr="00D45DD7">
        <w:rPr>
          <w:color w:val="201F1E"/>
          <w:bdr w:val="none" w:sz="0" w:space="0" w:color="auto" w:frame="1"/>
        </w:rPr>
        <w:t>50</w:t>
      </w:r>
      <w:r w:rsidR="001D4171" w:rsidRPr="00D45DD7">
        <w:rPr>
          <w:color w:val="201F1E"/>
          <w:bdr w:val="none" w:sz="0" w:space="0" w:color="auto" w:frame="1"/>
        </w:rPr>
        <w:t xml:space="preserve">, whereas </w:t>
      </w:r>
      <w:r w:rsidR="00973A10" w:rsidRPr="00D45DD7">
        <w:rPr>
          <w:color w:val="201F1E"/>
          <w:bdr w:val="none" w:sz="0" w:space="0" w:color="auto" w:frame="1"/>
        </w:rPr>
        <w:t xml:space="preserve">only 70% </w:t>
      </w:r>
      <w:r w:rsidR="0011349C" w:rsidRPr="00D45DD7">
        <w:rPr>
          <w:color w:val="201F1E"/>
          <w:bdr w:val="none" w:sz="0" w:space="0" w:color="auto" w:frame="1"/>
        </w:rPr>
        <w:t xml:space="preserve">achieved </w:t>
      </w:r>
      <w:r w:rsidR="00973A10" w:rsidRPr="00D45DD7">
        <w:rPr>
          <w:color w:val="201F1E"/>
          <w:bdr w:val="none" w:sz="0" w:space="0" w:color="auto" w:frame="1"/>
        </w:rPr>
        <w:t>EASI</w:t>
      </w:r>
      <w:r w:rsidR="001D4171" w:rsidRPr="00D45DD7">
        <w:rPr>
          <w:color w:val="201F1E"/>
          <w:bdr w:val="none" w:sz="0" w:space="0" w:color="auto" w:frame="1"/>
        </w:rPr>
        <w:t xml:space="preserve"> </w:t>
      </w:r>
      <w:r w:rsidR="00973A10" w:rsidRPr="00D45DD7">
        <w:rPr>
          <w:color w:val="201F1E"/>
          <w:bdr w:val="none" w:sz="0" w:space="0" w:color="auto" w:frame="1"/>
        </w:rPr>
        <w:t>75</w:t>
      </w:r>
      <w:r w:rsidR="001D4171" w:rsidRPr="00D45DD7">
        <w:rPr>
          <w:color w:val="201F1E"/>
          <w:bdr w:val="none" w:sz="0" w:space="0" w:color="auto" w:frame="1"/>
        </w:rPr>
        <w:t xml:space="preserve"> and</w:t>
      </w:r>
      <w:r w:rsidR="00973A10" w:rsidRPr="00D45DD7">
        <w:rPr>
          <w:color w:val="201F1E"/>
          <w:bdr w:val="none" w:sz="0" w:space="0" w:color="auto" w:frame="1"/>
        </w:rPr>
        <w:t xml:space="preserve"> 50% achieved </w:t>
      </w:r>
      <w:r w:rsidR="0011349C" w:rsidRPr="00D45DD7">
        <w:rPr>
          <w:color w:val="201F1E"/>
          <w:bdr w:val="none" w:sz="0" w:space="0" w:color="auto" w:frame="1"/>
        </w:rPr>
        <w:t xml:space="preserve">the most stringent </w:t>
      </w:r>
      <w:r w:rsidR="00973A10" w:rsidRPr="00D45DD7">
        <w:rPr>
          <w:color w:val="201F1E"/>
          <w:bdr w:val="none" w:sz="0" w:space="0" w:color="auto" w:frame="1"/>
        </w:rPr>
        <w:t>EASI</w:t>
      </w:r>
      <w:r w:rsidR="001D4171" w:rsidRPr="00D45DD7">
        <w:rPr>
          <w:color w:val="201F1E"/>
          <w:bdr w:val="none" w:sz="0" w:space="0" w:color="auto" w:frame="1"/>
        </w:rPr>
        <w:t xml:space="preserve"> </w:t>
      </w:r>
      <w:r w:rsidR="00973A10" w:rsidRPr="00D45DD7">
        <w:rPr>
          <w:color w:val="201F1E"/>
          <w:bdr w:val="none" w:sz="0" w:space="0" w:color="auto" w:frame="1"/>
        </w:rPr>
        <w:t>90</w:t>
      </w:r>
      <w:r w:rsidR="0011349C" w:rsidRPr="00D45DD7">
        <w:rPr>
          <w:color w:val="201F1E"/>
          <w:bdr w:val="none" w:sz="0" w:space="0" w:color="auto" w:frame="1"/>
        </w:rPr>
        <w:t xml:space="preserve"> target</w:t>
      </w:r>
      <w:r w:rsidR="001D4171" w:rsidRPr="00D45DD7">
        <w:rPr>
          <w:color w:val="201F1E"/>
          <w:bdr w:val="none" w:sz="0" w:space="0" w:color="auto" w:frame="1"/>
        </w:rPr>
        <w:t xml:space="preserve">. </w:t>
      </w:r>
    </w:p>
    <w:p w14:paraId="2544D640" w14:textId="77777777" w:rsidR="00B03632" w:rsidRPr="00D45DD7" w:rsidRDefault="00B03632">
      <w:pPr>
        <w:rPr>
          <w:color w:val="201F1E"/>
          <w:bdr w:val="none" w:sz="0" w:space="0" w:color="auto" w:frame="1"/>
        </w:rPr>
      </w:pPr>
    </w:p>
    <w:p w14:paraId="33956B57" w14:textId="11C692C9" w:rsidR="00942CE8" w:rsidRPr="00D45DD7" w:rsidRDefault="00B03632">
      <w:pPr>
        <w:rPr>
          <w:color w:val="201F1E"/>
          <w:bdr w:val="none" w:sz="0" w:space="0" w:color="auto" w:frame="1"/>
        </w:rPr>
      </w:pPr>
      <w:r w:rsidRPr="00D45DD7">
        <w:rPr>
          <w:color w:val="201F1E"/>
          <w:bdr w:val="none" w:sz="0" w:space="0" w:color="auto" w:frame="1"/>
        </w:rPr>
        <w:t>Dose reduction was undertaken by changing standard doses to</w:t>
      </w:r>
      <w:r w:rsidR="00A81AA1" w:rsidRPr="00D45DD7">
        <w:rPr>
          <w:color w:val="201F1E"/>
          <w:bdr w:val="none" w:sz="0" w:space="0" w:color="auto" w:frame="1"/>
        </w:rPr>
        <w:t xml:space="preserve"> 300mg</w:t>
      </w:r>
      <w:r w:rsidRPr="00D45DD7">
        <w:rPr>
          <w:color w:val="201F1E"/>
          <w:bdr w:val="none" w:sz="0" w:space="0" w:color="auto" w:frame="1"/>
        </w:rPr>
        <w:t xml:space="preserve"> three or four weekly</w:t>
      </w:r>
      <w:r w:rsidR="00DF0DD5" w:rsidRPr="00D45DD7">
        <w:rPr>
          <w:color w:val="201F1E"/>
          <w:bdr w:val="none" w:sz="0" w:space="0" w:color="auto" w:frame="1"/>
        </w:rPr>
        <w:t xml:space="preserve"> as per patient centred discussion.</w:t>
      </w:r>
      <w:r w:rsidRPr="00D45DD7">
        <w:rPr>
          <w:color w:val="201F1E"/>
          <w:bdr w:val="none" w:sz="0" w:space="0" w:color="auto" w:frame="1"/>
        </w:rPr>
        <w:t xml:space="preserve"> In one case the dose was reduced to 200mg alternate weekly. </w:t>
      </w:r>
      <w:r w:rsidR="001D4171" w:rsidRPr="00D45DD7">
        <w:rPr>
          <w:color w:val="201F1E"/>
          <w:bdr w:val="none" w:sz="0" w:space="0" w:color="auto" w:frame="1"/>
        </w:rPr>
        <w:t>After dose reduction</w:t>
      </w:r>
      <w:r w:rsidR="00AB7170" w:rsidRPr="00D45DD7">
        <w:rPr>
          <w:color w:val="201F1E"/>
          <w:bdr w:val="none" w:sz="0" w:space="0" w:color="auto" w:frame="1"/>
        </w:rPr>
        <w:t xml:space="preserve"> disease severity was assessed at approximately 12 months (mean 12.4 months).</w:t>
      </w:r>
      <w:r w:rsidR="001D4171" w:rsidRPr="00D45DD7">
        <w:rPr>
          <w:color w:val="201F1E"/>
          <w:bdr w:val="none" w:sz="0" w:space="0" w:color="auto" w:frame="1"/>
        </w:rPr>
        <w:t xml:space="preserve"> </w:t>
      </w:r>
      <w:r w:rsidR="00F6497F" w:rsidRPr="00D45DD7">
        <w:rPr>
          <w:color w:val="201F1E"/>
          <w:bdr w:val="none" w:sz="0" w:space="0" w:color="auto" w:frame="1"/>
        </w:rPr>
        <w:t xml:space="preserve">100% </w:t>
      </w:r>
      <w:r w:rsidR="00AB7170" w:rsidRPr="00D45DD7">
        <w:rPr>
          <w:color w:val="201F1E"/>
          <w:bdr w:val="none" w:sz="0" w:space="0" w:color="auto" w:frame="1"/>
        </w:rPr>
        <w:t xml:space="preserve">of dose reduced AD patients </w:t>
      </w:r>
      <w:r w:rsidR="00F6497F" w:rsidRPr="00D45DD7">
        <w:rPr>
          <w:color w:val="201F1E"/>
          <w:bdr w:val="none" w:sz="0" w:space="0" w:color="auto" w:frame="1"/>
        </w:rPr>
        <w:t>maintained EASI 50 and the proportion of patients achieving EASI 75 and EASI 90 increased to 86% and 57% respectively</w:t>
      </w:r>
      <w:r w:rsidR="00F6497F" w:rsidRPr="00D45DD7" w:rsidDel="00F6497F">
        <w:rPr>
          <w:color w:val="201F1E"/>
          <w:bdr w:val="none" w:sz="0" w:space="0" w:color="auto" w:frame="1"/>
        </w:rPr>
        <w:t xml:space="preserve"> </w:t>
      </w:r>
      <w:r w:rsidR="00D970AF" w:rsidRPr="00D45DD7">
        <w:rPr>
          <w:color w:val="201F1E"/>
          <w:bdr w:val="none" w:sz="0" w:space="0" w:color="auto" w:frame="1"/>
        </w:rPr>
        <w:t>(Fig. 1a)</w:t>
      </w:r>
      <w:r w:rsidR="0051316B" w:rsidRPr="00D45DD7">
        <w:rPr>
          <w:color w:val="201F1E"/>
          <w:bdr w:val="none" w:sz="0" w:space="0" w:color="auto" w:frame="1"/>
        </w:rPr>
        <w:t>.</w:t>
      </w:r>
      <w:r w:rsidR="00D970AF" w:rsidRPr="00D45DD7">
        <w:rPr>
          <w:color w:val="201F1E"/>
          <w:bdr w:val="none" w:sz="0" w:space="0" w:color="auto" w:frame="1"/>
        </w:rPr>
        <w:t xml:space="preserve"> </w:t>
      </w:r>
      <w:r w:rsidR="007E5606" w:rsidRPr="00D45DD7">
        <w:rPr>
          <w:color w:val="201F1E"/>
          <w:bdr w:val="none" w:sz="0" w:space="0" w:color="auto" w:frame="1"/>
        </w:rPr>
        <w:t>M</w:t>
      </w:r>
      <w:r w:rsidR="001D4171" w:rsidRPr="00D45DD7">
        <w:rPr>
          <w:color w:val="201F1E"/>
          <w:bdr w:val="none" w:sz="0" w:space="0" w:color="auto" w:frame="1"/>
        </w:rPr>
        <w:t>ean IGA</w:t>
      </w:r>
      <w:r w:rsidR="007E5606" w:rsidRPr="00D45DD7">
        <w:rPr>
          <w:color w:val="201F1E"/>
          <w:bdr w:val="none" w:sz="0" w:space="0" w:color="auto" w:frame="1"/>
        </w:rPr>
        <w:t xml:space="preserve"> </w:t>
      </w:r>
      <w:r w:rsidR="001D4171" w:rsidRPr="00D45DD7">
        <w:rPr>
          <w:color w:val="201F1E"/>
          <w:bdr w:val="none" w:sz="0" w:space="0" w:color="auto" w:frame="1"/>
        </w:rPr>
        <w:t>in the dose reduction cohort was higher (1.42) than standard dose (1.00)</w:t>
      </w:r>
      <w:r w:rsidR="007E5606" w:rsidRPr="00D45DD7">
        <w:rPr>
          <w:color w:val="201F1E"/>
          <w:bdr w:val="none" w:sz="0" w:space="0" w:color="auto" w:frame="1"/>
        </w:rPr>
        <w:t xml:space="preserve"> but this was not statistically significant (p =0.</w:t>
      </w:r>
      <w:r w:rsidR="00E62979" w:rsidRPr="00D45DD7">
        <w:rPr>
          <w:color w:val="201F1E"/>
          <w:bdr w:val="none" w:sz="0" w:space="0" w:color="auto" w:frame="1"/>
        </w:rPr>
        <w:t>21</w:t>
      </w:r>
      <w:r w:rsidR="005970B7" w:rsidRPr="00D45DD7">
        <w:rPr>
          <w:color w:val="201F1E"/>
          <w:bdr w:val="none" w:sz="0" w:space="0" w:color="auto" w:frame="1"/>
        </w:rPr>
        <w:t>, Fig 1b</w:t>
      </w:r>
      <w:r w:rsidR="007E5606" w:rsidRPr="00D45DD7">
        <w:rPr>
          <w:color w:val="201F1E"/>
          <w:bdr w:val="none" w:sz="0" w:space="0" w:color="auto" w:frame="1"/>
        </w:rPr>
        <w:t>)</w:t>
      </w:r>
      <w:r w:rsidR="001D4171" w:rsidRPr="00D45DD7">
        <w:rPr>
          <w:color w:val="201F1E"/>
          <w:bdr w:val="none" w:sz="0" w:space="0" w:color="auto" w:frame="1"/>
        </w:rPr>
        <w:t xml:space="preserve">. </w:t>
      </w:r>
      <w:r w:rsidR="00D970AF" w:rsidRPr="00D45DD7">
        <w:rPr>
          <w:bCs/>
          <w:color w:val="201F1E"/>
          <w:bdr w:val="none" w:sz="0" w:space="0" w:color="auto" w:frame="1"/>
        </w:rPr>
        <w:t xml:space="preserve">Comparing baseline and reduced dose </w:t>
      </w:r>
      <w:r w:rsidR="008F1C6E" w:rsidRPr="00D45DD7">
        <w:rPr>
          <w:color w:val="201F1E"/>
          <w:bdr w:val="none" w:sz="0" w:space="0" w:color="auto" w:frame="1"/>
        </w:rPr>
        <w:t>EASI score</w:t>
      </w:r>
      <w:r w:rsidR="0003405C" w:rsidRPr="00D45DD7">
        <w:rPr>
          <w:color w:val="201F1E"/>
          <w:bdr w:val="none" w:sz="0" w:space="0" w:color="auto" w:frame="1"/>
        </w:rPr>
        <w:t>s</w:t>
      </w:r>
      <w:r w:rsidR="008F1C6E" w:rsidRPr="00D45DD7">
        <w:rPr>
          <w:color w:val="201F1E"/>
          <w:bdr w:val="none" w:sz="0" w:space="0" w:color="auto" w:frame="1"/>
        </w:rPr>
        <w:t xml:space="preserve"> </w:t>
      </w:r>
      <w:r w:rsidR="0007551F" w:rsidRPr="00D45DD7">
        <w:rPr>
          <w:color w:val="201F1E"/>
          <w:bdr w:val="none" w:sz="0" w:space="0" w:color="auto" w:frame="1"/>
        </w:rPr>
        <w:t>demonstrated</w:t>
      </w:r>
      <w:r w:rsidR="00AB7170" w:rsidRPr="00D45DD7">
        <w:rPr>
          <w:color w:val="201F1E"/>
          <w:bdr w:val="none" w:sz="0" w:space="0" w:color="auto" w:frame="1"/>
        </w:rPr>
        <w:t xml:space="preserve"> that </w:t>
      </w:r>
      <w:r w:rsidR="00D970AF" w:rsidRPr="00D45DD7">
        <w:rPr>
          <w:color w:val="201F1E"/>
          <w:bdr w:val="none" w:sz="0" w:space="0" w:color="auto" w:frame="1"/>
        </w:rPr>
        <w:t xml:space="preserve">disease </w:t>
      </w:r>
      <w:r w:rsidR="00AB7170" w:rsidRPr="00D45DD7">
        <w:rPr>
          <w:color w:val="201F1E"/>
          <w:bdr w:val="none" w:sz="0" w:space="0" w:color="auto" w:frame="1"/>
        </w:rPr>
        <w:t>control</w:t>
      </w:r>
      <w:r w:rsidR="00D970AF" w:rsidRPr="00D45DD7">
        <w:rPr>
          <w:color w:val="201F1E"/>
          <w:bdr w:val="none" w:sz="0" w:space="0" w:color="auto" w:frame="1"/>
        </w:rPr>
        <w:t xml:space="preserve"> </w:t>
      </w:r>
      <w:r w:rsidR="00F60979" w:rsidRPr="00D45DD7">
        <w:rPr>
          <w:color w:val="201F1E"/>
          <w:bdr w:val="none" w:sz="0" w:space="0" w:color="auto" w:frame="1"/>
        </w:rPr>
        <w:t>w</w:t>
      </w:r>
      <w:r w:rsidR="00D970AF" w:rsidRPr="00D45DD7">
        <w:rPr>
          <w:color w:val="201F1E"/>
          <w:bdr w:val="none" w:sz="0" w:space="0" w:color="auto" w:frame="1"/>
        </w:rPr>
        <w:t>as maintained</w:t>
      </w:r>
      <w:r w:rsidR="00F60979" w:rsidRPr="00D45DD7">
        <w:rPr>
          <w:color w:val="201F1E"/>
          <w:bdr w:val="none" w:sz="0" w:space="0" w:color="auto" w:frame="1"/>
        </w:rPr>
        <w:t xml:space="preserve"> with</w:t>
      </w:r>
      <w:r w:rsidR="00D970AF" w:rsidRPr="00D45DD7">
        <w:rPr>
          <w:color w:val="201F1E"/>
          <w:bdr w:val="none" w:sz="0" w:space="0" w:color="auto" w:frame="1"/>
        </w:rPr>
        <w:t xml:space="preserve"> reduced dosing </w:t>
      </w:r>
      <w:r w:rsidR="008F1C6E" w:rsidRPr="00D45DD7">
        <w:rPr>
          <w:color w:val="201F1E"/>
          <w:bdr w:val="none" w:sz="0" w:space="0" w:color="auto" w:frame="1"/>
        </w:rPr>
        <w:t>(</w:t>
      </w:r>
      <w:r w:rsidR="00D970AF" w:rsidRPr="00D45DD7">
        <w:rPr>
          <w:color w:val="201F1E"/>
          <w:bdr w:val="none" w:sz="0" w:space="0" w:color="auto" w:frame="1"/>
        </w:rPr>
        <w:t xml:space="preserve">mean EASI </w:t>
      </w:r>
      <w:r w:rsidR="0003405C" w:rsidRPr="00D45DD7">
        <w:rPr>
          <w:color w:val="201F1E"/>
          <w:bdr w:val="none" w:sz="0" w:space="0" w:color="auto" w:frame="1"/>
        </w:rPr>
        <w:t xml:space="preserve">-20.10, </w:t>
      </w:r>
      <w:r w:rsidR="008F1C6E" w:rsidRPr="00D45DD7">
        <w:rPr>
          <w:color w:val="201F1E"/>
          <w:bdr w:val="none" w:sz="0" w:space="0" w:color="auto" w:frame="1"/>
        </w:rPr>
        <w:t>P=0.0018</w:t>
      </w:r>
      <w:r w:rsidR="00AA0901" w:rsidRPr="00D45DD7">
        <w:rPr>
          <w:color w:val="201F1E"/>
          <w:bdr w:val="none" w:sz="0" w:space="0" w:color="auto" w:frame="1"/>
        </w:rPr>
        <w:t xml:space="preserve"> [-29.30, -10.90]</w:t>
      </w:r>
      <w:r w:rsidR="008F1C6E" w:rsidRPr="00D45DD7">
        <w:rPr>
          <w:color w:val="201F1E"/>
          <w:bdr w:val="none" w:sz="0" w:space="0" w:color="auto" w:frame="1"/>
        </w:rPr>
        <w:t xml:space="preserve">). </w:t>
      </w:r>
    </w:p>
    <w:p w14:paraId="3969681D" w14:textId="1BCBF309" w:rsidR="00F5143A" w:rsidRPr="00D45DD7" w:rsidRDefault="00F5143A" w:rsidP="00741FAB">
      <w:pPr>
        <w:rPr>
          <w:color w:val="201F1E"/>
          <w:bdr w:val="none" w:sz="0" w:space="0" w:color="auto" w:frame="1"/>
        </w:rPr>
      </w:pPr>
    </w:p>
    <w:p w14:paraId="2D6BEC1F" w14:textId="174286CA" w:rsidR="00BD48DB" w:rsidRPr="00D45DD7" w:rsidRDefault="007E293B">
      <w:pPr>
        <w:rPr>
          <w:color w:val="201F1E"/>
          <w:bdr w:val="none" w:sz="0" w:space="0" w:color="auto" w:frame="1"/>
        </w:rPr>
      </w:pPr>
      <w:r w:rsidRPr="00D45DD7">
        <w:rPr>
          <w:color w:val="201F1E"/>
          <w:bdr w:val="none" w:sz="0" w:space="0" w:color="auto" w:frame="1"/>
        </w:rPr>
        <w:lastRenderedPageBreak/>
        <w:t xml:space="preserve">Limitations of this study include its small sample size and </w:t>
      </w:r>
      <w:r w:rsidR="00AB7170" w:rsidRPr="00D45DD7">
        <w:rPr>
          <w:color w:val="201F1E"/>
          <w:bdr w:val="none" w:sz="0" w:space="0" w:color="auto" w:frame="1"/>
        </w:rPr>
        <w:t>missing data</w:t>
      </w:r>
      <w:r w:rsidRPr="00D45DD7">
        <w:rPr>
          <w:color w:val="201F1E"/>
          <w:bdr w:val="none" w:sz="0" w:space="0" w:color="auto" w:frame="1"/>
        </w:rPr>
        <w:t xml:space="preserve"> caused by COVID-19. However, t</w:t>
      </w:r>
      <w:r w:rsidR="007E5606" w:rsidRPr="00D45DD7">
        <w:rPr>
          <w:color w:val="201F1E"/>
          <w:bdr w:val="none" w:sz="0" w:space="0" w:color="auto" w:frame="1"/>
        </w:rPr>
        <w:t>hese results represent early data support</w:t>
      </w:r>
      <w:r w:rsidRPr="00D45DD7">
        <w:rPr>
          <w:color w:val="201F1E"/>
          <w:bdr w:val="none" w:sz="0" w:space="0" w:color="auto" w:frame="1"/>
        </w:rPr>
        <w:t>ing</w:t>
      </w:r>
      <w:r w:rsidR="007E5606" w:rsidRPr="00D45DD7">
        <w:rPr>
          <w:color w:val="201F1E"/>
          <w:bdr w:val="none" w:sz="0" w:space="0" w:color="auto" w:frame="1"/>
        </w:rPr>
        <w:t xml:space="preserve"> the concept of dupilumab dose reduction in well controlled AD.  </w:t>
      </w:r>
      <w:r w:rsidR="00B03632" w:rsidRPr="00D45DD7">
        <w:rPr>
          <w:color w:val="201F1E"/>
          <w:bdr w:val="none" w:sz="0" w:space="0" w:color="auto" w:frame="1"/>
        </w:rPr>
        <w:t xml:space="preserve">In a recent </w:t>
      </w:r>
      <w:r w:rsidRPr="00D45DD7">
        <w:rPr>
          <w:color w:val="201F1E"/>
          <w:bdr w:val="none" w:sz="0" w:space="0" w:color="auto" w:frame="1"/>
        </w:rPr>
        <w:t xml:space="preserve">study </w:t>
      </w:r>
      <w:r w:rsidR="00B03632" w:rsidRPr="00D45DD7">
        <w:rPr>
          <w:color w:val="201F1E"/>
          <w:bdr w:val="none" w:sz="0" w:space="0" w:color="auto" w:frame="1"/>
        </w:rPr>
        <w:t xml:space="preserve">of </w:t>
      </w:r>
      <w:r w:rsidRPr="00D45DD7">
        <w:rPr>
          <w:color w:val="201F1E"/>
          <w:bdr w:val="none" w:sz="0" w:space="0" w:color="auto" w:frame="1"/>
        </w:rPr>
        <w:t xml:space="preserve">dupilumab serum drug levels </w:t>
      </w:r>
      <w:r w:rsidR="00B03632" w:rsidRPr="00D45DD7">
        <w:rPr>
          <w:color w:val="201F1E"/>
          <w:bdr w:val="none" w:sz="0" w:space="0" w:color="auto" w:frame="1"/>
        </w:rPr>
        <w:t xml:space="preserve">83-87% of cases </w:t>
      </w:r>
      <w:r w:rsidR="00434AE8" w:rsidRPr="00D45DD7">
        <w:rPr>
          <w:color w:val="201F1E"/>
          <w:bdr w:val="none" w:sz="0" w:space="0" w:color="auto" w:frame="1"/>
        </w:rPr>
        <w:t>maintained</w:t>
      </w:r>
      <w:r w:rsidR="00B03632" w:rsidRPr="00D45DD7">
        <w:rPr>
          <w:color w:val="201F1E"/>
          <w:bdr w:val="none" w:sz="0" w:space="0" w:color="auto" w:frame="1"/>
        </w:rPr>
        <w:t xml:space="preserve"> </w:t>
      </w:r>
      <w:r w:rsidRPr="00D45DD7">
        <w:rPr>
          <w:color w:val="201F1E"/>
          <w:bdr w:val="none" w:sz="0" w:space="0" w:color="auto" w:frame="1"/>
        </w:rPr>
        <w:t>stable disease control</w:t>
      </w:r>
      <w:r w:rsidR="005970B7" w:rsidRPr="00D45DD7">
        <w:rPr>
          <w:color w:val="201F1E"/>
          <w:bdr w:val="none" w:sz="0" w:space="0" w:color="auto" w:frame="1"/>
        </w:rPr>
        <w:t xml:space="preserve"> (as determined by EASI)</w:t>
      </w:r>
      <w:r w:rsidRPr="00D45DD7">
        <w:rPr>
          <w:color w:val="201F1E"/>
          <w:bdr w:val="none" w:sz="0" w:space="0" w:color="auto" w:frame="1"/>
        </w:rPr>
        <w:t xml:space="preserve"> </w:t>
      </w:r>
      <w:r w:rsidR="00B03632" w:rsidRPr="00D45DD7">
        <w:rPr>
          <w:color w:val="201F1E"/>
          <w:bdr w:val="none" w:sz="0" w:space="0" w:color="auto" w:frame="1"/>
        </w:rPr>
        <w:t xml:space="preserve">despite dose reduction </w:t>
      </w:r>
      <w:r w:rsidR="00613F93" w:rsidRPr="00D45DD7">
        <w:rPr>
          <w:color w:val="201F1E"/>
          <w:bdr w:val="none" w:sz="0" w:space="0" w:color="auto" w:frame="1"/>
        </w:rPr>
        <w:t>(</w:t>
      </w:r>
      <w:r w:rsidR="00214D5A" w:rsidRPr="00D45DD7">
        <w:rPr>
          <w:color w:val="201F1E"/>
          <w:bdr w:val="none" w:sz="0" w:space="0" w:color="auto" w:frame="1"/>
        </w:rPr>
        <w:t>6</w:t>
      </w:r>
      <w:r w:rsidR="00613F93" w:rsidRPr="00D45DD7">
        <w:rPr>
          <w:color w:val="201F1E"/>
          <w:bdr w:val="none" w:sz="0" w:space="0" w:color="auto" w:frame="1"/>
        </w:rPr>
        <w:t>)</w:t>
      </w:r>
      <w:r w:rsidRPr="00D45DD7">
        <w:rPr>
          <w:color w:val="201F1E"/>
          <w:bdr w:val="none" w:sz="0" w:space="0" w:color="auto" w:frame="1"/>
        </w:rPr>
        <w:t xml:space="preserve">. </w:t>
      </w:r>
      <w:r w:rsidR="005970B7" w:rsidRPr="00D45DD7">
        <w:rPr>
          <w:color w:val="201F1E"/>
          <w:bdr w:val="none" w:sz="0" w:space="0" w:color="auto" w:frame="1"/>
        </w:rPr>
        <w:t>In our study</w:t>
      </w:r>
      <w:r w:rsidR="00B03632" w:rsidRPr="00D45DD7">
        <w:rPr>
          <w:color w:val="201F1E"/>
          <w:bdr w:val="none" w:sz="0" w:space="0" w:color="auto" w:frame="1"/>
        </w:rPr>
        <w:t xml:space="preserve"> of a UK cohort</w:t>
      </w:r>
      <w:r w:rsidR="005970B7" w:rsidRPr="00D45DD7">
        <w:rPr>
          <w:color w:val="201F1E"/>
          <w:bdr w:val="none" w:sz="0" w:space="0" w:color="auto" w:frame="1"/>
        </w:rPr>
        <w:t>,</w:t>
      </w:r>
      <w:r w:rsidR="00977B48" w:rsidRPr="00D45DD7">
        <w:rPr>
          <w:color w:val="201F1E"/>
          <w:bdr w:val="none" w:sz="0" w:space="0" w:color="auto" w:frame="1"/>
        </w:rPr>
        <w:t xml:space="preserve"> more patients on lowered doses </w:t>
      </w:r>
      <w:r w:rsidR="00B03632" w:rsidRPr="00D45DD7">
        <w:rPr>
          <w:color w:val="201F1E"/>
          <w:bdr w:val="none" w:sz="0" w:space="0" w:color="auto" w:frame="1"/>
        </w:rPr>
        <w:t xml:space="preserve">achieved </w:t>
      </w:r>
      <w:r w:rsidR="00977B48" w:rsidRPr="00D45DD7">
        <w:rPr>
          <w:color w:val="201F1E"/>
          <w:bdr w:val="none" w:sz="0" w:space="0" w:color="auto" w:frame="1"/>
        </w:rPr>
        <w:t>EASI</w:t>
      </w:r>
      <w:r w:rsidR="007E5606" w:rsidRPr="00D45DD7">
        <w:rPr>
          <w:color w:val="201F1E"/>
          <w:bdr w:val="none" w:sz="0" w:space="0" w:color="auto" w:frame="1"/>
        </w:rPr>
        <w:t xml:space="preserve"> </w:t>
      </w:r>
      <w:r w:rsidR="00977B48" w:rsidRPr="00D45DD7">
        <w:rPr>
          <w:color w:val="201F1E"/>
          <w:bdr w:val="none" w:sz="0" w:space="0" w:color="auto" w:frame="1"/>
        </w:rPr>
        <w:t>75 and EASI</w:t>
      </w:r>
      <w:r w:rsidR="007E5606" w:rsidRPr="00D45DD7">
        <w:rPr>
          <w:color w:val="201F1E"/>
          <w:bdr w:val="none" w:sz="0" w:space="0" w:color="auto" w:frame="1"/>
        </w:rPr>
        <w:t xml:space="preserve"> </w:t>
      </w:r>
      <w:r w:rsidR="00977B48" w:rsidRPr="00D45DD7">
        <w:rPr>
          <w:color w:val="201F1E"/>
          <w:bdr w:val="none" w:sz="0" w:space="0" w:color="auto" w:frame="1"/>
        </w:rPr>
        <w:t xml:space="preserve">90 than those </w:t>
      </w:r>
      <w:r w:rsidR="007E5606" w:rsidRPr="00D45DD7">
        <w:rPr>
          <w:color w:val="201F1E"/>
          <w:bdr w:val="none" w:sz="0" w:space="0" w:color="auto" w:frame="1"/>
        </w:rPr>
        <w:t xml:space="preserve">at </w:t>
      </w:r>
      <w:r w:rsidR="00977B48" w:rsidRPr="00D45DD7">
        <w:rPr>
          <w:color w:val="201F1E"/>
          <w:bdr w:val="none" w:sz="0" w:space="0" w:color="auto" w:frame="1"/>
        </w:rPr>
        <w:t>standard dose</w:t>
      </w:r>
      <w:r w:rsidR="008B0B07" w:rsidRPr="00D45DD7">
        <w:rPr>
          <w:color w:val="201F1E"/>
          <w:bdr w:val="none" w:sz="0" w:space="0" w:color="auto" w:frame="1"/>
        </w:rPr>
        <w:t xml:space="preserve">. </w:t>
      </w:r>
      <w:r w:rsidR="001B2E01" w:rsidRPr="00D45DD7">
        <w:rPr>
          <w:color w:val="201F1E"/>
          <w:bdr w:val="none" w:sz="0" w:space="0" w:color="auto" w:frame="1"/>
        </w:rPr>
        <w:t xml:space="preserve">Whilst there is some previous observational data to support the use of </w:t>
      </w:r>
      <w:r w:rsidR="00143036" w:rsidRPr="00D45DD7">
        <w:rPr>
          <w:color w:val="201F1E"/>
          <w:bdr w:val="none" w:sz="0" w:space="0" w:color="auto" w:frame="1"/>
        </w:rPr>
        <w:t xml:space="preserve">low dose </w:t>
      </w:r>
      <w:r w:rsidR="001B2E01" w:rsidRPr="00D45DD7">
        <w:rPr>
          <w:color w:val="201F1E"/>
          <w:bdr w:val="none" w:sz="0" w:space="0" w:color="auto" w:frame="1"/>
        </w:rPr>
        <w:t>dupilumab from baseline, this approach seems to have a lower overall efficacy (</w:t>
      </w:r>
      <w:r w:rsidR="00214D5A" w:rsidRPr="00D45DD7">
        <w:rPr>
          <w:color w:val="201F1E"/>
          <w:bdr w:val="none" w:sz="0" w:space="0" w:color="auto" w:frame="1"/>
        </w:rPr>
        <w:t>7</w:t>
      </w:r>
      <w:r w:rsidR="001B2E01" w:rsidRPr="00D45DD7">
        <w:rPr>
          <w:color w:val="201F1E"/>
          <w:bdr w:val="none" w:sz="0" w:space="0" w:color="auto" w:frame="1"/>
        </w:rPr>
        <w:t xml:space="preserve">). This is most likely because the strong responders were not selected </w:t>
      </w:r>
      <w:r w:rsidR="00143036" w:rsidRPr="00D45DD7">
        <w:rPr>
          <w:color w:val="201F1E"/>
          <w:bdr w:val="none" w:sz="0" w:space="0" w:color="auto" w:frame="1"/>
        </w:rPr>
        <w:t xml:space="preserve">out for dose reduction </w:t>
      </w:r>
      <w:r w:rsidR="001B2E01" w:rsidRPr="00D45DD7">
        <w:rPr>
          <w:color w:val="201F1E"/>
          <w:bdr w:val="none" w:sz="0" w:space="0" w:color="auto" w:frame="1"/>
        </w:rPr>
        <w:t xml:space="preserve">as per our approach </w:t>
      </w:r>
      <w:r w:rsidR="00143036" w:rsidRPr="00D45DD7">
        <w:rPr>
          <w:color w:val="201F1E"/>
          <w:bdr w:val="none" w:sz="0" w:space="0" w:color="auto" w:frame="1"/>
        </w:rPr>
        <w:t>which</w:t>
      </w:r>
      <w:r w:rsidR="001B2E01" w:rsidRPr="00D45DD7">
        <w:rPr>
          <w:color w:val="201F1E"/>
          <w:bdr w:val="none" w:sz="0" w:space="0" w:color="auto" w:frame="1"/>
        </w:rPr>
        <w:t xml:space="preserve"> offer</w:t>
      </w:r>
      <w:r w:rsidR="00143036" w:rsidRPr="00D45DD7">
        <w:rPr>
          <w:color w:val="201F1E"/>
          <w:bdr w:val="none" w:sz="0" w:space="0" w:color="auto" w:frame="1"/>
        </w:rPr>
        <w:t>ed</w:t>
      </w:r>
      <w:r w:rsidR="001B2E01" w:rsidRPr="00D45DD7">
        <w:rPr>
          <w:color w:val="201F1E"/>
          <w:bdr w:val="none" w:sz="0" w:space="0" w:color="auto" w:frame="1"/>
        </w:rPr>
        <w:t xml:space="preserve"> dose reduction</w:t>
      </w:r>
      <w:r w:rsidR="00143036" w:rsidRPr="00D45DD7">
        <w:rPr>
          <w:color w:val="201F1E"/>
          <w:bdr w:val="none" w:sz="0" w:space="0" w:color="auto" w:frame="1"/>
        </w:rPr>
        <w:t xml:space="preserve"> only</w:t>
      </w:r>
      <w:r w:rsidR="001B2E01" w:rsidRPr="00D45DD7">
        <w:rPr>
          <w:color w:val="201F1E"/>
          <w:bdr w:val="none" w:sz="0" w:space="0" w:color="auto" w:frame="1"/>
        </w:rPr>
        <w:t xml:space="preserve"> </w:t>
      </w:r>
      <w:r w:rsidR="00143036" w:rsidRPr="00D45DD7">
        <w:rPr>
          <w:color w:val="201F1E"/>
          <w:bdr w:val="none" w:sz="0" w:space="0" w:color="auto" w:frame="1"/>
        </w:rPr>
        <w:t>after initial treatment with</w:t>
      </w:r>
      <w:r w:rsidR="001B2E01" w:rsidRPr="00D45DD7">
        <w:rPr>
          <w:color w:val="201F1E"/>
          <w:bdr w:val="none" w:sz="0" w:space="0" w:color="auto" w:frame="1"/>
        </w:rPr>
        <w:t xml:space="preserve"> the licensed dose.   </w:t>
      </w:r>
    </w:p>
    <w:p w14:paraId="72FF1478" w14:textId="77777777" w:rsidR="00BD48DB" w:rsidRPr="00D45DD7" w:rsidRDefault="00BD48DB">
      <w:pPr>
        <w:rPr>
          <w:color w:val="201F1E"/>
          <w:bdr w:val="none" w:sz="0" w:space="0" w:color="auto" w:frame="1"/>
        </w:rPr>
      </w:pPr>
    </w:p>
    <w:p w14:paraId="362FC9CA" w14:textId="2D36A33F" w:rsidR="00B510F0" w:rsidRPr="00D45DD7" w:rsidRDefault="00405331">
      <w:pPr>
        <w:rPr>
          <w:color w:val="201F1E"/>
          <w:bdr w:val="none" w:sz="0" w:space="0" w:color="auto" w:frame="1"/>
        </w:rPr>
      </w:pPr>
      <w:r w:rsidRPr="00D45DD7">
        <w:rPr>
          <w:color w:val="201F1E"/>
          <w:bdr w:val="none" w:sz="0" w:space="0" w:color="auto" w:frame="1"/>
        </w:rPr>
        <w:t>T</w:t>
      </w:r>
      <w:r w:rsidR="00AB7170" w:rsidRPr="00D45DD7">
        <w:rPr>
          <w:color w:val="201F1E"/>
          <w:bdr w:val="none" w:sz="0" w:space="0" w:color="auto" w:frame="1"/>
        </w:rPr>
        <w:t>hese results</w:t>
      </w:r>
      <w:r w:rsidR="008B0B07" w:rsidRPr="00D45DD7">
        <w:rPr>
          <w:color w:val="201F1E"/>
          <w:bdr w:val="none" w:sz="0" w:space="0" w:color="auto" w:frame="1"/>
        </w:rPr>
        <w:t xml:space="preserve"> </w:t>
      </w:r>
      <w:r w:rsidR="00AB7170" w:rsidRPr="00D45DD7">
        <w:rPr>
          <w:color w:val="201F1E"/>
          <w:bdr w:val="none" w:sz="0" w:space="0" w:color="auto" w:frame="1"/>
        </w:rPr>
        <w:t>suggest</w:t>
      </w:r>
      <w:r w:rsidR="008B0B07" w:rsidRPr="00D45DD7">
        <w:rPr>
          <w:color w:val="201F1E"/>
          <w:bdr w:val="none" w:sz="0" w:space="0" w:color="auto" w:frame="1"/>
        </w:rPr>
        <w:t xml:space="preserve"> that the effective </w:t>
      </w:r>
      <w:r w:rsidR="00A81AA1" w:rsidRPr="00D45DD7">
        <w:rPr>
          <w:color w:val="201F1E"/>
          <w:bdr w:val="none" w:sz="0" w:space="0" w:color="auto" w:frame="1"/>
        </w:rPr>
        <w:t>dose</w:t>
      </w:r>
      <w:r w:rsidR="008B0B07" w:rsidRPr="00D45DD7">
        <w:rPr>
          <w:color w:val="201F1E"/>
          <w:bdr w:val="none" w:sz="0" w:space="0" w:color="auto" w:frame="1"/>
        </w:rPr>
        <w:t xml:space="preserve"> of dupilumab reduces as disease </w:t>
      </w:r>
      <w:r w:rsidR="00BD48DB" w:rsidRPr="00D45DD7">
        <w:rPr>
          <w:color w:val="201F1E"/>
          <w:bdr w:val="none" w:sz="0" w:space="0" w:color="auto" w:frame="1"/>
        </w:rPr>
        <w:t>becomes</w:t>
      </w:r>
      <w:r w:rsidR="008B0B07" w:rsidRPr="00D45DD7">
        <w:rPr>
          <w:color w:val="201F1E"/>
          <w:bdr w:val="none" w:sz="0" w:space="0" w:color="auto" w:frame="1"/>
        </w:rPr>
        <w:t xml:space="preserve"> controlled and that </w:t>
      </w:r>
      <w:r w:rsidR="007E5606" w:rsidRPr="00D45DD7">
        <w:rPr>
          <w:color w:val="201F1E"/>
          <w:bdr w:val="none" w:sz="0" w:space="0" w:color="auto" w:frame="1"/>
        </w:rPr>
        <w:t>further</w:t>
      </w:r>
      <w:r w:rsidR="00AF37B9" w:rsidRPr="00D45DD7">
        <w:rPr>
          <w:color w:val="201F1E"/>
          <w:bdr w:val="none" w:sz="0" w:space="0" w:color="auto" w:frame="1"/>
        </w:rPr>
        <w:t xml:space="preserve"> improvement i</w:t>
      </w:r>
      <w:r w:rsidR="007E5606" w:rsidRPr="00D45DD7">
        <w:rPr>
          <w:color w:val="201F1E"/>
          <w:bdr w:val="none" w:sz="0" w:space="0" w:color="auto" w:frame="1"/>
        </w:rPr>
        <w:t xml:space="preserve">n disease control </w:t>
      </w:r>
      <w:r w:rsidR="00AF37B9" w:rsidRPr="00D45DD7">
        <w:rPr>
          <w:color w:val="201F1E"/>
          <w:bdr w:val="none" w:sz="0" w:space="0" w:color="auto" w:frame="1"/>
        </w:rPr>
        <w:t xml:space="preserve">can occur with </w:t>
      </w:r>
      <w:r w:rsidR="007E5606" w:rsidRPr="00D45DD7">
        <w:rPr>
          <w:color w:val="201F1E"/>
          <w:bdr w:val="none" w:sz="0" w:space="0" w:color="auto" w:frame="1"/>
        </w:rPr>
        <w:t>prolonged treatment</w:t>
      </w:r>
      <w:r w:rsidR="00AF37B9" w:rsidRPr="00D45DD7">
        <w:rPr>
          <w:color w:val="201F1E"/>
          <w:bdr w:val="none" w:sz="0" w:space="0" w:color="auto" w:frame="1"/>
        </w:rPr>
        <w:t xml:space="preserve"> even at lowered doses as has been reported for standard treatment</w:t>
      </w:r>
      <w:r w:rsidR="00B062D2" w:rsidRPr="00D45DD7">
        <w:rPr>
          <w:color w:val="201F1E"/>
          <w:bdr w:val="none" w:sz="0" w:space="0" w:color="auto" w:frame="1"/>
        </w:rPr>
        <w:t xml:space="preserve"> (</w:t>
      </w:r>
      <w:r w:rsidR="00214D5A" w:rsidRPr="00D45DD7">
        <w:rPr>
          <w:color w:val="201F1E"/>
          <w:bdr w:val="none" w:sz="0" w:space="0" w:color="auto" w:frame="1"/>
        </w:rPr>
        <w:t>8</w:t>
      </w:r>
      <w:r w:rsidR="00B062D2" w:rsidRPr="00D45DD7">
        <w:rPr>
          <w:color w:val="201F1E"/>
          <w:bdr w:val="none" w:sz="0" w:space="0" w:color="auto" w:frame="1"/>
        </w:rPr>
        <w:t>)</w:t>
      </w:r>
      <w:r w:rsidR="007E5606" w:rsidRPr="00D45DD7">
        <w:rPr>
          <w:color w:val="201F1E"/>
          <w:bdr w:val="none" w:sz="0" w:space="0" w:color="auto" w:frame="1"/>
        </w:rPr>
        <w:t xml:space="preserve">. </w:t>
      </w:r>
      <w:r w:rsidR="001B62C7" w:rsidRPr="00D45DD7">
        <w:rPr>
          <w:color w:val="201F1E"/>
          <w:bdr w:val="none" w:sz="0" w:space="0" w:color="auto" w:frame="1"/>
        </w:rPr>
        <w:t xml:space="preserve"> </w:t>
      </w:r>
      <w:r w:rsidR="00DF0DD5" w:rsidRPr="00D45DD7">
        <w:rPr>
          <w:color w:val="201F1E"/>
          <w:bdr w:val="none" w:sz="0" w:space="0" w:color="auto" w:frame="1"/>
        </w:rPr>
        <w:t xml:space="preserve">As well as reduced frequency of dupilumab 300mg, dose reduction can be achieved with pre-filled injections of 200mg s/c but are equivalent cost in the UK.  </w:t>
      </w:r>
      <w:r w:rsidR="00B510F0" w:rsidRPr="00D45DD7">
        <w:rPr>
          <w:color w:val="201F1E"/>
          <w:bdr w:val="none" w:sz="0" w:space="0" w:color="auto" w:frame="1"/>
        </w:rPr>
        <w:t xml:space="preserve">Ultimately, these results </w:t>
      </w:r>
      <w:r w:rsidR="005970B7" w:rsidRPr="00D45DD7">
        <w:rPr>
          <w:color w:val="201F1E"/>
          <w:bdr w:val="none" w:sz="0" w:space="0" w:color="auto" w:frame="1"/>
        </w:rPr>
        <w:t xml:space="preserve">support the need for a randomised clinical trial to examine the safety and effectiveness of reduced frequency dosing in well controlled AD patients with the potential to </w:t>
      </w:r>
      <w:r w:rsidR="007E293B" w:rsidRPr="00D45DD7">
        <w:rPr>
          <w:color w:val="201F1E"/>
          <w:bdr w:val="none" w:sz="0" w:space="0" w:color="auto" w:frame="1"/>
        </w:rPr>
        <w:t xml:space="preserve">saving </w:t>
      </w:r>
      <w:r w:rsidR="005970B7" w:rsidRPr="00D45DD7">
        <w:rPr>
          <w:color w:val="201F1E"/>
          <w:bdr w:val="none" w:sz="0" w:space="0" w:color="auto" w:frame="1"/>
        </w:rPr>
        <w:t xml:space="preserve">at least </w:t>
      </w:r>
      <w:r w:rsidR="007E293B" w:rsidRPr="00D45DD7">
        <w:rPr>
          <w:color w:val="201F1E"/>
          <w:bdr w:val="none" w:sz="0" w:space="0" w:color="auto" w:frame="1"/>
        </w:rPr>
        <w:t>of</w:t>
      </w:r>
      <w:r w:rsidR="00B510F0" w:rsidRPr="00D45DD7">
        <w:rPr>
          <w:color w:val="201F1E"/>
          <w:bdr w:val="none" w:sz="0" w:space="0" w:color="auto" w:frame="1"/>
        </w:rPr>
        <w:t xml:space="preserve"> </w:t>
      </w:r>
      <w:r w:rsidR="00D21702" w:rsidRPr="00D45DD7">
        <w:rPr>
          <w:color w:val="201F1E"/>
          <w:bdr w:val="none" w:sz="0" w:space="0" w:color="auto" w:frame="1"/>
        </w:rPr>
        <w:t xml:space="preserve">33% </w:t>
      </w:r>
      <w:r w:rsidR="005970B7" w:rsidRPr="00D45DD7">
        <w:rPr>
          <w:color w:val="201F1E"/>
          <w:bdr w:val="none" w:sz="0" w:space="0" w:color="auto" w:frame="1"/>
        </w:rPr>
        <w:t xml:space="preserve">of costs </w:t>
      </w:r>
      <w:r w:rsidR="007E293B" w:rsidRPr="00D45DD7">
        <w:rPr>
          <w:color w:val="201F1E"/>
          <w:bdr w:val="none" w:sz="0" w:space="0" w:color="auto" w:frame="1"/>
        </w:rPr>
        <w:t>for d</w:t>
      </w:r>
      <w:r w:rsidR="00D21702" w:rsidRPr="00D45DD7">
        <w:rPr>
          <w:color w:val="201F1E"/>
          <w:bdr w:val="none" w:sz="0" w:space="0" w:color="auto" w:frame="1"/>
        </w:rPr>
        <w:t xml:space="preserve">upilumab </w:t>
      </w:r>
      <w:r w:rsidR="007E293B" w:rsidRPr="00D45DD7">
        <w:rPr>
          <w:color w:val="201F1E"/>
          <w:bdr w:val="none" w:sz="0" w:space="0" w:color="auto" w:frame="1"/>
        </w:rPr>
        <w:t xml:space="preserve">prescribing in selected patients. </w:t>
      </w:r>
    </w:p>
    <w:p w14:paraId="0FFE7796" w14:textId="77777777" w:rsidR="00F5143A" w:rsidRPr="00D45DD7" w:rsidRDefault="00F5143A" w:rsidP="00741FAB"/>
    <w:bookmarkEnd w:id="0"/>
    <w:p w14:paraId="0D332765" w14:textId="77777777" w:rsidR="00741FAB" w:rsidRPr="00D45DD7" w:rsidRDefault="00741FAB" w:rsidP="00741FAB"/>
    <w:p w14:paraId="7E7B0F40" w14:textId="77777777" w:rsidR="00741FAB" w:rsidRPr="00D45DD7" w:rsidRDefault="00741FAB" w:rsidP="00741FAB">
      <w:pPr>
        <w:pStyle w:val="Heading1"/>
      </w:pPr>
      <w:r w:rsidRPr="00D45DD7">
        <w:t>References</w:t>
      </w:r>
    </w:p>
    <w:p w14:paraId="32470731" w14:textId="5FA667C6" w:rsidR="007955B7" w:rsidRPr="00D45DD7" w:rsidRDefault="00741FAB" w:rsidP="00D53A84">
      <w:r w:rsidRPr="00D45DD7">
        <w:t xml:space="preserve">1 </w:t>
      </w:r>
      <w:r w:rsidR="000679B9" w:rsidRPr="00D45DD7">
        <w:t>National Institute for Health and Care Excellence</w:t>
      </w:r>
      <w:r w:rsidR="00735BF7" w:rsidRPr="00D45DD7">
        <w:t>.</w:t>
      </w:r>
      <w:r w:rsidR="007955B7" w:rsidRPr="00D45DD7">
        <w:t xml:space="preserve"> Available at: </w:t>
      </w:r>
      <w:hyperlink r:id="rId8" w:history="1">
        <w:r w:rsidR="007955B7" w:rsidRPr="00D45DD7">
          <w:rPr>
            <w:rStyle w:val="Hyperlink"/>
            <w:rFonts w:eastAsiaTheme="majorEastAsia"/>
            <w:noProof/>
            <w:u w:val="none"/>
          </w:rPr>
          <w:t>https://bnf.nice.org.uk/drug/dupilumab.html</w:t>
        </w:r>
      </w:hyperlink>
      <w:r w:rsidR="007955B7" w:rsidRPr="00D45DD7">
        <w:rPr>
          <w:rStyle w:val="Hyperlink"/>
          <w:noProof/>
          <w:u w:val="none"/>
        </w:rPr>
        <w:t xml:space="preserve"> </w:t>
      </w:r>
      <w:r w:rsidR="007955B7" w:rsidRPr="00D45DD7">
        <w:t>(last accessed 26 July 2022).</w:t>
      </w:r>
    </w:p>
    <w:p w14:paraId="0DE7F112" w14:textId="64A29BB2" w:rsidR="007955B7" w:rsidRPr="00D45DD7" w:rsidRDefault="007955B7" w:rsidP="00051318">
      <w:pPr>
        <w:rPr>
          <w:noProof/>
        </w:rPr>
      </w:pPr>
      <w:r w:rsidRPr="00D45DD7">
        <w:t xml:space="preserve">2 </w:t>
      </w:r>
      <w:r w:rsidR="00437131" w:rsidRPr="00D45DD7">
        <w:rPr>
          <w:noProof/>
        </w:rPr>
        <w:t xml:space="preserve">Wang FT Z </w:t>
      </w:r>
      <w:r w:rsidR="00437131" w:rsidRPr="00D45DD7">
        <w:rPr>
          <w:i/>
          <w:noProof/>
        </w:rPr>
        <w:t>et al.</w:t>
      </w:r>
      <w:r w:rsidR="00437131" w:rsidRPr="00D45DD7">
        <w:rPr>
          <w:noProof/>
        </w:rPr>
        <w:t xml:space="preserve"> Dupilumab treatment in moderate-to-severe atopic dermatitis: A systematic review and meta-analysis. </w:t>
      </w:r>
      <w:r w:rsidR="00051318" w:rsidRPr="00D45DD7">
        <w:rPr>
          <w:i/>
          <w:noProof/>
        </w:rPr>
        <w:t xml:space="preserve">J Dermatol Sci. </w:t>
      </w:r>
      <w:r w:rsidR="00051318" w:rsidRPr="00D45DD7">
        <w:rPr>
          <w:iCs/>
          <w:noProof/>
        </w:rPr>
        <w:t xml:space="preserve">2018 May; </w:t>
      </w:r>
      <w:r w:rsidR="00051318" w:rsidRPr="00D45DD7">
        <w:rPr>
          <w:b/>
          <w:bCs/>
          <w:iCs/>
          <w:noProof/>
        </w:rPr>
        <w:t>90</w:t>
      </w:r>
      <w:r w:rsidR="00051318" w:rsidRPr="00D45DD7">
        <w:rPr>
          <w:iCs/>
          <w:noProof/>
        </w:rPr>
        <w:t>(2):190-198</w:t>
      </w:r>
    </w:p>
    <w:p w14:paraId="0EB345DB" w14:textId="0E534BE2" w:rsidR="007E4230" w:rsidRPr="00D45DD7" w:rsidRDefault="00214D5A" w:rsidP="007E4230">
      <w:pPr>
        <w:rPr>
          <w:shd w:val="clear" w:color="auto" w:fill="FFFFFF"/>
        </w:rPr>
      </w:pPr>
      <w:r w:rsidRPr="00D45DD7">
        <w:rPr>
          <w:noProof/>
        </w:rPr>
        <w:t>3</w:t>
      </w:r>
      <w:r w:rsidR="007E4230" w:rsidRPr="00D45DD7">
        <w:rPr>
          <w:noProof/>
        </w:rPr>
        <w:t xml:space="preserve"> </w:t>
      </w:r>
      <w:r w:rsidR="007E4230" w:rsidRPr="00D45DD7">
        <w:rPr>
          <w:shd w:val="clear" w:color="auto" w:fill="FFFFFF"/>
        </w:rPr>
        <w:t xml:space="preserve">Lewis-Jones S, </w:t>
      </w:r>
      <w:proofErr w:type="spellStart"/>
      <w:r w:rsidR="007E4230" w:rsidRPr="00D45DD7">
        <w:rPr>
          <w:shd w:val="clear" w:color="auto" w:fill="FFFFFF"/>
        </w:rPr>
        <w:t>Mugglestone</w:t>
      </w:r>
      <w:proofErr w:type="spellEnd"/>
      <w:r w:rsidR="007E4230" w:rsidRPr="00D45DD7">
        <w:rPr>
          <w:shd w:val="clear" w:color="auto" w:fill="FFFFFF"/>
        </w:rPr>
        <w:t xml:space="preserve"> MA; Guideline Development Group. Management of atopic eczema in children aged up to 12 years: summary of NICE guidance. </w:t>
      </w:r>
      <w:r w:rsidR="007E4230" w:rsidRPr="00D45DD7">
        <w:rPr>
          <w:i/>
          <w:shd w:val="clear" w:color="auto" w:fill="FFFFFF"/>
        </w:rPr>
        <w:t>BMJ</w:t>
      </w:r>
      <w:r w:rsidR="007E4230" w:rsidRPr="00D45DD7">
        <w:rPr>
          <w:shd w:val="clear" w:color="auto" w:fill="FFFFFF"/>
        </w:rPr>
        <w:t xml:space="preserve"> 2007; </w:t>
      </w:r>
      <w:r w:rsidR="007E4230" w:rsidRPr="00D45DD7">
        <w:rPr>
          <w:b/>
          <w:shd w:val="clear" w:color="auto" w:fill="FFFFFF"/>
        </w:rPr>
        <w:t>335</w:t>
      </w:r>
      <w:r w:rsidR="007E4230" w:rsidRPr="00D45DD7">
        <w:rPr>
          <w:shd w:val="clear" w:color="auto" w:fill="FFFFFF"/>
        </w:rPr>
        <w:t>(7632):1263-4.</w:t>
      </w:r>
    </w:p>
    <w:p w14:paraId="5291F2F1" w14:textId="162ABD05" w:rsidR="00A11250" w:rsidRPr="00D45DD7" w:rsidRDefault="00214D5A" w:rsidP="007E4230">
      <w:pPr>
        <w:rPr>
          <w:shd w:val="clear" w:color="auto" w:fill="FFFFFF"/>
        </w:rPr>
      </w:pPr>
      <w:r w:rsidRPr="00D45DD7">
        <w:rPr>
          <w:shd w:val="clear" w:color="auto" w:fill="FFFFFF"/>
        </w:rPr>
        <w:t>4</w:t>
      </w:r>
      <w:r w:rsidR="00A11250" w:rsidRPr="00D45DD7">
        <w:rPr>
          <w:shd w:val="clear" w:color="auto" w:fill="FFFFFF"/>
        </w:rPr>
        <w:t xml:space="preserve"> </w:t>
      </w:r>
      <w:proofErr w:type="spellStart"/>
      <w:r w:rsidR="00A11250" w:rsidRPr="00D45DD7">
        <w:rPr>
          <w:shd w:val="clear" w:color="auto" w:fill="FFFFFF"/>
        </w:rPr>
        <w:t>Sidbury</w:t>
      </w:r>
      <w:proofErr w:type="spellEnd"/>
      <w:r w:rsidR="00A11250" w:rsidRPr="00D45DD7">
        <w:rPr>
          <w:shd w:val="clear" w:color="auto" w:fill="FFFFFF"/>
        </w:rPr>
        <w:t xml:space="preserve"> R </w:t>
      </w:r>
      <w:r w:rsidR="00A11250" w:rsidRPr="00D45DD7">
        <w:rPr>
          <w:i/>
          <w:shd w:val="clear" w:color="auto" w:fill="FFFFFF"/>
        </w:rPr>
        <w:t xml:space="preserve">et al. </w:t>
      </w:r>
      <w:r w:rsidR="00A11250" w:rsidRPr="00D45DD7">
        <w:rPr>
          <w:shd w:val="clear" w:color="auto" w:fill="FFFFFF"/>
        </w:rPr>
        <w:t xml:space="preserve">Guidelines of care for the management of atopic dermatitis. </w:t>
      </w:r>
      <w:r w:rsidR="00A11250" w:rsidRPr="00D45DD7">
        <w:rPr>
          <w:i/>
          <w:shd w:val="clear" w:color="auto" w:fill="FFFFFF"/>
        </w:rPr>
        <w:t xml:space="preserve">Journal of the American Academy of Dermatology </w:t>
      </w:r>
      <w:r w:rsidR="00A11250" w:rsidRPr="00D45DD7">
        <w:rPr>
          <w:shd w:val="clear" w:color="auto" w:fill="FFFFFF"/>
        </w:rPr>
        <w:t xml:space="preserve">2014; </w:t>
      </w:r>
      <w:r w:rsidR="00A11250" w:rsidRPr="00D45DD7">
        <w:rPr>
          <w:b/>
          <w:shd w:val="clear" w:color="auto" w:fill="FFFFFF"/>
        </w:rPr>
        <w:t>71</w:t>
      </w:r>
      <w:r w:rsidR="00A11250" w:rsidRPr="00D45DD7">
        <w:rPr>
          <w:shd w:val="clear" w:color="auto" w:fill="FFFFFF"/>
        </w:rPr>
        <w:t>(2):327-349.</w:t>
      </w:r>
    </w:p>
    <w:p w14:paraId="30FE3D77" w14:textId="67AE0933" w:rsidR="007E4230" w:rsidRPr="00D45DD7" w:rsidRDefault="00214D5A" w:rsidP="007E4230">
      <w:pPr>
        <w:rPr>
          <w:noProof/>
        </w:rPr>
      </w:pPr>
      <w:r w:rsidRPr="00D45DD7">
        <w:rPr>
          <w:noProof/>
        </w:rPr>
        <w:t>5</w:t>
      </w:r>
      <w:r w:rsidR="00A11250" w:rsidRPr="00D45DD7">
        <w:rPr>
          <w:noProof/>
        </w:rPr>
        <w:t xml:space="preserve"> Wollenberg A </w:t>
      </w:r>
      <w:r w:rsidR="00A11250" w:rsidRPr="00D45DD7">
        <w:rPr>
          <w:i/>
          <w:noProof/>
        </w:rPr>
        <w:t xml:space="preserve">et al. </w:t>
      </w:r>
      <w:r w:rsidR="00A11250" w:rsidRPr="00D45DD7">
        <w:rPr>
          <w:noProof/>
        </w:rPr>
        <w:t xml:space="preserve">ETFAD/EADV Eczema task force 2020 position paper on diagnosis and treatment of atopic dermatitis in adults and children. </w:t>
      </w:r>
      <w:r w:rsidR="00A11250" w:rsidRPr="00D45DD7">
        <w:rPr>
          <w:i/>
          <w:noProof/>
        </w:rPr>
        <w:t xml:space="preserve">Journal of the European Academy of Dermatology and Venereology </w:t>
      </w:r>
      <w:r w:rsidR="00A11250" w:rsidRPr="00D45DD7">
        <w:rPr>
          <w:noProof/>
        </w:rPr>
        <w:t xml:space="preserve">2020; </w:t>
      </w:r>
      <w:r w:rsidR="00A11250" w:rsidRPr="00D45DD7">
        <w:rPr>
          <w:b/>
          <w:noProof/>
        </w:rPr>
        <w:t>34</w:t>
      </w:r>
      <w:r w:rsidR="00A11250" w:rsidRPr="00D45DD7">
        <w:rPr>
          <w:noProof/>
        </w:rPr>
        <w:t>(12):2717-2744.</w:t>
      </w:r>
    </w:p>
    <w:p w14:paraId="44D0C89E" w14:textId="191A5850" w:rsidR="00613F93" w:rsidRPr="00D45DD7" w:rsidRDefault="00214D5A" w:rsidP="00931E79">
      <w:r w:rsidRPr="00D45DD7">
        <w:t>6</w:t>
      </w:r>
      <w:r w:rsidR="00613F93" w:rsidRPr="00D45DD7">
        <w:t xml:space="preserve"> </w:t>
      </w:r>
      <w:proofErr w:type="spellStart"/>
      <w:r w:rsidR="00613F93" w:rsidRPr="00D45DD7">
        <w:t>Spekhorst</w:t>
      </w:r>
      <w:proofErr w:type="spellEnd"/>
      <w:r w:rsidR="00612F0B" w:rsidRPr="00D45DD7">
        <w:t xml:space="preserve"> L S </w:t>
      </w:r>
      <w:r w:rsidR="00612F0B" w:rsidRPr="00D45DD7">
        <w:rPr>
          <w:i/>
        </w:rPr>
        <w:t xml:space="preserve">et al. </w:t>
      </w:r>
      <w:r w:rsidR="00612F0B" w:rsidRPr="00D45DD7">
        <w:t xml:space="preserve">Patient-centred dupilumab dosing regimen leads to successful dose reduction in persistently controlled atopic dermatitis. </w:t>
      </w:r>
      <w:r w:rsidR="00612F0B" w:rsidRPr="00D45DD7">
        <w:rPr>
          <w:i/>
        </w:rPr>
        <w:t xml:space="preserve">Allergy </w:t>
      </w:r>
      <w:r w:rsidR="00612F0B" w:rsidRPr="00D45DD7">
        <w:t xml:space="preserve">2022; </w:t>
      </w:r>
      <w:proofErr w:type="spellStart"/>
      <w:r w:rsidR="00612F0B" w:rsidRPr="00D45DD7">
        <w:t>doi</w:t>
      </w:r>
      <w:proofErr w:type="spellEnd"/>
      <w:r w:rsidR="00612F0B" w:rsidRPr="00D45DD7">
        <w:t>: 10.1111/all.15439. PMID: 35837880.</w:t>
      </w:r>
    </w:p>
    <w:p w14:paraId="5E911598" w14:textId="6D0051E4" w:rsidR="001B2E01" w:rsidRPr="00D45DD7" w:rsidRDefault="00214D5A" w:rsidP="00931E79">
      <w:r w:rsidRPr="00D45DD7">
        <w:t>7</w:t>
      </w:r>
      <w:r w:rsidR="001B2E01" w:rsidRPr="00D45DD7">
        <w:t xml:space="preserve"> Lee </w:t>
      </w:r>
      <w:r w:rsidR="00143036" w:rsidRPr="00D45DD7">
        <w:t xml:space="preserve">Y </w:t>
      </w:r>
      <w:r w:rsidR="00143036" w:rsidRPr="00D45DD7">
        <w:rPr>
          <w:i/>
        </w:rPr>
        <w:t>et al.</w:t>
      </w:r>
      <w:r w:rsidR="00143036" w:rsidRPr="00D45DD7">
        <w:t xml:space="preserve"> </w:t>
      </w:r>
      <w:r w:rsidR="00143036" w:rsidRPr="00D45DD7">
        <w:rPr>
          <w:iCs/>
        </w:rPr>
        <w:t xml:space="preserve">Real Clinical Practice Data of Monthly Dupilumab Therapy in Adult Patients </w:t>
      </w:r>
      <w:proofErr w:type="gramStart"/>
      <w:r w:rsidR="00143036" w:rsidRPr="00D45DD7">
        <w:rPr>
          <w:iCs/>
        </w:rPr>
        <w:t>With</w:t>
      </w:r>
      <w:proofErr w:type="gramEnd"/>
      <w:r w:rsidR="00143036" w:rsidRPr="00D45DD7">
        <w:rPr>
          <w:iCs/>
        </w:rPr>
        <w:t xml:space="preserve"> Moderate-to-Severe Atopic Dermatitis: Clinical Efficacy and Predictive Markers for a </w:t>
      </w:r>
      <w:proofErr w:type="spellStart"/>
      <w:r w:rsidR="00143036" w:rsidRPr="00D45DD7">
        <w:rPr>
          <w:iCs/>
        </w:rPr>
        <w:t>Favorable</w:t>
      </w:r>
      <w:proofErr w:type="spellEnd"/>
      <w:r w:rsidR="00143036" w:rsidRPr="00D45DD7">
        <w:rPr>
          <w:iCs/>
        </w:rPr>
        <w:t xml:space="preserve"> Clinical Response. </w:t>
      </w:r>
      <w:bookmarkStart w:id="1" w:name="_Hlk123653651"/>
      <w:r w:rsidR="00143036" w:rsidRPr="00D45DD7">
        <w:rPr>
          <w:i/>
          <w:iCs/>
        </w:rPr>
        <w:t>Allergy Asthma Immunol Res.</w:t>
      </w:r>
      <w:r w:rsidR="00143036" w:rsidRPr="00D45DD7">
        <w:t xml:space="preserve"> 2021 </w:t>
      </w:r>
      <w:bookmarkEnd w:id="1"/>
      <w:r w:rsidR="00143036" w:rsidRPr="00D45DD7">
        <w:t xml:space="preserve">Sep; </w:t>
      </w:r>
      <w:r w:rsidR="00143036" w:rsidRPr="00D45DD7">
        <w:rPr>
          <w:b/>
          <w:bCs/>
        </w:rPr>
        <w:t>13</w:t>
      </w:r>
      <w:r w:rsidR="00143036" w:rsidRPr="00D45DD7">
        <w:t>(5): 733–745.</w:t>
      </w:r>
    </w:p>
    <w:p w14:paraId="444A3F3A" w14:textId="37FBE68E" w:rsidR="00B062D2" w:rsidRPr="00D45DD7" w:rsidRDefault="00214D5A" w:rsidP="00931E79">
      <w:r w:rsidRPr="00D45DD7">
        <w:t>8</w:t>
      </w:r>
      <w:r w:rsidR="00B062D2" w:rsidRPr="00D45DD7">
        <w:t xml:space="preserve"> Armstrong A </w:t>
      </w:r>
      <w:r w:rsidR="00B062D2" w:rsidRPr="00D45DD7">
        <w:rPr>
          <w:i/>
        </w:rPr>
        <w:t>et al.</w:t>
      </w:r>
      <w:r w:rsidR="00B062D2" w:rsidRPr="00D45DD7">
        <w:t xml:space="preserve"> </w:t>
      </w:r>
      <w:r w:rsidR="00DD038C" w:rsidRPr="00D45DD7">
        <w:t xml:space="preserve">Continued Treatment with Dupilumab is Associated with Improved Efficacy in Adults with Moderate-to-Severe Atopic Dermatitis Not Achieving Optimal Responses with Short-Term Treatment. </w:t>
      </w:r>
      <w:r w:rsidR="00DD038C" w:rsidRPr="00D45DD7">
        <w:rPr>
          <w:i/>
        </w:rPr>
        <w:t xml:space="preserve">Dermatology and therapy </w:t>
      </w:r>
      <w:r w:rsidR="00DD038C" w:rsidRPr="00D45DD7">
        <w:t xml:space="preserve">2021; </w:t>
      </w:r>
      <w:r w:rsidR="00DD038C" w:rsidRPr="00D45DD7">
        <w:rPr>
          <w:b/>
        </w:rPr>
        <w:t>12</w:t>
      </w:r>
      <w:r w:rsidR="00DD038C" w:rsidRPr="00D45DD7">
        <w:t>(1):195-202.</w:t>
      </w:r>
    </w:p>
    <w:p w14:paraId="100D5B28" w14:textId="77777777" w:rsidR="007955B7" w:rsidRPr="00D45DD7" w:rsidRDefault="007955B7" w:rsidP="00D53A84">
      <w:pPr>
        <w:rPr>
          <w:noProof/>
          <w:color w:val="0563C1" w:themeColor="hyperlink"/>
        </w:rPr>
      </w:pPr>
    </w:p>
    <w:p w14:paraId="020C8301" w14:textId="7B2D2328" w:rsidR="006F534F" w:rsidRPr="00D45DD7" w:rsidRDefault="006F534F" w:rsidP="00741FAB"/>
    <w:p w14:paraId="0DAABA15" w14:textId="69B1778A" w:rsidR="00336B1A" w:rsidRPr="00D45DD7" w:rsidRDefault="00336B1A" w:rsidP="00741FAB"/>
    <w:p w14:paraId="5843E703" w14:textId="40023DEC" w:rsidR="00336B1A" w:rsidRPr="00D45DD7" w:rsidRDefault="00336B1A" w:rsidP="00741FAB"/>
    <w:p w14:paraId="310E6CCA" w14:textId="117043FF" w:rsidR="00336B1A" w:rsidRPr="00D45DD7" w:rsidRDefault="00336B1A" w:rsidP="00741FAB"/>
    <w:p w14:paraId="1AED5379" w14:textId="1DA80786" w:rsidR="00336B1A" w:rsidRPr="00D45DD7" w:rsidRDefault="00336B1A" w:rsidP="00741FAB"/>
    <w:p w14:paraId="52356CDB" w14:textId="669DEAD8" w:rsidR="00336B1A" w:rsidRPr="00D45DD7" w:rsidRDefault="00336B1A" w:rsidP="00741FAB"/>
    <w:p w14:paraId="53473FC7" w14:textId="6F6690ED" w:rsidR="00336B1A" w:rsidRPr="00D45DD7" w:rsidRDefault="00336B1A" w:rsidP="00741FAB"/>
    <w:p w14:paraId="4CD2D9EB" w14:textId="4FFEF618" w:rsidR="00336B1A" w:rsidRPr="00D45DD7" w:rsidRDefault="00336B1A" w:rsidP="00741FAB"/>
    <w:p w14:paraId="0333DBE0" w14:textId="7786DC17" w:rsidR="00336B1A" w:rsidRPr="00D45DD7" w:rsidRDefault="00336B1A" w:rsidP="00741FAB"/>
    <w:p w14:paraId="0BB655A6" w14:textId="77777777" w:rsidR="00336B1A" w:rsidRPr="00D45DD7" w:rsidRDefault="00336B1A" w:rsidP="00741FAB"/>
    <w:p w14:paraId="317F7DF4" w14:textId="0B8F7157" w:rsidR="007E4230" w:rsidRPr="00D45DD7" w:rsidRDefault="007E4230">
      <w:pPr>
        <w:spacing w:after="200" w:line="276" w:lineRule="auto"/>
        <w:rPr>
          <w:b/>
        </w:rPr>
      </w:pPr>
    </w:p>
    <w:p w14:paraId="18FBD579" w14:textId="77B3975F" w:rsidR="00AB7170" w:rsidRPr="00D45DD7" w:rsidRDefault="00AB7170">
      <w:pPr>
        <w:spacing w:after="200" w:line="276" w:lineRule="auto"/>
        <w:rPr>
          <w:b/>
        </w:rPr>
      </w:pPr>
      <w:r w:rsidRPr="00D45DD7">
        <w:rPr>
          <w:b/>
        </w:rPr>
        <w:t>Legends</w:t>
      </w:r>
    </w:p>
    <w:p w14:paraId="6BE4874B" w14:textId="586B8FFB" w:rsidR="00D970AF" w:rsidRPr="00D45DD7" w:rsidRDefault="00741FAB" w:rsidP="00741FAB">
      <w:pPr>
        <w:rPr>
          <w:b/>
        </w:rPr>
      </w:pPr>
      <w:r w:rsidRPr="00D45DD7">
        <w:rPr>
          <w:b/>
        </w:rPr>
        <w:t xml:space="preserve">Fig 1. </w:t>
      </w:r>
    </w:p>
    <w:p w14:paraId="3CBDBAD6" w14:textId="77777777" w:rsidR="006B7D37" w:rsidRPr="00D45DD7" w:rsidRDefault="00D61762" w:rsidP="001F6D06">
      <w:pPr>
        <w:pStyle w:val="ListParagraph"/>
        <w:numPr>
          <w:ilvl w:val="0"/>
          <w:numId w:val="7"/>
        </w:numPr>
        <w:rPr>
          <w:b/>
        </w:rPr>
      </w:pPr>
      <w:r w:rsidRPr="00D45DD7">
        <w:t>EASI</w:t>
      </w:r>
      <w:r w:rsidRPr="00D45DD7">
        <w:rPr>
          <w:b/>
        </w:rPr>
        <w:t xml:space="preserve"> </w:t>
      </w:r>
      <w:r w:rsidRPr="00D45DD7">
        <w:t xml:space="preserve">scores for </w:t>
      </w:r>
      <w:r w:rsidR="00AB7170" w:rsidRPr="00D45DD7">
        <w:t xml:space="preserve">13 </w:t>
      </w:r>
      <w:r w:rsidRPr="00D45DD7">
        <w:t xml:space="preserve">patients </w:t>
      </w:r>
      <w:r w:rsidR="00AB7170" w:rsidRPr="00D45DD7">
        <w:t>where</w:t>
      </w:r>
      <w:r w:rsidRPr="00D45DD7">
        <w:t xml:space="preserve"> Dupilumab</w:t>
      </w:r>
      <w:r w:rsidR="00AB7170" w:rsidRPr="00D45DD7">
        <w:t xml:space="preserve"> dose was lowered</w:t>
      </w:r>
      <w:r w:rsidRPr="00D45DD7">
        <w:t>, including their pre-treatment</w:t>
      </w:r>
      <w:r w:rsidR="006B7D37" w:rsidRPr="00D45DD7">
        <w:t xml:space="preserve"> (baseline)</w:t>
      </w:r>
      <w:r w:rsidRPr="00D45DD7">
        <w:t>, standard dose and lowered dose scores</w:t>
      </w:r>
      <w:r w:rsidR="002B6F4E" w:rsidRPr="00D45DD7">
        <w:t>.</w:t>
      </w:r>
      <w:r w:rsidR="008B0B07" w:rsidRPr="00D45DD7">
        <w:t xml:space="preserve"> </w:t>
      </w:r>
    </w:p>
    <w:p w14:paraId="39B80AC5" w14:textId="5F2C2CC0" w:rsidR="00741FAB" w:rsidRPr="00D45DD7" w:rsidRDefault="008B0B07" w:rsidP="006B7D37">
      <w:pPr>
        <w:pStyle w:val="ListParagraph"/>
        <w:rPr>
          <w:b/>
        </w:rPr>
      </w:pPr>
      <w:r w:rsidRPr="00D45DD7">
        <w:t xml:space="preserve">Paired two-tailed t test ** p&lt;0.005 </w:t>
      </w:r>
    </w:p>
    <w:p w14:paraId="66838903" w14:textId="31539817" w:rsidR="006B7D37" w:rsidRPr="00D45DD7" w:rsidRDefault="00D970AF" w:rsidP="000821A5">
      <w:pPr>
        <w:pStyle w:val="ListParagraph"/>
        <w:numPr>
          <w:ilvl w:val="0"/>
          <w:numId w:val="7"/>
        </w:numPr>
        <w:rPr>
          <w:b/>
        </w:rPr>
      </w:pPr>
      <w:r w:rsidRPr="00D45DD7">
        <w:t>IGA</w:t>
      </w:r>
      <w:r w:rsidRPr="00D45DD7">
        <w:rPr>
          <w:b/>
        </w:rPr>
        <w:t xml:space="preserve"> </w:t>
      </w:r>
      <w:r w:rsidRPr="00D45DD7">
        <w:t xml:space="preserve">scores for </w:t>
      </w:r>
      <w:r w:rsidR="000821A5" w:rsidRPr="00D45DD7">
        <w:t>1</w:t>
      </w:r>
      <w:r w:rsidR="0011599C" w:rsidRPr="00D45DD7">
        <w:t>5</w:t>
      </w:r>
      <w:r w:rsidR="000821A5" w:rsidRPr="00D45DD7">
        <w:t xml:space="preserve"> </w:t>
      </w:r>
      <w:r w:rsidRPr="00D45DD7">
        <w:t xml:space="preserve">patients </w:t>
      </w:r>
      <w:r w:rsidR="000821A5" w:rsidRPr="00D45DD7">
        <w:t>where Dupilumab dose was lowered, including their pre-treatment</w:t>
      </w:r>
      <w:r w:rsidR="00FF2926" w:rsidRPr="00D45DD7">
        <w:t xml:space="preserve"> (baseline)</w:t>
      </w:r>
      <w:r w:rsidR="000821A5" w:rsidRPr="00D45DD7">
        <w:t>, standard dose and lowered dose scores</w:t>
      </w:r>
      <w:r w:rsidR="002B6F4E" w:rsidRPr="00D45DD7">
        <w:t>.</w:t>
      </w:r>
      <w:r w:rsidR="000821A5" w:rsidRPr="00D45DD7">
        <w:t xml:space="preserve"> </w:t>
      </w:r>
    </w:p>
    <w:p w14:paraId="2EAC6839" w14:textId="0CFD2510" w:rsidR="00D970AF" w:rsidRPr="00D45DD7" w:rsidRDefault="000821A5" w:rsidP="006B7D37">
      <w:pPr>
        <w:pStyle w:val="ListParagraph"/>
        <w:rPr>
          <w:b/>
        </w:rPr>
      </w:pPr>
      <w:r w:rsidRPr="00D45DD7">
        <w:t>Fisher’s exact test:  ** p &lt;0.005, ****p &lt; 0.0001</w:t>
      </w:r>
    </w:p>
    <w:p w14:paraId="0DD78CD7" w14:textId="77777777" w:rsidR="001F6D06" w:rsidRPr="00D45DD7" w:rsidRDefault="001F6D06" w:rsidP="001F6D06">
      <w:pPr>
        <w:pStyle w:val="ListParagraph"/>
        <w:rPr>
          <w:b/>
        </w:rPr>
      </w:pPr>
    </w:p>
    <w:p w14:paraId="414598D0" w14:textId="77777777" w:rsidR="006B7D37" w:rsidRPr="00D45DD7" w:rsidRDefault="006B7D37">
      <w:pPr>
        <w:rPr>
          <w:b/>
        </w:rPr>
      </w:pPr>
    </w:p>
    <w:p w14:paraId="0AE29389" w14:textId="77777777" w:rsidR="006B7D37" w:rsidRPr="00D45DD7" w:rsidRDefault="006B7D37">
      <w:pPr>
        <w:rPr>
          <w:b/>
        </w:rPr>
      </w:pPr>
    </w:p>
    <w:p w14:paraId="635D07CF" w14:textId="77777777" w:rsidR="006B7D37" w:rsidRPr="00D45DD7" w:rsidRDefault="006B7D37">
      <w:pPr>
        <w:rPr>
          <w:b/>
        </w:rPr>
      </w:pPr>
    </w:p>
    <w:p w14:paraId="6A395D30" w14:textId="77777777" w:rsidR="006B7D37" w:rsidRPr="00D45DD7" w:rsidRDefault="006B7D37">
      <w:pPr>
        <w:rPr>
          <w:b/>
        </w:rPr>
      </w:pPr>
    </w:p>
    <w:p w14:paraId="1243C779" w14:textId="77777777" w:rsidR="006B7D37" w:rsidRPr="00D45DD7" w:rsidRDefault="006B7D37">
      <w:pPr>
        <w:rPr>
          <w:b/>
        </w:rPr>
      </w:pPr>
    </w:p>
    <w:p w14:paraId="671625B2" w14:textId="77777777" w:rsidR="006B7D37" w:rsidRPr="00D45DD7" w:rsidRDefault="006B7D37">
      <w:pPr>
        <w:rPr>
          <w:b/>
        </w:rPr>
      </w:pPr>
    </w:p>
    <w:p w14:paraId="3E21BE5C" w14:textId="77777777" w:rsidR="006B7D37" w:rsidRPr="00D45DD7" w:rsidRDefault="006B7D37">
      <w:pPr>
        <w:rPr>
          <w:b/>
        </w:rPr>
      </w:pPr>
    </w:p>
    <w:p w14:paraId="5A671045" w14:textId="77777777" w:rsidR="006B7D37" w:rsidRPr="00D45DD7" w:rsidRDefault="006B7D37">
      <w:pPr>
        <w:rPr>
          <w:b/>
        </w:rPr>
      </w:pPr>
    </w:p>
    <w:p w14:paraId="6948E9FB" w14:textId="77777777" w:rsidR="006B7D37" w:rsidRPr="00D45DD7" w:rsidRDefault="006B7D37">
      <w:pPr>
        <w:rPr>
          <w:b/>
        </w:rPr>
      </w:pPr>
    </w:p>
    <w:p w14:paraId="51FD0512" w14:textId="77777777" w:rsidR="006B7D37" w:rsidRPr="00D45DD7" w:rsidRDefault="006B7D37">
      <w:pPr>
        <w:rPr>
          <w:b/>
        </w:rPr>
      </w:pPr>
    </w:p>
    <w:p w14:paraId="285007FA" w14:textId="77777777" w:rsidR="006B7D37" w:rsidRPr="00D45DD7" w:rsidRDefault="006B7D37">
      <w:pPr>
        <w:rPr>
          <w:b/>
        </w:rPr>
      </w:pPr>
    </w:p>
    <w:p w14:paraId="68174208" w14:textId="77777777" w:rsidR="006B7D37" w:rsidRPr="00D45DD7" w:rsidRDefault="006B7D37">
      <w:pPr>
        <w:rPr>
          <w:b/>
        </w:rPr>
      </w:pPr>
    </w:p>
    <w:p w14:paraId="2C6CB801" w14:textId="69F48966" w:rsidR="006B7D37" w:rsidRPr="00D45DD7" w:rsidRDefault="006B7D37">
      <w:pPr>
        <w:rPr>
          <w:b/>
        </w:rPr>
      </w:pPr>
    </w:p>
    <w:p w14:paraId="6547FDEC" w14:textId="15E527D8" w:rsidR="008D2EA4" w:rsidRPr="00D45DD7" w:rsidRDefault="008D2EA4">
      <w:pPr>
        <w:rPr>
          <w:b/>
        </w:rPr>
      </w:pPr>
    </w:p>
    <w:p w14:paraId="13364C88" w14:textId="2522C6B0" w:rsidR="008D2EA4" w:rsidRPr="00D45DD7" w:rsidRDefault="008D2EA4">
      <w:pPr>
        <w:rPr>
          <w:b/>
        </w:rPr>
      </w:pPr>
    </w:p>
    <w:p w14:paraId="422D1A24" w14:textId="5750A680" w:rsidR="008D2EA4" w:rsidRPr="00D45DD7" w:rsidRDefault="008D2EA4">
      <w:pPr>
        <w:rPr>
          <w:b/>
        </w:rPr>
      </w:pPr>
    </w:p>
    <w:p w14:paraId="4C106B05" w14:textId="2CE67596" w:rsidR="008D2EA4" w:rsidRPr="00D45DD7" w:rsidRDefault="008D2EA4">
      <w:pPr>
        <w:rPr>
          <w:b/>
        </w:rPr>
      </w:pPr>
    </w:p>
    <w:p w14:paraId="2039BC02" w14:textId="61EE5B43" w:rsidR="008D2EA4" w:rsidRPr="00D45DD7" w:rsidRDefault="008D2EA4">
      <w:pPr>
        <w:rPr>
          <w:b/>
        </w:rPr>
      </w:pPr>
    </w:p>
    <w:p w14:paraId="102FFE92" w14:textId="1C45E9BA" w:rsidR="008D2EA4" w:rsidRPr="00D45DD7" w:rsidRDefault="008D2EA4">
      <w:pPr>
        <w:rPr>
          <w:b/>
        </w:rPr>
      </w:pPr>
    </w:p>
    <w:p w14:paraId="4124515F" w14:textId="29528A52" w:rsidR="008D2EA4" w:rsidRPr="00D45DD7" w:rsidRDefault="008D2EA4">
      <w:pPr>
        <w:rPr>
          <w:b/>
        </w:rPr>
      </w:pPr>
    </w:p>
    <w:p w14:paraId="704D27C4" w14:textId="77777777" w:rsidR="002F751C" w:rsidRPr="00D45DD7" w:rsidRDefault="002F751C">
      <w:pPr>
        <w:rPr>
          <w:b/>
        </w:rPr>
      </w:pPr>
    </w:p>
    <w:p w14:paraId="7BA98F9A" w14:textId="77777777" w:rsidR="002F751C" w:rsidRPr="00D45DD7" w:rsidRDefault="002F751C">
      <w:pPr>
        <w:rPr>
          <w:b/>
        </w:rPr>
      </w:pPr>
    </w:p>
    <w:p w14:paraId="47FFC3F7" w14:textId="77777777" w:rsidR="002F751C" w:rsidRPr="00D45DD7" w:rsidRDefault="002F751C">
      <w:pPr>
        <w:rPr>
          <w:b/>
        </w:rPr>
      </w:pPr>
    </w:p>
    <w:p w14:paraId="3B4531AB" w14:textId="77777777" w:rsidR="002F751C" w:rsidRPr="00D45DD7" w:rsidRDefault="002F751C">
      <w:pPr>
        <w:rPr>
          <w:b/>
        </w:rPr>
      </w:pPr>
    </w:p>
    <w:p w14:paraId="5A7A0A5C" w14:textId="77777777" w:rsidR="002F751C" w:rsidRPr="00D45DD7" w:rsidRDefault="002F751C">
      <w:pPr>
        <w:rPr>
          <w:b/>
        </w:rPr>
      </w:pPr>
    </w:p>
    <w:p w14:paraId="01778986" w14:textId="77777777" w:rsidR="002F751C" w:rsidRPr="00D45DD7" w:rsidRDefault="002F751C">
      <w:pPr>
        <w:rPr>
          <w:b/>
        </w:rPr>
      </w:pPr>
    </w:p>
    <w:p w14:paraId="722C6362" w14:textId="77777777" w:rsidR="002F751C" w:rsidRPr="00D45DD7" w:rsidRDefault="002F751C">
      <w:pPr>
        <w:rPr>
          <w:b/>
        </w:rPr>
      </w:pPr>
    </w:p>
    <w:p w14:paraId="540022CB" w14:textId="77777777" w:rsidR="002F751C" w:rsidRPr="00D45DD7" w:rsidRDefault="002F751C">
      <w:pPr>
        <w:rPr>
          <w:b/>
        </w:rPr>
      </w:pPr>
    </w:p>
    <w:p w14:paraId="52BB1EBD" w14:textId="77777777" w:rsidR="002F751C" w:rsidRPr="00D45DD7" w:rsidRDefault="002F751C">
      <w:pPr>
        <w:rPr>
          <w:b/>
        </w:rPr>
      </w:pPr>
    </w:p>
    <w:p w14:paraId="13AA5349" w14:textId="77777777" w:rsidR="002F751C" w:rsidRPr="00D45DD7" w:rsidRDefault="002F751C">
      <w:pPr>
        <w:rPr>
          <w:b/>
        </w:rPr>
      </w:pPr>
    </w:p>
    <w:p w14:paraId="11DAEBDD" w14:textId="77777777" w:rsidR="002F751C" w:rsidRPr="00D45DD7" w:rsidRDefault="002F751C">
      <w:pPr>
        <w:rPr>
          <w:b/>
        </w:rPr>
      </w:pPr>
    </w:p>
    <w:p w14:paraId="42CEA826" w14:textId="77777777" w:rsidR="002F751C" w:rsidRPr="00D45DD7" w:rsidRDefault="002F751C">
      <w:pPr>
        <w:rPr>
          <w:b/>
        </w:rPr>
      </w:pPr>
    </w:p>
    <w:p w14:paraId="0E470434" w14:textId="77777777" w:rsidR="002F751C" w:rsidRPr="00D45DD7" w:rsidRDefault="002F751C">
      <w:pPr>
        <w:rPr>
          <w:b/>
        </w:rPr>
      </w:pPr>
    </w:p>
    <w:p w14:paraId="1F666A40" w14:textId="77777777" w:rsidR="002F751C" w:rsidRPr="00D45DD7" w:rsidRDefault="002F751C">
      <w:pPr>
        <w:rPr>
          <w:b/>
        </w:rPr>
      </w:pPr>
    </w:p>
    <w:p w14:paraId="1B95457C" w14:textId="77777777" w:rsidR="002F751C" w:rsidRPr="00D45DD7" w:rsidRDefault="002F751C">
      <w:pPr>
        <w:rPr>
          <w:b/>
        </w:rPr>
      </w:pPr>
    </w:p>
    <w:p w14:paraId="71402E4E" w14:textId="3706D139" w:rsidR="00D970AF" w:rsidRPr="00D45DD7" w:rsidRDefault="001F6D06">
      <w:pPr>
        <w:rPr>
          <w:b/>
        </w:rPr>
      </w:pPr>
      <w:r w:rsidRPr="00D45DD7">
        <w:rPr>
          <w:b/>
        </w:rPr>
        <w:t>Figure 1a.</w:t>
      </w:r>
    </w:p>
    <w:p w14:paraId="046F2B8A" w14:textId="50469C95" w:rsidR="0044734C" w:rsidRPr="00D45DD7" w:rsidRDefault="003312E8" w:rsidP="002B6F4E">
      <w:pPr>
        <w:ind w:left="2160" w:firstLine="720"/>
        <w:rPr>
          <w:highlight w:val="yellow"/>
        </w:rPr>
      </w:pPr>
      <w:r w:rsidRPr="00D45DD7">
        <w:rPr>
          <w:noProof/>
        </w:rPr>
        <w:drawing>
          <wp:inline distT="0" distB="0" distL="0" distR="0" wp14:anchorId="3F346A33" wp14:editId="51E6C9B8">
            <wp:extent cx="1956816" cy="3691128"/>
            <wp:effectExtent l="0" t="0" r="5715" b="0"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ox and whisker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369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9BF93" w14:textId="77777777" w:rsidR="00CF14E3" w:rsidRPr="00D45DD7" w:rsidRDefault="00CF14E3" w:rsidP="004E0AD2">
      <w:pPr>
        <w:rPr>
          <w:b/>
        </w:rPr>
      </w:pPr>
    </w:p>
    <w:p w14:paraId="5440D477" w14:textId="0137E775" w:rsidR="00CF14E3" w:rsidRPr="00D45DD7" w:rsidRDefault="00CF14E3" w:rsidP="004E0AD2">
      <w:pPr>
        <w:rPr>
          <w:b/>
        </w:rPr>
      </w:pPr>
    </w:p>
    <w:p w14:paraId="58B736DD" w14:textId="77777777" w:rsidR="000821A5" w:rsidRPr="00D45DD7" w:rsidRDefault="000821A5" w:rsidP="004E0AD2">
      <w:pPr>
        <w:rPr>
          <w:b/>
        </w:rPr>
      </w:pPr>
    </w:p>
    <w:p w14:paraId="6EB8B3B4" w14:textId="1EC3AFED" w:rsidR="0044734C" w:rsidRPr="00D45DD7" w:rsidRDefault="00222845" w:rsidP="004E0AD2">
      <w:pPr>
        <w:rPr>
          <w:b/>
          <w:highlight w:val="yellow"/>
        </w:rPr>
      </w:pPr>
      <w:r w:rsidRPr="00D45DD7">
        <w:rPr>
          <w:b/>
        </w:rPr>
        <w:t>Figure 1b</w:t>
      </w:r>
      <w:r w:rsidR="002B6F4E" w:rsidRPr="00D45DD7">
        <w:rPr>
          <w:b/>
        </w:rPr>
        <w:t>.</w:t>
      </w:r>
    </w:p>
    <w:p w14:paraId="658A45B5" w14:textId="429B6CA7" w:rsidR="0017578E" w:rsidRPr="00D45DD7" w:rsidRDefault="00CF14E3" w:rsidP="006B7D37">
      <w:pPr>
        <w:jc w:val="center"/>
      </w:pPr>
      <w:r w:rsidRPr="00D45DD7">
        <w:rPr>
          <w:b/>
          <w:noProof/>
        </w:rPr>
        <w:lastRenderedPageBreak/>
        <w:drawing>
          <wp:inline distT="0" distB="0" distL="0" distR="0" wp14:anchorId="6D3A6780" wp14:editId="74A190C8">
            <wp:extent cx="1876425" cy="3686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41A42" w14:textId="35903CC7" w:rsidR="000F61C0" w:rsidRPr="00D45DD7" w:rsidRDefault="000F61C0" w:rsidP="006B7D37">
      <w:pPr>
        <w:jc w:val="center"/>
      </w:pPr>
    </w:p>
    <w:p w14:paraId="4823AC18" w14:textId="6B91568F" w:rsidR="000F61C0" w:rsidRPr="00D45DD7" w:rsidRDefault="000F61C0" w:rsidP="000F61C0"/>
    <w:sectPr w:rsidR="000F61C0" w:rsidRPr="00D45DD7" w:rsidSect="006B7D3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67BC" w14:textId="77777777" w:rsidR="007C37E6" w:rsidRDefault="007C37E6" w:rsidP="0011349C">
      <w:r>
        <w:separator/>
      </w:r>
    </w:p>
  </w:endnote>
  <w:endnote w:type="continuationSeparator" w:id="0">
    <w:p w14:paraId="71F45E9F" w14:textId="77777777" w:rsidR="007C37E6" w:rsidRDefault="007C37E6" w:rsidP="0011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30B6C" w14:textId="77777777" w:rsidR="007C37E6" w:rsidRDefault="007C37E6" w:rsidP="0011349C">
      <w:r>
        <w:separator/>
      </w:r>
    </w:p>
  </w:footnote>
  <w:footnote w:type="continuationSeparator" w:id="0">
    <w:p w14:paraId="6B3EF3F0" w14:textId="77777777" w:rsidR="007C37E6" w:rsidRDefault="007C37E6" w:rsidP="0011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0583"/>
    <w:multiLevelType w:val="hybridMultilevel"/>
    <w:tmpl w:val="4ED22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44BB"/>
    <w:multiLevelType w:val="hybridMultilevel"/>
    <w:tmpl w:val="ADD4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8A0"/>
    <w:multiLevelType w:val="multilevel"/>
    <w:tmpl w:val="015A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243E5"/>
    <w:multiLevelType w:val="hybridMultilevel"/>
    <w:tmpl w:val="4E9ADC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E0C51"/>
    <w:multiLevelType w:val="hybridMultilevel"/>
    <w:tmpl w:val="5BAC5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E78DB"/>
    <w:multiLevelType w:val="hybridMultilevel"/>
    <w:tmpl w:val="8FFC2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3799C"/>
    <w:multiLevelType w:val="hybridMultilevel"/>
    <w:tmpl w:val="E1007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D"/>
    <w:rsid w:val="000014B4"/>
    <w:rsid w:val="00022FAC"/>
    <w:rsid w:val="000326A0"/>
    <w:rsid w:val="0003405C"/>
    <w:rsid w:val="00043F73"/>
    <w:rsid w:val="000452A0"/>
    <w:rsid w:val="00051318"/>
    <w:rsid w:val="0005269D"/>
    <w:rsid w:val="0006005B"/>
    <w:rsid w:val="00067584"/>
    <w:rsid w:val="000679B9"/>
    <w:rsid w:val="000701D8"/>
    <w:rsid w:val="00070D45"/>
    <w:rsid w:val="0007551F"/>
    <w:rsid w:val="00081CB4"/>
    <w:rsid w:val="000821A5"/>
    <w:rsid w:val="000943FA"/>
    <w:rsid w:val="000A4BD8"/>
    <w:rsid w:val="000B774E"/>
    <w:rsid w:val="000C21C5"/>
    <w:rsid w:val="000F61C0"/>
    <w:rsid w:val="000F68A4"/>
    <w:rsid w:val="00106CA9"/>
    <w:rsid w:val="0011349C"/>
    <w:rsid w:val="0011599C"/>
    <w:rsid w:val="00124F3F"/>
    <w:rsid w:val="00127A19"/>
    <w:rsid w:val="00143036"/>
    <w:rsid w:val="00143849"/>
    <w:rsid w:val="0017578E"/>
    <w:rsid w:val="00181232"/>
    <w:rsid w:val="00181FA4"/>
    <w:rsid w:val="001839A6"/>
    <w:rsid w:val="001A64F3"/>
    <w:rsid w:val="001B0C85"/>
    <w:rsid w:val="001B2D7B"/>
    <w:rsid w:val="001B2E01"/>
    <w:rsid w:val="001B62C7"/>
    <w:rsid w:val="001D14FD"/>
    <w:rsid w:val="001D4171"/>
    <w:rsid w:val="001D6CDE"/>
    <w:rsid w:val="001E2C6F"/>
    <w:rsid w:val="001F6D06"/>
    <w:rsid w:val="001F6F6B"/>
    <w:rsid w:val="002109C3"/>
    <w:rsid w:val="00214D5A"/>
    <w:rsid w:val="00222845"/>
    <w:rsid w:val="0023338B"/>
    <w:rsid w:val="002344F6"/>
    <w:rsid w:val="00243696"/>
    <w:rsid w:val="002716F5"/>
    <w:rsid w:val="00271BD3"/>
    <w:rsid w:val="00273D07"/>
    <w:rsid w:val="002803D1"/>
    <w:rsid w:val="00290057"/>
    <w:rsid w:val="002917D8"/>
    <w:rsid w:val="002930B9"/>
    <w:rsid w:val="002A441F"/>
    <w:rsid w:val="002B1C9D"/>
    <w:rsid w:val="002B213B"/>
    <w:rsid w:val="002B6F4E"/>
    <w:rsid w:val="002D1E19"/>
    <w:rsid w:val="002D3E97"/>
    <w:rsid w:val="002E706F"/>
    <w:rsid w:val="002F1680"/>
    <w:rsid w:val="002F633F"/>
    <w:rsid w:val="002F751C"/>
    <w:rsid w:val="00306A50"/>
    <w:rsid w:val="0031103A"/>
    <w:rsid w:val="003312E8"/>
    <w:rsid w:val="00336B1A"/>
    <w:rsid w:val="00357135"/>
    <w:rsid w:val="003738AC"/>
    <w:rsid w:val="00396E18"/>
    <w:rsid w:val="003A3C03"/>
    <w:rsid w:val="003A5821"/>
    <w:rsid w:val="003F40B9"/>
    <w:rsid w:val="004027D8"/>
    <w:rsid w:val="00405331"/>
    <w:rsid w:val="0042324E"/>
    <w:rsid w:val="00424DE0"/>
    <w:rsid w:val="00434AE8"/>
    <w:rsid w:val="00435181"/>
    <w:rsid w:val="00437131"/>
    <w:rsid w:val="0044734C"/>
    <w:rsid w:val="00447C5D"/>
    <w:rsid w:val="0045621C"/>
    <w:rsid w:val="0046001D"/>
    <w:rsid w:val="00467984"/>
    <w:rsid w:val="00475324"/>
    <w:rsid w:val="0048010F"/>
    <w:rsid w:val="004C08DC"/>
    <w:rsid w:val="004C1D25"/>
    <w:rsid w:val="004D2CC4"/>
    <w:rsid w:val="004D5A00"/>
    <w:rsid w:val="004E0AD2"/>
    <w:rsid w:val="004F6FE0"/>
    <w:rsid w:val="00500A68"/>
    <w:rsid w:val="0050340C"/>
    <w:rsid w:val="00503C20"/>
    <w:rsid w:val="0051316B"/>
    <w:rsid w:val="00524ED3"/>
    <w:rsid w:val="00536371"/>
    <w:rsid w:val="005431EF"/>
    <w:rsid w:val="00546449"/>
    <w:rsid w:val="0055239F"/>
    <w:rsid w:val="0056057B"/>
    <w:rsid w:val="00577A1E"/>
    <w:rsid w:val="005970B7"/>
    <w:rsid w:val="005A7883"/>
    <w:rsid w:val="005A7CBC"/>
    <w:rsid w:val="005D09AB"/>
    <w:rsid w:val="005D1696"/>
    <w:rsid w:val="005D3636"/>
    <w:rsid w:val="005E4310"/>
    <w:rsid w:val="005F36BF"/>
    <w:rsid w:val="00605892"/>
    <w:rsid w:val="00612F0B"/>
    <w:rsid w:val="00613F93"/>
    <w:rsid w:val="00616473"/>
    <w:rsid w:val="006252C1"/>
    <w:rsid w:val="0063417E"/>
    <w:rsid w:val="00647E22"/>
    <w:rsid w:val="00656495"/>
    <w:rsid w:val="00661702"/>
    <w:rsid w:val="0066466F"/>
    <w:rsid w:val="00675D16"/>
    <w:rsid w:val="0068424D"/>
    <w:rsid w:val="00692A1E"/>
    <w:rsid w:val="00694E2B"/>
    <w:rsid w:val="00696C71"/>
    <w:rsid w:val="00697D10"/>
    <w:rsid w:val="006A2C91"/>
    <w:rsid w:val="006A6158"/>
    <w:rsid w:val="006B62DD"/>
    <w:rsid w:val="006B7D37"/>
    <w:rsid w:val="006D53C7"/>
    <w:rsid w:val="006D7A19"/>
    <w:rsid w:val="006E58B5"/>
    <w:rsid w:val="006F534F"/>
    <w:rsid w:val="00701CE5"/>
    <w:rsid w:val="00735BF7"/>
    <w:rsid w:val="00741FAB"/>
    <w:rsid w:val="00742E3A"/>
    <w:rsid w:val="00754697"/>
    <w:rsid w:val="00767C3E"/>
    <w:rsid w:val="007955B7"/>
    <w:rsid w:val="007A7AAB"/>
    <w:rsid w:val="007C354F"/>
    <w:rsid w:val="007C37E6"/>
    <w:rsid w:val="007C6C69"/>
    <w:rsid w:val="007E293B"/>
    <w:rsid w:val="007E4230"/>
    <w:rsid w:val="007E5606"/>
    <w:rsid w:val="007F1054"/>
    <w:rsid w:val="007F122E"/>
    <w:rsid w:val="008277E8"/>
    <w:rsid w:val="008444C6"/>
    <w:rsid w:val="00844804"/>
    <w:rsid w:val="008555E5"/>
    <w:rsid w:val="00857FFC"/>
    <w:rsid w:val="00880AA7"/>
    <w:rsid w:val="008B0B07"/>
    <w:rsid w:val="008D0F6A"/>
    <w:rsid w:val="008D2EA4"/>
    <w:rsid w:val="008F1C6E"/>
    <w:rsid w:val="008F34E9"/>
    <w:rsid w:val="00913CF6"/>
    <w:rsid w:val="00923514"/>
    <w:rsid w:val="0092458E"/>
    <w:rsid w:val="00931E79"/>
    <w:rsid w:val="00934673"/>
    <w:rsid w:val="0093509D"/>
    <w:rsid w:val="00942CE8"/>
    <w:rsid w:val="00963961"/>
    <w:rsid w:val="009675FA"/>
    <w:rsid w:val="00973A10"/>
    <w:rsid w:val="00977B48"/>
    <w:rsid w:val="00983DB8"/>
    <w:rsid w:val="009B024B"/>
    <w:rsid w:val="009D6C18"/>
    <w:rsid w:val="009E4E1C"/>
    <w:rsid w:val="009E4FBF"/>
    <w:rsid w:val="009F6A4F"/>
    <w:rsid w:val="00A109AD"/>
    <w:rsid w:val="00A11250"/>
    <w:rsid w:val="00A12F58"/>
    <w:rsid w:val="00A23F56"/>
    <w:rsid w:val="00A259DB"/>
    <w:rsid w:val="00A313E4"/>
    <w:rsid w:val="00A349F3"/>
    <w:rsid w:val="00A450DE"/>
    <w:rsid w:val="00A52BAB"/>
    <w:rsid w:val="00A5403B"/>
    <w:rsid w:val="00A56A5D"/>
    <w:rsid w:val="00A64E09"/>
    <w:rsid w:val="00A71F58"/>
    <w:rsid w:val="00A754FA"/>
    <w:rsid w:val="00A81AA1"/>
    <w:rsid w:val="00A9026F"/>
    <w:rsid w:val="00AA0901"/>
    <w:rsid w:val="00AA3D26"/>
    <w:rsid w:val="00AB3AAC"/>
    <w:rsid w:val="00AB3DA9"/>
    <w:rsid w:val="00AB7170"/>
    <w:rsid w:val="00AB7994"/>
    <w:rsid w:val="00AF37B9"/>
    <w:rsid w:val="00B03632"/>
    <w:rsid w:val="00B062D2"/>
    <w:rsid w:val="00B3714B"/>
    <w:rsid w:val="00B37AD4"/>
    <w:rsid w:val="00B458F9"/>
    <w:rsid w:val="00B510F0"/>
    <w:rsid w:val="00B74C03"/>
    <w:rsid w:val="00B85EF6"/>
    <w:rsid w:val="00B93560"/>
    <w:rsid w:val="00BA37E2"/>
    <w:rsid w:val="00BB6918"/>
    <w:rsid w:val="00BC6A62"/>
    <w:rsid w:val="00BD48DB"/>
    <w:rsid w:val="00C3645C"/>
    <w:rsid w:val="00C40D59"/>
    <w:rsid w:val="00C46D99"/>
    <w:rsid w:val="00C652EA"/>
    <w:rsid w:val="00C87450"/>
    <w:rsid w:val="00C94314"/>
    <w:rsid w:val="00CB0004"/>
    <w:rsid w:val="00CD2888"/>
    <w:rsid w:val="00CD77A3"/>
    <w:rsid w:val="00CF14E3"/>
    <w:rsid w:val="00D01167"/>
    <w:rsid w:val="00D21702"/>
    <w:rsid w:val="00D250D7"/>
    <w:rsid w:val="00D3799F"/>
    <w:rsid w:val="00D439C4"/>
    <w:rsid w:val="00D45DD7"/>
    <w:rsid w:val="00D50B0B"/>
    <w:rsid w:val="00D53A84"/>
    <w:rsid w:val="00D61762"/>
    <w:rsid w:val="00D970AF"/>
    <w:rsid w:val="00DA1CA9"/>
    <w:rsid w:val="00DD038C"/>
    <w:rsid w:val="00DD237D"/>
    <w:rsid w:val="00DF0DD5"/>
    <w:rsid w:val="00DF1DD1"/>
    <w:rsid w:val="00E1745B"/>
    <w:rsid w:val="00E20BAB"/>
    <w:rsid w:val="00E37F7B"/>
    <w:rsid w:val="00E51D85"/>
    <w:rsid w:val="00E62979"/>
    <w:rsid w:val="00E64824"/>
    <w:rsid w:val="00EA0AD8"/>
    <w:rsid w:val="00EB7467"/>
    <w:rsid w:val="00EC0F86"/>
    <w:rsid w:val="00EC7BC4"/>
    <w:rsid w:val="00ED3C1F"/>
    <w:rsid w:val="00EE42C2"/>
    <w:rsid w:val="00F04CD8"/>
    <w:rsid w:val="00F2663B"/>
    <w:rsid w:val="00F5143A"/>
    <w:rsid w:val="00F60979"/>
    <w:rsid w:val="00F6497F"/>
    <w:rsid w:val="00F704A5"/>
    <w:rsid w:val="00F914CD"/>
    <w:rsid w:val="00F97593"/>
    <w:rsid w:val="00FD3709"/>
    <w:rsid w:val="00FD5A29"/>
    <w:rsid w:val="00FE18F8"/>
    <w:rsid w:val="00FE4E05"/>
    <w:rsid w:val="00FF2926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4B6E"/>
  <w15:chartTrackingRefBased/>
  <w15:docId w15:val="{3791A69D-9601-4780-873E-9481C32E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C9D"/>
    <w:pPr>
      <w:keepNext/>
      <w:keepLines/>
      <w:spacing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C9D"/>
    <w:pPr>
      <w:keepNext/>
      <w:keepLines/>
      <w:spacing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C9D"/>
    <w:pPr>
      <w:keepNext/>
      <w:keepLines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C9D"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C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C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C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C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C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C9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C9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C9D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C9D"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C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C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C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C9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C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1C9D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1C9D"/>
    <w:pPr>
      <w:spacing w:line="36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C9D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C9D"/>
    <w:pPr>
      <w:numPr>
        <w:ilvl w:val="1"/>
      </w:numPr>
      <w:spacing w:line="36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1C9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1C9D"/>
    <w:rPr>
      <w:b/>
      <w:bCs/>
    </w:rPr>
  </w:style>
  <w:style w:type="character" w:styleId="Emphasis">
    <w:name w:val="Emphasis"/>
    <w:basedOn w:val="DefaultParagraphFont"/>
    <w:uiPriority w:val="20"/>
    <w:qFormat/>
    <w:rsid w:val="002B1C9D"/>
    <w:rPr>
      <w:i/>
      <w:iCs/>
    </w:rPr>
  </w:style>
  <w:style w:type="paragraph" w:styleId="NoSpacing">
    <w:name w:val="No Spacing"/>
    <w:uiPriority w:val="1"/>
    <w:qFormat/>
    <w:rsid w:val="002B1C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C9D"/>
    <w:pPr>
      <w:spacing w:line="360" w:lineRule="auto"/>
      <w:ind w:left="720"/>
      <w:contextualSpacing/>
    </w:pPr>
    <w:rPr>
      <w:rFonts w:eastAsiaTheme="minorEastAsia" w:cstheme="min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B1C9D"/>
    <w:pPr>
      <w:spacing w:line="360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B1C9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C9D"/>
    <w:pPr>
      <w:pBdr>
        <w:bottom w:val="single" w:sz="4" w:space="4" w:color="4472C4" w:themeColor="accent1"/>
      </w:pBdr>
      <w:spacing w:before="200" w:after="280" w:line="360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C9D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2B1C9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1C9D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B1C9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1C9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1C9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1C9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41FA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3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84"/>
    <w:rPr>
      <w:rFonts w:eastAsiaTheme="minorEastAsia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8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8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A84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71B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41F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4C08DC"/>
    <w:rPr>
      <w:rFonts w:ascii="Calibri" w:eastAsiaTheme="minorHAnsi" w:hAnsi="Calibri" w:cstheme="minorBid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C08DC"/>
    <w:rPr>
      <w:rFonts w:ascii="Calibri" w:eastAsiaTheme="minorHAnsi" w:hAnsi="Calibri"/>
      <w:sz w:val="24"/>
      <w:szCs w:val="24"/>
      <w:lang w:val="en-US"/>
    </w:rPr>
  </w:style>
  <w:style w:type="paragraph" w:customStyle="1" w:styleId="Default">
    <w:name w:val="Default"/>
    <w:rsid w:val="00931E7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US"/>
    </w:rPr>
  </w:style>
  <w:style w:type="character" w:customStyle="1" w:styleId="Subtitle1">
    <w:name w:val="Subtitle1"/>
    <w:basedOn w:val="DefaultParagraphFont"/>
    <w:rsid w:val="0066466F"/>
  </w:style>
  <w:style w:type="character" w:customStyle="1" w:styleId="colon-for-citation-subtitle">
    <w:name w:val="colon-for-citation-subtitle"/>
    <w:basedOn w:val="DefaultParagraphFont"/>
    <w:rsid w:val="0066466F"/>
  </w:style>
  <w:style w:type="table" w:styleId="TableGrid">
    <w:name w:val="Table Grid"/>
    <w:basedOn w:val="TableNormal"/>
    <w:uiPriority w:val="39"/>
    <w:rsid w:val="004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3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4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4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0E9B-22D9-2445-AB0B-6D588D82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Owen</dc:creator>
  <cp:keywords/>
  <dc:description/>
  <cp:lastModifiedBy>Michael Ardern-Jones</cp:lastModifiedBy>
  <cp:revision>3</cp:revision>
  <cp:lastPrinted>2022-10-21T10:04:00Z</cp:lastPrinted>
  <dcterms:created xsi:type="dcterms:W3CDTF">2023-01-03T16:15:00Z</dcterms:created>
  <dcterms:modified xsi:type="dcterms:W3CDTF">2023-01-03T16:16:00Z</dcterms:modified>
</cp:coreProperties>
</file>