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E407" w14:textId="5A5F693B" w:rsidR="00566E83" w:rsidRDefault="004F56C6" w:rsidP="00701E93">
      <w:pPr>
        <w:pStyle w:val="Heading1"/>
        <w:jc w:val="center"/>
        <w:rPr>
          <w:rFonts w:cs="Arial"/>
          <w:sz w:val="24"/>
          <w:szCs w:val="24"/>
        </w:rPr>
      </w:pPr>
      <w:r>
        <w:rPr>
          <w:rFonts w:cs="Arial"/>
          <w:sz w:val="24"/>
          <w:szCs w:val="24"/>
        </w:rPr>
        <w:t>Incidence</w:t>
      </w:r>
      <w:r w:rsidR="00906E02">
        <w:rPr>
          <w:rFonts w:cs="Arial"/>
          <w:sz w:val="24"/>
          <w:szCs w:val="24"/>
        </w:rPr>
        <w:t xml:space="preserve"> </w:t>
      </w:r>
      <w:r w:rsidR="008C2866">
        <w:rPr>
          <w:rFonts w:cs="Arial"/>
          <w:sz w:val="24"/>
          <w:szCs w:val="24"/>
        </w:rPr>
        <w:t xml:space="preserve">and Mortality </w:t>
      </w:r>
      <w:r>
        <w:rPr>
          <w:rFonts w:cs="Arial"/>
          <w:sz w:val="24"/>
          <w:szCs w:val="24"/>
        </w:rPr>
        <w:t>from</w:t>
      </w:r>
      <w:r w:rsidR="00906E02">
        <w:rPr>
          <w:rFonts w:cs="Arial"/>
          <w:sz w:val="24"/>
          <w:szCs w:val="24"/>
        </w:rPr>
        <w:t xml:space="preserve"> Malignant Mesothelioma </w:t>
      </w:r>
      <w:r w:rsidR="00701E93">
        <w:rPr>
          <w:rFonts w:cs="Arial"/>
          <w:sz w:val="24"/>
          <w:szCs w:val="24"/>
        </w:rPr>
        <w:t>1982</w:t>
      </w:r>
      <w:r w:rsidR="00906E02">
        <w:rPr>
          <w:rFonts w:cs="Arial"/>
          <w:sz w:val="24"/>
          <w:szCs w:val="24"/>
        </w:rPr>
        <w:t>-2020</w:t>
      </w:r>
      <w:r w:rsidR="00701E93">
        <w:rPr>
          <w:rFonts w:cs="Arial"/>
          <w:sz w:val="24"/>
          <w:szCs w:val="24"/>
        </w:rPr>
        <w:t xml:space="preserve"> and </w:t>
      </w:r>
      <w:r w:rsidR="00E862BC">
        <w:rPr>
          <w:rFonts w:cs="Arial"/>
          <w:sz w:val="24"/>
          <w:szCs w:val="24"/>
        </w:rPr>
        <w:t>relationship with</w:t>
      </w:r>
      <w:r w:rsidR="00701E93">
        <w:rPr>
          <w:rFonts w:cs="Arial"/>
          <w:sz w:val="24"/>
          <w:szCs w:val="24"/>
        </w:rPr>
        <w:t xml:space="preserve"> asbestos exposure</w:t>
      </w:r>
      <w:r w:rsidR="00906E02">
        <w:rPr>
          <w:rFonts w:cs="Arial"/>
          <w:sz w:val="24"/>
          <w:szCs w:val="24"/>
        </w:rPr>
        <w:t>: the Australian</w:t>
      </w:r>
      <w:r w:rsidR="00566E83" w:rsidRPr="00C97C77">
        <w:rPr>
          <w:rFonts w:cs="Arial"/>
          <w:sz w:val="24"/>
          <w:szCs w:val="24"/>
        </w:rPr>
        <w:t xml:space="preserve"> Mesothelioma Registry</w:t>
      </w:r>
    </w:p>
    <w:p w14:paraId="1954EE41" w14:textId="4839CA54" w:rsidR="00F45CC4" w:rsidRPr="00D2308A" w:rsidRDefault="00F45CC4" w:rsidP="00F45CC4">
      <w:pPr>
        <w:pStyle w:val="Heading2"/>
        <w:rPr>
          <w:sz w:val="24"/>
          <w:szCs w:val="24"/>
          <w:vertAlign w:val="superscript"/>
        </w:rPr>
      </w:pPr>
      <w:r w:rsidRPr="00F45CC4">
        <w:rPr>
          <w:sz w:val="24"/>
          <w:szCs w:val="24"/>
        </w:rPr>
        <w:t>Walker-Bone K</w:t>
      </w:r>
      <w:r w:rsidR="00D2308A">
        <w:rPr>
          <w:sz w:val="24"/>
          <w:szCs w:val="24"/>
          <w:vertAlign w:val="superscript"/>
        </w:rPr>
        <w:t>1,2</w:t>
      </w:r>
      <w:r w:rsidRPr="00F45CC4">
        <w:rPr>
          <w:sz w:val="24"/>
          <w:szCs w:val="24"/>
        </w:rPr>
        <w:t>, Benke G</w:t>
      </w:r>
      <w:r w:rsidR="00D2308A">
        <w:rPr>
          <w:sz w:val="24"/>
          <w:szCs w:val="24"/>
          <w:vertAlign w:val="superscript"/>
        </w:rPr>
        <w:t>1</w:t>
      </w:r>
      <w:r w:rsidRPr="00F45CC4">
        <w:rPr>
          <w:sz w:val="24"/>
          <w:szCs w:val="24"/>
        </w:rPr>
        <w:t>, MacFarlane E</w:t>
      </w:r>
      <w:r w:rsidR="00D2308A">
        <w:rPr>
          <w:sz w:val="24"/>
          <w:szCs w:val="24"/>
          <w:vertAlign w:val="superscript"/>
        </w:rPr>
        <w:t>1</w:t>
      </w:r>
      <w:r w:rsidRPr="00F45CC4">
        <w:rPr>
          <w:sz w:val="24"/>
          <w:szCs w:val="24"/>
        </w:rPr>
        <w:t>, Klebe S</w:t>
      </w:r>
      <w:r w:rsidR="00D2308A">
        <w:rPr>
          <w:sz w:val="24"/>
          <w:szCs w:val="24"/>
          <w:vertAlign w:val="superscript"/>
        </w:rPr>
        <w:t>3,4</w:t>
      </w:r>
      <w:r w:rsidR="00C636AC">
        <w:rPr>
          <w:sz w:val="24"/>
          <w:szCs w:val="24"/>
        </w:rPr>
        <w:t xml:space="preserve">, </w:t>
      </w:r>
      <w:r w:rsidR="008060C1">
        <w:rPr>
          <w:sz w:val="24"/>
          <w:szCs w:val="24"/>
        </w:rPr>
        <w:t xml:space="preserve">Takahashi </w:t>
      </w:r>
      <w:r w:rsidR="00C636AC">
        <w:rPr>
          <w:sz w:val="24"/>
          <w:szCs w:val="24"/>
        </w:rPr>
        <w:t>K</w:t>
      </w:r>
      <w:r w:rsidR="00D2308A">
        <w:rPr>
          <w:sz w:val="24"/>
          <w:szCs w:val="24"/>
          <w:vertAlign w:val="superscript"/>
        </w:rPr>
        <w:t>5,6</w:t>
      </w:r>
      <w:r w:rsidR="008060C1">
        <w:rPr>
          <w:sz w:val="24"/>
          <w:szCs w:val="24"/>
        </w:rPr>
        <w:t>,</w:t>
      </w:r>
      <w:r w:rsidR="00C636AC">
        <w:rPr>
          <w:sz w:val="24"/>
          <w:szCs w:val="24"/>
        </w:rPr>
        <w:t xml:space="preserve"> </w:t>
      </w:r>
      <w:r w:rsidR="00B63BD6">
        <w:rPr>
          <w:sz w:val="24"/>
          <w:szCs w:val="24"/>
        </w:rPr>
        <w:t>Brims F</w:t>
      </w:r>
      <w:r w:rsidR="00D2308A">
        <w:rPr>
          <w:sz w:val="24"/>
          <w:szCs w:val="24"/>
          <w:vertAlign w:val="superscript"/>
        </w:rPr>
        <w:t>7,8</w:t>
      </w:r>
      <w:r w:rsidR="00B63BD6">
        <w:rPr>
          <w:sz w:val="24"/>
          <w:szCs w:val="24"/>
        </w:rPr>
        <w:t xml:space="preserve">, </w:t>
      </w:r>
      <w:r w:rsidR="00C636AC">
        <w:rPr>
          <w:sz w:val="24"/>
          <w:szCs w:val="24"/>
        </w:rPr>
        <w:t>Sim M</w:t>
      </w:r>
      <w:r w:rsidR="007E2C3D">
        <w:rPr>
          <w:sz w:val="24"/>
          <w:szCs w:val="24"/>
        </w:rPr>
        <w:t>R</w:t>
      </w:r>
      <w:r w:rsidR="00D2308A">
        <w:rPr>
          <w:sz w:val="24"/>
          <w:szCs w:val="24"/>
          <w:vertAlign w:val="superscript"/>
        </w:rPr>
        <w:t>1</w:t>
      </w:r>
      <w:r w:rsidR="00C636AC">
        <w:rPr>
          <w:sz w:val="24"/>
          <w:szCs w:val="24"/>
        </w:rPr>
        <w:t>, Driscoll T</w:t>
      </w:r>
      <w:r w:rsidR="00D2308A">
        <w:rPr>
          <w:sz w:val="24"/>
          <w:szCs w:val="24"/>
          <w:vertAlign w:val="superscript"/>
        </w:rPr>
        <w:t>9</w:t>
      </w:r>
    </w:p>
    <w:p w14:paraId="61FB6C6B" w14:textId="77777777" w:rsidR="00C636AC" w:rsidRDefault="00C636AC">
      <w:pPr>
        <w:rPr>
          <w:rFonts w:ascii="Arial" w:hAnsi="Arial" w:cs="Arial"/>
          <w:sz w:val="24"/>
          <w:szCs w:val="24"/>
        </w:rPr>
      </w:pPr>
    </w:p>
    <w:p w14:paraId="5FFCB649" w14:textId="5F3241F2" w:rsidR="00C636AC" w:rsidRPr="00D2308A" w:rsidRDefault="00D2308A" w:rsidP="00D2308A">
      <w:pPr>
        <w:spacing w:before="0"/>
        <w:rPr>
          <w:rFonts w:ascii="Arial" w:hAnsi="Arial" w:cs="Arial"/>
          <w:sz w:val="24"/>
          <w:szCs w:val="24"/>
        </w:rPr>
      </w:pPr>
      <w:r w:rsidRPr="00D2308A">
        <w:rPr>
          <w:rFonts w:ascii="Arial" w:hAnsi="Arial" w:cs="Arial"/>
          <w:sz w:val="24"/>
          <w:szCs w:val="24"/>
          <w:vertAlign w:val="superscript"/>
        </w:rPr>
        <w:t>1</w:t>
      </w:r>
      <w:r w:rsidR="00C636AC" w:rsidRPr="00D2308A">
        <w:rPr>
          <w:rFonts w:ascii="Arial" w:hAnsi="Arial" w:cs="Arial"/>
          <w:sz w:val="24"/>
          <w:szCs w:val="24"/>
        </w:rPr>
        <w:t>Monash Centre for Occupa</w:t>
      </w:r>
      <w:r w:rsidR="00CE470B" w:rsidRPr="00D2308A">
        <w:rPr>
          <w:rFonts w:ascii="Arial" w:hAnsi="Arial" w:cs="Arial"/>
          <w:sz w:val="24"/>
          <w:szCs w:val="24"/>
        </w:rPr>
        <w:t>ti</w:t>
      </w:r>
      <w:r w:rsidR="00C636AC" w:rsidRPr="00D2308A">
        <w:rPr>
          <w:rFonts w:ascii="Arial" w:hAnsi="Arial" w:cs="Arial"/>
          <w:sz w:val="24"/>
          <w:szCs w:val="24"/>
        </w:rPr>
        <w:t>onal and Environmental Health, Monash University, Melbourne, Victoria, Australia</w:t>
      </w:r>
    </w:p>
    <w:p w14:paraId="2618B762" w14:textId="5EF4AB2F" w:rsidR="00D2308A" w:rsidRPr="00D2308A" w:rsidRDefault="00D2308A" w:rsidP="00D2308A">
      <w:pPr>
        <w:pStyle w:val="AIHWbodytext"/>
        <w:spacing w:before="0"/>
        <w:rPr>
          <w:sz w:val="24"/>
          <w:szCs w:val="24"/>
          <w:lang w:eastAsia="en-AU"/>
        </w:rPr>
      </w:pPr>
      <w:r w:rsidRPr="00D2308A">
        <w:rPr>
          <w:sz w:val="24"/>
          <w:szCs w:val="24"/>
          <w:vertAlign w:val="superscript"/>
          <w:lang w:eastAsia="en-AU"/>
        </w:rPr>
        <w:t>2</w:t>
      </w:r>
      <w:r w:rsidRPr="00D2308A">
        <w:rPr>
          <w:sz w:val="24"/>
          <w:szCs w:val="24"/>
          <w:lang w:eastAsia="en-AU"/>
        </w:rPr>
        <w:t xml:space="preserve">MRC Versus Arthritis Centre for Musculoskeletal Health and Work, MRC Lifecourse Epidemiology Centre, Southampton General </w:t>
      </w:r>
      <w:r w:rsidR="00FC5A0C" w:rsidRPr="00D2308A">
        <w:rPr>
          <w:sz w:val="24"/>
          <w:szCs w:val="24"/>
          <w:lang w:eastAsia="en-AU"/>
        </w:rPr>
        <w:t>Hospital</w:t>
      </w:r>
      <w:r w:rsidRPr="00D2308A">
        <w:rPr>
          <w:sz w:val="24"/>
          <w:szCs w:val="24"/>
          <w:lang w:eastAsia="en-AU"/>
        </w:rPr>
        <w:t xml:space="preserve">, </w:t>
      </w:r>
      <w:proofErr w:type="spellStart"/>
      <w:r w:rsidRPr="00D2308A">
        <w:rPr>
          <w:sz w:val="24"/>
          <w:szCs w:val="24"/>
          <w:lang w:eastAsia="en-AU"/>
        </w:rPr>
        <w:t>Tremona</w:t>
      </w:r>
      <w:proofErr w:type="spellEnd"/>
      <w:r w:rsidRPr="00D2308A">
        <w:rPr>
          <w:sz w:val="24"/>
          <w:szCs w:val="24"/>
          <w:lang w:eastAsia="en-AU"/>
        </w:rPr>
        <w:t xml:space="preserve"> Road, Southampton, UK</w:t>
      </w:r>
    </w:p>
    <w:p w14:paraId="0A8254B4" w14:textId="24B0D3DD" w:rsidR="00C636AC" w:rsidRPr="00D2308A" w:rsidRDefault="00D2308A" w:rsidP="00D2308A">
      <w:pPr>
        <w:spacing w:before="0"/>
        <w:rPr>
          <w:rFonts w:ascii="Arial" w:hAnsi="Arial" w:cs="Arial"/>
          <w:sz w:val="24"/>
          <w:szCs w:val="24"/>
        </w:rPr>
      </w:pPr>
      <w:r w:rsidRPr="00D2308A">
        <w:rPr>
          <w:rFonts w:ascii="Arial" w:hAnsi="Arial" w:cs="Arial"/>
          <w:sz w:val="24"/>
          <w:szCs w:val="24"/>
          <w:vertAlign w:val="superscript"/>
        </w:rPr>
        <w:t>3</w:t>
      </w:r>
      <w:r w:rsidR="00C636AC" w:rsidRPr="00D2308A">
        <w:rPr>
          <w:rFonts w:ascii="Arial" w:hAnsi="Arial" w:cs="Arial"/>
          <w:sz w:val="24"/>
          <w:szCs w:val="24"/>
        </w:rPr>
        <w:t>SA Pathology and Flinders University, Adelaide, SA</w:t>
      </w:r>
    </w:p>
    <w:p w14:paraId="73E4C3FD" w14:textId="2ED97785" w:rsidR="00C636AC" w:rsidRPr="00D2308A" w:rsidRDefault="00D2308A" w:rsidP="00D2308A">
      <w:pPr>
        <w:spacing w:before="0"/>
        <w:rPr>
          <w:rFonts w:ascii="Arial" w:hAnsi="Arial" w:cs="Arial"/>
          <w:sz w:val="24"/>
          <w:szCs w:val="24"/>
        </w:rPr>
      </w:pPr>
      <w:r w:rsidRPr="00D2308A">
        <w:rPr>
          <w:rFonts w:ascii="Arial" w:hAnsi="Arial" w:cs="Arial"/>
          <w:sz w:val="24"/>
          <w:szCs w:val="24"/>
          <w:vertAlign w:val="superscript"/>
        </w:rPr>
        <w:t>4</w:t>
      </w:r>
      <w:r w:rsidR="00C636AC" w:rsidRPr="00D2308A">
        <w:rPr>
          <w:rFonts w:ascii="Arial" w:hAnsi="Arial" w:cs="Arial"/>
          <w:sz w:val="24"/>
          <w:szCs w:val="24"/>
        </w:rPr>
        <w:t xml:space="preserve">Asbestos Diseases </w:t>
      </w:r>
      <w:r w:rsidRPr="00D2308A">
        <w:rPr>
          <w:rFonts w:ascii="Arial" w:hAnsi="Arial" w:cs="Arial"/>
          <w:sz w:val="24"/>
          <w:szCs w:val="24"/>
        </w:rPr>
        <w:t>R</w:t>
      </w:r>
      <w:r w:rsidR="00C636AC" w:rsidRPr="00D2308A">
        <w:rPr>
          <w:rFonts w:ascii="Arial" w:hAnsi="Arial" w:cs="Arial"/>
          <w:sz w:val="24"/>
          <w:szCs w:val="24"/>
        </w:rPr>
        <w:t>esearch Institute, Concord, NSW 2139</w:t>
      </w:r>
    </w:p>
    <w:p w14:paraId="191A8800" w14:textId="10B0206E" w:rsidR="00D2308A" w:rsidRPr="00D2308A" w:rsidRDefault="00D2308A" w:rsidP="00D2308A">
      <w:pPr>
        <w:shd w:val="clear" w:color="auto" w:fill="FFFFFF"/>
        <w:spacing w:before="0" w:after="0" w:line="240" w:lineRule="auto"/>
        <w:rPr>
          <w:rFonts w:ascii="Arial" w:hAnsi="Arial" w:cs="Arial"/>
          <w:color w:val="222222"/>
          <w:sz w:val="24"/>
          <w:szCs w:val="24"/>
        </w:rPr>
      </w:pPr>
      <w:r w:rsidRPr="00D2308A">
        <w:rPr>
          <w:rFonts w:ascii="Arial" w:hAnsi="Arial" w:cs="Arial"/>
          <w:iCs/>
          <w:color w:val="222222"/>
          <w:sz w:val="24"/>
          <w:szCs w:val="24"/>
          <w:vertAlign w:val="superscript"/>
        </w:rPr>
        <w:t>5</w:t>
      </w:r>
      <w:r w:rsidRPr="00D2308A">
        <w:rPr>
          <w:rFonts w:ascii="Arial" w:hAnsi="Arial" w:cs="Arial"/>
          <w:iCs/>
          <w:color w:val="222222"/>
          <w:sz w:val="24"/>
          <w:szCs w:val="24"/>
        </w:rPr>
        <w:t xml:space="preserve">University of Western Australia, School of Population and Global Health </w:t>
      </w:r>
    </w:p>
    <w:p w14:paraId="29E03900" w14:textId="4B244AAF" w:rsidR="00D2308A" w:rsidRPr="00D2308A" w:rsidRDefault="00D2308A" w:rsidP="00D2308A">
      <w:pPr>
        <w:shd w:val="clear" w:color="auto" w:fill="FFFFFF"/>
        <w:spacing w:before="0" w:after="0" w:line="240" w:lineRule="auto"/>
        <w:rPr>
          <w:rFonts w:ascii="Arial" w:hAnsi="Arial" w:cs="Arial"/>
          <w:color w:val="222222"/>
          <w:sz w:val="24"/>
          <w:szCs w:val="24"/>
        </w:rPr>
      </w:pPr>
    </w:p>
    <w:p w14:paraId="45782A96" w14:textId="1C1952B5" w:rsidR="00D2308A" w:rsidRPr="00D2308A" w:rsidRDefault="00D2308A" w:rsidP="00D2308A">
      <w:pPr>
        <w:shd w:val="clear" w:color="auto" w:fill="FFFFFF"/>
        <w:spacing w:before="0" w:after="0" w:line="240" w:lineRule="auto"/>
        <w:rPr>
          <w:rFonts w:ascii="Arial" w:hAnsi="Arial" w:cs="Arial"/>
          <w:color w:val="222222"/>
          <w:sz w:val="24"/>
          <w:szCs w:val="24"/>
        </w:rPr>
      </w:pPr>
      <w:r w:rsidRPr="00D2308A">
        <w:rPr>
          <w:rFonts w:ascii="Arial" w:hAnsi="Arial" w:cs="Arial"/>
          <w:iCs/>
          <w:color w:val="222222"/>
          <w:sz w:val="24"/>
          <w:szCs w:val="24"/>
          <w:vertAlign w:val="superscript"/>
        </w:rPr>
        <w:t>6</w:t>
      </w:r>
      <w:r w:rsidRPr="00D2308A">
        <w:rPr>
          <w:rFonts w:ascii="Arial" w:hAnsi="Arial" w:cs="Arial"/>
          <w:iCs/>
          <w:color w:val="222222"/>
          <w:sz w:val="24"/>
          <w:szCs w:val="24"/>
        </w:rPr>
        <w:t>University of Occupational and Environmental Health, Japan</w:t>
      </w:r>
    </w:p>
    <w:p w14:paraId="2E0684E0" w14:textId="4A51F616" w:rsidR="00D2308A" w:rsidRPr="00D2308A" w:rsidRDefault="00D2308A" w:rsidP="00D2308A">
      <w:pPr>
        <w:shd w:val="clear" w:color="auto" w:fill="FFFFFF"/>
        <w:spacing w:before="0" w:after="0" w:line="240" w:lineRule="auto"/>
        <w:rPr>
          <w:rFonts w:ascii="Arial" w:hAnsi="Arial" w:cs="Arial"/>
          <w:color w:val="222222"/>
          <w:sz w:val="24"/>
          <w:szCs w:val="24"/>
        </w:rPr>
      </w:pPr>
    </w:p>
    <w:p w14:paraId="1A65C419" w14:textId="781B73B2" w:rsidR="00D2308A" w:rsidRPr="00D2308A" w:rsidRDefault="00D2308A" w:rsidP="00D2308A">
      <w:pPr>
        <w:spacing w:before="0"/>
        <w:rPr>
          <w:rFonts w:ascii="Arial" w:hAnsi="Arial" w:cs="Arial"/>
          <w:sz w:val="24"/>
          <w:szCs w:val="24"/>
        </w:rPr>
      </w:pPr>
      <w:r w:rsidRPr="00D2308A">
        <w:rPr>
          <w:rFonts w:ascii="Arial" w:hAnsi="Arial" w:cs="Arial"/>
          <w:sz w:val="24"/>
          <w:szCs w:val="24"/>
          <w:vertAlign w:val="superscript"/>
        </w:rPr>
        <w:t>7</w:t>
      </w:r>
      <w:r w:rsidRPr="00D2308A">
        <w:rPr>
          <w:rFonts w:ascii="Arial" w:hAnsi="Arial" w:cs="Arial"/>
          <w:sz w:val="24"/>
          <w:szCs w:val="24"/>
        </w:rPr>
        <w:t>Sir Charles Gairdner Hospital, Perth, WA</w:t>
      </w:r>
    </w:p>
    <w:p w14:paraId="696D780A" w14:textId="04DE07D9" w:rsidR="00C636AC" w:rsidRPr="00D2308A" w:rsidRDefault="00D2308A" w:rsidP="00D2308A">
      <w:pPr>
        <w:spacing w:before="0"/>
        <w:rPr>
          <w:rFonts w:ascii="Arial" w:hAnsi="Arial" w:cs="Arial"/>
          <w:sz w:val="24"/>
          <w:szCs w:val="24"/>
        </w:rPr>
      </w:pPr>
      <w:r w:rsidRPr="00D2308A">
        <w:rPr>
          <w:rFonts w:ascii="Arial" w:hAnsi="Arial" w:cs="Arial"/>
          <w:sz w:val="24"/>
          <w:szCs w:val="24"/>
          <w:vertAlign w:val="superscript"/>
        </w:rPr>
        <w:t>8</w:t>
      </w:r>
      <w:r w:rsidRPr="00D2308A">
        <w:rPr>
          <w:rFonts w:ascii="Arial" w:hAnsi="Arial" w:cs="Arial"/>
          <w:sz w:val="24"/>
          <w:szCs w:val="24"/>
        </w:rPr>
        <w:t>Curtin University, Perth, WA</w:t>
      </w:r>
    </w:p>
    <w:p w14:paraId="3E213A5D" w14:textId="256BD55C" w:rsidR="00C636AC" w:rsidRPr="00D2308A" w:rsidRDefault="00D2308A" w:rsidP="00D2308A">
      <w:pPr>
        <w:shd w:val="clear" w:color="auto" w:fill="FFFFFF"/>
        <w:spacing w:before="0" w:after="0" w:line="240" w:lineRule="auto"/>
        <w:rPr>
          <w:rFonts w:ascii="Arial" w:hAnsi="Arial" w:cs="Arial"/>
          <w:color w:val="222222"/>
          <w:sz w:val="24"/>
          <w:szCs w:val="24"/>
        </w:rPr>
      </w:pPr>
      <w:r w:rsidRPr="00D2308A">
        <w:rPr>
          <w:rFonts w:ascii="Arial" w:hAnsi="Arial" w:cs="Arial"/>
          <w:iCs/>
          <w:color w:val="222222"/>
          <w:sz w:val="24"/>
          <w:szCs w:val="24"/>
          <w:vertAlign w:val="superscript"/>
        </w:rPr>
        <w:t>9</w:t>
      </w:r>
      <w:r w:rsidR="00C636AC" w:rsidRPr="00D2308A">
        <w:rPr>
          <w:rFonts w:ascii="Arial" w:hAnsi="Arial" w:cs="Arial"/>
          <w:iCs/>
          <w:color w:val="222222"/>
          <w:sz w:val="24"/>
          <w:szCs w:val="24"/>
        </w:rPr>
        <w:t>Sydney School of Public Health, University of Sydney, NSW, Australia</w:t>
      </w:r>
    </w:p>
    <w:p w14:paraId="5299A0CF" w14:textId="77777777" w:rsidR="00D2308A" w:rsidRDefault="00D2308A" w:rsidP="00C636AC">
      <w:pPr>
        <w:rPr>
          <w:rFonts w:ascii="Arial" w:hAnsi="Arial" w:cs="Arial"/>
          <w:sz w:val="24"/>
          <w:szCs w:val="24"/>
        </w:rPr>
      </w:pPr>
    </w:p>
    <w:p w14:paraId="01B21D10" w14:textId="7FF2FCB1" w:rsidR="00D2308A" w:rsidRDefault="00D2308A" w:rsidP="00C636AC">
      <w:pPr>
        <w:rPr>
          <w:rFonts w:ascii="Arial" w:hAnsi="Arial" w:cs="Arial"/>
          <w:b/>
          <w:sz w:val="24"/>
          <w:szCs w:val="24"/>
        </w:rPr>
      </w:pPr>
      <w:r w:rsidRPr="00D2308A">
        <w:rPr>
          <w:rFonts w:ascii="Arial" w:hAnsi="Arial" w:cs="Arial"/>
          <w:b/>
          <w:sz w:val="24"/>
          <w:szCs w:val="24"/>
        </w:rPr>
        <w:t xml:space="preserve">Word count: </w:t>
      </w:r>
      <w:r w:rsidR="004B57A8">
        <w:rPr>
          <w:rFonts w:ascii="Arial" w:hAnsi="Arial" w:cs="Arial"/>
          <w:b/>
          <w:sz w:val="24"/>
          <w:szCs w:val="24"/>
        </w:rPr>
        <w:t>31</w:t>
      </w:r>
      <w:r w:rsidR="006E3F9A">
        <w:rPr>
          <w:rFonts w:ascii="Arial" w:hAnsi="Arial" w:cs="Arial"/>
          <w:b/>
          <w:sz w:val="24"/>
          <w:szCs w:val="24"/>
        </w:rPr>
        <w:t>13</w:t>
      </w:r>
    </w:p>
    <w:p w14:paraId="23806E96" w14:textId="77777777" w:rsidR="00D2308A" w:rsidRDefault="00D2308A" w:rsidP="00C636AC">
      <w:pPr>
        <w:rPr>
          <w:rFonts w:ascii="Arial" w:hAnsi="Arial" w:cs="Arial"/>
          <w:b/>
          <w:sz w:val="24"/>
          <w:szCs w:val="24"/>
        </w:rPr>
      </w:pPr>
    </w:p>
    <w:p w14:paraId="76068C7B" w14:textId="77777777" w:rsidR="00D2308A" w:rsidRDefault="00D2308A" w:rsidP="00C636AC">
      <w:pPr>
        <w:rPr>
          <w:rFonts w:ascii="Arial" w:hAnsi="Arial" w:cs="Arial"/>
          <w:b/>
          <w:sz w:val="24"/>
          <w:szCs w:val="24"/>
        </w:rPr>
      </w:pPr>
    </w:p>
    <w:p w14:paraId="15876B8A" w14:textId="77777777" w:rsidR="00D2308A" w:rsidRDefault="00D2308A" w:rsidP="00C636AC">
      <w:pPr>
        <w:rPr>
          <w:rFonts w:ascii="Arial" w:hAnsi="Arial" w:cs="Arial"/>
          <w:b/>
          <w:sz w:val="24"/>
          <w:szCs w:val="24"/>
        </w:rPr>
      </w:pPr>
    </w:p>
    <w:p w14:paraId="24B107AB" w14:textId="77777777" w:rsidR="00D2308A" w:rsidRDefault="00D2308A" w:rsidP="00C636AC">
      <w:pPr>
        <w:rPr>
          <w:rFonts w:ascii="Arial" w:hAnsi="Arial" w:cs="Arial"/>
          <w:b/>
          <w:sz w:val="24"/>
          <w:szCs w:val="24"/>
        </w:rPr>
      </w:pPr>
    </w:p>
    <w:p w14:paraId="65A4C18F" w14:textId="77777777" w:rsidR="00D2308A" w:rsidRDefault="00D2308A" w:rsidP="00C636AC">
      <w:pPr>
        <w:rPr>
          <w:rFonts w:ascii="Arial" w:hAnsi="Arial" w:cs="Arial"/>
          <w:b/>
          <w:sz w:val="24"/>
          <w:szCs w:val="24"/>
        </w:rPr>
      </w:pPr>
    </w:p>
    <w:p w14:paraId="7EF5948C" w14:textId="77777777" w:rsidR="00D2308A" w:rsidRDefault="00D2308A" w:rsidP="00C636AC">
      <w:pPr>
        <w:rPr>
          <w:rFonts w:ascii="Arial" w:hAnsi="Arial" w:cs="Arial"/>
          <w:b/>
          <w:sz w:val="24"/>
          <w:szCs w:val="24"/>
        </w:rPr>
      </w:pPr>
    </w:p>
    <w:p w14:paraId="6C7386E6" w14:textId="77777777" w:rsidR="00D2308A" w:rsidRDefault="00D2308A" w:rsidP="00C636AC">
      <w:pPr>
        <w:rPr>
          <w:rFonts w:ascii="Arial" w:hAnsi="Arial" w:cs="Arial"/>
          <w:b/>
          <w:sz w:val="24"/>
          <w:szCs w:val="24"/>
        </w:rPr>
      </w:pPr>
    </w:p>
    <w:p w14:paraId="70CB7FC5" w14:textId="77777777" w:rsidR="00D2308A" w:rsidRDefault="00D2308A" w:rsidP="00C636AC">
      <w:pPr>
        <w:rPr>
          <w:rFonts w:ascii="Arial" w:hAnsi="Arial" w:cs="Arial"/>
          <w:b/>
          <w:sz w:val="24"/>
          <w:szCs w:val="24"/>
        </w:rPr>
      </w:pPr>
    </w:p>
    <w:p w14:paraId="34F69C99" w14:textId="77777777" w:rsidR="00D2308A" w:rsidRDefault="00D2308A" w:rsidP="00C636AC">
      <w:pPr>
        <w:rPr>
          <w:rFonts w:ascii="Arial" w:hAnsi="Arial" w:cs="Arial"/>
          <w:b/>
          <w:sz w:val="24"/>
          <w:szCs w:val="24"/>
        </w:rPr>
      </w:pPr>
    </w:p>
    <w:p w14:paraId="433B271C" w14:textId="77777777" w:rsidR="00D2308A" w:rsidRDefault="00D2308A" w:rsidP="00C636AC">
      <w:pPr>
        <w:rPr>
          <w:rFonts w:ascii="Arial" w:hAnsi="Arial" w:cs="Arial"/>
          <w:b/>
          <w:i/>
          <w:sz w:val="24"/>
          <w:szCs w:val="24"/>
        </w:rPr>
      </w:pPr>
      <w:r>
        <w:rPr>
          <w:rFonts w:ascii="Arial" w:hAnsi="Arial" w:cs="Arial"/>
          <w:b/>
          <w:i/>
          <w:sz w:val="24"/>
          <w:szCs w:val="24"/>
        </w:rPr>
        <w:t>Name and address for correspondence:</w:t>
      </w:r>
    </w:p>
    <w:p w14:paraId="6E1C0BE4" w14:textId="5120F67D" w:rsidR="00D2308A" w:rsidRPr="00D2308A" w:rsidRDefault="00D2308A" w:rsidP="00D2308A">
      <w:pPr>
        <w:rPr>
          <w:rFonts w:ascii="Arial" w:hAnsi="Arial" w:cs="Arial"/>
          <w:szCs w:val="24"/>
        </w:rPr>
      </w:pPr>
      <w:r w:rsidRPr="00D2308A">
        <w:rPr>
          <w:rFonts w:ascii="Arial" w:hAnsi="Arial" w:cs="Arial"/>
          <w:szCs w:val="24"/>
        </w:rPr>
        <w:t>Professor Karen Walker-Bone</w:t>
      </w:r>
      <w:r w:rsidR="0075000E">
        <w:rPr>
          <w:rFonts w:ascii="Arial" w:hAnsi="Arial" w:cs="Arial"/>
          <w:szCs w:val="24"/>
        </w:rPr>
        <w:tab/>
      </w:r>
      <w:r w:rsidR="0075000E">
        <w:rPr>
          <w:rFonts w:ascii="Arial" w:hAnsi="Arial" w:cs="Arial"/>
          <w:szCs w:val="24"/>
        </w:rPr>
        <w:tab/>
        <w:t xml:space="preserve">ORCID: </w:t>
      </w:r>
      <w:r w:rsidR="0075000E" w:rsidRPr="0075000E">
        <w:rPr>
          <w:rFonts w:ascii="Arial" w:hAnsi="Arial" w:cs="Arial"/>
          <w:szCs w:val="24"/>
        </w:rPr>
        <w:t>0000-0002-5992-1459</w:t>
      </w:r>
    </w:p>
    <w:p w14:paraId="45012636" w14:textId="77777777" w:rsidR="00D2308A" w:rsidRPr="00D2308A" w:rsidRDefault="00D2308A" w:rsidP="00D2308A">
      <w:pPr>
        <w:rPr>
          <w:rFonts w:ascii="Arial" w:hAnsi="Arial" w:cs="Arial"/>
          <w:szCs w:val="24"/>
        </w:rPr>
      </w:pPr>
      <w:r w:rsidRPr="00D2308A">
        <w:rPr>
          <w:rFonts w:ascii="Arial" w:hAnsi="Arial" w:cs="Arial"/>
          <w:szCs w:val="24"/>
        </w:rPr>
        <w:t>Monash Centre for Occupational and Environmental Health, Monash University</w:t>
      </w:r>
    </w:p>
    <w:p w14:paraId="5823AD2C" w14:textId="77777777" w:rsidR="00D2308A" w:rsidRPr="00D2308A" w:rsidRDefault="00D2308A" w:rsidP="00D2308A">
      <w:pPr>
        <w:rPr>
          <w:rFonts w:ascii="Arial" w:hAnsi="Arial" w:cs="Arial"/>
          <w:szCs w:val="24"/>
        </w:rPr>
      </w:pPr>
      <w:r w:rsidRPr="00D2308A">
        <w:rPr>
          <w:rFonts w:ascii="Arial" w:hAnsi="Arial" w:cs="Arial"/>
          <w:szCs w:val="24"/>
        </w:rPr>
        <w:t>School of Public Health and Preventive Medicine, 553 St Kilda Road, Melbourne 3141</w:t>
      </w:r>
    </w:p>
    <w:p w14:paraId="6BB75CBB" w14:textId="77777777" w:rsidR="00D2308A" w:rsidRPr="00D2308A" w:rsidRDefault="00D2308A" w:rsidP="00D2308A">
      <w:pPr>
        <w:rPr>
          <w:rFonts w:ascii="Arial" w:hAnsi="Arial" w:cs="Arial"/>
          <w:szCs w:val="24"/>
        </w:rPr>
      </w:pPr>
      <w:r w:rsidRPr="00D2308A">
        <w:rPr>
          <w:rFonts w:ascii="Arial" w:hAnsi="Arial" w:cs="Arial"/>
          <w:szCs w:val="24"/>
        </w:rPr>
        <w:t>Victoria, Australia</w:t>
      </w:r>
    </w:p>
    <w:p w14:paraId="746D536A" w14:textId="4810B5E0" w:rsidR="00D2308A" w:rsidRPr="00D2308A" w:rsidRDefault="00D2308A" w:rsidP="00D2308A">
      <w:pPr>
        <w:rPr>
          <w:rFonts w:ascii="Arial" w:hAnsi="Arial" w:cs="Arial"/>
          <w:szCs w:val="24"/>
        </w:rPr>
      </w:pPr>
      <w:r w:rsidRPr="00D2308A">
        <w:rPr>
          <w:rFonts w:ascii="Arial" w:hAnsi="Arial" w:cs="Arial"/>
          <w:szCs w:val="24"/>
        </w:rPr>
        <w:t>Tel: +61 (0)399030525</w:t>
      </w:r>
      <w:r w:rsidRPr="00D2308A">
        <w:rPr>
          <w:rFonts w:ascii="Arial" w:hAnsi="Arial" w:cs="Arial"/>
          <w:szCs w:val="24"/>
        </w:rPr>
        <w:tab/>
      </w:r>
      <w:r w:rsidRPr="00D2308A">
        <w:rPr>
          <w:rFonts w:ascii="Arial" w:hAnsi="Arial" w:cs="Arial"/>
          <w:szCs w:val="24"/>
        </w:rPr>
        <w:tab/>
      </w:r>
      <w:r w:rsidR="0041520A">
        <w:rPr>
          <w:rFonts w:ascii="Arial" w:hAnsi="Arial" w:cs="Arial"/>
          <w:szCs w:val="24"/>
        </w:rPr>
        <w:tab/>
      </w:r>
      <w:r w:rsidRPr="00D2308A">
        <w:rPr>
          <w:rFonts w:ascii="Arial" w:hAnsi="Arial" w:cs="Arial"/>
          <w:szCs w:val="24"/>
        </w:rPr>
        <w:t>Email: Karen.Walker-Bone@Monash.edu</w:t>
      </w:r>
    </w:p>
    <w:p w14:paraId="51767CCD" w14:textId="358B6533" w:rsidR="005966C9" w:rsidRDefault="00F2714F">
      <w:pPr>
        <w:rPr>
          <w:rFonts w:ascii="Arial" w:hAnsi="Arial" w:cs="Arial"/>
          <w:b/>
          <w:sz w:val="24"/>
          <w:szCs w:val="24"/>
        </w:rPr>
      </w:pPr>
      <w:r w:rsidRPr="00C97C77">
        <w:rPr>
          <w:rFonts w:ascii="Arial" w:hAnsi="Arial" w:cs="Arial"/>
          <w:b/>
          <w:sz w:val="24"/>
          <w:szCs w:val="24"/>
        </w:rPr>
        <w:lastRenderedPageBreak/>
        <w:t>Abstract</w:t>
      </w:r>
      <w:r w:rsidR="00D27F29">
        <w:rPr>
          <w:rFonts w:ascii="Arial" w:hAnsi="Arial" w:cs="Arial"/>
          <w:b/>
          <w:sz w:val="24"/>
          <w:szCs w:val="24"/>
        </w:rPr>
        <w:t xml:space="preserve"> </w:t>
      </w:r>
    </w:p>
    <w:p w14:paraId="3FB61A89" w14:textId="77777777" w:rsidR="00436162" w:rsidRPr="00436162" w:rsidRDefault="00436162" w:rsidP="00436162">
      <w:pPr>
        <w:pStyle w:val="AIHWbodytext"/>
        <w:rPr>
          <w:lang w:eastAsia="en-AU"/>
        </w:rPr>
      </w:pPr>
    </w:p>
    <w:p w14:paraId="7767DA23" w14:textId="7348686E" w:rsidR="005966C9" w:rsidRDefault="00436162" w:rsidP="00436162">
      <w:pPr>
        <w:spacing w:line="480" w:lineRule="auto"/>
        <w:rPr>
          <w:rFonts w:ascii="Arial" w:hAnsi="Arial" w:cs="Arial"/>
          <w:b/>
          <w:sz w:val="24"/>
          <w:szCs w:val="24"/>
        </w:rPr>
      </w:pPr>
      <w:r>
        <w:rPr>
          <w:rFonts w:ascii="Arial" w:hAnsi="Arial" w:cs="Arial"/>
          <w:b/>
          <w:sz w:val="24"/>
          <w:szCs w:val="24"/>
        </w:rPr>
        <w:t>Objectives</w:t>
      </w:r>
      <w:r w:rsidR="005966C9" w:rsidRPr="005966C9">
        <w:rPr>
          <w:rFonts w:ascii="Arial" w:hAnsi="Arial" w:cs="Arial"/>
          <w:b/>
          <w:sz w:val="24"/>
          <w:szCs w:val="24"/>
        </w:rPr>
        <w:t xml:space="preserve">: </w:t>
      </w:r>
    </w:p>
    <w:p w14:paraId="76839770" w14:textId="4124E50F" w:rsidR="00701E93" w:rsidRDefault="00DE3EF5" w:rsidP="00701E93">
      <w:pPr>
        <w:pStyle w:val="AIHWbodytext"/>
        <w:spacing w:line="480" w:lineRule="auto"/>
        <w:jc w:val="both"/>
        <w:rPr>
          <w:sz w:val="24"/>
          <w:szCs w:val="24"/>
          <w:lang w:eastAsia="en-AU"/>
        </w:rPr>
      </w:pPr>
      <w:r>
        <w:rPr>
          <w:sz w:val="24"/>
          <w:szCs w:val="24"/>
          <w:lang w:eastAsia="en-AU"/>
        </w:rPr>
        <w:t>Malignant mesothelioma is an uncommon cancer</w:t>
      </w:r>
      <w:r w:rsidR="00F02843">
        <w:rPr>
          <w:sz w:val="24"/>
          <w:szCs w:val="24"/>
          <w:lang w:eastAsia="en-AU"/>
        </w:rPr>
        <w:t xml:space="preserve"> a</w:t>
      </w:r>
      <w:r>
        <w:rPr>
          <w:sz w:val="24"/>
          <w:szCs w:val="24"/>
          <w:lang w:eastAsia="en-AU"/>
        </w:rPr>
        <w:t>ssociated with asbestos exposure</w:t>
      </w:r>
      <w:r w:rsidR="00174042">
        <w:rPr>
          <w:sz w:val="24"/>
          <w:szCs w:val="24"/>
          <w:lang w:eastAsia="en-AU"/>
        </w:rPr>
        <w:t>, predominantly occupational.</w:t>
      </w:r>
      <w:r>
        <w:rPr>
          <w:sz w:val="24"/>
          <w:szCs w:val="24"/>
          <w:lang w:eastAsia="en-AU"/>
        </w:rPr>
        <w:t xml:space="preserve"> </w:t>
      </w:r>
      <w:r w:rsidR="00701E93" w:rsidRPr="00701E93">
        <w:rPr>
          <w:sz w:val="24"/>
          <w:szCs w:val="24"/>
          <w:lang w:eastAsia="en-AU"/>
        </w:rPr>
        <w:t xml:space="preserve">Asbestos </w:t>
      </w:r>
      <w:r w:rsidR="00881601">
        <w:rPr>
          <w:sz w:val="24"/>
          <w:szCs w:val="24"/>
          <w:lang w:eastAsia="en-AU"/>
        </w:rPr>
        <w:t>has been</w:t>
      </w:r>
      <w:r w:rsidR="00701E93" w:rsidRPr="00701E93">
        <w:rPr>
          <w:sz w:val="24"/>
          <w:szCs w:val="24"/>
          <w:lang w:eastAsia="en-AU"/>
        </w:rPr>
        <w:t xml:space="preserve"> banned in Austral</w:t>
      </w:r>
      <w:r w:rsidR="00701E93">
        <w:rPr>
          <w:sz w:val="24"/>
          <w:szCs w:val="24"/>
          <w:lang w:eastAsia="en-AU"/>
        </w:rPr>
        <w:t>ia</w:t>
      </w:r>
      <w:r w:rsidR="00701E93" w:rsidRPr="00701E93">
        <w:rPr>
          <w:sz w:val="24"/>
          <w:szCs w:val="24"/>
          <w:lang w:eastAsia="en-AU"/>
        </w:rPr>
        <w:t xml:space="preserve"> since 2003 but mesothelioma has a long latency</w:t>
      </w:r>
      <w:r w:rsidR="00701E93">
        <w:rPr>
          <w:sz w:val="24"/>
          <w:szCs w:val="24"/>
          <w:lang w:eastAsia="en-AU"/>
        </w:rPr>
        <w:t xml:space="preserve"> and incident cases </w:t>
      </w:r>
      <w:r w:rsidR="00E055AC">
        <w:rPr>
          <w:sz w:val="24"/>
          <w:szCs w:val="24"/>
          <w:lang w:eastAsia="en-AU"/>
        </w:rPr>
        <w:t xml:space="preserve">continue to </w:t>
      </w:r>
      <w:r w:rsidR="00701E93">
        <w:rPr>
          <w:sz w:val="24"/>
          <w:szCs w:val="24"/>
          <w:lang w:eastAsia="en-AU"/>
        </w:rPr>
        <w:t xml:space="preserve">present. </w:t>
      </w:r>
      <w:r w:rsidR="00D27F29">
        <w:rPr>
          <w:sz w:val="24"/>
          <w:szCs w:val="24"/>
          <w:lang w:eastAsia="en-AU"/>
        </w:rPr>
        <w:t>The Australian Mesothelioma Registry was incepted t</w:t>
      </w:r>
      <w:r w:rsidR="00174042">
        <w:rPr>
          <w:sz w:val="24"/>
          <w:szCs w:val="24"/>
          <w:lang w:eastAsia="en-AU"/>
        </w:rPr>
        <w:t>o collect systematic da</w:t>
      </w:r>
      <w:r w:rsidR="005F5A61">
        <w:rPr>
          <w:sz w:val="24"/>
          <w:szCs w:val="24"/>
          <w:lang w:eastAsia="en-AU"/>
        </w:rPr>
        <w:t xml:space="preserve">ta about incidence </w:t>
      </w:r>
      <w:r w:rsidR="00D27F29">
        <w:rPr>
          <w:sz w:val="24"/>
          <w:szCs w:val="24"/>
          <w:lang w:eastAsia="en-AU"/>
        </w:rPr>
        <w:t xml:space="preserve">and </w:t>
      </w:r>
      <w:r w:rsidR="005F5A61">
        <w:rPr>
          <w:sz w:val="24"/>
          <w:szCs w:val="24"/>
          <w:lang w:eastAsia="en-AU"/>
        </w:rPr>
        <w:t xml:space="preserve">mortality </w:t>
      </w:r>
      <w:r w:rsidR="002C02AC">
        <w:rPr>
          <w:sz w:val="24"/>
          <w:szCs w:val="24"/>
          <w:lang w:eastAsia="en-AU"/>
        </w:rPr>
        <w:t>alongside</w:t>
      </w:r>
      <w:r w:rsidR="00D27F29">
        <w:rPr>
          <w:sz w:val="24"/>
          <w:szCs w:val="24"/>
          <w:lang w:eastAsia="en-AU"/>
        </w:rPr>
        <w:t xml:space="preserve"> asbestos exposure.</w:t>
      </w:r>
    </w:p>
    <w:p w14:paraId="306C126C" w14:textId="2C330279" w:rsidR="00701E93" w:rsidRDefault="00701E93" w:rsidP="00701E93">
      <w:pPr>
        <w:pStyle w:val="AIHWbodytext"/>
        <w:spacing w:line="480" w:lineRule="auto"/>
        <w:jc w:val="both"/>
        <w:rPr>
          <w:b/>
          <w:sz w:val="24"/>
          <w:szCs w:val="24"/>
          <w:lang w:eastAsia="en-AU"/>
        </w:rPr>
      </w:pPr>
      <w:r w:rsidRPr="00701E93">
        <w:rPr>
          <w:b/>
          <w:sz w:val="24"/>
          <w:szCs w:val="24"/>
          <w:lang w:eastAsia="en-AU"/>
        </w:rPr>
        <w:t>Methods:</w:t>
      </w:r>
    </w:p>
    <w:p w14:paraId="3BF2A370" w14:textId="36E679CB" w:rsidR="00701E93" w:rsidRDefault="00D27F29" w:rsidP="00701E93">
      <w:pPr>
        <w:pStyle w:val="AIHWbodytext"/>
        <w:spacing w:line="480" w:lineRule="auto"/>
        <w:jc w:val="both"/>
        <w:rPr>
          <w:sz w:val="24"/>
          <w:szCs w:val="24"/>
          <w:lang w:eastAsia="en-AU"/>
        </w:rPr>
      </w:pPr>
      <w:r>
        <w:rPr>
          <w:sz w:val="24"/>
          <w:szCs w:val="24"/>
          <w:lang w:eastAsia="en-AU"/>
        </w:rPr>
        <w:t xml:space="preserve">Benefitting from </w:t>
      </w:r>
      <w:r w:rsidR="000F1CD1">
        <w:rPr>
          <w:sz w:val="24"/>
          <w:szCs w:val="24"/>
          <w:lang w:eastAsia="en-AU"/>
        </w:rPr>
        <w:t xml:space="preserve">the Australian national system of cancer </w:t>
      </w:r>
      <w:r w:rsidR="00EF6B92">
        <w:rPr>
          <w:sz w:val="24"/>
          <w:szCs w:val="24"/>
          <w:lang w:eastAsia="en-AU"/>
        </w:rPr>
        <w:t>notification</w:t>
      </w:r>
      <w:r>
        <w:rPr>
          <w:sz w:val="24"/>
          <w:szCs w:val="24"/>
          <w:lang w:eastAsia="en-AU"/>
        </w:rPr>
        <w:t>, all i</w:t>
      </w:r>
      <w:r w:rsidR="000F1CD1">
        <w:rPr>
          <w:sz w:val="24"/>
          <w:szCs w:val="24"/>
          <w:lang w:eastAsia="en-AU"/>
        </w:rPr>
        <w:t xml:space="preserve">ncident cases of mesothelioma in all </w:t>
      </w:r>
      <w:r w:rsidR="007A25A6">
        <w:rPr>
          <w:sz w:val="24"/>
          <w:szCs w:val="24"/>
          <w:lang w:eastAsia="en-AU"/>
        </w:rPr>
        <w:t>s</w:t>
      </w:r>
      <w:r w:rsidR="000F1CD1">
        <w:rPr>
          <w:sz w:val="24"/>
          <w:szCs w:val="24"/>
          <w:lang w:eastAsia="en-AU"/>
        </w:rPr>
        <w:t>tates</w:t>
      </w:r>
      <w:r w:rsidR="007A25A6">
        <w:rPr>
          <w:sz w:val="24"/>
          <w:szCs w:val="24"/>
          <w:lang w:eastAsia="en-AU"/>
        </w:rPr>
        <w:t xml:space="preserve"> and t</w:t>
      </w:r>
      <w:r w:rsidR="000F1CD1">
        <w:rPr>
          <w:sz w:val="24"/>
          <w:szCs w:val="24"/>
          <w:lang w:eastAsia="en-AU"/>
        </w:rPr>
        <w:t xml:space="preserve">erritories are fast-tracked and notified regularly. </w:t>
      </w:r>
      <w:r w:rsidR="002C02AC">
        <w:rPr>
          <w:sz w:val="24"/>
          <w:szCs w:val="24"/>
          <w:lang w:eastAsia="en-AU"/>
        </w:rPr>
        <w:t>N</w:t>
      </w:r>
      <w:r>
        <w:rPr>
          <w:sz w:val="24"/>
          <w:szCs w:val="24"/>
          <w:lang w:eastAsia="en-AU"/>
        </w:rPr>
        <w:t>otified patients are contacted</w:t>
      </w:r>
      <w:r w:rsidR="000F1CD1">
        <w:rPr>
          <w:sz w:val="24"/>
          <w:szCs w:val="24"/>
          <w:lang w:eastAsia="en-AU"/>
        </w:rPr>
        <w:t xml:space="preserve"> asking for consent to collect exposure information, initially by postal questionnaire and subsequently by telephone interview. </w:t>
      </w:r>
      <w:r w:rsidR="008228D4">
        <w:rPr>
          <w:sz w:val="24"/>
          <w:szCs w:val="24"/>
          <w:lang w:eastAsia="en-AU"/>
        </w:rPr>
        <w:t>Age-standardised a</w:t>
      </w:r>
      <w:r w:rsidR="000F1CD1">
        <w:rPr>
          <w:sz w:val="24"/>
          <w:szCs w:val="24"/>
          <w:lang w:eastAsia="en-AU"/>
        </w:rPr>
        <w:t xml:space="preserve">nnual incidence rates and mortality rates </w:t>
      </w:r>
      <w:r w:rsidR="00436162">
        <w:rPr>
          <w:sz w:val="24"/>
          <w:szCs w:val="24"/>
          <w:lang w:eastAsia="en-AU"/>
        </w:rPr>
        <w:t>were</w:t>
      </w:r>
      <w:r w:rsidR="000F1CD1">
        <w:rPr>
          <w:sz w:val="24"/>
          <w:szCs w:val="24"/>
          <w:lang w:eastAsia="en-AU"/>
        </w:rPr>
        <w:t xml:space="preserve"> </w:t>
      </w:r>
      <w:r w:rsidR="004F56C6">
        <w:rPr>
          <w:sz w:val="24"/>
          <w:szCs w:val="24"/>
          <w:lang w:eastAsia="en-AU"/>
        </w:rPr>
        <w:t xml:space="preserve">calculated. Asbestos exposure </w:t>
      </w:r>
      <w:r w:rsidR="00436162">
        <w:rPr>
          <w:sz w:val="24"/>
          <w:szCs w:val="24"/>
          <w:lang w:eastAsia="en-AU"/>
        </w:rPr>
        <w:t xml:space="preserve">was </w:t>
      </w:r>
      <w:r w:rsidR="004F56C6">
        <w:rPr>
          <w:sz w:val="24"/>
          <w:szCs w:val="24"/>
          <w:lang w:eastAsia="en-AU"/>
        </w:rPr>
        <w:t>categorised as occupational, non-</w:t>
      </w:r>
      <w:r w:rsidR="009E7AB1">
        <w:rPr>
          <w:sz w:val="24"/>
          <w:szCs w:val="24"/>
          <w:lang w:eastAsia="en-AU"/>
        </w:rPr>
        <w:t>occupational</w:t>
      </w:r>
      <w:r w:rsidR="004F56C6">
        <w:rPr>
          <w:sz w:val="24"/>
          <w:szCs w:val="24"/>
          <w:lang w:eastAsia="en-AU"/>
        </w:rPr>
        <w:t>, neither</w:t>
      </w:r>
      <w:r w:rsidR="009E7AB1">
        <w:rPr>
          <w:sz w:val="24"/>
          <w:szCs w:val="24"/>
          <w:lang w:eastAsia="en-AU"/>
        </w:rPr>
        <w:t xml:space="preserve"> or</w:t>
      </w:r>
      <w:r w:rsidR="004F56C6">
        <w:rPr>
          <w:sz w:val="24"/>
          <w:szCs w:val="24"/>
          <w:lang w:eastAsia="en-AU"/>
        </w:rPr>
        <w:t>, both</w:t>
      </w:r>
      <w:r w:rsidR="009E7AB1">
        <w:rPr>
          <w:sz w:val="24"/>
          <w:szCs w:val="24"/>
          <w:lang w:eastAsia="en-AU"/>
        </w:rPr>
        <w:t>;</w:t>
      </w:r>
      <w:r w:rsidR="004F56C6">
        <w:rPr>
          <w:sz w:val="24"/>
          <w:szCs w:val="24"/>
          <w:lang w:eastAsia="en-AU"/>
        </w:rPr>
        <w:t xml:space="preserve"> and </w:t>
      </w:r>
      <w:r w:rsidR="009E7AB1">
        <w:rPr>
          <w:sz w:val="24"/>
          <w:szCs w:val="24"/>
          <w:lang w:eastAsia="en-AU"/>
        </w:rPr>
        <w:t xml:space="preserve">as </w:t>
      </w:r>
      <w:r w:rsidR="004F56C6">
        <w:rPr>
          <w:sz w:val="24"/>
          <w:szCs w:val="24"/>
          <w:lang w:eastAsia="en-AU"/>
        </w:rPr>
        <w:t>low</w:t>
      </w:r>
      <w:r w:rsidR="00F33C27">
        <w:rPr>
          <w:sz w:val="24"/>
          <w:szCs w:val="24"/>
          <w:lang w:eastAsia="en-AU"/>
        </w:rPr>
        <w:t>,</w:t>
      </w:r>
      <w:r w:rsidR="004F56C6">
        <w:rPr>
          <w:sz w:val="24"/>
          <w:szCs w:val="24"/>
          <w:lang w:eastAsia="en-AU"/>
        </w:rPr>
        <w:t xml:space="preserve"> or high</w:t>
      </w:r>
      <w:r w:rsidR="00F33C27">
        <w:rPr>
          <w:sz w:val="24"/>
          <w:szCs w:val="24"/>
          <w:lang w:eastAsia="en-AU"/>
        </w:rPr>
        <w:t>,</w:t>
      </w:r>
      <w:r w:rsidR="004F56C6">
        <w:rPr>
          <w:sz w:val="24"/>
          <w:szCs w:val="24"/>
          <w:lang w:eastAsia="en-AU"/>
        </w:rPr>
        <w:t xml:space="preserve"> probability of exposure.</w:t>
      </w:r>
    </w:p>
    <w:p w14:paraId="4824DDF6" w14:textId="51B7DBE5" w:rsidR="004F56C6" w:rsidRDefault="004F56C6" w:rsidP="00701E93">
      <w:pPr>
        <w:pStyle w:val="AIHWbodytext"/>
        <w:spacing w:line="480" w:lineRule="auto"/>
        <w:jc w:val="both"/>
        <w:rPr>
          <w:b/>
          <w:sz w:val="24"/>
          <w:szCs w:val="24"/>
          <w:lang w:eastAsia="en-AU"/>
        </w:rPr>
      </w:pPr>
      <w:r>
        <w:rPr>
          <w:b/>
          <w:sz w:val="24"/>
          <w:szCs w:val="24"/>
          <w:lang w:eastAsia="en-AU"/>
        </w:rPr>
        <w:t>Results:</w:t>
      </w:r>
    </w:p>
    <w:p w14:paraId="157BB430" w14:textId="42DB284E" w:rsidR="004F56C6" w:rsidRDefault="00C450DA" w:rsidP="00701E93">
      <w:pPr>
        <w:pStyle w:val="AIHWbodytext"/>
        <w:spacing w:line="480" w:lineRule="auto"/>
        <w:jc w:val="both"/>
        <w:rPr>
          <w:sz w:val="24"/>
          <w:szCs w:val="24"/>
          <w:lang w:eastAsia="en-AU"/>
        </w:rPr>
      </w:pPr>
      <w:r>
        <w:rPr>
          <w:sz w:val="24"/>
          <w:szCs w:val="24"/>
          <w:lang w:eastAsia="en-AU"/>
        </w:rPr>
        <w:t xml:space="preserve">Mesothelioma </w:t>
      </w:r>
      <w:r w:rsidR="00881601">
        <w:rPr>
          <w:sz w:val="24"/>
          <w:szCs w:val="24"/>
          <w:lang w:eastAsia="en-AU"/>
        </w:rPr>
        <w:t>incidence</w:t>
      </w:r>
      <w:r>
        <w:rPr>
          <w:sz w:val="24"/>
          <w:szCs w:val="24"/>
          <w:lang w:eastAsia="en-AU"/>
        </w:rPr>
        <w:t xml:space="preserve"> appear</w:t>
      </w:r>
      <w:r w:rsidR="00881601">
        <w:rPr>
          <w:sz w:val="24"/>
          <w:szCs w:val="24"/>
          <w:lang w:eastAsia="en-AU"/>
        </w:rPr>
        <w:t>s</w:t>
      </w:r>
      <w:r>
        <w:rPr>
          <w:sz w:val="24"/>
          <w:szCs w:val="24"/>
          <w:lang w:eastAsia="en-AU"/>
        </w:rPr>
        <w:t xml:space="preserve"> to have peaked</w:t>
      </w:r>
      <w:r w:rsidR="00CE470B">
        <w:rPr>
          <w:sz w:val="24"/>
          <w:szCs w:val="24"/>
          <w:lang w:eastAsia="en-AU"/>
        </w:rPr>
        <w:t>. T</w:t>
      </w:r>
      <w:r>
        <w:rPr>
          <w:sz w:val="24"/>
          <w:szCs w:val="24"/>
          <w:lang w:eastAsia="en-AU"/>
        </w:rPr>
        <w:t xml:space="preserve">he age-standardised incidence rates have declined steadily since the early 2000s (peaking in males at 5.9/100,000 and in all-persons at 3.2/100,000), driven by rates in males, who comprise the majority of diagnosed cases. Rates in women have remained fairly stable since that time. Age-standardised mortality rates have followed similar trends. Mesothelioma remains commonest in those aged over 80 years. </w:t>
      </w:r>
      <w:r w:rsidR="00881601">
        <w:rPr>
          <w:sz w:val="24"/>
          <w:szCs w:val="24"/>
          <w:lang w:eastAsia="en-AU"/>
        </w:rPr>
        <w:t>N</w:t>
      </w:r>
      <w:r>
        <w:rPr>
          <w:sz w:val="24"/>
          <w:szCs w:val="24"/>
          <w:lang w:eastAsia="en-AU"/>
        </w:rPr>
        <w:t xml:space="preserve">early all (94%) cases </w:t>
      </w:r>
      <w:r w:rsidR="00CE470B">
        <w:rPr>
          <w:sz w:val="24"/>
          <w:szCs w:val="24"/>
          <w:lang w:eastAsia="en-AU"/>
        </w:rPr>
        <w:t>were</w:t>
      </w:r>
      <w:r>
        <w:rPr>
          <w:sz w:val="24"/>
          <w:szCs w:val="24"/>
          <w:lang w:eastAsia="en-AU"/>
        </w:rPr>
        <w:t xml:space="preserve"> linked with asbestos exposure (78% occupational in men; </w:t>
      </w:r>
      <w:r w:rsidR="007A25A6">
        <w:rPr>
          <w:sz w:val="24"/>
          <w:szCs w:val="24"/>
          <w:lang w:eastAsia="en-AU"/>
        </w:rPr>
        <w:t>6.8</w:t>
      </w:r>
      <w:r>
        <w:rPr>
          <w:sz w:val="24"/>
          <w:szCs w:val="24"/>
          <w:lang w:eastAsia="en-AU"/>
        </w:rPr>
        <w:t>% in women).</w:t>
      </w:r>
      <w:r w:rsidR="004F56C6">
        <w:rPr>
          <w:sz w:val="24"/>
          <w:szCs w:val="24"/>
          <w:lang w:eastAsia="en-AU"/>
        </w:rPr>
        <w:t xml:space="preserve"> </w:t>
      </w:r>
    </w:p>
    <w:p w14:paraId="5A0386A4" w14:textId="4824DEC6" w:rsidR="004F56C6" w:rsidRDefault="004F56C6" w:rsidP="00701E93">
      <w:pPr>
        <w:pStyle w:val="AIHWbodytext"/>
        <w:spacing w:line="480" w:lineRule="auto"/>
        <w:jc w:val="both"/>
        <w:rPr>
          <w:b/>
          <w:sz w:val="24"/>
          <w:szCs w:val="24"/>
          <w:lang w:eastAsia="en-AU"/>
        </w:rPr>
      </w:pPr>
      <w:r>
        <w:rPr>
          <w:b/>
          <w:sz w:val="24"/>
          <w:szCs w:val="24"/>
          <w:lang w:eastAsia="en-AU"/>
        </w:rPr>
        <w:lastRenderedPageBreak/>
        <w:t>Conclusion</w:t>
      </w:r>
      <w:r w:rsidR="00436162">
        <w:rPr>
          <w:b/>
          <w:sz w:val="24"/>
          <w:szCs w:val="24"/>
          <w:lang w:eastAsia="en-AU"/>
        </w:rPr>
        <w:t>s</w:t>
      </w:r>
      <w:r>
        <w:rPr>
          <w:b/>
          <w:sz w:val="24"/>
          <w:szCs w:val="24"/>
          <w:lang w:eastAsia="en-AU"/>
        </w:rPr>
        <w:t>:</w:t>
      </w:r>
    </w:p>
    <w:p w14:paraId="0A98316C" w14:textId="37D58305" w:rsidR="004F56C6" w:rsidRDefault="00F02843" w:rsidP="00701E93">
      <w:pPr>
        <w:pStyle w:val="AIHWbodytext"/>
        <w:spacing w:line="480" w:lineRule="auto"/>
        <w:jc w:val="both"/>
        <w:rPr>
          <w:sz w:val="24"/>
          <w:szCs w:val="24"/>
          <w:lang w:eastAsia="en-AU"/>
        </w:rPr>
      </w:pPr>
      <w:r>
        <w:rPr>
          <w:sz w:val="24"/>
          <w:szCs w:val="24"/>
          <w:lang w:eastAsia="en-AU"/>
        </w:rPr>
        <w:t xml:space="preserve">With effective control of occupational asbestos use, the decline in </w:t>
      </w:r>
      <w:r w:rsidR="00CB37CA">
        <w:rPr>
          <w:sz w:val="24"/>
          <w:szCs w:val="24"/>
          <w:lang w:eastAsia="en-AU"/>
        </w:rPr>
        <w:t xml:space="preserve">age-standardised </w:t>
      </w:r>
      <w:r>
        <w:rPr>
          <w:sz w:val="24"/>
          <w:szCs w:val="24"/>
          <w:lang w:eastAsia="en-AU"/>
        </w:rPr>
        <w:t xml:space="preserve">incidence </w:t>
      </w:r>
      <w:r w:rsidR="00CB37CA">
        <w:rPr>
          <w:sz w:val="24"/>
          <w:szCs w:val="24"/>
          <w:lang w:eastAsia="en-AU"/>
        </w:rPr>
        <w:t xml:space="preserve">and death rates </w:t>
      </w:r>
      <w:r w:rsidR="002C02AC">
        <w:rPr>
          <w:sz w:val="24"/>
          <w:szCs w:val="24"/>
          <w:lang w:eastAsia="en-AU"/>
        </w:rPr>
        <w:t>has</w:t>
      </w:r>
      <w:r>
        <w:rPr>
          <w:sz w:val="24"/>
          <w:szCs w:val="24"/>
          <w:lang w:eastAsia="en-AU"/>
        </w:rPr>
        <w:t xml:space="preserve"> occurred.</w:t>
      </w:r>
      <w:r w:rsidR="00CB37CA">
        <w:rPr>
          <w:sz w:val="24"/>
          <w:szCs w:val="24"/>
          <w:lang w:eastAsia="en-AU"/>
        </w:rPr>
        <w:t xml:space="preserve"> </w:t>
      </w:r>
      <w:r w:rsidR="00CE470B">
        <w:rPr>
          <w:sz w:val="24"/>
          <w:szCs w:val="24"/>
          <w:lang w:eastAsia="en-AU"/>
        </w:rPr>
        <w:t xml:space="preserve">Incidence </w:t>
      </w:r>
      <w:r w:rsidR="008228D4">
        <w:rPr>
          <w:sz w:val="24"/>
          <w:szCs w:val="24"/>
          <w:lang w:eastAsia="en-AU"/>
        </w:rPr>
        <w:t xml:space="preserve">rates </w:t>
      </w:r>
      <w:r w:rsidR="00CE470B">
        <w:rPr>
          <w:sz w:val="24"/>
          <w:szCs w:val="24"/>
          <w:lang w:eastAsia="en-AU"/>
        </w:rPr>
        <w:t>among</w:t>
      </w:r>
      <w:r w:rsidR="008228D4">
        <w:rPr>
          <w:sz w:val="24"/>
          <w:szCs w:val="24"/>
          <w:lang w:eastAsia="en-AU"/>
        </w:rPr>
        <w:t xml:space="preserve"> women</w:t>
      </w:r>
      <w:r w:rsidR="00CE470B">
        <w:rPr>
          <w:sz w:val="24"/>
          <w:szCs w:val="24"/>
          <w:lang w:eastAsia="en-AU"/>
        </w:rPr>
        <w:t>, in whom occupational asbestos exposure is rarely detectable, remain unchanged, pointing to the role of household and /or environmental asbestos exposure</w:t>
      </w:r>
      <w:r>
        <w:rPr>
          <w:sz w:val="24"/>
          <w:szCs w:val="24"/>
          <w:lang w:eastAsia="en-AU"/>
        </w:rPr>
        <w:t xml:space="preserve">. </w:t>
      </w:r>
    </w:p>
    <w:p w14:paraId="324316E2" w14:textId="79152D41" w:rsidR="0047159E" w:rsidRPr="0047159E" w:rsidRDefault="0047159E" w:rsidP="00701E93">
      <w:pPr>
        <w:pStyle w:val="AIHWbodytext"/>
        <w:spacing w:line="480" w:lineRule="auto"/>
        <w:jc w:val="both"/>
        <w:rPr>
          <w:b/>
          <w:sz w:val="24"/>
          <w:szCs w:val="24"/>
          <w:lang w:eastAsia="en-AU"/>
        </w:rPr>
      </w:pPr>
      <w:r>
        <w:rPr>
          <w:b/>
          <w:sz w:val="24"/>
          <w:szCs w:val="24"/>
          <w:lang w:eastAsia="en-AU"/>
        </w:rPr>
        <w:t>Key words: Malignant mesothelioma; asbestos; registry; exposure; incidence; mortality</w:t>
      </w:r>
    </w:p>
    <w:p w14:paraId="0DEB68C0" w14:textId="1B5A69A1" w:rsidR="00D27F29" w:rsidRDefault="00D27F29">
      <w:pPr>
        <w:rPr>
          <w:rFonts w:ascii="Arial" w:hAnsi="Arial"/>
          <w:sz w:val="24"/>
          <w:szCs w:val="24"/>
        </w:rPr>
      </w:pPr>
      <w:r>
        <w:rPr>
          <w:sz w:val="24"/>
          <w:szCs w:val="24"/>
        </w:rPr>
        <w:br w:type="page"/>
      </w:r>
    </w:p>
    <w:p w14:paraId="0B89418E" w14:textId="0E534FE5" w:rsidR="00D27F29" w:rsidRDefault="00D27F29" w:rsidP="00D27F29">
      <w:pPr>
        <w:pStyle w:val="AIHWbodytext"/>
        <w:spacing w:line="480" w:lineRule="auto"/>
        <w:jc w:val="both"/>
        <w:rPr>
          <w:b/>
          <w:i/>
          <w:sz w:val="24"/>
          <w:szCs w:val="24"/>
          <w:lang w:eastAsia="en-AU"/>
        </w:rPr>
      </w:pPr>
      <w:r w:rsidRPr="00D27F29">
        <w:rPr>
          <w:b/>
          <w:sz w:val="24"/>
          <w:szCs w:val="24"/>
          <w:lang w:eastAsia="en-AU"/>
        </w:rPr>
        <w:lastRenderedPageBreak/>
        <w:t xml:space="preserve">What is already known on this topic </w:t>
      </w:r>
    </w:p>
    <w:p w14:paraId="47588011" w14:textId="72ED4BA1" w:rsidR="00436162" w:rsidRPr="00436162" w:rsidRDefault="00436162" w:rsidP="00D27F29">
      <w:pPr>
        <w:pStyle w:val="AIHWbodytext"/>
        <w:spacing w:line="480" w:lineRule="auto"/>
        <w:jc w:val="both"/>
        <w:rPr>
          <w:sz w:val="24"/>
          <w:szCs w:val="24"/>
          <w:lang w:eastAsia="en-AU"/>
        </w:rPr>
      </w:pPr>
      <w:r>
        <w:rPr>
          <w:sz w:val="24"/>
          <w:szCs w:val="24"/>
          <w:lang w:eastAsia="en-AU"/>
        </w:rPr>
        <w:t xml:space="preserve">The majority of cases of malignant mesothelioma occur among men with a history of </w:t>
      </w:r>
      <w:r w:rsidR="00D51DF4">
        <w:rPr>
          <w:sz w:val="24"/>
          <w:szCs w:val="24"/>
          <w:lang w:eastAsia="en-AU"/>
        </w:rPr>
        <w:t xml:space="preserve">occupational </w:t>
      </w:r>
      <w:r>
        <w:rPr>
          <w:sz w:val="24"/>
          <w:szCs w:val="24"/>
          <w:lang w:eastAsia="en-AU"/>
        </w:rPr>
        <w:t xml:space="preserve">asbestos exposure. Since asbestos was banned in Australia in </w:t>
      </w:r>
      <w:r w:rsidR="00FC5A0C">
        <w:rPr>
          <w:sz w:val="24"/>
          <w:szCs w:val="24"/>
          <w:lang w:eastAsia="en-AU"/>
        </w:rPr>
        <w:t>2003</w:t>
      </w:r>
      <w:r>
        <w:rPr>
          <w:sz w:val="24"/>
          <w:szCs w:val="24"/>
          <w:lang w:eastAsia="en-AU"/>
        </w:rPr>
        <w:t xml:space="preserve">, we would anticipate a decline in incident cases and mortality rates. </w:t>
      </w:r>
    </w:p>
    <w:p w14:paraId="75279D23" w14:textId="77777777" w:rsidR="00D27F29" w:rsidRPr="00D27F29" w:rsidRDefault="00D27F29" w:rsidP="00D27F29">
      <w:pPr>
        <w:pStyle w:val="AIHWbodytext"/>
        <w:spacing w:line="480" w:lineRule="auto"/>
        <w:jc w:val="both"/>
        <w:rPr>
          <w:b/>
          <w:sz w:val="24"/>
          <w:szCs w:val="24"/>
          <w:lang w:eastAsia="en-AU"/>
        </w:rPr>
      </w:pPr>
    </w:p>
    <w:p w14:paraId="2BA4A328" w14:textId="611ACCFB" w:rsidR="00D27F29" w:rsidRDefault="00D27F29" w:rsidP="00D27F29">
      <w:pPr>
        <w:pStyle w:val="AIHWbodytext"/>
        <w:spacing w:line="480" w:lineRule="auto"/>
        <w:jc w:val="both"/>
        <w:rPr>
          <w:b/>
          <w:i/>
          <w:sz w:val="24"/>
          <w:szCs w:val="24"/>
          <w:lang w:eastAsia="en-AU"/>
        </w:rPr>
      </w:pPr>
      <w:r w:rsidRPr="00D27F29">
        <w:rPr>
          <w:b/>
          <w:sz w:val="24"/>
          <w:szCs w:val="24"/>
          <w:lang w:eastAsia="en-AU"/>
        </w:rPr>
        <w:t xml:space="preserve">What this study adds </w:t>
      </w:r>
    </w:p>
    <w:p w14:paraId="0EF77B48" w14:textId="7E48CB68" w:rsidR="00436162" w:rsidRPr="00D2308A" w:rsidRDefault="00436162" w:rsidP="00D2308A">
      <w:pPr>
        <w:pStyle w:val="AIHWbodytext"/>
        <w:spacing w:line="480" w:lineRule="auto"/>
        <w:jc w:val="both"/>
        <w:rPr>
          <w:sz w:val="24"/>
          <w:szCs w:val="24"/>
          <w:lang w:eastAsia="en-AU"/>
        </w:rPr>
      </w:pPr>
      <w:r>
        <w:rPr>
          <w:sz w:val="24"/>
          <w:szCs w:val="24"/>
          <w:lang w:eastAsia="en-AU"/>
        </w:rPr>
        <w:t xml:space="preserve">Data from the Australian Mesothelioma </w:t>
      </w:r>
      <w:r w:rsidR="007A25A6">
        <w:rPr>
          <w:sz w:val="24"/>
          <w:szCs w:val="24"/>
          <w:lang w:eastAsia="en-AU"/>
        </w:rPr>
        <w:t xml:space="preserve">Registry </w:t>
      </w:r>
      <w:r>
        <w:rPr>
          <w:sz w:val="24"/>
          <w:szCs w:val="24"/>
          <w:lang w:eastAsia="en-AU"/>
        </w:rPr>
        <w:t xml:space="preserve">show that </w:t>
      </w:r>
      <w:r w:rsidR="001F4656">
        <w:rPr>
          <w:sz w:val="24"/>
          <w:szCs w:val="24"/>
          <w:lang w:eastAsia="en-AU"/>
        </w:rPr>
        <w:t>i</w:t>
      </w:r>
      <w:r w:rsidRPr="00D2308A">
        <w:rPr>
          <w:sz w:val="24"/>
          <w:szCs w:val="24"/>
          <w:lang w:eastAsia="en-AU"/>
        </w:rPr>
        <w:t>ncidence rates appear to have peaked in the early 2000s among men although they are unchanged in women. Most cases of mesothelioma among men can be associated with historic asbestos exposure.</w:t>
      </w:r>
      <w:r w:rsidR="00D2308A" w:rsidRPr="00D2308A">
        <w:rPr>
          <w:sz w:val="24"/>
          <w:szCs w:val="24"/>
          <w:lang w:eastAsia="en-AU"/>
        </w:rPr>
        <w:t xml:space="preserve"> Mortality rates have improved slightly over time.</w:t>
      </w:r>
    </w:p>
    <w:p w14:paraId="04021461" w14:textId="77777777" w:rsidR="00D27F29" w:rsidRPr="00D2308A" w:rsidRDefault="00D27F29" w:rsidP="00D2308A">
      <w:pPr>
        <w:pStyle w:val="AIHWbodytext"/>
        <w:spacing w:line="480" w:lineRule="auto"/>
        <w:jc w:val="both"/>
        <w:rPr>
          <w:b/>
          <w:sz w:val="24"/>
          <w:szCs w:val="24"/>
          <w:lang w:eastAsia="en-AU"/>
        </w:rPr>
      </w:pPr>
    </w:p>
    <w:p w14:paraId="76930759" w14:textId="045D8135" w:rsidR="00701E93" w:rsidRPr="00D2308A" w:rsidRDefault="00D27F29" w:rsidP="00D2308A">
      <w:pPr>
        <w:pStyle w:val="AIHWbodytext"/>
        <w:spacing w:line="480" w:lineRule="auto"/>
        <w:jc w:val="both"/>
        <w:rPr>
          <w:b/>
          <w:i/>
          <w:sz w:val="24"/>
          <w:szCs w:val="24"/>
          <w:lang w:eastAsia="en-AU"/>
        </w:rPr>
      </w:pPr>
      <w:r w:rsidRPr="00D2308A">
        <w:rPr>
          <w:b/>
          <w:sz w:val="24"/>
          <w:szCs w:val="24"/>
          <w:lang w:eastAsia="en-AU"/>
        </w:rPr>
        <w:t xml:space="preserve">How this study might affect research, practice or policy </w:t>
      </w:r>
    </w:p>
    <w:p w14:paraId="35C9186A" w14:textId="1BA105B9" w:rsidR="005966C9" w:rsidRPr="00D2308A" w:rsidRDefault="00436162" w:rsidP="00D2308A">
      <w:pPr>
        <w:pStyle w:val="AIHWbodytext"/>
        <w:spacing w:line="480" w:lineRule="auto"/>
        <w:jc w:val="both"/>
        <w:rPr>
          <w:sz w:val="24"/>
          <w:szCs w:val="24"/>
          <w:lang w:eastAsia="en-AU"/>
        </w:rPr>
      </w:pPr>
      <w:r w:rsidRPr="00D2308A">
        <w:rPr>
          <w:sz w:val="24"/>
          <w:szCs w:val="24"/>
          <w:lang w:eastAsia="en-AU"/>
        </w:rPr>
        <w:t xml:space="preserve">Control of occupational asbestos exposure has reduced the cases of mesothelioma amongst men. There has been no change amongst women, reflecting that </w:t>
      </w:r>
      <w:r w:rsidR="00D2308A" w:rsidRPr="00D2308A">
        <w:rPr>
          <w:sz w:val="24"/>
          <w:szCs w:val="24"/>
          <w:lang w:eastAsia="en-AU"/>
        </w:rPr>
        <w:t>environmental and household exposure has not been totally eliminated.</w:t>
      </w:r>
    </w:p>
    <w:p w14:paraId="60D845AB" w14:textId="683C9688" w:rsidR="00F2714F" w:rsidRPr="00D2308A" w:rsidRDefault="00F2714F" w:rsidP="00D2308A">
      <w:pPr>
        <w:jc w:val="both"/>
        <w:rPr>
          <w:rFonts w:ascii="Arial" w:hAnsi="Arial" w:cs="Arial"/>
          <w:b/>
          <w:color w:val="000000"/>
          <w:sz w:val="24"/>
          <w:szCs w:val="24"/>
          <w:lang w:eastAsia="en-US"/>
        </w:rPr>
      </w:pPr>
      <w:r w:rsidRPr="00D2308A">
        <w:rPr>
          <w:rFonts w:ascii="Arial" w:hAnsi="Arial" w:cs="Arial"/>
          <w:b/>
          <w:sz w:val="24"/>
          <w:szCs w:val="24"/>
        </w:rPr>
        <w:br w:type="page"/>
      </w:r>
    </w:p>
    <w:p w14:paraId="3E36A9E6" w14:textId="6266ECC4" w:rsidR="00C3425B" w:rsidRDefault="00C3425B" w:rsidP="00A27D09">
      <w:pPr>
        <w:pStyle w:val="Heading3"/>
        <w:rPr>
          <w:rFonts w:cs="Arial"/>
          <w:sz w:val="24"/>
          <w:szCs w:val="24"/>
        </w:rPr>
      </w:pPr>
      <w:r w:rsidRPr="00C97C77">
        <w:rPr>
          <w:rFonts w:cs="Arial"/>
          <w:sz w:val="24"/>
          <w:szCs w:val="24"/>
        </w:rPr>
        <w:lastRenderedPageBreak/>
        <w:t>Introduction</w:t>
      </w:r>
    </w:p>
    <w:p w14:paraId="21961749" w14:textId="77777777" w:rsidR="00C97C77" w:rsidRPr="00C97C77" w:rsidRDefault="00C97C77" w:rsidP="00C97C77">
      <w:pPr>
        <w:pStyle w:val="AIHWbodytext"/>
      </w:pPr>
    </w:p>
    <w:p w14:paraId="36B8377F" w14:textId="6F261BF2" w:rsidR="00A522AF" w:rsidRPr="00C97C77" w:rsidRDefault="00A522AF" w:rsidP="004F0918">
      <w:pPr>
        <w:pStyle w:val="AIHWbodytext"/>
        <w:spacing w:line="480" w:lineRule="auto"/>
        <w:jc w:val="both"/>
        <w:rPr>
          <w:rFonts w:cs="Arial"/>
          <w:color w:val="000000"/>
          <w:sz w:val="24"/>
          <w:szCs w:val="24"/>
        </w:rPr>
      </w:pPr>
      <w:r w:rsidRPr="00C97C77">
        <w:rPr>
          <w:rFonts w:cs="Arial"/>
          <w:color w:val="000000"/>
          <w:sz w:val="24"/>
          <w:szCs w:val="24"/>
        </w:rPr>
        <w:t>Mesothelioma</w:t>
      </w:r>
      <w:r w:rsidR="008776C0" w:rsidRPr="00C97C77">
        <w:rPr>
          <w:rFonts w:cs="Arial"/>
          <w:color w:val="000000"/>
          <w:sz w:val="24"/>
          <w:szCs w:val="24"/>
        </w:rPr>
        <w:t xml:space="preserve"> is an uncommon neoplasm typically originating from the mesothelial cells that line serous body cavities, classically the pleura and peritoneum. </w:t>
      </w:r>
      <w:r w:rsidR="005E6368" w:rsidRPr="00C97C77">
        <w:rPr>
          <w:rFonts w:cs="Arial"/>
          <w:color w:val="000000"/>
          <w:sz w:val="24"/>
          <w:szCs w:val="24"/>
        </w:rPr>
        <w:t>Exposure to asbestos is implicated in</w:t>
      </w:r>
      <w:r w:rsidR="008776C0" w:rsidRPr="00C97C77">
        <w:rPr>
          <w:rFonts w:cs="Arial"/>
          <w:color w:val="000000"/>
          <w:sz w:val="24"/>
          <w:szCs w:val="24"/>
        </w:rPr>
        <w:t xml:space="preserve"> an estimated 86-95% of </w:t>
      </w:r>
      <w:r w:rsidR="008228D4">
        <w:rPr>
          <w:rFonts w:cs="Arial"/>
          <w:color w:val="000000"/>
          <w:sz w:val="24"/>
          <w:szCs w:val="24"/>
        </w:rPr>
        <w:t xml:space="preserve">cases of </w:t>
      </w:r>
      <w:r w:rsidR="008D1F0B" w:rsidRPr="00C97C77">
        <w:rPr>
          <w:rFonts w:cs="Arial"/>
          <w:color w:val="000000"/>
          <w:sz w:val="24"/>
          <w:szCs w:val="24"/>
        </w:rPr>
        <w:t>mesothelioma</w:t>
      </w:r>
      <w:r w:rsidR="00532583">
        <w:rPr>
          <w:rFonts w:cs="Arial"/>
          <w:color w:val="000000"/>
          <w:sz w:val="24"/>
          <w:szCs w:val="24"/>
        </w:rPr>
        <w:t xml:space="preserve"> (1-3)</w:t>
      </w:r>
      <w:r w:rsidR="008776C0" w:rsidRPr="00C97C77">
        <w:rPr>
          <w:rFonts w:cs="Arial"/>
          <w:color w:val="000000"/>
          <w:sz w:val="24"/>
          <w:szCs w:val="24"/>
        </w:rPr>
        <w:t xml:space="preserve"> although estimated rates of </w:t>
      </w:r>
      <w:r w:rsidR="00B4226E">
        <w:rPr>
          <w:rFonts w:cs="Arial"/>
          <w:color w:val="000000"/>
          <w:sz w:val="24"/>
          <w:szCs w:val="24"/>
        </w:rPr>
        <w:t xml:space="preserve">cases of </w:t>
      </w:r>
      <w:r w:rsidR="008776C0" w:rsidRPr="00C97C77">
        <w:rPr>
          <w:rFonts w:cs="Arial"/>
          <w:color w:val="000000"/>
          <w:sz w:val="24"/>
          <w:szCs w:val="24"/>
        </w:rPr>
        <w:t xml:space="preserve">non-asbestos related </w:t>
      </w:r>
      <w:r w:rsidR="008D1F0B" w:rsidRPr="00C97C77">
        <w:rPr>
          <w:rFonts w:cs="Arial"/>
          <w:color w:val="000000"/>
          <w:sz w:val="24"/>
          <w:szCs w:val="24"/>
        </w:rPr>
        <w:t>mesothelioma</w:t>
      </w:r>
      <w:r w:rsidR="008776C0" w:rsidRPr="00C97C77">
        <w:rPr>
          <w:rFonts w:cs="Arial"/>
          <w:color w:val="000000"/>
          <w:sz w:val="24"/>
          <w:szCs w:val="24"/>
        </w:rPr>
        <w:t xml:space="preserve"> </w:t>
      </w:r>
      <w:r w:rsidR="00B4226E">
        <w:rPr>
          <w:rFonts w:cs="Arial"/>
          <w:color w:val="000000"/>
          <w:sz w:val="24"/>
          <w:szCs w:val="24"/>
        </w:rPr>
        <w:t>vary</w:t>
      </w:r>
      <w:r w:rsidR="008776C0" w:rsidRPr="00C97C77">
        <w:rPr>
          <w:rFonts w:cs="Arial"/>
          <w:color w:val="000000"/>
          <w:sz w:val="24"/>
          <w:szCs w:val="24"/>
        </w:rPr>
        <w:t xml:space="preserve">, </w:t>
      </w:r>
      <w:r w:rsidR="00F2714F" w:rsidRPr="00C97C77">
        <w:rPr>
          <w:rFonts w:cs="Arial"/>
          <w:color w:val="000000"/>
          <w:sz w:val="24"/>
          <w:szCs w:val="24"/>
        </w:rPr>
        <w:t>likely</w:t>
      </w:r>
      <w:r w:rsidR="008776C0" w:rsidRPr="00C97C77">
        <w:rPr>
          <w:rFonts w:cs="Arial"/>
          <w:color w:val="000000"/>
          <w:sz w:val="24"/>
          <w:szCs w:val="24"/>
        </w:rPr>
        <w:t xml:space="preserve"> because of </w:t>
      </w:r>
      <w:r w:rsidR="00F2714F" w:rsidRPr="00C97C77">
        <w:rPr>
          <w:rFonts w:cs="Arial"/>
          <w:color w:val="000000"/>
          <w:sz w:val="24"/>
          <w:szCs w:val="24"/>
        </w:rPr>
        <w:t xml:space="preserve">variability in the </w:t>
      </w:r>
      <w:r w:rsidR="008776C0" w:rsidRPr="00CE470B">
        <w:rPr>
          <w:rFonts w:cs="Arial"/>
          <w:color w:val="000000"/>
          <w:sz w:val="24"/>
          <w:szCs w:val="24"/>
        </w:rPr>
        <w:t>method</w:t>
      </w:r>
      <w:r w:rsidR="005E6368" w:rsidRPr="00CE470B">
        <w:rPr>
          <w:rFonts w:cs="Arial"/>
          <w:color w:val="000000"/>
          <w:sz w:val="24"/>
          <w:szCs w:val="24"/>
        </w:rPr>
        <w:t>ology</w:t>
      </w:r>
      <w:r w:rsidR="008776C0" w:rsidRPr="00CE470B">
        <w:rPr>
          <w:rFonts w:cs="Arial"/>
          <w:color w:val="000000"/>
          <w:sz w:val="24"/>
          <w:szCs w:val="24"/>
        </w:rPr>
        <w:t xml:space="preserve"> </w:t>
      </w:r>
      <w:r w:rsidR="00F2714F" w:rsidRPr="00CE470B">
        <w:rPr>
          <w:rFonts w:cs="Arial"/>
          <w:color w:val="000000"/>
          <w:sz w:val="24"/>
          <w:szCs w:val="24"/>
        </w:rPr>
        <w:t xml:space="preserve">used </w:t>
      </w:r>
      <w:r w:rsidR="008776C0" w:rsidRPr="00CE470B">
        <w:rPr>
          <w:rFonts w:cs="Arial"/>
          <w:color w:val="000000"/>
          <w:sz w:val="24"/>
          <w:szCs w:val="24"/>
        </w:rPr>
        <w:t xml:space="preserve">for assessing asbestos exposure </w:t>
      </w:r>
      <w:r w:rsidR="00532583" w:rsidRPr="00CE470B">
        <w:rPr>
          <w:rFonts w:cs="Arial"/>
          <w:color w:val="000000"/>
          <w:sz w:val="24"/>
          <w:szCs w:val="24"/>
        </w:rPr>
        <w:t>(4)</w:t>
      </w:r>
      <w:r w:rsidR="008776C0" w:rsidRPr="00CE470B">
        <w:rPr>
          <w:rFonts w:cs="Arial"/>
          <w:color w:val="000000"/>
          <w:sz w:val="24"/>
          <w:szCs w:val="24"/>
        </w:rPr>
        <w:t xml:space="preserve">. </w:t>
      </w:r>
      <w:r w:rsidR="005E6368" w:rsidRPr="00CE470B">
        <w:rPr>
          <w:rFonts w:cs="Arial"/>
          <w:color w:val="000000"/>
          <w:sz w:val="24"/>
          <w:szCs w:val="24"/>
        </w:rPr>
        <w:t xml:space="preserve">Despite identification of the principal exposure, the burden caused by this disease remains considerable, </w:t>
      </w:r>
      <w:r w:rsidR="00AF465D">
        <w:rPr>
          <w:rFonts w:cs="Arial"/>
          <w:color w:val="000000"/>
          <w:sz w:val="24"/>
          <w:szCs w:val="24"/>
        </w:rPr>
        <w:t>with an estimated</w:t>
      </w:r>
      <w:r w:rsidR="002C5FDC" w:rsidRPr="00CE470B">
        <w:rPr>
          <w:rFonts w:cs="Arial"/>
          <w:color w:val="000000"/>
          <w:sz w:val="24"/>
          <w:szCs w:val="24"/>
        </w:rPr>
        <w:t xml:space="preserve"> </w:t>
      </w:r>
      <w:r w:rsidR="00CE470B" w:rsidRPr="00CE470B">
        <w:rPr>
          <w:rFonts w:cs="Arial"/>
          <w:color w:val="000000"/>
          <w:sz w:val="24"/>
          <w:szCs w:val="24"/>
        </w:rPr>
        <w:t>23</w:t>
      </w:r>
      <w:r w:rsidR="002C5FDC" w:rsidRPr="00CE470B">
        <w:rPr>
          <w:rFonts w:cs="Arial"/>
          <w:color w:val="000000"/>
          <w:sz w:val="24"/>
          <w:szCs w:val="24"/>
        </w:rPr>
        <w:t xml:space="preserve">,000 deaths worldwide </w:t>
      </w:r>
      <w:r w:rsidR="00CE470B" w:rsidRPr="00CE470B">
        <w:rPr>
          <w:rFonts w:cs="Arial"/>
          <w:color w:val="000000"/>
          <w:sz w:val="24"/>
          <w:szCs w:val="24"/>
        </w:rPr>
        <w:t>(</w:t>
      </w:r>
      <w:r w:rsidR="00CE470B" w:rsidRPr="00CE470B">
        <w:rPr>
          <w:sz w:val="24"/>
          <w:szCs w:val="24"/>
        </w:rPr>
        <w:t xml:space="preserve">95%UR: 22,593-23,615) </w:t>
      </w:r>
      <w:r w:rsidR="002C5FDC" w:rsidRPr="00CE470B">
        <w:rPr>
          <w:rFonts w:cs="Arial"/>
          <w:color w:val="000000"/>
          <w:sz w:val="24"/>
          <w:szCs w:val="24"/>
        </w:rPr>
        <w:t xml:space="preserve">in </w:t>
      </w:r>
      <w:r w:rsidR="00CE470B" w:rsidRPr="00CE470B">
        <w:rPr>
          <w:rFonts w:cs="Arial"/>
          <w:color w:val="000000"/>
          <w:sz w:val="24"/>
          <w:szCs w:val="24"/>
        </w:rPr>
        <w:t>2016</w:t>
      </w:r>
      <w:r w:rsidR="00532583" w:rsidRPr="00CE470B">
        <w:rPr>
          <w:rFonts w:cs="Arial"/>
          <w:color w:val="000000"/>
          <w:sz w:val="24"/>
          <w:szCs w:val="24"/>
        </w:rPr>
        <w:t xml:space="preserve"> (5-6)</w:t>
      </w:r>
      <w:r w:rsidR="005E6368" w:rsidRPr="00CE470B">
        <w:rPr>
          <w:rFonts w:cs="Arial"/>
          <w:color w:val="000000"/>
          <w:sz w:val="24"/>
          <w:szCs w:val="24"/>
        </w:rPr>
        <w:t>. Although</w:t>
      </w:r>
      <w:r w:rsidR="005E6368" w:rsidRPr="00C97C77">
        <w:rPr>
          <w:rFonts w:cs="Arial"/>
          <w:color w:val="000000"/>
          <w:sz w:val="24"/>
          <w:szCs w:val="24"/>
        </w:rPr>
        <w:t xml:space="preserve"> there have been developments in understanding the aetiology of the disease, </w:t>
      </w:r>
      <w:r w:rsidR="00CB65CD">
        <w:rPr>
          <w:rFonts w:cs="Arial"/>
          <w:color w:val="000000"/>
          <w:sz w:val="24"/>
          <w:szCs w:val="24"/>
        </w:rPr>
        <w:t xml:space="preserve">including </w:t>
      </w:r>
      <w:r w:rsidR="000F1CD1">
        <w:rPr>
          <w:rFonts w:cs="Arial"/>
          <w:color w:val="000000"/>
          <w:sz w:val="24"/>
          <w:szCs w:val="24"/>
        </w:rPr>
        <w:t>identifying</w:t>
      </w:r>
      <w:r w:rsidR="007E4C90">
        <w:rPr>
          <w:rFonts w:cs="Arial"/>
          <w:color w:val="000000"/>
          <w:sz w:val="24"/>
          <w:szCs w:val="24"/>
        </w:rPr>
        <w:t xml:space="preserve"> genetic risk factors</w:t>
      </w:r>
      <w:r w:rsidR="00532583">
        <w:rPr>
          <w:rFonts w:cs="Arial"/>
          <w:color w:val="000000"/>
          <w:sz w:val="24"/>
          <w:szCs w:val="24"/>
        </w:rPr>
        <w:t xml:space="preserve"> (7)</w:t>
      </w:r>
      <w:r w:rsidR="007E4C90">
        <w:rPr>
          <w:rFonts w:cs="Arial"/>
          <w:color w:val="000000"/>
          <w:sz w:val="24"/>
          <w:szCs w:val="24"/>
        </w:rPr>
        <w:t xml:space="preserve">, </w:t>
      </w:r>
      <w:r w:rsidR="00CB65CD">
        <w:rPr>
          <w:rFonts w:cs="Arial"/>
          <w:color w:val="000000"/>
          <w:sz w:val="24"/>
          <w:szCs w:val="24"/>
        </w:rPr>
        <w:t xml:space="preserve">improvements in diagnosis </w:t>
      </w:r>
      <w:r w:rsidR="00EF6B92">
        <w:rPr>
          <w:rFonts w:cs="Arial"/>
          <w:color w:val="000000"/>
          <w:sz w:val="24"/>
          <w:szCs w:val="24"/>
        </w:rPr>
        <w:t>which</w:t>
      </w:r>
      <w:r w:rsidR="00CB65CD">
        <w:rPr>
          <w:rFonts w:cs="Arial"/>
          <w:color w:val="000000"/>
          <w:sz w:val="24"/>
          <w:szCs w:val="24"/>
        </w:rPr>
        <w:t xml:space="preserve"> permit earlier diagnosis (8)</w:t>
      </w:r>
      <w:r w:rsidR="00F2714F" w:rsidRPr="00C97C77">
        <w:rPr>
          <w:rFonts w:cs="Arial"/>
          <w:color w:val="000000"/>
          <w:sz w:val="24"/>
          <w:szCs w:val="24"/>
        </w:rPr>
        <w:t xml:space="preserve"> using</w:t>
      </w:r>
      <w:r w:rsidR="005E6368" w:rsidRPr="00C97C77">
        <w:rPr>
          <w:rFonts w:cs="Arial"/>
          <w:color w:val="000000"/>
          <w:sz w:val="24"/>
          <w:szCs w:val="24"/>
        </w:rPr>
        <w:t xml:space="preserve"> new biomarkers and a number of clinical trials, the prognosis after diagnosis of </w:t>
      </w:r>
      <w:r w:rsidR="008D1F0B" w:rsidRPr="00C97C77">
        <w:rPr>
          <w:rFonts w:cs="Arial"/>
          <w:color w:val="000000"/>
          <w:sz w:val="24"/>
          <w:szCs w:val="24"/>
        </w:rPr>
        <w:t xml:space="preserve">mesothelioma </w:t>
      </w:r>
      <w:r w:rsidR="005E6368" w:rsidRPr="00C97C77">
        <w:rPr>
          <w:rFonts w:cs="Arial"/>
          <w:color w:val="000000"/>
          <w:sz w:val="24"/>
          <w:szCs w:val="24"/>
        </w:rPr>
        <w:t xml:space="preserve">remains poor </w:t>
      </w:r>
      <w:r w:rsidR="00532583">
        <w:rPr>
          <w:rFonts w:cs="Arial"/>
          <w:color w:val="000000"/>
          <w:sz w:val="24"/>
          <w:szCs w:val="24"/>
        </w:rPr>
        <w:t>(</w:t>
      </w:r>
      <w:r w:rsidR="00CB65CD">
        <w:rPr>
          <w:rFonts w:cs="Arial"/>
          <w:color w:val="000000"/>
          <w:sz w:val="24"/>
          <w:szCs w:val="24"/>
        </w:rPr>
        <w:t>9-11</w:t>
      </w:r>
      <w:r w:rsidR="00532583">
        <w:rPr>
          <w:rFonts w:cs="Arial"/>
          <w:color w:val="000000"/>
          <w:sz w:val="24"/>
          <w:szCs w:val="24"/>
        </w:rPr>
        <w:t>)</w:t>
      </w:r>
      <w:r w:rsidR="009F0728" w:rsidRPr="00C97C77">
        <w:rPr>
          <w:rFonts w:cs="Arial"/>
          <w:color w:val="000000"/>
          <w:sz w:val="24"/>
          <w:szCs w:val="24"/>
        </w:rPr>
        <w:t xml:space="preserve"> with around half of patients dying within a year </w:t>
      </w:r>
      <w:r w:rsidR="007E4C90">
        <w:rPr>
          <w:rFonts w:cs="Arial"/>
          <w:color w:val="000000"/>
          <w:sz w:val="24"/>
          <w:szCs w:val="24"/>
        </w:rPr>
        <w:t xml:space="preserve">of diagnosis </w:t>
      </w:r>
      <w:r w:rsidR="00532583">
        <w:rPr>
          <w:rFonts w:cs="Arial"/>
          <w:color w:val="000000"/>
          <w:sz w:val="24"/>
          <w:szCs w:val="24"/>
        </w:rPr>
        <w:t>(1</w:t>
      </w:r>
      <w:r w:rsidR="00CB65CD">
        <w:rPr>
          <w:rFonts w:cs="Arial"/>
          <w:color w:val="000000"/>
          <w:sz w:val="24"/>
          <w:szCs w:val="24"/>
        </w:rPr>
        <w:t>2</w:t>
      </w:r>
      <w:r w:rsidR="00532583">
        <w:rPr>
          <w:rFonts w:cs="Arial"/>
          <w:color w:val="000000"/>
          <w:sz w:val="24"/>
          <w:szCs w:val="24"/>
        </w:rPr>
        <w:t>)</w:t>
      </w:r>
      <w:r w:rsidR="009F0728" w:rsidRPr="00C97C77">
        <w:rPr>
          <w:rFonts w:cs="Arial"/>
          <w:color w:val="000000"/>
          <w:sz w:val="24"/>
          <w:szCs w:val="24"/>
        </w:rPr>
        <w:t>.</w:t>
      </w:r>
    </w:p>
    <w:p w14:paraId="62048F62" w14:textId="77777777" w:rsidR="005E6368" w:rsidRPr="00C97C77" w:rsidRDefault="005E6368" w:rsidP="004F0918">
      <w:pPr>
        <w:pStyle w:val="AIHWbodytext"/>
        <w:spacing w:line="480" w:lineRule="auto"/>
        <w:jc w:val="both"/>
        <w:rPr>
          <w:rFonts w:cs="Arial"/>
          <w:color w:val="000000"/>
          <w:sz w:val="24"/>
          <w:szCs w:val="24"/>
        </w:rPr>
      </w:pPr>
    </w:p>
    <w:p w14:paraId="6B158BC2" w14:textId="72AEBC08" w:rsidR="00146E1B" w:rsidRPr="00C97C77" w:rsidRDefault="00F2714F" w:rsidP="009F0728">
      <w:pPr>
        <w:pStyle w:val="AIHWbodytext"/>
        <w:spacing w:line="480" w:lineRule="auto"/>
        <w:jc w:val="both"/>
        <w:rPr>
          <w:rFonts w:cs="Arial"/>
          <w:color w:val="000000"/>
          <w:sz w:val="24"/>
          <w:szCs w:val="24"/>
        </w:rPr>
      </w:pPr>
      <w:r w:rsidRPr="00C97C77">
        <w:rPr>
          <w:rFonts w:cs="Arial"/>
          <w:color w:val="000000"/>
          <w:sz w:val="24"/>
          <w:szCs w:val="24"/>
        </w:rPr>
        <w:t xml:space="preserve">The global age-standardised mesothelioma incidence and mortality rates climbed sharply in the 1960s, linked with the vast increase in use of asbestos </w:t>
      </w:r>
      <w:r w:rsidR="00F50298">
        <w:rPr>
          <w:rFonts w:cs="Arial"/>
          <w:color w:val="000000"/>
          <w:sz w:val="24"/>
          <w:szCs w:val="24"/>
        </w:rPr>
        <w:t>after</w:t>
      </w:r>
      <w:r w:rsidR="00F50298" w:rsidRPr="00C97C77">
        <w:rPr>
          <w:rFonts w:cs="Arial"/>
          <w:color w:val="000000"/>
          <w:sz w:val="24"/>
          <w:szCs w:val="24"/>
        </w:rPr>
        <w:t xml:space="preserve"> </w:t>
      </w:r>
      <w:r w:rsidRPr="00C97C77">
        <w:rPr>
          <w:rFonts w:cs="Arial"/>
          <w:color w:val="000000"/>
          <w:sz w:val="24"/>
          <w:szCs w:val="24"/>
        </w:rPr>
        <w:t xml:space="preserve">World War II. </w:t>
      </w:r>
      <w:r w:rsidR="009F0728" w:rsidRPr="00C97C77">
        <w:rPr>
          <w:rFonts w:cs="Arial"/>
          <w:color w:val="000000"/>
          <w:sz w:val="24"/>
          <w:szCs w:val="24"/>
        </w:rPr>
        <w:t>Occupational exposure was particularly high amongst men who were</w:t>
      </w:r>
      <w:r w:rsidR="00B4226E">
        <w:rPr>
          <w:rFonts w:cs="Arial"/>
          <w:color w:val="000000"/>
          <w:sz w:val="24"/>
          <w:szCs w:val="24"/>
        </w:rPr>
        <w:t>:</w:t>
      </w:r>
      <w:r w:rsidR="009F0728" w:rsidRPr="00C97C77">
        <w:rPr>
          <w:rFonts w:cs="Arial"/>
          <w:color w:val="000000"/>
          <w:sz w:val="24"/>
          <w:szCs w:val="24"/>
        </w:rPr>
        <w:t xml:space="preserve"> insulation workers</w:t>
      </w:r>
      <w:r w:rsidR="006D663C" w:rsidRPr="00C97C77">
        <w:rPr>
          <w:rFonts w:cs="Arial"/>
          <w:color w:val="000000"/>
          <w:sz w:val="24"/>
          <w:szCs w:val="24"/>
        </w:rPr>
        <w:t>;</w:t>
      </w:r>
      <w:r w:rsidR="009F0728" w:rsidRPr="00C97C77">
        <w:rPr>
          <w:rFonts w:cs="Arial"/>
          <w:color w:val="000000"/>
          <w:sz w:val="24"/>
          <w:szCs w:val="24"/>
        </w:rPr>
        <w:t xml:space="preserve"> hazardous materials removal workers</w:t>
      </w:r>
      <w:r w:rsidR="006D663C" w:rsidRPr="00C97C77">
        <w:rPr>
          <w:rFonts w:cs="Arial"/>
          <w:color w:val="000000"/>
          <w:sz w:val="24"/>
          <w:szCs w:val="24"/>
        </w:rPr>
        <w:t>;</w:t>
      </w:r>
      <w:r w:rsidR="009F0728" w:rsidRPr="00C97C77">
        <w:rPr>
          <w:rFonts w:cs="Arial"/>
          <w:color w:val="000000"/>
          <w:sz w:val="24"/>
          <w:szCs w:val="24"/>
        </w:rPr>
        <w:t xml:space="preserve"> riggers</w:t>
      </w:r>
      <w:r w:rsidR="006D663C" w:rsidRPr="00C97C77">
        <w:rPr>
          <w:rFonts w:cs="Arial"/>
          <w:color w:val="000000"/>
          <w:sz w:val="24"/>
          <w:szCs w:val="24"/>
        </w:rPr>
        <w:t>;</w:t>
      </w:r>
      <w:r w:rsidR="009F0728" w:rsidRPr="00C97C77">
        <w:rPr>
          <w:rFonts w:cs="Arial"/>
          <w:color w:val="000000"/>
          <w:sz w:val="24"/>
          <w:szCs w:val="24"/>
        </w:rPr>
        <w:t xml:space="preserve"> marine </w:t>
      </w:r>
      <w:r w:rsidR="006D663C" w:rsidRPr="00C97C77">
        <w:rPr>
          <w:rFonts w:cs="Arial"/>
          <w:color w:val="000000"/>
          <w:sz w:val="24"/>
          <w:szCs w:val="24"/>
        </w:rPr>
        <w:t>or</w:t>
      </w:r>
      <w:r w:rsidR="009F0728" w:rsidRPr="00C97C77">
        <w:rPr>
          <w:rFonts w:cs="Arial"/>
          <w:color w:val="000000"/>
          <w:sz w:val="24"/>
          <w:szCs w:val="24"/>
        </w:rPr>
        <w:t xml:space="preserve"> ship engineers</w:t>
      </w:r>
      <w:r w:rsidR="006D663C" w:rsidRPr="00C97C77">
        <w:rPr>
          <w:rFonts w:cs="Arial"/>
          <w:color w:val="000000"/>
          <w:sz w:val="24"/>
          <w:szCs w:val="24"/>
        </w:rPr>
        <w:t>;</w:t>
      </w:r>
      <w:r w:rsidR="009F0728" w:rsidRPr="00C97C77">
        <w:rPr>
          <w:rFonts w:cs="Arial"/>
          <w:color w:val="000000"/>
          <w:sz w:val="24"/>
          <w:szCs w:val="24"/>
        </w:rPr>
        <w:t xml:space="preserve"> plumbers</w:t>
      </w:r>
      <w:r w:rsidR="006D663C" w:rsidRPr="00C97C77">
        <w:rPr>
          <w:rFonts w:cs="Arial"/>
          <w:color w:val="000000"/>
          <w:sz w:val="24"/>
          <w:szCs w:val="24"/>
        </w:rPr>
        <w:t>;</w:t>
      </w:r>
      <w:r w:rsidR="009F0728" w:rsidRPr="00C97C77">
        <w:rPr>
          <w:rFonts w:cs="Arial"/>
          <w:color w:val="000000"/>
          <w:sz w:val="24"/>
          <w:szCs w:val="24"/>
        </w:rPr>
        <w:t xml:space="preserve"> and pipefitters</w:t>
      </w:r>
      <w:r w:rsidR="00AF465D">
        <w:rPr>
          <w:rFonts w:cs="Arial"/>
          <w:color w:val="000000"/>
          <w:sz w:val="24"/>
          <w:szCs w:val="24"/>
        </w:rPr>
        <w:t xml:space="preserve"> (7)</w:t>
      </w:r>
      <w:r w:rsidR="009F0728" w:rsidRPr="00C97C77">
        <w:rPr>
          <w:rFonts w:cs="Arial"/>
          <w:color w:val="000000"/>
          <w:sz w:val="24"/>
          <w:szCs w:val="24"/>
        </w:rPr>
        <w:t xml:space="preserve">. </w:t>
      </w:r>
      <w:r w:rsidR="002A3144">
        <w:rPr>
          <w:rFonts w:cs="Arial"/>
          <w:color w:val="000000"/>
          <w:sz w:val="24"/>
          <w:szCs w:val="24"/>
        </w:rPr>
        <w:t xml:space="preserve">Australia gradually increased the production of asbestos from the late 1880s to the late 1930s but its peak </w:t>
      </w:r>
      <w:r w:rsidR="00843E20" w:rsidRPr="00C97C77">
        <w:rPr>
          <w:rFonts w:cs="Arial"/>
          <w:color w:val="000000"/>
          <w:sz w:val="24"/>
          <w:szCs w:val="24"/>
        </w:rPr>
        <w:t xml:space="preserve">consumption </w:t>
      </w:r>
      <w:r w:rsidR="002A3144">
        <w:rPr>
          <w:rFonts w:cs="Arial"/>
          <w:color w:val="000000"/>
          <w:sz w:val="24"/>
          <w:szCs w:val="24"/>
        </w:rPr>
        <w:t>was</w:t>
      </w:r>
      <w:r w:rsidR="00843E20" w:rsidRPr="00C97C77">
        <w:rPr>
          <w:rFonts w:cs="Arial"/>
          <w:color w:val="000000"/>
          <w:sz w:val="24"/>
          <w:szCs w:val="24"/>
        </w:rPr>
        <w:t xml:space="preserve"> </w:t>
      </w:r>
      <w:r w:rsidR="002A3144">
        <w:rPr>
          <w:rFonts w:cs="Arial"/>
          <w:color w:val="000000"/>
          <w:sz w:val="24"/>
          <w:szCs w:val="24"/>
        </w:rPr>
        <w:t>over</w:t>
      </w:r>
      <w:r w:rsidR="00843E20" w:rsidRPr="00C97C77">
        <w:rPr>
          <w:rFonts w:cs="Arial"/>
          <w:color w:val="000000"/>
          <w:sz w:val="24"/>
          <w:szCs w:val="24"/>
        </w:rPr>
        <w:t xml:space="preserve"> 700,000 metric tonnes 1970–1979 </w:t>
      </w:r>
      <w:r w:rsidR="00532583">
        <w:rPr>
          <w:rFonts w:cs="Arial"/>
          <w:color w:val="000000"/>
          <w:sz w:val="24"/>
          <w:szCs w:val="24"/>
        </w:rPr>
        <w:t>(1</w:t>
      </w:r>
      <w:r w:rsidR="00CB65CD">
        <w:rPr>
          <w:rFonts w:cs="Arial"/>
          <w:color w:val="000000"/>
          <w:sz w:val="24"/>
          <w:szCs w:val="24"/>
        </w:rPr>
        <w:t>3</w:t>
      </w:r>
      <w:r w:rsidR="00532583">
        <w:rPr>
          <w:rFonts w:cs="Arial"/>
          <w:color w:val="000000"/>
          <w:sz w:val="24"/>
          <w:szCs w:val="24"/>
        </w:rPr>
        <w:t>,1</w:t>
      </w:r>
      <w:r w:rsidR="00CB65CD">
        <w:rPr>
          <w:rFonts w:cs="Arial"/>
          <w:color w:val="000000"/>
          <w:sz w:val="24"/>
          <w:szCs w:val="24"/>
        </w:rPr>
        <w:t>4</w:t>
      </w:r>
      <w:r w:rsidR="00532583">
        <w:rPr>
          <w:rFonts w:cs="Arial"/>
          <w:color w:val="000000"/>
          <w:sz w:val="24"/>
          <w:szCs w:val="24"/>
        </w:rPr>
        <w:t>)</w:t>
      </w:r>
      <w:r w:rsidR="00843E20" w:rsidRPr="00C97C77">
        <w:rPr>
          <w:rFonts w:cs="Arial"/>
          <w:color w:val="000000"/>
          <w:sz w:val="24"/>
          <w:szCs w:val="24"/>
        </w:rPr>
        <w:t xml:space="preserve">. Australia mined and </w:t>
      </w:r>
      <w:r w:rsidR="002A3144">
        <w:rPr>
          <w:rFonts w:cs="Arial"/>
          <w:color w:val="000000"/>
          <w:sz w:val="24"/>
          <w:szCs w:val="24"/>
        </w:rPr>
        <w:t>im</w:t>
      </w:r>
      <w:r w:rsidR="00843E20" w:rsidRPr="00C97C77">
        <w:rPr>
          <w:rFonts w:cs="Arial"/>
          <w:color w:val="000000"/>
          <w:sz w:val="24"/>
          <w:szCs w:val="24"/>
        </w:rPr>
        <w:t xml:space="preserve">ported asbestos, which was primarily used in the construction and transport industries because it was durable and resistant to fire and chemicals </w:t>
      </w:r>
      <w:r w:rsidR="00532583">
        <w:rPr>
          <w:rFonts w:cs="Arial"/>
          <w:color w:val="000000"/>
          <w:sz w:val="24"/>
          <w:szCs w:val="24"/>
        </w:rPr>
        <w:t>(1</w:t>
      </w:r>
      <w:r w:rsidR="00CB65CD">
        <w:rPr>
          <w:rFonts w:cs="Arial"/>
          <w:color w:val="000000"/>
          <w:sz w:val="24"/>
          <w:szCs w:val="24"/>
        </w:rPr>
        <w:t>5</w:t>
      </w:r>
      <w:r w:rsidR="00532583">
        <w:rPr>
          <w:rFonts w:cs="Arial"/>
          <w:color w:val="000000"/>
          <w:sz w:val="24"/>
          <w:szCs w:val="24"/>
        </w:rPr>
        <w:t>)</w:t>
      </w:r>
      <w:r w:rsidR="00843E20" w:rsidRPr="00C97C77">
        <w:rPr>
          <w:rFonts w:cs="Arial"/>
          <w:color w:val="000000"/>
          <w:sz w:val="24"/>
          <w:szCs w:val="24"/>
        </w:rPr>
        <w:t xml:space="preserve">. Asbestos-related regulatory controls </w:t>
      </w:r>
      <w:r w:rsidRPr="00C97C77">
        <w:rPr>
          <w:rFonts w:cs="Arial"/>
          <w:color w:val="000000"/>
          <w:sz w:val="24"/>
          <w:szCs w:val="24"/>
        </w:rPr>
        <w:t>were first introduced in Australia in the 19</w:t>
      </w:r>
      <w:r w:rsidR="003C1343">
        <w:rPr>
          <w:rFonts w:cs="Arial"/>
          <w:color w:val="000000"/>
          <w:sz w:val="24"/>
          <w:szCs w:val="24"/>
        </w:rPr>
        <w:t>6</w:t>
      </w:r>
      <w:r w:rsidRPr="00C97C77">
        <w:rPr>
          <w:rFonts w:cs="Arial"/>
          <w:color w:val="000000"/>
          <w:sz w:val="24"/>
          <w:szCs w:val="24"/>
        </w:rPr>
        <w:t xml:space="preserve">0s but </w:t>
      </w:r>
      <w:r w:rsidR="00843E20" w:rsidRPr="00C97C77">
        <w:rPr>
          <w:rFonts w:cs="Arial"/>
          <w:color w:val="000000"/>
          <w:sz w:val="24"/>
          <w:szCs w:val="24"/>
        </w:rPr>
        <w:t>have been significantly tightened over time</w:t>
      </w:r>
      <w:r w:rsidRPr="00C97C77">
        <w:rPr>
          <w:rFonts w:cs="Arial"/>
          <w:color w:val="000000"/>
          <w:sz w:val="24"/>
          <w:szCs w:val="24"/>
        </w:rPr>
        <w:t xml:space="preserve">. </w:t>
      </w:r>
      <w:r w:rsidRPr="00C97C77">
        <w:rPr>
          <w:rFonts w:cs="Arial"/>
          <w:color w:val="000000"/>
          <w:sz w:val="24"/>
          <w:szCs w:val="24"/>
        </w:rPr>
        <w:lastRenderedPageBreak/>
        <w:t>A</w:t>
      </w:r>
      <w:r w:rsidR="00843E20" w:rsidRPr="00C97C77">
        <w:rPr>
          <w:rFonts w:cs="Arial"/>
          <w:color w:val="000000"/>
          <w:sz w:val="24"/>
          <w:szCs w:val="24"/>
        </w:rPr>
        <w:t xml:space="preserve">sbestos-containing materials (ACMs) have been banned in Australia since December 2003, and it is now illegal to make, use or import it from another country. However, a large amount of asbestos still remains in older structures and products, potentially exposing workers and/or the public to asbestos if </w:t>
      </w:r>
      <w:r w:rsidR="0059011B">
        <w:rPr>
          <w:rFonts w:cs="Arial"/>
          <w:color w:val="000000"/>
          <w:sz w:val="24"/>
          <w:szCs w:val="24"/>
        </w:rPr>
        <w:t>ACMs are disturbed without appropriate control measures.</w:t>
      </w:r>
      <w:r w:rsidR="00843E20" w:rsidRPr="00C97C77">
        <w:rPr>
          <w:rFonts w:cs="Arial"/>
          <w:color w:val="000000"/>
          <w:sz w:val="24"/>
          <w:szCs w:val="24"/>
        </w:rPr>
        <w:t xml:space="preserve"> </w:t>
      </w:r>
      <w:r w:rsidR="00A44887">
        <w:rPr>
          <w:rFonts w:cs="Arial"/>
          <w:color w:val="000000"/>
          <w:sz w:val="24"/>
          <w:szCs w:val="24"/>
        </w:rPr>
        <w:t>Exposur</w:t>
      </w:r>
      <w:r w:rsidR="0059011B">
        <w:rPr>
          <w:rFonts w:cs="Arial"/>
          <w:color w:val="000000"/>
          <w:sz w:val="24"/>
          <w:szCs w:val="24"/>
        </w:rPr>
        <w:t>e</w:t>
      </w:r>
      <w:r w:rsidR="00A44887">
        <w:rPr>
          <w:rFonts w:cs="Arial"/>
          <w:color w:val="000000"/>
          <w:sz w:val="24"/>
          <w:szCs w:val="24"/>
        </w:rPr>
        <w:t xml:space="preserve"> to asbes</w:t>
      </w:r>
      <w:r w:rsidR="00967901">
        <w:rPr>
          <w:rFonts w:cs="Arial"/>
          <w:color w:val="000000"/>
          <w:sz w:val="24"/>
          <w:szCs w:val="24"/>
        </w:rPr>
        <w:t>to</w:t>
      </w:r>
      <w:r w:rsidR="00A44887">
        <w:rPr>
          <w:rFonts w:cs="Arial"/>
          <w:color w:val="000000"/>
          <w:sz w:val="24"/>
          <w:szCs w:val="24"/>
        </w:rPr>
        <w:t>s can also occur</w:t>
      </w:r>
      <w:r w:rsidRPr="00C97C77">
        <w:rPr>
          <w:rFonts w:cs="Arial"/>
          <w:color w:val="000000"/>
          <w:sz w:val="24"/>
          <w:szCs w:val="24"/>
        </w:rPr>
        <w:t xml:space="preserve"> when </w:t>
      </w:r>
      <w:r w:rsidR="00EF6B92">
        <w:rPr>
          <w:rFonts w:cs="Arial"/>
          <w:color w:val="000000"/>
          <w:sz w:val="24"/>
          <w:szCs w:val="24"/>
        </w:rPr>
        <w:t>naturally</w:t>
      </w:r>
      <w:r w:rsidR="00967901">
        <w:rPr>
          <w:rFonts w:cs="Arial"/>
          <w:color w:val="000000"/>
          <w:sz w:val="24"/>
          <w:szCs w:val="24"/>
        </w:rPr>
        <w:t xml:space="preserve"> occurring geological occurrences of asbest</w:t>
      </w:r>
      <w:r w:rsidR="0059011B">
        <w:rPr>
          <w:rFonts w:cs="Arial"/>
          <w:color w:val="000000"/>
          <w:sz w:val="24"/>
          <w:szCs w:val="24"/>
        </w:rPr>
        <w:t>iform minerals</w:t>
      </w:r>
      <w:r w:rsidR="008228D4">
        <w:rPr>
          <w:rFonts w:cs="Arial"/>
          <w:color w:val="000000"/>
          <w:sz w:val="24"/>
          <w:szCs w:val="24"/>
        </w:rPr>
        <w:t xml:space="preserve"> </w:t>
      </w:r>
      <w:r w:rsidRPr="00C97C77">
        <w:rPr>
          <w:rFonts w:cs="Arial"/>
          <w:color w:val="000000"/>
          <w:sz w:val="24"/>
          <w:szCs w:val="24"/>
        </w:rPr>
        <w:t xml:space="preserve">are disturbed by </w:t>
      </w:r>
      <w:r w:rsidR="002A3144">
        <w:rPr>
          <w:rFonts w:cs="Arial"/>
          <w:color w:val="000000"/>
          <w:sz w:val="24"/>
          <w:szCs w:val="24"/>
        </w:rPr>
        <w:t xml:space="preserve">building and </w:t>
      </w:r>
      <w:r w:rsidRPr="00C97C77">
        <w:rPr>
          <w:rFonts w:cs="Arial"/>
          <w:color w:val="000000"/>
          <w:sz w:val="24"/>
          <w:szCs w:val="24"/>
        </w:rPr>
        <w:t>development</w:t>
      </w:r>
      <w:r w:rsidR="002F20D7">
        <w:rPr>
          <w:rFonts w:cs="Arial"/>
          <w:color w:val="000000"/>
          <w:sz w:val="24"/>
          <w:szCs w:val="24"/>
        </w:rPr>
        <w:t xml:space="preserve"> works</w:t>
      </w:r>
      <w:r w:rsidR="00733178">
        <w:rPr>
          <w:rFonts w:cs="Arial"/>
          <w:color w:val="000000"/>
          <w:sz w:val="24"/>
          <w:szCs w:val="24"/>
        </w:rPr>
        <w:t xml:space="preserve"> (7)</w:t>
      </w:r>
      <w:r w:rsidRPr="00C97C77">
        <w:rPr>
          <w:rFonts w:cs="Arial"/>
          <w:color w:val="000000"/>
          <w:sz w:val="24"/>
          <w:szCs w:val="24"/>
        </w:rPr>
        <w:t>.</w:t>
      </w:r>
    </w:p>
    <w:p w14:paraId="053BDA88" w14:textId="77777777" w:rsidR="00F2714F" w:rsidRPr="00C97C77" w:rsidRDefault="00F2714F" w:rsidP="004F0918">
      <w:pPr>
        <w:pStyle w:val="AIHWbodytext"/>
        <w:spacing w:line="480" w:lineRule="auto"/>
        <w:jc w:val="both"/>
        <w:rPr>
          <w:rFonts w:cs="Arial"/>
          <w:color w:val="000000"/>
          <w:sz w:val="24"/>
          <w:szCs w:val="24"/>
        </w:rPr>
      </w:pPr>
    </w:p>
    <w:p w14:paraId="0605F3DA" w14:textId="5C3279B3" w:rsidR="00566E83" w:rsidRPr="00C97C77" w:rsidRDefault="00202719" w:rsidP="006D663C">
      <w:pPr>
        <w:pStyle w:val="AIHWbodytext"/>
        <w:spacing w:line="480" w:lineRule="auto"/>
        <w:jc w:val="both"/>
        <w:rPr>
          <w:rFonts w:cs="Arial"/>
          <w:sz w:val="24"/>
          <w:szCs w:val="24"/>
        </w:rPr>
      </w:pPr>
      <w:bookmarkStart w:id="0" w:name="_Hlk121238295"/>
      <w:r>
        <w:rPr>
          <w:rFonts w:cs="Arial"/>
          <w:color w:val="000000"/>
          <w:sz w:val="24"/>
          <w:szCs w:val="24"/>
        </w:rPr>
        <w:t>T</w:t>
      </w:r>
      <w:r w:rsidR="005E6368" w:rsidRPr="00C97C77">
        <w:rPr>
          <w:rFonts w:cs="Arial"/>
          <w:color w:val="000000"/>
          <w:sz w:val="24"/>
          <w:szCs w:val="24"/>
        </w:rPr>
        <w:t>he</w:t>
      </w:r>
      <w:r w:rsidR="005E6368" w:rsidRPr="00C97C77">
        <w:rPr>
          <w:rFonts w:cs="Arial"/>
          <w:sz w:val="24"/>
          <w:szCs w:val="24"/>
        </w:rPr>
        <w:t xml:space="preserve"> Australian Mesothelioma Registry</w:t>
      </w:r>
      <w:r w:rsidR="005E6368" w:rsidRPr="00C97C77">
        <w:rPr>
          <w:rFonts w:cs="Arial"/>
          <w:color w:val="000000"/>
          <w:sz w:val="24"/>
          <w:szCs w:val="24"/>
        </w:rPr>
        <w:t xml:space="preserve"> (AMR) </w:t>
      </w:r>
      <w:r w:rsidR="006D663C" w:rsidRPr="00C97C77">
        <w:rPr>
          <w:rFonts w:cs="Arial"/>
          <w:color w:val="000000"/>
          <w:sz w:val="24"/>
          <w:szCs w:val="24"/>
        </w:rPr>
        <w:t>was set up in 201</w:t>
      </w:r>
      <w:r w:rsidR="008D1F0B" w:rsidRPr="00C97C77">
        <w:rPr>
          <w:rFonts w:cs="Arial"/>
          <w:color w:val="000000"/>
          <w:sz w:val="24"/>
          <w:szCs w:val="24"/>
        </w:rPr>
        <w:t>1, funded by Safe Work Australia,</w:t>
      </w:r>
      <w:r w:rsidR="006D663C" w:rsidRPr="00C97C77">
        <w:rPr>
          <w:rFonts w:cs="Arial"/>
          <w:color w:val="000000"/>
          <w:sz w:val="24"/>
          <w:szCs w:val="24"/>
        </w:rPr>
        <w:t xml:space="preserve"> with specific objectives to: </w:t>
      </w:r>
      <w:bookmarkStart w:id="1" w:name="_Hlk121238395"/>
      <w:r w:rsidR="006D663C" w:rsidRPr="00C97C77">
        <w:rPr>
          <w:rFonts w:cs="Arial"/>
          <w:color w:val="000000"/>
          <w:sz w:val="24"/>
          <w:szCs w:val="24"/>
        </w:rPr>
        <w:t xml:space="preserve">(1) </w:t>
      </w:r>
      <w:r w:rsidR="00566E83" w:rsidRPr="00C97C77">
        <w:rPr>
          <w:rFonts w:cs="Arial"/>
          <w:sz w:val="24"/>
          <w:szCs w:val="24"/>
        </w:rPr>
        <w:t xml:space="preserve">accurately measure the incidence of mesothelioma in </w:t>
      </w:r>
      <w:r w:rsidR="00D51DF4">
        <w:rPr>
          <w:rFonts w:cs="Arial"/>
          <w:sz w:val="24"/>
          <w:szCs w:val="24"/>
        </w:rPr>
        <w:t xml:space="preserve">the </w:t>
      </w:r>
      <w:r w:rsidR="00566E83" w:rsidRPr="00C97C77">
        <w:rPr>
          <w:rFonts w:cs="Arial"/>
          <w:sz w:val="24"/>
          <w:szCs w:val="24"/>
        </w:rPr>
        <w:t>Australia</w:t>
      </w:r>
      <w:r w:rsidR="00D51DF4">
        <w:rPr>
          <w:rFonts w:cs="Arial"/>
          <w:sz w:val="24"/>
          <w:szCs w:val="24"/>
        </w:rPr>
        <w:t>n population (total population 25.7 million)</w:t>
      </w:r>
      <w:r w:rsidR="00566E83" w:rsidRPr="00C97C77">
        <w:rPr>
          <w:rFonts w:cs="Arial"/>
          <w:sz w:val="24"/>
          <w:szCs w:val="24"/>
        </w:rPr>
        <w:t xml:space="preserve"> for the purposes of monitoring changes and identifying groups most at risk</w:t>
      </w:r>
      <w:r w:rsidR="006D663C" w:rsidRPr="00C97C77">
        <w:rPr>
          <w:rFonts w:cs="Arial"/>
          <w:sz w:val="24"/>
          <w:szCs w:val="24"/>
        </w:rPr>
        <w:t xml:space="preserve">; </w:t>
      </w:r>
      <w:bookmarkEnd w:id="0"/>
      <w:bookmarkEnd w:id="1"/>
      <w:r w:rsidR="006D663C" w:rsidRPr="00C97C77">
        <w:rPr>
          <w:rFonts w:cs="Arial"/>
          <w:sz w:val="24"/>
          <w:szCs w:val="24"/>
        </w:rPr>
        <w:t xml:space="preserve">(2) </w:t>
      </w:r>
      <w:r w:rsidR="00EA5B6A" w:rsidRPr="00C97C77">
        <w:rPr>
          <w:rFonts w:cs="Arial"/>
          <w:sz w:val="24"/>
          <w:szCs w:val="24"/>
        </w:rPr>
        <w:t xml:space="preserve">enable </w:t>
      </w:r>
      <w:r w:rsidR="00566E83" w:rsidRPr="00C97C77">
        <w:rPr>
          <w:rFonts w:cs="Arial"/>
          <w:sz w:val="24"/>
          <w:szCs w:val="24"/>
        </w:rPr>
        <w:t>periodic assessment of mesothelioma survival to ascertain whether changes in care are resulting in measurable improvements in survival</w:t>
      </w:r>
      <w:r w:rsidR="006D663C" w:rsidRPr="00C97C77">
        <w:rPr>
          <w:rFonts w:cs="Arial"/>
          <w:sz w:val="24"/>
          <w:szCs w:val="24"/>
        </w:rPr>
        <w:t xml:space="preserve">; (3) </w:t>
      </w:r>
      <w:r w:rsidR="00566E83" w:rsidRPr="00C97C77">
        <w:rPr>
          <w:rFonts w:cs="Arial"/>
          <w:sz w:val="24"/>
          <w:szCs w:val="24"/>
        </w:rPr>
        <w:t xml:space="preserve">document the asbestos </w:t>
      </w:r>
      <w:r w:rsidR="006D663C" w:rsidRPr="00C97C77">
        <w:rPr>
          <w:rFonts w:cs="Arial"/>
          <w:sz w:val="24"/>
          <w:szCs w:val="24"/>
        </w:rPr>
        <w:t>and/</w:t>
      </w:r>
      <w:r w:rsidR="00566E83" w:rsidRPr="00C97C77">
        <w:rPr>
          <w:rFonts w:cs="Arial"/>
          <w:sz w:val="24"/>
          <w:szCs w:val="24"/>
        </w:rPr>
        <w:t>or other exposure</w:t>
      </w:r>
      <w:r w:rsidR="006D663C" w:rsidRPr="00C97C77">
        <w:rPr>
          <w:rFonts w:cs="Arial"/>
          <w:sz w:val="24"/>
          <w:szCs w:val="24"/>
        </w:rPr>
        <w:t>(s) amongst</w:t>
      </w:r>
      <w:r w:rsidR="00566E83" w:rsidRPr="00C97C77">
        <w:rPr>
          <w:rFonts w:cs="Arial"/>
          <w:sz w:val="24"/>
          <w:szCs w:val="24"/>
        </w:rPr>
        <w:t xml:space="preserve"> people newly diagnosed with mesothelioma as a form of surveillance for new or </w:t>
      </w:r>
      <w:r w:rsidR="0059011B">
        <w:rPr>
          <w:rFonts w:cs="Arial"/>
          <w:sz w:val="24"/>
          <w:szCs w:val="24"/>
        </w:rPr>
        <w:t>changing</w:t>
      </w:r>
      <w:r w:rsidR="0059011B" w:rsidRPr="00C97C77">
        <w:rPr>
          <w:rFonts w:cs="Arial"/>
          <w:sz w:val="24"/>
          <w:szCs w:val="24"/>
        </w:rPr>
        <w:t xml:space="preserve"> </w:t>
      </w:r>
      <w:r w:rsidR="00566E83" w:rsidRPr="00C97C77">
        <w:rPr>
          <w:rFonts w:cs="Arial"/>
          <w:sz w:val="24"/>
          <w:szCs w:val="24"/>
        </w:rPr>
        <w:t>sources of exposure to asbestos</w:t>
      </w:r>
      <w:r w:rsidR="006D663C" w:rsidRPr="00C97C77">
        <w:rPr>
          <w:rFonts w:cs="Arial"/>
          <w:sz w:val="24"/>
          <w:szCs w:val="24"/>
        </w:rPr>
        <w:t xml:space="preserve">; (4) </w:t>
      </w:r>
      <w:r w:rsidR="00566E83" w:rsidRPr="00C97C77">
        <w:rPr>
          <w:rFonts w:cs="Arial"/>
          <w:sz w:val="24"/>
          <w:szCs w:val="24"/>
        </w:rPr>
        <w:t>provide a resource for research into the causes and control of mesothelioma</w:t>
      </w:r>
      <w:r w:rsidR="006D663C" w:rsidRPr="00C97C77">
        <w:rPr>
          <w:rFonts w:cs="Arial"/>
          <w:sz w:val="24"/>
          <w:szCs w:val="24"/>
        </w:rPr>
        <w:t xml:space="preserve">; and (5) to </w:t>
      </w:r>
      <w:r w:rsidR="00566E83" w:rsidRPr="00C97C77">
        <w:rPr>
          <w:rFonts w:cs="Arial"/>
          <w:sz w:val="24"/>
          <w:szCs w:val="24"/>
        </w:rPr>
        <w:t xml:space="preserve">inform the development of policies to best deal with asbestos </w:t>
      </w:r>
      <w:r w:rsidR="006D663C" w:rsidRPr="00C97C77">
        <w:rPr>
          <w:rFonts w:cs="Arial"/>
          <w:sz w:val="24"/>
          <w:szCs w:val="24"/>
        </w:rPr>
        <w:t xml:space="preserve">remaining in the environment. </w:t>
      </w:r>
      <w:r w:rsidR="00911E5F">
        <w:rPr>
          <w:rFonts w:cs="Arial"/>
          <w:sz w:val="24"/>
          <w:szCs w:val="24"/>
        </w:rPr>
        <w:t xml:space="preserve">The AMR </w:t>
      </w:r>
      <w:r w:rsidR="002504A3">
        <w:rPr>
          <w:rFonts w:cs="Arial"/>
          <w:sz w:val="24"/>
          <w:szCs w:val="24"/>
        </w:rPr>
        <w:t>builds</w:t>
      </w:r>
      <w:r w:rsidR="0058142B">
        <w:rPr>
          <w:rFonts w:cs="Arial"/>
          <w:sz w:val="24"/>
          <w:szCs w:val="24"/>
        </w:rPr>
        <w:t xml:space="preserve"> on the foundation of earlier </w:t>
      </w:r>
      <w:r w:rsidR="00194BB6">
        <w:rPr>
          <w:rFonts w:cs="Arial"/>
          <w:sz w:val="24"/>
          <w:szCs w:val="24"/>
        </w:rPr>
        <w:t xml:space="preserve">attempts to collect detailed information on all mesothelioma cases in Australia – the Australian Mesothelioma Program, which ran from 1979 to 1985, and the Australian Mesothelioma Register, which ran from 1986 until </w:t>
      </w:r>
      <w:r w:rsidR="0019252F">
        <w:rPr>
          <w:rFonts w:cs="Arial"/>
          <w:sz w:val="24"/>
          <w:szCs w:val="24"/>
        </w:rPr>
        <w:t xml:space="preserve">the </w:t>
      </w:r>
      <w:r w:rsidR="00EF6B92">
        <w:rPr>
          <w:rFonts w:cs="Arial"/>
          <w:sz w:val="24"/>
          <w:szCs w:val="24"/>
        </w:rPr>
        <w:t>mid-2000s</w:t>
      </w:r>
      <w:r w:rsidR="006B5097">
        <w:rPr>
          <w:rFonts w:cs="Arial"/>
          <w:sz w:val="24"/>
          <w:szCs w:val="24"/>
        </w:rPr>
        <w:t xml:space="preserve"> (</w:t>
      </w:r>
      <w:r w:rsidR="00532583">
        <w:rPr>
          <w:rFonts w:cs="Arial"/>
          <w:sz w:val="24"/>
          <w:szCs w:val="24"/>
        </w:rPr>
        <w:t>1</w:t>
      </w:r>
      <w:r w:rsidR="00CB65CD">
        <w:rPr>
          <w:rFonts w:cs="Arial"/>
          <w:sz w:val="24"/>
          <w:szCs w:val="24"/>
        </w:rPr>
        <w:t>6</w:t>
      </w:r>
      <w:r w:rsidR="00532583">
        <w:rPr>
          <w:rFonts w:cs="Arial"/>
          <w:sz w:val="24"/>
          <w:szCs w:val="24"/>
        </w:rPr>
        <w:t>,1</w:t>
      </w:r>
      <w:r w:rsidR="00CB65CD">
        <w:rPr>
          <w:rFonts w:cs="Arial"/>
          <w:sz w:val="24"/>
          <w:szCs w:val="24"/>
        </w:rPr>
        <w:t>7</w:t>
      </w:r>
      <w:r w:rsidR="006B5097">
        <w:rPr>
          <w:rFonts w:cs="Arial"/>
          <w:sz w:val="24"/>
          <w:szCs w:val="24"/>
        </w:rPr>
        <w:t>).</w:t>
      </w:r>
    </w:p>
    <w:p w14:paraId="00294724" w14:textId="4A9AE367" w:rsidR="006D663C" w:rsidRPr="00C97C77" w:rsidRDefault="006D663C" w:rsidP="006D663C">
      <w:pPr>
        <w:pStyle w:val="AIHWbodytext"/>
        <w:spacing w:line="480" w:lineRule="auto"/>
        <w:jc w:val="both"/>
        <w:rPr>
          <w:rFonts w:cs="Arial"/>
          <w:sz w:val="24"/>
          <w:szCs w:val="24"/>
        </w:rPr>
      </w:pPr>
    </w:p>
    <w:p w14:paraId="3312D085" w14:textId="52EB8803" w:rsidR="006D663C" w:rsidRPr="00C97C77" w:rsidRDefault="006D663C" w:rsidP="006D663C">
      <w:pPr>
        <w:pStyle w:val="AIHWbodytext"/>
        <w:spacing w:line="480" w:lineRule="auto"/>
        <w:jc w:val="both"/>
        <w:rPr>
          <w:rFonts w:cs="Arial"/>
          <w:sz w:val="24"/>
          <w:szCs w:val="24"/>
        </w:rPr>
      </w:pPr>
      <w:r w:rsidRPr="009133FA">
        <w:rPr>
          <w:rFonts w:cs="Arial"/>
          <w:sz w:val="24"/>
          <w:szCs w:val="24"/>
        </w:rPr>
        <w:lastRenderedPageBreak/>
        <w:t xml:space="preserve">This paper describes the </w:t>
      </w:r>
      <w:r w:rsidR="008D1F0B" w:rsidRPr="009133FA">
        <w:rPr>
          <w:rFonts w:cs="Arial"/>
          <w:sz w:val="24"/>
          <w:szCs w:val="24"/>
        </w:rPr>
        <w:t>AMR</w:t>
      </w:r>
      <w:r w:rsidRPr="009133FA">
        <w:rPr>
          <w:rFonts w:cs="Arial"/>
          <w:sz w:val="24"/>
          <w:szCs w:val="24"/>
        </w:rPr>
        <w:t xml:space="preserve"> methodology and provides information about the </w:t>
      </w:r>
      <w:r w:rsidR="008228D4">
        <w:rPr>
          <w:rFonts w:cs="Arial"/>
          <w:sz w:val="24"/>
          <w:szCs w:val="24"/>
        </w:rPr>
        <w:t xml:space="preserve">age-standardised </w:t>
      </w:r>
      <w:r w:rsidRPr="009133FA">
        <w:rPr>
          <w:rFonts w:cs="Arial"/>
          <w:sz w:val="24"/>
          <w:szCs w:val="24"/>
        </w:rPr>
        <w:t xml:space="preserve">incidence </w:t>
      </w:r>
      <w:r w:rsidR="008228D4">
        <w:rPr>
          <w:rFonts w:cs="Arial"/>
          <w:sz w:val="24"/>
          <w:szCs w:val="24"/>
        </w:rPr>
        <w:t>rates for</w:t>
      </w:r>
      <w:r w:rsidRPr="009133FA">
        <w:rPr>
          <w:rFonts w:cs="Arial"/>
          <w:sz w:val="24"/>
          <w:szCs w:val="24"/>
        </w:rPr>
        <w:t xml:space="preserve"> mesothelioma 1982-</w:t>
      </w:r>
      <w:r w:rsidR="009133FA">
        <w:rPr>
          <w:rFonts w:cs="Arial"/>
          <w:sz w:val="24"/>
          <w:szCs w:val="24"/>
        </w:rPr>
        <w:t>202</w:t>
      </w:r>
      <w:r w:rsidR="008228D4">
        <w:rPr>
          <w:rFonts w:cs="Arial"/>
          <w:sz w:val="24"/>
          <w:szCs w:val="24"/>
        </w:rPr>
        <w:t>0</w:t>
      </w:r>
      <w:r w:rsidRPr="009133FA">
        <w:rPr>
          <w:rFonts w:cs="Arial"/>
          <w:sz w:val="24"/>
          <w:szCs w:val="24"/>
        </w:rPr>
        <w:t xml:space="preserve">, </w:t>
      </w:r>
      <w:r w:rsidR="008228D4">
        <w:rPr>
          <w:rFonts w:cs="Arial"/>
          <w:sz w:val="24"/>
          <w:szCs w:val="24"/>
        </w:rPr>
        <w:t xml:space="preserve">and age-standardised </w:t>
      </w:r>
      <w:r w:rsidRPr="009133FA">
        <w:rPr>
          <w:rFonts w:cs="Arial"/>
          <w:sz w:val="24"/>
          <w:szCs w:val="24"/>
        </w:rPr>
        <w:t>mortality rates 1997-</w:t>
      </w:r>
      <w:r w:rsidR="009133FA">
        <w:rPr>
          <w:rFonts w:cs="Arial"/>
          <w:sz w:val="24"/>
          <w:szCs w:val="24"/>
        </w:rPr>
        <w:t>2021</w:t>
      </w:r>
      <w:r w:rsidR="009133FA" w:rsidRPr="009133FA">
        <w:rPr>
          <w:rFonts w:cs="Arial"/>
          <w:sz w:val="24"/>
          <w:szCs w:val="24"/>
        </w:rPr>
        <w:t xml:space="preserve"> </w:t>
      </w:r>
      <w:r w:rsidRPr="009133FA">
        <w:rPr>
          <w:rFonts w:cs="Arial"/>
          <w:sz w:val="24"/>
          <w:szCs w:val="24"/>
        </w:rPr>
        <w:t xml:space="preserve">and </w:t>
      </w:r>
      <w:r w:rsidR="000F1CD1" w:rsidRPr="009133FA">
        <w:rPr>
          <w:rFonts w:cs="Arial"/>
          <w:sz w:val="24"/>
          <w:szCs w:val="24"/>
        </w:rPr>
        <w:t>occupational</w:t>
      </w:r>
      <w:r w:rsidR="00710F8E" w:rsidRPr="009133FA">
        <w:rPr>
          <w:rFonts w:cs="Arial"/>
          <w:sz w:val="24"/>
          <w:szCs w:val="24"/>
        </w:rPr>
        <w:t xml:space="preserve"> and non-</w:t>
      </w:r>
      <w:r w:rsidR="000F1CD1" w:rsidRPr="009133FA">
        <w:rPr>
          <w:rFonts w:cs="Arial"/>
          <w:sz w:val="24"/>
          <w:szCs w:val="24"/>
        </w:rPr>
        <w:t>occupational</w:t>
      </w:r>
      <w:r w:rsidR="00710F8E" w:rsidRPr="009133FA">
        <w:rPr>
          <w:rFonts w:cs="Arial"/>
          <w:sz w:val="24"/>
          <w:szCs w:val="24"/>
        </w:rPr>
        <w:t xml:space="preserve"> </w:t>
      </w:r>
      <w:r w:rsidRPr="009133FA">
        <w:rPr>
          <w:rFonts w:cs="Arial"/>
          <w:sz w:val="24"/>
          <w:szCs w:val="24"/>
        </w:rPr>
        <w:t xml:space="preserve">asbestos exposure </w:t>
      </w:r>
      <w:r w:rsidR="008D1F0B" w:rsidRPr="009133FA">
        <w:rPr>
          <w:rFonts w:cs="Arial"/>
          <w:sz w:val="24"/>
          <w:szCs w:val="24"/>
        </w:rPr>
        <w:t>amongst those diagnosed with mesothelioma 2010-</w:t>
      </w:r>
      <w:r w:rsidR="009133FA">
        <w:rPr>
          <w:rFonts w:cs="Arial"/>
          <w:sz w:val="24"/>
          <w:szCs w:val="24"/>
        </w:rPr>
        <w:t>2021</w:t>
      </w:r>
      <w:r w:rsidR="008D1F0B" w:rsidRPr="009133FA">
        <w:rPr>
          <w:rFonts w:cs="Arial"/>
          <w:sz w:val="24"/>
          <w:szCs w:val="24"/>
        </w:rPr>
        <w:t>.</w:t>
      </w:r>
    </w:p>
    <w:p w14:paraId="5B24883F" w14:textId="77777777" w:rsidR="006D663C" w:rsidRPr="00C97C77" w:rsidRDefault="006D663C" w:rsidP="006D663C">
      <w:pPr>
        <w:pStyle w:val="AIHWbodytext"/>
        <w:spacing w:line="480" w:lineRule="auto"/>
        <w:jc w:val="both"/>
        <w:rPr>
          <w:rFonts w:cs="Arial"/>
          <w:sz w:val="24"/>
          <w:szCs w:val="24"/>
        </w:rPr>
      </w:pPr>
    </w:p>
    <w:p w14:paraId="26276563" w14:textId="482DF3C1" w:rsidR="0032129A" w:rsidRPr="00C97C77" w:rsidRDefault="006D663C" w:rsidP="00A27D09">
      <w:pPr>
        <w:pStyle w:val="Heading3"/>
        <w:rPr>
          <w:rFonts w:cs="Arial"/>
          <w:sz w:val="24"/>
          <w:szCs w:val="24"/>
        </w:rPr>
      </w:pPr>
      <w:r w:rsidRPr="00C97C77">
        <w:rPr>
          <w:rFonts w:cs="Arial"/>
          <w:sz w:val="24"/>
          <w:szCs w:val="24"/>
        </w:rPr>
        <w:t>Methods</w:t>
      </w:r>
    </w:p>
    <w:p w14:paraId="25ED0529" w14:textId="77777777" w:rsidR="008D1F0B" w:rsidRPr="00C97C77" w:rsidRDefault="008D1F0B" w:rsidP="008D1F0B">
      <w:pPr>
        <w:pStyle w:val="AIHWbodytext"/>
        <w:rPr>
          <w:rFonts w:cs="Arial"/>
          <w:sz w:val="24"/>
          <w:szCs w:val="24"/>
        </w:rPr>
      </w:pPr>
    </w:p>
    <w:p w14:paraId="5E4D04B7" w14:textId="0B5A6913" w:rsidR="00AF465D" w:rsidRDefault="00AF465D" w:rsidP="00AF465D">
      <w:pPr>
        <w:pStyle w:val="AIHWbodytext"/>
        <w:spacing w:line="480" w:lineRule="auto"/>
        <w:jc w:val="both"/>
        <w:rPr>
          <w:rFonts w:cs="Arial"/>
          <w:sz w:val="24"/>
          <w:szCs w:val="24"/>
        </w:rPr>
      </w:pPr>
      <w:r>
        <w:rPr>
          <w:rFonts w:cs="Arial"/>
          <w:sz w:val="24"/>
          <w:szCs w:val="24"/>
        </w:rPr>
        <w:t xml:space="preserve">The AMR was established in 2011 by SafeWork Australia, managed initially by Cancer Institute New South Wales and subsequently by the Australian Institute of Health and Welfare (AIHW) since 2017. In Australia, all cases of cancer are notifiable (with the exception of </w:t>
      </w:r>
      <w:r w:rsidR="007A25A6">
        <w:rPr>
          <w:rFonts w:cs="Arial"/>
          <w:sz w:val="24"/>
          <w:szCs w:val="24"/>
        </w:rPr>
        <w:t xml:space="preserve">common </w:t>
      </w:r>
      <w:r>
        <w:rPr>
          <w:rFonts w:cs="Arial"/>
          <w:sz w:val="24"/>
          <w:szCs w:val="24"/>
        </w:rPr>
        <w:t>non-melanoma skin cancer</w:t>
      </w:r>
      <w:r w:rsidR="007A25A6">
        <w:rPr>
          <w:rFonts w:cs="Arial"/>
          <w:sz w:val="24"/>
          <w:szCs w:val="24"/>
        </w:rPr>
        <w:t>s</w:t>
      </w:r>
      <w:r>
        <w:rPr>
          <w:rFonts w:cs="Arial"/>
          <w:sz w:val="24"/>
          <w:szCs w:val="24"/>
        </w:rPr>
        <w:t xml:space="preserve">) and </w:t>
      </w:r>
      <w:r w:rsidR="007A25A6">
        <w:rPr>
          <w:rFonts w:cs="Arial"/>
          <w:sz w:val="24"/>
          <w:szCs w:val="24"/>
        </w:rPr>
        <w:t xml:space="preserve">data on these cancers </w:t>
      </w:r>
      <w:r>
        <w:rPr>
          <w:rFonts w:cs="Arial"/>
          <w:sz w:val="24"/>
          <w:szCs w:val="24"/>
        </w:rPr>
        <w:t xml:space="preserve">are </w:t>
      </w:r>
      <w:r w:rsidR="007A25A6">
        <w:rPr>
          <w:rFonts w:cs="Arial"/>
          <w:sz w:val="24"/>
          <w:szCs w:val="24"/>
        </w:rPr>
        <w:t xml:space="preserve">provided annually </w:t>
      </w:r>
      <w:r>
        <w:rPr>
          <w:rFonts w:cs="Arial"/>
          <w:sz w:val="24"/>
          <w:szCs w:val="24"/>
        </w:rPr>
        <w:t xml:space="preserve">by each state and territory </w:t>
      </w:r>
      <w:r w:rsidR="007A25A6">
        <w:rPr>
          <w:rFonts w:cs="Arial"/>
          <w:sz w:val="24"/>
          <w:szCs w:val="24"/>
        </w:rPr>
        <w:t>for inclusion in</w:t>
      </w:r>
      <w:r>
        <w:rPr>
          <w:rFonts w:cs="Arial"/>
          <w:sz w:val="24"/>
          <w:szCs w:val="24"/>
        </w:rPr>
        <w:t xml:space="preserve"> the Australian Cancer Database. All deaths are registered to the National Death Index and </w:t>
      </w:r>
      <w:r w:rsidR="007A25A6">
        <w:rPr>
          <w:rFonts w:cs="Arial"/>
          <w:sz w:val="24"/>
          <w:szCs w:val="24"/>
        </w:rPr>
        <w:t xml:space="preserve">the </w:t>
      </w:r>
      <w:r>
        <w:rPr>
          <w:rFonts w:cs="Arial"/>
          <w:sz w:val="24"/>
          <w:szCs w:val="24"/>
        </w:rPr>
        <w:t xml:space="preserve">AIHW holds both of these resources, providing complete national coverage of deaths and </w:t>
      </w:r>
      <w:r w:rsidR="007A25A6">
        <w:rPr>
          <w:rFonts w:cs="Arial"/>
          <w:sz w:val="24"/>
          <w:szCs w:val="24"/>
        </w:rPr>
        <w:t xml:space="preserve">notifiable </w:t>
      </w:r>
      <w:r>
        <w:rPr>
          <w:rFonts w:cs="Arial"/>
          <w:sz w:val="24"/>
          <w:szCs w:val="24"/>
        </w:rPr>
        <w:t xml:space="preserve">cancers since 1 January 1982. </w:t>
      </w:r>
    </w:p>
    <w:p w14:paraId="7AA69C14" w14:textId="77777777" w:rsidR="001D73E4" w:rsidRPr="00C97C77" w:rsidRDefault="001D73E4" w:rsidP="001D73E4">
      <w:pPr>
        <w:pStyle w:val="AIHWbodytext"/>
        <w:spacing w:line="480" w:lineRule="auto"/>
        <w:jc w:val="both"/>
        <w:rPr>
          <w:rFonts w:cs="Arial"/>
          <w:sz w:val="24"/>
          <w:szCs w:val="24"/>
        </w:rPr>
      </w:pPr>
    </w:p>
    <w:p w14:paraId="09EB887B" w14:textId="05A4BBED" w:rsidR="0032129A" w:rsidRPr="00C97C77" w:rsidRDefault="001D73E4" w:rsidP="001D73E4">
      <w:pPr>
        <w:pStyle w:val="AIHWbodytext"/>
        <w:spacing w:line="480" w:lineRule="auto"/>
        <w:jc w:val="both"/>
        <w:rPr>
          <w:rFonts w:cs="Arial"/>
          <w:sz w:val="24"/>
          <w:szCs w:val="24"/>
        </w:rPr>
      </w:pPr>
      <w:r w:rsidRPr="00C97C77">
        <w:rPr>
          <w:rFonts w:cs="Arial"/>
          <w:sz w:val="24"/>
          <w:szCs w:val="24"/>
        </w:rPr>
        <w:t>For the AMR, all jurisdictions</w:t>
      </w:r>
      <w:r w:rsidR="008D1F0B" w:rsidRPr="00C97C77">
        <w:rPr>
          <w:rFonts w:cs="Arial"/>
          <w:sz w:val="24"/>
          <w:szCs w:val="24"/>
        </w:rPr>
        <w:t xml:space="preserve"> </w:t>
      </w:r>
      <w:r w:rsidR="00710F8E" w:rsidRPr="00C97C77">
        <w:rPr>
          <w:rFonts w:cs="Arial"/>
          <w:sz w:val="24"/>
          <w:szCs w:val="24"/>
        </w:rPr>
        <w:t xml:space="preserve">fast-track </w:t>
      </w:r>
      <w:r w:rsidRPr="00C97C77">
        <w:rPr>
          <w:rFonts w:cs="Arial"/>
          <w:sz w:val="24"/>
          <w:szCs w:val="24"/>
        </w:rPr>
        <w:t xml:space="preserve">all new cases of mesothelioma, </w:t>
      </w:r>
      <w:r w:rsidR="0032129A" w:rsidRPr="00C97C77">
        <w:rPr>
          <w:rFonts w:cs="Arial"/>
          <w:sz w:val="24"/>
          <w:szCs w:val="24"/>
        </w:rPr>
        <w:t>process</w:t>
      </w:r>
      <w:r w:rsidRPr="00C97C77">
        <w:rPr>
          <w:rFonts w:cs="Arial"/>
          <w:sz w:val="24"/>
          <w:szCs w:val="24"/>
        </w:rPr>
        <w:t>ing</w:t>
      </w:r>
      <w:r w:rsidR="0032129A" w:rsidRPr="00C97C77">
        <w:rPr>
          <w:rFonts w:cs="Arial"/>
          <w:sz w:val="24"/>
          <w:szCs w:val="24"/>
        </w:rPr>
        <w:t xml:space="preserve"> and cod</w:t>
      </w:r>
      <w:r w:rsidRPr="00C97C77">
        <w:rPr>
          <w:rFonts w:cs="Arial"/>
          <w:sz w:val="24"/>
          <w:szCs w:val="24"/>
        </w:rPr>
        <w:t>ing</w:t>
      </w:r>
      <w:r w:rsidR="0032129A" w:rsidRPr="00C97C77">
        <w:rPr>
          <w:rFonts w:cs="Arial"/>
          <w:sz w:val="24"/>
          <w:szCs w:val="24"/>
        </w:rPr>
        <w:t xml:space="preserve"> </w:t>
      </w:r>
      <w:r w:rsidRPr="00C97C77">
        <w:rPr>
          <w:rFonts w:cs="Arial"/>
          <w:sz w:val="24"/>
          <w:szCs w:val="24"/>
        </w:rPr>
        <w:t xml:space="preserve">them </w:t>
      </w:r>
      <w:r w:rsidR="0032129A" w:rsidRPr="00C97C77">
        <w:rPr>
          <w:rFonts w:cs="Arial"/>
          <w:sz w:val="24"/>
          <w:szCs w:val="24"/>
        </w:rPr>
        <w:t xml:space="preserve">as quickly as possible. Each jurisdiction provides case notifications to the AMR </w:t>
      </w:r>
      <w:r w:rsidRPr="00C97C77">
        <w:rPr>
          <w:rFonts w:cs="Arial"/>
          <w:sz w:val="24"/>
          <w:szCs w:val="24"/>
        </w:rPr>
        <w:t>regularly</w:t>
      </w:r>
      <w:r w:rsidR="0032129A" w:rsidRPr="00C97C77">
        <w:rPr>
          <w:rFonts w:cs="Arial"/>
          <w:sz w:val="24"/>
          <w:szCs w:val="24"/>
        </w:rPr>
        <w:t>, includ</w:t>
      </w:r>
      <w:r w:rsidRPr="00C97C77">
        <w:rPr>
          <w:rFonts w:cs="Arial"/>
          <w:sz w:val="24"/>
          <w:szCs w:val="24"/>
        </w:rPr>
        <w:t>ing</w:t>
      </w:r>
      <w:r w:rsidR="0032129A" w:rsidRPr="00C97C77">
        <w:rPr>
          <w:rFonts w:cs="Arial"/>
          <w:sz w:val="24"/>
          <w:szCs w:val="24"/>
        </w:rPr>
        <w:t xml:space="preserve"> patient demographics, diagnosis and death information. </w:t>
      </w:r>
      <w:bookmarkStart w:id="2" w:name="_Hlk121240172"/>
      <w:r w:rsidR="00DE7756">
        <w:rPr>
          <w:rFonts w:cs="Arial"/>
          <w:sz w:val="24"/>
          <w:szCs w:val="24"/>
        </w:rPr>
        <w:t>After notification of</w:t>
      </w:r>
      <w:r w:rsidR="00DE7756" w:rsidRPr="00C97C77">
        <w:rPr>
          <w:rFonts w:cs="Arial"/>
          <w:sz w:val="24"/>
          <w:szCs w:val="24"/>
        </w:rPr>
        <w:t xml:space="preserve"> </w:t>
      </w:r>
      <w:r w:rsidRPr="00C97C77">
        <w:rPr>
          <w:rFonts w:cs="Arial"/>
          <w:sz w:val="24"/>
          <w:szCs w:val="24"/>
        </w:rPr>
        <w:t xml:space="preserve">each new case, </w:t>
      </w:r>
      <w:r w:rsidR="00DE7756">
        <w:rPr>
          <w:rFonts w:cs="Arial"/>
          <w:sz w:val="24"/>
          <w:szCs w:val="24"/>
        </w:rPr>
        <w:t>AMR staff attempt to contact every notified individual to ask for</w:t>
      </w:r>
      <w:r w:rsidRPr="00C97C77">
        <w:rPr>
          <w:rFonts w:cs="Arial"/>
          <w:sz w:val="24"/>
          <w:szCs w:val="24"/>
        </w:rPr>
        <w:t xml:space="preserve"> informed consent for them to provide additional </w:t>
      </w:r>
      <w:r w:rsidR="001F4656">
        <w:rPr>
          <w:rFonts w:cs="Arial"/>
          <w:sz w:val="24"/>
          <w:szCs w:val="24"/>
        </w:rPr>
        <w:t xml:space="preserve">asbestos </w:t>
      </w:r>
      <w:r w:rsidR="00710F8E" w:rsidRPr="00C97C77">
        <w:rPr>
          <w:rFonts w:cs="Arial"/>
          <w:sz w:val="24"/>
          <w:szCs w:val="24"/>
        </w:rPr>
        <w:t xml:space="preserve">exposure </w:t>
      </w:r>
      <w:r w:rsidRPr="00C97C77">
        <w:rPr>
          <w:rFonts w:cs="Arial"/>
          <w:sz w:val="24"/>
          <w:szCs w:val="24"/>
        </w:rPr>
        <w:t>i</w:t>
      </w:r>
      <w:r w:rsidR="0032129A" w:rsidRPr="00C97C77">
        <w:rPr>
          <w:rFonts w:cs="Arial"/>
          <w:color w:val="000000"/>
          <w:sz w:val="24"/>
          <w:szCs w:val="24"/>
          <w:lang w:eastAsia="en-AU"/>
        </w:rPr>
        <w:t xml:space="preserve">nformation </w:t>
      </w:r>
      <w:r w:rsidR="0032129A" w:rsidRPr="00C97C77">
        <w:rPr>
          <w:rFonts w:cs="Arial"/>
          <w:sz w:val="24"/>
          <w:szCs w:val="24"/>
        </w:rPr>
        <w:t>through a postal questionnaire and telephone interview</w:t>
      </w:r>
      <w:r w:rsidR="0032129A" w:rsidRPr="00C97C77">
        <w:rPr>
          <w:rFonts w:cs="Arial"/>
          <w:color w:val="000000"/>
          <w:sz w:val="24"/>
          <w:szCs w:val="24"/>
          <w:lang w:eastAsia="en-AU"/>
        </w:rPr>
        <w:t>.</w:t>
      </w:r>
      <w:r w:rsidRPr="00C97C77">
        <w:rPr>
          <w:rFonts w:cs="Arial"/>
          <w:color w:val="000000"/>
          <w:sz w:val="24"/>
          <w:szCs w:val="24"/>
          <w:lang w:eastAsia="en-AU"/>
        </w:rPr>
        <w:t xml:space="preserve"> </w:t>
      </w:r>
      <w:bookmarkStart w:id="3" w:name="_Hlk121240254"/>
      <w:bookmarkEnd w:id="2"/>
      <w:r w:rsidR="00DE7756">
        <w:rPr>
          <w:rFonts w:cs="Arial"/>
          <w:color w:val="000000"/>
          <w:sz w:val="24"/>
          <w:szCs w:val="24"/>
          <w:lang w:eastAsia="en-AU"/>
        </w:rPr>
        <w:t xml:space="preserve">The AMR does not collect exposure information from next-of-kin in the </w:t>
      </w:r>
      <w:r w:rsidR="00FC5A0C">
        <w:rPr>
          <w:rFonts w:cs="Arial"/>
          <w:color w:val="000000"/>
          <w:sz w:val="24"/>
          <w:szCs w:val="24"/>
          <w:lang w:eastAsia="en-AU"/>
        </w:rPr>
        <w:t>event</w:t>
      </w:r>
      <w:r w:rsidR="00DE7756">
        <w:rPr>
          <w:rFonts w:cs="Arial"/>
          <w:color w:val="000000"/>
          <w:sz w:val="24"/>
          <w:szCs w:val="24"/>
          <w:lang w:eastAsia="en-AU"/>
        </w:rPr>
        <w:t xml:space="preserve"> that the patient is too unwell to consent or has died. </w:t>
      </w:r>
      <w:r w:rsidRPr="00C97C77">
        <w:rPr>
          <w:rFonts w:cs="Arial"/>
          <w:color w:val="000000"/>
          <w:sz w:val="24"/>
          <w:szCs w:val="24"/>
          <w:lang w:eastAsia="en-AU"/>
        </w:rPr>
        <w:t xml:space="preserve">The </w:t>
      </w:r>
      <w:bookmarkEnd w:id="3"/>
      <w:r w:rsidRPr="00C97C77">
        <w:rPr>
          <w:rFonts w:cs="Arial"/>
          <w:color w:val="000000"/>
          <w:sz w:val="24"/>
          <w:szCs w:val="24"/>
          <w:lang w:eastAsia="en-AU"/>
        </w:rPr>
        <w:t xml:space="preserve">postal questionnaire collects information about places of </w:t>
      </w:r>
      <w:r w:rsidR="0032129A" w:rsidRPr="00C97C77">
        <w:rPr>
          <w:rFonts w:cs="Arial"/>
          <w:sz w:val="24"/>
          <w:szCs w:val="24"/>
        </w:rPr>
        <w:lastRenderedPageBreak/>
        <w:t>residence and occupation</w:t>
      </w:r>
      <w:r w:rsidR="00710F8E" w:rsidRPr="00C97C77">
        <w:rPr>
          <w:rFonts w:cs="Arial"/>
          <w:sz w:val="24"/>
          <w:szCs w:val="24"/>
        </w:rPr>
        <w:t>al</w:t>
      </w:r>
      <w:r w:rsidR="0032129A" w:rsidRPr="00C97C77">
        <w:rPr>
          <w:rFonts w:cs="Arial"/>
          <w:sz w:val="24"/>
          <w:szCs w:val="24"/>
        </w:rPr>
        <w:t xml:space="preserve"> </w:t>
      </w:r>
      <w:r w:rsidR="002E1C9E" w:rsidRPr="00C97C77">
        <w:rPr>
          <w:rFonts w:cs="Arial"/>
          <w:sz w:val="24"/>
          <w:szCs w:val="24"/>
        </w:rPr>
        <w:t>histor</w:t>
      </w:r>
      <w:r w:rsidR="002E1C9E">
        <w:rPr>
          <w:rFonts w:cs="Arial"/>
          <w:sz w:val="24"/>
          <w:szCs w:val="24"/>
        </w:rPr>
        <w:t>y</w:t>
      </w:r>
      <w:r w:rsidRPr="00C97C77">
        <w:rPr>
          <w:rFonts w:cs="Arial"/>
          <w:sz w:val="24"/>
          <w:szCs w:val="24"/>
        </w:rPr>
        <w:t>, as well as any</w:t>
      </w:r>
      <w:r w:rsidR="0032129A" w:rsidRPr="00C97C77">
        <w:rPr>
          <w:rFonts w:cs="Arial"/>
          <w:sz w:val="24"/>
          <w:szCs w:val="24"/>
        </w:rPr>
        <w:t xml:space="preserve"> family history of mesothelioma. </w:t>
      </w:r>
      <w:r w:rsidRPr="00C97C77">
        <w:rPr>
          <w:rFonts w:cs="Arial"/>
          <w:sz w:val="24"/>
          <w:szCs w:val="24"/>
        </w:rPr>
        <w:t xml:space="preserve">The </w:t>
      </w:r>
      <w:r w:rsidR="00490702" w:rsidRPr="00C97C77">
        <w:rPr>
          <w:rFonts w:cs="Arial"/>
          <w:sz w:val="24"/>
          <w:szCs w:val="24"/>
        </w:rPr>
        <w:t>place of residence</w:t>
      </w:r>
      <w:r w:rsidR="0032129A" w:rsidRPr="00C97C77">
        <w:rPr>
          <w:rFonts w:cs="Arial"/>
          <w:sz w:val="24"/>
          <w:szCs w:val="24"/>
        </w:rPr>
        <w:t xml:space="preserve"> and occupation</w:t>
      </w:r>
      <w:r w:rsidRPr="00C97C77">
        <w:rPr>
          <w:rFonts w:cs="Arial"/>
          <w:sz w:val="24"/>
          <w:szCs w:val="24"/>
        </w:rPr>
        <w:t>al</w:t>
      </w:r>
      <w:r w:rsidR="0032129A" w:rsidRPr="00C97C77">
        <w:rPr>
          <w:rFonts w:cs="Arial"/>
          <w:sz w:val="24"/>
          <w:szCs w:val="24"/>
        </w:rPr>
        <w:t xml:space="preserve"> information </w:t>
      </w:r>
      <w:r w:rsidR="00AF465D">
        <w:rPr>
          <w:rFonts w:cs="Arial"/>
          <w:sz w:val="24"/>
          <w:szCs w:val="24"/>
        </w:rPr>
        <w:t>are</w:t>
      </w:r>
      <w:r w:rsidR="0032129A" w:rsidRPr="00C97C77">
        <w:rPr>
          <w:rFonts w:cs="Arial"/>
          <w:sz w:val="24"/>
          <w:szCs w:val="24"/>
        </w:rPr>
        <w:t xml:space="preserve"> systematically compiled through an online assessment tool called the Occupational Integrated Database Exposure Assessment System (OccIDEAS)</w:t>
      </w:r>
      <w:r w:rsidR="00532583">
        <w:rPr>
          <w:rFonts w:cs="Arial"/>
          <w:sz w:val="24"/>
          <w:szCs w:val="24"/>
        </w:rPr>
        <w:t xml:space="preserve"> (1</w:t>
      </w:r>
      <w:r w:rsidR="003C3B2A">
        <w:rPr>
          <w:rFonts w:cs="Arial"/>
          <w:sz w:val="24"/>
          <w:szCs w:val="24"/>
        </w:rPr>
        <w:t>8</w:t>
      </w:r>
      <w:r w:rsidR="00532583">
        <w:rPr>
          <w:rFonts w:cs="Arial"/>
          <w:sz w:val="24"/>
          <w:szCs w:val="24"/>
        </w:rPr>
        <w:t>)</w:t>
      </w:r>
      <w:r w:rsidR="0032129A" w:rsidRPr="00C97C77">
        <w:rPr>
          <w:rFonts w:cs="Arial"/>
          <w:sz w:val="24"/>
          <w:szCs w:val="24"/>
        </w:rPr>
        <w:t xml:space="preserve">. </w:t>
      </w:r>
      <w:r w:rsidRPr="00C97C77">
        <w:rPr>
          <w:rFonts w:cs="Arial"/>
          <w:sz w:val="24"/>
          <w:szCs w:val="24"/>
        </w:rPr>
        <w:t>Tel</w:t>
      </w:r>
      <w:r w:rsidR="00490702" w:rsidRPr="00C97C77">
        <w:rPr>
          <w:rFonts w:cs="Arial"/>
          <w:sz w:val="24"/>
          <w:szCs w:val="24"/>
        </w:rPr>
        <w:t>e</w:t>
      </w:r>
      <w:r w:rsidRPr="00C97C77">
        <w:rPr>
          <w:rFonts w:cs="Arial"/>
          <w:sz w:val="24"/>
          <w:szCs w:val="24"/>
        </w:rPr>
        <w:t xml:space="preserve">phone interviews </w:t>
      </w:r>
      <w:r w:rsidR="00BB25BD">
        <w:rPr>
          <w:rFonts w:cs="Arial"/>
          <w:sz w:val="24"/>
          <w:szCs w:val="24"/>
        </w:rPr>
        <w:t>are</w:t>
      </w:r>
      <w:r w:rsidR="00BB25BD" w:rsidRPr="00C97C77">
        <w:rPr>
          <w:rFonts w:cs="Arial"/>
          <w:sz w:val="24"/>
          <w:szCs w:val="24"/>
        </w:rPr>
        <w:t xml:space="preserve"> </w:t>
      </w:r>
      <w:r w:rsidRPr="00C97C77">
        <w:rPr>
          <w:rFonts w:cs="Arial"/>
          <w:sz w:val="24"/>
          <w:szCs w:val="24"/>
        </w:rPr>
        <w:t>subsequently carried out with specific questions assigned to each individual based on their responses to</w:t>
      </w:r>
      <w:r w:rsidR="0032129A" w:rsidRPr="00C97C77">
        <w:rPr>
          <w:rFonts w:cs="Arial"/>
          <w:sz w:val="24"/>
          <w:szCs w:val="24"/>
        </w:rPr>
        <w:t xml:space="preserve"> the postal questionnaire </w:t>
      </w:r>
      <w:r w:rsidRPr="00C97C77">
        <w:rPr>
          <w:rFonts w:cs="Arial"/>
          <w:sz w:val="24"/>
          <w:szCs w:val="24"/>
        </w:rPr>
        <w:t xml:space="preserve">in order to accurately </w:t>
      </w:r>
      <w:r w:rsidR="0032129A" w:rsidRPr="00C97C77">
        <w:rPr>
          <w:rFonts w:cs="Arial"/>
          <w:sz w:val="24"/>
          <w:szCs w:val="24"/>
        </w:rPr>
        <w:t xml:space="preserve">assess their likelihood </w:t>
      </w:r>
      <w:r w:rsidR="00490702" w:rsidRPr="00C97C77">
        <w:rPr>
          <w:rFonts w:cs="Arial"/>
          <w:sz w:val="24"/>
          <w:szCs w:val="24"/>
        </w:rPr>
        <w:t xml:space="preserve">(possible or probable) </w:t>
      </w:r>
      <w:r w:rsidRPr="00C97C77">
        <w:rPr>
          <w:rFonts w:cs="Arial"/>
          <w:sz w:val="24"/>
          <w:szCs w:val="24"/>
        </w:rPr>
        <w:t>of</w:t>
      </w:r>
      <w:r w:rsidR="0032129A" w:rsidRPr="00C97C77">
        <w:rPr>
          <w:rFonts w:cs="Arial"/>
          <w:sz w:val="24"/>
          <w:szCs w:val="24"/>
        </w:rPr>
        <w:t xml:space="preserve"> having been exposed to asbestos</w:t>
      </w:r>
      <w:r w:rsidR="00490702" w:rsidRPr="00C97C77">
        <w:rPr>
          <w:rFonts w:cs="Arial"/>
          <w:sz w:val="24"/>
          <w:szCs w:val="24"/>
        </w:rPr>
        <w:t xml:space="preserve"> (occupational / non-occupational /both) in their lifetime</w:t>
      </w:r>
      <w:r w:rsidR="006D47CE">
        <w:rPr>
          <w:rFonts w:cs="Arial"/>
          <w:sz w:val="24"/>
          <w:szCs w:val="24"/>
        </w:rPr>
        <w:t xml:space="preserve"> and the likely level of exposure (high/medium/low)</w:t>
      </w:r>
      <w:r w:rsidR="0032129A" w:rsidRPr="00C97C77">
        <w:rPr>
          <w:rFonts w:cs="Arial"/>
          <w:sz w:val="24"/>
          <w:szCs w:val="24"/>
        </w:rPr>
        <w:t xml:space="preserve">. </w:t>
      </w:r>
    </w:p>
    <w:p w14:paraId="0E0FDF54" w14:textId="11F74D38" w:rsidR="001D73E4" w:rsidRPr="00C97C77" w:rsidRDefault="001D73E4" w:rsidP="001D73E4">
      <w:pPr>
        <w:pStyle w:val="AIHWbodytext"/>
        <w:spacing w:line="480" w:lineRule="auto"/>
        <w:jc w:val="both"/>
        <w:rPr>
          <w:rFonts w:cs="Arial"/>
          <w:sz w:val="24"/>
          <w:szCs w:val="24"/>
        </w:rPr>
      </w:pPr>
    </w:p>
    <w:p w14:paraId="575A1D8E" w14:textId="7A5D8471" w:rsidR="001D73E4" w:rsidRPr="00C97C77" w:rsidRDefault="001D73E4" w:rsidP="001D73E4">
      <w:pPr>
        <w:pStyle w:val="AIHWbodytext"/>
        <w:spacing w:line="480" w:lineRule="auto"/>
        <w:jc w:val="both"/>
        <w:rPr>
          <w:rFonts w:cs="Arial"/>
          <w:sz w:val="24"/>
          <w:szCs w:val="24"/>
        </w:rPr>
      </w:pPr>
      <w:r w:rsidRPr="00C97C77">
        <w:rPr>
          <w:rFonts w:cs="Arial"/>
          <w:sz w:val="24"/>
          <w:szCs w:val="24"/>
        </w:rPr>
        <w:t xml:space="preserve">Incidence rates for mesothelioma have been calculated using AMR data since July 2010. However, </w:t>
      </w:r>
      <w:r w:rsidR="007A25A6">
        <w:rPr>
          <w:rFonts w:cs="Arial"/>
          <w:sz w:val="24"/>
          <w:szCs w:val="24"/>
        </w:rPr>
        <w:t xml:space="preserve">mesothelioma </w:t>
      </w:r>
      <w:r w:rsidRPr="00C97C77">
        <w:rPr>
          <w:rFonts w:cs="Arial"/>
          <w:sz w:val="24"/>
          <w:szCs w:val="24"/>
        </w:rPr>
        <w:t xml:space="preserve">data </w:t>
      </w:r>
      <w:r w:rsidR="000D27A4">
        <w:rPr>
          <w:rFonts w:cs="Arial"/>
          <w:sz w:val="24"/>
          <w:szCs w:val="24"/>
        </w:rPr>
        <w:t>are</w:t>
      </w:r>
      <w:r w:rsidR="000D27A4" w:rsidRPr="00C97C77">
        <w:rPr>
          <w:rFonts w:cs="Arial"/>
          <w:sz w:val="24"/>
          <w:szCs w:val="24"/>
        </w:rPr>
        <w:t xml:space="preserve"> </w:t>
      </w:r>
      <w:r w:rsidR="007A25A6">
        <w:rPr>
          <w:rFonts w:cs="Arial"/>
          <w:sz w:val="24"/>
          <w:szCs w:val="24"/>
        </w:rPr>
        <w:t xml:space="preserve">also </w:t>
      </w:r>
      <w:r w:rsidRPr="00C97C77">
        <w:rPr>
          <w:rFonts w:cs="Arial"/>
          <w:sz w:val="24"/>
          <w:szCs w:val="24"/>
        </w:rPr>
        <w:t>available from the Australi</w:t>
      </w:r>
      <w:r w:rsidR="00490702" w:rsidRPr="00C97C77">
        <w:rPr>
          <w:rFonts w:cs="Arial"/>
          <w:sz w:val="24"/>
          <w:szCs w:val="24"/>
        </w:rPr>
        <w:t>an</w:t>
      </w:r>
      <w:r w:rsidRPr="00C97C77">
        <w:rPr>
          <w:rFonts w:cs="Arial"/>
          <w:sz w:val="24"/>
          <w:szCs w:val="24"/>
        </w:rPr>
        <w:t xml:space="preserve"> </w:t>
      </w:r>
      <w:r w:rsidR="00490702" w:rsidRPr="00C97C77">
        <w:rPr>
          <w:rFonts w:cs="Arial"/>
          <w:sz w:val="24"/>
          <w:szCs w:val="24"/>
        </w:rPr>
        <w:t>C</w:t>
      </w:r>
      <w:r w:rsidRPr="00C97C77">
        <w:rPr>
          <w:rFonts w:cs="Arial"/>
          <w:sz w:val="24"/>
          <w:szCs w:val="24"/>
        </w:rPr>
        <w:t xml:space="preserve">ancer </w:t>
      </w:r>
      <w:r w:rsidR="00490702" w:rsidRPr="00C97C77">
        <w:rPr>
          <w:rFonts w:cs="Arial"/>
          <w:sz w:val="24"/>
          <w:szCs w:val="24"/>
        </w:rPr>
        <w:t>D</w:t>
      </w:r>
      <w:r w:rsidRPr="00C97C77">
        <w:rPr>
          <w:rFonts w:cs="Arial"/>
          <w:sz w:val="24"/>
          <w:szCs w:val="24"/>
        </w:rPr>
        <w:t>atabase</w:t>
      </w:r>
      <w:r w:rsidR="00490702" w:rsidRPr="00C97C77">
        <w:rPr>
          <w:rFonts w:cs="Arial"/>
          <w:sz w:val="24"/>
          <w:szCs w:val="24"/>
        </w:rPr>
        <w:t xml:space="preserve"> </w:t>
      </w:r>
      <w:r w:rsidR="007A25A6">
        <w:rPr>
          <w:rFonts w:cs="Arial"/>
          <w:sz w:val="24"/>
          <w:szCs w:val="24"/>
        </w:rPr>
        <w:t>since</w:t>
      </w:r>
      <w:r w:rsidRPr="00C97C77">
        <w:rPr>
          <w:rFonts w:cs="Arial"/>
          <w:sz w:val="24"/>
          <w:szCs w:val="24"/>
        </w:rPr>
        <w:t xml:space="preserve"> 1982</w:t>
      </w:r>
      <w:r w:rsidR="007A25A6">
        <w:rPr>
          <w:rFonts w:cs="Arial"/>
          <w:sz w:val="24"/>
          <w:szCs w:val="24"/>
        </w:rPr>
        <w:t xml:space="preserve">. Both of these data sources </w:t>
      </w:r>
      <w:r w:rsidRPr="00C97C77">
        <w:rPr>
          <w:rFonts w:cs="Arial"/>
          <w:sz w:val="24"/>
          <w:szCs w:val="24"/>
        </w:rPr>
        <w:t xml:space="preserve">have been used to </w:t>
      </w:r>
      <w:r w:rsidR="00490702" w:rsidRPr="00C97C77">
        <w:rPr>
          <w:rFonts w:cs="Arial"/>
          <w:sz w:val="24"/>
          <w:szCs w:val="24"/>
        </w:rPr>
        <w:t>estimate</w:t>
      </w:r>
      <w:r w:rsidRPr="00C97C77">
        <w:rPr>
          <w:rFonts w:cs="Arial"/>
          <w:sz w:val="24"/>
          <w:szCs w:val="24"/>
        </w:rPr>
        <w:t xml:space="preserve"> </w:t>
      </w:r>
      <w:r w:rsidR="00490702" w:rsidRPr="00C97C77">
        <w:rPr>
          <w:rFonts w:cs="Arial"/>
          <w:sz w:val="24"/>
          <w:szCs w:val="24"/>
        </w:rPr>
        <w:t xml:space="preserve">annualised incidence rates (number of cases per year) by age and </w:t>
      </w:r>
      <w:r w:rsidR="00AF465D">
        <w:rPr>
          <w:rFonts w:cs="Arial"/>
          <w:sz w:val="24"/>
          <w:szCs w:val="24"/>
        </w:rPr>
        <w:t>gender</w:t>
      </w:r>
      <w:r w:rsidR="00490702" w:rsidRPr="00C97C77">
        <w:rPr>
          <w:rFonts w:cs="Arial"/>
          <w:sz w:val="24"/>
          <w:szCs w:val="24"/>
        </w:rPr>
        <w:t xml:space="preserve"> </w:t>
      </w:r>
      <w:r w:rsidR="00D13989">
        <w:rPr>
          <w:rFonts w:cs="Arial"/>
          <w:sz w:val="24"/>
          <w:szCs w:val="24"/>
        </w:rPr>
        <w:t xml:space="preserve">for the period </w:t>
      </w:r>
      <w:r w:rsidR="00490702" w:rsidRPr="00C97C77">
        <w:rPr>
          <w:rFonts w:cs="Arial"/>
          <w:sz w:val="24"/>
          <w:szCs w:val="24"/>
        </w:rPr>
        <w:t>1982-</w:t>
      </w:r>
      <w:r w:rsidR="009133FA" w:rsidRPr="009133FA">
        <w:rPr>
          <w:rFonts w:cs="Arial"/>
          <w:sz w:val="24"/>
          <w:szCs w:val="24"/>
        </w:rPr>
        <w:t>2020</w:t>
      </w:r>
      <w:r w:rsidR="00490702" w:rsidRPr="00C97C77">
        <w:rPr>
          <w:rFonts w:cs="Arial"/>
          <w:sz w:val="24"/>
          <w:szCs w:val="24"/>
        </w:rPr>
        <w:t xml:space="preserve">. Annual mortality rates (number of deaths per year) due to mesothelioma have been calculated </w:t>
      </w:r>
      <w:r w:rsidR="007A25A6">
        <w:rPr>
          <w:rFonts w:cs="Arial"/>
          <w:sz w:val="24"/>
          <w:szCs w:val="24"/>
        </w:rPr>
        <w:t xml:space="preserve">for </w:t>
      </w:r>
      <w:r w:rsidR="00490702" w:rsidRPr="00C97C77">
        <w:rPr>
          <w:rFonts w:cs="Arial"/>
          <w:sz w:val="24"/>
          <w:szCs w:val="24"/>
        </w:rPr>
        <w:t>1997-</w:t>
      </w:r>
      <w:r w:rsidR="009133FA" w:rsidRPr="009133FA">
        <w:rPr>
          <w:rFonts w:cs="Arial"/>
          <w:sz w:val="24"/>
          <w:szCs w:val="24"/>
        </w:rPr>
        <w:t>2020</w:t>
      </w:r>
      <w:r w:rsidR="009133FA" w:rsidRPr="00C97C77">
        <w:rPr>
          <w:rFonts w:cs="Arial"/>
          <w:sz w:val="24"/>
          <w:szCs w:val="24"/>
        </w:rPr>
        <w:t xml:space="preserve"> </w:t>
      </w:r>
      <w:r w:rsidR="00490702" w:rsidRPr="00C97C77">
        <w:rPr>
          <w:rFonts w:cs="Arial"/>
          <w:sz w:val="24"/>
          <w:szCs w:val="24"/>
        </w:rPr>
        <w:t xml:space="preserve">by </w:t>
      </w:r>
      <w:r w:rsidR="00AF465D">
        <w:rPr>
          <w:rFonts w:cs="Arial"/>
          <w:sz w:val="24"/>
          <w:szCs w:val="24"/>
        </w:rPr>
        <w:t>gender</w:t>
      </w:r>
      <w:r w:rsidR="00490702" w:rsidRPr="00C97C77">
        <w:rPr>
          <w:rFonts w:cs="Arial"/>
          <w:sz w:val="24"/>
          <w:szCs w:val="24"/>
        </w:rPr>
        <w:t xml:space="preserve">. </w:t>
      </w:r>
      <w:r w:rsidR="00FE7A7B">
        <w:rPr>
          <w:rFonts w:cs="Arial"/>
          <w:sz w:val="24"/>
          <w:szCs w:val="24"/>
        </w:rPr>
        <w:t xml:space="preserve">For </w:t>
      </w:r>
      <w:r w:rsidR="00CB65CD">
        <w:rPr>
          <w:rFonts w:cs="Arial"/>
          <w:sz w:val="24"/>
          <w:szCs w:val="24"/>
        </w:rPr>
        <w:t xml:space="preserve">a sample </w:t>
      </w:r>
      <w:r w:rsidR="00FE7A7B">
        <w:rPr>
          <w:rFonts w:cs="Arial"/>
          <w:sz w:val="24"/>
          <w:szCs w:val="24"/>
        </w:rPr>
        <w:t>of participants recruited between 1 July 2010 and 28 February 2019, l</w:t>
      </w:r>
      <w:r w:rsidR="000F1CD1">
        <w:rPr>
          <w:rFonts w:cs="Arial"/>
          <w:sz w:val="24"/>
          <w:szCs w:val="24"/>
        </w:rPr>
        <w:t>ogistic regression was used to explore the relationship between response to the exposure assessment and:</w:t>
      </w:r>
      <w:r w:rsidR="000F1CD1">
        <w:rPr>
          <w:rFonts w:cs="Arial"/>
          <w:color w:val="000000"/>
          <w:sz w:val="24"/>
          <w:szCs w:val="24"/>
          <w:lang w:eastAsia="en-AU"/>
        </w:rPr>
        <w:t xml:space="preserve"> age at diagnosis (categorised as </w:t>
      </w:r>
      <w:r w:rsidR="00621624">
        <w:rPr>
          <w:rFonts w:cs="Arial"/>
          <w:color w:val="000000"/>
          <w:sz w:val="24"/>
          <w:szCs w:val="24"/>
          <w:lang w:eastAsia="en-AU"/>
        </w:rPr>
        <w:t>≤</w:t>
      </w:r>
      <w:r w:rsidR="000F1CD1">
        <w:rPr>
          <w:rFonts w:cs="Arial"/>
          <w:color w:val="000000"/>
          <w:sz w:val="24"/>
          <w:szCs w:val="24"/>
          <w:lang w:eastAsia="en-AU"/>
        </w:rPr>
        <w:t xml:space="preserve">69 years; 70-79 years and 80 years and over); </w:t>
      </w:r>
      <w:r w:rsidR="00AF465D">
        <w:rPr>
          <w:rFonts w:cs="Arial"/>
          <w:color w:val="000000"/>
          <w:sz w:val="24"/>
          <w:szCs w:val="24"/>
          <w:lang w:eastAsia="en-AU"/>
        </w:rPr>
        <w:t>gender</w:t>
      </w:r>
      <w:r w:rsidR="000F1CD1">
        <w:rPr>
          <w:rFonts w:cs="Arial"/>
          <w:color w:val="000000"/>
          <w:sz w:val="24"/>
          <w:szCs w:val="24"/>
          <w:lang w:eastAsia="en-AU"/>
        </w:rPr>
        <w:t xml:space="preserve">; country of birth (Australia; mainly English speaking; all other countries); Aboriginal and/or Torres Strait Islander </w:t>
      </w:r>
      <w:r w:rsidR="002E66E3">
        <w:rPr>
          <w:rFonts w:cs="Arial"/>
          <w:color w:val="000000"/>
          <w:sz w:val="24"/>
          <w:szCs w:val="24"/>
          <w:lang w:eastAsia="en-AU"/>
        </w:rPr>
        <w:t>(</w:t>
      </w:r>
      <w:r w:rsidR="000F1CD1">
        <w:rPr>
          <w:rFonts w:cs="Arial"/>
          <w:color w:val="000000"/>
          <w:sz w:val="24"/>
          <w:szCs w:val="24"/>
          <w:lang w:eastAsia="en-AU"/>
        </w:rPr>
        <w:t>yes/no</w:t>
      </w:r>
      <w:r w:rsidR="002E66E3">
        <w:rPr>
          <w:rFonts w:cs="Arial"/>
          <w:color w:val="000000"/>
          <w:sz w:val="24"/>
          <w:szCs w:val="24"/>
          <w:lang w:eastAsia="en-AU"/>
        </w:rPr>
        <w:t>)</w:t>
      </w:r>
      <w:r w:rsidR="000F1CD1">
        <w:rPr>
          <w:rFonts w:cs="Arial"/>
          <w:color w:val="000000"/>
          <w:sz w:val="24"/>
          <w:szCs w:val="24"/>
          <w:lang w:eastAsia="en-AU"/>
        </w:rPr>
        <w:t>; time from diagnosis to notification to AMR; state/territory of notification; season</w:t>
      </w:r>
      <w:r w:rsidR="009133FA">
        <w:rPr>
          <w:rFonts w:cs="Arial"/>
          <w:color w:val="000000"/>
          <w:sz w:val="24"/>
          <w:szCs w:val="24"/>
          <w:lang w:eastAsia="en-AU"/>
        </w:rPr>
        <w:t xml:space="preserve"> of diagnosis</w:t>
      </w:r>
      <w:r w:rsidR="000F1CD1">
        <w:rPr>
          <w:rFonts w:cs="Arial"/>
          <w:color w:val="000000"/>
          <w:sz w:val="24"/>
          <w:szCs w:val="24"/>
          <w:lang w:eastAsia="en-AU"/>
        </w:rPr>
        <w:t xml:space="preserve">; laterality, morphology and topography of mesothelioma. </w:t>
      </w:r>
      <w:r w:rsidR="007A25A6">
        <w:rPr>
          <w:rFonts w:cs="Arial"/>
          <w:color w:val="000000"/>
          <w:sz w:val="24"/>
          <w:szCs w:val="24"/>
          <w:lang w:eastAsia="en-AU"/>
        </w:rPr>
        <w:t xml:space="preserve">Those </w:t>
      </w:r>
      <w:r w:rsidR="001F4656">
        <w:rPr>
          <w:rFonts w:cs="Arial"/>
          <w:color w:val="000000"/>
          <w:sz w:val="24"/>
          <w:szCs w:val="24"/>
          <w:lang w:eastAsia="en-AU"/>
        </w:rPr>
        <w:t xml:space="preserve">independent </w:t>
      </w:r>
      <w:r w:rsidR="007A25A6">
        <w:rPr>
          <w:rFonts w:cs="Arial"/>
          <w:color w:val="000000"/>
          <w:sz w:val="24"/>
          <w:szCs w:val="24"/>
          <w:lang w:eastAsia="en-AU"/>
        </w:rPr>
        <w:t xml:space="preserve">factors </w:t>
      </w:r>
      <w:r w:rsidR="001F4656">
        <w:rPr>
          <w:rFonts w:cs="Arial"/>
          <w:color w:val="000000"/>
          <w:sz w:val="24"/>
          <w:szCs w:val="24"/>
          <w:lang w:eastAsia="en-AU"/>
        </w:rPr>
        <w:t>that</w:t>
      </w:r>
      <w:r w:rsidR="007A25A6">
        <w:rPr>
          <w:rFonts w:cs="Arial"/>
          <w:color w:val="000000"/>
          <w:sz w:val="24"/>
          <w:szCs w:val="24"/>
          <w:lang w:eastAsia="en-AU"/>
        </w:rPr>
        <w:t xml:space="preserve"> were statistically significant </w:t>
      </w:r>
      <w:r w:rsidR="00FC5A0C">
        <w:rPr>
          <w:rFonts w:cs="Arial"/>
          <w:color w:val="000000"/>
          <w:sz w:val="24"/>
          <w:szCs w:val="24"/>
          <w:lang w:eastAsia="en-AU"/>
        </w:rPr>
        <w:t>predictors</w:t>
      </w:r>
      <w:r w:rsidR="007A25A6">
        <w:rPr>
          <w:rFonts w:cs="Arial"/>
          <w:color w:val="000000"/>
          <w:sz w:val="24"/>
          <w:szCs w:val="24"/>
          <w:lang w:eastAsia="en-AU"/>
        </w:rPr>
        <w:t xml:space="preserve"> were then taken forwards to a final model. </w:t>
      </w:r>
      <w:r w:rsidR="0047159E">
        <w:rPr>
          <w:rFonts w:cs="Arial"/>
          <w:color w:val="000000"/>
          <w:sz w:val="24"/>
          <w:szCs w:val="24"/>
          <w:lang w:eastAsia="en-AU"/>
        </w:rPr>
        <w:t>Goodness</w:t>
      </w:r>
      <w:r w:rsidR="000F1CD1">
        <w:rPr>
          <w:rFonts w:cs="Arial"/>
          <w:color w:val="000000"/>
          <w:sz w:val="24"/>
          <w:szCs w:val="24"/>
          <w:lang w:eastAsia="en-AU"/>
        </w:rPr>
        <w:t xml:space="preserve"> of fit </w:t>
      </w:r>
      <w:r w:rsidR="007A25A6">
        <w:rPr>
          <w:rFonts w:cs="Arial"/>
          <w:color w:val="000000"/>
          <w:sz w:val="24"/>
          <w:szCs w:val="24"/>
          <w:lang w:eastAsia="en-AU"/>
        </w:rPr>
        <w:t xml:space="preserve">for this final model </w:t>
      </w:r>
      <w:r w:rsidR="000F1CD1">
        <w:rPr>
          <w:rFonts w:cs="Arial"/>
          <w:color w:val="000000"/>
          <w:sz w:val="24"/>
          <w:szCs w:val="24"/>
          <w:lang w:eastAsia="en-AU"/>
        </w:rPr>
        <w:t xml:space="preserve">was </w:t>
      </w:r>
      <w:r w:rsidR="007A25A6">
        <w:rPr>
          <w:rFonts w:cs="Arial"/>
          <w:color w:val="000000"/>
          <w:sz w:val="24"/>
          <w:szCs w:val="24"/>
          <w:lang w:eastAsia="en-AU"/>
        </w:rPr>
        <w:t>established using</w:t>
      </w:r>
      <w:r w:rsidR="000F1CD1">
        <w:rPr>
          <w:rFonts w:cs="Arial"/>
          <w:color w:val="000000"/>
          <w:sz w:val="24"/>
          <w:szCs w:val="24"/>
          <w:lang w:eastAsia="en-AU"/>
        </w:rPr>
        <w:t xml:space="preserve"> the Hos</w:t>
      </w:r>
      <w:r w:rsidR="0047159E">
        <w:rPr>
          <w:rFonts w:cs="Arial"/>
          <w:color w:val="000000"/>
          <w:sz w:val="24"/>
          <w:szCs w:val="24"/>
          <w:lang w:eastAsia="en-AU"/>
        </w:rPr>
        <w:t>mer-</w:t>
      </w:r>
      <w:r w:rsidR="000F1CD1">
        <w:rPr>
          <w:rFonts w:cs="Arial"/>
          <w:color w:val="000000"/>
          <w:sz w:val="24"/>
          <w:szCs w:val="24"/>
          <w:lang w:eastAsia="en-AU"/>
        </w:rPr>
        <w:t xml:space="preserve">Lemeshow </w:t>
      </w:r>
      <w:r w:rsidR="007A25A6">
        <w:rPr>
          <w:rFonts w:cs="Arial"/>
          <w:color w:val="000000"/>
          <w:sz w:val="24"/>
          <w:szCs w:val="24"/>
          <w:lang w:eastAsia="en-AU"/>
        </w:rPr>
        <w:t xml:space="preserve">Chi squared </w:t>
      </w:r>
      <w:r w:rsidR="000F1CD1">
        <w:rPr>
          <w:rFonts w:cs="Arial"/>
          <w:color w:val="000000"/>
          <w:sz w:val="24"/>
          <w:szCs w:val="24"/>
          <w:lang w:eastAsia="en-AU"/>
        </w:rPr>
        <w:t>test</w:t>
      </w:r>
      <w:r w:rsidR="0047159E">
        <w:rPr>
          <w:rFonts w:cs="Arial"/>
          <w:color w:val="000000"/>
          <w:sz w:val="24"/>
          <w:szCs w:val="24"/>
          <w:lang w:eastAsia="en-AU"/>
        </w:rPr>
        <w:t xml:space="preserve"> </w:t>
      </w:r>
      <w:r w:rsidR="00621624">
        <w:rPr>
          <w:rFonts w:cs="Arial"/>
          <w:color w:val="000000"/>
          <w:sz w:val="24"/>
          <w:szCs w:val="24"/>
          <w:lang w:eastAsia="en-AU"/>
        </w:rPr>
        <w:t>(</w:t>
      </w:r>
      <w:r w:rsidR="00532583">
        <w:rPr>
          <w:rFonts w:cs="Arial"/>
          <w:color w:val="000000"/>
          <w:sz w:val="24"/>
          <w:szCs w:val="24"/>
          <w:lang w:eastAsia="en-AU"/>
        </w:rPr>
        <w:t>1</w:t>
      </w:r>
      <w:r w:rsidR="003C3B2A">
        <w:rPr>
          <w:rFonts w:cs="Arial"/>
          <w:color w:val="000000"/>
          <w:sz w:val="24"/>
          <w:szCs w:val="24"/>
          <w:lang w:eastAsia="en-AU"/>
        </w:rPr>
        <w:t>9</w:t>
      </w:r>
      <w:r w:rsidR="00621624">
        <w:rPr>
          <w:rFonts w:cs="Arial"/>
          <w:color w:val="000000"/>
          <w:sz w:val="24"/>
          <w:szCs w:val="24"/>
          <w:lang w:eastAsia="en-AU"/>
        </w:rPr>
        <w:t>)</w:t>
      </w:r>
      <w:r w:rsidR="007A25A6">
        <w:rPr>
          <w:rFonts w:cs="Arial"/>
          <w:color w:val="000000"/>
          <w:sz w:val="24"/>
          <w:szCs w:val="24"/>
          <w:lang w:eastAsia="en-AU"/>
        </w:rPr>
        <w:t xml:space="preserve">, </w:t>
      </w:r>
      <w:r w:rsidR="007A25A6">
        <w:rPr>
          <w:rFonts w:cs="Arial"/>
          <w:color w:val="000000"/>
          <w:sz w:val="24"/>
          <w:szCs w:val="24"/>
          <w:lang w:eastAsia="en-AU"/>
        </w:rPr>
        <w:lastRenderedPageBreak/>
        <w:t>applied</w:t>
      </w:r>
      <w:r w:rsidR="000F1CD1">
        <w:rPr>
          <w:rFonts w:cs="Arial"/>
          <w:color w:val="000000"/>
          <w:sz w:val="24"/>
          <w:szCs w:val="24"/>
          <w:lang w:eastAsia="en-AU"/>
        </w:rPr>
        <w:t xml:space="preserve"> with 8 degrees of freedom. </w:t>
      </w:r>
      <w:r w:rsidR="007A25A6">
        <w:rPr>
          <w:rFonts w:cs="Arial"/>
          <w:color w:val="000000"/>
          <w:sz w:val="24"/>
          <w:szCs w:val="24"/>
          <w:lang w:eastAsia="en-AU"/>
        </w:rPr>
        <w:t xml:space="preserve">Non-parametric </w:t>
      </w:r>
      <w:r w:rsidR="00FC5A0C">
        <w:rPr>
          <w:rFonts w:cs="Arial"/>
          <w:color w:val="000000"/>
          <w:sz w:val="24"/>
          <w:szCs w:val="24"/>
          <w:lang w:eastAsia="en-AU"/>
        </w:rPr>
        <w:t>significance</w:t>
      </w:r>
      <w:r w:rsidR="007A25A6">
        <w:rPr>
          <w:rFonts w:cs="Arial"/>
          <w:color w:val="000000"/>
          <w:sz w:val="24"/>
          <w:szCs w:val="24"/>
          <w:lang w:eastAsia="en-AU"/>
        </w:rPr>
        <w:t xml:space="preserve"> testing was used to determine whether the distribution of exposure assessment variables differed by the same factors.</w:t>
      </w:r>
    </w:p>
    <w:p w14:paraId="3C732740" w14:textId="77777777" w:rsidR="001D73E4" w:rsidRPr="00C97C77" w:rsidRDefault="001D73E4" w:rsidP="001D73E4">
      <w:pPr>
        <w:pStyle w:val="AIHWbodytext"/>
        <w:spacing w:line="480" w:lineRule="auto"/>
        <w:jc w:val="both"/>
        <w:rPr>
          <w:rFonts w:cs="Arial"/>
          <w:sz w:val="24"/>
          <w:szCs w:val="24"/>
        </w:rPr>
      </w:pPr>
    </w:p>
    <w:p w14:paraId="33BD209C" w14:textId="77777777" w:rsidR="00B1089A" w:rsidRDefault="00B1089A">
      <w:pPr>
        <w:rPr>
          <w:rFonts w:ascii="Arial" w:hAnsi="Arial" w:cs="Arial"/>
          <w:b/>
          <w:color w:val="000000"/>
          <w:sz w:val="24"/>
          <w:szCs w:val="24"/>
          <w:lang w:eastAsia="en-US"/>
        </w:rPr>
      </w:pPr>
      <w:r>
        <w:rPr>
          <w:rFonts w:cs="Arial"/>
          <w:sz w:val="24"/>
          <w:szCs w:val="24"/>
        </w:rPr>
        <w:br w:type="page"/>
      </w:r>
    </w:p>
    <w:p w14:paraId="23CB7663" w14:textId="31917187" w:rsidR="00223535" w:rsidRPr="00C97C77" w:rsidRDefault="001D73E4" w:rsidP="00A27D09">
      <w:pPr>
        <w:pStyle w:val="Heading3"/>
        <w:rPr>
          <w:rFonts w:cs="Arial"/>
          <w:sz w:val="24"/>
          <w:szCs w:val="24"/>
        </w:rPr>
      </w:pPr>
      <w:r w:rsidRPr="00C97C77">
        <w:rPr>
          <w:rFonts w:cs="Arial"/>
          <w:sz w:val="24"/>
          <w:szCs w:val="24"/>
        </w:rPr>
        <w:lastRenderedPageBreak/>
        <w:t xml:space="preserve">Results </w:t>
      </w:r>
    </w:p>
    <w:p w14:paraId="735B21B6" w14:textId="092930D6" w:rsidR="00490702" w:rsidRDefault="00490702" w:rsidP="00490702">
      <w:pPr>
        <w:pStyle w:val="AIHWbodytext"/>
        <w:spacing w:line="480" w:lineRule="auto"/>
        <w:jc w:val="both"/>
        <w:rPr>
          <w:rFonts w:cs="Arial"/>
          <w:color w:val="000000"/>
          <w:sz w:val="24"/>
          <w:szCs w:val="24"/>
          <w:lang w:eastAsia="en-AU"/>
        </w:rPr>
      </w:pPr>
    </w:p>
    <w:p w14:paraId="0C433B71" w14:textId="1FDB7EE2" w:rsidR="00C0453C" w:rsidRDefault="008228D4" w:rsidP="00490702">
      <w:pPr>
        <w:pStyle w:val="AIHWbodytext"/>
        <w:spacing w:line="480" w:lineRule="auto"/>
        <w:jc w:val="both"/>
        <w:rPr>
          <w:rFonts w:cs="Arial"/>
          <w:color w:val="000000"/>
          <w:sz w:val="24"/>
          <w:szCs w:val="24"/>
          <w:lang w:eastAsia="en-AU"/>
        </w:rPr>
      </w:pPr>
      <w:r>
        <w:rPr>
          <w:rFonts w:cs="Arial"/>
          <w:color w:val="000000"/>
          <w:sz w:val="24"/>
          <w:szCs w:val="24"/>
          <w:lang w:eastAsia="en-AU"/>
        </w:rPr>
        <w:t>From 1982-2020</w:t>
      </w:r>
      <w:r w:rsidR="00C0453C">
        <w:rPr>
          <w:rFonts w:cs="Arial"/>
          <w:color w:val="000000"/>
          <w:sz w:val="24"/>
          <w:szCs w:val="24"/>
          <w:lang w:eastAsia="en-AU"/>
        </w:rPr>
        <w:t xml:space="preserve">, a diagnosis of, or death from, mesothelioma in the AMR was </w:t>
      </w:r>
      <w:r w:rsidR="00294F1B">
        <w:rPr>
          <w:rFonts w:cs="Arial"/>
          <w:color w:val="000000"/>
          <w:sz w:val="24"/>
          <w:szCs w:val="24"/>
          <w:lang w:eastAsia="en-AU"/>
        </w:rPr>
        <w:t xml:space="preserve">five times </w:t>
      </w:r>
      <w:r w:rsidR="00C0453C">
        <w:rPr>
          <w:rFonts w:cs="Arial"/>
          <w:color w:val="000000"/>
          <w:sz w:val="24"/>
          <w:szCs w:val="24"/>
          <w:lang w:eastAsia="en-AU"/>
        </w:rPr>
        <w:t xml:space="preserve">more common among men than among women. </w:t>
      </w:r>
      <w:r>
        <w:rPr>
          <w:rFonts w:cs="Arial"/>
          <w:color w:val="000000"/>
          <w:sz w:val="24"/>
          <w:szCs w:val="24"/>
          <w:lang w:eastAsia="en-AU"/>
        </w:rPr>
        <w:t xml:space="preserve">The disease </w:t>
      </w:r>
      <w:r w:rsidR="00733178">
        <w:rPr>
          <w:rFonts w:cs="Arial"/>
          <w:color w:val="000000"/>
          <w:sz w:val="24"/>
          <w:szCs w:val="24"/>
          <w:lang w:eastAsia="en-AU"/>
        </w:rPr>
        <w:t>wa</w:t>
      </w:r>
      <w:r>
        <w:rPr>
          <w:rFonts w:cs="Arial"/>
          <w:color w:val="000000"/>
          <w:sz w:val="24"/>
          <w:szCs w:val="24"/>
          <w:lang w:eastAsia="en-AU"/>
        </w:rPr>
        <w:t>s strongly age-associated</w:t>
      </w:r>
      <w:r w:rsidR="00AD1B5A">
        <w:rPr>
          <w:rFonts w:cs="Arial"/>
          <w:color w:val="000000"/>
          <w:sz w:val="24"/>
          <w:szCs w:val="24"/>
          <w:lang w:eastAsia="en-AU"/>
        </w:rPr>
        <w:t xml:space="preserve">, </w:t>
      </w:r>
      <w:r w:rsidR="00CB65CD">
        <w:rPr>
          <w:rFonts w:cs="Arial"/>
          <w:color w:val="000000"/>
          <w:sz w:val="24"/>
          <w:szCs w:val="24"/>
          <w:lang w:eastAsia="en-AU"/>
        </w:rPr>
        <w:t xml:space="preserve">with median age at </w:t>
      </w:r>
      <w:r w:rsidR="00EF6B92">
        <w:rPr>
          <w:rFonts w:cs="Arial"/>
          <w:color w:val="000000"/>
          <w:sz w:val="24"/>
          <w:szCs w:val="24"/>
          <w:lang w:eastAsia="en-AU"/>
        </w:rPr>
        <w:t>diagnosis of</w:t>
      </w:r>
      <w:r w:rsidR="00AD1B5A">
        <w:rPr>
          <w:rFonts w:cs="Arial"/>
          <w:color w:val="000000"/>
          <w:sz w:val="24"/>
          <w:szCs w:val="24"/>
          <w:lang w:eastAsia="en-AU"/>
        </w:rPr>
        <w:t xml:space="preserve"> </w:t>
      </w:r>
      <w:r w:rsidR="00C0453C">
        <w:rPr>
          <w:rFonts w:cs="Arial"/>
          <w:color w:val="000000"/>
          <w:sz w:val="24"/>
          <w:szCs w:val="24"/>
          <w:lang w:eastAsia="en-AU"/>
        </w:rPr>
        <w:t>75 years.</w:t>
      </w:r>
    </w:p>
    <w:p w14:paraId="2293D0BD" w14:textId="77777777" w:rsidR="00C0453C" w:rsidRDefault="00C0453C" w:rsidP="00490702">
      <w:pPr>
        <w:pStyle w:val="AIHWbodytext"/>
        <w:spacing w:line="480" w:lineRule="auto"/>
        <w:jc w:val="both"/>
        <w:rPr>
          <w:rFonts w:cs="Arial"/>
          <w:color w:val="000000"/>
          <w:sz w:val="24"/>
          <w:szCs w:val="24"/>
          <w:lang w:eastAsia="en-AU"/>
        </w:rPr>
      </w:pPr>
    </w:p>
    <w:p w14:paraId="37E03CBD" w14:textId="79C98E13" w:rsidR="00F97137" w:rsidRPr="00F97137" w:rsidRDefault="00F97137" w:rsidP="00490702">
      <w:pPr>
        <w:pStyle w:val="AIHWbodytext"/>
        <w:spacing w:line="480" w:lineRule="auto"/>
        <w:jc w:val="both"/>
        <w:rPr>
          <w:rFonts w:cs="Arial"/>
          <w:b/>
          <w:color w:val="000000"/>
          <w:sz w:val="24"/>
          <w:szCs w:val="24"/>
          <w:lang w:eastAsia="en-AU"/>
        </w:rPr>
      </w:pPr>
      <w:r>
        <w:rPr>
          <w:rFonts w:cs="Arial"/>
          <w:b/>
          <w:color w:val="000000"/>
          <w:sz w:val="24"/>
          <w:szCs w:val="24"/>
          <w:lang w:eastAsia="en-AU"/>
        </w:rPr>
        <w:t>Age-standardised rates of new diagnosis and death from mesothelioma</w:t>
      </w:r>
    </w:p>
    <w:p w14:paraId="0D09B92D" w14:textId="1DDFF63F" w:rsidR="00294F1B" w:rsidRDefault="00294F1B" w:rsidP="00294F1B">
      <w:pPr>
        <w:pStyle w:val="AIHWbodytext"/>
        <w:spacing w:line="480" w:lineRule="auto"/>
        <w:jc w:val="both"/>
        <w:rPr>
          <w:rFonts w:cs="Arial"/>
          <w:color w:val="000000"/>
          <w:sz w:val="24"/>
          <w:szCs w:val="24"/>
          <w:lang w:eastAsia="en-AU"/>
        </w:rPr>
      </w:pPr>
      <w:r>
        <w:rPr>
          <w:rFonts w:cs="Arial"/>
          <w:color w:val="000000"/>
          <w:sz w:val="24"/>
          <w:szCs w:val="24"/>
          <w:lang w:eastAsia="en-AU"/>
        </w:rPr>
        <w:t xml:space="preserve">The age-standardised rates of new diagnoses of mesothelioma from </w:t>
      </w:r>
      <w:r w:rsidR="00786381">
        <w:rPr>
          <w:rFonts w:cs="Arial"/>
          <w:color w:val="000000"/>
          <w:sz w:val="24"/>
          <w:szCs w:val="24"/>
          <w:lang w:eastAsia="en-AU"/>
        </w:rPr>
        <w:t xml:space="preserve">the </w:t>
      </w:r>
      <w:r>
        <w:rPr>
          <w:rFonts w:cs="Arial"/>
          <w:color w:val="000000"/>
          <w:sz w:val="24"/>
          <w:szCs w:val="24"/>
          <w:lang w:eastAsia="en-AU"/>
        </w:rPr>
        <w:t>commencement of data collection in 1982 until 2020 are shown in Figure 1. Among men, the age-</w:t>
      </w:r>
      <w:r w:rsidR="00786381">
        <w:rPr>
          <w:rFonts w:cs="Arial"/>
          <w:color w:val="000000"/>
          <w:sz w:val="24"/>
          <w:szCs w:val="24"/>
          <w:lang w:eastAsia="en-AU"/>
        </w:rPr>
        <w:t xml:space="preserve">standardised </w:t>
      </w:r>
      <w:r>
        <w:rPr>
          <w:rFonts w:cs="Arial"/>
          <w:color w:val="000000"/>
          <w:sz w:val="24"/>
          <w:szCs w:val="24"/>
          <w:lang w:eastAsia="en-AU"/>
        </w:rPr>
        <w:t>incidence rate increased between 1982-2003 (2.3 to 5.9 cases per 100,000), notwithstanding yearly fluctuations. Among women, the rates increased over the same period (from 0.3 to 1.0 cases per 100,000 population), with overall rates (combined for men and women) peaking at 3.2 cases per 100,000 population. After peaking in 2003, the incidence rates in males and all-persons have slowly decreased. As men were diagnosed with mesothelioma much more commonly than women, the overall reduction in incidence of new cases has mostly been driven by a reduction of new diagnoses amongst men. Age-standardised incidence rates amongst women appeared fairly stable throughout.</w:t>
      </w:r>
    </w:p>
    <w:p w14:paraId="003FA40E" w14:textId="77777777" w:rsidR="00210B66" w:rsidRPr="00C97C77" w:rsidRDefault="00210B66" w:rsidP="00490702">
      <w:pPr>
        <w:pStyle w:val="AIHWbodytext"/>
        <w:spacing w:line="480" w:lineRule="auto"/>
        <w:jc w:val="both"/>
        <w:rPr>
          <w:rFonts w:cs="Arial"/>
          <w:b/>
          <w:color w:val="000000"/>
          <w:sz w:val="24"/>
          <w:szCs w:val="24"/>
          <w:lang w:eastAsia="en-AU"/>
        </w:rPr>
      </w:pPr>
    </w:p>
    <w:p w14:paraId="2F365393" w14:textId="62D848C3" w:rsidR="00BA4FC3" w:rsidRPr="00C97C77" w:rsidRDefault="00210B66" w:rsidP="00BA4FC3">
      <w:pPr>
        <w:pStyle w:val="Default"/>
        <w:spacing w:before="180" w:after="180" w:line="480" w:lineRule="auto"/>
        <w:jc w:val="both"/>
        <w:rPr>
          <w:rFonts w:ascii="Arial" w:hAnsi="Arial" w:cs="Arial"/>
        </w:rPr>
      </w:pPr>
      <w:r>
        <w:rPr>
          <w:rFonts w:ascii="Arial" w:hAnsi="Arial" w:cs="Arial"/>
        </w:rPr>
        <w:t>Age-standardised mortality rates (per 100,000 population) from mesothelioma in the AMR are shown in Figure 2 for the period 1997-2020</w:t>
      </w:r>
      <w:r w:rsidR="00BA4FC3">
        <w:rPr>
          <w:rFonts w:ascii="Arial" w:hAnsi="Arial" w:cs="Arial"/>
        </w:rPr>
        <w:t xml:space="preserve">. </w:t>
      </w:r>
      <w:r>
        <w:rPr>
          <w:rFonts w:ascii="Arial" w:hAnsi="Arial" w:cs="Arial"/>
        </w:rPr>
        <w:t>The</w:t>
      </w:r>
      <w:r w:rsidR="00BA4FC3" w:rsidRPr="00C97C77">
        <w:rPr>
          <w:rFonts w:ascii="Arial" w:hAnsi="Arial" w:cs="Arial"/>
        </w:rPr>
        <w:t xml:space="preserve"> age-standardised mesothelioma mortality rates fluctuated between 2.1 and 2.</w:t>
      </w:r>
      <w:r w:rsidR="00A96D30">
        <w:rPr>
          <w:rFonts w:ascii="Arial" w:hAnsi="Arial" w:cs="Arial"/>
        </w:rPr>
        <w:t>7</w:t>
      </w:r>
      <w:r w:rsidR="00A96D30" w:rsidRPr="00C97C77">
        <w:rPr>
          <w:rFonts w:ascii="Arial" w:hAnsi="Arial" w:cs="Arial"/>
        </w:rPr>
        <w:t xml:space="preserve"> </w:t>
      </w:r>
      <w:r w:rsidR="00BA4FC3" w:rsidRPr="00C97C77">
        <w:rPr>
          <w:rFonts w:ascii="Arial" w:hAnsi="Arial" w:cs="Arial"/>
        </w:rPr>
        <w:t>deaths per 100,000 population</w:t>
      </w:r>
      <w:r w:rsidR="00A96D30">
        <w:rPr>
          <w:rFonts w:ascii="Arial" w:hAnsi="Arial" w:cs="Arial"/>
        </w:rPr>
        <w:t>, peaking in the early 2000s</w:t>
      </w:r>
      <w:r w:rsidR="00BA4FC3" w:rsidRPr="00C97C77">
        <w:rPr>
          <w:rFonts w:ascii="Arial" w:hAnsi="Arial" w:cs="Arial"/>
        </w:rPr>
        <w:t xml:space="preserve">. </w:t>
      </w:r>
      <w:r>
        <w:rPr>
          <w:rFonts w:ascii="Arial" w:hAnsi="Arial" w:cs="Arial"/>
        </w:rPr>
        <w:t>Mortality r</w:t>
      </w:r>
      <w:r w:rsidR="00BA4FC3" w:rsidRPr="00C97C77">
        <w:rPr>
          <w:rFonts w:ascii="Arial" w:hAnsi="Arial" w:cs="Arial"/>
        </w:rPr>
        <w:t xml:space="preserve">ates for men </w:t>
      </w:r>
      <w:r w:rsidR="00F77E9C">
        <w:rPr>
          <w:rFonts w:ascii="Arial" w:hAnsi="Arial" w:cs="Arial"/>
        </w:rPr>
        <w:t xml:space="preserve">peaked at about </w:t>
      </w:r>
      <w:r w:rsidR="00BA4FC3" w:rsidRPr="00C97C77">
        <w:rPr>
          <w:rFonts w:ascii="Arial" w:hAnsi="Arial" w:cs="Arial"/>
        </w:rPr>
        <w:t xml:space="preserve">5.0 </w:t>
      </w:r>
      <w:r w:rsidR="00BA4FC3" w:rsidRPr="00C97C77">
        <w:rPr>
          <w:rFonts w:ascii="Arial" w:hAnsi="Arial" w:cs="Arial"/>
        </w:rPr>
        <w:lastRenderedPageBreak/>
        <w:t>deaths per 100,000 population in 2001 and 2004</w:t>
      </w:r>
      <w:r w:rsidR="00393848">
        <w:rPr>
          <w:rFonts w:ascii="Arial" w:hAnsi="Arial" w:cs="Arial"/>
        </w:rPr>
        <w:t xml:space="preserve"> and have fallen fairly steadily since then</w:t>
      </w:r>
      <w:r w:rsidR="00BA4FC3" w:rsidRPr="00C97C77">
        <w:rPr>
          <w:rFonts w:ascii="Arial" w:hAnsi="Arial" w:cs="Arial"/>
        </w:rPr>
        <w:t xml:space="preserve">. Rates for females fluctuated around 0.8 deaths per 100,000 </w:t>
      </w:r>
      <w:r w:rsidR="001C70AE">
        <w:rPr>
          <w:rFonts w:ascii="Arial" w:hAnsi="Arial" w:cs="Arial"/>
        </w:rPr>
        <w:t>throughout</w:t>
      </w:r>
      <w:r w:rsidR="00BA4FC3" w:rsidRPr="00C97C77">
        <w:rPr>
          <w:rFonts w:ascii="Arial" w:hAnsi="Arial" w:cs="Arial"/>
        </w:rPr>
        <w:t xml:space="preserve">. </w:t>
      </w:r>
    </w:p>
    <w:p w14:paraId="01ABC624" w14:textId="77777777" w:rsidR="00210B66" w:rsidRDefault="00210B66" w:rsidP="00490702">
      <w:pPr>
        <w:pStyle w:val="AIHWbodytext"/>
        <w:spacing w:line="480" w:lineRule="auto"/>
        <w:jc w:val="both"/>
        <w:rPr>
          <w:rFonts w:cs="Arial"/>
        </w:rPr>
      </w:pPr>
    </w:p>
    <w:p w14:paraId="2E597706" w14:textId="33F69E16" w:rsidR="00BA4FC3" w:rsidRPr="00210B66" w:rsidRDefault="00210B66" w:rsidP="00490702">
      <w:pPr>
        <w:pStyle w:val="AIHWbodytext"/>
        <w:spacing w:line="480" w:lineRule="auto"/>
        <w:jc w:val="both"/>
        <w:rPr>
          <w:rFonts w:cs="Arial"/>
          <w:b/>
          <w:color w:val="000000"/>
          <w:sz w:val="24"/>
          <w:szCs w:val="24"/>
          <w:lang w:eastAsia="en-AU"/>
        </w:rPr>
      </w:pPr>
      <w:r>
        <w:rPr>
          <w:rFonts w:cs="Arial"/>
          <w:sz w:val="24"/>
          <w:szCs w:val="24"/>
        </w:rPr>
        <w:t xml:space="preserve">Whilst the age-standardised rates of new cases and deaths from mesothelioma peaked in the early 2000s, the </w:t>
      </w:r>
      <w:r w:rsidR="00786381">
        <w:rPr>
          <w:rFonts w:cs="Arial"/>
          <w:sz w:val="24"/>
          <w:szCs w:val="24"/>
        </w:rPr>
        <w:t xml:space="preserve">total </w:t>
      </w:r>
      <w:r>
        <w:rPr>
          <w:rFonts w:cs="Arial"/>
          <w:sz w:val="24"/>
          <w:szCs w:val="24"/>
        </w:rPr>
        <w:t xml:space="preserve">number of new diagnoses (Figure 3) </w:t>
      </w:r>
      <w:r w:rsidR="00AC6985">
        <w:rPr>
          <w:rFonts w:cs="Arial"/>
          <w:sz w:val="24"/>
          <w:szCs w:val="24"/>
        </w:rPr>
        <w:t xml:space="preserve">by year and </w:t>
      </w:r>
      <w:r w:rsidR="00294F1B">
        <w:rPr>
          <w:rFonts w:cs="Arial"/>
          <w:sz w:val="24"/>
          <w:szCs w:val="24"/>
        </w:rPr>
        <w:t>gender</w:t>
      </w:r>
      <w:r w:rsidR="00AC6985">
        <w:rPr>
          <w:rFonts w:cs="Arial"/>
          <w:sz w:val="24"/>
          <w:szCs w:val="24"/>
        </w:rPr>
        <w:t>, continued to increase at least until 2017</w:t>
      </w:r>
      <w:r w:rsidR="00393848">
        <w:rPr>
          <w:rFonts w:cs="Arial"/>
          <w:sz w:val="24"/>
          <w:szCs w:val="24"/>
        </w:rPr>
        <w:t>;</w:t>
      </w:r>
      <w:r w:rsidR="00AC6985">
        <w:rPr>
          <w:rFonts w:cs="Arial"/>
          <w:sz w:val="24"/>
          <w:szCs w:val="24"/>
        </w:rPr>
        <w:t xml:space="preserve"> there may have been a reduction since then</w:t>
      </w:r>
      <w:r w:rsidR="00393848">
        <w:rPr>
          <w:rFonts w:cs="Arial"/>
          <w:sz w:val="24"/>
          <w:szCs w:val="24"/>
        </w:rPr>
        <w:t xml:space="preserve">, but this is uncertain at this stage </w:t>
      </w:r>
      <w:r w:rsidR="000E3246">
        <w:rPr>
          <w:rFonts w:cs="Arial"/>
          <w:sz w:val="24"/>
          <w:szCs w:val="24"/>
        </w:rPr>
        <w:t>as full reporting may take several years after the relevant year</w:t>
      </w:r>
      <w:r w:rsidR="00AC6985">
        <w:rPr>
          <w:rFonts w:cs="Arial"/>
          <w:sz w:val="24"/>
          <w:szCs w:val="24"/>
        </w:rPr>
        <w:t xml:space="preserve"> (Figure 3).</w:t>
      </w:r>
    </w:p>
    <w:p w14:paraId="7060A22B" w14:textId="171B8B9C" w:rsidR="00733178" w:rsidRDefault="00786381" w:rsidP="00733178">
      <w:pPr>
        <w:pStyle w:val="AIHWbodytext"/>
        <w:spacing w:before="360" w:line="480" w:lineRule="auto"/>
        <w:jc w:val="both"/>
        <w:rPr>
          <w:rFonts w:cs="Arial"/>
          <w:b/>
          <w:color w:val="000000"/>
          <w:sz w:val="24"/>
          <w:szCs w:val="24"/>
          <w:lang w:eastAsia="en-AU"/>
        </w:rPr>
      </w:pPr>
      <w:r>
        <w:rPr>
          <w:rFonts w:cs="Arial"/>
          <w:b/>
          <w:color w:val="000000"/>
          <w:sz w:val="24"/>
          <w:szCs w:val="24"/>
          <w:lang w:eastAsia="en-AU"/>
        </w:rPr>
        <w:t>M</w:t>
      </w:r>
      <w:r w:rsidR="00733178">
        <w:rPr>
          <w:rFonts w:cs="Arial"/>
          <w:b/>
          <w:color w:val="000000"/>
          <w:sz w:val="24"/>
          <w:szCs w:val="24"/>
          <w:lang w:eastAsia="en-AU"/>
        </w:rPr>
        <w:t>esothelioma</w:t>
      </w:r>
      <w:r>
        <w:rPr>
          <w:rFonts w:cs="Arial"/>
          <w:b/>
          <w:color w:val="000000"/>
          <w:sz w:val="24"/>
          <w:szCs w:val="24"/>
          <w:lang w:eastAsia="en-AU"/>
        </w:rPr>
        <w:t xml:space="preserve"> survival</w:t>
      </w:r>
    </w:p>
    <w:p w14:paraId="463A4022" w14:textId="019F6E28" w:rsidR="00733178" w:rsidRPr="00AD3ED3" w:rsidRDefault="00733178" w:rsidP="00733178">
      <w:pPr>
        <w:pStyle w:val="AIHWbodytext"/>
        <w:spacing w:before="360" w:line="480" w:lineRule="auto"/>
        <w:jc w:val="both"/>
        <w:rPr>
          <w:rFonts w:cs="Arial"/>
          <w:color w:val="000000"/>
          <w:sz w:val="24"/>
          <w:szCs w:val="24"/>
          <w:lang w:eastAsia="en-AU"/>
        </w:rPr>
      </w:pPr>
      <w:r w:rsidRPr="00AD3ED3">
        <w:rPr>
          <w:rFonts w:cs="Arial"/>
          <w:color w:val="000000"/>
          <w:sz w:val="24"/>
          <w:szCs w:val="24"/>
          <w:lang w:eastAsia="en-AU"/>
        </w:rPr>
        <w:t>Comp</w:t>
      </w:r>
      <w:r>
        <w:rPr>
          <w:rFonts w:cs="Arial"/>
          <w:color w:val="000000"/>
          <w:sz w:val="24"/>
          <w:szCs w:val="24"/>
          <w:lang w:eastAsia="en-AU"/>
        </w:rPr>
        <w:t>arison</w:t>
      </w:r>
      <w:r w:rsidRPr="00AD3ED3">
        <w:rPr>
          <w:rFonts w:cs="Arial"/>
          <w:color w:val="000000"/>
          <w:sz w:val="24"/>
          <w:szCs w:val="24"/>
          <w:lang w:eastAsia="en-AU"/>
        </w:rPr>
        <w:t xml:space="preserve"> of </w:t>
      </w:r>
      <w:r>
        <w:rPr>
          <w:rFonts w:cs="Arial"/>
          <w:color w:val="000000"/>
          <w:sz w:val="24"/>
          <w:szCs w:val="24"/>
          <w:lang w:eastAsia="en-AU"/>
        </w:rPr>
        <w:t xml:space="preserve">age-adjusted </w:t>
      </w:r>
      <w:r w:rsidR="00786381">
        <w:rPr>
          <w:rFonts w:cs="Arial"/>
          <w:color w:val="000000"/>
          <w:sz w:val="24"/>
          <w:szCs w:val="24"/>
          <w:lang w:eastAsia="en-AU"/>
        </w:rPr>
        <w:t xml:space="preserve">mesothelioma </w:t>
      </w:r>
      <w:r w:rsidRPr="00AD3ED3">
        <w:rPr>
          <w:rFonts w:cs="Arial"/>
          <w:color w:val="000000"/>
          <w:sz w:val="24"/>
          <w:szCs w:val="24"/>
          <w:lang w:eastAsia="en-AU"/>
        </w:rPr>
        <w:t xml:space="preserve">survival rates </w:t>
      </w:r>
      <w:r w:rsidR="00786381">
        <w:rPr>
          <w:rFonts w:cs="Arial"/>
          <w:color w:val="000000"/>
          <w:sz w:val="24"/>
          <w:szCs w:val="24"/>
          <w:lang w:eastAsia="en-AU"/>
        </w:rPr>
        <w:t xml:space="preserve">for </w:t>
      </w:r>
      <w:r w:rsidRPr="00AD3ED3">
        <w:rPr>
          <w:rFonts w:cs="Arial"/>
          <w:color w:val="000000"/>
          <w:sz w:val="24"/>
          <w:szCs w:val="24"/>
          <w:lang w:eastAsia="en-AU"/>
        </w:rPr>
        <w:t xml:space="preserve">1988-92 </w:t>
      </w:r>
      <w:r w:rsidR="00786381">
        <w:rPr>
          <w:rFonts w:cs="Arial"/>
          <w:color w:val="000000"/>
          <w:sz w:val="24"/>
          <w:szCs w:val="24"/>
          <w:lang w:eastAsia="en-AU"/>
        </w:rPr>
        <w:t>to</w:t>
      </w:r>
      <w:r w:rsidR="00786381" w:rsidRPr="00AD3ED3">
        <w:rPr>
          <w:rFonts w:cs="Arial"/>
          <w:color w:val="000000"/>
          <w:sz w:val="24"/>
          <w:szCs w:val="24"/>
          <w:lang w:eastAsia="en-AU"/>
        </w:rPr>
        <w:t xml:space="preserve"> </w:t>
      </w:r>
      <w:r w:rsidRPr="00AD3ED3">
        <w:rPr>
          <w:rFonts w:cs="Arial"/>
          <w:color w:val="000000"/>
          <w:sz w:val="24"/>
          <w:szCs w:val="24"/>
          <w:lang w:eastAsia="en-AU"/>
        </w:rPr>
        <w:t>2013-17</w:t>
      </w:r>
      <w:r>
        <w:rPr>
          <w:rFonts w:cs="Arial"/>
          <w:color w:val="000000"/>
          <w:sz w:val="24"/>
          <w:szCs w:val="24"/>
          <w:lang w:eastAsia="en-AU"/>
        </w:rPr>
        <w:t xml:space="preserve"> suggests that there has been a gradual improvement in rates of survival at 1-year, 3-years and 5-years between the two periods. </w:t>
      </w:r>
      <w:r w:rsidR="00B5119F">
        <w:rPr>
          <w:rFonts w:cs="Arial"/>
          <w:color w:val="000000"/>
          <w:sz w:val="24"/>
          <w:szCs w:val="24"/>
          <w:lang w:eastAsia="en-AU"/>
        </w:rPr>
        <w:t>One</w:t>
      </w:r>
      <w:r>
        <w:rPr>
          <w:rFonts w:cs="Arial"/>
          <w:color w:val="000000"/>
          <w:sz w:val="24"/>
          <w:szCs w:val="24"/>
          <w:lang w:eastAsia="en-AU"/>
        </w:rPr>
        <w:t>-year survival showed the greatest improvement</w:t>
      </w:r>
      <w:r w:rsidR="00947757">
        <w:rPr>
          <w:rFonts w:cs="Arial"/>
          <w:color w:val="000000"/>
          <w:sz w:val="24"/>
          <w:szCs w:val="24"/>
          <w:lang w:eastAsia="en-AU"/>
        </w:rPr>
        <w:t xml:space="preserve"> (from 30% to 46%)</w:t>
      </w:r>
      <w:r w:rsidR="00CD1B8E">
        <w:rPr>
          <w:rFonts w:cs="Arial"/>
          <w:color w:val="000000"/>
          <w:sz w:val="24"/>
          <w:szCs w:val="24"/>
          <w:lang w:eastAsia="en-AU"/>
        </w:rPr>
        <w:t xml:space="preserve"> (Figure 4)</w:t>
      </w:r>
      <w:r>
        <w:rPr>
          <w:rFonts w:cs="Arial"/>
          <w:color w:val="000000"/>
          <w:sz w:val="24"/>
          <w:szCs w:val="24"/>
          <w:lang w:eastAsia="en-AU"/>
        </w:rPr>
        <w:t>.</w:t>
      </w:r>
    </w:p>
    <w:p w14:paraId="6A120C37" w14:textId="1949AA2E" w:rsidR="00B4226E" w:rsidRDefault="00B0263E" w:rsidP="00D64D77">
      <w:pPr>
        <w:pStyle w:val="AIHWbodytext"/>
        <w:spacing w:before="360" w:line="480" w:lineRule="auto"/>
        <w:jc w:val="both"/>
        <w:rPr>
          <w:rFonts w:cs="Arial"/>
          <w:b/>
          <w:color w:val="000000"/>
          <w:sz w:val="24"/>
          <w:szCs w:val="24"/>
          <w:lang w:eastAsia="en-AU"/>
        </w:rPr>
      </w:pPr>
      <w:r>
        <w:rPr>
          <w:rFonts w:cs="Arial"/>
          <w:b/>
          <w:color w:val="000000"/>
          <w:sz w:val="24"/>
          <w:szCs w:val="24"/>
          <w:lang w:eastAsia="en-AU"/>
        </w:rPr>
        <w:t>Rates of completion of e</w:t>
      </w:r>
      <w:r w:rsidR="00B4226E">
        <w:rPr>
          <w:rFonts w:cs="Arial"/>
          <w:b/>
          <w:color w:val="000000"/>
          <w:sz w:val="24"/>
          <w:szCs w:val="24"/>
          <w:lang w:eastAsia="en-AU"/>
        </w:rPr>
        <w:t>xposure assessment</w:t>
      </w:r>
    </w:p>
    <w:p w14:paraId="3CB469A5" w14:textId="149D5599" w:rsidR="00B4226E" w:rsidRDefault="00B4226E" w:rsidP="00D64D77">
      <w:pPr>
        <w:pStyle w:val="AIHWbodytext"/>
        <w:spacing w:before="360" w:line="480" w:lineRule="auto"/>
        <w:jc w:val="both"/>
        <w:rPr>
          <w:rFonts w:cs="Arial"/>
          <w:color w:val="000000"/>
          <w:sz w:val="24"/>
          <w:szCs w:val="24"/>
          <w:lang w:eastAsia="en-AU"/>
        </w:rPr>
      </w:pPr>
      <w:r w:rsidRPr="00B4226E">
        <w:rPr>
          <w:rFonts w:cs="Arial"/>
          <w:color w:val="000000"/>
          <w:sz w:val="24"/>
          <w:szCs w:val="24"/>
          <w:lang w:eastAsia="en-AU"/>
        </w:rPr>
        <w:t>B</w:t>
      </w:r>
      <w:r w:rsidR="00B56051">
        <w:rPr>
          <w:rFonts w:cs="Arial"/>
          <w:color w:val="000000"/>
          <w:sz w:val="24"/>
          <w:szCs w:val="24"/>
          <w:lang w:eastAsia="en-AU"/>
        </w:rPr>
        <w:t>et</w:t>
      </w:r>
      <w:r w:rsidRPr="00B4226E">
        <w:rPr>
          <w:rFonts w:cs="Arial"/>
          <w:color w:val="000000"/>
          <w:sz w:val="24"/>
          <w:szCs w:val="24"/>
          <w:lang w:eastAsia="en-AU"/>
        </w:rPr>
        <w:t xml:space="preserve">ween 1 </w:t>
      </w:r>
      <w:r w:rsidR="000F1CD1" w:rsidRPr="00B4226E">
        <w:rPr>
          <w:rFonts w:cs="Arial"/>
          <w:color w:val="000000"/>
          <w:sz w:val="24"/>
          <w:szCs w:val="24"/>
          <w:lang w:eastAsia="en-AU"/>
        </w:rPr>
        <w:t>July</w:t>
      </w:r>
      <w:r w:rsidRPr="00B4226E">
        <w:rPr>
          <w:rFonts w:cs="Arial"/>
          <w:color w:val="000000"/>
          <w:sz w:val="24"/>
          <w:szCs w:val="24"/>
          <w:lang w:eastAsia="en-AU"/>
        </w:rPr>
        <w:t xml:space="preserve"> 2010 and 28 </w:t>
      </w:r>
      <w:r>
        <w:rPr>
          <w:rFonts w:cs="Arial"/>
          <w:color w:val="000000"/>
          <w:sz w:val="24"/>
          <w:szCs w:val="24"/>
          <w:lang w:eastAsia="en-AU"/>
        </w:rPr>
        <w:t>F</w:t>
      </w:r>
      <w:r w:rsidRPr="00B4226E">
        <w:rPr>
          <w:rFonts w:cs="Arial"/>
          <w:color w:val="000000"/>
          <w:sz w:val="24"/>
          <w:szCs w:val="24"/>
          <w:lang w:eastAsia="en-AU"/>
        </w:rPr>
        <w:t xml:space="preserve">ebruary 2019, 6124 </w:t>
      </w:r>
      <w:r w:rsidR="002C30EB">
        <w:rPr>
          <w:rFonts w:cs="Arial"/>
          <w:color w:val="000000"/>
          <w:sz w:val="24"/>
          <w:szCs w:val="24"/>
          <w:lang w:eastAsia="en-AU"/>
        </w:rPr>
        <w:t xml:space="preserve">new </w:t>
      </w:r>
      <w:r w:rsidRPr="00B4226E">
        <w:rPr>
          <w:rFonts w:cs="Arial"/>
          <w:color w:val="000000"/>
          <w:sz w:val="24"/>
          <w:szCs w:val="24"/>
          <w:lang w:eastAsia="en-AU"/>
        </w:rPr>
        <w:t>cases were notified to the registry</w:t>
      </w:r>
      <w:r w:rsidR="00FE7A7B">
        <w:rPr>
          <w:rFonts w:cs="Arial"/>
          <w:color w:val="000000"/>
          <w:sz w:val="24"/>
          <w:szCs w:val="24"/>
          <w:lang w:eastAsia="en-AU"/>
        </w:rPr>
        <w:t xml:space="preserve"> amongst whom</w:t>
      </w:r>
      <w:r>
        <w:rPr>
          <w:rFonts w:cs="Arial"/>
          <w:color w:val="000000"/>
          <w:sz w:val="24"/>
          <w:szCs w:val="24"/>
          <w:lang w:eastAsia="en-AU"/>
        </w:rPr>
        <w:t xml:space="preserve"> 874 completed the exposure assessment (response rate 14.3%)</w:t>
      </w:r>
      <w:r w:rsidR="002C30EB">
        <w:rPr>
          <w:rFonts w:cs="Arial"/>
          <w:color w:val="000000"/>
          <w:sz w:val="24"/>
          <w:szCs w:val="24"/>
          <w:lang w:eastAsia="en-AU"/>
        </w:rPr>
        <w:t>. Respondents and non-respondents were compared</w:t>
      </w:r>
      <w:r w:rsidR="004F56C6">
        <w:rPr>
          <w:rFonts w:cs="Arial"/>
          <w:color w:val="000000"/>
          <w:sz w:val="24"/>
          <w:szCs w:val="24"/>
          <w:lang w:eastAsia="en-AU"/>
        </w:rPr>
        <w:t xml:space="preserve">. </w:t>
      </w:r>
      <w:r w:rsidR="00B0263E">
        <w:rPr>
          <w:rFonts w:cs="Arial"/>
          <w:color w:val="000000"/>
          <w:sz w:val="24"/>
          <w:szCs w:val="24"/>
          <w:lang w:eastAsia="en-AU"/>
        </w:rPr>
        <w:t>No variation in response was seen by</w:t>
      </w:r>
      <w:r w:rsidR="00A8006C">
        <w:rPr>
          <w:rFonts w:cs="Arial"/>
          <w:color w:val="000000"/>
          <w:sz w:val="24"/>
          <w:szCs w:val="24"/>
          <w:lang w:eastAsia="en-AU"/>
        </w:rPr>
        <w:t xml:space="preserve"> </w:t>
      </w:r>
      <w:r w:rsidR="00FE7A7B">
        <w:rPr>
          <w:rFonts w:cs="Arial"/>
          <w:color w:val="000000"/>
          <w:sz w:val="24"/>
          <w:szCs w:val="24"/>
          <w:lang w:eastAsia="en-AU"/>
        </w:rPr>
        <w:t>age or</w:t>
      </w:r>
      <w:r w:rsidR="00B0263E">
        <w:rPr>
          <w:rFonts w:cs="Arial"/>
          <w:color w:val="000000"/>
          <w:sz w:val="24"/>
          <w:szCs w:val="24"/>
          <w:lang w:eastAsia="en-AU"/>
        </w:rPr>
        <w:t xml:space="preserve"> </w:t>
      </w:r>
      <w:r w:rsidR="00294F1B">
        <w:rPr>
          <w:rFonts w:cs="Arial"/>
          <w:color w:val="000000"/>
          <w:sz w:val="24"/>
          <w:szCs w:val="24"/>
          <w:lang w:eastAsia="en-AU"/>
        </w:rPr>
        <w:t>gender</w:t>
      </w:r>
      <w:r w:rsidR="00B0263E">
        <w:rPr>
          <w:rFonts w:cs="Arial"/>
          <w:color w:val="000000"/>
          <w:sz w:val="24"/>
          <w:szCs w:val="24"/>
          <w:lang w:eastAsia="en-AU"/>
        </w:rPr>
        <w:t>;</w:t>
      </w:r>
      <w:r w:rsidR="00906E02" w:rsidRPr="00906E02">
        <w:rPr>
          <w:rFonts w:cs="Arial"/>
          <w:color w:val="000000"/>
          <w:sz w:val="24"/>
          <w:szCs w:val="24"/>
          <w:lang w:eastAsia="en-AU"/>
        </w:rPr>
        <w:t xml:space="preserve"> </w:t>
      </w:r>
      <w:r w:rsidR="00E20DC9">
        <w:rPr>
          <w:rFonts w:cs="Arial"/>
          <w:color w:val="000000"/>
          <w:sz w:val="24"/>
          <w:szCs w:val="24"/>
          <w:lang w:eastAsia="en-AU"/>
        </w:rPr>
        <w:t xml:space="preserve">reported </w:t>
      </w:r>
      <w:r w:rsidR="00906E02">
        <w:rPr>
          <w:rFonts w:cs="Arial"/>
          <w:color w:val="000000"/>
          <w:sz w:val="24"/>
          <w:szCs w:val="24"/>
          <w:lang w:eastAsia="en-AU"/>
        </w:rPr>
        <w:t xml:space="preserve">Aboriginal and/or Torres Strait Islander </w:t>
      </w:r>
      <w:r w:rsidR="00E20DC9">
        <w:rPr>
          <w:rFonts w:cs="Arial"/>
          <w:color w:val="000000"/>
          <w:sz w:val="24"/>
          <w:szCs w:val="24"/>
          <w:lang w:eastAsia="en-AU"/>
        </w:rPr>
        <w:t>status</w:t>
      </w:r>
      <w:r w:rsidR="00B0263E">
        <w:rPr>
          <w:rFonts w:cs="Arial"/>
          <w:color w:val="000000"/>
          <w:sz w:val="24"/>
          <w:szCs w:val="24"/>
          <w:lang w:eastAsia="en-AU"/>
        </w:rPr>
        <w:t>; state/territory; season</w:t>
      </w:r>
      <w:r w:rsidR="00E20DC9">
        <w:rPr>
          <w:rFonts w:cs="Arial"/>
          <w:color w:val="000000"/>
          <w:sz w:val="24"/>
          <w:szCs w:val="24"/>
          <w:lang w:eastAsia="en-AU"/>
        </w:rPr>
        <w:t>;</w:t>
      </w:r>
      <w:r w:rsidR="00B0263E">
        <w:rPr>
          <w:rFonts w:cs="Arial"/>
          <w:color w:val="000000"/>
          <w:sz w:val="24"/>
          <w:szCs w:val="24"/>
          <w:lang w:eastAsia="en-AU"/>
        </w:rPr>
        <w:t xml:space="preserve"> or </w:t>
      </w:r>
      <w:r w:rsidR="00906E02">
        <w:rPr>
          <w:rFonts w:cs="Arial"/>
          <w:color w:val="000000"/>
          <w:sz w:val="24"/>
          <w:szCs w:val="24"/>
          <w:lang w:eastAsia="en-AU"/>
        </w:rPr>
        <w:t>tumour descriptors</w:t>
      </w:r>
      <w:r w:rsidR="00B0263E">
        <w:rPr>
          <w:rFonts w:cs="Arial"/>
          <w:color w:val="000000"/>
          <w:sz w:val="24"/>
          <w:szCs w:val="24"/>
          <w:lang w:eastAsia="en-AU"/>
        </w:rPr>
        <w:t>. However, r</w:t>
      </w:r>
      <w:r w:rsidR="00D410DB">
        <w:rPr>
          <w:rFonts w:cs="Arial"/>
          <w:color w:val="000000"/>
          <w:sz w:val="24"/>
          <w:szCs w:val="24"/>
          <w:lang w:eastAsia="en-AU"/>
        </w:rPr>
        <w:t>esponses were more likely when the delay between diagnosis and notification to AMR was shortest</w:t>
      </w:r>
      <w:r w:rsidR="00D410DB" w:rsidRPr="00D410DB">
        <w:rPr>
          <w:rFonts w:cs="Arial"/>
          <w:color w:val="000000"/>
          <w:sz w:val="24"/>
          <w:szCs w:val="24"/>
          <w:lang w:eastAsia="en-AU"/>
        </w:rPr>
        <w:t xml:space="preserve"> </w:t>
      </w:r>
      <w:r w:rsidR="00D410DB">
        <w:rPr>
          <w:rFonts w:cs="Arial"/>
          <w:color w:val="000000"/>
          <w:sz w:val="24"/>
          <w:szCs w:val="24"/>
          <w:lang w:eastAsia="en-AU"/>
        </w:rPr>
        <w:t>(OR 5.</w:t>
      </w:r>
      <w:r w:rsidR="00786381">
        <w:rPr>
          <w:rFonts w:cs="Arial"/>
          <w:color w:val="000000"/>
          <w:sz w:val="24"/>
          <w:szCs w:val="24"/>
          <w:lang w:eastAsia="en-AU"/>
        </w:rPr>
        <w:t>5</w:t>
      </w:r>
      <w:r w:rsidR="00D410DB">
        <w:rPr>
          <w:rFonts w:cs="Arial"/>
          <w:color w:val="000000"/>
          <w:sz w:val="24"/>
          <w:szCs w:val="24"/>
          <w:lang w:eastAsia="en-AU"/>
        </w:rPr>
        <w:t xml:space="preserve">, 95% </w:t>
      </w:r>
      <w:r w:rsidR="00E52C85">
        <w:rPr>
          <w:rFonts w:cs="Arial"/>
          <w:color w:val="000000"/>
          <w:sz w:val="24"/>
          <w:szCs w:val="24"/>
          <w:lang w:eastAsia="en-AU"/>
        </w:rPr>
        <w:t>confidence interval (</w:t>
      </w:r>
      <w:r w:rsidR="00D410DB">
        <w:rPr>
          <w:rFonts w:cs="Arial"/>
          <w:color w:val="000000"/>
          <w:sz w:val="24"/>
          <w:szCs w:val="24"/>
          <w:lang w:eastAsia="en-AU"/>
        </w:rPr>
        <w:t>CI</w:t>
      </w:r>
      <w:r w:rsidR="00E52C85">
        <w:rPr>
          <w:rFonts w:cs="Arial"/>
          <w:color w:val="000000"/>
          <w:sz w:val="24"/>
          <w:szCs w:val="24"/>
          <w:lang w:eastAsia="en-AU"/>
        </w:rPr>
        <w:t>)</w:t>
      </w:r>
      <w:r w:rsidR="00D410DB">
        <w:rPr>
          <w:rFonts w:cs="Arial"/>
          <w:color w:val="000000"/>
          <w:sz w:val="24"/>
          <w:szCs w:val="24"/>
          <w:lang w:eastAsia="en-AU"/>
        </w:rPr>
        <w:t xml:space="preserve"> 4.1-7.5 for shortest duration vs longest duration). Response rates were better from people born in Australia or English-speaking countries </w:t>
      </w:r>
      <w:r w:rsidR="00D410DB">
        <w:rPr>
          <w:rFonts w:cs="Arial"/>
          <w:color w:val="000000"/>
          <w:sz w:val="24"/>
          <w:szCs w:val="24"/>
          <w:lang w:eastAsia="en-AU"/>
        </w:rPr>
        <w:lastRenderedPageBreak/>
        <w:t>(compared with people born in other countries</w:t>
      </w:r>
      <w:r w:rsidR="00365422">
        <w:rPr>
          <w:rFonts w:cs="Arial"/>
          <w:color w:val="000000"/>
          <w:sz w:val="24"/>
          <w:szCs w:val="24"/>
          <w:lang w:eastAsia="en-AU"/>
        </w:rPr>
        <w:t>:</w:t>
      </w:r>
      <w:r w:rsidR="00D410DB">
        <w:rPr>
          <w:rFonts w:cs="Arial"/>
          <w:color w:val="000000"/>
          <w:sz w:val="24"/>
          <w:szCs w:val="24"/>
          <w:lang w:eastAsia="en-AU"/>
        </w:rPr>
        <w:t xml:space="preserve"> OR 1.</w:t>
      </w:r>
      <w:r w:rsidR="00786381">
        <w:rPr>
          <w:rFonts w:cs="Arial"/>
          <w:color w:val="000000"/>
          <w:sz w:val="24"/>
          <w:szCs w:val="24"/>
          <w:lang w:eastAsia="en-AU"/>
        </w:rPr>
        <w:t>9</w:t>
      </w:r>
      <w:r w:rsidR="00D410DB">
        <w:rPr>
          <w:rFonts w:cs="Arial"/>
          <w:color w:val="000000"/>
          <w:sz w:val="24"/>
          <w:szCs w:val="24"/>
          <w:lang w:eastAsia="en-AU"/>
        </w:rPr>
        <w:t>, 95% CI 1.5-2.4 and OR 1.</w:t>
      </w:r>
      <w:r w:rsidR="001F4656">
        <w:rPr>
          <w:rFonts w:cs="Arial"/>
          <w:color w:val="000000"/>
          <w:sz w:val="24"/>
          <w:szCs w:val="24"/>
          <w:lang w:eastAsia="en-AU"/>
        </w:rPr>
        <w:t>4</w:t>
      </w:r>
      <w:r w:rsidR="00D410DB">
        <w:rPr>
          <w:rFonts w:cs="Arial"/>
          <w:color w:val="000000"/>
          <w:sz w:val="24"/>
          <w:szCs w:val="24"/>
          <w:lang w:eastAsia="en-AU"/>
        </w:rPr>
        <w:t>, 95% C</w:t>
      </w:r>
      <w:r w:rsidR="00DA22C1">
        <w:rPr>
          <w:rFonts w:cs="Arial"/>
          <w:color w:val="000000"/>
          <w:sz w:val="24"/>
          <w:szCs w:val="24"/>
          <w:lang w:eastAsia="en-AU"/>
        </w:rPr>
        <w:t>I</w:t>
      </w:r>
      <w:r w:rsidR="00D410DB">
        <w:rPr>
          <w:rFonts w:cs="Arial"/>
          <w:color w:val="000000"/>
          <w:sz w:val="24"/>
          <w:szCs w:val="24"/>
          <w:lang w:eastAsia="en-AU"/>
        </w:rPr>
        <w:t xml:space="preserve"> 1.0-1.</w:t>
      </w:r>
      <w:r w:rsidR="00786381">
        <w:rPr>
          <w:rFonts w:cs="Arial"/>
          <w:color w:val="000000"/>
          <w:sz w:val="24"/>
          <w:szCs w:val="24"/>
          <w:lang w:eastAsia="en-AU"/>
        </w:rPr>
        <w:t xml:space="preserve">9 </w:t>
      </w:r>
      <w:r w:rsidR="00D410DB">
        <w:rPr>
          <w:rFonts w:cs="Arial"/>
          <w:color w:val="000000"/>
          <w:sz w:val="24"/>
          <w:szCs w:val="24"/>
          <w:lang w:eastAsia="en-AU"/>
        </w:rPr>
        <w:t xml:space="preserve">respectively). Finally, responses were </w:t>
      </w:r>
      <w:r w:rsidR="00906E02">
        <w:rPr>
          <w:rFonts w:cs="Arial"/>
          <w:color w:val="000000"/>
          <w:sz w:val="24"/>
          <w:szCs w:val="24"/>
          <w:lang w:eastAsia="en-AU"/>
        </w:rPr>
        <w:t xml:space="preserve">more likely </w:t>
      </w:r>
      <w:r w:rsidR="00D410DB">
        <w:rPr>
          <w:rFonts w:cs="Arial"/>
          <w:color w:val="000000"/>
          <w:sz w:val="24"/>
          <w:szCs w:val="24"/>
          <w:lang w:eastAsia="en-AU"/>
        </w:rPr>
        <w:t xml:space="preserve">among those diagnosed younger: compared with those aged over 80 years, those aged </w:t>
      </w:r>
      <w:r w:rsidR="00660AC7">
        <w:rPr>
          <w:rFonts w:cs="Arial"/>
          <w:color w:val="000000"/>
          <w:sz w:val="24"/>
          <w:szCs w:val="24"/>
          <w:lang w:eastAsia="en-AU"/>
        </w:rPr>
        <w:t>≤</w:t>
      </w:r>
      <w:r w:rsidR="00D410DB">
        <w:rPr>
          <w:rFonts w:cs="Arial"/>
          <w:color w:val="000000"/>
          <w:sz w:val="24"/>
          <w:szCs w:val="24"/>
          <w:lang w:eastAsia="en-AU"/>
        </w:rPr>
        <w:t>69 years: OR 1.</w:t>
      </w:r>
      <w:r w:rsidR="00786381">
        <w:rPr>
          <w:rFonts w:cs="Arial"/>
          <w:color w:val="000000"/>
          <w:sz w:val="24"/>
          <w:szCs w:val="24"/>
          <w:lang w:eastAsia="en-AU"/>
        </w:rPr>
        <w:t>9</w:t>
      </w:r>
      <w:r w:rsidR="00D410DB">
        <w:rPr>
          <w:rFonts w:cs="Arial"/>
          <w:color w:val="000000"/>
          <w:sz w:val="24"/>
          <w:szCs w:val="24"/>
          <w:lang w:eastAsia="en-AU"/>
        </w:rPr>
        <w:t>, 95% CI 1.5-2.3 and those aged 70-79 years</w:t>
      </w:r>
      <w:r w:rsidR="00365422">
        <w:rPr>
          <w:rFonts w:cs="Arial"/>
          <w:color w:val="000000"/>
          <w:sz w:val="24"/>
          <w:szCs w:val="24"/>
          <w:lang w:eastAsia="en-AU"/>
        </w:rPr>
        <w:t>:</w:t>
      </w:r>
      <w:r w:rsidR="00D410DB">
        <w:rPr>
          <w:rFonts w:cs="Arial"/>
          <w:color w:val="000000"/>
          <w:sz w:val="24"/>
          <w:szCs w:val="24"/>
          <w:lang w:eastAsia="en-AU"/>
        </w:rPr>
        <w:t xml:space="preserve"> (OR 1.</w:t>
      </w:r>
      <w:r w:rsidR="00786381">
        <w:rPr>
          <w:rFonts w:cs="Arial"/>
          <w:color w:val="000000"/>
          <w:sz w:val="24"/>
          <w:szCs w:val="24"/>
          <w:lang w:eastAsia="en-AU"/>
        </w:rPr>
        <w:t>7</w:t>
      </w:r>
      <w:r w:rsidR="00D410DB">
        <w:rPr>
          <w:rFonts w:cs="Arial"/>
          <w:color w:val="000000"/>
          <w:sz w:val="24"/>
          <w:szCs w:val="24"/>
          <w:lang w:eastAsia="en-AU"/>
        </w:rPr>
        <w:t>, 95% CI 1.</w:t>
      </w:r>
      <w:r w:rsidR="00786381">
        <w:rPr>
          <w:rFonts w:cs="Arial"/>
          <w:color w:val="000000"/>
          <w:sz w:val="24"/>
          <w:szCs w:val="24"/>
          <w:lang w:eastAsia="en-AU"/>
        </w:rPr>
        <w:t>4</w:t>
      </w:r>
      <w:r w:rsidR="00D410DB">
        <w:rPr>
          <w:rFonts w:cs="Arial"/>
          <w:color w:val="000000"/>
          <w:sz w:val="24"/>
          <w:szCs w:val="24"/>
          <w:lang w:eastAsia="en-AU"/>
        </w:rPr>
        <w:t xml:space="preserve">-2.1). Whilst these factors were associated with likelihood of completion of exposure information, </w:t>
      </w:r>
      <w:r w:rsidR="00786381">
        <w:rPr>
          <w:rFonts w:cs="Arial"/>
          <w:color w:val="000000"/>
          <w:sz w:val="24"/>
          <w:szCs w:val="24"/>
          <w:lang w:eastAsia="en-AU"/>
        </w:rPr>
        <w:t>non-parametric significance testing</w:t>
      </w:r>
      <w:r w:rsidR="00B0263E">
        <w:rPr>
          <w:rFonts w:cs="Arial"/>
          <w:color w:val="000000"/>
          <w:sz w:val="24"/>
          <w:szCs w:val="24"/>
          <w:lang w:eastAsia="en-AU"/>
        </w:rPr>
        <w:t xml:space="preserve"> showed that neither </w:t>
      </w:r>
      <w:r w:rsidR="00906E02">
        <w:rPr>
          <w:rFonts w:cs="Arial"/>
          <w:color w:val="000000"/>
          <w:sz w:val="24"/>
          <w:szCs w:val="24"/>
          <w:lang w:eastAsia="en-AU"/>
        </w:rPr>
        <w:t xml:space="preserve">the resultant </w:t>
      </w:r>
      <w:r w:rsidR="00B0263E">
        <w:rPr>
          <w:rFonts w:cs="Arial"/>
          <w:color w:val="000000"/>
          <w:sz w:val="24"/>
          <w:szCs w:val="24"/>
          <w:lang w:eastAsia="en-AU"/>
        </w:rPr>
        <w:t xml:space="preserve">category of asbestos exposure (occupational, non-occupational, both, neither) nor category of probability of asbestos exposure (possible; probable -low; probable-medium; probable-high) </w:t>
      </w:r>
      <w:r w:rsidR="00786381">
        <w:rPr>
          <w:rFonts w:cs="Arial"/>
          <w:color w:val="000000"/>
          <w:sz w:val="24"/>
          <w:szCs w:val="24"/>
          <w:lang w:eastAsia="en-AU"/>
        </w:rPr>
        <w:t>differed by</w:t>
      </w:r>
      <w:r w:rsidR="00B0263E">
        <w:rPr>
          <w:rFonts w:cs="Arial"/>
          <w:color w:val="000000"/>
          <w:sz w:val="24"/>
          <w:szCs w:val="24"/>
          <w:lang w:eastAsia="en-AU"/>
        </w:rPr>
        <w:t xml:space="preserve"> </w:t>
      </w:r>
      <w:r w:rsidR="00906E02">
        <w:rPr>
          <w:rFonts w:cs="Arial"/>
          <w:color w:val="000000"/>
          <w:sz w:val="24"/>
          <w:szCs w:val="24"/>
          <w:lang w:eastAsia="en-AU"/>
        </w:rPr>
        <w:t>those</w:t>
      </w:r>
      <w:r w:rsidR="00B0263E">
        <w:rPr>
          <w:rFonts w:cs="Arial"/>
          <w:color w:val="000000"/>
          <w:sz w:val="24"/>
          <w:szCs w:val="24"/>
          <w:lang w:eastAsia="en-AU"/>
        </w:rPr>
        <w:t xml:space="preserve"> factors.</w:t>
      </w:r>
    </w:p>
    <w:p w14:paraId="42BDCEFF" w14:textId="77777777" w:rsidR="00CC7232" w:rsidRDefault="00CC7232" w:rsidP="00B4226E">
      <w:pPr>
        <w:pStyle w:val="Heading3"/>
        <w:rPr>
          <w:rFonts w:cs="Arial"/>
          <w:sz w:val="24"/>
          <w:szCs w:val="24"/>
        </w:rPr>
      </w:pPr>
    </w:p>
    <w:p w14:paraId="5653193E" w14:textId="32AD7066" w:rsidR="00B4226E" w:rsidRPr="00C97C77" w:rsidRDefault="00B4226E" w:rsidP="00B4226E">
      <w:pPr>
        <w:pStyle w:val="Heading3"/>
        <w:rPr>
          <w:rFonts w:cs="Arial"/>
          <w:sz w:val="24"/>
          <w:szCs w:val="24"/>
        </w:rPr>
      </w:pPr>
      <w:r w:rsidRPr="00C97C77">
        <w:rPr>
          <w:rFonts w:cs="Arial"/>
          <w:sz w:val="24"/>
          <w:szCs w:val="24"/>
        </w:rPr>
        <w:t>Asbestos exposure among people with mesothelioma</w:t>
      </w:r>
    </w:p>
    <w:p w14:paraId="6CF57389" w14:textId="60A02875" w:rsidR="00D64D77" w:rsidRPr="00C97C77" w:rsidRDefault="002B2A03" w:rsidP="00D64D77">
      <w:pPr>
        <w:pStyle w:val="AIHWbodytext"/>
        <w:spacing w:before="360" w:line="480" w:lineRule="auto"/>
        <w:jc w:val="both"/>
        <w:rPr>
          <w:rFonts w:cs="Arial"/>
          <w:color w:val="000000"/>
          <w:sz w:val="24"/>
          <w:szCs w:val="24"/>
          <w:lang w:eastAsia="en-AU"/>
        </w:rPr>
      </w:pPr>
      <w:r>
        <w:rPr>
          <w:rFonts w:cs="Arial"/>
          <w:color w:val="000000"/>
          <w:sz w:val="24"/>
          <w:szCs w:val="24"/>
          <w:lang w:eastAsia="en-AU"/>
        </w:rPr>
        <w:t xml:space="preserve">Participation rates in the </w:t>
      </w:r>
      <w:r w:rsidR="00786381">
        <w:rPr>
          <w:rFonts w:cs="Arial"/>
          <w:color w:val="000000"/>
          <w:sz w:val="24"/>
          <w:szCs w:val="24"/>
          <w:lang w:eastAsia="en-AU"/>
        </w:rPr>
        <w:t xml:space="preserve">asbestos </w:t>
      </w:r>
      <w:r>
        <w:rPr>
          <w:rFonts w:cs="Arial"/>
          <w:color w:val="000000"/>
          <w:sz w:val="24"/>
          <w:szCs w:val="24"/>
          <w:lang w:eastAsia="en-AU"/>
        </w:rPr>
        <w:t xml:space="preserve">exposure assessment remained stable at 14-15% throughout but dipped slightly (12%) during the COVID-19 pandemic. </w:t>
      </w:r>
      <w:r w:rsidR="00FE7A7B">
        <w:rPr>
          <w:rFonts w:cs="Arial"/>
          <w:color w:val="000000"/>
          <w:sz w:val="24"/>
          <w:szCs w:val="24"/>
          <w:lang w:eastAsia="en-AU"/>
        </w:rPr>
        <w:t xml:space="preserve">At the </w:t>
      </w:r>
      <w:r w:rsidR="0013678E">
        <w:rPr>
          <w:rFonts w:cs="Arial"/>
          <w:color w:val="000000"/>
          <w:sz w:val="24"/>
          <w:szCs w:val="24"/>
          <w:lang w:eastAsia="en-AU"/>
        </w:rPr>
        <w:t>end of 2020</w:t>
      </w:r>
      <w:r w:rsidR="00B4226E" w:rsidRPr="00C97C77">
        <w:rPr>
          <w:rFonts w:cs="Arial"/>
          <w:color w:val="000000"/>
          <w:sz w:val="24"/>
          <w:szCs w:val="24"/>
          <w:lang w:eastAsia="en-AU"/>
        </w:rPr>
        <w:t xml:space="preserve">, </w:t>
      </w:r>
      <w:r w:rsidR="0013678E" w:rsidRPr="00C97C77">
        <w:rPr>
          <w:rFonts w:cs="Arial"/>
          <w:color w:val="000000"/>
          <w:sz w:val="24"/>
          <w:szCs w:val="24"/>
          <w:lang w:eastAsia="en-AU"/>
        </w:rPr>
        <w:t>1</w:t>
      </w:r>
      <w:r w:rsidR="0013678E">
        <w:rPr>
          <w:rFonts w:cs="Arial"/>
          <w:color w:val="000000"/>
          <w:sz w:val="24"/>
          <w:szCs w:val="24"/>
          <w:lang w:eastAsia="en-AU"/>
        </w:rPr>
        <w:t>253</w:t>
      </w:r>
      <w:r w:rsidR="0013678E" w:rsidRPr="00C97C77">
        <w:rPr>
          <w:rFonts w:cs="Arial"/>
          <w:color w:val="000000"/>
          <w:sz w:val="24"/>
          <w:szCs w:val="24"/>
          <w:lang w:eastAsia="en-AU"/>
        </w:rPr>
        <w:t xml:space="preserve"> </w:t>
      </w:r>
      <w:r w:rsidR="00B4226E" w:rsidRPr="00C97C77">
        <w:rPr>
          <w:rFonts w:cs="Arial"/>
          <w:color w:val="000000"/>
          <w:sz w:val="24"/>
          <w:szCs w:val="24"/>
          <w:lang w:eastAsia="en-AU"/>
        </w:rPr>
        <w:t>people (</w:t>
      </w:r>
      <w:r w:rsidR="0013678E">
        <w:rPr>
          <w:rFonts w:cs="Arial"/>
          <w:color w:val="000000"/>
          <w:sz w:val="24"/>
          <w:szCs w:val="24"/>
          <w:lang w:eastAsia="en-AU"/>
        </w:rPr>
        <w:t>1000</w:t>
      </w:r>
      <w:r w:rsidR="0013678E" w:rsidRPr="00C97C77">
        <w:rPr>
          <w:rFonts w:cs="Arial"/>
          <w:color w:val="000000"/>
          <w:sz w:val="24"/>
          <w:szCs w:val="24"/>
          <w:lang w:eastAsia="en-AU"/>
        </w:rPr>
        <w:t xml:space="preserve"> </w:t>
      </w:r>
      <w:r w:rsidR="00B4226E" w:rsidRPr="00C97C77">
        <w:rPr>
          <w:rFonts w:cs="Arial"/>
          <w:color w:val="000000"/>
          <w:sz w:val="24"/>
          <w:szCs w:val="24"/>
          <w:lang w:eastAsia="en-AU"/>
        </w:rPr>
        <w:t xml:space="preserve">men and </w:t>
      </w:r>
      <w:r w:rsidR="0013678E" w:rsidRPr="00C97C77">
        <w:rPr>
          <w:rFonts w:cs="Arial"/>
          <w:color w:val="000000"/>
          <w:sz w:val="24"/>
          <w:szCs w:val="24"/>
          <w:lang w:eastAsia="en-AU"/>
        </w:rPr>
        <w:t>2</w:t>
      </w:r>
      <w:r w:rsidR="0013678E">
        <w:rPr>
          <w:rFonts w:cs="Arial"/>
          <w:color w:val="000000"/>
          <w:sz w:val="24"/>
          <w:szCs w:val="24"/>
          <w:lang w:eastAsia="en-AU"/>
        </w:rPr>
        <w:t>53</w:t>
      </w:r>
      <w:r w:rsidR="0013678E" w:rsidRPr="00C97C77">
        <w:rPr>
          <w:rFonts w:cs="Arial"/>
          <w:color w:val="000000"/>
          <w:sz w:val="24"/>
          <w:szCs w:val="24"/>
          <w:lang w:eastAsia="en-AU"/>
        </w:rPr>
        <w:t xml:space="preserve"> </w:t>
      </w:r>
      <w:r w:rsidR="00B4226E" w:rsidRPr="00C97C77">
        <w:rPr>
          <w:rFonts w:cs="Arial"/>
          <w:color w:val="000000"/>
          <w:sz w:val="24"/>
          <w:szCs w:val="24"/>
          <w:lang w:eastAsia="en-AU"/>
        </w:rPr>
        <w:t>women) in the AMR</w:t>
      </w:r>
      <w:r w:rsidR="00FE7A7B">
        <w:rPr>
          <w:rFonts w:cs="Arial"/>
          <w:color w:val="000000"/>
          <w:sz w:val="24"/>
          <w:szCs w:val="24"/>
          <w:lang w:eastAsia="en-AU"/>
        </w:rPr>
        <w:t xml:space="preserve"> had</w:t>
      </w:r>
      <w:r w:rsidR="00B4226E" w:rsidRPr="00C97C77">
        <w:rPr>
          <w:rFonts w:cs="Arial"/>
          <w:color w:val="000000"/>
          <w:sz w:val="24"/>
          <w:szCs w:val="24"/>
          <w:lang w:eastAsia="en-AU"/>
        </w:rPr>
        <w:t xml:space="preserve"> consented to participate in the voluntary asbestos exposure assessments</w:t>
      </w:r>
      <w:r w:rsidR="00CC7232">
        <w:rPr>
          <w:rFonts w:cs="Arial"/>
          <w:color w:val="000000"/>
          <w:sz w:val="24"/>
          <w:szCs w:val="24"/>
          <w:lang w:eastAsia="en-AU"/>
        </w:rPr>
        <w:t>.</w:t>
      </w:r>
      <w:r w:rsidR="00B4226E" w:rsidRPr="00C97C77">
        <w:rPr>
          <w:rFonts w:cs="Arial"/>
          <w:color w:val="000000"/>
          <w:sz w:val="24"/>
          <w:szCs w:val="24"/>
          <w:lang w:eastAsia="en-AU"/>
        </w:rPr>
        <w:t xml:space="preserve"> </w:t>
      </w:r>
      <w:r w:rsidR="00F87B64">
        <w:rPr>
          <w:rFonts w:cs="Arial"/>
          <w:color w:val="000000"/>
          <w:sz w:val="24"/>
          <w:szCs w:val="24"/>
          <w:lang w:eastAsia="en-AU"/>
        </w:rPr>
        <w:t>Of these,</w:t>
      </w:r>
      <w:r w:rsidR="00B4226E" w:rsidRPr="00C97C77">
        <w:rPr>
          <w:rFonts w:cs="Arial"/>
          <w:color w:val="000000"/>
          <w:sz w:val="24"/>
          <w:szCs w:val="24"/>
          <w:lang w:eastAsia="en-AU"/>
        </w:rPr>
        <w:t xml:space="preserve"> 1,</w:t>
      </w:r>
      <w:r w:rsidR="0013678E" w:rsidRPr="00C97C77">
        <w:rPr>
          <w:rFonts w:cs="Arial"/>
          <w:color w:val="000000"/>
          <w:sz w:val="24"/>
          <w:szCs w:val="24"/>
          <w:lang w:eastAsia="en-AU"/>
        </w:rPr>
        <w:t>0</w:t>
      </w:r>
      <w:r w:rsidR="0013678E">
        <w:rPr>
          <w:rFonts w:cs="Arial"/>
          <w:color w:val="000000"/>
          <w:sz w:val="24"/>
          <w:szCs w:val="24"/>
          <w:lang w:eastAsia="en-AU"/>
        </w:rPr>
        <w:t>98</w:t>
      </w:r>
      <w:r w:rsidR="0013678E" w:rsidRPr="00C97C77">
        <w:rPr>
          <w:rFonts w:cs="Arial"/>
          <w:color w:val="000000"/>
          <w:sz w:val="24"/>
          <w:szCs w:val="24"/>
          <w:lang w:eastAsia="en-AU"/>
        </w:rPr>
        <w:t xml:space="preserve"> </w:t>
      </w:r>
      <w:r w:rsidR="00B4226E" w:rsidRPr="00C97C77">
        <w:rPr>
          <w:rFonts w:cs="Arial"/>
          <w:color w:val="000000"/>
          <w:sz w:val="24"/>
          <w:szCs w:val="24"/>
          <w:lang w:eastAsia="en-AU"/>
        </w:rPr>
        <w:t>(</w:t>
      </w:r>
      <w:r w:rsidR="0013678E" w:rsidRPr="00C97C77">
        <w:rPr>
          <w:rFonts w:cs="Arial"/>
          <w:color w:val="000000"/>
          <w:sz w:val="24"/>
          <w:szCs w:val="24"/>
          <w:lang w:eastAsia="en-AU"/>
        </w:rPr>
        <w:t>8</w:t>
      </w:r>
      <w:r w:rsidR="0013678E">
        <w:rPr>
          <w:rFonts w:cs="Arial"/>
          <w:color w:val="000000"/>
          <w:sz w:val="24"/>
          <w:szCs w:val="24"/>
          <w:lang w:eastAsia="en-AU"/>
        </w:rPr>
        <w:t>67</w:t>
      </w:r>
      <w:r w:rsidR="0013678E" w:rsidRPr="00C97C77">
        <w:rPr>
          <w:rFonts w:cs="Arial"/>
          <w:color w:val="000000"/>
          <w:sz w:val="24"/>
          <w:szCs w:val="24"/>
          <w:lang w:eastAsia="en-AU"/>
        </w:rPr>
        <w:t xml:space="preserve"> </w:t>
      </w:r>
      <w:r w:rsidR="00B4226E" w:rsidRPr="00C97C77">
        <w:rPr>
          <w:rFonts w:cs="Arial"/>
          <w:color w:val="000000"/>
          <w:sz w:val="24"/>
          <w:szCs w:val="24"/>
          <w:lang w:eastAsia="en-AU"/>
        </w:rPr>
        <w:t xml:space="preserve">men and </w:t>
      </w:r>
      <w:r w:rsidR="0013678E" w:rsidRPr="00C97C77">
        <w:rPr>
          <w:rFonts w:cs="Arial"/>
          <w:color w:val="000000"/>
          <w:sz w:val="24"/>
          <w:szCs w:val="24"/>
          <w:lang w:eastAsia="en-AU"/>
        </w:rPr>
        <w:t>2</w:t>
      </w:r>
      <w:r w:rsidR="0013678E">
        <w:rPr>
          <w:rFonts w:cs="Arial"/>
          <w:color w:val="000000"/>
          <w:sz w:val="24"/>
          <w:szCs w:val="24"/>
          <w:lang w:eastAsia="en-AU"/>
        </w:rPr>
        <w:t>31</w:t>
      </w:r>
      <w:r w:rsidR="0013678E" w:rsidRPr="00C97C77">
        <w:rPr>
          <w:rFonts w:cs="Arial"/>
          <w:color w:val="000000"/>
          <w:sz w:val="24"/>
          <w:szCs w:val="24"/>
          <w:lang w:eastAsia="en-AU"/>
        </w:rPr>
        <w:t xml:space="preserve"> </w:t>
      </w:r>
      <w:r w:rsidR="00B4226E" w:rsidRPr="00C97C77">
        <w:rPr>
          <w:rFonts w:cs="Arial"/>
          <w:color w:val="000000"/>
          <w:sz w:val="24"/>
          <w:szCs w:val="24"/>
          <w:lang w:eastAsia="en-AU"/>
        </w:rPr>
        <w:t xml:space="preserve">women) completed both the postal questionnaire and telephone interview. </w:t>
      </w:r>
      <w:r w:rsidR="00D64D77" w:rsidRPr="00C97C77">
        <w:rPr>
          <w:rFonts w:cs="Arial"/>
          <w:color w:val="000000"/>
          <w:sz w:val="24"/>
          <w:szCs w:val="24"/>
          <w:lang w:eastAsia="en-AU"/>
        </w:rPr>
        <w:t xml:space="preserve">Based on the information provided, </w:t>
      </w:r>
      <w:r>
        <w:rPr>
          <w:rFonts w:cs="Arial"/>
          <w:color w:val="000000"/>
          <w:sz w:val="24"/>
          <w:szCs w:val="24"/>
          <w:lang w:eastAsia="en-AU"/>
        </w:rPr>
        <w:t>1028</w:t>
      </w:r>
      <w:r w:rsidRPr="00C97C77">
        <w:rPr>
          <w:rFonts w:cs="Arial"/>
          <w:color w:val="000000"/>
          <w:sz w:val="24"/>
          <w:szCs w:val="24"/>
          <w:lang w:eastAsia="en-AU"/>
        </w:rPr>
        <w:t xml:space="preserve"> </w:t>
      </w:r>
      <w:r w:rsidR="00D64D77" w:rsidRPr="00C97C77">
        <w:rPr>
          <w:rFonts w:cs="Arial"/>
          <w:color w:val="000000"/>
          <w:sz w:val="24"/>
          <w:szCs w:val="24"/>
          <w:lang w:eastAsia="en-AU"/>
        </w:rPr>
        <w:t xml:space="preserve">(94%) were assessed as having possible or probable exposure to asbestos. </w:t>
      </w:r>
      <w:r w:rsidR="00660900">
        <w:rPr>
          <w:rFonts w:cs="Arial"/>
          <w:color w:val="000000"/>
          <w:sz w:val="24"/>
          <w:szCs w:val="24"/>
          <w:lang w:eastAsia="en-AU"/>
        </w:rPr>
        <w:t>The m</w:t>
      </w:r>
      <w:r w:rsidR="00266395">
        <w:rPr>
          <w:rFonts w:cs="Arial"/>
          <w:color w:val="000000"/>
          <w:sz w:val="24"/>
          <w:szCs w:val="24"/>
          <w:lang w:eastAsia="en-AU"/>
        </w:rPr>
        <w:t xml:space="preserve">ajority of </w:t>
      </w:r>
      <w:r w:rsidR="00F12F83">
        <w:rPr>
          <w:rFonts w:cs="Arial"/>
          <w:color w:val="000000"/>
          <w:sz w:val="24"/>
          <w:szCs w:val="24"/>
          <w:lang w:eastAsia="en-AU"/>
        </w:rPr>
        <w:t>men</w:t>
      </w:r>
      <w:r w:rsidR="00266395">
        <w:rPr>
          <w:rFonts w:cs="Arial"/>
          <w:color w:val="000000"/>
          <w:sz w:val="24"/>
          <w:szCs w:val="24"/>
          <w:lang w:eastAsia="en-AU"/>
        </w:rPr>
        <w:t xml:space="preserve"> (78.</w:t>
      </w:r>
      <w:r>
        <w:rPr>
          <w:rFonts w:cs="Arial"/>
          <w:color w:val="000000"/>
          <w:sz w:val="24"/>
          <w:szCs w:val="24"/>
          <w:lang w:eastAsia="en-AU"/>
        </w:rPr>
        <w:t>5</w:t>
      </w:r>
      <w:r w:rsidR="00266395">
        <w:rPr>
          <w:rFonts w:cs="Arial"/>
          <w:color w:val="000000"/>
          <w:sz w:val="24"/>
          <w:szCs w:val="24"/>
          <w:lang w:eastAsia="en-AU"/>
        </w:rPr>
        <w:t xml:space="preserve">%) had </w:t>
      </w:r>
      <w:r w:rsidR="00F45F9C">
        <w:rPr>
          <w:rFonts w:cs="Arial"/>
          <w:color w:val="000000"/>
          <w:sz w:val="24"/>
          <w:szCs w:val="24"/>
          <w:lang w:eastAsia="en-AU"/>
        </w:rPr>
        <w:t xml:space="preserve">identified </w:t>
      </w:r>
      <w:r w:rsidR="00266395">
        <w:rPr>
          <w:rFonts w:cs="Arial"/>
          <w:color w:val="000000"/>
          <w:sz w:val="24"/>
          <w:szCs w:val="24"/>
          <w:lang w:eastAsia="en-AU"/>
        </w:rPr>
        <w:t>occupational exposure.  Most of these (63.</w:t>
      </w:r>
      <w:r>
        <w:rPr>
          <w:rFonts w:cs="Arial"/>
          <w:color w:val="000000"/>
          <w:sz w:val="24"/>
          <w:szCs w:val="24"/>
          <w:lang w:eastAsia="en-AU"/>
        </w:rPr>
        <w:t>4</w:t>
      </w:r>
      <w:r w:rsidR="00266395">
        <w:rPr>
          <w:rFonts w:cs="Arial"/>
          <w:color w:val="000000"/>
          <w:sz w:val="24"/>
          <w:szCs w:val="24"/>
          <w:lang w:eastAsia="en-AU"/>
        </w:rPr>
        <w:t xml:space="preserve">% of all </w:t>
      </w:r>
      <w:r w:rsidR="00F12F83">
        <w:rPr>
          <w:rFonts w:cs="Arial"/>
          <w:color w:val="000000"/>
          <w:sz w:val="24"/>
          <w:szCs w:val="24"/>
          <w:lang w:eastAsia="en-AU"/>
        </w:rPr>
        <w:t xml:space="preserve">included </w:t>
      </w:r>
      <w:r w:rsidR="00266395">
        <w:rPr>
          <w:rFonts w:cs="Arial"/>
          <w:color w:val="000000"/>
          <w:sz w:val="24"/>
          <w:szCs w:val="24"/>
          <w:lang w:eastAsia="en-AU"/>
        </w:rPr>
        <w:t>men</w:t>
      </w:r>
      <w:r w:rsidR="00F12F83">
        <w:rPr>
          <w:rFonts w:cs="Arial"/>
          <w:color w:val="000000"/>
          <w:sz w:val="24"/>
          <w:szCs w:val="24"/>
          <w:lang w:eastAsia="en-AU"/>
        </w:rPr>
        <w:t xml:space="preserve">), also had </w:t>
      </w:r>
      <w:r w:rsidR="00D57723" w:rsidRPr="00C97C77">
        <w:rPr>
          <w:rFonts w:cs="Arial"/>
          <w:color w:val="000000"/>
          <w:sz w:val="24"/>
          <w:szCs w:val="24"/>
          <w:lang w:eastAsia="en-AU"/>
        </w:rPr>
        <w:t xml:space="preserve">non-occupational </w:t>
      </w:r>
      <w:r w:rsidR="00F12F83">
        <w:rPr>
          <w:rFonts w:cs="Arial"/>
          <w:color w:val="000000"/>
          <w:sz w:val="24"/>
          <w:szCs w:val="24"/>
          <w:lang w:eastAsia="en-AU"/>
        </w:rPr>
        <w:t>exposure</w:t>
      </w:r>
      <w:r w:rsidR="00F45F9C">
        <w:rPr>
          <w:rFonts w:cs="Arial"/>
          <w:color w:val="000000"/>
          <w:sz w:val="24"/>
          <w:szCs w:val="24"/>
          <w:lang w:eastAsia="en-AU"/>
        </w:rPr>
        <w:t>. In contras</w:t>
      </w:r>
      <w:r w:rsidR="00660AC7">
        <w:rPr>
          <w:rFonts w:cs="Arial"/>
          <w:color w:val="000000"/>
          <w:sz w:val="24"/>
          <w:szCs w:val="24"/>
          <w:lang w:eastAsia="en-AU"/>
        </w:rPr>
        <w:t>t</w:t>
      </w:r>
      <w:r w:rsidR="00F45F9C">
        <w:rPr>
          <w:rFonts w:cs="Arial"/>
          <w:color w:val="000000"/>
          <w:sz w:val="24"/>
          <w:szCs w:val="24"/>
          <w:lang w:eastAsia="en-AU"/>
        </w:rPr>
        <w:t xml:space="preserve">, </w:t>
      </w:r>
      <w:r w:rsidR="00D57723" w:rsidRPr="00C97C77">
        <w:rPr>
          <w:rFonts w:cs="Arial"/>
          <w:color w:val="000000"/>
          <w:sz w:val="24"/>
          <w:szCs w:val="24"/>
          <w:lang w:eastAsia="en-AU"/>
        </w:rPr>
        <w:t xml:space="preserve">amongst women, </w:t>
      </w:r>
      <w:r w:rsidR="00710F8E" w:rsidRPr="00C97C77">
        <w:rPr>
          <w:rFonts w:cs="Arial"/>
          <w:color w:val="000000"/>
          <w:sz w:val="24"/>
          <w:szCs w:val="24"/>
          <w:lang w:eastAsia="en-AU"/>
        </w:rPr>
        <w:t>only a tiny proportion (</w:t>
      </w:r>
      <w:r w:rsidR="00786381">
        <w:rPr>
          <w:rFonts w:cs="Arial"/>
          <w:color w:val="000000"/>
          <w:sz w:val="24"/>
          <w:szCs w:val="24"/>
          <w:lang w:eastAsia="en-AU"/>
        </w:rPr>
        <w:t>6.8</w:t>
      </w:r>
      <w:r w:rsidR="00710F8E" w:rsidRPr="00C97C77">
        <w:rPr>
          <w:rFonts w:cs="Arial"/>
          <w:color w:val="000000"/>
          <w:sz w:val="24"/>
          <w:szCs w:val="24"/>
          <w:lang w:eastAsia="en-AU"/>
        </w:rPr>
        <w:t xml:space="preserve">%) </w:t>
      </w:r>
      <w:r w:rsidR="00C97C77" w:rsidRPr="00C97C77">
        <w:rPr>
          <w:rFonts w:cs="Arial"/>
          <w:color w:val="000000"/>
          <w:sz w:val="24"/>
          <w:szCs w:val="24"/>
          <w:lang w:eastAsia="en-AU"/>
        </w:rPr>
        <w:t xml:space="preserve">of </w:t>
      </w:r>
      <w:r w:rsidR="00D57723" w:rsidRPr="00C97C77">
        <w:rPr>
          <w:rFonts w:cs="Arial"/>
          <w:color w:val="000000"/>
          <w:sz w:val="24"/>
          <w:szCs w:val="24"/>
          <w:lang w:eastAsia="en-AU"/>
        </w:rPr>
        <w:t>exposures</w:t>
      </w:r>
      <w:r w:rsidR="00645E5B">
        <w:rPr>
          <w:rFonts w:cs="Arial"/>
          <w:color w:val="000000"/>
          <w:sz w:val="24"/>
          <w:szCs w:val="24"/>
          <w:lang w:eastAsia="en-AU"/>
        </w:rPr>
        <w:t xml:space="preserve"> detected</w:t>
      </w:r>
      <w:r w:rsidR="00D57723" w:rsidRPr="00C97C77">
        <w:rPr>
          <w:rFonts w:cs="Arial"/>
          <w:color w:val="000000"/>
          <w:sz w:val="24"/>
          <w:szCs w:val="24"/>
          <w:lang w:eastAsia="en-AU"/>
        </w:rPr>
        <w:t xml:space="preserve"> were occupational</w:t>
      </w:r>
      <w:r w:rsidR="00CD1B8E" w:rsidRPr="00C97C77">
        <w:rPr>
          <w:rFonts w:cs="Arial"/>
          <w:color w:val="000000"/>
          <w:sz w:val="24"/>
          <w:szCs w:val="24"/>
          <w:lang w:eastAsia="en-AU"/>
        </w:rPr>
        <w:t xml:space="preserve"> (Table </w:t>
      </w:r>
      <w:r w:rsidR="00CD1B8E">
        <w:rPr>
          <w:rFonts w:cs="Arial"/>
          <w:color w:val="000000"/>
          <w:sz w:val="24"/>
          <w:szCs w:val="24"/>
          <w:lang w:eastAsia="en-AU"/>
        </w:rPr>
        <w:t>1</w:t>
      </w:r>
      <w:r w:rsidR="00CD1B8E" w:rsidRPr="00C97C77">
        <w:rPr>
          <w:rFonts w:cs="Arial"/>
          <w:color w:val="000000"/>
          <w:sz w:val="24"/>
          <w:szCs w:val="24"/>
          <w:lang w:eastAsia="en-AU"/>
        </w:rPr>
        <w:t>)</w:t>
      </w:r>
      <w:r w:rsidR="00D64D77" w:rsidRPr="00C97C77">
        <w:rPr>
          <w:rFonts w:cs="Arial"/>
          <w:color w:val="000000"/>
          <w:sz w:val="24"/>
          <w:szCs w:val="24"/>
          <w:lang w:eastAsia="en-AU"/>
        </w:rPr>
        <w:t xml:space="preserve">. </w:t>
      </w:r>
    </w:p>
    <w:p w14:paraId="7CB5E2CF" w14:textId="77777777" w:rsidR="00D93E87" w:rsidRPr="00C97C77" w:rsidRDefault="00D93E87" w:rsidP="00223535">
      <w:pPr>
        <w:pStyle w:val="AIHWbodytext"/>
        <w:rPr>
          <w:rFonts w:cs="Arial"/>
          <w:b/>
          <w:sz w:val="24"/>
          <w:szCs w:val="24"/>
        </w:rPr>
      </w:pPr>
    </w:p>
    <w:p w14:paraId="0ED2E967" w14:textId="0799A553" w:rsidR="0032129A" w:rsidRPr="00C97C77" w:rsidRDefault="0032129A" w:rsidP="00A27D09">
      <w:pPr>
        <w:pStyle w:val="Heading3"/>
        <w:rPr>
          <w:rFonts w:cs="Arial"/>
          <w:sz w:val="24"/>
          <w:szCs w:val="24"/>
        </w:rPr>
      </w:pPr>
      <w:r w:rsidRPr="00C97C77">
        <w:rPr>
          <w:rFonts w:cs="Arial"/>
          <w:sz w:val="24"/>
          <w:szCs w:val="24"/>
        </w:rPr>
        <w:t>Discussion</w:t>
      </w:r>
    </w:p>
    <w:p w14:paraId="2C681DEC" w14:textId="3150A620" w:rsidR="00D57723" w:rsidRPr="00C97C77" w:rsidRDefault="00D57723" w:rsidP="00D57723">
      <w:pPr>
        <w:pStyle w:val="AIHWbodytext"/>
        <w:rPr>
          <w:rFonts w:cs="Arial"/>
          <w:sz w:val="24"/>
          <w:szCs w:val="24"/>
        </w:rPr>
      </w:pPr>
    </w:p>
    <w:p w14:paraId="7B841E96" w14:textId="72E9868D" w:rsidR="00CC7232" w:rsidRDefault="00D57723" w:rsidP="00DF4AAC">
      <w:pPr>
        <w:pStyle w:val="AIHWbodytext"/>
        <w:spacing w:line="480" w:lineRule="auto"/>
        <w:jc w:val="both"/>
        <w:rPr>
          <w:rFonts w:cs="Arial"/>
          <w:sz w:val="24"/>
          <w:szCs w:val="24"/>
        </w:rPr>
      </w:pPr>
      <w:r w:rsidRPr="00C97C77">
        <w:rPr>
          <w:rFonts w:cs="Arial"/>
          <w:sz w:val="24"/>
          <w:szCs w:val="24"/>
        </w:rPr>
        <w:lastRenderedPageBreak/>
        <w:t>The AMR was established in 2010 and has enabled identification of new cases and deaths from mesothelioma</w:t>
      </w:r>
      <w:r w:rsidR="00A342B8" w:rsidRPr="00C97C77">
        <w:rPr>
          <w:rFonts w:cs="Arial"/>
          <w:sz w:val="24"/>
          <w:szCs w:val="24"/>
        </w:rPr>
        <w:t xml:space="preserve"> in Australia</w:t>
      </w:r>
      <w:r w:rsidR="007E16DC" w:rsidRPr="00C97C77">
        <w:rPr>
          <w:rFonts w:cs="Arial"/>
          <w:sz w:val="24"/>
          <w:szCs w:val="24"/>
        </w:rPr>
        <w:t>, as well as their association with asbestos exposure,</w:t>
      </w:r>
      <w:r w:rsidRPr="00C97C77">
        <w:rPr>
          <w:rFonts w:cs="Arial"/>
          <w:sz w:val="24"/>
          <w:szCs w:val="24"/>
        </w:rPr>
        <w:t xml:space="preserve"> </w:t>
      </w:r>
      <w:r w:rsidR="00DF4AAC" w:rsidRPr="00C97C77">
        <w:rPr>
          <w:rFonts w:cs="Arial"/>
          <w:sz w:val="24"/>
          <w:szCs w:val="24"/>
        </w:rPr>
        <w:t xml:space="preserve">since then. </w:t>
      </w:r>
      <w:r w:rsidR="00CC7232">
        <w:rPr>
          <w:rFonts w:cs="Arial"/>
          <w:sz w:val="24"/>
          <w:szCs w:val="24"/>
        </w:rPr>
        <w:t xml:space="preserve">The registry </w:t>
      </w:r>
      <w:r w:rsidR="00204A1F">
        <w:rPr>
          <w:rFonts w:cs="Arial"/>
          <w:sz w:val="24"/>
          <w:szCs w:val="24"/>
        </w:rPr>
        <w:t>data suggest</w:t>
      </w:r>
      <w:r w:rsidR="00CC7232">
        <w:rPr>
          <w:rFonts w:cs="Arial"/>
          <w:sz w:val="24"/>
          <w:szCs w:val="24"/>
        </w:rPr>
        <w:t xml:space="preserve"> that t</w:t>
      </w:r>
      <w:r w:rsidR="00DF1EAB">
        <w:rPr>
          <w:rFonts w:cs="Arial"/>
          <w:sz w:val="24"/>
          <w:szCs w:val="24"/>
        </w:rPr>
        <w:t xml:space="preserve">he </w:t>
      </w:r>
      <w:r w:rsidR="00CC7232">
        <w:rPr>
          <w:rFonts w:cs="Arial"/>
          <w:sz w:val="24"/>
          <w:szCs w:val="24"/>
        </w:rPr>
        <w:t>age-standardised incidence rates and mortality rates</w:t>
      </w:r>
      <w:r w:rsidR="00DF1EAB">
        <w:rPr>
          <w:rFonts w:cs="Arial"/>
          <w:sz w:val="24"/>
          <w:szCs w:val="24"/>
        </w:rPr>
        <w:t xml:space="preserve"> </w:t>
      </w:r>
      <w:r w:rsidR="00CC7232">
        <w:rPr>
          <w:rFonts w:cs="Arial"/>
          <w:sz w:val="24"/>
          <w:szCs w:val="24"/>
        </w:rPr>
        <w:t>peaked in</w:t>
      </w:r>
      <w:r w:rsidR="00DF1EAB">
        <w:rPr>
          <w:rFonts w:cs="Arial"/>
          <w:sz w:val="24"/>
          <w:szCs w:val="24"/>
        </w:rPr>
        <w:t xml:space="preserve"> the early 2000s</w:t>
      </w:r>
      <w:r w:rsidR="00CC7232">
        <w:rPr>
          <w:rFonts w:cs="Arial"/>
          <w:sz w:val="24"/>
          <w:szCs w:val="24"/>
        </w:rPr>
        <w:t xml:space="preserve"> and have declined since then</w:t>
      </w:r>
      <w:r w:rsidR="00C97C77" w:rsidRPr="00C97C77">
        <w:rPr>
          <w:rFonts w:cs="Arial"/>
          <w:sz w:val="24"/>
          <w:szCs w:val="24"/>
        </w:rPr>
        <w:t>.</w:t>
      </w:r>
      <w:r w:rsidR="00CC7232">
        <w:rPr>
          <w:rFonts w:cs="Arial"/>
          <w:sz w:val="24"/>
          <w:szCs w:val="24"/>
        </w:rPr>
        <w:t xml:space="preserve"> However, the majority of mesothelioma ca</w:t>
      </w:r>
      <w:r w:rsidR="00204A1F">
        <w:rPr>
          <w:rFonts w:cs="Arial"/>
          <w:sz w:val="24"/>
          <w:szCs w:val="24"/>
        </w:rPr>
        <w:t>se</w:t>
      </w:r>
      <w:r w:rsidR="00CC7232">
        <w:rPr>
          <w:rFonts w:cs="Arial"/>
          <w:sz w:val="24"/>
          <w:szCs w:val="24"/>
        </w:rPr>
        <w:t xml:space="preserve">s have occurred amongst men throughout the observation period and it is the reduction of age-standardised cases amongst men that </w:t>
      </w:r>
      <w:r w:rsidR="00204A1F">
        <w:rPr>
          <w:rFonts w:cs="Arial"/>
          <w:sz w:val="24"/>
          <w:szCs w:val="24"/>
        </w:rPr>
        <w:t>has</w:t>
      </w:r>
      <w:r w:rsidR="00CC7232">
        <w:rPr>
          <w:rFonts w:cs="Arial"/>
          <w:sz w:val="24"/>
          <w:szCs w:val="24"/>
        </w:rPr>
        <w:t xml:space="preserve"> driven the over</w:t>
      </w:r>
      <w:r w:rsidR="00204A1F">
        <w:rPr>
          <w:rFonts w:cs="Arial"/>
          <w:sz w:val="24"/>
          <w:szCs w:val="24"/>
        </w:rPr>
        <w:t>all</w:t>
      </w:r>
      <w:r w:rsidR="00CC7232">
        <w:rPr>
          <w:rFonts w:cs="Arial"/>
          <w:sz w:val="24"/>
          <w:szCs w:val="24"/>
        </w:rPr>
        <w:t xml:space="preserve"> decline</w:t>
      </w:r>
      <w:r w:rsidR="00473586">
        <w:rPr>
          <w:rFonts w:cs="Arial"/>
          <w:sz w:val="24"/>
          <w:szCs w:val="24"/>
        </w:rPr>
        <w:t>;</w:t>
      </w:r>
      <w:r w:rsidR="00CC7232">
        <w:rPr>
          <w:rFonts w:cs="Arial"/>
          <w:sz w:val="24"/>
          <w:szCs w:val="24"/>
        </w:rPr>
        <w:t xml:space="preserve"> there is less </w:t>
      </w:r>
      <w:r w:rsidR="00294F1B">
        <w:rPr>
          <w:rFonts w:cs="Arial"/>
          <w:sz w:val="24"/>
          <w:szCs w:val="24"/>
        </w:rPr>
        <w:t>indication</w:t>
      </w:r>
      <w:r w:rsidR="00CC7232">
        <w:rPr>
          <w:rFonts w:cs="Arial"/>
          <w:sz w:val="24"/>
          <w:szCs w:val="24"/>
        </w:rPr>
        <w:t xml:space="preserve"> of any change </w:t>
      </w:r>
      <w:r w:rsidR="00204A1F">
        <w:rPr>
          <w:rFonts w:cs="Arial"/>
          <w:sz w:val="24"/>
          <w:szCs w:val="24"/>
        </w:rPr>
        <w:t>of incidence</w:t>
      </w:r>
      <w:r w:rsidR="00CC7232">
        <w:rPr>
          <w:rFonts w:cs="Arial"/>
          <w:sz w:val="24"/>
          <w:szCs w:val="24"/>
        </w:rPr>
        <w:t xml:space="preserve"> or death rates amongst women. </w:t>
      </w:r>
      <w:r w:rsidR="002B2A03">
        <w:rPr>
          <w:rFonts w:cs="Arial"/>
          <w:sz w:val="24"/>
          <w:szCs w:val="24"/>
        </w:rPr>
        <w:t xml:space="preserve">It is important to </w:t>
      </w:r>
      <w:r w:rsidR="00294F1B">
        <w:rPr>
          <w:rFonts w:cs="Arial"/>
          <w:sz w:val="24"/>
          <w:szCs w:val="24"/>
        </w:rPr>
        <w:t>note</w:t>
      </w:r>
      <w:r w:rsidR="002B2A03">
        <w:rPr>
          <w:rFonts w:cs="Arial"/>
          <w:sz w:val="24"/>
          <w:szCs w:val="24"/>
        </w:rPr>
        <w:t xml:space="preserve"> however that diagnosing mesothelioma amongst women has always been difficult and was even in the past controversial</w:t>
      </w:r>
      <w:r w:rsidR="00294F1B">
        <w:rPr>
          <w:rFonts w:cs="Arial"/>
          <w:sz w:val="24"/>
          <w:szCs w:val="24"/>
        </w:rPr>
        <w:t xml:space="preserve"> for the peritoneal type</w:t>
      </w:r>
      <w:r w:rsidR="002B2A03">
        <w:rPr>
          <w:rFonts w:cs="Arial"/>
          <w:sz w:val="24"/>
          <w:szCs w:val="24"/>
        </w:rPr>
        <w:t xml:space="preserve">, because of the difficulty in distinguishing it from ovarian tumours histopathologically. </w:t>
      </w:r>
      <w:r w:rsidR="00CC7232">
        <w:rPr>
          <w:rFonts w:cs="Arial"/>
          <w:sz w:val="24"/>
          <w:szCs w:val="24"/>
        </w:rPr>
        <w:t xml:space="preserve">Despite the age-standardised rates reducing, the overall numbers of new diagnoses </w:t>
      </w:r>
      <w:r w:rsidR="00204A1F">
        <w:rPr>
          <w:rFonts w:cs="Arial"/>
          <w:sz w:val="24"/>
          <w:szCs w:val="24"/>
        </w:rPr>
        <w:t>continued to climb after the early 2000s</w:t>
      </w:r>
      <w:r w:rsidR="006A7954">
        <w:rPr>
          <w:rFonts w:cs="Arial"/>
          <w:sz w:val="24"/>
          <w:szCs w:val="24"/>
        </w:rPr>
        <w:t xml:space="preserve"> but </w:t>
      </w:r>
      <w:r w:rsidR="00786381">
        <w:rPr>
          <w:rFonts w:cs="Arial"/>
          <w:sz w:val="24"/>
          <w:szCs w:val="24"/>
        </w:rPr>
        <w:t>may have</w:t>
      </w:r>
      <w:r w:rsidR="006A7954">
        <w:rPr>
          <w:rFonts w:cs="Arial"/>
          <w:sz w:val="24"/>
          <w:szCs w:val="24"/>
        </w:rPr>
        <w:t xml:space="preserve"> peaked</w:t>
      </w:r>
      <w:r w:rsidR="00204A1F">
        <w:rPr>
          <w:rFonts w:cs="Arial"/>
          <w:sz w:val="24"/>
          <w:szCs w:val="24"/>
        </w:rPr>
        <w:t>.</w:t>
      </w:r>
      <w:r w:rsidR="00CC7232">
        <w:rPr>
          <w:rFonts w:cs="Arial"/>
          <w:sz w:val="24"/>
          <w:szCs w:val="24"/>
        </w:rPr>
        <w:t xml:space="preserve"> </w:t>
      </w:r>
      <w:r w:rsidR="00BB0412">
        <w:rPr>
          <w:rFonts w:cs="Arial"/>
          <w:sz w:val="24"/>
          <w:szCs w:val="24"/>
        </w:rPr>
        <w:t>In 2020, the age-specific mesothelioma incidence rates increase</w:t>
      </w:r>
      <w:r w:rsidR="008228D4">
        <w:rPr>
          <w:rFonts w:cs="Arial"/>
          <w:sz w:val="24"/>
          <w:szCs w:val="24"/>
        </w:rPr>
        <w:t>d</w:t>
      </w:r>
      <w:r w:rsidR="00BB0412">
        <w:rPr>
          <w:rFonts w:cs="Arial"/>
          <w:sz w:val="24"/>
          <w:szCs w:val="24"/>
        </w:rPr>
        <w:t xml:space="preserve"> with age for men up </w:t>
      </w:r>
      <w:r w:rsidR="008228D4">
        <w:rPr>
          <w:rFonts w:cs="Arial"/>
          <w:sz w:val="24"/>
          <w:szCs w:val="24"/>
        </w:rPr>
        <w:t>until</w:t>
      </w:r>
      <w:r w:rsidR="00BB0412">
        <w:rPr>
          <w:rFonts w:cs="Arial"/>
          <w:sz w:val="24"/>
          <w:szCs w:val="24"/>
        </w:rPr>
        <w:t xml:space="preserve"> age 80-84 years and for women </w:t>
      </w:r>
      <w:r w:rsidR="008228D4">
        <w:rPr>
          <w:rFonts w:cs="Arial"/>
          <w:sz w:val="24"/>
          <w:szCs w:val="24"/>
        </w:rPr>
        <w:t xml:space="preserve">until </w:t>
      </w:r>
      <w:r w:rsidR="00BB0412">
        <w:rPr>
          <w:rFonts w:cs="Arial"/>
          <w:sz w:val="24"/>
          <w:szCs w:val="24"/>
        </w:rPr>
        <w:t xml:space="preserve">aged 85 and over. </w:t>
      </w:r>
      <w:bookmarkStart w:id="4" w:name="_Hlk121235901"/>
      <w:r w:rsidR="00AD3ED3">
        <w:rPr>
          <w:rFonts w:cs="Arial"/>
          <w:sz w:val="24"/>
          <w:szCs w:val="24"/>
        </w:rPr>
        <w:t>Survival rates after diagnosis remain poor (&lt;50% after 1-year) but there has been a small improvement (pa</w:t>
      </w:r>
      <w:r w:rsidR="002B2A03">
        <w:rPr>
          <w:rFonts w:cs="Arial"/>
          <w:sz w:val="24"/>
          <w:szCs w:val="24"/>
        </w:rPr>
        <w:t>r</w:t>
      </w:r>
      <w:r w:rsidR="00AD3ED3">
        <w:rPr>
          <w:rFonts w:cs="Arial"/>
          <w:sz w:val="24"/>
          <w:szCs w:val="24"/>
        </w:rPr>
        <w:t>ticu</w:t>
      </w:r>
      <w:r w:rsidR="006A7954">
        <w:rPr>
          <w:rFonts w:cs="Arial"/>
          <w:sz w:val="24"/>
          <w:szCs w:val="24"/>
        </w:rPr>
        <w:t>l</w:t>
      </w:r>
      <w:r w:rsidR="00AD3ED3">
        <w:rPr>
          <w:rFonts w:cs="Arial"/>
          <w:sz w:val="24"/>
          <w:szCs w:val="24"/>
        </w:rPr>
        <w:t>arly in 1-year survival) over the past two decades</w:t>
      </w:r>
      <w:r w:rsidR="002B2A03">
        <w:rPr>
          <w:rFonts w:cs="Arial"/>
          <w:sz w:val="24"/>
          <w:szCs w:val="24"/>
        </w:rPr>
        <w:t xml:space="preserve">, </w:t>
      </w:r>
      <w:r w:rsidR="00DA3D02">
        <w:rPr>
          <w:rFonts w:cs="Arial"/>
          <w:sz w:val="24"/>
          <w:szCs w:val="24"/>
        </w:rPr>
        <w:t xml:space="preserve">perhaps as a result of </w:t>
      </w:r>
      <w:r w:rsidR="00FF1BA9">
        <w:rPr>
          <w:rFonts w:cs="Arial"/>
          <w:sz w:val="24"/>
          <w:szCs w:val="24"/>
        </w:rPr>
        <w:t>improved</w:t>
      </w:r>
      <w:r w:rsidR="00294F1B">
        <w:rPr>
          <w:rFonts w:cs="Arial"/>
          <w:sz w:val="24"/>
          <w:szCs w:val="24"/>
        </w:rPr>
        <w:t xml:space="preserve"> treatment</w:t>
      </w:r>
      <w:r w:rsidR="007A6579">
        <w:rPr>
          <w:rFonts w:cs="Arial"/>
          <w:sz w:val="24"/>
          <w:szCs w:val="24"/>
        </w:rPr>
        <w:t>, particularly for the non-pleural cases of mesothelioma</w:t>
      </w:r>
      <w:r w:rsidR="00FF1BA9">
        <w:rPr>
          <w:rFonts w:cs="Arial"/>
          <w:sz w:val="24"/>
          <w:szCs w:val="24"/>
        </w:rPr>
        <w:t xml:space="preserve"> and amongst</w:t>
      </w:r>
      <w:r w:rsidR="00B55681">
        <w:rPr>
          <w:rFonts w:cs="Arial"/>
          <w:sz w:val="24"/>
          <w:szCs w:val="24"/>
        </w:rPr>
        <w:t xml:space="preserve"> carriers of the BAP1 and other germline mutations, which have a </w:t>
      </w:r>
      <w:r w:rsidR="00FC5A0C">
        <w:rPr>
          <w:rFonts w:cs="Arial"/>
          <w:sz w:val="24"/>
          <w:szCs w:val="24"/>
        </w:rPr>
        <w:t>much-improved</w:t>
      </w:r>
      <w:r w:rsidR="00B55681">
        <w:rPr>
          <w:rFonts w:cs="Arial"/>
          <w:sz w:val="24"/>
          <w:szCs w:val="24"/>
        </w:rPr>
        <w:t xml:space="preserve"> prognosis</w:t>
      </w:r>
      <w:r w:rsidR="00471260">
        <w:rPr>
          <w:rFonts w:cs="Arial"/>
          <w:sz w:val="24"/>
          <w:szCs w:val="24"/>
        </w:rPr>
        <w:t xml:space="preserve"> (20)</w:t>
      </w:r>
      <w:r w:rsidR="00AD3ED3">
        <w:rPr>
          <w:rFonts w:cs="Arial"/>
          <w:sz w:val="24"/>
          <w:szCs w:val="24"/>
        </w:rPr>
        <w:t xml:space="preserve">. </w:t>
      </w:r>
      <w:bookmarkEnd w:id="4"/>
      <w:r w:rsidR="00204A1F">
        <w:rPr>
          <w:rFonts w:cs="Arial"/>
          <w:sz w:val="24"/>
          <w:szCs w:val="24"/>
        </w:rPr>
        <w:t>The majority of cases (94%) were associated with identifiable asbestos exposure</w:t>
      </w:r>
      <w:r w:rsidR="000B7938">
        <w:rPr>
          <w:rFonts w:cs="Arial"/>
          <w:sz w:val="24"/>
          <w:szCs w:val="24"/>
        </w:rPr>
        <w:t>,</w:t>
      </w:r>
      <w:r w:rsidR="00204A1F">
        <w:rPr>
          <w:rFonts w:cs="Arial"/>
          <w:sz w:val="24"/>
          <w:szCs w:val="24"/>
        </w:rPr>
        <w:t xml:space="preserve"> with 78.3% of men having had possible or probable occupational exposure. However, only a </w:t>
      </w:r>
      <w:r w:rsidR="00171EFE">
        <w:rPr>
          <w:rFonts w:cs="Arial"/>
          <w:sz w:val="24"/>
          <w:szCs w:val="24"/>
        </w:rPr>
        <w:t xml:space="preserve">small </w:t>
      </w:r>
      <w:r w:rsidR="00204A1F">
        <w:rPr>
          <w:rFonts w:cs="Arial"/>
          <w:sz w:val="24"/>
          <w:szCs w:val="24"/>
        </w:rPr>
        <w:t>proportion (</w:t>
      </w:r>
      <w:r w:rsidR="00171EFE">
        <w:rPr>
          <w:rFonts w:cs="Arial"/>
          <w:sz w:val="24"/>
          <w:szCs w:val="24"/>
        </w:rPr>
        <w:t>6.8</w:t>
      </w:r>
      <w:r w:rsidR="00204A1F">
        <w:rPr>
          <w:rFonts w:cs="Arial"/>
          <w:sz w:val="24"/>
          <w:szCs w:val="24"/>
        </w:rPr>
        <w:t xml:space="preserve">%) of the cases amongst women </w:t>
      </w:r>
      <w:r w:rsidR="008228D4">
        <w:rPr>
          <w:rFonts w:cs="Arial"/>
          <w:sz w:val="24"/>
          <w:szCs w:val="24"/>
        </w:rPr>
        <w:t>could</w:t>
      </w:r>
      <w:r w:rsidR="00204A1F">
        <w:rPr>
          <w:rFonts w:cs="Arial"/>
          <w:sz w:val="24"/>
          <w:szCs w:val="24"/>
        </w:rPr>
        <w:t xml:space="preserve"> be attributed to occupational asbestos exposure.</w:t>
      </w:r>
    </w:p>
    <w:p w14:paraId="78A23D09" w14:textId="030C6D1F" w:rsidR="007E16DC" w:rsidRPr="00C97C77" w:rsidRDefault="007E16DC" w:rsidP="00DF4AAC">
      <w:pPr>
        <w:pStyle w:val="AIHWbodytext"/>
        <w:spacing w:line="480" w:lineRule="auto"/>
        <w:jc w:val="both"/>
        <w:rPr>
          <w:rFonts w:cs="Arial"/>
          <w:sz w:val="24"/>
          <w:szCs w:val="24"/>
        </w:rPr>
      </w:pPr>
    </w:p>
    <w:p w14:paraId="2BF7C18C" w14:textId="1378C6E8" w:rsidR="00550710" w:rsidRPr="00C97C77" w:rsidRDefault="007E16DC" w:rsidP="00550710">
      <w:pPr>
        <w:pStyle w:val="AIHWbodytext"/>
        <w:spacing w:before="360" w:line="480" w:lineRule="auto"/>
        <w:jc w:val="both"/>
        <w:rPr>
          <w:rFonts w:cs="Arial"/>
          <w:color w:val="000000"/>
          <w:sz w:val="24"/>
          <w:szCs w:val="24"/>
          <w:lang w:eastAsia="en-AU"/>
        </w:rPr>
      </w:pPr>
      <w:r w:rsidRPr="00C97C77">
        <w:rPr>
          <w:rFonts w:cs="Arial"/>
          <w:sz w:val="24"/>
          <w:szCs w:val="24"/>
        </w:rPr>
        <w:lastRenderedPageBreak/>
        <w:t xml:space="preserve">These data appear to be consistent with the hypothesis that the majority of incident cases notified to </w:t>
      </w:r>
      <w:r w:rsidR="000B7938">
        <w:rPr>
          <w:rFonts w:cs="Arial"/>
          <w:sz w:val="24"/>
          <w:szCs w:val="24"/>
        </w:rPr>
        <w:t xml:space="preserve">the </w:t>
      </w:r>
      <w:r w:rsidRPr="00C97C77">
        <w:rPr>
          <w:rFonts w:cs="Arial"/>
          <w:sz w:val="24"/>
          <w:szCs w:val="24"/>
        </w:rPr>
        <w:t xml:space="preserve">AMR since 2010 </w:t>
      </w:r>
      <w:r w:rsidR="00204A1F">
        <w:rPr>
          <w:rFonts w:cs="Arial"/>
          <w:sz w:val="24"/>
          <w:szCs w:val="24"/>
        </w:rPr>
        <w:t xml:space="preserve">were </w:t>
      </w:r>
      <w:r w:rsidR="000B7938">
        <w:rPr>
          <w:rFonts w:cs="Arial"/>
          <w:sz w:val="24"/>
          <w:szCs w:val="24"/>
        </w:rPr>
        <w:t xml:space="preserve">probably </w:t>
      </w:r>
      <w:r w:rsidRPr="00C97C77">
        <w:rPr>
          <w:rFonts w:cs="Arial"/>
          <w:sz w:val="24"/>
          <w:szCs w:val="24"/>
        </w:rPr>
        <w:t xml:space="preserve">related to occupational exposure </w:t>
      </w:r>
      <w:r w:rsidR="00204A1F">
        <w:rPr>
          <w:rFonts w:cs="Arial"/>
          <w:sz w:val="24"/>
          <w:szCs w:val="24"/>
        </w:rPr>
        <w:t xml:space="preserve">which occurred </w:t>
      </w:r>
      <w:r w:rsidRPr="00C97C77">
        <w:rPr>
          <w:rFonts w:cs="Arial"/>
          <w:sz w:val="24"/>
          <w:szCs w:val="24"/>
        </w:rPr>
        <w:t xml:space="preserve">before current occupational asbestos regulations and practices came into effect. </w:t>
      </w:r>
      <w:r w:rsidR="00BB0412">
        <w:rPr>
          <w:rFonts w:cs="Arial"/>
          <w:sz w:val="24"/>
          <w:szCs w:val="24"/>
        </w:rPr>
        <w:t>There are three reasons for this: firstly, m</w:t>
      </w:r>
      <w:r w:rsidRPr="00C97C77">
        <w:rPr>
          <w:rFonts w:cs="Arial"/>
          <w:sz w:val="24"/>
          <w:szCs w:val="24"/>
        </w:rPr>
        <w:t xml:space="preserve">esothelioma </w:t>
      </w:r>
      <w:r w:rsidR="00471E87">
        <w:rPr>
          <w:rFonts w:cs="Arial"/>
          <w:sz w:val="24"/>
          <w:szCs w:val="24"/>
        </w:rPr>
        <w:t>is known</w:t>
      </w:r>
      <w:r w:rsidR="00204A1F">
        <w:rPr>
          <w:rFonts w:cs="Arial"/>
          <w:sz w:val="24"/>
          <w:szCs w:val="24"/>
        </w:rPr>
        <w:t xml:space="preserve"> to have</w:t>
      </w:r>
      <w:r w:rsidRPr="00C97C77">
        <w:rPr>
          <w:rFonts w:cs="Arial"/>
          <w:sz w:val="24"/>
          <w:szCs w:val="24"/>
        </w:rPr>
        <w:t xml:space="preserve"> a long latency period from exposure to development of the disease </w:t>
      </w:r>
      <w:r w:rsidR="00550710" w:rsidRPr="00C97C77">
        <w:rPr>
          <w:rFonts w:cs="Arial"/>
          <w:sz w:val="24"/>
          <w:szCs w:val="24"/>
        </w:rPr>
        <w:t>(</w:t>
      </w:r>
      <w:r w:rsidR="003A642A">
        <w:rPr>
          <w:rFonts w:cs="Arial"/>
          <w:sz w:val="24"/>
          <w:szCs w:val="24"/>
        </w:rPr>
        <w:t xml:space="preserve">typically </w:t>
      </w:r>
      <w:r w:rsidR="00550710" w:rsidRPr="00C97C77">
        <w:rPr>
          <w:rFonts w:cs="Arial"/>
          <w:sz w:val="24"/>
          <w:szCs w:val="24"/>
        </w:rPr>
        <w:t xml:space="preserve">30-50 years) </w:t>
      </w:r>
      <w:r w:rsidR="00733178">
        <w:rPr>
          <w:rFonts w:cs="Arial"/>
          <w:sz w:val="24"/>
          <w:szCs w:val="24"/>
        </w:rPr>
        <w:t>(</w:t>
      </w:r>
      <w:r w:rsidR="003C3B2A">
        <w:rPr>
          <w:rFonts w:cs="Arial"/>
          <w:sz w:val="24"/>
          <w:szCs w:val="24"/>
        </w:rPr>
        <w:t>2</w:t>
      </w:r>
      <w:r w:rsidR="00471260">
        <w:rPr>
          <w:rFonts w:cs="Arial"/>
          <w:sz w:val="24"/>
          <w:szCs w:val="24"/>
        </w:rPr>
        <w:t>1</w:t>
      </w:r>
      <w:r w:rsidR="00733178">
        <w:rPr>
          <w:rFonts w:cs="Arial"/>
          <w:sz w:val="24"/>
          <w:szCs w:val="24"/>
        </w:rPr>
        <w:t>)</w:t>
      </w:r>
      <w:r w:rsidRPr="00C97C77">
        <w:rPr>
          <w:rFonts w:cs="Arial"/>
          <w:sz w:val="24"/>
          <w:szCs w:val="24"/>
        </w:rPr>
        <w:t>.</w:t>
      </w:r>
      <w:r w:rsidR="00204A1F">
        <w:rPr>
          <w:rFonts w:cs="Arial"/>
          <w:sz w:val="24"/>
          <w:szCs w:val="24"/>
        </w:rPr>
        <w:t xml:space="preserve"> </w:t>
      </w:r>
      <w:r w:rsidR="00BB0412">
        <w:rPr>
          <w:rFonts w:cs="Arial"/>
          <w:sz w:val="24"/>
          <w:szCs w:val="24"/>
        </w:rPr>
        <w:t>Secondly, i</w:t>
      </w:r>
      <w:r w:rsidR="00550710" w:rsidRPr="00C97C77">
        <w:rPr>
          <w:rFonts w:cs="Arial"/>
          <w:sz w:val="24"/>
          <w:szCs w:val="24"/>
        </w:rPr>
        <w:t xml:space="preserve">n Australia, as in many other developed countries, life expectancy is increasing, so that, </w:t>
      </w:r>
      <w:r w:rsidR="00A342B8" w:rsidRPr="00C97C77">
        <w:rPr>
          <w:rFonts w:cs="Arial"/>
          <w:sz w:val="24"/>
          <w:szCs w:val="24"/>
        </w:rPr>
        <w:t>even if</w:t>
      </w:r>
      <w:r w:rsidR="00550710" w:rsidRPr="00C97C77">
        <w:rPr>
          <w:rFonts w:cs="Arial"/>
          <w:sz w:val="24"/>
          <w:szCs w:val="24"/>
        </w:rPr>
        <w:t xml:space="preserve"> incidence rates </w:t>
      </w:r>
      <w:r w:rsidR="00532583">
        <w:rPr>
          <w:rFonts w:cs="Arial"/>
          <w:sz w:val="24"/>
          <w:szCs w:val="24"/>
        </w:rPr>
        <w:t xml:space="preserve">were </w:t>
      </w:r>
      <w:r w:rsidR="00550710" w:rsidRPr="00C97C77">
        <w:rPr>
          <w:rFonts w:cs="Arial"/>
          <w:sz w:val="24"/>
          <w:szCs w:val="24"/>
        </w:rPr>
        <w:t>declin</w:t>
      </w:r>
      <w:r w:rsidR="00532583">
        <w:rPr>
          <w:rFonts w:cs="Arial"/>
          <w:sz w:val="24"/>
          <w:szCs w:val="24"/>
        </w:rPr>
        <w:t>ing</w:t>
      </w:r>
      <w:r w:rsidR="00550710" w:rsidRPr="00C97C77">
        <w:rPr>
          <w:rFonts w:cs="Arial"/>
          <w:sz w:val="24"/>
          <w:szCs w:val="24"/>
        </w:rPr>
        <w:t>, the overall number of new cases and deaths per year</w:t>
      </w:r>
      <w:r w:rsidR="004309A9">
        <w:rPr>
          <w:rFonts w:cs="Arial"/>
          <w:sz w:val="24"/>
          <w:szCs w:val="24"/>
        </w:rPr>
        <w:t xml:space="preserve"> would be expected to</w:t>
      </w:r>
      <w:r w:rsidR="00550710" w:rsidRPr="00C97C77">
        <w:rPr>
          <w:rFonts w:cs="Arial"/>
          <w:sz w:val="24"/>
          <w:szCs w:val="24"/>
        </w:rPr>
        <w:t xml:space="preserve"> </w:t>
      </w:r>
      <w:r w:rsidR="00C97C77">
        <w:rPr>
          <w:rFonts w:cs="Arial"/>
          <w:sz w:val="24"/>
          <w:szCs w:val="24"/>
        </w:rPr>
        <w:t xml:space="preserve">remain </w:t>
      </w:r>
      <w:r w:rsidR="00550710" w:rsidRPr="00C97C77">
        <w:rPr>
          <w:rFonts w:cs="Arial"/>
          <w:sz w:val="24"/>
          <w:szCs w:val="24"/>
        </w:rPr>
        <w:t>stable, or even increase</w:t>
      </w:r>
      <w:r w:rsidR="004309A9">
        <w:rPr>
          <w:rFonts w:cs="Arial"/>
          <w:sz w:val="24"/>
          <w:szCs w:val="24"/>
        </w:rPr>
        <w:t xml:space="preserve"> somewhat</w:t>
      </w:r>
      <w:r w:rsidR="00AD3ED3">
        <w:rPr>
          <w:rFonts w:cs="Arial"/>
          <w:sz w:val="24"/>
          <w:szCs w:val="24"/>
        </w:rPr>
        <w:t>,</w:t>
      </w:r>
      <w:r w:rsidR="00204A1F">
        <w:rPr>
          <w:rFonts w:cs="Arial"/>
          <w:sz w:val="24"/>
          <w:szCs w:val="24"/>
        </w:rPr>
        <w:t xml:space="preserve"> </w:t>
      </w:r>
      <w:r w:rsidR="00BB0412">
        <w:rPr>
          <w:rFonts w:cs="Arial"/>
          <w:sz w:val="24"/>
          <w:szCs w:val="24"/>
        </w:rPr>
        <w:t xml:space="preserve">because mesothelioma is </w:t>
      </w:r>
      <w:r w:rsidR="00DE3EF5">
        <w:rPr>
          <w:rFonts w:cs="Arial"/>
          <w:sz w:val="24"/>
          <w:szCs w:val="24"/>
        </w:rPr>
        <w:t xml:space="preserve">primarily </w:t>
      </w:r>
      <w:r w:rsidR="00550710" w:rsidRPr="00C97C77">
        <w:rPr>
          <w:rFonts w:cs="Arial"/>
          <w:sz w:val="24"/>
          <w:szCs w:val="24"/>
        </w:rPr>
        <w:t xml:space="preserve">a cancer </w:t>
      </w:r>
      <w:r w:rsidR="00C97C77">
        <w:rPr>
          <w:rFonts w:cs="Arial"/>
          <w:sz w:val="24"/>
          <w:szCs w:val="24"/>
        </w:rPr>
        <w:t>of</w:t>
      </w:r>
      <w:r w:rsidR="00A342B8" w:rsidRPr="00C97C77">
        <w:rPr>
          <w:rFonts w:cs="Arial"/>
          <w:sz w:val="24"/>
          <w:szCs w:val="24"/>
        </w:rPr>
        <w:t xml:space="preserve"> older </w:t>
      </w:r>
      <w:r w:rsidR="00C97C77">
        <w:rPr>
          <w:rFonts w:cs="Arial"/>
          <w:sz w:val="24"/>
          <w:szCs w:val="24"/>
        </w:rPr>
        <w:t>people</w:t>
      </w:r>
      <w:r w:rsidR="00A342B8" w:rsidRPr="00C97C77">
        <w:rPr>
          <w:rFonts w:cs="Arial"/>
          <w:sz w:val="24"/>
          <w:szCs w:val="24"/>
        </w:rPr>
        <w:t xml:space="preserve"> and people are </w:t>
      </w:r>
      <w:r w:rsidR="00BB0412">
        <w:rPr>
          <w:rFonts w:cs="Arial"/>
          <w:sz w:val="24"/>
          <w:szCs w:val="24"/>
        </w:rPr>
        <w:t>surviving long enough to present with the disease</w:t>
      </w:r>
      <w:r w:rsidR="00A342B8" w:rsidRPr="00C97C77">
        <w:rPr>
          <w:rFonts w:cs="Arial"/>
          <w:sz w:val="24"/>
          <w:szCs w:val="24"/>
        </w:rPr>
        <w:t xml:space="preserve">. </w:t>
      </w:r>
      <w:r w:rsidR="00BB0412">
        <w:rPr>
          <w:rFonts w:cs="Arial"/>
          <w:sz w:val="24"/>
          <w:szCs w:val="24"/>
        </w:rPr>
        <w:t xml:space="preserve">Thirdly, there have been a relatively small and steady number of cases of </w:t>
      </w:r>
      <w:r w:rsidR="00EF6B92">
        <w:rPr>
          <w:rFonts w:cs="Arial"/>
          <w:sz w:val="24"/>
          <w:szCs w:val="24"/>
        </w:rPr>
        <w:t>mesothelioma</w:t>
      </w:r>
      <w:r w:rsidR="00BB0412">
        <w:rPr>
          <w:rFonts w:cs="Arial"/>
          <w:sz w:val="24"/>
          <w:szCs w:val="24"/>
        </w:rPr>
        <w:t xml:space="preserve"> diagnosed amongst women throughout this 30-year period, very few of which (</w:t>
      </w:r>
      <w:r w:rsidR="00171EFE">
        <w:rPr>
          <w:rFonts w:cs="Arial"/>
          <w:sz w:val="24"/>
          <w:szCs w:val="24"/>
        </w:rPr>
        <w:t>6.8</w:t>
      </w:r>
      <w:r w:rsidR="00BB0412">
        <w:rPr>
          <w:rFonts w:cs="Arial"/>
          <w:sz w:val="24"/>
          <w:szCs w:val="24"/>
        </w:rPr>
        <w:t xml:space="preserve">%) could be associated with occupational exposure. </w:t>
      </w:r>
      <w:r w:rsidR="00AD3ED3">
        <w:rPr>
          <w:rFonts w:cs="Arial"/>
          <w:sz w:val="24"/>
          <w:szCs w:val="24"/>
        </w:rPr>
        <w:t>In contrast</w:t>
      </w:r>
      <w:r w:rsidR="00471E87">
        <w:rPr>
          <w:rFonts w:cs="Arial"/>
          <w:sz w:val="24"/>
          <w:szCs w:val="24"/>
        </w:rPr>
        <w:t xml:space="preserve">, the majority of cases amongst men could be linked with occupational asbestos exposure </w:t>
      </w:r>
      <w:r w:rsidR="00AD3ED3">
        <w:rPr>
          <w:rFonts w:cs="Arial"/>
          <w:sz w:val="24"/>
          <w:szCs w:val="24"/>
        </w:rPr>
        <w:t>which</w:t>
      </w:r>
      <w:r w:rsidRPr="00C97C77">
        <w:rPr>
          <w:rFonts w:cs="Arial"/>
          <w:color w:val="000000"/>
          <w:sz w:val="24"/>
          <w:szCs w:val="24"/>
          <w:lang w:eastAsia="en-AU"/>
        </w:rPr>
        <w:t xml:space="preserve"> typically </w:t>
      </w:r>
      <w:r w:rsidR="00BB0412">
        <w:rPr>
          <w:rFonts w:cs="Arial"/>
          <w:color w:val="000000"/>
          <w:sz w:val="24"/>
          <w:szCs w:val="24"/>
          <w:lang w:eastAsia="en-AU"/>
        </w:rPr>
        <w:t>is of</w:t>
      </w:r>
      <w:r w:rsidRPr="00C97C77">
        <w:rPr>
          <w:rFonts w:cs="Arial"/>
          <w:color w:val="000000"/>
          <w:sz w:val="24"/>
          <w:szCs w:val="24"/>
          <w:lang w:eastAsia="en-AU"/>
        </w:rPr>
        <w:t xml:space="preserve"> higher frequency, </w:t>
      </w:r>
      <w:r w:rsidR="005B1D17">
        <w:rPr>
          <w:rFonts w:cs="Arial"/>
          <w:color w:val="000000"/>
          <w:sz w:val="24"/>
          <w:szCs w:val="24"/>
          <w:lang w:eastAsia="en-AU"/>
        </w:rPr>
        <w:t>concentration</w:t>
      </w:r>
      <w:r w:rsidR="005B1D17" w:rsidRPr="00C97C77">
        <w:rPr>
          <w:rFonts w:cs="Arial"/>
          <w:color w:val="000000"/>
          <w:sz w:val="24"/>
          <w:szCs w:val="24"/>
          <w:lang w:eastAsia="en-AU"/>
        </w:rPr>
        <w:t xml:space="preserve"> </w:t>
      </w:r>
      <w:r w:rsidRPr="00C97C77">
        <w:rPr>
          <w:rFonts w:cs="Arial"/>
          <w:color w:val="000000"/>
          <w:sz w:val="24"/>
          <w:szCs w:val="24"/>
          <w:lang w:eastAsia="en-AU"/>
        </w:rPr>
        <w:t>and duration than non-occupational exposure</w:t>
      </w:r>
      <w:r w:rsidR="00471E87">
        <w:rPr>
          <w:rFonts w:cs="Arial"/>
          <w:color w:val="000000"/>
          <w:sz w:val="24"/>
          <w:szCs w:val="24"/>
          <w:lang w:eastAsia="en-AU"/>
        </w:rPr>
        <w:t xml:space="preserve">. </w:t>
      </w:r>
      <w:r w:rsidR="00294F1B">
        <w:rPr>
          <w:rFonts w:cs="Arial"/>
          <w:color w:val="000000"/>
          <w:sz w:val="24"/>
          <w:szCs w:val="24"/>
        </w:rPr>
        <w:t xml:space="preserve">Thus, the dose incurred by men would be effectively higher than that by women. </w:t>
      </w:r>
      <w:r w:rsidR="00471E87">
        <w:rPr>
          <w:rFonts w:cs="Arial"/>
          <w:color w:val="000000"/>
          <w:sz w:val="24"/>
          <w:szCs w:val="24"/>
          <w:lang w:eastAsia="en-AU"/>
        </w:rPr>
        <w:t>Therefore, th</w:t>
      </w:r>
      <w:r w:rsidR="00AD3ED3">
        <w:rPr>
          <w:rFonts w:cs="Arial"/>
          <w:color w:val="000000"/>
          <w:sz w:val="24"/>
          <w:szCs w:val="24"/>
          <w:lang w:eastAsia="en-AU"/>
        </w:rPr>
        <w:t>e fact th</w:t>
      </w:r>
      <w:r w:rsidR="00471E87">
        <w:rPr>
          <w:rFonts w:cs="Arial"/>
          <w:color w:val="000000"/>
          <w:sz w:val="24"/>
          <w:szCs w:val="24"/>
          <w:lang w:eastAsia="en-AU"/>
        </w:rPr>
        <w:t>at incidence and death rates have reduced for mesothelioma</w:t>
      </w:r>
      <w:r w:rsidR="00BB0412">
        <w:rPr>
          <w:rFonts w:cs="Arial"/>
          <w:color w:val="000000"/>
          <w:sz w:val="24"/>
          <w:szCs w:val="24"/>
          <w:lang w:eastAsia="en-AU"/>
        </w:rPr>
        <w:t xml:space="preserve"> </w:t>
      </w:r>
      <w:r w:rsidR="00AD3ED3">
        <w:rPr>
          <w:rFonts w:cs="Arial"/>
          <w:color w:val="000000"/>
          <w:sz w:val="24"/>
          <w:szCs w:val="24"/>
          <w:lang w:eastAsia="en-AU"/>
        </w:rPr>
        <w:t xml:space="preserve">in men but not women </w:t>
      </w:r>
      <w:r w:rsidR="00BB0412">
        <w:rPr>
          <w:rFonts w:cs="Arial"/>
          <w:color w:val="000000"/>
          <w:sz w:val="24"/>
          <w:szCs w:val="24"/>
          <w:lang w:eastAsia="en-AU"/>
        </w:rPr>
        <w:t>wou</w:t>
      </w:r>
      <w:r w:rsidR="00471E87">
        <w:rPr>
          <w:rFonts w:cs="Arial"/>
          <w:color w:val="000000"/>
          <w:sz w:val="24"/>
          <w:szCs w:val="24"/>
          <w:lang w:eastAsia="en-AU"/>
        </w:rPr>
        <w:t>l</w:t>
      </w:r>
      <w:r w:rsidR="00BB0412">
        <w:rPr>
          <w:rFonts w:cs="Arial"/>
          <w:color w:val="000000"/>
          <w:sz w:val="24"/>
          <w:szCs w:val="24"/>
          <w:lang w:eastAsia="en-AU"/>
        </w:rPr>
        <w:t xml:space="preserve">d appear </w:t>
      </w:r>
      <w:r w:rsidR="00AD3ED3">
        <w:rPr>
          <w:rFonts w:cs="Arial"/>
          <w:color w:val="000000"/>
          <w:sz w:val="24"/>
          <w:szCs w:val="24"/>
          <w:lang w:eastAsia="en-AU"/>
        </w:rPr>
        <w:t xml:space="preserve">to be most likely </w:t>
      </w:r>
      <w:r w:rsidR="00532583">
        <w:rPr>
          <w:rFonts w:cs="Arial"/>
          <w:color w:val="000000"/>
          <w:sz w:val="24"/>
          <w:szCs w:val="24"/>
          <w:lang w:eastAsia="en-AU"/>
        </w:rPr>
        <w:t>explained by</w:t>
      </w:r>
      <w:r w:rsidR="00471E87">
        <w:rPr>
          <w:rFonts w:cs="Arial"/>
          <w:color w:val="000000"/>
          <w:sz w:val="24"/>
          <w:szCs w:val="24"/>
          <w:lang w:eastAsia="en-AU"/>
        </w:rPr>
        <w:t xml:space="preserve"> better control of occupational asbestos exposure.</w:t>
      </w:r>
    </w:p>
    <w:p w14:paraId="5F172887" w14:textId="77777777" w:rsidR="00A342B8" w:rsidRPr="00C97C77" w:rsidRDefault="00A342B8" w:rsidP="00550710">
      <w:pPr>
        <w:pStyle w:val="AIHWbodytext"/>
        <w:spacing w:before="360" w:line="480" w:lineRule="auto"/>
        <w:jc w:val="both"/>
        <w:rPr>
          <w:rFonts w:cs="Arial"/>
          <w:color w:val="000000"/>
          <w:sz w:val="24"/>
          <w:szCs w:val="24"/>
          <w:lang w:eastAsia="en-AU"/>
        </w:rPr>
      </w:pPr>
    </w:p>
    <w:p w14:paraId="2B741552" w14:textId="03DBC35E" w:rsidR="00550710" w:rsidRPr="00C97C77" w:rsidRDefault="00550710" w:rsidP="00550710">
      <w:pPr>
        <w:pStyle w:val="AIHWbodytext"/>
        <w:spacing w:line="480" w:lineRule="auto"/>
        <w:jc w:val="both"/>
        <w:rPr>
          <w:rFonts w:cs="Arial"/>
          <w:sz w:val="24"/>
          <w:szCs w:val="24"/>
          <w:lang w:eastAsia="en-AU"/>
        </w:rPr>
      </w:pPr>
      <w:r w:rsidRPr="00C97C77">
        <w:rPr>
          <w:rFonts w:cs="Arial"/>
          <w:sz w:val="24"/>
          <w:szCs w:val="24"/>
          <w:lang w:eastAsia="en-AU"/>
        </w:rPr>
        <w:t>This is not the first</w:t>
      </w:r>
      <w:r w:rsidR="00A342B8" w:rsidRPr="00C97C77">
        <w:rPr>
          <w:rFonts w:cs="Arial"/>
          <w:sz w:val="24"/>
          <w:szCs w:val="24"/>
          <w:lang w:eastAsia="en-AU"/>
        </w:rPr>
        <w:t>,</w:t>
      </w:r>
      <w:r w:rsidRPr="00C97C77">
        <w:rPr>
          <w:rFonts w:cs="Arial"/>
          <w:sz w:val="24"/>
          <w:szCs w:val="24"/>
          <w:lang w:eastAsia="en-AU"/>
        </w:rPr>
        <w:t xml:space="preserve"> or only</w:t>
      </w:r>
      <w:r w:rsidR="00A342B8" w:rsidRPr="00C97C77">
        <w:rPr>
          <w:rFonts w:cs="Arial"/>
          <w:sz w:val="24"/>
          <w:szCs w:val="24"/>
          <w:lang w:eastAsia="en-AU"/>
        </w:rPr>
        <w:t>,</w:t>
      </w:r>
      <w:r w:rsidRPr="00C97C77">
        <w:rPr>
          <w:rFonts w:cs="Arial"/>
          <w:sz w:val="24"/>
          <w:szCs w:val="24"/>
          <w:lang w:eastAsia="en-AU"/>
        </w:rPr>
        <w:t xml:space="preserve"> mesothelioma </w:t>
      </w:r>
      <w:r w:rsidRPr="007E4C90">
        <w:rPr>
          <w:rFonts w:cs="Arial"/>
          <w:sz w:val="24"/>
          <w:szCs w:val="24"/>
          <w:lang w:eastAsia="en-AU"/>
        </w:rPr>
        <w:t xml:space="preserve">surveillance programme or registry: </w:t>
      </w:r>
      <w:r w:rsidR="00212DD9" w:rsidRPr="007E4C90">
        <w:rPr>
          <w:rFonts w:cs="Arial"/>
          <w:sz w:val="24"/>
          <w:szCs w:val="24"/>
          <w:lang w:eastAsia="en-AU"/>
        </w:rPr>
        <w:t>Italy</w:t>
      </w:r>
      <w:r w:rsidR="003C1343" w:rsidRPr="007E4C90">
        <w:rPr>
          <w:rFonts w:cs="Arial"/>
          <w:sz w:val="24"/>
          <w:szCs w:val="24"/>
          <w:lang w:eastAsia="en-AU"/>
        </w:rPr>
        <w:t xml:space="preserve"> </w:t>
      </w:r>
      <w:r w:rsidR="00733178">
        <w:rPr>
          <w:rFonts w:cs="Arial"/>
          <w:sz w:val="24"/>
          <w:szCs w:val="24"/>
          <w:lang w:eastAsia="en-AU"/>
        </w:rPr>
        <w:t>(2</w:t>
      </w:r>
      <w:r w:rsidR="00471260">
        <w:rPr>
          <w:rFonts w:cs="Arial"/>
          <w:sz w:val="24"/>
          <w:szCs w:val="24"/>
          <w:lang w:eastAsia="en-AU"/>
        </w:rPr>
        <w:t>2</w:t>
      </w:r>
      <w:r w:rsidR="00733178">
        <w:rPr>
          <w:rFonts w:cs="Arial"/>
          <w:sz w:val="24"/>
          <w:szCs w:val="24"/>
          <w:lang w:eastAsia="en-AU"/>
        </w:rPr>
        <w:t>)</w:t>
      </w:r>
      <w:r w:rsidR="00212DD9" w:rsidRPr="007E4C90">
        <w:rPr>
          <w:rFonts w:cs="Arial"/>
          <w:sz w:val="24"/>
          <w:szCs w:val="24"/>
          <w:lang w:eastAsia="en-AU"/>
        </w:rPr>
        <w:t>, France</w:t>
      </w:r>
      <w:r w:rsidR="003C1343" w:rsidRPr="007E4C90">
        <w:rPr>
          <w:rFonts w:cs="Arial"/>
          <w:sz w:val="24"/>
          <w:szCs w:val="24"/>
          <w:lang w:eastAsia="en-AU"/>
        </w:rPr>
        <w:t xml:space="preserve"> </w:t>
      </w:r>
      <w:r w:rsidR="00733178">
        <w:rPr>
          <w:rFonts w:cs="Arial"/>
          <w:sz w:val="24"/>
          <w:szCs w:val="24"/>
          <w:lang w:eastAsia="en-AU"/>
        </w:rPr>
        <w:t>(2</w:t>
      </w:r>
      <w:r w:rsidR="00471260">
        <w:rPr>
          <w:rFonts w:cs="Arial"/>
          <w:sz w:val="24"/>
          <w:szCs w:val="24"/>
          <w:lang w:eastAsia="en-AU"/>
        </w:rPr>
        <w:t>3</w:t>
      </w:r>
      <w:r w:rsidR="00733178">
        <w:rPr>
          <w:rFonts w:cs="Arial"/>
          <w:sz w:val="24"/>
          <w:szCs w:val="24"/>
          <w:lang w:eastAsia="en-AU"/>
        </w:rPr>
        <w:t>)</w:t>
      </w:r>
      <w:r w:rsidR="00212DD9" w:rsidRPr="007E4C90">
        <w:rPr>
          <w:rFonts w:cs="Arial"/>
          <w:sz w:val="24"/>
          <w:szCs w:val="24"/>
          <w:lang w:eastAsia="en-AU"/>
        </w:rPr>
        <w:t xml:space="preserve">, </w:t>
      </w:r>
      <w:r w:rsidR="003C1343" w:rsidRPr="007E4C90">
        <w:rPr>
          <w:rFonts w:cs="Arial"/>
          <w:sz w:val="24"/>
          <w:szCs w:val="24"/>
          <w:lang w:eastAsia="en-AU"/>
        </w:rPr>
        <w:t xml:space="preserve">Germany </w:t>
      </w:r>
      <w:r w:rsidR="00733178">
        <w:rPr>
          <w:rFonts w:cs="Arial"/>
          <w:sz w:val="24"/>
          <w:szCs w:val="24"/>
          <w:lang w:eastAsia="en-AU"/>
        </w:rPr>
        <w:t>(2</w:t>
      </w:r>
      <w:r w:rsidR="00471260">
        <w:rPr>
          <w:rFonts w:cs="Arial"/>
          <w:sz w:val="24"/>
          <w:szCs w:val="24"/>
          <w:lang w:eastAsia="en-AU"/>
        </w:rPr>
        <w:t>4</w:t>
      </w:r>
      <w:r w:rsidR="00733178">
        <w:rPr>
          <w:rFonts w:cs="Arial"/>
          <w:sz w:val="24"/>
          <w:szCs w:val="24"/>
          <w:lang w:eastAsia="en-AU"/>
        </w:rPr>
        <w:t>)</w:t>
      </w:r>
      <w:r w:rsidR="003C1343" w:rsidRPr="007E4C90">
        <w:rPr>
          <w:rFonts w:cs="Arial"/>
          <w:sz w:val="24"/>
          <w:szCs w:val="24"/>
          <w:lang w:eastAsia="en-AU"/>
        </w:rPr>
        <w:t xml:space="preserve">, </w:t>
      </w:r>
      <w:r w:rsidR="00212DD9" w:rsidRPr="007E4C90">
        <w:rPr>
          <w:rFonts w:cs="Arial"/>
          <w:sz w:val="24"/>
          <w:szCs w:val="24"/>
          <w:lang w:eastAsia="en-AU"/>
        </w:rPr>
        <w:t xml:space="preserve">UK, </w:t>
      </w:r>
      <w:r w:rsidR="00294F1B">
        <w:rPr>
          <w:rFonts w:cs="Arial"/>
          <w:sz w:val="24"/>
          <w:szCs w:val="24"/>
          <w:lang w:eastAsia="en-AU"/>
        </w:rPr>
        <w:t xml:space="preserve">and </w:t>
      </w:r>
      <w:r w:rsidR="002A3144" w:rsidRPr="007E4C90">
        <w:rPr>
          <w:rFonts w:cs="Arial"/>
          <w:sz w:val="24"/>
          <w:szCs w:val="24"/>
          <w:lang w:eastAsia="en-AU"/>
        </w:rPr>
        <w:t xml:space="preserve">New Zealand </w:t>
      </w:r>
      <w:r w:rsidRPr="007E4C90">
        <w:rPr>
          <w:rFonts w:cs="Arial"/>
          <w:sz w:val="24"/>
          <w:szCs w:val="24"/>
          <w:lang w:eastAsia="en-AU"/>
        </w:rPr>
        <w:t>have all established registries</w:t>
      </w:r>
      <w:r w:rsidR="00A342B8" w:rsidRPr="007E4C90">
        <w:rPr>
          <w:rFonts w:cs="Arial"/>
          <w:sz w:val="24"/>
          <w:szCs w:val="24"/>
          <w:lang w:eastAsia="en-AU"/>
        </w:rPr>
        <w:t xml:space="preserve"> and </w:t>
      </w:r>
      <w:r w:rsidR="00F9610B">
        <w:rPr>
          <w:rFonts w:cs="Arial"/>
          <w:sz w:val="24"/>
          <w:szCs w:val="24"/>
          <w:lang w:eastAsia="en-AU"/>
        </w:rPr>
        <w:t xml:space="preserve">Canada and the </w:t>
      </w:r>
      <w:r w:rsidR="00A342B8" w:rsidRPr="007E4C90">
        <w:rPr>
          <w:rFonts w:cs="Arial"/>
          <w:sz w:val="24"/>
          <w:szCs w:val="24"/>
          <w:lang w:eastAsia="en-AU"/>
        </w:rPr>
        <w:t>USA ha</w:t>
      </w:r>
      <w:r w:rsidR="00F9610B">
        <w:rPr>
          <w:rFonts w:cs="Arial"/>
          <w:sz w:val="24"/>
          <w:szCs w:val="24"/>
          <w:lang w:eastAsia="en-AU"/>
        </w:rPr>
        <w:t>ve</w:t>
      </w:r>
      <w:r w:rsidR="00A342B8" w:rsidRPr="007E4C90">
        <w:rPr>
          <w:rFonts w:cs="Arial"/>
          <w:sz w:val="24"/>
          <w:szCs w:val="24"/>
          <w:lang w:eastAsia="en-AU"/>
        </w:rPr>
        <w:t xml:space="preserve"> been considering </w:t>
      </w:r>
      <w:r w:rsidR="004309A9">
        <w:rPr>
          <w:rFonts w:cs="Arial"/>
          <w:sz w:val="24"/>
          <w:szCs w:val="24"/>
          <w:lang w:eastAsia="en-AU"/>
        </w:rPr>
        <w:t>doing so</w:t>
      </w:r>
      <w:r w:rsidR="00733178">
        <w:rPr>
          <w:rFonts w:cs="Arial"/>
          <w:sz w:val="24"/>
          <w:szCs w:val="24"/>
          <w:lang w:eastAsia="en-AU"/>
        </w:rPr>
        <w:t xml:space="preserve"> (2</w:t>
      </w:r>
      <w:r w:rsidR="00471260">
        <w:rPr>
          <w:rFonts w:cs="Arial"/>
          <w:sz w:val="24"/>
          <w:szCs w:val="24"/>
          <w:lang w:eastAsia="en-AU"/>
        </w:rPr>
        <w:t>5</w:t>
      </w:r>
      <w:r w:rsidR="00733178">
        <w:rPr>
          <w:rFonts w:cs="Arial"/>
          <w:sz w:val="24"/>
          <w:szCs w:val="24"/>
          <w:lang w:eastAsia="en-AU"/>
        </w:rPr>
        <w:t>)</w:t>
      </w:r>
      <w:r w:rsidR="00C25235" w:rsidRPr="007E4C90">
        <w:rPr>
          <w:rFonts w:cs="Arial"/>
          <w:sz w:val="24"/>
          <w:szCs w:val="24"/>
          <w:lang w:eastAsia="en-AU"/>
        </w:rPr>
        <w:t xml:space="preserve">. </w:t>
      </w:r>
      <w:r w:rsidR="00AE3401">
        <w:rPr>
          <w:rFonts w:cs="Arial"/>
          <w:sz w:val="24"/>
          <w:szCs w:val="24"/>
          <w:lang w:eastAsia="en-AU"/>
        </w:rPr>
        <w:t>T</w:t>
      </w:r>
      <w:r w:rsidR="004309A9">
        <w:rPr>
          <w:rFonts w:cs="Arial"/>
          <w:sz w:val="24"/>
          <w:szCs w:val="24"/>
          <w:lang w:eastAsia="en-AU"/>
        </w:rPr>
        <w:t>he AMR has been</w:t>
      </w:r>
      <w:r w:rsidRPr="007E4C90">
        <w:rPr>
          <w:rFonts w:cs="Arial"/>
          <w:sz w:val="24"/>
          <w:szCs w:val="24"/>
          <w:lang w:eastAsia="en-AU"/>
        </w:rPr>
        <w:t xml:space="preserve"> linked with mortality data from inception and </w:t>
      </w:r>
      <w:r w:rsidR="007E4C90" w:rsidRPr="007E4C90">
        <w:rPr>
          <w:rFonts w:cs="Arial"/>
          <w:sz w:val="24"/>
          <w:szCs w:val="24"/>
          <w:lang w:eastAsia="en-AU"/>
        </w:rPr>
        <w:t xml:space="preserve">most </w:t>
      </w:r>
      <w:r w:rsidRPr="007E4C90">
        <w:rPr>
          <w:rFonts w:cs="Arial"/>
          <w:sz w:val="24"/>
          <w:szCs w:val="24"/>
          <w:lang w:eastAsia="en-AU"/>
        </w:rPr>
        <w:t>other national registries</w:t>
      </w:r>
      <w:r w:rsidR="004309A9">
        <w:rPr>
          <w:rFonts w:cs="Arial"/>
          <w:sz w:val="24"/>
          <w:szCs w:val="24"/>
          <w:lang w:eastAsia="en-AU"/>
        </w:rPr>
        <w:t xml:space="preserve"> are likewise </w:t>
      </w:r>
      <w:r w:rsidR="004309A9">
        <w:rPr>
          <w:rFonts w:cs="Arial"/>
          <w:sz w:val="24"/>
          <w:szCs w:val="24"/>
          <w:lang w:eastAsia="en-AU"/>
        </w:rPr>
        <w:lastRenderedPageBreak/>
        <w:t xml:space="preserve">linked to mortality data or planning to </w:t>
      </w:r>
      <w:r w:rsidR="009562C4">
        <w:rPr>
          <w:rFonts w:cs="Arial"/>
          <w:sz w:val="24"/>
          <w:szCs w:val="24"/>
          <w:lang w:eastAsia="en-AU"/>
        </w:rPr>
        <w:t>include such link</w:t>
      </w:r>
      <w:r w:rsidR="00471E87">
        <w:rPr>
          <w:rFonts w:cs="Arial"/>
          <w:sz w:val="24"/>
          <w:szCs w:val="24"/>
          <w:lang w:eastAsia="en-AU"/>
        </w:rPr>
        <w:t>age</w:t>
      </w:r>
      <w:r w:rsidRPr="007E4C90">
        <w:rPr>
          <w:rFonts w:cs="Arial"/>
          <w:sz w:val="24"/>
          <w:szCs w:val="24"/>
          <w:lang w:eastAsia="en-AU"/>
        </w:rPr>
        <w:t xml:space="preserve">. </w:t>
      </w:r>
      <w:bookmarkStart w:id="5" w:name="_Hlk121240598"/>
      <w:r w:rsidR="004309A9">
        <w:rPr>
          <w:sz w:val="24"/>
          <w:szCs w:val="24"/>
        </w:rPr>
        <w:t>Some other</w:t>
      </w:r>
      <w:r w:rsidR="004309A9" w:rsidRPr="007E4C90">
        <w:rPr>
          <w:sz w:val="24"/>
          <w:szCs w:val="24"/>
        </w:rPr>
        <w:t xml:space="preserve"> </w:t>
      </w:r>
      <w:r w:rsidR="007E4C90" w:rsidRPr="007E4C90">
        <w:rPr>
          <w:sz w:val="24"/>
          <w:szCs w:val="24"/>
        </w:rPr>
        <w:t>countries have incorporated patient interviews to better understand exposures</w:t>
      </w:r>
      <w:r w:rsidR="004309A9">
        <w:rPr>
          <w:sz w:val="24"/>
          <w:szCs w:val="24"/>
        </w:rPr>
        <w:t>,</w:t>
      </w:r>
      <w:r w:rsidR="007E4C90" w:rsidRPr="007E4C90">
        <w:rPr>
          <w:sz w:val="24"/>
          <w:szCs w:val="24"/>
        </w:rPr>
        <w:t xml:space="preserve"> includ</w:t>
      </w:r>
      <w:r w:rsidR="004309A9">
        <w:rPr>
          <w:sz w:val="24"/>
          <w:szCs w:val="24"/>
        </w:rPr>
        <w:t>ing</w:t>
      </w:r>
      <w:r w:rsidR="007E4C90" w:rsidRPr="007E4C90">
        <w:rPr>
          <w:sz w:val="24"/>
          <w:szCs w:val="24"/>
        </w:rPr>
        <w:t xml:space="preserve"> France, </w:t>
      </w:r>
      <w:r w:rsidR="00DE7756">
        <w:rPr>
          <w:sz w:val="24"/>
          <w:szCs w:val="24"/>
        </w:rPr>
        <w:t xml:space="preserve">Italy, </w:t>
      </w:r>
      <w:r w:rsidR="007E4C90" w:rsidRPr="007E4C90">
        <w:rPr>
          <w:sz w:val="24"/>
          <w:szCs w:val="24"/>
        </w:rPr>
        <w:t xml:space="preserve">New Zealand and </w:t>
      </w:r>
      <w:r w:rsidR="00294F1B">
        <w:rPr>
          <w:sz w:val="24"/>
          <w:szCs w:val="24"/>
        </w:rPr>
        <w:t xml:space="preserve">the surveillance system in </w:t>
      </w:r>
      <w:r w:rsidR="007E4C90" w:rsidRPr="007E4C90">
        <w:rPr>
          <w:sz w:val="24"/>
          <w:szCs w:val="24"/>
        </w:rPr>
        <w:t xml:space="preserve">South Korea </w:t>
      </w:r>
      <w:r w:rsidR="00733178">
        <w:rPr>
          <w:sz w:val="24"/>
          <w:szCs w:val="24"/>
        </w:rPr>
        <w:t>(2</w:t>
      </w:r>
      <w:r w:rsidR="00471260">
        <w:rPr>
          <w:sz w:val="24"/>
          <w:szCs w:val="24"/>
        </w:rPr>
        <w:t>6</w:t>
      </w:r>
      <w:r w:rsidR="00294F1B">
        <w:rPr>
          <w:sz w:val="24"/>
          <w:szCs w:val="24"/>
        </w:rPr>
        <w:t>,2</w:t>
      </w:r>
      <w:r w:rsidR="00471260">
        <w:rPr>
          <w:sz w:val="24"/>
          <w:szCs w:val="24"/>
        </w:rPr>
        <w:t>7</w:t>
      </w:r>
      <w:r w:rsidR="00733178">
        <w:rPr>
          <w:sz w:val="24"/>
          <w:szCs w:val="24"/>
        </w:rPr>
        <w:t>)</w:t>
      </w:r>
      <w:r w:rsidR="007E4C90" w:rsidRPr="007E4C90">
        <w:rPr>
          <w:sz w:val="24"/>
          <w:szCs w:val="24"/>
        </w:rPr>
        <w:t xml:space="preserve">.  </w:t>
      </w:r>
      <w:bookmarkEnd w:id="5"/>
      <w:r w:rsidR="00471E87">
        <w:rPr>
          <w:sz w:val="24"/>
          <w:szCs w:val="24"/>
        </w:rPr>
        <w:t>L</w:t>
      </w:r>
      <w:r w:rsidRPr="007E4C90">
        <w:rPr>
          <w:rFonts w:cs="Arial"/>
          <w:sz w:val="24"/>
          <w:szCs w:val="24"/>
          <w:lang w:eastAsia="en-AU"/>
        </w:rPr>
        <w:t xml:space="preserve">ike </w:t>
      </w:r>
      <w:r w:rsidR="007E4C90" w:rsidRPr="007E4C90">
        <w:rPr>
          <w:rFonts w:cs="Arial"/>
          <w:sz w:val="24"/>
          <w:szCs w:val="24"/>
          <w:lang w:eastAsia="en-AU"/>
        </w:rPr>
        <w:t>many</w:t>
      </w:r>
      <w:r w:rsidRPr="007E4C90">
        <w:rPr>
          <w:rFonts w:cs="Arial"/>
          <w:sz w:val="24"/>
          <w:szCs w:val="24"/>
          <w:lang w:eastAsia="en-AU"/>
        </w:rPr>
        <w:t xml:space="preserve"> other registries,</w:t>
      </w:r>
      <w:r w:rsidR="004309A9">
        <w:rPr>
          <w:rFonts w:cs="Arial"/>
          <w:sz w:val="24"/>
          <w:szCs w:val="24"/>
          <w:lang w:eastAsia="en-AU"/>
        </w:rPr>
        <w:t xml:space="preserve"> </w:t>
      </w:r>
      <w:r w:rsidR="003F3499">
        <w:rPr>
          <w:rFonts w:cs="Arial"/>
          <w:sz w:val="24"/>
          <w:szCs w:val="24"/>
          <w:lang w:eastAsia="en-AU"/>
        </w:rPr>
        <w:t xml:space="preserve">the </w:t>
      </w:r>
      <w:r w:rsidR="004309A9">
        <w:rPr>
          <w:rFonts w:cs="Arial"/>
          <w:sz w:val="24"/>
          <w:szCs w:val="24"/>
          <w:lang w:eastAsia="en-AU"/>
        </w:rPr>
        <w:t>AMR</w:t>
      </w:r>
      <w:r w:rsidRPr="007E4C90">
        <w:rPr>
          <w:rFonts w:cs="Arial"/>
          <w:sz w:val="24"/>
          <w:szCs w:val="24"/>
          <w:lang w:eastAsia="en-AU"/>
        </w:rPr>
        <w:t xml:space="preserve"> has </w:t>
      </w:r>
      <w:r w:rsidR="00294F1B">
        <w:rPr>
          <w:rFonts w:cs="Arial"/>
          <w:sz w:val="24"/>
          <w:szCs w:val="24"/>
          <w:lang w:eastAsia="en-AU"/>
        </w:rPr>
        <w:t>relatively</w:t>
      </w:r>
      <w:r w:rsidRPr="007E4C90">
        <w:rPr>
          <w:rFonts w:cs="Arial"/>
          <w:sz w:val="24"/>
          <w:szCs w:val="24"/>
          <w:lang w:eastAsia="en-AU"/>
        </w:rPr>
        <w:t xml:space="preserve"> li</w:t>
      </w:r>
      <w:r w:rsidR="00212DD9" w:rsidRPr="007E4C90">
        <w:rPr>
          <w:rFonts w:cs="Arial"/>
          <w:sz w:val="24"/>
          <w:szCs w:val="24"/>
          <w:lang w:eastAsia="en-AU"/>
        </w:rPr>
        <w:t xml:space="preserve">mited information </w:t>
      </w:r>
      <w:r w:rsidRPr="007E4C90">
        <w:rPr>
          <w:rFonts w:cs="Arial"/>
          <w:sz w:val="24"/>
          <w:szCs w:val="24"/>
          <w:lang w:eastAsia="en-AU"/>
        </w:rPr>
        <w:t>about</w:t>
      </w:r>
      <w:r w:rsidR="00212DD9" w:rsidRPr="007E4C90">
        <w:rPr>
          <w:rFonts w:cs="Arial"/>
          <w:sz w:val="24"/>
          <w:szCs w:val="24"/>
          <w:lang w:eastAsia="en-AU"/>
        </w:rPr>
        <w:t xml:space="preserve"> treatment, quality of life, and other patient-</w:t>
      </w:r>
      <w:r w:rsidR="00710F8E" w:rsidRPr="007E4C90">
        <w:rPr>
          <w:rFonts w:cs="Arial"/>
          <w:sz w:val="24"/>
          <w:szCs w:val="24"/>
          <w:lang w:eastAsia="en-AU"/>
        </w:rPr>
        <w:t>centred</w:t>
      </w:r>
      <w:r w:rsidR="00212DD9" w:rsidRPr="007E4C90">
        <w:rPr>
          <w:rFonts w:cs="Arial"/>
          <w:sz w:val="24"/>
          <w:szCs w:val="24"/>
          <w:lang w:eastAsia="en-AU"/>
        </w:rPr>
        <w:t xml:space="preserve"> outcomes </w:t>
      </w:r>
      <w:r w:rsidRPr="007E4C90">
        <w:rPr>
          <w:rFonts w:cs="Arial"/>
          <w:sz w:val="24"/>
          <w:szCs w:val="24"/>
          <w:lang w:eastAsia="en-AU"/>
        </w:rPr>
        <w:t>including</w:t>
      </w:r>
      <w:r w:rsidR="00212DD9" w:rsidRPr="007E4C90">
        <w:rPr>
          <w:rFonts w:cs="Arial"/>
          <w:sz w:val="24"/>
          <w:szCs w:val="24"/>
          <w:lang w:eastAsia="en-AU"/>
        </w:rPr>
        <w:t xml:space="preserve"> symptoms and pain management. </w:t>
      </w:r>
      <w:r w:rsidRPr="007E4C90">
        <w:rPr>
          <w:rFonts w:cs="Arial"/>
          <w:sz w:val="24"/>
          <w:szCs w:val="24"/>
          <w:lang w:eastAsia="en-AU"/>
        </w:rPr>
        <w:t>Th</w:t>
      </w:r>
      <w:r w:rsidR="00294F1B">
        <w:rPr>
          <w:rFonts w:cs="Arial"/>
          <w:sz w:val="24"/>
          <w:szCs w:val="24"/>
          <w:lang w:eastAsia="en-AU"/>
        </w:rPr>
        <w:t>e lack of treatment and outcome information</w:t>
      </w:r>
      <w:r w:rsidR="007E4C90">
        <w:rPr>
          <w:rFonts w:cs="Arial"/>
          <w:sz w:val="24"/>
          <w:szCs w:val="24"/>
          <w:lang w:eastAsia="en-AU"/>
        </w:rPr>
        <w:t xml:space="preserve"> </w:t>
      </w:r>
      <w:r w:rsidRPr="007E4C90">
        <w:rPr>
          <w:rFonts w:cs="Arial"/>
          <w:sz w:val="24"/>
          <w:szCs w:val="24"/>
          <w:lang w:eastAsia="en-AU"/>
        </w:rPr>
        <w:t>is</w:t>
      </w:r>
      <w:r w:rsidRPr="00C97C77">
        <w:rPr>
          <w:rFonts w:cs="Arial"/>
          <w:sz w:val="24"/>
          <w:szCs w:val="24"/>
          <w:lang w:eastAsia="en-AU"/>
        </w:rPr>
        <w:t xml:space="preserve"> important, as </w:t>
      </w:r>
      <w:r w:rsidR="00A342B8" w:rsidRPr="00C97C77">
        <w:rPr>
          <w:rFonts w:cs="Arial"/>
          <w:sz w:val="24"/>
          <w:szCs w:val="24"/>
          <w:lang w:eastAsia="en-AU"/>
        </w:rPr>
        <w:t xml:space="preserve">there is evidence that many patients do not receive recommended treatment </w:t>
      </w:r>
      <w:r w:rsidR="00733178">
        <w:rPr>
          <w:rFonts w:cs="Arial"/>
          <w:sz w:val="24"/>
          <w:szCs w:val="24"/>
          <w:lang w:eastAsia="en-AU"/>
        </w:rPr>
        <w:t>(2</w:t>
      </w:r>
      <w:r w:rsidR="00471260">
        <w:rPr>
          <w:rFonts w:cs="Arial"/>
          <w:sz w:val="24"/>
          <w:szCs w:val="24"/>
          <w:lang w:eastAsia="en-AU"/>
        </w:rPr>
        <w:t>8</w:t>
      </w:r>
      <w:r w:rsidR="00733178">
        <w:rPr>
          <w:rFonts w:cs="Arial"/>
          <w:sz w:val="24"/>
          <w:szCs w:val="24"/>
          <w:lang w:eastAsia="en-AU"/>
        </w:rPr>
        <w:t>)</w:t>
      </w:r>
      <w:r w:rsidR="00A342B8" w:rsidRPr="00C97C77">
        <w:rPr>
          <w:rFonts w:cs="Arial"/>
          <w:sz w:val="24"/>
          <w:szCs w:val="24"/>
          <w:lang w:eastAsia="en-AU"/>
        </w:rPr>
        <w:t xml:space="preserve"> and that participation rates in clinical trials </w:t>
      </w:r>
      <w:r w:rsidR="007E4C90">
        <w:rPr>
          <w:rFonts w:cs="Arial"/>
          <w:sz w:val="24"/>
          <w:szCs w:val="24"/>
          <w:lang w:eastAsia="en-AU"/>
        </w:rPr>
        <w:t xml:space="preserve">for mesothelioma </w:t>
      </w:r>
      <w:r w:rsidR="00A342B8" w:rsidRPr="00C97C77">
        <w:rPr>
          <w:rFonts w:cs="Arial"/>
          <w:sz w:val="24"/>
          <w:szCs w:val="24"/>
          <w:lang w:eastAsia="en-AU"/>
        </w:rPr>
        <w:t xml:space="preserve">are </w:t>
      </w:r>
      <w:r w:rsidR="00C97C77">
        <w:rPr>
          <w:rFonts w:cs="Arial"/>
          <w:sz w:val="24"/>
          <w:szCs w:val="24"/>
          <w:lang w:eastAsia="en-AU"/>
        </w:rPr>
        <w:t>low</w:t>
      </w:r>
      <w:r w:rsidR="00A342B8" w:rsidRPr="00C97C77">
        <w:rPr>
          <w:rFonts w:cs="Arial"/>
          <w:sz w:val="24"/>
          <w:szCs w:val="24"/>
          <w:lang w:eastAsia="en-AU"/>
        </w:rPr>
        <w:t xml:space="preserve"> </w:t>
      </w:r>
      <w:r w:rsidR="00733178">
        <w:rPr>
          <w:rFonts w:cs="Arial"/>
          <w:sz w:val="24"/>
          <w:szCs w:val="24"/>
          <w:lang w:eastAsia="en-AU"/>
        </w:rPr>
        <w:t>(2</w:t>
      </w:r>
      <w:r w:rsidR="00471260">
        <w:rPr>
          <w:rFonts w:cs="Arial"/>
          <w:sz w:val="24"/>
          <w:szCs w:val="24"/>
          <w:lang w:eastAsia="en-AU"/>
        </w:rPr>
        <w:t>9</w:t>
      </w:r>
      <w:r w:rsidR="00733178">
        <w:rPr>
          <w:rFonts w:cs="Arial"/>
          <w:sz w:val="24"/>
          <w:szCs w:val="24"/>
          <w:lang w:eastAsia="en-AU"/>
        </w:rPr>
        <w:t>)</w:t>
      </w:r>
      <w:r w:rsidR="00A342B8" w:rsidRPr="00C97C77">
        <w:rPr>
          <w:rFonts w:cs="Arial"/>
          <w:sz w:val="24"/>
          <w:szCs w:val="24"/>
          <w:lang w:eastAsia="en-AU"/>
        </w:rPr>
        <w:t xml:space="preserve">. </w:t>
      </w:r>
      <w:r w:rsidR="00E71C77" w:rsidRPr="00C97C77">
        <w:rPr>
          <w:rFonts w:cs="Arial"/>
          <w:sz w:val="24"/>
          <w:szCs w:val="24"/>
          <w:lang w:eastAsia="en-AU"/>
        </w:rPr>
        <w:t>Given that a mechanism now exists for more rapid identification and notification of new cases</w:t>
      </w:r>
      <w:r w:rsidR="007E4C90">
        <w:rPr>
          <w:rFonts w:cs="Arial"/>
          <w:sz w:val="24"/>
          <w:szCs w:val="24"/>
          <w:lang w:eastAsia="en-AU"/>
        </w:rPr>
        <w:t xml:space="preserve"> through AMR</w:t>
      </w:r>
      <w:r w:rsidR="00E71C77" w:rsidRPr="00C97C77">
        <w:rPr>
          <w:rFonts w:cs="Arial"/>
          <w:sz w:val="24"/>
          <w:szCs w:val="24"/>
          <w:lang w:eastAsia="en-AU"/>
        </w:rPr>
        <w:t>, the registry could potentially provide a means by which to collect more data about treatment.</w:t>
      </w:r>
      <w:r w:rsidR="007E4C90">
        <w:rPr>
          <w:rFonts w:cs="Arial"/>
          <w:sz w:val="24"/>
          <w:szCs w:val="24"/>
          <w:lang w:eastAsia="en-AU"/>
        </w:rPr>
        <w:t xml:space="preserve"> </w:t>
      </w:r>
      <w:bookmarkStart w:id="6" w:name="_Hlk121241526"/>
      <w:r w:rsidR="00DE3EF5">
        <w:rPr>
          <w:rFonts w:cs="Arial"/>
          <w:sz w:val="24"/>
          <w:szCs w:val="24"/>
          <w:lang w:eastAsia="en-AU"/>
        </w:rPr>
        <w:t xml:space="preserve">Certainly, </w:t>
      </w:r>
      <w:r w:rsidR="00FC5A0C">
        <w:rPr>
          <w:rFonts w:cs="Arial"/>
          <w:sz w:val="24"/>
          <w:szCs w:val="24"/>
          <w:lang w:eastAsia="en-AU"/>
        </w:rPr>
        <w:t>for another uncommon condition with a short survival period after diagnosis (</w:t>
      </w:r>
      <w:r w:rsidR="007E4C90">
        <w:rPr>
          <w:rFonts w:cs="Arial"/>
          <w:sz w:val="24"/>
          <w:szCs w:val="24"/>
          <w:lang w:eastAsia="en-AU"/>
        </w:rPr>
        <w:t>A</w:t>
      </w:r>
      <w:r w:rsidR="00DE3EF5">
        <w:rPr>
          <w:rFonts w:cs="Arial"/>
          <w:sz w:val="24"/>
          <w:szCs w:val="24"/>
          <w:lang w:eastAsia="en-AU"/>
        </w:rPr>
        <w:t xml:space="preserve">myotrophic </w:t>
      </w:r>
      <w:r w:rsidR="007E4C90">
        <w:rPr>
          <w:rFonts w:cs="Arial"/>
          <w:sz w:val="24"/>
          <w:szCs w:val="24"/>
          <w:lang w:eastAsia="en-AU"/>
        </w:rPr>
        <w:t>L</w:t>
      </w:r>
      <w:r w:rsidR="00DE3EF5">
        <w:rPr>
          <w:rFonts w:cs="Arial"/>
          <w:sz w:val="24"/>
          <w:szCs w:val="24"/>
          <w:lang w:eastAsia="en-AU"/>
        </w:rPr>
        <w:t xml:space="preserve">ateral </w:t>
      </w:r>
      <w:r w:rsidR="007E4C90">
        <w:rPr>
          <w:rFonts w:cs="Arial"/>
          <w:sz w:val="24"/>
          <w:szCs w:val="24"/>
          <w:lang w:eastAsia="en-AU"/>
        </w:rPr>
        <w:t>S</w:t>
      </w:r>
      <w:r w:rsidR="00DE3EF5">
        <w:rPr>
          <w:rFonts w:cs="Arial"/>
          <w:sz w:val="24"/>
          <w:szCs w:val="24"/>
          <w:lang w:eastAsia="en-AU"/>
        </w:rPr>
        <w:t>clerosis</w:t>
      </w:r>
      <w:r w:rsidR="007E4C90">
        <w:rPr>
          <w:rFonts w:cs="Arial"/>
          <w:sz w:val="24"/>
          <w:szCs w:val="24"/>
          <w:lang w:eastAsia="en-AU"/>
        </w:rPr>
        <w:t xml:space="preserve"> </w:t>
      </w:r>
      <w:r w:rsidR="00DE3EF5">
        <w:rPr>
          <w:rFonts w:cs="Arial"/>
          <w:sz w:val="24"/>
          <w:szCs w:val="24"/>
          <w:lang w:eastAsia="en-AU"/>
        </w:rPr>
        <w:t>(ALS)</w:t>
      </w:r>
      <w:r w:rsidR="00FC5A0C">
        <w:rPr>
          <w:rFonts w:cs="Arial"/>
          <w:sz w:val="24"/>
          <w:szCs w:val="24"/>
          <w:lang w:eastAsia="en-AU"/>
        </w:rPr>
        <w:t>), establishment of a national</w:t>
      </w:r>
      <w:r w:rsidR="00DE3EF5">
        <w:rPr>
          <w:rFonts w:cs="Arial"/>
          <w:sz w:val="24"/>
          <w:szCs w:val="24"/>
          <w:lang w:eastAsia="en-AU"/>
        </w:rPr>
        <w:t xml:space="preserve"> </w:t>
      </w:r>
      <w:r w:rsidR="007E4C90">
        <w:rPr>
          <w:rFonts w:cs="Arial"/>
          <w:sz w:val="24"/>
          <w:szCs w:val="24"/>
          <w:lang w:eastAsia="en-AU"/>
        </w:rPr>
        <w:t>registry in the US has provided</w:t>
      </w:r>
      <w:r w:rsidR="00DE3EF5">
        <w:rPr>
          <w:rFonts w:cs="Arial"/>
          <w:sz w:val="24"/>
          <w:szCs w:val="24"/>
          <w:lang w:eastAsia="en-AU"/>
        </w:rPr>
        <w:t xml:space="preserve"> </w:t>
      </w:r>
      <w:r w:rsidR="007E4C90">
        <w:rPr>
          <w:rFonts w:cs="Arial"/>
          <w:sz w:val="24"/>
          <w:szCs w:val="24"/>
          <w:lang w:eastAsia="en-AU"/>
        </w:rPr>
        <w:t xml:space="preserve">a mechanism </w:t>
      </w:r>
      <w:r w:rsidR="00DE3EF5">
        <w:rPr>
          <w:rFonts w:cs="Arial"/>
          <w:sz w:val="24"/>
          <w:szCs w:val="24"/>
          <w:lang w:eastAsia="en-AU"/>
        </w:rPr>
        <w:t xml:space="preserve">by which to improve recruitment to trials </w:t>
      </w:r>
      <w:r w:rsidR="00733178">
        <w:rPr>
          <w:rFonts w:cs="Arial"/>
          <w:sz w:val="24"/>
          <w:szCs w:val="24"/>
          <w:lang w:eastAsia="en-AU"/>
        </w:rPr>
        <w:t>(</w:t>
      </w:r>
      <w:r w:rsidR="00471260">
        <w:rPr>
          <w:rFonts w:cs="Arial"/>
          <w:sz w:val="24"/>
          <w:szCs w:val="24"/>
          <w:lang w:eastAsia="en-AU"/>
        </w:rPr>
        <w:t>30</w:t>
      </w:r>
      <w:r w:rsidR="00733178">
        <w:rPr>
          <w:rFonts w:cs="Arial"/>
          <w:sz w:val="24"/>
          <w:szCs w:val="24"/>
          <w:lang w:eastAsia="en-AU"/>
        </w:rPr>
        <w:t>)</w:t>
      </w:r>
      <w:r w:rsidR="00E71C77" w:rsidRPr="00C97C77">
        <w:rPr>
          <w:rFonts w:cs="Arial"/>
          <w:sz w:val="24"/>
          <w:szCs w:val="24"/>
          <w:lang w:eastAsia="en-AU"/>
        </w:rPr>
        <w:t xml:space="preserve">. </w:t>
      </w:r>
      <w:bookmarkEnd w:id="6"/>
      <w:r w:rsidR="00171EFE">
        <w:rPr>
          <w:rFonts w:cs="Arial"/>
          <w:sz w:val="24"/>
          <w:szCs w:val="24"/>
          <w:lang w:eastAsia="en-AU"/>
        </w:rPr>
        <w:t>T</w:t>
      </w:r>
      <w:r w:rsidR="00E71C77" w:rsidRPr="00C97C77">
        <w:rPr>
          <w:rFonts w:cs="Arial"/>
          <w:sz w:val="24"/>
          <w:szCs w:val="24"/>
          <w:lang w:eastAsia="en-AU"/>
        </w:rPr>
        <w:t xml:space="preserve">he AMR provides access to both </w:t>
      </w:r>
      <w:r w:rsidR="00710F8E" w:rsidRPr="00C97C77">
        <w:rPr>
          <w:rFonts w:cs="Arial"/>
          <w:sz w:val="24"/>
          <w:szCs w:val="24"/>
          <w:lang w:eastAsia="en-AU"/>
        </w:rPr>
        <w:t>de</w:t>
      </w:r>
      <w:r w:rsidR="00C97C77" w:rsidRPr="00C97C77">
        <w:rPr>
          <w:rFonts w:cs="Arial"/>
          <w:sz w:val="24"/>
          <w:szCs w:val="24"/>
          <w:lang w:eastAsia="en-AU"/>
        </w:rPr>
        <w:t>-</w:t>
      </w:r>
      <w:r w:rsidR="00710F8E" w:rsidRPr="00C97C77">
        <w:rPr>
          <w:rFonts w:cs="Arial"/>
          <w:sz w:val="24"/>
          <w:szCs w:val="24"/>
          <w:lang w:eastAsia="en-AU"/>
        </w:rPr>
        <w:t>identified</w:t>
      </w:r>
      <w:r w:rsidR="00E71C77" w:rsidRPr="00C97C77">
        <w:rPr>
          <w:rFonts w:cs="Arial"/>
          <w:sz w:val="24"/>
          <w:szCs w:val="24"/>
          <w:lang w:eastAsia="en-AU"/>
        </w:rPr>
        <w:t xml:space="preserve"> aggregate data and more detailed unit record data for purposes of research or audit related to mesothelioma (</w:t>
      </w:r>
      <w:r w:rsidR="003C3B2A">
        <w:rPr>
          <w:rFonts w:cs="Arial"/>
          <w:sz w:val="24"/>
          <w:szCs w:val="24"/>
          <w:lang w:eastAsia="en-AU"/>
        </w:rPr>
        <w:t>3</w:t>
      </w:r>
      <w:r w:rsidR="00471260">
        <w:rPr>
          <w:rFonts w:cs="Arial"/>
          <w:sz w:val="24"/>
          <w:szCs w:val="24"/>
          <w:lang w:eastAsia="en-AU"/>
        </w:rPr>
        <w:t>1</w:t>
      </w:r>
      <w:r w:rsidR="00E71C77" w:rsidRPr="00C97C77">
        <w:rPr>
          <w:rFonts w:cs="Arial"/>
          <w:sz w:val="24"/>
          <w:szCs w:val="24"/>
          <w:lang w:eastAsia="en-AU"/>
        </w:rPr>
        <w:t>).</w:t>
      </w:r>
    </w:p>
    <w:p w14:paraId="26193FF8" w14:textId="77777777" w:rsidR="00550710" w:rsidRPr="00C97C77" w:rsidRDefault="00550710" w:rsidP="00550710">
      <w:pPr>
        <w:pStyle w:val="AIHWbodytext"/>
        <w:spacing w:line="480" w:lineRule="auto"/>
        <w:jc w:val="both"/>
        <w:rPr>
          <w:rFonts w:cs="Arial"/>
          <w:sz w:val="24"/>
          <w:szCs w:val="24"/>
          <w:lang w:eastAsia="en-AU"/>
        </w:rPr>
      </w:pPr>
    </w:p>
    <w:p w14:paraId="68209286" w14:textId="2E9E09CD" w:rsidR="00710F8E" w:rsidRPr="00C97C77" w:rsidRDefault="00E71C77" w:rsidP="00221A03">
      <w:pPr>
        <w:pStyle w:val="AIHWbodytext"/>
        <w:spacing w:line="480" w:lineRule="auto"/>
        <w:jc w:val="both"/>
        <w:rPr>
          <w:rFonts w:cs="Arial"/>
          <w:sz w:val="24"/>
          <w:szCs w:val="24"/>
          <w:lang w:eastAsia="en-AU"/>
        </w:rPr>
      </w:pPr>
      <w:r w:rsidRPr="00C97C77">
        <w:rPr>
          <w:rFonts w:cs="Arial"/>
          <w:sz w:val="24"/>
          <w:szCs w:val="24"/>
          <w:lang w:eastAsia="en-AU"/>
        </w:rPr>
        <w:t xml:space="preserve">AMR </w:t>
      </w:r>
      <w:r w:rsidR="00C97C77">
        <w:rPr>
          <w:rFonts w:cs="Arial"/>
          <w:sz w:val="24"/>
          <w:szCs w:val="24"/>
          <w:lang w:eastAsia="en-AU"/>
        </w:rPr>
        <w:t>has</w:t>
      </w:r>
      <w:r w:rsidRPr="00C97C77">
        <w:rPr>
          <w:rFonts w:cs="Arial"/>
          <w:sz w:val="24"/>
          <w:szCs w:val="24"/>
          <w:lang w:eastAsia="en-AU"/>
        </w:rPr>
        <w:t xml:space="preserve"> some limitations. </w:t>
      </w:r>
      <w:r w:rsidR="007674FB" w:rsidRPr="00C97C77">
        <w:rPr>
          <w:rFonts w:cs="Arial"/>
          <w:sz w:val="24"/>
          <w:szCs w:val="24"/>
          <w:lang w:eastAsia="en-AU"/>
        </w:rPr>
        <w:t>One limitation is the dependence of the registry for notifications from the states and territories</w:t>
      </w:r>
      <w:r w:rsidR="00D95BCD">
        <w:rPr>
          <w:rFonts w:cs="Arial"/>
          <w:sz w:val="24"/>
          <w:szCs w:val="24"/>
          <w:lang w:eastAsia="en-AU"/>
        </w:rPr>
        <w:t>, which typically results in delays in reporting</w:t>
      </w:r>
      <w:r w:rsidR="00D95BCD" w:rsidRPr="00C97C77">
        <w:rPr>
          <w:rFonts w:cs="Arial"/>
          <w:sz w:val="24"/>
          <w:szCs w:val="24"/>
          <w:lang w:eastAsia="en-AU"/>
        </w:rPr>
        <w:t xml:space="preserve">. </w:t>
      </w:r>
      <w:r w:rsidR="00471E87">
        <w:rPr>
          <w:rFonts w:cs="Arial"/>
          <w:sz w:val="24"/>
          <w:szCs w:val="24"/>
          <w:lang w:eastAsia="en-AU"/>
        </w:rPr>
        <w:t xml:space="preserve">Despite the fast tracking of notifications, the AIHW has found that most </w:t>
      </w:r>
      <w:r w:rsidR="00EF6B92">
        <w:rPr>
          <w:rFonts w:cs="Arial"/>
          <w:sz w:val="24"/>
          <w:szCs w:val="24"/>
          <w:lang w:eastAsia="en-AU"/>
        </w:rPr>
        <w:t>notifications</w:t>
      </w:r>
      <w:r w:rsidR="00471E87">
        <w:rPr>
          <w:rFonts w:cs="Arial"/>
          <w:sz w:val="24"/>
          <w:szCs w:val="24"/>
          <w:lang w:eastAsia="en-AU"/>
        </w:rPr>
        <w:t xml:space="preserve"> are received in the year after diagnos</w:t>
      </w:r>
      <w:r w:rsidR="00F57040">
        <w:rPr>
          <w:rFonts w:cs="Arial"/>
          <w:sz w:val="24"/>
          <w:szCs w:val="24"/>
          <w:lang w:eastAsia="en-AU"/>
        </w:rPr>
        <w:t>i</w:t>
      </w:r>
      <w:r w:rsidR="00471E87">
        <w:rPr>
          <w:rFonts w:cs="Arial"/>
          <w:sz w:val="24"/>
          <w:szCs w:val="24"/>
          <w:lang w:eastAsia="en-AU"/>
        </w:rPr>
        <w:t xml:space="preserve">s, partly because of </w:t>
      </w:r>
      <w:r w:rsidR="0073796F">
        <w:rPr>
          <w:rFonts w:cs="Arial"/>
          <w:sz w:val="24"/>
          <w:szCs w:val="24"/>
          <w:lang w:eastAsia="en-AU"/>
        </w:rPr>
        <w:t xml:space="preserve">time taken between diagnosis and notification to cancer registries and AMR. Each jurisdiction has its own system for </w:t>
      </w:r>
      <w:r w:rsidR="00171EFE">
        <w:rPr>
          <w:rFonts w:cs="Arial"/>
          <w:sz w:val="24"/>
          <w:szCs w:val="24"/>
          <w:lang w:eastAsia="en-AU"/>
        </w:rPr>
        <w:t>collating mesothelioma cases, with each of the state and territory cancer registries submitting notifications to the AMR on a regular basis.</w:t>
      </w:r>
      <w:r w:rsidR="0073796F">
        <w:rPr>
          <w:rFonts w:cs="Arial"/>
          <w:sz w:val="24"/>
          <w:szCs w:val="24"/>
          <w:lang w:eastAsia="en-AU"/>
        </w:rPr>
        <w:t xml:space="preserve"> </w:t>
      </w:r>
      <w:r w:rsidR="007674FB" w:rsidRPr="00C97C77">
        <w:rPr>
          <w:rFonts w:cs="Arial"/>
          <w:sz w:val="24"/>
          <w:szCs w:val="24"/>
          <w:lang w:eastAsia="en-AU"/>
        </w:rPr>
        <w:t>Secondly, notification is dependent upon correct and accurate diagnosis</w:t>
      </w:r>
      <w:r w:rsidR="00C97C77">
        <w:rPr>
          <w:rFonts w:cs="Arial"/>
          <w:sz w:val="24"/>
          <w:szCs w:val="24"/>
          <w:lang w:eastAsia="en-AU"/>
        </w:rPr>
        <w:t xml:space="preserve"> but </w:t>
      </w:r>
      <w:r w:rsidR="007674FB" w:rsidRPr="00C97C77">
        <w:rPr>
          <w:rFonts w:cs="Arial"/>
          <w:sz w:val="24"/>
          <w:szCs w:val="24"/>
          <w:lang w:eastAsia="en-AU"/>
        </w:rPr>
        <w:t xml:space="preserve">mesothelioma is challenging to </w:t>
      </w:r>
      <w:r w:rsidR="007674FB" w:rsidRPr="00C97C77">
        <w:rPr>
          <w:rFonts w:cs="Arial"/>
          <w:sz w:val="24"/>
          <w:szCs w:val="24"/>
          <w:lang w:eastAsia="en-AU"/>
        </w:rPr>
        <w:lastRenderedPageBreak/>
        <w:t>diagnose</w:t>
      </w:r>
      <w:r w:rsidR="00A022EF">
        <w:rPr>
          <w:rFonts w:cs="Arial"/>
          <w:sz w:val="24"/>
          <w:szCs w:val="24"/>
          <w:lang w:eastAsia="en-AU"/>
        </w:rPr>
        <w:t>, for a number of reasons</w:t>
      </w:r>
      <w:r w:rsidR="007674FB" w:rsidRPr="00C97C77">
        <w:rPr>
          <w:rFonts w:cs="Arial"/>
          <w:sz w:val="24"/>
          <w:szCs w:val="24"/>
          <w:lang w:eastAsia="en-AU"/>
        </w:rPr>
        <w:t>. Firstly, the symptoms are non-specific and common to many other conditions. Consequently, diagnosis may rely on the results of a number of clinical investigations, including clinical examinations</w:t>
      </w:r>
      <w:r w:rsidR="00710F8E" w:rsidRPr="00C97C77">
        <w:rPr>
          <w:rFonts w:cs="Arial"/>
          <w:sz w:val="24"/>
          <w:szCs w:val="24"/>
          <w:lang w:eastAsia="en-AU"/>
        </w:rPr>
        <w:t xml:space="preserve">, imaging and </w:t>
      </w:r>
      <w:proofErr w:type="spellStart"/>
      <w:r w:rsidR="00710F8E" w:rsidRPr="00C97C77">
        <w:rPr>
          <w:rFonts w:cs="Arial"/>
          <w:sz w:val="24"/>
          <w:szCs w:val="24"/>
          <w:lang w:eastAsia="en-AU"/>
        </w:rPr>
        <w:t>histo</w:t>
      </w:r>
      <w:proofErr w:type="spellEnd"/>
      <w:r w:rsidR="00294F1B">
        <w:rPr>
          <w:rFonts w:cs="Arial"/>
          <w:sz w:val="24"/>
          <w:szCs w:val="24"/>
          <w:lang w:eastAsia="en-AU"/>
        </w:rPr>
        <w:t>-patho</w:t>
      </w:r>
      <w:r w:rsidR="00710F8E" w:rsidRPr="00C97C77">
        <w:rPr>
          <w:rFonts w:cs="Arial"/>
          <w:sz w:val="24"/>
          <w:szCs w:val="24"/>
          <w:lang w:eastAsia="en-AU"/>
        </w:rPr>
        <w:t>logical diagnosis</w:t>
      </w:r>
      <w:r w:rsidR="007674FB" w:rsidRPr="00C97C77">
        <w:rPr>
          <w:rFonts w:cs="Arial"/>
          <w:sz w:val="24"/>
          <w:szCs w:val="24"/>
          <w:lang w:eastAsia="en-AU"/>
        </w:rPr>
        <w:t xml:space="preserve"> </w:t>
      </w:r>
      <w:r w:rsidR="00733178">
        <w:rPr>
          <w:rFonts w:cs="Arial"/>
          <w:sz w:val="24"/>
          <w:szCs w:val="24"/>
          <w:lang w:eastAsia="en-AU"/>
        </w:rPr>
        <w:t>(3</w:t>
      </w:r>
      <w:r w:rsidR="00471260">
        <w:rPr>
          <w:rFonts w:cs="Arial"/>
          <w:sz w:val="24"/>
          <w:szCs w:val="24"/>
          <w:lang w:eastAsia="en-AU"/>
        </w:rPr>
        <w:t>2</w:t>
      </w:r>
      <w:r w:rsidR="00733178">
        <w:rPr>
          <w:rFonts w:cs="Arial"/>
          <w:sz w:val="24"/>
          <w:szCs w:val="24"/>
          <w:lang w:eastAsia="en-AU"/>
        </w:rPr>
        <w:t>)</w:t>
      </w:r>
      <w:r w:rsidR="007674FB" w:rsidRPr="00C97C77">
        <w:rPr>
          <w:rFonts w:cs="Arial"/>
          <w:sz w:val="24"/>
          <w:szCs w:val="24"/>
          <w:lang w:eastAsia="en-AU"/>
        </w:rPr>
        <w:t xml:space="preserve">. Even with good biopsy material, mesothelioma can </w:t>
      </w:r>
      <w:r w:rsidR="0075407A">
        <w:rPr>
          <w:rFonts w:cs="Arial"/>
          <w:sz w:val="24"/>
          <w:szCs w:val="24"/>
          <w:lang w:eastAsia="en-AU"/>
        </w:rPr>
        <w:t>be difficult to diagnose, especially the sarcomatoid subtype or mesothelioma arising in unusual anatomical locations (3</w:t>
      </w:r>
      <w:r w:rsidR="00471260">
        <w:rPr>
          <w:rFonts w:cs="Arial"/>
          <w:sz w:val="24"/>
          <w:szCs w:val="24"/>
          <w:lang w:eastAsia="en-AU"/>
        </w:rPr>
        <w:t>3</w:t>
      </w:r>
      <w:r w:rsidR="0075407A">
        <w:rPr>
          <w:rFonts w:cs="Arial"/>
          <w:sz w:val="24"/>
          <w:szCs w:val="24"/>
          <w:lang w:eastAsia="en-AU"/>
        </w:rPr>
        <w:t>-3</w:t>
      </w:r>
      <w:r w:rsidR="00471260">
        <w:rPr>
          <w:rFonts w:cs="Arial"/>
          <w:sz w:val="24"/>
          <w:szCs w:val="24"/>
          <w:lang w:eastAsia="en-AU"/>
        </w:rPr>
        <w:t>5</w:t>
      </w:r>
      <w:r w:rsidR="0075407A">
        <w:rPr>
          <w:rFonts w:cs="Arial"/>
          <w:sz w:val="24"/>
          <w:szCs w:val="24"/>
          <w:lang w:eastAsia="en-AU"/>
        </w:rPr>
        <w:t>)</w:t>
      </w:r>
      <w:r w:rsidR="007674FB" w:rsidRPr="00C97C77">
        <w:rPr>
          <w:rFonts w:cs="Arial"/>
          <w:sz w:val="24"/>
          <w:szCs w:val="24"/>
          <w:lang w:eastAsia="en-AU"/>
        </w:rPr>
        <w:t xml:space="preserve">. Moreover, diagnostic and treatment practices for mesothelioma are </w:t>
      </w:r>
      <w:r w:rsidR="00C97C77" w:rsidRPr="00C97C77">
        <w:rPr>
          <w:rFonts w:cs="Arial"/>
          <w:sz w:val="24"/>
          <w:szCs w:val="24"/>
          <w:lang w:eastAsia="en-AU"/>
        </w:rPr>
        <w:t>recognised not to be</w:t>
      </w:r>
      <w:r w:rsidR="007674FB" w:rsidRPr="00C97C77">
        <w:rPr>
          <w:rFonts w:cs="Arial"/>
          <w:sz w:val="24"/>
          <w:szCs w:val="24"/>
          <w:lang w:eastAsia="en-AU"/>
        </w:rPr>
        <w:t xml:space="preserve"> equally distributed across Australia </w:t>
      </w:r>
      <w:r w:rsidR="00733178">
        <w:rPr>
          <w:rFonts w:cs="Arial"/>
          <w:sz w:val="24"/>
          <w:szCs w:val="24"/>
          <w:lang w:eastAsia="en-AU"/>
        </w:rPr>
        <w:t>(3</w:t>
      </w:r>
      <w:r w:rsidR="00471260">
        <w:rPr>
          <w:rFonts w:cs="Arial"/>
          <w:sz w:val="24"/>
          <w:szCs w:val="24"/>
          <w:lang w:eastAsia="en-AU"/>
        </w:rPr>
        <w:t>1</w:t>
      </w:r>
      <w:r w:rsidR="00733178">
        <w:rPr>
          <w:rFonts w:cs="Arial"/>
          <w:sz w:val="24"/>
          <w:szCs w:val="24"/>
          <w:lang w:eastAsia="en-AU"/>
        </w:rPr>
        <w:t>)</w:t>
      </w:r>
      <w:r w:rsidR="0075407A">
        <w:rPr>
          <w:rFonts w:cs="Arial"/>
          <w:sz w:val="24"/>
          <w:szCs w:val="24"/>
          <w:lang w:eastAsia="en-AU"/>
        </w:rPr>
        <w:t xml:space="preserve"> and the most recent diagnosis and treatment guidelines expired in 2018 so that there are currently no accepted </w:t>
      </w:r>
      <w:r w:rsidR="003C3B2A">
        <w:rPr>
          <w:rFonts w:cs="Arial"/>
          <w:sz w:val="24"/>
          <w:szCs w:val="24"/>
          <w:lang w:eastAsia="en-AU"/>
        </w:rPr>
        <w:t xml:space="preserve">Australian </w:t>
      </w:r>
      <w:r w:rsidR="0075407A">
        <w:rPr>
          <w:rFonts w:cs="Arial"/>
          <w:sz w:val="24"/>
          <w:szCs w:val="24"/>
          <w:lang w:eastAsia="en-AU"/>
        </w:rPr>
        <w:t>gold standard diagnostic criteria</w:t>
      </w:r>
      <w:r w:rsidR="003C3B2A">
        <w:rPr>
          <w:rFonts w:cs="Arial"/>
          <w:sz w:val="24"/>
          <w:szCs w:val="24"/>
          <w:lang w:eastAsia="en-AU"/>
        </w:rPr>
        <w:t xml:space="preserve"> for clinicians</w:t>
      </w:r>
      <w:r w:rsidR="007674FB" w:rsidRPr="00C97C77">
        <w:rPr>
          <w:rFonts w:cs="Arial"/>
          <w:sz w:val="24"/>
          <w:szCs w:val="24"/>
          <w:lang w:eastAsia="en-AU"/>
        </w:rPr>
        <w:t xml:space="preserve">. If a mesothelioma diagnosis is uncertain for any reason, the AMR is not notified and the case remains unrecorded, until the diagnosis is confirmed. </w:t>
      </w:r>
    </w:p>
    <w:p w14:paraId="15C7AC7B" w14:textId="77777777" w:rsidR="00710F8E" w:rsidRPr="00C97C77" w:rsidRDefault="00710F8E" w:rsidP="00221A03">
      <w:pPr>
        <w:pStyle w:val="AIHWbodytext"/>
        <w:spacing w:line="480" w:lineRule="auto"/>
        <w:jc w:val="both"/>
        <w:rPr>
          <w:rFonts w:cs="Arial"/>
          <w:sz w:val="24"/>
          <w:szCs w:val="24"/>
          <w:lang w:eastAsia="en-AU"/>
        </w:rPr>
      </w:pPr>
    </w:p>
    <w:p w14:paraId="0B587F49" w14:textId="50634AAB" w:rsidR="00221A03" w:rsidRDefault="00171EFE" w:rsidP="00221A03">
      <w:pPr>
        <w:pStyle w:val="AIHWbodytext"/>
        <w:spacing w:line="480" w:lineRule="auto"/>
        <w:jc w:val="both"/>
        <w:rPr>
          <w:rFonts w:cs="Arial"/>
          <w:sz w:val="24"/>
          <w:szCs w:val="24"/>
          <w:lang w:eastAsia="en-AU"/>
        </w:rPr>
      </w:pPr>
      <w:r>
        <w:rPr>
          <w:rFonts w:cs="Arial"/>
          <w:sz w:val="24"/>
          <w:szCs w:val="24"/>
          <w:lang w:eastAsia="en-AU"/>
        </w:rPr>
        <w:t>C</w:t>
      </w:r>
      <w:r w:rsidR="007674FB" w:rsidRPr="00C97C77">
        <w:rPr>
          <w:rFonts w:cs="Arial"/>
          <w:sz w:val="24"/>
          <w:szCs w:val="24"/>
          <w:lang w:eastAsia="en-AU"/>
        </w:rPr>
        <w:t xml:space="preserve">onsent for participation in the exposure assessments is obtained for only </w:t>
      </w:r>
      <w:r w:rsidR="00E71C77" w:rsidRPr="00C97C77">
        <w:rPr>
          <w:rFonts w:cs="Arial"/>
          <w:sz w:val="24"/>
          <w:szCs w:val="24"/>
          <w:lang w:eastAsia="en-AU"/>
        </w:rPr>
        <w:t xml:space="preserve">a </w:t>
      </w:r>
      <w:r w:rsidR="007674FB" w:rsidRPr="00C97C77">
        <w:rPr>
          <w:rFonts w:cs="Arial"/>
          <w:sz w:val="24"/>
          <w:szCs w:val="24"/>
          <w:lang w:eastAsia="en-AU"/>
        </w:rPr>
        <w:t>relatively small proportion (15%) of</w:t>
      </w:r>
      <w:r w:rsidR="00E71C77" w:rsidRPr="00C97C77">
        <w:rPr>
          <w:rFonts w:cs="Arial"/>
          <w:sz w:val="24"/>
          <w:szCs w:val="24"/>
          <w:lang w:eastAsia="en-AU"/>
        </w:rPr>
        <w:t xml:space="preserve"> patients </w:t>
      </w:r>
      <w:r w:rsidR="007674FB" w:rsidRPr="00C97C77">
        <w:rPr>
          <w:rFonts w:cs="Arial"/>
          <w:sz w:val="24"/>
          <w:szCs w:val="24"/>
          <w:lang w:eastAsia="en-AU"/>
        </w:rPr>
        <w:t xml:space="preserve">in the registry. </w:t>
      </w:r>
      <w:r>
        <w:rPr>
          <w:rFonts w:cs="Arial"/>
          <w:sz w:val="24"/>
          <w:szCs w:val="24"/>
          <w:lang w:eastAsia="en-AU"/>
        </w:rPr>
        <w:t>A</w:t>
      </w:r>
      <w:r w:rsidR="007674FB" w:rsidRPr="00C97C77">
        <w:rPr>
          <w:rFonts w:cs="Arial"/>
          <w:sz w:val="24"/>
          <w:szCs w:val="24"/>
          <w:lang w:eastAsia="en-AU"/>
        </w:rPr>
        <w:t xml:space="preserve">s described above, there is potential for both a delay in diagnosis and subsequent delay in notification to </w:t>
      </w:r>
      <w:r w:rsidR="00E17E3B">
        <w:rPr>
          <w:rFonts w:cs="Arial"/>
          <w:sz w:val="24"/>
          <w:szCs w:val="24"/>
          <w:lang w:eastAsia="en-AU"/>
        </w:rPr>
        <w:t xml:space="preserve">the </w:t>
      </w:r>
      <w:r w:rsidR="007674FB" w:rsidRPr="00C97C77">
        <w:rPr>
          <w:rFonts w:cs="Arial"/>
          <w:sz w:val="24"/>
          <w:szCs w:val="24"/>
          <w:lang w:eastAsia="en-AU"/>
        </w:rPr>
        <w:t xml:space="preserve">AMR. Consequently, in some cases, by the time of notification, the individual may be too unwell to complete a questionnaire or interview, or </w:t>
      </w:r>
      <w:r w:rsidR="00B477E1">
        <w:rPr>
          <w:rFonts w:cs="Arial"/>
          <w:sz w:val="24"/>
          <w:szCs w:val="24"/>
          <w:lang w:eastAsia="en-AU"/>
        </w:rPr>
        <w:t>may</w:t>
      </w:r>
      <w:r w:rsidR="00B477E1" w:rsidRPr="00C97C77">
        <w:rPr>
          <w:rFonts w:cs="Arial"/>
          <w:sz w:val="24"/>
          <w:szCs w:val="24"/>
          <w:lang w:eastAsia="en-AU"/>
        </w:rPr>
        <w:t xml:space="preserve"> </w:t>
      </w:r>
      <w:r w:rsidR="007674FB" w:rsidRPr="00C97C77">
        <w:rPr>
          <w:rFonts w:cs="Arial"/>
          <w:sz w:val="24"/>
          <w:szCs w:val="24"/>
          <w:lang w:eastAsia="en-AU"/>
        </w:rPr>
        <w:t xml:space="preserve">have died. </w:t>
      </w:r>
      <w:bookmarkStart w:id="7" w:name="_Hlk121236789"/>
      <w:r w:rsidR="0075407A">
        <w:rPr>
          <w:rFonts w:cs="Arial"/>
          <w:sz w:val="24"/>
          <w:szCs w:val="24"/>
          <w:lang w:eastAsia="en-AU"/>
        </w:rPr>
        <w:t xml:space="preserve">Moreover, it cannot be ruled out that there is a participation bias such that people who are actively pursuing legal redress are more likely to </w:t>
      </w:r>
      <w:r>
        <w:rPr>
          <w:rFonts w:cs="Arial"/>
          <w:sz w:val="24"/>
          <w:szCs w:val="24"/>
          <w:lang w:eastAsia="en-AU"/>
        </w:rPr>
        <w:t>choose to not participate</w:t>
      </w:r>
      <w:r w:rsidR="0075407A">
        <w:rPr>
          <w:rFonts w:cs="Arial"/>
          <w:sz w:val="24"/>
          <w:szCs w:val="24"/>
          <w:lang w:eastAsia="en-AU"/>
        </w:rPr>
        <w:t xml:space="preserve">, perhaps because of advice </w:t>
      </w:r>
      <w:r w:rsidR="00FF1BA9">
        <w:rPr>
          <w:rFonts w:cs="Arial"/>
          <w:sz w:val="24"/>
          <w:szCs w:val="24"/>
          <w:lang w:eastAsia="en-AU"/>
        </w:rPr>
        <w:t>they receive from</w:t>
      </w:r>
      <w:r w:rsidR="0075407A">
        <w:rPr>
          <w:rFonts w:cs="Arial"/>
          <w:sz w:val="24"/>
          <w:szCs w:val="24"/>
          <w:lang w:eastAsia="en-AU"/>
        </w:rPr>
        <w:t xml:space="preserve"> legal </w:t>
      </w:r>
      <w:r w:rsidR="00EF6B92">
        <w:rPr>
          <w:rFonts w:cs="Arial"/>
          <w:sz w:val="24"/>
          <w:szCs w:val="24"/>
          <w:lang w:eastAsia="en-AU"/>
        </w:rPr>
        <w:t>representatives</w:t>
      </w:r>
      <w:r w:rsidR="0075407A">
        <w:rPr>
          <w:rFonts w:cs="Arial"/>
          <w:sz w:val="24"/>
          <w:szCs w:val="24"/>
          <w:lang w:eastAsia="en-AU"/>
        </w:rPr>
        <w:t>.</w:t>
      </w:r>
      <w:r w:rsidR="00BB7A9D">
        <w:rPr>
          <w:rFonts w:cs="Arial"/>
          <w:sz w:val="24"/>
          <w:szCs w:val="24"/>
          <w:lang w:eastAsia="en-AU"/>
        </w:rPr>
        <w:t xml:space="preserve"> Certainly, anecdotally, the team have been made aware by patient advocacy groups that some lawyers advise their clients not to answer questions about jobs or asbestos exposure to any other party, for fear of </w:t>
      </w:r>
      <w:r w:rsidR="00FF1BA9">
        <w:rPr>
          <w:rFonts w:cs="Arial"/>
          <w:sz w:val="24"/>
          <w:szCs w:val="24"/>
          <w:lang w:eastAsia="en-AU"/>
        </w:rPr>
        <w:t xml:space="preserve">being detrimental to </w:t>
      </w:r>
      <w:r w:rsidR="00BB7A9D">
        <w:rPr>
          <w:rFonts w:cs="Arial"/>
          <w:sz w:val="24"/>
          <w:szCs w:val="24"/>
          <w:lang w:eastAsia="en-AU"/>
        </w:rPr>
        <w:t>their legal claim</w:t>
      </w:r>
      <w:bookmarkEnd w:id="7"/>
      <w:r w:rsidR="00BB7A9D">
        <w:rPr>
          <w:rFonts w:cs="Arial"/>
          <w:sz w:val="24"/>
          <w:szCs w:val="24"/>
          <w:lang w:eastAsia="en-AU"/>
        </w:rPr>
        <w:t>.</w:t>
      </w:r>
      <w:r w:rsidR="00B55681">
        <w:rPr>
          <w:rFonts w:cs="Arial"/>
          <w:sz w:val="24"/>
          <w:szCs w:val="24"/>
          <w:lang w:eastAsia="en-AU"/>
        </w:rPr>
        <w:t xml:space="preserve"> </w:t>
      </w:r>
      <w:bookmarkStart w:id="8" w:name="_Hlk121237556"/>
      <w:r w:rsidR="00B55681">
        <w:rPr>
          <w:rFonts w:cs="Arial"/>
          <w:sz w:val="24"/>
          <w:szCs w:val="24"/>
          <w:lang w:eastAsia="en-AU"/>
        </w:rPr>
        <w:t xml:space="preserve">Counter to this, mesothelioma patients who are </w:t>
      </w:r>
      <w:r w:rsidR="00FC5A0C">
        <w:rPr>
          <w:rFonts w:cs="Arial"/>
          <w:sz w:val="24"/>
          <w:szCs w:val="24"/>
          <w:lang w:eastAsia="en-AU"/>
        </w:rPr>
        <w:t>pursuing</w:t>
      </w:r>
      <w:r w:rsidR="00B55681">
        <w:rPr>
          <w:rFonts w:cs="Arial"/>
          <w:sz w:val="24"/>
          <w:szCs w:val="24"/>
          <w:lang w:eastAsia="en-AU"/>
        </w:rPr>
        <w:t xml:space="preserve"> a claim for redress may be better informed in reporting their jobs and </w:t>
      </w:r>
      <w:r w:rsidR="00B55681">
        <w:rPr>
          <w:rFonts w:cs="Arial"/>
          <w:sz w:val="24"/>
          <w:szCs w:val="24"/>
          <w:lang w:eastAsia="en-AU"/>
        </w:rPr>
        <w:lastRenderedPageBreak/>
        <w:t>exposures relating to asbestos as a result of their legal claim, which would tend to bias the findings of exposure assessments towards a greater proportion of occupational asbestos exposure.</w:t>
      </w:r>
      <w:bookmarkEnd w:id="8"/>
      <w:r w:rsidR="0075407A">
        <w:rPr>
          <w:rFonts w:cs="Arial"/>
          <w:sz w:val="24"/>
          <w:szCs w:val="24"/>
          <w:lang w:eastAsia="en-AU"/>
        </w:rPr>
        <w:t xml:space="preserve"> </w:t>
      </w:r>
      <w:bookmarkStart w:id="9" w:name="_Hlk121241148"/>
      <w:r w:rsidR="00BC238D">
        <w:rPr>
          <w:rFonts w:cs="Arial"/>
          <w:sz w:val="24"/>
          <w:szCs w:val="24"/>
          <w:lang w:eastAsia="en-AU"/>
        </w:rPr>
        <w:t xml:space="preserve">It is important to acknowledge that a proportion of non-participants may be people who were not born in Australia or do not speak English as their first language. </w:t>
      </w:r>
      <w:bookmarkStart w:id="10" w:name="_Hlk121241330"/>
      <w:r w:rsidR="00BC238D">
        <w:rPr>
          <w:rFonts w:cs="Arial"/>
          <w:sz w:val="24"/>
          <w:szCs w:val="24"/>
          <w:lang w:eastAsia="en-AU"/>
        </w:rPr>
        <w:t>It is recognised that migrant workers in particular are more likely to be employed in industrial settings and doing high-risk jobs and therefore their non-participation may result in an under-estimation of actual occupational exposure</w:t>
      </w:r>
      <w:r w:rsidR="00FF1BA9">
        <w:rPr>
          <w:rFonts w:cs="Arial"/>
          <w:sz w:val="24"/>
          <w:szCs w:val="24"/>
          <w:lang w:eastAsia="en-AU"/>
        </w:rPr>
        <w:t xml:space="preserve">. </w:t>
      </w:r>
      <w:bookmarkStart w:id="11" w:name="_Hlk121410754"/>
      <w:r w:rsidR="00FF1BA9">
        <w:rPr>
          <w:rFonts w:cs="Arial"/>
          <w:sz w:val="24"/>
          <w:szCs w:val="24"/>
          <w:lang w:eastAsia="en-AU"/>
        </w:rPr>
        <w:t>Additionally, given the small number of cases of mesothelioma among women</w:t>
      </w:r>
      <w:r w:rsidR="00FC5A0C">
        <w:rPr>
          <w:rFonts w:cs="Arial"/>
          <w:sz w:val="24"/>
          <w:szCs w:val="24"/>
          <w:lang w:eastAsia="en-AU"/>
        </w:rPr>
        <w:t xml:space="preserve">, </w:t>
      </w:r>
      <w:r w:rsidR="00FF1BA9">
        <w:rPr>
          <w:rFonts w:cs="Arial"/>
          <w:sz w:val="24"/>
          <w:szCs w:val="24"/>
          <w:lang w:eastAsia="en-AU"/>
        </w:rPr>
        <w:t>this low participation rate in the exposure assessment may have created more scope for over- or under-</w:t>
      </w:r>
      <w:proofErr w:type="spellStart"/>
      <w:r w:rsidR="00FF1BA9">
        <w:rPr>
          <w:rFonts w:cs="Arial"/>
          <w:sz w:val="24"/>
          <w:szCs w:val="24"/>
          <w:lang w:eastAsia="en-AU"/>
        </w:rPr>
        <w:t>estiamtion</w:t>
      </w:r>
      <w:proofErr w:type="spellEnd"/>
      <w:r w:rsidR="00FF1BA9">
        <w:rPr>
          <w:rFonts w:cs="Arial"/>
          <w:sz w:val="24"/>
          <w:szCs w:val="24"/>
          <w:lang w:eastAsia="en-AU"/>
        </w:rPr>
        <w:t xml:space="preserve"> of the occupational exposure to asbestos amongst women</w:t>
      </w:r>
      <w:bookmarkEnd w:id="10"/>
      <w:r w:rsidR="00BC238D">
        <w:rPr>
          <w:rFonts w:cs="Arial"/>
          <w:sz w:val="24"/>
          <w:szCs w:val="24"/>
          <w:lang w:eastAsia="en-AU"/>
        </w:rPr>
        <w:t>.</w:t>
      </w:r>
      <w:bookmarkEnd w:id="9"/>
      <w:r w:rsidR="00BC238D">
        <w:rPr>
          <w:rFonts w:cs="Arial"/>
          <w:sz w:val="24"/>
          <w:szCs w:val="24"/>
          <w:lang w:eastAsia="en-AU"/>
        </w:rPr>
        <w:t xml:space="preserve"> </w:t>
      </w:r>
      <w:bookmarkEnd w:id="11"/>
      <w:r w:rsidR="00E71C77" w:rsidRPr="00C97C77">
        <w:rPr>
          <w:rFonts w:cs="Arial"/>
          <w:sz w:val="24"/>
          <w:szCs w:val="24"/>
          <w:lang w:eastAsia="en-AU"/>
        </w:rPr>
        <w:t xml:space="preserve">Ideally, exposure information would be collected for all participants. </w:t>
      </w:r>
      <w:r w:rsidR="00221A03" w:rsidRPr="00C97C77">
        <w:rPr>
          <w:rFonts w:cs="Arial"/>
          <w:sz w:val="24"/>
          <w:szCs w:val="24"/>
          <w:lang w:eastAsia="en-AU"/>
        </w:rPr>
        <w:t>Therefore, in order to comprehensively</w:t>
      </w:r>
      <w:r w:rsidR="00212DD9" w:rsidRPr="00C97C77">
        <w:rPr>
          <w:rFonts w:cs="Arial"/>
          <w:sz w:val="24"/>
          <w:szCs w:val="24"/>
          <w:lang w:eastAsia="en-AU"/>
        </w:rPr>
        <w:t xml:space="preserve"> collect exposure data, </w:t>
      </w:r>
      <w:r w:rsidR="00F5671A" w:rsidRPr="00C97C77">
        <w:rPr>
          <w:rFonts w:cs="Arial"/>
          <w:sz w:val="24"/>
          <w:szCs w:val="24"/>
          <w:lang w:eastAsia="en-AU"/>
        </w:rPr>
        <w:t>enrolment</w:t>
      </w:r>
      <w:r w:rsidR="00212DD9" w:rsidRPr="00C97C77">
        <w:rPr>
          <w:rFonts w:cs="Arial"/>
          <w:sz w:val="24"/>
          <w:szCs w:val="24"/>
          <w:lang w:eastAsia="en-AU"/>
        </w:rPr>
        <w:t xml:space="preserve"> </w:t>
      </w:r>
      <w:r>
        <w:rPr>
          <w:rFonts w:cs="Arial"/>
          <w:sz w:val="24"/>
          <w:szCs w:val="24"/>
          <w:lang w:eastAsia="en-AU"/>
        </w:rPr>
        <w:t xml:space="preserve">closer to the time of diagnosis </w:t>
      </w:r>
      <w:r w:rsidR="00221A03" w:rsidRPr="00C97C77">
        <w:rPr>
          <w:rFonts w:cs="Arial"/>
          <w:sz w:val="24"/>
          <w:szCs w:val="24"/>
          <w:lang w:eastAsia="en-AU"/>
        </w:rPr>
        <w:t>would be</w:t>
      </w:r>
      <w:r w:rsidR="00212DD9" w:rsidRPr="00C97C77">
        <w:rPr>
          <w:rFonts w:cs="Arial"/>
          <w:sz w:val="24"/>
          <w:szCs w:val="24"/>
          <w:lang w:eastAsia="en-AU"/>
        </w:rPr>
        <w:t xml:space="preserve"> preferable</w:t>
      </w:r>
      <w:r w:rsidR="00221A03" w:rsidRPr="00C97C77">
        <w:rPr>
          <w:rFonts w:cs="Arial"/>
          <w:sz w:val="24"/>
          <w:szCs w:val="24"/>
          <w:lang w:eastAsia="en-AU"/>
        </w:rPr>
        <w:t xml:space="preserve">, maximising the capture of new cases and optimising coverage of new patients and supported by </w:t>
      </w:r>
      <w:r w:rsidR="00212DD9" w:rsidRPr="00C97C77">
        <w:rPr>
          <w:rFonts w:cs="Arial"/>
          <w:sz w:val="24"/>
          <w:szCs w:val="24"/>
          <w:lang w:eastAsia="en-AU"/>
        </w:rPr>
        <w:t>a simplified consent process.</w:t>
      </w:r>
      <w:r w:rsidR="00221A03" w:rsidRPr="00C97C77">
        <w:rPr>
          <w:rFonts w:cs="Arial"/>
          <w:sz w:val="24"/>
          <w:szCs w:val="24"/>
          <w:lang w:eastAsia="en-AU"/>
        </w:rPr>
        <w:t xml:space="preserve"> </w:t>
      </w:r>
      <w:r>
        <w:rPr>
          <w:rFonts w:cs="Arial"/>
          <w:sz w:val="24"/>
          <w:szCs w:val="24"/>
          <w:lang w:eastAsia="en-AU"/>
        </w:rPr>
        <w:t xml:space="preserve">The </w:t>
      </w:r>
      <w:r w:rsidR="00221A03" w:rsidRPr="00C97C77">
        <w:rPr>
          <w:rFonts w:cs="Arial"/>
          <w:sz w:val="24"/>
          <w:szCs w:val="24"/>
          <w:lang w:eastAsia="en-AU"/>
        </w:rPr>
        <w:t xml:space="preserve">AMR </w:t>
      </w:r>
      <w:r>
        <w:rPr>
          <w:rFonts w:cs="Arial"/>
          <w:sz w:val="24"/>
          <w:szCs w:val="24"/>
          <w:lang w:eastAsia="en-AU"/>
        </w:rPr>
        <w:t>facilitates</w:t>
      </w:r>
      <w:r w:rsidR="00221A03" w:rsidRPr="00C97C77">
        <w:rPr>
          <w:rFonts w:cs="Arial"/>
          <w:sz w:val="24"/>
          <w:szCs w:val="24"/>
          <w:lang w:eastAsia="en-AU"/>
        </w:rPr>
        <w:t xml:space="preserve"> participation by </w:t>
      </w:r>
      <w:r>
        <w:rPr>
          <w:rFonts w:cs="Arial"/>
          <w:sz w:val="24"/>
          <w:szCs w:val="24"/>
          <w:lang w:eastAsia="en-AU"/>
        </w:rPr>
        <w:t>providing</w:t>
      </w:r>
      <w:r w:rsidRPr="00C97C77">
        <w:rPr>
          <w:rFonts w:cs="Arial"/>
          <w:sz w:val="24"/>
          <w:szCs w:val="24"/>
          <w:lang w:eastAsia="en-AU"/>
        </w:rPr>
        <w:t xml:space="preserve"> </w:t>
      </w:r>
      <w:r w:rsidR="00221A03" w:rsidRPr="00C97C77">
        <w:rPr>
          <w:rFonts w:cs="Arial"/>
          <w:sz w:val="24"/>
          <w:szCs w:val="24"/>
          <w:lang w:eastAsia="en-AU"/>
        </w:rPr>
        <w:t>an option for patients to self-notify via the AMR website; disseminating brochures to patients</w:t>
      </w:r>
      <w:r w:rsidR="0075407A">
        <w:rPr>
          <w:rFonts w:cs="Arial"/>
          <w:sz w:val="24"/>
          <w:szCs w:val="24"/>
          <w:lang w:eastAsia="en-AU"/>
        </w:rPr>
        <w:t>, lawyers</w:t>
      </w:r>
      <w:r w:rsidR="00221A03" w:rsidRPr="00C97C77">
        <w:rPr>
          <w:rFonts w:cs="Arial"/>
          <w:sz w:val="24"/>
          <w:szCs w:val="24"/>
          <w:lang w:eastAsia="en-AU"/>
        </w:rPr>
        <w:t xml:space="preserve"> and healthcare professionals about the registry and its aims</w:t>
      </w:r>
      <w:r w:rsidR="00971D8F">
        <w:rPr>
          <w:rFonts w:cs="Arial"/>
          <w:sz w:val="24"/>
          <w:szCs w:val="24"/>
          <w:lang w:eastAsia="en-AU"/>
        </w:rPr>
        <w:t>;</w:t>
      </w:r>
      <w:r w:rsidR="00221A03" w:rsidRPr="00C97C77">
        <w:rPr>
          <w:rFonts w:cs="Arial"/>
          <w:sz w:val="24"/>
          <w:szCs w:val="24"/>
          <w:lang w:eastAsia="en-AU"/>
        </w:rPr>
        <w:t xml:space="preserve"> and working with healthcare professionals who treat mesothelioma (specialist nurses; advocacy organ</w:t>
      </w:r>
      <w:r w:rsidR="00D25DD2">
        <w:rPr>
          <w:rFonts w:cs="Arial"/>
          <w:sz w:val="24"/>
          <w:szCs w:val="24"/>
          <w:lang w:eastAsia="en-AU"/>
        </w:rPr>
        <w:t>is</w:t>
      </w:r>
      <w:r w:rsidR="00221A03" w:rsidRPr="00C97C77">
        <w:rPr>
          <w:rFonts w:cs="Arial"/>
          <w:sz w:val="24"/>
          <w:szCs w:val="24"/>
          <w:lang w:eastAsia="en-AU"/>
        </w:rPr>
        <w:t xml:space="preserve">ations) to increase their awareness and understanding of the AMR. </w:t>
      </w:r>
    </w:p>
    <w:p w14:paraId="16EBB88E" w14:textId="6C13CE1D" w:rsidR="0073796F" w:rsidRDefault="0073796F" w:rsidP="00221A03">
      <w:pPr>
        <w:pStyle w:val="AIHWbodytext"/>
        <w:spacing w:line="480" w:lineRule="auto"/>
        <w:jc w:val="both"/>
        <w:rPr>
          <w:rFonts w:cs="Arial"/>
          <w:sz w:val="24"/>
          <w:szCs w:val="24"/>
          <w:lang w:eastAsia="en-AU"/>
        </w:rPr>
      </w:pPr>
    </w:p>
    <w:p w14:paraId="4ED72705" w14:textId="3A7E4152" w:rsidR="0073796F" w:rsidRPr="00C97C77" w:rsidRDefault="0073796F" w:rsidP="00221A03">
      <w:pPr>
        <w:pStyle w:val="AIHWbodytext"/>
        <w:spacing w:line="480" w:lineRule="auto"/>
        <w:jc w:val="both"/>
        <w:rPr>
          <w:rFonts w:cs="Arial"/>
          <w:sz w:val="24"/>
          <w:szCs w:val="24"/>
          <w:lang w:eastAsia="en-AU"/>
        </w:rPr>
      </w:pPr>
      <w:r>
        <w:rPr>
          <w:rFonts w:cs="Arial"/>
          <w:sz w:val="24"/>
          <w:szCs w:val="24"/>
          <w:lang w:eastAsia="en-AU"/>
        </w:rPr>
        <w:t xml:space="preserve">In summary, the AMR shows that </w:t>
      </w:r>
      <w:r w:rsidR="00D25DD2">
        <w:rPr>
          <w:rFonts w:cs="Arial"/>
          <w:sz w:val="24"/>
          <w:szCs w:val="24"/>
          <w:lang w:eastAsia="en-AU"/>
        </w:rPr>
        <w:t>incidence of,</w:t>
      </w:r>
      <w:r>
        <w:rPr>
          <w:rFonts w:cs="Arial"/>
          <w:sz w:val="24"/>
          <w:szCs w:val="24"/>
          <w:lang w:eastAsia="en-AU"/>
        </w:rPr>
        <w:t xml:space="preserve"> and deaths from</w:t>
      </w:r>
      <w:r w:rsidR="00D25DD2">
        <w:rPr>
          <w:rFonts w:cs="Arial"/>
          <w:sz w:val="24"/>
          <w:szCs w:val="24"/>
          <w:lang w:eastAsia="en-AU"/>
        </w:rPr>
        <w:t>,</w:t>
      </w:r>
      <w:r>
        <w:rPr>
          <w:rFonts w:cs="Arial"/>
          <w:sz w:val="24"/>
          <w:szCs w:val="24"/>
          <w:lang w:eastAsia="en-AU"/>
        </w:rPr>
        <w:t xml:space="preserve"> </w:t>
      </w:r>
      <w:r w:rsidR="00A20F11">
        <w:rPr>
          <w:rFonts w:cs="Arial"/>
          <w:sz w:val="24"/>
          <w:szCs w:val="24"/>
          <w:lang w:eastAsia="en-AU"/>
        </w:rPr>
        <w:t>mesothelioma</w:t>
      </w:r>
      <w:r>
        <w:rPr>
          <w:rFonts w:cs="Arial"/>
          <w:sz w:val="24"/>
          <w:szCs w:val="24"/>
          <w:lang w:eastAsia="en-AU"/>
        </w:rPr>
        <w:t xml:space="preserve"> peaked in Australia in </w:t>
      </w:r>
      <w:r w:rsidR="004D1A92">
        <w:rPr>
          <w:rFonts w:cs="Arial"/>
          <w:sz w:val="24"/>
          <w:szCs w:val="24"/>
          <w:lang w:eastAsia="en-AU"/>
        </w:rPr>
        <w:t xml:space="preserve">the </w:t>
      </w:r>
      <w:r>
        <w:rPr>
          <w:rFonts w:cs="Arial"/>
          <w:sz w:val="24"/>
          <w:szCs w:val="24"/>
          <w:lang w:eastAsia="en-AU"/>
        </w:rPr>
        <w:t xml:space="preserve">early 2000s, </w:t>
      </w:r>
      <w:r w:rsidR="00771292">
        <w:rPr>
          <w:rFonts w:cs="Arial"/>
          <w:sz w:val="24"/>
          <w:szCs w:val="24"/>
          <w:lang w:eastAsia="en-AU"/>
        </w:rPr>
        <w:t>probably</w:t>
      </w:r>
      <w:r>
        <w:rPr>
          <w:rFonts w:cs="Arial"/>
          <w:sz w:val="24"/>
          <w:szCs w:val="24"/>
          <w:lang w:eastAsia="en-AU"/>
        </w:rPr>
        <w:t xml:space="preserve"> as a result of restrictions on occupational asbestos use </w:t>
      </w:r>
      <w:r w:rsidR="00771292">
        <w:rPr>
          <w:rFonts w:cs="Arial"/>
          <w:sz w:val="24"/>
          <w:szCs w:val="24"/>
          <w:lang w:eastAsia="en-AU"/>
        </w:rPr>
        <w:t xml:space="preserve">from </w:t>
      </w:r>
      <w:r>
        <w:rPr>
          <w:rFonts w:cs="Arial"/>
          <w:sz w:val="24"/>
          <w:szCs w:val="24"/>
          <w:lang w:eastAsia="en-AU"/>
        </w:rPr>
        <w:t xml:space="preserve">the 1980s. However, there is no obvious change in mesothelioma </w:t>
      </w:r>
      <w:r>
        <w:rPr>
          <w:rFonts w:cs="Arial"/>
          <w:sz w:val="24"/>
          <w:szCs w:val="24"/>
          <w:lang w:eastAsia="en-AU"/>
        </w:rPr>
        <w:lastRenderedPageBreak/>
        <w:t>rates amongst women and non-</w:t>
      </w:r>
      <w:r w:rsidR="00771292">
        <w:rPr>
          <w:rFonts w:cs="Arial"/>
          <w:sz w:val="24"/>
          <w:szCs w:val="24"/>
          <w:lang w:eastAsia="en-AU"/>
        </w:rPr>
        <w:t xml:space="preserve">occupational </w:t>
      </w:r>
      <w:r>
        <w:rPr>
          <w:rFonts w:cs="Arial"/>
          <w:sz w:val="24"/>
          <w:szCs w:val="24"/>
          <w:lang w:eastAsia="en-AU"/>
        </w:rPr>
        <w:t>asbestos exposure appears the most likely explanation.</w:t>
      </w:r>
    </w:p>
    <w:p w14:paraId="2D4FD56A" w14:textId="77777777" w:rsidR="00D93E87" w:rsidRPr="00C97C77" w:rsidRDefault="00D93E87" w:rsidP="00D93E87">
      <w:pPr>
        <w:pStyle w:val="Default"/>
        <w:spacing w:before="180" w:after="180"/>
        <w:rPr>
          <w:rFonts w:ascii="Arial" w:hAnsi="Arial" w:cs="Arial"/>
          <w:b/>
          <w:color w:val="31849B" w:themeColor="accent5" w:themeShade="BF"/>
        </w:rPr>
      </w:pPr>
      <w:r w:rsidRPr="00C97C77">
        <w:rPr>
          <w:rFonts w:ascii="Arial" w:hAnsi="Arial" w:cs="Arial"/>
        </w:rPr>
        <w:t>More information on the AMR is available at &lt;</w:t>
      </w:r>
      <w:hyperlink r:id="rId11" w:history="1">
        <w:r w:rsidRPr="00C97C77">
          <w:rPr>
            <w:rStyle w:val="Hyperlink"/>
            <w:rFonts w:ascii="Arial" w:hAnsi="Arial" w:cs="Arial"/>
          </w:rPr>
          <w:t>www.mesothelioma-australia.com/home</w:t>
        </w:r>
      </w:hyperlink>
      <w:r w:rsidRPr="00C97C77">
        <w:rPr>
          <w:rFonts w:ascii="Arial" w:hAnsi="Arial" w:cs="Arial"/>
        </w:rPr>
        <w:t xml:space="preserve">&gt;. The report </w:t>
      </w:r>
      <w:r w:rsidRPr="00C97C77">
        <w:rPr>
          <w:rFonts w:ascii="Arial" w:hAnsi="Arial" w:cs="Arial"/>
          <w:i/>
        </w:rPr>
        <w:t>Mesothelioma in Australia 2019</w:t>
      </w:r>
      <w:r w:rsidRPr="00C97C77">
        <w:rPr>
          <w:rFonts w:ascii="Arial" w:hAnsi="Arial" w:cs="Arial"/>
        </w:rPr>
        <w:t xml:space="preserve"> and previous annual reports are available at &lt;</w:t>
      </w:r>
      <w:hyperlink r:id="rId12" w:history="1">
        <w:r w:rsidRPr="00C97C77">
          <w:rPr>
            <w:rStyle w:val="Hyperlink"/>
            <w:rFonts w:ascii="Arial" w:hAnsi="Arial" w:cs="Arial"/>
          </w:rPr>
          <w:t>www.mesothelioma-australia.com/publications-and-data/publications</w:t>
        </w:r>
      </w:hyperlink>
      <w:r w:rsidRPr="00C97C77">
        <w:rPr>
          <w:rFonts w:ascii="Arial" w:hAnsi="Arial" w:cs="Arial"/>
        </w:rPr>
        <w:t>&gt;. People diagnosed with mesothelioma can choose to self-notify by contacting the AMR via email at &lt;</w:t>
      </w:r>
      <w:hyperlink r:id="rId13" w:history="1">
        <w:r w:rsidRPr="00C97C77">
          <w:rPr>
            <w:rStyle w:val="Hyperlink"/>
            <w:rFonts w:ascii="Arial" w:hAnsi="Arial" w:cs="Arial"/>
          </w:rPr>
          <w:t>amr@aihw.gov.au</w:t>
        </w:r>
      </w:hyperlink>
      <w:r w:rsidRPr="00C97C77">
        <w:rPr>
          <w:rFonts w:ascii="Arial" w:hAnsi="Arial" w:cs="Arial"/>
        </w:rPr>
        <w:t xml:space="preserve">&gt; or via the toll-free information line on 1800 378 861. </w:t>
      </w:r>
    </w:p>
    <w:p w14:paraId="7A396831" w14:textId="77777777" w:rsidR="00D57723" w:rsidRPr="00C97C77" w:rsidRDefault="00D57723" w:rsidP="00D57723">
      <w:pPr>
        <w:pStyle w:val="AIHWbodytext"/>
        <w:rPr>
          <w:rFonts w:cs="Arial"/>
          <w:color w:val="000000"/>
          <w:sz w:val="24"/>
          <w:szCs w:val="24"/>
        </w:rPr>
      </w:pPr>
      <w:r w:rsidRPr="00C97C77">
        <w:rPr>
          <w:rFonts w:cs="Arial"/>
          <w:sz w:val="24"/>
          <w:szCs w:val="24"/>
        </w:rPr>
        <w:br w:type="page"/>
      </w:r>
    </w:p>
    <w:p w14:paraId="561693C9" w14:textId="36B6D30E" w:rsidR="00710F8E" w:rsidRDefault="00FC5A0C">
      <w:pPr>
        <w:rPr>
          <w:rFonts w:ascii="Arial" w:hAnsi="Arial" w:cs="Arial"/>
          <w:b/>
          <w:sz w:val="24"/>
          <w:szCs w:val="24"/>
          <w:lang w:eastAsia="en-US"/>
        </w:rPr>
      </w:pPr>
      <w:r>
        <w:rPr>
          <w:rFonts w:ascii="Arial" w:hAnsi="Arial" w:cs="Arial"/>
          <w:b/>
          <w:sz w:val="24"/>
          <w:szCs w:val="24"/>
          <w:lang w:eastAsia="en-US"/>
        </w:rPr>
        <w:lastRenderedPageBreak/>
        <w:t>Acknowledgements</w:t>
      </w:r>
    </w:p>
    <w:p w14:paraId="7ED563E4" w14:textId="77777777" w:rsidR="00D25DD2" w:rsidRDefault="00D25DD2" w:rsidP="00D25DD2">
      <w:pPr>
        <w:pStyle w:val="AIHWbodytext"/>
      </w:pPr>
      <w:r>
        <w:t xml:space="preserve">Data from the AMR was analysed by Mr Tom Watson, Ms Sue Barker and Mr Brett Davis from the AMR team at the AIHW. The authors would also like to acknowledge the valuable guidance and advice from Mr Justin Harvey and Mr Richard </w:t>
      </w:r>
      <w:proofErr w:type="spellStart"/>
      <w:r>
        <w:t>Juckes</w:t>
      </w:r>
      <w:proofErr w:type="spellEnd"/>
      <w:r>
        <w:t xml:space="preserve"> of the AIHW. </w:t>
      </w:r>
    </w:p>
    <w:p w14:paraId="5B6620FB" w14:textId="77777777" w:rsidR="00D25DD2" w:rsidRDefault="00D25DD2" w:rsidP="00D25DD2">
      <w:pPr>
        <w:pStyle w:val="AIHWbodytext"/>
      </w:pPr>
      <w:r>
        <w:t xml:space="preserve">The AMR Expert Advisory Group also provided valuable advice: Ms Elizabeth Chalker, Dr Claire Cooke-Yarborough, Dr Susan Hardman, </w:t>
      </w:r>
      <w:r w:rsidRPr="00B63BD6">
        <w:t>Ms Justine Ross</w:t>
      </w:r>
      <w:r>
        <w:t xml:space="preserve"> and Mr Trevor Torrens</w:t>
      </w:r>
      <w:r>
        <w:rPr>
          <w:i/>
        </w:rPr>
        <w:t>.</w:t>
      </w:r>
      <w:r w:rsidRPr="001B3243">
        <w:rPr>
          <w:i/>
        </w:rPr>
        <w:t xml:space="preserve"> </w:t>
      </w:r>
    </w:p>
    <w:p w14:paraId="780C2076" w14:textId="77777777" w:rsidR="00D25DD2" w:rsidRDefault="00D25DD2" w:rsidP="00D25DD2">
      <w:pPr>
        <w:pStyle w:val="AIHWbodytext"/>
      </w:pPr>
      <w:r>
        <w:t xml:space="preserve">We acknowledge the data and assistance provided by all state and territory cancer registries, and thank staff at the Social Research Centre for their work interviewing people diagnosed with mesothelioma. </w:t>
      </w:r>
    </w:p>
    <w:p w14:paraId="2FDE9BC6" w14:textId="77777777" w:rsidR="00D25DD2" w:rsidRDefault="00D25DD2" w:rsidP="00D25DD2">
      <w:pPr>
        <w:pStyle w:val="AIHWbodytext"/>
      </w:pPr>
    </w:p>
    <w:p w14:paraId="5C327F81" w14:textId="0B769D19" w:rsidR="00D25DD2" w:rsidRPr="00D25DD2" w:rsidRDefault="00D25DD2" w:rsidP="00D25DD2">
      <w:pPr>
        <w:pStyle w:val="AIHWbodytext"/>
        <w:rPr>
          <w:b/>
        </w:rPr>
      </w:pPr>
      <w:r>
        <w:rPr>
          <w:b/>
        </w:rPr>
        <w:t>Funding statement</w:t>
      </w:r>
    </w:p>
    <w:p w14:paraId="0446428F" w14:textId="20295D73" w:rsidR="00D25DD2" w:rsidRDefault="00D25DD2" w:rsidP="00D25DD2">
      <w:pPr>
        <w:pStyle w:val="AIHWbodytext"/>
      </w:pPr>
      <w:r>
        <w:t>The AMR is funded by Safe Work Australia.</w:t>
      </w:r>
      <w:r w:rsidR="00B51C1C">
        <w:t xml:space="preserve"> (Award/grant number not applicable)</w:t>
      </w:r>
    </w:p>
    <w:p w14:paraId="169628AD" w14:textId="19A32A20" w:rsidR="00D25DD2" w:rsidRDefault="00D25DD2" w:rsidP="00D25DD2">
      <w:pPr>
        <w:pStyle w:val="AIHWbodytext"/>
      </w:pPr>
    </w:p>
    <w:p w14:paraId="2393C6B9" w14:textId="09DE2075" w:rsidR="00D25DD2" w:rsidRPr="00D25DD2" w:rsidRDefault="00D25DD2" w:rsidP="00D25DD2">
      <w:pPr>
        <w:pStyle w:val="AIHWbodytext"/>
        <w:rPr>
          <w:b/>
        </w:rPr>
      </w:pPr>
      <w:proofErr w:type="spellStart"/>
      <w:r w:rsidRPr="00D25DD2">
        <w:rPr>
          <w:b/>
        </w:rPr>
        <w:t>Contributorship</w:t>
      </w:r>
      <w:proofErr w:type="spellEnd"/>
    </w:p>
    <w:p w14:paraId="16E08144" w14:textId="77777777" w:rsidR="00B51C1C" w:rsidRDefault="00D25DD2">
      <w:pPr>
        <w:rPr>
          <w:rFonts w:ascii="Arial" w:hAnsi="Arial" w:cs="Arial"/>
          <w:sz w:val="24"/>
          <w:szCs w:val="24"/>
        </w:rPr>
      </w:pPr>
      <w:r w:rsidRPr="00D25DD2">
        <w:rPr>
          <w:rFonts w:ascii="Arial" w:hAnsi="Arial" w:cs="Arial"/>
          <w:sz w:val="24"/>
          <w:szCs w:val="24"/>
        </w:rPr>
        <w:t xml:space="preserve">MS, GB, and EM incepted the AMR with colleagues at the AIHW. GB and EM carry out analysis of all exposure assessments. FB, KT and TD were founder members of the </w:t>
      </w:r>
      <w:r>
        <w:rPr>
          <w:rFonts w:ascii="Arial" w:hAnsi="Arial" w:cs="Arial"/>
          <w:sz w:val="24"/>
          <w:szCs w:val="24"/>
        </w:rPr>
        <w:t>S</w:t>
      </w:r>
      <w:r w:rsidRPr="00D25DD2">
        <w:rPr>
          <w:rFonts w:ascii="Arial" w:hAnsi="Arial" w:cs="Arial"/>
          <w:sz w:val="24"/>
          <w:szCs w:val="24"/>
        </w:rPr>
        <w:t xml:space="preserve">cientific </w:t>
      </w:r>
      <w:r>
        <w:rPr>
          <w:rFonts w:ascii="Arial" w:hAnsi="Arial" w:cs="Arial"/>
          <w:sz w:val="24"/>
          <w:szCs w:val="24"/>
        </w:rPr>
        <w:t>A</w:t>
      </w:r>
      <w:r w:rsidRPr="00D25DD2">
        <w:rPr>
          <w:rFonts w:ascii="Arial" w:hAnsi="Arial" w:cs="Arial"/>
          <w:sz w:val="24"/>
          <w:szCs w:val="24"/>
        </w:rPr>
        <w:t>dvisory Board, chaired by TD. The idea for this paper was conceived by all contributors. KWB produced the first draft and all co-authors commented on the draft and approved it for submission. Data analyses were carried out by AIHW staff.</w:t>
      </w:r>
    </w:p>
    <w:p w14:paraId="4F14B87B" w14:textId="77777777" w:rsidR="00B51C1C" w:rsidRDefault="00B51C1C">
      <w:pPr>
        <w:rPr>
          <w:rFonts w:ascii="Arial" w:hAnsi="Arial" w:cs="Arial"/>
          <w:sz w:val="24"/>
          <w:szCs w:val="24"/>
        </w:rPr>
      </w:pPr>
    </w:p>
    <w:p w14:paraId="5A44D35B" w14:textId="77777777" w:rsidR="00B51C1C" w:rsidRDefault="00B51C1C">
      <w:pPr>
        <w:rPr>
          <w:rFonts w:ascii="Arial" w:hAnsi="Arial" w:cs="Arial"/>
          <w:b/>
          <w:sz w:val="24"/>
          <w:szCs w:val="24"/>
        </w:rPr>
      </w:pPr>
      <w:r>
        <w:rPr>
          <w:rFonts w:ascii="Arial" w:hAnsi="Arial" w:cs="Arial"/>
          <w:b/>
          <w:sz w:val="24"/>
          <w:szCs w:val="24"/>
        </w:rPr>
        <w:t>Competing interests</w:t>
      </w:r>
    </w:p>
    <w:p w14:paraId="1406070F" w14:textId="0582B5E1" w:rsidR="00B51C1C" w:rsidRDefault="00B51C1C">
      <w:pPr>
        <w:rPr>
          <w:rFonts w:ascii="Arial" w:hAnsi="Arial" w:cs="Arial"/>
          <w:sz w:val="24"/>
          <w:szCs w:val="24"/>
        </w:rPr>
      </w:pPr>
      <w:r>
        <w:rPr>
          <w:rFonts w:ascii="Arial" w:hAnsi="Arial" w:cs="Arial"/>
          <w:sz w:val="24"/>
          <w:szCs w:val="24"/>
        </w:rPr>
        <w:t>All authors confirm that they have no competing interests to declare.</w:t>
      </w:r>
    </w:p>
    <w:p w14:paraId="0AECB03B" w14:textId="77777777" w:rsidR="00B51C1C" w:rsidRDefault="00B51C1C">
      <w:pPr>
        <w:rPr>
          <w:rFonts w:ascii="Arial" w:hAnsi="Arial" w:cs="Arial"/>
          <w:sz w:val="24"/>
          <w:szCs w:val="24"/>
        </w:rPr>
      </w:pPr>
    </w:p>
    <w:p w14:paraId="79DCA002" w14:textId="77777777" w:rsidR="00B51C1C" w:rsidRDefault="00B51C1C">
      <w:pPr>
        <w:rPr>
          <w:rFonts w:ascii="Arial" w:hAnsi="Arial" w:cs="Arial"/>
          <w:b/>
          <w:sz w:val="24"/>
          <w:szCs w:val="24"/>
        </w:rPr>
      </w:pPr>
      <w:r>
        <w:rPr>
          <w:rFonts w:ascii="Arial" w:hAnsi="Arial" w:cs="Arial"/>
          <w:b/>
          <w:sz w:val="24"/>
          <w:szCs w:val="24"/>
        </w:rPr>
        <w:t>Data Sharing/data availability</w:t>
      </w:r>
    </w:p>
    <w:p w14:paraId="391F3C06" w14:textId="77777777" w:rsidR="00B51C1C" w:rsidRDefault="00B51C1C">
      <w:pPr>
        <w:rPr>
          <w:rFonts w:ascii="Arial" w:hAnsi="Arial" w:cs="Arial"/>
          <w:sz w:val="24"/>
          <w:szCs w:val="24"/>
        </w:rPr>
      </w:pPr>
      <w:r>
        <w:rPr>
          <w:rFonts w:ascii="Arial" w:hAnsi="Arial" w:cs="Arial"/>
          <w:sz w:val="24"/>
          <w:szCs w:val="24"/>
        </w:rPr>
        <w:t>Data from the AMR are held by the Australian Institute for Health and Welfare. Applications for use of these data would need to be made to this body.</w:t>
      </w:r>
    </w:p>
    <w:p w14:paraId="26DCE7CD" w14:textId="77777777" w:rsidR="00B51C1C" w:rsidRDefault="00B51C1C">
      <w:pPr>
        <w:rPr>
          <w:rFonts w:ascii="Arial" w:hAnsi="Arial" w:cs="Arial"/>
          <w:sz w:val="24"/>
          <w:szCs w:val="24"/>
        </w:rPr>
      </w:pPr>
    </w:p>
    <w:p w14:paraId="75C818E6" w14:textId="77777777" w:rsidR="00B51C1C" w:rsidRDefault="00B51C1C">
      <w:pPr>
        <w:rPr>
          <w:rFonts w:ascii="Arial" w:hAnsi="Arial" w:cs="Arial"/>
          <w:b/>
          <w:sz w:val="24"/>
          <w:szCs w:val="24"/>
        </w:rPr>
      </w:pPr>
      <w:r>
        <w:rPr>
          <w:rFonts w:ascii="Arial" w:hAnsi="Arial" w:cs="Arial"/>
          <w:b/>
          <w:sz w:val="24"/>
          <w:szCs w:val="24"/>
        </w:rPr>
        <w:t>Ethics approval statement</w:t>
      </w:r>
    </w:p>
    <w:p w14:paraId="01E7D845" w14:textId="3FD7B82C" w:rsidR="00D25DD2" w:rsidRPr="00D25DD2" w:rsidRDefault="00B51C1C">
      <w:pPr>
        <w:rPr>
          <w:rFonts w:ascii="Arial" w:hAnsi="Arial" w:cs="Arial"/>
          <w:sz w:val="24"/>
          <w:szCs w:val="24"/>
        </w:rPr>
      </w:pPr>
      <w:r>
        <w:rPr>
          <w:rFonts w:ascii="Arial" w:hAnsi="Arial" w:cs="Arial"/>
          <w:sz w:val="24"/>
          <w:szCs w:val="24"/>
        </w:rPr>
        <w:t>Ethical approval for the Australian Mesothelioma registry was received from the AIHW (Ref: EO2017/4/387</w:t>
      </w:r>
      <w:r w:rsidR="00783626">
        <w:rPr>
          <w:rFonts w:ascii="Arial" w:hAnsi="Arial" w:cs="Arial"/>
          <w:sz w:val="24"/>
          <w:szCs w:val="24"/>
        </w:rPr>
        <w:t>) and the Monash Research Ethics Committee (Ref:1792).</w:t>
      </w:r>
      <w:r w:rsidR="00D25DD2" w:rsidRPr="00D25DD2">
        <w:rPr>
          <w:rFonts w:ascii="Arial" w:hAnsi="Arial" w:cs="Arial"/>
          <w:sz w:val="24"/>
          <w:szCs w:val="24"/>
        </w:rPr>
        <w:br w:type="page"/>
      </w:r>
    </w:p>
    <w:p w14:paraId="075C7373" w14:textId="16742CD0" w:rsidR="00D860D8" w:rsidRDefault="007133B7" w:rsidP="00D860D8">
      <w:pPr>
        <w:rPr>
          <w:rFonts w:ascii="Arial" w:hAnsi="Arial" w:cs="Arial"/>
          <w:b/>
          <w:sz w:val="24"/>
          <w:szCs w:val="24"/>
        </w:rPr>
      </w:pPr>
      <w:r w:rsidRPr="007133B7">
        <w:rPr>
          <w:rFonts w:ascii="Arial" w:hAnsi="Arial" w:cs="Arial"/>
          <w:b/>
          <w:sz w:val="24"/>
          <w:szCs w:val="24"/>
        </w:rPr>
        <w:lastRenderedPageBreak/>
        <w:t>Table 1</w:t>
      </w:r>
      <w:r w:rsidR="00D860D8">
        <w:rPr>
          <w:rFonts w:ascii="Arial" w:hAnsi="Arial" w:cs="Arial"/>
          <w:b/>
          <w:sz w:val="24"/>
          <w:szCs w:val="24"/>
        </w:rPr>
        <w:t xml:space="preserve"> Summary of number of cases diagnosed 1982-2020 and diagnostic characteristics of those diagnosed between 1/7/2010 and 31/12/2020</w:t>
      </w:r>
    </w:p>
    <w:tbl>
      <w:tblPr>
        <w:tblStyle w:val="TableGrid"/>
        <w:tblW w:w="0" w:type="auto"/>
        <w:tblLook w:val="04A0" w:firstRow="1" w:lastRow="0" w:firstColumn="1" w:lastColumn="0" w:noHBand="0" w:noVBand="1"/>
      </w:tblPr>
      <w:tblGrid>
        <w:gridCol w:w="4248"/>
        <w:gridCol w:w="1589"/>
        <w:gridCol w:w="1589"/>
        <w:gridCol w:w="1590"/>
      </w:tblGrid>
      <w:tr w:rsidR="00D860D8" w14:paraId="0BD7E06E" w14:textId="77777777" w:rsidTr="00D51DF4">
        <w:tc>
          <w:tcPr>
            <w:tcW w:w="4248" w:type="dxa"/>
          </w:tcPr>
          <w:p w14:paraId="00C5B608" w14:textId="77777777" w:rsidR="00D860D8" w:rsidRPr="003743BE" w:rsidRDefault="00D860D8" w:rsidP="00D51DF4">
            <w:pPr>
              <w:rPr>
                <w:rFonts w:ascii="Arial" w:hAnsi="Arial" w:cs="Arial"/>
                <w:b/>
                <w:sz w:val="20"/>
                <w:szCs w:val="20"/>
              </w:rPr>
            </w:pPr>
          </w:p>
        </w:tc>
        <w:tc>
          <w:tcPr>
            <w:tcW w:w="1589" w:type="dxa"/>
          </w:tcPr>
          <w:p w14:paraId="3BE50DAC" w14:textId="77777777" w:rsidR="00D860D8" w:rsidRPr="003743BE" w:rsidRDefault="00D860D8" w:rsidP="00D51DF4">
            <w:pPr>
              <w:jc w:val="center"/>
              <w:rPr>
                <w:rFonts w:ascii="Arial" w:hAnsi="Arial" w:cs="Arial"/>
                <w:b/>
                <w:sz w:val="20"/>
                <w:szCs w:val="20"/>
              </w:rPr>
            </w:pPr>
            <w:r w:rsidRPr="003743BE">
              <w:rPr>
                <w:rFonts w:ascii="Arial" w:hAnsi="Arial" w:cs="Arial"/>
                <w:b/>
                <w:sz w:val="20"/>
                <w:szCs w:val="20"/>
              </w:rPr>
              <w:t>Men</w:t>
            </w:r>
          </w:p>
          <w:p w14:paraId="5D4A653D" w14:textId="77777777" w:rsidR="00D860D8" w:rsidRPr="003743BE" w:rsidRDefault="00D860D8" w:rsidP="00D51DF4">
            <w:pPr>
              <w:jc w:val="center"/>
              <w:rPr>
                <w:rFonts w:ascii="Arial" w:hAnsi="Arial" w:cs="Arial"/>
                <w:b/>
                <w:sz w:val="20"/>
                <w:szCs w:val="20"/>
              </w:rPr>
            </w:pPr>
            <w:r w:rsidRPr="003743BE">
              <w:rPr>
                <w:rFonts w:ascii="Arial" w:hAnsi="Arial" w:cs="Arial"/>
                <w:b/>
                <w:sz w:val="20"/>
                <w:szCs w:val="20"/>
              </w:rPr>
              <w:t>No (%)</w:t>
            </w:r>
          </w:p>
        </w:tc>
        <w:tc>
          <w:tcPr>
            <w:tcW w:w="1589" w:type="dxa"/>
          </w:tcPr>
          <w:p w14:paraId="0A1AADBB" w14:textId="77777777" w:rsidR="00D860D8" w:rsidRPr="003743BE" w:rsidRDefault="00D860D8" w:rsidP="00D51DF4">
            <w:pPr>
              <w:jc w:val="center"/>
              <w:rPr>
                <w:rFonts w:ascii="Arial" w:hAnsi="Arial" w:cs="Arial"/>
                <w:b/>
                <w:sz w:val="20"/>
                <w:szCs w:val="20"/>
              </w:rPr>
            </w:pPr>
            <w:r w:rsidRPr="003743BE">
              <w:rPr>
                <w:rFonts w:ascii="Arial" w:hAnsi="Arial" w:cs="Arial"/>
                <w:b/>
                <w:sz w:val="20"/>
                <w:szCs w:val="20"/>
              </w:rPr>
              <w:t>Women</w:t>
            </w:r>
          </w:p>
          <w:p w14:paraId="3C8786DF" w14:textId="77777777" w:rsidR="00D860D8" w:rsidRPr="003743BE" w:rsidRDefault="00D860D8" w:rsidP="00D51DF4">
            <w:pPr>
              <w:jc w:val="center"/>
              <w:rPr>
                <w:rFonts w:ascii="Arial" w:hAnsi="Arial" w:cs="Arial"/>
                <w:b/>
                <w:sz w:val="20"/>
                <w:szCs w:val="20"/>
              </w:rPr>
            </w:pPr>
            <w:r w:rsidRPr="003743BE">
              <w:rPr>
                <w:rFonts w:ascii="Arial" w:hAnsi="Arial" w:cs="Arial"/>
                <w:b/>
                <w:sz w:val="20"/>
                <w:szCs w:val="20"/>
              </w:rPr>
              <w:t>No (%)</w:t>
            </w:r>
          </w:p>
        </w:tc>
        <w:tc>
          <w:tcPr>
            <w:tcW w:w="1590" w:type="dxa"/>
          </w:tcPr>
          <w:p w14:paraId="364DEBBC" w14:textId="77777777" w:rsidR="00D860D8" w:rsidRPr="003743BE" w:rsidRDefault="00D860D8" w:rsidP="00D51DF4">
            <w:pPr>
              <w:jc w:val="center"/>
              <w:rPr>
                <w:rFonts w:ascii="Arial" w:hAnsi="Arial" w:cs="Arial"/>
                <w:b/>
                <w:sz w:val="20"/>
                <w:szCs w:val="20"/>
              </w:rPr>
            </w:pPr>
            <w:r w:rsidRPr="003743BE">
              <w:rPr>
                <w:rFonts w:ascii="Arial" w:hAnsi="Arial" w:cs="Arial"/>
                <w:b/>
                <w:sz w:val="20"/>
                <w:szCs w:val="20"/>
              </w:rPr>
              <w:t>Total</w:t>
            </w:r>
          </w:p>
          <w:p w14:paraId="66595327" w14:textId="77777777" w:rsidR="00D860D8" w:rsidRPr="003743BE" w:rsidRDefault="00D860D8" w:rsidP="00D51DF4">
            <w:pPr>
              <w:jc w:val="center"/>
              <w:rPr>
                <w:rFonts w:ascii="Arial" w:hAnsi="Arial" w:cs="Arial"/>
                <w:b/>
                <w:sz w:val="20"/>
                <w:szCs w:val="20"/>
              </w:rPr>
            </w:pPr>
            <w:r w:rsidRPr="003743BE">
              <w:rPr>
                <w:rFonts w:ascii="Arial" w:hAnsi="Arial" w:cs="Arial"/>
                <w:b/>
                <w:sz w:val="20"/>
                <w:szCs w:val="20"/>
              </w:rPr>
              <w:t>No (%)</w:t>
            </w:r>
          </w:p>
        </w:tc>
      </w:tr>
      <w:tr w:rsidR="00D860D8" w14:paraId="587533BE" w14:textId="77777777" w:rsidTr="00D51DF4">
        <w:tc>
          <w:tcPr>
            <w:tcW w:w="4248" w:type="dxa"/>
          </w:tcPr>
          <w:p w14:paraId="73C98698" w14:textId="77777777" w:rsidR="00D860D8" w:rsidRPr="003743BE" w:rsidRDefault="00D860D8" w:rsidP="00D51DF4">
            <w:pPr>
              <w:rPr>
                <w:rFonts w:ascii="Arial" w:hAnsi="Arial" w:cs="Arial"/>
                <w:sz w:val="20"/>
                <w:szCs w:val="20"/>
              </w:rPr>
            </w:pPr>
            <w:r w:rsidRPr="003743BE">
              <w:rPr>
                <w:rFonts w:ascii="Arial" w:hAnsi="Arial" w:cs="Arial"/>
                <w:sz w:val="20"/>
                <w:szCs w:val="20"/>
              </w:rPr>
              <w:t>Total number of mesothelioma cases 1982-2020</w:t>
            </w:r>
          </w:p>
        </w:tc>
        <w:tc>
          <w:tcPr>
            <w:tcW w:w="1589" w:type="dxa"/>
          </w:tcPr>
          <w:p w14:paraId="153D5C9F"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16456</w:t>
            </w:r>
          </w:p>
        </w:tc>
        <w:tc>
          <w:tcPr>
            <w:tcW w:w="1589" w:type="dxa"/>
          </w:tcPr>
          <w:p w14:paraId="6E170CB6"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3384</w:t>
            </w:r>
          </w:p>
        </w:tc>
        <w:tc>
          <w:tcPr>
            <w:tcW w:w="1590" w:type="dxa"/>
          </w:tcPr>
          <w:p w14:paraId="054F90DD"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19840</w:t>
            </w:r>
          </w:p>
        </w:tc>
      </w:tr>
      <w:tr w:rsidR="00D860D8" w14:paraId="1C002415" w14:textId="77777777" w:rsidTr="00D51DF4">
        <w:tc>
          <w:tcPr>
            <w:tcW w:w="4248" w:type="dxa"/>
          </w:tcPr>
          <w:p w14:paraId="234EE87A" w14:textId="77777777" w:rsidR="00D860D8" w:rsidRPr="003743BE" w:rsidRDefault="00D860D8" w:rsidP="00D51DF4">
            <w:pPr>
              <w:rPr>
                <w:rFonts w:ascii="Arial" w:hAnsi="Arial" w:cs="Arial"/>
                <w:sz w:val="20"/>
                <w:szCs w:val="20"/>
              </w:rPr>
            </w:pPr>
            <w:r w:rsidRPr="003743BE">
              <w:rPr>
                <w:rFonts w:ascii="Arial" w:hAnsi="Arial" w:cs="Arial"/>
                <w:sz w:val="20"/>
                <w:szCs w:val="20"/>
              </w:rPr>
              <w:t>Total number of cases 1982-1999</w:t>
            </w:r>
          </w:p>
        </w:tc>
        <w:tc>
          <w:tcPr>
            <w:tcW w:w="1589" w:type="dxa"/>
          </w:tcPr>
          <w:p w14:paraId="25394BBE"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4823</w:t>
            </w:r>
          </w:p>
        </w:tc>
        <w:tc>
          <w:tcPr>
            <w:tcW w:w="1589" w:type="dxa"/>
          </w:tcPr>
          <w:p w14:paraId="221B6D13"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746</w:t>
            </w:r>
          </w:p>
        </w:tc>
        <w:tc>
          <w:tcPr>
            <w:tcW w:w="1590" w:type="dxa"/>
          </w:tcPr>
          <w:p w14:paraId="11343C76"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5569</w:t>
            </w:r>
          </w:p>
        </w:tc>
      </w:tr>
      <w:tr w:rsidR="00D860D8" w14:paraId="04A5AE4C" w14:textId="77777777" w:rsidTr="00D51DF4">
        <w:tc>
          <w:tcPr>
            <w:tcW w:w="4248" w:type="dxa"/>
          </w:tcPr>
          <w:p w14:paraId="4C74E95C" w14:textId="77777777" w:rsidR="00D860D8" w:rsidRPr="003743BE" w:rsidRDefault="00D860D8" w:rsidP="00D51DF4">
            <w:pPr>
              <w:rPr>
                <w:rFonts w:ascii="Arial" w:hAnsi="Arial" w:cs="Arial"/>
                <w:sz w:val="20"/>
                <w:szCs w:val="20"/>
              </w:rPr>
            </w:pPr>
            <w:r w:rsidRPr="003743BE">
              <w:rPr>
                <w:rFonts w:ascii="Arial" w:hAnsi="Arial" w:cs="Arial"/>
                <w:sz w:val="20"/>
                <w:szCs w:val="20"/>
              </w:rPr>
              <w:t>Total number of cases 2000-2020</w:t>
            </w:r>
          </w:p>
        </w:tc>
        <w:tc>
          <w:tcPr>
            <w:tcW w:w="1589" w:type="dxa"/>
          </w:tcPr>
          <w:p w14:paraId="3C293CF3"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11633</w:t>
            </w:r>
          </w:p>
        </w:tc>
        <w:tc>
          <w:tcPr>
            <w:tcW w:w="1589" w:type="dxa"/>
          </w:tcPr>
          <w:p w14:paraId="1513F78B"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2638</w:t>
            </w:r>
          </w:p>
        </w:tc>
        <w:tc>
          <w:tcPr>
            <w:tcW w:w="1590" w:type="dxa"/>
          </w:tcPr>
          <w:p w14:paraId="3A0C4AFD"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14271</w:t>
            </w:r>
          </w:p>
        </w:tc>
      </w:tr>
      <w:tr w:rsidR="00D860D8" w14:paraId="76793329" w14:textId="77777777" w:rsidTr="00D51DF4">
        <w:tc>
          <w:tcPr>
            <w:tcW w:w="4248" w:type="dxa"/>
            <w:shd w:val="clear" w:color="auto" w:fill="BFBFBF" w:themeFill="background1" w:themeFillShade="BF"/>
          </w:tcPr>
          <w:p w14:paraId="631C39AD" w14:textId="77777777" w:rsidR="00D860D8" w:rsidRPr="003743BE" w:rsidRDefault="00D860D8" w:rsidP="00D51DF4">
            <w:pPr>
              <w:rPr>
                <w:rFonts w:ascii="Arial" w:hAnsi="Arial" w:cs="Arial"/>
                <w:sz w:val="20"/>
                <w:szCs w:val="20"/>
              </w:rPr>
            </w:pPr>
          </w:p>
        </w:tc>
        <w:tc>
          <w:tcPr>
            <w:tcW w:w="1589" w:type="dxa"/>
            <w:shd w:val="clear" w:color="auto" w:fill="BFBFBF" w:themeFill="background1" w:themeFillShade="BF"/>
          </w:tcPr>
          <w:p w14:paraId="4CDD9829" w14:textId="77777777" w:rsidR="00D860D8" w:rsidRPr="003743BE" w:rsidRDefault="00D860D8" w:rsidP="00D51DF4">
            <w:pPr>
              <w:jc w:val="center"/>
              <w:rPr>
                <w:rFonts w:ascii="Arial" w:hAnsi="Arial" w:cs="Arial"/>
                <w:sz w:val="20"/>
                <w:szCs w:val="20"/>
              </w:rPr>
            </w:pPr>
          </w:p>
        </w:tc>
        <w:tc>
          <w:tcPr>
            <w:tcW w:w="1589" w:type="dxa"/>
            <w:shd w:val="clear" w:color="auto" w:fill="BFBFBF" w:themeFill="background1" w:themeFillShade="BF"/>
          </w:tcPr>
          <w:p w14:paraId="6C232F77" w14:textId="77777777" w:rsidR="00D860D8" w:rsidRPr="003743BE" w:rsidRDefault="00D860D8" w:rsidP="00D51DF4">
            <w:pPr>
              <w:jc w:val="center"/>
              <w:rPr>
                <w:rFonts w:ascii="Arial" w:hAnsi="Arial" w:cs="Arial"/>
                <w:sz w:val="20"/>
                <w:szCs w:val="20"/>
              </w:rPr>
            </w:pPr>
          </w:p>
        </w:tc>
        <w:tc>
          <w:tcPr>
            <w:tcW w:w="1590" w:type="dxa"/>
            <w:shd w:val="clear" w:color="auto" w:fill="BFBFBF" w:themeFill="background1" w:themeFillShade="BF"/>
          </w:tcPr>
          <w:p w14:paraId="1CE0C884" w14:textId="77777777" w:rsidR="00D860D8" w:rsidRPr="003743BE" w:rsidRDefault="00D860D8" w:rsidP="00D51DF4">
            <w:pPr>
              <w:jc w:val="center"/>
              <w:rPr>
                <w:rFonts w:ascii="Arial" w:hAnsi="Arial" w:cs="Arial"/>
                <w:sz w:val="20"/>
                <w:szCs w:val="20"/>
              </w:rPr>
            </w:pPr>
          </w:p>
        </w:tc>
      </w:tr>
      <w:tr w:rsidR="00D860D8" w14:paraId="682D6C31" w14:textId="77777777" w:rsidTr="00D51DF4">
        <w:tc>
          <w:tcPr>
            <w:tcW w:w="4248" w:type="dxa"/>
          </w:tcPr>
          <w:p w14:paraId="22ACA97A" w14:textId="77777777" w:rsidR="00D860D8" w:rsidRPr="003743BE" w:rsidRDefault="00D860D8" w:rsidP="00D51DF4">
            <w:pPr>
              <w:rPr>
                <w:rFonts w:ascii="Arial" w:hAnsi="Arial" w:cs="Arial"/>
                <w:b/>
                <w:sz w:val="20"/>
                <w:szCs w:val="20"/>
              </w:rPr>
            </w:pPr>
            <w:r w:rsidRPr="003743BE">
              <w:rPr>
                <w:rFonts w:ascii="Arial" w:hAnsi="Arial" w:cs="Arial"/>
                <w:b/>
                <w:sz w:val="20"/>
                <w:szCs w:val="20"/>
              </w:rPr>
              <w:t>Total number of cases July 2010- December 2020</w:t>
            </w:r>
          </w:p>
        </w:tc>
        <w:tc>
          <w:tcPr>
            <w:tcW w:w="1589" w:type="dxa"/>
          </w:tcPr>
          <w:p w14:paraId="54EE7148" w14:textId="77777777" w:rsidR="00D860D8" w:rsidRPr="003743BE" w:rsidRDefault="00D860D8" w:rsidP="00D51DF4">
            <w:pPr>
              <w:jc w:val="center"/>
              <w:rPr>
                <w:rFonts w:ascii="Arial" w:hAnsi="Arial" w:cs="Arial"/>
                <w:b/>
                <w:sz w:val="20"/>
                <w:szCs w:val="20"/>
              </w:rPr>
            </w:pPr>
            <w:r w:rsidRPr="003743BE">
              <w:rPr>
                <w:rFonts w:ascii="Arial" w:hAnsi="Arial" w:cs="Arial"/>
                <w:b/>
                <w:sz w:val="20"/>
                <w:szCs w:val="20"/>
              </w:rPr>
              <w:t>6328</w:t>
            </w:r>
          </w:p>
        </w:tc>
        <w:tc>
          <w:tcPr>
            <w:tcW w:w="1589" w:type="dxa"/>
          </w:tcPr>
          <w:p w14:paraId="5A7CA754" w14:textId="77777777" w:rsidR="00D860D8" w:rsidRPr="003743BE" w:rsidRDefault="00D860D8" w:rsidP="00D51DF4">
            <w:pPr>
              <w:jc w:val="center"/>
              <w:rPr>
                <w:rFonts w:ascii="Arial" w:hAnsi="Arial" w:cs="Arial"/>
                <w:b/>
                <w:sz w:val="20"/>
                <w:szCs w:val="20"/>
              </w:rPr>
            </w:pPr>
            <w:r w:rsidRPr="003743BE">
              <w:rPr>
                <w:rFonts w:ascii="Arial" w:hAnsi="Arial" w:cs="Arial"/>
                <w:b/>
                <w:sz w:val="20"/>
                <w:szCs w:val="20"/>
              </w:rPr>
              <w:t>1498</w:t>
            </w:r>
          </w:p>
        </w:tc>
        <w:tc>
          <w:tcPr>
            <w:tcW w:w="1590" w:type="dxa"/>
          </w:tcPr>
          <w:p w14:paraId="7B2C28FD" w14:textId="77777777" w:rsidR="00D860D8" w:rsidRPr="003743BE" w:rsidRDefault="00D860D8" w:rsidP="00D51DF4">
            <w:pPr>
              <w:jc w:val="center"/>
              <w:rPr>
                <w:rFonts w:ascii="Arial" w:hAnsi="Arial" w:cs="Arial"/>
                <w:b/>
                <w:sz w:val="20"/>
                <w:szCs w:val="20"/>
              </w:rPr>
            </w:pPr>
            <w:r w:rsidRPr="003743BE">
              <w:rPr>
                <w:rFonts w:ascii="Arial" w:hAnsi="Arial" w:cs="Arial"/>
                <w:b/>
                <w:sz w:val="20"/>
                <w:szCs w:val="20"/>
              </w:rPr>
              <w:t>7826</w:t>
            </w:r>
          </w:p>
        </w:tc>
      </w:tr>
      <w:tr w:rsidR="00D860D8" w14:paraId="4463403E" w14:textId="77777777" w:rsidTr="00D51DF4">
        <w:tc>
          <w:tcPr>
            <w:tcW w:w="4248" w:type="dxa"/>
          </w:tcPr>
          <w:p w14:paraId="319C7E6D" w14:textId="77777777" w:rsidR="00D860D8" w:rsidRPr="003743BE" w:rsidRDefault="00D860D8" w:rsidP="00D51DF4">
            <w:pPr>
              <w:rPr>
                <w:rFonts w:ascii="Arial" w:hAnsi="Arial" w:cs="Arial"/>
                <w:sz w:val="20"/>
                <w:szCs w:val="20"/>
              </w:rPr>
            </w:pPr>
            <w:r w:rsidRPr="003743BE">
              <w:rPr>
                <w:rFonts w:ascii="Arial" w:hAnsi="Arial" w:cs="Arial"/>
                <w:sz w:val="20"/>
                <w:szCs w:val="20"/>
              </w:rPr>
              <w:t>Number of cases by age category</w:t>
            </w:r>
          </w:p>
        </w:tc>
        <w:tc>
          <w:tcPr>
            <w:tcW w:w="1589" w:type="dxa"/>
          </w:tcPr>
          <w:p w14:paraId="5BAAE148" w14:textId="77777777" w:rsidR="00D860D8" w:rsidRPr="003743BE" w:rsidRDefault="00D860D8" w:rsidP="00D51DF4">
            <w:pPr>
              <w:jc w:val="center"/>
              <w:rPr>
                <w:rFonts w:ascii="Arial" w:hAnsi="Arial" w:cs="Arial"/>
                <w:sz w:val="20"/>
                <w:szCs w:val="20"/>
              </w:rPr>
            </w:pPr>
          </w:p>
        </w:tc>
        <w:tc>
          <w:tcPr>
            <w:tcW w:w="1589" w:type="dxa"/>
          </w:tcPr>
          <w:p w14:paraId="45915E26" w14:textId="77777777" w:rsidR="00D860D8" w:rsidRPr="003743BE" w:rsidRDefault="00D860D8" w:rsidP="00D51DF4">
            <w:pPr>
              <w:jc w:val="center"/>
              <w:rPr>
                <w:rFonts w:ascii="Arial" w:hAnsi="Arial" w:cs="Arial"/>
                <w:sz w:val="20"/>
                <w:szCs w:val="20"/>
              </w:rPr>
            </w:pPr>
          </w:p>
        </w:tc>
        <w:tc>
          <w:tcPr>
            <w:tcW w:w="1590" w:type="dxa"/>
          </w:tcPr>
          <w:p w14:paraId="74D5AD38" w14:textId="77777777" w:rsidR="00D860D8" w:rsidRPr="003743BE" w:rsidRDefault="00D860D8" w:rsidP="00D51DF4">
            <w:pPr>
              <w:jc w:val="center"/>
              <w:rPr>
                <w:rFonts w:ascii="Arial" w:hAnsi="Arial" w:cs="Arial"/>
                <w:sz w:val="20"/>
                <w:szCs w:val="20"/>
              </w:rPr>
            </w:pPr>
          </w:p>
        </w:tc>
      </w:tr>
      <w:tr w:rsidR="00D860D8" w14:paraId="249BDF7D" w14:textId="77777777" w:rsidTr="00D51DF4">
        <w:tc>
          <w:tcPr>
            <w:tcW w:w="4248" w:type="dxa"/>
          </w:tcPr>
          <w:p w14:paraId="2EA470F4" w14:textId="77777777" w:rsidR="00D860D8" w:rsidRPr="003743BE" w:rsidRDefault="00D860D8" w:rsidP="00D51DF4">
            <w:pPr>
              <w:jc w:val="right"/>
              <w:rPr>
                <w:rFonts w:ascii="Arial" w:hAnsi="Arial" w:cs="Arial"/>
                <w:sz w:val="20"/>
                <w:szCs w:val="20"/>
              </w:rPr>
            </w:pPr>
            <w:r w:rsidRPr="003743BE">
              <w:rPr>
                <w:rFonts w:ascii="Arial" w:hAnsi="Arial" w:cs="Arial"/>
                <w:sz w:val="20"/>
                <w:szCs w:val="20"/>
              </w:rPr>
              <w:t>&lt;54 years</w:t>
            </w:r>
          </w:p>
        </w:tc>
        <w:tc>
          <w:tcPr>
            <w:tcW w:w="1589" w:type="dxa"/>
          </w:tcPr>
          <w:p w14:paraId="758DFFBA"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169 (2.7)</w:t>
            </w:r>
          </w:p>
        </w:tc>
        <w:tc>
          <w:tcPr>
            <w:tcW w:w="1589" w:type="dxa"/>
          </w:tcPr>
          <w:p w14:paraId="63988086"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102 (6.8)</w:t>
            </w:r>
          </w:p>
        </w:tc>
        <w:tc>
          <w:tcPr>
            <w:tcW w:w="1590" w:type="dxa"/>
          </w:tcPr>
          <w:p w14:paraId="6C877B8E"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271 (3.5)</w:t>
            </w:r>
          </w:p>
        </w:tc>
      </w:tr>
      <w:tr w:rsidR="00D860D8" w14:paraId="5E0C7E1C" w14:textId="77777777" w:rsidTr="00D51DF4">
        <w:tc>
          <w:tcPr>
            <w:tcW w:w="4248" w:type="dxa"/>
          </w:tcPr>
          <w:p w14:paraId="0AD97D47" w14:textId="77777777" w:rsidR="00D860D8" w:rsidRPr="003743BE" w:rsidRDefault="00D860D8" w:rsidP="00D51DF4">
            <w:pPr>
              <w:jc w:val="right"/>
              <w:rPr>
                <w:rFonts w:ascii="Arial" w:hAnsi="Arial" w:cs="Arial"/>
                <w:sz w:val="20"/>
                <w:szCs w:val="20"/>
              </w:rPr>
            </w:pPr>
            <w:r w:rsidRPr="003743BE">
              <w:rPr>
                <w:rFonts w:ascii="Arial" w:hAnsi="Arial" w:cs="Arial"/>
                <w:sz w:val="20"/>
                <w:szCs w:val="20"/>
              </w:rPr>
              <w:t>55-59 years</w:t>
            </w:r>
          </w:p>
        </w:tc>
        <w:tc>
          <w:tcPr>
            <w:tcW w:w="1589" w:type="dxa"/>
          </w:tcPr>
          <w:p w14:paraId="54A7CF7A"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231 (3.7)</w:t>
            </w:r>
          </w:p>
        </w:tc>
        <w:tc>
          <w:tcPr>
            <w:tcW w:w="1589" w:type="dxa"/>
          </w:tcPr>
          <w:p w14:paraId="44CF6E7C"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78 (5.2)</w:t>
            </w:r>
          </w:p>
        </w:tc>
        <w:tc>
          <w:tcPr>
            <w:tcW w:w="1590" w:type="dxa"/>
          </w:tcPr>
          <w:p w14:paraId="64CE6BDA"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309 (3.9)</w:t>
            </w:r>
          </w:p>
        </w:tc>
      </w:tr>
      <w:tr w:rsidR="00D860D8" w14:paraId="3A6C20C7" w14:textId="77777777" w:rsidTr="00D51DF4">
        <w:tc>
          <w:tcPr>
            <w:tcW w:w="4248" w:type="dxa"/>
          </w:tcPr>
          <w:p w14:paraId="204ED1F0" w14:textId="77777777" w:rsidR="00D860D8" w:rsidRPr="003743BE" w:rsidRDefault="00D860D8" w:rsidP="00D51DF4">
            <w:pPr>
              <w:jc w:val="right"/>
              <w:rPr>
                <w:rFonts w:ascii="Arial" w:hAnsi="Arial" w:cs="Arial"/>
                <w:sz w:val="20"/>
                <w:szCs w:val="20"/>
              </w:rPr>
            </w:pPr>
            <w:r w:rsidRPr="003743BE">
              <w:rPr>
                <w:rFonts w:ascii="Arial" w:hAnsi="Arial" w:cs="Arial"/>
                <w:sz w:val="20"/>
                <w:szCs w:val="20"/>
              </w:rPr>
              <w:t>60-64 years</w:t>
            </w:r>
          </w:p>
        </w:tc>
        <w:tc>
          <w:tcPr>
            <w:tcW w:w="1589" w:type="dxa"/>
          </w:tcPr>
          <w:p w14:paraId="0AD8AEE5"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470 (7.4)</w:t>
            </w:r>
          </w:p>
        </w:tc>
        <w:tc>
          <w:tcPr>
            <w:tcW w:w="1589" w:type="dxa"/>
          </w:tcPr>
          <w:p w14:paraId="35BA3E57"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145 (9.7)</w:t>
            </w:r>
          </w:p>
        </w:tc>
        <w:tc>
          <w:tcPr>
            <w:tcW w:w="1590" w:type="dxa"/>
          </w:tcPr>
          <w:p w14:paraId="44F65D75"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615 (7.9)</w:t>
            </w:r>
          </w:p>
        </w:tc>
      </w:tr>
      <w:tr w:rsidR="00D860D8" w14:paraId="50D1DBAA" w14:textId="77777777" w:rsidTr="00D51DF4">
        <w:tc>
          <w:tcPr>
            <w:tcW w:w="4248" w:type="dxa"/>
          </w:tcPr>
          <w:p w14:paraId="613252E0" w14:textId="77777777" w:rsidR="00D860D8" w:rsidRPr="003743BE" w:rsidRDefault="00D860D8" w:rsidP="00D51DF4">
            <w:pPr>
              <w:jc w:val="right"/>
              <w:rPr>
                <w:rFonts w:ascii="Arial" w:hAnsi="Arial" w:cs="Arial"/>
                <w:sz w:val="20"/>
                <w:szCs w:val="20"/>
              </w:rPr>
            </w:pPr>
            <w:r w:rsidRPr="003743BE">
              <w:rPr>
                <w:rFonts w:ascii="Arial" w:hAnsi="Arial" w:cs="Arial"/>
                <w:sz w:val="20"/>
                <w:szCs w:val="20"/>
              </w:rPr>
              <w:t>65-69 years</w:t>
            </w:r>
          </w:p>
        </w:tc>
        <w:tc>
          <w:tcPr>
            <w:tcW w:w="1589" w:type="dxa"/>
          </w:tcPr>
          <w:p w14:paraId="62A23A62"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889 (14.0)</w:t>
            </w:r>
          </w:p>
        </w:tc>
        <w:tc>
          <w:tcPr>
            <w:tcW w:w="1589" w:type="dxa"/>
          </w:tcPr>
          <w:p w14:paraId="04A6A7BC"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218 (14.6)</w:t>
            </w:r>
          </w:p>
        </w:tc>
        <w:tc>
          <w:tcPr>
            <w:tcW w:w="1590" w:type="dxa"/>
          </w:tcPr>
          <w:p w14:paraId="087D7A84"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1107 (14.1)</w:t>
            </w:r>
          </w:p>
        </w:tc>
      </w:tr>
      <w:tr w:rsidR="00D860D8" w14:paraId="0D2353CF" w14:textId="77777777" w:rsidTr="00D51DF4">
        <w:tc>
          <w:tcPr>
            <w:tcW w:w="4248" w:type="dxa"/>
          </w:tcPr>
          <w:p w14:paraId="1DE4EE10" w14:textId="77777777" w:rsidR="00D860D8" w:rsidRPr="003743BE" w:rsidRDefault="00D860D8" w:rsidP="00D51DF4">
            <w:pPr>
              <w:jc w:val="right"/>
              <w:rPr>
                <w:rFonts w:ascii="Arial" w:hAnsi="Arial" w:cs="Arial"/>
                <w:sz w:val="20"/>
                <w:szCs w:val="20"/>
              </w:rPr>
            </w:pPr>
            <w:r w:rsidRPr="003743BE">
              <w:rPr>
                <w:rFonts w:ascii="Arial" w:hAnsi="Arial" w:cs="Arial"/>
                <w:sz w:val="20"/>
                <w:szCs w:val="20"/>
              </w:rPr>
              <w:t>70-74 years</w:t>
            </w:r>
          </w:p>
        </w:tc>
        <w:tc>
          <w:tcPr>
            <w:tcW w:w="1589" w:type="dxa"/>
          </w:tcPr>
          <w:p w14:paraId="728DA577"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1215 (19.2)</w:t>
            </w:r>
          </w:p>
        </w:tc>
        <w:tc>
          <w:tcPr>
            <w:tcW w:w="1589" w:type="dxa"/>
          </w:tcPr>
          <w:p w14:paraId="3F11B546"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239 (16.0)</w:t>
            </w:r>
          </w:p>
        </w:tc>
        <w:tc>
          <w:tcPr>
            <w:tcW w:w="1590" w:type="dxa"/>
          </w:tcPr>
          <w:p w14:paraId="25641FC3"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1454 (18.6)</w:t>
            </w:r>
          </w:p>
        </w:tc>
      </w:tr>
      <w:tr w:rsidR="00D860D8" w14:paraId="5245866E" w14:textId="77777777" w:rsidTr="00D51DF4">
        <w:tc>
          <w:tcPr>
            <w:tcW w:w="4248" w:type="dxa"/>
          </w:tcPr>
          <w:p w14:paraId="1F52E91E" w14:textId="77777777" w:rsidR="00D860D8" w:rsidRPr="003743BE" w:rsidRDefault="00D860D8" w:rsidP="00D51DF4">
            <w:pPr>
              <w:jc w:val="right"/>
              <w:rPr>
                <w:rFonts w:ascii="Arial" w:hAnsi="Arial" w:cs="Arial"/>
                <w:sz w:val="20"/>
                <w:szCs w:val="20"/>
              </w:rPr>
            </w:pPr>
            <w:r w:rsidRPr="003743BE">
              <w:rPr>
                <w:rFonts w:ascii="Arial" w:hAnsi="Arial" w:cs="Arial"/>
                <w:sz w:val="20"/>
                <w:szCs w:val="20"/>
              </w:rPr>
              <w:t>75-79 years</w:t>
            </w:r>
          </w:p>
        </w:tc>
        <w:tc>
          <w:tcPr>
            <w:tcW w:w="1589" w:type="dxa"/>
          </w:tcPr>
          <w:p w14:paraId="4AC5F139"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1276 (20.2)</w:t>
            </w:r>
          </w:p>
        </w:tc>
        <w:tc>
          <w:tcPr>
            <w:tcW w:w="1589" w:type="dxa"/>
          </w:tcPr>
          <w:p w14:paraId="26C402EE"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243 (16.2)</w:t>
            </w:r>
          </w:p>
        </w:tc>
        <w:tc>
          <w:tcPr>
            <w:tcW w:w="1590" w:type="dxa"/>
          </w:tcPr>
          <w:p w14:paraId="48B13B87"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1519 (19.4)</w:t>
            </w:r>
          </w:p>
        </w:tc>
      </w:tr>
      <w:tr w:rsidR="00D860D8" w14:paraId="37C1E820" w14:textId="77777777" w:rsidTr="00D51DF4">
        <w:tc>
          <w:tcPr>
            <w:tcW w:w="4248" w:type="dxa"/>
          </w:tcPr>
          <w:p w14:paraId="50430260" w14:textId="77777777" w:rsidR="00D860D8" w:rsidRPr="003743BE" w:rsidRDefault="00D860D8" w:rsidP="00D860D8">
            <w:pPr>
              <w:pStyle w:val="ListParagraph"/>
              <w:numPr>
                <w:ilvl w:val="1"/>
                <w:numId w:val="33"/>
              </w:numPr>
              <w:contextualSpacing/>
              <w:jc w:val="right"/>
              <w:rPr>
                <w:rFonts w:ascii="Arial" w:hAnsi="Arial" w:cs="Arial"/>
                <w:sz w:val="20"/>
                <w:szCs w:val="20"/>
              </w:rPr>
            </w:pPr>
            <w:r w:rsidRPr="003743BE">
              <w:rPr>
                <w:rFonts w:ascii="Arial" w:hAnsi="Arial" w:cs="Arial"/>
                <w:sz w:val="20"/>
                <w:szCs w:val="20"/>
              </w:rPr>
              <w:t>years</w:t>
            </w:r>
          </w:p>
        </w:tc>
        <w:tc>
          <w:tcPr>
            <w:tcW w:w="1589" w:type="dxa"/>
          </w:tcPr>
          <w:p w14:paraId="35BF039A"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1293 (20.4)</w:t>
            </w:r>
          </w:p>
        </w:tc>
        <w:tc>
          <w:tcPr>
            <w:tcW w:w="1589" w:type="dxa"/>
          </w:tcPr>
          <w:p w14:paraId="7BFA05E8"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266 (17.8)</w:t>
            </w:r>
          </w:p>
        </w:tc>
        <w:tc>
          <w:tcPr>
            <w:tcW w:w="1590" w:type="dxa"/>
          </w:tcPr>
          <w:p w14:paraId="41C182C0"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1559 (19.9)</w:t>
            </w:r>
          </w:p>
        </w:tc>
      </w:tr>
      <w:tr w:rsidR="00D860D8" w14:paraId="70BDFDA5" w14:textId="77777777" w:rsidTr="00D51DF4">
        <w:tc>
          <w:tcPr>
            <w:tcW w:w="4248" w:type="dxa"/>
          </w:tcPr>
          <w:p w14:paraId="24F2EE71" w14:textId="77777777" w:rsidR="00D860D8" w:rsidRPr="003743BE" w:rsidRDefault="00D860D8" w:rsidP="00D51DF4">
            <w:pPr>
              <w:pStyle w:val="ListParagraph"/>
              <w:jc w:val="right"/>
              <w:rPr>
                <w:rFonts w:ascii="Arial" w:hAnsi="Arial" w:cs="Arial"/>
                <w:sz w:val="20"/>
                <w:szCs w:val="20"/>
              </w:rPr>
            </w:pPr>
            <w:r w:rsidRPr="003743BE">
              <w:rPr>
                <w:rFonts w:ascii="Arial" w:hAnsi="Arial" w:cs="Arial"/>
                <w:sz w:val="20"/>
                <w:szCs w:val="20"/>
              </w:rPr>
              <w:t>&gt;85 years</w:t>
            </w:r>
          </w:p>
        </w:tc>
        <w:tc>
          <w:tcPr>
            <w:tcW w:w="1589" w:type="dxa"/>
          </w:tcPr>
          <w:p w14:paraId="16B21E39"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785 (12.4)</w:t>
            </w:r>
          </w:p>
        </w:tc>
        <w:tc>
          <w:tcPr>
            <w:tcW w:w="1589" w:type="dxa"/>
          </w:tcPr>
          <w:p w14:paraId="4A3E3AE3"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207 (13.8)</w:t>
            </w:r>
          </w:p>
        </w:tc>
        <w:tc>
          <w:tcPr>
            <w:tcW w:w="1590" w:type="dxa"/>
          </w:tcPr>
          <w:p w14:paraId="5065E98F" w14:textId="77777777" w:rsidR="00D860D8" w:rsidRPr="003743BE" w:rsidRDefault="00D860D8" w:rsidP="00D51DF4">
            <w:pPr>
              <w:jc w:val="center"/>
              <w:rPr>
                <w:rFonts w:ascii="Arial" w:hAnsi="Arial" w:cs="Arial"/>
                <w:sz w:val="20"/>
                <w:szCs w:val="20"/>
              </w:rPr>
            </w:pPr>
            <w:r w:rsidRPr="003743BE">
              <w:rPr>
                <w:rFonts w:ascii="Arial" w:hAnsi="Arial" w:cs="Arial"/>
                <w:sz w:val="20"/>
                <w:szCs w:val="20"/>
              </w:rPr>
              <w:t>992 (12.7)</w:t>
            </w:r>
          </w:p>
        </w:tc>
      </w:tr>
      <w:tr w:rsidR="00D860D8" w14:paraId="178DA23E" w14:textId="77777777" w:rsidTr="00D51DF4">
        <w:tc>
          <w:tcPr>
            <w:tcW w:w="4248" w:type="dxa"/>
          </w:tcPr>
          <w:p w14:paraId="43B895F5" w14:textId="77777777" w:rsidR="00D860D8" w:rsidRPr="003743BE" w:rsidRDefault="00D860D8" w:rsidP="00D51DF4">
            <w:pPr>
              <w:rPr>
                <w:rFonts w:ascii="Arial" w:hAnsi="Arial" w:cs="Arial"/>
                <w:sz w:val="20"/>
                <w:szCs w:val="20"/>
              </w:rPr>
            </w:pPr>
            <w:r w:rsidRPr="003743BE">
              <w:rPr>
                <w:rFonts w:ascii="Arial" w:hAnsi="Arial" w:cs="Arial"/>
                <w:sz w:val="20"/>
                <w:szCs w:val="20"/>
              </w:rPr>
              <w:t>Number of cases by topographic site</w:t>
            </w:r>
          </w:p>
        </w:tc>
        <w:tc>
          <w:tcPr>
            <w:tcW w:w="1589" w:type="dxa"/>
          </w:tcPr>
          <w:p w14:paraId="1B5DAAF4" w14:textId="77777777" w:rsidR="00D860D8" w:rsidRPr="003743BE" w:rsidRDefault="00D860D8" w:rsidP="00D51DF4">
            <w:pPr>
              <w:jc w:val="center"/>
              <w:rPr>
                <w:rFonts w:ascii="Arial" w:hAnsi="Arial" w:cs="Arial"/>
                <w:sz w:val="20"/>
                <w:szCs w:val="20"/>
              </w:rPr>
            </w:pPr>
          </w:p>
        </w:tc>
        <w:tc>
          <w:tcPr>
            <w:tcW w:w="1589" w:type="dxa"/>
          </w:tcPr>
          <w:p w14:paraId="73740909" w14:textId="77777777" w:rsidR="00D860D8" w:rsidRPr="003743BE" w:rsidRDefault="00D860D8" w:rsidP="00D51DF4">
            <w:pPr>
              <w:jc w:val="center"/>
              <w:rPr>
                <w:rFonts w:ascii="Arial" w:hAnsi="Arial" w:cs="Arial"/>
                <w:sz w:val="20"/>
                <w:szCs w:val="20"/>
              </w:rPr>
            </w:pPr>
          </w:p>
        </w:tc>
        <w:tc>
          <w:tcPr>
            <w:tcW w:w="1590" w:type="dxa"/>
          </w:tcPr>
          <w:p w14:paraId="458B9987" w14:textId="77777777" w:rsidR="00D860D8" w:rsidRPr="003743BE" w:rsidRDefault="00D860D8" w:rsidP="00D51DF4">
            <w:pPr>
              <w:jc w:val="center"/>
              <w:rPr>
                <w:rFonts w:ascii="Arial" w:hAnsi="Arial" w:cs="Arial"/>
                <w:sz w:val="20"/>
                <w:szCs w:val="20"/>
              </w:rPr>
            </w:pPr>
          </w:p>
        </w:tc>
      </w:tr>
      <w:tr w:rsidR="00D860D8" w14:paraId="35218AC6" w14:textId="77777777" w:rsidTr="00D51DF4">
        <w:tc>
          <w:tcPr>
            <w:tcW w:w="4248" w:type="dxa"/>
          </w:tcPr>
          <w:p w14:paraId="2F95E1F7" w14:textId="77777777" w:rsidR="00D860D8" w:rsidRPr="003743BE" w:rsidRDefault="00D860D8" w:rsidP="00D51DF4">
            <w:pPr>
              <w:jc w:val="right"/>
              <w:rPr>
                <w:rFonts w:ascii="Arial" w:hAnsi="Arial" w:cs="Arial"/>
                <w:sz w:val="20"/>
                <w:szCs w:val="20"/>
              </w:rPr>
            </w:pPr>
            <w:r w:rsidRPr="003743BE">
              <w:rPr>
                <w:rFonts w:ascii="Arial" w:hAnsi="Arial" w:cs="Arial"/>
                <w:sz w:val="20"/>
                <w:szCs w:val="20"/>
              </w:rPr>
              <w:t>Pleura NOS</w:t>
            </w:r>
          </w:p>
        </w:tc>
        <w:tc>
          <w:tcPr>
            <w:tcW w:w="1589" w:type="dxa"/>
          </w:tcPr>
          <w:p w14:paraId="240A9879" w14:textId="77777777" w:rsidR="00D860D8" w:rsidRPr="003743BE" w:rsidRDefault="00D860D8" w:rsidP="00D51DF4">
            <w:pPr>
              <w:jc w:val="center"/>
              <w:rPr>
                <w:rFonts w:ascii="Arial" w:hAnsi="Arial" w:cs="Arial"/>
                <w:sz w:val="20"/>
                <w:szCs w:val="20"/>
              </w:rPr>
            </w:pPr>
            <w:r>
              <w:rPr>
                <w:rFonts w:ascii="Arial" w:hAnsi="Arial" w:cs="Arial"/>
                <w:sz w:val="20"/>
                <w:szCs w:val="20"/>
              </w:rPr>
              <w:t>5994 (94.7)</w:t>
            </w:r>
          </w:p>
        </w:tc>
        <w:tc>
          <w:tcPr>
            <w:tcW w:w="1589" w:type="dxa"/>
          </w:tcPr>
          <w:p w14:paraId="45882855" w14:textId="77777777" w:rsidR="00D860D8" w:rsidRPr="003743BE" w:rsidRDefault="00D860D8" w:rsidP="00D51DF4">
            <w:pPr>
              <w:jc w:val="center"/>
              <w:rPr>
                <w:rFonts w:ascii="Arial" w:hAnsi="Arial" w:cs="Arial"/>
                <w:sz w:val="20"/>
                <w:szCs w:val="20"/>
              </w:rPr>
            </w:pPr>
            <w:r>
              <w:rPr>
                <w:rFonts w:ascii="Arial" w:hAnsi="Arial" w:cs="Arial"/>
                <w:sz w:val="20"/>
                <w:szCs w:val="20"/>
              </w:rPr>
              <w:t>1341 (89.5)</w:t>
            </w:r>
          </w:p>
        </w:tc>
        <w:tc>
          <w:tcPr>
            <w:tcW w:w="1590" w:type="dxa"/>
          </w:tcPr>
          <w:p w14:paraId="13801E92" w14:textId="77777777" w:rsidR="00D860D8" w:rsidRPr="003743BE" w:rsidRDefault="00D860D8" w:rsidP="00D51DF4">
            <w:pPr>
              <w:jc w:val="center"/>
              <w:rPr>
                <w:rFonts w:ascii="Arial" w:hAnsi="Arial" w:cs="Arial"/>
                <w:sz w:val="20"/>
                <w:szCs w:val="20"/>
              </w:rPr>
            </w:pPr>
            <w:r>
              <w:rPr>
                <w:rFonts w:ascii="Arial" w:hAnsi="Arial" w:cs="Arial"/>
                <w:sz w:val="20"/>
                <w:szCs w:val="20"/>
              </w:rPr>
              <w:t>7335 (93.7)</w:t>
            </w:r>
          </w:p>
        </w:tc>
      </w:tr>
      <w:tr w:rsidR="00D860D8" w14:paraId="4BBA07E8" w14:textId="77777777" w:rsidTr="00D51DF4">
        <w:tc>
          <w:tcPr>
            <w:tcW w:w="4248" w:type="dxa"/>
          </w:tcPr>
          <w:p w14:paraId="62D5AF8F" w14:textId="77777777" w:rsidR="00D860D8" w:rsidRPr="003743BE" w:rsidRDefault="00D860D8" w:rsidP="00D51DF4">
            <w:pPr>
              <w:jc w:val="right"/>
              <w:rPr>
                <w:rFonts w:ascii="Arial" w:hAnsi="Arial" w:cs="Arial"/>
                <w:sz w:val="20"/>
                <w:szCs w:val="20"/>
              </w:rPr>
            </w:pPr>
            <w:r w:rsidRPr="003743BE">
              <w:rPr>
                <w:rFonts w:ascii="Arial" w:hAnsi="Arial" w:cs="Arial"/>
                <w:sz w:val="20"/>
                <w:szCs w:val="20"/>
              </w:rPr>
              <w:t>Peritoneum NOS</w:t>
            </w:r>
          </w:p>
        </w:tc>
        <w:tc>
          <w:tcPr>
            <w:tcW w:w="1589" w:type="dxa"/>
          </w:tcPr>
          <w:p w14:paraId="3ABCF4CA" w14:textId="77777777" w:rsidR="00D860D8" w:rsidRPr="003743BE" w:rsidRDefault="00D860D8" w:rsidP="00D51DF4">
            <w:pPr>
              <w:jc w:val="center"/>
              <w:rPr>
                <w:rFonts w:ascii="Arial" w:hAnsi="Arial" w:cs="Arial"/>
                <w:sz w:val="20"/>
                <w:szCs w:val="20"/>
              </w:rPr>
            </w:pPr>
            <w:r>
              <w:rPr>
                <w:rFonts w:ascii="Arial" w:hAnsi="Arial" w:cs="Arial"/>
                <w:sz w:val="20"/>
                <w:szCs w:val="20"/>
              </w:rPr>
              <w:t>212 (3.4)</w:t>
            </w:r>
          </w:p>
        </w:tc>
        <w:tc>
          <w:tcPr>
            <w:tcW w:w="1589" w:type="dxa"/>
          </w:tcPr>
          <w:p w14:paraId="7E07BC2D" w14:textId="77777777" w:rsidR="00D860D8" w:rsidRPr="003743BE" w:rsidRDefault="00D860D8" w:rsidP="00D51DF4">
            <w:pPr>
              <w:jc w:val="center"/>
              <w:rPr>
                <w:rFonts w:ascii="Arial" w:hAnsi="Arial" w:cs="Arial"/>
                <w:sz w:val="20"/>
                <w:szCs w:val="20"/>
              </w:rPr>
            </w:pPr>
            <w:r>
              <w:rPr>
                <w:rFonts w:ascii="Arial" w:hAnsi="Arial" w:cs="Arial"/>
                <w:sz w:val="20"/>
                <w:szCs w:val="20"/>
              </w:rPr>
              <w:t>109 (7.3)</w:t>
            </w:r>
          </w:p>
        </w:tc>
        <w:tc>
          <w:tcPr>
            <w:tcW w:w="1590" w:type="dxa"/>
          </w:tcPr>
          <w:p w14:paraId="09CAFF8A" w14:textId="77777777" w:rsidR="00D860D8" w:rsidRPr="003743BE" w:rsidRDefault="00D860D8" w:rsidP="00D51DF4">
            <w:pPr>
              <w:jc w:val="center"/>
              <w:rPr>
                <w:rFonts w:ascii="Arial" w:hAnsi="Arial" w:cs="Arial"/>
                <w:sz w:val="20"/>
                <w:szCs w:val="20"/>
              </w:rPr>
            </w:pPr>
            <w:r>
              <w:rPr>
                <w:rFonts w:ascii="Arial" w:hAnsi="Arial" w:cs="Arial"/>
                <w:sz w:val="20"/>
                <w:szCs w:val="20"/>
              </w:rPr>
              <w:t>321 (4.1)</w:t>
            </w:r>
          </w:p>
        </w:tc>
      </w:tr>
      <w:tr w:rsidR="00D860D8" w14:paraId="4390494F" w14:textId="77777777" w:rsidTr="00D51DF4">
        <w:tc>
          <w:tcPr>
            <w:tcW w:w="4248" w:type="dxa"/>
          </w:tcPr>
          <w:p w14:paraId="3ACE20A7" w14:textId="77777777" w:rsidR="00D860D8" w:rsidRPr="003743BE" w:rsidRDefault="00D860D8" w:rsidP="00D51DF4">
            <w:pPr>
              <w:jc w:val="right"/>
              <w:rPr>
                <w:rFonts w:ascii="Arial" w:hAnsi="Arial" w:cs="Arial"/>
                <w:sz w:val="20"/>
                <w:szCs w:val="20"/>
              </w:rPr>
            </w:pPr>
            <w:r w:rsidRPr="003743BE">
              <w:rPr>
                <w:rFonts w:ascii="Arial" w:hAnsi="Arial" w:cs="Arial"/>
                <w:sz w:val="20"/>
                <w:szCs w:val="20"/>
              </w:rPr>
              <w:t>Specific parts of the peritoneum</w:t>
            </w:r>
          </w:p>
        </w:tc>
        <w:tc>
          <w:tcPr>
            <w:tcW w:w="1589" w:type="dxa"/>
          </w:tcPr>
          <w:p w14:paraId="10C78A8D" w14:textId="77777777" w:rsidR="00D860D8" w:rsidRPr="003743BE" w:rsidRDefault="00D860D8" w:rsidP="00D51DF4">
            <w:pPr>
              <w:jc w:val="center"/>
              <w:rPr>
                <w:rFonts w:ascii="Arial" w:hAnsi="Arial" w:cs="Arial"/>
                <w:sz w:val="20"/>
                <w:szCs w:val="20"/>
              </w:rPr>
            </w:pPr>
            <w:r>
              <w:rPr>
                <w:rFonts w:ascii="Arial" w:hAnsi="Arial" w:cs="Arial"/>
                <w:sz w:val="20"/>
                <w:szCs w:val="20"/>
              </w:rPr>
              <w:t>73 (1.2)</w:t>
            </w:r>
          </w:p>
        </w:tc>
        <w:tc>
          <w:tcPr>
            <w:tcW w:w="1589" w:type="dxa"/>
          </w:tcPr>
          <w:p w14:paraId="521AFB91" w14:textId="77777777" w:rsidR="00D860D8" w:rsidRPr="003743BE" w:rsidRDefault="00D860D8" w:rsidP="00D51DF4">
            <w:pPr>
              <w:jc w:val="center"/>
              <w:rPr>
                <w:rFonts w:ascii="Arial" w:hAnsi="Arial" w:cs="Arial"/>
                <w:sz w:val="20"/>
                <w:szCs w:val="20"/>
              </w:rPr>
            </w:pPr>
            <w:r>
              <w:rPr>
                <w:rFonts w:ascii="Arial" w:hAnsi="Arial" w:cs="Arial"/>
                <w:sz w:val="20"/>
                <w:szCs w:val="20"/>
              </w:rPr>
              <w:t>37 (2.5)</w:t>
            </w:r>
          </w:p>
        </w:tc>
        <w:tc>
          <w:tcPr>
            <w:tcW w:w="1590" w:type="dxa"/>
          </w:tcPr>
          <w:p w14:paraId="7031DA4A" w14:textId="77777777" w:rsidR="00D860D8" w:rsidRPr="003743BE" w:rsidRDefault="00D860D8" w:rsidP="00D51DF4">
            <w:pPr>
              <w:jc w:val="center"/>
              <w:rPr>
                <w:rFonts w:ascii="Arial" w:hAnsi="Arial" w:cs="Arial"/>
                <w:sz w:val="20"/>
                <w:szCs w:val="20"/>
              </w:rPr>
            </w:pPr>
            <w:r>
              <w:rPr>
                <w:rFonts w:ascii="Arial" w:hAnsi="Arial" w:cs="Arial"/>
                <w:sz w:val="20"/>
                <w:szCs w:val="20"/>
              </w:rPr>
              <w:t>110 (1.4)</w:t>
            </w:r>
          </w:p>
        </w:tc>
      </w:tr>
      <w:tr w:rsidR="00D860D8" w14:paraId="09043DD5" w14:textId="77777777" w:rsidTr="00D51DF4">
        <w:tc>
          <w:tcPr>
            <w:tcW w:w="4248" w:type="dxa"/>
          </w:tcPr>
          <w:p w14:paraId="1159426E" w14:textId="77777777" w:rsidR="00D860D8" w:rsidRPr="003743BE" w:rsidRDefault="00D860D8" w:rsidP="00D51DF4">
            <w:pPr>
              <w:jc w:val="right"/>
              <w:rPr>
                <w:rFonts w:ascii="Arial" w:hAnsi="Arial" w:cs="Arial"/>
                <w:sz w:val="20"/>
                <w:szCs w:val="20"/>
              </w:rPr>
            </w:pPr>
            <w:r w:rsidRPr="003743BE">
              <w:rPr>
                <w:rFonts w:ascii="Arial" w:hAnsi="Arial" w:cs="Arial"/>
                <w:sz w:val="20"/>
                <w:szCs w:val="20"/>
              </w:rPr>
              <w:t>Other /unknown primary site</w:t>
            </w:r>
          </w:p>
        </w:tc>
        <w:tc>
          <w:tcPr>
            <w:tcW w:w="1589" w:type="dxa"/>
          </w:tcPr>
          <w:p w14:paraId="28562A90" w14:textId="77777777" w:rsidR="00D860D8" w:rsidRPr="003743BE" w:rsidRDefault="00D860D8" w:rsidP="00D51DF4">
            <w:pPr>
              <w:jc w:val="center"/>
              <w:rPr>
                <w:rFonts w:ascii="Arial" w:hAnsi="Arial" w:cs="Arial"/>
                <w:sz w:val="20"/>
                <w:szCs w:val="20"/>
              </w:rPr>
            </w:pPr>
            <w:r>
              <w:rPr>
                <w:rFonts w:ascii="Arial" w:hAnsi="Arial" w:cs="Arial"/>
                <w:sz w:val="20"/>
                <w:szCs w:val="20"/>
              </w:rPr>
              <w:t>15 (0.2)</w:t>
            </w:r>
          </w:p>
        </w:tc>
        <w:tc>
          <w:tcPr>
            <w:tcW w:w="1589" w:type="dxa"/>
          </w:tcPr>
          <w:p w14:paraId="0CAB9D6C" w14:textId="77777777" w:rsidR="00D860D8" w:rsidRPr="003743BE" w:rsidRDefault="00D860D8" w:rsidP="00D51DF4">
            <w:pPr>
              <w:jc w:val="center"/>
              <w:rPr>
                <w:rFonts w:ascii="Arial" w:hAnsi="Arial" w:cs="Arial"/>
                <w:sz w:val="20"/>
                <w:szCs w:val="20"/>
              </w:rPr>
            </w:pPr>
            <w:r>
              <w:rPr>
                <w:rFonts w:ascii="Arial" w:hAnsi="Arial" w:cs="Arial"/>
                <w:sz w:val="20"/>
                <w:szCs w:val="20"/>
              </w:rPr>
              <w:t>3 (0.2)</w:t>
            </w:r>
          </w:p>
        </w:tc>
        <w:tc>
          <w:tcPr>
            <w:tcW w:w="1590" w:type="dxa"/>
          </w:tcPr>
          <w:p w14:paraId="2EC2FA2C" w14:textId="77777777" w:rsidR="00D860D8" w:rsidRPr="003743BE" w:rsidRDefault="00D860D8" w:rsidP="00D51DF4">
            <w:pPr>
              <w:jc w:val="center"/>
              <w:rPr>
                <w:rFonts w:ascii="Arial" w:hAnsi="Arial" w:cs="Arial"/>
                <w:sz w:val="20"/>
                <w:szCs w:val="20"/>
              </w:rPr>
            </w:pPr>
            <w:r>
              <w:rPr>
                <w:rFonts w:ascii="Arial" w:hAnsi="Arial" w:cs="Arial"/>
                <w:sz w:val="20"/>
                <w:szCs w:val="20"/>
              </w:rPr>
              <w:t>18 (0.2)</w:t>
            </w:r>
          </w:p>
        </w:tc>
      </w:tr>
      <w:tr w:rsidR="00D860D8" w14:paraId="68054320" w14:textId="77777777" w:rsidTr="00D51DF4">
        <w:tc>
          <w:tcPr>
            <w:tcW w:w="4248" w:type="dxa"/>
          </w:tcPr>
          <w:p w14:paraId="02C4D1AD" w14:textId="77777777" w:rsidR="00D860D8" w:rsidRPr="003743BE" w:rsidRDefault="00D860D8" w:rsidP="00D51DF4">
            <w:pPr>
              <w:jc w:val="right"/>
              <w:rPr>
                <w:rFonts w:ascii="Arial" w:hAnsi="Arial" w:cs="Arial"/>
                <w:sz w:val="20"/>
                <w:szCs w:val="20"/>
              </w:rPr>
            </w:pPr>
            <w:r w:rsidRPr="003743BE">
              <w:rPr>
                <w:rFonts w:ascii="Arial" w:hAnsi="Arial" w:cs="Arial"/>
                <w:sz w:val="20"/>
                <w:szCs w:val="20"/>
              </w:rPr>
              <w:t>Tunica vaginalis</w:t>
            </w:r>
          </w:p>
        </w:tc>
        <w:tc>
          <w:tcPr>
            <w:tcW w:w="1589" w:type="dxa"/>
          </w:tcPr>
          <w:p w14:paraId="53AC7D4A" w14:textId="77777777" w:rsidR="00D860D8" w:rsidRPr="003743BE" w:rsidRDefault="00D860D8" w:rsidP="00D51DF4">
            <w:pPr>
              <w:jc w:val="center"/>
              <w:rPr>
                <w:rFonts w:ascii="Arial" w:hAnsi="Arial" w:cs="Arial"/>
                <w:sz w:val="20"/>
                <w:szCs w:val="20"/>
              </w:rPr>
            </w:pPr>
            <w:r>
              <w:rPr>
                <w:rFonts w:ascii="Arial" w:hAnsi="Arial" w:cs="Arial"/>
                <w:sz w:val="20"/>
                <w:szCs w:val="20"/>
              </w:rPr>
              <w:t>15 (0.2)</w:t>
            </w:r>
          </w:p>
        </w:tc>
        <w:tc>
          <w:tcPr>
            <w:tcW w:w="1589" w:type="dxa"/>
          </w:tcPr>
          <w:p w14:paraId="1B4F5681" w14:textId="77777777" w:rsidR="00D860D8" w:rsidRPr="003743BE" w:rsidRDefault="00D860D8" w:rsidP="00D51DF4">
            <w:pPr>
              <w:jc w:val="center"/>
              <w:rPr>
                <w:rFonts w:ascii="Arial" w:hAnsi="Arial" w:cs="Arial"/>
                <w:sz w:val="20"/>
                <w:szCs w:val="20"/>
              </w:rPr>
            </w:pPr>
            <w:r>
              <w:rPr>
                <w:rFonts w:ascii="Arial" w:hAnsi="Arial" w:cs="Arial"/>
                <w:sz w:val="20"/>
                <w:szCs w:val="20"/>
              </w:rPr>
              <w:t>-</w:t>
            </w:r>
          </w:p>
        </w:tc>
        <w:tc>
          <w:tcPr>
            <w:tcW w:w="1590" w:type="dxa"/>
          </w:tcPr>
          <w:p w14:paraId="4DB65C71" w14:textId="77777777" w:rsidR="00D860D8" w:rsidRPr="003743BE" w:rsidRDefault="00D860D8" w:rsidP="00D51DF4">
            <w:pPr>
              <w:jc w:val="center"/>
              <w:rPr>
                <w:rFonts w:ascii="Arial" w:hAnsi="Arial" w:cs="Arial"/>
                <w:sz w:val="20"/>
                <w:szCs w:val="20"/>
              </w:rPr>
            </w:pPr>
            <w:r>
              <w:rPr>
                <w:rFonts w:ascii="Arial" w:hAnsi="Arial" w:cs="Arial"/>
                <w:sz w:val="20"/>
                <w:szCs w:val="20"/>
              </w:rPr>
              <w:t>15 (0.2)</w:t>
            </w:r>
          </w:p>
        </w:tc>
      </w:tr>
      <w:tr w:rsidR="00D860D8" w14:paraId="0FE3044F" w14:textId="77777777" w:rsidTr="00D51DF4">
        <w:tc>
          <w:tcPr>
            <w:tcW w:w="4248" w:type="dxa"/>
          </w:tcPr>
          <w:p w14:paraId="2CED07EE" w14:textId="77777777" w:rsidR="00D860D8" w:rsidRPr="003743BE" w:rsidRDefault="00D860D8" w:rsidP="00D51DF4">
            <w:pPr>
              <w:jc w:val="right"/>
              <w:rPr>
                <w:rFonts w:ascii="Arial" w:hAnsi="Arial" w:cs="Arial"/>
                <w:sz w:val="20"/>
                <w:szCs w:val="20"/>
              </w:rPr>
            </w:pPr>
            <w:r w:rsidRPr="003743BE">
              <w:rPr>
                <w:rFonts w:ascii="Arial" w:hAnsi="Arial" w:cs="Arial"/>
                <w:sz w:val="20"/>
                <w:szCs w:val="20"/>
              </w:rPr>
              <w:t>Pericardium</w:t>
            </w:r>
          </w:p>
        </w:tc>
        <w:tc>
          <w:tcPr>
            <w:tcW w:w="1589" w:type="dxa"/>
          </w:tcPr>
          <w:p w14:paraId="1C55FF1E" w14:textId="77777777" w:rsidR="00D860D8" w:rsidRPr="003743BE" w:rsidRDefault="00D860D8" w:rsidP="00D51DF4">
            <w:pPr>
              <w:jc w:val="center"/>
              <w:rPr>
                <w:rFonts w:ascii="Arial" w:hAnsi="Arial" w:cs="Arial"/>
                <w:sz w:val="20"/>
                <w:szCs w:val="20"/>
              </w:rPr>
            </w:pPr>
            <w:r>
              <w:rPr>
                <w:rFonts w:ascii="Arial" w:hAnsi="Arial" w:cs="Arial"/>
                <w:sz w:val="20"/>
                <w:szCs w:val="20"/>
              </w:rPr>
              <w:t>7 (0.1)</w:t>
            </w:r>
          </w:p>
        </w:tc>
        <w:tc>
          <w:tcPr>
            <w:tcW w:w="1589" w:type="dxa"/>
          </w:tcPr>
          <w:p w14:paraId="2A28EA95" w14:textId="77777777" w:rsidR="00D860D8" w:rsidRPr="003743BE" w:rsidRDefault="00D860D8" w:rsidP="00D51DF4">
            <w:pPr>
              <w:jc w:val="center"/>
              <w:rPr>
                <w:rFonts w:ascii="Arial" w:hAnsi="Arial" w:cs="Arial"/>
                <w:sz w:val="20"/>
                <w:szCs w:val="20"/>
              </w:rPr>
            </w:pPr>
            <w:r>
              <w:rPr>
                <w:rFonts w:ascii="Arial" w:hAnsi="Arial" w:cs="Arial"/>
                <w:sz w:val="20"/>
                <w:szCs w:val="20"/>
              </w:rPr>
              <w:t>4 (0.3)</w:t>
            </w:r>
          </w:p>
        </w:tc>
        <w:tc>
          <w:tcPr>
            <w:tcW w:w="1590" w:type="dxa"/>
          </w:tcPr>
          <w:p w14:paraId="7EBC10F2" w14:textId="77777777" w:rsidR="00D860D8" w:rsidRPr="003743BE" w:rsidRDefault="00D860D8" w:rsidP="00D51DF4">
            <w:pPr>
              <w:jc w:val="center"/>
              <w:rPr>
                <w:rFonts w:ascii="Arial" w:hAnsi="Arial" w:cs="Arial"/>
                <w:sz w:val="20"/>
                <w:szCs w:val="20"/>
              </w:rPr>
            </w:pPr>
            <w:r>
              <w:rPr>
                <w:rFonts w:ascii="Arial" w:hAnsi="Arial" w:cs="Arial"/>
                <w:sz w:val="20"/>
                <w:szCs w:val="20"/>
              </w:rPr>
              <w:t>11 (0.1)</w:t>
            </w:r>
          </w:p>
        </w:tc>
      </w:tr>
      <w:tr w:rsidR="00D860D8" w14:paraId="73767784" w14:textId="77777777" w:rsidTr="00D51DF4">
        <w:tc>
          <w:tcPr>
            <w:tcW w:w="4248" w:type="dxa"/>
          </w:tcPr>
          <w:p w14:paraId="13290FDC" w14:textId="77777777" w:rsidR="00D860D8" w:rsidRPr="003743BE" w:rsidRDefault="00D860D8" w:rsidP="00D51DF4">
            <w:pPr>
              <w:jc w:val="right"/>
              <w:rPr>
                <w:rFonts w:ascii="Arial" w:hAnsi="Arial" w:cs="Arial"/>
                <w:sz w:val="20"/>
                <w:szCs w:val="20"/>
              </w:rPr>
            </w:pPr>
            <w:r w:rsidRPr="003743BE">
              <w:rPr>
                <w:rFonts w:ascii="Arial" w:hAnsi="Arial" w:cs="Arial"/>
                <w:sz w:val="20"/>
                <w:szCs w:val="20"/>
              </w:rPr>
              <w:t>Overlapping lesion of the retroperitoneum</w:t>
            </w:r>
          </w:p>
        </w:tc>
        <w:tc>
          <w:tcPr>
            <w:tcW w:w="1589" w:type="dxa"/>
          </w:tcPr>
          <w:p w14:paraId="29523780" w14:textId="77777777" w:rsidR="00D860D8" w:rsidRPr="003743BE" w:rsidRDefault="00D860D8" w:rsidP="00D51DF4">
            <w:pPr>
              <w:jc w:val="center"/>
              <w:rPr>
                <w:rFonts w:ascii="Arial" w:hAnsi="Arial" w:cs="Arial"/>
                <w:sz w:val="20"/>
                <w:szCs w:val="20"/>
              </w:rPr>
            </w:pPr>
            <w:r>
              <w:rPr>
                <w:rFonts w:ascii="Arial" w:hAnsi="Arial" w:cs="Arial"/>
                <w:sz w:val="20"/>
                <w:szCs w:val="20"/>
              </w:rPr>
              <w:t>6 (0.1)</w:t>
            </w:r>
          </w:p>
        </w:tc>
        <w:tc>
          <w:tcPr>
            <w:tcW w:w="1589" w:type="dxa"/>
          </w:tcPr>
          <w:p w14:paraId="5227F567" w14:textId="77777777" w:rsidR="00D860D8" w:rsidRPr="003743BE" w:rsidRDefault="00D860D8" w:rsidP="00D51DF4">
            <w:pPr>
              <w:jc w:val="center"/>
              <w:rPr>
                <w:rFonts w:ascii="Arial" w:hAnsi="Arial" w:cs="Arial"/>
                <w:sz w:val="20"/>
                <w:szCs w:val="20"/>
              </w:rPr>
            </w:pPr>
            <w:r>
              <w:rPr>
                <w:rFonts w:ascii="Arial" w:hAnsi="Arial" w:cs="Arial"/>
                <w:sz w:val="20"/>
                <w:szCs w:val="20"/>
              </w:rPr>
              <w:t>2 (0.1)</w:t>
            </w:r>
          </w:p>
        </w:tc>
        <w:tc>
          <w:tcPr>
            <w:tcW w:w="1590" w:type="dxa"/>
          </w:tcPr>
          <w:p w14:paraId="61FE4A55" w14:textId="77777777" w:rsidR="00D860D8" w:rsidRPr="003743BE" w:rsidRDefault="00D860D8" w:rsidP="00D51DF4">
            <w:pPr>
              <w:jc w:val="center"/>
              <w:rPr>
                <w:rFonts w:ascii="Arial" w:hAnsi="Arial" w:cs="Arial"/>
                <w:sz w:val="20"/>
                <w:szCs w:val="20"/>
              </w:rPr>
            </w:pPr>
            <w:r>
              <w:rPr>
                <w:rFonts w:ascii="Arial" w:hAnsi="Arial" w:cs="Arial"/>
                <w:sz w:val="20"/>
                <w:szCs w:val="20"/>
              </w:rPr>
              <w:t>8 (0.1)</w:t>
            </w:r>
          </w:p>
        </w:tc>
      </w:tr>
      <w:tr w:rsidR="00D860D8" w14:paraId="07F54941" w14:textId="77777777" w:rsidTr="00D51DF4">
        <w:tc>
          <w:tcPr>
            <w:tcW w:w="4248" w:type="dxa"/>
          </w:tcPr>
          <w:p w14:paraId="22D3FE96" w14:textId="77777777" w:rsidR="00D860D8" w:rsidRPr="003743BE" w:rsidRDefault="00D860D8" w:rsidP="00D51DF4">
            <w:pPr>
              <w:jc w:val="right"/>
              <w:rPr>
                <w:rFonts w:ascii="Arial" w:hAnsi="Arial" w:cs="Arial"/>
                <w:sz w:val="20"/>
                <w:szCs w:val="20"/>
              </w:rPr>
            </w:pPr>
            <w:r>
              <w:rPr>
                <w:rFonts w:ascii="Arial" w:hAnsi="Arial" w:cs="Arial"/>
                <w:sz w:val="20"/>
                <w:szCs w:val="20"/>
              </w:rPr>
              <w:t>Mediastinum NOS</w:t>
            </w:r>
          </w:p>
        </w:tc>
        <w:tc>
          <w:tcPr>
            <w:tcW w:w="1589" w:type="dxa"/>
          </w:tcPr>
          <w:p w14:paraId="39DA8F3E" w14:textId="77777777" w:rsidR="00D860D8" w:rsidRPr="003743BE" w:rsidRDefault="00D860D8" w:rsidP="00D51DF4">
            <w:pPr>
              <w:jc w:val="center"/>
              <w:rPr>
                <w:rFonts w:ascii="Arial" w:hAnsi="Arial" w:cs="Arial"/>
                <w:sz w:val="20"/>
                <w:szCs w:val="20"/>
              </w:rPr>
            </w:pPr>
            <w:r>
              <w:rPr>
                <w:rFonts w:ascii="Arial" w:hAnsi="Arial" w:cs="Arial"/>
                <w:sz w:val="20"/>
                <w:szCs w:val="20"/>
              </w:rPr>
              <w:t>5 (0.1)</w:t>
            </w:r>
          </w:p>
        </w:tc>
        <w:tc>
          <w:tcPr>
            <w:tcW w:w="1589" w:type="dxa"/>
          </w:tcPr>
          <w:p w14:paraId="10B613B2" w14:textId="77777777" w:rsidR="00D860D8" w:rsidRPr="003743BE" w:rsidRDefault="00D860D8" w:rsidP="00D51DF4">
            <w:pPr>
              <w:jc w:val="center"/>
              <w:rPr>
                <w:rFonts w:ascii="Arial" w:hAnsi="Arial" w:cs="Arial"/>
                <w:sz w:val="20"/>
                <w:szCs w:val="20"/>
              </w:rPr>
            </w:pPr>
            <w:r>
              <w:rPr>
                <w:rFonts w:ascii="Arial" w:hAnsi="Arial" w:cs="Arial"/>
                <w:sz w:val="20"/>
                <w:szCs w:val="20"/>
              </w:rPr>
              <w:t>2 (0.1)</w:t>
            </w:r>
          </w:p>
        </w:tc>
        <w:tc>
          <w:tcPr>
            <w:tcW w:w="1590" w:type="dxa"/>
          </w:tcPr>
          <w:p w14:paraId="341E42CC" w14:textId="77777777" w:rsidR="00D860D8" w:rsidRPr="003743BE" w:rsidRDefault="00D860D8" w:rsidP="00D51DF4">
            <w:pPr>
              <w:jc w:val="center"/>
              <w:rPr>
                <w:rFonts w:ascii="Arial" w:hAnsi="Arial" w:cs="Arial"/>
                <w:sz w:val="20"/>
                <w:szCs w:val="20"/>
              </w:rPr>
            </w:pPr>
            <w:r>
              <w:rPr>
                <w:rFonts w:ascii="Arial" w:hAnsi="Arial" w:cs="Arial"/>
                <w:sz w:val="20"/>
                <w:szCs w:val="20"/>
              </w:rPr>
              <w:t>7 (0.1)</w:t>
            </w:r>
          </w:p>
        </w:tc>
      </w:tr>
      <w:tr w:rsidR="00D860D8" w14:paraId="1F95B1CE" w14:textId="77777777" w:rsidTr="00D51DF4">
        <w:tc>
          <w:tcPr>
            <w:tcW w:w="4248" w:type="dxa"/>
          </w:tcPr>
          <w:p w14:paraId="6807FE7B" w14:textId="77777777" w:rsidR="00D860D8" w:rsidRPr="003743BE" w:rsidRDefault="00D860D8" w:rsidP="00D51DF4">
            <w:pPr>
              <w:jc w:val="right"/>
              <w:rPr>
                <w:rFonts w:ascii="Arial" w:hAnsi="Arial" w:cs="Arial"/>
                <w:sz w:val="20"/>
                <w:szCs w:val="20"/>
              </w:rPr>
            </w:pPr>
            <w:r>
              <w:rPr>
                <w:rFonts w:ascii="Arial" w:hAnsi="Arial" w:cs="Arial"/>
                <w:sz w:val="20"/>
                <w:szCs w:val="20"/>
              </w:rPr>
              <w:t>Malignant neoplasm of retroperitoneum and peritoneum</w:t>
            </w:r>
          </w:p>
        </w:tc>
        <w:tc>
          <w:tcPr>
            <w:tcW w:w="1589" w:type="dxa"/>
          </w:tcPr>
          <w:p w14:paraId="15BA938C" w14:textId="77777777" w:rsidR="00D860D8" w:rsidRPr="003743BE" w:rsidRDefault="00D860D8" w:rsidP="00D51DF4">
            <w:pPr>
              <w:jc w:val="center"/>
              <w:rPr>
                <w:rFonts w:ascii="Arial" w:hAnsi="Arial" w:cs="Arial"/>
                <w:sz w:val="20"/>
                <w:szCs w:val="20"/>
              </w:rPr>
            </w:pPr>
            <w:r>
              <w:rPr>
                <w:rFonts w:ascii="Arial" w:hAnsi="Arial" w:cs="Arial"/>
                <w:sz w:val="20"/>
                <w:szCs w:val="20"/>
              </w:rPr>
              <w:t>1 (0.0)</w:t>
            </w:r>
          </w:p>
        </w:tc>
        <w:tc>
          <w:tcPr>
            <w:tcW w:w="1589" w:type="dxa"/>
          </w:tcPr>
          <w:p w14:paraId="31BB13B0" w14:textId="77777777" w:rsidR="00D860D8" w:rsidRPr="003743BE" w:rsidRDefault="00D860D8" w:rsidP="00D51DF4">
            <w:pPr>
              <w:jc w:val="center"/>
              <w:rPr>
                <w:rFonts w:ascii="Arial" w:hAnsi="Arial" w:cs="Arial"/>
                <w:sz w:val="20"/>
                <w:szCs w:val="20"/>
              </w:rPr>
            </w:pPr>
            <w:r>
              <w:rPr>
                <w:rFonts w:ascii="Arial" w:hAnsi="Arial" w:cs="Arial"/>
                <w:sz w:val="20"/>
                <w:szCs w:val="20"/>
              </w:rPr>
              <w:t>0 (0.0)</w:t>
            </w:r>
          </w:p>
        </w:tc>
        <w:tc>
          <w:tcPr>
            <w:tcW w:w="1590" w:type="dxa"/>
          </w:tcPr>
          <w:p w14:paraId="70EF18C2" w14:textId="77777777" w:rsidR="00D860D8" w:rsidRPr="003743BE" w:rsidRDefault="00D860D8" w:rsidP="00D51DF4">
            <w:pPr>
              <w:jc w:val="center"/>
              <w:rPr>
                <w:rFonts w:ascii="Arial" w:hAnsi="Arial" w:cs="Arial"/>
                <w:sz w:val="20"/>
                <w:szCs w:val="20"/>
              </w:rPr>
            </w:pPr>
            <w:r>
              <w:rPr>
                <w:rFonts w:ascii="Arial" w:hAnsi="Arial" w:cs="Arial"/>
                <w:sz w:val="20"/>
                <w:szCs w:val="20"/>
              </w:rPr>
              <w:t>1 (0.0)</w:t>
            </w:r>
          </w:p>
        </w:tc>
      </w:tr>
      <w:tr w:rsidR="00D860D8" w14:paraId="2E267286" w14:textId="77777777" w:rsidTr="00D51DF4">
        <w:tc>
          <w:tcPr>
            <w:tcW w:w="4248" w:type="dxa"/>
          </w:tcPr>
          <w:p w14:paraId="4CD2F1E5" w14:textId="77777777" w:rsidR="00D860D8" w:rsidRPr="003743BE" w:rsidRDefault="00D860D8" w:rsidP="00D51DF4">
            <w:pPr>
              <w:rPr>
                <w:rFonts w:ascii="Arial" w:hAnsi="Arial" w:cs="Arial"/>
                <w:sz w:val="20"/>
                <w:szCs w:val="20"/>
              </w:rPr>
            </w:pPr>
            <w:r>
              <w:rPr>
                <w:rFonts w:ascii="Arial" w:hAnsi="Arial" w:cs="Arial"/>
                <w:sz w:val="20"/>
                <w:szCs w:val="20"/>
              </w:rPr>
              <w:t>Morphology</w:t>
            </w:r>
          </w:p>
        </w:tc>
        <w:tc>
          <w:tcPr>
            <w:tcW w:w="1589" w:type="dxa"/>
          </w:tcPr>
          <w:p w14:paraId="5396B1A9" w14:textId="77777777" w:rsidR="00D860D8" w:rsidRPr="003743BE" w:rsidRDefault="00D860D8" w:rsidP="00D51DF4">
            <w:pPr>
              <w:jc w:val="center"/>
              <w:rPr>
                <w:rFonts w:ascii="Arial" w:hAnsi="Arial" w:cs="Arial"/>
                <w:sz w:val="20"/>
                <w:szCs w:val="20"/>
              </w:rPr>
            </w:pPr>
          </w:p>
        </w:tc>
        <w:tc>
          <w:tcPr>
            <w:tcW w:w="1589" w:type="dxa"/>
          </w:tcPr>
          <w:p w14:paraId="572A8792" w14:textId="77777777" w:rsidR="00D860D8" w:rsidRPr="003743BE" w:rsidRDefault="00D860D8" w:rsidP="00D51DF4">
            <w:pPr>
              <w:jc w:val="center"/>
              <w:rPr>
                <w:rFonts w:ascii="Arial" w:hAnsi="Arial" w:cs="Arial"/>
                <w:sz w:val="20"/>
                <w:szCs w:val="20"/>
              </w:rPr>
            </w:pPr>
          </w:p>
        </w:tc>
        <w:tc>
          <w:tcPr>
            <w:tcW w:w="1590" w:type="dxa"/>
          </w:tcPr>
          <w:p w14:paraId="159FCA74" w14:textId="77777777" w:rsidR="00D860D8" w:rsidRPr="003743BE" w:rsidRDefault="00D860D8" w:rsidP="00D51DF4">
            <w:pPr>
              <w:jc w:val="center"/>
              <w:rPr>
                <w:rFonts w:ascii="Arial" w:hAnsi="Arial" w:cs="Arial"/>
                <w:sz w:val="20"/>
                <w:szCs w:val="20"/>
              </w:rPr>
            </w:pPr>
          </w:p>
        </w:tc>
      </w:tr>
      <w:tr w:rsidR="00D860D8" w14:paraId="070B0BA6" w14:textId="77777777" w:rsidTr="00D51DF4">
        <w:tc>
          <w:tcPr>
            <w:tcW w:w="4248" w:type="dxa"/>
          </w:tcPr>
          <w:p w14:paraId="140442DE" w14:textId="77777777" w:rsidR="00D860D8" w:rsidRPr="003743BE" w:rsidRDefault="00D860D8" w:rsidP="00D51DF4">
            <w:pPr>
              <w:jc w:val="right"/>
              <w:rPr>
                <w:rFonts w:ascii="Arial" w:hAnsi="Arial" w:cs="Arial"/>
                <w:sz w:val="20"/>
                <w:szCs w:val="20"/>
              </w:rPr>
            </w:pPr>
            <w:r>
              <w:rPr>
                <w:rFonts w:ascii="Arial" w:hAnsi="Arial" w:cs="Arial"/>
                <w:sz w:val="20"/>
                <w:szCs w:val="20"/>
              </w:rPr>
              <w:t>Epithelioid mesothelioma</w:t>
            </w:r>
          </w:p>
        </w:tc>
        <w:tc>
          <w:tcPr>
            <w:tcW w:w="1589" w:type="dxa"/>
          </w:tcPr>
          <w:p w14:paraId="0285FD5E" w14:textId="77777777" w:rsidR="00D860D8" w:rsidRPr="003743BE" w:rsidRDefault="00D860D8" w:rsidP="00D51DF4">
            <w:pPr>
              <w:jc w:val="center"/>
              <w:rPr>
                <w:rFonts w:ascii="Arial" w:hAnsi="Arial" w:cs="Arial"/>
                <w:sz w:val="20"/>
                <w:szCs w:val="20"/>
              </w:rPr>
            </w:pPr>
            <w:r>
              <w:rPr>
                <w:rFonts w:ascii="Arial" w:hAnsi="Arial" w:cs="Arial"/>
                <w:sz w:val="20"/>
                <w:szCs w:val="20"/>
              </w:rPr>
              <w:t>2893 (45.7)</w:t>
            </w:r>
          </w:p>
        </w:tc>
        <w:tc>
          <w:tcPr>
            <w:tcW w:w="1589" w:type="dxa"/>
          </w:tcPr>
          <w:p w14:paraId="6955B3E5" w14:textId="77777777" w:rsidR="00D860D8" w:rsidRPr="003743BE" w:rsidRDefault="00D860D8" w:rsidP="00D51DF4">
            <w:pPr>
              <w:jc w:val="center"/>
              <w:rPr>
                <w:rFonts w:ascii="Arial" w:hAnsi="Arial" w:cs="Arial"/>
                <w:sz w:val="20"/>
                <w:szCs w:val="20"/>
              </w:rPr>
            </w:pPr>
            <w:r>
              <w:rPr>
                <w:rFonts w:ascii="Arial" w:hAnsi="Arial" w:cs="Arial"/>
                <w:sz w:val="20"/>
                <w:szCs w:val="20"/>
              </w:rPr>
              <w:t>824 (55.0)</w:t>
            </w:r>
          </w:p>
        </w:tc>
        <w:tc>
          <w:tcPr>
            <w:tcW w:w="1590" w:type="dxa"/>
          </w:tcPr>
          <w:p w14:paraId="17E3539A" w14:textId="77777777" w:rsidR="00D860D8" w:rsidRPr="003743BE" w:rsidRDefault="00D860D8" w:rsidP="00D51DF4">
            <w:pPr>
              <w:jc w:val="center"/>
              <w:rPr>
                <w:rFonts w:ascii="Arial" w:hAnsi="Arial" w:cs="Arial"/>
                <w:sz w:val="20"/>
                <w:szCs w:val="20"/>
              </w:rPr>
            </w:pPr>
            <w:r>
              <w:rPr>
                <w:rFonts w:ascii="Arial" w:hAnsi="Arial" w:cs="Arial"/>
                <w:sz w:val="20"/>
                <w:szCs w:val="20"/>
              </w:rPr>
              <w:t>3717 (47.5)</w:t>
            </w:r>
          </w:p>
        </w:tc>
      </w:tr>
      <w:tr w:rsidR="00D860D8" w14:paraId="2EC9AC3E" w14:textId="77777777" w:rsidTr="00D51DF4">
        <w:tc>
          <w:tcPr>
            <w:tcW w:w="4248" w:type="dxa"/>
          </w:tcPr>
          <w:p w14:paraId="4DCA8478" w14:textId="77777777" w:rsidR="00D860D8" w:rsidRPr="003743BE" w:rsidRDefault="00D860D8" w:rsidP="00D51DF4">
            <w:pPr>
              <w:jc w:val="right"/>
              <w:rPr>
                <w:rFonts w:ascii="Arial" w:hAnsi="Arial" w:cs="Arial"/>
                <w:sz w:val="20"/>
                <w:szCs w:val="20"/>
              </w:rPr>
            </w:pPr>
            <w:r>
              <w:rPr>
                <w:rFonts w:ascii="Arial" w:hAnsi="Arial" w:cs="Arial"/>
                <w:sz w:val="20"/>
                <w:szCs w:val="20"/>
              </w:rPr>
              <w:t>Mesothelioma malignant</w:t>
            </w:r>
          </w:p>
        </w:tc>
        <w:tc>
          <w:tcPr>
            <w:tcW w:w="1589" w:type="dxa"/>
          </w:tcPr>
          <w:p w14:paraId="6D48CD07" w14:textId="77777777" w:rsidR="00D860D8" w:rsidRPr="003743BE" w:rsidRDefault="00D860D8" w:rsidP="00D51DF4">
            <w:pPr>
              <w:jc w:val="center"/>
              <w:rPr>
                <w:rFonts w:ascii="Arial" w:hAnsi="Arial" w:cs="Arial"/>
                <w:sz w:val="20"/>
                <w:szCs w:val="20"/>
              </w:rPr>
            </w:pPr>
            <w:r>
              <w:rPr>
                <w:rFonts w:ascii="Arial" w:hAnsi="Arial" w:cs="Arial"/>
                <w:sz w:val="20"/>
                <w:szCs w:val="20"/>
              </w:rPr>
              <w:t>1812 (28.6)</w:t>
            </w:r>
          </w:p>
        </w:tc>
        <w:tc>
          <w:tcPr>
            <w:tcW w:w="1589" w:type="dxa"/>
          </w:tcPr>
          <w:p w14:paraId="1CEE72CA" w14:textId="77777777" w:rsidR="00D860D8" w:rsidRPr="003743BE" w:rsidRDefault="00D860D8" w:rsidP="00D51DF4">
            <w:pPr>
              <w:jc w:val="center"/>
              <w:rPr>
                <w:rFonts w:ascii="Arial" w:hAnsi="Arial" w:cs="Arial"/>
                <w:sz w:val="20"/>
                <w:szCs w:val="20"/>
              </w:rPr>
            </w:pPr>
            <w:r>
              <w:rPr>
                <w:rFonts w:ascii="Arial" w:hAnsi="Arial" w:cs="Arial"/>
                <w:sz w:val="20"/>
                <w:szCs w:val="20"/>
              </w:rPr>
              <w:t>436 (29.1)</w:t>
            </w:r>
          </w:p>
        </w:tc>
        <w:tc>
          <w:tcPr>
            <w:tcW w:w="1590" w:type="dxa"/>
          </w:tcPr>
          <w:p w14:paraId="02B682EF" w14:textId="77777777" w:rsidR="00D860D8" w:rsidRPr="003743BE" w:rsidRDefault="00D860D8" w:rsidP="00D51DF4">
            <w:pPr>
              <w:jc w:val="center"/>
              <w:rPr>
                <w:rFonts w:ascii="Arial" w:hAnsi="Arial" w:cs="Arial"/>
                <w:sz w:val="20"/>
                <w:szCs w:val="20"/>
              </w:rPr>
            </w:pPr>
            <w:r>
              <w:rPr>
                <w:rFonts w:ascii="Arial" w:hAnsi="Arial" w:cs="Arial"/>
                <w:sz w:val="20"/>
                <w:szCs w:val="20"/>
              </w:rPr>
              <w:t>2248 (28.7)</w:t>
            </w:r>
          </w:p>
        </w:tc>
      </w:tr>
      <w:tr w:rsidR="00D860D8" w14:paraId="0776E017" w14:textId="77777777" w:rsidTr="00D51DF4">
        <w:tc>
          <w:tcPr>
            <w:tcW w:w="4248" w:type="dxa"/>
          </w:tcPr>
          <w:p w14:paraId="09E1A0D1" w14:textId="77777777" w:rsidR="00D860D8" w:rsidRPr="003743BE" w:rsidRDefault="00D860D8" w:rsidP="00D51DF4">
            <w:pPr>
              <w:jc w:val="right"/>
              <w:rPr>
                <w:rFonts w:ascii="Arial" w:hAnsi="Arial" w:cs="Arial"/>
                <w:sz w:val="20"/>
                <w:szCs w:val="20"/>
              </w:rPr>
            </w:pPr>
            <w:r>
              <w:rPr>
                <w:rFonts w:ascii="Arial" w:hAnsi="Arial" w:cs="Arial"/>
                <w:sz w:val="20"/>
                <w:szCs w:val="20"/>
              </w:rPr>
              <w:t>Fibrous mesothelioma</w:t>
            </w:r>
          </w:p>
        </w:tc>
        <w:tc>
          <w:tcPr>
            <w:tcW w:w="1589" w:type="dxa"/>
          </w:tcPr>
          <w:p w14:paraId="2FE337AF" w14:textId="77777777" w:rsidR="00D860D8" w:rsidRPr="003743BE" w:rsidRDefault="00D860D8" w:rsidP="00D51DF4">
            <w:pPr>
              <w:jc w:val="center"/>
              <w:rPr>
                <w:rFonts w:ascii="Arial" w:hAnsi="Arial" w:cs="Arial"/>
                <w:sz w:val="20"/>
                <w:szCs w:val="20"/>
              </w:rPr>
            </w:pPr>
            <w:r>
              <w:rPr>
                <w:rFonts w:ascii="Arial" w:hAnsi="Arial" w:cs="Arial"/>
                <w:sz w:val="20"/>
                <w:szCs w:val="20"/>
              </w:rPr>
              <w:t>930 (14.7)</w:t>
            </w:r>
          </w:p>
        </w:tc>
        <w:tc>
          <w:tcPr>
            <w:tcW w:w="1589" w:type="dxa"/>
          </w:tcPr>
          <w:p w14:paraId="3ADC1289" w14:textId="77777777" w:rsidR="00D860D8" w:rsidRPr="003743BE" w:rsidRDefault="00D860D8" w:rsidP="00D51DF4">
            <w:pPr>
              <w:jc w:val="center"/>
              <w:rPr>
                <w:rFonts w:ascii="Arial" w:hAnsi="Arial" w:cs="Arial"/>
                <w:sz w:val="20"/>
                <w:szCs w:val="20"/>
              </w:rPr>
            </w:pPr>
            <w:r>
              <w:rPr>
                <w:rFonts w:ascii="Arial" w:hAnsi="Arial" w:cs="Arial"/>
                <w:sz w:val="20"/>
                <w:szCs w:val="20"/>
              </w:rPr>
              <w:t>139 (9.3)</w:t>
            </w:r>
          </w:p>
        </w:tc>
        <w:tc>
          <w:tcPr>
            <w:tcW w:w="1590" w:type="dxa"/>
          </w:tcPr>
          <w:p w14:paraId="27BFE312" w14:textId="77777777" w:rsidR="00D860D8" w:rsidRPr="003743BE" w:rsidRDefault="00D860D8" w:rsidP="00D51DF4">
            <w:pPr>
              <w:jc w:val="center"/>
              <w:rPr>
                <w:rFonts w:ascii="Arial" w:hAnsi="Arial" w:cs="Arial"/>
                <w:sz w:val="20"/>
                <w:szCs w:val="20"/>
              </w:rPr>
            </w:pPr>
            <w:r>
              <w:rPr>
                <w:rFonts w:ascii="Arial" w:hAnsi="Arial" w:cs="Arial"/>
                <w:sz w:val="20"/>
                <w:szCs w:val="20"/>
              </w:rPr>
              <w:t>1069 (13.7)</w:t>
            </w:r>
          </w:p>
        </w:tc>
      </w:tr>
      <w:tr w:rsidR="00D860D8" w14:paraId="425B0CA7" w14:textId="77777777" w:rsidTr="00D51DF4">
        <w:tc>
          <w:tcPr>
            <w:tcW w:w="4248" w:type="dxa"/>
          </w:tcPr>
          <w:p w14:paraId="767F8ED2" w14:textId="77777777" w:rsidR="00D860D8" w:rsidRPr="003743BE" w:rsidRDefault="00D860D8" w:rsidP="00D51DF4">
            <w:pPr>
              <w:jc w:val="right"/>
              <w:rPr>
                <w:rFonts w:ascii="Arial" w:hAnsi="Arial" w:cs="Arial"/>
                <w:sz w:val="20"/>
                <w:szCs w:val="20"/>
              </w:rPr>
            </w:pPr>
            <w:r>
              <w:rPr>
                <w:rFonts w:ascii="Arial" w:hAnsi="Arial" w:cs="Arial"/>
                <w:sz w:val="20"/>
                <w:szCs w:val="20"/>
              </w:rPr>
              <w:t>Biphasic mesothelioma</w:t>
            </w:r>
          </w:p>
        </w:tc>
        <w:tc>
          <w:tcPr>
            <w:tcW w:w="1589" w:type="dxa"/>
          </w:tcPr>
          <w:p w14:paraId="1696FE89" w14:textId="77777777" w:rsidR="00D860D8" w:rsidRPr="003743BE" w:rsidRDefault="00D860D8" w:rsidP="00D51DF4">
            <w:pPr>
              <w:jc w:val="center"/>
              <w:rPr>
                <w:rFonts w:ascii="Arial" w:hAnsi="Arial" w:cs="Arial"/>
                <w:sz w:val="20"/>
                <w:szCs w:val="20"/>
              </w:rPr>
            </w:pPr>
            <w:r>
              <w:rPr>
                <w:rFonts w:ascii="Arial" w:hAnsi="Arial" w:cs="Arial"/>
                <w:sz w:val="20"/>
                <w:szCs w:val="20"/>
              </w:rPr>
              <w:t>693 (11.0)</w:t>
            </w:r>
          </w:p>
        </w:tc>
        <w:tc>
          <w:tcPr>
            <w:tcW w:w="1589" w:type="dxa"/>
          </w:tcPr>
          <w:p w14:paraId="39AF8524" w14:textId="77777777" w:rsidR="00D860D8" w:rsidRPr="003743BE" w:rsidRDefault="00D860D8" w:rsidP="00D51DF4">
            <w:pPr>
              <w:jc w:val="center"/>
              <w:rPr>
                <w:rFonts w:ascii="Arial" w:hAnsi="Arial" w:cs="Arial"/>
                <w:sz w:val="20"/>
                <w:szCs w:val="20"/>
              </w:rPr>
            </w:pPr>
            <w:r>
              <w:rPr>
                <w:rFonts w:ascii="Arial" w:hAnsi="Arial" w:cs="Arial"/>
                <w:sz w:val="20"/>
                <w:szCs w:val="20"/>
              </w:rPr>
              <w:t>99 (6.6)</w:t>
            </w:r>
          </w:p>
        </w:tc>
        <w:tc>
          <w:tcPr>
            <w:tcW w:w="1590" w:type="dxa"/>
          </w:tcPr>
          <w:p w14:paraId="1D9398D6" w14:textId="77777777" w:rsidR="00D860D8" w:rsidRPr="003743BE" w:rsidRDefault="00D860D8" w:rsidP="00D51DF4">
            <w:pPr>
              <w:jc w:val="center"/>
              <w:rPr>
                <w:rFonts w:ascii="Arial" w:hAnsi="Arial" w:cs="Arial"/>
                <w:sz w:val="20"/>
                <w:szCs w:val="20"/>
              </w:rPr>
            </w:pPr>
            <w:r>
              <w:rPr>
                <w:rFonts w:ascii="Arial" w:hAnsi="Arial" w:cs="Arial"/>
                <w:sz w:val="20"/>
                <w:szCs w:val="20"/>
              </w:rPr>
              <w:t>792 (10.1)</w:t>
            </w:r>
          </w:p>
        </w:tc>
      </w:tr>
      <w:tr w:rsidR="00D860D8" w14:paraId="33E75894" w14:textId="77777777" w:rsidTr="00D51DF4">
        <w:tc>
          <w:tcPr>
            <w:tcW w:w="4248" w:type="dxa"/>
          </w:tcPr>
          <w:p w14:paraId="3A014460" w14:textId="77777777" w:rsidR="00D860D8" w:rsidRPr="003743BE" w:rsidRDefault="00D860D8" w:rsidP="00D51DF4">
            <w:pPr>
              <w:rPr>
                <w:rFonts w:ascii="Arial" w:hAnsi="Arial" w:cs="Arial"/>
                <w:sz w:val="20"/>
                <w:szCs w:val="20"/>
              </w:rPr>
            </w:pPr>
            <w:r>
              <w:rPr>
                <w:rFonts w:ascii="Arial" w:hAnsi="Arial" w:cs="Arial"/>
                <w:sz w:val="20"/>
                <w:szCs w:val="20"/>
              </w:rPr>
              <w:t>Laterality</w:t>
            </w:r>
          </w:p>
        </w:tc>
        <w:tc>
          <w:tcPr>
            <w:tcW w:w="1589" w:type="dxa"/>
          </w:tcPr>
          <w:p w14:paraId="5DA8EB51" w14:textId="77777777" w:rsidR="00D860D8" w:rsidRPr="003743BE" w:rsidRDefault="00D860D8" w:rsidP="00D51DF4">
            <w:pPr>
              <w:jc w:val="center"/>
              <w:rPr>
                <w:rFonts w:ascii="Arial" w:hAnsi="Arial" w:cs="Arial"/>
                <w:sz w:val="20"/>
                <w:szCs w:val="20"/>
              </w:rPr>
            </w:pPr>
          </w:p>
        </w:tc>
        <w:tc>
          <w:tcPr>
            <w:tcW w:w="1589" w:type="dxa"/>
          </w:tcPr>
          <w:p w14:paraId="34587777" w14:textId="77777777" w:rsidR="00D860D8" w:rsidRPr="003743BE" w:rsidRDefault="00D860D8" w:rsidP="00D51DF4">
            <w:pPr>
              <w:jc w:val="center"/>
              <w:rPr>
                <w:rFonts w:ascii="Arial" w:hAnsi="Arial" w:cs="Arial"/>
                <w:sz w:val="20"/>
                <w:szCs w:val="20"/>
              </w:rPr>
            </w:pPr>
          </w:p>
        </w:tc>
        <w:tc>
          <w:tcPr>
            <w:tcW w:w="1590" w:type="dxa"/>
          </w:tcPr>
          <w:p w14:paraId="40EBDF6E" w14:textId="77777777" w:rsidR="00D860D8" w:rsidRPr="003743BE" w:rsidRDefault="00D860D8" w:rsidP="00D51DF4">
            <w:pPr>
              <w:jc w:val="center"/>
              <w:rPr>
                <w:rFonts w:ascii="Arial" w:hAnsi="Arial" w:cs="Arial"/>
                <w:sz w:val="20"/>
                <w:szCs w:val="20"/>
              </w:rPr>
            </w:pPr>
          </w:p>
        </w:tc>
      </w:tr>
      <w:tr w:rsidR="00D860D8" w14:paraId="5EE2EE12" w14:textId="77777777" w:rsidTr="00D51DF4">
        <w:tc>
          <w:tcPr>
            <w:tcW w:w="4248" w:type="dxa"/>
          </w:tcPr>
          <w:p w14:paraId="4D3DE288" w14:textId="77777777" w:rsidR="00D860D8" w:rsidRPr="003743BE" w:rsidRDefault="00D860D8" w:rsidP="00D51DF4">
            <w:pPr>
              <w:jc w:val="right"/>
              <w:rPr>
                <w:rFonts w:ascii="Arial" w:hAnsi="Arial" w:cs="Arial"/>
                <w:sz w:val="20"/>
                <w:szCs w:val="20"/>
              </w:rPr>
            </w:pPr>
            <w:r>
              <w:rPr>
                <w:rFonts w:ascii="Arial" w:hAnsi="Arial" w:cs="Arial"/>
                <w:sz w:val="20"/>
                <w:szCs w:val="20"/>
              </w:rPr>
              <w:t>Right</w:t>
            </w:r>
          </w:p>
        </w:tc>
        <w:tc>
          <w:tcPr>
            <w:tcW w:w="1589" w:type="dxa"/>
          </w:tcPr>
          <w:p w14:paraId="5A286128" w14:textId="77777777" w:rsidR="00D860D8" w:rsidRPr="003743BE" w:rsidRDefault="00D860D8" w:rsidP="00D51DF4">
            <w:pPr>
              <w:jc w:val="center"/>
              <w:rPr>
                <w:rFonts w:ascii="Arial" w:hAnsi="Arial" w:cs="Arial"/>
                <w:sz w:val="20"/>
                <w:szCs w:val="20"/>
              </w:rPr>
            </w:pPr>
            <w:r>
              <w:rPr>
                <w:rFonts w:ascii="Arial" w:hAnsi="Arial" w:cs="Arial"/>
                <w:sz w:val="20"/>
                <w:szCs w:val="20"/>
              </w:rPr>
              <w:t>2679 (42.3)</w:t>
            </w:r>
          </w:p>
        </w:tc>
        <w:tc>
          <w:tcPr>
            <w:tcW w:w="1589" w:type="dxa"/>
          </w:tcPr>
          <w:p w14:paraId="5A242EFF" w14:textId="77777777" w:rsidR="00D860D8" w:rsidRPr="003743BE" w:rsidRDefault="00D860D8" w:rsidP="00D51DF4">
            <w:pPr>
              <w:jc w:val="center"/>
              <w:rPr>
                <w:rFonts w:ascii="Arial" w:hAnsi="Arial" w:cs="Arial"/>
                <w:sz w:val="20"/>
                <w:szCs w:val="20"/>
              </w:rPr>
            </w:pPr>
            <w:r>
              <w:rPr>
                <w:rFonts w:ascii="Arial" w:hAnsi="Arial" w:cs="Arial"/>
                <w:sz w:val="20"/>
                <w:szCs w:val="20"/>
              </w:rPr>
              <w:t>521 (34.8)</w:t>
            </w:r>
          </w:p>
        </w:tc>
        <w:tc>
          <w:tcPr>
            <w:tcW w:w="1590" w:type="dxa"/>
          </w:tcPr>
          <w:p w14:paraId="392BC2F4" w14:textId="77777777" w:rsidR="00D860D8" w:rsidRPr="003743BE" w:rsidRDefault="00D860D8" w:rsidP="00D51DF4">
            <w:pPr>
              <w:jc w:val="center"/>
              <w:rPr>
                <w:rFonts w:ascii="Arial" w:hAnsi="Arial" w:cs="Arial"/>
                <w:sz w:val="20"/>
                <w:szCs w:val="20"/>
              </w:rPr>
            </w:pPr>
            <w:r>
              <w:rPr>
                <w:rFonts w:ascii="Arial" w:hAnsi="Arial" w:cs="Arial"/>
                <w:sz w:val="20"/>
                <w:szCs w:val="20"/>
              </w:rPr>
              <w:t>3200 (40.9)</w:t>
            </w:r>
          </w:p>
        </w:tc>
      </w:tr>
      <w:tr w:rsidR="00D860D8" w14:paraId="0EEF42E7" w14:textId="77777777" w:rsidTr="00D51DF4">
        <w:tc>
          <w:tcPr>
            <w:tcW w:w="4248" w:type="dxa"/>
          </w:tcPr>
          <w:p w14:paraId="42D403CD" w14:textId="77777777" w:rsidR="00D860D8" w:rsidRPr="003743BE" w:rsidRDefault="00D860D8" w:rsidP="00D51DF4">
            <w:pPr>
              <w:jc w:val="right"/>
              <w:rPr>
                <w:rFonts w:ascii="Arial" w:hAnsi="Arial" w:cs="Arial"/>
                <w:sz w:val="20"/>
                <w:szCs w:val="20"/>
              </w:rPr>
            </w:pPr>
            <w:r>
              <w:rPr>
                <w:rFonts w:ascii="Arial" w:hAnsi="Arial" w:cs="Arial"/>
                <w:sz w:val="20"/>
                <w:szCs w:val="20"/>
              </w:rPr>
              <w:lastRenderedPageBreak/>
              <w:t>Left</w:t>
            </w:r>
          </w:p>
        </w:tc>
        <w:tc>
          <w:tcPr>
            <w:tcW w:w="1589" w:type="dxa"/>
          </w:tcPr>
          <w:p w14:paraId="5AA2B274" w14:textId="77777777" w:rsidR="00D860D8" w:rsidRPr="003743BE" w:rsidRDefault="00D860D8" w:rsidP="00D51DF4">
            <w:pPr>
              <w:jc w:val="center"/>
              <w:rPr>
                <w:rFonts w:ascii="Arial" w:hAnsi="Arial" w:cs="Arial"/>
                <w:sz w:val="20"/>
                <w:szCs w:val="20"/>
              </w:rPr>
            </w:pPr>
            <w:r>
              <w:rPr>
                <w:rFonts w:ascii="Arial" w:hAnsi="Arial" w:cs="Arial"/>
                <w:sz w:val="20"/>
                <w:szCs w:val="20"/>
              </w:rPr>
              <w:t>1667 (26.3)</w:t>
            </w:r>
          </w:p>
        </w:tc>
        <w:tc>
          <w:tcPr>
            <w:tcW w:w="1589" w:type="dxa"/>
          </w:tcPr>
          <w:p w14:paraId="2EA4E3F5" w14:textId="77777777" w:rsidR="00D860D8" w:rsidRPr="003743BE" w:rsidRDefault="00D860D8" w:rsidP="00D51DF4">
            <w:pPr>
              <w:jc w:val="center"/>
              <w:rPr>
                <w:rFonts w:ascii="Arial" w:hAnsi="Arial" w:cs="Arial"/>
                <w:sz w:val="20"/>
                <w:szCs w:val="20"/>
              </w:rPr>
            </w:pPr>
            <w:r>
              <w:rPr>
                <w:rFonts w:ascii="Arial" w:hAnsi="Arial" w:cs="Arial"/>
                <w:sz w:val="20"/>
                <w:szCs w:val="20"/>
              </w:rPr>
              <w:t>408 (27.2)</w:t>
            </w:r>
          </w:p>
        </w:tc>
        <w:tc>
          <w:tcPr>
            <w:tcW w:w="1590" w:type="dxa"/>
          </w:tcPr>
          <w:p w14:paraId="06CA035A" w14:textId="77777777" w:rsidR="00D860D8" w:rsidRPr="003743BE" w:rsidRDefault="00D860D8" w:rsidP="00D51DF4">
            <w:pPr>
              <w:jc w:val="center"/>
              <w:rPr>
                <w:rFonts w:ascii="Arial" w:hAnsi="Arial" w:cs="Arial"/>
                <w:sz w:val="20"/>
                <w:szCs w:val="20"/>
              </w:rPr>
            </w:pPr>
            <w:r>
              <w:rPr>
                <w:rFonts w:ascii="Arial" w:hAnsi="Arial" w:cs="Arial"/>
                <w:sz w:val="20"/>
                <w:szCs w:val="20"/>
              </w:rPr>
              <w:t>2075 (26.5)</w:t>
            </w:r>
          </w:p>
        </w:tc>
      </w:tr>
      <w:tr w:rsidR="00D860D8" w14:paraId="56484312" w14:textId="77777777" w:rsidTr="00D51DF4">
        <w:tc>
          <w:tcPr>
            <w:tcW w:w="4248" w:type="dxa"/>
          </w:tcPr>
          <w:p w14:paraId="0BE65C08" w14:textId="77777777" w:rsidR="00D860D8" w:rsidRPr="003743BE" w:rsidRDefault="00D860D8" w:rsidP="00D51DF4">
            <w:pPr>
              <w:jc w:val="right"/>
              <w:rPr>
                <w:rFonts w:ascii="Arial" w:hAnsi="Arial" w:cs="Arial"/>
                <w:sz w:val="20"/>
                <w:szCs w:val="20"/>
              </w:rPr>
            </w:pPr>
            <w:r>
              <w:rPr>
                <w:rFonts w:ascii="Arial" w:hAnsi="Arial" w:cs="Arial"/>
                <w:sz w:val="20"/>
                <w:szCs w:val="20"/>
              </w:rPr>
              <w:t>Bilateral</w:t>
            </w:r>
          </w:p>
        </w:tc>
        <w:tc>
          <w:tcPr>
            <w:tcW w:w="1589" w:type="dxa"/>
          </w:tcPr>
          <w:p w14:paraId="1F6556A8" w14:textId="77777777" w:rsidR="00D860D8" w:rsidRPr="003743BE" w:rsidRDefault="00D860D8" w:rsidP="00D51DF4">
            <w:pPr>
              <w:jc w:val="center"/>
              <w:rPr>
                <w:rFonts w:ascii="Arial" w:hAnsi="Arial" w:cs="Arial"/>
                <w:sz w:val="20"/>
                <w:szCs w:val="20"/>
              </w:rPr>
            </w:pPr>
            <w:r>
              <w:rPr>
                <w:rFonts w:ascii="Arial" w:hAnsi="Arial" w:cs="Arial"/>
                <w:sz w:val="20"/>
                <w:szCs w:val="20"/>
              </w:rPr>
              <w:t>11 (0.2)</w:t>
            </w:r>
          </w:p>
        </w:tc>
        <w:tc>
          <w:tcPr>
            <w:tcW w:w="1589" w:type="dxa"/>
          </w:tcPr>
          <w:p w14:paraId="0DBA23E8" w14:textId="77777777" w:rsidR="00D860D8" w:rsidRPr="003743BE" w:rsidRDefault="00D860D8" w:rsidP="00D51DF4">
            <w:pPr>
              <w:jc w:val="center"/>
              <w:rPr>
                <w:rFonts w:ascii="Arial" w:hAnsi="Arial" w:cs="Arial"/>
                <w:sz w:val="20"/>
                <w:szCs w:val="20"/>
              </w:rPr>
            </w:pPr>
            <w:r>
              <w:rPr>
                <w:rFonts w:ascii="Arial" w:hAnsi="Arial" w:cs="Arial"/>
                <w:sz w:val="20"/>
                <w:szCs w:val="20"/>
              </w:rPr>
              <w:t>1 (0.1)</w:t>
            </w:r>
          </w:p>
        </w:tc>
        <w:tc>
          <w:tcPr>
            <w:tcW w:w="1590" w:type="dxa"/>
          </w:tcPr>
          <w:p w14:paraId="39002996" w14:textId="77777777" w:rsidR="00D860D8" w:rsidRPr="003743BE" w:rsidRDefault="00D860D8" w:rsidP="00D51DF4">
            <w:pPr>
              <w:jc w:val="center"/>
              <w:rPr>
                <w:rFonts w:ascii="Arial" w:hAnsi="Arial" w:cs="Arial"/>
                <w:sz w:val="20"/>
                <w:szCs w:val="20"/>
              </w:rPr>
            </w:pPr>
            <w:r>
              <w:rPr>
                <w:rFonts w:ascii="Arial" w:hAnsi="Arial" w:cs="Arial"/>
                <w:sz w:val="20"/>
                <w:szCs w:val="20"/>
              </w:rPr>
              <w:t>12 (0.2)</w:t>
            </w:r>
          </w:p>
        </w:tc>
      </w:tr>
      <w:tr w:rsidR="00D860D8" w14:paraId="19076E89" w14:textId="77777777" w:rsidTr="00D51DF4">
        <w:tc>
          <w:tcPr>
            <w:tcW w:w="4248" w:type="dxa"/>
          </w:tcPr>
          <w:p w14:paraId="2D41F2BD" w14:textId="77777777" w:rsidR="00D860D8" w:rsidRPr="003743BE" w:rsidRDefault="00D860D8" w:rsidP="00D51DF4">
            <w:pPr>
              <w:jc w:val="right"/>
              <w:rPr>
                <w:rFonts w:ascii="Arial" w:hAnsi="Arial" w:cs="Arial"/>
                <w:sz w:val="20"/>
                <w:szCs w:val="20"/>
              </w:rPr>
            </w:pPr>
            <w:r>
              <w:rPr>
                <w:rFonts w:ascii="Arial" w:hAnsi="Arial" w:cs="Arial"/>
                <w:sz w:val="20"/>
                <w:szCs w:val="20"/>
              </w:rPr>
              <w:t>N/A</w:t>
            </w:r>
          </w:p>
        </w:tc>
        <w:tc>
          <w:tcPr>
            <w:tcW w:w="1589" w:type="dxa"/>
          </w:tcPr>
          <w:p w14:paraId="560A1766" w14:textId="77777777" w:rsidR="00D860D8" w:rsidRPr="003743BE" w:rsidRDefault="00D860D8" w:rsidP="00D51DF4">
            <w:pPr>
              <w:jc w:val="center"/>
              <w:rPr>
                <w:rFonts w:ascii="Arial" w:hAnsi="Arial" w:cs="Arial"/>
                <w:sz w:val="20"/>
                <w:szCs w:val="20"/>
              </w:rPr>
            </w:pPr>
            <w:r>
              <w:rPr>
                <w:rFonts w:ascii="Arial" w:hAnsi="Arial" w:cs="Arial"/>
                <w:sz w:val="20"/>
                <w:szCs w:val="20"/>
              </w:rPr>
              <w:t>259 (4.1)</w:t>
            </w:r>
          </w:p>
        </w:tc>
        <w:tc>
          <w:tcPr>
            <w:tcW w:w="1589" w:type="dxa"/>
          </w:tcPr>
          <w:p w14:paraId="5C307C9E" w14:textId="77777777" w:rsidR="00D860D8" w:rsidRPr="003743BE" w:rsidRDefault="00D860D8" w:rsidP="00D51DF4">
            <w:pPr>
              <w:jc w:val="center"/>
              <w:rPr>
                <w:rFonts w:ascii="Arial" w:hAnsi="Arial" w:cs="Arial"/>
                <w:sz w:val="20"/>
                <w:szCs w:val="20"/>
              </w:rPr>
            </w:pPr>
            <w:r>
              <w:rPr>
                <w:rFonts w:ascii="Arial" w:hAnsi="Arial" w:cs="Arial"/>
                <w:sz w:val="20"/>
                <w:szCs w:val="20"/>
              </w:rPr>
              <w:t>112 (7.5)</w:t>
            </w:r>
          </w:p>
        </w:tc>
        <w:tc>
          <w:tcPr>
            <w:tcW w:w="1590" w:type="dxa"/>
          </w:tcPr>
          <w:p w14:paraId="4B29AE10" w14:textId="77777777" w:rsidR="00D860D8" w:rsidRPr="003743BE" w:rsidRDefault="00D860D8" w:rsidP="00D51DF4">
            <w:pPr>
              <w:jc w:val="center"/>
              <w:rPr>
                <w:rFonts w:ascii="Arial" w:hAnsi="Arial" w:cs="Arial"/>
                <w:sz w:val="20"/>
                <w:szCs w:val="20"/>
              </w:rPr>
            </w:pPr>
            <w:r>
              <w:rPr>
                <w:rFonts w:ascii="Arial" w:hAnsi="Arial" w:cs="Arial"/>
                <w:sz w:val="20"/>
                <w:szCs w:val="20"/>
              </w:rPr>
              <w:t>371 (4.7)</w:t>
            </w:r>
          </w:p>
        </w:tc>
      </w:tr>
      <w:tr w:rsidR="00D860D8" w14:paraId="0439B081" w14:textId="77777777" w:rsidTr="00D51DF4">
        <w:tc>
          <w:tcPr>
            <w:tcW w:w="4248" w:type="dxa"/>
          </w:tcPr>
          <w:p w14:paraId="4D2845A0" w14:textId="77777777" w:rsidR="00D860D8" w:rsidRDefault="00D860D8" w:rsidP="00D51DF4">
            <w:pPr>
              <w:jc w:val="right"/>
              <w:rPr>
                <w:rFonts w:ascii="Arial" w:hAnsi="Arial" w:cs="Arial"/>
                <w:sz w:val="20"/>
                <w:szCs w:val="20"/>
              </w:rPr>
            </w:pPr>
            <w:r>
              <w:rPr>
                <w:rFonts w:ascii="Arial" w:hAnsi="Arial" w:cs="Arial"/>
                <w:sz w:val="20"/>
                <w:szCs w:val="20"/>
              </w:rPr>
              <w:t>Unknown</w:t>
            </w:r>
          </w:p>
        </w:tc>
        <w:tc>
          <w:tcPr>
            <w:tcW w:w="1589" w:type="dxa"/>
          </w:tcPr>
          <w:p w14:paraId="1D03EC62" w14:textId="77777777" w:rsidR="00D860D8" w:rsidRPr="003743BE" w:rsidRDefault="00D860D8" w:rsidP="00D51DF4">
            <w:pPr>
              <w:jc w:val="center"/>
              <w:rPr>
                <w:rFonts w:ascii="Arial" w:hAnsi="Arial" w:cs="Arial"/>
                <w:sz w:val="20"/>
                <w:szCs w:val="20"/>
              </w:rPr>
            </w:pPr>
            <w:r>
              <w:rPr>
                <w:rFonts w:ascii="Arial" w:hAnsi="Arial" w:cs="Arial"/>
                <w:sz w:val="20"/>
                <w:szCs w:val="20"/>
              </w:rPr>
              <w:t>1712 (27.1)</w:t>
            </w:r>
          </w:p>
        </w:tc>
        <w:tc>
          <w:tcPr>
            <w:tcW w:w="1589" w:type="dxa"/>
          </w:tcPr>
          <w:p w14:paraId="3A903C9A" w14:textId="77777777" w:rsidR="00D860D8" w:rsidRPr="003743BE" w:rsidRDefault="00D860D8" w:rsidP="00D51DF4">
            <w:pPr>
              <w:jc w:val="center"/>
              <w:rPr>
                <w:rFonts w:ascii="Arial" w:hAnsi="Arial" w:cs="Arial"/>
                <w:sz w:val="20"/>
                <w:szCs w:val="20"/>
              </w:rPr>
            </w:pPr>
            <w:r>
              <w:rPr>
                <w:rFonts w:ascii="Arial" w:hAnsi="Arial" w:cs="Arial"/>
                <w:sz w:val="20"/>
                <w:szCs w:val="20"/>
              </w:rPr>
              <w:t>456 (30.4)</w:t>
            </w:r>
          </w:p>
        </w:tc>
        <w:tc>
          <w:tcPr>
            <w:tcW w:w="1590" w:type="dxa"/>
          </w:tcPr>
          <w:p w14:paraId="4A71A0FC" w14:textId="77777777" w:rsidR="00D860D8" w:rsidRPr="003743BE" w:rsidRDefault="00D860D8" w:rsidP="00D51DF4">
            <w:pPr>
              <w:jc w:val="center"/>
              <w:rPr>
                <w:rFonts w:ascii="Arial" w:hAnsi="Arial" w:cs="Arial"/>
                <w:sz w:val="20"/>
                <w:szCs w:val="20"/>
              </w:rPr>
            </w:pPr>
            <w:r>
              <w:rPr>
                <w:rFonts w:ascii="Arial" w:hAnsi="Arial" w:cs="Arial"/>
                <w:sz w:val="20"/>
                <w:szCs w:val="20"/>
              </w:rPr>
              <w:t>2168 (27.7)</w:t>
            </w:r>
          </w:p>
        </w:tc>
      </w:tr>
      <w:tr w:rsidR="00BC69B1" w14:paraId="451117AC" w14:textId="77777777" w:rsidTr="00BC69B1">
        <w:tc>
          <w:tcPr>
            <w:tcW w:w="4248" w:type="dxa"/>
            <w:shd w:val="clear" w:color="auto" w:fill="D9D9D9" w:themeFill="background1" w:themeFillShade="D9"/>
          </w:tcPr>
          <w:p w14:paraId="0B5FF66A" w14:textId="7A28A7EE" w:rsidR="00BC69B1" w:rsidRPr="00BC69B1" w:rsidRDefault="00BC69B1" w:rsidP="00BC69B1">
            <w:pPr>
              <w:rPr>
                <w:rFonts w:ascii="Arial" w:hAnsi="Arial" w:cs="Arial"/>
                <w:b/>
                <w:sz w:val="20"/>
                <w:szCs w:val="20"/>
              </w:rPr>
            </w:pPr>
            <w:r w:rsidRPr="00BC69B1">
              <w:rPr>
                <w:rFonts w:ascii="Arial" w:hAnsi="Arial" w:cs="Arial"/>
                <w:b/>
                <w:sz w:val="20"/>
                <w:szCs w:val="20"/>
              </w:rPr>
              <w:t>EXPOSURE TO ASBESTOS</w:t>
            </w:r>
          </w:p>
        </w:tc>
        <w:tc>
          <w:tcPr>
            <w:tcW w:w="1589" w:type="dxa"/>
            <w:shd w:val="clear" w:color="auto" w:fill="D9D9D9" w:themeFill="background1" w:themeFillShade="D9"/>
          </w:tcPr>
          <w:p w14:paraId="7B7CEB37" w14:textId="77777777" w:rsidR="00BC69B1" w:rsidRDefault="00BC69B1" w:rsidP="00D51DF4">
            <w:pPr>
              <w:jc w:val="center"/>
              <w:rPr>
                <w:rFonts w:ascii="Arial" w:hAnsi="Arial" w:cs="Arial"/>
                <w:sz w:val="20"/>
                <w:szCs w:val="20"/>
              </w:rPr>
            </w:pPr>
          </w:p>
        </w:tc>
        <w:tc>
          <w:tcPr>
            <w:tcW w:w="1589" w:type="dxa"/>
            <w:shd w:val="clear" w:color="auto" w:fill="D9D9D9" w:themeFill="background1" w:themeFillShade="D9"/>
          </w:tcPr>
          <w:p w14:paraId="02588B5B" w14:textId="77777777" w:rsidR="00BC69B1" w:rsidRDefault="00BC69B1" w:rsidP="00D51DF4">
            <w:pPr>
              <w:jc w:val="center"/>
              <w:rPr>
                <w:rFonts w:ascii="Arial" w:hAnsi="Arial" w:cs="Arial"/>
                <w:sz w:val="20"/>
                <w:szCs w:val="20"/>
              </w:rPr>
            </w:pPr>
          </w:p>
        </w:tc>
        <w:tc>
          <w:tcPr>
            <w:tcW w:w="1590" w:type="dxa"/>
            <w:shd w:val="clear" w:color="auto" w:fill="D9D9D9" w:themeFill="background1" w:themeFillShade="D9"/>
          </w:tcPr>
          <w:p w14:paraId="19E6C49A" w14:textId="77777777" w:rsidR="00BC69B1" w:rsidRDefault="00BC69B1" w:rsidP="00D51DF4">
            <w:pPr>
              <w:jc w:val="center"/>
              <w:rPr>
                <w:rFonts w:ascii="Arial" w:hAnsi="Arial" w:cs="Arial"/>
                <w:sz w:val="20"/>
                <w:szCs w:val="20"/>
              </w:rPr>
            </w:pPr>
          </w:p>
        </w:tc>
      </w:tr>
      <w:tr w:rsidR="00BC69B1" w14:paraId="6D6CEB92" w14:textId="77777777" w:rsidTr="00D51DF4">
        <w:tc>
          <w:tcPr>
            <w:tcW w:w="4248" w:type="dxa"/>
          </w:tcPr>
          <w:p w14:paraId="279AD600" w14:textId="57E30962" w:rsidR="00BC69B1" w:rsidRDefault="00BC69B1" w:rsidP="00BC69B1">
            <w:pPr>
              <w:jc w:val="right"/>
              <w:rPr>
                <w:rFonts w:ascii="Arial" w:hAnsi="Arial" w:cs="Arial"/>
                <w:sz w:val="20"/>
                <w:szCs w:val="20"/>
              </w:rPr>
            </w:pPr>
            <w:r w:rsidRPr="00626652">
              <w:rPr>
                <w:rFonts w:ascii="Arial" w:hAnsi="Arial" w:cs="Arial"/>
                <w:sz w:val="20"/>
                <w:szCs w:val="20"/>
              </w:rPr>
              <w:t>Occupational exposure only</w:t>
            </w:r>
          </w:p>
        </w:tc>
        <w:tc>
          <w:tcPr>
            <w:tcW w:w="1589" w:type="dxa"/>
          </w:tcPr>
          <w:p w14:paraId="7A108C4C" w14:textId="05ECC09A" w:rsidR="00BC69B1" w:rsidRDefault="00BC69B1" w:rsidP="00BC69B1">
            <w:pPr>
              <w:jc w:val="center"/>
              <w:rPr>
                <w:rFonts w:ascii="Arial" w:hAnsi="Arial" w:cs="Arial"/>
                <w:sz w:val="20"/>
                <w:szCs w:val="20"/>
              </w:rPr>
            </w:pPr>
            <w:r>
              <w:rPr>
                <w:rFonts w:ascii="Arial" w:hAnsi="Arial" w:cs="Arial"/>
                <w:sz w:val="20"/>
                <w:szCs w:val="20"/>
              </w:rPr>
              <w:t>124 (15.1)</w:t>
            </w:r>
          </w:p>
        </w:tc>
        <w:tc>
          <w:tcPr>
            <w:tcW w:w="1589" w:type="dxa"/>
          </w:tcPr>
          <w:p w14:paraId="67E338B1" w14:textId="6FE01F3E" w:rsidR="00BC69B1" w:rsidRDefault="00BC69B1" w:rsidP="00BC69B1">
            <w:pPr>
              <w:jc w:val="center"/>
              <w:rPr>
                <w:rFonts w:ascii="Arial" w:hAnsi="Arial" w:cs="Arial"/>
                <w:sz w:val="20"/>
                <w:szCs w:val="20"/>
              </w:rPr>
            </w:pPr>
            <w:r>
              <w:rPr>
                <w:rFonts w:ascii="Arial" w:hAnsi="Arial" w:cs="Arial"/>
                <w:sz w:val="20"/>
                <w:szCs w:val="20"/>
              </w:rPr>
              <w:t>1 (0.5)</w:t>
            </w:r>
          </w:p>
        </w:tc>
        <w:tc>
          <w:tcPr>
            <w:tcW w:w="1590" w:type="dxa"/>
          </w:tcPr>
          <w:p w14:paraId="1302CC86" w14:textId="7BF967BE" w:rsidR="00BC69B1" w:rsidRDefault="00BC69B1" w:rsidP="00BC69B1">
            <w:pPr>
              <w:jc w:val="center"/>
              <w:rPr>
                <w:rFonts w:ascii="Arial" w:hAnsi="Arial" w:cs="Arial"/>
                <w:sz w:val="20"/>
                <w:szCs w:val="20"/>
              </w:rPr>
            </w:pPr>
            <w:r>
              <w:rPr>
                <w:rFonts w:ascii="Arial" w:hAnsi="Arial" w:cs="Arial"/>
                <w:sz w:val="20"/>
                <w:szCs w:val="20"/>
              </w:rPr>
              <w:t>125 (12.2)</w:t>
            </w:r>
          </w:p>
        </w:tc>
      </w:tr>
      <w:tr w:rsidR="00BC69B1" w14:paraId="40893C32" w14:textId="77777777" w:rsidTr="00D51DF4">
        <w:tc>
          <w:tcPr>
            <w:tcW w:w="4248" w:type="dxa"/>
          </w:tcPr>
          <w:p w14:paraId="60C0BDF9" w14:textId="3BEBE944" w:rsidR="00BC69B1" w:rsidRDefault="00BC69B1" w:rsidP="00BC69B1">
            <w:pPr>
              <w:jc w:val="right"/>
              <w:rPr>
                <w:rFonts w:ascii="Arial" w:hAnsi="Arial" w:cs="Arial"/>
                <w:sz w:val="20"/>
                <w:szCs w:val="20"/>
              </w:rPr>
            </w:pPr>
            <w:r w:rsidRPr="00626652">
              <w:rPr>
                <w:rFonts w:ascii="Arial" w:hAnsi="Arial" w:cs="Arial"/>
                <w:sz w:val="20"/>
                <w:szCs w:val="20"/>
              </w:rPr>
              <w:t>Non-occupational exposure only</w:t>
            </w:r>
          </w:p>
        </w:tc>
        <w:tc>
          <w:tcPr>
            <w:tcW w:w="1589" w:type="dxa"/>
          </w:tcPr>
          <w:p w14:paraId="5D44F6D0" w14:textId="6F655742" w:rsidR="00BC69B1" w:rsidRDefault="00BC69B1" w:rsidP="00BC69B1">
            <w:pPr>
              <w:jc w:val="center"/>
              <w:rPr>
                <w:rFonts w:ascii="Arial" w:hAnsi="Arial" w:cs="Arial"/>
                <w:sz w:val="20"/>
                <w:szCs w:val="20"/>
              </w:rPr>
            </w:pPr>
            <w:r>
              <w:rPr>
                <w:rFonts w:ascii="Arial" w:hAnsi="Arial" w:cs="Arial"/>
                <w:sz w:val="20"/>
                <w:szCs w:val="20"/>
              </w:rPr>
              <w:t>177 (21.5)</w:t>
            </w:r>
          </w:p>
        </w:tc>
        <w:tc>
          <w:tcPr>
            <w:tcW w:w="1589" w:type="dxa"/>
          </w:tcPr>
          <w:p w14:paraId="39BD5EFB" w14:textId="33EC9133" w:rsidR="00BC69B1" w:rsidRDefault="00BC69B1" w:rsidP="00BC69B1">
            <w:pPr>
              <w:jc w:val="center"/>
              <w:rPr>
                <w:rFonts w:ascii="Arial" w:hAnsi="Arial" w:cs="Arial"/>
                <w:sz w:val="20"/>
                <w:szCs w:val="20"/>
              </w:rPr>
            </w:pPr>
            <w:r>
              <w:rPr>
                <w:rFonts w:ascii="Arial" w:hAnsi="Arial" w:cs="Arial"/>
                <w:sz w:val="20"/>
                <w:szCs w:val="20"/>
              </w:rPr>
              <w:t>191 (93.2)</w:t>
            </w:r>
          </w:p>
        </w:tc>
        <w:tc>
          <w:tcPr>
            <w:tcW w:w="1590" w:type="dxa"/>
          </w:tcPr>
          <w:p w14:paraId="30F19FB9" w14:textId="65B9BE14" w:rsidR="00BC69B1" w:rsidRDefault="00BC69B1" w:rsidP="00BC69B1">
            <w:pPr>
              <w:jc w:val="center"/>
              <w:rPr>
                <w:rFonts w:ascii="Arial" w:hAnsi="Arial" w:cs="Arial"/>
                <w:sz w:val="20"/>
                <w:szCs w:val="20"/>
              </w:rPr>
            </w:pPr>
            <w:r>
              <w:rPr>
                <w:rFonts w:ascii="Arial" w:hAnsi="Arial" w:cs="Arial"/>
                <w:sz w:val="20"/>
                <w:szCs w:val="20"/>
              </w:rPr>
              <w:t>368 (35.8)</w:t>
            </w:r>
          </w:p>
        </w:tc>
      </w:tr>
      <w:tr w:rsidR="00BC69B1" w14:paraId="3A634AE9" w14:textId="77777777" w:rsidTr="00D51DF4">
        <w:tc>
          <w:tcPr>
            <w:tcW w:w="4248" w:type="dxa"/>
          </w:tcPr>
          <w:p w14:paraId="6E09438A" w14:textId="6460A86C" w:rsidR="00BC69B1" w:rsidRDefault="00BC69B1" w:rsidP="00BC69B1">
            <w:pPr>
              <w:jc w:val="right"/>
              <w:rPr>
                <w:rFonts w:ascii="Arial" w:hAnsi="Arial" w:cs="Arial"/>
                <w:sz w:val="20"/>
                <w:szCs w:val="20"/>
              </w:rPr>
            </w:pPr>
            <w:r w:rsidRPr="00626652">
              <w:rPr>
                <w:rFonts w:ascii="Arial" w:hAnsi="Arial" w:cs="Arial"/>
                <w:sz w:val="20"/>
                <w:szCs w:val="20"/>
              </w:rPr>
              <w:t>Both occupational and non-occupational exposure</w:t>
            </w:r>
          </w:p>
        </w:tc>
        <w:tc>
          <w:tcPr>
            <w:tcW w:w="1589" w:type="dxa"/>
          </w:tcPr>
          <w:p w14:paraId="7470F9DE" w14:textId="20C8857B" w:rsidR="00BC69B1" w:rsidRDefault="00BC69B1" w:rsidP="00BC69B1">
            <w:pPr>
              <w:jc w:val="center"/>
              <w:rPr>
                <w:rFonts w:ascii="Arial" w:hAnsi="Arial" w:cs="Arial"/>
                <w:sz w:val="20"/>
                <w:szCs w:val="20"/>
              </w:rPr>
            </w:pPr>
            <w:r>
              <w:rPr>
                <w:rFonts w:ascii="Arial" w:hAnsi="Arial" w:cs="Arial"/>
                <w:sz w:val="20"/>
                <w:szCs w:val="20"/>
              </w:rPr>
              <w:t>522 (63.4)</w:t>
            </w:r>
          </w:p>
        </w:tc>
        <w:tc>
          <w:tcPr>
            <w:tcW w:w="1589" w:type="dxa"/>
          </w:tcPr>
          <w:p w14:paraId="2D2EB9DA" w14:textId="1FC65D64" w:rsidR="00BC69B1" w:rsidRDefault="00BC69B1" w:rsidP="00BC69B1">
            <w:pPr>
              <w:jc w:val="center"/>
              <w:rPr>
                <w:rFonts w:ascii="Arial" w:hAnsi="Arial" w:cs="Arial"/>
                <w:sz w:val="20"/>
                <w:szCs w:val="20"/>
              </w:rPr>
            </w:pPr>
            <w:r>
              <w:rPr>
                <w:rFonts w:ascii="Arial" w:hAnsi="Arial" w:cs="Arial"/>
                <w:sz w:val="20"/>
                <w:szCs w:val="20"/>
              </w:rPr>
              <w:t>13 (6.3)</w:t>
            </w:r>
          </w:p>
        </w:tc>
        <w:tc>
          <w:tcPr>
            <w:tcW w:w="1590" w:type="dxa"/>
          </w:tcPr>
          <w:p w14:paraId="749CB1F0" w14:textId="3F100185" w:rsidR="00BC69B1" w:rsidRDefault="00BC69B1" w:rsidP="00BC69B1">
            <w:pPr>
              <w:jc w:val="center"/>
              <w:rPr>
                <w:rFonts w:ascii="Arial" w:hAnsi="Arial" w:cs="Arial"/>
                <w:sz w:val="20"/>
                <w:szCs w:val="20"/>
              </w:rPr>
            </w:pPr>
            <w:r>
              <w:rPr>
                <w:rFonts w:ascii="Arial" w:hAnsi="Arial" w:cs="Arial"/>
                <w:sz w:val="20"/>
                <w:szCs w:val="20"/>
              </w:rPr>
              <w:t>535 (52.0)</w:t>
            </w:r>
          </w:p>
        </w:tc>
      </w:tr>
      <w:tr w:rsidR="00BC69B1" w14:paraId="4950A571" w14:textId="77777777" w:rsidTr="00D51DF4">
        <w:tc>
          <w:tcPr>
            <w:tcW w:w="4248" w:type="dxa"/>
          </w:tcPr>
          <w:p w14:paraId="5979010D" w14:textId="6B2A2574" w:rsidR="00BC69B1" w:rsidRDefault="00BC69B1" w:rsidP="00BC69B1">
            <w:pPr>
              <w:jc w:val="right"/>
              <w:rPr>
                <w:rFonts w:ascii="Arial" w:hAnsi="Arial" w:cs="Arial"/>
                <w:sz w:val="20"/>
                <w:szCs w:val="20"/>
              </w:rPr>
            </w:pPr>
            <w:r w:rsidRPr="00626652">
              <w:rPr>
                <w:rFonts w:ascii="Arial" w:hAnsi="Arial" w:cs="Arial"/>
                <w:b/>
                <w:sz w:val="20"/>
                <w:szCs w:val="20"/>
              </w:rPr>
              <w:t>Total</w:t>
            </w:r>
          </w:p>
        </w:tc>
        <w:tc>
          <w:tcPr>
            <w:tcW w:w="1589" w:type="dxa"/>
          </w:tcPr>
          <w:p w14:paraId="122A3328" w14:textId="5750C7D4" w:rsidR="00BC69B1" w:rsidRDefault="00BC69B1" w:rsidP="00BC69B1">
            <w:pPr>
              <w:jc w:val="center"/>
              <w:rPr>
                <w:rFonts w:ascii="Arial" w:hAnsi="Arial" w:cs="Arial"/>
                <w:sz w:val="20"/>
                <w:szCs w:val="20"/>
              </w:rPr>
            </w:pPr>
            <w:r w:rsidRPr="00626652">
              <w:rPr>
                <w:rFonts w:ascii="Arial" w:hAnsi="Arial" w:cs="Arial"/>
                <w:b/>
                <w:sz w:val="20"/>
                <w:szCs w:val="20"/>
              </w:rPr>
              <w:t>823</w:t>
            </w:r>
            <w:r>
              <w:rPr>
                <w:rFonts w:ascii="Arial" w:hAnsi="Arial" w:cs="Arial"/>
                <w:b/>
                <w:sz w:val="20"/>
                <w:szCs w:val="20"/>
              </w:rPr>
              <w:t xml:space="preserve"> (100)</w:t>
            </w:r>
          </w:p>
        </w:tc>
        <w:tc>
          <w:tcPr>
            <w:tcW w:w="1589" w:type="dxa"/>
          </w:tcPr>
          <w:p w14:paraId="77F93A6D" w14:textId="2E9B985D" w:rsidR="00BC69B1" w:rsidRDefault="00BC69B1" w:rsidP="00BC69B1">
            <w:pPr>
              <w:jc w:val="center"/>
              <w:rPr>
                <w:rFonts w:ascii="Arial" w:hAnsi="Arial" w:cs="Arial"/>
                <w:sz w:val="20"/>
                <w:szCs w:val="20"/>
              </w:rPr>
            </w:pPr>
            <w:r w:rsidRPr="00626652">
              <w:rPr>
                <w:rFonts w:ascii="Arial" w:hAnsi="Arial" w:cs="Arial"/>
                <w:b/>
                <w:sz w:val="20"/>
                <w:szCs w:val="20"/>
              </w:rPr>
              <w:t>205</w:t>
            </w:r>
            <w:r>
              <w:rPr>
                <w:rFonts w:ascii="Arial" w:hAnsi="Arial" w:cs="Arial"/>
                <w:b/>
                <w:sz w:val="20"/>
                <w:szCs w:val="20"/>
              </w:rPr>
              <w:t xml:space="preserve"> (100)</w:t>
            </w:r>
          </w:p>
        </w:tc>
        <w:tc>
          <w:tcPr>
            <w:tcW w:w="1590" w:type="dxa"/>
          </w:tcPr>
          <w:p w14:paraId="2F4370F1" w14:textId="169E4848" w:rsidR="00BC69B1" w:rsidRDefault="00BC69B1" w:rsidP="00BC69B1">
            <w:pPr>
              <w:jc w:val="center"/>
              <w:rPr>
                <w:rFonts w:ascii="Arial" w:hAnsi="Arial" w:cs="Arial"/>
                <w:sz w:val="20"/>
                <w:szCs w:val="20"/>
              </w:rPr>
            </w:pPr>
            <w:r w:rsidRPr="00626652">
              <w:rPr>
                <w:rFonts w:ascii="Arial" w:hAnsi="Arial" w:cs="Arial"/>
                <w:b/>
                <w:sz w:val="20"/>
                <w:szCs w:val="20"/>
              </w:rPr>
              <w:t>1028</w:t>
            </w:r>
            <w:r>
              <w:rPr>
                <w:rFonts w:ascii="Arial" w:hAnsi="Arial" w:cs="Arial"/>
                <w:b/>
                <w:sz w:val="20"/>
                <w:szCs w:val="20"/>
              </w:rPr>
              <w:t xml:space="preserve"> (100)</w:t>
            </w:r>
          </w:p>
        </w:tc>
      </w:tr>
    </w:tbl>
    <w:p w14:paraId="504E3695" w14:textId="1EC64CC8" w:rsidR="00BC69B1" w:rsidRPr="00BD4FC0" w:rsidRDefault="00BC69B1" w:rsidP="00BC69B1">
      <w:pPr>
        <w:rPr>
          <w:rFonts w:ascii="Arial" w:hAnsi="Arial" w:cs="Arial"/>
          <w:sz w:val="16"/>
          <w:szCs w:val="16"/>
        </w:rPr>
      </w:pPr>
      <w:r w:rsidRPr="00BD4FC0">
        <w:rPr>
          <w:rFonts w:ascii="Arial" w:hAnsi="Arial" w:cs="Arial"/>
          <w:sz w:val="16"/>
          <w:szCs w:val="16"/>
        </w:rPr>
        <w:t xml:space="preserve">Note: </w:t>
      </w:r>
      <w:r>
        <w:rPr>
          <w:rFonts w:ascii="Arial" w:hAnsi="Arial" w:cs="Arial"/>
          <w:sz w:val="16"/>
          <w:szCs w:val="16"/>
        </w:rPr>
        <w:t xml:space="preserve">Amongst </w:t>
      </w:r>
      <w:r w:rsidRPr="00BD4FC0">
        <w:rPr>
          <w:rFonts w:ascii="Arial" w:hAnsi="Arial" w:cs="Arial"/>
          <w:sz w:val="16"/>
          <w:szCs w:val="16"/>
        </w:rPr>
        <w:t>the 1098 participants</w:t>
      </w:r>
      <w:r>
        <w:rPr>
          <w:rFonts w:ascii="Arial" w:hAnsi="Arial" w:cs="Arial"/>
          <w:sz w:val="16"/>
          <w:szCs w:val="16"/>
        </w:rPr>
        <w:t xml:space="preserve"> with information about asbestos exposure</w:t>
      </w:r>
      <w:r w:rsidRPr="00BD4FC0">
        <w:rPr>
          <w:rFonts w:ascii="Arial" w:hAnsi="Arial" w:cs="Arial"/>
          <w:sz w:val="16"/>
          <w:szCs w:val="16"/>
        </w:rPr>
        <w:t>, 70 (6.4%) (44 men and 26 women) were assessed as having neither occupational nor non-occupat</w:t>
      </w:r>
      <w:r>
        <w:rPr>
          <w:rFonts w:ascii="Arial" w:hAnsi="Arial" w:cs="Arial"/>
          <w:sz w:val="16"/>
          <w:szCs w:val="16"/>
        </w:rPr>
        <w:t>i</w:t>
      </w:r>
      <w:r w:rsidRPr="00BD4FC0">
        <w:rPr>
          <w:rFonts w:ascii="Arial" w:hAnsi="Arial" w:cs="Arial"/>
          <w:sz w:val="16"/>
          <w:szCs w:val="16"/>
        </w:rPr>
        <w:t>onal exposure. Although it was not possible to identify asbestos exposure among these participants, this should not be taken to mean that these participants have never been exposed to asbestos; rather it means that no evidence of above background exposure was obtained by the exposure methods used.</w:t>
      </w:r>
    </w:p>
    <w:p w14:paraId="6390C61F" w14:textId="77777777" w:rsidR="00BC69B1" w:rsidRPr="00BD4FC0" w:rsidRDefault="00BC69B1" w:rsidP="00BC69B1">
      <w:pPr>
        <w:rPr>
          <w:rFonts w:ascii="Arial" w:hAnsi="Arial" w:cs="Arial"/>
          <w:sz w:val="16"/>
          <w:szCs w:val="16"/>
        </w:rPr>
      </w:pPr>
    </w:p>
    <w:p w14:paraId="3434E6E2" w14:textId="77777777" w:rsidR="00D860D8" w:rsidRPr="001A6CAA" w:rsidRDefault="00D860D8" w:rsidP="00D860D8">
      <w:pPr>
        <w:rPr>
          <w:rFonts w:ascii="Arial" w:hAnsi="Arial" w:cs="Arial"/>
          <w:b/>
          <w:sz w:val="24"/>
          <w:szCs w:val="24"/>
        </w:rPr>
      </w:pPr>
    </w:p>
    <w:p w14:paraId="2BFDAFB0" w14:textId="6BEAA2AD" w:rsidR="007133B7" w:rsidRPr="007133B7" w:rsidRDefault="007133B7">
      <w:pPr>
        <w:rPr>
          <w:rFonts w:ascii="Arial" w:hAnsi="Arial" w:cs="Arial"/>
          <w:b/>
          <w:sz w:val="24"/>
          <w:szCs w:val="24"/>
          <w:lang w:eastAsia="en-US"/>
        </w:rPr>
      </w:pPr>
      <w:r w:rsidRPr="007133B7">
        <w:rPr>
          <w:rFonts w:ascii="Arial" w:hAnsi="Arial" w:cs="Arial"/>
          <w:b/>
          <w:sz w:val="24"/>
          <w:szCs w:val="24"/>
        </w:rPr>
        <w:br w:type="page"/>
      </w:r>
    </w:p>
    <w:p w14:paraId="2868B0DD" w14:textId="77777777" w:rsidR="00733178" w:rsidRPr="00C97C77" w:rsidRDefault="00733178" w:rsidP="00733178">
      <w:pPr>
        <w:pStyle w:val="Heading3"/>
        <w:rPr>
          <w:rFonts w:cs="Arial"/>
          <w:sz w:val="24"/>
          <w:szCs w:val="24"/>
        </w:rPr>
      </w:pPr>
      <w:r w:rsidRPr="00C97C77">
        <w:rPr>
          <w:rFonts w:cs="Arial"/>
          <w:sz w:val="24"/>
          <w:szCs w:val="24"/>
        </w:rPr>
        <w:lastRenderedPageBreak/>
        <w:t>References</w:t>
      </w:r>
    </w:p>
    <w:p w14:paraId="5355D072" w14:textId="77777777" w:rsidR="00733178" w:rsidRDefault="00733178" w:rsidP="00733178">
      <w:pPr>
        <w:pStyle w:val="Default"/>
        <w:numPr>
          <w:ilvl w:val="0"/>
          <w:numId w:val="32"/>
        </w:numPr>
        <w:rPr>
          <w:rFonts w:ascii="Arial" w:hAnsi="Arial" w:cs="Arial"/>
        </w:rPr>
      </w:pPr>
      <w:r w:rsidRPr="000A44BD">
        <w:rPr>
          <w:rFonts w:ascii="Arial" w:hAnsi="Arial" w:cs="Arial"/>
        </w:rPr>
        <w:t xml:space="preserve">Rake C, Gilham C, Hatch J, Darnton A, Hodgson J, Peto J. Occupational, domestic and environmental mesothelioma risks in the British population: a case–control study. Br J Cancer. 2009;100:1175–83. doi: 10.1038/sj.bjc.6604879. </w:t>
      </w:r>
    </w:p>
    <w:p w14:paraId="1E2A8E2B" w14:textId="77777777" w:rsidR="00733178" w:rsidRPr="000A44BD" w:rsidRDefault="00733178" w:rsidP="00733178">
      <w:pPr>
        <w:pStyle w:val="Default"/>
        <w:rPr>
          <w:rFonts w:ascii="Arial" w:hAnsi="Arial" w:cs="Arial"/>
        </w:rPr>
      </w:pPr>
    </w:p>
    <w:p w14:paraId="619CB88C" w14:textId="77777777" w:rsidR="00733178" w:rsidRDefault="00733178" w:rsidP="00733178">
      <w:pPr>
        <w:pStyle w:val="Default"/>
        <w:numPr>
          <w:ilvl w:val="0"/>
          <w:numId w:val="32"/>
        </w:numPr>
        <w:rPr>
          <w:rFonts w:ascii="Arial" w:hAnsi="Arial" w:cs="Arial"/>
        </w:rPr>
      </w:pPr>
      <w:r w:rsidRPr="000A44BD">
        <w:rPr>
          <w:rFonts w:ascii="Arial" w:hAnsi="Arial" w:cs="Arial"/>
        </w:rPr>
        <w:t xml:space="preserve">Rushton L, Hutchings SJ, Fortunato L, Young C, Evans GS, Brown T, et al. Occupational cancer burden in Great Britain. Br J Cancer. 2012;107(Suppl 1):S3–7. </w:t>
      </w:r>
    </w:p>
    <w:p w14:paraId="5460C426" w14:textId="77777777" w:rsidR="00733178" w:rsidRPr="000A44BD" w:rsidRDefault="00733178" w:rsidP="00733178">
      <w:pPr>
        <w:pStyle w:val="Default"/>
        <w:rPr>
          <w:rFonts w:ascii="Arial" w:hAnsi="Arial" w:cs="Arial"/>
        </w:rPr>
      </w:pPr>
    </w:p>
    <w:p w14:paraId="1F51D839" w14:textId="77777777" w:rsidR="00733178" w:rsidRDefault="00733178" w:rsidP="00733178">
      <w:pPr>
        <w:pStyle w:val="Default"/>
        <w:numPr>
          <w:ilvl w:val="0"/>
          <w:numId w:val="32"/>
        </w:numPr>
        <w:rPr>
          <w:rFonts w:ascii="Arial" w:hAnsi="Arial" w:cs="Arial"/>
        </w:rPr>
      </w:pPr>
      <w:r w:rsidRPr="000A44BD">
        <w:rPr>
          <w:rFonts w:ascii="Arial" w:hAnsi="Arial" w:cs="Arial"/>
        </w:rPr>
        <w:t xml:space="preserve">Lacourt A, Gramond C, Rolland P, Ducamp S, Audignon S, Astoul P, et al. Occupational and non-occupational attributable risk of asbestos exposure for malignant pleural mesothelioma. Thorax. 2014;69:532–9. </w:t>
      </w:r>
    </w:p>
    <w:p w14:paraId="21E0C432" w14:textId="77777777" w:rsidR="00733178" w:rsidRPr="000A44BD" w:rsidRDefault="00733178" w:rsidP="00733178">
      <w:pPr>
        <w:pStyle w:val="Default"/>
        <w:rPr>
          <w:rFonts w:ascii="Arial" w:hAnsi="Arial" w:cs="Arial"/>
        </w:rPr>
      </w:pPr>
    </w:p>
    <w:p w14:paraId="46D38290" w14:textId="77777777" w:rsidR="00733178" w:rsidRDefault="00733178" w:rsidP="00733178">
      <w:pPr>
        <w:pStyle w:val="Default"/>
        <w:numPr>
          <w:ilvl w:val="0"/>
          <w:numId w:val="32"/>
        </w:numPr>
        <w:rPr>
          <w:rFonts w:ascii="Arial" w:hAnsi="Arial" w:cs="Arial"/>
        </w:rPr>
      </w:pPr>
      <w:r w:rsidRPr="000A44BD">
        <w:rPr>
          <w:rFonts w:ascii="Arial" w:hAnsi="Arial" w:cs="Arial"/>
        </w:rPr>
        <w:t xml:space="preserve">Burdorf A, Heederik D. Applying quality criteria to exposure in asbestos epidemiology increases the estimated risk. Ann Occup Hyg. 2011;55:565–8. </w:t>
      </w:r>
    </w:p>
    <w:p w14:paraId="3B44A455" w14:textId="77777777" w:rsidR="00733178" w:rsidRPr="000A44BD" w:rsidRDefault="00733178" w:rsidP="00733178">
      <w:pPr>
        <w:pStyle w:val="Default"/>
        <w:rPr>
          <w:rFonts w:ascii="Arial" w:hAnsi="Arial" w:cs="Arial"/>
        </w:rPr>
      </w:pPr>
    </w:p>
    <w:p w14:paraId="5361186F" w14:textId="77777777" w:rsidR="00733178" w:rsidRDefault="00733178" w:rsidP="00733178">
      <w:pPr>
        <w:pStyle w:val="Default"/>
        <w:numPr>
          <w:ilvl w:val="0"/>
          <w:numId w:val="32"/>
        </w:numPr>
        <w:rPr>
          <w:rFonts w:ascii="Arial" w:hAnsi="Arial" w:cs="Arial"/>
        </w:rPr>
      </w:pPr>
      <w:r w:rsidRPr="000A44BD">
        <w:rPr>
          <w:rFonts w:ascii="Arial" w:hAnsi="Arial" w:cs="Arial"/>
        </w:rPr>
        <w:t xml:space="preserve">Singh SD, Henley SJ, Ryerson AB. Summary of notifiable noninfectious conditions and disease outbreaks: surveillance for cancer incidence and mortality—United States, 2011. MMWR Morb Mortal Wkly Rep. 2015; 62:11–51. </w:t>
      </w:r>
    </w:p>
    <w:p w14:paraId="4EF34612" w14:textId="77777777" w:rsidR="00733178" w:rsidRDefault="00733178" w:rsidP="00733178">
      <w:pPr>
        <w:pStyle w:val="Default"/>
        <w:rPr>
          <w:rFonts w:ascii="Arial" w:hAnsi="Arial" w:cs="Arial"/>
        </w:rPr>
      </w:pPr>
    </w:p>
    <w:p w14:paraId="65D40205" w14:textId="77777777" w:rsidR="00733178" w:rsidRPr="00CB65CD" w:rsidRDefault="00733178" w:rsidP="00733178">
      <w:pPr>
        <w:pStyle w:val="Default"/>
        <w:numPr>
          <w:ilvl w:val="0"/>
          <w:numId w:val="32"/>
        </w:numPr>
        <w:rPr>
          <w:rFonts w:ascii="Arial" w:hAnsi="Arial" w:cs="Arial"/>
        </w:rPr>
      </w:pPr>
      <w:r w:rsidRPr="004C1539">
        <w:rPr>
          <w:rFonts w:ascii="Arial" w:hAnsi="Arial" w:cs="Arial"/>
        </w:rPr>
        <w:t xml:space="preserve">GBD 2016 Occupational Carcinogens Collaborators.  Global and regional burden of cancer in 2016 arising from occupational exposure to selected carcinogens: a </w:t>
      </w:r>
      <w:r w:rsidRPr="00CB65CD">
        <w:rPr>
          <w:rFonts w:ascii="Arial" w:hAnsi="Arial" w:cs="Arial"/>
        </w:rPr>
        <w:t xml:space="preserve">systematic analysis for the Global Burden of Disease Study 2016.  Occupational and Environmental Medicine 2020;77(3):151-159. </w:t>
      </w:r>
    </w:p>
    <w:p w14:paraId="115E5FB9" w14:textId="77777777" w:rsidR="00733178" w:rsidRPr="00CB65CD" w:rsidRDefault="00733178" w:rsidP="00733178">
      <w:pPr>
        <w:pStyle w:val="ListParagraph"/>
        <w:rPr>
          <w:rFonts w:ascii="Arial" w:hAnsi="Arial" w:cs="Arial"/>
        </w:rPr>
      </w:pPr>
    </w:p>
    <w:p w14:paraId="6C8AF0E1" w14:textId="77777777" w:rsidR="00733178" w:rsidRPr="00CB65CD" w:rsidRDefault="00733178" w:rsidP="00733178">
      <w:pPr>
        <w:pStyle w:val="Default"/>
        <w:numPr>
          <w:ilvl w:val="0"/>
          <w:numId w:val="32"/>
        </w:numPr>
        <w:rPr>
          <w:rFonts w:ascii="Arial" w:hAnsi="Arial" w:cs="Arial"/>
        </w:rPr>
      </w:pPr>
      <w:r w:rsidRPr="00CB65CD">
        <w:rPr>
          <w:rFonts w:ascii="Arial" w:hAnsi="Arial" w:cs="Arial"/>
        </w:rPr>
        <w:t>Carbone et al. Consensus Report of the 2015 Weinman International Conference on Mesothelioma. J Thorac Oncol. 2016 August ; 11(8): 1246–1262.</w:t>
      </w:r>
    </w:p>
    <w:p w14:paraId="2947DC2E" w14:textId="77777777" w:rsidR="00733178" w:rsidRPr="00CB65CD" w:rsidRDefault="00733178" w:rsidP="00733178">
      <w:pPr>
        <w:pStyle w:val="ListParagraph"/>
        <w:rPr>
          <w:rFonts w:ascii="Arial" w:hAnsi="Arial" w:cs="Arial"/>
        </w:rPr>
      </w:pPr>
    </w:p>
    <w:p w14:paraId="770746D1" w14:textId="33FCEE88" w:rsidR="00CB65CD" w:rsidRPr="00CB65CD" w:rsidRDefault="00CB65CD" w:rsidP="00733178">
      <w:pPr>
        <w:pStyle w:val="Default"/>
        <w:numPr>
          <w:ilvl w:val="0"/>
          <w:numId w:val="32"/>
        </w:numPr>
        <w:rPr>
          <w:rFonts w:ascii="Arial" w:hAnsi="Arial" w:cs="Arial"/>
        </w:rPr>
      </w:pPr>
      <w:r w:rsidRPr="003C3B2A">
        <w:rPr>
          <w:rFonts w:ascii="Arial" w:hAnsi="Arial" w:cs="Arial"/>
          <w:noProof/>
        </w:rPr>
        <w:t>WHO. Thoracic Tumours. 5 ed. board TWCoTE, editor. Lyon: International Agency for Research on Cancer; 2021</w:t>
      </w:r>
    </w:p>
    <w:p w14:paraId="6D34C479" w14:textId="77777777" w:rsidR="00CB65CD" w:rsidRPr="00CB65CD" w:rsidRDefault="00CB65CD" w:rsidP="003C3B2A">
      <w:pPr>
        <w:pStyle w:val="ListParagraph"/>
        <w:rPr>
          <w:rFonts w:ascii="Arial" w:hAnsi="Arial" w:cs="Arial"/>
        </w:rPr>
      </w:pPr>
    </w:p>
    <w:p w14:paraId="44D68EAD" w14:textId="50B6271C" w:rsidR="00733178" w:rsidRPr="00CB65CD" w:rsidRDefault="00733178" w:rsidP="00733178">
      <w:pPr>
        <w:pStyle w:val="Default"/>
        <w:numPr>
          <w:ilvl w:val="0"/>
          <w:numId w:val="32"/>
        </w:numPr>
        <w:rPr>
          <w:rFonts w:ascii="Arial" w:hAnsi="Arial" w:cs="Arial"/>
        </w:rPr>
      </w:pPr>
      <w:r w:rsidRPr="00CB65CD">
        <w:rPr>
          <w:rFonts w:ascii="Arial" w:hAnsi="Arial" w:cs="Arial"/>
        </w:rPr>
        <w:t xml:space="preserve">Flores RM, Pass HI, Seshan VE, et al. Extrapleural pneumonectomy versus pleurectomy/decortication in the surgical management of malignant pleural mesothelioma: results in 663 patients. J Thorac Cardiovasc Surg. 2008; 135:620–626. </w:t>
      </w:r>
    </w:p>
    <w:p w14:paraId="762C6500" w14:textId="77777777" w:rsidR="00733178" w:rsidRPr="000A44BD" w:rsidRDefault="00733178" w:rsidP="00733178">
      <w:pPr>
        <w:pStyle w:val="Default"/>
        <w:rPr>
          <w:rFonts w:ascii="Arial" w:hAnsi="Arial" w:cs="Arial"/>
        </w:rPr>
      </w:pPr>
    </w:p>
    <w:p w14:paraId="202BAF42" w14:textId="77777777" w:rsidR="00733178" w:rsidRDefault="00733178" w:rsidP="00733178">
      <w:pPr>
        <w:pStyle w:val="Default"/>
        <w:numPr>
          <w:ilvl w:val="0"/>
          <w:numId w:val="32"/>
        </w:numPr>
        <w:rPr>
          <w:rFonts w:ascii="Arial" w:hAnsi="Arial" w:cs="Arial"/>
        </w:rPr>
      </w:pPr>
      <w:r w:rsidRPr="000A44BD">
        <w:rPr>
          <w:rFonts w:ascii="Arial" w:hAnsi="Arial" w:cs="Arial"/>
        </w:rPr>
        <w:t xml:space="preserve">Rusch VW. Extrapleural pneumonectomy and extended pleurectomy/decortication for malignant pleural mesothelioma: the Memorial Sloan-Kettering Cancer Center approach. Ann Cardiothorac Surg. 2012; 1:523–531.  </w:t>
      </w:r>
    </w:p>
    <w:p w14:paraId="46EF2D00" w14:textId="77777777" w:rsidR="00733178" w:rsidRDefault="00733178" w:rsidP="00733178">
      <w:pPr>
        <w:pStyle w:val="Default"/>
        <w:rPr>
          <w:rFonts w:ascii="Arial" w:hAnsi="Arial" w:cs="Arial"/>
        </w:rPr>
      </w:pPr>
    </w:p>
    <w:p w14:paraId="609E316A" w14:textId="77777777" w:rsidR="00733178" w:rsidRDefault="00733178" w:rsidP="00733178">
      <w:pPr>
        <w:pStyle w:val="Default"/>
        <w:numPr>
          <w:ilvl w:val="0"/>
          <w:numId w:val="32"/>
        </w:numPr>
        <w:rPr>
          <w:rFonts w:ascii="Arial" w:hAnsi="Arial" w:cs="Arial"/>
        </w:rPr>
      </w:pPr>
      <w:r w:rsidRPr="00F02843">
        <w:rPr>
          <w:rFonts w:ascii="Arial" w:hAnsi="Arial" w:cs="Arial"/>
        </w:rPr>
        <w:t xml:space="preserve">Soeberg MJ, Leigh J, Driscoll T, Armstrong B, Young JM, van Zandwijk N.  Incidence and survival trends for malignant pleural and peritoneal mesothelioma, Australia, 1982-2009.  Occup Environ Med. 2016;73(3):187-94. </w:t>
      </w:r>
    </w:p>
    <w:p w14:paraId="2FDA963C" w14:textId="77777777" w:rsidR="00733178" w:rsidRDefault="00733178" w:rsidP="00733178">
      <w:pPr>
        <w:pStyle w:val="ListParagraph"/>
        <w:rPr>
          <w:rFonts w:ascii="Arial" w:hAnsi="Arial" w:cs="Arial"/>
        </w:rPr>
      </w:pPr>
    </w:p>
    <w:p w14:paraId="6FC256C2" w14:textId="77777777" w:rsidR="00733178" w:rsidRDefault="00733178" w:rsidP="00733178">
      <w:pPr>
        <w:pStyle w:val="Default"/>
        <w:numPr>
          <w:ilvl w:val="0"/>
          <w:numId w:val="32"/>
        </w:numPr>
        <w:rPr>
          <w:rFonts w:ascii="Arial" w:hAnsi="Arial" w:cs="Arial"/>
        </w:rPr>
      </w:pPr>
      <w:r w:rsidRPr="000A44BD">
        <w:rPr>
          <w:rFonts w:ascii="Arial" w:hAnsi="Arial" w:cs="Arial"/>
        </w:rPr>
        <w:t>Beebe-Dimmer JL, Fryzek JP, Yee CL, et al. Mesothelioma in the United States: a Surveillance, Epidemiology, and End Results (SEER)-Medicare investigation of treatment patterns and overall survival. Clin Epidemiol. 2016;8:743–750.</w:t>
      </w:r>
    </w:p>
    <w:p w14:paraId="0D873DF3" w14:textId="77777777" w:rsidR="00733178" w:rsidRDefault="00733178" w:rsidP="00733178">
      <w:pPr>
        <w:pStyle w:val="ListParagraph"/>
        <w:rPr>
          <w:rFonts w:ascii="Arial" w:hAnsi="Arial" w:cs="Arial"/>
        </w:rPr>
      </w:pPr>
    </w:p>
    <w:p w14:paraId="1860554B" w14:textId="77777777" w:rsidR="00733178" w:rsidRDefault="00733178" w:rsidP="00733178">
      <w:pPr>
        <w:pStyle w:val="Default"/>
        <w:numPr>
          <w:ilvl w:val="0"/>
          <w:numId w:val="32"/>
        </w:numPr>
        <w:rPr>
          <w:rFonts w:ascii="Arial" w:hAnsi="Arial" w:cs="Arial"/>
        </w:rPr>
      </w:pPr>
      <w:r w:rsidRPr="004C1539">
        <w:rPr>
          <w:rFonts w:ascii="Arial" w:hAnsi="Arial" w:cs="Arial"/>
        </w:rPr>
        <w:lastRenderedPageBreak/>
        <w:t>Soeberg MJ, Vallance DA, Keena V, Takahashi K &amp; Leigh J. 2018. Australia’s ongoing legacy of asbestos: significant challenges remain even after the complete banning of asbestos almost fifteen years ago. International Journal of Environmental Research and Public Health 15:384.</w:t>
      </w:r>
    </w:p>
    <w:p w14:paraId="42B4D2B2" w14:textId="77777777" w:rsidR="00733178" w:rsidRDefault="00733178" w:rsidP="00733178">
      <w:pPr>
        <w:pStyle w:val="ListParagraph"/>
        <w:rPr>
          <w:rFonts w:ascii="Arial" w:hAnsi="Arial" w:cs="Arial"/>
        </w:rPr>
      </w:pPr>
    </w:p>
    <w:p w14:paraId="2E03D633" w14:textId="77777777" w:rsidR="00733178" w:rsidRPr="004C1539" w:rsidRDefault="00733178" w:rsidP="00733178">
      <w:pPr>
        <w:pStyle w:val="Default"/>
        <w:numPr>
          <w:ilvl w:val="0"/>
          <w:numId w:val="32"/>
        </w:numPr>
        <w:rPr>
          <w:rFonts w:ascii="Arial" w:hAnsi="Arial" w:cs="Arial"/>
        </w:rPr>
      </w:pPr>
      <w:r w:rsidRPr="004C1539">
        <w:rPr>
          <w:rFonts w:ascii="Arial" w:hAnsi="Arial" w:cs="Arial"/>
        </w:rPr>
        <w:t>Leigh J, Driscoll T.  Malignant mesothelioma in Australia, 1945 – 2002.  International Journal Occupational Environmental Health 2003;9:206-217.</w:t>
      </w:r>
    </w:p>
    <w:p w14:paraId="643D2CB4" w14:textId="77777777" w:rsidR="00733178" w:rsidRDefault="00733178" w:rsidP="00733178">
      <w:pPr>
        <w:pStyle w:val="Default"/>
        <w:rPr>
          <w:rFonts w:ascii="Arial" w:hAnsi="Arial" w:cs="Arial"/>
        </w:rPr>
      </w:pPr>
    </w:p>
    <w:p w14:paraId="19E8EEDA" w14:textId="77777777" w:rsidR="00733178" w:rsidRDefault="00733178" w:rsidP="00733178">
      <w:pPr>
        <w:pStyle w:val="Default"/>
        <w:numPr>
          <w:ilvl w:val="0"/>
          <w:numId w:val="32"/>
        </w:numPr>
        <w:rPr>
          <w:rFonts w:ascii="Arial" w:hAnsi="Arial" w:cs="Arial"/>
        </w:rPr>
      </w:pPr>
      <w:r w:rsidRPr="000A44BD">
        <w:rPr>
          <w:rFonts w:ascii="Arial" w:hAnsi="Arial" w:cs="Arial"/>
        </w:rPr>
        <w:t xml:space="preserve">Asbestos Safety and Eradication Agency (ASEA) 2016. Asbestos Safety and Eradication Agency Reports 2016. Asbestos: the International and Australian Contexts. Viewed 12 May 2020, </w:t>
      </w:r>
      <w:hyperlink r:id="rId14" w:history="1">
        <w:r w:rsidRPr="00A02657">
          <w:rPr>
            <w:rStyle w:val="Hyperlink"/>
            <w:rFonts w:ascii="Arial" w:hAnsi="Arial" w:cs="Arial"/>
          </w:rPr>
          <w:t>https://www.asbestossafety.gov.au/sites/default/files/documents/2017-10/ASEA_Reports_Asbestos_ International_Australian_contexts_ACC.pdf</w:t>
        </w:r>
      </w:hyperlink>
    </w:p>
    <w:p w14:paraId="181FE588" w14:textId="77777777" w:rsidR="00733178" w:rsidRPr="000A44BD" w:rsidRDefault="00733178" w:rsidP="00733178">
      <w:pPr>
        <w:pStyle w:val="Default"/>
        <w:rPr>
          <w:rFonts w:ascii="Arial" w:hAnsi="Arial" w:cs="Arial"/>
        </w:rPr>
      </w:pPr>
    </w:p>
    <w:p w14:paraId="1AB55F0F" w14:textId="77777777" w:rsidR="00733178" w:rsidRPr="00202719" w:rsidRDefault="00733178" w:rsidP="00733178">
      <w:pPr>
        <w:pStyle w:val="Default"/>
        <w:numPr>
          <w:ilvl w:val="0"/>
          <w:numId w:val="32"/>
        </w:numPr>
        <w:rPr>
          <w:rFonts w:ascii="Arial" w:hAnsi="Arial" w:cs="Arial"/>
        </w:rPr>
      </w:pPr>
      <w:r w:rsidRPr="00202719">
        <w:rPr>
          <w:rFonts w:ascii="Arial" w:hAnsi="Arial" w:cs="Arial"/>
        </w:rPr>
        <w:t>Ferguson DA, Berry G, Jelihovsky T, Andreas SB, Rogers AJ, Fung SC, Grimwood A, Thompson R. The Australian Mesothelioma Surveillance Program 1979-1985. Med J Aust. 1987 Aug 17;147(4):166-72. doi: 10.5694/j.1326-5377.1987.tb133348.x. PMID: 3657627.</w:t>
      </w:r>
    </w:p>
    <w:p w14:paraId="3B0C9552" w14:textId="77777777" w:rsidR="00733178" w:rsidRPr="00202719" w:rsidRDefault="00733178" w:rsidP="00733178">
      <w:pPr>
        <w:pStyle w:val="Default"/>
        <w:rPr>
          <w:rFonts w:ascii="Arial" w:hAnsi="Arial" w:cs="Arial"/>
        </w:rPr>
      </w:pPr>
    </w:p>
    <w:p w14:paraId="6CC94094" w14:textId="77777777" w:rsidR="00733178" w:rsidRDefault="00733178" w:rsidP="00733178">
      <w:pPr>
        <w:pStyle w:val="Default"/>
        <w:numPr>
          <w:ilvl w:val="0"/>
          <w:numId w:val="32"/>
        </w:numPr>
        <w:rPr>
          <w:rFonts w:ascii="Arial" w:hAnsi="Arial" w:cs="Arial"/>
        </w:rPr>
      </w:pPr>
      <w:r w:rsidRPr="00202719">
        <w:rPr>
          <w:rFonts w:ascii="Arial" w:hAnsi="Arial" w:cs="Arial"/>
        </w:rPr>
        <w:t>Leigh J, Corvalán CF, Grimwood A, Berry G, Ferguson DA, Thompson R. The incidence of malignant mesothelioma in Australia 1982-1988. Am J Ind Med. 1991;20(5):643-55. doi: 10.1002/ajim.4700200507. PMID: 1793106.</w:t>
      </w:r>
    </w:p>
    <w:p w14:paraId="7FBF6D24" w14:textId="77777777" w:rsidR="00733178" w:rsidRDefault="00733178" w:rsidP="00733178">
      <w:pPr>
        <w:pStyle w:val="AIHWbodytext"/>
        <w:numPr>
          <w:ilvl w:val="0"/>
          <w:numId w:val="32"/>
        </w:numPr>
        <w:rPr>
          <w:rFonts w:cs="Arial"/>
          <w:sz w:val="24"/>
          <w:szCs w:val="24"/>
          <w:lang w:eastAsia="en-AU"/>
        </w:rPr>
      </w:pPr>
      <w:r w:rsidRPr="002F20D7">
        <w:rPr>
          <w:rFonts w:cs="Arial"/>
          <w:sz w:val="24"/>
          <w:szCs w:val="24"/>
          <w:lang w:eastAsia="en-AU"/>
        </w:rPr>
        <w:t>MacFarlane E, Benke G, Sim M, Fritschi</w:t>
      </w:r>
      <w:r>
        <w:rPr>
          <w:rFonts w:cs="Arial"/>
          <w:sz w:val="24"/>
          <w:szCs w:val="24"/>
          <w:lang w:eastAsia="en-AU"/>
        </w:rPr>
        <w:t xml:space="preserve"> </w:t>
      </w:r>
      <w:r w:rsidRPr="002F20D7">
        <w:rPr>
          <w:rFonts w:cs="Arial"/>
          <w:sz w:val="24"/>
          <w:szCs w:val="24"/>
          <w:lang w:eastAsia="en-AU"/>
        </w:rPr>
        <w:t xml:space="preserve">L. OccIDEAS: An Innovative Tool to Assess Past Asbestos Exposure in the Australian Mesothelioma Registry. Safety and Health at Work, </w:t>
      </w:r>
      <w:r>
        <w:rPr>
          <w:rFonts w:cs="Arial"/>
          <w:sz w:val="24"/>
          <w:szCs w:val="24"/>
          <w:lang w:eastAsia="en-AU"/>
        </w:rPr>
        <w:t xml:space="preserve">2012; </w:t>
      </w:r>
      <w:r w:rsidRPr="002F20D7">
        <w:rPr>
          <w:rFonts w:cs="Arial"/>
          <w:sz w:val="24"/>
          <w:szCs w:val="24"/>
          <w:lang w:eastAsia="en-AU"/>
        </w:rPr>
        <w:t>3(1)</w:t>
      </w:r>
      <w:r>
        <w:rPr>
          <w:rFonts w:cs="Arial"/>
          <w:sz w:val="24"/>
          <w:szCs w:val="24"/>
          <w:lang w:eastAsia="en-AU"/>
        </w:rPr>
        <w:t>:</w:t>
      </w:r>
      <w:r w:rsidRPr="002F20D7">
        <w:rPr>
          <w:rFonts w:cs="Arial"/>
          <w:sz w:val="24"/>
          <w:szCs w:val="24"/>
          <w:lang w:eastAsia="en-AU"/>
        </w:rPr>
        <w:t xml:space="preserve"> 71-76.</w:t>
      </w:r>
    </w:p>
    <w:p w14:paraId="6DCAF630" w14:textId="77777777" w:rsidR="00733178" w:rsidRPr="004C1539" w:rsidRDefault="00733178" w:rsidP="00733178">
      <w:pPr>
        <w:pStyle w:val="Default"/>
        <w:numPr>
          <w:ilvl w:val="0"/>
          <w:numId w:val="32"/>
        </w:numPr>
        <w:rPr>
          <w:rFonts w:ascii="Arial" w:hAnsi="Arial" w:cs="Arial"/>
        </w:rPr>
      </w:pPr>
      <w:r w:rsidRPr="004C1539">
        <w:rPr>
          <w:rFonts w:ascii="Arial" w:hAnsi="Arial" w:cs="Arial"/>
        </w:rPr>
        <w:t>Hosmer DW, Lemeshow S. Goodness-of-fit tests for the multiple</w:t>
      </w:r>
      <w:r>
        <w:rPr>
          <w:rFonts w:ascii="Arial" w:hAnsi="Arial" w:cs="Arial"/>
        </w:rPr>
        <w:t xml:space="preserve"> </w:t>
      </w:r>
      <w:r w:rsidRPr="004C1539">
        <w:rPr>
          <w:rFonts w:ascii="Arial" w:hAnsi="Arial" w:cs="Arial"/>
        </w:rPr>
        <w:t>logistic regression model. Communications in Statistics 1980—Theory and Methods 9:1043–1069.</w:t>
      </w:r>
    </w:p>
    <w:p w14:paraId="1E536FDF" w14:textId="77777777" w:rsidR="00733178" w:rsidRDefault="00733178" w:rsidP="00733178">
      <w:pPr>
        <w:pStyle w:val="Default"/>
        <w:rPr>
          <w:rFonts w:ascii="Arial" w:hAnsi="Arial" w:cs="Arial"/>
        </w:rPr>
      </w:pPr>
    </w:p>
    <w:p w14:paraId="767A8F0A" w14:textId="4E136048" w:rsidR="00471260" w:rsidRDefault="00471260" w:rsidP="00733178">
      <w:pPr>
        <w:pStyle w:val="Default"/>
        <w:numPr>
          <w:ilvl w:val="0"/>
          <w:numId w:val="32"/>
        </w:numPr>
        <w:rPr>
          <w:rFonts w:ascii="Arial" w:hAnsi="Arial" w:cs="Arial"/>
        </w:rPr>
      </w:pPr>
      <w:r>
        <w:rPr>
          <w:rFonts w:ascii="Arial" w:hAnsi="Arial" w:cs="Arial"/>
        </w:rPr>
        <w:t xml:space="preserve">Carbone M, Harbour JW, </w:t>
      </w:r>
      <w:proofErr w:type="spellStart"/>
      <w:r>
        <w:rPr>
          <w:rFonts w:ascii="Arial" w:hAnsi="Arial" w:cs="Arial"/>
        </w:rPr>
        <w:t>Brugarolas</w:t>
      </w:r>
      <w:proofErr w:type="spellEnd"/>
      <w:r>
        <w:rPr>
          <w:rFonts w:ascii="Arial" w:hAnsi="Arial" w:cs="Arial"/>
        </w:rPr>
        <w:t xml:space="preserve"> J, </w:t>
      </w:r>
      <w:proofErr w:type="spellStart"/>
      <w:r>
        <w:rPr>
          <w:rFonts w:ascii="Arial" w:hAnsi="Arial" w:cs="Arial"/>
        </w:rPr>
        <w:t>Bononi</w:t>
      </w:r>
      <w:proofErr w:type="spellEnd"/>
      <w:r>
        <w:rPr>
          <w:rFonts w:ascii="Arial" w:hAnsi="Arial" w:cs="Arial"/>
        </w:rPr>
        <w:t xml:space="preserve"> A, Pagano I, Dey A, </w:t>
      </w:r>
      <w:proofErr w:type="spellStart"/>
      <w:r>
        <w:rPr>
          <w:rFonts w:ascii="Arial" w:hAnsi="Arial" w:cs="Arial"/>
        </w:rPr>
        <w:t>Krausz</w:t>
      </w:r>
      <w:proofErr w:type="spellEnd"/>
      <w:r>
        <w:rPr>
          <w:rFonts w:ascii="Arial" w:hAnsi="Arial" w:cs="Arial"/>
        </w:rPr>
        <w:t xml:space="preserve"> T, Pass HI, Yang H, </w:t>
      </w:r>
      <w:proofErr w:type="spellStart"/>
      <w:r>
        <w:rPr>
          <w:rFonts w:ascii="Arial" w:hAnsi="Arial" w:cs="Arial"/>
        </w:rPr>
        <w:t>Gaudino</w:t>
      </w:r>
      <w:proofErr w:type="spellEnd"/>
      <w:r>
        <w:rPr>
          <w:rFonts w:ascii="Arial" w:hAnsi="Arial" w:cs="Arial"/>
        </w:rPr>
        <w:t xml:space="preserve"> G. Biological mechanism and clinical significance of BAP1 mutations in human cancer. Cancer </w:t>
      </w:r>
      <w:proofErr w:type="spellStart"/>
      <w:r>
        <w:rPr>
          <w:rFonts w:ascii="Arial" w:hAnsi="Arial" w:cs="Arial"/>
        </w:rPr>
        <w:t>Discov</w:t>
      </w:r>
      <w:proofErr w:type="spellEnd"/>
      <w:r>
        <w:rPr>
          <w:rFonts w:ascii="Arial" w:hAnsi="Arial" w:cs="Arial"/>
        </w:rPr>
        <w:t xml:space="preserve"> 2020; 10:1103-20.</w:t>
      </w:r>
    </w:p>
    <w:p w14:paraId="56CE7BC0" w14:textId="77777777" w:rsidR="00471260" w:rsidRDefault="00471260" w:rsidP="00471260">
      <w:pPr>
        <w:pStyle w:val="ListParagraph"/>
        <w:rPr>
          <w:rFonts w:ascii="Arial" w:hAnsi="Arial" w:cs="Arial"/>
        </w:rPr>
      </w:pPr>
    </w:p>
    <w:p w14:paraId="01F78F2A" w14:textId="257AE39C" w:rsidR="00733178" w:rsidRDefault="00733178" w:rsidP="00733178">
      <w:pPr>
        <w:pStyle w:val="Default"/>
        <w:numPr>
          <w:ilvl w:val="0"/>
          <w:numId w:val="32"/>
        </w:numPr>
        <w:rPr>
          <w:rFonts w:ascii="Arial" w:hAnsi="Arial" w:cs="Arial"/>
        </w:rPr>
      </w:pPr>
      <w:r w:rsidRPr="000A44BD">
        <w:rPr>
          <w:rFonts w:ascii="Arial" w:hAnsi="Arial" w:cs="Arial"/>
        </w:rPr>
        <w:t>Carbone et al . Mesothelioma: scientific clues for prevention, diagnosis and therapy.  CA Cancer J Clin. 2019 September ; 69(5): 402–429. doi:10.3322/caac.21572</w:t>
      </w:r>
    </w:p>
    <w:p w14:paraId="113BE6DF" w14:textId="77777777" w:rsidR="00733178" w:rsidRPr="000A44BD" w:rsidRDefault="00733178" w:rsidP="00733178">
      <w:pPr>
        <w:pStyle w:val="Default"/>
        <w:ind w:left="720"/>
        <w:rPr>
          <w:rFonts w:ascii="Arial" w:hAnsi="Arial" w:cs="Arial"/>
        </w:rPr>
      </w:pPr>
    </w:p>
    <w:p w14:paraId="4214BDB9" w14:textId="00451428" w:rsidR="00733178" w:rsidRPr="00DE7756" w:rsidRDefault="00DE7756" w:rsidP="00DE7756">
      <w:pPr>
        <w:pStyle w:val="Default"/>
        <w:numPr>
          <w:ilvl w:val="0"/>
          <w:numId w:val="32"/>
        </w:numPr>
        <w:rPr>
          <w:rFonts w:ascii="Arial" w:hAnsi="Arial" w:cs="Arial"/>
        </w:rPr>
      </w:pPr>
      <w:r w:rsidRPr="00DE7756">
        <w:rPr>
          <w:rFonts w:ascii="Arial" w:hAnsi="Arial" w:cs="Arial"/>
        </w:rPr>
        <w:t xml:space="preserve">Marinaccio </w:t>
      </w:r>
      <w:r>
        <w:rPr>
          <w:rFonts w:ascii="Arial" w:hAnsi="Arial" w:cs="Arial"/>
        </w:rPr>
        <w:t xml:space="preserve">A, </w:t>
      </w:r>
      <w:r w:rsidRPr="00DE7756">
        <w:rPr>
          <w:rFonts w:ascii="Arial" w:hAnsi="Arial" w:cs="Arial"/>
        </w:rPr>
        <w:t xml:space="preserve">Corfiati M, Binazzi A, Di Marzio D, Bonafede M, Verardo M, Migliore E, Gennaro V, Mensi C, Schallemberg G, Mazzoleni G, Fedeli U, Negro C, Romanelli A, Chellini E, Grappasonni I, Pascucci C, Madeo G, Romeo E, Trafficante L, Carrozza F, Angelillo IF, Cavone D, Cauzillo G, Tallarigo F, Tumino R, Melis M; ReNaM Working Group. The epidemiological surveillance of malignant mesothelioma in Italy (1993-2015): methods, findings, and research perspectives. Epidemiol Prev. 2020 Jan-Feb;44(1):23-30. </w:t>
      </w:r>
    </w:p>
    <w:p w14:paraId="30BF4257" w14:textId="77777777" w:rsidR="00733178" w:rsidRDefault="00733178" w:rsidP="00733178">
      <w:pPr>
        <w:pStyle w:val="ListParagraph"/>
        <w:rPr>
          <w:rFonts w:ascii="Arial" w:hAnsi="Arial" w:cs="Arial"/>
        </w:rPr>
      </w:pPr>
    </w:p>
    <w:p w14:paraId="3460DF2B" w14:textId="77777777" w:rsidR="00733178" w:rsidRDefault="00733178" w:rsidP="00733178">
      <w:pPr>
        <w:pStyle w:val="Default"/>
        <w:numPr>
          <w:ilvl w:val="0"/>
          <w:numId w:val="32"/>
        </w:numPr>
        <w:rPr>
          <w:rFonts w:ascii="Arial" w:hAnsi="Arial" w:cs="Arial"/>
        </w:rPr>
      </w:pPr>
      <w:r w:rsidRPr="004C1539">
        <w:rPr>
          <w:rFonts w:ascii="Arial" w:hAnsi="Arial" w:cs="Arial"/>
        </w:rPr>
        <w:t xml:space="preserve">Goldberg M, Imbernon E, Rolland P, et al. The French National Mesothelioma Surveillance Program. Occup Environ Med. 2006;63(6): 390–395. </w:t>
      </w:r>
    </w:p>
    <w:p w14:paraId="035E4D1E" w14:textId="77777777" w:rsidR="00733178" w:rsidRDefault="00733178" w:rsidP="00733178">
      <w:pPr>
        <w:pStyle w:val="ListParagraph"/>
        <w:rPr>
          <w:rFonts w:ascii="Arial" w:hAnsi="Arial" w:cs="Arial"/>
        </w:rPr>
      </w:pPr>
    </w:p>
    <w:p w14:paraId="53C118DE" w14:textId="77777777" w:rsidR="00733178" w:rsidRDefault="00733178" w:rsidP="00733178">
      <w:pPr>
        <w:pStyle w:val="Default"/>
        <w:numPr>
          <w:ilvl w:val="0"/>
          <w:numId w:val="32"/>
        </w:numPr>
        <w:rPr>
          <w:rFonts w:ascii="Arial" w:hAnsi="Arial" w:cs="Arial"/>
        </w:rPr>
      </w:pPr>
      <w:r w:rsidRPr="004C1539">
        <w:rPr>
          <w:rFonts w:ascii="Arial" w:hAnsi="Arial" w:cs="Arial"/>
        </w:rPr>
        <w:lastRenderedPageBreak/>
        <w:t xml:space="preserve">Neumann V, Günther S, Müller KM, Fischer M. Malignant mesothelioma–German mesothelioma register 1987–1999. Int Arch Occup Environ Health. 2001;74(6):383–395. </w:t>
      </w:r>
    </w:p>
    <w:p w14:paraId="31E3D37E" w14:textId="77777777" w:rsidR="00733178" w:rsidRDefault="00733178" w:rsidP="00733178">
      <w:pPr>
        <w:pStyle w:val="ListParagraph"/>
        <w:rPr>
          <w:rFonts w:ascii="Arial" w:hAnsi="Arial" w:cs="Arial"/>
        </w:rPr>
      </w:pPr>
    </w:p>
    <w:p w14:paraId="7454B264" w14:textId="77777777" w:rsidR="00733178" w:rsidRDefault="00733178" w:rsidP="00733178">
      <w:pPr>
        <w:pStyle w:val="Default"/>
        <w:numPr>
          <w:ilvl w:val="0"/>
          <w:numId w:val="32"/>
        </w:numPr>
        <w:rPr>
          <w:rFonts w:ascii="Arial" w:hAnsi="Arial" w:cs="Arial"/>
        </w:rPr>
      </w:pPr>
      <w:r w:rsidRPr="004C1539">
        <w:rPr>
          <w:rFonts w:ascii="Arial" w:hAnsi="Arial" w:cs="Arial"/>
        </w:rPr>
        <w:t>Cummings KJ et al Workshop summary: Potential usefulness and feasibility of a US National Mesothelioma Registry. Am J Ind Med. 2020 February ; 63(2): 105–114.</w:t>
      </w:r>
    </w:p>
    <w:p w14:paraId="704C8BEE" w14:textId="77777777" w:rsidR="00733178" w:rsidRDefault="00733178" w:rsidP="00733178">
      <w:pPr>
        <w:pStyle w:val="Default"/>
        <w:rPr>
          <w:rFonts w:ascii="Arial" w:hAnsi="Arial" w:cs="Arial"/>
        </w:rPr>
      </w:pPr>
    </w:p>
    <w:p w14:paraId="66E3A70E" w14:textId="77777777" w:rsidR="00294F1B" w:rsidRDefault="00294F1B" w:rsidP="00294F1B">
      <w:pPr>
        <w:pStyle w:val="Default"/>
        <w:numPr>
          <w:ilvl w:val="0"/>
          <w:numId w:val="32"/>
        </w:numPr>
        <w:rPr>
          <w:rFonts w:ascii="Arial" w:hAnsi="Arial" w:cs="Arial"/>
        </w:rPr>
      </w:pPr>
      <w:r w:rsidRPr="004C1539">
        <w:rPr>
          <w:rFonts w:ascii="Arial" w:hAnsi="Arial" w:cs="Arial"/>
        </w:rPr>
        <w:t xml:space="preserve">Jung SH, Kim HR, Koh SB, Yong SJ, Chung MJ, Lee CH, Han J, Eom MS, Oh SS. A decade of malignant mesothelioma surveillance in Korea. Am J Ind Med. 2012 Oct;55(10):869-75. </w:t>
      </w:r>
    </w:p>
    <w:p w14:paraId="5FD36F55" w14:textId="77777777" w:rsidR="00294F1B" w:rsidRDefault="00294F1B" w:rsidP="00294F1B">
      <w:pPr>
        <w:pStyle w:val="Default"/>
        <w:ind w:left="360"/>
        <w:rPr>
          <w:rFonts w:ascii="Arial" w:hAnsi="Arial" w:cs="Arial"/>
        </w:rPr>
      </w:pPr>
    </w:p>
    <w:p w14:paraId="4D62EB24" w14:textId="77777777" w:rsidR="00294F1B" w:rsidRDefault="00294F1B" w:rsidP="00294F1B">
      <w:pPr>
        <w:pStyle w:val="ListParagraph"/>
        <w:rPr>
          <w:rFonts w:ascii="Arial" w:hAnsi="Arial" w:cs="Arial"/>
        </w:rPr>
      </w:pPr>
    </w:p>
    <w:p w14:paraId="43A10EFD" w14:textId="13D14F14" w:rsidR="00733178" w:rsidRDefault="00733178" w:rsidP="00733178">
      <w:pPr>
        <w:pStyle w:val="Default"/>
        <w:numPr>
          <w:ilvl w:val="0"/>
          <w:numId w:val="32"/>
        </w:numPr>
        <w:rPr>
          <w:rFonts w:ascii="Arial" w:hAnsi="Arial" w:cs="Arial"/>
        </w:rPr>
      </w:pPr>
      <w:r w:rsidRPr="000A44BD">
        <w:rPr>
          <w:rFonts w:ascii="Arial" w:hAnsi="Arial" w:cs="Arial"/>
        </w:rPr>
        <w:t xml:space="preserve">Ferrante P, Binazzi A, Branchi C, Marinaccio A. National epidemiological surveillance systems of mesothelioma cases. Epidemiol Prev. 2016;40(5):336–343. </w:t>
      </w:r>
    </w:p>
    <w:p w14:paraId="14C8DE8C" w14:textId="77777777" w:rsidR="00733178" w:rsidRDefault="00733178" w:rsidP="00733178">
      <w:pPr>
        <w:pStyle w:val="ListParagraph"/>
        <w:rPr>
          <w:rFonts w:ascii="Arial" w:hAnsi="Arial" w:cs="Arial"/>
        </w:rPr>
      </w:pPr>
    </w:p>
    <w:p w14:paraId="790E6424" w14:textId="77777777" w:rsidR="00733178" w:rsidRDefault="00733178" w:rsidP="00733178">
      <w:pPr>
        <w:pStyle w:val="Default"/>
        <w:numPr>
          <w:ilvl w:val="0"/>
          <w:numId w:val="32"/>
        </w:numPr>
        <w:rPr>
          <w:rFonts w:ascii="Arial" w:hAnsi="Arial" w:cs="Arial"/>
        </w:rPr>
      </w:pPr>
      <w:r w:rsidRPr="000A44BD">
        <w:rPr>
          <w:rFonts w:ascii="Arial" w:hAnsi="Arial" w:cs="Arial"/>
        </w:rPr>
        <w:t>Saddoughi SA, Abdelsattar ZM, Blackmon SH. National trends in the epidemiology of malignant pleural mesothelioma: a National Cancer Data Base study. Ann Thorac Surg. 2018;105(2):432–437.</w:t>
      </w:r>
    </w:p>
    <w:p w14:paraId="3824BDA1" w14:textId="77777777" w:rsidR="00733178" w:rsidRPr="000A44BD" w:rsidRDefault="00733178" w:rsidP="00733178">
      <w:pPr>
        <w:pStyle w:val="Default"/>
        <w:rPr>
          <w:rFonts w:ascii="Arial" w:hAnsi="Arial" w:cs="Arial"/>
        </w:rPr>
      </w:pPr>
    </w:p>
    <w:p w14:paraId="748B8966" w14:textId="77777777" w:rsidR="00733178" w:rsidRDefault="00733178" w:rsidP="00733178">
      <w:pPr>
        <w:pStyle w:val="Default"/>
        <w:numPr>
          <w:ilvl w:val="0"/>
          <w:numId w:val="32"/>
        </w:numPr>
        <w:rPr>
          <w:rFonts w:ascii="Arial" w:hAnsi="Arial" w:cs="Arial"/>
        </w:rPr>
      </w:pPr>
      <w:r w:rsidRPr="000A44BD">
        <w:rPr>
          <w:rFonts w:ascii="Arial" w:hAnsi="Arial" w:cs="Arial"/>
        </w:rPr>
        <w:t>Murthy VH, Krumholz HM, Gross CP. Participation in cancer clinical trials: race-, sex, and age-based disparities. JAMA. 2004;291 (22): 2720-26.</w:t>
      </w:r>
    </w:p>
    <w:p w14:paraId="28230BF0" w14:textId="77777777" w:rsidR="00733178" w:rsidRDefault="00733178" w:rsidP="00733178">
      <w:pPr>
        <w:pStyle w:val="ListParagraph"/>
        <w:rPr>
          <w:rFonts w:ascii="Arial" w:hAnsi="Arial" w:cs="Arial"/>
        </w:rPr>
      </w:pPr>
    </w:p>
    <w:p w14:paraId="638DAFA8" w14:textId="77777777" w:rsidR="00733178" w:rsidRDefault="00733178" w:rsidP="00733178">
      <w:pPr>
        <w:pStyle w:val="Default"/>
        <w:numPr>
          <w:ilvl w:val="0"/>
          <w:numId w:val="32"/>
        </w:numPr>
        <w:rPr>
          <w:rFonts w:ascii="Arial" w:hAnsi="Arial" w:cs="Arial"/>
        </w:rPr>
      </w:pPr>
      <w:r w:rsidRPr="000A44BD">
        <w:rPr>
          <w:rFonts w:ascii="Arial" w:hAnsi="Arial" w:cs="Arial"/>
        </w:rPr>
        <w:t xml:space="preserve">CDC Centre for Disease Control and Prevention. National Amyotrophic Lateral Sclerosis (ALS) Registry. </w:t>
      </w:r>
      <w:hyperlink r:id="rId15" w:history="1">
        <w:r w:rsidRPr="00A02657">
          <w:rPr>
            <w:rStyle w:val="Hyperlink"/>
            <w:rFonts w:ascii="Arial" w:hAnsi="Arial" w:cs="Arial"/>
          </w:rPr>
          <w:t>https://www.cdc.gov/als/Default.html Accessed 18 May 2022</w:t>
        </w:r>
      </w:hyperlink>
      <w:r w:rsidRPr="000A44BD">
        <w:rPr>
          <w:rFonts w:ascii="Arial" w:hAnsi="Arial" w:cs="Arial"/>
        </w:rPr>
        <w:t xml:space="preserve">. </w:t>
      </w:r>
    </w:p>
    <w:p w14:paraId="4D98A615" w14:textId="77777777" w:rsidR="00733178" w:rsidRDefault="00733178" w:rsidP="00733178">
      <w:pPr>
        <w:pStyle w:val="ListParagraph"/>
        <w:rPr>
          <w:rFonts w:ascii="Arial" w:hAnsi="Arial" w:cs="Arial"/>
        </w:rPr>
      </w:pPr>
    </w:p>
    <w:p w14:paraId="5DEC62C7" w14:textId="77777777" w:rsidR="003C3B2A" w:rsidRDefault="00733178" w:rsidP="003C3B2A">
      <w:pPr>
        <w:pStyle w:val="Default"/>
        <w:numPr>
          <w:ilvl w:val="0"/>
          <w:numId w:val="32"/>
        </w:numPr>
        <w:rPr>
          <w:rFonts w:ascii="Arial" w:hAnsi="Arial" w:cs="Arial"/>
        </w:rPr>
      </w:pPr>
      <w:r w:rsidRPr="00C97C77">
        <w:rPr>
          <w:rFonts w:ascii="Arial" w:hAnsi="Arial" w:cs="Arial"/>
        </w:rPr>
        <w:t xml:space="preserve">Safe Work Australia 2021. Australian Mesothelioma Registry. Canberra: SWA. Viewed 29 May 2021, </w:t>
      </w:r>
      <w:hyperlink r:id="rId16" w:history="1">
        <w:r w:rsidR="0075407A" w:rsidRPr="009D32E8">
          <w:rPr>
            <w:rStyle w:val="Hyperlink"/>
            <w:rFonts w:ascii="Arial" w:hAnsi="Arial" w:cs="Arial"/>
          </w:rPr>
          <w:t>https://www.safeworkaustralia.gov.au/about-us/careers/who-we-work/australian-mesothelioma-registry</w:t>
        </w:r>
      </w:hyperlink>
      <w:r w:rsidRPr="00C97C77">
        <w:rPr>
          <w:rFonts w:ascii="Arial" w:hAnsi="Arial" w:cs="Arial"/>
        </w:rPr>
        <w:t>.</w:t>
      </w:r>
    </w:p>
    <w:p w14:paraId="50965498" w14:textId="77777777" w:rsidR="003C3B2A" w:rsidRDefault="003C3B2A" w:rsidP="003C3B2A">
      <w:pPr>
        <w:pStyle w:val="ListParagraph"/>
        <w:rPr>
          <w:rFonts w:ascii="Arial" w:hAnsi="Arial" w:cs="Arial"/>
        </w:rPr>
      </w:pPr>
    </w:p>
    <w:p w14:paraId="78D0CAF9" w14:textId="29F5FC91" w:rsidR="003C3B2A" w:rsidRDefault="0075407A" w:rsidP="003C3B2A">
      <w:pPr>
        <w:pStyle w:val="Default"/>
        <w:numPr>
          <w:ilvl w:val="0"/>
          <w:numId w:val="32"/>
        </w:numPr>
        <w:rPr>
          <w:rFonts w:ascii="Arial" w:hAnsi="Arial" w:cs="Arial"/>
        </w:rPr>
      </w:pPr>
      <w:r w:rsidRPr="003C3B2A">
        <w:rPr>
          <w:rFonts w:ascii="Arial" w:hAnsi="Arial" w:cs="Arial"/>
        </w:rPr>
        <w:t xml:space="preserve">Husain AN, Colby TV, Ordonez NG, Allen TC, Attanoos RL, Beasley MB, et al. Guidelines for Pathologic Diagnosis of Malignant Mesothelioma 2017 Update of the Consensus Statement From the International Mesothelioma Interest Group. Archives of </w:t>
      </w:r>
      <w:r w:rsidR="003C3B2A">
        <w:rPr>
          <w:rFonts w:ascii="Arial" w:hAnsi="Arial" w:cs="Arial"/>
        </w:rPr>
        <w:t>P</w:t>
      </w:r>
      <w:r w:rsidRPr="003C3B2A">
        <w:rPr>
          <w:rFonts w:ascii="Arial" w:hAnsi="Arial" w:cs="Arial"/>
        </w:rPr>
        <w:t xml:space="preserve">athology &amp; </w:t>
      </w:r>
      <w:r w:rsidR="003C3B2A">
        <w:rPr>
          <w:rFonts w:ascii="Arial" w:hAnsi="Arial" w:cs="Arial"/>
        </w:rPr>
        <w:t>L</w:t>
      </w:r>
      <w:r w:rsidRPr="003C3B2A">
        <w:rPr>
          <w:rFonts w:ascii="Arial" w:hAnsi="Arial" w:cs="Arial"/>
        </w:rPr>
        <w:t xml:space="preserve">aboratory </w:t>
      </w:r>
      <w:r w:rsidR="003C3B2A">
        <w:rPr>
          <w:rFonts w:ascii="Arial" w:hAnsi="Arial" w:cs="Arial"/>
        </w:rPr>
        <w:t>M</w:t>
      </w:r>
      <w:r w:rsidRPr="003C3B2A">
        <w:rPr>
          <w:rFonts w:ascii="Arial" w:hAnsi="Arial" w:cs="Arial"/>
        </w:rPr>
        <w:t>edicine. 2018;142(1):89-108.</w:t>
      </w:r>
    </w:p>
    <w:p w14:paraId="7D07B8BA" w14:textId="77777777" w:rsidR="003C3B2A" w:rsidRDefault="003C3B2A" w:rsidP="003C3B2A">
      <w:pPr>
        <w:pStyle w:val="ListParagraph"/>
        <w:rPr>
          <w:rFonts w:ascii="Arial" w:hAnsi="Arial" w:cs="Arial"/>
        </w:rPr>
      </w:pPr>
    </w:p>
    <w:p w14:paraId="56560C72" w14:textId="54AD29BF" w:rsidR="003C3B2A" w:rsidRPr="003C3B2A" w:rsidRDefault="0075407A" w:rsidP="0075407A">
      <w:pPr>
        <w:pStyle w:val="Default"/>
        <w:numPr>
          <w:ilvl w:val="0"/>
          <w:numId w:val="32"/>
        </w:numPr>
        <w:rPr>
          <w:rFonts w:ascii="Arial" w:hAnsi="Arial" w:cs="Arial"/>
        </w:rPr>
      </w:pPr>
      <w:r w:rsidRPr="003C3B2A">
        <w:rPr>
          <w:rFonts w:ascii="Arial" w:hAnsi="Arial" w:cs="Arial"/>
        </w:rPr>
        <w:t xml:space="preserve">Henderson DW, Reid G, Kao SC, van Zandwijk N, Klebe S. Challenges and controversies in the diagnosis of mesothelioma: Part 1. Cytology-only diagnosis, biopsies, immunohistochemistry, discrimination between mesothelioma and reactive mesothelial hyperplasia, and biomarkers. Journal of </w:t>
      </w:r>
      <w:r w:rsidR="003C3B2A">
        <w:rPr>
          <w:rFonts w:ascii="Arial" w:hAnsi="Arial" w:cs="Arial"/>
        </w:rPr>
        <w:t>C</w:t>
      </w:r>
      <w:r w:rsidRPr="003C3B2A">
        <w:rPr>
          <w:rFonts w:ascii="Arial" w:hAnsi="Arial" w:cs="Arial"/>
        </w:rPr>
        <w:t xml:space="preserve">linical </w:t>
      </w:r>
      <w:r w:rsidR="003C3B2A">
        <w:rPr>
          <w:rFonts w:ascii="Arial" w:hAnsi="Arial" w:cs="Arial"/>
        </w:rPr>
        <w:t>P</w:t>
      </w:r>
      <w:r w:rsidRPr="003C3B2A">
        <w:rPr>
          <w:rFonts w:ascii="Arial" w:hAnsi="Arial" w:cs="Arial"/>
        </w:rPr>
        <w:t>athology. 2013;66(10):847-53.</w:t>
      </w:r>
    </w:p>
    <w:p w14:paraId="3E2867F3" w14:textId="77777777" w:rsidR="003C3B2A" w:rsidRPr="003C3B2A" w:rsidRDefault="003C3B2A" w:rsidP="003C3B2A">
      <w:pPr>
        <w:pStyle w:val="ListParagraph"/>
        <w:rPr>
          <w:rFonts w:ascii="Arial" w:hAnsi="Arial" w:cs="Arial"/>
          <w:sz w:val="24"/>
          <w:szCs w:val="24"/>
        </w:rPr>
      </w:pPr>
    </w:p>
    <w:p w14:paraId="1CDDEABA" w14:textId="6EEEE1BD" w:rsidR="003C3B2A" w:rsidRPr="003C3B2A" w:rsidRDefault="0075407A" w:rsidP="0075407A">
      <w:pPr>
        <w:pStyle w:val="Default"/>
        <w:numPr>
          <w:ilvl w:val="0"/>
          <w:numId w:val="32"/>
        </w:numPr>
        <w:rPr>
          <w:rFonts w:ascii="Arial" w:hAnsi="Arial" w:cs="Arial"/>
        </w:rPr>
      </w:pPr>
      <w:r w:rsidRPr="003C3B2A">
        <w:rPr>
          <w:rFonts w:ascii="Arial" w:hAnsi="Arial" w:cs="Arial"/>
        </w:rPr>
        <w:t xml:space="preserve">Henderson DW, Reid G, Kao SC, van Zandwijk N, Klebe S. Challenges and controversies in the diagnosis of malignant mesothelioma: Part 2. Malignant mesothelioma subtypes, pleural synovial sarcoma, molecular and prognostic aspects of mesothelioma, BAP1, aquaporin-1 and microRNA. Journal of </w:t>
      </w:r>
      <w:r w:rsidR="003C3B2A">
        <w:rPr>
          <w:rFonts w:ascii="Arial" w:hAnsi="Arial" w:cs="Arial"/>
        </w:rPr>
        <w:t>C</w:t>
      </w:r>
      <w:r w:rsidRPr="003C3B2A">
        <w:rPr>
          <w:rFonts w:ascii="Arial" w:hAnsi="Arial" w:cs="Arial"/>
        </w:rPr>
        <w:t xml:space="preserve">linical </w:t>
      </w:r>
      <w:r w:rsidR="003C3B2A">
        <w:rPr>
          <w:rFonts w:ascii="Arial" w:hAnsi="Arial" w:cs="Arial"/>
        </w:rPr>
        <w:t>P</w:t>
      </w:r>
      <w:r w:rsidRPr="003C3B2A">
        <w:rPr>
          <w:rFonts w:ascii="Arial" w:hAnsi="Arial" w:cs="Arial"/>
        </w:rPr>
        <w:t>athology. 2013;66(10):854-61.</w:t>
      </w:r>
    </w:p>
    <w:p w14:paraId="088298A5" w14:textId="77777777" w:rsidR="003C3B2A" w:rsidRPr="003C3B2A" w:rsidRDefault="003C3B2A" w:rsidP="003C3B2A">
      <w:pPr>
        <w:pStyle w:val="ListParagraph"/>
        <w:rPr>
          <w:rFonts w:ascii="Arial" w:hAnsi="Arial" w:cs="Arial"/>
          <w:sz w:val="24"/>
          <w:szCs w:val="24"/>
        </w:rPr>
      </w:pPr>
    </w:p>
    <w:p w14:paraId="1CF88BF3" w14:textId="5C3FDC4F" w:rsidR="00733178" w:rsidRPr="004E0DC7" w:rsidRDefault="003C3B2A" w:rsidP="009418CC">
      <w:pPr>
        <w:pStyle w:val="Default"/>
        <w:numPr>
          <w:ilvl w:val="0"/>
          <w:numId w:val="32"/>
        </w:numPr>
        <w:rPr>
          <w:rFonts w:ascii="Arial" w:hAnsi="Arial" w:cs="Arial"/>
          <w:b/>
        </w:rPr>
      </w:pPr>
      <w:r w:rsidRPr="004E0DC7">
        <w:rPr>
          <w:rFonts w:ascii="Arial" w:hAnsi="Arial" w:cs="Arial"/>
        </w:rPr>
        <w:lastRenderedPageBreak/>
        <w:t>Asbestos Diseases Research Institute organising Committee</w:t>
      </w:r>
      <w:r w:rsidR="0075407A" w:rsidRPr="004E0DC7">
        <w:rPr>
          <w:rFonts w:ascii="Arial" w:hAnsi="Arial" w:cs="Arial"/>
        </w:rPr>
        <w:t xml:space="preserve">. Guidelines  for the  Diagnosis  and Treatment of Malignant  Pleural  Mesothelioma. Approved on 2 July 2013.  </w:t>
      </w:r>
      <w:r w:rsidRPr="004E0DC7">
        <w:rPr>
          <w:rFonts w:ascii="Arial" w:hAnsi="Arial" w:cs="Arial"/>
        </w:rPr>
        <w:t xml:space="preserve">Available from : </w:t>
      </w:r>
      <w:hyperlink r:id="rId17" w:history="1">
        <w:r w:rsidRPr="004E0DC7">
          <w:rPr>
            <w:rFonts w:ascii="Arial" w:hAnsi="Arial" w:cs="Arial"/>
            <w:color w:val="0000FF"/>
            <w:u w:val="single"/>
          </w:rPr>
          <w:t>Guidelines-for-the-diagnosis-and-treatment-of-malignant-pleural-mesothelioma.pdf (adri.org.au)</w:t>
        </w:r>
      </w:hyperlink>
      <w:r w:rsidRPr="004E0DC7">
        <w:rPr>
          <w:rFonts w:ascii="Arial" w:hAnsi="Arial" w:cs="Arial"/>
          <w:color w:val="auto"/>
        </w:rPr>
        <w:t xml:space="preserve"> (Date last accessed 12</w:t>
      </w:r>
      <w:r w:rsidRPr="004E0DC7">
        <w:rPr>
          <w:rFonts w:ascii="Arial" w:hAnsi="Arial" w:cs="Arial"/>
          <w:color w:val="auto"/>
          <w:vertAlign w:val="superscript"/>
        </w:rPr>
        <w:t>th</w:t>
      </w:r>
      <w:r w:rsidRPr="004E0DC7">
        <w:rPr>
          <w:rFonts w:ascii="Arial" w:hAnsi="Arial" w:cs="Arial"/>
          <w:color w:val="auto"/>
        </w:rPr>
        <w:t xml:space="preserve"> Sept 2022) </w:t>
      </w:r>
    </w:p>
    <w:sectPr w:rsidR="00733178" w:rsidRPr="004E0DC7" w:rsidSect="00B4226E">
      <w:footerReference w:type="even" r:id="rId18"/>
      <w:footerReference w:type="default" r:id="rId19"/>
      <w:pgSz w:w="11906" w:h="16838" w:code="9"/>
      <w:pgMar w:top="1418" w:right="1418" w:bottom="1418" w:left="1418" w:header="1134"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BB572" w14:textId="77777777" w:rsidR="00D51DF4" w:rsidRDefault="00D51DF4">
      <w:r>
        <w:separator/>
      </w:r>
    </w:p>
  </w:endnote>
  <w:endnote w:type="continuationSeparator" w:id="0">
    <w:p w14:paraId="248154F1" w14:textId="77777777" w:rsidR="00D51DF4" w:rsidRDefault="00D5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Verdana"/>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508112"/>
      <w:docPartObj>
        <w:docPartGallery w:val="Page Numbers (Bottom of Page)"/>
        <w:docPartUnique/>
      </w:docPartObj>
    </w:sdtPr>
    <w:sdtEndPr>
      <w:rPr>
        <w:noProof/>
      </w:rPr>
    </w:sdtEndPr>
    <w:sdtContent>
      <w:p w14:paraId="300836B8" w14:textId="05A535FD" w:rsidR="00D51DF4" w:rsidRDefault="00D51DF4">
        <w:pPr>
          <w:pStyle w:val="Footer"/>
        </w:pPr>
        <w:r>
          <w:fldChar w:fldCharType="begin"/>
        </w:r>
        <w:r>
          <w:instrText xml:space="preserve"> PAGE   \* MERGEFORMAT </w:instrText>
        </w:r>
        <w:r>
          <w:fldChar w:fldCharType="separate"/>
        </w:r>
        <w:r>
          <w:rPr>
            <w:noProof/>
          </w:rPr>
          <w:t>2</w:t>
        </w:r>
        <w:r>
          <w:rPr>
            <w:noProof/>
          </w:rPr>
          <w:fldChar w:fldCharType="end"/>
        </w:r>
      </w:p>
    </w:sdtContent>
  </w:sdt>
  <w:p w14:paraId="598E0E7C" w14:textId="77777777" w:rsidR="00D51DF4" w:rsidRDefault="00D51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20634"/>
      <w:docPartObj>
        <w:docPartGallery w:val="Page Numbers (Bottom of Page)"/>
        <w:docPartUnique/>
      </w:docPartObj>
    </w:sdtPr>
    <w:sdtEndPr>
      <w:rPr>
        <w:noProof/>
      </w:rPr>
    </w:sdtEndPr>
    <w:sdtContent>
      <w:p w14:paraId="31972CD9" w14:textId="137604AC" w:rsidR="00D51DF4" w:rsidRDefault="00D51DF4">
        <w:pPr>
          <w:pStyle w:val="Footer"/>
        </w:pPr>
        <w:r>
          <w:fldChar w:fldCharType="begin"/>
        </w:r>
        <w:r>
          <w:instrText xml:space="preserve"> PAGE   \* MERGEFORMAT </w:instrText>
        </w:r>
        <w:r>
          <w:fldChar w:fldCharType="separate"/>
        </w:r>
        <w:r>
          <w:rPr>
            <w:noProof/>
          </w:rPr>
          <w:t>2</w:t>
        </w:r>
        <w:r>
          <w:rPr>
            <w:noProof/>
          </w:rPr>
          <w:fldChar w:fldCharType="end"/>
        </w:r>
      </w:p>
    </w:sdtContent>
  </w:sdt>
  <w:p w14:paraId="1A515033" w14:textId="77777777" w:rsidR="00D51DF4" w:rsidRDefault="00D51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E7C65" w14:textId="77777777" w:rsidR="00D51DF4" w:rsidRDefault="00D51DF4">
      <w:r>
        <w:separator/>
      </w:r>
    </w:p>
  </w:footnote>
  <w:footnote w:type="continuationSeparator" w:id="0">
    <w:p w14:paraId="3A6DEC69" w14:textId="77777777" w:rsidR="00D51DF4" w:rsidRDefault="00D51DF4">
      <w:r>
        <w:continuationSeparator/>
      </w:r>
    </w:p>
  </w:footnote>
  <w:footnote w:type="continuationNotice" w:id="1">
    <w:p w14:paraId="4AB0AB16" w14:textId="77777777" w:rsidR="00D51DF4" w:rsidRDefault="00D51DF4">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F910FE"/>
    <w:multiLevelType w:val="hybridMultilevel"/>
    <w:tmpl w:val="19C4C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00D40F8"/>
    <w:multiLevelType w:val="hybridMultilevel"/>
    <w:tmpl w:val="3D347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E7115"/>
    <w:multiLevelType w:val="hybridMultilevel"/>
    <w:tmpl w:val="EEAE3442"/>
    <w:lvl w:ilvl="0" w:tplc="EDD0C3D2">
      <w:start w:val="200"/>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50407DF"/>
    <w:multiLevelType w:val="hybridMultilevel"/>
    <w:tmpl w:val="4A728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0"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4F3C71"/>
    <w:multiLevelType w:val="hybridMultilevel"/>
    <w:tmpl w:val="2D52F338"/>
    <w:lvl w:ilvl="0" w:tplc="ED38FD3A">
      <w:start w:val="2"/>
      <w:numFmt w:val="bullet"/>
      <w:lvlText w:val="-"/>
      <w:lvlJc w:val="left"/>
      <w:pPr>
        <w:ind w:left="720" w:hanging="360"/>
      </w:pPr>
      <w:rPr>
        <w:rFonts w:ascii="Book Antiqua" w:eastAsia="Times New Roman" w:hAnsi="Book Antiqu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CA6D8B"/>
    <w:multiLevelType w:val="hybridMultilevel"/>
    <w:tmpl w:val="D61A30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4272182"/>
    <w:multiLevelType w:val="multilevel"/>
    <w:tmpl w:val="62CE05CA"/>
    <w:lvl w:ilvl="0">
      <w:start w:val="80"/>
      <w:numFmt w:val="decimal"/>
      <w:lvlText w:val="%1"/>
      <w:lvlJc w:val="left"/>
      <w:pPr>
        <w:ind w:left="612" w:hanging="612"/>
      </w:pPr>
      <w:rPr>
        <w:rFonts w:hint="default"/>
      </w:rPr>
    </w:lvl>
    <w:lvl w:ilvl="1">
      <w:start w:val="8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231D27"/>
    <w:multiLevelType w:val="hybridMultilevel"/>
    <w:tmpl w:val="CB80A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EA7C33"/>
    <w:multiLevelType w:val="hybridMultilevel"/>
    <w:tmpl w:val="E44C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99555F"/>
    <w:multiLevelType w:val="hybridMultilevel"/>
    <w:tmpl w:val="BD2CE3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E608D8"/>
    <w:multiLevelType w:val="hybridMultilevel"/>
    <w:tmpl w:val="96EEAFBA"/>
    <w:lvl w:ilvl="0" w:tplc="F61AE7FE">
      <w:start w:val="1"/>
      <w:numFmt w:val="decimal"/>
      <w:lvlText w:val="(%1)"/>
      <w:lvlJc w:val="left"/>
      <w:pPr>
        <w:ind w:left="744" w:hanging="384"/>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851754"/>
    <w:multiLevelType w:val="hybridMultilevel"/>
    <w:tmpl w:val="6F385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33" w15:restartNumberingAfterBreak="0">
    <w:nsid w:val="7E6115F6"/>
    <w:multiLevelType w:val="hybridMultilevel"/>
    <w:tmpl w:val="73F2AC12"/>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num w:numId="1">
    <w:abstractNumId w:val="28"/>
  </w:num>
  <w:num w:numId="2">
    <w:abstractNumId w:val="11"/>
  </w:num>
  <w:num w:numId="3">
    <w:abstractNumId w:val="25"/>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20"/>
  </w:num>
  <w:num w:numId="17">
    <w:abstractNumId w:val="32"/>
  </w:num>
  <w:num w:numId="18">
    <w:abstractNumId w:val="13"/>
  </w:num>
  <w:num w:numId="19">
    <w:abstractNumId w:val="12"/>
  </w:num>
  <w:num w:numId="20">
    <w:abstractNumId w:val="26"/>
  </w:num>
  <w:num w:numId="21">
    <w:abstractNumId w:val="18"/>
  </w:num>
  <w:num w:numId="22">
    <w:abstractNumId w:val="33"/>
  </w:num>
  <w:num w:numId="23">
    <w:abstractNumId w:val="31"/>
  </w:num>
  <w:num w:numId="24">
    <w:abstractNumId w:val="29"/>
  </w:num>
  <w:num w:numId="25">
    <w:abstractNumId w:val="17"/>
  </w:num>
  <w:num w:numId="26">
    <w:abstractNumId w:val="14"/>
  </w:num>
  <w:num w:numId="27">
    <w:abstractNumId w:val="24"/>
  </w:num>
  <w:num w:numId="28">
    <w:abstractNumId w:val="15"/>
  </w:num>
  <w:num w:numId="29">
    <w:abstractNumId w:val="16"/>
  </w:num>
  <w:num w:numId="30">
    <w:abstractNumId w:val="27"/>
  </w:num>
  <w:num w:numId="31">
    <w:abstractNumId w:val="21"/>
  </w:num>
  <w:num w:numId="32">
    <w:abstractNumId w:val="22"/>
  </w:num>
  <w:num w:numId="33">
    <w:abstractNumId w:val="23"/>
  </w:num>
  <w:num w:numId="34">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styleLockTheme/>
  <w:styleLockQFSet/>
  <w:defaultTabStop w:val="709"/>
  <w:evenAndOddHeaders/>
  <w:characterSpacingControl w:val="doNotCompress"/>
  <w:hdrShapeDefaults>
    <o:shapedefaults v:ext="edit" spidmax="38913"/>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1&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566E83"/>
    <w:rsid w:val="00003348"/>
    <w:rsid w:val="00006FF9"/>
    <w:rsid w:val="00007251"/>
    <w:rsid w:val="00011349"/>
    <w:rsid w:val="000145AA"/>
    <w:rsid w:val="00017E87"/>
    <w:rsid w:val="000220FF"/>
    <w:rsid w:val="00024416"/>
    <w:rsid w:val="0002535E"/>
    <w:rsid w:val="00026EE7"/>
    <w:rsid w:val="000305D4"/>
    <w:rsid w:val="0003145D"/>
    <w:rsid w:val="000348FD"/>
    <w:rsid w:val="00036C88"/>
    <w:rsid w:val="0004486C"/>
    <w:rsid w:val="000452C5"/>
    <w:rsid w:val="000516F4"/>
    <w:rsid w:val="000556D8"/>
    <w:rsid w:val="0006006D"/>
    <w:rsid w:val="0006330F"/>
    <w:rsid w:val="0006497C"/>
    <w:rsid w:val="0006751E"/>
    <w:rsid w:val="000714E4"/>
    <w:rsid w:val="000716CF"/>
    <w:rsid w:val="0007172A"/>
    <w:rsid w:val="000725C2"/>
    <w:rsid w:val="00076860"/>
    <w:rsid w:val="0007737D"/>
    <w:rsid w:val="000774D9"/>
    <w:rsid w:val="0008602F"/>
    <w:rsid w:val="00086078"/>
    <w:rsid w:val="00086780"/>
    <w:rsid w:val="00090C7D"/>
    <w:rsid w:val="0009309E"/>
    <w:rsid w:val="000A44BD"/>
    <w:rsid w:val="000A6F9D"/>
    <w:rsid w:val="000B127C"/>
    <w:rsid w:val="000B2821"/>
    <w:rsid w:val="000B37E4"/>
    <w:rsid w:val="000B7938"/>
    <w:rsid w:val="000C1B05"/>
    <w:rsid w:val="000C35EB"/>
    <w:rsid w:val="000C5ACA"/>
    <w:rsid w:val="000C60AC"/>
    <w:rsid w:val="000C60B7"/>
    <w:rsid w:val="000C774B"/>
    <w:rsid w:val="000D27A4"/>
    <w:rsid w:val="000D570C"/>
    <w:rsid w:val="000D6B4F"/>
    <w:rsid w:val="000E3246"/>
    <w:rsid w:val="000E3F6C"/>
    <w:rsid w:val="000E3F97"/>
    <w:rsid w:val="000E40F2"/>
    <w:rsid w:val="000E41A7"/>
    <w:rsid w:val="000E783B"/>
    <w:rsid w:val="000F1642"/>
    <w:rsid w:val="000F16DB"/>
    <w:rsid w:val="000F1CD1"/>
    <w:rsid w:val="000F4B5D"/>
    <w:rsid w:val="000F6F64"/>
    <w:rsid w:val="0010306A"/>
    <w:rsid w:val="00106294"/>
    <w:rsid w:val="00106C97"/>
    <w:rsid w:val="0011179F"/>
    <w:rsid w:val="00120E80"/>
    <w:rsid w:val="00125BB3"/>
    <w:rsid w:val="00135A1A"/>
    <w:rsid w:val="0013678E"/>
    <w:rsid w:val="00137EA2"/>
    <w:rsid w:val="00142B75"/>
    <w:rsid w:val="001447BB"/>
    <w:rsid w:val="00144EFE"/>
    <w:rsid w:val="00146E1B"/>
    <w:rsid w:val="0015175E"/>
    <w:rsid w:val="001573FD"/>
    <w:rsid w:val="001614C4"/>
    <w:rsid w:val="00161D26"/>
    <w:rsid w:val="00162325"/>
    <w:rsid w:val="00162C7A"/>
    <w:rsid w:val="00163B43"/>
    <w:rsid w:val="00171EFE"/>
    <w:rsid w:val="0017227B"/>
    <w:rsid w:val="00174042"/>
    <w:rsid w:val="001808BC"/>
    <w:rsid w:val="00180B09"/>
    <w:rsid w:val="0018287D"/>
    <w:rsid w:val="00187C40"/>
    <w:rsid w:val="0019252F"/>
    <w:rsid w:val="001928A4"/>
    <w:rsid w:val="0019374F"/>
    <w:rsid w:val="00194BB6"/>
    <w:rsid w:val="001A1E83"/>
    <w:rsid w:val="001A4DE7"/>
    <w:rsid w:val="001B0A9F"/>
    <w:rsid w:val="001B3243"/>
    <w:rsid w:val="001B3CE0"/>
    <w:rsid w:val="001C1AD8"/>
    <w:rsid w:val="001C6C92"/>
    <w:rsid w:val="001C70AE"/>
    <w:rsid w:val="001C7955"/>
    <w:rsid w:val="001D0359"/>
    <w:rsid w:val="001D05AD"/>
    <w:rsid w:val="001D0D4C"/>
    <w:rsid w:val="001D2462"/>
    <w:rsid w:val="001D24F5"/>
    <w:rsid w:val="001D4301"/>
    <w:rsid w:val="001D5ECD"/>
    <w:rsid w:val="001D73E4"/>
    <w:rsid w:val="001E04E0"/>
    <w:rsid w:val="001E3FA3"/>
    <w:rsid w:val="001E78D5"/>
    <w:rsid w:val="001F28B2"/>
    <w:rsid w:val="001F3775"/>
    <w:rsid w:val="001F4656"/>
    <w:rsid w:val="001F488B"/>
    <w:rsid w:val="001F5F41"/>
    <w:rsid w:val="00202719"/>
    <w:rsid w:val="00203FDE"/>
    <w:rsid w:val="00204A1F"/>
    <w:rsid w:val="00210B66"/>
    <w:rsid w:val="00212B9B"/>
    <w:rsid w:val="00212DD9"/>
    <w:rsid w:val="002154CC"/>
    <w:rsid w:val="002162E6"/>
    <w:rsid w:val="00221A03"/>
    <w:rsid w:val="00223307"/>
    <w:rsid w:val="00223535"/>
    <w:rsid w:val="00224CAD"/>
    <w:rsid w:val="00225BC7"/>
    <w:rsid w:val="00225BFE"/>
    <w:rsid w:val="00226BB5"/>
    <w:rsid w:val="00230BC6"/>
    <w:rsid w:val="00231CD5"/>
    <w:rsid w:val="00243E10"/>
    <w:rsid w:val="00244643"/>
    <w:rsid w:val="002504A3"/>
    <w:rsid w:val="002560A4"/>
    <w:rsid w:val="00257B34"/>
    <w:rsid w:val="00260634"/>
    <w:rsid w:val="002613B9"/>
    <w:rsid w:val="00261BCF"/>
    <w:rsid w:val="00261EC0"/>
    <w:rsid w:val="00263946"/>
    <w:rsid w:val="00264BF2"/>
    <w:rsid w:val="00265D6E"/>
    <w:rsid w:val="00265D85"/>
    <w:rsid w:val="00266395"/>
    <w:rsid w:val="00267E86"/>
    <w:rsid w:val="00267EF6"/>
    <w:rsid w:val="002701D8"/>
    <w:rsid w:val="0027331B"/>
    <w:rsid w:val="00275F22"/>
    <w:rsid w:val="00276367"/>
    <w:rsid w:val="00277622"/>
    <w:rsid w:val="00280B94"/>
    <w:rsid w:val="00284112"/>
    <w:rsid w:val="00290F75"/>
    <w:rsid w:val="00291D9C"/>
    <w:rsid w:val="00294F1B"/>
    <w:rsid w:val="002950F7"/>
    <w:rsid w:val="00295B25"/>
    <w:rsid w:val="00297FA1"/>
    <w:rsid w:val="002A0668"/>
    <w:rsid w:val="002A0B92"/>
    <w:rsid w:val="002A3144"/>
    <w:rsid w:val="002A4E2E"/>
    <w:rsid w:val="002A621F"/>
    <w:rsid w:val="002B2A03"/>
    <w:rsid w:val="002B2B6C"/>
    <w:rsid w:val="002B3E26"/>
    <w:rsid w:val="002B4D2D"/>
    <w:rsid w:val="002B52FA"/>
    <w:rsid w:val="002B5845"/>
    <w:rsid w:val="002B669F"/>
    <w:rsid w:val="002B78CA"/>
    <w:rsid w:val="002C02AC"/>
    <w:rsid w:val="002C30EB"/>
    <w:rsid w:val="002C5FDC"/>
    <w:rsid w:val="002C7631"/>
    <w:rsid w:val="002C7CB7"/>
    <w:rsid w:val="002D20AA"/>
    <w:rsid w:val="002D28DE"/>
    <w:rsid w:val="002D6770"/>
    <w:rsid w:val="002D76F5"/>
    <w:rsid w:val="002D7F90"/>
    <w:rsid w:val="002E1C9E"/>
    <w:rsid w:val="002E66E3"/>
    <w:rsid w:val="002F20D7"/>
    <w:rsid w:val="002F221A"/>
    <w:rsid w:val="002F37F6"/>
    <w:rsid w:val="002F4614"/>
    <w:rsid w:val="002F48B1"/>
    <w:rsid w:val="002F48D6"/>
    <w:rsid w:val="00314C48"/>
    <w:rsid w:val="0031627B"/>
    <w:rsid w:val="003164BF"/>
    <w:rsid w:val="00317151"/>
    <w:rsid w:val="0031730D"/>
    <w:rsid w:val="0032129A"/>
    <w:rsid w:val="00322772"/>
    <w:rsid w:val="003327B7"/>
    <w:rsid w:val="00332D40"/>
    <w:rsid w:val="0033386F"/>
    <w:rsid w:val="00333BFF"/>
    <w:rsid w:val="003342B3"/>
    <w:rsid w:val="0033783A"/>
    <w:rsid w:val="00337F62"/>
    <w:rsid w:val="003405A7"/>
    <w:rsid w:val="00343BF0"/>
    <w:rsid w:val="00347CBC"/>
    <w:rsid w:val="00350AB8"/>
    <w:rsid w:val="003600D2"/>
    <w:rsid w:val="003610FF"/>
    <w:rsid w:val="003621B4"/>
    <w:rsid w:val="0036233A"/>
    <w:rsid w:val="003649D4"/>
    <w:rsid w:val="00365422"/>
    <w:rsid w:val="003723A7"/>
    <w:rsid w:val="003732B8"/>
    <w:rsid w:val="00374C6B"/>
    <w:rsid w:val="00376170"/>
    <w:rsid w:val="0038101F"/>
    <w:rsid w:val="00384859"/>
    <w:rsid w:val="00393848"/>
    <w:rsid w:val="003A642A"/>
    <w:rsid w:val="003A70D1"/>
    <w:rsid w:val="003B1B07"/>
    <w:rsid w:val="003B5386"/>
    <w:rsid w:val="003B60F9"/>
    <w:rsid w:val="003B637B"/>
    <w:rsid w:val="003C09BF"/>
    <w:rsid w:val="003C1343"/>
    <w:rsid w:val="003C3628"/>
    <w:rsid w:val="003C3838"/>
    <w:rsid w:val="003C3B2A"/>
    <w:rsid w:val="003C3C87"/>
    <w:rsid w:val="003C4472"/>
    <w:rsid w:val="003C5769"/>
    <w:rsid w:val="003C6E24"/>
    <w:rsid w:val="003D4BC3"/>
    <w:rsid w:val="003D6BBA"/>
    <w:rsid w:val="003E00C6"/>
    <w:rsid w:val="003E10CD"/>
    <w:rsid w:val="003E1F44"/>
    <w:rsid w:val="003E2E53"/>
    <w:rsid w:val="003E420D"/>
    <w:rsid w:val="003E7DAA"/>
    <w:rsid w:val="003F3499"/>
    <w:rsid w:val="003F6F1B"/>
    <w:rsid w:val="004018E8"/>
    <w:rsid w:val="00402D9F"/>
    <w:rsid w:val="004042CC"/>
    <w:rsid w:val="00406DAE"/>
    <w:rsid w:val="0040700B"/>
    <w:rsid w:val="00407F62"/>
    <w:rsid w:val="00410801"/>
    <w:rsid w:val="00414BAA"/>
    <w:rsid w:val="004150F9"/>
    <w:rsid w:val="0041520A"/>
    <w:rsid w:val="00423802"/>
    <w:rsid w:val="004264D2"/>
    <w:rsid w:val="004309A9"/>
    <w:rsid w:val="00434F86"/>
    <w:rsid w:val="00435152"/>
    <w:rsid w:val="0043612A"/>
    <w:rsid w:val="00436162"/>
    <w:rsid w:val="00436E7D"/>
    <w:rsid w:val="00437154"/>
    <w:rsid w:val="00437CDF"/>
    <w:rsid w:val="0044278E"/>
    <w:rsid w:val="00445A8B"/>
    <w:rsid w:val="00445E26"/>
    <w:rsid w:val="0045322A"/>
    <w:rsid w:val="004550C8"/>
    <w:rsid w:val="0045639F"/>
    <w:rsid w:val="00460A29"/>
    <w:rsid w:val="00461420"/>
    <w:rsid w:val="00466888"/>
    <w:rsid w:val="004675DA"/>
    <w:rsid w:val="0047051B"/>
    <w:rsid w:val="00471260"/>
    <w:rsid w:val="0047159E"/>
    <w:rsid w:val="00471E87"/>
    <w:rsid w:val="004734FE"/>
    <w:rsid w:val="00473586"/>
    <w:rsid w:val="0047458A"/>
    <w:rsid w:val="00476AE1"/>
    <w:rsid w:val="00481A2F"/>
    <w:rsid w:val="00481C2D"/>
    <w:rsid w:val="0048321D"/>
    <w:rsid w:val="00485517"/>
    <w:rsid w:val="00485B51"/>
    <w:rsid w:val="00486434"/>
    <w:rsid w:val="0048747F"/>
    <w:rsid w:val="00490702"/>
    <w:rsid w:val="00491684"/>
    <w:rsid w:val="004920CB"/>
    <w:rsid w:val="004936F3"/>
    <w:rsid w:val="00493C5F"/>
    <w:rsid w:val="00494196"/>
    <w:rsid w:val="00494974"/>
    <w:rsid w:val="00494FBA"/>
    <w:rsid w:val="00495E88"/>
    <w:rsid w:val="004A296E"/>
    <w:rsid w:val="004A40F4"/>
    <w:rsid w:val="004B0D22"/>
    <w:rsid w:val="004B176E"/>
    <w:rsid w:val="004B4393"/>
    <w:rsid w:val="004B4B7B"/>
    <w:rsid w:val="004B57A8"/>
    <w:rsid w:val="004B59F6"/>
    <w:rsid w:val="004B6FE5"/>
    <w:rsid w:val="004C1055"/>
    <w:rsid w:val="004C444B"/>
    <w:rsid w:val="004C5779"/>
    <w:rsid w:val="004C6382"/>
    <w:rsid w:val="004C7203"/>
    <w:rsid w:val="004D0DF8"/>
    <w:rsid w:val="004D1A92"/>
    <w:rsid w:val="004D66AA"/>
    <w:rsid w:val="004D727D"/>
    <w:rsid w:val="004E0B00"/>
    <w:rsid w:val="004E0DC7"/>
    <w:rsid w:val="004E0FA2"/>
    <w:rsid w:val="004E20AE"/>
    <w:rsid w:val="004E250D"/>
    <w:rsid w:val="004E30EB"/>
    <w:rsid w:val="004F0918"/>
    <w:rsid w:val="004F21DF"/>
    <w:rsid w:val="004F51EE"/>
    <w:rsid w:val="004F56C6"/>
    <w:rsid w:val="004F5775"/>
    <w:rsid w:val="005008DB"/>
    <w:rsid w:val="0050357C"/>
    <w:rsid w:val="00510344"/>
    <w:rsid w:val="00510616"/>
    <w:rsid w:val="00510CD9"/>
    <w:rsid w:val="00511620"/>
    <w:rsid w:val="0051472D"/>
    <w:rsid w:val="00524141"/>
    <w:rsid w:val="00525E89"/>
    <w:rsid w:val="00526F88"/>
    <w:rsid w:val="0052727E"/>
    <w:rsid w:val="00527553"/>
    <w:rsid w:val="00530FD0"/>
    <w:rsid w:val="00532583"/>
    <w:rsid w:val="00533D47"/>
    <w:rsid w:val="005344C6"/>
    <w:rsid w:val="00534612"/>
    <w:rsid w:val="00537F49"/>
    <w:rsid w:val="0054348C"/>
    <w:rsid w:val="005501F6"/>
    <w:rsid w:val="005505CD"/>
    <w:rsid w:val="00550710"/>
    <w:rsid w:val="00553DA5"/>
    <w:rsid w:val="0055400F"/>
    <w:rsid w:val="00554A33"/>
    <w:rsid w:val="005550C6"/>
    <w:rsid w:val="00556B8F"/>
    <w:rsid w:val="00560A00"/>
    <w:rsid w:val="00563734"/>
    <w:rsid w:val="00566E83"/>
    <w:rsid w:val="00567C2C"/>
    <w:rsid w:val="00567CF5"/>
    <w:rsid w:val="0057102D"/>
    <w:rsid w:val="00571977"/>
    <w:rsid w:val="00572871"/>
    <w:rsid w:val="005747E4"/>
    <w:rsid w:val="00576A55"/>
    <w:rsid w:val="00580277"/>
    <w:rsid w:val="0058142B"/>
    <w:rsid w:val="00581701"/>
    <w:rsid w:val="00581F7D"/>
    <w:rsid w:val="0058565E"/>
    <w:rsid w:val="00586E52"/>
    <w:rsid w:val="00587A90"/>
    <w:rsid w:val="0059011B"/>
    <w:rsid w:val="00591181"/>
    <w:rsid w:val="00591C25"/>
    <w:rsid w:val="005924B2"/>
    <w:rsid w:val="005966C9"/>
    <w:rsid w:val="00596D3B"/>
    <w:rsid w:val="00596E78"/>
    <w:rsid w:val="005A5AFB"/>
    <w:rsid w:val="005A7026"/>
    <w:rsid w:val="005A73FF"/>
    <w:rsid w:val="005A7985"/>
    <w:rsid w:val="005B1D17"/>
    <w:rsid w:val="005B3744"/>
    <w:rsid w:val="005B5BC4"/>
    <w:rsid w:val="005B61F3"/>
    <w:rsid w:val="005C073F"/>
    <w:rsid w:val="005C0850"/>
    <w:rsid w:val="005C5070"/>
    <w:rsid w:val="005D1E5E"/>
    <w:rsid w:val="005D319D"/>
    <w:rsid w:val="005D4ACD"/>
    <w:rsid w:val="005D5274"/>
    <w:rsid w:val="005D5738"/>
    <w:rsid w:val="005D5A2D"/>
    <w:rsid w:val="005E3B19"/>
    <w:rsid w:val="005E5A15"/>
    <w:rsid w:val="005E6368"/>
    <w:rsid w:val="005E65E8"/>
    <w:rsid w:val="005F4DAC"/>
    <w:rsid w:val="005F5A61"/>
    <w:rsid w:val="00601134"/>
    <w:rsid w:val="00606746"/>
    <w:rsid w:val="00613F41"/>
    <w:rsid w:val="006159A9"/>
    <w:rsid w:val="006167F6"/>
    <w:rsid w:val="00616FD3"/>
    <w:rsid w:val="00621624"/>
    <w:rsid w:val="0062300E"/>
    <w:rsid w:val="00624AD2"/>
    <w:rsid w:val="00626652"/>
    <w:rsid w:val="00630CFD"/>
    <w:rsid w:val="006312CE"/>
    <w:rsid w:val="006345E4"/>
    <w:rsid w:val="00634DB0"/>
    <w:rsid w:val="00635414"/>
    <w:rsid w:val="00635E0A"/>
    <w:rsid w:val="00636047"/>
    <w:rsid w:val="006376DE"/>
    <w:rsid w:val="0064184B"/>
    <w:rsid w:val="00645E5B"/>
    <w:rsid w:val="00652372"/>
    <w:rsid w:val="00660014"/>
    <w:rsid w:val="00660900"/>
    <w:rsid w:val="00660AC7"/>
    <w:rsid w:val="006645D8"/>
    <w:rsid w:val="006678CF"/>
    <w:rsid w:val="00667A4A"/>
    <w:rsid w:val="00672FDB"/>
    <w:rsid w:val="00673729"/>
    <w:rsid w:val="006739C6"/>
    <w:rsid w:val="00675834"/>
    <w:rsid w:val="00677E6A"/>
    <w:rsid w:val="00681D38"/>
    <w:rsid w:val="00681E61"/>
    <w:rsid w:val="006830E2"/>
    <w:rsid w:val="00685329"/>
    <w:rsid w:val="00692E7F"/>
    <w:rsid w:val="00695D95"/>
    <w:rsid w:val="00697273"/>
    <w:rsid w:val="006A16E0"/>
    <w:rsid w:val="006A2A75"/>
    <w:rsid w:val="006A31CC"/>
    <w:rsid w:val="006A53E6"/>
    <w:rsid w:val="006A653B"/>
    <w:rsid w:val="006A7954"/>
    <w:rsid w:val="006A7BF2"/>
    <w:rsid w:val="006B34B7"/>
    <w:rsid w:val="006B3F61"/>
    <w:rsid w:val="006B4284"/>
    <w:rsid w:val="006B4CB8"/>
    <w:rsid w:val="006B5097"/>
    <w:rsid w:val="006B5B51"/>
    <w:rsid w:val="006B7411"/>
    <w:rsid w:val="006C59CE"/>
    <w:rsid w:val="006D0C92"/>
    <w:rsid w:val="006D47CE"/>
    <w:rsid w:val="006D4A12"/>
    <w:rsid w:val="006D5087"/>
    <w:rsid w:val="006D663C"/>
    <w:rsid w:val="006D78EE"/>
    <w:rsid w:val="006E3F9A"/>
    <w:rsid w:val="006E4A94"/>
    <w:rsid w:val="006E4B28"/>
    <w:rsid w:val="006E6760"/>
    <w:rsid w:val="006E67A7"/>
    <w:rsid w:val="006F2C13"/>
    <w:rsid w:val="006F365F"/>
    <w:rsid w:val="006F3F72"/>
    <w:rsid w:val="006F5AF6"/>
    <w:rsid w:val="006F67B7"/>
    <w:rsid w:val="00700C3B"/>
    <w:rsid w:val="00701E93"/>
    <w:rsid w:val="007030DC"/>
    <w:rsid w:val="00703535"/>
    <w:rsid w:val="0070420B"/>
    <w:rsid w:val="00710F8E"/>
    <w:rsid w:val="007120AD"/>
    <w:rsid w:val="007133B7"/>
    <w:rsid w:val="0072419F"/>
    <w:rsid w:val="007245C2"/>
    <w:rsid w:val="00731DDE"/>
    <w:rsid w:val="00732CC1"/>
    <w:rsid w:val="00733178"/>
    <w:rsid w:val="0073471F"/>
    <w:rsid w:val="007347DF"/>
    <w:rsid w:val="0073796F"/>
    <w:rsid w:val="00737D0F"/>
    <w:rsid w:val="007429F2"/>
    <w:rsid w:val="0075000E"/>
    <w:rsid w:val="007526D3"/>
    <w:rsid w:val="0075407A"/>
    <w:rsid w:val="007674FB"/>
    <w:rsid w:val="00770E12"/>
    <w:rsid w:val="00771292"/>
    <w:rsid w:val="007730AC"/>
    <w:rsid w:val="00774FBD"/>
    <w:rsid w:val="0077552C"/>
    <w:rsid w:val="00782498"/>
    <w:rsid w:val="00783626"/>
    <w:rsid w:val="00786381"/>
    <w:rsid w:val="00791AE7"/>
    <w:rsid w:val="00792319"/>
    <w:rsid w:val="007A25A6"/>
    <w:rsid w:val="007A29BA"/>
    <w:rsid w:val="007A6579"/>
    <w:rsid w:val="007A6940"/>
    <w:rsid w:val="007B036D"/>
    <w:rsid w:val="007B1240"/>
    <w:rsid w:val="007B34B7"/>
    <w:rsid w:val="007B626C"/>
    <w:rsid w:val="007B76D6"/>
    <w:rsid w:val="007B7B80"/>
    <w:rsid w:val="007C08B5"/>
    <w:rsid w:val="007C26A4"/>
    <w:rsid w:val="007C4043"/>
    <w:rsid w:val="007C4158"/>
    <w:rsid w:val="007C4E08"/>
    <w:rsid w:val="007C54BA"/>
    <w:rsid w:val="007C5D5A"/>
    <w:rsid w:val="007C75A1"/>
    <w:rsid w:val="007D0B6A"/>
    <w:rsid w:val="007D269E"/>
    <w:rsid w:val="007D35D9"/>
    <w:rsid w:val="007E16DC"/>
    <w:rsid w:val="007E2C3D"/>
    <w:rsid w:val="007E4C90"/>
    <w:rsid w:val="007E5091"/>
    <w:rsid w:val="007E627E"/>
    <w:rsid w:val="007E68A7"/>
    <w:rsid w:val="007F1D4B"/>
    <w:rsid w:val="007F3EF5"/>
    <w:rsid w:val="0080029B"/>
    <w:rsid w:val="00800377"/>
    <w:rsid w:val="008004A5"/>
    <w:rsid w:val="00802E4F"/>
    <w:rsid w:val="008060C1"/>
    <w:rsid w:val="00810772"/>
    <w:rsid w:val="00816FFD"/>
    <w:rsid w:val="00822739"/>
    <w:rsid w:val="008228D4"/>
    <w:rsid w:val="00822A7E"/>
    <w:rsid w:val="00822B0A"/>
    <w:rsid w:val="00824255"/>
    <w:rsid w:val="00824301"/>
    <w:rsid w:val="00825977"/>
    <w:rsid w:val="00826379"/>
    <w:rsid w:val="008276AD"/>
    <w:rsid w:val="00830464"/>
    <w:rsid w:val="00832BED"/>
    <w:rsid w:val="00840733"/>
    <w:rsid w:val="0084228D"/>
    <w:rsid w:val="008439B1"/>
    <w:rsid w:val="00843E20"/>
    <w:rsid w:val="008449EA"/>
    <w:rsid w:val="00847747"/>
    <w:rsid w:val="00847EC4"/>
    <w:rsid w:val="00850CED"/>
    <w:rsid w:val="00855606"/>
    <w:rsid w:val="00855EF5"/>
    <w:rsid w:val="00860328"/>
    <w:rsid w:val="008609A6"/>
    <w:rsid w:val="008623DD"/>
    <w:rsid w:val="0086346C"/>
    <w:rsid w:val="00863D1F"/>
    <w:rsid w:val="008640EF"/>
    <w:rsid w:val="0086491F"/>
    <w:rsid w:val="00872066"/>
    <w:rsid w:val="00872BBA"/>
    <w:rsid w:val="0087399B"/>
    <w:rsid w:val="0087433E"/>
    <w:rsid w:val="008776C0"/>
    <w:rsid w:val="00881601"/>
    <w:rsid w:val="0088194D"/>
    <w:rsid w:val="00882DBC"/>
    <w:rsid w:val="00883176"/>
    <w:rsid w:val="0088346D"/>
    <w:rsid w:val="008837B0"/>
    <w:rsid w:val="00884885"/>
    <w:rsid w:val="00885502"/>
    <w:rsid w:val="00886170"/>
    <w:rsid w:val="00887365"/>
    <w:rsid w:val="00887469"/>
    <w:rsid w:val="00887FC6"/>
    <w:rsid w:val="00890EC4"/>
    <w:rsid w:val="008920BD"/>
    <w:rsid w:val="00893191"/>
    <w:rsid w:val="00895557"/>
    <w:rsid w:val="008A6AD1"/>
    <w:rsid w:val="008B07DF"/>
    <w:rsid w:val="008B089C"/>
    <w:rsid w:val="008B5A60"/>
    <w:rsid w:val="008B6406"/>
    <w:rsid w:val="008B6EFA"/>
    <w:rsid w:val="008C1A68"/>
    <w:rsid w:val="008C2866"/>
    <w:rsid w:val="008D044E"/>
    <w:rsid w:val="008D15AB"/>
    <w:rsid w:val="008D1F0B"/>
    <w:rsid w:val="008D2ACC"/>
    <w:rsid w:val="008D45C6"/>
    <w:rsid w:val="008D5ED2"/>
    <w:rsid w:val="008E534C"/>
    <w:rsid w:val="008E579B"/>
    <w:rsid w:val="008F12BB"/>
    <w:rsid w:val="008F3405"/>
    <w:rsid w:val="008F3B8E"/>
    <w:rsid w:val="008F7A00"/>
    <w:rsid w:val="008F7F9F"/>
    <w:rsid w:val="00900037"/>
    <w:rsid w:val="00902A3C"/>
    <w:rsid w:val="00903DEC"/>
    <w:rsid w:val="00906E02"/>
    <w:rsid w:val="00911E5F"/>
    <w:rsid w:val="00912515"/>
    <w:rsid w:val="009133FA"/>
    <w:rsid w:val="00915102"/>
    <w:rsid w:val="0091651A"/>
    <w:rsid w:val="0092010A"/>
    <w:rsid w:val="00922B37"/>
    <w:rsid w:val="00924163"/>
    <w:rsid w:val="00925B61"/>
    <w:rsid w:val="00925C3E"/>
    <w:rsid w:val="009278D0"/>
    <w:rsid w:val="00930520"/>
    <w:rsid w:val="00933579"/>
    <w:rsid w:val="0094670A"/>
    <w:rsid w:val="00947692"/>
    <w:rsid w:val="00947757"/>
    <w:rsid w:val="00951B81"/>
    <w:rsid w:val="00952747"/>
    <w:rsid w:val="00953F15"/>
    <w:rsid w:val="009562C4"/>
    <w:rsid w:val="00957421"/>
    <w:rsid w:val="00962872"/>
    <w:rsid w:val="009634A5"/>
    <w:rsid w:val="00963773"/>
    <w:rsid w:val="0096503C"/>
    <w:rsid w:val="00966390"/>
    <w:rsid w:val="009667FA"/>
    <w:rsid w:val="00967901"/>
    <w:rsid w:val="00971D8F"/>
    <w:rsid w:val="00972BBC"/>
    <w:rsid w:val="009754C2"/>
    <w:rsid w:val="009776B8"/>
    <w:rsid w:val="00980339"/>
    <w:rsid w:val="00981CC8"/>
    <w:rsid w:val="00981EDC"/>
    <w:rsid w:val="00983976"/>
    <w:rsid w:val="009850DF"/>
    <w:rsid w:val="0098660E"/>
    <w:rsid w:val="00987A8F"/>
    <w:rsid w:val="00991157"/>
    <w:rsid w:val="00991CE8"/>
    <w:rsid w:val="009921E5"/>
    <w:rsid w:val="00993976"/>
    <w:rsid w:val="009A17BE"/>
    <w:rsid w:val="009A23A0"/>
    <w:rsid w:val="009A4751"/>
    <w:rsid w:val="009B1C5F"/>
    <w:rsid w:val="009B241D"/>
    <w:rsid w:val="009B2765"/>
    <w:rsid w:val="009B6469"/>
    <w:rsid w:val="009C46E6"/>
    <w:rsid w:val="009D05B0"/>
    <w:rsid w:val="009D1390"/>
    <w:rsid w:val="009D2AC1"/>
    <w:rsid w:val="009D3E0A"/>
    <w:rsid w:val="009D55D7"/>
    <w:rsid w:val="009D7635"/>
    <w:rsid w:val="009D7BA8"/>
    <w:rsid w:val="009E08C6"/>
    <w:rsid w:val="009E13B7"/>
    <w:rsid w:val="009E38EF"/>
    <w:rsid w:val="009E7AB1"/>
    <w:rsid w:val="009F0728"/>
    <w:rsid w:val="009F0E39"/>
    <w:rsid w:val="009F2E57"/>
    <w:rsid w:val="00A022EF"/>
    <w:rsid w:val="00A04C15"/>
    <w:rsid w:val="00A060A0"/>
    <w:rsid w:val="00A11FC1"/>
    <w:rsid w:val="00A12D55"/>
    <w:rsid w:val="00A13322"/>
    <w:rsid w:val="00A16446"/>
    <w:rsid w:val="00A2046C"/>
    <w:rsid w:val="00A20F11"/>
    <w:rsid w:val="00A22385"/>
    <w:rsid w:val="00A26053"/>
    <w:rsid w:val="00A27D09"/>
    <w:rsid w:val="00A30128"/>
    <w:rsid w:val="00A30A53"/>
    <w:rsid w:val="00A342B8"/>
    <w:rsid w:val="00A3517E"/>
    <w:rsid w:val="00A36776"/>
    <w:rsid w:val="00A41E41"/>
    <w:rsid w:val="00A43BEE"/>
    <w:rsid w:val="00A44887"/>
    <w:rsid w:val="00A462E9"/>
    <w:rsid w:val="00A4635D"/>
    <w:rsid w:val="00A46BBB"/>
    <w:rsid w:val="00A47329"/>
    <w:rsid w:val="00A479A7"/>
    <w:rsid w:val="00A51635"/>
    <w:rsid w:val="00A522AF"/>
    <w:rsid w:val="00A534C6"/>
    <w:rsid w:val="00A5370E"/>
    <w:rsid w:val="00A539DD"/>
    <w:rsid w:val="00A54AFA"/>
    <w:rsid w:val="00A562C0"/>
    <w:rsid w:val="00A61CA6"/>
    <w:rsid w:val="00A61E29"/>
    <w:rsid w:val="00A62DF5"/>
    <w:rsid w:val="00A63B1E"/>
    <w:rsid w:val="00A66CCF"/>
    <w:rsid w:val="00A70BB9"/>
    <w:rsid w:val="00A71CA8"/>
    <w:rsid w:val="00A77CDD"/>
    <w:rsid w:val="00A8006C"/>
    <w:rsid w:val="00A80B02"/>
    <w:rsid w:val="00A82FB8"/>
    <w:rsid w:val="00A851EC"/>
    <w:rsid w:val="00A913C5"/>
    <w:rsid w:val="00A9206D"/>
    <w:rsid w:val="00A92BD6"/>
    <w:rsid w:val="00A94F6E"/>
    <w:rsid w:val="00A95A38"/>
    <w:rsid w:val="00A96D30"/>
    <w:rsid w:val="00AA00B1"/>
    <w:rsid w:val="00AA2F1E"/>
    <w:rsid w:val="00AA343C"/>
    <w:rsid w:val="00AA44DB"/>
    <w:rsid w:val="00AB179F"/>
    <w:rsid w:val="00AB45A2"/>
    <w:rsid w:val="00AC13EE"/>
    <w:rsid w:val="00AC19F5"/>
    <w:rsid w:val="00AC1B67"/>
    <w:rsid w:val="00AC2CF9"/>
    <w:rsid w:val="00AC5E44"/>
    <w:rsid w:val="00AC65F1"/>
    <w:rsid w:val="00AC6985"/>
    <w:rsid w:val="00AD044E"/>
    <w:rsid w:val="00AD18D2"/>
    <w:rsid w:val="00AD1B5A"/>
    <w:rsid w:val="00AD2FB0"/>
    <w:rsid w:val="00AD3ED3"/>
    <w:rsid w:val="00AD7CD9"/>
    <w:rsid w:val="00AE0680"/>
    <w:rsid w:val="00AE1847"/>
    <w:rsid w:val="00AE3401"/>
    <w:rsid w:val="00AF1190"/>
    <w:rsid w:val="00AF157F"/>
    <w:rsid w:val="00AF1EFD"/>
    <w:rsid w:val="00AF2165"/>
    <w:rsid w:val="00AF465D"/>
    <w:rsid w:val="00AF47D6"/>
    <w:rsid w:val="00B0263E"/>
    <w:rsid w:val="00B07417"/>
    <w:rsid w:val="00B07A34"/>
    <w:rsid w:val="00B1089A"/>
    <w:rsid w:val="00B1358F"/>
    <w:rsid w:val="00B13FA8"/>
    <w:rsid w:val="00B14E4C"/>
    <w:rsid w:val="00B14F74"/>
    <w:rsid w:val="00B22086"/>
    <w:rsid w:val="00B22654"/>
    <w:rsid w:val="00B22AE8"/>
    <w:rsid w:val="00B25354"/>
    <w:rsid w:val="00B2640B"/>
    <w:rsid w:val="00B267BA"/>
    <w:rsid w:val="00B321FB"/>
    <w:rsid w:val="00B3253A"/>
    <w:rsid w:val="00B34153"/>
    <w:rsid w:val="00B35CA5"/>
    <w:rsid w:val="00B3757C"/>
    <w:rsid w:val="00B4226E"/>
    <w:rsid w:val="00B477E1"/>
    <w:rsid w:val="00B5119F"/>
    <w:rsid w:val="00B51C1C"/>
    <w:rsid w:val="00B55681"/>
    <w:rsid w:val="00B56051"/>
    <w:rsid w:val="00B61BE0"/>
    <w:rsid w:val="00B63AF9"/>
    <w:rsid w:val="00B63BD6"/>
    <w:rsid w:val="00B748EC"/>
    <w:rsid w:val="00B74E30"/>
    <w:rsid w:val="00B82043"/>
    <w:rsid w:val="00B85B20"/>
    <w:rsid w:val="00B85D89"/>
    <w:rsid w:val="00B92B07"/>
    <w:rsid w:val="00BA12D1"/>
    <w:rsid w:val="00BA4FC3"/>
    <w:rsid w:val="00BB0412"/>
    <w:rsid w:val="00BB0645"/>
    <w:rsid w:val="00BB0FA7"/>
    <w:rsid w:val="00BB21C4"/>
    <w:rsid w:val="00BB25BD"/>
    <w:rsid w:val="00BB3576"/>
    <w:rsid w:val="00BB3A21"/>
    <w:rsid w:val="00BB54A1"/>
    <w:rsid w:val="00BB7A9D"/>
    <w:rsid w:val="00BC238D"/>
    <w:rsid w:val="00BC3DD5"/>
    <w:rsid w:val="00BC55DF"/>
    <w:rsid w:val="00BC6785"/>
    <w:rsid w:val="00BC69B1"/>
    <w:rsid w:val="00BD0686"/>
    <w:rsid w:val="00BD3122"/>
    <w:rsid w:val="00BD4FC0"/>
    <w:rsid w:val="00BD69B2"/>
    <w:rsid w:val="00BE19E3"/>
    <w:rsid w:val="00BE3758"/>
    <w:rsid w:val="00BE40E7"/>
    <w:rsid w:val="00BE6005"/>
    <w:rsid w:val="00BE7187"/>
    <w:rsid w:val="00BF3D6A"/>
    <w:rsid w:val="00BF6CF5"/>
    <w:rsid w:val="00C00A5C"/>
    <w:rsid w:val="00C032DB"/>
    <w:rsid w:val="00C03D96"/>
    <w:rsid w:val="00C0453C"/>
    <w:rsid w:val="00C0481E"/>
    <w:rsid w:val="00C127E1"/>
    <w:rsid w:val="00C140FA"/>
    <w:rsid w:val="00C1523B"/>
    <w:rsid w:val="00C15A7A"/>
    <w:rsid w:val="00C20604"/>
    <w:rsid w:val="00C2237E"/>
    <w:rsid w:val="00C24294"/>
    <w:rsid w:val="00C25235"/>
    <w:rsid w:val="00C259B5"/>
    <w:rsid w:val="00C30343"/>
    <w:rsid w:val="00C30617"/>
    <w:rsid w:val="00C33E6B"/>
    <w:rsid w:val="00C3425B"/>
    <w:rsid w:val="00C42A4F"/>
    <w:rsid w:val="00C44F91"/>
    <w:rsid w:val="00C450DA"/>
    <w:rsid w:val="00C46B49"/>
    <w:rsid w:val="00C52DA1"/>
    <w:rsid w:val="00C538B4"/>
    <w:rsid w:val="00C63572"/>
    <w:rsid w:val="00C636AC"/>
    <w:rsid w:val="00C63B3B"/>
    <w:rsid w:val="00C64B04"/>
    <w:rsid w:val="00C72536"/>
    <w:rsid w:val="00C745D3"/>
    <w:rsid w:val="00C75196"/>
    <w:rsid w:val="00C80C93"/>
    <w:rsid w:val="00C8119D"/>
    <w:rsid w:val="00C82402"/>
    <w:rsid w:val="00C8335A"/>
    <w:rsid w:val="00C85F6F"/>
    <w:rsid w:val="00C86B06"/>
    <w:rsid w:val="00C911D7"/>
    <w:rsid w:val="00C946B6"/>
    <w:rsid w:val="00C96295"/>
    <w:rsid w:val="00C97C77"/>
    <w:rsid w:val="00CA3B45"/>
    <w:rsid w:val="00CB205F"/>
    <w:rsid w:val="00CB296A"/>
    <w:rsid w:val="00CB37CA"/>
    <w:rsid w:val="00CB5C09"/>
    <w:rsid w:val="00CB65CD"/>
    <w:rsid w:val="00CB6D91"/>
    <w:rsid w:val="00CC084E"/>
    <w:rsid w:val="00CC0861"/>
    <w:rsid w:val="00CC1B0D"/>
    <w:rsid w:val="00CC7232"/>
    <w:rsid w:val="00CD1B8E"/>
    <w:rsid w:val="00CD72FB"/>
    <w:rsid w:val="00CD777B"/>
    <w:rsid w:val="00CE0143"/>
    <w:rsid w:val="00CE470B"/>
    <w:rsid w:val="00CE4E3E"/>
    <w:rsid w:val="00CE566B"/>
    <w:rsid w:val="00CE5B9F"/>
    <w:rsid w:val="00CE7641"/>
    <w:rsid w:val="00CF293D"/>
    <w:rsid w:val="00CF45AD"/>
    <w:rsid w:val="00CF55E3"/>
    <w:rsid w:val="00CF58D5"/>
    <w:rsid w:val="00CF7A64"/>
    <w:rsid w:val="00D01233"/>
    <w:rsid w:val="00D021E4"/>
    <w:rsid w:val="00D03185"/>
    <w:rsid w:val="00D13989"/>
    <w:rsid w:val="00D161B3"/>
    <w:rsid w:val="00D2308A"/>
    <w:rsid w:val="00D23BEE"/>
    <w:rsid w:val="00D25DD2"/>
    <w:rsid w:val="00D27CEC"/>
    <w:rsid w:val="00D27F29"/>
    <w:rsid w:val="00D302F5"/>
    <w:rsid w:val="00D307E8"/>
    <w:rsid w:val="00D30F75"/>
    <w:rsid w:val="00D32FF7"/>
    <w:rsid w:val="00D410DB"/>
    <w:rsid w:val="00D41476"/>
    <w:rsid w:val="00D41DBB"/>
    <w:rsid w:val="00D4269A"/>
    <w:rsid w:val="00D51085"/>
    <w:rsid w:val="00D51DF4"/>
    <w:rsid w:val="00D53668"/>
    <w:rsid w:val="00D5455A"/>
    <w:rsid w:val="00D54CD7"/>
    <w:rsid w:val="00D55595"/>
    <w:rsid w:val="00D57723"/>
    <w:rsid w:val="00D61995"/>
    <w:rsid w:val="00D62185"/>
    <w:rsid w:val="00D63A75"/>
    <w:rsid w:val="00D64D77"/>
    <w:rsid w:val="00D71F50"/>
    <w:rsid w:val="00D72783"/>
    <w:rsid w:val="00D7328E"/>
    <w:rsid w:val="00D7642B"/>
    <w:rsid w:val="00D7798B"/>
    <w:rsid w:val="00D80465"/>
    <w:rsid w:val="00D8298F"/>
    <w:rsid w:val="00D84D47"/>
    <w:rsid w:val="00D8561D"/>
    <w:rsid w:val="00D860D8"/>
    <w:rsid w:val="00D863E6"/>
    <w:rsid w:val="00D93E87"/>
    <w:rsid w:val="00D95BCD"/>
    <w:rsid w:val="00DA22C1"/>
    <w:rsid w:val="00DA3D02"/>
    <w:rsid w:val="00DA43C9"/>
    <w:rsid w:val="00DA7E6E"/>
    <w:rsid w:val="00DA7F7D"/>
    <w:rsid w:val="00DB5333"/>
    <w:rsid w:val="00DB645A"/>
    <w:rsid w:val="00DC78FB"/>
    <w:rsid w:val="00DD4F3C"/>
    <w:rsid w:val="00DD7AB7"/>
    <w:rsid w:val="00DE3EF5"/>
    <w:rsid w:val="00DE5AE9"/>
    <w:rsid w:val="00DE7756"/>
    <w:rsid w:val="00DF0476"/>
    <w:rsid w:val="00DF178B"/>
    <w:rsid w:val="00DF1EAB"/>
    <w:rsid w:val="00DF2472"/>
    <w:rsid w:val="00DF4AAC"/>
    <w:rsid w:val="00DF59C8"/>
    <w:rsid w:val="00DF6579"/>
    <w:rsid w:val="00E03F2F"/>
    <w:rsid w:val="00E055AC"/>
    <w:rsid w:val="00E06D9C"/>
    <w:rsid w:val="00E10B03"/>
    <w:rsid w:val="00E147C7"/>
    <w:rsid w:val="00E1544B"/>
    <w:rsid w:val="00E15A87"/>
    <w:rsid w:val="00E17E3B"/>
    <w:rsid w:val="00E20DC9"/>
    <w:rsid w:val="00E21BBA"/>
    <w:rsid w:val="00E22D05"/>
    <w:rsid w:val="00E22DC5"/>
    <w:rsid w:val="00E2489C"/>
    <w:rsid w:val="00E25101"/>
    <w:rsid w:val="00E26835"/>
    <w:rsid w:val="00E301F8"/>
    <w:rsid w:val="00E32587"/>
    <w:rsid w:val="00E3784F"/>
    <w:rsid w:val="00E445E9"/>
    <w:rsid w:val="00E44983"/>
    <w:rsid w:val="00E44FC6"/>
    <w:rsid w:val="00E506CC"/>
    <w:rsid w:val="00E50969"/>
    <w:rsid w:val="00E52C85"/>
    <w:rsid w:val="00E52E01"/>
    <w:rsid w:val="00E5610E"/>
    <w:rsid w:val="00E56725"/>
    <w:rsid w:val="00E600B1"/>
    <w:rsid w:val="00E66CE4"/>
    <w:rsid w:val="00E67CDF"/>
    <w:rsid w:val="00E71C77"/>
    <w:rsid w:val="00E74DBD"/>
    <w:rsid w:val="00E76D07"/>
    <w:rsid w:val="00E8107E"/>
    <w:rsid w:val="00E81E7F"/>
    <w:rsid w:val="00E85CD1"/>
    <w:rsid w:val="00E862BC"/>
    <w:rsid w:val="00E909A5"/>
    <w:rsid w:val="00E921C7"/>
    <w:rsid w:val="00E96F2A"/>
    <w:rsid w:val="00EA2676"/>
    <w:rsid w:val="00EA5B6A"/>
    <w:rsid w:val="00EA5C10"/>
    <w:rsid w:val="00EA6343"/>
    <w:rsid w:val="00EA6E46"/>
    <w:rsid w:val="00EA7BC0"/>
    <w:rsid w:val="00EB0B93"/>
    <w:rsid w:val="00EB1034"/>
    <w:rsid w:val="00EB356C"/>
    <w:rsid w:val="00EB453A"/>
    <w:rsid w:val="00EB5E15"/>
    <w:rsid w:val="00EC2E34"/>
    <w:rsid w:val="00EC3332"/>
    <w:rsid w:val="00EC3AA6"/>
    <w:rsid w:val="00ED0531"/>
    <w:rsid w:val="00ED66DA"/>
    <w:rsid w:val="00ED7678"/>
    <w:rsid w:val="00ED7B0F"/>
    <w:rsid w:val="00EE06C6"/>
    <w:rsid w:val="00EE154D"/>
    <w:rsid w:val="00EE1692"/>
    <w:rsid w:val="00EE28CF"/>
    <w:rsid w:val="00EE6807"/>
    <w:rsid w:val="00EF0399"/>
    <w:rsid w:val="00EF0E1E"/>
    <w:rsid w:val="00EF0EB8"/>
    <w:rsid w:val="00EF6B92"/>
    <w:rsid w:val="00F013F5"/>
    <w:rsid w:val="00F02843"/>
    <w:rsid w:val="00F02C52"/>
    <w:rsid w:val="00F03D75"/>
    <w:rsid w:val="00F12F83"/>
    <w:rsid w:val="00F13AAC"/>
    <w:rsid w:val="00F15ABF"/>
    <w:rsid w:val="00F21190"/>
    <w:rsid w:val="00F269A8"/>
    <w:rsid w:val="00F2714F"/>
    <w:rsid w:val="00F308C0"/>
    <w:rsid w:val="00F33C27"/>
    <w:rsid w:val="00F35DF1"/>
    <w:rsid w:val="00F374CB"/>
    <w:rsid w:val="00F45C08"/>
    <w:rsid w:val="00F45CC4"/>
    <w:rsid w:val="00F45F9C"/>
    <w:rsid w:val="00F50298"/>
    <w:rsid w:val="00F5171B"/>
    <w:rsid w:val="00F5619A"/>
    <w:rsid w:val="00F5671A"/>
    <w:rsid w:val="00F57040"/>
    <w:rsid w:val="00F57758"/>
    <w:rsid w:val="00F61D5A"/>
    <w:rsid w:val="00F71CFA"/>
    <w:rsid w:val="00F72FB9"/>
    <w:rsid w:val="00F75266"/>
    <w:rsid w:val="00F77E9C"/>
    <w:rsid w:val="00F81296"/>
    <w:rsid w:val="00F839E3"/>
    <w:rsid w:val="00F84941"/>
    <w:rsid w:val="00F85F48"/>
    <w:rsid w:val="00F87B64"/>
    <w:rsid w:val="00F919A0"/>
    <w:rsid w:val="00F9443B"/>
    <w:rsid w:val="00F9610B"/>
    <w:rsid w:val="00F97137"/>
    <w:rsid w:val="00FA168E"/>
    <w:rsid w:val="00FA1B52"/>
    <w:rsid w:val="00FA3A9B"/>
    <w:rsid w:val="00FA3E15"/>
    <w:rsid w:val="00FA5FD2"/>
    <w:rsid w:val="00FC44AA"/>
    <w:rsid w:val="00FC4ABC"/>
    <w:rsid w:val="00FC5A0C"/>
    <w:rsid w:val="00FC5F5C"/>
    <w:rsid w:val="00FD04ED"/>
    <w:rsid w:val="00FD2EF4"/>
    <w:rsid w:val="00FD3416"/>
    <w:rsid w:val="00FD567A"/>
    <w:rsid w:val="00FE042C"/>
    <w:rsid w:val="00FE0E37"/>
    <w:rsid w:val="00FE15B2"/>
    <w:rsid w:val="00FE25A6"/>
    <w:rsid w:val="00FE2EAF"/>
    <w:rsid w:val="00FE4E89"/>
    <w:rsid w:val="00FE5486"/>
    <w:rsid w:val="00FE6A34"/>
    <w:rsid w:val="00FE7A7B"/>
    <w:rsid w:val="00FF1B66"/>
    <w:rsid w:val="00FF1BA9"/>
    <w:rsid w:val="00FF4796"/>
    <w:rsid w:val="00FF5A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09A12FE"/>
  <w15:chartTrackingRefBased/>
  <w15:docId w15:val="{3DF30484-8A3C-4C7F-BB52-2392B6B2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Times New Roman" w:hAnsi="Book Antiqua" w:cs="Times New Roman"/>
        <w:sz w:val="22"/>
        <w:szCs w:val="22"/>
        <w:lang w:val="en-AU" w:eastAsia="en-AU" w:bidi="ar-SA"/>
      </w:rPr>
    </w:rPrDefault>
    <w:pPrDefault>
      <w:pPr>
        <w:spacing w:before="60" w:after="120"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IHWbodytext"/>
    <w:semiHidden/>
    <w:qFormat/>
    <w:rsid w:val="004E20AE"/>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szCs w:val="20"/>
      <w:lang w:eastAsia="en-US"/>
    </w:rPr>
  </w:style>
  <w:style w:type="paragraph" w:customStyle="1" w:styleId="Bullet1">
    <w:name w:val="Bullet 1"/>
    <w:basedOn w:val="AIHWbodytext"/>
    <w:uiPriority w:val="2"/>
    <w:qFormat/>
    <w:rsid w:val="00D51085"/>
    <w:pPr>
      <w:numPr>
        <w:numId w:val="21"/>
      </w:numPr>
      <w:tabs>
        <w:tab w:val="clear" w:pos="397"/>
        <w:tab w:val="num" w:pos="426"/>
      </w:tabs>
      <w:spacing w:before="40" w:after="80"/>
      <w:ind w:left="426" w:hanging="426"/>
    </w:pPr>
  </w:style>
  <w:style w:type="paragraph" w:customStyle="1" w:styleId="Bullet2">
    <w:name w:val="Bullet 2"/>
    <w:basedOn w:val="Bullet1"/>
    <w:uiPriority w:val="2"/>
    <w:qFormat/>
    <w:rsid w:val="00D51085"/>
    <w:pPr>
      <w:numPr>
        <w:numId w:val="1"/>
      </w:numPr>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15"/>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semiHidden/>
    <w:rsid w:val="004734FE"/>
    <w:rPr>
      <w:dstrike w:val="0"/>
      <w:vertAlign w:val="superscript"/>
    </w:rPr>
  </w:style>
  <w:style w:type="paragraph" w:styleId="FootnoteText">
    <w:name w:val="footnote text"/>
    <w:basedOn w:val="AIHWbodytext"/>
    <w:semiHidden/>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17"/>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18"/>
      </w:numPr>
      <w:ind w:left="284" w:hanging="284"/>
    </w:pPr>
  </w:style>
  <w:style w:type="paragraph" w:customStyle="1" w:styleId="TableNotesnumbered">
    <w:name w:val="Table: Notes numbered"/>
    <w:basedOn w:val="TableSourcefootnotes"/>
    <w:rsid w:val="005550C6"/>
    <w:pPr>
      <w:numPr>
        <w:numId w:val="19"/>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rsid w:val="00BB3576"/>
    <w:pPr>
      <w:keepNext/>
      <w:keepLines/>
      <w:tabs>
        <w:tab w:val="left" w:pos="426"/>
        <w:tab w:val="right" w:leader="dot" w:pos="9072"/>
      </w:tabs>
      <w:spacing w:before="80"/>
      <w:ind w:left="426" w:hanging="426"/>
    </w:pPr>
    <w:rPr>
      <w:b/>
    </w:rPr>
  </w:style>
  <w:style w:type="paragraph" w:styleId="TOC2">
    <w:name w:val="toc 2"/>
    <w:basedOn w:val="TOC1"/>
    <w:uiPriority w:val="39"/>
    <w:unhideWhenUsed/>
    <w:rsid w:val="00BB3576"/>
    <w:pPr>
      <w:tabs>
        <w:tab w:val="left" w:pos="794"/>
      </w:tabs>
      <w:spacing w:before="40"/>
      <w:ind w:left="794" w:hanging="368"/>
    </w:pPr>
    <w:rPr>
      <w:b w:val="0"/>
    </w:rPr>
  </w:style>
  <w:style w:type="paragraph" w:styleId="TOC3">
    <w:name w:val="toc 3"/>
    <w:basedOn w:val="TOC2"/>
    <w:uiPriority w:val="39"/>
    <w:unhideWhenUsed/>
    <w:rsid w:val="004734FE"/>
    <w:pPr>
      <w:tabs>
        <w:tab w:val="clear" w:pos="794"/>
        <w:tab w:val="left" w:pos="1389"/>
      </w:tabs>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2"/>
      </w:numPr>
    </w:pPr>
  </w:style>
  <w:style w:type="numbering" w:styleId="1ai">
    <w:name w:val="Outline List 1"/>
    <w:basedOn w:val="NoList"/>
    <w:semiHidden/>
    <w:rsid w:val="003B637B"/>
    <w:pPr>
      <w:numPr>
        <w:numId w:val="3"/>
      </w:numPr>
    </w:pPr>
  </w:style>
  <w:style w:type="numbering" w:styleId="ArticleSection">
    <w:name w:val="Outline List 3"/>
    <w:basedOn w:val="NoList"/>
    <w:semiHidden/>
    <w:rsid w:val="003B637B"/>
    <w:pPr>
      <w:numPr>
        <w:numId w:val="4"/>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D51085"/>
    <w:pPr>
      <w:numPr>
        <w:ilvl w:val="1"/>
        <w:numId w:val="16"/>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B637B"/>
    <w:rPr>
      <w:rFonts w:ascii="Arial" w:hAnsi="Arial" w:cs="Arial"/>
      <w:sz w:val="20"/>
      <w:szCs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rsid w:val="008623DD"/>
    <w:pPr>
      <w:tabs>
        <w:tab w:val="center" w:pos="4153"/>
        <w:tab w:val="right" w:pos="8306"/>
      </w:tabs>
      <w:jc w:val="center"/>
    </w:pPr>
    <w:rPr>
      <w:rFonts w:ascii="Arial" w:hAnsi="Arial"/>
      <w:sz w:val="20"/>
      <w:szCs w:val="20"/>
      <w:lang w:eastAsia="en-US"/>
    </w:rPr>
  </w:style>
  <w:style w:type="paragraph" w:styleId="Header">
    <w:name w:val="header"/>
    <w:basedOn w:val="Normal"/>
    <w:semiHidden/>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5"/>
      </w:numPr>
    </w:pPr>
  </w:style>
  <w:style w:type="paragraph" w:styleId="ListBullet2">
    <w:name w:val="List Bullet 2"/>
    <w:basedOn w:val="Normal"/>
    <w:semiHidden/>
    <w:rsid w:val="003B637B"/>
    <w:pPr>
      <w:numPr>
        <w:numId w:val="6"/>
      </w:numPr>
    </w:pPr>
  </w:style>
  <w:style w:type="paragraph" w:styleId="ListBullet3">
    <w:name w:val="List Bullet 3"/>
    <w:basedOn w:val="Normal"/>
    <w:semiHidden/>
    <w:rsid w:val="003B637B"/>
    <w:pPr>
      <w:numPr>
        <w:numId w:val="7"/>
      </w:numPr>
    </w:pPr>
  </w:style>
  <w:style w:type="paragraph" w:styleId="ListBullet4">
    <w:name w:val="List Bullet 4"/>
    <w:basedOn w:val="Normal"/>
    <w:semiHidden/>
    <w:rsid w:val="003B637B"/>
    <w:pPr>
      <w:numPr>
        <w:numId w:val="8"/>
      </w:numPr>
    </w:pPr>
  </w:style>
  <w:style w:type="paragraph" w:styleId="ListBullet5">
    <w:name w:val="List Bullet 5"/>
    <w:basedOn w:val="Normal"/>
    <w:semiHidden/>
    <w:rsid w:val="003B637B"/>
    <w:pPr>
      <w:numPr>
        <w:numId w:val="9"/>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10"/>
      </w:numPr>
    </w:pPr>
  </w:style>
  <w:style w:type="paragraph" w:styleId="ListNumber2">
    <w:name w:val="List Number 2"/>
    <w:basedOn w:val="Normal"/>
    <w:semiHidden/>
    <w:rsid w:val="003B637B"/>
    <w:pPr>
      <w:numPr>
        <w:numId w:val="11"/>
      </w:numPr>
    </w:pPr>
  </w:style>
  <w:style w:type="paragraph" w:styleId="ListNumber3">
    <w:name w:val="List Number 3"/>
    <w:basedOn w:val="Normal"/>
    <w:semiHidden/>
    <w:rsid w:val="003B637B"/>
    <w:pPr>
      <w:numPr>
        <w:numId w:val="12"/>
      </w:numPr>
    </w:pPr>
  </w:style>
  <w:style w:type="paragraph" w:styleId="ListNumber4">
    <w:name w:val="List Number 4"/>
    <w:basedOn w:val="Normal"/>
    <w:semiHidden/>
    <w:rsid w:val="003B637B"/>
    <w:pPr>
      <w:numPr>
        <w:numId w:val="13"/>
      </w:numPr>
    </w:pPr>
  </w:style>
  <w:style w:type="paragraph" w:styleId="ListNumber5">
    <w:name w:val="List Number 5"/>
    <w:basedOn w:val="Normal"/>
    <w:semiHidden/>
    <w:rsid w:val="003B637B"/>
    <w:pPr>
      <w:numPr>
        <w:numId w:val="14"/>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000C774B"/>
    <w:pPr>
      <w:tabs>
        <w:tab w:val="clear" w:pos="426"/>
        <w:tab w:val="left" w:pos="1134"/>
      </w:tabs>
      <w:spacing w:before="60" w:line="240" w:lineRule="atLeast"/>
      <w:ind w:left="1134" w:right="565" w:hanging="1134"/>
    </w:pPr>
    <w:rPr>
      <w:b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086780"/>
    <w:rPr>
      <w:rFonts w:ascii="Arial" w:hAnsi="Arial"/>
      <w:b/>
      <w:color w:val="000000"/>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semiHidden/>
    <w:rsid w:val="00BC3DD5"/>
    <w:rPr>
      <w:sz w:val="20"/>
      <w:szCs w:val="20"/>
    </w:rPr>
  </w:style>
  <w:style w:type="character" w:customStyle="1" w:styleId="CommentTextChar">
    <w:name w:val="Comment Text Char"/>
    <w:link w:val="CommentText"/>
    <w:semiHidden/>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rsid w:val="00DB645A"/>
    <w:pPr>
      <w:spacing w:before="0"/>
    </w:pPr>
    <w:rPr>
      <w:b/>
      <w:szCs w:val="20"/>
      <w:lang w:eastAsia="en-US"/>
    </w:rPr>
  </w:style>
  <w:style w:type="paragraph" w:customStyle="1" w:styleId="Glossarydefinition">
    <w:name w:val="Glossary definition"/>
    <w:basedOn w:val="Normal"/>
    <w:link w:val="GlossarydefinitionChar"/>
    <w:uiPriority w:val="7"/>
    <w:rsid w:val="004B59F6"/>
    <w:pPr>
      <w:spacing w:before="0"/>
    </w:pPr>
    <w:rPr>
      <w:rFonts w:ascii="Arial" w:hAnsi="Arial"/>
      <w:szCs w:val="20"/>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szCs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20"/>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semiHidden/>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before="40" w:after="40" w:line="240" w:lineRule="atLeast"/>
    </w:pPr>
    <w:rPr>
      <w:rFonts w:ascii="Arial" w:eastAsiaTheme="minorHAnsi" w:hAnsi="Arial" w:cs="Arial"/>
      <w:color w:val="000000"/>
      <w:sz w:val="20"/>
      <w:szCs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 w:type="paragraph" w:customStyle="1" w:styleId="Default">
    <w:name w:val="Default"/>
    <w:rsid w:val="00566E83"/>
    <w:pPr>
      <w:autoSpaceDE w:val="0"/>
      <w:autoSpaceDN w:val="0"/>
      <w:adjustRightInd w:val="0"/>
      <w:spacing w:before="0" w:after="0" w:line="240" w:lineRule="auto"/>
    </w:pPr>
    <w:rPr>
      <w:rFonts w:ascii="Georgia" w:hAnsi="Georgia" w:cs="Georgia"/>
      <w:color w:val="000000"/>
      <w:sz w:val="24"/>
      <w:szCs w:val="24"/>
    </w:rPr>
  </w:style>
  <w:style w:type="paragraph" w:styleId="ListParagraph">
    <w:name w:val="List Paragraph"/>
    <w:basedOn w:val="Normal"/>
    <w:uiPriority w:val="34"/>
    <w:qFormat/>
    <w:rsid w:val="004936F3"/>
    <w:pPr>
      <w:spacing w:before="0" w:after="0" w:line="240" w:lineRule="auto"/>
      <w:ind w:left="720"/>
    </w:pPr>
    <w:rPr>
      <w:rFonts w:ascii="Calibri" w:eastAsiaTheme="minorHAnsi" w:hAnsi="Calibri" w:cs="Calibri"/>
      <w:lang w:eastAsia="en-US"/>
    </w:rPr>
  </w:style>
  <w:style w:type="paragraph" w:customStyle="1" w:styleId="Pa13">
    <w:name w:val="Pa13"/>
    <w:basedOn w:val="Default"/>
    <w:next w:val="Default"/>
    <w:uiPriority w:val="99"/>
    <w:rsid w:val="00887FC6"/>
    <w:pPr>
      <w:spacing w:line="211" w:lineRule="atLeast"/>
    </w:pPr>
    <w:rPr>
      <w:rFonts w:ascii="Open Sans Semibold" w:hAnsi="Open Sans Semibold" w:cs="Times New Roman"/>
      <w:color w:val="auto"/>
    </w:rPr>
  </w:style>
  <w:style w:type="character" w:styleId="UnresolvedMention">
    <w:name w:val="Unresolved Mention"/>
    <w:basedOn w:val="DefaultParagraphFont"/>
    <w:uiPriority w:val="99"/>
    <w:semiHidden/>
    <w:unhideWhenUsed/>
    <w:rsid w:val="000A44BD"/>
    <w:rPr>
      <w:color w:val="605E5C"/>
      <w:shd w:val="clear" w:color="auto" w:fill="E1DFDD"/>
    </w:rPr>
  </w:style>
  <w:style w:type="paragraph" w:styleId="Revision">
    <w:name w:val="Revision"/>
    <w:hidden/>
    <w:uiPriority w:val="99"/>
    <w:semiHidden/>
    <w:rsid w:val="00F50298"/>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6523">
      <w:bodyDiv w:val="1"/>
      <w:marLeft w:val="0"/>
      <w:marRight w:val="0"/>
      <w:marTop w:val="0"/>
      <w:marBottom w:val="0"/>
      <w:divBdr>
        <w:top w:val="none" w:sz="0" w:space="0" w:color="auto"/>
        <w:left w:val="none" w:sz="0" w:space="0" w:color="auto"/>
        <w:bottom w:val="none" w:sz="0" w:space="0" w:color="auto"/>
        <w:right w:val="none" w:sz="0" w:space="0" w:color="auto"/>
      </w:divBdr>
    </w:div>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341595270">
      <w:bodyDiv w:val="1"/>
      <w:marLeft w:val="0"/>
      <w:marRight w:val="0"/>
      <w:marTop w:val="0"/>
      <w:marBottom w:val="0"/>
      <w:divBdr>
        <w:top w:val="none" w:sz="0" w:space="0" w:color="auto"/>
        <w:left w:val="none" w:sz="0" w:space="0" w:color="auto"/>
        <w:bottom w:val="none" w:sz="0" w:space="0" w:color="auto"/>
        <w:right w:val="none" w:sz="0" w:space="0" w:color="auto"/>
      </w:divBdr>
    </w:div>
    <w:div w:id="349257651">
      <w:bodyDiv w:val="1"/>
      <w:marLeft w:val="0"/>
      <w:marRight w:val="0"/>
      <w:marTop w:val="0"/>
      <w:marBottom w:val="0"/>
      <w:divBdr>
        <w:top w:val="none" w:sz="0" w:space="0" w:color="auto"/>
        <w:left w:val="none" w:sz="0" w:space="0" w:color="auto"/>
        <w:bottom w:val="none" w:sz="0" w:space="0" w:color="auto"/>
        <w:right w:val="none" w:sz="0" w:space="0" w:color="auto"/>
      </w:divBdr>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514271949">
      <w:bodyDiv w:val="1"/>
      <w:marLeft w:val="0"/>
      <w:marRight w:val="0"/>
      <w:marTop w:val="0"/>
      <w:marBottom w:val="0"/>
      <w:divBdr>
        <w:top w:val="none" w:sz="0" w:space="0" w:color="auto"/>
        <w:left w:val="none" w:sz="0" w:space="0" w:color="auto"/>
        <w:bottom w:val="none" w:sz="0" w:space="0" w:color="auto"/>
        <w:right w:val="none" w:sz="0" w:space="0" w:color="auto"/>
      </w:divBdr>
    </w:div>
    <w:div w:id="636296997">
      <w:bodyDiv w:val="1"/>
      <w:marLeft w:val="0"/>
      <w:marRight w:val="0"/>
      <w:marTop w:val="0"/>
      <w:marBottom w:val="0"/>
      <w:divBdr>
        <w:top w:val="none" w:sz="0" w:space="0" w:color="auto"/>
        <w:left w:val="none" w:sz="0" w:space="0" w:color="auto"/>
        <w:bottom w:val="none" w:sz="0" w:space="0" w:color="auto"/>
        <w:right w:val="none" w:sz="0" w:space="0" w:color="auto"/>
      </w:divBdr>
    </w:div>
    <w:div w:id="644353992">
      <w:bodyDiv w:val="1"/>
      <w:marLeft w:val="0"/>
      <w:marRight w:val="0"/>
      <w:marTop w:val="0"/>
      <w:marBottom w:val="0"/>
      <w:divBdr>
        <w:top w:val="none" w:sz="0" w:space="0" w:color="auto"/>
        <w:left w:val="none" w:sz="0" w:space="0" w:color="auto"/>
        <w:bottom w:val="none" w:sz="0" w:space="0" w:color="auto"/>
        <w:right w:val="none" w:sz="0" w:space="0" w:color="auto"/>
      </w:divBdr>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140926245">
      <w:bodyDiv w:val="1"/>
      <w:marLeft w:val="0"/>
      <w:marRight w:val="0"/>
      <w:marTop w:val="0"/>
      <w:marBottom w:val="0"/>
      <w:divBdr>
        <w:top w:val="none" w:sz="0" w:space="0" w:color="auto"/>
        <w:left w:val="none" w:sz="0" w:space="0" w:color="auto"/>
        <w:bottom w:val="none" w:sz="0" w:space="0" w:color="auto"/>
        <w:right w:val="none" w:sz="0" w:space="0" w:color="auto"/>
      </w:divBdr>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2117409795">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83114009">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sChild>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618416017">
      <w:bodyDiv w:val="1"/>
      <w:marLeft w:val="0"/>
      <w:marRight w:val="0"/>
      <w:marTop w:val="0"/>
      <w:marBottom w:val="0"/>
      <w:divBdr>
        <w:top w:val="none" w:sz="0" w:space="0" w:color="auto"/>
        <w:left w:val="none" w:sz="0" w:space="0" w:color="auto"/>
        <w:bottom w:val="none" w:sz="0" w:space="0" w:color="auto"/>
        <w:right w:val="none" w:sz="0" w:space="0" w:color="auto"/>
      </w:divBdr>
    </w:div>
    <w:div w:id="1643385456">
      <w:bodyDiv w:val="1"/>
      <w:marLeft w:val="0"/>
      <w:marRight w:val="0"/>
      <w:marTop w:val="0"/>
      <w:marBottom w:val="0"/>
      <w:divBdr>
        <w:top w:val="none" w:sz="0" w:space="0" w:color="auto"/>
        <w:left w:val="none" w:sz="0" w:space="0" w:color="auto"/>
        <w:bottom w:val="none" w:sz="0" w:space="0" w:color="auto"/>
        <w:right w:val="none" w:sz="0" w:space="0" w:color="auto"/>
      </w:divBdr>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092848563">
      <w:bodyDiv w:val="1"/>
      <w:marLeft w:val="0"/>
      <w:marRight w:val="0"/>
      <w:marTop w:val="0"/>
      <w:marBottom w:val="0"/>
      <w:divBdr>
        <w:top w:val="none" w:sz="0" w:space="0" w:color="auto"/>
        <w:left w:val="none" w:sz="0" w:space="0" w:color="auto"/>
        <w:bottom w:val="none" w:sz="0" w:space="0" w:color="auto"/>
        <w:right w:val="none" w:sz="0" w:space="0" w:color="auto"/>
      </w:divBdr>
    </w:div>
    <w:div w:id="2121796329">
      <w:bodyDiv w:val="1"/>
      <w:marLeft w:val="0"/>
      <w:marRight w:val="0"/>
      <w:marTop w:val="0"/>
      <w:marBottom w:val="0"/>
      <w:divBdr>
        <w:top w:val="none" w:sz="0" w:space="0" w:color="auto"/>
        <w:left w:val="none" w:sz="0" w:space="0" w:color="auto"/>
        <w:bottom w:val="none" w:sz="0" w:space="0" w:color="auto"/>
        <w:right w:val="none" w:sz="0" w:space="0" w:color="auto"/>
      </w:divBdr>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r@aihw.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sothelioma-australia.com/publications-and-data/publications" TargetMode="External"/><Relationship Id="rId17" Type="http://schemas.openxmlformats.org/officeDocument/2006/relationships/hyperlink" Target="https://adri.org.au/wp-content/uploads/2018/08/Guidelines-for-the-diagnosis-and-treatment-of-malignant-pleural-mesothelioma.pdf" TargetMode="External"/><Relationship Id="rId2" Type="http://schemas.openxmlformats.org/officeDocument/2006/relationships/customXml" Target="../customXml/item2.xml"/><Relationship Id="rId16" Type="http://schemas.openxmlformats.org/officeDocument/2006/relationships/hyperlink" Target="https://www.safeworkaustralia.gov.au/about-us/careers/who-we-work/australian-mesothelioma-regist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sothelioma-australia.com/home" TargetMode="External"/><Relationship Id="rId5" Type="http://schemas.openxmlformats.org/officeDocument/2006/relationships/numbering" Target="numbering.xml"/><Relationship Id="rId15" Type="http://schemas.openxmlformats.org/officeDocument/2006/relationships/hyperlink" Target="https://www.cdc.gov/als/Default.html%20Accessed%2018%20May%202022"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bestossafety.gov.au/sites/default/files/documents/2017-10/ASEA_Reports_Asbestos_%20International_Australian_contexts_AC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Document" ma:contentTypeID="0x010100B4A1F787F0C441AC878A307E051D262E009FD51C81A287CF4490C7D32A6B7C9734" ma:contentTypeVersion="1" ma:contentTypeDescription="AIHW Project Document" ma:contentTypeScope="" ma:versionID="5af3b8779bb26d285cf7c9f19e4d43d2">
  <xsd:schema xmlns:xsd="http://www.w3.org/2001/XMLSchema" xmlns:xs="http://www.w3.org/2001/XMLSchema" xmlns:p="http://schemas.microsoft.com/office/2006/metadata/properties" xmlns:ns2="a49f848b-518f-4360-8b15-9e2185cfe6ad" targetNamespace="http://schemas.microsoft.com/office/2006/metadata/properties" ma:root="true" ma:fieldsID="2419ab3dbbe2ec95e917d2c4e8205a49" ns2:_="">
    <xsd:import namespace="a49f848b-518f-4360-8b15-9e2185cfe6ad"/>
    <xsd:element name="properties">
      <xsd:complexType>
        <xsd:sequence>
          <xsd:element name="documentManagement">
            <xsd:complexType>
              <xsd:all>
                <xsd:element ref="ns2:AIHW_PPR_ProjectCategory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f848b-518f-4360-8b15-9e2185cfe6ad"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4bab624b-8186-49df-8c6f-74a3660fcf21}" ma:internalName="AIHW_PPR_ProjectCategoryLookup" ma:showField="Title" ma:web="{a49f848b-518f-4360-8b15-9e2185cfe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IHW_PPR_ProjectCategoryLookup xmlns="a49f848b-518f-4360-8b15-9e2185cfe6ad"/>
  </documentManagement>
</p:properties>
</file>

<file path=customXml/itemProps1.xml><?xml version="1.0" encoding="utf-8"?>
<ds:datastoreItem xmlns:ds="http://schemas.openxmlformats.org/officeDocument/2006/customXml" ds:itemID="{3EC37A1D-E64C-4DE3-BC54-7E47374F4658}">
  <ds:schemaRefs>
    <ds:schemaRef ds:uri="http://schemas.microsoft.com/sharepoint/v3/contenttype/forms"/>
  </ds:schemaRefs>
</ds:datastoreItem>
</file>

<file path=customXml/itemProps2.xml><?xml version="1.0" encoding="utf-8"?>
<ds:datastoreItem xmlns:ds="http://schemas.openxmlformats.org/officeDocument/2006/customXml" ds:itemID="{C280FB23-A376-4244-8AE6-C4A70C27B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f848b-518f-4360-8b15-9e2185cfe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474AB-E187-4D08-841A-D4E8FE0A6F22}">
  <ds:schemaRefs>
    <ds:schemaRef ds:uri="http://schemas.openxmlformats.org/officeDocument/2006/bibliography"/>
  </ds:schemaRefs>
</ds:datastoreItem>
</file>

<file path=customXml/itemProps4.xml><?xml version="1.0" encoding="utf-8"?>
<ds:datastoreItem xmlns:ds="http://schemas.openxmlformats.org/officeDocument/2006/customXml" ds:itemID="{9B366B68-330A-4C78-887A-814EC428895A}">
  <ds:schemaRefs>
    <ds:schemaRef ds:uri="http://schemas.openxmlformats.org/package/2006/metadata/core-properties"/>
    <ds:schemaRef ds:uri="http://purl.org/dc/dcmitype/"/>
    <ds:schemaRef ds:uri="http://schemas.microsoft.com/office/2006/documentManagement/types"/>
    <ds:schemaRef ds:uri="a49f848b-518f-4360-8b15-9e2185cfe6ad"/>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5411</Words>
  <Characters>32464</Characters>
  <Application>Microsoft Office Word</Application>
  <DocSecurity>4</DocSecurity>
  <Lines>270</Lines>
  <Paragraphs>75</Paragraphs>
  <ScaleCrop>false</ScaleCrop>
  <HeadingPairs>
    <vt:vector size="2" baseType="variant">
      <vt:variant>
        <vt:lpstr>Title</vt:lpstr>
      </vt:variant>
      <vt:variant>
        <vt:i4>1</vt:i4>
      </vt:variant>
    </vt:vector>
  </HeadingPairs>
  <TitlesOfParts>
    <vt:vector size="1" baseType="lpstr">
      <vt:lpstr>AIHW Publication Template—November 2015</vt:lpstr>
    </vt:vector>
  </TitlesOfParts>
  <Company>AIHW</Company>
  <LinksUpToDate>false</LinksUpToDate>
  <CharactersWithSpaces>37800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AIHW Publication Template—November 2015</dc:title>
  <dc:subject/>
  <dc:creator>Barker, Sue</dc:creator>
  <cp:keywords/>
  <dc:description/>
  <cp:lastModifiedBy>Karen Drake</cp:lastModifiedBy>
  <cp:revision>2</cp:revision>
  <cp:lastPrinted>2017-06-27T23:39:00Z</cp:lastPrinted>
  <dcterms:created xsi:type="dcterms:W3CDTF">2023-04-04T15:35:00Z</dcterms:created>
  <dcterms:modified xsi:type="dcterms:W3CDTF">2023-04-04T15:35:00Z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0x010100B4A1F787F0C441AC878A307E051D262E009FD51C81A287CF4490C7D32A6B7C9734</vt:lpwstr>
  </property>
</Properties>
</file>