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045E9" w14:textId="59BC166D" w:rsidR="00024F7A" w:rsidRPr="00E476F6" w:rsidRDefault="00024F7A" w:rsidP="000B5E7D">
      <w:pPr>
        <w:jc w:val="left"/>
        <w:rPr>
          <w:b/>
          <w:color w:val="7F7F7F" w:themeColor="text1" w:themeTint="80"/>
        </w:rPr>
      </w:pPr>
      <w:r w:rsidRPr="00E476F6">
        <w:rPr>
          <w:b/>
          <w:color w:val="7F7F7F" w:themeColor="text1" w:themeTint="80"/>
        </w:rPr>
        <w:t xml:space="preserve">Manuscript </w:t>
      </w:r>
    </w:p>
    <w:p w14:paraId="4F0A3274" w14:textId="77777777" w:rsidR="00024F7A" w:rsidRDefault="00024F7A" w:rsidP="000B5E7D">
      <w:pPr>
        <w:jc w:val="left"/>
        <w:rPr>
          <w:b/>
          <w:color w:val="000000" w:themeColor="text1"/>
        </w:rPr>
      </w:pPr>
    </w:p>
    <w:p w14:paraId="0E8D59D2" w14:textId="6EF6A6BC" w:rsidR="00D53A73" w:rsidRDefault="00461E8B" w:rsidP="003C1B0A">
      <w:pPr>
        <w:jc w:val="left"/>
        <w:rPr>
          <w:rFonts w:ascii="Arial" w:hAnsi="Arial" w:cs="Arial"/>
          <w:b/>
          <w:color w:val="000000" w:themeColor="text1"/>
          <w:sz w:val="22"/>
        </w:rPr>
      </w:pPr>
      <w:r w:rsidRPr="005C36F7">
        <w:rPr>
          <w:rFonts w:ascii="Arial" w:hAnsi="Arial" w:cs="Arial"/>
          <w:b/>
          <w:color w:val="000000" w:themeColor="text1"/>
          <w:sz w:val="22"/>
        </w:rPr>
        <w:t>The r</w:t>
      </w:r>
      <w:r w:rsidR="00D53A73" w:rsidRPr="005C36F7">
        <w:rPr>
          <w:rFonts w:ascii="Arial" w:hAnsi="Arial" w:cs="Arial"/>
          <w:b/>
          <w:color w:val="000000" w:themeColor="text1"/>
          <w:sz w:val="22"/>
        </w:rPr>
        <w:t xml:space="preserve">ole of </w:t>
      </w:r>
      <w:r w:rsidRPr="005C36F7">
        <w:rPr>
          <w:rFonts w:ascii="Arial" w:hAnsi="Arial" w:cs="Arial"/>
          <w:b/>
          <w:color w:val="000000" w:themeColor="text1"/>
          <w:sz w:val="22"/>
        </w:rPr>
        <w:t>inflammation</w:t>
      </w:r>
      <w:r w:rsidR="00D53A73" w:rsidRPr="005C36F7">
        <w:rPr>
          <w:rFonts w:ascii="Arial" w:hAnsi="Arial" w:cs="Arial"/>
          <w:b/>
          <w:color w:val="000000" w:themeColor="text1"/>
          <w:sz w:val="22"/>
        </w:rPr>
        <w:t xml:space="preserve"> in anxiety and depression</w:t>
      </w:r>
      <w:r w:rsidR="000B5E7D" w:rsidRPr="005C36F7">
        <w:rPr>
          <w:rFonts w:ascii="Arial" w:hAnsi="Arial" w:cs="Arial"/>
          <w:b/>
          <w:color w:val="000000" w:themeColor="text1"/>
          <w:sz w:val="22"/>
        </w:rPr>
        <w:t xml:space="preserve"> </w:t>
      </w:r>
      <w:bookmarkStart w:id="0" w:name="_Hlk42166243"/>
      <w:bookmarkStart w:id="1" w:name="OLE_LINK9"/>
      <w:r w:rsidR="00D53A73" w:rsidRPr="005C36F7">
        <w:rPr>
          <w:rFonts w:ascii="Arial" w:hAnsi="Arial" w:cs="Arial"/>
          <w:b/>
          <w:color w:val="000000" w:themeColor="text1"/>
          <w:sz w:val="22"/>
        </w:rPr>
        <w:t>in the European U-BIOPRED asthma cohort</w:t>
      </w:r>
      <w:r w:rsidR="000B5E7D" w:rsidRPr="005C36F7">
        <w:rPr>
          <w:rFonts w:ascii="Arial" w:hAnsi="Arial" w:cs="Arial"/>
          <w:b/>
          <w:color w:val="000000" w:themeColor="text1"/>
          <w:sz w:val="22"/>
        </w:rPr>
        <w:t>s</w:t>
      </w:r>
    </w:p>
    <w:p w14:paraId="07675F61" w14:textId="77777777" w:rsidR="00634A44" w:rsidRPr="005C36F7" w:rsidRDefault="00634A44" w:rsidP="003C1B0A">
      <w:pPr>
        <w:jc w:val="left"/>
        <w:rPr>
          <w:rFonts w:ascii="Arial" w:hAnsi="Arial" w:cs="Arial"/>
          <w:b/>
          <w:color w:val="000000" w:themeColor="text1"/>
          <w:sz w:val="22"/>
        </w:rPr>
      </w:pPr>
    </w:p>
    <w:bookmarkEnd w:id="0"/>
    <w:bookmarkEnd w:id="1"/>
    <w:p w14:paraId="1BDAD67B" w14:textId="6F6221D0" w:rsidR="00DB4CC1" w:rsidRPr="000D33E7" w:rsidRDefault="00672CB6" w:rsidP="003C1B0A">
      <w:pPr>
        <w:textAlignment w:val="baseline"/>
        <w:rPr>
          <w:rFonts w:ascii="Arial" w:eastAsia="Times New Roman" w:hAnsi="Arial" w:cs="Arial"/>
          <w:sz w:val="22"/>
          <w:lang w:eastAsia="en-GB"/>
        </w:rPr>
      </w:pPr>
      <w:r w:rsidRPr="005C36F7">
        <w:rPr>
          <w:rFonts w:ascii="Arial" w:hAnsi="Arial" w:cs="Arial"/>
          <w:bCs/>
          <w:color w:val="000000" w:themeColor="text1"/>
          <w:sz w:val="22"/>
        </w:rPr>
        <w:t>Ruihua Hou</w:t>
      </w:r>
      <w:r w:rsidR="00634A44" w:rsidRPr="005C36F7">
        <w:rPr>
          <w:rFonts w:ascii="Arial" w:hAnsi="Arial" w:cs="Arial"/>
          <w:bCs/>
          <w:color w:val="000000" w:themeColor="text1"/>
          <w:sz w:val="22"/>
          <w:vertAlign w:val="superscript"/>
        </w:rPr>
        <w:t>1</w:t>
      </w:r>
      <w:r w:rsidRPr="005C36F7">
        <w:rPr>
          <w:rFonts w:ascii="Arial" w:hAnsi="Arial" w:cs="Arial"/>
          <w:bCs/>
          <w:color w:val="000000" w:themeColor="text1"/>
          <w:sz w:val="22"/>
        </w:rPr>
        <w:t>*, Gang Ye</w:t>
      </w:r>
      <w:r w:rsidR="00634A44" w:rsidRPr="005C36F7">
        <w:rPr>
          <w:rFonts w:ascii="Arial" w:hAnsi="Arial" w:cs="Arial"/>
          <w:bCs/>
          <w:color w:val="000000" w:themeColor="text1"/>
          <w:sz w:val="22"/>
          <w:vertAlign w:val="superscript"/>
        </w:rPr>
        <w:t>2</w:t>
      </w:r>
      <w:r w:rsidRPr="005C36F7">
        <w:rPr>
          <w:rFonts w:ascii="Arial" w:hAnsi="Arial" w:cs="Arial"/>
          <w:bCs/>
          <w:color w:val="000000" w:themeColor="text1"/>
          <w:sz w:val="22"/>
        </w:rPr>
        <w:t xml:space="preserve">, Xiaojing </w:t>
      </w:r>
      <w:r w:rsidRPr="00DB4CC1">
        <w:rPr>
          <w:rFonts w:ascii="Arial" w:hAnsi="Arial" w:cs="Arial"/>
          <w:bCs/>
          <w:color w:val="000000" w:themeColor="text1"/>
          <w:sz w:val="22"/>
        </w:rPr>
        <w:t>Cheng</w:t>
      </w:r>
      <w:r w:rsidR="00634A44" w:rsidRPr="00DB4CC1">
        <w:rPr>
          <w:rFonts w:ascii="Arial" w:hAnsi="Arial" w:cs="Arial"/>
          <w:bCs/>
          <w:color w:val="000000" w:themeColor="text1"/>
          <w:sz w:val="22"/>
          <w:vertAlign w:val="superscript"/>
        </w:rPr>
        <w:t>3</w:t>
      </w:r>
      <w:r w:rsidRPr="00DB4CC1">
        <w:rPr>
          <w:rFonts w:ascii="Arial" w:hAnsi="Arial" w:cs="Arial"/>
          <w:bCs/>
          <w:color w:val="000000" w:themeColor="text1"/>
          <w:sz w:val="22"/>
        </w:rPr>
        <w:t xml:space="preserve">, </w:t>
      </w:r>
      <w:r w:rsidR="00DB4CC1" w:rsidRPr="000D33E7">
        <w:rPr>
          <w:rFonts w:ascii="Arial" w:eastAsia="Times New Roman" w:hAnsi="Arial" w:cs="Arial"/>
          <w:sz w:val="22"/>
          <w:lang w:eastAsia="en-GB"/>
        </w:rPr>
        <w:t>Dominick E Shaw</w:t>
      </w:r>
      <w:r w:rsidR="00DB4CC1" w:rsidRPr="000D33E7">
        <w:rPr>
          <w:rFonts w:ascii="Arial" w:eastAsia="Times New Roman" w:hAnsi="Arial" w:cs="Arial"/>
          <w:sz w:val="22"/>
          <w:vertAlign w:val="superscript"/>
          <w:lang w:eastAsia="en-GB"/>
        </w:rPr>
        <w:t>4</w:t>
      </w:r>
      <w:r w:rsidR="00DB4CC1" w:rsidRPr="000D33E7">
        <w:rPr>
          <w:rFonts w:ascii="Arial" w:eastAsia="Times New Roman" w:hAnsi="Arial" w:cs="Arial"/>
          <w:sz w:val="22"/>
          <w:lang w:eastAsia="en-GB"/>
        </w:rPr>
        <w:t>, Per S Bakke</w:t>
      </w:r>
      <w:r w:rsidR="00DB4CC1" w:rsidRPr="000D33E7">
        <w:rPr>
          <w:rFonts w:ascii="Arial" w:eastAsia="Times New Roman" w:hAnsi="Arial" w:cs="Arial"/>
          <w:sz w:val="22"/>
          <w:vertAlign w:val="superscript"/>
          <w:lang w:eastAsia="en-GB"/>
        </w:rPr>
        <w:t>5</w:t>
      </w:r>
      <w:r w:rsidR="00DB4CC1" w:rsidRPr="000D33E7">
        <w:rPr>
          <w:rFonts w:ascii="Arial" w:eastAsia="Times New Roman" w:hAnsi="Arial" w:cs="Arial"/>
          <w:sz w:val="22"/>
          <w:lang w:eastAsia="en-GB"/>
        </w:rPr>
        <w:t>, Massimo Caruso</w:t>
      </w:r>
      <w:r w:rsidR="00DB4CC1" w:rsidRPr="000D33E7">
        <w:rPr>
          <w:rFonts w:ascii="Arial" w:eastAsia="Times New Roman" w:hAnsi="Arial" w:cs="Arial"/>
          <w:sz w:val="22"/>
          <w:vertAlign w:val="superscript"/>
          <w:lang w:eastAsia="en-GB"/>
        </w:rPr>
        <w:t>6</w:t>
      </w:r>
      <w:r w:rsidR="00DB4CC1" w:rsidRPr="000D33E7">
        <w:rPr>
          <w:rFonts w:ascii="Arial" w:eastAsia="Times New Roman" w:hAnsi="Arial" w:cs="Arial"/>
          <w:sz w:val="22"/>
          <w:lang w:eastAsia="en-GB"/>
        </w:rPr>
        <w:t>, Barbro Dahlen</w:t>
      </w:r>
      <w:r w:rsidR="00DB4CC1" w:rsidRPr="000D33E7">
        <w:rPr>
          <w:rFonts w:ascii="Arial" w:eastAsia="Times New Roman" w:hAnsi="Arial" w:cs="Arial"/>
          <w:sz w:val="22"/>
          <w:vertAlign w:val="superscript"/>
          <w:lang w:eastAsia="en-GB"/>
        </w:rPr>
        <w:t>7</w:t>
      </w:r>
      <w:r w:rsidR="00DB4CC1" w:rsidRPr="000D33E7">
        <w:rPr>
          <w:rFonts w:ascii="Arial" w:eastAsia="Times New Roman" w:hAnsi="Arial" w:cs="Arial"/>
          <w:sz w:val="22"/>
          <w:lang w:eastAsia="en-GB"/>
        </w:rPr>
        <w:t>, Sven-Erik Dahlen</w:t>
      </w:r>
      <w:r w:rsidR="00DB4CC1" w:rsidRPr="000D33E7">
        <w:rPr>
          <w:rFonts w:ascii="Arial" w:eastAsia="Times New Roman" w:hAnsi="Arial" w:cs="Arial"/>
          <w:sz w:val="22"/>
          <w:vertAlign w:val="superscript"/>
          <w:lang w:eastAsia="en-GB"/>
        </w:rPr>
        <w:t>7</w:t>
      </w:r>
      <w:r w:rsidR="00DB4CC1" w:rsidRPr="000D33E7">
        <w:rPr>
          <w:rFonts w:ascii="Arial" w:eastAsia="Times New Roman" w:hAnsi="Arial" w:cs="Arial"/>
          <w:sz w:val="22"/>
          <w:lang w:eastAsia="en-GB"/>
        </w:rPr>
        <w:t>, Stephen J. Fowler</w:t>
      </w:r>
      <w:r w:rsidR="00DB4CC1" w:rsidRPr="000D33E7">
        <w:rPr>
          <w:rFonts w:ascii="Arial" w:eastAsia="Times New Roman" w:hAnsi="Arial" w:cs="Arial"/>
          <w:sz w:val="22"/>
          <w:vertAlign w:val="superscript"/>
          <w:lang w:eastAsia="en-GB"/>
        </w:rPr>
        <w:t>8</w:t>
      </w:r>
      <w:r w:rsidR="00DB4CC1" w:rsidRPr="000D33E7">
        <w:rPr>
          <w:rFonts w:ascii="Arial" w:eastAsia="Times New Roman" w:hAnsi="Arial" w:cs="Arial"/>
          <w:sz w:val="22"/>
          <w:lang w:eastAsia="en-GB"/>
        </w:rPr>
        <w:t>, Ildikó Horváth</w:t>
      </w:r>
      <w:r w:rsidR="00DB4CC1" w:rsidRPr="000D33E7">
        <w:rPr>
          <w:rFonts w:ascii="Arial" w:eastAsia="Times New Roman" w:hAnsi="Arial" w:cs="Arial"/>
          <w:sz w:val="22"/>
          <w:vertAlign w:val="superscript"/>
          <w:lang w:eastAsia="en-GB"/>
        </w:rPr>
        <w:t>9</w:t>
      </w:r>
      <w:r w:rsidR="00DB4CC1" w:rsidRPr="000D33E7">
        <w:rPr>
          <w:rFonts w:ascii="Arial" w:eastAsia="Times New Roman" w:hAnsi="Arial" w:cs="Arial"/>
          <w:sz w:val="22"/>
          <w:lang w:eastAsia="en-GB"/>
        </w:rPr>
        <w:t>, Peter Howarth</w:t>
      </w:r>
      <w:r w:rsidR="00DB4CC1" w:rsidRPr="000D33E7">
        <w:rPr>
          <w:rFonts w:ascii="Arial" w:eastAsia="Times New Roman" w:hAnsi="Arial" w:cs="Arial"/>
          <w:sz w:val="22"/>
          <w:vertAlign w:val="superscript"/>
          <w:lang w:eastAsia="en-GB"/>
        </w:rPr>
        <w:t>1</w:t>
      </w:r>
      <w:r w:rsidR="00DB4CC1" w:rsidRPr="000D33E7">
        <w:rPr>
          <w:rFonts w:ascii="Arial" w:eastAsia="Times New Roman" w:hAnsi="Arial" w:cs="Arial"/>
          <w:sz w:val="22"/>
          <w:lang w:eastAsia="en-GB"/>
        </w:rPr>
        <w:t>, Norbert Krug</w:t>
      </w:r>
      <w:r w:rsidR="00DB4CC1" w:rsidRPr="000D33E7">
        <w:rPr>
          <w:rFonts w:ascii="Arial" w:eastAsia="Times New Roman" w:hAnsi="Arial" w:cs="Arial"/>
          <w:sz w:val="22"/>
          <w:vertAlign w:val="superscript"/>
          <w:lang w:eastAsia="en-GB"/>
        </w:rPr>
        <w:t>10</w:t>
      </w:r>
      <w:r w:rsidR="00DB4CC1" w:rsidRPr="000D33E7">
        <w:rPr>
          <w:rFonts w:ascii="Arial" w:eastAsia="Times New Roman" w:hAnsi="Arial" w:cs="Arial"/>
          <w:sz w:val="22"/>
          <w:lang w:eastAsia="en-GB"/>
        </w:rPr>
        <w:t>, Paolo Montuschi</w:t>
      </w:r>
      <w:r w:rsidR="00DB4CC1" w:rsidRPr="000D33E7">
        <w:rPr>
          <w:rFonts w:ascii="Arial" w:eastAsia="Times New Roman" w:hAnsi="Arial" w:cs="Arial"/>
          <w:sz w:val="22"/>
          <w:vertAlign w:val="superscript"/>
          <w:lang w:eastAsia="en-GB"/>
        </w:rPr>
        <w:t>11</w:t>
      </w:r>
      <w:r w:rsidR="00DB4CC1" w:rsidRPr="000D33E7">
        <w:rPr>
          <w:rFonts w:ascii="Arial" w:eastAsia="Times New Roman" w:hAnsi="Arial" w:cs="Arial"/>
          <w:sz w:val="22"/>
          <w:lang w:eastAsia="en-GB"/>
        </w:rPr>
        <w:t>, Marek Sanak</w:t>
      </w:r>
      <w:r w:rsidR="00DB4CC1" w:rsidRPr="000D33E7">
        <w:rPr>
          <w:rFonts w:ascii="Arial" w:eastAsia="Times New Roman" w:hAnsi="Arial" w:cs="Arial"/>
          <w:sz w:val="22"/>
          <w:vertAlign w:val="superscript"/>
          <w:lang w:eastAsia="en-GB"/>
        </w:rPr>
        <w:t>12</w:t>
      </w:r>
      <w:r w:rsidR="00DB4CC1" w:rsidRPr="000D33E7">
        <w:rPr>
          <w:rFonts w:ascii="Arial" w:eastAsia="Times New Roman" w:hAnsi="Arial" w:cs="Arial"/>
          <w:sz w:val="22"/>
          <w:lang w:eastAsia="en-GB"/>
        </w:rPr>
        <w:t>, Thomas Sandström</w:t>
      </w:r>
      <w:r w:rsidR="00DB4CC1" w:rsidRPr="000D33E7">
        <w:rPr>
          <w:rFonts w:ascii="Arial" w:eastAsia="Times New Roman" w:hAnsi="Arial" w:cs="Arial"/>
          <w:sz w:val="22"/>
          <w:vertAlign w:val="superscript"/>
          <w:lang w:eastAsia="en-GB"/>
        </w:rPr>
        <w:t>13</w:t>
      </w:r>
      <w:r w:rsidR="00DB4CC1" w:rsidRPr="000D33E7">
        <w:rPr>
          <w:rFonts w:ascii="Arial" w:eastAsia="Times New Roman" w:hAnsi="Arial" w:cs="Arial"/>
          <w:sz w:val="22"/>
          <w:lang w:eastAsia="en-GB"/>
        </w:rPr>
        <w:t>, Charles Auffray</w:t>
      </w:r>
      <w:r w:rsidR="00DB4CC1" w:rsidRPr="000D33E7">
        <w:rPr>
          <w:rFonts w:ascii="Arial" w:eastAsia="Times New Roman" w:hAnsi="Arial" w:cs="Arial"/>
          <w:sz w:val="22"/>
          <w:vertAlign w:val="superscript"/>
          <w:lang w:eastAsia="en-GB"/>
        </w:rPr>
        <w:t>14</w:t>
      </w:r>
      <w:r w:rsidR="00DB4CC1" w:rsidRPr="000D33E7">
        <w:rPr>
          <w:rFonts w:ascii="Arial" w:eastAsia="Times New Roman" w:hAnsi="Arial" w:cs="Arial"/>
          <w:sz w:val="22"/>
          <w:lang w:eastAsia="en-GB"/>
        </w:rPr>
        <w:t>, Bertrand De Meulder</w:t>
      </w:r>
      <w:r w:rsidR="00DB4CC1" w:rsidRPr="000D33E7">
        <w:rPr>
          <w:rFonts w:ascii="Arial" w:eastAsia="Times New Roman" w:hAnsi="Arial" w:cs="Arial"/>
          <w:sz w:val="22"/>
          <w:vertAlign w:val="superscript"/>
          <w:lang w:eastAsia="en-GB"/>
        </w:rPr>
        <w:t>14</w:t>
      </w:r>
      <w:r w:rsidR="00DB4CC1" w:rsidRPr="000D33E7">
        <w:rPr>
          <w:rFonts w:ascii="Arial" w:eastAsia="Times New Roman" w:hAnsi="Arial" w:cs="Arial"/>
          <w:sz w:val="22"/>
          <w:lang w:eastAsia="en-GB"/>
        </w:rPr>
        <w:t>, Ana R Sousa</w:t>
      </w:r>
      <w:r w:rsidR="00DB4CC1" w:rsidRPr="000D33E7">
        <w:rPr>
          <w:rFonts w:ascii="Arial" w:hAnsi="Arial" w:cs="Arial"/>
          <w:sz w:val="22"/>
          <w:vertAlign w:val="superscript"/>
        </w:rPr>
        <w:t>15</w:t>
      </w:r>
      <w:r w:rsidR="00DB4CC1" w:rsidRPr="000D33E7">
        <w:rPr>
          <w:rFonts w:ascii="Arial" w:eastAsia="Times New Roman" w:hAnsi="Arial" w:cs="Arial"/>
          <w:sz w:val="22"/>
          <w:lang w:eastAsia="en-GB"/>
        </w:rPr>
        <w:t>, Ian M Adcock</w:t>
      </w:r>
      <w:r w:rsidR="00DB4CC1" w:rsidRPr="000D33E7">
        <w:rPr>
          <w:rFonts w:ascii="Arial" w:eastAsia="Times New Roman" w:hAnsi="Arial" w:cs="Arial"/>
          <w:sz w:val="22"/>
          <w:vertAlign w:val="superscript"/>
          <w:lang w:eastAsia="en-GB"/>
        </w:rPr>
        <w:t>16</w:t>
      </w:r>
      <w:r w:rsidR="00DB4CC1" w:rsidRPr="000D33E7">
        <w:rPr>
          <w:rFonts w:ascii="Arial" w:eastAsia="Times New Roman" w:hAnsi="Arial" w:cs="Arial"/>
          <w:sz w:val="22"/>
          <w:lang w:eastAsia="en-GB"/>
        </w:rPr>
        <w:t>, Kian Fan Chung</w:t>
      </w:r>
      <w:r w:rsidR="00DB4CC1" w:rsidRPr="000D33E7">
        <w:rPr>
          <w:rFonts w:ascii="Arial" w:eastAsia="Times New Roman" w:hAnsi="Arial" w:cs="Arial"/>
          <w:sz w:val="22"/>
          <w:vertAlign w:val="superscript"/>
          <w:lang w:eastAsia="en-GB"/>
        </w:rPr>
        <w:t>16</w:t>
      </w:r>
      <w:r w:rsidR="00DB4CC1" w:rsidRPr="000D33E7">
        <w:rPr>
          <w:rFonts w:ascii="Arial" w:eastAsia="Times New Roman" w:hAnsi="Arial" w:cs="Arial"/>
          <w:sz w:val="22"/>
          <w:lang w:eastAsia="en-GB"/>
        </w:rPr>
        <w:t>, Peter J Sterk</w:t>
      </w:r>
      <w:r w:rsidR="00DB4CC1" w:rsidRPr="000D33E7">
        <w:rPr>
          <w:rFonts w:ascii="Arial" w:eastAsia="Times New Roman" w:hAnsi="Arial" w:cs="Arial"/>
          <w:sz w:val="22"/>
          <w:vertAlign w:val="superscript"/>
          <w:lang w:eastAsia="en-GB"/>
        </w:rPr>
        <w:t>17</w:t>
      </w:r>
      <w:r w:rsidR="00DB4CC1" w:rsidRPr="000D33E7">
        <w:rPr>
          <w:rFonts w:ascii="Arial" w:eastAsia="Times New Roman" w:hAnsi="Arial" w:cs="Arial"/>
          <w:sz w:val="22"/>
          <w:lang w:eastAsia="en-GB"/>
        </w:rPr>
        <w:t>, Paul J Skipp</w:t>
      </w:r>
      <w:r w:rsidR="00DB4CC1" w:rsidRPr="000D33E7">
        <w:rPr>
          <w:rFonts w:ascii="Arial" w:eastAsia="Times New Roman" w:hAnsi="Arial" w:cs="Arial"/>
          <w:sz w:val="22"/>
          <w:vertAlign w:val="superscript"/>
          <w:lang w:eastAsia="en-GB"/>
        </w:rPr>
        <w:t>18</w:t>
      </w:r>
      <w:r w:rsidR="00DB4CC1" w:rsidRPr="000D33E7">
        <w:rPr>
          <w:rFonts w:ascii="Arial" w:eastAsia="Times New Roman" w:hAnsi="Arial" w:cs="Arial"/>
          <w:sz w:val="22"/>
          <w:lang w:eastAsia="en-GB"/>
        </w:rPr>
        <w:t>, James Schofield</w:t>
      </w:r>
      <w:r w:rsidR="00DB4CC1" w:rsidRPr="000D33E7">
        <w:rPr>
          <w:rFonts w:ascii="Arial" w:eastAsia="Times New Roman" w:hAnsi="Arial" w:cs="Arial"/>
          <w:sz w:val="22"/>
          <w:vertAlign w:val="superscript"/>
          <w:lang w:eastAsia="en-GB"/>
        </w:rPr>
        <w:t>18</w:t>
      </w:r>
      <w:r w:rsidR="00DB4CC1">
        <w:rPr>
          <w:rFonts w:ascii="Arial" w:eastAsia="Times New Roman" w:hAnsi="Arial" w:cs="Arial"/>
          <w:sz w:val="22"/>
          <w:vertAlign w:val="superscript"/>
          <w:lang w:eastAsia="en-GB"/>
        </w:rPr>
        <w:t>,19</w:t>
      </w:r>
      <w:r w:rsidR="00DB4CC1" w:rsidRPr="000D33E7">
        <w:rPr>
          <w:rFonts w:ascii="Arial" w:eastAsia="Times New Roman" w:hAnsi="Arial" w:cs="Arial"/>
          <w:sz w:val="22"/>
          <w:lang w:eastAsia="en-GB"/>
        </w:rPr>
        <w:t>, Ratko Djukanović</w:t>
      </w:r>
      <w:r w:rsidR="00DB4CC1" w:rsidRPr="000D33E7">
        <w:rPr>
          <w:rFonts w:ascii="Arial" w:eastAsia="Times New Roman" w:hAnsi="Arial" w:cs="Arial"/>
          <w:sz w:val="22"/>
          <w:vertAlign w:val="superscript"/>
          <w:lang w:eastAsia="en-GB"/>
        </w:rPr>
        <w:t>1,19</w:t>
      </w:r>
      <w:r w:rsidR="00DB4CC1" w:rsidRPr="000D33E7">
        <w:rPr>
          <w:rFonts w:ascii="Arial" w:eastAsia="Times New Roman" w:hAnsi="Arial" w:cs="Arial"/>
          <w:sz w:val="22"/>
          <w:lang w:eastAsia="en-GB"/>
        </w:rPr>
        <w:t>, on behalf of the U-BIOPRED Study Group</w:t>
      </w:r>
    </w:p>
    <w:p w14:paraId="60A186BD" w14:textId="5A4E45B6" w:rsidR="00672CB6" w:rsidRPr="000D33E7" w:rsidRDefault="00672CB6" w:rsidP="003C1B0A">
      <w:pPr>
        <w:rPr>
          <w:rFonts w:ascii="Arial" w:hAnsi="Arial" w:cs="Arial"/>
          <w:bCs/>
          <w:color w:val="000000" w:themeColor="text1"/>
          <w:sz w:val="22"/>
        </w:rPr>
      </w:pPr>
    </w:p>
    <w:p w14:paraId="07D54617" w14:textId="2478BC59" w:rsidR="00634A44" w:rsidRDefault="00634A44" w:rsidP="003C1B0A">
      <w:pPr>
        <w:rPr>
          <w:rFonts w:ascii="Arial" w:hAnsi="Arial" w:cs="Arial"/>
          <w:bCs/>
          <w:color w:val="000000" w:themeColor="text1"/>
          <w:sz w:val="22"/>
        </w:rPr>
      </w:pPr>
      <w:r w:rsidRPr="00DB4CC1">
        <w:rPr>
          <w:rFonts w:ascii="Arial" w:hAnsi="Arial" w:cs="Arial"/>
          <w:bCs/>
          <w:color w:val="000000" w:themeColor="text1"/>
          <w:sz w:val="22"/>
          <w:vertAlign w:val="superscript"/>
        </w:rPr>
        <w:t xml:space="preserve">1 </w:t>
      </w:r>
      <w:r w:rsidRPr="00DB4CC1">
        <w:rPr>
          <w:rFonts w:ascii="Arial" w:hAnsi="Arial" w:cs="Arial"/>
          <w:bCs/>
          <w:color w:val="000000" w:themeColor="text1"/>
          <w:sz w:val="22"/>
        </w:rPr>
        <w:t>Clinical and Experimental Sciences, Faculty of Medicine, University of Southampton, U</w:t>
      </w:r>
      <w:r w:rsidR="00DB4CC1">
        <w:rPr>
          <w:rFonts w:ascii="Arial" w:hAnsi="Arial" w:cs="Arial"/>
          <w:bCs/>
          <w:color w:val="000000" w:themeColor="text1"/>
          <w:sz w:val="22"/>
        </w:rPr>
        <w:t>K</w:t>
      </w:r>
    </w:p>
    <w:p w14:paraId="2AB88368" w14:textId="11182885" w:rsidR="00634A44" w:rsidRPr="000D33E7" w:rsidRDefault="00634A44" w:rsidP="003C1B0A">
      <w:pPr>
        <w:rPr>
          <w:rFonts w:ascii="Arial" w:hAnsi="Arial" w:cs="Arial"/>
          <w:bCs/>
          <w:color w:val="000000" w:themeColor="text1"/>
          <w:sz w:val="22"/>
        </w:rPr>
      </w:pPr>
      <w:r w:rsidRPr="00DB4CC1">
        <w:rPr>
          <w:rFonts w:ascii="Arial" w:hAnsi="Arial" w:cs="Arial"/>
          <w:bCs/>
          <w:color w:val="000000" w:themeColor="text1"/>
          <w:sz w:val="22"/>
          <w:vertAlign w:val="superscript"/>
        </w:rPr>
        <w:t>2</w:t>
      </w:r>
      <w:r w:rsidRPr="00DB4CC1">
        <w:rPr>
          <w:rFonts w:ascii="Arial" w:hAnsi="Arial" w:cs="Arial"/>
          <w:bCs/>
          <w:color w:val="000000" w:themeColor="text1"/>
          <w:sz w:val="22"/>
        </w:rPr>
        <w:t xml:space="preserve"> Suzhou Guangji Hospital, Suzhou, Jiangsu, China</w:t>
      </w:r>
    </w:p>
    <w:p w14:paraId="66D72478" w14:textId="30644AEC" w:rsidR="00634A44" w:rsidRPr="00DB4CC1" w:rsidRDefault="00634A44" w:rsidP="003C1B0A">
      <w:pPr>
        <w:rPr>
          <w:rFonts w:ascii="Arial" w:hAnsi="Arial" w:cs="Arial"/>
          <w:bCs/>
          <w:color w:val="000000" w:themeColor="text1"/>
          <w:sz w:val="22"/>
        </w:rPr>
      </w:pPr>
      <w:r w:rsidRPr="00DB4CC1">
        <w:rPr>
          <w:rFonts w:ascii="Arial" w:hAnsi="Arial" w:cs="Arial"/>
          <w:bCs/>
          <w:color w:val="000000" w:themeColor="text1"/>
          <w:sz w:val="22"/>
          <w:vertAlign w:val="superscript"/>
        </w:rPr>
        <w:t>3</w:t>
      </w:r>
      <w:r w:rsidRPr="00DB4CC1">
        <w:rPr>
          <w:rFonts w:ascii="Arial" w:hAnsi="Arial" w:cs="Arial"/>
          <w:bCs/>
          <w:color w:val="000000" w:themeColor="text1"/>
          <w:sz w:val="22"/>
        </w:rPr>
        <w:t xml:space="preserve"> Shandong Mental Health Centre, Shandong, China</w:t>
      </w:r>
    </w:p>
    <w:p w14:paraId="15E8849C" w14:textId="018B780B" w:rsidR="00DB4CC1" w:rsidRPr="00DB4CC1" w:rsidRDefault="000D33E7" w:rsidP="003C1B0A">
      <w:pPr>
        <w:textAlignment w:val="baseline"/>
        <w:rPr>
          <w:rFonts w:ascii="Arial" w:eastAsia="Times New Roman" w:hAnsi="Arial" w:cs="Arial"/>
          <w:sz w:val="22"/>
          <w:lang w:eastAsia="en-GB"/>
        </w:rPr>
      </w:pPr>
      <w:r>
        <w:rPr>
          <w:rFonts w:ascii="Arial" w:eastAsia="Times New Roman" w:hAnsi="Arial" w:cs="Arial"/>
          <w:sz w:val="22"/>
          <w:vertAlign w:val="superscript"/>
          <w:lang w:eastAsia="en-GB"/>
        </w:rPr>
        <w:t>4</w:t>
      </w:r>
      <w:r w:rsidR="00DB4CC1" w:rsidRPr="00DB4CC1">
        <w:rPr>
          <w:rFonts w:ascii="Arial" w:eastAsia="Times New Roman" w:hAnsi="Arial" w:cs="Arial"/>
          <w:sz w:val="22"/>
          <w:lang w:eastAsia="en-GB"/>
        </w:rPr>
        <w:t>Respiratory Research Unit, University of Nottingham, Nottingham, UK</w:t>
      </w:r>
    </w:p>
    <w:p w14:paraId="14340AD9" w14:textId="44B616E0" w:rsidR="00DB4CC1" w:rsidRPr="00DB4CC1" w:rsidRDefault="000D33E7" w:rsidP="003C1B0A">
      <w:pPr>
        <w:textAlignment w:val="baseline"/>
        <w:rPr>
          <w:rFonts w:ascii="Arial" w:eastAsia="Times New Roman" w:hAnsi="Arial" w:cs="Arial"/>
          <w:sz w:val="22"/>
          <w:lang w:eastAsia="en-GB"/>
        </w:rPr>
      </w:pPr>
      <w:r>
        <w:rPr>
          <w:rFonts w:ascii="Arial" w:eastAsia="Times New Roman" w:hAnsi="Arial" w:cs="Arial"/>
          <w:sz w:val="22"/>
          <w:vertAlign w:val="superscript"/>
          <w:lang w:eastAsia="en-GB"/>
        </w:rPr>
        <w:t>5</w:t>
      </w:r>
      <w:r w:rsidR="00DB4CC1" w:rsidRPr="00DB4CC1">
        <w:rPr>
          <w:rFonts w:ascii="Arial" w:eastAsia="Times New Roman" w:hAnsi="Arial" w:cs="Arial"/>
          <w:sz w:val="22"/>
          <w:lang w:eastAsia="en-GB"/>
        </w:rPr>
        <w:t>Department of Clinical Science, University of Bergen, Bergen, Norway</w:t>
      </w:r>
    </w:p>
    <w:p w14:paraId="2B90E6D3" w14:textId="28AD644D" w:rsidR="00DB4CC1" w:rsidRPr="00DB4CC1" w:rsidRDefault="000D33E7" w:rsidP="003C1B0A">
      <w:pPr>
        <w:textAlignment w:val="baseline"/>
        <w:rPr>
          <w:rFonts w:ascii="Arial" w:eastAsia="Times New Roman" w:hAnsi="Arial" w:cs="Arial"/>
          <w:sz w:val="22"/>
          <w:lang w:eastAsia="en-GB"/>
        </w:rPr>
      </w:pPr>
      <w:r>
        <w:rPr>
          <w:rFonts w:ascii="Arial" w:eastAsia="Times New Roman" w:hAnsi="Arial" w:cs="Arial"/>
          <w:sz w:val="22"/>
          <w:vertAlign w:val="superscript"/>
          <w:lang w:eastAsia="en-GB"/>
        </w:rPr>
        <w:t>6</w:t>
      </w:r>
      <w:r w:rsidR="00DB4CC1" w:rsidRPr="00DB4CC1">
        <w:rPr>
          <w:rFonts w:ascii="Arial" w:eastAsia="Times New Roman" w:hAnsi="Arial" w:cs="Arial"/>
          <w:sz w:val="22"/>
          <w:lang w:eastAsia="en-GB"/>
        </w:rPr>
        <w:t>Dept of Clinical and Experimental Medicine Hospital University, University of Catania, Catania, Italy</w:t>
      </w:r>
    </w:p>
    <w:p w14:paraId="70F3E4C5" w14:textId="209D5924" w:rsidR="00DB4CC1" w:rsidRPr="00DB4CC1" w:rsidRDefault="000D33E7" w:rsidP="003C1B0A">
      <w:pPr>
        <w:textAlignment w:val="baseline"/>
        <w:rPr>
          <w:rFonts w:ascii="Arial" w:eastAsia="Times New Roman" w:hAnsi="Arial" w:cs="Arial"/>
          <w:sz w:val="22"/>
          <w:lang w:eastAsia="en-GB"/>
        </w:rPr>
      </w:pPr>
      <w:r>
        <w:rPr>
          <w:rFonts w:ascii="Arial" w:eastAsia="Times New Roman" w:hAnsi="Arial" w:cs="Arial"/>
          <w:sz w:val="22"/>
          <w:vertAlign w:val="superscript"/>
          <w:lang w:eastAsia="en-GB"/>
        </w:rPr>
        <w:t>7</w:t>
      </w:r>
      <w:r w:rsidR="00DB4CC1" w:rsidRPr="00DB4CC1">
        <w:rPr>
          <w:rFonts w:ascii="Arial" w:eastAsia="Times New Roman" w:hAnsi="Arial" w:cs="Arial"/>
          <w:sz w:val="22"/>
          <w:lang w:eastAsia="en-GB"/>
        </w:rPr>
        <w:t>The Centre for Allergy Research, The Institute of Environmental Medicine, Karolinska Institutet, Stockholm, Sweden</w:t>
      </w:r>
    </w:p>
    <w:p w14:paraId="579C5BA4" w14:textId="69BBB701" w:rsidR="00DB4CC1" w:rsidRPr="00DB4CC1" w:rsidRDefault="000D33E7" w:rsidP="003C1B0A">
      <w:pPr>
        <w:textAlignment w:val="baseline"/>
        <w:rPr>
          <w:rFonts w:ascii="Arial" w:eastAsia="Times New Roman" w:hAnsi="Arial" w:cs="Arial"/>
          <w:sz w:val="22"/>
          <w:lang w:eastAsia="en-GB"/>
        </w:rPr>
      </w:pPr>
      <w:r>
        <w:rPr>
          <w:rFonts w:ascii="Arial" w:eastAsia="Times New Roman" w:hAnsi="Arial" w:cs="Arial"/>
          <w:sz w:val="22"/>
          <w:vertAlign w:val="superscript"/>
          <w:lang w:eastAsia="en-GB"/>
        </w:rPr>
        <w:t>8</w:t>
      </w:r>
      <w:r w:rsidR="00DB4CC1" w:rsidRPr="00DB4CC1">
        <w:rPr>
          <w:rFonts w:ascii="Arial" w:eastAsia="Times New Roman" w:hAnsi="Arial" w:cs="Arial"/>
          <w:sz w:val="22"/>
          <w:lang w:eastAsia="en-GB"/>
        </w:rPr>
        <w:t xml:space="preserve">Faculty of Biology, Medicine and Health, School of Biological Sciences, Division of Infection, Immunity &amp; Respiratory Medicine, The University of Manchester and Manchester Academic Health Science Centre and NIHR Manchester Biomedical Research Unit and Manchester University NHS Foundation Trust, UK </w:t>
      </w:r>
    </w:p>
    <w:p w14:paraId="24748902" w14:textId="72B6B01A" w:rsidR="00DB4CC1" w:rsidRPr="00DB4CC1" w:rsidRDefault="000D33E7" w:rsidP="003C1B0A">
      <w:pPr>
        <w:textAlignment w:val="baseline"/>
        <w:rPr>
          <w:rFonts w:ascii="Arial" w:eastAsia="Times New Roman" w:hAnsi="Arial" w:cs="Arial"/>
          <w:sz w:val="22"/>
          <w:lang w:eastAsia="en-GB"/>
        </w:rPr>
      </w:pPr>
      <w:r>
        <w:rPr>
          <w:rFonts w:ascii="Arial" w:eastAsia="Times New Roman" w:hAnsi="Arial" w:cs="Arial"/>
          <w:sz w:val="22"/>
          <w:vertAlign w:val="superscript"/>
          <w:lang w:eastAsia="en-GB"/>
        </w:rPr>
        <w:t>9</w:t>
      </w:r>
      <w:r w:rsidR="00DB4CC1" w:rsidRPr="00DB4CC1">
        <w:rPr>
          <w:rFonts w:ascii="Arial" w:eastAsia="Times New Roman" w:hAnsi="Arial" w:cs="Arial"/>
          <w:sz w:val="22"/>
          <w:lang w:eastAsia="en-GB"/>
        </w:rPr>
        <w:t>Dept of Pulmonology, Semmelweis University, Budapest, Hungary</w:t>
      </w:r>
    </w:p>
    <w:p w14:paraId="25B8D0D1" w14:textId="347BC97B" w:rsidR="00DB4CC1" w:rsidRPr="00DB4CC1" w:rsidRDefault="00DB4CC1" w:rsidP="003C1B0A">
      <w:pPr>
        <w:textAlignment w:val="baseline"/>
        <w:rPr>
          <w:rFonts w:ascii="Arial" w:eastAsia="Times New Roman" w:hAnsi="Arial" w:cs="Arial"/>
          <w:sz w:val="22"/>
          <w:lang w:eastAsia="en-GB"/>
        </w:rPr>
      </w:pPr>
      <w:r w:rsidRPr="00DB4CC1">
        <w:rPr>
          <w:rFonts w:ascii="Arial" w:eastAsia="Times New Roman" w:hAnsi="Arial" w:cs="Arial"/>
          <w:sz w:val="22"/>
          <w:vertAlign w:val="superscript"/>
          <w:lang w:eastAsia="en-GB"/>
        </w:rPr>
        <w:t>1</w:t>
      </w:r>
      <w:r w:rsidR="000D33E7">
        <w:rPr>
          <w:rFonts w:ascii="Arial" w:eastAsia="Times New Roman" w:hAnsi="Arial" w:cs="Arial"/>
          <w:sz w:val="22"/>
          <w:vertAlign w:val="superscript"/>
          <w:lang w:eastAsia="en-GB"/>
        </w:rPr>
        <w:t>0</w:t>
      </w:r>
      <w:r w:rsidRPr="00DB4CC1">
        <w:rPr>
          <w:rFonts w:ascii="Arial" w:eastAsia="Times New Roman" w:hAnsi="Arial" w:cs="Arial"/>
          <w:sz w:val="22"/>
          <w:lang w:eastAsia="en-GB"/>
        </w:rPr>
        <w:t>Fraunhofer Institute for Toxicology and Experimental Medicine Hannover, Hannover, Germany</w:t>
      </w:r>
    </w:p>
    <w:p w14:paraId="3E2FB984" w14:textId="2B08B0BD" w:rsidR="00DB4CC1" w:rsidRPr="00DB4CC1" w:rsidRDefault="00DB4CC1" w:rsidP="003C1B0A">
      <w:pPr>
        <w:textAlignment w:val="baseline"/>
        <w:rPr>
          <w:rFonts w:ascii="Arial" w:eastAsia="Times New Roman" w:hAnsi="Arial" w:cs="Arial"/>
          <w:sz w:val="22"/>
          <w:lang w:eastAsia="en-GB"/>
        </w:rPr>
      </w:pPr>
      <w:r w:rsidRPr="00DB4CC1">
        <w:rPr>
          <w:rFonts w:ascii="Arial" w:eastAsia="Times New Roman" w:hAnsi="Arial" w:cs="Arial"/>
          <w:sz w:val="22"/>
          <w:vertAlign w:val="superscript"/>
          <w:lang w:eastAsia="en-GB"/>
        </w:rPr>
        <w:t>1</w:t>
      </w:r>
      <w:r w:rsidR="000D33E7">
        <w:rPr>
          <w:rFonts w:ascii="Arial" w:eastAsia="Times New Roman" w:hAnsi="Arial" w:cs="Arial"/>
          <w:sz w:val="22"/>
          <w:vertAlign w:val="superscript"/>
          <w:lang w:eastAsia="en-GB"/>
        </w:rPr>
        <w:t>1</w:t>
      </w:r>
      <w:r w:rsidRPr="00DB4CC1">
        <w:rPr>
          <w:rFonts w:ascii="Arial" w:eastAsia="Times New Roman" w:hAnsi="Arial" w:cs="Arial"/>
          <w:sz w:val="22"/>
          <w:lang w:eastAsia="en-GB"/>
        </w:rPr>
        <w:t>Pharmacology, Faculty of Medicine, Catholic University of the Sacred Heart, Rome, Italy</w:t>
      </w:r>
    </w:p>
    <w:p w14:paraId="47ECE3C1" w14:textId="1881D622" w:rsidR="00DB4CC1" w:rsidRPr="00DB4CC1" w:rsidRDefault="00DB4CC1" w:rsidP="003C1B0A">
      <w:pPr>
        <w:textAlignment w:val="baseline"/>
        <w:rPr>
          <w:rFonts w:ascii="Arial" w:eastAsia="Times New Roman" w:hAnsi="Arial" w:cs="Arial"/>
          <w:sz w:val="22"/>
          <w:lang w:eastAsia="en-GB"/>
        </w:rPr>
      </w:pPr>
      <w:r w:rsidRPr="00DB4CC1">
        <w:rPr>
          <w:rFonts w:ascii="Arial" w:eastAsia="Times New Roman" w:hAnsi="Arial" w:cs="Arial"/>
          <w:sz w:val="22"/>
          <w:vertAlign w:val="superscript"/>
          <w:lang w:eastAsia="en-GB"/>
        </w:rPr>
        <w:t>1</w:t>
      </w:r>
      <w:r w:rsidR="000D33E7">
        <w:rPr>
          <w:rFonts w:ascii="Arial" w:eastAsia="Times New Roman" w:hAnsi="Arial" w:cs="Arial"/>
          <w:sz w:val="22"/>
          <w:vertAlign w:val="superscript"/>
          <w:lang w:eastAsia="en-GB"/>
        </w:rPr>
        <w:t>2</w:t>
      </w:r>
      <w:r w:rsidRPr="00DB4CC1">
        <w:rPr>
          <w:rFonts w:ascii="Arial" w:eastAsia="Times New Roman" w:hAnsi="Arial" w:cs="Arial"/>
          <w:sz w:val="22"/>
          <w:lang w:eastAsia="en-GB"/>
        </w:rPr>
        <w:t>Department of Internal Medicine, Jagiellonian University Medical College, Krakow, Poland</w:t>
      </w:r>
    </w:p>
    <w:p w14:paraId="65EA450B" w14:textId="5932AA7C" w:rsidR="00DB4CC1" w:rsidRPr="00DB4CC1" w:rsidRDefault="00DB4CC1" w:rsidP="003C1B0A">
      <w:pPr>
        <w:textAlignment w:val="baseline"/>
        <w:rPr>
          <w:rFonts w:ascii="Arial" w:eastAsia="Times New Roman" w:hAnsi="Arial" w:cs="Arial"/>
          <w:sz w:val="22"/>
          <w:lang w:eastAsia="en-GB"/>
        </w:rPr>
      </w:pPr>
      <w:r w:rsidRPr="00DB4CC1">
        <w:rPr>
          <w:rFonts w:ascii="Arial" w:eastAsia="Times New Roman" w:hAnsi="Arial" w:cs="Arial"/>
          <w:sz w:val="22"/>
          <w:vertAlign w:val="superscript"/>
          <w:lang w:eastAsia="en-GB"/>
        </w:rPr>
        <w:t>1</w:t>
      </w:r>
      <w:r w:rsidR="000D33E7">
        <w:rPr>
          <w:rFonts w:ascii="Arial" w:eastAsia="Times New Roman" w:hAnsi="Arial" w:cs="Arial"/>
          <w:sz w:val="22"/>
          <w:vertAlign w:val="superscript"/>
          <w:lang w:eastAsia="en-GB"/>
        </w:rPr>
        <w:t>3</w:t>
      </w:r>
      <w:r w:rsidRPr="00DB4CC1">
        <w:rPr>
          <w:rFonts w:ascii="Arial" w:eastAsia="Times New Roman" w:hAnsi="Arial" w:cs="Arial"/>
          <w:sz w:val="22"/>
          <w:lang w:eastAsia="en-GB"/>
        </w:rPr>
        <w:t>Department of Medicine, Department of Public Health and Clinical Medicine Respiratory Medicine Unit, Umea University</w:t>
      </w:r>
    </w:p>
    <w:p w14:paraId="6767A058" w14:textId="6A3F37B5" w:rsidR="00DB4CC1" w:rsidRPr="00DB4CC1" w:rsidRDefault="00DB4CC1" w:rsidP="003C1B0A">
      <w:pPr>
        <w:textAlignment w:val="baseline"/>
        <w:rPr>
          <w:rFonts w:ascii="Arial" w:eastAsia="Times New Roman" w:hAnsi="Arial" w:cs="Arial"/>
          <w:sz w:val="22"/>
          <w:lang w:eastAsia="en-GB"/>
        </w:rPr>
      </w:pPr>
      <w:r w:rsidRPr="00DB4CC1">
        <w:rPr>
          <w:rFonts w:ascii="Arial" w:eastAsia="Times New Roman" w:hAnsi="Arial" w:cs="Arial"/>
          <w:sz w:val="22"/>
          <w:vertAlign w:val="superscript"/>
          <w:lang w:eastAsia="en-GB"/>
        </w:rPr>
        <w:t>1</w:t>
      </w:r>
      <w:r w:rsidR="000D33E7">
        <w:rPr>
          <w:rFonts w:ascii="Arial" w:eastAsia="Times New Roman" w:hAnsi="Arial" w:cs="Arial"/>
          <w:sz w:val="22"/>
          <w:vertAlign w:val="superscript"/>
          <w:lang w:eastAsia="en-GB"/>
        </w:rPr>
        <w:t>4</w:t>
      </w:r>
      <w:r w:rsidRPr="00DB4CC1">
        <w:rPr>
          <w:rFonts w:ascii="Arial" w:eastAsia="Times New Roman" w:hAnsi="Arial" w:cs="Arial"/>
          <w:sz w:val="22"/>
          <w:lang w:eastAsia="en-GB"/>
        </w:rPr>
        <w:t>European Institute for Systems Biology and Medicine, CNRS-ENS-UCBL-INSERM, Université de Lyon</w:t>
      </w:r>
    </w:p>
    <w:p w14:paraId="0D7F38A6" w14:textId="0A4C00D5" w:rsidR="00DB4CC1" w:rsidRPr="00DB4CC1" w:rsidRDefault="00DB4CC1" w:rsidP="003C1B0A">
      <w:pPr>
        <w:textAlignment w:val="baseline"/>
        <w:rPr>
          <w:rFonts w:ascii="Arial" w:eastAsia="Times New Roman" w:hAnsi="Arial" w:cs="Arial"/>
          <w:sz w:val="22"/>
          <w:lang w:eastAsia="en-GB"/>
        </w:rPr>
      </w:pPr>
      <w:r w:rsidRPr="00DB4CC1">
        <w:rPr>
          <w:rFonts w:ascii="Arial" w:eastAsia="Times New Roman" w:hAnsi="Arial" w:cs="Arial"/>
          <w:sz w:val="22"/>
          <w:vertAlign w:val="superscript"/>
          <w:lang w:eastAsia="en-GB"/>
        </w:rPr>
        <w:t>1</w:t>
      </w:r>
      <w:r w:rsidR="000D33E7">
        <w:rPr>
          <w:rFonts w:ascii="Arial" w:eastAsia="Times New Roman" w:hAnsi="Arial" w:cs="Arial"/>
          <w:sz w:val="22"/>
          <w:vertAlign w:val="superscript"/>
          <w:lang w:eastAsia="en-GB"/>
        </w:rPr>
        <w:t>5</w:t>
      </w:r>
      <w:r w:rsidRPr="00DB4CC1">
        <w:rPr>
          <w:rFonts w:ascii="Arial" w:eastAsia="Times New Roman" w:hAnsi="Arial" w:cs="Arial"/>
          <w:sz w:val="22"/>
          <w:lang w:eastAsia="en-GB"/>
        </w:rPr>
        <w:t>Respiratory Therapeutic Unit, GlaxoSmithKline, Stockley Park</w:t>
      </w:r>
    </w:p>
    <w:p w14:paraId="64ACE243" w14:textId="40F21636" w:rsidR="00DB4CC1" w:rsidRPr="00DB4CC1" w:rsidRDefault="00DB4CC1" w:rsidP="003C1B0A">
      <w:pPr>
        <w:textAlignment w:val="baseline"/>
        <w:rPr>
          <w:rFonts w:ascii="Arial" w:eastAsia="Times New Roman" w:hAnsi="Arial" w:cs="Arial"/>
          <w:sz w:val="22"/>
          <w:lang w:eastAsia="en-GB"/>
        </w:rPr>
      </w:pPr>
      <w:r w:rsidRPr="00DB4CC1">
        <w:rPr>
          <w:rFonts w:ascii="Arial" w:eastAsia="Times New Roman" w:hAnsi="Arial" w:cs="Arial"/>
          <w:sz w:val="22"/>
          <w:vertAlign w:val="superscript"/>
          <w:lang w:eastAsia="en-GB"/>
        </w:rPr>
        <w:t>1</w:t>
      </w:r>
      <w:r w:rsidR="000D33E7">
        <w:rPr>
          <w:rFonts w:ascii="Arial" w:eastAsia="Times New Roman" w:hAnsi="Arial" w:cs="Arial"/>
          <w:sz w:val="22"/>
          <w:vertAlign w:val="superscript"/>
          <w:lang w:eastAsia="en-GB"/>
        </w:rPr>
        <w:t>6</w:t>
      </w:r>
      <w:r w:rsidRPr="00DB4CC1">
        <w:rPr>
          <w:rFonts w:ascii="Arial" w:eastAsia="Times New Roman" w:hAnsi="Arial" w:cs="Arial"/>
          <w:sz w:val="22"/>
          <w:lang w:eastAsia="en-GB"/>
        </w:rPr>
        <w:t>National Heart and Lung Institute, Imperial College London.</w:t>
      </w:r>
    </w:p>
    <w:p w14:paraId="1DAD1AAF" w14:textId="77777777" w:rsidR="00BB0A7A" w:rsidRDefault="00DB4CC1" w:rsidP="003C1B0A">
      <w:pPr>
        <w:textAlignment w:val="baseline"/>
        <w:rPr>
          <w:rFonts w:ascii="Arial" w:eastAsia="Times New Roman" w:hAnsi="Arial" w:cs="Arial"/>
          <w:sz w:val="22"/>
          <w:lang w:eastAsia="en-GB"/>
        </w:rPr>
      </w:pPr>
      <w:r w:rsidRPr="00DB4CC1">
        <w:rPr>
          <w:rFonts w:ascii="Arial" w:eastAsia="Times New Roman" w:hAnsi="Arial" w:cs="Arial"/>
          <w:sz w:val="22"/>
          <w:vertAlign w:val="superscript"/>
          <w:lang w:eastAsia="en-GB"/>
        </w:rPr>
        <w:t>1</w:t>
      </w:r>
      <w:r w:rsidR="000D33E7">
        <w:rPr>
          <w:rFonts w:ascii="Arial" w:eastAsia="Times New Roman" w:hAnsi="Arial" w:cs="Arial"/>
          <w:sz w:val="22"/>
          <w:vertAlign w:val="superscript"/>
          <w:lang w:eastAsia="en-GB"/>
        </w:rPr>
        <w:t>7</w:t>
      </w:r>
      <w:r w:rsidRPr="00DB4CC1">
        <w:rPr>
          <w:rFonts w:ascii="Arial" w:eastAsia="Times New Roman" w:hAnsi="Arial" w:cs="Arial"/>
          <w:sz w:val="22"/>
          <w:lang w:eastAsia="en-GB"/>
        </w:rPr>
        <w:t>Amsterdam UMC, University of Amsterdam, Holland</w:t>
      </w:r>
    </w:p>
    <w:p w14:paraId="3A554063" w14:textId="14E56C2A" w:rsidR="00DB4CC1" w:rsidRPr="00DB4CC1" w:rsidRDefault="00DB4CC1" w:rsidP="003C1B0A">
      <w:pPr>
        <w:textAlignment w:val="baseline"/>
        <w:rPr>
          <w:rFonts w:ascii="Arial" w:eastAsia="Times New Roman" w:hAnsi="Arial" w:cs="Arial"/>
          <w:sz w:val="22"/>
          <w:lang w:eastAsia="en-GB"/>
        </w:rPr>
      </w:pPr>
      <w:r>
        <w:rPr>
          <w:rFonts w:ascii="Arial" w:eastAsia="Times New Roman" w:hAnsi="Arial" w:cs="Arial"/>
          <w:sz w:val="22"/>
          <w:vertAlign w:val="superscript"/>
          <w:lang w:eastAsia="en-GB"/>
        </w:rPr>
        <w:t>1</w:t>
      </w:r>
      <w:r w:rsidR="000D33E7">
        <w:rPr>
          <w:rFonts w:ascii="Arial" w:eastAsia="Times New Roman" w:hAnsi="Arial" w:cs="Arial"/>
          <w:sz w:val="22"/>
          <w:vertAlign w:val="superscript"/>
          <w:lang w:eastAsia="en-GB"/>
        </w:rPr>
        <w:t>8</w:t>
      </w:r>
      <w:r w:rsidRPr="00DB4CC1">
        <w:rPr>
          <w:rFonts w:ascii="Arial" w:eastAsia="Times New Roman" w:hAnsi="Arial" w:cs="Arial"/>
          <w:sz w:val="22"/>
          <w:lang w:eastAsia="en-GB"/>
        </w:rPr>
        <w:t>Biological Sciences, University of Southampton, Southampton, UK</w:t>
      </w:r>
    </w:p>
    <w:p w14:paraId="2948628C" w14:textId="6FB30426" w:rsidR="00DB4CC1" w:rsidRPr="00DB4CC1" w:rsidRDefault="000D33E7" w:rsidP="003C1B0A">
      <w:pPr>
        <w:textAlignment w:val="baseline"/>
        <w:rPr>
          <w:rFonts w:ascii="Arial" w:eastAsia="Times New Roman" w:hAnsi="Arial" w:cs="Arial"/>
          <w:sz w:val="22"/>
          <w:lang w:eastAsia="en-GB"/>
        </w:rPr>
      </w:pPr>
      <w:r>
        <w:rPr>
          <w:rFonts w:ascii="Arial" w:eastAsia="Times New Roman" w:hAnsi="Arial" w:cs="Arial"/>
          <w:sz w:val="22"/>
          <w:vertAlign w:val="superscript"/>
          <w:lang w:eastAsia="en-GB"/>
        </w:rPr>
        <w:t>19</w:t>
      </w:r>
      <w:r w:rsidR="00DB4CC1" w:rsidRPr="00DB4CC1">
        <w:rPr>
          <w:rFonts w:ascii="Arial" w:eastAsia="Times New Roman" w:hAnsi="Arial" w:cs="Arial"/>
          <w:sz w:val="22"/>
          <w:lang w:eastAsia="en-GB"/>
        </w:rPr>
        <w:t xml:space="preserve">NIHR Southampton Respiratory Biomedical Research </w:t>
      </w:r>
      <w:r>
        <w:rPr>
          <w:rFonts w:ascii="Arial" w:eastAsia="Times New Roman" w:hAnsi="Arial" w:cs="Arial"/>
          <w:sz w:val="22"/>
          <w:lang w:eastAsia="en-GB"/>
        </w:rPr>
        <w:t>Centre</w:t>
      </w:r>
    </w:p>
    <w:p w14:paraId="318D89FA" w14:textId="77777777" w:rsidR="00634A44" w:rsidRPr="005C36F7" w:rsidRDefault="00634A44">
      <w:pPr>
        <w:rPr>
          <w:rFonts w:ascii="Arial" w:hAnsi="Arial" w:cs="Arial"/>
          <w:b/>
          <w:color w:val="000000" w:themeColor="text1"/>
          <w:sz w:val="22"/>
        </w:rPr>
      </w:pPr>
    </w:p>
    <w:p w14:paraId="0EB8A6EB" w14:textId="04CF53EC" w:rsidR="00634A44" w:rsidRDefault="00634A44">
      <w:pPr>
        <w:rPr>
          <w:rFonts w:ascii="Arial" w:hAnsi="Arial" w:cs="Arial"/>
          <w:b/>
          <w:color w:val="000000" w:themeColor="text1"/>
          <w:sz w:val="22"/>
        </w:rPr>
      </w:pPr>
    </w:p>
    <w:p w14:paraId="40D5069B" w14:textId="476B436C" w:rsidR="00634A44" w:rsidRDefault="00634A44">
      <w:pPr>
        <w:rPr>
          <w:rFonts w:ascii="Arial" w:hAnsi="Arial" w:cs="Arial"/>
          <w:b/>
          <w:color w:val="000000" w:themeColor="text1"/>
          <w:sz w:val="22"/>
        </w:rPr>
      </w:pPr>
    </w:p>
    <w:p w14:paraId="79065B46" w14:textId="03E892DB" w:rsidR="00634A44" w:rsidRDefault="00634A44">
      <w:pPr>
        <w:rPr>
          <w:rFonts w:ascii="Arial" w:hAnsi="Arial" w:cs="Arial"/>
          <w:b/>
          <w:color w:val="000000" w:themeColor="text1"/>
          <w:sz w:val="22"/>
        </w:rPr>
      </w:pPr>
    </w:p>
    <w:p w14:paraId="0C5689F1" w14:textId="77777777" w:rsidR="00634A44" w:rsidRPr="005C36F7" w:rsidRDefault="00634A44">
      <w:pPr>
        <w:rPr>
          <w:rFonts w:ascii="Arial" w:hAnsi="Arial" w:cs="Arial"/>
          <w:b/>
          <w:color w:val="000000" w:themeColor="text1"/>
          <w:sz w:val="22"/>
        </w:rPr>
      </w:pPr>
    </w:p>
    <w:p w14:paraId="03E106EF" w14:textId="77777777" w:rsidR="00634A44" w:rsidRPr="005C36F7" w:rsidRDefault="00634A44" w:rsidP="00634A44">
      <w:pPr>
        <w:rPr>
          <w:rFonts w:ascii="Arial" w:hAnsi="Arial" w:cs="Arial"/>
          <w:bCs/>
          <w:color w:val="000000" w:themeColor="text1"/>
          <w:sz w:val="22"/>
        </w:rPr>
      </w:pPr>
      <w:r w:rsidRPr="005C36F7">
        <w:rPr>
          <w:rFonts w:ascii="Arial" w:hAnsi="Arial" w:cs="Arial"/>
          <w:bCs/>
          <w:color w:val="000000" w:themeColor="text1"/>
          <w:sz w:val="22"/>
        </w:rPr>
        <w:t xml:space="preserve">*Corresponding author: </w:t>
      </w:r>
    </w:p>
    <w:p w14:paraId="6AD3AB41" w14:textId="77777777" w:rsidR="00634A44" w:rsidRPr="005C36F7" w:rsidRDefault="00634A44" w:rsidP="00634A44">
      <w:pPr>
        <w:rPr>
          <w:rFonts w:ascii="Arial" w:hAnsi="Arial" w:cs="Arial"/>
          <w:bCs/>
          <w:color w:val="000000" w:themeColor="text1"/>
          <w:sz w:val="22"/>
        </w:rPr>
      </w:pPr>
    </w:p>
    <w:p w14:paraId="555DD1CD" w14:textId="61B57436" w:rsidR="00634A44" w:rsidRPr="005C36F7" w:rsidRDefault="00797DC5" w:rsidP="00634A44">
      <w:pPr>
        <w:rPr>
          <w:rFonts w:ascii="Arial" w:hAnsi="Arial" w:cs="Arial"/>
          <w:bCs/>
          <w:color w:val="000000" w:themeColor="text1"/>
          <w:sz w:val="22"/>
        </w:rPr>
      </w:pPr>
      <w:r>
        <w:rPr>
          <w:rFonts w:ascii="Arial" w:hAnsi="Arial" w:cs="Arial"/>
          <w:bCs/>
          <w:color w:val="000000" w:themeColor="text1"/>
          <w:sz w:val="22"/>
        </w:rPr>
        <w:t>Professor</w:t>
      </w:r>
      <w:r w:rsidRPr="005C36F7">
        <w:rPr>
          <w:rFonts w:ascii="Arial" w:hAnsi="Arial" w:cs="Arial"/>
          <w:bCs/>
          <w:color w:val="000000" w:themeColor="text1"/>
          <w:sz w:val="22"/>
        </w:rPr>
        <w:t xml:space="preserve"> </w:t>
      </w:r>
      <w:r w:rsidR="00634A44" w:rsidRPr="005C36F7">
        <w:rPr>
          <w:rFonts w:ascii="Arial" w:hAnsi="Arial" w:cs="Arial"/>
          <w:bCs/>
          <w:color w:val="000000" w:themeColor="text1"/>
          <w:sz w:val="22"/>
        </w:rPr>
        <w:t>Ruihua Hou, MD, PhD</w:t>
      </w:r>
    </w:p>
    <w:p w14:paraId="0B46829D" w14:textId="77777777" w:rsidR="00634A44" w:rsidRPr="005C36F7" w:rsidRDefault="00634A44" w:rsidP="00634A44">
      <w:pPr>
        <w:rPr>
          <w:rFonts w:ascii="Arial" w:hAnsi="Arial" w:cs="Arial"/>
          <w:bCs/>
          <w:color w:val="000000" w:themeColor="text1"/>
          <w:sz w:val="22"/>
        </w:rPr>
      </w:pPr>
    </w:p>
    <w:p w14:paraId="2B0D6C0C" w14:textId="4C4D851E" w:rsidR="00634A44" w:rsidRPr="005C36F7" w:rsidRDefault="00634A44" w:rsidP="00634A44">
      <w:pPr>
        <w:rPr>
          <w:rFonts w:ascii="Arial" w:hAnsi="Arial" w:cs="Arial"/>
          <w:bCs/>
          <w:color w:val="000000" w:themeColor="text1"/>
          <w:sz w:val="22"/>
        </w:rPr>
      </w:pPr>
      <w:r w:rsidRPr="005C36F7">
        <w:rPr>
          <w:rFonts w:ascii="Arial" w:hAnsi="Arial" w:cs="Arial"/>
          <w:bCs/>
          <w:color w:val="000000" w:themeColor="text1"/>
          <w:sz w:val="22"/>
        </w:rPr>
        <w:t xml:space="preserve">Professor </w:t>
      </w:r>
      <w:r w:rsidR="00797DC5">
        <w:rPr>
          <w:rFonts w:ascii="Arial" w:hAnsi="Arial" w:cs="Arial"/>
          <w:bCs/>
          <w:color w:val="000000" w:themeColor="text1"/>
          <w:sz w:val="22"/>
        </w:rPr>
        <w:t>of Biological</w:t>
      </w:r>
      <w:r w:rsidR="00797DC5" w:rsidRPr="005C36F7">
        <w:rPr>
          <w:rFonts w:ascii="Arial" w:hAnsi="Arial" w:cs="Arial"/>
          <w:bCs/>
          <w:color w:val="000000" w:themeColor="text1"/>
          <w:sz w:val="22"/>
        </w:rPr>
        <w:t xml:space="preserve"> </w:t>
      </w:r>
      <w:r w:rsidRPr="005C36F7">
        <w:rPr>
          <w:rFonts w:ascii="Arial" w:hAnsi="Arial" w:cs="Arial"/>
          <w:bCs/>
          <w:color w:val="000000" w:themeColor="text1"/>
          <w:sz w:val="22"/>
        </w:rPr>
        <w:t>Psychiatry</w:t>
      </w:r>
    </w:p>
    <w:p w14:paraId="62120115" w14:textId="77777777" w:rsidR="00634A44" w:rsidRPr="005C36F7" w:rsidRDefault="00634A44" w:rsidP="00634A44">
      <w:pPr>
        <w:rPr>
          <w:rFonts w:ascii="Arial" w:hAnsi="Arial" w:cs="Arial"/>
          <w:bCs/>
          <w:color w:val="000000" w:themeColor="text1"/>
          <w:sz w:val="22"/>
        </w:rPr>
      </w:pPr>
      <w:r w:rsidRPr="005C36F7">
        <w:rPr>
          <w:rFonts w:ascii="Arial" w:hAnsi="Arial" w:cs="Arial"/>
          <w:bCs/>
          <w:color w:val="000000" w:themeColor="text1"/>
          <w:sz w:val="22"/>
        </w:rPr>
        <w:t>Clinical and Experimental Sciences</w:t>
      </w:r>
    </w:p>
    <w:p w14:paraId="67C0733E" w14:textId="77777777" w:rsidR="00634A44" w:rsidRPr="005C36F7" w:rsidRDefault="00634A44" w:rsidP="00634A44">
      <w:pPr>
        <w:rPr>
          <w:rFonts w:ascii="Arial" w:hAnsi="Arial" w:cs="Arial"/>
          <w:bCs/>
          <w:color w:val="000000" w:themeColor="text1"/>
          <w:sz w:val="22"/>
        </w:rPr>
      </w:pPr>
      <w:r w:rsidRPr="005C36F7">
        <w:rPr>
          <w:rFonts w:ascii="Arial" w:hAnsi="Arial" w:cs="Arial"/>
          <w:bCs/>
          <w:color w:val="000000" w:themeColor="text1"/>
          <w:sz w:val="22"/>
        </w:rPr>
        <w:t xml:space="preserve">University of Southampton Faculty of Medicine </w:t>
      </w:r>
    </w:p>
    <w:p w14:paraId="5D1211F3" w14:textId="77777777" w:rsidR="00634A44" w:rsidRPr="005C36F7" w:rsidRDefault="00634A44" w:rsidP="00634A44">
      <w:pPr>
        <w:rPr>
          <w:rFonts w:ascii="Arial" w:hAnsi="Arial" w:cs="Arial"/>
          <w:bCs/>
          <w:color w:val="000000" w:themeColor="text1"/>
          <w:sz w:val="22"/>
        </w:rPr>
      </w:pPr>
      <w:r w:rsidRPr="005C36F7">
        <w:rPr>
          <w:rFonts w:ascii="Arial" w:hAnsi="Arial" w:cs="Arial"/>
          <w:bCs/>
          <w:color w:val="000000" w:themeColor="text1"/>
          <w:sz w:val="22"/>
        </w:rPr>
        <w:t>Academic Centre, College Keep</w:t>
      </w:r>
    </w:p>
    <w:p w14:paraId="19477DDB" w14:textId="77777777" w:rsidR="00634A44" w:rsidRPr="005C36F7" w:rsidRDefault="00634A44" w:rsidP="00634A44">
      <w:pPr>
        <w:rPr>
          <w:rFonts w:ascii="Arial" w:hAnsi="Arial" w:cs="Arial"/>
          <w:bCs/>
          <w:color w:val="000000" w:themeColor="text1"/>
          <w:sz w:val="22"/>
        </w:rPr>
      </w:pPr>
      <w:r w:rsidRPr="005C36F7">
        <w:rPr>
          <w:rFonts w:ascii="Arial" w:hAnsi="Arial" w:cs="Arial"/>
          <w:bCs/>
          <w:color w:val="000000" w:themeColor="text1"/>
          <w:sz w:val="22"/>
        </w:rPr>
        <w:t xml:space="preserve">4-12 Terminus Terrace </w:t>
      </w:r>
    </w:p>
    <w:p w14:paraId="66B40795" w14:textId="261C920D" w:rsidR="00634A44" w:rsidRDefault="00634A44" w:rsidP="00634A44">
      <w:pPr>
        <w:rPr>
          <w:rFonts w:ascii="Arial" w:hAnsi="Arial" w:cs="Arial"/>
          <w:bCs/>
          <w:color w:val="000000" w:themeColor="text1"/>
          <w:sz w:val="22"/>
        </w:rPr>
      </w:pPr>
      <w:r w:rsidRPr="005C36F7">
        <w:rPr>
          <w:rFonts w:ascii="Arial" w:hAnsi="Arial" w:cs="Arial"/>
          <w:bCs/>
          <w:color w:val="000000" w:themeColor="text1"/>
          <w:sz w:val="22"/>
        </w:rPr>
        <w:t>Southampton SO14 3DT</w:t>
      </w:r>
    </w:p>
    <w:p w14:paraId="311BD630" w14:textId="772DE217" w:rsidR="003C1B0A" w:rsidRPr="005C36F7" w:rsidRDefault="003C1B0A" w:rsidP="00634A44">
      <w:pPr>
        <w:rPr>
          <w:rFonts w:ascii="Arial" w:hAnsi="Arial" w:cs="Arial"/>
          <w:bCs/>
          <w:color w:val="000000" w:themeColor="text1"/>
          <w:sz w:val="22"/>
        </w:rPr>
      </w:pPr>
      <w:r>
        <w:rPr>
          <w:rFonts w:ascii="Arial" w:hAnsi="Arial" w:cs="Arial"/>
          <w:bCs/>
          <w:color w:val="000000" w:themeColor="text1"/>
          <w:sz w:val="22"/>
        </w:rPr>
        <w:t>United Kingdom</w:t>
      </w:r>
    </w:p>
    <w:p w14:paraId="2393D4D8" w14:textId="77777777" w:rsidR="00634A44" w:rsidRPr="005C36F7" w:rsidRDefault="00634A44" w:rsidP="00634A44">
      <w:pPr>
        <w:rPr>
          <w:rFonts w:ascii="Arial" w:hAnsi="Arial" w:cs="Arial"/>
          <w:bCs/>
          <w:color w:val="000000" w:themeColor="text1"/>
          <w:sz w:val="22"/>
        </w:rPr>
      </w:pPr>
    </w:p>
    <w:p w14:paraId="795923A7" w14:textId="77777777" w:rsidR="00634A44" w:rsidRPr="005C36F7" w:rsidRDefault="00634A44" w:rsidP="00634A44">
      <w:pPr>
        <w:rPr>
          <w:rFonts w:ascii="Arial" w:hAnsi="Arial" w:cs="Arial"/>
          <w:bCs/>
          <w:color w:val="000000" w:themeColor="text1"/>
          <w:sz w:val="22"/>
        </w:rPr>
      </w:pPr>
      <w:r w:rsidRPr="005C36F7">
        <w:rPr>
          <w:rFonts w:ascii="Arial" w:hAnsi="Arial" w:cs="Arial"/>
          <w:bCs/>
          <w:color w:val="000000" w:themeColor="text1"/>
          <w:sz w:val="22"/>
        </w:rPr>
        <w:t>Email: r.hou@soton.ac.uk</w:t>
      </w:r>
    </w:p>
    <w:p w14:paraId="6BB9BEEB" w14:textId="77777777" w:rsidR="00634A44" w:rsidRPr="005C36F7" w:rsidRDefault="00634A44" w:rsidP="00634A44">
      <w:pPr>
        <w:rPr>
          <w:rFonts w:ascii="Arial" w:hAnsi="Arial" w:cs="Arial"/>
          <w:bCs/>
          <w:color w:val="000000" w:themeColor="text1"/>
          <w:sz w:val="22"/>
        </w:rPr>
      </w:pPr>
      <w:r w:rsidRPr="005C36F7">
        <w:rPr>
          <w:rFonts w:ascii="Arial" w:hAnsi="Arial" w:cs="Arial"/>
          <w:bCs/>
          <w:color w:val="000000" w:themeColor="text1"/>
          <w:sz w:val="22"/>
        </w:rPr>
        <w:t xml:space="preserve">Tel:  +44 (0)23 8071 8537 </w:t>
      </w:r>
    </w:p>
    <w:p w14:paraId="556C1C66" w14:textId="4FDE23F3" w:rsidR="00634A44" w:rsidRPr="005C36F7" w:rsidRDefault="00634A44" w:rsidP="00634A44">
      <w:pPr>
        <w:rPr>
          <w:rFonts w:ascii="Arial" w:hAnsi="Arial" w:cs="Arial"/>
          <w:bCs/>
          <w:color w:val="000000" w:themeColor="text1"/>
          <w:sz w:val="22"/>
        </w:rPr>
      </w:pPr>
      <w:r w:rsidRPr="005C36F7">
        <w:rPr>
          <w:rFonts w:ascii="Arial" w:hAnsi="Arial" w:cs="Arial"/>
          <w:bCs/>
          <w:color w:val="000000" w:themeColor="text1"/>
          <w:sz w:val="22"/>
        </w:rPr>
        <w:t>Fax:  +44 (0)23 8071 8532</w:t>
      </w:r>
    </w:p>
    <w:p w14:paraId="67B6BC39" w14:textId="77777777" w:rsidR="00634A44" w:rsidRPr="005C36F7" w:rsidRDefault="00634A44">
      <w:pPr>
        <w:rPr>
          <w:rFonts w:ascii="Arial" w:hAnsi="Arial" w:cs="Arial"/>
          <w:b/>
          <w:color w:val="000000" w:themeColor="text1"/>
          <w:sz w:val="22"/>
        </w:rPr>
      </w:pPr>
    </w:p>
    <w:p w14:paraId="3E8288CD" w14:textId="77777777" w:rsidR="00634A44" w:rsidRPr="005C36F7" w:rsidRDefault="00634A44">
      <w:pPr>
        <w:rPr>
          <w:rFonts w:ascii="Arial" w:hAnsi="Arial" w:cs="Arial"/>
          <w:b/>
          <w:color w:val="000000" w:themeColor="text1"/>
          <w:sz w:val="22"/>
        </w:rPr>
      </w:pPr>
    </w:p>
    <w:p w14:paraId="5C9A5F71" w14:textId="051A1A38" w:rsidR="00634A44" w:rsidRDefault="00634A44">
      <w:pPr>
        <w:rPr>
          <w:rFonts w:ascii="Arial" w:hAnsi="Arial" w:cs="Arial"/>
          <w:b/>
          <w:color w:val="000000" w:themeColor="text1"/>
          <w:sz w:val="22"/>
        </w:rPr>
      </w:pPr>
    </w:p>
    <w:p w14:paraId="337D9F21" w14:textId="77777777" w:rsidR="00E071B3" w:rsidRDefault="00E071B3" w:rsidP="00E071B3">
      <w:pPr>
        <w:rPr>
          <w:b/>
          <w:bCs/>
          <w:sz w:val="24"/>
          <w:szCs w:val="24"/>
        </w:rPr>
      </w:pPr>
      <w:r>
        <w:rPr>
          <w:b/>
          <w:bCs/>
          <w:sz w:val="24"/>
          <w:szCs w:val="24"/>
        </w:rPr>
        <w:t>Take Home message</w:t>
      </w:r>
    </w:p>
    <w:p w14:paraId="6200CA3B" w14:textId="77777777" w:rsidR="00E071B3" w:rsidRDefault="00E071B3" w:rsidP="00E071B3">
      <w:pPr>
        <w:pStyle w:val="ListParagraph"/>
        <w:widowControl/>
        <w:numPr>
          <w:ilvl w:val="0"/>
          <w:numId w:val="2"/>
        </w:numPr>
        <w:spacing w:after="160" w:line="259" w:lineRule="auto"/>
        <w:ind w:firstLineChars="0"/>
        <w:contextualSpacing/>
        <w:jc w:val="left"/>
        <w:rPr>
          <w:sz w:val="24"/>
          <w:szCs w:val="24"/>
        </w:rPr>
      </w:pPr>
      <w:r>
        <w:rPr>
          <w:sz w:val="24"/>
          <w:szCs w:val="24"/>
        </w:rPr>
        <w:t>Severe asthma patients are at higher risk of developing</w:t>
      </w:r>
      <w:r w:rsidRPr="00987129">
        <w:t xml:space="preserve"> </w:t>
      </w:r>
      <w:r>
        <w:rPr>
          <w:sz w:val="24"/>
          <w:szCs w:val="24"/>
        </w:rPr>
        <w:t>a</w:t>
      </w:r>
      <w:r w:rsidRPr="00987129">
        <w:rPr>
          <w:sz w:val="24"/>
          <w:szCs w:val="24"/>
        </w:rPr>
        <w:t>nxiety and depression</w:t>
      </w:r>
      <w:r>
        <w:rPr>
          <w:sz w:val="24"/>
          <w:szCs w:val="24"/>
        </w:rPr>
        <w:t xml:space="preserve"> </w:t>
      </w:r>
    </w:p>
    <w:p w14:paraId="535B1153" w14:textId="77777777" w:rsidR="00E071B3" w:rsidRPr="00D45F85" w:rsidRDefault="00E071B3" w:rsidP="00E071B3">
      <w:pPr>
        <w:pStyle w:val="ListParagraph"/>
        <w:widowControl/>
        <w:numPr>
          <w:ilvl w:val="0"/>
          <w:numId w:val="2"/>
        </w:numPr>
        <w:spacing w:after="160" w:line="259" w:lineRule="auto"/>
        <w:ind w:firstLineChars="0"/>
        <w:contextualSpacing/>
        <w:jc w:val="left"/>
        <w:rPr>
          <w:sz w:val="24"/>
          <w:szCs w:val="24"/>
        </w:rPr>
      </w:pPr>
      <w:r w:rsidRPr="00D45F85">
        <w:rPr>
          <w:sz w:val="24"/>
          <w:szCs w:val="24"/>
        </w:rPr>
        <w:t xml:space="preserve">Depression in asthma was associated with IL6, MCP1, CCL18 level, and CCL17, </w:t>
      </w:r>
      <w:r>
        <w:rPr>
          <w:sz w:val="24"/>
          <w:szCs w:val="24"/>
        </w:rPr>
        <w:t>whereas a</w:t>
      </w:r>
      <w:r w:rsidRPr="00D45F85">
        <w:rPr>
          <w:sz w:val="24"/>
          <w:szCs w:val="24"/>
        </w:rPr>
        <w:t>nxiety was associated with CCL17 only</w:t>
      </w:r>
    </w:p>
    <w:p w14:paraId="67B47976" w14:textId="4F3B24A9" w:rsidR="00E071B3" w:rsidRDefault="00E071B3" w:rsidP="00E071B3">
      <w:pPr>
        <w:pStyle w:val="ListParagraph"/>
        <w:widowControl/>
        <w:numPr>
          <w:ilvl w:val="0"/>
          <w:numId w:val="2"/>
        </w:numPr>
        <w:spacing w:after="160" w:line="259" w:lineRule="auto"/>
        <w:ind w:firstLineChars="0"/>
        <w:contextualSpacing/>
        <w:jc w:val="left"/>
        <w:rPr>
          <w:sz w:val="24"/>
          <w:szCs w:val="24"/>
        </w:rPr>
      </w:pPr>
      <w:r>
        <w:rPr>
          <w:sz w:val="24"/>
          <w:szCs w:val="24"/>
        </w:rPr>
        <w:t>I</w:t>
      </w:r>
      <w:r w:rsidRPr="00384311">
        <w:rPr>
          <w:sz w:val="24"/>
          <w:szCs w:val="24"/>
        </w:rPr>
        <w:t xml:space="preserve">nflammatory </w:t>
      </w:r>
      <w:r>
        <w:rPr>
          <w:sz w:val="24"/>
          <w:szCs w:val="24"/>
        </w:rPr>
        <w:t>mechanism</w:t>
      </w:r>
      <w:r w:rsidRPr="00384311">
        <w:rPr>
          <w:sz w:val="24"/>
          <w:szCs w:val="24"/>
        </w:rPr>
        <w:t xml:space="preserve"> may underlie this comorbid</w:t>
      </w:r>
      <w:r>
        <w:rPr>
          <w:sz w:val="24"/>
          <w:szCs w:val="24"/>
        </w:rPr>
        <w:t>ity</w:t>
      </w:r>
    </w:p>
    <w:p w14:paraId="6CD484A0" w14:textId="77777777" w:rsidR="00D30639" w:rsidRDefault="00D30639" w:rsidP="00D30639">
      <w:pPr>
        <w:rPr>
          <w:rFonts w:eastAsia="Times New Roman" w:cstheme="minorHAnsi"/>
          <w:b/>
          <w:sz w:val="24"/>
          <w:szCs w:val="24"/>
          <w:lang w:eastAsia="en-GB"/>
        </w:rPr>
      </w:pPr>
    </w:p>
    <w:p w14:paraId="71A78BBB" w14:textId="0578229D" w:rsidR="00D30639" w:rsidRPr="00D30639" w:rsidRDefault="00D30639" w:rsidP="00D30639">
      <w:pPr>
        <w:rPr>
          <w:rFonts w:eastAsia="Times New Roman" w:cstheme="minorHAnsi"/>
          <w:b/>
          <w:sz w:val="24"/>
          <w:szCs w:val="24"/>
          <w:lang w:eastAsia="en-GB"/>
        </w:rPr>
      </w:pPr>
      <w:r w:rsidRPr="00D30639">
        <w:rPr>
          <w:rFonts w:eastAsia="Times New Roman" w:cstheme="minorHAnsi"/>
          <w:b/>
          <w:sz w:val="24"/>
          <w:szCs w:val="24"/>
          <w:lang w:eastAsia="en-GB"/>
        </w:rPr>
        <w:t>Conflict of Interest</w:t>
      </w:r>
    </w:p>
    <w:p w14:paraId="43A86810" w14:textId="54F8AD09" w:rsidR="00D30639" w:rsidRPr="00D30639" w:rsidRDefault="003F47AA" w:rsidP="00D30639">
      <w:pPr>
        <w:rPr>
          <w:rFonts w:cstheme="minorHAnsi"/>
          <w:sz w:val="24"/>
          <w:szCs w:val="24"/>
        </w:rPr>
      </w:pPr>
      <w:r>
        <w:rPr>
          <w:rFonts w:eastAsia="Times New Roman" w:cstheme="minorHAnsi"/>
          <w:sz w:val="24"/>
          <w:szCs w:val="24"/>
          <w:lang w:eastAsia="en-GB"/>
        </w:rPr>
        <w:t>Professor</w:t>
      </w:r>
      <w:r w:rsidRPr="00A66652">
        <w:rPr>
          <w:rFonts w:eastAsia="Times New Roman" w:cstheme="minorHAnsi"/>
          <w:sz w:val="24"/>
          <w:szCs w:val="24"/>
          <w:lang w:eastAsia="en-GB"/>
        </w:rPr>
        <w:t xml:space="preserve"> </w:t>
      </w:r>
      <w:r w:rsidR="00A66652" w:rsidRPr="00A66652">
        <w:rPr>
          <w:rFonts w:eastAsia="Times New Roman" w:cstheme="minorHAnsi"/>
          <w:sz w:val="24"/>
          <w:szCs w:val="24"/>
          <w:lang w:eastAsia="en-GB"/>
        </w:rPr>
        <w:t>Hou sits on the ECNP Scientific Advisory Panel and currently holds a grant from Asthma Allergy Inflammation Research charity.</w:t>
      </w:r>
      <w:r w:rsidR="00A66652">
        <w:rPr>
          <w:rFonts w:eastAsia="Times New Roman" w:cstheme="minorHAnsi"/>
          <w:sz w:val="24"/>
          <w:szCs w:val="24"/>
          <w:lang w:eastAsia="en-GB"/>
        </w:rPr>
        <w:t xml:space="preserve"> </w:t>
      </w:r>
      <w:r w:rsidR="00D30639" w:rsidRPr="00D30639">
        <w:rPr>
          <w:rFonts w:eastAsia="Times New Roman" w:cstheme="minorHAnsi"/>
          <w:sz w:val="24"/>
          <w:szCs w:val="24"/>
          <w:lang w:eastAsia="en-GB"/>
        </w:rPr>
        <w:t>Prof. Shaw receives consulting fees from Adherium, Nuvoair, Astra Zeneca and Chiesi. He also receives honoraria from Astra Zeneca and Chiesi and travel support from Chiesi and GSK.</w:t>
      </w:r>
      <w:r w:rsidR="00565CDB">
        <w:rPr>
          <w:rFonts w:eastAsia="Times New Roman" w:cstheme="minorHAnsi"/>
          <w:sz w:val="24"/>
          <w:szCs w:val="24"/>
          <w:lang w:eastAsia="en-GB"/>
        </w:rPr>
        <w:t xml:space="preserve"> </w:t>
      </w:r>
      <w:r w:rsidR="00D30639" w:rsidRPr="00D30639">
        <w:rPr>
          <w:rFonts w:eastAsia="Times New Roman" w:cstheme="minorHAnsi"/>
          <w:sz w:val="24"/>
          <w:szCs w:val="24"/>
          <w:lang w:eastAsia="en-GB"/>
        </w:rPr>
        <w:t>Professor Sven-Eric Dahlén declares consulting fees from Astra Zenica, Cayman Chemicals, GSK, Novartis, Regeneron, Sanofi and Teva and honorarium from Sanofi. Dr Barbro Dahlén is in receipt of grants from GSK and Novartis and declares consulting fees from Novartis, Astra Zeneca and Sanofi. She is on the advisory board for Astra Zeneca and Sanofi. Prof. Fowler receives a grant from</w:t>
      </w:r>
      <w:r w:rsidR="00D30639" w:rsidRPr="00D30639">
        <w:rPr>
          <w:rFonts w:cstheme="minorHAnsi"/>
          <w:sz w:val="24"/>
          <w:szCs w:val="24"/>
        </w:rPr>
        <w:t xml:space="preserve"> Boehringer Ingelheim and an honorarium from Chiesi. </w:t>
      </w:r>
      <w:r w:rsidR="00D30639" w:rsidRPr="00D30639">
        <w:rPr>
          <w:rFonts w:eastAsia="Times New Roman" w:cstheme="minorHAnsi"/>
          <w:sz w:val="24"/>
          <w:szCs w:val="24"/>
          <w:lang w:eastAsia="en-GB"/>
        </w:rPr>
        <w:t xml:space="preserve">Prof. Sandstrom received payment for the </w:t>
      </w:r>
      <w:r w:rsidR="00D30639" w:rsidRPr="00D30639">
        <w:rPr>
          <w:rFonts w:cstheme="minorHAnsi"/>
          <w:sz w:val="24"/>
          <w:szCs w:val="24"/>
        </w:rPr>
        <w:t xml:space="preserve">Boehringer Ingelheim lecture (paid to his institution). Dr Auffrey and Dr De Meulder have both received support for the manuscript from the Innovative Medicines Initiative. Prof. Adcock has received grants from GSK, MRC and EPSRC. He also declares consulting fees from GSK, Sanofi, Chiesi and Kinaset. He has received honoraria from Astra Zeneca, Sanofi, Eurodrug, and </w:t>
      </w:r>
      <w:r w:rsidR="00D30639" w:rsidRPr="00D30639">
        <w:rPr>
          <w:rFonts w:cstheme="minorHAnsi"/>
          <w:sz w:val="24"/>
          <w:szCs w:val="24"/>
        </w:rPr>
        <w:lastRenderedPageBreak/>
        <w:t>Sunovion. He has also received payment for expert testimony from Chiesi and travel support from Astra Zeneca. Prof. Chung is in receipt of grants from MRC, EPSRC and GSK and honoraria from Astra Zeneca and Novartis. He is on the advisory board of Astra Zeneca, GSK, Roche and Novartis. Prof. Sterk received a grant from Innovative Medicines Initiative and has a non-substantial interest in SME Breathomix. Prof. Skipp has a grant from EU UBIOPRED IMI FP and is a shareholder in TopMD Precision Medicine Ltd. Prof. Djukanovic receives consulting fees from Synairgen and honoraria from Regeneron, GSK and is on the advisory board for Synairgen. He also holds stock in Synairgen. Dr Ye, Dr Cheng, Dr Bakke, Dr Caruso, Dr Horvárth, Prof. Howarth, Dr Krug, Dr Montuschi, Dr Sanak and Dr Schofield report no potential conflict of interest.</w:t>
      </w:r>
    </w:p>
    <w:p w14:paraId="2AFA3F83" w14:textId="77777777" w:rsidR="00D30639" w:rsidRPr="00D30639" w:rsidRDefault="00D30639" w:rsidP="00D30639">
      <w:pPr>
        <w:widowControl/>
        <w:spacing w:after="160" w:line="259" w:lineRule="auto"/>
        <w:contextualSpacing/>
        <w:jc w:val="left"/>
        <w:rPr>
          <w:sz w:val="24"/>
          <w:szCs w:val="24"/>
        </w:rPr>
      </w:pPr>
    </w:p>
    <w:p w14:paraId="556C9103" w14:textId="528D8066" w:rsidR="005C36F7" w:rsidRDefault="005C36F7">
      <w:pPr>
        <w:rPr>
          <w:rFonts w:ascii="Arial" w:hAnsi="Arial" w:cs="Arial"/>
          <w:b/>
          <w:color w:val="000000" w:themeColor="text1"/>
          <w:sz w:val="22"/>
        </w:rPr>
      </w:pPr>
    </w:p>
    <w:p w14:paraId="7AC75F4C" w14:textId="3CAC5950" w:rsidR="00CC0D4D" w:rsidRDefault="00CC0D4D">
      <w:pPr>
        <w:rPr>
          <w:rFonts w:ascii="Arial" w:hAnsi="Arial" w:cs="Arial"/>
          <w:b/>
          <w:color w:val="000000" w:themeColor="text1"/>
          <w:sz w:val="22"/>
        </w:rPr>
      </w:pPr>
      <w:r w:rsidRPr="005C36F7">
        <w:rPr>
          <w:rFonts w:ascii="Arial" w:hAnsi="Arial" w:cs="Arial"/>
          <w:b/>
          <w:color w:val="000000" w:themeColor="text1"/>
          <w:sz w:val="22"/>
        </w:rPr>
        <w:t>Abstract</w:t>
      </w:r>
    </w:p>
    <w:p w14:paraId="3AEB1739" w14:textId="77777777" w:rsidR="00D30639" w:rsidRPr="005C36F7" w:rsidRDefault="00D30639">
      <w:pPr>
        <w:rPr>
          <w:rFonts w:ascii="Arial" w:hAnsi="Arial" w:cs="Arial"/>
          <w:b/>
          <w:color w:val="000000" w:themeColor="text1"/>
          <w:sz w:val="22"/>
        </w:rPr>
      </w:pPr>
    </w:p>
    <w:p w14:paraId="2C1574D6" w14:textId="716518A0" w:rsidR="00CC0D4D" w:rsidRPr="005C36F7" w:rsidRDefault="009B227A">
      <w:pPr>
        <w:rPr>
          <w:rFonts w:ascii="Arial" w:hAnsi="Arial" w:cs="Arial"/>
          <w:b/>
          <w:color w:val="000000" w:themeColor="text1"/>
          <w:sz w:val="22"/>
        </w:rPr>
      </w:pPr>
      <w:r w:rsidRPr="005C36F7">
        <w:rPr>
          <w:rFonts w:ascii="Arial" w:hAnsi="Arial" w:cs="Arial"/>
          <w:b/>
          <w:color w:val="000000" w:themeColor="text1"/>
          <w:sz w:val="22"/>
        </w:rPr>
        <w:t>Background:</w:t>
      </w:r>
      <w:r w:rsidR="005A7954" w:rsidRPr="005C36F7">
        <w:rPr>
          <w:rFonts w:ascii="Arial" w:hAnsi="Arial" w:cs="Arial"/>
          <w:color w:val="000000" w:themeColor="text1"/>
          <w:sz w:val="22"/>
        </w:rPr>
        <w:t xml:space="preserve"> </w:t>
      </w:r>
      <w:r w:rsidR="00924982" w:rsidRPr="005C36F7">
        <w:rPr>
          <w:rFonts w:ascii="Arial" w:hAnsi="Arial" w:cs="Arial"/>
          <w:color w:val="000000" w:themeColor="text1"/>
          <w:sz w:val="22"/>
        </w:rPr>
        <w:t>Growing evidence indicates high comorbid a</w:t>
      </w:r>
      <w:r w:rsidR="005A7954" w:rsidRPr="005C36F7">
        <w:rPr>
          <w:rFonts w:ascii="Arial" w:hAnsi="Arial" w:cs="Arial"/>
          <w:color w:val="000000" w:themeColor="text1"/>
          <w:sz w:val="22"/>
        </w:rPr>
        <w:t>nxiety and depression in patients with asthma.</w:t>
      </w:r>
      <w:r w:rsidR="008542B1" w:rsidRPr="005C36F7">
        <w:rPr>
          <w:rFonts w:ascii="Arial" w:hAnsi="Arial" w:cs="Arial"/>
          <w:color w:val="000000" w:themeColor="text1"/>
          <w:sz w:val="22"/>
        </w:rPr>
        <w:t xml:space="preserve"> </w:t>
      </w:r>
      <w:r w:rsidR="00924982" w:rsidRPr="005C36F7">
        <w:rPr>
          <w:rFonts w:ascii="Arial" w:hAnsi="Arial" w:cs="Arial"/>
          <w:color w:val="000000" w:themeColor="text1"/>
          <w:sz w:val="22"/>
        </w:rPr>
        <w:t xml:space="preserve">However, the mechanisms underlying this comorbid condition remain unclear. </w:t>
      </w:r>
      <w:r w:rsidR="002E6CE5" w:rsidRPr="005C36F7">
        <w:rPr>
          <w:rFonts w:ascii="Arial" w:hAnsi="Arial" w:cs="Arial"/>
          <w:color w:val="000000" w:themeColor="text1"/>
          <w:sz w:val="22"/>
        </w:rPr>
        <w:t xml:space="preserve">The aim of this study was to investigate the role of inflammation in comorbid anxiety and depression in </w:t>
      </w:r>
      <w:r w:rsidR="00E61D4E" w:rsidRPr="005C36F7">
        <w:rPr>
          <w:rFonts w:ascii="Arial" w:hAnsi="Arial" w:cs="Arial"/>
          <w:color w:val="000000" w:themeColor="text1"/>
          <w:sz w:val="22"/>
        </w:rPr>
        <w:t xml:space="preserve">three </w:t>
      </w:r>
      <w:r w:rsidR="002E6CE5" w:rsidRPr="005C36F7">
        <w:rPr>
          <w:rFonts w:ascii="Arial" w:hAnsi="Arial" w:cs="Arial"/>
          <w:color w:val="000000" w:themeColor="text1"/>
          <w:sz w:val="22"/>
        </w:rPr>
        <w:t>asthma patient</w:t>
      </w:r>
      <w:r w:rsidR="00E61D4E" w:rsidRPr="005C36F7">
        <w:rPr>
          <w:rFonts w:ascii="Arial" w:hAnsi="Arial" w:cs="Arial"/>
          <w:color w:val="000000" w:themeColor="text1"/>
          <w:sz w:val="22"/>
        </w:rPr>
        <w:t xml:space="preserve"> cohort</w:t>
      </w:r>
      <w:r w:rsidR="002E6CE5" w:rsidRPr="005C36F7">
        <w:rPr>
          <w:rFonts w:ascii="Arial" w:hAnsi="Arial" w:cs="Arial"/>
          <w:color w:val="000000" w:themeColor="text1"/>
          <w:sz w:val="22"/>
        </w:rPr>
        <w:t>s of the Unbiased Biomarkers for the Prediction of Respiratory Disease Outcomes</w:t>
      </w:r>
      <w:r w:rsidR="00264C97">
        <w:rPr>
          <w:rFonts w:ascii="Arial" w:hAnsi="Arial" w:cs="Arial"/>
          <w:color w:val="000000" w:themeColor="text1"/>
          <w:sz w:val="22"/>
        </w:rPr>
        <w:t xml:space="preserve"> </w:t>
      </w:r>
      <w:r w:rsidR="002E6CE5" w:rsidRPr="005C36F7">
        <w:rPr>
          <w:rFonts w:ascii="Arial" w:hAnsi="Arial" w:cs="Arial"/>
          <w:color w:val="000000" w:themeColor="text1"/>
          <w:sz w:val="22"/>
        </w:rPr>
        <w:t>(U-BIOPRED)</w:t>
      </w:r>
      <w:r w:rsidR="00E61D4E" w:rsidRPr="005C36F7">
        <w:rPr>
          <w:rFonts w:ascii="Arial" w:hAnsi="Arial" w:cs="Arial"/>
          <w:color w:val="000000" w:themeColor="text1"/>
          <w:sz w:val="22"/>
        </w:rPr>
        <w:t xml:space="preserve"> project</w:t>
      </w:r>
      <w:r w:rsidR="002E6CE5" w:rsidRPr="005C36F7">
        <w:rPr>
          <w:rFonts w:ascii="Arial" w:hAnsi="Arial" w:cs="Arial"/>
          <w:color w:val="000000" w:themeColor="text1"/>
          <w:sz w:val="22"/>
        </w:rPr>
        <w:t>.</w:t>
      </w:r>
    </w:p>
    <w:p w14:paraId="25317489" w14:textId="0B76A74D" w:rsidR="00CC0D4D" w:rsidRPr="005C36F7" w:rsidRDefault="00B15C0A">
      <w:pPr>
        <w:rPr>
          <w:rFonts w:ascii="Arial" w:hAnsi="Arial" w:cs="Arial"/>
          <w:color w:val="000000" w:themeColor="text1"/>
          <w:sz w:val="22"/>
        </w:rPr>
      </w:pPr>
      <w:r w:rsidRPr="005C36F7">
        <w:rPr>
          <w:rFonts w:ascii="Arial" w:hAnsi="Arial" w:cs="Arial"/>
          <w:b/>
          <w:color w:val="000000" w:themeColor="text1"/>
          <w:sz w:val="22"/>
        </w:rPr>
        <w:t xml:space="preserve">Methods: </w:t>
      </w:r>
      <w:r w:rsidRPr="005C36F7">
        <w:rPr>
          <w:rFonts w:ascii="Arial" w:hAnsi="Arial" w:cs="Arial"/>
          <w:color w:val="000000" w:themeColor="text1"/>
          <w:sz w:val="22"/>
        </w:rPr>
        <w:t xml:space="preserve">U-BIOPRED </w:t>
      </w:r>
      <w:r w:rsidR="00E61D4E" w:rsidRPr="005C36F7">
        <w:rPr>
          <w:rFonts w:ascii="Arial" w:hAnsi="Arial" w:cs="Arial"/>
          <w:color w:val="000000" w:themeColor="text1"/>
          <w:sz w:val="22"/>
        </w:rPr>
        <w:t xml:space="preserve">was conducted by </w:t>
      </w:r>
      <w:r w:rsidR="000B5E7D" w:rsidRPr="005C36F7">
        <w:rPr>
          <w:rFonts w:ascii="Arial" w:hAnsi="Arial" w:cs="Arial"/>
          <w:color w:val="000000" w:themeColor="text1"/>
          <w:sz w:val="22"/>
        </w:rPr>
        <w:t>a</w:t>
      </w:r>
      <w:r w:rsidRPr="005C36F7">
        <w:rPr>
          <w:rFonts w:ascii="Arial" w:hAnsi="Arial" w:cs="Arial"/>
          <w:color w:val="000000" w:themeColor="text1"/>
          <w:sz w:val="22"/>
        </w:rPr>
        <w:t xml:space="preserve"> European Union consortium of 16 academic institutions in 11 European countries. </w:t>
      </w:r>
      <w:r w:rsidR="00E61D4E" w:rsidRPr="005C36F7">
        <w:rPr>
          <w:rFonts w:ascii="Arial" w:hAnsi="Arial" w:cs="Arial"/>
          <w:color w:val="000000" w:themeColor="text1"/>
          <w:sz w:val="22"/>
        </w:rPr>
        <w:t>A</w:t>
      </w:r>
      <w:r w:rsidRPr="005C36F7">
        <w:rPr>
          <w:rFonts w:ascii="Arial" w:hAnsi="Arial" w:cs="Arial"/>
          <w:color w:val="000000" w:themeColor="text1"/>
          <w:sz w:val="22"/>
        </w:rPr>
        <w:t xml:space="preserve"> subset </w:t>
      </w:r>
      <w:r w:rsidR="00E61D4E" w:rsidRPr="005C36F7">
        <w:rPr>
          <w:rFonts w:ascii="Arial" w:hAnsi="Arial" w:cs="Arial"/>
          <w:color w:val="000000" w:themeColor="text1"/>
          <w:sz w:val="22"/>
        </w:rPr>
        <w:t>data</w:t>
      </w:r>
      <w:r w:rsidR="006274B4" w:rsidRPr="005C36F7">
        <w:rPr>
          <w:rFonts w:ascii="Arial" w:hAnsi="Arial" w:cs="Arial"/>
          <w:color w:val="000000" w:themeColor="text1"/>
          <w:sz w:val="22"/>
        </w:rPr>
        <w:t>set</w:t>
      </w:r>
      <w:r w:rsidR="00E61D4E" w:rsidRPr="005C36F7">
        <w:rPr>
          <w:rFonts w:ascii="Arial" w:hAnsi="Arial" w:cs="Arial"/>
          <w:color w:val="000000" w:themeColor="text1"/>
          <w:sz w:val="22"/>
        </w:rPr>
        <w:t xml:space="preserve"> from </w:t>
      </w:r>
      <w:r w:rsidRPr="005C36F7">
        <w:rPr>
          <w:rFonts w:ascii="Arial" w:hAnsi="Arial" w:cs="Arial"/>
          <w:color w:val="000000" w:themeColor="text1"/>
          <w:sz w:val="22"/>
        </w:rPr>
        <w:t xml:space="preserve">subjects with valid anxiety and depression </w:t>
      </w:r>
      <w:r w:rsidR="000B5E7D" w:rsidRPr="005C36F7">
        <w:rPr>
          <w:rFonts w:ascii="Arial" w:hAnsi="Arial" w:cs="Arial"/>
          <w:color w:val="000000" w:themeColor="text1"/>
          <w:sz w:val="22"/>
        </w:rPr>
        <w:t xml:space="preserve">measures </w:t>
      </w:r>
      <w:r w:rsidR="00EF0711">
        <w:rPr>
          <w:rFonts w:ascii="Arial" w:hAnsi="Arial" w:cs="Arial"/>
          <w:color w:val="000000" w:themeColor="text1"/>
          <w:sz w:val="22"/>
        </w:rPr>
        <w:t>and a large blood biomarker dataset</w:t>
      </w:r>
      <w:r w:rsidR="00E61D4E" w:rsidRPr="005C36F7">
        <w:rPr>
          <w:rFonts w:ascii="Arial" w:hAnsi="Arial" w:cs="Arial"/>
          <w:color w:val="000000" w:themeColor="text1"/>
          <w:sz w:val="22"/>
        </w:rPr>
        <w:t xml:space="preserve"> </w:t>
      </w:r>
      <w:r w:rsidR="00EF0711">
        <w:rPr>
          <w:rFonts w:ascii="Arial" w:hAnsi="Arial" w:cs="Arial"/>
          <w:color w:val="000000" w:themeColor="text1"/>
          <w:sz w:val="22"/>
        </w:rPr>
        <w:t xml:space="preserve">were </w:t>
      </w:r>
      <w:r w:rsidR="00E61D4E" w:rsidRPr="005C36F7">
        <w:rPr>
          <w:rFonts w:ascii="Arial" w:hAnsi="Arial" w:cs="Arial"/>
          <w:color w:val="000000" w:themeColor="text1"/>
          <w:sz w:val="22"/>
        </w:rPr>
        <w:t>analysed, inc</w:t>
      </w:r>
      <w:r w:rsidR="006274B4" w:rsidRPr="005C36F7">
        <w:rPr>
          <w:rFonts w:ascii="Arial" w:hAnsi="Arial" w:cs="Arial"/>
          <w:color w:val="000000" w:themeColor="text1"/>
          <w:sz w:val="22"/>
        </w:rPr>
        <w:t>l</w:t>
      </w:r>
      <w:r w:rsidR="00E61D4E" w:rsidRPr="005C36F7">
        <w:rPr>
          <w:rFonts w:ascii="Arial" w:hAnsi="Arial" w:cs="Arial"/>
          <w:color w:val="000000" w:themeColor="text1"/>
          <w:sz w:val="22"/>
        </w:rPr>
        <w:t xml:space="preserve">uding </w:t>
      </w:r>
      <w:r w:rsidRPr="005C36F7">
        <w:rPr>
          <w:rFonts w:ascii="Arial" w:hAnsi="Arial" w:cs="Arial"/>
          <w:color w:val="000000" w:themeColor="text1"/>
          <w:sz w:val="22"/>
        </w:rPr>
        <w:t>198 non-smoking patients with severe asthma</w:t>
      </w:r>
      <w:r w:rsidR="00264C97">
        <w:rPr>
          <w:rFonts w:ascii="Arial" w:hAnsi="Arial" w:cs="Arial"/>
          <w:color w:val="000000" w:themeColor="text1"/>
          <w:sz w:val="22"/>
        </w:rPr>
        <w:t xml:space="preserve"> </w:t>
      </w:r>
      <w:r w:rsidRPr="005C36F7">
        <w:rPr>
          <w:rFonts w:ascii="Arial" w:hAnsi="Arial" w:cs="Arial"/>
          <w:color w:val="000000" w:themeColor="text1"/>
          <w:sz w:val="22"/>
        </w:rPr>
        <w:t>(SAn), 65 smoking patients with severe asthma</w:t>
      </w:r>
      <w:r w:rsidR="00264C97">
        <w:rPr>
          <w:rFonts w:ascii="Arial" w:hAnsi="Arial" w:cs="Arial"/>
          <w:color w:val="000000" w:themeColor="text1"/>
          <w:sz w:val="22"/>
        </w:rPr>
        <w:t xml:space="preserve"> </w:t>
      </w:r>
      <w:r w:rsidRPr="005C36F7">
        <w:rPr>
          <w:rFonts w:ascii="Arial" w:hAnsi="Arial" w:cs="Arial"/>
          <w:color w:val="000000" w:themeColor="text1"/>
          <w:sz w:val="22"/>
        </w:rPr>
        <w:t>(SAs), 61 non-smoking patients with mild-to-moderate asthma</w:t>
      </w:r>
      <w:r w:rsidR="00264C97">
        <w:rPr>
          <w:rFonts w:ascii="Arial" w:hAnsi="Arial" w:cs="Arial"/>
          <w:color w:val="000000" w:themeColor="text1"/>
          <w:sz w:val="22"/>
        </w:rPr>
        <w:t xml:space="preserve"> </w:t>
      </w:r>
      <w:r w:rsidRPr="005C36F7">
        <w:rPr>
          <w:rFonts w:ascii="Arial" w:hAnsi="Arial" w:cs="Arial"/>
          <w:color w:val="000000" w:themeColor="text1"/>
          <w:sz w:val="22"/>
        </w:rPr>
        <w:t>(MMA), and 20 healthy non-smokers</w:t>
      </w:r>
      <w:r w:rsidR="00264C97">
        <w:rPr>
          <w:rFonts w:ascii="Arial" w:hAnsi="Arial" w:cs="Arial"/>
          <w:color w:val="000000" w:themeColor="text1"/>
          <w:sz w:val="22"/>
        </w:rPr>
        <w:t xml:space="preserve"> </w:t>
      </w:r>
      <w:r w:rsidRPr="005C36F7">
        <w:rPr>
          <w:rFonts w:ascii="Arial" w:hAnsi="Arial" w:cs="Arial"/>
          <w:color w:val="000000" w:themeColor="text1"/>
          <w:sz w:val="22"/>
        </w:rPr>
        <w:t xml:space="preserve">(HC). The Hospital Anxiety and Depression Scale </w:t>
      </w:r>
      <w:r w:rsidR="00E61D4E" w:rsidRPr="005C36F7">
        <w:rPr>
          <w:rFonts w:ascii="Arial" w:hAnsi="Arial" w:cs="Arial"/>
          <w:color w:val="000000" w:themeColor="text1"/>
          <w:sz w:val="22"/>
        </w:rPr>
        <w:t xml:space="preserve">was used to measure anxiety and depression </w:t>
      </w:r>
      <w:r w:rsidRPr="005C36F7">
        <w:rPr>
          <w:rFonts w:ascii="Arial" w:hAnsi="Arial" w:cs="Arial"/>
          <w:color w:val="000000" w:themeColor="text1"/>
          <w:sz w:val="22"/>
        </w:rPr>
        <w:t xml:space="preserve">and </w:t>
      </w:r>
      <w:r w:rsidR="00E61D4E" w:rsidRPr="005C36F7">
        <w:rPr>
          <w:rFonts w:ascii="Arial" w:hAnsi="Arial" w:cs="Arial"/>
          <w:color w:val="000000" w:themeColor="text1"/>
          <w:sz w:val="22"/>
        </w:rPr>
        <w:t xml:space="preserve">a series of </w:t>
      </w:r>
      <w:r w:rsidRPr="005C36F7">
        <w:rPr>
          <w:rFonts w:ascii="Arial" w:hAnsi="Arial" w:cs="Arial"/>
          <w:color w:val="000000" w:themeColor="text1"/>
          <w:sz w:val="22"/>
        </w:rPr>
        <w:t xml:space="preserve">inflammatory markers were </w:t>
      </w:r>
      <w:r w:rsidR="00E61D4E" w:rsidRPr="005C36F7">
        <w:rPr>
          <w:rFonts w:ascii="Arial" w:hAnsi="Arial" w:cs="Arial"/>
          <w:color w:val="000000" w:themeColor="text1"/>
          <w:sz w:val="22"/>
        </w:rPr>
        <w:t>analysed</w:t>
      </w:r>
      <w:r w:rsidRPr="005C36F7">
        <w:rPr>
          <w:rFonts w:ascii="Arial" w:hAnsi="Arial" w:cs="Arial"/>
          <w:color w:val="000000" w:themeColor="text1"/>
          <w:sz w:val="22"/>
        </w:rPr>
        <w:t xml:space="preserve"> by the SomaScan v3 platform</w:t>
      </w:r>
      <w:r w:rsidR="00264C97">
        <w:rPr>
          <w:rFonts w:ascii="Arial" w:hAnsi="Arial" w:cs="Arial"/>
          <w:color w:val="000000" w:themeColor="text1"/>
          <w:sz w:val="22"/>
        </w:rPr>
        <w:t xml:space="preserve"> </w:t>
      </w:r>
      <w:r w:rsidRPr="005C36F7">
        <w:rPr>
          <w:rFonts w:ascii="Arial" w:hAnsi="Arial" w:cs="Arial"/>
          <w:color w:val="000000" w:themeColor="text1"/>
          <w:sz w:val="22"/>
        </w:rPr>
        <w:t>(SomaLogic, Boulder, Colo).</w:t>
      </w:r>
      <w:r w:rsidR="000B5E7D" w:rsidRPr="005C36F7">
        <w:rPr>
          <w:rFonts w:ascii="Arial" w:hAnsi="Arial" w:cs="Arial"/>
          <w:color w:val="000000" w:themeColor="text1"/>
          <w:sz w:val="22"/>
        </w:rPr>
        <w:t xml:space="preserve"> ANOVA and the Kruskal-</w:t>
      </w:r>
      <w:proofErr w:type="gramStart"/>
      <w:r w:rsidR="000B5E7D" w:rsidRPr="005C36F7">
        <w:rPr>
          <w:rFonts w:ascii="Arial" w:hAnsi="Arial" w:cs="Arial"/>
          <w:color w:val="000000" w:themeColor="text1"/>
          <w:sz w:val="22"/>
        </w:rPr>
        <w:t>Wallis</w:t>
      </w:r>
      <w:proofErr w:type="gramEnd"/>
      <w:r w:rsidR="000B5E7D" w:rsidRPr="005C36F7">
        <w:rPr>
          <w:rFonts w:ascii="Arial" w:hAnsi="Arial" w:cs="Arial"/>
          <w:color w:val="000000" w:themeColor="text1"/>
          <w:sz w:val="22"/>
        </w:rPr>
        <w:t xml:space="preserve"> test were used for multiple-group comparisons as appropriate. </w:t>
      </w:r>
    </w:p>
    <w:p w14:paraId="29EF4834" w14:textId="1EF11EEE" w:rsidR="00CC0D4D" w:rsidRPr="005C36F7" w:rsidRDefault="002C4148">
      <w:pPr>
        <w:rPr>
          <w:rFonts w:ascii="Arial" w:hAnsi="Arial" w:cs="Arial"/>
          <w:color w:val="000000" w:themeColor="text1"/>
          <w:sz w:val="22"/>
        </w:rPr>
      </w:pPr>
      <w:r w:rsidRPr="005C36F7">
        <w:rPr>
          <w:rFonts w:ascii="Arial" w:hAnsi="Arial" w:cs="Arial"/>
          <w:b/>
          <w:color w:val="000000" w:themeColor="text1"/>
          <w:sz w:val="22"/>
        </w:rPr>
        <w:t xml:space="preserve">Results: </w:t>
      </w:r>
      <w:r w:rsidR="00AB208C" w:rsidRPr="005C36F7">
        <w:rPr>
          <w:rFonts w:ascii="Arial" w:hAnsi="Arial" w:cs="Arial"/>
          <w:color w:val="000000" w:themeColor="text1"/>
          <w:sz w:val="22"/>
        </w:rPr>
        <w:t xml:space="preserve">There </w:t>
      </w:r>
      <w:r w:rsidR="0049050C" w:rsidRPr="005C36F7">
        <w:rPr>
          <w:rFonts w:ascii="Arial" w:hAnsi="Arial" w:cs="Arial"/>
          <w:color w:val="000000" w:themeColor="text1"/>
          <w:sz w:val="22"/>
        </w:rPr>
        <w:t>were</w:t>
      </w:r>
      <w:r w:rsidR="00AB208C" w:rsidRPr="005C36F7">
        <w:rPr>
          <w:rFonts w:ascii="Arial" w:hAnsi="Arial" w:cs="Arial"/>
          <w:color w:val="000000" w:themeColor="text1"/>
          <w:sz w:val="22"/>
        </w:rPr>
        <w:t xml:space="preserve"> significant group effect</w:t>
      </w:r>
      <w:r w:rsidR="0049050C" w:rsidRPr="005C36F7">
        <w:rPr>
          <w:rFonts w:ascii="Arial" w:hAnsi="Arial" w:cs="Arial"/>
          <w:color w:val="000000" w:themeColor="text1"/>
          <w:sz w:val="22"/>
        </w:rPr>
        <w:t>s</w:t>
      </w:r>
      <w:r w:rsidR="00AB208C" w:rsidRPr="005C36F7">
        <w:rPr>
          <w:rFonts w:ascii="Arial" w:hAnsi="Arial" w:cs="Arial"/>
          <w:color w:val="000000" w:themeColor="text1"/>
          <w:sz w:val="22"/>
        </w:rPr>
        <w:t xml:space="preserve"> on anxiety</w:t>
      </w:r>
      <w:r w:rsidR="00E61D4E" w:rsidRPr="005C36F7">
        <w:rPr>
          <w:rFonts w:ascii="Arial" w:hAnsi="Arial" w:cs="Arial"/>
          <w:color w:val="000000" w:themeColor="text1"/>
          <w:sz w:val="22"/>
        </w:rPr>
        <w:t xml:space="preserve"> and </w:t>
      </w:r>
      <w:r w:rsidR="0049050C" w:rsidRPr="005C36F7">
        <w:rPr>
          <w:rFonts w:ascii="Arial" w:hAnsi="Arial" w:cs="Arial"/>
          <w:color w:val="000000" w:themeColor="text1"/>
          <w:sz w:val="22"/>
        </w:rPr>
        <w:t xml:space="preserve">depression </w:t>
      </w:r>
      <w:r w:rsidR="00C04949" w:rsidRPr="005C36F7">
        <w:rPr>
          <w:rFonts w:ascii="Arial" w:hAnsi="Arial" w:cs="Arial"/>
          <w:color w:val="000000" w:themeColor="text1"/>
          <w:sz w:val="22"/>
        </w:rPr>
        <w:t xml:space="preserve">among the four </w:t>
      </w:r>
      <w:r w:rsidR="00E61D4E" w:rsidRPr="005C36F7">
        <w:rPr>
          <w:rFonts w:ascii="Arial" w:hAnsi="Arial" w:cs="Arial"/>
          <w:color w:val="000000" w:themeColor="text1"/>
          <w:sz w:val="22"/>
        </w:rPr>
        <w:t xml:space="preserve">cohort </w:t>
      </w:r>
      <w:r w:rsidR="00C04949" w:rsidRPr="005C36F7">
        <w:rPr>
          <w:rFonts w:ascii="Arial" w:hAnsi="Arial" w:cs="Arial"/>
          <w:color w:val="000000" w:themeColor="text1"/>
          <w:sz w:val="22"/>
        </w:rPr>
        <w:t>groups</w:t>
      </w:r>
      <w:r w:rsidR="00264C97">
        <w:rPr>
          <w:rFonts w:ascii="Arial" w:hAnsi="Arial" w:cs="Arial"/>
          <w:color w:val="000000" w:themeColor="text1"/>
          <w:sz w:val="22"/>
        </w:rPr>
        <w:t xml:space="preserve"> </w:t>
      </w:r>
      <w:r w:rsidR="00C04949" w:rsidRPr="005C36F7">
        <w:rPr>
          <w:rFonts w:ascii="Arial" w:hAnsi="Arial" w:cs="Arial"/>
          <w:color w:val="000000" w:themeColor="text1"/>
          <w:sz w:val="22"/>
        </w:rPr>
        <w:t>(p&lt;0.05). Anxiety</w:t>
      </w:r>
      <w:r w:rsidR="00E61D4E" w:rsidRPr="005C36F7">
        <w:rPr>
          <w:rFonts w:ascii="Arial" w:hAnsi="Arial" w:cs="Arial"/>
          <w:color w:val="000000" w:themeColor="text1"/>
          <w:sz w:val="22"/>
        </w:rPr>
        <w:t xml:space="preserve"> and </w:t>
      </w:r>
      <w:r w:rsidR="00C04949" w:rsidRPr="005C36F7">
        <w:rPr>
          <w:rFonts w:ascii="Arial" w:hAnsi="Arial" w:cs="Arial"/>
          <w:color w:val="000000" w:themeColor="text1"/>
          <w:sz w:val="22"/>
        </w:rPr>
        <w:t xml:space="preserve">depression of SAn and SAs groups were significantly higher than </w:t>
      </w:r>
      <w:r w:rsidR="00E61D4E" w:rsidRPr="005C36F7">
        <w:rPr>
          <w:rFonts w:ascii="Arial" w:hAnsi="Arial" w:cs="Arial"/>
          <w:color w:val="000000" w:themeColor="text1"/>
          <w:sz w:val="22"/>
        </w:rPr>
        <w:t xml:space="preserve">that of </w:t>
      </w:r>
      <w:r w:rsidR="00C04949" w:rsidRPr="005C36F7">
        <w:rPr>
          <w:rFonts w:ascii="Arial" w:hAnsi="Arial" w:cs="Arial"/>
          <w:color w:val="000000" w:themeColor="text1"/>
          <w:sz w:val="22"/>
        </w:rPr>
        <w:t>MMA and HC groups</w:t>
      </w:r>
      <w:r w:rsidR="00264C97">
        <w:rPr>
          <w:rFonts w:ascii="Arial" w:hAnsi="Arial" w:cs="Arial"/>
          <w:color w:val="000000" w:themeColor="text1"/>
          <w:sz w:val="22"/>
        </w:rPr>
        <w:t xml:space="preserve"> </w:t>
      </w:r>
      <w:r w:rsidR="00C04949" w:rsidRPr="005C36F7">
        <w:rPr>
          <w:rFonts w:ascii="Arial" w:hAnsi="Arial" w:cs="Arial"/>
          <w:color w:val="000000" w:themeColor="text1"/>
          <w:sz w:val="22"/>
        </w:rPr>
        <w:t>(p&lt;0.05.</w:t>
      </w:r>
      <w:r w:rsidR="005D4B22" w:rsidRPr="005C36F7">
        <w:rPr>
          <w:rFonts w:ascii="Arial" w:hAnsi="Arial" w:cs="Arial"/>
          <w:color w:val="000000" w:themeColor="text1"/>
          <w:sz w:val="22"/>
        </w:rPr>
        <w:t xml:space="preserve"> There were significant </w:t>
      </w:r>
      <w:r w:rsidR="006274B4" w:rsidRPr="005C36F7">
        <w:rPr>
          <w:rFonts w:ascii="Arial" w:hAnsi="Arial" w:cs="Arial"/>
          <w:color w:val="000000" w:themeColor="text1"/>
          <w:sz w:val="22"/>
        </w:rPr>
        <w:t>differences i</w:t>
      </w:r>
      <w:r w:rsidR="005D4B22" w:rsidRPr="005C36F7">
        <w:rPr>
          <w:rFonts w:ascii="Arial" w:hAnsi="Arial" w:cs="Arial"/>
          <w:color w:val="000000" w:themeColor="text1"/>
          <w:sz w:val="22"/>
        </w:rPr>
        <w:t>n serum IL6, MCP1, CCL18, CCL17, IL8, and E</w:t>
      </w:r>
      <w:r w:rsidR="00264C97">
        <w:rPr>
          <w:rFonts w:ascii="Arial" w:hAnsi="Arial" w:cs="Arial"/>
          <w:color w:val="000000" w:themeColor="text1"/>
          <w:sz w:val="22"/>
        </w:rPr>
        <w:t>otaxin</w:t>
      </w:r>
      <w:r w:rsidR="005A4CC0" w:rsidRPr="005C36F7">
        <w:rPr>
          <w:rFonts w:ascii="Arial" w:hAnsi="Arial" w:cs="Arial"/>
          <w:color w:val="000000" w:themeColor="text1"/>
          <w:sz w:val="22"/>
        </w:rPr>
        <w:t xml:space="preserve"> among the four groups</w:t>
      </w:r>
      <w:r w:rsidR="00264C97">
        <w:rPr>
          <w:rFonts w:ascii="Arial" w:hAnsi="Arial" w:cs="Arial"/>
          <w:color w:val="000000" w:themeColor="text1"/>
          <w:sz w:val="22"/>
        </w:rPr>
        <w:t xml:space="preserve"> </w:t>
      </w:r>
      <w:r w:rsidR="005D4B22" w:rsidRPr="005C36F7">
        <w:rPr>
          <w:rFonts w:ascii="Arial" w:hAnsi="Arial" w:cs="Arial"/>
          <w:color w:val="000000" w:themeColor="text1"/>
          <w:sz w:val="22"/>
        </w:rPr>
        <w:t xml:space="preserve">(p&lt;0.05). </w:t>
      </w:r>
      <w:r w:rsidR="0018134E" w:rsidRPr="005C36F7">
        <w:rPr>
          <w:rFonts w:ascii="Arial" w:hAnsi="Arial" w:cs="Arial"/>
          <w:color w:val="000000" w:themeColor="text1"/>
          <w:sz w:val="22"/>
        </w:rPr>
        <w:t xml:space="preserve">Depression was significantly associated with IL6, MCP1, CCL18 level, and </w:t>
      </w:r>
      <w:proofErr w:type="gramStart"/>
      <w:r w:rsidR="0018134E" w:rsidRPr="005C36F7">
        <w:rPr>
          <w:rFonts w:ascii="Arial" w:hAnsi="Arial" w:cs="Arial"/>
          <w:color w:val="000000" w:themeColor="text1"/>
          <w:sz w:val="22"/>
        </w:rPr>
        <w:t>CCL17;</w:t>
      </w:r>
      <w:proofErr w:type="gramEnd"/>
      <w:r w:rsidR="0018134E" w:rsidRPr="005C36F7">
        <w:rPr>
          <w:rFonts w:ascii="Arial" w:hAnsi="Arial" w:cs="Arial"/>
          <w:color w:val="000000" w:themeColor="text1"/>
          <w:sz w:val="22"/>
        </w:rPr>
        <w:t xml:space="preserve"> whereas anxiety was associated with CCL17 only</w:t>
      </w:r>
      <w:r w:rsidR="00264C97">
        <w:rPr>
          <w:rFonts w:ascii="Arial" w:hAnsi="Arial" w:cs="Arial"/>
          <w:color w:val="000000" w:themeColor="text1"/>
          <w:sz w:val="22"/>
        </w:rPr>
        <w:t xml:space="preserve"> </w:t>
      </w:r>
      <w:r w:rsidR="0018134E" w:rsidRPr="005C36F7">
        <w:rPr>
          <w:rFonts w:ascii="Arial" w:hAnsi="Arial" w:cs="Arial"/>
          <w:color w:val="000000" w:themeColor="text1"/>
          <w:sz w:val="22"/>
        </w:rPr>
        <w:t xml:space="preserve">(p&lt;0.05). </w:t>
      </w:r>
    </w:p>
    <w:p w14:paraId="71EF7015" w14:textId="3CE49350" w:rsidR="005C046D" w:rsidRPr="005C36F7" w:rsidRDefault="00077CB6">
      <w:pPr>
        <w:rPr>
          <w:rFonts w:ascii="Arial" w:hAnsi="Arial" w:cs="Arial"/>
          <w:color w:val="000000" w:themeColor="text1"/>
          <w:sz w:val="22"/>
        </w:rPr>
      </w:pPr>
      <w:r w:rsidRPr="005C36F7">
        <w:rPr>
          <w:rFonts w:ascii="Arial" w:hAnsi="Arial" w:cs="Arial"/>
          <w:b/>
          <w:color w:val="000000" w:themeColor="text1"/>
          <w:sz w:val="22"/>
        </w:rPr>
        <w:t>Conclusions:</w:t>
      </w:r>
      <w:r w:rsidR="000564FB" w:rsidRPr="005C36F7">
        <w:rPr>
          <w:rFonts w:ascii="Arial" w:hAnsi="Arial" w:cs="Arial"/>
          <w:color w:val="000000" w:themeColor="text1"/>
          <w:sz w:val="22"/>
        </w:rPr>
        <w:t xml:space="preserve"> </w:t>
      </w:r>
      <w:r w:rsidR="003C1B0A">
        <w:rPr>
          <w:rFonts w:ascii="Arial" w:hAnsi="Arial" w:cs="Arial"/>
          <w:color w:val="000000" w:themeColor="text1"/>
          <w:sz w:val="22"/>
        </w:rPr>
        <w:t>T</w:t>
      </w:r>
      <w:r w:rsidR="000B5E7D" w:rsidRPr="005C36F7">
        <w:rPr>
          <w:rFonts w:ascii="Arial" w:hAnsi="Arial" w:cs="Arial"/>
          <w:color w:val="000000" w:themeColor="text1"/>
          <w:sz w:val="22"/>
        </w:rPr>
        <w:t xml:space="preserve">he current study </w:t>
      </w:r>
      <w:r w:rsidR="00BB4218">
        <w:rPr>
          <w:rFonts w:ascii="Arial" w:hAnsi="Arial" w:cs="Arial"/>
          <w:color w:val="000000" w:themeColor="text1"/>
          <w:sz w:val="22"/>
        </w:rPr>
        <w:t>suggests</w:t>
      </w:r>
      <w:r w:rsidR="00BB4218" w:rsidRPr="005C36F7">
        <w:rPr>
          <w:rFonts w:ascii="Arial" w:hAnsi="Arial" w:cs="Arial"/>
          <w:color w:val="000000" w:themeColor="text1"/>
          <w:sz w:val="22"/>
        </w:rPr>
        <w:t xml:space="preserve"> </w:t>
      </w:r>
      <w:r w:rsidR="000B5E7D" w:rsidRPr="005C36F7">
        <w:rPr>
          <w:rFonts w:ascii="Arial" w:hAnsi="Arial" w:cs="Arial"/>
          <w:color w:val="000000" w:themeColor="text1"/>
          <w:sz w:val="22"/>
        </w:rPr>
        <w:t xml:space="preserve">that severe asthma patients are </w:t>
      </w:r>
      <w:r w:rsidR="008117AE">
        <w:rPr>
          <w:rFonts w:ascii="Arial" w:hAnsi="Arial" w:cs="Arial"/>
          <w:color w:val="000000" w:themeColor="text1"/>
          <w:sz w:val="22"/>
        </w:rPr>
        <w:t>associated with high</w:t>
      </w:r>
      <w:r w:rsidR="001A5723">
        <w:rPr>
          <w:rFonts w:ascii="Arial" w:hAnsi="Arial" w:cs="Arial"/>
          <w:color w:val="000000" w:themeColor="text1"/>
          <w:sz w:val="22"/>
        </w:rPr>
        <w:t>er</w:t>
      </w:r>
      <w:r w:rsidR="008117AE">
        <w:rPr>
          <w:rFonts w:ascii="Arial" w:hAnsi="Arial" w:cs="Arial"/>
          <w:color w:val="000000" w:themeColor="text1"/>
          <w:sz w:val="22"/>
        </w:rPr>
        <w:t xml:space="preserve"> levels of</w:t>
      </w:r>
      <w:r w:rsidR="000B5E7D" w:rsidRPr="005C36F7">
        <w:rPr>
          <w:rFonts w:ascii="Arial" w:hAnsi="Arial" w:cs="Arial"/>
          <w:color w:val="000000" w:themeColor="text1"/>
          <w:sz w:val="22"/>
        </w:rPr>
        <w:t xml:space="preserve"> anxiety and depression, and inflammatory responses may underlie this comorbid condition. </w:t>
      </w:r>
    </w:p>
    <w:p w14:paraId="5D15A7C8" w14:textId="3C893EF0" w:rsidR="000B5E7D" w:rsidRPr="005C36F7" w:rsidRDefault="000B5E7D" w:rsidP="00A32AAE">
      <w:pPr>
        <w:rPr>
          <w:rFonts w:ascii="Arial" w:hAnsi="Arial" w:cs="Arial"/>
          <w:b/>
          <w:color w:val="000000" w:themeColor="text1"/>
          <w:sz w:val="22"/>
        </w:rPr>
      </w:pPr>
    </w:p>
    <w:p w14:paraId="78405B12" w14:textId="47DDAC35" w:rsidR="00577EF6" w:rsidRPr="005C36F7" w:rsidRDefault="00577EF6" w:rsidP="00A32AAE">
      <w:pPr>
        <w:rPr>
          <w:rFonts w:ascii="Arial" w:hAnsi="Arial" w:cs="Arial"/>
          <w:b/>
          <w:color w:val="000000" w:themeColor="text1"/>
          <w:sz w:val="22"/>
        </w:rPr>
      </w:pPr>
      <w:r w:rsidRPr="005C36F7">
        <w:rPr>
          <w:rFonts w:ascii="Arial" w:hAnsi="Arial" w:cs="Arial"/>
          <w:b/>
          <w:color w:val="000000" w:themeColor="text1"/>
          <w:sz w:val="22"/>
        </w:rPr>
        <w:t xml:space="preserve">Key words:  </w:t>
      </w:r>
      <w:r w:rsidRPr="005C36F7">
        <w:rPr>
          <w:rFonts w:ascii="Arial" w:hAnsi="Arial" w:cs="Arial"/>
          <w:bCs/>
          <w:color w:val="000000" w:themeColor="text1"/>
          <w:sz w:val="22"/>
        </w:rPr>
        <w:t>asthma, depression, anxiety, inflammation, U-BIOPRED</w:t>
      </w:r>
    </w:p>
    <w:p w14:paraId="6E0B3BDF" w14:textId="67E6B248" w:rsidR="00577EF6" w:rsidRDefault="00577EF6" w:rsidP="00A32AAE">
      <w:pPr>
        <w:rPr>
          <w:rFonts w:ascii="Arial" w:hAnsi="Arial" w:cs="Arial"/>
          <w:b/>
          <w:color w:val="000000" w:themeColor="text1"/>
          <w:sz w:val="22"/>
        </w:rPr>
      </w:pPr>
    </w:p>
    <w:p w14:paraId="1852666D" w14:textId="2C301726" w:rsidR="00D30639" w:rsidRDefault="00D30639" w:rsidP="00A32AAE">
      <w:pPr>
        <w:rPr>
          <w:rFonts w:ascii="Arial" w:hAnsi="Arial" w:cs="Arial"/>
          <w:b/>
          <w:color w:val="000000" w:themeColor="text1"/>
          <w:sz w:val="22"/>
        </w:rPr>
      </w:pPr>
    </w:p>
    <w:p w14:paraId="4BF4E572" w14:textId="0D131BB0" w:rsidR="00D30639" w:rsidRDefault="00D30639" w:rsidP="00A32AAE">
      <w:pPr>
        <w:rPr>
          <w:rFonts w:ascii="Arial" w:hAnsi="Arial" w:cs="Arial"/>
          <w:b/>
          <w:color w:val="000000" w:themeColor="text1"/>
          <w:sz w:val="22"/>
        </w:rPr>
      </w:pPr>
    </w:p>
    <w:p w14:paraId="3119D72D" w14:textId="4760A194" w:rsidR="00D30639" w:rsidRDefault="00D30639" w:rsidP="00A32AAE">
      <w:pPr>
        <w:rPr>
          <w:rFonts w:ascii="Arial" w:hAnsi="Arial" w:cs="Arial"/>
          <w:b/>
          <w:color w:val="000000" w:themeColor="text1"/>
          <w:sz w:val="22"/>
        </w:rPr>
      </w:pPr>
    </w:p>
    <w:p w14:paraId="61238880" w14:textId="77777777" w:rsidR="00D30639" w:rsidRPr="005C36F7" w:rsidRDefault="00D30639" w:rsidP="00A32AAE">
      <w:pPr>
        <w:rPr>
          <w:rFonts w:ascii="Arial" w:hAnsi="Arial" w:cs="Arial"/>
          <w:b/>
          <w:color w:val="000000" w:themeColor="text1"/>
          <w:sz w:val="22"/>
        </w:rPr>
      </w:pPr>
    </w:p>
    <w:p w14:paraId="025E6935" w14:textId="252E57B8" w:rsidR="000B5E7D" w:rsidRPr="005C36F7" w:rsidRDefault="000B5E7D" w:rsidP="00A32AAE">
      <w:pPr>
        <w:rPr>
          <w:rFonts w:ascii="Arial" w:hAnsi="Arial" w:cs="Arial"/>
          <w:b/>
          <w:color w:val="000000" w:themeColor="text1"/>
          <w:sz w:val="22"/>
        </w:rPr>
      </w:pPr>
      <w:r w:rsidRPr="005C36F7">
        <w:rPr>
          <w:rFonts w:ascii="Arial" w:hAnsi="Arial" w:cs="Arial"/>
          <w:b/>
          <w:color w:val="000000" w:themeColor="text1"/>
          <w:sz w:val="22"/>
        </w:rPr>
        <w:t>Main text</w:t>
      </w:r>
    </w:p>
    <w:p w14:paraId="7E9DD5CA" w14:textId="57B0D8FE" w:rsidR="005C046D" w:rsidRPr="005C36F7" w:rsidRDefault="00672CB6" w:rsidP="00A32AAE">
      <w:pPr>
        <w:rPr>
          <w:rFonts w:ascii="Arial" w:hAnsi="Arial" w:cs="Arial"/>
          <w:b/>
          <w:color w:val="000000" w:themeColor="text1"/>
          <w:sz w:val="22"/>
        </w:rPr>
      </w:pPr>
      <w:r w:rsidRPr="005C36F7">
        <w:rPr>
          <w:rFonts w:ascii="Arial" w:hAnsi="Arial" w:cs="Arial"/>
          <w:b/>
          <w:color w:val="000000" w:themeColor="text1"/>
          <w:sz w:val="22"/>
        </w:rPr>
        <w:t xml:space="preserve">1. </w:t>
      </w:r>
      <w:r w:rsidR="005C046D" w:rsidRPr="005C36F7">
        <w:rPr>
          <w:rFonts w:ascii="Arial" w:hAnsi="Arial" w:cs="Arial"/>
          <w:b/>
          <w:color w:val="000000" w:themeColor="text1"/>
          <w:sz w:val="22"/>
        </w:rPr>
        <w:t>Introduction</w:t>
      </w:r>
      <w:r w:rsidR="005C046D" w:rsidRPr="005C36F7" w:rsidDel="005C046D">
        <w:rPr>
          <w:rFonts w:ascii="Arial" w:hAnsi="Arial" w:cs="Arial"/>
          <w:b/>
          <w:color w:val="000000" w:themeColor="text1"/>
          <w:sz w:val="22"/>
        </w:rPr>
        <w:t xml:space="preserve"> </w:t>
      </w:r>
    </w:p>
    <w:p w14:paraId="387E22E9" w14:textId="68D2FB73" w:rsidR="00422947" w:rsidRPr="005C36F7" w:rsidRDefault="00DE43DE" w:rsidP="00A32AAE">
      <w:pPr>
        <w:rPr>
          <w:rFonts w:ascii="Arial" w:hAnsi="Arial" w:cs="Arial"/>
          <w:color w:val="000000" w:themeColor="text1"/>
          <w:sz w:val="22"/>
        </w:rPr>
      </w:pPr>
      <w:r w:rsidRPr="005C36F7">
        <w:rPr>
          <w:rFonts w:ascii="Arial" w:hAnsi="Arial" w:cs="Arial"/>
          <w:color w:val="000000" w:themeColor="text1"/>
          <w:sz w:val="22"/>
        </w:rPr>
        <w:t xml:space="preserve">Asthma is a major chronic health problem affecting over 300 million worldwide which causes </w:t>
      </w:r>
      <w:r w:rsidR="006274B4" w:rsidRPr="005C36F7">
        <w:rPr>
          <w:rFonts w:ascii="Arial" w:hAnsi="Arial" w:cs="Arial"/>
          <w:color w:val="000000" w:themeColor="text1"/>
          <w:sz w:val="22"/>
        </w:rPr>
        <w:t xml:space="preserve">a </w:t>
      </w:r>
      <w:r w:rsidRPr="005C36F7">
        <w:rPr>
          <w:rFonts w:ascii="Arial" w:hAnsi="Arial" w:cs="Arial"/>
          <w:color w:val="000000" w:themeColor="text1"/>
          <w:sz w:val="22"/>
        </w:rPr>
        <w:t xml:space="preserve">significant social and financial burden (Del Giacco et al., 2016). </w:t>
      </w:r>
      <w:r w:rsidR="007E600A" w:rsidRPr="005C36F7">
        <w:rPr>
          <w:rFonts w:ascii="Arial" w:hAnsi="Arial" w:cs="Arial"/>
          <w:color w:val="000000" w:themeColor="text1"/>
          <w:sz w:val="22"/>
        </w:rPr>
        <w:t xml:space="preserve">It is not only associated with increased physical comorbidity, but also with increased </w:t>
      </w:r>
      <w:r w:rsidR="00461E8B" w:rsidRPr="005C36F7">
        <w:rPr>
          <w:rFonts w:ascii="Arial" w:hAnsi="Arial" w:cs="Arial"/>
          <w:color w:val="000000" w:themeColor="text1"/>
          <w:sz w:val="22"/>
        </w:rPr>
        <w:t>psychological distress</w:t>
      </w:r>
      <w:r w:rsidR="002B7479" w:rsidRPr="005C36F7">
        <w:rPr>
          <w:rFonts w:ascii="Arial" w:hAnsi="Arial" w:cs="Arial"/>
          <w:color w:val="000000" w:themeColor="text1"/>
          <w:sz w:val="22"/>
        </w:rPr>
        <w:t xml:space="preserve"> </w:t>
      </w:r>
      <w:r w:rsidR="001A0AA1" w:rsidRPr="005C36F7">
        <w:rPr>
          <w:rFonts w:ascii="Arial" w:hAnsi="Arial" w:cs="Arial"/>
          <w:color w:val="000000" w:themeColor="text1"/>
          <w:sz w:val="22"/>
        </w:rPr>
        <w:t xml:space="preserve">(Goodwin </w:t>
      </w:r>
      <w:r w:rsidR="00230575" w:rsidRPr="005C36F7">
        <w:rPr>
          <w:rFonts w:ascii="Arial" w:hAnsi="Arial" w:cs="Arial"/>
          <w:color w:val="000000" w:themeColor="text1"/>
          <w:sz w:val="22"/>
        </w:rPr>
        <w:t xml:space="preserve">et </w:t>
      </w:r>
      <w:r w:rsidR="001A0AA1" w:rsidRPr="005C36F7">
        <w:rPr>
          <w:rFonts w:ascii="Arial" w:hAnsi="Arial" w:cs="Arial"/>
          <w:color w:val="000000" w:themeColor="text1"/>
          <w:sz w:val="22"/>
        </w:rPr>
        <w:t>al.,</w:t>
      </w:r>
      <w:r w:rsidR="00230575" w:rsidRPr="005C36F7">
        <w:rPr>
          <w:rFonts w:ascii="Arial" w:hAnsi="Arial" w:cs="Arial"/>
          <w:color w:val="000000" w:themeColor="text1"/>
          <w:sz w:val="22"/>
        </w:rPr>
        <w:t xml:space="preserve"> </w:t>
      </w:r>
      <w:r w:rsidR="001A0AA1" w:rsidRPr="005C36F7">
        <w:rPr>
          <w:rFonts w:ascii="Arial" w:hAnsi="Arial" w:cs="Arial"/>
          <w:color w:val="000000" w:themeColor="text1"/>
          <w:sz w:val="22"/>
        </w:rPr>
        <w:t>2003)</w:t>
      </w:r>
      <w:r w:rsidR="007E600A" w:rsidRPr="005C36F7">
        <w:rPr>
          <w:rFonts w:ascii="Arial" w:hAnsi="Arial" w:cs="Arial"/>
          <w:color w:val="000000" w:themeColor="text1"/>
          <w:sz w:val="22"/>
        </w:rPr>
        <w:t xml:space="preserve">. </w:t>
      </w:r>
      <w:r w:rsidRPr="005C36F7">
        <w:rPr>
          <w:rFonts w:ascii="Arial" w:hAnsi="Arial" w:cs="Arial"/>
          <w:color w:val="000000" w:themeColor="text1"/>
          <w:sz w:val="22"/>
        </w:rPr>
        <w:t xml:space="preserve">The fundamental characteristic of asthma is sudden and unexpected attacks of impaired breathing, with a strong affective component that can cause anxiety. Data from epidemiological surveys show </w:t>
      </w:r>
      <w:r w:rsidR="006274B4" w:rsidRPr="005C36F7">
        <w:rPr>
          <w:rFonts w:ascii="Arial" w:hAnsi="Arial" w:cs="Arial"/>
          <w:color w:val="000000" w:themeColor="text1"/>
          <w:sz w:val="22"/>
        </w:rPr>
        <w:t xml:space="preserve">a </w:t>
      </w:r>
      <w:r w:rsidRPr="005C36F7">
        <w:rPr>
          <w:rFonts w:ascii="Arial" w:hAnsi="Arial" w:cs="Arial"/>
          <w:color w:val="000000" w:themeColor="text1"/>
          <w:sz w:val="22"/>
        </w:rPr>
        <w:t>high prevalence of anxiety in asthma patients: up to 30% in children and adolescents and 34% in adults (Katon et al., 2004; Weiser, 2007).</w:t>
      </w:r>
      <w:r w:rsidR="00D32DEE" w:rsidRPr="005C36F7">
        <w:rPr>
          <w:rFonts w:ascii="Arial" w:hAnsi="Arial" w:cs="Arial"/>
          <w:color w:val="000000" w:themeColor="text1"/>
          <w:sz w:val="22"/>
        </w:rPr>
        <w:t xml:space="preserve"> People with asthma are up to six times more likely than the gen</w:t>
      </w:r>
      <w:r w:rsidR="00960670" w:rsidRPr="005C36F7">
        <w:rPr>
          <w:rFonts w:ascii="Arial" w:hAnsi="Arial" w:cs="Arial"/>
          <w:color w:val="000000" w:themeColor="text1"/>
          <w:sz w:val="22"/>
        </w:rPr>
        <w:t xml:space="preserve">eral population to </w:t>
      </w:r>
      <w:r w:rsidR="00461E8B" w:rsidRPr="005C36F7">
        <w:rPr>
          <w:rFonts w:ascii="Arial" w:hAnsi="Arial" w:cs="Arial"/>
          <w:color w:val="000000" w:themeColor="text1"/>
          <w:sz w:val="22"/>
        </w:rPr>
        <w:t xml:space="preserve">experience </w:t>
      </w:r>
      <w:r w:rsidR="00960670" w:rsidRPr="005C36F7">
        <w:rPr>
          <w:rFonts w:ascii="Arial" w:hAnsi="Arial" w:cs="Arial"/>
          <w:color w:val="000000" w:themeColor="text1"/>
          <w:sz w:val="22"/>
        </w:rPr>
        <w:t>anxiety</w:t>
      </w:r>
      <w:r w:rsidR="002B7479" w:rsidRPr="005C36F7">
        <w:rPr>
          <w:rFonts w:ascii="Arial" w:hAnsi="Arial" w:cs="Arial"/>
          <w:color w:val="000000" w:themeColor="text1"/>
          <w:sz w:val="22"/>
        </w:rPr>
        <w:t xml:space="preserve"> </w:t>
      </w:r>
      <w:r w:rsidR="00D32DEE" w:rsidRPr="005C36F7">
        <w:rPr>
          <w:rFonts w:ascii="Arial" w:hAnsi="Arial" w:cs="Arial"/>
          <w:color w:val="000000" w:themeColor="text1"/>
          <w:sz w:val="22"/>
        </w:rPr>
        <w:t>(Thomas et al., 2011)</w:t>
      </w:r>
      <w:r w:rsidR="00461E8B" w:rsidRPr="005C36F7">
        <w:rPr>
          <w:rFonts w:ascii="Arial" w:hAnsi="Arial" w:cs="Arial"/>
          <w:color w:val="000000" w:themeColor="text1"/>
          <w:sz w:val="22"/>
        </w:rPr>
        <w:t>, whi</w:t>
      </w:r>
      <w:r w:rsidR="000C5E60" w:rsidRPr="005C36F7">
        <w:rPr>
          <w:rFonts w:ascii="Arial" w:hAnsi="Arial" w:cs="Arial"/>
          <w:color w:val="000000" w:themeColor="text1"/>
          <w:sz w:val="22"/>
        </w:rPr>
        <w:t>ch</w:t>
      </w:r>
      <w:r w:rsidR="00924982" w:rsidRPr="005C36F7">
        <w:rPr>
          <w:rFonts w:ascii="Arial" w:hAnsi="Arial" w:cs="Arial"/>
          <w:color w:val="000000" w:themeColor="text1"/>
          <w:sz w:val="22"/>
        </w:rPr>
        <w:t xml:space="preserve"> </w:t>
      </w:r>
      <w:r w:rsidR="00660910" w:rsidRPr="005C36F7">
        <w:rPr>
          <w:rFonts w:ascii="Arial" w:hAnsi="Arial" w:cs="Arial"/>
          <w:color w:val="000000" w:themeColor="text1"/>
          <w:sz w:val="22"/>
        </w:rPr>
        <w:t>can present at all three stages of asthma: onset, progression, and exacerbation (Edwards et al., 2017)</w:t>
      </w:r>
      <w:r w:rsidR="002B7479" w:rsidRPr="005C36F7">
        <w:rPr>
          <w:rFonts w:ascii="Arial" w:hAnsi="Arial" w:cs="Arial"/>
          <w:color w:val="000000" w:themeColor="text1"/>
          <w:sz w:val="22"/>
        </w:rPr>
        <w:t>.</w:t>
      </w:r>
      <w:r w:rsidR="00CC0D4D" w:rsidRPr="005C36F7">
        <w:rPr>
          <w:rFonts w:ascii="Arial" w:hAnsi="Arial" w:cs="Arial"/>
          <w:color w:val="000000" w:themeColor="text1"/>
          <w:sz w:val="22"/>
        </w:rPr>
        <w:t xml:space="preserve"> </w:t>
      </w:r>
      <w:r w:rsidRPr="005C36F7">
        <w:rPr>
          <w:rFonts w:ascii="Arial" w:hAnsi="Arial" w:cs="Arial"/>
          <w:color w:val="000000" w:themeColor="text1"/>
          <w:sz w:val="22"/>
        </w:rPr>
        <w:t>Different characteristics and forms of anxiety have been identified in asthma, which vary in intensity and situation (</w:t>
      </w:r>
      <w:r w:rsidR="00F65CA6" w:rsidRPr="005C36F7">
        <w:rPr>
          <w:rFonts w:ascii="Arial" w:hAnsi="Arial" w:cs="Arial"/>
          <w:color w:val="000000" w:themeColor="text1"/>
          <w:sz w:val="22"/>
        </w:rPr>
        <w:t xml:space="preserve">ten </w:t>
      </w:r>
      <w:r w:rsidRPr="005C36F7">
        <w:rPr>
          <w:rFonts w:ascii="Arial" w:hAnsi="Arial" w:cs="Arial"/>
          <w:color w:val="000000" w:themeColor="text1"/>
          <w:sz w:val="22"/>
        </w:rPr>
        <w:t>Thoren and Petermann, 2000).</w:t>
      </w:r>
      <w:r w:rsidR="00660910" w:rsidRPr="005C36F7">
        <w:rPr>
          <w:rFonts w:ascii="Arial" w:hAnsi="Arial" w:cs="Arial"/>
          <w:color w:val="000000" w:themeColor="text1"/>
          <w:sz w:val="22"/>
        </w:rPr>
        <w:t xml:space="preserve"> </w:t>
      </w:r>
      <w:r w:rsidR="00461E8B" w:rsidRPr="005C36F7">
        <w:rPr>
          <w:rFonts w:ascii="Arial" w:hAnsi="Arial" w:cs="Arial"/>
          <w:color w:val="000000" w:themeColor="text1"/>
          <w:sz w:val="22"/>
        </w:rPr>
        <w:t>In addition</w:t>
      </w:r>
      <w:r w:rsidR="00660910" w:rsidRPr="005C36F7">
        <w:rPr>
          <w:rFonts w:ascii="Arial" w:hAnsi="Arial" w:cs="Arial"/>
          <w:color w:val="000000" w:themeColor="text1"/>
          <w:sz w:val="22"/>
        </w:rPr>
        <w:t xml:space="preserve">, </w:t>
      </w:r>
      <w:bookmarkStart w:id="2" w:name="OLE_LINK7"/>
      <w:bookmarkStart w:id="3" w:name="OLE_LINK8"/>
      <w:r w:rsidR="000C5E60" w:rsidRPr="005C36F7">
        <w:rPr>
          <w:rFonts w:ascii="Arial" w:hAnsi="Arial" w:cs="Arial"/>
          <w:color w:val="000000" w:themeColor="text1"/>
          <w:sz w:val="22"/>
        </w:rPr>
        <w:t>psy</w:t>
      </w:r>
      <w:r w:rsidR="00363DB7" w:rsidRPr="005C36F7">
        <w:rPr>
          <w:rFonts w:ascii="Arial" w:hAnsi="Arial" w:cs="Arial"/>
          <w:color w:val="000000" w:themeColor="text1"/>
          <w:sz w:val="22"/>
        </w:rPr>
        <w:t>ch</w:t>
      </w:r>
      <w:r w:rsidR="000C5E60" w:rsidRPr="005C36F7">
        <w:rPr>
          <w:rFonts w:ascii="Arial" w:hAnsi="Arial" w:cs="Arial"/>
          <w:color w:val="000000" w:themeColor="text1"/>
          <w:sz w:val="22"/>
        </w:rPr>
        <w:t xml:space="preserve">ological distress is found to be associated </w:t>
      </w:r>
      <w:r w:rsidR="00CC0D4D" w:rsidRPr="005C36F7">
        <w:rPr>
          <w:rFonts w:ascii="Arial" w:hAnsi="Arial" w:cs="Arial"/>
          <w:color w:val="000000" w:themeColor="text1"/>
          <w:sz w:val="22"/>
        </w:rPr>
        <w:t xml:space="preserve">with </w:t>
      </w:r>
      <w:r w:rsidR="00660910" w:rsidRPr="005C36F7">
        <w:rPr>
          <w:rFonts w:ascii="Arial" w:hAnsi="Arial" w:cs="Arial"/>
          <w:color w:val="000000" w:themeColor="text1"/>
          <w:sz w:val="22"/>
        </w:rPr>
        <w:t>bronchoconstriction of the a</w:t>
      </w:r>
      <w:r w:rsidR="003F2E6B" w:rsidRPr="005C36F7">
        <w:rPr>
          <w:rFonts w:ascii="Arial" w:hAnsi="Arial" w:cs="Arial"/>
          <w:color w:val="000000" w:themeColor="text1"/>
          <w:sz w:val="22"/>
        </w:rPr>
        <w:t>irways</w:t>
      </w:r>
      <w:bookmarkEnd w:id="2"/>
      <w:bookmarkEnd w:id="3"/>
      <w:r w:rsidR="000C5E60" w:rsidRPr="005C36F7" w:rsidDel="000C5E60">
        <w:rPr>
          <w:rFonts w:ascii="Arial" w:hAnsi="Arial" w:cs="Arial"/>
          <w:color w:val="000000" w:themeColor="text1"/>
          <w:sz w:val="22"/>
        </w:rPr>
        <w:t xml:space="preserve"> </w:t>
      </w:r>
      <w:r w:rsidR="003F2E6B" w:rsidRPr="005C36F7">
        <w:rPr>
          <w:rFonts w:ascii="Arial" w:hAnsi="Arial" w:cs="Arial"/>
          <w:color w:val="000000" w:themeColor="text1"/>
          <w:sz w:val="22"/>
        </w:rPr>
        <w:t>(ten Brinke</w:t>
      </w:r>
      <w:r w:rsidR="000C5E60" w:rsidRPr="005C36F7">
        <w:rPr>
          <w:rFonts w:ascii="Arial" w:hAnsi="Arial" w:cs="Arial"/>
          <w:color w:val="000000" w:themeColor="text1"/>
          <w:sz w:val="22"/>
        </w:rPr>
        <w:t xml:space="preserve"> et al</w:t>
      </w:r>
      <w:r w:rsidR="00B45502" w:rsidRPr="005C36F7">
        <w:rPr>
          <w:rFonts w:ascii="Arial" w:hAnsi="Arial" w:cs="Arial"/>
          <w:color w:val="000000" w:themeColor="text1"/>
          <w:sz w:val="22"/>
        </w:rPr>
        <w:t>.</w:t>
      </w:r>
      <w:r w:rsidR="003F2E6B" w:rsidRPr="005C36F7">
        <w:rPr>
          <w:rFonts w:ascii="Arial" w:hAnsi="Arial" w:cs="Arial"/>
          <w:color w:val="000000" w:themeColor="text1"/>
          <w:sz w:val="22"/>
        </w:rPr>
        <w:t>,</w:t>
      </w:r>
      <w:r w:rsidR="000C5E60" w:rsidRPr="005C36F7">
        <w:rPr>
          <w:rFonts w:ascii="Arial" w:hAnsi="Arial" w:cs="Arial"/>
          <w:color w:val="000000" w:themeColor="text1"/>
          <w:sz w:val="22"/>
        </w:rPr>
        <w:t xml:space="preserve"> </w:t>
      </w:r>
      <w:r w:rsidR="003F2E6B" w:rsidRPr="005C36F7">
        <w:rPr>
          <w:rFonts w:ascii="Arial" w:hAnsi="Arial" w:cs="Arial"/>
          <w:color w:val="000000" w:themeColor="text1"/>
          <w:sz w:val="22"/>
        </w:rPr>
        <w:t xml:space="preserve">2001). </w:t>
      </w:r>
      <w:r w:rsidR="006274B4" w:rsidRPr="005C36F7">
        <w:rPr>
          <w:rFonts w:ascii="Arial" w:hAnsi="Arial" w:cs="Arial"/>
          <w:color w:val="000000" w:themeColor="text1"/>
          <w:sz w:val="22"/>
        </w:rPr>
        <w:t>There is e</w:t>
      </w:r>
      <w:r w:rsidR="003F2E6B" w:rsidRPr="005C36F7">
        <w:rPr>
          <w:rFonts w:ascii="Arial" w:hAnsi="Arial" w:cs="Arial"/>
          <w:color w:val="000000" w:themeColor="text1"/>
          <w:sz w:val="22"/>
        </w:rPr>
        <w:t>vidence that</w:t>
      </w:r>
      <w:r w:rsidR="006540E0" w:rsidRPr="005C36F7">
        <w:rPr>
          <w:rFonts w:ascii="Arial" w:hAnsi="Arial" w:cs="Arial"/>
          <w:color w:val="000000" w:themeColor="text1"/>
          <w:sz w:val="22"/>
        </w:rPr>
        <w:t xml:space="preserve"> </w:t>
      </w:r>
      <w:r w:rsidR="003F2E6B" w:rsidRPr="005C36F7">
        <w:rPr>
          <w:rFonts w:ascii="Arial" w:hAnsi="Arial" w:cs="Arial"/>
          <w:color w:val="000000" w:themeColor="text1"/>
          <w:sz w:val="22"/>
        </w:rPr>
        <w:t>individuals</w:t>
      </w:r>
      <w:r w:rsidR="006540E0" w:rsidRPr="005C36F7">
        <w:rPr>
          <w:rFonts w:ascii="Arial" w:hAnsi="Arial" w:cs="Arial"/>
          <w:color w:val="000000" w:themeColor="text1"/>
          <w:sz w:val="22"/>
        </w:rPr>
        <w:t xml:space="preserve"> </w:t>
      </w:r>
      <w:r w:rsidR="003F2E6B" w:rsidRPr="005C36F7">
        <w:rPr>
          <w:rFonts w:ascii="Arial" w:hAnsi="Arial" w:cs="Arial"/>
          <w:color w:val="000000" w:themeColor="text1"/>
          <w:sz w:val="22"/>
        </w:rPr>
        <w:t>with</w:t>
      </w:r>
      <w:r w:rsidR="006540E0" w:rsidRPr="005C36F7">
        <w:rPr>
          <w:rFonts w:ascii="Arial" w:hAnsi="Arial" w:cs="Arial"/>
          <w:color w:val="000000" w:themeColor="text1"/>
          <w:sz w:val="22"/>
        </w:rPr>
        <w:t xml:space="preserve"> </w:t>
      </w:r>
      <w:r w:rsidR="003F2E6B" w:rsidRPr="005C36F7">
        <w:rPr>
          <w:rFonts w:ascii="Arial" w:hAnsi="Arial" w:cs="Arial"/>
          <w:color w:val="000000" w:themeColor="text1"/>
          <w:sz w:val="22"/>
        </w:rPr>
        <w:t>asthma</w:t>
      </w:r>
      <w:r w:rsidR="006540E0" w:rsidRPr="005C36F7">
        <w:rPr>
          <w:rFonts w:ascii="Arial" w:hAnsi="Arial" w:cs="Arial"/>
          <w:color w:val="000000" w:themeColor="text1"/>
          <w:sz w:val="22"/>
        </w:rPr>
        <w:t xml:space="preserve"> </w:t>
      </w:r>
      <w:r w:rsidR="003F2E6B" w:rsidRPr="005C36F7">
        <w:rPr>
          <w:rFonts w:ascii="Arial" w:hAnsi="Arial" w:cs="Arial"/>
          <w:color w:val="000000" w:themeColor="text1"/>
          <w:sz w:val="22"/>
        </w:rPr>
        <w:t>have</w:t>
      </w:r>
      <w:r w:rsidR="006540E0" w:rsidRPr="005C36F7">
        <w:rPr>
          <w:rFonts w:ascii="Arial" w:hAnsi="Arial" w:cs="Arial"/>
          <w:color w:val="000000" w:themeColor="text1"/>
          <w:sz w:val="22"/>
        </w:rPr>
        <w:t xml:space="preserve"> twice </w:t>
      </w:r>
      <w:r w:rsidR="003F2E6B" w:rsidRPr="005C36F7">
        <w:rPr>
          <w:rFonts w:ascii="Arial" w:hAnsi="Arial" w:cs="Arial"/>
          <w:color w:val="000000" w:themeColor="text1"/>
          <w:sz w:val="22"/>
        </w:rPr>
        <w:t>the risk</w:t>
      </w:r>
      <w:r w:rsidR="006540E0" w:rsidRPr="005C36F7">
        <w:rPr>
          <w:rFonts w:ascii="Arial" w:hAnsi="Arial" w:cs="Arial"/>
          <w:color w:val="000000" w:themeColor="text1"/>
          <w:sz w:val="22"/>
        </w:rPr>
        <w:t xml:space="preserve"> </w:t>
      </w:r>
      <w:r w:rsidR="003F2E6B" w:rsidRPr="005C36F7">
        <w:rPr>
          <w:rFonts w:ascii="Arial" w:hAnsi="Arial" w:cs="Arial"/>
          <w:color w:val="000000" w:themeColor="text1"/>
          <w:sz w:val="22"/>
        </w:rPr>
        <w:t>of</w:t>
      </w:r>
      <w:r w:rsidR="006540E0" w:rsidRPr="005C36F7">
        <w:rPr>
          <w:rFonts w:ascii="Arial" w:hAnsi="Arial" w:cs="Arial"/>
          <w:color w:val="000000" w:themeColor="text1"/>
          <w:sz w:val="22"/>
        </w:rPr>
        <w:t xml:space="preserve"> </w:t>
      </w:r>
      <w:r w:rsidR="003F2E6B" w:rsidRPr="005C36F7">
        <w:rPr>
          <w:rFonts w:ascii="Arial" w:hAnsi="Arial" w:cs="Arial"/>
          <w:color w:val="000000" w:themeColor="text1"/>
          <w:sz w:val="22"/>
        </w:rPr>
        <w:t>developing</w:t>
      </w:r>
      <w:r w:rsidR="006540E0" w:rsidRPr="005C36F7">
        <w:rPr>
          <w:rFonts w:ascii="Arial" w:hAnsi="Arial" w:cs="Arial"/>
          <w:color w:val="000000" w:themeColor="text1"/>
          <w:sz w:val="22"/>
        </w:rPr>
        <w:t xml:space="preserve"> </w:t>
      </w:r>
      <w:r w:rsidR="003F2E6B" w:rsidRPr="005C36F7">
        <w:rPr>
          <w:rFonts w:ascii="Arial" w:hAnsi="Arial" w:cs="Arial"/>
          <w:color w:val="000000" w:themeColor="text1"/>
          <w:sz w:val="22"/>
        </w:rPr>
        <w:t>depressive</w:t>
      </w:r>
      <w:r w:rsidR="006540E0" w:rsidRPr="005C36F7">
        <w:rPr>
          <w:rFonts w:ascii="Arial" w:hAnsi="Arial" w:cs="Arial"/>
          <w:color w:val="000000" w:themeColor="text1"/>
          <w:sz w:val="22"/>
        </w:rPr>
        <w:t xml:space="preserve"> </w:t>
      </w:r>
      <w:r w:rsidR="003F2E6B" w:rsidRPr="005C36F7">
        <w:rPr>
          <w:rFonts w:ascii="Arial" w:hAnsi="Arial" w:cs="Arial"/>
          <w:color w:val="000000" w:themeColor="text1"/>
          <w:sz w:val="22"/>
        </w:rPr>
        <w:t>symptoms</w:t>
      </w:r>
      <w:r w:rsidR="006540E0" w:rsidRPr="005C36F7">
        <w:rPr>
          <w:rFonts w:ascii="Arial" w:hAnsi="Arial" w:cs="Arial"/>
          <w:color w:val="000000" w:themeColor="text1"/>
          <w:sz w:val="22"/>
        </w:rPr>
        <w:t xml:space="preserve"> </w:t>
      </w:r>
      <w:r w:rsidR="003F2E6B" w:rsidRPr="005C36F7">
        <w:rPr>
          <w:rFonts w:ascii="Arial" w:hAnsi="Arial" w:cs="Arial"/>
          <w:color w:val="000000" w:themeColor="text1"/>
          <w:sz w:val="22"/>
        </w:rPr>
        <w:t>as</w:t>
      </w:r>
      <w:r w:rsidR="006540E0" w:rsidRPr="005C36F7">
        <w:rPr>
          <w:rFonts w:ascii="Arial" w:hAnsi="Arial" w:cs="Arial"/>
          <w:color w:val="000000" w:themeColor="text1"/>
          <w:sz w:val="22"/>
        </w:rPr>
        <w:t xml:space="preserve"> </w:t>
      </w:r>
      <w:r w:rsidR="003F2E6B" w:rsidRPr="005C36F7">
        <w:rPr>
          <w:rFonts w:ascii="Arial" w:hAnsi="Arial" w:cs="Arial"/>
          <w:color w:val="000000" w:themeColor="text1"/>
          <w:sz w:val="22"/>
        </w:rPr>
        <w:t>compared</w:t>
      </w:r>
      <w:r w:rsidR="006540E0" w:rsidRPr="005C36F7">
        <w:rPr>
          <w:rFonts w:ascii="Arial" w:hAnsi="Arial" w:cs="Arial"/>
          <w:color w:val="000000" w:themeColor="text1"/>
          <w:sz w:val="22"/>
        </w:rPr>
        <w:t xml:space="preserve"> with </w:t>
      </w:r>
      <w:r w:rsidR="003F2E6B" w:rsidRPr="005C36F7">
        <w:rPr>
          <w:rFonts w:ascii="Arial" w:hAnsi="Arial" w:cs="Arial"/>
          <w:color w:val="000000" w:themeColor="text1"/>
          <w:sz w:val="22"/>
        </w:rPr>
        <w:t>those who</w:t>
      </w:r>
      <w:r w:rsidR="006540E0" w:rsidRPr="005C36F7">
        <w:rPr>
          <w:rFonts w:ascii="Arial" w:hAnsi="Arial" w:cs="Arial"/>
          <w:color w:val="000000" w:themeColor="text1"/>
          <w:sz w:val="22"/>
        </w:rPr>
        <w:t xml:space="preserve"> </w:t>
      </w:r>
      <w:r w:rsidR="003F2E6B" w:rsidRPr="005C36F7">
        <w:rPr>
          <w:rFonts w:ascii="Arial" w:hAnsi="Arial" w:cs="Arial"/>
          <w:color w:val="000000" w:themeColor="text1"/>
          <w:sz w:val="22"/>
        </w:rPr>
        <w:t>do</w:t>
      </w:r>
      <w:r w:rsidR="006540E0" w:rsidRPr="005C36F7">
        <w:rPr>
          <w:rFonts w:ascii="Arial" w:hAnsi="Arial" w:cs="Arial"/>
          <w:color w:val="000000" w:themeColor="text1"/>
          <w:sz w:val="22"/>
        </w:rPr>
        <w:t xml:space="preserve"> </w:t>
      </w:r>
      <w:r w:rsidR="003F2E6B" w:rsidRPr="005C36F7">
        <w:rPr>
          <w:rFonts w:ascii="Arial" w:hAnsi="Arial" w:cs="Arial"/>
          <w:color w:val="000000" w:themeColor="text1"/>
          <w:sz w:val="22"/>
        </w:rPr>
        <w:t>not</w:t>
      </w:r>
      <w:r w:rsidR="006540E0" w:rsidRPr="005C36F7">
        <w:rPr>
          <w:rFonts w:ascii="Arial" w:hAnsi="Arial" w:cs="Arial"/>
          <w:color w:val="000000" w:themeColor="text1"/>
          <w:sz w:val="22"/>
        </w:rPr>
        <w:t xml:space="preserve"> </w:t>
      </w:r>
      <w:r w:rsidR="003F2E6B" w:rsidRPr="005C36F7">
        <w:rPr>
          <w:rFonts w:ascii="Arial" w:hAnsi="Arial" w:cs="Arial"/>
          <w:color w:val="000000" w:themeColor="text1"/>
          <w:sz w:val="22"/>
        </w:rPr>
        <w:t>have</w:t>
      </w:r>
      <w:r w:rsidR="006540E0" w:rsidRPr="005C36F7">
        <w:rPr>
          <w:rFonts w:ascii="Arial" w:hAnsi="Arial" w:cs="Arial"/>
          <w:color w:val="000000" w:themeColor="text1"/>
          <w:sz w:val="22"/>
        </w:rPr>
        <w:t xml:space="preserve"> </w:t>
      </w:r>
      <w:r w:rsidR="003F2E6B" w:rsidRPr="005C36F7">
        <w:rPr>
          <w:rFonts w:ascii="Arial" w:hAnsi="Arial" w:cs="Arial"/>
          <w:color w:val="000000" w:themeColor="text1"/>
          <w:sz w:val="22"/>
        </w:rPr>
        <w:t>asthma</w:t>
      </w:r>
      <w:r w:rsidR="00FD7A5B" w:rsidRPr="005C36F7">
        <w:rPr>
          <w:rFonts w:ascii="Arial" w:hAnsi="Arial" w:cs="Arial"/>
          <w:color w:val="000000" w:themeColor="text1"/>
          <w:sz w:val="22"/>
        </w:rPr>
        <w:t xml:space="preserve"> (</w:t>
      </w:r>
      <w:r w:rsidR="00B45502" w:rsidRPr="005C36F7">
        <w:rPr>
          <w:rFonts w:ascii="Arial" w:hAnsi="Arial" w:cs="Arial"/>
          <w:color w:val="000000" w:themeColor="text1"/>
          <w:sz w:val="22"/>
        </w:rPr>
        <w:t>Rosenkranz</w:t>
      </w:r>
      <w:r w:rsidR="00FD7A5B" w:rsidRPr="005C36F7">
        <w:rPr>
          <w:rFonts w:ascii="Arial" w:hAnsi="Arial" w:cs="Arial"/>
          <w:color w:val="000000" w:themeColor="text1"/>
          <w:sz w:val="22"/>
        </w:rPr>
        <w:t xml:space="preserve"> et al.,</w:t>
      </w:r>
      <w:r w:rsidR="00B45502" w:rsidRPr="005C36F7">
        <w:rPr>
          <w:rFonts w:ascii="Arial" w:hAnsi="Arial" w:cs="Arial"/>
          <w:color w:val="000000" w:themeColor="text1"/>
          <w:sz w:val="22"/>
        </w:rPr>
        <w:t xml:space="preserve"> </w:t>
      </w:r>
      <w:r w:rsidR="00FD7A5B" w:rsidRPr="005C36F7">
        <w:rPr>
          <w:rFonts w:ascii="Arial" w:hAnsi="Arial" w:cs="Arial"/>
          <w:color w:val="000000" w:themeColor="text1"/>
          <w:sz w:val="22"/>
        </w:rPr>
        <w:t>2009)</w:t>
      </w:r>
      <w:r w:rsidR="006540E0" w:rsidRPr="005C36F7">
        <w:rPr>
          <w:rFonts w:ascii="Arial" w:hAnsi="Arial" w:cs="Arial"/>
          <w:color w:val="000000" w:themeColor="text1"/>
          <w:sz w:val="22"/>
        </w:rPr>
        <w:t>.</w:t>
      </w:r>
      <w:r w:rsidR="00FA3863" w:rsidRPr="005C36F7">
        <w:rPr>
          <w:rFonts w:ascii="Arial" w:hAnsi="Arial" w:cs="Arial"/>
          <w:color w:val="000000" w:themeColor="text1"/>
          <w:sz w:val="22"/>
        </w:rPr>
        <w:t xml:space="preserve"> This </w:t>
      </w:r>
      <w:r w:rsidR="006274B4" w:rsidRPr="005C36F7">
        <w:rPr>
          <w:rFonts w:ascii="Arial" w:hAnsi="Arial" w:cs="Arial"/>
          <w:color w:val="000000" w:themeColor="text1"/>
          <w:sz w:val="22"/>
        </w:rPr>
        <w:t>wa</w:t>
      </w:r>
      <w:r w:rsidR="00FA3863" w:rsidRPr="005C36F7">
        <w:rPr>
          <w:rFonts w:ascii="Arial" w:hAnsi="Arial" w:cs="Arial"/>
          <w:color w:val="000000" w:themeColor="text1"/>
          <w:sz w:val="22"/>
        </w:rPr>
        <w:t>s further highlighted in our recent systematic review and meta-analysis (Ye et al., 2021).</w:t>
      </w:r>
      <w:r w:rsidR="00545BCC" w:rsidRPr="005C36F7">
        <w:rPr>
          <w:rFonts w:ascii="Arial" w:hAnsi="Arial" w:cs="Arial"/>
          <w:color w:val="000000" w:themeColor="text1"/>
          <w:sz w:val="22"/>
        </w:rPr>
        <w:t xml:space="preserve"> In secondary care populations</w:t>
      </w:r>
      <w:r w:rsidR="00E329C8" w:rsidRPr="005C36F7">
        <w:rPr>
          <w:rFonts w:ascii="Arial" w:hAnsi="Arial" w:cs="Arial"/>
          <w:color w:val="000000" w:themeColor="text1"/>
          <w:sz w:val="22"/>
        </w:rPr>
        <w:t>,</w:t>
      </w:r>
      <w:r w:rsidR="00545BCC" w:rsidRPr="005C36F7">
        <w:rPr>
          <w:rFonts w:ascii="Arial" w:hAnsi="Arial" w:cs="Arial"/>
          <w:color w:val="000000" w:themeColor="text1"/>
          <w:sz w:val="22"/>
        </w:rPr>
        <w:t xml:space="preserve"> up to 50% of patients with asthma have been reported to have clinically significant depressive symptoms and over a third of asthmatic outpatients have been found to have a major depressive episode</w:t>
      </w:r>
      <w:r w:rsidR="006274B4" w:rsidRPr="005C36F7">
        <w:rPr>
          <w:rFonts w:ascii="Arial" w:hAnsi="Arial" w:cs="Arial"/>
          <w:color w:val="000000" w:themeColor="text1"/>
          <w:sz w:val="22"/>
        </w:rPr>
        <w:t xml:space="preserve"> </w:t>
      </w:r>
      <w:r w:rsidR="00545BCC" w:rsidRPr="005C36F7">
        <w:rPr>
          <w:rFonts w:ascii="Arial" w:hAnsi="Arial" w:cs="Arial"/>
          <w:color w:val="000000" w:themeColor="text1"/>
          <w:sz w:val="22"/>
        </w:rPr>
        <w:t>(</w:t>
      </w:r>
      <w:r w:rsidR="003877C5" w:rsidRPr="005C36F7">
        <w:rPr>
          <w:rFonts w:ascii="Arial" w:hAnsi="Arial" w:cs="Arial"/>
          <w:color w:val="000000" w:themeColor="text1"/>
          <w:sz w:val="22"/>
        </w:rPr>
        <w:t>Hasegawa</w:t>
      </w:r>
      <w:r w:rsidR="00545BCC" w:rsidRPr="005C36F7">
        <w:rPr>
          <w:rFonts w:ascii="Arial" w:hAnsi="Arial" w:cs="Arial"/>
          <w:color w:val="000000" w:themeColor="text1"/>
          <w:sz w:val="22"/>
        </w:rPr>
        <w:t xml:space="preserve"> et al.,</w:t>
      </w:r>
      <w:r w:rsidR="008826C3" w:rsidRPr="005C36F7">
        <w:rPr>
          <w:rFonts w:ascii="Arial" w:hAnsi="Arial" w:cs="Arial"/>
          <w:color w:val="000000" w:themeColor="text1"/>
          <w:sz w:val="22"/>
        </w:rPr>
        <w:t xml:space="preserve"> </w:t>
      </w:r>
      <w:r w:rsidR="00545BCC" w:rsidRPr="005C36F7">
        <w:rPr>
          <w:rFonts w:ascii="Arial" w:hAnsi="Arial" w:cs="Arial"/>
          <w:color w:val="000000" w:themeColor="text1"/>
          <w:sz w:val="22"/>
        </w:rPr>
        <w:t>2012).</w:t>
      </w:r>
      <w:r w:rsidR="00D64D8F" w:rsidRPr="005C36F7">
        <w:rPr>
          <w:rFonts w:ascii="Arial" w:hAnsi="Arial" w:cs="Arial"/>
          <w:color w:val="000000" w:themeColor="text1"/>
          <w:sz w:val="22"/>
        </w:rPr>
        <w:t xml:space="preserve"> </w:t>
      </w:r>
      <w:r w:rsidR="00C27DDC" w:rsidRPr="005C36F7">
        <w:rPr>
          <w:rFonts w:ascii="Arial" w:hAnsi="Arial" w:cs="Arial"/>
          <w:color w:val="000000" w:themeColor="text1"/>
          <w:sz w:val="22"/>
        </w:rPr>
        <w:t>C</w:t>
      </w:r>
      <w:r w:rsidR="00373089" w:rsidRPr="005C36F7">
        <w:rPr>
          <w:rFonts w:ascii="Arial" w:hAnsi="Arial" w:cs="Arial"/>
          <w:color w:val="000000" w:themeColor="text1"/>
          <w:sz w:val="22"/>
        </w:rPr>
        <w:t xml:space="preserve">omorbid anxiety </w:t>
      </w:r>
      <w:r w:rsidR="00D64D8F" w:rsidRPr="005C36F7">
        <w:rPr>
          <w:rFonts w:ascii="Arial" w:hAnsi="Arial" w:cs="Arial"/>
          <w:color w:val="000000" w:themeColor="text1"/>
          <w:sz w:val="22"/>
        </w:rPr>
        <w:t xml:space="preserve">and depression </w:t>
      </w:r>
      <w:r w:rsidR="00373089" w:rsidRPr="005C36F7">
        <w:rPr>
          <w:rFonts w:ascii="Arial" w:hAnsi="Arial" w:cs="Arial"/>
          <w:color w:val="000000" w:themeColor="text1"/>
          <w:sz w:val="22"/>
        </w:rPr>
        <w:t xml:space="preserve">can </w:t>
      </w:r>
      <w:r w:rsidR="006B6C33" w:rsidRPr="005C36F7">
        <w:rPr>
          <w:rFonts w:ascii="Arial" w:hAnsi="Arial" w:cs="Arial"/>
          <w:color w:val="000000" w:themeColor="text1"/>
          <w:sz w:val="22"/>
        </w:rPr>
        <w:t>lead to</w:t>
      </w:r>
      <w:r w:rsidR="00373089" w:rsidRPr="005C36F7">
        <w:rPr>
          <w:rFonts w:ascii="Arial" w:hAnsi="Arial" w:cs="Arial"/>
          <w:color w:val="000000" w:themeColor="text1"/>
          <w:sz w:val="22"/>
        </w:rPr>
        <w:t xml:space="preserve"> poor asthma control, symptomatic exacerbation, lower quality of life</w:t>
      </w:r>
      <w:r w:rsidR="003A6EB2">
        <w:rPr>
          <w:rFonts w:ascii="Arial" w:hAnsi="Arial" w:cs="Arial"/>
          <w:color w:val="000000" w:themeColor="text1"/>
          <w:sz w:val="22"/>
        </w:rPr>
        <w:t>,</w:t>
      </w:r>
      <w:r w:rsidR="00373089" w:rsidRPr="005C36F7">
        <w:rPr>
          <w:rFonts w:ascii="Arial" w:hAnsi="Arial" w:cs="Arial"/>
          <w:color w:val="000000" w:themeColor="text1"/>
          <w:sz w:val="22"/>
        </w:rPr>
        <w:t xml:space="preserve"> and </w:t>
      </w:r>
      <w:r w:rsidR="00E329C8" w:rsidRPr="005C36F7">
        <w:rPr>
          <w:rFonts w:ascii="Arial" w:hAnsi="Arial" w:cs="Arial"/>
          <w:color w:val="000000" w:themeColor="text1"/>
          <w:sz w:val="22"/>
        </w:rPr>
        <w:t xml:space="preserve">an increased </w:t>
      </w:r>
      <w:r w:rsidR="00373089" w:rsidRPr="005C36F7">
        <w:rPr>
          <w:rFonts w:ascii="Arial" w:hAnsi="Arial" w:cs="Arial"/>
          <w:color w:val="000000" w:themeColor="text1"/>
          <w:sz w:val="22"/>
        </w:rPr>
        <w:t>utilization of emergency services (Richardson et al.,</w:t>
      </w:r>
      <w:r w:rsidR="008826C3" w:rsidRPr="005C36F7">
        <w:rPr>
          <w:rFonts w:ascii="Arial" w:hAnsi="Arial" w:cs="Arial"/>
          <w:color w:val="000000" w:themeColor="text1"/>
          <w:sz w:val="22"/>
        </w:rPr>
        <w:t xml:space="preserve"> </w:t>
      </w:r>
      <w:r w:rsidR="00373089" w:rsidRPr="005C36F7">
        <w:rPr>
          <w:rFonts w:ascii="Arial" w:hAnsi="Arial" w:cs="Arial"/>
          <w:color w:val="000000" w:themeColor="text1"/>
          <w:sz w:val="22"/>
        </w:rPr>
        <w:t>2006; McCauley et al.</w:t>
      </w:r>
      <w:r w:rsidR="00734F1D" w:rsidRPr="005C36F7">
        <w:rPr>
          <w:rFonts w:ascii="Arial" w:hAnsi="Arial" w:cs="Arial"/>
          <w:color w:val="000000" w:themeColor="text1"/>
          <w:sz w:val="22"/>
        </w:rPr>
        <w:t>,</w:t>
      </w:r>
      <w:r w:rsidR="008826C3" w:rsidRPr="005C36F7">
        <w:rPr>
          <w:rFonts w:ascii="Arial" w:hAnsi="Arial" w:cs="Arial"/>
          <w:color w:val="000000" w:themeColor="text1"/>
          <w:sz w:val="22"/>
        </w:rPr>
        <w:t xml:space="preserve"> </w:t>
      </w:r>
      <w:r w:rsidR="00373089" w:rsidRPr="005C36F7">
        <w:rPr>
          <w:rFonts w:ascii="Arial" w:hAnsi="Arial" w:cs="Arial"/>
          <w:color w:val="000000" w:themeColor="text1"/>
          <w:sz w:val="22"/>
        </w:rPr>
        <w:t>2007).</w:t>
      </w:r>
    </w:p>
    <w:p w14:paraId="5A0E06F4" w14:textId="27F4476B" w:rsidR="00DF68AD" w:rsidRPr="005C36F7" w:rsidRDefault="00363DB7" w:rsidP="008820B3">
      <w:pPr>
        <w:ind w:firstLineChars="150" w:firstLine="330"/>
        <w:rPr>
          <w:rFonts w:ascii="Arial" w:hAnsi="Arial" w:cs="Arial"/>
          <w:color w:val="000000" w:themeColor="text1"/>
          <w:sz w:val="22"/>
        </w:rPr>
      </w:pPr>
      <w:r w:rsidRPr="005C36F7">
        <w:rPr>
          <w:rFonts w:ascii="Arial" w:hAnsi="Arial" w:cs="Arial"/>
          <w:color w:val="000000" w:themeColor="text1"/>
          <w:sz w:val="22"/>
        </w:rPr>
        <w:t>Growing evidence indicates impaired inflammatory responses linked to</w:t>
      </w:r>
      <w:r w:rsidR="008826C3" w:rsidRPr="005C36F7">
        <w:rPr>
          <w:rFonts w:ascii="Arial" w:hAnsi="Arial" w:cs="Arial"/>
          <w:color w:val="000000" w:themeColor="text1"/>
          <w:sz w:val="22"/>
        </w:rPr>
        <w:t xml:space="preserve"> </w:t>
      </w:r>
      <w:r w:rsidR="00843B57" w:rsidRPr="005C36F7">
        <w:rPr>
          <w:rFonts w:ascii="Arial" w:hAnsi="Arial" w:cs="Arial"/>
          <w:color w:val="000000" w:themeColor="text1"/>
          <w:sz w:val="22"/>
        </w:rPr>
        <w:t>asthma, depression, and anxiety</w:t>
      </w:r>
      <w:r w:rsidRPr="005C36F7">
        <w:rPr>
          <w:rFonts w:ascii="Arial" w:hAnsi="Arial" w:cs="Arial"/>
          <w:color w:val="000000" w:themeColor="text1"/>
          <w:sz w:val="22"/>
        </w:rPr>
        <w:t xml:space="preserve"> indepen</w:t>
      </w:r>
      <w:r w:rsidR="00924982" w:rsidRPr="005C36F7">
        <w:rPr>
          <w:rFonts w:ascii="Arial" w:hAnsi="Arial" w:cs="Arial"/>
          <w:color w:val="000000" w:themeColor="text1"/>
          <w:sz w:val="22"/>
        </w:rPr>
        <w:t>den</w:t>
      </w:r>
      <w:r w:rsidRPr="005C36F7">
        <w:rPr>
          <w:rFonts w:ascii="Arial" w:hAnsi="Arial" w:cs="Arial"/>
          <w:color w:val="000000" w:themeColor="text1"/>
          <w:sz w:val="22"/>
        </w:rPr>
        <w:t>tly</w:t>
      </w:r>
      <w:r w:rsidR="00843B57" w:rsidRPr="005C36F7">
        <w:rPr>
          <w:rFonts w:ascii="Arial" w:hAnsi="Arial" w:cs="Arial"/>
          <w:color w:val="000000" w:themeColor="text1"/>
          <w:sz w:val="22"/>
        </w:rPr>
        <w:t xml:space="preserve"> (Zhu et al.,</w:t>
      </w:r>
      <w:r w:rsidR="008826C3" w:rsidRPr="005C36F7">
        <w:rPr>
          <w:rFonts w:ascii="Arial" w:hAnsi="Arial" w:cs="Arial"/>
          <w:color w:val="000000" w:themeColor="text1"/>
          <w:sz w:val="22"/>
        </w:rPr>
        <w:t xml:space="preserve"> </w:t>
      </w:r>
      <w:r w:rsidR="00843B57" w:rsidRPr="005C36F7">
        <w:rPr>
          <w:rFonts w:ascii="Arial" w:hAnsi="Arial" w:cs="Arial"/>
          <w:color w:val="000000" w:themeColor="text1"/>
          <w:sz w:val="22"/>
        </w:rPr>
        <w:t>2016).</w:t>
      </w:r>
      <w:r w:rsidR="002D7526" w:rsidRPr="005C36F7">
        <w:rPr>
          <w:rFonts w:ascii="Arial" w:hAnsi="Arial" w:cs="Arial"/>
          <w:color w:val="000000" w:themeColor="text1"/>
          <w:sz w:val="22"/>
        </w:rPr>
        <w:t xml:space="preserve"> </w:t>
      </w:r>
      <w:bookmarkStart w:id="4" w:name="_Hlk47261510"/>
      <w:r w:rsidRPr="005C36F7">
        <w:rPr>
          <w:rFonts w:ascii="Arial" w:hAnsi="Arial" w:cs="Arial"/>
          <w:color w:val="000000" w:themeColor="text1"/>
          <w:sz w:val="22"/>
        </w:rPr>
        <w:t>However, t</w:t>
      </w:r>
      <w:r w:rsidR="00373089" w:rsidRPr="005C36F7">
        <w:rPr>
          <w:rFonts w:ascii="Arial" w:hAnsi="Arial" w:cs="Arial"/>
          <w:color w:val="000000" w:themeColor="text1"/>
          <w:sz w:val="22"/>
        </w:rPr>
        <w:t xml:space="preserve">he mechanisms underlying </w:t>
      </w:r>
      <w:r w:rsidR="00AA74A1" w:rsidRPr="005C36F7">
        <w:rPr>
          <w:rFonts w:ascii="Arial" w:hAnsi="Arial" w:cs="Arial"/>
          <w:color w:val="000000" w:themeColor="text1"/>
          <w:sz w:val="22"/>
        </w:rPr>
        <w:t>comorbid</w:t>
      </w:r>
      <w:r w:rsidR="00373089" w:rsidRPr="005C36F7">
        <w:rPr>
          <w:rFonts w:ascii="Arial" w:hAnsi="Arial" w:cs="Arial"/>
          <w:color w:val="000000" w:themeColor="text1"/>
          <w:sz w:val="22"/>
        </w:rPr>
        <w:t xml:space="preserve"> anxiety </w:t>
      </w:r>
      <w:r w:rsidR="00120F16" w:rsidRPr="005C36F7">
        <w:rPr>
          <w:rFonts w:ascii="Arial" w:hAnsi="Arial" w:cs="Arial"/>
          <w:color w:val="000000" w:themeColor="text1"/>
          <w:sz w:val="22"/>
        </w:rPr>
        <w:t xml:space="preserve">and depression </w:t>
      </w:r>
      <w:r w:rsidR="00373089" w:rsidRPr="005C36F7">
        <w:rPr>
          <w:rFonts w:ascii="Arial" w:hAnsi="Arial" w:cs="Arial"/>
          <w:color w:val="000000" w:themeColor="text1"/>
          <w:sz w:val="22"/>
        </w:rPr>
        <w:t>with asthma remain unclear</w:t>
      </w:r>
      <w:bookmarkEnd w:id="4"/>
      <w:r w:rsidR="00373089" w:rsidRPr="005C36F7">
        <w:rPr>
          <w:rFonts w:ascii="Arial" w:hAnsi="Arial" w:cs="Arial"/>
          <w:color w:val="000000" w:themeColor="text1"/>
          <w:sz w:val="22"/>
        </w:rPr>
        <w:t>.</w:t>
      </w:r>
      <w:r w:rsidR="00FB1699" w:rsidRPr="005C36F7">
        <w:rPr>
          <w:rFonts w:ascii="Arial" w:hAnsi="Arial" w:cs="Arial"/>
          <w:color w:val="000000" w:themeColor="text1"/>
          <w:sz w:val="22"/>
        </w:rPr>
        <w:t xml:space="preserve"> </w:t>
      </w:r>
      <w:r w:rsidR="00944169" w:rsidRPr="005C36F7">
        <w:rPr>
          <w:rFonts w:ascii="Arial" w:hAnsi="Arial" w:cs="Arial"/>
          <w:color w:val="000000" w:themeColor="text1"/>
          <w:sz w:val="22"/>
        </w:rPr>
        <w:t xml:space="preserve">One theory suggests that this association is linked to the complex psycho-neuro-immunological pathways involving mainly </w:t>
      </w:r>
      <w:bookmarkStart w:id="5" w:name="OLE_LINK1"/>
      <w:bookmarkStart w:id="6" w:name="OLE_LINK2"/>
      <w:r w:rsidR="00944169" w:rsidRPr="005C36F7">
        <w:rPr>
          <w:rFonts w:ascii="Arial" w:hAnsi="Arial" w:cs="Arial"/>
          <w:color w:val="000000" w:themeColor="text1"/>
          <w:sz w:val="22"/>
        </w:rPr>
        <w:t>pro-inflammatory cytokines</w:t>
      </w:r>
      <w:bookmarkEnd w:id="5"/>
      <w:bookmarkEnd w:id="6"/>
      <w:r w:rsidR="00944169" w:rsidRPr="005C36F7">
        <w:rPr>
          <w:rFonts w:ascii="Arial" w:hAnsi="Arial" w:cs="Arial"/>
          <w:color w:val="000000" w:themeColor="text1"/>
          <w:sz w:val="22"/>
        </w:rPr>
        <w:t xml:space="preserve"> and </w:t>
      </w:r>
      <w:r w:rsidRPr="005C36F7">
        <w:rPr>
          <w:rFonts w:ascii="Arial" w:hAnsi="Arial" w:cs="Arial"/>
          <w:color w:val="000000" w:themeColor="text1"/>
          <w:sz w:val="22"/>
        </w:rPr>
        <w:t xml:space="preserve">the </w:t>
      </w:r>
      <w:r w:rsidR="00944169" w:rsidRPr="005C36F7">
        <w:rPr>
          <w:rFonts w:ascii="Arial" w:hAnsi="Arial" w:cs="Arial"/>
          <w:color w:val="000000" w:themeColor="text1"/>
          <w:sz w:val="22"/>
        </w:rPr>
        <w:t xml:space="preserve">imbalance towards the Th2 T-cell response (Del Giacco et al., 2016). </w:t>
      </w:r>
      <w:r w:rsidR="001138A0" w:rsidRPr="005C36F7">
        <w:rPr>
          <w:rFonts w:ascii="Arial" w:hAnsi="Arial" w:cs="Arial"/>
          <w:color w:val="000000" w:themeColor="text1"/>
          <w:sz w:val="22"/>
        </w:rPr>
        <w:t>Cytokines modulate inflammatory responses</w:t>
      </w:r>
      <w:r w:rsidR="00AA74A1" w:rsidRPr="005C36F7">
        <w:rPr>
          <w:rFonts w:ascii="Arial" w:hAnsi="Arial" w:cs="Arial"/>
          <w:color w:val="000000" w:themeColor="text1"/>
          <w:sz w:val="22"/>
        </w:rPr>
        <w:t xml:space="preserve"> which are involved in both</w:t>
      </w:r>
      <w:r w:rsidR="001138A0" w:rsidRPr="005C36F7">
        <w:rPr>
          <w:rFonts w:ascii="Arial" w:hAnsi="Arial" w:cs="Arial"/>
          <w:color w:val="000000" w:themeColor="text1"/>
          <w:sz w:val="22"/>
        </w:rPr>
        <w:t xml:space="preserve"> asthma and </w:t>
      </w:r>
      <w:r w:rsidR="00185F17">
        <w:rPr>
          <w:rFonts w:ascii="Arial" w:hAnsi="Arial" w:cs="Arial"/>
          <w:color w:val="000000" w:themeColor="text1"/>
          <w:sz w:val="22"/>
        </w:rPr>
        <w:t>affective</w:t>
      </w:r>
      <w:r w:rsidR="00185F17" w:rsidRPr="005C36F7">
        <w:rPr>
          <w:rFonts w:ascii="Arial" w:hAnsi="Arial" w:cs="Arial"/>
          <w:color w:val="000000" w:themeColor="text1"/>
          <w:sz w:val="22"/>
        </w:rPr>
        <w:t xml:space="preserve"> </w:t>
      </w:r>
      <w:r w:rsidR="001138A0" w:rsidRPr="005C36F7">
        <w:rPr>
          <w:rFonts w:ascii="Arial" w:hAnsi="Arial" w:cs="Arial"/>
          <w:color w:val="000000" w:themeColor="text1"/>
          <w:sz w:val="22"/>
        </w:rPr>
        <w:t>disorders</w:t>
      </w:r>
      <w:r w:rsidR="002B7479" w:rsidRPr="005C36F7">
        <w:rPr>
          <w:rFonts w:ascii="Arial" w:hAnsi="Arial" w:cs="Arial"/>
          <w:color w:val="000000" w:themeColor="text1"/>
          <w:sz w:val="22"/>
        </w:rPr>
        <w:t xml:space="preserve"> </w:t>
      </w:r>
      <w:r w:rsidR="001138A0" w:rsidRPr="005C36F7">
        <w:rPr>
          <w:rFonts w:ascii="Arial" w:hAnsi="Arial" w:cs="Arial"/>
          <w:color w:val="000000" w:themeColor="text1"/>
          <w:sz w:val="22"/>
        </w:rPr>
        <w:t>(Jiang et al.,</w:t>
      </w:r>
      <w:r w:rsidR="00AA74A1" w:rsidRPr="005C36F7">
        <w:rPr>
          <w:rFonts w:ascii="Arial" w:hAnsi="Arial" w:cs="Arial"/>
          <w:color w:val="000000" w:themeColor="text1"/>
          <w:sz w:val="22"/>
        </w:rPr>
        <w:t xml:space="preserve"> </w:t>
      </w:r>
      <w:r w:rsidR="001138A0" w:rsidRPr="005C36F7">
        <w:rPr>
          <w:rFonts w:ascii="Arial" w:hAnsi="Arial" w:cs="Arial"/>
          <w:color w:val="000000" w:themeColor="text1"/>
          <w:sz w:val="22"/>
        </w:rPr>
        <w:t xml:space="preserve">2014). </w:t>
      </w:r>
      <w:r w:rsidR="001A0A12" w:rsidRPr="005C36F7">
        <w:rPr>
          <w:rFonts w:ascii="Arial" w:hAnsi="Arial" w:cs="Arial"/>
          <w:color w:val="000000" w:themeColor="text1"/>
          <w:sz w:val="22"/>
        </w:rPr>
        <w:t>The CD4 Th2 immune response and its associated cytokines (</w:t>
      </w:r>
      <w:r w:rsidR="00AA74A1" w:rsidRPr="005C36F7">
        <w:rPr>
          <w:rFonts w:ascii="Arial" w:hAnsi="Arial" w:cs="Arial"/>
          <w:color w:val="000000" w:themeColor="text1"/>
          <w:sz w:val="22"/>
        </w:rPr>
        <w:t>interleukin (IL)</w:t>
      </w:r>
      <w:r w:rsidR="001A0A12" w:rsidRPr="005C36F7">
        <w:rPr>
          <w:rFonts w:ascii="Arial" w:hAnsi="Arial" w:cs="Arial"/>
          <w:color w:val="000000" w:themeColor="text1"/>
          <w:sz w:val="22"/>
        </w:rPr>
        <w:t>-4, IL-5, and IL-13) are known to play an important role in the pathogenesis of allergic asthma. On the other hand, r</w:t>
      </w:r>
      <w:r w:rsidR="00944169" w:rsidRPr="005C36F7">
        <w:rPr>
          <w:rFonts w:ascii="Arial" w:hAnsi="Arial" w:cs="Arial"/>
          <w:color w:val="000000" w:themeColor="text1"/>
          <w:sz w:val="22"/>
        </w:rPr>
        <w:t xml:space="preserve">eports have shown that cytokines such as IL-6, tumor necrosis factor-alpha (TNF-α), IL-10, and monocyte chemoattractant protein-1/CCL2 </w:t>
      </w:r>
      <w:r w:rsidR="00AA74A1" w:rsidRPr="005C36F7">
        <w:rPr>
          <w:rFonts w:ascii="Arial" w:hAnsi="Arial" w:cs="Arial"/>
          <w:color w:val="000000" w:themeColor="text1"/>
          <w:sz w:val="22"/>
        </w:rPr>
        <w:t>are</w:t>
      </w:r>
      <w:r w:rsidR="00944169" w:rsidRPr="005C36F7">
        <w:rPr>
          <w:rFonts w:ascii="Arial" w:hAnsi="Arial" w:cs="Arial"/>
          <w:color w:val="000000" w:themeColor="text1"/>
          <w:sz w:val="22"/>
        </w:rPr>
        <w:t xml:space="preserve"> associated with anxiety </w:t>
      </w:r>
      <w:r w:rsidR="00DF68AD" w:rsidRPr="005C36F7">
        <w:rPr>
          <w:rFonts w:ascii="Arial" w:hAnsi="Arial" w:cs="Arial"/>
          <w:color w:val="000000" w:themeColor="text1"/>
          <w:sz w:val="22"/>
        </w:rPr>
        <w:t xml:space="preserve">and depression </w:t>
      </w:r>
      <w:r w:rsidR="00944169" w:rsidRPr="005C36F7">
        <w:rPr>
          <w:rFonts w:ascii="Arial" w:hAnsi="Arial" w:cs="Arial"/>
          <w:color w:val="000000" w:themeColor="text1"/>
          <w:sz w:val="22"/>
        </w:rPr>
        <w:t>(Kohler et al., 2018; Rosenblat and McIntyre, 2017).</w:t>
      </w:r>
      <w:r w:rsidR="001A0A12" w:rsidRPr="005C36F7">
        <w:rPr>
          <w:rFonts w:ascii="Arial" w:hAnsi="Arial" w:cs="Arial"/>
          <w:color w:val="000000" w:themeColor="text1"/>
          <w:sz w:val="22"/>
        </w:rPr>
        <w:t xml:space="preserve"> </w:t>
      </w:r>
    </w:p>
    <w:p w14:paraId="672DB553" w14:textId="3B9CB102" w:rsidR="00184530" w:rsidRPr="005C36F7" w:rsidRDefault="002D7526" w:rsidP="000706BE">
      <w:pPr>
        <w:ind w:firstLineChars="150" w:firstLine="330"/>
        <w:rPr>
          <w:rFonts w:ascii="Arial" w:hAnsi="Arial" w:cs="Arial"/>
          <w:color w:val="000000" w:themeColor="text1"/>
          <w:sz w:val="22"/>
        </w:rPr>
      </w:pPr>
      <w:r w:rsidRPr="005C36F7">
        <w:rPr>
          <w:rFonts w:ascii="Arial" w:hAnsi="Arial" w:cs="Arial"/>
          <w:color w:val="000000" w:themeColor="text1"/>
          <w:sz w:val="22"/>
        </w:rPr>
        <w:t xml:space="preserve">The aim of this study was to </w:t>
      </w:r>
      <w:r w:rsidR="00EC0107" w:rsidRPr="005C36F7">
        <w:rPr>
          <w:rFonts w:ascii="Arial" w:hAnsi="Arial" w:cs="Arial"/>
          <w:color w:val="000000" w:themeColor="text1"/>
          <w:sz w:val="22"/>
        </w:rPr>
        <w:t>investigate the role of inflammation in comorbid anxiety and depression in asthma patients using a</w:t>
      </w:r>
      <w:r w:rsidR="00613C55" w:rsidRPr="005C36F7">
        <w:rPr>
          <w:rFonts w:ascii="Arial" w:hAnsi="Arial" w:cs="Arial"/>
          <w:color w:val="000000" w:themeColor="text1"/>
          <w:sz w:val="22"/>
        </w:rPr>
        <w:t xml:space="preserve"> subset</w:t>
      </w:r>
      <w:r w:rsidR="00EC0107" w:rsidRPr="005C36F7">
        <w:rPr>
          <w:rFonts w:ascii="Arial" w:hAnsi="Arial" w:cs="Arial"/>
          <w:color w:val="000000" w:themeColor="text1"/>
          <w:sz w:val="22"/>
        </w:rPr>
        <w:t xml:space="preserve"> </w:t>
      </w:r>
      <w:r w:rsidR="00E329C8" w:rsidRPr="005C36F7">
        <w:rPr>
          <w:rFonts w:ascii="Arial" w:hAnsi="Arial" w:cs="Arial"/>
          <w:color w:val="000000" w:themeColor="text1"/>
          <w:sz w:val="22"/>
        </w:rPr>
        <w:t xml:space="preserve">of </w:t>
      </w:r>
      <w:r w:rsidR="00EC0107" w:rsidRPr="005C36F7">
        <w:rPr>
          <w:rFonts w:ascii="Arial" w:hAnsi="Arial" w:cs="Arial"/>
          <w:color w:val="000000" w:themeColor="text1"/>
          <w:sz w:val="22"/>
        </w:rPr>
        <w:t>data from</w:t>
      </w:r>
      <w:r w:rsidR="00613C55" w:rsidRPr="005C36F7">
        <w:rPr>
          <w:rFonts w:ascii="Arial" w:hAnsi="Arial" w:cs="Arial"/>
          <w:color w:val="000000" w:themeColor="text1"/>
          <w:sz w:val="22"/>
        </w:rPr>
        <w:t xml:space="preserve"> the Unbiased Biomarkers for the Prediction of Respiratory Disease Outcomes (U-BIOPRED) </w:t>
      </w:r>
      <w:r w:rsidR="00EC0107" w:rsidRPr="005C36F7">
        <w:rPr>
          <w:rFonts w:ascii="Arial" w:hAnsi="Arial" w:cs="Arial"/>
          <w:color w:val="000000" w:themeColor="text1"/>
          <w:sz w:val="22"/>
        </w:rPr>
        <w:t>cohorts</w:t>
      </w:r>
      <w:r w:rsidR="00613C55" w:rsidRPr="005C36F7">
        <w:rPr>
          <w:rFonts w:ascii="Arial" w:hAnsi="Arial" w:cs="Arial"/>
          <w:color w:val="000000" w:themeColor="text1"/>
          <w:sz w:val="22"/>
        </w:rPr>
        <w:t>.</w:t>
      </w:r>
      <w:r w:rsidR="00AD7D51">
        <w:rPr>
          <w:rFonts w:ascii="Arial" w:hAnsi="Arial" w:cs="Arial"/>
          <w:color w:val="000000" w:themeColor="text1"/>
          <w:sz w:val="22"/>
        </w:rPr>
        <w:t xml:space="preserve"> We hypothesized that a shared inflammatory mechanism may underly comorbid anxiety and depression in asthma patients. </w:t>
      </w:r>
      <w:r w:rsidR="009C057D" w:rsidRPr="005C36F7">
        <w:rPr>
          <w:rFonts w:ascii="Arial" w:hAnsi="Arial" w:cs="Arial"/>
          <w:color w:val="000000" w:themeColor="text1"/>
          <w:sz w:val="22"/>
        </w:rPr>
        <w:t>The European Asthma Research and Innovation Partnership (EARIP) Work Package has highlighted stress and psychological factors as amongst the key mechanisms involved in asthma onset, progression and exacerbation (Edwards et al.</w:t>
      </w:r>
      <w:r w:rsidR="00774944" w:rsidRPr="005C36F7">
        <w:rPr>
          <w:rFonts w:ascii="Arial" w:hAnsi="Arial" w:cs="Arial"/>
          <w:color w:val="000000" w:themeColor="text1"/>
          <w:sz w:val="22"/>
        </w:rPr>
        <w:t>,</w:t>
      </w:r>
      <w:r w:rsidR="009C057D" w:rsidRPr="005C36F7">
        <w:rPr>
          <w:rFonts w:ascii="Arial" w:hAnsi="Arial" w:cs="Arial"/>
          <w:color w:val="000000" w:themeColor="text1"/>
          <w:sz w:val="22"/>
        </w:rPr>
        <w:t xml:space="preserve"> 2017). However, research into the mechanisms underlying comorbid anxiety and depression in asthma is limited due to relatively </w:t>
      </w:r>
      <w:r w:rsidR="00FA3863" w:rsidRPr="005C36F7">
        <w:rPr>
          <w:rFonts w:ascii="Arial" w:hAnsi="Arial" w:cs="Arial"/>
          <w:color w:val="000000" w:themeColor="text1"/>
          <w:sz w:val="22"/>
        </w:rPr>
        <w:t xml:space="preserve">small </w:t>
      </w:r>
      <w:r w:rsidR="009C057D" w:rsidRPr="005C36F7">
        <w:rPr>
          <w:rFonts w:ascii="Arial" w:hAnsi="Arial" w:cs="Arial"/>
          <w:color w:val="000000" w:themeColor="text1"/>
          <w:sz w:val="22"/>
        </w:rPr>
        <w:t>sample size, lack of controls in the study design, and limited selection of inflammatory markers measured</w:t>
      </w:r>
      <w:r w:rsidR="00B45230">
        <w:rPr>
          <w:rFonts w:ascii="Arial" w:hAnsi="Arial" w:cs="Arial"/>
          <w:color w:val="000000" w:themeColor="text1"/>
          <w:sz w:val="22"/>
        </w:rPr>
        <w:t xml:space="preserve"> (</w:t>
      </w:r>
      <w:r w:rsidR="00B42A1B">
        <w:rPr>
          <w:rFonts w:ascii="Arial" w:hAnsi="Arial" w:cs="Arial"/>
          <w:color w:val="000000" w:themeColor="text1"/>
          <w:sz w:val="22"/>
        </w:rPr>
        <w:t>Ye et al. 2021)</w:t>
      </w:r>
      <w:r w:rsidR="009C057D" w:rsidRPr="005C36F7">
        <w:rPr>
          <w:rFonts w:ascii="Arial" w:hAnsi="Arial" w:cs="Arial"/>
          <w:color w:val="000000" w:themeColor="text1"/>
          <w:sz w:val="22"/>
        </w:rPr>
        <w:t xml:space="preserve">. </w:t>
      </w:r>
      <w:r w:rsidR="00C27DDC" w:rsidRPr="005C36F7">
        <w:rPr>
          <w:rFonts w:ascii="Arial" w:hAnsi="Arial" w:cs="Arial"/>
          <w:color w:val="000000" w:themeColor="text1"/>
          <w:sz w:val="22"/>
        </w:rPr>
        <w:t xml:space="preserve">In order </w:t>
      </w:r>
      <w:r w:rsidR="009C057D" w:rsidRPr="005C36F7">
        <w:rPr>
          <w:rFonts w:ascii="Arial" w:hAnsi="Arial" w:cs="Arial"/>
          <w:color w:val="000000" w:themeColor="text1"/>
          <w:sz w:val="22"/>
        </w:rPr>
        <w:t>to gain a better understanding of the biological mechanisms underpinning the co-morbidity of asthma and anxiety and depression</w:t>
      </w:r>
      <w:r w:rsidR="00B101DA">
        <w:rPr>
          <w:rFonts w:ascii="Arial" w:hAnsi="Arial" w:cs="Arial"/>
          <w:color w:val="000000" w:themeColor="text1"/>
          <w:sz w:val="22"/>
        </w:rPr>
        <w:t>,</w:t>
      </w:r>
      <w:r w:rsidR="009C057D" w:rsidRPr="005C36F7">
        <w:rPr>
          <w:rFonts w:ascii="Arial" w:hAnsi="Arial" w:cs="Arial"/>
          <w:color w:val="000000" w:themeColor="text1"/>
          <w:sz w:val="22"/>
        </w:rPr>
        <w:t xml:space="preserve"> </w:t>
      </w:r>
      <w:r w:rsidR="00C27DDC" w:rsidRPr="005C36F7">
        <w:rPr>
          <w:rFonts w:ascii="Arial" w:hAnsi="Arial" w:cs="Arial"/>
          <w:color w:val="000000" w:themeColor="text1"/>
          <w:sz w:val="22"/>
        </w:rPr>
        <w:t xml:space="preserve">we examined </w:t>
      </w:r>
      <w:r w:rsidR="009C057D" w:rsidRPr="005C36F7">
        <w:rPr>
          <w:rFonts w:ascii="Arial" w:hAnsi="Arial" w:cs="Arial"/>
          <w:color w:val="000000" w:themeColor="text1"/>
          <w:sz w:val="22"/>
        </w:rPr>
        <w:t xml:space="preserve">associations between </w:t>
      </w:r>
      <w:r w:rsidR="00C27DDC" w:rsidRPr="005C36F7">
        <w:rPr>
          <w:rFonts w:ascii="Arial" w:hAnsi="Arial" w:cs="Arial"/>
          <w:color w:val="000000" w:themeColor="text1"/>
          <w:sz w:val="22"/>
        </w:rPr>
        <w:t xml:space="preserve">pathobiological </w:t>
      </w:r>
      <w:r w:rsidR="009C057D" w:rsidRPr="005C36F7">
        <w:rPr>
          <w:rFonts w:ascii="Arial" w:hAnsi="Arial" w:cs="Arial"/>
          <w:color w:val="000000" w:themeColor="text1"/>
          <w:sz w:val="22"/>
        </w:rPr>
        <w:t>biomarkers and behavioural measures of anxiety and depression</w:t>
      </w:r>
      <w:r w:rsidR="00B20CD4" w:rsidRPr="005C36F7">
        <w:rPr>
          <w:rFonts w:ascii="Arial" w:hAnsi="Arial" w:cs="Arial"/>
          <w:color w:val="000000" w:themeColor="text1"/>
          <w:sz w:val="22"/>
        </w:rPr>
        <w:t xml:space="preserve"> in </w:t>
      </w:r>
      <w:r w:rsidR="009C057D" w:rsidRPr="005C36F7">
        <w:rPr>
          <w:rFonts w:ascii="Arial" w:hAnsi="Arial" w:cs="Arial"/>
          <w:color w:val="000000" w:themeColor="text1"/>
          <w:sz w:val="22"/>
        </w:rPr>
        <w:t>the largest European asthma cohort.</w:t>
      </w:r>
    </w:p>
    <w:p w14:paraId="3E27ED9C" w14:textId="77777777" w:rsidR="00EC0107" w:rsidRPr="005C36F7" w:rsidRDefault="00EC0107" w:rsidP="00184530">
      <w:pPr>
        <w:rPr>
          <w:rFonts w:ascii="Arial" w:hAnsi="Arial" w:cs="Arial"/>
          <w:b/>
          <w:color w:val="000000" w:themeColor="text1"/>
          <w:sz w:val="22"/>
        </w:rPr>
      </w:pPr>
    </w:p>
    <w:p w14:paraId="3054A406" w14:textId="59E285A4" w:rsidR="005C046D" w:rsidRPr="005C36F7" w:rsidRDefault="00672CB6" w:rsidP="00184530">
      <w:pPr>
        <w:rPr>
          <w:rFonts w:ascii="Arial" w:hAnsi="Arial" w:cs="Arial"/>
          <w:b/>
          <w:color w:val="000000" w:themeColor="text1"/>
          <w:sz w:val="22"/>
        </w:rPr>
      </w:pPr>
      <w:r w:rsidRPr="005C36F7">
        <w:rPr>
          <w:rFonts w:ascii="Arial" w:hAnsi="Arial" w:cs="Arial"/>
          <w:b/>
          <w:color w:val="000000" w:themeColor="text1"/>
          <w:sz w:val="22"/>
        </w:rPr>
        <w:t xml:space="preserve">2. </w:t>
      </w:r>
      <w:r w:rsidR="005C046D" w:rsidRPr="005C36F7">
        <w:rPr>
          <w:rFonts w:ascii="Arial" w:hAnsi="Arial" w:cs="Arial"/>
          <w:b/>
          <w:color w:val="000000" w:themeColor="text1"/>
          <w:sz w:val="22"/>
        </w:rPr>
        <w:t>Material and methods</w:t>
      </w:r>
      <w:r w:rsidR="005C046D" w:rsidRPr="005C36F7" w:rsidDel="005C046D">
        <w:rPr>
          <w:rFonts w:ascii="Arial" w:hAnsi="Arial" w:cs="Arial"/>
          <w:b/>
          <w:color w:val="000000" w:themeColor="text1"/>
          <w:sz w:val="22"/>
        </w:rPr>
        <w:t xml:space="preserve"> </w:t>
      </w:r>
    </w:p>
    <w:p w14:paraId="04DE545B" w14:textId="2F68F1B5" w:rsidR="00184530" w:rsidRPr="005C36F7" w:rsidRDefault="00672CB6" w:rsidP="00184530">
      <w:pPr>
        <w:rPr>
          <w:rFonts w:ascii="Arial" w:hAnsi="Arial" w:cs="Arial"/>
          <w:i/>
          <w:color w:val="000000" w:themeColor="text1"/>
          <w:sz w:val="22"/>
        </w:rPr>
      </w:pPr>
      <w:r w:rsidRPr="005C36F7">
        <w:rPr>
          <w:rFonts w:ascii="Arial" w:hAnsi="Arial" w:cs="Arial"/>
          <w:i/>
          <w:color w:val="000000" w:themeColor="text1"/>
          <w:sz w:val="22"/>
        </w:rPr>
        <w:t xml:space="preserve">2.1. </w:t>
      </w:r>
      <w:r w:rsidR="00184530" w:rsidRPr="005C36F7">
        <w:rPr>
          <w:rFonts w:ascii="Arial" w:hAnsi="Arial" w:cs="Arial"/>
          <w:i/>
          <w:color w:val="000000" w:themeColor="text1"/>
          <w:sz w:val="22"/>
        </w:rPr>
        <w:t>U-BIOPRED cohorts</w:t>
      </w:r>
    </w:p>
    <w:p w14:paraId="6056EC11" w14:textId="6164A82A" w:rsidR="00373089" w:rsidRPr="005C36F7" w:rsidRDefault="006503B6" w:rsidP="00A32AAE">
      <w:pPr>
        <w:rPr>
          <w:rFonts w:ascii="Arial" w:hAnsi="Arial" w:cs="Arial"/>
          <w:color w:val="000000" w:themeColor="text1"/>
          <w:sz w:val="22"/>
        </w:rPr>
      </w:pPr>
      <w:r w:rsidRPr="005C36F7">
        <w:rPr>
          <w:rFonts w:ascii="Arial" w:hAnsi="Arial" w:cs="Arial"/>
          <w:color w:val="000000" w:themeColor="text1"/>
          <w:sz w:val="22"/>
        </w:rPr>
        <w:t xml:space="preserve">U-BIOPRED is a European Union consortium of </w:t>
      </w:r>
      <w:r w:rsidR="002F0B3D" w:rsidRPr="005C36F7">
        <w:rPr>
          <w:rFonts w:ascii="Arial" w:hAnsi="Arial" w:cs="Arial"/>
          <w:color w:val="000000" w:themeColor="text1"/>
          <w:sz w:val="22"/>
        </w:rPr>
        <w:t>16</w:t>
      </w:r>
      <w:r w:rsidRPr="005C36F7">
        <w:rPr>
          <w:rFonts w:ascii="Arial" w:hAnsi="Arial" w:cs="Arial"/>
          <w:color w:val="000000" w:themeColor="text1"/>
          <w:sz w:val="22"/>
        </w:rPr>
        <w:t xml:space="preserve"> academic institutions</w:t>
      </w:r>
      <w:r w:rsidR="009D1B1F" w:rsidRPr="005C36F7">
        <w:rPr>
          <w:rFonts w:ascii="Arial" w:hAnsi="Arial" w:cs="Arial"/>
          <w:color w:val="000000" w:themeColor="text1"/>
          <w:sz w:val="22"/>
        </w:rPr>
        <w:t xml:space="preserve"> in 11 European countries </w:t>
      </w:r>
      <w:r w:rsidR="009C057D" w:rsidRPr="005C36F7">
        <w:rPr>
          <w:rFonts w:ascii="Arial" w:hAnsi="Arial" w:cs="Arial"/>
          <w:color w:val="000000" w:themeColor="text1"/>
          <w:sz w:val="22"/>
        </w:rPr>
        <w:t xml:space="preserve">recruiting </w:t>
      </w:r>
      <w:r w:rsidR="009D1B1F" w:rsidRPr="005C36F7">
        <w:rPr>
          <w:rFonts w:ascii="Arial" w:hAnsi="Arial" w:cs="Arial"/>
          <w:color w:val="000000" w:themeColor="text1"/>
          <w:sz w:val="22"/>
        </w:rPr>
        <w:t>adult asthmatic patients and healthy volunteers</w:t>
      </w:r>
      <w:r w:rsidRPr="005C36F7">
        <w:rPr>
          <w:rFonts w:ascii="Arial" w:hAnsi="Arial" w:cs="Arial"/>
          <w:color w:val="000000" w:themeColor="text1"/>
          <w:sz w:val="22"/>
        </w:rPr>
        <w:t xml:space="preserve"> with the objective of improving the understanding of asthma disease mechanisms using a systems biology approach</w:t>
      </w:r>
      <w:r w:rsidR="00E329C8" w:rsidRPr="005C36F7">
        <w:rPr>
          <w:rFonts w:ascii="Arial" w:hAnsi="Arial" w:cs="Arial"/>
          <w:color w:val="000000" w:themeColor="text1"/>
          <w:sz w:val="22"/>
        </w:rPr>
        <w:t xml:space="preserve"> </w:t>
      </w:r>
      <w:r w:rsidRPr="005C36F7">
        <w:rPr>
          <w:rFonts w:ascii="Arial" w:hAnsi="Arial" w:cs="Arial"/>
          <w:color w:val="000000" w:themeColor="text1"/>
          <w:sz w:val="22"/>
        </w:rPr>
        <w:t>(Shaw et al.,</w:t>
      </w:r>
      <w:r w:rsidR="00E20A0E" w:rsidRPr="005C36F7">
        <w:rPr>
          <w:rFonts w:ascii="Arial" w:hAnsi="Arial" w:cs="Arial"/>
          <w:color w:val="000000" w:themeColor="text1"/>
          <w:sz w:val="22"/>
        </w:rPr>
        <w:t xml:space="preserve"> </w:t>
      </w:r>
      <w:r w:rsidRPr="005C36F7">
        <w:rPr>
          <w:rFonts w:ascii="Arial" w:hAnsi="Arial" w:cs="Arial"/>
          <w:color w:val="000000" w:themeColor="text1"/>
          <w:sz w:val="22"/>
        </w:rPr>
        <w:t>2015).</w:t>
      </w:r>
      <w:r w:rsidR="0011603C" w:rsidRPr="005C36F7">
        <w:rPr>
          <w:rFonts w:ascii="Arial" w:hAnsi="Arial" w:cs="Arial"/>
          <w:color w:val="000000" w:themeColor="text1"/>
          <w:sz w:val="22"/>
        </w:rPr>
        <w:t xml:space="preserve"> </w:t>
      </w:r>
      <w:r w:rsidR="00A733AB" w:rsidRPr="005C36F7">
        <w:rPr>
          <w:rFonts w:ascii="Arial" w:hAnsi="Arial" w:cs="Arial"/>
          <w:color w:val="000000" w:themeColor="text1"/>
          <w:sz w:val="22"/>
        </w:rPr>
        <w:t>The study was approved by the ethics committee for each participating clinical institution</w:t>
      </w:r>
      <w:r w:rsidR="00E329C8" w:rsidRPr="005C36F7">
        <w:rPr>
          <w:rFonts w:ascii="Arial" w:hAnsi="Arial" w:cs="Arial"/>
          <w:color w:val="000000" w:themeColor="text1"/>
          <w:sz w:val="22"/>
        </w:rPr>
        <w:t xml:space="preserve"> </w:t>
      </w:r>
      <w:r w:rsidR="00A733AB" w:rsidRPr="005C36F7">
        <w:rPr>
          <w:rFonts w:ascii="Arial" w:hAnsi="Arial" w:cs="Arial"/>
          <w:color w:val="000000" w:themeColor="text1"/>
          <w:sz w:val="22"/>
        </w:rPr>
        <w:t>and adhered to the standards set by International Conference on Harmonisation and Good Clinical Practice. It is registered on ClinicalTrials.gov (identifier: NCT01982162). All participants gave written informed consent.</w:t>
      </w:r>
      <w:r w:rsidR="003C5F40" w:rsidRPr="005C36F7">
        <w:rPr>
          <w:rFonts w:ascii="Arial" w:hAnsi="Arial" w:cs="Arial"/>
          <w:color w:val="000000" w:themeColor="text1"/>
          <w:sz w:val="22"/>
        </w:rPr>
        <w:t xml:space="preserve"> The U-BIOPRED </w:t>
      </w:r>
      <w:r w:rsidR="00C27DDC" w:rsidRPr="005C36F7">
        <w:rPr>
          <w:rFonts w:ascii="Arial" w:hAnsi="Arial" w:cs="Arial"/>
          <w:color w:val="000000" w:themeColor="text1"/>
          <w:sz w:val="22"/>
        </w:rPr>
        <w:t xml:space="preserve">adult </w:t>
      </w:r>
      <w:r w:rsidR="003C5F40" w:rsidRPr="005C36F7">
        <w:rPr>
          <w:rFonts w:ascii="Arial" w:hAnsi="Arial" w:cs="Arial"/>
          <w:color w:val="000000" w:themeColor="text1"/>
          <w:sz w:val="22"/>
        </w:rPr>
        <w:t>cohort comprises 509 patients with mild-to-moderate and severe</w:t>
      </w:r>
      <w:r w:rsidR="00C27DDC" w:rsidRPr="005C36F7">
        <w:rPr>
          <w:rFonts w:ascii="Arial" w:hAnsi="Arial" w:cs="Arial"/>
          <w:color w:val="000000" w:themeColor="text1"/>
          <w:sz w:val="22"/>
        </w:rPr>
        <w:t xml:space="preserve"> asthma</w:t>
      </w:r>
      <w:r w:rsidR="003C5F40" w:rsidRPr="005C36F7">
        <w:rPr>
          <w:rFonts w:ascii="Arial" w:hAnsi="Arial" w:cs="Arial"/>
          <w:color w:val="000000" w:themeColor="text1"/>
          <w:sz w:val="22"/>
        </w:rPr>
        <w:t xml:space="preserve">, </w:t>
      </w:r>
      <w:r w:rsidR="00C27DDC" w:rsidRPr="005C36F7">
        <w:rPr>
          <w:rFonts w:ascii="Arial" w:hAnsi="Arial" w:cs="Arial"/>
          <w:color w:val="000000" w:themeColor="text1"/>
          <w:sz w:val="22"/>
        </w:rPr>
        <w:t>with additional sub-classification based on smoking history</w:t>
      </w:r>
      <w:r w:rsidR="003C5F40" w:rsidRPr="005C36F7">
        <w:rPr>
          <w:rFonts w:ascii="Arial" w:hAnsi="Arial" w:cs="Arial"/>
          <w:color w:val="000000" w:themeColor="text1"/>
          <w:sz w:val="22"/>
        </w:rPr>
        <w:t>, and 101 non</w:t>
      </w:r>
      <w:r w:rsidR="009C057D" w:rsidRPr="005C36F7">
        <w:rPr>
          <w:rFonts w:ascii="Arial" w:hAnsi="Arial" w:cs="Arial"/>
          <w:color w:val="000000" w:themeColor="text1"/>
          <w:sz w:val="22"/>
        </w:rPr>
        <w:t>-</w:t>
      </w:r>
      <w:r w:rsidR="003C5F40" w:rsidRPr="005C36F7">
        <w:rPr>
          <w:rFonts w:ascii="Arial" w:hAnsi="Arial" w:cs="Arial"/>
          <w:color w:val="000000" w:themeColor="text1"/>
          <w:sz w:val="22"/>
        </w:rPr>
        <w:t>asthmatic control subjects.</w:t>
      </w:r>
    </w:p>
    <w:p w14:paraId="01AB2D2F" w14:textId="77777777" w:rsidR="00773042" w:rsidRPr="005C36F7" w:rsidRDefault="00773042" w:rsidP="0011603C">
      <w:pPr>
        <w:rPr>
          <w:rFonts w:ascii="Arial" w:hAnsi="Arial" w:cs="Arial"/>
          <w:color w:val="000000" w:themeColor="text1"/>
          <w:sz w:val="22"/>
        </w:rPr>
      </w:pPr>
    </w:p>
    <w:p w14:paraId="1EF111DC" w14:textId="2AC95FC4" w:rsidR="00A733AB" w:rsidRPr="005C36F7" w:rsidRDefault="00672CB6" w:rsidP="0011603C">
      <w:pPr>
        <w:rPr>
          <w:rFonts w:ascii="Arial" w:hAnsi="Arial" w:cs="Arial"/>
          <w:color w:val="000000" w:themeColor="text1"/>
          <w:sz w:val="22"/>
        </w:rPr>
      </w:pPr>
      <w:r w:rsidRPr="005C36F7">
        <w:rPr>
          <w:rFonts w:ascii="Arial" w:hAnsi="Arial" w:cs="Arial"/>
          <w:i/>
          <w:color w:val="000000" w:themeColor="text1"/>
          <w:sz w:val="22"/>
        </w:rPr>
        <w:t xml:space="preserve">2.2. </w:t>
      </w:r>
      <w:r w:rsidR="00756F59" w:rsidRPr="005C36F7">
        <w:rPr>
          <w:rFonts w:ascii="Arial" w:hAnsi="Arial" w:cs="Arial"/>
          <w:i/>
          <w:color w:val="000000" w:themeColor="text1"/>
          <w:sz w:val="22"/>
        </w:rPr>
        <w:t>Participants</w:t>
      </w:r>
      <w:r w:rsidR="00A733AB" w:rsidRPr="005C36F7">
        <w:rPr>
          <w:rFonts w:ascii="Arial" w:hAnsi="Arial" w:cs="Arial"/>
          <w:color w:val="000000" w:themeColor="text1"/>
          <w:sz w:val="22"/>
        </w:rPr>
        <w:t xml:space="preserve"> </w:t>
      </w:r>
    </w:p>
    <w:p w14:paraId="2146D7BA" w14:textId="28644F4A" w:rsidR="00773042" w:rsidRPr="005C36F7" w:rsidRDefault="00A733AB" w:rsidP="00A32AAE">
      <w:pPr>
        <w:rPr>
          <w:rFonts w:ascii="Arial" w:hAnsi="Arial" w:cs="Arial"/>
          <w:color w:val="000000" w:themeColor="text1"/>
          <w:sz w:val="22"/>
        </w:rPr>
      </w:pPr>
      <w:r w:rsidRPr="005C36F7">
        <w:rPr>
          <w:rFonts w:ascii="Arial" w:hAnsi="Arial" w:cs="Arial"/>
          <w:color w:val="000000" w:themeColor="text1"/>
          <w:sz w:val="22"/>
        </w:rPr>
        <w:t>We used a subset of subjects with valid anxiety and depression measurements.</w:t>
      </w:r>
      <w:r w:rsidR="003C5F40" w:rsidRPr="005C36F7">
        <w:rPr>
          <w:rFonts w:ascii="Arial" w:hAnsi="Arial" w:cs="Arial"/>
          <w:color w:val="000000" w:themeColor="text1"/>
          <w:sz w:val="22"/>
        </w:rPr>
        <w:t xml:space="preserve"> </w:t>
      </w:r>
      <w:r w:rsidR="009C057D" w:rsidRPr="005C36F7">
        <w:rPr>
          <w:rFonts w:ascii="Arial" w:hAnsi="Arial" w:cs="Arial"/>
          <w:color w:val="000000" w:themeColor="text1"/>
          <w:sz w:val="22"/>
        </w:rPr>
        <w:t xml:space="preserve">Data </w:t>
      </w:r>
      <w:r w:rsidR="00142A33" w:rsidRPr="005C36F7">
        <w:rPr>
          <w:rFonts w:ascii="Arial" w:hAnsi="Arial" w:cs="Arial"/>
          <w:color w:val="000000" w:themeColor="text1"/>
          <w:sz w:val="22"/>
        </w:rPr>
        <w:t>from 198 non</w:t>
      </w:r>
      <w:r w:rsidR="009C057D" w:rsidRPr="005C36F7">
        <w:rPr>
          <w:rFonts w:ascii="Arial" w:hAnsi="Arial" w:cs="Arial"/>
          <w:color w:val="000000" w:themeColor="text1"/>
          <w:sz w:val="22"/>
        </w:rPr>
        <w:t>-</w:t>
      </w:r>
      <w:r w:rsidR="00142A33" w:rsidRPr="005C36F7">
        <w:rPr>
          <w:rFonts w:ascii="Arial" w:hAnsi="Arial" w:cs="Arial"/>
          <w:color w:val="000000" w:themeColor="text1"/>
          <w:sz w:val="22"/>
        </w:rPr>
        <w:t xml:space="preserve">smoking patients with </w:t>
      </w:r>
      <w:bookmarkStart w:id="7" w:name="OLE_LINK5"/>
      <w:bookmarkStart w:id="8" w:name="OLE_LINK6"/>
      <w:r w:rsidR="00142A33" w:rsidRPr="005C36F7">
        <w:rPr>
          <w:rFonts w:ascii="Arial" w:hAnsi="Arial" w:cs="Arial"/>
          <w:color w:val="000000" w:themeColor="text1"/>
          <w:sz w:val="22"/>
        </w:rPr>
        <w:t>severe</w:t>
      </w:r>
      <w:bookmarkEnd w:id="7"/>
      <w:bookmarkEnd w:id="8"/>
      <w:r w:rsidR="00142A33" w:rsidRPr="005C36F7">
        <w:rPr>
          <w:rFonts w:ascii="Arial" w:hAnsi="Arial" w:cs="Arial"/>
          <w:color w:val="000000" w:themeColor="text1"/>
          <w:sz w:val="22"/>
        </w:rPr>
        <w:t xml:space="preserve"> asthma</w:t>
      </w:r>
      <w:r w:rsidR="009C057D" w:rsidRPr="005C36F7">
        <w:rPr>
          <w:rFonts w:ascii="Arial" w:hAnsi="Arial" w:cs="Arial"/>
          <w:color w:val="000000" w:themeColor="text1"/>
          <w:sz w:val="22"/>
        </w:rPr>
        <w:t xml:space="preserve"> </w:t>
      </w:r>
      <w:r w:rsidR="00C80988" w:rsidRPr="005C36F7">
        <w:rPr>
          <w:rFonts w:ascii="Arial" w:hAnsi="Arial" w:cs="Arial"/>
          <w:color w:val="000000" w:themeColor="text1"/>
          <w:sz w:val="22"/>
        </w:rPr>
        <w:t>(SAn)</w:t>
      </w:r>
      <w:r w:rsidR="00142A33" w:rsidRPr="005C36F7">
        <w:rPr>
          <w:rFonts w:ascii="Arial" w:hAnsi="Arial" w:cs="Arial"/>
          <w:color w:val="000000" w:themeColor="text1"/>
          <w:sz w:val="22"/>
        </w:rPr>
        <w:t>, 65 smoking patients with severe asthma</w:t>
      </w:r>
      <w:r w:rsidR="009C057D" w:rsidRPr="005C36F7">
        <w:rPr>
          <w:rFonts w:ascii="Arial" w:hAnsi="Arial" w:cs="Arial"/>
          <w:color w:val="000000" w:themeColor="text1"/>
          <w:sz w:val="22"/>
        </w:rPr>
        <w:t xml:space="preserve"> </w:t>
      </w:r>
      <w:r w:rsidR="00C80988" w:rsidRPr="005C36F7">
        <w:rPr>
          <w:rFonts w:ascii="Arial" w:hAnsi="Arial" w:cs="Arial"/>
          <w:color w:val="000000" w:themeColor="text1"/>
          <w:sz w:val="22"/>
        </w:rPr>
        <w:t>(SAs)</w:t>
      </w:r>
      <w:r w:rsidR="00142A33" w:rsidRPr="005C36F7">
        <w:rPr>
          <w:rFonts w:ascii="Arial" w:hAnsi="Arial" w:cs="Arial"/>
          <w:color w:val="000000" w:themeColor="text1"/>
          <w:sz w:val="22"/>
        </w:rPr>
        <w:t>, 61 non</w:t>
      </w:r>
      <w:r w:rsidR="00664388" w:rsidRPr="005C36F7">
        <w:rPr>
          <w:rFonts w:ascii="Arial" w:hAnsi="Arial" w:cs="Arial"/>
          <w:color w:val="000000" w:themeColor="text1"/>
          <w:sz w:val="22"/>
        </w:rPr>
        <w:t>-</w:t>
      </w:r>
      <w:r w:rsidR="00142A33" w:rsidRPr="005C36F7">
        <w:rPr>
          <w:rFonts w:ascii="Arial" w:hAnsi="Arial" w:cs="Arial"/>
          <w:color w:val="000000" w:themeColor="text1"/>
          <w:sz w:val="22"/>
        </w:rPr>
        <w:t>smoking patients with mild-to-moderate asthma</w:t>
      </w:r>
      <w:r w:rsidR="009C057D" w:rsidRPr="005C36F7">
        <w:rPr>
          <w:rFonts w:ascii="Arial" w:hAnsi="Arial" w:cs="Arial"/>
          <w:color w:val="000000" w:themeColor="text1"/>
          <w:sz w:val="22"/>
        </w:rPr>
        <w:t xml:space="preserve"> </w:t>
      </w:r>
      <w:r w:rsidR="00C80988" w:rsidRPr="005C36F7">
        <w:rPr>
          <w:rFonts w:ascii="Arial" w:hAnsi="Arial" w:cs="Arial"/>
          <w:color w:val="000000" w:themeColor="text1"/>
          <w:sz w:val="22"/>
        </w:rPr>
        <w:t>(MMA)</w:t>
      </w:r>
      <w:r w:rsidR="00142A33" w:rsidRPr="005C36F7">
        <w:rPr>
          <w:rFonts w:ascii="Arial" w:hAnsi="Arial" w:cs="Arial"/>
          <w:color w:val="000000" w:themeColor="text1"/>
          <w:sz w:val="22"/>
        </w:rPr>
        <w:t>, and 20 healthy non</w:t>
      </w:r>
      <w:r w:rsidR="009C057D" w:rsidRPr="005C36F7">
        <w:rPr>
          <w:rFonts w:ascii="Arial" w:hAnsi="Arial" w:cs="Arial"/>
          <w:color w:val="000000" w:themeColor="text1"/>
          <w:sz w:val="22"/>
        </w:rPr>
        <w:t>-</w:t>
      </w:r>
      <w:r w:rsidR="00142A33" w:rsidRPr="005C36F7">
        <w:rPr>
          <w:rFonts w:ascii="Arial" w:hAnsi="Arial" w:cs="Arial"/>
          <w:color w:val="000000" w:themeColor="text1"/>
          <w:sz w:val="22"/>
        </w:rPr>
        <w:t>smokers</w:t>
      </w:r>
      <w:r w:rsidR="009C057D" w:rsidRPr="005C36F7">
        <w:rPr>
          <w:rFonts w:ascii="Arial" w:hAnsi="Arial" w:cs="Arial"/>
          <w:color w:val="000000" w:themeColor="text1"/>
          <w:sz w:val="22"/>
        </w:rPr>
        <w:t xml:space="preserve"> </w:t>
      </w:r>
      <w:r w:rsidR="00C80988" w:rsidRPr="005C36F7">
        <w:rPr>
          <w:rFonts w:ascii="Arial" w:hAnsi="Arial" w:cs="Arial"/>
          <w:color w:val="000000" w:themeColor="text1"/>
          <w:sz w:val="22"/>
        </w:rPr>
        <w:t>(HC)</w:t>
      </w:r>
      <w:r w:rsidR="00AE0A37" w:rsidRPr="005C36F7">
        <w:rPr>
          <w:rFonts w:ascii="Arial" w:hAnsi="Arial" w:cs="Arial"/>
          <w:color w:val="000000" w:themeColor="text1"/>
          <w:sz w:val="22"/>
        </w:rPr>
        <w:t xml:space="preserve"> </w:t>
      </w:r>
      <w:r w:rsidR="00C8728E" w:rsidRPr="005C36F7">
        <w:rPr>
          <w:rFonts w:ascii="Arial" w:hAnsi="Arial" w:cs="Arial"/>
          <w:color w:val="000000" w:themeColor="text1"/>
          <w:sz w:val="22"/>
        </w:rPr>
        <w:t>were</w:t>
      </w:r>
      <w:r w:rsidR="00AE0A37" w:rsidRPr="005C36F7">
        <w:rPr>
          <w:rFonts w:ascii="Arial" w:hAnsi="Arial" w:cs="Arial"/>
          <w:color w:val="000000" w:themeColor="text1"/>
          <w:sz w:val="22"/>
        </w:rPr>
        <w:t xml:space="preserve"> </w:t>
      </w:r>
      <w:r w:rsidR="00664388" w:rsidRPr="005C36F7">
        <w:rPr>
          <w:rFonts w:ascii="Arial" w:hAnsi="Arial" w:cs="Arial"/>
          <w:color w:val="000000" w:themeColor="text1"/>
          <w:sz w:val="22"/>
        </w:rPr>
        <w:t xml:space="preserve">analysed </w:t>
      </w:r>
      <w:r w:rsidR="00AE0A37" w:rsidRPr="005C36F7">
        <w:rPr>
          <w:rFonts w:ascii="Arial" w:hAnsi="Arial" w:cs="Arial"/>
          <w:color w:val="000000" w:themeColor="text1"/>
          <w:sz w:val="22"/>
        </w:rPr>
        <w:t xml:space="preserve">in our study. The </w:t>
      </w:r>
      <w:r w:rsidR="00122C6B" w:rsidRPr="005C36F7">
        <w:rPr>
          <w:rFonts w:ascii="Arial" w:hAnsi="Arial" w:cs="Arial"/>
          <w:color w:val="000000" w:themeColor="text1"/>
          <w:sz w:val="22"/>
        </w:rPr>
        <w:t xml:space="preserve">full </w:t>
      </w:r>
      <w:r w:rsidR="00664388" w:rsidRPr="005C36F7">
        <w:rPr>
          <w:rFonts w:ascii="Arial" w:hAnsi="Arial" w:cs="Arial"/>
          <w:color w:val="000000" w:themeColor="text1"/>
          <w:sz w:val="22"/>
        </w:rPr>
        <w:t xml:space="preserve">descriptions </w:t>
      </w:r>
      <w:r w:rsidR="00AE0A37" w:rsidRPr="005C36F7">
        <w:rPr>
          <w:rFonts w:ascii="Arial" w:hAnsi="Arial" w:cs="Arial"/>
          <w:color w:val="000000" w:themeColor="text1"/>
          <w:sz w:val="22"/>
        </w:rPr>
        <w:t xml:space="preserve">of </w:t>
      </w:r>
      <w:r w:rsidR="00C27DDC" w:rsidRPr="005C36F7">
        <w:rPr>
          <w:rFonts w:ascii="Arial" w:hAnsi="Arial" w:cs="Arial"/>
          <w:color w:val="000000" w:themeColor="text1"/>
          <w:sz w:val="22"/>
        </w:rPr>
        <w:t xml:space="preserve">the </w:t>
      </w:r>
      <w:r w:rsidR="00AE0A37" w:rsidRPr="005C36F7">
        <w:rPr>
          <w:rFonts w:ascii="Arial" w:hAnsi="Arial" w:cs="Arial"/>
          <w:color w:val="000000" w:themeColor="text1"/>
          <w:sz w:val="22"/>
        </w:rPr>
        <w:t>different groups were reported in</w:t>
      </w:r>
      <w:r w:rsidR="00122C6B" w:rsidRPr="005C36F7">
        <w:rPr>
          <w:rFonts w:ascii="Arial" w:hAnsi="Arial" w:cs="Arial"/>
          <w:color w:val="000000" w:themeColor="text1"/>
          <w:sz w:val="22"/>
        </w:rPr>
        <w:t xml:space="preserve"> a</w:t>
      </w:r>
      <w:r w:rsidR="00AE0A37" w:rsidRPr="005C36F7">
        <w:rPr>
          <w:rFonts w:ascii="Arial" w:hAnsi="Arial" w:cs="Arial"/>
          <w:color w:val="000000" w:themeColor="text1"/>
          <w:sz w:val="22"/>
        </w:rPr>
        <w:t xml:space="preserve"> previous report (Shaw et al.,</w:t>
      </w:r>
      <w:r w:rsidR="00E20A0E" w:rsidRPr="005C36F7">
        <w:rPr>
          <w:rFonts w:ascii="Arial" w:hAnsi="Arial" w:cs="Arial"/>
          <w:color w:val="000000" w:themeColor="text1"/>
          <w:sz w:val="22"/>
        </w:rPr>
        <w:t xml:space="preserve"> </w:t>
      </w:r>
      <w:r w:rsidR="00AE0A37" w:rsidRPr="005C36F7">
        <w:rPr>
          <w:rFonts w:ascii="Arial" w:hAnsi="Arial" w:cs="Arial"/>
          <w:color w:val="000000" w:themeColor="text1"/>
          <w:sz w:val="22"/>
        </w:rPr>
        <w:t>2015).</w:t>
      </w:r>
    </w:p>
    <w:p w14:paraId="35CECAE5" w14:textId="77777777" w:rsidR="00756F59" w:rsidRPr="005C36F7" w:rsidRDefault="00756F59" w:rsidP="00756F59">
      <w:pPr>
        <w:rPr>
          <w:rFonts w:ascii="Arial" w:hAnsi="Arial" w:cs="Arial"/>
          <w:color w:val="000000" w:themeColor="text1"/>
          <w:sz w:val="22"/>
        </w:rPr>
      </w:pPr>
    </w:p>
    <w:p w14:paraId="594A823D" w14:textId="0A6B9F46" w:rsidR="00756F59" w:rsidRPr="005C36F7" w:rsidRDefault="00672CB6" w:rsidP="00756F59">
      <w:pPr>
        <w:rPr>
          <w:rFonts w:ascii="Arial" w:hAnsi="Arial" w:cs="Arial"/>
          <w:i/>
          <w:color w:val="000000" w:themeColor="text1"/>
          <w:sz w:val="22"/>
        </w:rPr>
      </w:pPr>
      <w:r w:rsidRPr="005C36F7">
        <w:rPr>
          <w:rFonts w:ascii="Arial" w:hAnsi="Arial" w:cs="Arial"/>
          <w:i/>
          <w:color w:val="000000" w:themeColor="text1"/>
          <w:sz w:val="22"/>
        </w:rPr>
        <w:t xml:space="preserve">2.3. </w:t>
      </w:r>
      <w:r w:rsidR="00664388" w:rsidRPr="005C36F7">
        <w:rPr>
          <w:rFonts w:ascii="Arial" w:hAnsi="Arial" w:cs="Arial"/>
          <w:i/>
          <w:color w:val="000000" w:themeColor="text1"/>
          <w:sz w:val="22"/>
        </w:rPr>
        <w:t>Behavioural measures</w:t>
      </w:r>
    </w:p>
    <w:p w14:paraId="1A735034" w14:textId="700B93C7" w:rsidR="000C0686" w:rsidRPr="005C36F7" w:rsidRDefault="000C0686" w:rsidP="00A32AAE">
      <w:pPr>
        <w:rPr>
          <w:rFonts w:ascii="Arial" w:hAnsi="Arial" w:cs="Arial"/>
          <w:color w:val="000000" w:themeColor="text1"/>
          <w:sz w:val="22"/>
        </w:rPr>
      </w:pPr>
      <w:r w:rsidRPr="005C36F7">
        <w:rPr>
          <w:rFonts w:ascii="Arial" w:hAnsi="Arial" w:cs="Arial"/>
          <w:color w:val="000000" w:themeColor="text1"/>
          <w:sz w:val="22"/>
        </w:rPr>
        <w:t>The Hospital Anxiety and Depression Scale (HADS) was administered at baseline</w:t>
      </w:r>
      <w:r w:rsidR="003F1794" w:rsidRPr="005C36F7">
        <w:rPr>
          <w:rFonts w:ascii="Arial" w:hAnsi="Arial" w:cs="Arial"/>
          <w:color w:val="000000" w:themeColor="text1"/>
          <w:sz w:val="22"/>
        </w:rPr>
        <w:t>. The HADS is a reliable, practical and valid tool for identifying and quantifying anxiety</w:t>
      </w:r>
      <w:r w:rsidR="00C37A29" w:rsidRPr="005C36F7">
        <w:rPr>
          <w:rFonts w:ascii="Arial" w:hAnsi="Arial" w:cs="Arial"/>
          <w:color w:val="000000" w:themeColor="text1"/>
          <w:sz w:val="22"/>
        </w:rPr>
        <w:t xml:space="preserve"> (HADS-A)</w:t>
      </w:r>
      <w:r w:rsidR="003F1794" w:rsidRPr="005C36F7">
        <w:rPr>
          <w:rFonts w:ascii="Arial" w:hAnsi="Arial" w:cs="Arial"/>
          <w:color w:val="000000" w:themeColor="text1"/>
          <w:sz w:val="22"/>
        </w:rPr>
        <w:t xml:space="preserve"> and depression</w:t>
      </w:r>
      <w:r w:rsidR="00C37A29" w:rsidRPr="005C36F7">
        <w:rPr>
          <w:rFonts w:ascii="Arial" w:hAnsi="Arial" w:cs="Arial"/>
          <w:color w:val="000000" w:themeColor="text1"/>
          <w:sz w:val="22"/>
        </w:rPr>
        <w:t xml:space="preserve"> (HADS-D)</w:t>
      </w:r>
      <w:r w:rsidR="008D6575" w:rsidRPr="005C36F7">
        <w:rPr>
          <w:rFonts w:ascii="Arial" w:hAnsi="Arial" w:cs="Arial"/>
          <w:color w:val="000000" w:themeColor="text1"/>
          <w:sz w:val="22"/>
        </w:rPr>
        <w:t xml:space="preserve">. </w:t>
      </w:r>
      <w:r w:rsidR="00C37A29" w:rsidRPr="005C36F7">
        <w:rPr>
          <w:rFonts w:ascii="Arial" w:hAnsi="Arial" w:cs="Arial"/>
          <w:color w:val="000000" w:themeColor="text1"/>
          <w:sz w:val="22"/>
        </w:rPr>
        <w:t xml:space="preserve">The questionnaire contains 7 anxiety and 7 depression questions, each scoring 0-3 points. </w:t>
      </w:r>
      <w:r w:rsidR="008D6575" w:rsidRPr="005C36F7">
        <w:rPr>
          <w:rFonts w:ascii="Arial" w:hAnsi="Arial" w:cs="Arial"/>
          <w:color w:val="000000" w:themeColor="text1"/>
          <w:sz w:val="22"/>
        </w:rPr>
        <w:t>It has been used in hospital</w:t>
      </w:r>
      <w:r w:rsidR="00E329C8" w:rsidRPr="005C36F7">
        <w:rPr>
          <w:rFonts w:ascii="Arial" w:hAnsi="Arial" w:cs="Arial"/>
          <w:color w:val="000000" w:themeColor="text1"/>
          <w:sz w:val="22"/>
        </w:rPr>
        <w:t>,</w:t>
      </w:r>
      <w:r w:rsidR="008D6575" w:rsidRPr="005C36F7">
        <w:rPr>
          <w:rFonts w:ascii="Arial" w:hAnsi="Arial" w:cs="Arial"/>
          <w:color w:val="000000" w:themeColor="text1"/>
          <w:sz w:val="22"/>
        </w:rPr>
        <w:t xml:space="preserve"> primary care and in the general population. The internal consistency of the HADS has been well demonstrated and optimal balance between sensitivity and specificity for HADS as a screening tool is achieved using a cut-off of 8+ for both HAD anxiety and depression subscales</w:t>
      </w:r>
      <w:r w:rsidR="00E329C8" w:rsidRPr="005C36F7">
        <w:rPr>
          <w:rFonts w:ascii="Arial" w:hAnsi="Arial" w:cs="Arial"/>
          <w:color w:val="000000" w:themeColor="text1"/>
          <w:sz w:val="22"/>
        </w:rPr>
        <w:t xml:space="preserve"> </w:t>
      </w:r>
      <w:r w:rsidR="008D6575" w:rsidRPr="005C36F7">
        <w:rPr>
          <w:rFonts w:ascii="Arial" w:hAnsi="Arial" w:cs="Arial"/>
          <w:color w:val="000000" w:themeColor="text1"/>
          <w:sz w:val="22"/>
        </w:rPr>
        <w:t>(</w:t>
      </w:r>
      <w:r w:rsidR="00C56AE1" w:rsidRPr="005C36F7">
        <w:rPr>
          <w:rFonts w:ascii="Arial" w:hAnsi="Arial" w:cs="Arial"/>
          <w:color w:val="000000" w:themeColor="text1"/>
          <w:sz w:val="22"/>
        </w:rPr>
        <w:t>Cooper et al.,</w:t>
      </w:r>
      <w:r w:rsidR="00E20A0E" w:rsidRPr="005C36F7">
        <w:rPr>
          <w:rFonts w:ascii="Arial" w:hAnsi="Arial" w:cs="Arial"/>
          <w:color w:val="000000" w:themeColor="text1"/>
          <w:sz w:val="22"/>
        </w:rPr>
        <w:t xml:space="preserve"> </w:t>
      </w:r>
      <w:r w:rsidR="00C56AE1" w:rsidRPr="005C36F7">
        <w:rPr>
          <w:rFonts w:ascii="Arial" w:hAnsi="Arial" w:cs="Arial"/>
          <w:color w:val="000000" w:themeColor="text1"/>
          <w:sz w:val="22"/>
        </w:rPr>
        <w:t>2007</w:t>
      </w:r>
      <w:r w:rsidR="008D6575" w:rsidRPr="005C36F7">
        <w:rPr>
          <w:rFonts w:ascii="Arial" w:hAnsi="Arial" w:cs="Arial"/>
          <w:color w:val="000000" w:themeColor="text1"/>
          <w:sz w:val="22"/>
        </w:rPr>
        <w:t>).</w:t>
      </w:r>
    </w:p>
    <w:p w14:paraId="54D89FE6" w14:textId="77777777" w:rsidR="00EF24B4" w:rsidRPr="005C36F7" w:rsidRDefault="00EF24B4" w:rsidP="00EF24B4">
      <w:pPr>
        <w:rPr>
          <w:rFonts w:ascii="Arial" w:hAnsi="Arial" w:cs="Arial"/>
          <w:color w:val="000000" w:themeColor="text1"/>
          <w:sz w:val="22"/>
        </w:rPr>
      </w:pPr>
    </w:p>
    <w:p w14:paraId="157B1F90" w14:textId="721F032A" w:rsidR="00EF24B4" w:rsidRPr="005C36F7" w:rsidRDefault="00672CB6" w:rsidP="00EF24B4">
      <w:pPr>
        <w:rPr>
          <w:rFonts w:ascii="Arial" w:hAnsi="Arial" w:cs="Arial"/>
          <w:i/>
          <w:color w:val="000000" w:themeColor="text1"/>
          <w:sz w:val="22"/>
        </w:rPr>
      </w:pPr>
      <w:r w:rsidRPr="005C36F7">
        <w:rPr>
          <w:rFonts w:ascii="Arial" w:hAnsi="Arial" w:cs="Arial"/>
          <w:i/>
          <w:color w:val="000000" w:themeColor="text1"/>
          <w:sz w:val="22"/>
        </w:rPr>
        <w:t xml:space="preserve">2.4. </w:t>
      </w:r>
      <w:r w:rsidR="00664388" w:rsidRPr="005C36F7">
        <w:rPr>
          <w:rFonts w:ascii="Arial" w:hAnsi="Arial" w:cs="Arial"/>
          <w:i/>
          <w:color w:val="000000" w:themeColor="text1"/>
          <w:sz w:val="22"/>
        </w:rPr>
        <w:t>Measures of i</w:t>
      </w:r>
      <w:r w:rsidR="00EF24B4" w:rsidRPr="005C36F7">
        <w:rPr>
          <w:rFonts w:ascii="Arial" w:hAnsi="Arial" w:cs="Arial"/>
          <w:i/>
          <w:color w:val="000000" w:themeColor="text1"/>
          <w:sz w:val="22"/>
        </w:rPr>
        <w:t xml:space="preserve">nflammatory markers </w:t>
      </w:r>
    </w:p>
    <w:p w14:paraId="2F768518" w14:textId="21A5A0B6" w:rsidR="003358D3" w:rsidRPr="005C36F7" w:rsidRDefault="00C8728E" w:rsidP="00C8728E">
      <w:pPr>
        <w:rPr>
          <w:rFonts w:ascii="Arial" w:hAnsi="Arial" w:cs="Arial"/>
          <w:color w:val="000000" w:themeColor="text1"/>
          <w:sz w:val="22"/>
        </w:rPr>
      </w:pPr>
      <w:r w:rsidRPr="005C36F7">
        <w:rPr>
          <w:rFonts w:ascii="Arial" w:hAnsi="Arial" w:cs="Arial"/>
          <w:color w:val="000000" w:themeColor="text1"/>
          <w:sz w:val="22"/>
        </w:rPr>
        <w:t xml:space="preserve">Blood samples were </w:t>
      </w:r>
      <w:proofErr w:type="gramStart"/>
      <w:r w:rsidRPr="005C36F7">
        <w:rPr>
          <w:rFonts w:ascii="Arial" w:hAnsi="Arial" w:cs="Arial"/>
          <w:color w:val="000000" w:themeColor="text1"/>
          <w:sz w:val="22"/>
        </w:rPr>
        <w:t>collected</w:t>
      </w:r>
      <w:proofErr w:type="gramEnd"/>
      <w:r w:rsidRPr="005C36F7">
        <w:rPr>
          <w:rFonts w:ascii="Arial" w:hAnsi="Arial" w:cs="Arial"/>
          <w:color w:val="000000" w:themeColor="text1"/>
          <w:sz w:val="22"/>
        </w:rPr>
        <w:t xml:space="preserve"> and </w:t>
      </w:r>
      <w:r w:rsidR="00C27DDC" w:rsidRPr="005C36F7">
        <w:rPr>
          <w:rFonts w:ascii="Arial" w:hAnsi="Arial" w:cs="Arial"/>
          <w:color w:val="000000" w:themeColor="text1"/>
          <w:sz w:val="22"/>
        </w:rPr>
        <w:t xml:space="preserve">a large set of </w:t>
      </w:r>
      <w:r w:rsidRPr="005C36F7">
        <w:rPr>
          <w:rFonts w:ascii="Arial" w:hAnsi="Arial" w:cs="Arial"/>
          <w:color w:val="000000" w:themeColor="text1"/>
          <w:sz w:val="22"/>
        </w:rPr>
        <w:t>inflammatory markers</w:t>
      </w:r>
      <w:r w:rsidR="00C27DDC" w:rsidRPr="005C36F7">
        <w:rPr>
          <w:rFonts w:ascii="Arial" w:hAnsi="Arial" w:cs="Arial"/>
          <w:color w:val="000000" w:themeColor="text1"/>
          <w:sz w:val="22"/>
        </w:rPr>
        <w:t xml:space="preserve"> measured. For the purpose of this study, the following were analysed:</w:t>
      </w:r>
      <w:r w:rsidRPr="005C36F7">
        <w:rPr>
          <w:rFonts w:ascii="Arial" w:hAnsi="Arial" w:cs="Arial"/>
          <w:color w:val="000000" w:themeColor="text1"/>
          <w:sz w:val="22"/>
        </w:rPr>
        <w:t xml:space="preserve"> </w:t>
      </w:r>
      <w:r w:rsidR="00121B91" w:rsidRPr="005C36F7">
        <w:rPr>
          <w:rFonts w:ascii="Arial" w:hAnsi="Arial" w:cs="Arial"/>
          <w:color w:val="000000" w:themeColor="text1"/>
          <w:sz w:val="22"/>
        </w:rPr>
        <w:t>E</w:t>
      </w:r>
      <w:r w:rsidR="00C27DDC" w:rsidRPr="005C36F7">
        <w:rPr>
          <w:rFonts w:ascii="Arial" w:hAnsi="Arial" w:cs="Arial"/>
          <w:color w:val="000000" w:themeColor="text1"/>
          <w:sz w:val="22"/>
        </w:rPr>
        <w:t xml:space="preserve">otaxin </w:t>
      </w:r>
      <w:r w:rsidR="001A5069" w:rsidRPr="005C36F7">
        <w:rPr>
          <w:rFonts w:ascii="Arial" w:hAnsi="Arial" w:cs="Arial"/>
          <w:color w:val="000000" w:themeColor="text1"/>
          <w:sz w:val="22"/>
        </w:rPr>
        <w:t>3</w:t>
      </w:r>
      <w:r w:rsidR="00DA209B">
        <w:rPr>
          <w:rFonts w:ascii="Arial" w:hAnsi="Arial" w:cs="Arial"/>
          <w:color w:val="000000" w:themeColor="text1"/>
          <w:sz w:val="22"/>
        </w:rPr>
        <w:t xml:space="preserve"> (CCL26)</w:t>
      </w:r>
      <w:r w:rsidR="001A5069" w:rsidRPr="005C36F7">
        <w:rPr>
          <w:rFonts w:ascii="Arial" w:hAnsi="Arial" w:cs="Arial"/>
          <w:color w:val="000000" w:themeColor="text1"/>
          <w:sz w:val="22"/>
        </w:rPr>
        <w:t>,</w:t>
      </w:r>
      <w:r w:rsidR="00121B91" w:rsidRPr="005C36F7">
        <w:rPr>
          <w:rFonts w:ascii="Arial" w:hAnsi="Arial" w:cs="Arial"/>
          <w:color w:val="000000" w:themeColor="text1"/>
          <w:sz w:val="22"/>
        </w:rPr>
        <w:t xml:space="preserve"> Interleukin-17A</w:t>
      </w:r>
      <w:r w:rsidR="001A5069" w:rsidRPr="005C36F7">
        <w:rPr>
          <w:rFonts w:ascii="Arial" w:hAnsi="Arial" w:cs="Arial"/>
          <w:color w:val="000000" w:themeColor="text1"/>
          <w:sz w:val="22"/>
        </w:rPr>
        <w:t xml:space="preserve"> </w:t>
      </w:r>
      <w:r w:rsidR="009D09E7" w:rsidRPr="005C36F7">
        <w:rPr>
          <w:rFonts w:ascii="Arial" w:hAnsi="Arial" w:cs="Arial"/>
          <w:color w:val="000000" w:themeColor="text1"/>
          <w:sz w:val="22"/>
        </w:rPr>
        <w:t>(</w:t>
      </w:r>
      <w:r w:rsidR="001A5069" w:rsidRPr="005C36F7">
        <w:rPr>
          <w:rFonts w:ascii="Arial" w:hAnsi="Arial" w:cs="Arial"/>
          <w:color w:val="000000" w:themeColor="text1"/>
          <w:sz w:val="22"/>
        </w:rPr>
        <w:t>IL</w:t>
      </w:r>
      <w:r w:rsidR="00F95420" w:rsidRPr="005C36F7">
        <w:rPr>
          <w:rFonts w:ascii="Arial" w:hAnsi="Arial" w:cs="Arial"/>
          <w:color w:val="000000" w:themeColor="text1"/>
          <w:sz w:val="22"/>
        </w:rPr>
        <w:t>-</w:t>
      </w:r>
      <w:r w:rsidR="001A5069" w:rsidRPr="005C36F7">
        <w:rPr>
          <w:rFonts w:ascii="Arial" w:hAnsi="Arial" w:cs="Arial"/>
          <w:color w:val="000000" w:themeColor="text1"/>
          <w:sz w:val="22"/>
        </w:rPr>
        <w:t>17A</w:t>
      </w:r>
      <w:r w:rsidR="009D09E7" w:rsidRPr="005C36F7">
        <w:rPr>
          <w:rFonts w:ascii="Arial" w:hAnsi="Arial" w:cs="Arial"/>
          <w:color w:val="000000" w:themeColor="text1"/>
          <w:sz w:val="22"/>
        </w:rPr>
        <w:t>)</w:t>
      </w:r>
      <w:r w:rsidR="001A5069" w:rsidRPr="005C36F7">
        <w:rPr>
          <w:rFonts w:ascii="Arial" w:hAnsi="Arial" w:cs="Arial"/>
          <w:color w:val="000000" w:themeColor="text1"/>
          <w:sz w:val="22"/>
        </w:rPr>
        <w:t>, IL</w:t>
      </w:r>
      <w:r w:rsidR="00F95420" w:rsidRPr="005C36F7">
        <w:rPr>
          <w:rFonts w:ascii="Arial" w:hAnsi="Arial" w:cs="Arial"/>
          <w:color w:val="000000" w:themeColor="text1"/>
          <w:sz w:val="22"/>
        </w:rPr>
        <w:t>-</w:t>
      </w:r>
      <w:r w:rsidR="001A5069" w:rsidRPr="005C36F7">
        <w:rPr>
          <w:rFonts w:ascii="Arial" w:hAnsi="Arial" w:cs="Arial"/>
          <w:color w:val="000000" w:themeColor="text1"/>
          <w:sz w:val="22"/>
        </w:rPr>
        <w:t xml:space="preserve">13, </w:t>
      </w:r>
      <w:r w:rsidR="00C27DDC" w:rsidRPr="005C36F7">
        <w:rPr>
          <w:rFonts w:ascii="Arial" w:hAnsi="Arial" w:cs="Arial"/>
          <w:color w:val="000000" w:themeColor="text1"/>
          <w:sz w:val="22"/>
        </w:rPr>
        <w:t>p</w:t>
      </w:r>
      <w:r w:rsidR="001A5069" w:rsidRPr="005C36F7">
        <w:rPr>
          <w:rFonts w:ascii="Arial" w:hAnsi="Arial" w:cs="Arial"/>
          <w:color w:val="000000" w:themeColor="text1"/>
          <w:sz w:val="22"/>
        </w:rPr>
        <w:t xml:space="preserve">eriostin, </w:t>
      </w:r>
      <w:r w:rsidR="009D09E7" w:rsidRPr="005C36F7">
        <w:rPr>
          <w:rFonts w:ascii="Arial" w:hAnsi="Arial" w:cs="Arial"/>
          <w:color w:val="000000" w:themeColor="text1"/>
          <w:sz w:val="22"/>
        </w:rPr>
        <w:t>macrophage inflammatory protein 1 beta (</w:t>
      </w:r>
      <w:r w:rsidR="001A5069" w:rsidRPr="005C36F7">
        <w:rPr>
          <w:rFonts w:ascii="Arial" w:hAnsi="Arial" w:cs="Arial"/>
          <w:color w:val="000000" w:themeColor="text1"/>
          <w:sz w:val="22"/>
        </w:rPr>
        <w:t>MIP1b</w:t>
      </w:r>
      <w:r w:rsidR="00571CC7">
        <w:rPr>
          <w:rFonts w:ascii="Arial" w:hAnsi="Arial" w:cs="Arial"/>
          <w:color w:val="000000" w:themeColor="text1"/>
          <w:sz w:val="22"/>
        </w:rPr>
        <w:t>, CCL4</w:t>
      </w:r>
      <w:r w:rsidR="009D09E7" w:rsidRPr="005C36F7">
        <w:rPr>
          <w:rFonts w:ascii="Arial" w:hAnsi="Arial" w:cs="Arial"/>
          <w:color w:val="000000" w:themeColor="text1"/>
          <w:sz w:val="22"/>
        </w:rPr>
        <w:t>)</w:t>
      </w:r>
      <w:r w:rsidR="001A5069" w:rsidRPr="005C36F7">
        <w:rPr>
          <w:rFonts w:ascii="Arial" w:hAnsi="Arial" w:cs="Arial"/>
          <w:color w:val="000000" w:themeColor="text1"/>
          <w:sz w:val="22"/>
        </w:rPr>
        <w:t>, IL</w:t>
      </w:r>
      <w:r w:rsidR="00F95420" w:rsidRPr="005C36F7">
        <w:rPr>
          <w:rFonts w:ascii="Arial" w:hAnsi="Arial" w:cs="Arial"/>
          <w:color w:val="000000" w:themeColor="text1"/>
          <w:sz w:val="22"/>
        </w:rPr>
        <w:t>-</w:t>
      </w:r>
      <w:r w:rsidR="001A5069" w:rsidRPr="005C36F7">
        <w:rPr>
          <w:rFonts w:ascii="Arial" w:hAnsi="Arial" w:cs="Arial"/>
          <w:color w:val="000000" w:themeColor="text1"/>
          <w:sz w:val="22"/>
        </w:rPr>
        <w:t>6,</w:t>
      </w:r>
      <w:r w:rsidR="009D09E7" w:rsidRPr="005C36F7">
        <w:rPr>
          <w:rFonts w:ascii="Arial" w:hAnsi="Arial" w:cs="Arial"/>
          <w:color w:val="000000" w:themeColor="text1"/>
          <w:sz w:val="22"/>
        </w:rPr>
        <w:t xml:space="preserve"> </w:t>
      </w:r>
      <w:r w:rsidR="00F95420" w:rsidRPr="005C36F7">
        <w:rPr>
          <w:rFonts w:ascii="Arial" w:hAnsi="Arial" w:cs="Arial"/>
          <w:color w:val="000000" w:themeColor="text1"/>
          <w:sz w:val="22"/>
        </w:rPr>
        <w:t xml:space="preserve">interferon </w:t>
      </w:r>
      <w:r w:rsidR="00C27DDC" w:rsidRPr="005C36F7">
        <w:rPr>
          <w:rFonts w:ascii="Arial" w:hAnsi="Arial" w:cs="Arial"/>
          <w:color w:val="000000" w:themeColor="text1"/>
          <w:sz w:val="22"/>
        </w:rPr>
        <w:t>(IFN)</w:t>
      </w:r>
      <w:r w:rsidR="006E46B2" w:rsidRPr="005C36F7">
        <w:rPr>
          <w:rFonts w:ascii="Arial" w:hAnsi="Arial" w:cs="Arial"/>
          <w:color w:val="000000" w:themeColor="text1"/>
          <w:sz w:val="22"/>
        </w:rPr>
        <w:t>-</w:t>
      </w:r>
      <w:r w:rsidR="00C27DDC" w:rsidRPr="005C36F7">
        <w:rPr>
          <w:rFonts w:ascii="Arial" w:hAnsi="Arial" w:cs="Arial"/>
          <w:color w:val="000000" w:themeColor="text1"/>
          <w:sz w:val="22"/>
        </w:rPr>
        <w:t>γ, IFN</w:t>
      </w:r>
      <w:r w:rsidR="006E46B2" w:rsidRPr="005C36F7">
        <w:rPr>
          <w:rFonts w:ascii="Arial" w:hAnsi="Arial" w:cs="Arial"/>
          <w:color w:val="000000" w:themeColor="text1"/>
          <w:sz w:val="22"/>
        </w:rPr>
        <w:t>-</w:t>
      </w:r>
      <w:r w:rsidR="009D09E7" w:rsidRPr="005C36F7">
        <w:rPr>
          <w:rFonts w:ascii="Arial" w:hAnsi="Arial" w:cs="Arial"/>
          <w:color w:val="000000" w:themeColor="text1"/>
          <w:sz w:val="22"/>
        </w:rPr>
        <w:t>γ</w:t>
      </w:r>
      <w:r w:rsidR="00C27DDC" w:rsidRPr="005C36F7">
        <w:rPr>
          <w:rFonts w:ascii="Arial" w:hAnsi="Arial" w:cs="Arial"/>
          <w:color w:val="000000" w:themeColor="text1"/>
          <w:sz w:val="22"/>
        </w:rPr>
        <w:t>-</w:t>
      </w:r>
      <w:r w:rsidR="009D09E7" w:rsidRPr="005C36F7">
        <w:rPr>
          <w:rFonts w:ascii="Arial" w:hAnsi="Arial" w:cs="Arial"/>
          <w:color w:val="000000" w:themeColor="text1"/>
          <w:sz w:val="22"/>
        </w:rPr>
        <w:t>inducible protein 10</w:t>
      </w:r>
      <w:r w:rsidR="00121B91" w:rsidRPr="005C36F7">
        <w:rPr>
          <w:rFonts w:ascii="Arial" w:hAnsi="Arial" w:cs="Arial"/>
          <w:color w:val="000000" w:themeColor="text1"/>
          <w:sz w:val="22"/>
        </w:rPr>
        <w:t xml:space="preserve"> </w:t>
      </w:r>
      <w:r w:rsidR="009D09E7" w:rsidRPr="005C36F7">
        <w:rPr>
          <w:rFonts w:ascii="Arial" w:hAnsi="Arial" w:cs="Arial"/>
          <w:color w:val="000000" w:themeColor="text1"/>
          <w:sz w:val="22"/>
        </w:rPr>
        <w:t>(</w:t>
      </w:r>
      <w:r w:rsidR="001A5069" w:rsidRPr="005C36F7">
        <w:rPr>
          <w:rFonts w:ascii="Arial" w:hAnsi="Arial" w:cs="Arial"/>
          <w:color w:val="000000" w:themeColor="text1"/>
          <w:sz w:val="22"/>
        </w:rPr>
        <w:t>IP10</w:t>
      </w:r>
      <w:r w:rsidR="006D59D2">
        <w:rPr>
          <w:rFonts w:ascii="Arial" w:hAnsi="Arial" w:cs="Arial"/>
          <w:color w:val="000000" w:themeColor="text1"/>
          <w:sz w:val="22"/>
        </w:rPr>
        <w:t xml:space="preserve">, </w:t>
      </w:r>
      <w:r w:rsidR="006D59D2" w:rsidRPr="006D59D2">
        <w:rPr>
          <w:rFonts w:ascii="Arial" w:hAnsi="Arial" w:cs="Arial"/>
          <w:color w:val="000000" w:themeColor="text1"/>
          <w:sz w:val="22"/>
        </w:rPr>
        <w:t>CXCL10</w:t>
      </w:r>
      <w:r w:rsidR="009D09E7" w:rsidRPr="005C36F7">
        <w:rPr>
          <w:rFonts w:ascii="Arial" w:hAnsi="Arial" w:cs="Arial"/>
          <w:color w:val="000000" w:themeColor="text1"/>
          <w:sz w:val="22"/>
        </w:rPr>
        <w:t>)</w:t>
      </w:r>
      <w:r w:rsidR="001A5069" w:rsidRPr="005C36F7">
        <w:rPr>
          <w:rFonts w:ascii="Arial" w:hAnsi="Arial" w:cs="Arial"/>
          <w:color w:val="000000" w:themeColor="text1"/>
          <w:sz w:val="22"/>
        </w:rPr>
        <w:t xml:space="preserve">, </w:t>
      </w:r>
      <w:r w:rsidR="009D09E7" w:rsidRPr="005C36F7">
        <w:rPr>
          <w:rFonts w:ascii="Arial" w:hAnsi="Arial" w:cs="Arial"/>
          <w:color w:val="000000" w:themeColor="text1"/>
          <w:sz w:val="22"/>
        </w:rPr>
        <w:t>monocyte chemoattractant protein 1</w:t>
      </w:r>
      <w:r w:rsidR="00121B91" w:rsidRPr="005C36F7">
        <w:rPr>
          <w:rFonts w:ascii="Arial" w:hAnsi="Arial" w:cs="Arial"/>
          <w:color w:val="000000" w:themeColor="text1"/>
          <w:sz w:val="22"/>
        </w:rPr>
        <w:t xml:space="preserve"> </w:t>
      </w:r>
      <w:r w:rsidR="009D09E7" w:rsidRPr="005C36F7">
        <w:rPr>
          <w:rFonts w:ascii="Arial" w:hAnsi="Arial" w:cs="Arial"/>
          <w:color w:val="000000" w:themeColor="text1"/>
          <w:sz w:val="22"/>
        </w:rPr>
        <w:t>(</w:t>
      </w:r>
      <w:r w:rsidR="001A5069" w:rsidRPr="005C36F7">
        <w:rPr>
          <w:rFonts w:ascii="Arial" w:hAnsi="Arial" w:cs="Arial"/>
          <w:color w:val="000000" w:themeColor="text1"/>
          <w:sz w:val="22"/>
        </w:rPr>
        <w:t>MCP1</w:t>
      </w:r>
      <w:r w:rsidR="006D59D2">
        <w:rPr>
          <w:rFonts w:ascii="Arial" w:hAnsi="Arial" w:cs="Arial"/>
          <w:color w:val="000000" w:themeColor="text1"/>
          <w:sz w:val="22"/>
        </w:rPr>
        <w:t xml:space="preserve">, </w:t>
      </w:r>
      <w:r w:rsidR="006D59D2" w:rsidRPr="006D59D2">
        <w:rPr>
          <w:rFonts w:ascii="Arial" w:hAnsi="Arial" w:cs="Arial"/>
          <w:color w:val="000000" w:themeColor="text1"/>
          <w:sz w:val="22"/>
        </w:rPr>
        <w:t>CCL2</w:t>
      </w:r>
      <w:r w:rsidR="009D09E7" w:rsidRPr="005C36F7">
        <w:rPr>
          <w:rFonts w:ascii="Arial" w:hAnsi="Arial" w:cs="Arial"/>
          <w:color w:val="000000" w:themeColor="text1"/>
          <w:sz w:val="22"/>
        </w:rPr>
        <w:t>)</w:t>
      </w:r>
      <w:r w:rsidR="001A5069" w:rsidRPr="005C36F7">
        <w:rPr>
          <w:rFonts w:ascii="Arial" w:hAnsi="Arial" w:cs="Arial"/>
          <w:color w:val="000000" w:themeColor="text1"/>
          <w:sz w:val="22"/>
        </w:rPr>
        <w:t xml:space="preserve">, </w:t>
      </w:r>
      <w:r w:rsidR="009D09E7" w:rsidRPr="005C36F7">
        <w:rPr>
          <w:rFonts w:ascii="Arial" w:hAnsi="Arial" w:cs="Arial"/>
          <w:color w:val="000000" w:themeColor="text1"/>
          <w:sz w:val="22"/>
        </w:rPr>
        <w:t>chemokine (C</w:t>
      </w:r>
      <w:r w:rsidR="006E46B2" w:rsidRPr="005C36F7">
        <w:rPr>
          <w:rFonts w:ascii="Arial" w:hAnsi="Arial" w:cs="Arial"/>
          <w:color w:val="000000" w:themeColor="text1"/>
          <w:sz w:val="22"/>
        </w:rPr>
        <w:t>-</w:t>
      </w:r>
      <w:r w:rsidR="009D09E7" w:rsidRPr="005C36F7">
        <w:rPr>
          <w:rFonts w:ascii="Arial" w:hAnsi="Arial" w:cs="Arial"/>
          <w:color w:val="000000" w:themeColor="text1"/>
          <w:sz w:val="22"/>
        </w:rPr>
        <w:t>C motif) ligand 18</w:t>
      </w:r>
      <w:r w:rsidR="00121B91" w:rsidRPr="005C36F7">
        <w:rPr>
          <w:rFonts w:ascii="Arial" w:hAnsi="Arial" w:cs="Arial"/>
          <w:color w:val="000000" w:themeColor="text1"/>
          <w:sz w:val="22"/>
        </w:rPr>
        <w:t xml:space="preserve"> </w:t>
      </w:r>
      <w:r w:rsidR="009D09E7" w:rsidRPr="005C36F7">
        <w:rPr>
          <w:rFonts w:ascii="Arial" w:hAnsi="Arial" w:cs="Arial"/>
          <w:color w:val="000000" w:themeColor="text1"/>
          <w:sz w:val="22"/>
        </w:rPr>
        <w:t>(</w:t>
      </w:r>
      <w:r w:rsidR="001A5069" w:rsidRPr="005C36F7">
        <w:rPr>
          <w:rFonts w:ascii="Arial" w:hAnsi="Arial" w:cs="Arial"/>
          <w:color w:val="000000" w:themeColor="text1"/>
          <w:sz w:val="22"/>
        </w:rPr>
        <w:t>CCL18</w:t>
      </w:r>
      <w:r w:rsidR="009D09E7" w:rsidRPr="005C36F7">
        <w:rPr>
          <w:rFonts w:ascii="Arial" w:hAnsi="Arial" w:cs="Arial"/>
          <w:color w:val="000000" w:themeColor="text1"/>
          <w:sz w:val="22"/>
        </w:rPr>
        <w:t>)</w:t>
      </w:r>
      <w:r w:rsidR="001A5069" w:rsidRPr="005C36F7">
        <w:rPr>
          <w:rFonts w:ascii="Arial" w:hAnsi="Arial" w:cs="Arial"/>
          <w:color w:val="000000" w:themeColor="text1"/>
          <w:sz w:val="22"/>
        </w:rPr>
        <w:t xml:space="preserve">, </w:t>
      </w:r>
      <w:r w:rsidR="009D09E7" w:rsidRPr="005C36F7">
        <w:rPr>
          <w:rFonts w:ascii="Arial" w:hAnsi="Arial" w:cs="Arial"/>
          <w:color w:val="000000" w:themeColor="text1"/>
          <w:sz w:val="22"/>
        </w:rPr>
        <w:t>chemokine (C</w:t>
      </w:r>
      <w:r w:rsidR="006E46B2" w:rsidRPr="005C36F7">
        <w:rPr>
          <w:rFonts w:ascii="Arial" w:hAnsi="Arial" w:cs="Arial"/>
          <w:color w:val="000000" w:themeColor="text1"/>
          <w:sz w:val="22"/>
        </w:rPr>
        <w:t>-</w:t>
      </w:r>
      <w:r w:rsidR="009D09E7" w:rsidRPr="005C36F7">
        <w:rPr>
          <w:rFonts w:ascii="Arial" w:hAnsi="Arial" w:cs="Arial"/>
          <w:color w:val="000000" w:themeColor="text1"/>
          <w:sz w:val="22"/>
        </w:rPr>
        <w:t>C motif) ligand 22(</w:t>
      </w:r>
      <w:r w:rsidR="001A5069" w:rsidRPr="005C36F7">
        <w:rPr>
          <w:rFonts w:ascii="Arial" w:hAnsi="Arial" w:cs="Arial"/>
          <w:color w:val="000000" w:themeColor="text1"/>
          <w:sz w:val="22"/>
        </w:rPr>
        <w:t>CCL22</w:t>
      </w:r>
      <w:r w:rsidR="009D09E7" w:rsidRPr="005C36F7">
        <w:rPr>
          <w:rFonts w:ascii="Arial" w:hAnsi="Arial" w:cs="Arial"/>
          <w:color w:val="000000" w:themeColor="text1"/>
          <w:sz w:val="22"/>
        </w:rPr>
        <w:t>)</w:t>
      </w:r>
      <w:r w:rsidR="001A5069" w:rsidRPr="005C36F7">
        <w:rPr>
          <w:rFonts w:ascii="Arial" w:hAnsi="Arial" w:cs="Arial"/>
          <w:color w:val="000000" w:themeColor="text1"/>
          <w:sz w:val="22"/>
        </w:rPr>
        <w:t xml:space="preserve">, </w:t>
      </w:r>
      <w:r w:rsidR="009D09E7" w:rsidRPr="005C36F7">
        <w:rPr>
          <w:rFonts w:ascii="Arial" w:hAnsi="Arial" w:cs="Arial"/>
          <w:color w:val="000000" w:themeColor="text1"/>
          <w:sz w:val="22"/>
        </w:rPr>
        <w:t>chemokine (C</w:t>
      </w:r>
      <w:r w:rsidR="006E46B2" w:rsidRPr="005C36F7">
        <w:rPr>
          <w:rFonts w:ascii="Arial" w:hAnsi="Arial" w:cs="Arial"/>
          <w:color w:val="000000" w:themeColor="text1"/>
          <w:sz w:val="22"/>
        </w:rPr>
        <w:t>-</w:t>
      </w:r>
      <w:r w:rsidR="009D09E7" w:rsidRPr="005C36F7">
        <w:rPr>
          <w:rFonts w:ascii="Arial" w:hAnsi="Arial" w:cs="Arial"/>
          <w:color w:val="000000" w:themeColor="text1"/>
          <w:sz w:val="22"/>
        </w:rPr>
        <w:t>C motif) ligand 17(</w:t>
      </w:r>
      <w:r w:rsidR="001A5069" w:rsidRPr="005C36F7">
        <w:rPr>
          <w:rFonts w:ascii="Arial" w:hAnsi="Arial" w:cs="Arial"/>
          <w:color w:val="000000" w:themeColor="text1"/>
          <w:sz w:val="22"/>
        </w:rPr>
        <w:t>CCL17</w:t>
      </w:r>
      <w:r w:rsidR="009D09E7" w:rsidRPr="005C36F7">
        <w:rPr>
          <w:rFonts w:ascii="Arial" w:hAnsi="Arial" w:cs="Arial"/>
          <w:color w:val="000000" w:themeColor="text1"/>
          <w:sz w:val="22"/>
        </w:rPr>
        <w:t>)</w:t>
      </w:r>
      <w:r w:rsidR="001A5069" w:rsidRPr="005C36F7">
        <w:rPr>
          <w:rFonts w:ascii="Arial" w:hAnsi="Arial" w:cs="Arial"/>
          <w:color w:val="000000" w:themeColor="text1"/>
          <w:sz w:val="22"/>
        </w:rPr>
        <w:t xml:space="preserve">, </w:t>
      </w:r>
      <w:r w:rsidR="009D09E7" w:rsidRPr="005C36F7">
        <w:rPr>
          <w:rFonts w:ascii="Arial" w:hAnsi="Arial" w:cs="Arial"/>
          <w:color w:val="000000" w:themeColor="text1"/>
          <w:sz w:val="22"/>
        </w:rPr>
        <w:t>tumour necrosis factor (</w:t>
      </w:r>
      <w:r w:rsidR="001A5069" w:rsidRPr="005C36F7">
        <w:rPr>
          <w:rFonts w:ascii="Arial" w:hAnsi="Arial" w:cs="Arial"/>
          <w:color w:val="000000" w:themeColor="text1"/>
          <w:sz w:val="22"/>
        </w:rPr>
        <w:t>TNF</w:t>
      </w:r>
      <w:r w:rsidR="006E46B2" w:rsidRPr="005C36F7">
        <w:rPr>
          <w:rFonts w:ascii="Arial" w:hAnsi="Arial" w:cs="Arial"/>
          <w:color w:val="000000" w:themeColor="text1"/>
          <w:sz w:val="22"/>
        </w:rPr>
        <w:t xml:space="preserve">)-α </w:t>
      </w:r>
      <w:r w:rsidR="001A5069" w:rsidRPr="005C36F7">
        <w:rPr>
          <w:rFonts w:ascii="Arial" w:hAnsi="Arial" w:cs="Arial"/>
          <w:color w:val="000000" w:themeColor="text1"/>
          <w:sz w:val="22"/>
        </w:rPr>
        <w:t>, IL</w:t>
      </w:r>
      <w:r w:rsidR="00B83B1A" w:rsidRPr="005C36F7">
        <w:rPr>
          <w:rFonts w:ascii="Arial" w:hAnsi="Arial" w:cs="Arial"/>
          <w:color w:val="000000" w:themeColor="text1"/>
          <w:sz w:val="22"/>
        </w:rPr>
        <w:t>-</w:t>
      </w:r>
      <w:r w:rsidR="001A5069" w:rsidRPr="005C36F7">
        <w:rPr>
          <w:rFonts w:ascii="Arial" w:hAnsi="Arial" w:cs="Arial"/>
          <w:color w:val="000000" w:themeColor="text1"/>
          <w:sz w:val="22"/>
        </w:rPr>
        <w:t xml:space="preserve">8, </w:t>
      </w:r>
      <w:r w:rsidR="00B83B1A" w:rsidRPr="005C36F7">
        <w:rPr>
          <w:rFonts w:ascii="Arial" w:hAnsi="Arial" w:cs="Arial"/>
          <w:color w:val="000000" w:themeColor="text1"/>
          <w:sz w:val="22"/>
        </w:rPr>
        <w:t xml:space="preserve">and </w:t>
      </w:r>
      <w:r w:rsidR="00121B91" w:rsidRPr="005C36F7">
        <w:rPr>
          <w:rFonts w:ascii="Arial" w:hAnsi="Arial" w:cs="Arial"/>
          <w:color w:val="000000" w:themeColor="text1"/>
          <w:sz w:val="22"/>
        </w:rPr>
        <w:t xml:space="preserve">Eotaxin </w:t>
      </w:r>
      <w:r w:rsidR="00165B1D" w:rsidRPr="00165B1D">
        <w:rPr>
          <w:rFonts w:ascii="Arial" w:hAnsi="Arial" w:cs="Arial"/>
          <w:color w:val="000000" w:themeColor="text1"/>
          <w:sz w:val="22"/>
        </w:rPr>
        <w:t xml:space="preserve">(CCL11) </w:t>
      </w:r>
      <w:r w:rsidRPr="005C36F7">
        <w:rPr>
          <w:rFonts w:ascii="Arial" w:hAnsi="Arial" w:cs="Arial"/>
          <w:color w:val="000000" w:themeColor="text1"/>
          <w:sz w:val="22"/>
        </w:rPr>
        <w:t xml:space="preserve">were </w:t>
      </w:r>
      <w:r w:rsidR="00122C6B" w:rsidRPr="005C36F7">
        <w:rPr>
          <w:rFonts w:ascii="Arial" w:hAnsi="Arial" w:cs="Arial"/>
          <w:color w:val="000000" w:themeColor="text1"/>
          <w:sz w:val="22"/>
        </w:rPr>
        <w:t>analysed</w:t>
      </w:r>
      <w:r w:rsidRPr="005C36F7">
        <w:rPr>
          <w:rFonts w:ascii="Arial" w:hAnsi="Arial" w:cs="Arial"/>
          <w:color w:val="000000" w:themeColor="text1"/>
          <w:sz w:val="22"/>
        </w:rPr>
        <w:t xml:space="preserve"> </w:t>
      </w:r>
      <w:r w:rsidR="001A5069" w:rsidRPr="005C36F7">
        <w:rPr>
          <w:rFonts w:ascii="Arial" w:hAnsi="Arial" w:cs="Arial"/>
          <w:color w:val="000000" w:themeColor="text1"/>
          <w:sz w:val="22"/>
        </w:rPr>
        <w:t xml:space="preserve">using </w:t>
      </w:r>
      <w:r w:rsidRPr="005C36F7">
        <w:rPr>
          <w:rFonts w:ascii="Arial" w:hAnsi="Arial" w:cs="Arial"/>
          <w:color w:val="000000" w:themeColor="text1"/>
          <w:sz w:val="22"/>
        </w:rPr>
        <w:t>the SomaScan v3 platform (SomaLogic, Boulder, Colo).</w:t>
      </w:r>
    </w:p>
    <w:p w14:paraId="70DCC2E1" w14:textId="77777777" w:rsidR="001A5069" w:rsidRPr="005C36F7" w:rsidRDefault="001A5069" w:rsidP="00C8728E">
      <w:pPr>
        <w:rPr>
          <w:rFonts w:ascii="Arial" w:hAnsi="Arial" w:cs="Arial"/>
          <w:color w:val="000000" w:themeColor="text1"/>
          <w:sz w:val="22"/>
        </w:rPr>
      </w:pPr>
    </w:p>
    <w:p w14:paraId="602D37C9" w14:textId="74AED49A" w:rsidR="001A5069" w:rsidRPr="005C36F7" w:rsidRDefault="00672CB6" w:rsidP="00C8728E">
      <w:pPr>
        <w:rPr>
          <w:rFonts w:ascii="Arial" w:hAnsi="Arial" w:cs="Arial"/>
          <w:i/>
          <w:color w:val="000000" w:themeColor="text1"/>
          <w:sz w:val="22"/>
        </w:rPr>
      </w:pPr>
      <w:r w:rsidRPr="005C36F7">
        <w:rPr>
          <w:rFonts w:ascii="Arial" w:hAnsi="Arial" w:cs="Arial"/>
          <w:i/>
          <w:color w:val="000000" w:themeColor="text1"/>
          <w:sz w:val="22"/>
        </w:rPr>
        <w:t xml:space="preserve">2.5. </w:t>
      </w:r>
      <w:r w:rsidR="001A5069" w:rsidRPr="005C36F7">
        <w:rPr>
          <w:rFonts w:ascii="Arial" w:hAnsi="Arial" w:cs="Arial"/>
          <w:i/>
          <w:color w:val="000000" w:themeColor="text1"/>
          <w:sz w:val="22"/>
        </w:rPr>
        <w:t>Statistical analysis</w:t>
      </w:r>
    </w:p>
    <w:p w14:paraId="41C1F236" w14:textId="6D943A5B" w:rsidR="00740FA2" w:rsidRPr="005C36F7" w:rsidRDefault="00740FA2" w:rsidP="0052798A">
      <w:pPr>
        <w:rPr>
          <w:rFonts w:ascii="Arial" w:hAnsi="Arial" w:cs="Arial"/>
          <w:color w:val="000000" w:themeColor="text1"/>
          <w:sz w:val="22"/>
        </w:rPr>
      </w:pPr>
      <w:r w:rsidRPr="005C36F7">
        <w:rPr>
          <w:rFonts w:ascii="Arial" w:hAnsi="Arial" w:cs="Arial"/>
          <w:color w:val="000000" w:themeColor="text1"/>
          <w:sz w:val="22"/>
        </w:rPr>
        <w:t xml:space="preserve">Data analysis was performed using the Statistical Package for the Social Sciences (SPSS version 22). All variables were tested for </w:t>
      </w:r>
      <w:r w:rsidR="00122C6B" w:rsidRPr="005C36F7">
        <w:rPr>
          <w:rFonts w:ascii="Arial" w:hAnsi="Arial" w:cs="Arial"/>
          <w:color w:val="000000" w:themeColor="text1"/>
          <w:sz w:val="22"/>
        </w:rPr>
        <w:t xml:space="preserve">normality </w:t>
      </w:r>
      <w:r w:rsidR="000C2C54">
        <w:rPr>
          <w:rFonts w:ascii="Arial" w:hAnsi="Arial" w:cs="Arial"/>
          <w:color w:val="000000" w:themeColor="text1"/>
          <w:sz w:val="22"/>
        </w:rPr>
        <w:t xml:space="preserve">using </w:t>
      </w:r>
      <w:r w:rsidR="002F4AD8" w:rsidRPr="002F4AD8">
        <w:rPr>
          <w:rFonts w:ascii="Arial" w:hAnsi="Arial" w:cs="Arial"/>
          <w:color w:val="000000" w:themeColor="text1"/>
          <w:sz w:val="22"/>
        </w:rPr>
        <w:t>the Kolmogorov–Smirnov test</w:t>
      </w:r>
      <w:r w:rsidR="000C2C54" w:rsidRPr="000C2C54">
        <w:t xml:space="preserve"> </w:t>
      </w:r>
      <w:r w:rsidR="000C2C54" w:rsidRPr="000C2C54">
        <w:rPr>
          <w:rFonts w:ascii="Arial" w:hAnsi="Arial" w:cs="Arial"/>
          <w:color w:val="000000" w:themeColor="text1"/>
          <w:sz w:val="22"/>
        </w:rPr>
        <w:t>before analysis</w:t>
      </w:r>
      <w:r w:rsidRPr="005C36F7">
        <w:rPr>
          <w:rFonts w:ascii="Arial" w:hAnsi="Arial" w:cs="Arial"/>
          <w:color w:val="000000" w:themeColor="text1"/>
          <w:sz w:val="22"/>
        </w:rPr>
        <w:t>.</w:t>
      </w:r>
      <w:r w:rsidR="006E314A" w:rsidRPr="005C36F7">
        <w:rPr>
          <w:rFonts w:ascii="Arial" w:hAnsi="Arial" w:cs="Arial"/>
          <w:color w:val="000000" w:themeColor="text1"/>
          <w:sz w:val="22"/>
        </w:rPr>
        <w:t xml:space="preserve"> </w:t>
      </w:r>
      <w:bookmarkStart w:id="9" w:name="_Hlk47457865"/>
      <w:r w:rsidR="006E314A" w:rsidRPr="005C36F7">
        <w:rPr>
          <w:rFonts w:ascii="Arial" w:hAnsi="Arial" w:cs="Arial"/>
          <w:color w:val="000000" w:themeColor="text1"/>
          <w:sz w:val="22"/>
        </w:rPr>
        <w:t xml:space="preserve">ANOVA was used for </w:t>
      </w:r>
      <w:r w:rsidR="0052798A" w:rsidRPr="005C36F7">
        <w:rPr>
          <w:rFonts w:ascii="Arial" w:hAnsi="Arial" w:cs="Arial"/>
          <w:color w:val="000000" w:themeColor="text1"/>
          <w:sz w:val="22"/>
        </w:rPr>
        <w:t>multiple</w:t>
      </w:r>
      <w:r w:rsidR="00E329C8" w:rsidRPr="005C36F7">
        <w:rPr>
          <w:rFonts w:ascii="Arial" w:hAnsi="Arial" w:cs="Arial"/>
          <w:color w:val="000000" w:themeColor="text1"/>
          <w:sz w:val="22"/>
        </w:rPr>
        <w:t xml:space="preserve"> </w:t>
      </w:r>
      <w:r w:rsidR="0052798A" w:rsidRPr="005C36F7">
        <w:rPr>
          <w:rFonts w:ascii="Arial" w:hAnsi="Arial" w:cs="Arial"/>
          <w:color w:val="000000" w:themeColor="text1"/>
          <w:sz w:val="22"/>
        </w:rPr>
        <w:t>group comparison</w:t>
      </w:r>
      <w:r w:rsidR="00345FB7" w:rsidRPr="005C36F7">
        <w:rPr>
          <w:rFonts w:ascii="Arial" w:hAnsi="Arial" w:cs="Arial"/>
          <w:color w:val="000000" w:themeColor="text1"/>
          <w:sz w:val="22"/>
        </w:rPr>
        <w:t>s</w:t>
      </w:r>
      <w:r w:rsidR="0052798A" w:rsidRPr="005C36F7">
        <w:rPr>
          <w:rFonts w:ascii="Arial" w:hAnsi="Arial" w:cs="Arial"/>
          <w:color w:val="000000" w:themeColor="text1"/>
          <w:sz w:val="22"/>
        </w:rPr>
        <w:t xml:space="preserve"> of normally distributed variables.</w:t>
      </w:r>
      <w:r w:rsidRPr="005C36F7">
        <w:rPr>
          <w:rFonts w:ascii="Arial" w:hAnsi="Arial" w:cs="Arial"/>
          <w:color w:val="000000" w:themeColor="text1"/>
          <w:sz w:val="22"/>
        </w:rPr>
        <w:t xml:space="preserve"> </w:t>
      </w:r>
      <w:r w:rsidR="0052798A" w:rsidRPr="005C36F7">
        <w:rPr>
          <w:rFonts w:ascii="Arial" w:hAnsi="Arial" w:cs="Arial"/>
          <w:color w:val="000000" w:themeColor="text1"/>
          <w:sz w:val="22"/>
        </w:rPr>
        <w:t>The Kruskal-</w:t>
      </w:r>
      <w:proofErr w:type="gramStart"/>
      <w:r w:rsidR="0052798A" w:rsidRPr="005C36F7">
        <w:rPr>
          <w:rFonts w:ascii="Arial" w:hAnsi="Arial" w:cs="Arial"/>
          <w:color w:val="000000" w:themeColor="text1"/>
          <w:sz w:val="22"/>
        </w:rPr>
        <w:t>Wallis</w:t>
      </w:r>
      <w:proofErr w:type="gramEnd"/>
      <w:r w:rsidR="0052798A" w:rsidRPr="005C36F7">
        <w:rPr>
          <w:rFonts w:ascii="Arial" w:hAnsi="Arial" w:cs="Arial"/>
          <w:color w:val="000000" w:themeColor="text1"/>
          <w:sz w:val="22"/>
        </w:rPr>
        <w:t xml:space="preserve"> test was used for multiple-group comparison</w:t>
      </w:r>
      <w:r w:rsidR="00345FB7" w:rsidRPr="005C36F7">
        <w:rPr>
          <w:rFonts w:ascii="Arial" w:hAnsi="Arial" w:cs="Arial"/>
          <w:color w:val="000000" w:themeColor="text1"/>
          <w:sz w:val="22"/>
        </w:rPr>
        <w:t>s</w:t>
      </w:r>
      <w:r w:rsidR="0052798A" w:rsidRPr="005C36F7">
        <w:rPr>
          <w:rFonts w:ascii="Arial" w:hAnsi="Arial" w:cs="Arial"/>
          <w:color w:val="000000" w:themeColor="text1"/>
          <w:sz w:val="22"/>
        </w:rPr>
        <w:t xml:space="preserve"> of non</w:t>
      </w:r>
      <w:r w:rsidR="00B83B1A" w:rsidRPr="005C36F7">
        <w:rPr>
          <w:rFonts w:ascii="Arial" w:hAnsi="Arial" w:cs="Arial"/>
          <w:color w:val="000000" w:themeColor="text1"/>
          <w:sz w:val="22"/>
        </w:rPr>
        <w:t>-</w:t>
      </w:r>
      <w:r w:rsidR="0052798A" w:rsidRPr="005C36F7">
        <w:rPr>
          <w:rFonts w:ascii="Arial" w:hAnsi="Arial" w:cs="Arial"/>
          <w:color w:val="000000" w:themeColor="text1"/>
          <w:sz w:val="22"/>
        </w:rPr>
        <w:t>normally distributed variables</w:t>
      </w:r>
      <w:bookmarkEnd w:id="9"/>
      <w:r w:rsidR="0052798A" w:rsidRPr="005C36F7">
        <w:rPr>
          <w:rFonts w:ascii="Arial" w:hAnsi="Arial" w:cs="Arial"/>
          <w:color w:val="000000" w:themeColor="text1"/>
          <w:sz w:val="22"/>
        </w:rPr>
        <w:t xml:space="preserve">, and the Chi-square test was used for </w:t>
      </w:r>
      <w:r w:rsidR="00B83B1A" w:rsidRPr="005C36F7">
        <w:rPr>
          <w:rFonts w:ascii="Arial" w:hAnsi="Arial" w:cs="Arial"/>
          <w:color w:val="000000" w:themeColor="text1"/>
          <w:sz w:val="22"/>
        </w:rPr>
        <w:t xml:space="preserve">categorical </w:t>
      </w:r>
      <w:r w:rsidR="0052798A" w:rsidRPr="005C36F7">
        <w:rPr>
          <w:rFonts w:ascii="Arial" w:hAnsi="Arial" w:cs="Arial"/>
          <w:color w:val="000000" w:themeColor="text1"/>
          <w:sz w:val="22"/>
        </w:rPr>
        <w:t>variables</w:t>
      </w:r>
      <w:r w:rsidRPr="005C36F7">
        <w:rPr>
          <w:rFonts w:ascii="Arial" w:hAnsi="Arial" w:cs="Arial"/>
          <w:color w:val="000000" w:themeColor="text1"/>
          <w:sz w:val="22"/>
        </w:rPr>
        <w:t>. Spearmen correlational analy</w:t>
      </w:r>
      <w:r w:rsidR="0052798A" w:rsidRPr="005C36F7">
        <w:rPr>
          <w:rFonts w:ascii="Arial" w:hAnsi="Arial" w:cs="Arial"/>
          <w:color w:val="000000" w:themeColor="text1"/>
          <w:sz w:val="22"/>
        </w:rPr>
        <w:t>sis</w:t>
      </w:r>
      <w:r w:rsidRPr="005C36F7">
        <w:rPr>
          <w:rFonts w:ascii="Arial" w:hAnsi="Arial" w:cs="Arial"/>
          <w:color w:val="000000" w:themeColor="text1"/>
          <w:sz w:val="22"/>
        </w:rPr>
        <w:t xml:space="preserve"> </w:t>
      </w:r>
      <w:r w:rsidR="006D7AAA" w:rsidRPr="005C36F7">
        <w:rPr>
          <w:rFonts w:ascii="Arial" w:hAnsi="Arial" w:cs="Arial"/>
          <w:color w:val="000000" w:themeColor="text1"/>
          <w:sz w:val="22"/>
        </w:rPr>
        <w:t>was</w:t>
      </w:r>
      <w:r w:rsidRPr="005C36F7">
        <w:rPr>
          <w:rFonts w:ascii="Arial" w:hAnsi="Arial" w:cs="Arial"/>
          <w:color w:val="000000" w:themeColor="text1"/>
          <w:sz w:val="22"/>
        </w:rPr>
        <w:t xml:space="preserve"> </w:t>
      </w:r>
      <w:r w:rsidR="00345FB7" w:rsidRPr="005C36F7">
        <w:rPr>
          <w:rFonts w:ascii="Arial" w:hAnsi="Arial" w:cs="Arial"/>
          <w:color w:val="000000" w:themeColor="text1"/>
          <w:sz w:val="22"/>
        </w:rPr>
        <w:t xml:space="preserve">conducted </w:t>
      </w:r>
      <w:r w:rsidRPr="005C36F7">
        <w:rPr>
          <w:rFonts w:ascii="Arial" w:hAnsi="Arial" w:cs="Arial"/>
          <w:color w:val="000000" w:themeColor="text1"/>
          <w:sz w:val="22"/>
        </w:rPr>
        <w:t xml:space="preserve">to </w:t>
      </w:r>
      <w:r w:rsidR="00B83B1A" w:rsidRPr="005C36F7">
        <w:rPr>
          <w:rFonts w:ascii="Arial" w:hAnsi="Arial" w:cs="Arial"/>
          <w:color w:val="000000" w:themeColor="text1"/>
          <w:sz w:val="22"/>
        </w:rPr>
        <w:t xml:space="preserve">test </w:t>
      </w:r>
      <w:r w:rsidRPr="005C36F7">
        <w:rPr>
          <w:rFonts w:ascii="Arial" w:hAnsi="Arial" w:cs="Arial"/>
          <w:color w:val="000000" w:themeColor="text1"/>
          <w:sz w:val="22"/>
        </w:rPr>
        <w:t xml:space="preserve">associations </w:t>
      </w:r>
      <w:r w:rsidR="001D62F4" w:rsidRPr="005C36F7">
        <w:rPr>
          <w:rFonts w:ascii="Arial" w:hAnsi="Arial" w:cs="Arial"/>
          <w:color w:val="000000" w:themeColor="text1"/>
          <w:sz w:val="22"/>
        </w:rPr>
        <w:t>among</w:t>
      </w:r>
      <w:r w:rsidRPr="005C36F7">
        <w:rPr>
          <w:rFonts w:ascii="Arial" w:hAnsi="Arial" w:cs="Arial"/>
          <w:color w:val="000000" w:themeColor="text1"/>
          <w:sz w:val="22"/>
        </w:rPr>
        <w:t xml:space="preserve"> measures of </w:t>
      </w:r>
      <w:r w:rsidR="00350667" w:rsidRPr="005C36F7">
        <w:rPr>
          <w:rFonts w:ascii="Arial" w:hAnsi="Arial" w:cs="Arial"/>
          <w:color w:val="000000" w:themeColor="text1"/>
          <w:sz w:val="22"/>
        </w:rPr>
        <w:t xml:space="preserve">anxiety, depression </w:t>
      </w:r>
      <w:r w:rsidRPr="005C36F7">
        <w:rPr>
          <w:rFonts w:ascii="Arial" w:hAnsi="Arial" w:cs="Arial"/>
          <w:color w:val="000000" w:themeColor="text1"/>
          <w:sz w:val="22"/>
        </w:rPr>
        <w:t xml:space="preserve">and serum levels of </w:t>
      </w:r>
      <w:r w:rsidR="006E314A" w:rsidRPr="005C36F7">
        <w:rPr>
          <w:rFonts w:ascii="Arial" w:hAnsi="Arial" w:cs="Arial"/>
          <w:color w:val="000000" w:themeColor="text1"/>
          <w:sz w:val="22"/>
        </w:rPr>
        <w:t>inflammatory markers</w:t>
      </w:r>
      <w:r w:rsidRPr="005C36F7">
        <w:rPr>
          <w:rFonts w:ascii="Arial" w:hAnsi="Arial" w:cs="Arial"/>
          <w:color w:val="000000" w:themeColor="text1"/>
          <w:sz w:val="22"/>
        </w:rPr>
        <w:t>.</w:t>
      </w:r>
    </w:p>
    <w:p w14:paraId="4875D370" w14:textId="77777777" w:rsidR="006E314A" w:rsidRPr="005C36F7" w:rsidRDefault="006E314A" w:rsidP="00740FA2">
      <w:pPr>
        <w:rPr>
          <w:rFonts w:ascii="Arial" w:hAnsi="Arial" w:cs="Arial"/>
          <w:color w:val="000000" w:themeColor="text1"/>
          <w:sz w:val="22"/>
        </w:rPr>
      </w:pPr>
    </w:p>
    <w:p w14:paraId="51028A44" w14:textId="6F965103" w:rsidR="00EF3131" w:rsidRPr="005C36F7" w:rsidRDefault="00672CB6" w:rsidP="00176A26">
      <w:pPr>
        <w:jc w:val="left"/>
        <w:rPr>
          <w:rFonts w:ascii="Arial" w:hAnsi="Arial" w:cs="Arial"/>
          <w:b/>
          <w:color w:val="000000" w:themeColor="text1"/>
          <w:sz w:val="22"/>
        </w:rPr>
      </w:pPr>
      <w:r w:rsidRPr="005C36F7">
        <w:rPr>
          <w:rFonts w:ascii="Arial" w:hAnsi="Arial" w:cs="Arial"/>
          <w:b/>
          <w:color w:val="000000" w:themeColor="text1"/>
          <w:sz w:val="22"/>
        </w:rPr>
        <w:t xml:space="preserve">3. </w:t>
      </w:r>
      <w:r w:rsidR="00EF3131" w:rsidRPr="005C36F7">
        <w:rPr>
          <w:rFonts w:ascii="Arial" w:hAnsi="Arial" w:cs="Arial"/>
          <w:b/>
          <w:color w:val="000000" w:themeColor="text1"/>
          <w:sz w:val="22"/>
        </w:rPr>
        <w:t>Results</w:t>
      </w:r>
      <w:r w:rsidR="00EF3131" w:rsidRPr="005C36F7" w:rsidDel="00EF3131">
        <w:rPr>
          <w:rFonts w:ascii="Arial" w:hAnsi="Arial" w:cs="Arial"/>
          <w:b/>
          <w:color w:val="000000" w:themeColor="text1"/>
          <w:sz w:val="22"/>
        </w:rPr>
        <w:t xml:space="preserve"> </w:t>
      </w:r>
    </w:p>
    <w:p w14:paraId="2B3FFA70" w14:textId="71E9CBA6" w:rsidR="00176A26" w:rsidRDefault="00672CB6" w:rsidP="00176A26">
      <w:pPr>
        <w:jc w:val="left"/>
        <w:rPr>
          <w:rFonts w:ascii="Arial" w:hAnsi="Arial" w:cs="Arial"/>
          <w:i/>
          <w:color w:val="000000" w:themeColor="text1"/>
          <w:sz w:val="22"/>
        </w:rPr>
      </w:pPr>
      <w:r w:rsidRPr="005C36F7">
        <w:rPr>
          <w:rFonts w:ascii="Arial" w:hAnsi="Arial" w:cs="Arial"/>
          <w:i/>
          <w:color w:val="000000" w:themeColor="text1"/>
          <w:sz w:val="22"/>
        </w:rPr>
        <w:t xml:space="preserve">3.1. </w:t>
      </w:r>
      <w:r w:rsidR="00176A26" w:rsidRPr="005C36F7">
        <w:rPr>
          <w:rFonts w:ascii="Arial" w:hAnsi="Arial" w:cs="Arial"/>
          <w:i/>
          <w:color w:val="000000" w:themeColor="text1"/>
          <w:sz w:val="22"/>
        </w:rPr>
        <w:t>Demographic features</w:t>
      </w:r>
    </w:p>
    <w:p w14:paraId="50776757" w14:textId="1124604A" w:rsidR="0052798A" w:rsidRDefault="00D66A44" w:rsidP="00A32AAE">
      <w:pPr>
        <w:rPr>
          <w:rFonts w:ascii="Arial" w:hAnsi="Arial" w:cs="Arial"/>
          <w:color w:val="000000" w:themeColor="text1"/>
          <w:sz w:val="22"/>
        </w:rPr>
      </w:pPr>
      <w:r w:rsidRPr="005C36F7">
        <w:rPr>
          <w:rFonts w:ascii="Arial" w:hAnsi="Arial" w:cs="Arial"/>
          <w:color w:val="000000" w:themeColor="text1"/>
          <w:sz w:val="22"/>
        </w:rPr>
        <w:t xml:space="preserve">The demographic characteristics of participants are </w:t>
      </w:r>
      <w:r w:rsidR="007D55DB" w:rsidRPr="005C36F7">
        <w:rPr>
          <w:rFonts w:ascii="Arial" w:hAnsi="Arial" w:cs="Arial"/>
          <w:color w:val="000000" w:themeColor="text1"/>
          <w:sz w:val="22"/>
        </w:rPr>
        <w:t xml:space="preserve">shown </w:t>
      </w:r>
      <w:r w:rsidRPr="005C36F7">
        <w:rPr>
          <w:rFonts w:ascii="Arial" w:hAnsi="Arial" w:cs="Arial"/>
          <w:color w:val="000000" w:themeColor="text1"/>
          <w:sz w:val="22"/>
        </w:rPr>
        <w:t xml:space="preserve">in </w:t>
      </w:r>
      <w:r w:rsidR="00552363" w:rsidRPr="005C36F7">
        <w:rPr>
          <w:rFonts w:ascii="Arial" w:hAnsi="Arial" w:cs="Arial"/>
          <w:color w:val="000000" w:themeColor="text1"/>
          <w:sz w:val="22"/>
        </w:rPr>
        <w:t>Table1</w:t>
      </w:r>
      <w:r w:rsidRPr="005C36F7">
        <w:rPr>
          <w:rFonts w:ascii="Arial" w:hAnsi="Arial" w:cs="Arial"/>
          <w:color w:val="000000" w:themeColor="text1"/>
          <w:sz w:val="22"/>
        </w:rPr>
        <w:t xml:space="preserve">. </w:t>
      </w:r>
      <w:r w:rsidR="00552363" w:rsidRPr="005C36F7">
        <w:rPr>
          <w:rFonts w:ascii="Arial" w:hAnsi="Arial" w:cs="Arial"/>
          <w:color w:val="000000" w:themeColor="text1"/>
          <w:sz w:val="22"/>
        </w:rPr>
        <w:t xml:space="preserve">There were significant differences </w:t>
      </w:r>
      <w:r w:rsidR="006E46B2" w:rsidRPr="005C36F7">
        <w:rPr>
          <w:rFonts w:ascii="Arial" w:hAnsi="Arial" w:cs="Arial"/>
          <w:color w:val="000000" w:themeColor="text1"/>
          <w:sz w:val="22"/>
        </w:rPr>
        <w:t xml:space="preserve">between </w:t>
      </w:r>
      <w:r w:rsidR="00552363" w:rsidRPr="005C36F7">
        <w:rPr>
          <w:rFonts w:ascii="Arial" w:hAnsi="Arial" w:cs="Arial"/>
          <w:color w:val="000000" w:themeColor="text1"/>
          <w:sz w:val="22"/>
        </w:rPr>
        <w:t xml:space="preserve">group in terms of </w:t>
      </w:r>
      <w:r w:rsidR="00AE1696" w:rsidRPr="005C36F7">
        <w:rPr>
          <w:rFonts w:ascii="Arial" w:hAnsi="Arial" w:cs="Arial"/>
          <w:color w:val="000000" w:themeColor="text1"/>
          <w:sz w:val="22"/>
        </w:rPr>
        <w:t>age, sex, marital status</w:t>
      </w:r>
      <w:r w:rsidR="0078372D" w:rsidRPr="005C36F7">
        <w:rPr>
          <w:rFonts w:ascii="Arial" w:hAnsi="Arial" w:cs="Arial"/>
          <w:color w:val="000000" w:themeColor="text1"/>
          <w:sz w:val="22"/>
        </w:rPr>
        <w:t xml:space="preserve"> and ethnicity</w:t>
      </w:r>
      <w:r w:rsidR="004B6B63" w:rsidRPr="005C36F7">
        <w:rPr>
          <w:rFonts w:ascii="Arial" w:hAnsi="Arial" w:cs="Arial"/>
          <w:color w:val="000000" w:themeColor="text1"/>
          <w:sz w:val="22"/>
        </w:rPr>
        <w:t xml:space="preserve"> </w:t>
      </w:r>
      <w:r w:rsidR="00552363" w:rsidRPr="005C36F7">
        <w:rPr>
          <w:rFonts w:ascii="Arial" w:hAnsi="Arial" w:cs="Arial"/>
          <w:color w:val="000000" w:themeColor="text1"/>
          <w:sz w:val="22"/>
        </w:rPr>
        <w:t>(p&lt;0.05)</w:t>
      </w:r>
      <w:r w:rsidR="00AE1696" w:rsidRPr="005C36F7">
        <w:rPr>
          <w:rFonts w:ascii="Arial" w:hAnsi="Arial" w:cs="Arial"/>
          <w:color w:val="000000" w:themeColor="text1"/>
          <w:sz w:val="22"/>
        </w:rPr>
        <w:t xml:space="preserve">. </w:t>
      </w:r>
      <w:r w:rsidR="00061164" w:rsidRPr="005C36F7">
        <w:rPr>
          <w:rFonts w:ascii="Arial" w:hAnsi="Arial" w:cs="Arial"/>
          <w:color w:val="000000" w:themeColor="text1"/>
          <w:sz w:val="22"/>
        </w:rPr>
        <w:t>However, there were no difference</w:t>
      </w:r>
      <w:r w:rsidR="007D55DB" w:rsidRPr="005C36F7">
        <w:rPr>
          <w:rFonts w:ascii="Arial" w:hAnsi="Arial" w:cs="Arial"/>
          <w:color w:val="000000" w:themeColor="text1"/>
          <w:sz w:val="22"/>
        </w:rPr>
        <w:t>s</w:t>
      </w:r>
      <w:r w:rsidR="00061164" w:rsidRPr="005C36F7">
        <w:rPr>
          <w:rFonts w:ascii="Arial" w:hAnsi="Arial" w:cs="Arial"/>
          <w:color w:val="000000" w:themeColor="text1"/>
          <w:sz w:val="22"/>
        </w:rPr>
        <w:t xml:space="preserve"> in terms of </w:t>
      </w:r>
      <w:r w:rsidR="00AE1696" w:rsidRPr="005C36F7">
        <w:rPr>
          <w:rFonts w:ascii="Arial" w:hAnsi="Arial" w:cs="Arial"/>
          <w:color w:val="000000" w:themeColor="text1"/>
          <w:sz w:val="22"/>
        </w:rPr>
        <w:t xml:space="preserve">education level </w:t>
      </w:r>
      <w:r w:rsidR="00061164" w:rsidRPr="005C36F7">
        <w:rPr>
          <w:rFonts w:ascii="Arial" w:hAnsi="Arial" w:cs="Arial"/>
          <w:color w:val="000000" w:themeColor="text1"/>
          <w:sz w:val="22"/>
        </w:rPr>
        <w:t>(p&gt;0.05)</w:t>
      </w:r>
      <w:r w:rsidR="00AE1696" w:rsidRPr="005C36F7">
        <w:rPr>
          <w:rFonts w:ascii="Arial" w:hAnsi="Arial" w:cs="Arial"/>
          <w:color w:val="000000" w:themeColor="text1"/>
          <w:sz w:val="22"/>
        </w:rPr>
        <w:t>.</w:t>
      </w:r>
    </w:p>
    <w:p w14:paraId="287B8E3C" w14:textId="77777777" w:rsidR="009A6497" w:rsidRDefault="009A6497" w:rsidP="0028538C">
      <w:pPr>
        <w:jc w:val="center"/>
        <w:rPr>
          <w:b/>
        </w:rPr>
      </w:pPr>
    </w:p>
    <w:p w14:paraId="62FEB1A1" w14:textId="25891529" w:rsidR="00407F3B" w:rsidRDefault="00407F3B" w:rsidP="00407F3B">
      <w:pPr>
        <w:jc w:val="center"/>
        <w:rPr>
          <w:b/>
        </w:rPr>
      </w:pPr>
      <w:r>
        <w:rPr>
          <w:b/>
        </w:rPr>
        <w:t>T</w:t>
      </w:r>
      <w:r>
        <w:rPr>
          <w:rFonts w:hint="eastAsia"/>
          <w:b/>
        </w:rPr>
        <w:t>able</w:t>
      </w:r>
      <w:r w:rsidR="001A5723">
        <w:rPr>
          <w:b/>
        </w:rPr>
        <w:t xml:space="preserve"> </w:t>
      </w:r>
      <w:r>
        <w:rPr>
          <w:rFonts w:hint="eastAsia"/>
          <w:b/>
        </w:rPr>
        <w:t xml:space="preserve">1 </w:t>
      </w:r>
      <w:r>
        <w:rPr>
          <w:b/>
        </w:rPr>
        <w:t>Group demographic</w:t>
      </w:r>
      <w:r w:rsidRPr="00DB0901">
        <w:rPr>
          <w:b/>
        </w:rPr>
        <w:t xml:space="preserve"> characteristics</w:t>
      </w:r>
    </w:p>
    <w:p w14:paraId="3CEC39B2" w14:textId="5DE99A41" w:rsidR="009A6497" w:rsidRDefault="007B7FF6" w:rsidP="001B68E2">
      <w:pPr>
        <w:jc w:val="left"/>
        <w:rPr>
          <w:b/>
        </w:rPr>
      </w:pPr>
      <w:r>
        <w:rPr>
          <w:noProof/>
          <w:lang w:eastAsia="en-GB"/>
        </w:rPr>
        <mc:AlternateContent>
          <mc:Choice Requires="wps">
            <w:drawing>
              <wp:anchor distT="0" distB="0" distL="114300" distR="114300" simplePos="0" relativeHeight="251659264" behindDoc="0" locked="0" layoutInCell="1" allowOverlap="1" wp14:anchorId="7F3372EE" wp14:editId="21E16BBF">
                <wp:simplePos x="0" y="0"/>
                <wp:positionH relativeFrom="column">
                  <wp:posOffset>449664</wp:posOffset>
                </wp:positionH>
                <wp:positionV relativeFrom="paragraph">
                  <wp:posOffset>3145971</wp:posOffset>
                </wp:positionV>
                <wp:extent cx="60290" cy="135653"/>
                <wp:effectExtent l="0" t="0" r="0" b="0"/>
                <wp:wrapNone/>
                <wp:docPr id="1" name="Text Box 1"/>
                <wp:cNvGraphicFramePr/>
                <a:graphic xmlns:a="http://schemas.openxmlformats.org/drawingml/2006/main">
                  <a:graphicData uri="http://schemas.microsoft.com/office/word/2010/wordprocessingShape">
                    <wps:wsp>
                      <wps:cNvSpPr txBox="1"/>
                      <wps:spPr>
                        <a:xfrm>
                          <a:off x="0" y="0"/>
                          <a:ext cx="60290" cy="135653"/>
                        </a:xfrm>
                        <a:prstGeom prst="rect">
                          <a:avLst/>
                        </a:prstGeom>
                        <a:solidFill>
                          <a:schemeClr val="lt1"/>
                        </a:solidFill>
                        <a:ln w="6350">
                          <a:noFill/>
                        </a:ln>
                      </wps:spPr>
                      <wps:txbx>
                        <w:txbxContent>
                          <w:p w14:paraId="6B3F71F2" w14:textId="77777777" w:rsidR="007B7FF6" w:rsidRPr="00C21EC6" w:rsidRDefault="007B7FF6">
                            <w:pPr>
                              <w:rPr>
                                <w:color w:val="FFFFFF" w:themeColor="background1"/>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372EE" id="_x0000_t202" coordsize="21600,21600" o:spt="202" path="m,l,21600r21600,l21600,xe">
                <v:stroke joinstyle="miter"/>
                <v:path gradientshapeok="t" o:connecttype="rect"/>
              </v:shapetype>
              <v:shape id="Text Box 1" o:spid="_x0000_s1026" type="#_x0000_t202" style="position:absolute;margin-left:35.4pt;margin-top:247.7pt;width:4.75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" fillcolor="white [3201]" stroked="f" strokeweight=".5pt">
                <v:textbox style="layout-flow:vertical-ideographic">
                  <w:txbxContent>
                    <w:p w14:paraId="6B3F71F2" w14:textId="77777777" w:rsidR="007B7FF6" w:rsidRPr="00C21EC6" w:rsidRDefault="007B7FF6">
                      <w:pPr>
                        <w:rPr>
                          <w:color w:val="FFFFFF" w:themeColor="background1"/>
                        </w:rPr>
                      </w:pPr>
                    </w:p>
                  </w:txbxContent>
                </v:textbox>
              </v:shape>
            </w:pict>
          </mc:Fallback>
        </mc:AlternateContent>
      </w:r>
      <w:r w:rsidR="007660EF">
        <w:rPr>
          <w:b/>
          <w:noProof/>
        </w:rPr>
        <w:drawing>
          <wp:inline distT="0" distB="0" distL="0" distR="0" wp14:anchorId="09BF5B74" wp14:editId="7F250D19">
            <wp:extent cx="5633085" cy="3535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3085" cy="3535680"/>
                    </a:xfrm>
                    <a:prstGeom prst="rect">
                      <a:avLst/>
                    </a:prstGeom>
                    <a:noFill/>
                  </pic:spPr>
                </pic:pic>
              </a:graphicData>
            </a:graphic>
          </wp:inline>
        </w:drawing>
      </w:r>
    </w:p>
    <w:p w14:paraId="0DDFF23C" w14:textId="241D60FA" w:rsidR="0028538C" w:rsidRPr="001B68E2" w:rsidRDefault="00A66652" w:rsidP="0028538C">
      <w:pPr>
        <w:rPr>
          <w:sz w:val="20"/>
          <w:szCs w:val="20"/>
        </w:rPr>
      </w:pPr>
      <w:r w:rsidRPr="001B68E2">
        <w:rPr>
          <w:sz w:val="20"/>
          <w:szCs w:val="20"/>
        </w:rPr>
        <w:t>SAn: nonsmoking patients with severe asthma; SAs/ex: smoking patients with severe asthma; MMA: nonsmoking patients with mild-to-moderate asthma; HC: healthy nonsmokers. *p&lt;0.05; ** p&lt;0.01.</w:t>
      </w:r>
    </w:p>
    <w:p w14:paraId="30D5F547" w14:textId="77777777" w:rsidR="00A66652" w:rsidRDefault="00A66652" w:rsidP="0028538C"/>
    <w:p w14:paraId="77F6E91C" w14:textId="1CD459FE" w:rsidR="009201B2" w:rsidRPr="005C36F7" w:rsidRDefault="00672CB6" w:rsidP="009201B2">
      <w:pPr>
        <w:jc w:val="left"/>
        <w:rPr>
          <w:rFonts w:ascii="Arial" w:hAnsi="Arial" w:cs="Arial"/>
          <w:i/>
          <w:color w:val="000000" w:themeColor="text1"/>
          <w:sz w:val="22"/>
        </w:rPr>
      </w:pPr>
      <w:r w:rsidRPr="005C36F7">
        <w:rPr>
          <w:rFonts w:ascii="Arial" w:hAnsi="Arial" w:cs="Arial"/>
          <w:i/>
          <w:color w:val="000000" w:themeColor="text1"/>
          <w:sz w:val="22"/>
        </w:rPr>
        <w:t xml:space="preserve">3.2. </w:t>
      </w:r>
      <w:r w:rsidR="009201B2" w:rsidRPr="005C36F7">
        <w:rPr>
          <w:rFonts w:ascii="Arial" w:hAnsi="Arial" w:cs="Arial"/>
          <w:i/>
          <w:color w:val="000000" w:themeColor="text1"/>
          <w:sz w:val="22"/>
        </w:rPr>
        <w:t xml:space="preserve">Psychometric </w:t>
      </w:r>
      <w:r w:rsidR="00656C86" w:rsidRPr="005C36F7">
        <w:rPr>
          <w:rFonts w:ascii="Arial" w:hAnsi="Arial" w:cs="Arial"/>
          <w:i/>
          <w:color w:val="000000" w:themeColor="text1"/>
          <w:sz w:val="22"/>
        </w:rPr>
        <w:t>measures of anxiety and depression</w:t>
      </w:r>
    </w:p>
    <w:p w14:paraId="4F88B0F8" w14:textId="33781C08" w:rsidR="009201B2" w:rsidRDefault="009201B2" w:rsidP="00740FA2">
      <w:pPr>
        <w:rPr>
          <w:rFonts w:ascii="Arial" w:hAnsi="Arial" w:cs="Arial"/>
          <w:color w:val="000000" w:themeColor="text1"/>
          <w:sz w:val="22"/>
        </w:rPr>
      </w:pPr>
      <w:r w:rsidRPr="005C36F7">
        <w:rPr>
          <w:rFonts w:ascii="Arial" w:hAnsi="Arial" w:cs="Arial"/>
          <w:color w:val="000000" w:themeColor="text1"/>
          <w:sz w:val="22"/>
        </w:rPr>
        <w:t>The average</w:t>
      </w:r>
      <w:r w:rsidR="00C92FAE" w:rsidRPr="005C36F7">
        <w:rPr>
          <w:rFonts w:ascii="Arial" w:hAnsi="Arial" w:cs="Arial"/>
          <w:color w:val="000000" w:themeColor="text1"/>
          <w:sz w:val="22"/>
        </w:rPr>
        <w:t xml:space="preserve"> </w:t>
      </w:r>
      <w:r w:rsidR="0081448A" w:rsidRPr="005C36F7">
        <w:rPr>
          <w:rFonts w:ascii="Arial" w:hAnsi="Arial" w:cs="Arial"/>
          <w:color w:val="000000" w:themeColor="text1"/>
          <w:sz w:val="22"/>
        </w:rPr>
        <w:t>anxiety scores</w:t>
      </w:r>
      <w:r w:rsidR="00BE77A8">
        <w:rPr>
          <w:rFonts w:ascii="Arial" w:hAnsi="Arial" w:cs="Arial"/>
          <w:color w:val="000000" w:themeColor="text1"/>
          <w:sz w:val="22"/>
        </w:rPr>
        <w:t>, depression scores, and HADS total scores</w:t>
      </w:r>
      <w:r w:rsidR="00295444">
        <w:rPr>
          <w:rFonts w:ascii="Arial" w:hAnsi="Arial" w:cs="Arial"/>
          <w:color w:val="000000" w:themeColor="text1"/>
          <w:sz w:val="22"/>
        </w:rPr>
        <w:t xml:space="preserve"> among </w:t>
      </w:r>
      <w:r w:rsidR="007A5771">
        <w:rPr>
          <w:rFonts w:ascii="Arial" w:hAnsi="Arial" w:cs="Arial"/>
          <w:color w:val="000000" w:themeColor="text1"/>
          <w:sz w:val="22"/>
        </w:rPr>
        <w:t xml:space="preserve">each of the four cohorts </w:t>
      </w:r>
      <w:r w:rsidR="00295444">
        <w:rPr>
          <w:rFonts w:ascii="Arial" w:hAnsi="Arial" w:cs="Arial"/>
          <w:color w:val="000000" w:themeColor="text1"/>
          <w:sz w:val="22"/>
        </w:rPr>
        <w:t>were shown in Table 2.</w:t>
      </w:r>
      <w:r w:rsidR="0081448A" w:rsidRPr="005C36F7">
        <w:rPr>
          <w:rFonts w:ascii="Arial" w:hAnsi="Arial" w:cs="Arial"/>
          <w:color w:val="000000" w:themeColor="text1"/>
          <w:sz w:val="22"/>
        </w:rPr>
        <w:t xml:space="preserve"> </w:t>
      </w:r>
      <w:r w:rsidR="00664126" w:rsidRPr="005C36F7">
        <w:rPr>
          <w:rFonts w:ascii="Arial" w:hAnsi="Arial" w:cs="Arial"/>
          <w:color w:val="000000" w:themeColor="text1"/>
          <w:sz w:val="22"/>
        </w:rPr>
        <w:t>There was a significant group effect on anxiety score</w:t>
      </w:r>
      <w:r w:rsidR="00C2331F" w:rsidRPr="005C36F7">
        <w:rPr>
          <w:rFonts w:ascii="Arial" w:hAnsi="Arial" w:cs="Arial"/>
          <w:color w:val="000000" w:themeColor="text1"/>
          <w:sz w:val="22"/>
        </w:rPr>
        <w:t xml:space="preserve"> </w:t>
      </w:r>
      <w:r w:rsidR="00664126" w:rsidRPr="005C36F7">
        <w:rPr>
          <w:rFonts w:ascii="Arial" w:hAnsi="Arial" w:cs="Arial"/>
          <w:color w:val="000000" w:themeColor="text1"/>
          <w:sz w:val="22"/>
        </w:rPr>
        <w:t xml:space="preserve">(H=37.66, </w:t>
      </w:r>
      <w:r w:rsidR="00BC7F07" w:rsidRPr="00EE027B">
        <w:rPr>
          <w:rFonts w:ascii="Arial" w:hAnsi="Arial" w:cs="Arial"/>
          <w:i/>
          <w:iCs/>
          <w:color w:val="000000" w:themeColor="text1"/>
          <w:sz w:val="22"/>
        </w:rPr>
        <w:t>p</w:t>
      </w:r>
      <w:r w:rsidR="00664126" w:rsidRPr="005C36F7">
        <w:rPr>
          <w:rFonts w:ascii="Arial" w:hAnsi="Arial" w:cs="Arial"/>
          <w:color w:val="000000" w:themeColor="text1"/>
          <w:sz w:val="22"/>
        </w:rPr>
        <w:t>&lt;0.001)</w:t>
      </w:r>
      <w:r w:rsidR="00656C86" w:rsidRPr="005C36F7">
        <w:rPr>
          <w:rFonts w:ascii="Arial" w:hAnsi="Arial" w:cs="Arial"/>
          <w:color w:val="000000" w:themeColor="text1"/>
          <w:sz w:val="22"/>
        </w:rPr>
        <w:t>, with the SAs group show</w:t>
      </w:r>
      <w:r w:rsidR="006E46B2" w:rsidRPr="005C36F7">
        <w:rPr>
          <w:rFonts w:ascii="Arial" w:hAnsi="Arial" w:cs="Arial"/>
          <w:color w:val="000000" w:themeColor="text1"/>
          <w:sz w:val="22"/>
        </w:rPr>
        <w:t>ing</w:t>
      </w:r>
      <w:r w:rsidR="00656C86" w:rsidRPr="005C36F7">
        <w:rPr>
          <w:rFonts w:ascii="Arial" w:hAnsi="Arial" w:cs="Arial"/>
          <w:color w:val="000000" w:themeColor="text1"/>
          <w:sz w:val="22"/>
        </w:rPr>
        <w:t xml:space="preserve"> the highest anxiety level. </w:t>
      </w:r>
      <w:r w:rsidR="00501366" w:rsidRPr="005C36F7">
        <w:rPr>
          <w:rFonts w:ascii="Arial" w:hAnsi="Arial" w:cs="Arial"/>
          <w:color w:val="000000" w:themeColor="text1"/>
          <w:sz w:val="22"/>
        </w:rPr>
        <w:t>There was a significant group effect on depression score</w:t>
      </w:r>
      <w:r w:rsidR="0018134E" w:rsidRPr="005C36F7">
        <w:rPr>
          <w:rFonts w:ascii="Arial" w:hAnsi="Arial" w:cs="Arial"/>
          <w:color w:val="000000" w:themeColor="text1"/>
          <w:sz w:val="22"/>
        </w:rPr>
        <w:t xml:space="preserve"> </w:t>
      </w:r>
      <w:r w:rsidR="00501366" w:rsidRPr="005C36F7">
        <w:rPr>
          <w:rFonts w:ascii="Arial" w:hAnsi="Arial" w:cs="Arial"/>
          <w:color w:val="000000" w:themeColor="text1"/>
          <w:sz w:val="22"/>
        </w:rPr>
        <w:t xml:space="preserve">(H=45.71, </w:t>
      </w:r>
      <w:r w:rsidR="00BC7F07" w:rsidRPr="00EE027B">
        <w:rPr>
          <w:rFonts w:ascii="Arial" w:hAnsi="Arial" w:cs="Arial"/>
          <w:i/>
          <w:iCs/>
          <w:color w:val="000000" w:themeColor="text1"/>
          <w:sz w:val="22"/>
        </w:rPr>
        <w:t>p</w:t>
      </w:r>
      <w:r w:rsidR="00501366" w:rsidRPr="005C36F7">
        <w:rPr>
          <w:rFonts w:ascii="Arial" w:hAnsi="Arial" w:cs="Arial"/>
          <w:color w:val="000000" w:themeColor="text1"/>
          <w:sz w:val="22"/>
        </w:rPr>
        <w:t>&lt;0.001).</w:t>
      </w:r>
      <w:r w:rsidR="00782EE5" w:rsidRPr="005C36F7">
        <w:rPr>
          <w:rFonts w:ascii="Arial" w:hAnsi="Arial" w:cs="Arial"/>
          <w:color w:val="000000" w:themeColor="text1"/>
          <w:sz w:val="22"/>
        </w:rPr>
        <w:t xml:space="preserve"> </w:t>
      </w:r>
      <w:r w:rsidR="00501366" w:rsidRPr="005C36F7">
        <w:rPr>
          <w:rFonts w:ascii="Arial" w:hAnsi="Arial" w:cs="Arial"/>
          <w:color w:val="000000" w:themeColor="text1"/>
          <w:sz w:val="22"/>
        </w:rPr>
        <w:t xml:space="preserve">There was </w:t>
      </w:r>
      <w:r w:rsidR="00820F62">
        <w:rPr>
          <w:rFonts w:ascii="Arial" w:hAnsi="Arial" w:cs="Arial"/>
          <w:color w:val="000000" w:themeColor="text1"/>
          <w:sz w:val="22"/>
        </w:rPr>
        <w:t xml:space="preserve">also </w:t>
      </w:r>
      <w:r w:rsidR="00501366" w:rsidRPr="005C36F7">
        <w:rPr>
          <w:rFonts w:ascii="Arial" w:hAnsi="Arial" w:cs="Arial"/>
          <w:color w:val="000000" w:themeColor="text1"/>
          <w:sz w:val="22"/>
        </w:rPr>
        <w:t>a significant group effect on total scores</w:t>
      </w:r>
      <w:r w:rsidR="007F5E4E" w:rsidRPr="005C36F7">
        <w:rPr>
          <w:rFonts w:ascii="Arial" w:hAnsi="Arial" w:cs="Arial"/>
          <w:color w:val="000000" w:themeColor="text1"/>
          <w:sz w:val="22"/>
        </w:rPr>
        <w:t xml:space="preserve"> </w:t>
      </w:r>
      <w:r w:rsidR="00501366" w:rsidRPr="005C36F7">
        <w:rPr>
          <w:rFonts w:ascii="Arial" w:hAnsi="Arial" w:cs="Arial"/>
          <w:color w:val="000000" w:themeColor="text1"/>
          <w:sz w:val="22"/>
        </w:rPr>
        <w:t xml:space="preserve">(H=46.18, </w:t>
      </w:r>
      <w:r w:rsidR="00BC7F07" w:rsidRPr="00EE027B">
        <w:rPr>
          <w:rFonts w:ascii="Arial" w:hAnsi="Arial" w:cs="Arial"/>
          <w:i/>
          <w:iCs/>
          <w:color w:val="000000" w:themeColor="text1"/>
          <w:sz w:val="22"/>
        </w:rPr>
        <w:t>p</w:t>
      </w:r>
      <w:r w:rsidR="00501366" w:rsidRPr="005C36F7">
        <w:rPr>
          <w:rFonts w:ascii="Arial" w:hAnsi="Arial" w:cs="Arial"/>
          <w:color w:val="000000" w:themeColor="text1"/>
          <w:sz w:val="22"/>
        </w:rPr>
        <w:t>&lt;0.001)</w:t>
      </w:r>
      <w:r w:rsidR="00656C86" w:rsidRPr="005C36F7">
        <w:rPr>
          <w:rFonts w:ascii="Arial" w:hAnsi="Arial" w:cs="Arial"/>
          <w:color w:val="000000" w:themeColor="text1"/>
          <w:sz w:val="22"/>
        </w:rPr>
        <w:t xml:space="preserve"> </w:t>
      </w:r>
      <w:r w:rsidR="00A3450F" w:rsidRPr="005C36F7">
        <w:rPr>
          <w:rFonts w:ascii="Arial" w:hAnsi="Arial" w:cs="Arial"/>
          <w:color w:val="000000" w:themeColor="text1"/>
          <w:sz w:val="22"/>
        </w:rPr>
        <w:t>(</w:t>
      </w:r>
      <w:r w:rsidR="00656C86" w:rsidRPr="005C36F7">
        <w:rPr>
          <w:rFonts w:ascii="Arial" w:hAnsi="Arial" w:cs="Arial"/>
          <w:color w:val="000000" w:themeColor="text1"/>
          <w:sz w:val="22"/>
        </w:rPr>
        <w:t xml:space="preserve">see </w:t>
      </w:r>
      <w:r w:rsidR="00A3450F" w:rsidRPr="005C36F7">
        <w:rPr>
          <w:rFonts w:ascii="Arial" w:hAnsi="Arial" w:cs="Arial"/>
          <w:color w:val="000000" w:themeColor="text1"/>
          <w:sz w:val="22"/>
        </w:rPr>
        <w:t>Table</w:t>
      </w:r>
      <w:r w:rsidR="00A70588">
        <w:rPr>
          <w:rFonts w:ascii="Arial" w:hAnsi="Arial" w:cs="Arial"/>
          <w:color w:val="000000" w:themeColor="text1"/>
          <w:sz w:val="22"/>
        </w:rPr>
        <w:t xml:space="preserve"> </w:t>
      </w:r>
      <w:r w:rsidR="00A3450F" w:rsidRPr="005C36F7">
        <w:rPr>
          <w:rFonts w:ascii="Arial" w:hAnsi="Arial" w:cs="Arial"/>
          <w:color w:val="000000" w:themeColor="text1"/>
          <w:sz w:val="22"/>
        </w:rPr>
        <w:t>2</w:t>
      </w:r>
      <w:r w:rsidR="00A70588">
        <w:rPr>
          <w:rFonts w:ascii="Arial" w:hAnsi="Arial" w:cs="Arial"/>
          <w:color w:val="000000" w:themeColor="text1"/>
          <w:sz w:val="22"/>
        </w:rPr>
        <w:t>a</w:t>
      </w:r>
      <w:r w:rsidR="00A3450F" w:rsidRPr="005C36F7">
        <w:rPr>
          <w:rFonts w:ascii="Arial" w:hAnsi="Arial" w:cs="Arial"/>
          <w:color w:val="000000" w:themeColor="text1"/>
          <w:sz w:val="22"/>
        </w:rPr>
        <w:t>)</w:t>
      </w:r>
      <w:r w:rsidR="00782EE5" w:rsidRPr="005C36F7">
        <w:rPr>
          <w:rFonts w:ascii="Arial" w:hAnsi="Arial" w:cs="Arial"/>
          <w:color w:val="000000" w:themeColor="text1"/>
          <w:sz w:val="22"/>
        </w:rPr>
        <w:t>.</w:t>
      </w:r>
      <w:r w:rsidR="004B6B63" w:rsidRPr="005C36F7">
        <w:rPr>
          <w:rFonts w:ascii="Arial" w:hAnsi="Arial" w:cs="Arial"/>
          <w:color w:val="000000" w:themeColor="text1"/>
          <w:sz w:val="22"/>
        </w:rPr>
        <w:t xml:space="preserve"> </w:t>
      </w:r>
      <w:r w:rsidR="00C2331F" w:rsidRPr="005C36F7">
        <w:rPr>
          <w:rFonts w:ascii="Arial" w:hAnsi="Arial" w:cs="Arial"/>
          <w:color w:val="000000" w:themeColor="text1"/>
          <w:sz w:val="22"/>
        </w:rPr>
        <w:t>Post-</w:t>
      </w:r>
      <w:r w:rsidR="003A4F2E" w:rsidRPr="005C36F7">
        <w:rPr>
          <w:rFonts w:ascii="Arial" w:hAnsi="Arial" w:cs="Arial"/>
          <w:color w:val="000000" w:themeColor="text1"/>
          <w:sz w:val="22"/>
        </w:rPr>
        <w:t xml:space="preserve">hoc </w:t>
      </w:r>
      <w:r w:rsidR="000023A2" w:rsidRPr="005C36F7">
        <w:rPr>
          <w:rFonts w:ascii="Arial" w:hAnsi="Arial" w:cs="Arial"/>
          <w:color w:val="000000" w:themeColor="text1"/>
          <w:sz w:val="22"/>
        </w:rPr>
        <w:t xml:space="preserve">analysis </w:t>
      </w:r>
      <w:r w:rsidR="005E40DC" w:rsidRPr="005C36F7">
        <w:rPr>
          <w:rFonts w:ascii="Arial" w:hAnsi="Arial" w:cs="Arial"/>
          <w:color w:val="000000" w:themeColor="text1"/>
          <w:sz w:val="22"/>
        </w:rPr>
        <w:t>found</w:t>
      </w:r>
      <w:r w:rsidR="003A4F2E" w:rsidRPr="005C36F7">
        <w:rPr>
          <w:rFonts w:ascii="Arial" w:hAnsi="Arial" w:cs="Arial"/>
          <w:color w:val="000000" w:themeColor="text1"/>
          <w:sz w:val="22"/>
        </w:rPr>
        <w:t xml:space="preserve"> that </w:t>
      </w:r>
      <w:r w:rsidR="005E40DC" w:rsidRPr="005C36F7">
        <w:rPr>
          <w:rFonts w:ascii="Arial" w:hAnsi="Arial" w:cs="Arial"/>
          <w:color w:val="000000" w:themeColor="text1"/>
          <w:sz w:val="22"/>
        </w:rPr>
        <w:t xml:space="preserve">anxiety, depression and total scores of HADS of SAn and SAs groups were significantly higher than </w:t>
      </w:r>
      <w:r w:rsidR="00C2331F" w:rsidRPr="005C36F7">
        <w:rPr>
          <w:rFonts w:ascii="Arial" w:hAnsi="Arial" w:cs="Arial"/>
          <w:color w:val="000000" w:themeColor="text1"/>
          <w:sz w:val="22"/>
        </w:rPr>
        <w:t xml:space="preserve">that of </w:t>
      </w:r>
      <w:r w:rsidR="005E40DC" w:rsidRPr="005C36F7">
        <w:rPr>
          <w:rFonts w:ascii="Arial" w:hAnsi="Arial" w:cs="Arial"/>
          <w:color w:val="000000" w:themeColor="text1"/>
          <w:sz w:val="22"/>
        </w:rPr>
        <w:t>MMA and HC groups</w:t>
      </w:r>
      <w:r w:rsidR="00A37983" w:rsidRPr="005C36F7">
        <w:rPr>
          <w:rFonts w:ascii="Arial" w:hAnsi="Arial" w:cs="Arial"/>
          <w:color w:val="000000" w:themeColor="text1"/>
          <w:sz w:val="22"/>
        </w:rPr>
        <w:t xml:space="preserve"> </w:t>
      </w:r>
      <w:r w:rsidR="005E40DC" w:rsidRPr="005C36F7">
        <w:rPr>
          <w:rFonts w:ascii="Arial" w:hAnsi="Arial" w:cs="Arial"/>
          <w:color w:val="000000" w:themeColor="text1"/>
          <w:sz w:val="22"/>
        </w:rPr>
        <w:t>(</w:t>
      </w:r>
      <w:r w:rsidR="00BC7F07" w:rsidRPr="00EE027B">
        <w:rPr>
          <w:rFonts w:ascii="Arial" w:hAnsi="Arial" w:cs="Arial"/>
          <w:i/>
          <w:iCs/>
          <w:color w:val="000000" w:themeColor="text1"/>
          <w:sz w:val="22"/>
        </w:rPr>
        <w:t>p</w:t>
      </w:r>
      <w:r w:rsidR="005E40DC" w:rsidRPr="005C36F7">
        <w:rPr>
          <w:rFonts w:ascii="Arial" w:hAnsi="Arial" w:cs="Arial"/>
          <w:color w:val="000000" w:themeColor="text1"/>
          <w:sz w:val="22"/>
        </w:rPr>
        <w:t xml:space="preserve">&lt;0.01), </w:t>
      </w:r>
      <w:r w:rsidR="009104FD" w:rsidRPr="005C36F7">
        <w:rPr>
          <w:rFonts w:ascii="Arial" w:hAnsi="Arial" w:cs="Arial"/>
          <w:color w:val="000000" w:themeColor="text1"/>
          <w:sz w:val="22"/>
        </w:rPr>
        <w:t xml:space="preserve">however, </w:t>
      </w:r>
      <w:r w:rsidR="005E40DC" w:rsidRPr="005C36F7">
        <w:rPr>
          <w:rFonts w:ascii="Arial" w:hAnsi="Arial" w:cs="Arial"/>
          <w:color w:val="000000" w:themeColor="text1"/>
          <w:sz w:val="22"/>
        </w:rPr>
        <w:t>there were no significant difference</w:t>
      </w:r>
      <w:r w:rsidR="00A37983" w:rsidRPr="005C36F7">
        <w:rPr>
          <w:rFonts w:ascii="Arial" w:hAnsi="Arial" w:cs="Arial"/>
          <w:color w:val="000000" w:themeColor="text1"/>
          <w:sz w:val="22"/>
        </w:rPr>
        <w:t>s</w:t>
      </w:r>
      <w:r w:rsidR="005E40DC" w:rsidRPr="005C36F7">
        <w:rPr>
          <w:rFonts w:ascii="Arial" w:hAnsi="Arial" w:cs="Arial"/>
          <w:color w:val="000000" w:themeColor="text1"/>
          <w:sz w:val="22"/>
        </w:rPr>
        <w:t xml:space="preserve"> between SAn and SAs groups or </w:t>
      </w:r>
      <w:r w:rsidR="006E46B2" w:rsidRPr="005C36F7">
        <w:rPr>
          <w:rFonts w:ascii="Arial" w:hAnsi="Arial" w:cs="Arial"/>
          <w:color w:val="000000" w:themeColor="text1"/>
          <w:sz w:val="22"/>
        </w:rPr>
        <w:t xml:space="preserve">between the </w:t>
      </w:r>
      <w:r w:rsidR="005E40DC" w:rsidRPr="005C36F7">
        <w:rPr>
          <w:rFonts w:ascii="Arial" w:hAnsi="Arial" w:cs="Arial"/>
          <w:color w:val="000000" w:themeColor="text1"/>
          <w:sz w:val="22"/>
        </w:rPr>
        <w:t>MMA and HC groups.</w:t>
      </w:r>
      <w:r w:rsidR="004C331C">
        <w:rPr>
          <w:rFonts w:ascii="Arial" w:hAnsi="Arial" w:cs="Arial"/>
          <w:color w:val="000000" w:themeColor="text1"/>
          <w:sz w:val="22"/>
        </w:rPr>
        <w:t xml:space="preserve"> The effect of oral corticosteroid use was also examined in </w:t>
      </w:r>
      <w:r w:rsidR="0068086E">
        <w:rPr>
          <w:rFonts w:ascii="Arial" w:hAnsi="Arial" w:cs="Arial"/>
          <w:color w:val="000000" w:themeColor="text1"/>
          <w:sz w:val="22"/>
        </w:rPr>
        <w:t>both the SAn and SAs groups.</w:t>
      </w:r>
      <w:r w:rsidR="000304C3">
        <w:rPr>
          <w:rFonts w:ascii="Arial" w:hAnsi="Arial" w:cs="Arial"/>
          <w:color w:val="000000" w:themeColor="text1"/>
          <w:sz w:val="22"/>
        </w:rPr>
        <w:t xml:space="preserve"> There were 102 S</w:t>
      </w:r>
      <w:r w:rsidR="0033447A">
        <w:rPr>
          <w:rFonts w:ascii="Arial" w:hAnsi="Arial" w:cs="Arial"/>
          <w:color w:val="000000" w:themeColor="text1"/>
          <w:sz w:val="22"/>
        </w:rPr>
        <w:t>A</w:t>
      </w:r>
      <w:r w:rsidR="000304C3">
        <w:rPr>
          <w:rFonts w:ascii="Arial" w:hAnsi="Arial" w:cs="Arial"/>
          <w:color w:val="000000" w:themeColor="text1"/>
          <w:sz w:val="22"/>
        </w:rPr>
        <w:t xml:space="preserve">n </w:t>
      </w:r>
      <w:r w:rsidR="0033447A">
        <w:rPr>
          <w:rFonts w:ascii="Arial" w:hAnsi="Arial" w:cs="Arial"/>
          <w:color w:val="000000" w:themeColor="text1"/>
          <w:sz w:val="22"/>
        </w:rPr>
        <w:t xml:space="preserve">who took oral </w:t>
      </w:r>
      <w:r w:rsidR="0033447A" w:rsidRPr="0033447A">
        <w:rPr>
          <w:rFonts w:ascii="Arial" w:hAnsi="Arial" w:cs="Arial"/>
          <w:color w:val="000000" w:themeColor="text1"/>
          <w:sz w:val="22"/>
        </w:rPr>
        <w:t>corticosteroid</w:t>
      </w:r>
      <w:r w:rsidR="0033447A">
        <w:rPr>
          <w:rFonts w:ascii="Arial" w:hAnsi="Arial" w:cs="Arial"/>
          <w:color w:val="000000" w:themeColor="text1"/>
          <w:sz w:val="22"/>
        </w:rPr>
        <w:t xml:space="preserve"> (OCS) whereas 96 SAs patients did not use OCS. Within the SAn cohort, there were 38 patients took OCS whereas 27 patients did not.  Data analysis did not reveal any</w:t>
      </w:r>
      <w:r w:rsidR="0068086E">
        <w:rPr>
          <w:rFonts w:ascii="Arial" w:hAnsi="Arial" w:cs="Arial"/>
          <w:color w:val="000000" w:themeColor="text1"/>
          <w:sz w:val="22"/>
        </w:rPr>
        <w:t xml:space="preserve"> significant treatment effects on </w:t>
      </w:r>
      <w:r w:rsidR="0014425E">
        <w:rPr>
          <w:rFonts w:ascii="Arial" w:hAnsi="Arial" w:cs="Arial"/>
          <w:color w:val="000000" w:themeColor="text1"/>
          <w:sz w:val="22"/>
        </w:rPr>
        <w:t>anxiety or depression</w:t>
      </w:r>
      <w:r w:rsidR="00101846">
        <w:rPr>
          <w:rFonts w:ascii="Arial" w:hAnsi="Arial" w:cs="Arial"/>
          <w:color w:val="000000" w:themeColor="text1"/>
          <w:sz w:val="22"/>
        </w:rPr>
        <w:t xml:space="preserve"> (</w:t>
      </w:r>
      <w:r w:rsidR="00101846" w:rsidRPr="00EE027B">
        <w:rPr>
          <w:rFonts w:ascii="Arial" w:hAnsi="Arial" w:cs="Arial"/>
          <w:i/>
          <w:iCs/>
          <w:color w:val="000000" w:themeColor="text1"/>
          <w:sz w:val="22"/>
        </w:rPr>
        <w:t>p</w:t>
      </w:r>
      <w:r w:rsidR="00101846">
        <w:rPr>
          <w:rFonts w:ascii="Arial" w:hAnsi="Arial" w:cs="Arial"/>
          <w:color w:val="000000" w:themeColor="text1"/>
          <w:sz w:val="22"/>
        </w:rPr>
        <w:t>&gt;0.05), see Table 2b</w:t>
      </w:r>
      <w:r w:rsidR="0014425E">
        <w:rPr>
          <w:rFonts w:ascii="Arial" w:hAnsi="Arial" w:cs="Arial"/>
          <w:color w:val="000000" w:themeColor="text1"/>
          <w:sz w:val="22"/>
        </w:rPr>
        <w:t xml:space="preserve">. </w:t>
      </w:r>
      <w:r w:rsidR="0068086E">
        <w:rPr>
          <w:rFonts w:ascii="Arial" w:hAnsi="Arial" w:cs="Arial"/>
          <w:color w:val="000000" w:themeColor="text1"/>
          <w:sz w:val="22"/>
        </w:rPr>
        <w:t xml:space="preserve"> </w:t>
      </w:r>
      <w:r w:rsidR="004C331C">
        <w:rPr>
          <w:rFonts w:ascii="Arial" w:hAnsi="Arial" w:cs="Arial"/>
          <w:color w:val="000000" w:themeColor="text1"/>
          <w:sz w:val="22"/>
        </w:rPr>
        <w:t xml:space="preserve">  </w:t>
      </w:r>
    </w:p>
    <w:p w14:paraId="2028FAF9" w14:textId="5F30F63A" w:rsidR="00C00612" w:rsidRDefault="00C00612" w:rsidP="00740FA2">
      <w:pPr>
        <w:rPr>
          <w:rFonts w:ascii="Arial" w:hAnsi="Arial" w:cs="Arial"/>
          <w:color w:val="000000" w:themeColor="text1"/>
          <w:sz w:val="22"/>
        </w:rPr>
      </w:pPr>
    </w:p>
    <w:p w14:paraId="564A2C17" w14:textId="12513220" w:rsidR="00C00612" w:rsidRPr="001939D3" w:rsidRDefault="00C00612" w:rsidP="00C00612">
      <w:pPr>
        <w:jc w:val="center"/>
        <w:rPr>
          <w:b/>
        </w:rPr>
      </w:pPr>
      <w:r>
        <w:rPr>
          <w:b/>
        </w:rPr>
        <w:t>Table</w:t>
      </w:r>
      <w:r w:rsidR="001A5723">
        <w:rPr>
          <w:b/>
        </w:rPr>
        <w:t xml:space="preserve"> </w:t>
      </w:r>
      <w:r>
        <w:rPr>
          <w:rFonts w:hint="eastAsia"/>
          <w:b/>
        </w:rPr>
        <w:t>2</w:t>
      </w:r>
      <w:r w:rsidR="00290137">
        <w:rPr>
          <w:b/>
        </w:rPr>
        <w:t>a</w:t>
      </w:r>
      <w:r>
        <w:rPr>
          <w:rFonts w:hint="eastAsia"/>
          <w:b/>
        </w:rPr>
        <w:t xml:space="preserve"> </w:t>
      </w:r>
      <w:r w:rsidRPr="00EB2535">
        <w:rPr>
          <w:b/>
        </w:rPr>
        <w:t>Comparison</w:t>
      </w:r>
      <w:r>
        <w:rPr>
          <w:rFonts w:hint="eastAsia"/>
          <w:b/>
        </w:rPr>
        <w:t>s</w:t>
      </w:r>
      <w:r w:rsidRPr="00EB2535">
        <w:rPr>
          <w:b/>
        </w:rPr>
        <w:t xml:space="preserve"> of </w:t>
      </w:r>
      <w:r>
        <w:rPr>
          <w:b/>
        </w:rPr>
        <w:t>a</w:t>
      </w:r>
      <w:r w:rsidRPr="006D6FD8">
        <w:rPr>
          <w:b/>
        </w:rPr>
        <w:t xml:space="preserve">nxiety and </w:t>
      </w:r>
      <w:r>
        <w:rPr>
          <w:b/>
        </w:rPr>
        <w:t>d</w:t>
      </w:r>
      <w:r w:rsidRPr="006D6FD8">
        <w:rPr>
          <w:b/>
        </w:rPr>
        <w:t xml:space="preserve">epression </w:t>
      </w:r>
      <w:r>
        <w:rPr>
          <w:b/>
        </w:rPr>
        <w:t>across 4 cohorts</w:t>
      </w:r>
    </w:p>
    <w:tbl>
      <w:tblPr>
        <w:tblStyle w:val="TableGrid"/>
        <w:tblW w:w="0" w:type="auto"/>
        <w:tblBorders>
          <w:left w:val="none" w:sz="0" w:space="0" w:color="auto"/>
          <w:right w:val="none" w:sz="0" w:space="0" w:color="auto"/>
          <w:insideH w:val="none" w:sz="0" w:space="0" w:color="auto"/>
        </w:tblBorders>
        <w:tblLook w:val="04A0" w:firstRow="1" w:lastRow="0" w:firstColumn="1" w:lastColumn="0" w:noHBand="0" w:noVBand="1"/>
      </w:tblPr>
      <w:tblGrid>
        <w:gridCol w:w="1237"/>
        <w:gridCol w:w="1358"/>
        <w:gridCol w:w="1267"/>
        <w:gridCol w:w="1196"/>
        <w:gridCol w:w="1196"/>
        <w:gridCol w:w="917"/>
        <w:gridCol w:w="1135"/>
      </w:tblGrid>
      <w:tr w:rsidR="00C00612" w:rsidRPr="006D6FD8" w14:paraId="68436456" w14:textId="77777777" w:rsidTr="00E071B3">
        <w:tc>
          <w:tcPr>
            <w:tcW w:w="1237" w:type="dxa"/>
            <w:tcBorders>
              <w:top w:val="single" w:sz="4" w:space="0" w:color="auto"/>
              <w:bottom w:val="single" w:sz="4" w:space="0" w:color="auto"/>
              <w:right w:val="nil"/>
            </w:tcBorders>
          </w:tcPr>
          <w:p w14:paraId="768A5EE5" w14:textId="77777777" w:rsidR="00C00612" w:rsidRPr="006D6FD8" w:rsidRDefault="00C00612" w:rsidP="00324A33">
            <w:pPr>
              <w:jc w:val="center"/>
              <w:rPr>
                <w:b/>
              </w:rPr>
            </w:pPr>
          </w:p>
        </w:tc>
        <w:tc>
          <w:tcPr>
            <w:tcW w:w="1358" w:type="dxa"/>
            <w:tcBorders>
              <w:top w:val="single" w:sz="4" w:space="0" w:color="auto"/>
              <w:left w:val="nil"/>
              <w:bottom w:val="single" w:sz="4" w:space="0" w:color="auto"/>
              <w:right w:val="nil"/>
            </w:tcBorders>
          </w:tcPr>
          <w:p w14:paraId="356770A7" w14:textId="77777777" w:rsidR="00C00612" w:rsidRPr="006D6FD8" w:rsidRDefault="00C00612" w:rsidP="00324A33">
            <w:pPr>
              <w:jc w:val="center"/>
              <w:rPr>
                <w:b/>
              </w:rPr>
            </w:pPr>
            <w:r w:rsidRPr="0070508B">
              <w:rPr>
                <w:b/>
              </w:rPr>
              <w:t>SAn</w:t>
            </w:r>
          </w:p>
          <w:p w14:paraId="5C597B13" w14:textId="77777777" w:rsidR="00C00612" w:rsidRPr="006D6FD8" w:rsidRDefault="00C00612" w:rsidP="00324A33">
            <w:pPr>
              <w:jc w:val="center"/>
              <w:rPr>
                <w:b/>
              </w:rPr>
            </w:pPr>
            <w:r w:rsidRPr="006D6FD8">
              <w:rPr>
                <w:b/>
              </w:rPr>
              <w:t>(n=</w:t>
            </w:r>
            <w:r w:rsidRPr="006D6FD8">
              <w:rPr>
                <w:rFonts w:hint="eastAsia"/>
                <w:b/>
              </w:rPr>
              <w:t>198</w:t>
            </w:r>
            <w:r w:rsidRPr="006D6FD8">
              <w:rPr>
                <w:b/>
              </w:rPr>
              <w:t>)</w:t>
            </w:r>
          </w:p>
        </w:tc>
        <w:tc>
          <w:tcPr>
            <w:tcW w:w="1267" w:type="dxa"/>
            <w:tcBorders>
              <w:top w:val="single" w:sz="4" w:space="0" w:color="auto"/>
              <w:left w:val="nil"/>
              <w:bottom w:val="single" w:sz="4" w:space="0" w:color="auto"/>
              <w:right w:val="nil"/>
            </w:tcBorders>
          </w:tcPr>
          <w:p w14:paraId="6FD381E2" w14:textId="21D82424" w:rsidR="00C00612" w:rsidRDefault="00C00612" w:rsidP="00324A33">
            <w:pPr>
              <w:jc w:val="center"/>
              <w:rPr>
                <w:b/>
              </w:rPr>
            </w:pPr>
            <w:r w:rsidRPr="001E14F0">
              <w:rPr>
                <w:b/>
                <w:color w:val="000000" w:themeColor="text1"/>
              </w:rPr>
              <w:t>SAs</w:t>
            </w:r>
          </w:p>
          <w:p w14:paraId="202AB037" w14:textId="77777777" w:rsidR="00C00612" w:rsidRPr="006D6FD8" w:rsidRDefault="00C00612" w:rsidP="00324A33">
            <w:pPr>
              <w:jc w:val="center"/>
              <w:rPr>
                <w:b/>
              </w:rPr>
            </w:pPr>
            <w:r w:rsidRPr="006D6FD8">
              <w:rPr>
                <w:b/>
              </w:rPr>
              <w:t>(n=</w:t>
            </w:r>
            <w:r w:rsidRPr="006D6FD8">
              <w:rPr>
                <w:rFonts w:hint="eastAsia"/>
                <w:b/>
              </w:rPr>
              <w:t>65</w:t>
            </w:r>
            <w:r w:rsidRPr="006D6FD8">
              <w:rPr>
                <w:b/>
              </w:rPr>
              <w:t>)</w:t>
            </w:r>
          </w:p>
        </w:tc>
        <w:tc>
          <w:tcPr>
            <w:tcW w:w="1196" w:type="dxa"/>
            <w:tcBorders>
              <w:top w:val="single" w:sz="4" w:space="0" w:color="auto"/>
              <w:left w:val="nil"/>
              <w:bottom w:val="single" w:sz="4" w:space="0" w:color="auto"/>
              <w:right w:val="nil"/>
            </w:tcBorders>
          </w:tcPr>
          <w:p w14:paraId="20B7043A" w14:textId="77777777" w:rsidR="00C00612" w:rsidRPr="006D6FD8" w:rsidRDefault="00C00612" w:rsidP="00324A33">
            <w:pPr>
              <w:jc w:val="center"/>
              <w:rPr>
                <w:b/>
              </w:rPr>
            </w:pPr>
            <w:r w:rsidRPr="0070508B">
              <w:rPr>
                <w:b/>
              </w:rPr>
              <w:t>MMA</w:t>
            </w:r>
          </w:p>
          <w:p w14:paraId="2829DB2C" w14:textId="77777777" w:rsidR="00C00612" w:rsidRPr="006D6FD8" w:rsidRDefault="00C00612" w:rsidP="00324A33">
            <w:pPr>
              <w:jc w:val="center"/>
              <w:rPr>
                <w:b/>
              </w:rPr>
            </w:pPr>
            <w:r w:rsidRPr="006D6FD8">
              <w:rPr>
                <w:b/>
              </w:rPr>
              <w:t>(n=</w:t>
            </w:r>
            <w:r w:rsidRPr="006D6FD8">
              <w:rPr>
                <w:rFonts w:hint="eastAsia"/>
                <w:b/>
              </w:rPr>
              <w:t>61)</w:t>
            </w:r>
          </w:p>
        </w:tc>
        <w:tc>
          <w:tcPr>
            <w:tcW w:w="1196" w:type="dxa"/>
            <w:tcBorders>
              <w:top w:val="single" w:sz="4" w:space="0" w:color="auto"/>
              <w:left w:val="nil"/>
              <w:bottom w:val="single" w:sz="4" w:space="0" w:color="auto"/>
              <w:right w:val="nil"/>
            </w:tcBorders>
          </w:tcPr>
          <w:p w14:paraId="68C9E001" w14:textId="7BEF4C9F" w:rsidR="00C00612" w:rsidRDefault="00C00612" w:rsidP="00324A33">
            <w:pPr>
              <w:jc w:val="center"/>
              <w:rPr>
                <w:b/>
              </w:rPr>
            </w:pPr>
            <w:r w:rsidRPr="0070508B">
              <w:rPr>
                <w:b/>
              </w:rPr>
              <w:t>HC</w:t>
            </w:r>
          </w:p>
          <w:p w14:paraId="23A368F9" w14:textId="77777777" w:rsidR="00C00612" w:rsidRPr="006D6FD8" w:rsidRDefault="00C00612" w:rsidP="00324A33">
            <w:pPr>
              <w:jc w:val="center"/>
              <w:rPr>
                <w:b/>
              </w:rPr>
            </w:pPr>
            <w:r w:rsidRPr="006D6FD8">
              <w:rPr>
                <w:b/>
              </w:rPr>
              <w:t>(n=</w:t>
            </w:r>
            <w:r w:rsidRPr="006D6FD8">
              <w:rPr>
                <w:rFonts w:hint="eastAsia"/>
                <w:b/>
              </w:rPr>
              <w:t>20</w:t>
            </w:r>
            <w:r w:rsidRPr="006D6FD8">
              <w:rPr>
                <w:b/>
              </w:rPr>
              <w:t>)</w:t>
            </w:r>
          </w:p>
        </w:tc>
        <w:tc>
          <w:tcPr>
            <w:tcW w:w="917" w:type="dxa"/>
            <w:tcBorders>
              <w:top w:val="single" w:sz="4" w:space="0" w:color="auto"/>
              <w:left w:val="nil"/>
              <w:bottom w:val="single" w:sz="4" w:space="0" w:color="auto"/>
              <w:right w:val="nil"/>
            </w:tcBorders>
          </w:tcPr>
          <w:p w14:paraId="4EFECD6E" w14:textId="77777777" w:rsidR="00C00612" w:rsidRPr="006D6FD8" w:rsidRDefault="00C00612" w:rsidP="00324A33">
            <w:pPr>
              <w:jc w:val="center"/>
              <w:rPr>
                <w:b/>
                <w:i/>
              </w:rPr>
            </w:pPr>
            <w:r w:rsidRPr="006D6FD8">
              <w:rPr>
                <w:rFonts w:hint="eastAsia"/>
                <w:b/>
                <w:i/>
              </w:rPr>
              <w:t>H</w:t>
            </w:r>
          </w:p>
        </w:tc>
        <w:tc>
          <w:tcPr>
            <w:tcW w:w="1135" w:type="dxa"/>
            <w:tcBorders>
              <w:top w:val="single" w:sz="4" w:space="0" w:color="auto"/>
              <w:left w:val="nil"/>
              <w:bottom w:val="single" w:sz="4" w:space="0" w:color="auto"/>
            </w:tcBorders>
          </w:tcPr>
          <w:p w14:paraId="201BDEE9" w14:textId="77777777" w:rsidR="00C00612" w:rsidRPr="006D6FD8" w:rsidRDefault="00C00612" w:rsidP="00324A33">
            <w:pPr>
              <w:jc w:val="center"/>
              <w:rPr>
                <w:b/>
                <w:i/>
              </w:rPr>
            </w:pPr>
            <w:r w:rsidRPr="006D6FD8">
              <w:rPr>
                <w:b/>
                <w:i/>
              </w:rPr>
              <w:t>p</w:t>
            </w:r>
          </w:p>
        </w:tc>
      </w:tr>
      <w:tr w:rsidR="00C00612" w14:paraId="54534DA7" w14:textId="77777777" w:rsidTr="00E071B3">
        <w:tc>
          <w:tcPr>
            <w:tcW w:w="1237" w:type="dxa"/>
            <w:tcBorders>
              <w:top w:val="single" w:sz="4" w:space="0" w:color="auto"/>
              <w:right w:val="nil"/>
            </w:tcBorders>
          </w:tcPr>
          <w:p w14:paraId="7C6D3352" w14:textId="77777777" w:rsidR="00C00612" w:rsidRPr="006D6FD8" w:rsidRDefault="00C00612" w:rsidP="00324A33">
            <w:pPr>
              <w:jc w:val="center"/>
              <w:rPr>
                <w:b/>
              </w:rPr>
            </w:pPr>
            <w:r w:rsidRPr="006D6FD8">
              <w:rPr>
                <w:b/>
              </w:rPr>
              <w:t>HADS_D</w:t>
            </w:r>
          </w:p>
        </w:tc>
        <w:tc>
          <w:tcPr>
            <w:tcW w:w="1358" w:type="dxa"/>
            <w:tcBorders>
              <w:top w:val="single" w:sz="4" w:space="0" w:color="auto"/>
              <w:left w:val="nil"/>
              <w:right w:val="nil"/>
            </w:tcBorders>
          </w:tcPr>
          <w:p w14:paraId="0456C934" w14:textId="77777777" w:rsidR="00C00612" w:rsidRPr="00E071B3" w:rsidRDefault="00C00612" w:rsidP="00324A33">
            <w:pPr>
              <w:jc w:val="center"/>
              <w:rPr>
                <w:sz w:val="20"/>
                <w:szCs w:val="20"/>
              </w:rPr>
            </w:pPr>
            <w:r w:rsidRPr="00E071B3">
              <w:rPr>
                <w:sz w:val="20"/>
                <w:szCs w:val="20"/>
              </w:rPr>
              <w:t>5.49</w:t>
            </w:r>
            <w:r w:rsidRPr="00E071B3">
              <w:rPr>
                <w:rFonts w:hint="eastAsia"/>
                <w:sz w:val="20"/>
                <w:szCs w:val="20"/>
              </w:rPr>
              <w:t>±</w:t>
            </w:r>
            <w:r w:rsidRPr="00E071B3">
              <w:rPr>
                <w:sz w:val="20"/>
                <w:szCs w:val="20"/>
              </w:rPr>
              <w:t>4.06</w:t>
            </w:r>
          </w:p>
        </w:tc>
        <w:tc>
          <w:tcPr>
            <w:tcW w:w="1267" w:type="dxa"/>
            <w:tcBorders>
              <w:top w:val="single" w:sz="4" w:space="0" w:color="auto"/>
              <w:left w:val="nil"/>
              <w:right w:val="nil"/>
            </w:tcBorders>
          </w:tcPr>
          <w:p w14:paraId="10717F79" w14:textId="77777777" w:rsidR="00C00612" w:rsidRPr="00E071B3" w:rsidRDefault="00C00612" w:rsidP="00324A33">
            <w:pPr>
              <w:jc w:val="center"/>
              <w:rPr>
                <w:sz w:val="20"/>
                <w:szCs w:val="20"/>
              </w:rPr>
            </w:pPr>
            <w:r w:rsidRPr="00E071B3">
              <w:rPr>
                <w:sz w:val="20"/>
                <w:szCs w:val="20"/>
              </w:rPr>
              <w:t>5.86</w:t>
            </w:r>
            <w:r w:rsidRPr="00E071B3">
              <w:rPr>
                <w:rFonts w:hint="eastAsia"/>
                <w:sz w:val="20"/>
                <w:szCs w:val="20"/>
              </w:rPr>
              <w:t>±</w:t>
            </w:r>
            <w:r w:rsidRPr="00E071B3">
              <w:rPr>
                <w:sz w:val="20"/>
                <w:szCs w:val="20"/>
              </w:rPr>
              <w:t>4.76</w:t>
            </w:r>
          </w:p>
        </w:tc>
        <w:tc>
          <w:tcPr>
            <w:tcW w:w="1196" w:type="dxa"/>
            <w:tcBorders>
              <w:top w:val="single" w:sz="4" w:space="0" w:color="auto"/>
              <w:left w:val="nil"/>
              <w:right w:val="nil"/>
            </w:tcBorders>
          </w:tcPr>
          <w:p w14:paraId="6D34058B" w14:textId="77777777" w:rsidR="00C00612" w:rsidRPr="00E071B3" w:rsidRDefault="00C00612" w:rsidP="00324A33">
            <w:pPr>
              <w:jc w:val="center"/>
              <w:rPr>
                <w:sz w:val="20"/>
                <w:szCs w:val="20"/>
              </w:rPr>
            </w:pPr>
            <w:r w:rsidRPr="00E071B3">
              <w:rPr>
                <w:sz w:val="20"/>
                <w:szCs w:val="20"/>
              </w:rPr>
              <w:t>2.56</w:t>
            </w:r>
            <w:r w:rsidRPr="00E071B3">
              <w:rPr>
                <w:rFonts w:hint="eastAsia"/>
                <w:sz w:val="20"/>
                <w:szCs w:val="20"/>
              </w:rPr>
              <w:t>±</w:t>
            </w:r>
            <w:r w:rsidRPr="00E071B3">
              <w:rPr>
                <w:sz w:val="20"/>
                <w:szCs w:val="20"/>
              </w:rPr>
              <w:t>2.99</w:t>
            </w:r>
          </w:p>
        </w:tc>
        <w:tc>
          <w:tcPr>
            <w:tcW w:w="1196" w:type="dxa"/>
            <w:tcBorders>
              <w:top w:val="single" w:sz="4" w:space="0" w:color="auto"/>
              <w:left w:val="nil"/>
              <w:right w:val="nil"/>
            </w:tcBorders>
          </w:tcPr>
          <w:p w14:paraId="7FC5955C" w14:textId="77777777" w:rsidR="00C00612" w:rsidRPr="00E071B3" w:rsidRDefault="00C00612" w:rsidP="00324A33">
            <w:pPr>
              <w:jc w:val="center"/>
              <w:rPr>
                <w:sz w:val="20"/>
                <w:szCs w:val="20"/>
              </w:rPr>
            </w:pPr>
            <w:r w:rsidRPr="00E071B3">
              <w:rPr>
                <w:sz w:val="20"/>
                <w:szCs w:val="20"/>
              </w:rPr>
              <w:t>1.90</w:t>
            </w:r>
            <w:r w:rsidRPr="00E071B3">
              <w:rPr>
                <w:rFonts w:hint="eastAsia"/>
                <w:sz w:val="20"/>
                <w:szCs w:val="20"/>
              </w:rPr>
              <w:t>±</w:t>
            </w:r>
            <w:r w:rsidRPr="00E071B3">
              <w:rPr>
                <w:sz w:val="20"/>
                <w:szCs w:val="20"/>
              </w:rPr>
              <w:t>2.49</w:t>
            </w:r>
          </w:p>
        </w:tc>
        <w:tc>
          <w:tcPr>
            <w:tcW w:w="917" w:type="dxa"/>
            <w:tcBorders>
              <w:top w:val="single" w:sz="4" w:space="0" w:color="auto"/>
              <w:left w:val="nil"/>
              <w:right w:val="nil"/>
            </w:tcBorders>
          </w:tcPr>
          <w:p w14:paraId="59FFF1F7" w14:textId="77777777" w:rsidR="00C00612" w:rsidRPr="00E071B3" w:rsidRDefault="00C00612" w:rsidP="00324A33">
            <w:pPr>
              <w:jc w:val="center"/>
              <w:rPr>
                <w:sz w:val="20"/>
                <w:szCs w:val="20"/>
              </w:rPr>
            </w:pPr>
            <w:r w:rsidRPr="00E071B3">
              <w:rPr>
                <w:sz w:val="20"/>
                <w:szCs w:val="20"/>
              </w:rPr>
              <w:t>45.71</w:t>
            </w:r>
          </w:p>
        </w:tc>
        <w:tc>
          <w:tcPr>
            <w:tcW w:w="1135" w:type="dxa"/>
            <w:tcBorders>
              <w:top w:val="single" w:sz="4" w:space="0" w:color="auto"/>
              <w:left w:val="nil"/>
            </w:tcBorders>
          </w:tcPr>
          <w:p w14:paraId="4AF28133" w14:textId="2C170E55" w:rsidR="00C00612" w:rsidRPr="00E071B3" w:rsidRDefault="00D33253" w:rsidP="00324A33">
            <w:pPr>
              <w:jc w:val="center"/>
              <w:rPr>
                <w:sz w:val="20"/>
                <w:szCs w:val="20"/>
              </w:rPr>
            </w:pPr>
            <w:r>
              <w:rPr>
                <w:sz w:val="20"/>
                <w:szCs w:val="20"/>
              </w:rPr>
              <w:t>&lt;</w:t>
            </w:r>
            <w:r w:rsidR="00C00612" w:rsidRPr="00E071B3">
              <w:rPr>
                <w:sz w:val="20"/>
                <w:szCs w:val="20"/>
              </w:rPr>
              <w:t>0.00</w:t>
            </w:r>
            <w:r>
              <w:rPr>
                <w:sz w:val="20"/>
                <w:szCs w:val="20"/>
              </w:rPr>
              <w:t>1</w:t>
            </w:r>
            <w:r w:rsidR="00C00612" w:rsidRPr="00E071B3">
              <w:rPr>
                <w:sz w:val="20"/>
                <w:szCs w:val="20"/>
              </w:rPr>
              <w:t xml:space="preserve"> **</w:t>
            </w:r>
          </w:p>
        </w:tc>
      </w:tr>
      <w:tr w:rsidR="00C00612" w14:paraId="06D4458B" w14:textId="77777777" w:rsidTr="00E071B3">
        <w:tc>
          <w:tcPr>
            <w:tcW w:w="1237" w:type="dxa"/>
            <w:tcBorders>
              <w:right w:val="nil"/>
            </w:tcBorders>
          </w:tcPr>
          <w:p w14:paraId="1AD6EE7D" w14:textId="77777777" w:rsidR="00C00612" w:rsidRPr="006D6FD8" w:rsidRDefault="00C00612" w:rsidP="00324A33">
            <w:pPr>
              <w:jc w:val="center"/>
              <w:rPr>
                <w:b/>
              </w:rPr>
            </w:pPr>
            <w:r w:rsidRPr="006D6FD8">
              <w:rPr>
                <w:b/>
              </w:rPr>
              <w:t>HADS_A</w:t>
            </w:r>
          </w:p>
        </w:tc>
        <w:tc>
          <w:tcPr>
            <w:tcW w:w="1358" w:type="dxa"/>
            <w:tcBorders>
              <w:left w:val="nil"/>
              <w:right w:val="nil"/>
            </w:tcBorders>
          </w:tcPr>
          <w:p w14:paraId="4287FDB0" w14:textId="77777777" w:rsidR="00C00612" w:rsidRPr="00E071B3" w:rsidRDefault="00C00612" w:rsidP="00324A33">
            <w:pPr>
              <w:jc w:val="center"/>
              <w:rPr>
                <w:sz w:val="20"/>
                <w:szCs w:val="20"/>
              </w:rPr>
            </w:pPr>
            <w:r w:rsidRPr="00E071B3">
              <w:rPr>
                <w:sz w:val="20"/>
                <w:szCs w:val="20"/>
              </w:rPr>
              <w:t>7.09</w:t>
            </w:r>
            <w:r w:rsidRPr="00E071B3">
              <w:rPr>
                <w:rFonts w:hint="eastAsia"/>
                <w:sz w:val="20"/>
                <w:szCs w:val="20"/>
              </w:rPr>
              <w:t>±</w:t>
            </w:r>
            <w:r w:rsidRPr="00E071B3">
              <w:rPr>
                <w:sz w:val="20"/>
                <w:szCs w:val="20"/>
              </w:rPr>
              <w:t>4.54</w:t>
            </w:r>
          </w:p>
        </w:tc>
        <w:tc>
          <w:tcPr>
            <w:tcW w:w="1267" w:type="dxa"/>
            <w:tcBorders>
              <w:left w:val="nil"/>
              <w:right w:val="nil"/>
            </w:tcBorders>
          </w:tcPr>
          <w:p w14:paraId="761C1F54" w14:textId="77777777" w:rsidR="00C00612" w:rsidRPr="00E071B3" w:rsidRDefault="00C00612" w:rsidP="00324A33">
            <w:pPr>
              <w:jc w:val="center"/>
              <w:rPr>
                <w:sz w:val="20"/>
                <w:szCs w:val="20"/>
              </w:rPr>
            </w:pPr>
            <w:r w:rsidRPr="00E071B3">
              <w:rPr>
                <w:sz w:val="20"/>
                <w:szCs w:val="20"/>
              </w:rPr>
              <w:t>7.71</w:t>
            </w:r>
            <w:r w:rsidRPr="00E071B3">
              <w:rPr>
                <w:rFonts w:hint="eastAsia"/>
                <w:sz w:val="20"/>
                <w:szCs w:val="20"/>
              </w:rPr>
              <w:t>±</w:t>
            </w:r>
            <w:r w:rsidRPr="00E071B3">
              <w:rPr>
                <w:sz w:val="20"/>
                <w:szCs w:val="20"/>
              </w:rPr>
              <w:t>4.56</w:t>
            </w:r>
          </w:p>
        </w:tc>
        <w:tc>
          <w:tcPr>
            <w:tcW w:w="1196" w:type="dxa"/>
            <w:tcBorders>
              <w:left w:val="nil"/>
              <w:right w:val="nil"/>
            </w:tcBorders>
          </w:tcPr>
          <w:p w14:paraId="2FEAC3EA" w14:textId="77777777" w:rsidR="00C00612" w:rsidRPr="00E071B3" w:rsidRDefault="00C00612" w:rsidP="00324A33">
            <w:pPr>
              <w:jc w:val="center"/>
              <w:rPr>
                <w:sz w:val="20"/>
                <w:szCs w:val="20"/>
              </w:rPr>
            </w:pPr>
            <w:r w:rsidRPr="00E071B3">
              <w:rPr>
                <w:sz w:val="20"/>
                <w:szCs w:val="20"/>
              </w:rPr>
              <w:t>3.98</w:t>
            </w:r>
            <w:r w:rsidRPr="00E071B3">
              <w:rPr>
                <w:rFonts w:hint="eastAsia"/>
                <w:sz w:val="20"/>
                <w:szCs w:val="20"/>
              </w:rPr>
              <w:t>±</w:t>
            </w:r>
            <w:r w:rsidRPr="00E071B3">
              <w:rPr>
                <w:sz w:val="20"/>
                <w:szCs w:val="20"/>
              </w:rPr>
              <w:t>3.24</w:t>
            </w:r>
          </w:p>
        </w:tc>
        <w:tc>
          <w:tcPr>
            <w:tcW w:w="1196" w:type="dxa"/>
            <w:tcBorders>
              <w:left w:val="nil"/>
              <w:right w:val="nil"/>
            </w:tcBorders>
          </w:tcPr>
          <w:p w14:paraId="5C6ABF26" w14:textId="77777777" w:rsidR="00C00612" w:rsidRPr="00E071B3" w:rsidRDefault="00C00612" w:rsidP="00324A33">
            <w:pPr>
              <w:jc w:val="center"/>
              <w:rPr>
                <w:sz w:val="20"/>
                <w:szCs w:val="20"/>
              </w:rPr>
            </w:pPr>
            <w:r w:rsidRPr="00E071B3">
              <w:rPr>
                <w:sz w:val="20"/>
                <w:szCs w:val="20"/>
              </w:rPr>
              <w:t>3.65</w:t>
            </w:r>
            <w:r w:rsidRPr="00E071B3">
              <w:rPr>
                <w:rFonts w:hint="eastAsia"/>
                <w:sz w:val="20"/>
                <w:szCs w:val="20"/>
              </w:rPr>
              <w:t>±</w:t>
            </w:r>
            <w:r w:rsidRPr="00E071B3">
              <w:rPr>
                <w:sz w:val="20"/>
                <w:szCs w:val="20"/>
              </w:rPr>
              <w:t>3.82</w:t>
            </w:r>
          </w:p>
        </w:tc>
        <w:tc>
          <w:tcPr>
            <w:tcW w:w="917" w:type="dxa"/>
            <w:tcBorders>
              <w:left w:val="nil"/>
              <w:right w:val="nil"/>
            </w:tcBorders>
          </w:tcPr>
          <w:p w14:paraId="0633F82A" w14:textId="77777777" w:rsidR="00C00612" w:rsidRPr="00E071B3" w:rsidRDefault="00C00612" w:rsidP="00324A33">
            <w:pPr>
              <w:jc w:val="center"/>
              <w:rPr>
                <w:sz w:val="20"/>
                <w:szCs w:val="20"/>
              </w:rPr>
            </w:pPr>
            <w:r w:rsidRPr="00E071B3">
              <w:rPr>
                <w:sz w:val="20"/>
                <w:szCs w:val="20"/>
              </w:rPr>
              <w:t>37.66</w:t>
            </w:r>
          </w:p>
        </w:tc>
        <w:tc>
          <w:tcPr>
            <w:tcW w:w="1135" w:type="dxa"/>
            <w:tcBorders>
              <w:left w:val="nil"/>
            </w:tcBorders>
          </w:tcPr>
          <w:p w14:paraId="12C41131" w14:textId="0B8D992A" w:rsidR="00C00612" w:rsidRPr="00E071B3" w:rsidRDefault="00D33253" w:rsidP="00324A33">
            <w:pPr>
              <w:jc w:val="center"/>
              <w:rPr>
                <w:sz w:val="20"/>
                <w:szCs w:val="20"/>
              </w:rPr>
            </w:pPr>
            <w:r>
              <w:rPr>
                <w:sz w:val="20"/>
                <w:szCs w:val="20"/>
              </w:rPr>
              <w:t>&lt;</w:t>
            </w:r>
            <w:r w:rsidR="00C00612" w:rsidRPr="00E071B3">
              <w:rPr>
                <w:sz w:val="20"/>
                <w:szCs w:val="20"/>
              </w:rPr>
              <w:t>0.00</w:t>
            </w:r>
            <w:r>
              <w:rPr>
                <w:sz w:val="20"/>
                <w:szCs w:val="20"/>
              </w:rPr>
              <w:t>1</w:t>
            </w:r>
            <w:r w:rsidR="00C00612" w:rsidRPr="00E071B3">
              <w:rPr>
                <w:sz w:val="20"/>
                <w:szCs w:val="20"/>
              </w:rPr>
              <w:t xml:space="preserve"> **</w:t>
            </w:r>
          </w:p>
        </w:tc>
      </w:tr>
      <w:tr w:rsidR="00C00612" w14:paraId="5188CAA9" w14:textId="77777777" w:rsidTr="00E071B3">
        <w:tc>
          <w:tcPr>
            <w:tcW w:w="1237" w:type="dxa"/>
            <w:tcBorders>
              <w:bottom w:val="single" w:sz="4" w:space="0" w:color="auto"/>
              <w:right w:val="nil"/>
            </w:tcBorders>
          </w:tcPr>
          <w:p w14:paraId="187C9694" w14:textId="77777777" w:rsidR="00C00612" w:rsidRPr="006D6FD8" w:rsidRDefault="00C00612" w:rsidP="00324A33">
            <w:pPr>
              <w:jc w:val="center"/>
              <w:rPr>
                <w:b/>
              </w:rPr>
            </w:pPr>
            <w:r w:rsidRPr="006D6FD8">
              <w:rPr>
                <w:b/>
              </w:rPr>
              <w:t>HADS_Total</w:t>
            </w:r>
          </w:p>
        </w:tc>
        <w:tc>
          <w:tcPr>
            <w:tcW w:w="1358" w:type="dxa"/>
            <w:tcBorders>
              <w:left w:val="nil"/>
              <w:bottom w:val="single" w:sz="4" w:space="0" w:color="auto"/>
              <w:right w:val="nil"/>
            </w:tcBorders>
          </w:tcPr>
          <w:p w14:paraId="7EA95E44" w14:textId="77777777" w:rsidR="00C00612" w:rsidRPr="00E071B3" w:rsidRDefault="00C00612" w:rsidP="00324A33">
            <w:pPr>
              <w:jc w:val="center"/>
              <w:rPr>
                <w:sz w:val="20"/>
                <w:szCs w:val="20"/>
              </w:rPr>
            </w:pPr>
            <w:r w:rsidRPr="00E071B3">
              <w:rPr>
                <w:sz w:val="20"/>
                <w:szCs w:val="20"/>
              </w:rPr>
              <w:t>12.58</w:t>
            </w:r>
            <w:r w:rsidRPr="00E071B3">
              <w:rPr>
                <w:rFonts w:hint="eastAsia"/>
                <w:sz w:val="20"/>
                <w:szCs w:val="20"/>
              </w:rPr>
              <w:t>±</w:t>
            </w:r>
            <w:r w:rsidRPr="00E071B3">
              <w:rPr>
                <w:sz w:val="20"/>
                <w:szCs w:val="20"/>
              </w:rPr>
              <w:t>7.96</w:t>
            </w:r>
          </w:p>
        </w:tc>
        <w:tc>
          <w:tcPr>
            <w:tcW w:w="1267" w:type="dxa"/>
            <w:tcBorders>
              <w:left w:val="nil"/>
              <w:bottom w:val="single" w:sz="4" w:space="0" w:color="auto"/>
              <w:right w:val="nil"/>
            </w:tcBorders>
          </w:tcPr>
          <w:p w14:paraId="429240E0" w14:textId="77777777" w:rsidR="00C00612" w:rsidRPr="00E071B3" w:rsidRDefault="00C00612" w:rsidP="00324A33">
            <w:pPr>
              <w:jc w:val="center"/>
              <w:rPr>
                <w:sz w:val="20"/>
                <w:szCs w:val="20"/>
              </w:rPr>
            </w:pPr>
            <w:r w:rsidRPr="00E071B3">
              <w:rPr>
                <w:sz w:val="20"/>
                <w:szCs w:val="20"/>
              </w:rPr>
              <w:t>13.57</w:t>
            </w:r>
            <w:r w:rsidRPr="00E071B3">
              <w:rPr>
                <w:rFonts w:hint="eastAsia"/>
                <w:sz w:val="20"/>
                <w:szCs w:val="20"/>
              </w:rPr>
              <w:t>±</w:t>
            </w:r>
            <w:r w:rsidRPr="00E071B3">
              <w:rPr>
                <w:sz w:val="20"/>
                <w:szCs w:val="20"/>
              </w:rPr>
              <w:t>8.64</w:t>
            </w:r>
          </w:p>
        </w:tc>
        <w:tc>
          <w:tcPr>
            <w:tcW w:w="1196" w:type="dxa"/>
            <w:tcBorders>
              <w:left w:val="nil"/>
              <w:bottom w:val="single" w:sz="4" w:space="0" w:color="auto"/>
              <w:right w:val="nil"/>
            </w:tcBorders>
          </w:tcPr>
          <w:p w14:paraId="7FCFBA0C" w14:textId="77777777" w:rsidR="00C00612" w:rsidRPr="00E071B3" w:rsidRDefault="00C00612" w:rsidP="00324A33">
            <w:pPr>
              <w:jc w:val="center"/>
              <w:rPr>
                <w:sz w:val="20"/>
                <w:szCs w:val="20"/>
              </w:rPr>
            </w:pPr>
            <w:r w:rsidRPr="00E071B3">
              <w:rPr>
                <w:sz w:val="20"/>
                <w:szCs w:val="20"/>
              </w:rPr>
              <w:t>6.54</w:t>
            </w:r>
            <w:r w:rsidRPr="00E071B3">
              <w:rPr>
                <w:rFonts w:hint="eastAsia"/>
                <w:sz w:val="20"/>
                <w:szCs w:val="20"/>
              </w:rPr>
              <w:t>±</w:t>
            </w:r>
            <w:r w:rsidRPr="00E071B3">
              <w:rPr>
                <w:sz w:val="20"/>
                <w:szCs w:val="20"/>
              </w:rPr>
              <w:t>5.35</w:t>
            </w:r>
          </w:p>
        </w:tc>
        <w:tc>
          <w:tcPr>
            <w:tcW w:w="1196" w:type="dxa"/>
            <w:tcBorders>
              <w:left w:val="nil"/>
              <w:bottom w:val="single" w:sz="4" w:space="0" w:color="auto"/>
              <w:right w:val="nil"/>
            </w:tcBorders>
          </w:tcPr>
          <w:p w14:paraId="5F21550B" w14:textId="77777777" w:rsidR="00C00612" w:rsidRPr="00E071B3" w:rsidRDefault="00C00612" w:rsidP="00324A33">
            <w:pPr>
              <w:jc w:val="center"/>
              <w:rPr>
                <w:sz w:val="20"/>
                <w:szCs w:val="20"/>
              </w:rPr>
            </w:pPr>
            <w:r w:rsidRPr="00E071B3">
              <w:rPr>
                <w:sz w:val="20"/>
                <w:szCs w:val="20"/>
              </w:rPr>
              <w:t>5.55</w:t>
            </w:r>
            <w:r w:rsidRPr="00E071B3">
              <w:rPr>
                <w:rFonts w:hint="eastAsia"/>
                <w:sz w:val="20"/>
                <w:szCs w:val="20"/>
              </w:rPr>
              <w:t>±</w:t>
            </w:r>
            <w:r w:rsidRPr="00E071B3">
              <w:rPr>
                <w:sz w:val="20"/>
                <w:szCs w:val="20"/>
              </w:rPr>
              <w:t>5.95</w:t>
            </w:r>
          </w:p>
        </w:tc>
        <w:tc>
          <w:tcPr>
            <w:tcW w:w="917" w:type="dxa"/>
            <w:tcBorders>
              <w:left w:val="nil"/>
              <w:bottom w:val="single" w:sz="4" w:space="0" w:color="auto"/>
              <w:right w:val="nil"/>
            </w:tcBorders>
          </w:tcPr>
          <w:p w14:paraId="1CC87C69" w14:textId="77777777" w:rsidR="00C00612" w:rsidRPr="00E071B3" w:rsidRDefault="00C00612" w:rsidP="00324A33">
            <w:pPr>
              <w:jc w:val="center"/>
              <w:rPr>
                <w:sz w:val="20"/>
                <w:szCs w:val="20"/>
              </w:rPr>
            </w:pPr>
            <w:r w:rsidRPr="00E071B3">
              <w:rPr>
                <w:sz w:val="20"/>
                <w:szCs w:val="20"/>
              </w:rPr>
              <w:t>46.18</w:t>
            </w:r>
          </w:p>
        </w:tc>
        <w:tc>
          <w:tcPr>
            <w:tcW w:w="1135" w:type="dxa"/>
            <w:tcBorders>
              <w:left w:val="nil"/>
              <w:bottom w:val="single" w:sz="4" w:space="0" w:color="auto"/>
            </w:tcBorders>
          </w:tcPr>
          <w:p w14:paraId="525993D2" w14:textId="5239A245" w:rsidR="00C00612" w:rsidRPr="00E071B3" w:rsidRDefault="00D33253" w:rsidP="00324A33">
            <w:pPr>
              <w:jc w:val="center"/>
              <w:rPr>
                <w:sz w:val="20"/>
                <w:szCs w:val="20"/>
              </w:rPr>
            </w:pPr>
            <w:r>
              <w:rPr>
                <w:sz w:val="20"/>
                <w:szCs w:val="20"/>
              </w:rPr>
              <w:t>&lt;</w:t>
            </w:r>
            <w:r w:rsidR="00C00612" w:rsidRPr="00E071B3">
              <w:rPr>
                <w:sz w:val="20"/>
                <w:szCs w:val="20"/>
              </w:rPr>
              <w:t>0.00</w:t>
            </w:r>
            <w:r>
              <w:rPr>
                <w:sz w:val="20"/>
                <w:szCs w:val="20"/>
              </w:rPr>
              <w:t>1</w:t>
            </w:r>
            <w:r w:rsidR="00C00612" w:rsidRPr="00E071B3">
              <w:rPr>
                <w:sz w:val="20"/>
                <w:szCs w:val="20"/>
              </w:rPr>
              <w:t xml:space="preserve"> **</w:t>
            </w:r>
          </w:p>
        </w:tc>
      </w:tr>
    </w:tbl>
    <w:p w14:paraId="2F938E2F" w14:textId="2D1DC9B0" w:rsidR="005F2665" w:rsidRDefault="005F2665" w:rsidP="001B68E2">
      <w:pPr>
        <w:rPr>
          <w:sz w:val="20"/>
          <w:szCs w:val="20"/>
        </w:rPr>
      </w:pPr>
    </w:p>
    <w:p w14:paraId="20B0432B" w14:textId="33C27060" w:rsidR="005F2665" w:rsidRPr="00EE027B" w:rsidRDefault="008729D9" w:rsidP="001B68E2">
      <w:pPr>
        <w:rPr>
          <w:b/>
          <w:bCs/>
          <w:sz w:val="22"/>
        </w:rPr>
      </w:pPr>
      <w:r>
        <w:rPr>
          <w:b/>
          <w:bCs/>
          <w:sz w:val="22"/>
        </w:rPr>
        <w:t xml:space="preserve">      </w:t>
      </w:r>
      <w:r w:rsidR="000C7FAE" w:rsidRPr="00EE027B">
        <w:rPr>
          <w:b/>
          <w:bCs/>
          <w:sz w:val="22"/>
        </w:rPr>
        <w:t>Table</w:t>
      </w:r>
      <w:r w:rsidR="00290137" w:rsidRPr="00EE027B">
        <w:rPr>
          <w:b/>
          <w:bCs/>
          <w:sz w:val="22"/>
        </w:rPr>
        <w:t>2b</w:t>
      </w:r>
      <w:r w:rsidR="000C7FAE" w:rsidRPr="00EE027B">
        <w:rPr>
          <w:b/>
          <w:bCs/>
          <w:sz w:val="22"/>
        </w:rPr>
        <w:t xml:space="preserve"> </w:t>
      </w:r>
      <w:r w:rsidR="00E25692" w:rsidRPr="00EE027B">
        <w:rPr>
          <w:b/>
          <w:bCs/>
          <w:sz w:val="22"/>
        </w:rPr>
        <w:t xml:space="preserve">Treatment effect of oral corticosteroid use in Severe asthma cohorts </w:t>
      </w:r>
    </w:p>
    <w:p w14:paraId="117B5B77" w14:textId="44709469" w:rsidR="005F2665" w:rsidRDefault="005F2665" w:rsidP="001B68E2">
      <w:pPr>
        <w:rPr>
          <w:sz w:val="20"/>
          <w:szCs w:val="20"/>
        </w:rPr>
      </w:pPr>
    </w:p>
    <w:tbl>
      <w:tblPr>
        <w:tblW w:w="8364" w:type="dxa"/>
        <w:tblLook w:val="04A0" w:firstRow="1" w:lastRow="0" w:firstColumn="1" w:lastColumn="0" w:noHBand="0" w:noVBand="1"/>
      </w:tblPr>
      <w:tblGrid>
        <w:gridCol w:w="1280"/>
        <w:gridCol w:w="1271"/>
        <w:gridCol w:w="1275"/>
        <w:gridCol w:w="571"/>
        <w:gridCol w:w="1699"/>
        <w:gridCol w:w="992"/>
        <w:gridCol w:w="1276"/>
      </w:tblGrid>
      <w:tr w:rsidR="00E71C7C" w:rsidRPr="005F2665" w14:paraId="6A4AD2B1" w14:textId="23FC2352" w:rsidTr="00EE027B">
        <w:trPr>
          <w:trHeight w:val="300"/>
        </w:trPr>
        <w:tc>
          <w:tcPr>
            <w:tcW w:w="1280" w:type="dxa"/>
            <w:vMerge w:val="restart"/>
            <w:tcBorders>
              <w:top w:val="single" w:sz="8" w:space="0" w:color="auto"/>
              <w:left w:val="nil"/>
              <w:bottom w:val="single" w:sz="8" w:space="0" w:color="000000"/>
              <w:right w:val="nil"/>
            </w:tcBorders>
            <w:shd w:val="clear" w:color="auto" w:fill="auto"/>
            <w:vAlign w:val="center"/>
            <w:hideMark/>
          </w:tcPr>
          <w:p w14:paraId="60CD8206" w14:textId="77777777" w:rsidR="00E71C7C" w:rsidRPr="005F2665" w:rsidRDefault="00E71C7C" w:rsidP="00E71C7C">
            <w:pPr>
              <w:widowControl/>
              <w:jc w:val="center"/>
              <w:rPr>
                <w:rFonts w:ascii="Calibri" w:eastAsia="Times New Roman" w:hAnsi="Calibri" w:cs="Calibri"/>
                <w:b/>
                <w:bCs/>
                <w:color w:val="000000"/>
                <w:kern w:val="0"/>
                <w:szCs w:val="21"/>
              </w:rPr>
            </w:pPr>
            <w:r w:rsidRPr="005F2665">
              <w:rPr>
                <w:rFonts w:ascii="Calibri" w:eastAsia="Times New Roman" w:hAnsi="Calibri" w:cs="Calibri"/>
                <w:b/>
                <w:bCs/>
                <w:color w:val="000000"/>
                <w:kern w:val="0"/>
                <w:szCs w:val="21"/>
              </w:rPr>
              <w:t> </w:t>
            </w:r>
          </w:p>
        </w:tc>
        <w:tc>
          <w:tcPr>
            <w:tcW w:w="1271" w:type="dxa"/>
            <w:tcBorders>
              <w:top w:val="single" w:sz="8" w:space="0" w:color="auto"/>
              <w:left w:val="nil"/>
              <w:bottom w:val="nil"/>
              <w:right w:val="nil"/>
            </w:tcBorders>
            <w:shd w:val="clear" w:color="auto" w:fill="auto"/>
            <w:vAlign w:val="center"/>
            <w:hideMark/>
          </w:tcPr>
          <w:p w14:paraId="470204BC" w14:textId="77777777" w:rsidR="00E71C7C" w:rsidRPr="005F2665" w:rsidRDefault="00E71C7C" w:rsidP="00E71C7C">
            <w:pPr>
              <w:widowControl/>
              <w:jc w:val="center"/>
              <w:rPr>
                <w:rFonts w:ascii="Calibri" w:eastAsia="Times New Roman" w:hAnsi="Calibri" w:cs="Calibri"/>
                <w:b/>
                <w:bCs/>
                <w:color w:val="000000"/>
                <w:kern w:val="0"/>
                <w:szCs w:val="21"/>
              </w:rPr>
            </w:pPr>
            <w:r w:rsidRPr="005F2665">
              <w:rPr>
                <w:rFonts w:ascii="Calibri" w:eastAsia="Times New Roman" w:hAnsi="Calibri" w:cs="Calibri"/>
                <w:b/>
                <w:bCs/>
                <w:color w:val="000000"/>
                <w:kern w:val="0"/>
                <w:szCs w:val="21"/>
              </w:rPr>
              <w:t>SAn OCS+</w:t>
            </w:r>
          </w:p>
        </w:tc>
        <w:tc>
          <w:tcPr>
            <w:tcW w:w="1275" w:type="dxa"/>
            <w:tcBorders>
              <w:top w:val="single" w:sz="8" w:space="0" w:color="auto"/>
              <w:left w:val="nil"/>
              <w:bottom w:val="nil"/>
              <w:right w:val="nil"/>
            </w:tcBorders>
            <w:shd w:val="clear" w:color="auto" w:fill="auto"/>
            <w:vAlign w:val="center"/>
            <w:hideMark/>
          </w:tcPr>
          <w:p w14:paraId="337C70FF" w14:textId="77777777" w:rsidR="00E71C7C" w:rsidRPr="005F2665" w:rsidRDefault="00E71C7C" w:rsidP="00E71C7C">
            <w:pPr>
              <w:widowControl/>
              <w:jc w:val="center"/>
              <w:rPr>
                <w:rFonts w:ascii="Calibri" w:eastAsia="Times New Roman" w:hAnsi="Calibri" w:cs="Calibri"/>
                <w:b/>
                <w:bCs/>
                <w:color w:val="000000"/>
                <w:kern w:val="0"/>
                <w:szCs w:val="21"/>
              </w:rPr>
            </w:pPr>
            <w:r w:rsidRPr="005F2665">
              <w:rPr>
                <w:rFonts w:ascii="Calibri" w:eastAsia="Times New Roman" w:hAnsi="Calibri" w:cs="Calibri"/>
                <w:b/>
                <w:bCs/>
                <w:color w:val="000000"/>
                <w:kern w:val="0"/>
                <w:szCs w:val="21"/>
              </w:rPr>
              <w:t>SAn OCS-</w:t>
            </w:r>
          </w:p>
        </w:tc>
        <w:tc>
          <w:tcPr>
            <w:tcW w:w="571" w:type="dxa"/>
            <w:vMerge w:val="restart"/>
            <w:tcBorders>
              <w:top w:val="single" w:sz="8" w:space="0" w:color="auto"/>
              <w:left w:val="nil"/>
              <w:bottom w:val="single" w:sz="8" w:space="0" w:color="000000"/>
              <w:right w:val="nil"/>
            </w:tcBorders>
            <w:shd w:val="clear" w:color="auto" w:fill="auto"/>
            <w:vAlign w:val="center"/>
            <w:hideMark/>
          </w:tcPr>
          <w:p w14:paraId="4807B22A" w14:textId="77777777" w:rsidR="00E71C7C" w:rsidRPr="005F2665" w:rsidRDefault="00E71C7C" w:rsidP="00E71C7C">
            <w:pPr>
              <w:widowControl/>
              <w:jc w:val="center"/>
              <w:rPr>
                <w:rFonts w:ascii="Calibri" w:eastAsia="Times New Roman" w:hAnsi="Calibri" w:cs="Calibri"/>
                <w:b/>
                <w:bCs/>
                <w:i/>
                <w:iCs/>
                <w:color w:val="000000"/>
                <w:kern w:val="0"/>
                <w:szCs w:val="21"/>
              </w:rPr>
            </w:pPr>
            <w:r w:rsidRPr="005F2665">
              <w:rPr>
                <w:rFonts w:ascii="Calibri" w:eastAsia="Times New Roman" w:hAnsi="Calibri" w:cs="Calibri"/>
                <w:b/>
                <w:bCs/>
                <w:i/>
                <w:iCs/>
                <w:color w:val="000000"/>
                <w:kern w:val="0"/>
                <w:szCs w:val="21"/>
              </w:rPr>
              <w:t>p</w:t>
            </w:r>
          </w:p>
        </w:tc>
        <w:tc>
          <w:tcPr>
            <w:tcW w:w="1699" w:type="dxa"/>
            <w:tcBorders>
              <w:top w:val="single" w:sz="8" w:space="0" w:color="auto"/>
              <w:left w:val="nil"/>
              <w:bottom w:val="single" w:sz="8" w:space="0" w:color="000000"/>
              <w:right w:val="nil"/>
            </w:tcBorders>
            <w:vAlign w:val="center"/>
          </w:tcPr>
          <w:p w14:paraId="1AE3C846" w14:textId="53382400" w:rsidR="00E71C7C" w:rsidRPr="005F2665" w:rsidRDefault="00E71C7C" w:rsidP="00E71C7C">
            <w:pPr>
              <w:widowControl/>
              <w:jc w:val="center"/>
              <w:rPr>
                <w:rFonts w:ascii="Calibri" w:eastAsia="Times New Roman" w:hAnsi="Calibri" w:cs="Calibri"/>
                <w:b/>
                <w:bCs/>
                <w:i/>
                <w:iCs/>
                <w:color w:val="000000"/>
                <w:kern w:val="0"/>
                <w:szCs w:val="21"/>
              </w:rPr>
            </w:pPr>
            <w:r w:rsidRPr="007E4677">
              <w:rPr>
                <w:rFonts w:ascii="Calibri" w:eastAsia="Times New Roman" w:hAnsi="Calibri" w:cs="Calibri"/>
                <w:b/>
                <w:bCs/>
                <w:color w:val="000000"/>
                <w:kern w:val="0"/>
                <w:szCs w:val="21"/>
              </w:rPr>
              <w:t>Sas OCS+</w:t>
            </w:r>
          </w:p>
        </w:tc>
        <w:tc>
          <w:tcPr>
            <w:tcW w:w="992" w:type="dxa"/>
            <w:tcBorders>
              <w:top w:val="single" w:sz="8" w:space="0" w:color="auto"/>
              <w:left w:val="nil"/>
              <w:bottom w:val="single" w:sz="8" w:space="0" w:color="000000"/>
              <w:right w:val="nil"/>
            </w:tcBorders>
            <w:vAlign w:val="center"/>
          </w:tcPr>
          <w:p w14:paraId="2F86E3D9" w14:textId="2BCA0465" w:rsidR="00E71C7C" w:rsidRPr="005F2665" w:rsidRDefault="00E71C7C" w:rsidP="00E71C7C">
            <w:pPr>
              <w:widowControl/>
              <w:jc w:val="center"/>
              <w:rPr>
                <w:rFonts w:ascii="Calibri" w:eastAsia="Times New Roman" w:hAnsi="Calibri" w:cs="Calibri"/>
                <w:b/>
                <w:bCs/>
                <w:i/>
                <w:iCs/>
                <w:color w:val="000000"/>
                <w:kern w:val="0"/>
                <w:szCs w:val="21"/>
              </w:rPr>
            </w:pPr>
            <w:r w:rsidRPr="007E4677">
              <w:rPr>
                <w:rFonts w:ascii="Calibri" w:eastAsia="Times New Roman" w:hAnsi="Calibri" w:cs="Calibri"/>
                <w:b/>
                <w:bCs/>
                <w:color w:val="000000"/>
                <w:kern w:val="0"/>
                <w:szCs w:val="21"/>
              </w:rPr>
              <w:t>SAs OCS-</w:t>
            </w:r>
          </w:p>
        </w:tc>
        <w:tc>
          <w:tcPr>
            <w:tcW w:w="1276" w:type="dxa"/>
            <w:tcBorders>
              <w:top w:val="single" w:sz="8" w:space="0" w:color="auto"/>
              <w:left w:val="nil"/>
              <w:bottom w:val="single" w:sz="8" w:space="0" w:color="000000"/>
              <w:right w:val="nil"/>
            </w:tcBorders>
            <w:vAlign w:val="center"/>
          </w:tcPr>
          <w:p w14:paraId="64DFBB12" w14:textId="00175BDB" w:rsidR="00E71C7C" w:rsidRPr="005F2665" w:rsidRDefault="00E71C7C" w:rsidP="00E71C7C">
            <w:pPr>
              <w:widowControl/>
              <w:jc w:val="center"/>
              <w:rPr>
                <w:rFonts w:ascii="Calibri" w:eastAsia="Times New Roman" w:hAnsi="Calibri" w:cs="Calibri"/>
                <w:b/>
                <w:bCs/>
                <w:i/>
                <w:iCs/>
                <w:color w:val="000000"/>
                <w:kern w:val="0"/>
                <w:szCs w:val="21"/>
              </w:rPr>
            </w:pPr>
            <w:r w:rsidRPr="007E4677">
              <w:rPr>
                <w:rFonts w:ascii="Calibri" w:eastAsia="Times New Roman" w:hAnsi="Calibri" w:cs="Calibri"/>
                <w:b/>
                <w:bCs/>
                <w:i/>
                <w:iCs/>
                <w:color w:val="000000"/>
                <w:kern w:val="0"/>
                <w:szCs w:val="21"/>
              </w:rPr>
              <w:t>p</w:t>
            </w:r>
          </w:p>
        </w:tc>
      </w:tr>
      <w:tr w:rsidR="00E71C7C" w:rsidRPr="005F2665" w14:paraId="5D3B4DCF" w14:textId="476B9021" w:rsidTr="00EE027B">
        <w:trPr>
          <w:trHeight w:val="315"/>
        </w:trPr>
        <w:tc>
          <w:tcPr>
            <w:tcW w:w="1280" w:type="dxa"/>
            <w:vMerge/>
            <w:tcBorders>
              <w:top w:val="single" w:sz="8" w:space="0" w:color="auto"/>
              <w:left w:val="nil"/>
              <w:bottom w:val="single" w:sz="8" w:space="0" w:color="000000"/>
              <w:right w:val="nil"/>
            </w:tcBorders>
            <w:vAlign w:val="center"/>
            <w:hideMark/>
          </w:tcPr>
          <w:p w14:paraId="5381BD8C" w14:textId="77777777" w:rsidR="00E71C7C" w:rsidRPr="005F2665" w:rsidRDefault="00E71C7C" w:rsidP="00E71C7C">
            <w:pPr>
              <w:widowControl/>
              <w:jc w:val="left"/>
              <w:rPr>
                <w:rFonts w:ascii="Calibri" w:eastAsia="Times New Roman" w:hAnsi="Calibri" w:cs="Calibri"/>
                <w:b/>
                <w:bCs/>
                <w:color w:val="000000"/>
                <w:kern w:val="0"/>
                <w:szCs w:val="21"/>
              </w:rPr>
            </w:pPr>
          </w:p>
        </w:tc>
        <w:tc>
          <w:tcPr>
            <w:tcW w:w="1271" w:type="dxa"/>
            <w:tcBorders>
              <w:top w:val="nil"/>
              <w:left w:val="nil"/>
              <w:bottom w:val="single" w:sz="8" w:space="0" w:color="auto"/>
              <w:right w:val="nil"/>
            </w:tcBorders>
            <w:shd w:val="clear" w:color="auto" w:fill="auto"/>
            <w:vAlign w:val="center"/>
            <w:hideMark/>
          </w:tcPr>
          <w:p w14:paraId="33517741" w14:textId="77777777" w:rsidR="00E71C7C" w:rsidRPr="005F2665" w:rsidRDefault="00E71C7C" w:rsidP="00E71C7C">
            <w:pPr>
              <w:widowControl/>
              <w:jc w:val="center"/>
              <w:rPr>
                <w:rFonts w:ascii="Calibri" w:eastAsia="Times New Roman" w:hAnsi="Calibri" w:cs="Calibri"/>
                <w:b/>
                <w:bCs/>
                <w:color w:val="000000"/>
                <w:kern w:val="0"/>
                <w:szCs w:val="21"/>
              </w:rPr>
            </w:pPr>
            <w:r w:rsidRPr="005F2665">
              <w:rPr>
                <w:rFonts w:ascii="Calibri" w:eastAsia="Times New Roman" w:hAnsi="Calibri" w:cs="Calibri"/>
                <w:b/>
                <w:bCs/>
                <w:color w:val="000000"/>
                <w:kern w:val="0"/>
                <w:szCs w:val="21"/>
              </w:rPr>
              <w:t>(n=102)</w:t>
            </w:r>
          </w:p>
        </w:tc>
        <w:tc>
          <w:tcPr>
            <w:tcW w:w="1275" w:type="dxa"/>
            <w:tcBorders>
              <w:top w:val="nil"/>
              <w:left w:val="nil"/>
              <w:bottom w:val="single" w:sz="8" w:space="0" w:color="auto"/>
              <w:right w:val="nil"/>
            </w:tcBorders>
            <w:shd w:val="clear" w:color="auto" w:fill="auto"/>
            <w:vAlign w:val="center"/>
            <w:hideMark/>
          </w:tcPr>
          <w:p w14:paraId="5758D8D2" w14:textId="77777777" w:rsidR="00E71C7C" w:rsidRPr="005F2665" w:rsidRDefault="00E71C7C" w:rsidP="00E71C7C">
            <w:pPr>
              <w:widowControl/>
              <w:jc w:val="center"/>
              <w:rPr>
                <w:rFonts w:ascii="Calibri" w:eastAsia="Times New Roman" w:hAnsi="Calibri" w:cs="Calibri"/>
                <w:b/>
                <w:bCs/>
                <w:color w:val="000000"/>
                <w:kern w:val="0"/>
                <w:szCs w:val="21"/>
              </w:rPr>
            </w:pPr>
            <w:r w:rsidRPr="005F2665">
              <w:rPr>
                <w:rFonts w:ascii="Calibri" w:eastAsia="Times New Roman" w:hAnsi="Calibri" w:cs="Calibri"/>
                <w:b/>
                <w:bCs/>
                <w:color w:val="000000"/>
                <w:kern w:val="0"/>
                <w:szCs w:val="21"/>
              </w:rPr>
              <w:t>(n=96)</w:t>
            </w:r>
          </w:p>
        </w:tc>
        <w:tc>
          <w:tcPr>
            <w:tcW w:w="571" w:type="dxa"/>
            <w:vMerge/>
            <w:tcBorders>
              <w:top w:val="single" w:sz="8" w:space="0" w:color="auto"/>
              <w:left w:val="nil"/>
              <w:bottom w:val="single" w:sz="8" w:space="0" w:color="000000"/>
              <w:right w:val="nil"/>
            </w:tcBorders>
            <w:vAlign w:val="center"/>
            <w:hideMark/>
          </w:tcPr>
          <w:p w14:paraId="0682D2D3" w14:textId="77777777" w:rsidR="00E71C7C" w:rsidRPr="005F2665" w:rsidRDefault="00E71C7C" w:rsidP="00E71C7C">
            <w:pPr>
              <w:widowControl/>
              <w:jc w:val="left"/>
              <w:rPr>
                <w:rFonts w:ascii="Calibri" w:eastAsia="Times New Roman" w:hAnsi="Calibri" w:cs="Calibri"/>
                <w:b/>
                <w:bCs/>
                <w:i/>
                <w:iCs/>
                <w:color w:val="000000"/>
                <w:kern w:val="0"/>
                <w:szCs w:val="21"/>
              </w:rPr>
            </w:pPr>
          </w:p>
        </w:tc>
        <w:tc>
          <w:tcPr>
            <w:tcW w:w="1699" w:type="dxa"/>
            <w:tcBorders>
              <w:top w:val="single" w:sz="8" w:space="0" w:color="auto"/>
              <w:left w:val="nil"/>
              <w:bottom w:val="single" w:sz="8" w:space="0" w:color="000000"/>
              <w:right w:val="nil"/>
            </w:tcBorders>
            <w:vAlign w:val="center"/>
          </w:tcPr>
          <w:p w14:paraId="04850BDF" w14:textId="46A870EF" w:rsidR="00E71C7C" w:rsidRPr="005F2665" w:rsidRDefault="00016006" w:rsidP="00E71C7C">
            <w:pPr>
              <w:widowControl/>
              <w:jc w:val="left"/>
              <w:rPr>
                <w:rFonts w:ascii="Calibri" w:eastAsia="Times New Roman" w:hAnsi="Calibri" w:cs="Calibri"/>
                <w:b/>
                <w:bCs/>
                <w:i/>
                <w:iCs/>
                <w:color w:val="000000"/>
                <w:kern w:val="0"/>
                <w:szCs w:val="21"/>
              </w:rPr>
            </w:pPr>
            <w:r>
              <w:rPr>
                <w:rFonts w:ascii="Calibri" w:eastAsia="Times New Roman" w:hAnsi="Calibri" w:cs="Calibri"/>
                <w:b/>
                <w:bCs/>
                <w:color w:val="000000"/>
                <w:kern w:val="0"/>
                <w:szCs w:val="21"/>
              </w:rPr>
              <w:t xml:space="preserve">    </w:t>
            </w:r>
            <w:r w:rsidR="00E71C7C" w:rsidRPr="007E4677">
              <w:rPr>
                <w:rFonts w:ascii="Calibri" w:eastAsia="Times New Roman" w:hAnsi="Calibri" w:cs="Calibri"/>
                <w:b/>
                <w:bCs/>
                <w:color w:val="000000"/>
                <w:kern w:val="0"/>
                <w:szCs w:val="21"/>
              </w:rPr>
              <w:t>(n=38)</w:t>
            </w:r>
          </w:p>
        </w:tc>
        <w:tc>
          <w:tcPr>
            <w:tcW w:w="992" w:type="dxa"/>
            <w:tcBorders>
              <w:top w:val="single" w:sz="8" w:space="0" w:color="auto"/>
              <w:left w:val="nil"/>
              <w:bottom w:val="single" w:sz="8" w:space="0" w:color="000000"/>
              <w:right w:val="nil"/>
            </w:tcBorders>
            <w:vAlign w:val="center"/>
          </w:tcPr>
          <w:p w14:paraId="7F25213B" w14:textId="6FDE25D5" w:rsidR="00E71C7C" w:rsidRPr="005F2665" w:rsidRDefault="00E71C7C" w:rsidP="00E71C7C">
            <w:pPr>
              <w:widowControl/>
              <w:jc w:val="left"/>
              <w:rPr>
                <w:rFonts w:ascii="Calibri" w:eastAsia="Times New Roman" w:hAnsi="Calibri" w:cs="Calibri"/>
                <w:b/>
                <w:bCs/>
                <w:i/>
                <w:iCs/>
                <w:color w:val="000000"/>
                <w:kern w:val="0"/>
                <w:szCs w:val="21"/>
              </w:rPr>
            </w:pPr>
            <w:r w:rsidRPr="007E4677">
              <w:rPr>
                <w:rFonts w:ascii="Calibri" w:eastAsia="Times New Roman" w:hAnsi="Calibri" w:cs="Calibri"/>
                <w:b/>
                <w:bCs/>
                <w:color w:val="000000"/>
                <w:kern w:val="0"/>
                <w:szCs w:val="21"/>
              </w:rPr>
              <w:t>(n=27)</w:t>
            </w:r>
          </w:p>
        </w:tc>
        <w:tc>
          <w:tcPr>
            <w:tcW w:w="1276" w:type="dxa"/>
            <w:tcBorders>
              <w:top w:val="single" w:sz="8" w:space="0" w:color="auto"/>
              <w:left w:val="nil"/>
              <w:bottom w:val="single" w:sz="8" w:space="0" w:color="000000"/>
              <w:right w:val="nil"/>
            </w:tcBorders>
            <w:vAlign w:val="center"/>
          </w:tcPr>
          <w:p w14:paraId="4E78CF9D" w14:textId="77777777" w:rsidR="00E71C7C" w:rsidRPr="005F2665" w:rsidRDefault="00E71C7C" w:rsidP="00E71C7C">
            <w:pPr>
              <w:widowControl/>
              <w:jc w:val="left"/>
              <w:rPr>
                <w:rFonts w:ascii="Calibri" w:eastAsia="Times New Roman" w:hAnsi="Calibri" w:cs="Calibri"/>
                <w:b/>
                <w:bCs/>
                <w:i/>
                <w:iCs/>
                <w:color w:val="000000"/>
                <w:kern w:val="0"/>
                <w:szCs w:val="21"/>
              </w:rPr>
            </w:pPr>
          </w:p>
        </w:tc>
      </w:tr>
      <w:tr w:rsidR="00E71C7C" w:rsidRPr="005F2665" w14:paraId="275FA789" w14:textId="4E08BD33" w:rsidTr="00EE027B">
        <w:trPr>
          <w:trHeight w:val="510"/>
        </w:trPr>
        <w:tc>
          <w:tcPr>
            <w:tcW w:w="1280" w:type="dxa"/>
            <w:tcBorders>
              <w:top w:val="nil"/>
              <w:left w:val="nil"/>
              <w:bottom w:val="nil"/>
              <w:right w:val="nil"/>
            </w:tcBorders>
            <w:shd w:val="clear" w:color="auto" w:fill="auto"/>
            <w:vAlign w:val="center"/>
            <w:hideMark/>
          </w:tcPr>
          <w:p w14:paraId="6D469919" w14:textId="77777777" w:rsidR="00E71C7C" w:rsidRPr="005F2665" w:rsidRDefault="00E71C7C" w:rsidP="00E71C7C">
            <w:pPr>
              <w:widowControl/>
              <w:jc w:val="center"/>
              <w:rPr>
                <w:rFonts w:ascii="Calibri" w:eastAsia="Times New Roman" w:hAnsi="Calibri" w:cs="Calibri"/>
                <w:b/>
                <w:bCs/>
                <w:color w:val="000000"/>
                <w:kern w:val="0"/>
                <w:szCs w:val="21"/>
              </w:rPr>
            </w:pPr>
            <w:r w:rsidRPr="005F2665">
              <w:rPr>
                <w:rFonts w:ascii="Calibri" w:eastAsia="Times New Roman" w:hAnsi="Calibri" w:cs="Calibri"/>
                <w:b/>
                <w:bCs/>
                <w:color w:val="000000"/>
                <w:kern w:val="0"/>
                <w:szCs w:val="21"/>
              </w:rPr>
              <w:t>HADS_D</w:t>
            </w:r>
          </w:p>
        </w:tc>
        <w:tc>
          <w:tcPr>
            <w:tcW w:w="1271" w:type="dxa"/>
            <w:tcBorders>
              <w:top w:val="nil"/>
              <w:left w:val="nil"/>
              <w:bottom w:val="nil"/>
              <w:right w:val="nil"/>
            </w:tcBorders>
            <w:shd w:val="clear" w:color="auto" w:fill="auto"/>
            <w:vAlign w:val="center"/>
            <w:hideMark/>
          </w:tcPr>
          <w:p w14:paraId="486C4DC4" w14:textId="77777777" w:rsidR="00E71C7C" w:rsidRPr="005F2665" w:rsidRDefault="00E71C7C" w:rsidP="00E71C7C">
            <w:pPr>
              <w:widowControl/>
              <w:jc w:val="center"/>
              <w:rPr>
                <w:rFonts w:ascii="Calibri" w:eastAsia="Times New Roman" w:hAnsi="Calibri" w:cs="Calibri"/>
                <w:color w:val="000000"/>
                <w:kern w:val="0"/>
                <w:sz w:val="20"/>
                <w:szCs w:val="20"/>
              </w:rPr>
            </w:pPr>
            <w:r w:rsidRPr="005F2665">
              <w:rPr>
                <w:rFonts w:ascii="Calibri" w:eastAsia="Times New Roman" w:hAnsi="Calibri" w:cs="Calibri"/>
                <w:color w:val="000000"/>
                <w:kern w:val="0"/>
                <w:sz w:val="20"/>
                <w:szCs w:val="20"/>
              </w:rPr>
              <w:t>5.69</w:t>
            </w:r>
            <w:r w:rsidRPr="005F2665">
              <w:rPr>
                <w:rFonts w:ascii="SimSun" w:eastAsia="SimSun" w:hAnsi="SimSun" w:cs="Calibri" w:hint="eastAsia"/>
                <w:color w:val="000000"/>
                <w:kern w:val="0"/>
                <w:sz w:val="20"/>
                <w:szCs w:val="20"/>
              </w:rPr>
              <w:t>±</w:t>
            </w:r>
            <w:r w:rsidRPr="005F2665">
              <w:rPr>
                <w:rFonts w:ascii="Calibri" w:eastAsia="Times New Roman" w:hAnsi="Calibri" w:cs="Calibri"/>
                <w:color w:val="000000"/>
                <w:kern w:val="0"/>
                <w:sz w:val="20"/>
                <w:szCs w:val="20"/>
              </w:rPr>
              <w:t>4.01</w:t>
            </w:r>
          </w:p>
        </w:tc>
        <w:tc>
          <w:tcPr>
            <w:tcW w:w="1275" w:type="dxa"/>
            <w:tcBorders>
              <w:top w:val="nil"/>
              <w:left w:val="nil"/>
              <w:bottom w:val="nil"/>
              <w:right w:val="nil"/>
            </w:tcBorders>
            <w:shd w:val="clear" w:color="auto" w:fill="auto"/>
            <w:vAlign w:val="center"/>
            <w:hideMark/>
          </w:tcPr>
          <w:p w14:paraId="7DF03170" w14:textId="77777777" w:rsidR="00E71C7C" w:rsidRPr="005F2665" w:rsidRDefault="00E71C7C" w:rsidP="00E71C7C">
            <w:pPr>
              <w:widowControl/>
              <w:jc w:val="center"/>
              <w:rPr>
                <w:rFonts w:ascii="Calibri" w:eastAsia="Times New Roman" w:hAnsi="Calibri" w:cs="Calibri"/>
                <w:color w:val="000000"/>
                <w:kern w:val="0"/>
                <w:sz w:val="20"/>
                <w:szCs w:val="20"/>
              </w:rPr>
            </w:pPr>
            <w:r w:rsidRPr="005F2665">
              <w:rPr>
                <w:rFonts w:ascii="Calibri" w:eastAsia="Times New Roman" w:hAnsi="Calibri" w:cs="Calibri"/>
                <w:color w:val="000000"/>
                <w:kern w:val="0"/>
                <w:sz w:val="20"/>
                <w:szCs w:val="20"/>
              </w:rPr>
              <w:t>5.28</w:t>
            </w:r>
            <w:r w:rsidRPr="005F2665">
              <w:rPr>
                <w:rFonts w:ascii="SimSun" w:eastAsia="SimSun" w:hAnsi="SimSun" w:cs="Calibri" w:hint="eastAsia"/>
                <w:color w:val="000000"/>
                <w:kern w:val="0"/>
                <w:sz w:val="20"/>
                <w:szCs w:val="20"/>
              </w:rPr>
              <w:t>±</w:t>
            </w:r>
            <w:r w:rsidRPr="005F2665">
              <w:rPr>
                <w:rFonts w:ascii="Calibri" w:eastAsia="Times New Roman" w:hAnsi="Calibri" w:cs="Calibri"/>
                <w:color w:val="000000"/>
                <w:kern w:val="0"/>
                <w:sz w:val="20"/>
                <w:szCs w:val="20"/>
              </w:rPr>
              <w:t>4.13</w:t>
            </w:r>
          </w:p>
        </w:tc>
        <w:tc>
          <w:tcPr>
            <w:tcW w:w="571" w:type="dxa"/>
            <w:tcBorders>
              <w:top w:val="nil"/>
              <w:left w:val="nil"/>
              <w:bottom w:val="nil"/>
              <w:right w:val="nil"/>
            </w:tcBorders>
            <w:shd w:val="clear" w:color="auto" w:fill="auto"/>
            <w:vAlign w:val="center"/>
            <w:hideMark/>
          </w:tcPr>
          <w:p w14:paraId="02A5A2B5" w14:textId="77777777" w:rsidR="00E71C7C" w:rsidRPr="005F2665" w:rsidRDefault="00E71C7C" w:rsidP="00E71C7C">
            <w:pPr>
              <w:widowControl/>
              <w:jc w:val="center"/>
              <w:rPr>
                <w:rFonts w:ascii="Calibri" w:eastAsia="Times New Roman" w:hAnsi="Calibri" w:cs="Calibri"/>
                <w:color w:val="000000"/>
                <w:kern w:val="0"/>
                <w:sz w:val="20"/>
                <w:szCs w:val="20"/>
              </w:rPr>
            </w:pPr>
            <w:r w:rsidRPr="005F2665">
              <w:rPr>
                <w:rFonts w:ascii="Calibri" w:eastAsia="Times New Roman" w:hAnsi="Calibri" w:cs="Calibri"/>
                <w:color w:val="000000"/>
                <w:kern w:val="0"/>
                <w:sz w:val="20"/>
                <w:szCs w:val="20"/>
              </w:rPr>
              <w:t>0.47</w:t>
            </w:r>
          </w:p>
        </w:tc>
        <w:tc>
          <w:tcPr>
            <w:tcW w:w="1699" w:type="dxa"/>
            <w:tcBorders>
              <w:top w:val="nil"/>
              <w:left w:val="nil"/>
              <w:bottom w:val="nil"/>
              <w:right w:val="nil"/>
            </w:tcBorders>
            <w:vAlign w:val="center"/>
          </w:tcPr>
          <w:p w14:paraId="404F1F0D" w14:textId="385E43EE" w:rsidR="00E71C7C" w:rsidRPr="005F2665" w:rsidRDefault="00E71C7C" w:rsidP="00E71C7C">
            <w:pPr>
              <w:widowControl/>
              <w:jc w:val="center"/>
              <w:rPr>
                <w:rFonts w:ascii="Calibri" w:eastAsia="Times New Roman" w:hAnsi="Calibri" w:cs="Calibri"/>
                <w:color w:val="000000"/>
                <w:kern w:val="0"/>
                <w:sz w:val="20"/>
                <w:szCs w:val="20"/>
              </w:rPr>
            </w:pPr>
            <w:r w:rsidRPr="007E4677">
              <w:rPr>
                <w:rFonts w:ascii="Calibri" w:eastAsia="Times New Roman" w:hAnsi="Calibri" w:cs="Calibri"/>
                <w:color w:val="000000"/>
                <w:kern w:val="0"/>
                <w:sz w:val="20"/>
                <w:szCs w:val="20"/>
              </w:rPr>
              <w:t>5.58</w:t>
            </w:r>
            <w:r w:rsidRPr="007E4677">
              <w:rPr>
                <w:rFonts w:ascii="SimSun" w:eastAsia="SimSun" w:hAnsi="SimSun" w:cs="Calibri" w:hint="eastAsia"/>
                <w:color w:val="000000"/>
                <w:kern w:val="0"/>
                <w:sz w:val="20"/>
                <w:szCs w:val="20"/>
              </w:rPr>
              <w:t>±</w:t>
            </w:r>
            <w:r w:rsidRPr="007E4677">
              <w:rPr>
                <w:rFonts w:ascii="Calibri" w:eastAsia="Times New Roman" w:hAnsi="Calibri" w:cs="Calibri"/>
                <w:color w:val="000000"/>
                <w:kern w:val="0"/>
                <w:sz w:val="20"/>
                <w:szCs w:val="20"/>
              </w:rPr>
              <w:t>4.51</w:t>
            </w:r>
          </w:p>
        </w:tc>
        <w:tc>
          <w:tcPr>
            <w:tcW w:w="992" w:type="dxa"/>
            <w:tcBorders>
              <w:top w:val="nil"/>
              <w:left w:val="nil"/>
              <w:bottom w:val="nil"/>
              <w:right w:val="nil"/>
            </w:tcBorders>
            <w:vAlign w:val="center"/>
          </w:tcPr>
          <w:p w14:paraId="3667012D" w14:textId="1360DC80" w:rsidR="00E71C7C" w:rsidRPr="005F2665" w:rsidRDefault="00E71C7C" w:rsidP="00E71C7C">
            <w:pPr>
              <w:widowControl/>
              <w:jc w:val="center"/>
              <w:rPr>
                <w:rFonts w:ascii="Calibri" w:eastAsia="Times New Roman" w:hAnsi="Calibri" w:cs="Calibri"/>
                <w:color w:val="000000"/>
                <w:kern w:val="0"/>
                <w:sz w:val="20"/>
                <w:szCs w:val="20"/>
              </w:rPr>
            </w:pPr>
            <w:r w:rsidRPr="007E4677">
              <w:rPr>
                <w:rFonts w:ascii="Calibri" w:eastAsia="Times New Roman" w:hAnsi="Calibri" w:cs="Calibri"/>
                <w:color w:val="000000"/>
                <w:kern w:val="0"/>
                <w:sz w:val="20"/>
                <w:szCs w:val="20"/>
              </w:rPr>
              <w:t>6.26</w:t>
            </w:r>
            <w:r w:rsidRPr="007E4677">
              <w:rPr>
                <w:rFonts w:ascii="SimSun" w:eastAsia="SimSun" w:hAnsi="SimSun" w:cs="Calibri" w:hint="eastAsia"/>
                <w:color w:val="000000"/>
                <w:kern w:val="0"/>
                <w:sz w:val="20"/>
                <w:szCs w:val="20"/>
              </w:rPr>
              <w:t>±</w:t>
            </w:r>
            <w:r w:rsidRPr="007E4677">
              <w:rPr>
                <w:rFonts w:ascii="Calibri" w:eastAsia="Times New Roman" w:hAnsi="Calibri" w:cs="Calibri"/>
                <w:color w:val="000000"/>
                <w:kern w:val="0"/>
                <w:sz w:val="20"/>
                <w:szCs w:val="20"/>
              </w:rPr>
              <w:t>5.16</w:t>
            </w:r>
          </w:p>
        </w:tc>
        <w:tc>
          <w:tcPr>
            <w:tcW w:w="1276" w:type="dxa"/>
            <w:tcBorders>
              <w:top w:val="nil"/>
              <w:left w:val="nil"/>
              <w:bottom w:val="nil"/>
              <w:right w:val="nil"/>
            </w:tcBorders>
            <w:vAlign w:val="center"/>
          </w:tcPr>
          <w:p w14:paraId="28A4F1D1" w14:textId="05F7E894" w:rsidR="00E71C7C" w:rsidRPr="005F2665" w:rsidRDefault="00E71C7C" w:rsidP="00E71C7C">
            <w:pPr>
              <w:widowControl/>
              <w:jc w:val="center"/>
              <w:rPr>
                <w:rFonts w:ascii="Calibri" w:eastAsia="Times New Roman" w:hAnsi="Calibri" w:cs="Calibri"/>
                <w:color w:val="000000"/>
                <w:kern w:val="0"/>
                <w:sz w:val="20"/>
                <w:szCs w:val="20"/>
              </w:rPr>
            </w:pPr>
            <w:r w:rsidRPr="007E4677">
              <w:rPr>
                <w:rFonts w:ascii="Calibri" w:eastAsia="Times New Roman" w:hAnsi="Calibri" w:cs="Calibri"/>
                <w:color w:val="000000"/>
                <w:kern w:val="0"/>
                <w:sz w:val="20"/>
                <w:szCs w:val="20"/>
              </w:rPr>
              <w:t>0.58</w:t>
            </w:r>
          </w:p>
        </w:tc>
      </w:tr>
      <w:tr w:rsidR="00E71C7C" w:rsidRPr="005F2665" w14:paraId="4368FA23" w14:textId="43196C6A" w:rsidTr="00EE027B">
        <w:trPr>
          <w:trHeight w:val="510"/>
        </w:trPr>
        <w:tc>
          <w:tcPr>
            <w:tcW w:w="1280" w:type="dxa"/>
            <w:tcBorders>
              <w:top w:val="nil"/>
              <w:left w:val="nil"/>
              <w:bottom w:val="nil"/>
              <w:right w:val="nil"/>
            </w:tcBorders>
            <w:shd w:val="clear" w:color="auto" w:fill="auto"/>
            <w:vAlign w:val="center"/>
            <w:hideMark/>
          </w:tcPr>
          <w:p w14:paraId="1BAB0BF0" w14:textId="77777777" w:rsidR="00E71C7C" w:rsidRPr="005F2665" w:rsidRDefault="00E71C7C" w:rsidP="00E71C7C">
            <w:pPr>
              <w:widowControl/>
              <w:jc w:val="center"/>
              <w:rPr>
                <w:rFonts w:ascii="Calibri" w:eastAsia="Times New Roman" w:hAnsi="Calibri" w:cs="Calibri"/>
                <w:b/>
                <w:bCs/>
                <w:color w:val="000000"/>
                <w:kern w:val="0"/>
                <w:szCs w:val="21"/>
              </w:rPr>
            </w:pPr>
            <w:r w:rsidRPr="005F2665">
              <w:rPr>
                <w:rFonts w:ascii="Calibri" w:eastAsia="Times New Roman" w:hAnsi="Calibri" w:cs="Calibri"/>
                <w:b/>
                <w:bCs/>
                <w:color w:val="000000"/>
                <w:kern w:val="0"/>
                <w:szCs w:val="21"/>
              </w:rPr>
              <w:t>HADS_A</w:t>
            </w:r>
          </w:p>
        </w:tc>
        <w:tc>
          <w:tcPr>
            <w:tcW w:w="1271" w:type="dxa"/>
            <w:tcBorders>
              <w:top w:val="nil"/>
              <w:left w:val="nil"/>
              <w:bottom w:val="nil"/>
              <w:right w:val="nil"/>
            </w:tcBorders>
            <w:shd w:val="clear" w:color="auto" w:fill="auto"/>
            <w:vAlign w:val="center"/>
            <w:hideMark/>
          </w:tcPr>
          <w:p w14:paraId="0BF5C684" w14:textId="77777777" w:rsidR="00E71C7C" w:rsidRPr="005F2665" w:rsidRDefault="00E71C7C" w:rsidP="00E71C7C">
            <w:pPr>
              <w:widowControl/>
              <w:jc w:val="center"/>
              <w:rPr>
                <w:rFonts w:ascii="Calibri" w:eastAsia="Times New Roman" w:hAnsi="Calibri" w:cs="Calibri"/>
                <w:color w:val="000000"/>
                <w:kern w:val="0"/>
                <w:sz w:val="20"/>
                <w:szCs w:val="20"/>
              </w:rPr>
            </w:pPr>
            <w:r w:rsidRPr="005F2665">
              <w:rPr>
                <w:rFonts w:ascii="SimSun" w:eastAsia="SimSun" w:hAnsi="SimSun" w:cs="Calibri" w:hint="eastAsia"/>
                <w:color w:val="000000"/>
                <w:kern w:val="0"/>
                <w:sz w:val="20"/>
                <w:szCs w:val="20"/>
              </w:rPr>
              <w:t>7.15±</w:t>
            </w:r>
            <w:r w:rsidRPr="005F2665">
              <w:rPr>
                <w:rFonts w:ascii="Calibri" w:eastAsia="Times New Roman" w:hAnsi="Calibri" w:cs="Calibri"/>
                <w:color w:val="000000"/>
                <w:kern w:val="0"/>
                <w:sz w:val="20"/>
                <w:szCs w:val="20"/>
              </w:rPr>
              <w:t>4.67</w:t>
            </w:r>
          </w:p>
        </w:tc>
        <w:tc>
          <w:tcPr>
            <w:tcW w:w="1275" w:type="dxa"/>
            <w:tcBorders>
              <w:top w:val="nil"/>
              <w:left w:val="nil"/>
              <w:bottom w:val="nil"/>
              <w:right w:val="nil"/>
            </w:tcBorders>
            <w:shd w:val="clear" w:color="auto" w:fill="auto"/>
            <w:vAlign w:val="center"/>
            <w:hideMark/>
          </w:tcPr>
          <w:p w14:paraId="6ECD5EA3" w14:textId="77777777" w:rsidR="00E71C7C" w:rsidRPr="005F2665" w:rsidRDefault="00E71C7C" w:rsidP="00E71C7C">
            <w:pPr>
              <w:widowControl/>
              <w:jc w:val="center"/>
              <w:rPr>
                <w:rFonts w:ascii="Calibri" w:eastAsia="Times New Roman" w:hAnsi="Calibri" w:cs="Calibri"/>
                <w:color w:val="000000"/>
                <w:kern w:val="0"/>
                <w:sz w:val="20"/>
                <w:szCs w:val="20"/>
              </w:rPr>
            </w:pPr>
            <w:r w:rsidRPr="005F2665">
              <w:rPr>
                <w:rFonts w:ascii="SimSun" w:eastAsia="SimSun" w:hAnsi="SimSun" w:cs="Calibri" w:hint="eastAsia"/>
                <w:color w:val="000000"/>
                <w:kern w:val="0"/>
                <w:sz w:val="20"/>
                <w:szCs w:val="20"/>
              </w:rPr>
              <w:t>7.02±</w:t>
            </w:r>
            <w:r w:rsidRPr="005F2665">
              <w:rPr>
                <w:rFonts w:ascii="Calibri" w:eastAsia="Times New Roman" w:hAnsi="Calibri" w:cs="Calibri"/>
                <w:color w:val="000000"/>
                <w:kern w:val="0"/>
                <w:sz w:val="20"/>
                <w:szCs w:val="20"/>
              </w:rPr>
              <w:t>4.41</w:t>
            </w:r>
          </w:p>
        </w:tc>
        <w:tc>
          <w:tcPr>
            <w:tcW w:w="571" w:type="dxa"/>
            <w:tcBorders>
              <w:top w:val="nil"/>
              <w:left w:val="nil"/>
              <w:bottom w:val="nil"/>
              <w:right w:val="nil"/>
            </w:tcBorders>
            <w:shd w:val="clear" w:color="auto" w:fill="auto"/>
            <w:vAlign w:val="center"/>
            <w:hideMark/>
          </w:tcPr>
          <w:p w14:paraId="57B48541" w14:textId="77777777" w:rsidR="00E71C7C" w:rsidRPr="005F2665" w:rsidRDefault="00E71C7C" w:rsidP="00E71C7C">
            <w:pPr>
              <w:widowControl/>
              <w:jc w:val="center"/>
              <w:rPr>
                <w:rFonts w:ascii="Calibri" w:eastAsia="Times New Roman" w:hAnsi="Calibri" w:cs="Calibri"/>
                <w:color w:val="000000"/>
                <w:kern w:val="0"/>
                <w:sz w:val="20"/>
                <w:szCs w:val="20"/>
              </w:rPr>
            </w:pPr>
            <w:r w:rsidRPr="005F2665">
              <w:rPr>
                <w:rFonts w:ascii="Calibri" w:eastAsia="Times New Roman" w:hAnsi="Calibri" w:cs="Calibri"/>
                <w:color w:val="000000"/>
                <w:kern w:val="0"/>
                <w:sz w:val="20"/>
                <w:szCs w:val="20"/>
              </w:rPr>
              <w:t>0.85</w:t>
            </w:r>
          </w:p>
        </w:tc>
        <w:tc>
          <w:tcPr>
            <w:tcW w:w="1699" w:type="dxa"/>
            <w:tcBorders>
              <w:top w:val="nil"/>
              <w:left w:val="nil"/>
              <w:bottom w:val="nil"/>
              <w:right w:val="nil"/>
            </w:tcBorders>
            <w:vAlign w:val="center"/>
          </w:tcPr>
          <w:p w14:paraId="4160EF48" w14:textId="12A23396" w:rsidR="00E71C7C" w:rsidRPr="005F2665" w:rsidRDefault="00E71C7C" w:rsidP="00E71C7C">
            <w:pPr>
              <w:widowControl/>
              <w:jc w:val="center"/>
              <w:rPr>
                <w:rFonts w:ascii="Calibri" w:eastAsia="Times New Roman" w:hAnsi="Calibri" w:cs="Calibri"/>
                <w:color w:val="000000"/>
                <w:kern w:val="0"/>
                <w:sz w:val="20"/>
                <w:szCs w:val="20"/>
              </w:rPr>
            </w:pPr>
            <w:r w:rsidRPr="007E4677">
              <w:rPr>
                <w:rFonts w:ascii="SimSun" w:eastAsia="SimSun" w:hAnsi="SimSun" w:cs="Calibri" w:hint="eastAsia"/>
                <w:color w:val="000000"/>
                <w:kern w:val="0"/>
                <w:sz w:val="20"/>
                <w:szCs w:val="20"/>
              </w:rPr>
              <w:t>6.89±</w:t>
            </w:r>
            <w:r w:rsidRPr="007E4677">
              <w:rPr>
                <w:rFonts w:ascii="Calibri" w:eastAsia="Times New Roman" w:hAnsi="Calibri" w:cs="Calibri"/>
                <w:color w:val="000000"/>
                <w:kern w:val="0"/>
                <w:sz w:val="20"/>
                <w:szCs w:val="20"/>
              </w:rPr>
              <w:t>4.35</w:t>
            </w:r>
          </w:p>
        </w:tc>
        <w:tc>
          <w:tcPr>
            <w:tcW w:w="992" w:type="dxa"/>
            <w:tcBorders>
              <w:top w:val="nil"/>
              <w:left w:val="nil"/>
              <w:bottom w:val="nil"/>
              <w:right w:val="nil"/>
            </w:tcBorders>
            <w:vAlign w:val="center"/>
          </w:tcPr>
          <w:p w14:paraId="3EC86FA7" w14:textId="73A1AF58" w:rsidR="00E71C7C" w:rsidRPr="005F2665" w:rsidRDefault="00E71C7C" w:rsidP="00E71C7C">
            <w:pPr>
              <w:widowControl/>
              <w:jc w:val="center"/>
              <w:rPr>
                <w:rFonts w:ascii="Calibri" w:eastAsia="Times New Roman" w:hAnsi="Calibri" w:cs="Calibri"/>
                <w:color w:val="000000"/>
                <w:kern w:val="0"/>
                <w:sz w:val="20"/>
                <w:szCs w:val="20"/>
              </w:rPr>
            </w:pPr>
            <w:r w:rsidRPr="007E4677">
              <w:rPr>
                <w:rFonts w:ascii="Calibri" w:eastAsia="Times New Roman" w:hAnsi="Calibri" w:cs="Calibri"/>
                <w:color w:val="000000"/>
                <w:kern w:val="0"/>
                <w:sz w:val="20"/>
                <w:szCs w:val="20"/>
              </w:rPr>
              <w:t>8.85</w:t>
            </w:r>
            <w:r w:rsidRPr="007E4677">
              <w:rPr>
                <w:rFonts w:ascii="SimSun" w:eastAsia="SimSun" w:hAnsi="SimSun" w:cs="Calibri" w:hint="eastAsia"/>
                <w:color w:val="000000"/>
                <w:kern w:val="0"/>
                <w:sz w:val="20"/>
                <w:szCs w:val="20"/>
              </w:rPr>
              <w:t>±</w:t>
            </w:r>
            <w:r w:rsidRPr="007E4677">
              <w:rPr>
                <w:rFonts w:ascii="Calibri" w:eastAsia="Times New Roman" w:hAnsi="Calibri" w:cs="Calibri"/>
                <w:color w:val="000000"/>
                <w:kern w:val="0"/>
                <w:sz w:val="20"/>
                <w:szCs w:val="20"/>
              </w:rPr>
              <w:t>4.69</w:t>
            </w:r>
          </w:p>
        </w:tc>
        <w:tc>
          <w:tcPr>
            <w:tcW w:w="1276" w:type="dxa"/>
            <w:tcBorders>
              <w:top w:val="nil"/>
              <w:left w:val="nil"/>
              <w:bottom w:val="nil"/>
              <w:right w:val="nil"/>
            </w:tcBorders>
            <w:vAlign w:val="center"/>
          </w:tcPr>
          <w:p w14:paraId="2A7032FC" w14:textId="1CD0C978" w:rsidR="00E71C7C" w:rsidRPr="005F2665" w:rsidRDefault="00E71C7C" w:rsidP="00E71C7C">
            <w:pPr>
              <w:widowControl/>
              <w:jc w:val="center"/>
              <w:rPr>
                <w:rFonts w:ascii="Calibri" w:eastAsia="Times New Roman" w:hAnsi="Calibri" w:cs="Calibri"/>
                <w:color w:val="000000"/>
                <w:kern w:val="0"/>
                <w:sz w:val="20"/>
                <w:szCs w:val="20"/>
              </w:rPr>
            </w:pPr>
            <w:r w:rsidRPr="007E4677">
              <w:rPr>
                <w:rFonts w:ascii="Calibri" w:eastAsia="Times New Roman" w:hAnsi="Calibri" w:cs="Calibri"/>
                <w:color w:val="000000"/>
                <w:kern w:val="0"/>
                <w:sz w:val="20"/>
                <w:szCs w:val="20"/>
              </w:rPr>
              <w:t>0.09</w:t>
            </w:r>
          </w:p>
        </w:tc>
      </w:tr>
      <w:tr w:rsidR="00E71C7C" w:rsidRPr="005F2665" w14:paraId="014E0652" w14:textId="47AB9BB8" w:rsidTr="00EE027B">
        <w:trPr>
          <w:trHeight w:val="525"/>
        </w:trPr>
        <w:tc>
          <w:tcPr>
            <w:tcW w:w="1280" w:type="dxa"/>
            <w:tcBorders>
              <w:top w:val="nil"/>
              <w:left w:val="nil"/>
              <w:bottom w:val="single" w:sz="8" w:space="0" w:color="auto"/>
              <w:right w:val="nil"/>
            </w:tcBorders>
            <w:shd w:val="clear" w:color="auto" w:fill="auto"/>
            <w:vAlign w:val="center"/>
            <w:hideMark/>
          </w:tcPr>
          <w:p w14:paraId="2D50DD4B" w14:textId="77777777" w:rsidR="00E71C7C" w:rsidRPr="005F2665" w:rsidRDefault="00E71C7C" w:rsidP="00E71C7C">
            <w:pPr>
              <w:widowControl/>
              <w:jc w:val="center"/>
              <w:rPr>
                <w:rFonts w:ascii="Calibri" w:eastAsia="Times New Roman" w:hAnsi="Calibri" w:cs="Calibri"/>
                <w:b/>
                <w:bCs/>
                <w:color w:val="000000"/>
                <w:kern w:val="0"/>
                <w:szCs w:val="21"/>
              </w:rPr>
            </w:pPr>
            <w:r w:rsidRPr="005F2665">
              <w:rPr>
                <w:rFonts w:ascii="Calibri" w:eastAsia="Times New Roman" w:hAnsi="Calibri" w:cs="Calibri"/>
                <w:b/>
                <w:bCs/>
                <w:color w:val="000000"/>
                <w:kern w:val="0"/>
                <w:szCs w:val="21"/>
              </w:rPr>
              <w:t>HADS_Total</w:t>
            </w:r>
          </w:p>
        </w:tc>
        <w:tc>
          <w:tcPr>
            <w:tcW w:w="1271" w:type="dxa"/>
            <w:tcBorders>
              <w:top w:val="nil"/>
              <w:left w:val="nil"/>
              <w:bottom w:val="single" w:sz="8" w:space="0" w:color="auto"/>
              <w:right w:val="nil"/>
            </w:tcBorders>
            <w:shd w:val="clear" w:color="auto" w:fill="auto"/>
            <w:vAlign w:val="center"/>
            <w:hideMark/>
          </w:tcPr>
          <w:p w14:paraId="12465227" w14:textId="77777777" w:rsidR="00E71C7C" w:rsidRPr="005F2665" w:rsidRDefault="00E71C7C" w:rsidP="00E71C7C">
            <w:pPr>
              <w:widowControl/>
              <w:jc w:val="center"/>
              <w:rPr>
                <w:rFonts w:ascii="Calibri" w:eastAsia="Times New Roman" w:hAnsi="Calibri" w:cs="Calibri"/>
                <w:color w:val="000000"/>
                <w:kern w:val="0"/>
                <w:sz w:val="20"/>
                <w:szCs w:val="20"/>
              </w:rPr>
            </w:pPr>
            <w:r w:rsidRPr="005F2665">
              <w:rPr>
                <w:rFonts w:ascii="Calibri" w:eastAsia="Times New Roman" w:hAnsi="Calibri" w:cs="Calibri"/>
                <w:color w:val="000000"/>
                <w:kern w:val="0"/>
                <w:sz w:val="20"/>
                <w:szCs w:val="20"/>
              </w:rPr>
              <w:t>12.84</w:t>
            </w:r>
            <w:r w:rsidRPr="005F2665">
              <w:rPr>
                <w:rFonts w:ascii="SimSun" w:eastAsia="SimSun" w:hAnsi="SimSun" w:cs="Calibri" w:hint="eastAsia"/>
                <w:color w:val="000000"/>
                <w:kern w:val="0"/>
                <w:sz w:val="20"/>
                <w:szCs w:val="20"/>
              </w:rPr>
              <w:t>±</w:t>
            </w:r>
            <w:r w:rsidRPr="005F2665">
              <w:rPr>
                <w:rFonts w:ascii="Calibri" w:eastAsia="Times New Roman" w:hAnsi="Calibri" w:cs="Calibri"/>
                <w:color w:val="000000"/>
                <w:kern w:val="0"/>
                <w:sz w:val="20"/>
                <w:szCs w:val="20"/>
              </w:rPr>
              <w:t>8.05</w:t>
            </w:r>
          </w:p>
        </w:tc>
        <w:tc>
          <w:tcPr>
            <w:tcW w:w="1275" w:type="dxa"/>
            <w:tcBorders>
              <w:top w:val="nil"/>
              <w:left w:val="nil"/>
              <w:bottom w:val="single" w:sz="8" w:space="0" w:color="auto"/>
              <w:right w:val="nil"/>
            </w:tcBorders>
            <w:shd w:val="clear" w:color="auto" w:fill="auto"/>
            <w:vAlign w:val="center"/>
            <w:hideMark/>
          </w:tcPr>
          <w:p w14:paraId="2ECA55B8" w14:textId="77777777" w:rsidR="00E71C7C" w:rsidRPr="005F2665" w:rsidRDefault="00E71C7C" w:rsidP="00E71C7C">
            <w:pPr>
              <w:widowControl/>
              <w:jc w:val="center"/>
              <w:rPr>
                <w:rFonts w:ascii="Calibri" w:eastAsia="Times New Roman" w:hAnsi="Calibri" w:cs="Calibri"/>
                <w:color w:val="000000"/>
                <w:kern w:val="0"/>
                <w:sz w:val="20"/>
                <w:szCs w:val="20"/>
              </w:rPr>
            </w:pPr>
            <w:r w:rsidRPr="005F2665">
              <w:rPr>
                <w:rFonts w:ascii="Calibri" w:eastAsia="Times New Roman" w:hAnsi="Calibri" w:cs="Calibri"/>
                <w:color w:val="000000"/>
                <w:kern w:val="0"/>
                <w:sz w:val="20"/>
                <w:szCs w:val="20"/>
              </w:rPr>
              <w:t>12.30</w:t>
            </w:r>
            <w:r w:rsidRPr="005F2665">
              <w:rPr>
                <w:rFonts w:ascii="SimSun" w:eastAsia="SimSun" w:hAnsi="SimSun" w:cs="Calibri" w:hint="eastAsia"/>
                <w:color w:val="000000"/>
                <w:kern w:val="0"/>
                <w:sz w:val="20"/>
                <w:szCs w:val="20"/>
              </w:rPr>
              <w:t>±</w:t>
            </w:r>
            <w:r w:rsidRPr="005F2665">
              <w:rPr>
                <w:rFonts w:ascii="Calibri" w:eastAsia="Times New Roman" w:hAnsi="Calibri" w:cs="Calibri"/>
                <w:color w:val="000000"/>
                <w:kern w:val="0"/>
                <w:sz w:val="20"/>
                <w:szCs w:val="20"/>
              </w:rPr>
              <w:t>7.91</w:t>
            </w:r>
          </w:p>
        </w:tc>
        <w:tc>
          <w:tcPr>
            <w:tcW w:w="571" w:type="dxa"/>
            <w:tcBorders>
              <w:top w:val="nil"/>
              <w:left w:val="nil"/>
              <w:bottom w:val="single" w:sz="8" w:space="0" w:color="auto"/>
              <w:right w:val="nil"/>
            </w:tcBorders>
            <w:shd w:val="clear" w:color="auto" w:fill="auto"/>
            <w:vAlign w:val="center"/>
            <w:hideMark/>
          </w:tcPr>
          <w:p w14:paraId="23474C7C" w14:textId="77777777" w:rsidR="00E71C7C" w:rsidRPr="005F2665" w:rsidRDefault="00E71C7C" w:rsidP="00E71C7C">
            <w:pPr>
              <w:widowControl/>
              <w:jc w:val="center"/>
              <w:rPr>
                <w:rFonts w:ascii="Calibri" w:eastAsia="Times New Roman" w:hAnsi="Calibri" w:cs="Calibri"/>
                <w:color w:val="000000"/>
                <w:kern w:val="0"/>
                <w:sz w:val="20"/>
                <w:szCs w:val="20"/>
              </w:rPr>
            </w:pPr>
            <w:r w:rsidRPr="005F2665">
              <w:rPr>
                <w:rFonts w:ascii="Calibri" w:eastAsia="Times New Roman" w:hAnsi="Calibri" w:cs="Calibri"/>
                <w:color w:val="000000"/>
                <w:kern w:val="0"/>
                <w:sz w:val="20"/>
                <w:szCs w:val="20"/>
              </w:rPr>
              <w:t>0.63</w:t>
            </w:r>
          </w:p>
        </w:tc>
        <w:tc>
          <w:tcPr>
            <w:tcW w:w="1699" w:type="dxa"/>
            <w:tcBorders>
              <w:top w:val="nil"/>
              <w:left w:val="nil"/>
              <w:bottom w:val="single" w:sz="8" w:space="0" w:color="auto"/>
              <w:right w:val="nil"/>
            </w:tcBorders>
            <w:vAlign w:val="center"/>
          </w:tcPr>
          <w:p w14:paraId="1D81C653" w14:textId="10CDB5DF" w:rsidR="00E71C7C" w:rsidRPr="005F2665" w:rsidRDefault="00E71C7C" w:rsidP="00E71C7C">
            <w:pPr>
              <w:widowControl/>
              <w:jc w:val="center"/>
              <w:rPr>
                <w:rFonts w:ascii="Calibri" w:eastAsia="Times New Roman" w:hAnsi="Calibri" w:cs="Calibri"/>
                <w:color w:val="000000"/>
                <w:kern w:val="0"/>
                <w:sz w:val="20"/>
                <w:szCs w:val="20"/>
              </w:rPr>
            </w:pPr>
            <w:r w:rsidRPr="007E4677">
              <w:rPr>
                <w:rFonts w:ascii="Calibri" w:eastAsia="Times New Roman" w:hAnsi="Calibri" w:cs="Calibri"/>
                <w:color w:val="000000"/>
                <w:kern w:val="0"/>
                <w:sz w:val="20"/>
                <w:szCs w:val="20"/>
              </w:rPr>
              <w:t>12.47</w:t>
            </w:r>
            <w:r w:rsidRPr="007E4677">
              <w:rPr>
                <w:rFonts w:ascii="SimSun" w:eastAsia="SimSun" w:hAnsi="SimSun" w:cs="Calibri" w:hint="eastAsia"/>
                <w:color w:val="000000"/>
                <w:kern w:val="0"/>
                <w:sz w:val="20"/>
                <w:szCs w:val="20"/>
              </w:rPr>
              <w:t>±</w:t>
            </w:r>
            <w:r w:rsidRPr="007E4677">
              <w:rPr>
                <w:rFonts w:ascii="Calibri" w:eastAsia="Times New Roman" w:hAnsi="Calibri" w:cs="Calibri"/>
                <w:color w:val="000000"/>
                <w:kern w:val="0"/>
                <w:sz w:val="20"/>
                <w:szCs w:val="20"/>
              </w:rPr>
              <w:t>8.26</w:t>
            </w:r>
          </w:p>
        </w:tc>
        <w:tc>
          <w:tcPr>
            <w:tcW w:w="992" w:type="dxa"/>
            <w:tcBorders>
              <w:top w:val="nil"/>
              <w:left w:val="nil"/>
              <w:bottom w:val="single" w:sz="8" w:space="0" w:color="auto"/>
              <w:right w:val="nil"/>
            </w:tcBorders>
            <w:vAlign w:val="center"/>
          </w:tcPr>
          <w:p w14:paraId="16A227E2" w14:textId="3EC6E51C" w:rsidR="00E71C7C" w:rsidRPr="005F2665" w:rsidRDefault="00E71C7C" w:rsidP="00E71C7C">
            <w:pPr>
              <w:widowControl/>
              <w:jc w:val="center"/>
              <w:rPr>
                <w:rFonts w:ascii="Calibri" w:eastAsia="Times New Roman" w:hAnsi="Calibri" w:cs="Calibri"/>
                <w:color w:val="000000"/>
                <w:kern w:val="0"/>
                <w:sz w:val="20"/>
                <w:szCs w:val="20"/>
              </w:rPr>
            </w:pPr>
            <w:r w:rsidRPr="007E4677">
              <w:rPr>
                <w:rFonts w:ascii="Calibri" w:eastAsia="Times New Roman" w:hAnsi="Calibri" w:cs="Calibri"/>
                <w:color w:val="000000"/>
                <w:kern w:val="0"/>
                <w:sz w:val="20"/>
                <w:szCs w:val="20"/>
              </w:rPr>
              <w:t>15.11</w:t>
            </w:r>
            <w:r w:rsidRPr="007E4677">
              <w:rPr>
                <w:rFonts w:ascii="SimSun" w:eastAsia="SimSun" w:hAnsi="SimSun" w:cs="Calibri" w:hint="eastAsia"/>
                <w:color w:val="000000"/>
                <w:kern w:val="0"/>
                <w:sz w:val="20"/>
                <w:szCs w:val="20"/>
              </w:rPr>
              <w:t>±</w:t>
            </w:r>
            <w:r w:rsidRPr="007E4677">
              <w:rPr>
                <w:rFonts w:ascii="Calibri" w:eastAsia="Times New Roman" w:hAnsi="Calibri" w:cs="Calibri"/>
                <w:color w:val="000000"/>
                <w:kern w:val="0"/>
                <w:sz w:val="20"/>
                <w:szCs w:val="20"/>
              </w:rPr>
              <w:t>9.08</w:t>
            </w:r>
          </w:p>
        </w:tc>
        <w:tc>
          <w:tcPr>
            <w:tcW w:w="1276" w:type="dxa"/>
            <w:tcBorders>
              <w:top w:val="nil"/>
              <w:left w:val="nil"/>
              <w:bottom w:val="single" w:sz="8" w:space="0" w:color="auto"/>
              <w:right w:val="nil"/>
            </w:tcBorders>
            <w:vAlign w:val="center"/>
          </w:tcPr>
          <w:p w14:paraId="65E0D8C0" w14:textId="6F502661" w:rsidR="00E71C7C" w:rsidRPr="005F2665" w:rsidRDefault="00E71C7C" w:rsidP="00E71C7C">
            <w:pPr>
              <w:widowControl/>
              <w:jc w:val="center"/>
              <w:rPr>
                <w:rFonts w:ascii="Calibri" w:eastAsia="Times New Roman" w:hAnsi="Calibri" w:cs="Calibri"/>
                <w:color w:val="000000"/>
                <w:kern w:val="0"/>
                <w:sz w:val="20"/>
                <w:szCs w:val="20"/>
              </w:rPr>
            </w:pPr>
            <w:r w:rsidRPr="007E4677">
              <w:rPr>
                <w:rFonts w:ascii="Calibri" w:eastAsia="Times New Roman" w:hAnsi="Calibri" w:cs="Calibri"/>
                <w:color w:val="000000"/>
                <w:kern w:val="0"/>
                <w:sz w:val="20"/>
                <w:szCs w:val="20"/>
              </w:rPr>
              <w:t>0.24</w:t>
            </w:r>
          </w:p>
        </w:tc>
      </w:tr>
    </w:tbl>
    <w:p w14:paraId="3E2C0657" w14:textId="771F70A6" w:rsidR="007039B3" w:rsidRPr="001B68E2" w:rsidRDefault="0076268C" w:rsidP="001B68E2">
      <w:pPr>
        <w:rPr>
          <w:sz w:val="20"/>
          <w:szCs w:val="20"/>
        </w:rPr>
      </w:pPr>
      <w:r w:rsidRPr="001B68E2">
        <w:rPr>
          <w:sz w:val="20"/>
          <w:szCs w:val="20"/>
        </w:rPr>
        <w:t>SAn: nonsmoking patients with severe asthma; SAs/ex: smoking patients with severe asthma; MMA: nonsmoking patients with mild-to-moderate asthma; HC: healthy nonsmokers</w:t>
      </w:r>
      <w:r w:rsidRPr="001B68E2">
        <w:rPr>
          <w:rFonts w:hint="eastAsia"/>
          <w:sz w:val="20"/>
          <w:szCs w:val="20"/>
        </w:rPr>
        <w:t>;</w:t>
      </w:r>
      <w:r w:rsidRPr="001B68E2">
        <w:rPr>
          <w:sz w:val="20"/>
          <w:szCs w:val="20"/>
        </w:rPr>
        <w:t xml:space="preserve"> HADS</w:t>
      </w:r>
      <w:r w:rsidRPr="001B68E2">
        <w:rPr>
          <w:rFonts w:hint="eastAsia"/>
          <w:sz w:val="20"/>
          <w:szCs w:val="20"/>
        </w:rPr>
        <w:t>:</w:t>
      </w:r>
      <w:r w:rsidRPr="001B68E2">
        <w:rPr>
          <w:sz w:val="20"/>
          <w:szCs w:val="20"/>
        </w:rPr>
        <w:t xml:space="preserve"> Hospital Anxiety and Depression Scale</w:t>
      </w:r>
      <w:r w:rsidRPr="001B68E2">
        <w:rPr>
          <w:rFonts w:hint="eastAsia"/>
          <w:sz w:val="20"/>
          <w:szCs w:val="20"/>
        </w:rPr>
        <w:t>;</w:t>
      </w:r>
      <w:r w:rsidRPr="001B68E2">
        <w:rPr>
          <w:sz w:val="20"/>
          <w:szCs w:val="20"/>
        </w:rPr>
        <w:t xml:space="preserve"> H: Kruskal–Wallis test </w:t>
      </w:r>
      <w:proofErr w:type="gramStart"/>
      <w:r w:rsidRPr="001B68E2">
        <w:rPr>
          <w:sz w:val="20"/>
          <w:szCs w:val="20"/>
        </w:rPr>
        <w:t>statistic</w:t>
      </w:r>
      <w:r w:rsidRPr="001B68E2">
        <w:rPr>
          <w:rFonts w:hint="eastAsia"/>
          <w:sz w:val="20"/>
          <w:szCs w:val="20"/>
        </w:rPr>
        <w:t>;</w:t>
      </w:r>
      <w:r w:rsidRPr="001B68E2">
        <w:rPr>
          <w:sz w:val="20"/>
          <w:szCs w:val="20"/>
        </w:rPr>
        <w:t>*</w:t>
      </w:r>
      <w:proofErr w:type="gramEnd"/>
      <w:r w:rsidRPr="001B68E2">
        <w:rPr>
          <w:sz w:val="20"/>
          <w:szCs w:val="20"/>
        </w:rPr>
        <w:t>* p&lt;0.01.</w:t>
      </w:r>
      <w:r w:rsidR="00290137">
        <w:rPr>
          <w:sz w:val="20"/>
          <w:szCs w:val="20"/>
        </w:rPr>
        <w:t>OCS: oral corticosteroid</w:t>
      </w:r>
      <w:r w:rsidR="00465287">
        <w:rPr>
          <w:sz w:val="20"/>
          <w:szCs w:val="20"/>
        </w:rPr>
        <w:t>; OCS+: use of OC</w:t>
      </w:r>
      <w:r w:rsidR="000C589E">
        <w:rPr>
          <w:sz w:val="20"/>
          <w:szCs w:val="20"/>
        </w:rPr>
        <w:t>S</w:t>
      </w:r>
      <w:r w:rsidR="00465287">
        <w:rPr>
          <w:sz w:val="20"/>
          <w:szCs w:val="20"/>
        </w:rPr>
        <w:t>; OC</w:t>
      </w:r>
      <w:r w:rsidR="000C589E">
        <w:rPr>
          <w:sz w:val="20"/>
          <w:szCs w:val="20"/>
        </w:rPr>
        <w:t>S</w:t>
      </w:r>
      <w:r w:rsidR="00465287">
        <w:rPr>
          <w:sz w:val="20"/>
          <w:szCs w:val="20"/>
        </w:rPr>
        <w:t>-: without use of OC</w:t>
      </w:r>
      <w:r w:rsidR="000C589E">
        <w:rPr>
          <w:sz w:val="20"/>
          <w:szCs w:val="20"/>
        </w:rPr>
        <w:t>S</w:t>
      </w:r>
      <w:r w:rsidR="00290137">
        <w:rPr>
          <w:sz w:val="20"/>
          <w:szCs w:val="20"/>
        </w:rPr>
        <w:t xml:space="preserve"> </w:t>
      </w:r>
    </w:p>
    <w:p w14:paraId="7462EBC1" w14:textId="11FB3F68" w:rsidR="00C00612" w:rsidRDefault="00C00612" w:rsidP="00740FA2">
      <w:pPr>
        <w:rPr>
          <w:rFonts w:ascii="Arial" w:hAnsi="Arial" w:cs="Arial"/>
          <w:color w:val="000000" w:themeColor="text1"/>
          <w:sz w:val="22"/>
        </w:rPr>
      </w:pPr>
    </w:p>
    <w:p w14:paraId="1609FE3F" w14:textId="7CCB6856" w:rsidR="009201B2" w:rsidRPr="005C36F7" w:rsidRDefault="00672CB6" w:rsidP="00A3450F">
      <w:pPr>
        <w:jc w:val="left"/>
        <w:rPr>
          <w:rFonts w:ascii="Arial" w:hAnsi="Arial" w:cs="Arial"/>
          <w:i/>
          <w:color w:val="000000" w:themeColor="text1"/>
          <w:sz w:val="22"/>
        </w:rPr>
      </w:pPr>
      <w:r w:rsidRPr="005C36F7">
        <w:rPr>
          <w:rFonts w:ascii="Arial" w:hAnsi="Arial" w:cs="Arial"/>
          <w:i/>
          <w:color w:val="000000" w:themeColor="text1"/>
          <w:sz w:val="22"/>
        </w:rPr>
        <w:t xml:space="preserve">3.3. </w:t>
      </w:r>
      <w:r w:rsidR="00656C86" w:rsidRPr="005C36F7">
        <w:rPr>
          <w:rFonts w:ascii="Arial" w:hAnsi="Arial" w:cs="Arial"/>
          <w:i/>
          <w:color w:val="000000" w:themeColor="text1"/>
          <w:sz w:val="22"/>
        </w:rPr>
        <w:t>Measure</w:t>
      </w:r>
      <w:r w:rsidR="00A3450F" w:rsidRPr="005C36F7">
        <w:rPr>
          <w:rFonts w:ascii="Arial" w:hAnsi="Arial" w:cs="Arial"/>
          <w:i/>
          <w:color w:val="000000" w:themeColor="text1"/>
          <w:sz w:val="22"/>
        </w:rPr>
        <w:t>s of inflammatory markers</w:t>
      </w:r>
    </w:p>
    <w:p w14:paraId="186B8304" w14:textId="2C92548C" w:rsidR="009201B2" w:rsidRPr="005C36F7" w:rsidRDefault="004E18BD" w:rsidP="00740FA2">
      <w:pPr>
        <w:rPr>
          <w:rFonts w:ascii="Arial" w:hAnsi="Arial" w:cs="Arial"/>
          <w:color w:val="000000" w:themeColor="text1"/>
          <w:sz w:val="22"/>
        </w:rPr>
      </w:pPr>
      <w:r w:rsidRPr="005C36F7">
        <w:rPr>
          <w:rFonts w:ascii="Arial" w:hAnsi="Arial" w:cs="Arial"/>
          <w:color w:val="000000" w:themeColor="text1"/>
          <w:sz w:val="22"/>
        </w:rPr>
        <w:t>The</w:t>
      </w:r>
      <w:r w:rsidR="00A37983" w:rsidRPr="005C36F7">
        <w:rPr>
          <w:rFonts w:ascii="Arial" w:hAnsi="Arial" w:cs="Arial"/>
          <w:color w:val="000000" w:themeColor="text1"/>
          <w:sz w:val="22"/>
        </w:rPr>
        <w:t>re was a significant group effect on</w:t>
      </w:r>
      <w:r w:rsidRPr="005C36F7">
        <w:rPr>
          <w:rFonts w:ascii="Arial" w:hAnsi="Arial" w:cs="Arial"/>
          <w:color w:val="000000" w:themeColor="text1"/>
          <w:sz w:val="22"/>
        </w:rPr>
        <w:t xml:space="preserve"> serum</w:t>
      </w:r>
      <w:r w:rsidR="00A16648" w:rsidRPr="005C36F7">
        <w:rPr>
          <w:rFonts w:ascii="Arial" w:hAnsi="Arial" w:cs="Arial"/>
          <w:color w:val="000000" w:themeColor="text1"/>
          <w:sz w:val="22"/>
        </w:rPr>
        <w:t xml:space="preserve"> </w:t>
      </w:r>
      <w:r w:rsidR="001D6A67" w:rsidRPr="005C36F7">
        <w:rPr>
          <w:rFonts w:ascii="Arial" w:hAnsi="Arial" w:cs="Arial"/>
          <w:color w:val="000000" w:themeColor="text1"/>
          <w:sz w:val="22"/>
        </w:rPr>
        <w:t>IL</w:t>
      </w:r>
      <w:r w:rsidR="006E46B2" w:rsidRPr="005C36F7">
        <w:rPr>
          <w:rFonts w:ascii="Arial" w:hAnsi="Arial" w:cs="Arial"/>
          <w:color w:val="000000" w:themeColor="text1"/>
          <w:sz w:val="22"/>
        </w:rPr>
        <w:t>-</w:t>
      </w:r>
      <w:r w:rsidR="001D6A67" w:rsidRPr="005C36F7">
        <w:rPr>
          <w:rFonts w:ascii="Arial" w:hAnsi="Arial" w:cs="Arial"/>
          <w:color w:val="000000" w:themeColor="text1"/>
          <w:sz w:val="22"/>
        </w:rPr>
        <w:t>6</w:t>
      </w:r>
      <w:r w:rsidRPr="005C36F7">
        <w:rPr>
          <w:rFonts w:ascii="Arial" w:hAnsi="Arial" w:cs="Arial"/>
          <w:color w:val="000000" w:themeColor="text1"/>
          <w:sz w:val="22"/>
        </w:rPr>
        <w:t>, MCP1, CCL18,</w:t>
      </w:r>
      <w:r w:rsidR="00235B63" w:rsidRPr="005C36F7">
        <w:rPr>
          <w:rFonts w:ascii="Arial" w:hAnsi="Arial" w:cs="Arial"/>
          <w:color w:val="000000" w:themeColor="text1"/>
          <w:sz w:val="22"/>
        </w:rPr>
        <w:t xml:space="preserve"> </w:t>
      </w:r>
      <w:r w:rsidRPr="005C36F7">
        <w:rPr>
          <w:rFonts w:ascii="Arial" w:hAnsi="Arial" w:cs="Arial"/>
          <w:color w:val="000000" w:themeColor="text1"/>
          <w:sz w:val="22"/>
        </w:rPr>
        <w:t>CCL17, IL</w:t>
      </w:r>
      <w:r w:rsidR="006E46B2" w:rsidRPr="005C36F7">
        <w:rPr>
          <w:rFonts w:ascii="Arial" w:hAnsi="Arial" w:cs="Arial"/>
          <w:color w:val="000000" w:themeColor="text1"/>
          <w:sz w:val="22"/>
        </w:rPr>
        <w:t>-</w:t>
      </w:r>
      <w:r w:rsidRPr="005C36F7">
        <w:rPr>
          <w:rFonts w:ascii="Arial" w:hAnsi="Arial" w:cs="Arial"/>
          <w:color w:val="000000" w:themeColor="text1"/>
          <w:sz w:val="22"/>
        </w:rPr>
        <w:t xml:space="preserve">8, </w:t>
      </w:r>
      <w:r w:rsidR="00986E80" w:rsidRPr="005C36F7">
        <w:rPr>
          <w:rFonts w:ascii="Arial" w:hAnsi="Arial" w:cs="Arial"/>
          <w:color w:val="000000" w:themeColor="text1"/>
          <w:sz w:val="22"/>
        </w:rPr>
        <w:t xml:space="preserve">and </w:t>
      </w:r>
      <w:r w:rsidR="007D55DB" w:rsidRPr="005C36F7">
        <w:rPr>
          <w:rFonts w:ascii="Arial" w:hAnsi="Arial" w:cs="Arial"/>
          <w:color w:val="000000" w:themeColor="text1"/>
          <w:sz w:val="22"/>
        </w:rPr>
        <w:t xml:space="preserve">Eotaxin </w:t>
      </w:r>
      <w:r w:rsidR="002A1C27" w:rsidRPr="005C36F7">
        <w:rPr>
          <w:rFonts w:ascii="Arial" w:hAnsi="Arial" w:cs="Arial"/>
          <w:color w:val="000000" w:themeColor="text1"/>
          <w:sz w:val="22"/>
        </w:rPr>
        <w:t>(</w:t>
      </w:r>
      <w:r w:rsidR="00A37983" w:rsidRPr="005C36F7">
        <w:rPr>
          <w:rFonts w:ascii="Arial" w:hAnsi="Arial" w:cs="Arial"/>
          <w:color w:val="000000" w:themeColor="text1"/>
          <w:sz w:val="22"/>
        </w:rPr>
        <w:t xml:space="preserve">see </w:t>
      </w:r>
      <w:r w:rsidR="002A1C27" w:rsidRPr="005C36F7">
        <w:rPr>
          <w:rFonts w:ascii="Arial" w:hAnsi="Arial" w:cs="Arial"/>
          <w:color w:val="000000" w:themeColor="text1"/>
          <w:sz w:val="22"/>
        </w:rPr>
        <w:t>Table</w:t>
      </w:r>
      <w:r w:rsidR="00A37983" w:rsidRPr="005C36F7">
        <w:rPr>
          <w:rFonts w:ascii="Arial" w:hAnsi="Arial" w:cs="Arial"/>
          <w:color w:val="000000" w:themeColor="text1"/>
          <w:sz w:val="22"/>
        </w:rPr>
        <w:t xml:space="preserve"> </w:t>
      </w:r>
      <w:r w:rsidR="002A1C27" w:rsidRPr="005C36F7">
        <w:rPr>
          <w:rFonts w:ascii="Arial" w:hAnsi="Arial" w:cs="Arial"/>
          <w:color w:val="000000" w:themeColor="text1"/>
          <w:sz w:val="22"/>
        </w:rPr>
        <w:t>3).</w:t>
      </w:r>
      <w:r w:rsidR="00AA590A" w:rsidRPr="005C36F7">
        <w:rPr>
          <w:rFonts w:ascii="Arial" w:hAnsi="Arial" w:cs="Arial"/>
          <w:color w:val="000000" w:themeColor="text1"/>
          <w:sz w:val="22"/>
        </w:rPr>
        <w:t xml:space="preserve"> </w:t>
      </w:r>
      <w:r w:rsidR="00986E80" w:rsidRPr="005C36F7">
        <w:rPr>
          <w:rFonts w:ascii="Arial" w:hAnsi="Arial" w:cs="Arial"/>
          <w:color w:val="000000" w:themeColor="text1"/>
          <w:sz w:val="22"/>
        </w:rPr>
        <w:t>Post-hoc analysis u</w:t>
      </w:r>
      <w:r w:rsidR="00182DD6" w:rsidRPr="005C36F7">
        <w:rPr>
          <w:rFonts w:ascii="Arial" w:hAnsi="Arial" w:cs="Arial"/>
          <w:color w:val="000000" w:themeColor="text1"/>
          <w:sz w:val="22"/>
        </w:rPr>
        <w:t>sing</w:t>
      </w:r>
      <w:r w:rsidR="006A0D18" w:rsidRPr="005C36F7">
        <w:rPr>
          <w:rFonts w:ascii="Arial" w:hAnsi="Arial" w:cs="Arial"/>
          <w:color w:val="000000" w:themeColor="text1"/>
          <w:sz w:val="22"/>
        </w:rPr>
        <w:t xml:space="preserve"> Bonferroni test</w:t>
      </w:r>
      <w:r w:rsidR="00264C97">
        <w:rPr>
          <w:rFonts w:ascii="Arial" w:hAnsi="Arial" w:cs="Arial"/>
          <w:color w:val="000000" w:themeColor="text1"/>
          <w:sz w:val="22"/>
        </w:rPr>
        <w:t>s</w:t>
      </w:r>
      <w:r w:rsidR="00986E80" w:rsidRPr="005C36F7">
        <w:rPr>
          <w:rFonts w:ascii="Arial" w:hAnsi="Arial" w:cs="Arial"/>
          <w:color w:val="000000" w:themeColor="text1"/>
          <w:sz w:val="22"/>
        </w:rPr>
        <w:t xml:space="preserve"> indicated</w:t>
      </w:r>
      <w:r w:rsidR="00AA590A" w:rsidRPr="005C36F7">
        <w:rPr>
          <w:rFonts w:ascii="Arial" w:hAnsi="Arial" w:cs="Arial"/>
          <w:color w:val="000000" w:themeColor="text1"/>
          <w:sz w:val="22"/>
        </w:rPr>
        <w:t xml:space="preserve"> that IL6</w:t>
      </w:r>
      <w:r w:rsidR="007F5E4E" w:rsidRPr="005C36F7">
        <w:rPr>
          <w:rFonts w:ascii="Arial" w:hAnsi="Arial" w:cs="Arial"/>
          <w:color w:val="000000" w:themeColor="text1"/>
          <w:sz w:val="22"/>
        </w:rPr>
        <w:t xml:space="preserve"> and </w:t>
      </w:r>
      <w:r w:rsidR="00352998" w:rsidRPr="005C36F7">
        <w:rPr>
          <w:rFonts w:ascii="Arial" w:hAnsi="Arial" w:cs="Arial"/>
          <w:color w:val="000000" w:themeColor="text1"/>
          <w:sz w:val="22"/>
        </w:rPr>
        <w:t>CCL18</w:t>
      </w:r>
      <w:r w:rsidR="00C75A02" w:rsidRPr="005C36F7">
        <w:rPr>
          <w:rFonts w:ascii="Arial" w:hAnsi="Arial" w:cs="Arial"/>
          <w:color w:val="000000" w:themeColor="text1"/>
          <w:sz w:val="22"/>
        </w:rPr>
        <w:t xml:space="preserve"> </w:t>
      </w:r>
      <w:r w:rsidR="00182DD6" w:rsidRPr="005C36F7">
        <w:rPr>
          <w:rFonts w:ascii="Arial" w:hAnsi="Arial" w:cs="Arial"/>
          <w:color w:val="000000" w:themeColor="text1"/>
          <w:sz w:val="22"/>
        </w:rPr>
        <w:t>level</w:t>
      </w:r>
      <w:r w:rsidR="00352998" w:rsidRPr="005C36F7">
        <w:rPr>
          <w:rFonts w:ascii="Arial" w:hAnsi="Arial" w:cs="Arial"/>
          <w:color w:val="000000" w:themeColor="text1"/>
          <w:sz w:val="22"/>
        </w:rPr>
        <w:t>s</w:t>
      </w:r>
      <w:r w:rsidR="00182DD6" w:rsidRPr="005C36F7">
        <w:rPr>
          <w:rFonts w:ascii="Arial" w:hAnsi="Arial" w:cs="Arial"/>
          <w:color w:val="000000" w:themeColor="text1"/>
          <w:sz w:val="22"/>
        </w:rPr>
        <w:t xml:space="preserve"> </w:t>
      </w:r>
      <w:r w:rsidR="00264C97">
        <w:rPr>
          <w:rFonts w:ascii="Arial" w:hAnsi="Arial" w:cs="Arial"/>
          <w:color w:val="000000" w:themeColor="text1"/>
          <w:sz w:val="22"/>
        </w:rPr>
        <w:t>in the</w:t>
      </w:r>
      <w:r w:rsidR="00182DD6" w:rsidRPr="005C36F7">
        <w:rPr>
          <w:rFonts w:ascii="Arial" w:hAnsi="Arial" w:cs="Arial"/>
          <w:color w:val="000000" w:themeColor="text1"/>
          <w:sz w:val="22"/>
        </w:rPr>
        <w:t xml:space="preserve"> SAn and SAs groups were significantly higher than </w:t>
      </w:r>
      <w:r w:rsidR="00264C97">
        <w:rPr>
          <w:rFonts w:ascii="Arial" w:hAnsi="Arial" w:cs="Arial"/>
          <w:color w:val="000000" w:themeColor="text1"/>
          <w:sz w:val="22"/>
        </w:rPr>
        <w:t xml:space="preserve">in the </w:t>
      </w:r>
      <w:r w:rsidR="00182DD6" w:rsidRPr="005C36F7">
        <w:rPr>
          <w:rFonts w:ascii="Arial" w:hAnsi="Arial" w:cs="Arial"/>
          <w:color w:val="000000" w:themeColor="text1"/>
          <w:sz w:val="22"/>
        </w:rPr>
        <w:t>MMA and HC groups</w:t>
      </w:r>
      <w:r w:rsidR="00F60C6F" w:rsidRPr="005C36F7">
        <w:rPr>
          <w:rFonts w:ascii="Arial" w:hAnsi="Arial" w:cs="Arial"/>
          <w:color w:val="000000" w:themeColor="text1"/>
          <w:sz w:val="22"/>
        </w:rPr>
        <w:t xml:space="preserve"> </w:t>
      </w:r>
      <w:r w:rsidR="00182DD6" w:rsidRPr="005C36F7">
        <w:rPr>
          <w:rFonts w:ascii="Arial" w:hAnsi="Arial" w:cs="Arial"/>
          <w:color w:val="000000" w:themeColor="text1"/>
          <w:sz w:val="22"/>
        </w:rPr>
        <w:t>(</w:t>
      </w:r>
      <w:r w:rsidR="00BC7F07" w:rsidRPr="00EE027B">
        <w:rPr>
          <w:rFonts w:ascii="Arial" w:hAnsi="Arial" w:cs="Arial"/>
          <w:i/>
          <w:iCs/>
          <w:color w:val="000000" w:themeColor="text1"/>
          <w:sz w:val="22"/>
        </w:rPr>
        <w:t>p</w:t>
      </w:r>
      <w:r w:rsidR="00182DD6" w:rsidRPr="005C36F7">
        <w:rPr>
          <w:rFonts w:ascii="Arial" w:hAnsi="Arial" w:cs="Arial"/>
          <w:color w:val="000000" w:themeColor="text1"/>
          <w:sz w:val="22"/>
        </w:rPr>
        <w:t>&lt;0.0</w:t>
      </w:r>
      <w:r w:rsidR="00352998" w:rsidRPr="005C36F7">
        <w:rPr>
          <w:rFonts w:ascii="Arial" w:hAnsi="Arial" w:cs="Arial"/>
          <w:color w:val="000000" w:themeColor="text1"/>
          <w:sz w:val="22"/>
        </w:rPr>
        <w:t>5</w:t>
      </w:r>
      <w:r w:rsidR="00182DD6" w:rsidRPr="005C36F7">
        <w:rPr>
          <w:rFonts w:ascii="Arial" w:hAnsi="Arial" w:cs="Arial"/>
          <w:color w:val="000000" w:themeColor="text1"/>
          <w:sz w:val="22"/>
        </w:rPr>
        <w:t>), MCP1 level</w:t>
      </w:r>
      <w:r w:rsidR="00264C97">
        <w:rPr>
          <w:rFonts w:ascii="Arial" w:hAnsi="Arial" w:cs="Arial"/>
          <w:color w:val="000000" w:themeColor="text1"/>
          <w:sz w:val="22"/>
        </w:rPr>
        <w:t>s</w:t>
      </w:r>
      <w:r w:rsidR="00182DD6" w:rsidRPr="005C36F7">
        <w:rPr>
          <w:rFonts w:ascii="Arial" w:hAnsi="Arial" w:cs="Arial"/>
          <w:color w:val="000000" w:themeColor="text1"/>
          <w:sz w:val="22"/>
        </w:rPr>
        <w:t xml:space="preserve"> </w:t>
      </w:r>
      <w:r w:rsidR="00264C97">
        <w:rPr>
          <w:rFonts w:ascii="Arial" w:hAnsi="Arial" w:cs="Arial"/>
          <w:color w:val="000000" w:themeColor="text1"/>
          <w:sz w:val="22"/>
        </w:rPr>
        <w:t>in</w:t>
      </w:r>
      <w:r w:rsidR="00B25A69" w:rsidRPr="005C36F7">
        <w:rPr>
          <w:rFonts w:ascii="Arial" w:hAnsi="Arial" w:cs="Arial"/>
          <w:color w:val="000000" w:themeColor="text1"/>
          <w:sz w:val="22"/>
        </w:rPr>
        <w:t xml:space="preserve"> </w:t>
      </w:r>
      <w:r w:rsidR="00264C97">
        <w:rPr>
          <w:rFonts w:ascii="Arial" w:hAnsi="Arial" w:cs="Arial"/>
          <w:color w:val="000000" w:themeColor="text1"/>
          <w:sz w:val="22"/>
        </w:rPr>
        <w:t xml:space="preserve">the </w:t>
      </w:r>
      <w:r w:rsidR="00B25A69" w:rsidRPr="005C36F7">
        <w:rPr>
          <w:rFonts w:ascii="Arial" w:hAnsi="Arial" w:cs="Arial"/>
          <w:color w:val="000000" w:themeColor="text1"/>
          <w:sz w:val="22"/>
        </w:rPr>
        <w:t>SAn and SAs groups were significantly higher than</w:t>
      </w:r>
      <w:r w:rsidR="00A37983" w:rsidRPr="005C36F7">
        <w:rPr>
          <w:rFonts w:ascii="Arial" w:hAnsi="Arial" w:cs="Arial"/>
          <w:color w:val="000000" w:themeColor="text1"/>
          <w:sz w:val="22"/>
        </w:rPr>
        <w:t xml:space="preserve"> </w:t>
      </w:r>
      <w:r w:rsidR="00264C97">
        <w:rPr>
          <w:rFonts w:ascii="Arial" w:hAnsi="Arial" w:cs="Arial"/>
          <w:color w:val="000000" w:themeColor="text1"/>
          <w:sz w:val="22"/>
        </w:rPr>
        <w:t xml:space="preserve">in the </w:t>
      </w:r>
      <w:r w:rsidR="00B25A69" w:rsidRPr="005C36F7">
        <w:rPr>
          <w:rFonts w:ascii="Arial" w:hAnsi="Arial" w:cs="Arial"/>
          <w:color w:val="000000" w:themeColor="text1"/>
          <w:sz w:val="22"/>
        </w:rPr>
        <w:t>MMA group</w:t>
      </w:r>
      <w:r w:rsidR="00A37983" w:rsidRPr="005C36F7">
        <w:rPr>
          <w:rFonts w:ascii="Arial" w:hAnsi="Arial" w:cs="Arial"/>
          <w:color w:val="000000" w:themeColor="text1"/>
          <w:sz w:val="22"/>
        </w:rPr>
        <w:t xml:space="preserve"> </w:t>
      </w:r>
      <w:r w:rsidR="00B25A69" w:rsidRPr="005C36F7">
        <w:rPr>
          <w:rFonts w:ascii="Arial" w:hAnsi="Arial" w:cs="Arial"/>
          <w:color w:val="000000" w:themeColor="text1"/>
          <w:sz w:val="22"/>
        </w:rPr>
        <w:t>(</w:t>
      </w:r>
      <w:r w:rsidR="00BC7F07" w:rsidRPr="00EE027B">
        <w:rPr>
          <w:rFonts w:ascii="Arial" w:hAnsi="Arial" w:cs="Arial"/>
          <w:i/>
          <w:iCs/>
          <w:color w:val="000000" w:themeColor="text1"/>
          <w:sz w:val="22"/>
        </w:rPr>
        <w:t>p</w:t>
      </w:r>
      <w:r w:rsidR="00B25A69" w:rsidRPr="005C36F7">
        <w:rPr>
          <w:rFonts w:ascii="Arial" w:hAnsi="Arial" w:cs="Arial"/>
          <w:color w:val="000000" w:themeColor="text1"/>
          <w:sz w:val="22"/>
        </w:rPr>
        <w:t xml:space="preserve">&lt;0.05), </w:t>
      </w:r>
      <w:r w:rsidR="00352998" w:rsidRPr="005C36F7">
        <w:rPr>
          <w:rFonts w:ascii="Arial" w:hAnsi="Arial" w:cs="Arial"/>
          <w:color w:val="000000" w:themeColor="text1"/>
          <w:sz w:val="22"/>
        </w:rPr>
        <w:t>CCL17 level</w:t>
      </w:r>
      <w:r w:rsidR="00264C97">
        <w:rPr>
          <w:rFonts w:ascii="Arial" w:hAnsi="Arial" w:cs="Arial"/>
          <w:color w:val="000000" w:themeColor="text1"/>
          <w:sz w:val="22"/>
        </w:rPr>
        <w:t>s</w:t>
      </w:r>
      <w:r w:rsidR="00352998" w:rsidRPr="005C36F7">
        <w:rPr>
          <w:rFonts w:ascii="Arial" w:hAnsi="Arial" w:cs="Arial"/>
          <w:color w:val="000000" w:themeColor="text1"/>
          <w:sz w:val="22"/>
        </w:rPr>
        <w:t xml:space="preserve"> </w:t>
      </w:r>
      <w:r w:rsidR="00264C97">
        <w:rPr>
          <w:rFonts w:ascii="Arial" w:hAnsi="Arial" w:cs="Arial"/>
          <w:color w:val="000000" w:themeColor="text1"/>
          <w:sz w:val="22"/>
        </w:rPr>
        <w:t>in</w:t>
      </w:r>
      <w:r w:rsidR="00352998" w:rsidRPr="005C36F7">
        <w:rPr>
          <w:rFonts w:ascii="Arial" w:hAnsi="Arial" w:cs="Arial"/>
          <w:color w:val="000000" w:themeColor="text1"/>
          <w:sz w:val="22"/>
        </w:rPr>
        <w:t xml:space="preserve"> </w:t>
      </w:r>
      <w:r w:rsidR="00264C97">
        <w:rPr>
          <w:rFonts w:ascii="Arial" w:hAnsi="Arial" w:cs="Arial"/>
          <w:color w:val="000000" w:themeColor="text1"/>
          <w:sz w:val="22"/>
        </w:rPr>
        <w:t xml:space="preserve">the </w:t>
      </w:r>
      <w:r w:rsidR="00352998" w:rsidRPr="005C36F7">
        <w:rPr>
          <w:rFonts w:ascii="Arial" w:hAnsi="Arial" w:cs="Arial"/>
          <w:color w:val="000000" w:themeColor="text1"/>
          <w:sz w:val="22"/>
        </w:rPr>
        <w:t xml:space="preserve">SAn and SAs groups were significantly higher than </w:t>
      </w:r>
      <w:r w:rsidR="00264C97">
        <w:rPr>
          <w:rFonts w:ascii="Arial" w:hAnsi="Arial" w:cs="Arial"/>
          <w:color w:val="000000" w:themeColor="text1"/>
          <w:sz w:val="22"/>
        </w:rPr>
        <w:t xml:space="preserve">in </w:t>
      </w:r>
      <w:r w:rsidR="00A37983" w:rsidRPr="005C36F7">
        <w:rPr>
          <w:rFonts w:ascii="Arial" w:hAnsi="Arial" w:cs="Arial"/>
          <w:color w:val="000000" w:themeColor="text1"/>
          <w:sz w:val="22"/>
        </w:rPr>
        <w:t>th</w:t>
      </w:r>
      <w:r w:rsidR="00264C97">
        <w:rPr>
          <w:rFonts w:ascii="Arial" w:hAnsi="Arial" w:cs="Arial"/>
          <w:color w:val="000000" w:themeColor="text1"/>
          <w:sz w:val="22"/>
        </w:rPr>
        <w:t>e</w:t>
      </w:r>
      <w:r w:rsidR="00A37983" w:rsidRPr="005C36F7">
        <w:rPr>
          <w:rFonts w:ascii="Arial" w:hAnsi="Arial" w:cs="Arial"/>
          <w:color w:val="000000" w:themeColor="text1"/>
          <w:sz w:val="22"/>
        </w:rPr>
        <w:t xml:space="preserve"> </w:t>
      </w:r>
      <w:r w:rsidR="00352998" w:rsidRPr="005C36F7">
        <w:rPr>
          <w:rFonts w:ascii="Arial" w:hAnsi="Arial" w:cs="Arial"/>
          <w:color w:val="000000" w:themeColor="text1"/>
          <w:sz w:val="22"/>
        </w:rPr>
        <w:t>HC group(</w:t>
      </w:r>
      <w:r w:rsidR="00BC7F07" w:rsidRPr="00BA7F41">
        <w:rPr>
          <w:rFonts w:ascii="Arial" w:hAnsi="Arial" w:cs="Arial"/>
          <w:i/>
          <w:iCs/>
          <w:color w:val="000000" w:themeColor="text1"/>
          <w:sz w:val="22"/>
        </w:rPr>
        <w:t>p</w:t>
      </w:r>
      <w:r w:rsidR="00352998" w:rsidRPr="005C36F7">
        <w:rPr>
          <w:rFonts w:ascii="Arial" w:hAnsi="Arial" w:cs="Arial"/>
          <w:color w:val="000000" w:themeColor="text1"/>
          <w:sz w:val="22"/>
        </w:rPr>
        <w:t xml:space="preserve">&lt; 0.05) and </w:t>
      </w:r>
      <w:r w:rsidR="00264C97">
        <w:rPr>
          <w:rFonts w:ascii="Arial" w:hAnsi="Arial" w:cs="Arial"/>
          <w:color w:val="000000" w:themeColor="text1"/>
          <w:sz w:val="22"/>
        </w:rPr>
        <w:t xml:space="preserve">the </w:t>
      </w:r>
      <w:r w:rsidR="00352998" w:rsidRPr="005C36F7">
        <w:rPr>
          <w:rFonts w:ascii="Arial" w:hAnsi="Arial" w:cs="Arial"/>
          <w:color w:val="000000" w:themeColor="text1"/>
          <w:sz w:val="22"/>
        </w:rPr>
        <w:t xml:space="preserve">CCL17 level </w:t>
      </w:r>
      <w:r w:rsidR="00264C97">
        <w:rPr>
          <w:rFonts w:ascii="Arial" w:hAnsi="Arial" w:cs="Arial"/>
          <w:color w:val="000000" w:themeColor="text1"/>
          <w:sz w:val="22"/>
        </w:rPr>
        <w:t>in</w:t>
      </w:r>
      <w:r w:rsidR="00352998" w:rsidRPr="005C36F7">
        <w:rPr>
          <w:rFonts w:ascii="Arial" w:hAnsi="Arial" w:cs="Arial"/>
          <w:color w:val="000000" w:themeColor="text1"/>
          <w:sz w:val="22"/>
        </w:rPr>
        <w:t xml:space="preserve"> S</w:t>
      </w:r>
      <w:r w:rsidR="00C75A02" w:rsidRPr="005C36F7">
        <w:rPr>
          <w:rFonts w:ascii="Arial" w:hAnsi="Arial" w:cs="Arial"/>
          <w:color w:val="000000" w:themeColor="text1"/>
          <w:sz w:val="22"/>
        </w:rPr>
        <w:t>A</w:t>
      </w:r>
      <w:r w:rsidR="00352998" w:rsidRPr="005C36F7">
        <w:rPr>
          <w:rFonts w:ascii="Arial" w:hAnsi="Arial" w:cs="Arial"/>
          <w:color w:val="000000" w:themeColor="text1"/>
          <w:sz w:val="22"/>
        </w:rPr>
        <w:t xml:space="preserve">n </w:t>
      </w:r>
      <w:r w:rsidR="00264C97">
        <w:rPr>
          <w:rFonts w:ascii="Arial" w:hAnsi="Arial" w:cs="Arial"/>
          <w:color w:val="000000" w:themeColor="text1"/>
          <w:sz w:val="22"/>
        </w:rPr>
        <w:t xml:space="preserve">patients </w:t>
      </w:r>
      <w:r w:rsidR="00352998" w:rsidRPr="005C36F7">
        <w:rPr>
          <w:rFonts w:ascii="Arial" w:hAnsi="Arial" w:cs="Arial"/>
          <w:color w:val="000000" w:themeColor="text1"/>
          <w:sz w:val="22"/>
        </w:rPr>
        <w:t xml:space="preserve">was significantly higher than </w:t>
      </w:r>
      <w:r w:rsidR="00264C97">
        <w:rPr>
          <w:rFonts w:ascii="Arial" w:hAnsi="Arial" w:cs="Arial"/>
          <w:color w:val="000000" w:themeColor="text1"/>
          <w:sz w:val="22"/>
        </w:rPr>
        <w:t xml:space="preserve">in the </w:t>
      </w:r>
      <w:r w:rsidR="00352998" w:rsidRPr="005C36F7">
        <w:rPr>
          <w:rFonts w:ascii="Arial" w:hAnsi="Arial" w:cs="Arial"/>
          <w:color w:val="000000" w:themeColor="text1"/>
          <w:sz w:val="22"/>
        </w:rPr>
        <w:t>MMA group</w:t>
      </w:r>
      <w:r w:rsidR="007F5E4E" w:rsidRPr="005C36F7">
        <w:rPr>
          <w:rFonts w:ascii="Arial" w:hAnsi="Arial" w:cs="Arial"/>
          <w:color w:val="000000" w:themeColor="text1"/>
          <w:sz w:val="22"/>
        </w:rPr>
        <w:t xml:space="preserve"> </w:t>
      </w:r>
      <w:r w:rsidR="00352998" w:rsidRPr="005C36F7">
        <w:rPr>
          <w:rFonts w:ascii="Arial" w:hAnsi="Arial" w:cs="Arial"/>
          <w:color w:val="000000" w:themeColor="text1"/>
          <w:sz w:val="22"/>
        </w:rPr>
        <w:t>(</w:t>
      </w:r>
      <w:r w:rsidR="00BC7F07" w:rsidRPr="00BA7F41">
        <w:rPr>
          <w:rFonts w:ascii="Arial" w:hAnsi="Arial" w:cs="Arial"/>
          <w:i/>
          <w:iCs/>
          <w:color w:val="000000" w:themeColor="text1"/>
          <w:sz w:val="22"/>
        </w:rPr>
        <w:t>p</w:t>
      </w:r>
      <w:r w:rsidR="00352998" w:rsidRPr="005C36F7">
        <w:rPr>
          <w:rFonts w:ascii="Arial" w:hAnsi="Arial" w:cs="Arial"/>
          <w:color w:val="000000" w:themeColor="text1"/>
          <w:sz w:val="22"/>
        </w:rPr>
        <w:t>&lt; 0.05)</w:t>
      </w:r>
      <w:r w:rsidR="00264C97">
        <w:rPr>
          <w:rFonts w:ascii="Arial" w:hAnsi="Arial" w:cs="Arial"/>
          <w:color w:val="000000" w:themeColor="text1"/>
          <w:sz w:val="22"/>
        </w:rPr>
        <w:t xml:space="preserve">. The </w:t>
      </w:r>
      <w:r w:rsidR="00C75A02" w:rsidRPr="005C36F7">
        <w:rPr>
          <w:rFonts w:ascii="Arial" w:hAnsi="Arial" w:cs="Arial"/>
          <w:color w:val="000000" w:themeColor="text1"/>
          <w:sz w:val="22"/>
        </w:rPr>
        <w:t xml:space="preserve">IL8 level </w:t>
      </w:r>
      <w:r w:rsidR="00264C97">
        <w:rPr>
          <w:rFonts w:ascii="Arial" w:hAnsi="Arial" w:cs="Arial"/>
          <w:color w:val="000000" w:themeColor="text1"/>
          <w:sz w:val="22"/>
        </w:rPr>
        <w:t xml:space="preserve">in the </w:t>
      </w:r>
      <w:r w:rsidR="00C75A02" w:rsidRPr="005C36F7">
        <w:rPr>
          <w:rFonts w:ascii="Arial" w:hAnsi="Arial" w:cs="Arial"/>
          <w:color w:val="000000" w:themeColor="text1"/>
          <w:sz w:val="22"/>
        </w:rPr>
        <w:t xml:space="preserve">SAn and SAs groups were significantly higher than </w:t>
      </w:r>
      <w:r w:rsidR="00264C97">
        <w:rPr>
          <w:rFonts w:ascii="Arial" w:hAnsi="Arial" w:cs="Arial"/>
          <w:color w:val="000000" w:themeColor="text1"/>
          <w:sz w:val="22"/>
        </w:rPr>
        <w:t xml:space="preserve">in the </w:t>
      </w:r>
      <w:r w:rsidR="00C75A02" w:rsidRPr="005C36F7">
        <w:rPr>
          <w:rFonts w:ascii="Arial" w:hAnsi="Arial" w:cs="Arial"/>
          <w:color w:val="000000" w:themeColor="text1"/>
          <w:sz w:val="22"/>
        </w:rPr>
        <w:t>HC group</w:t>
      </w:r>
      <w:r w:rsidR="007F5E4E" w:rsidRPr="005C36F7">
        <w:rPr>
          <w:rFonts w:ascii="Arial" w:hAnsi="Arial" w:cs="Arial"/>
          <w:color w:val="000000" w:themeColor="text1"/>
          <w:sz w:val="22"/>
        </w:rPr>
        <w:t xml:space="preserve"> </w:t>
      </w:r>
      <w:r w:rsidR="00C75A02" w:rsidRPr="005C36F7">
        <w:rPr>
          <w:rFonts w:ascii="Arial" w:hAnsi="Arial" w:cs="Arial"/>
          <w:color w:val="000000" w:themeColor="text1"/>
          <w:sz w:val="22"/>
        </w:rPr>
        <w:t>(</w:t>
      </w:r>
      <w:r w:rsidR="00BC7F07" w:rsidRPr="00BA7F41">
        <w:rPr>
          <w:rFonts w:ascii="Arial" w:hAnsi="Arial" w:cs="Arial"/>
          <w:i/>
          <w:iCs/>
          <w:color w:val="000000" w:themeColor="text1"/>
          <w:sz w:val="22"/>
        </w:rPr>
        <w:t>p</w:t>
      </w:r>
      <w:r w:rsidR="00C75A02" w:rsidRPr="005C36F7">
        <w:rPr>
          <w:rFonts w:ascii="Arial" w:hAnsi="Arial" w:cs="Arial"/>
          <w:color w:val="000000" w:themeColor="text1"/>
          <w:sz w:val="22"/>
        </w:rPr>
        <w:t>&lt; 0.05) and IL8 level</w:t>
      </w:r>
      <w:r w:rsidR="00264C97">
        <w:rPr>
          <w:rFonts w:ascii="Arial" w:hAnsi="Arial" w:cs="Arial"/>
          <w:color w:val="000000" w:themeColor="text1"/>
          <w:sz w:val="22"/>
        </w:rPr>
        <w:t>s</w:t>
      </w:r>
      <w:r w:rsidR="00C75A02" w:rsidRPr="005C36F7">
        <w:rPr>
          <w:rFonts w:ascii="Arial" w:hAnsi="Arial" w:cs="Arial"/>
          <w:color w:val="000000" w:themeColor="text1"/>
          <w:sz w:val="22"/>
        </w:rPr>
        <w:t xml:space="preserve"> </w:t>
      </w:r>
      <w:r w:rsidR="00264C97">
        <w:rPr>
          <w:rFonts w:ascii="Arial" w:hAnsi="Arial" w:cs="Arial"/>
          <w:color w:val="000000" w:themeColor="text1"/>
          <w:sz w:val="22"/>
        </w:rPr>
        <w:t xml:space="preserve">in </w:t>
      </w:r>
      <w:r w:rsidR="00C75A02" w:rsidRPr="005C36F7">
        <w:rPr>
          <w:rFonts w:ascii="Arial" w:hAnsi="Arial" w:cs="Arial"/>
          <w:color w:val="000000" w:themeColor="text1"/>
          <w:sz w:val="22"/>
        </w:rPr>
        <w:t xml:space="preserve">SAs/ex </w:t>
      </w:r>
      <w:r w:rsidR="00264C97">
        <w:rPr>
          <w:rFonts w:ascii="Arial" w:hAnsi="Arial" w:cs="Arial"/>
          <w:color w:val="000000" w:themeColor="text1"/>
          <w:sz w:val="22"/>
        </w:rPr>
        <w:t xml:space="preserve">subjects </w:t>
      </w:r>
      <w:r w:rsidR="00C75A02" w:rsidRPr="005C36F7">
        <w:rPr>
          <w:rFonts w:ascii="Arial" w:hAnsi="Arial" w:cs="Arial"/>
          <w:color w:val="000000" w:themeColor="text1"/>
          <w:sz w:val="22"/>
        </w:rPr>
        <w:t xml:space="preserve">was significantly higher than </w:t>
      </w:r>
      <w:r w:rsidR="00264C97">
        <w:rPr>
          <w:rFonts w:ascii="Arial" w:hAnsi="Arial" w:cs="Arial"/>
          <w:color w:val="000000" w:themeColor="text1"/>
          <w:sz w:val="22"/>
        </w:rPr>
        <w:t xml:space="preserve">in the </w:t>
      </w:r>
      <w:r w:rsidR="00C75A02" w:rsidRPr="005C36F7">
        <w:rPr>
          <w:rFonts w:ascii="Arial" w:hAnsi="Arial" w:cs="Arial"/>
          <w:color w:val="000000" w:themeColor="text1"/>
          <w:sz w:val="22"/>
        </w:rPr>
        <w:t>MMA group</w:t>
      </w:r>
      <w:r w:rsidR="007D55DB" w:rsidRPr="005C36F7">
        <w:rPr>
          <w:rFonts w:ascii="Arial" w:hAnsi="Arial" w:cs="Arial"/>
          <w:color w:val="000000" w:themeColor="text1"/>
          <w:sz w:val="22"/>
        </w:rPr>
        <w:t xml:space="preserve"> </w:t>
      </w:r>
      <w:r w:rsidR="00C75A02" w:rsidRPr="005C36F7">
        <w:rPr>
          <w:rFonts w:ascii="Arial" w:hAnsi="Arial" w:cs="Arial"/>
          <w:color w:val="000000" w:themeColor="text1"/>
          <w:sz w:val="22"/>
        </w:rPr>
        <w:t>(</w:t>
      </w:r>
      <w:r w:rsidR="00BC7F07" w:rsidRPr="00BA7F41">
        <w:rPr>
          <w:rFonts w:ascii="Arial" w:hAnsi="Arial" w:cs="Arial"/>
          <w:i/>
          <w:iCs/>
          <w:color w:val="000000" w:themeColor="text1"/>
          <w:sz w:val="22"/>
        </w:rPr>
        <w:t>p</w:t>
      </w:r>
      <w:r w:rsidR="00C75A02" w:rsidRPr="005C36F7">
        <w:rPr>
          <w:rFonts w:ascii="Arial" w:hAnsi="Arial" w:cs="Arial"/>
          <w:color w:val="000000" w:themeColor="text1"/>
          <w:sz w:val="22"/>
        </w:rPr>
        <w:t xml:space="preserve">&lt; 0.05), </w:t>
      </w:r>
      <w:r w:rsidR="00264C97">
        <w:rPr>
          <w:rFonts w:ascii="Arial" w:hAnsi="Arial" w:cs="Arial"/>
          <w:color w:val="000000" w:themeColor="text1"/>
          <w:sz w:val="22"/>
        </w:rPr>
        <w:t xml:space="preserve">The </w:t>
      </w:r>
      <w:r w:rsidR="00C75A02" w:rsidRPr="005C36F7">
        <w:rPr>
          <w:rFonts w:ascii="Arial" w:hAnsi="Arial" w:cs="Arial"/>
          <w:color w:val="000000" w:themeColor="text1"/>
          <w:sz w:val="22"/>
        </w:rPr>
        <w:t>E</w:t>
      </w:r>
      <w:r w:rsidR="00264C97">
        <w:rPr>
          <w:rFonts w:ascii="Arial" w:hAnsi="Arial" w:cs="Arial"/>
          <w:color w:val="000000" w:themeColor="text1"/>
          <w:sz w:val="22"/>
        </w:rPr>
        <w:t>otaxin</w:t>
      </w:r>
      <w:r w:rsidR="00C75A02" w:rsidRPr="005C36F7">
        <w:rPr>
          <w:rFonts w:ascii="Arial" w:hAnsi="Arial" w:cs="Arial"/>
          <w:color w:val="000000" w:themeColor="text1"/>
          <w:sz w:val="22"/>
        </w:rPr>
        <w:t xml:space="preserve"> level</w:t>
      </w:r>
      <w:r w:rsidR="00264C97">
        <w:rPr>
          <w:rFonts w:ascii="Arial" w:hAnsi="Arial" w:cs="Arial"/>
          <w:color w:val="000000" w:themeColor="text1"/>
          <w:sz w:val="22"/>
        </w:rPr>
        <w:t xml:space="preserve">s in the </w:t>
      </w:r>
      <w:r w:rsidR="00C75A02" w:rsidRPr="005C36F7">
        <w:rPr>
          <w:rFonts w:ascii="Arial" w:hAnsi="Arial" w:cs="Arial"/>
          <w:color w:val="000000" w:themeColor="text1"/>
          <w:sz w:val="22"/>
        </w:rPr>
        <w:t xml:space="preserve">MMA group was significantly higher than </w:t>
      </w:r>
      <w:r w:rsidR="00264C97">
        <w:rPr>
          <w:rFonts w:ascii="Arial" w:hAnsi="Arial" w:cs="Arial"/>
          <w:color w:val="000000" w:themeColor="text1"/>
          <w:sz w:val="22"/>
        </w:rPr>
        <w:t xml:space="preserve">in the </w:t>
      </w:r>
      <w:r w:rsidR="00C75A02" w:rsidRPr="005C36F7">
        <w:rPr>
          <w:rFonts w:ascii="Arial" w:hAnsi="Arial" w:cs="Arial"/>
          <w:color w:val="000000" w:themeColor="text1"/>
          <w:sz w:val="22"/>
        </w:rPr>
        <w:t>HC group</w:t>
      </w:r>
      <w:r w:rsidR="00264C97">
        <w:rPr>
          <w:rFonts w:ascii="Arial" w:hAnsi="Arial" w:cs="Arial"/>
          <w:color w:val="000000" w:themeColor="text1"/>
          <w:sz w:val="22"/>
        </w:rPr>
        <w:t xml:space="preserve"> </w:t>
      </w:r>
      <w:r w:rsidR="00C75A02" w:rsidRPr="005C36F7">
        <w:rPr>
          <w:rFonts w:ascii="Arial" w:hAnsi="Arial" w:cs="Arial"/>
          <w:color w:val="000000" w:themeColor="text1"/>
          <w:sz w:val="22"/>
        </w:rPr>
        <w:t>(</w:t>
      </w:r>
      <w:r w:rsidR="00BC7F07" w:rsidRPr="00BA7F41">
        <w:rPr>
          <w:rFonts w:ascii="Arial" w:hAnsi="Arial" w:cs="Arial"/>
          <w:i/>
          <w:iCs/>
          <w:color w:val="000000" w:themeColor="text1"/>
          <w:sz w:val="22"/>
        </w:rPr>
        <w:t>p</w:t>
      </w:r>
      <w:r w:rsidR="00C75A02" w:rsidRPr="005C36F7">
        <w:rPr>
          <w:rFonts w:ascii="Arial" w:hAnsi="Arial" w:cs="Arial"/>
          <w:color w:val="000000" w:themeColor="text1"/>
          <w:sz w:val="22"/>
        </w:rPr>
        <w:t>&lt;</w:t>
      </w:r>
      <w:r w:rsidR="00264C97">
        <w:rPr>
          <w:rFonts w:ascii="Arial" w:hAnsi="Arial" w:cs="Arial"/>
          <w:color w:val="000000" w:themeColor="text1"/>
          <w:sz w:val="22"/>
        </w:rPr>
        <w:t xml:space="preserve"> </w:t>
      </w:r>
      <w:r w:rsidR="00C75A02" w:rsidRPr="005C36F7">
        <w:rPr>
          <w:rFonts w:ascii="Arial" w:hAnsi="Arial" w:cs="Arial"/>
          <w:color w:val="000000" w:themeColor="text1"/>
          <w:sz w:val="22"/>
        </w:rPr>
        <w:t>0.05</w:t>
      </w:r>
      <w:r w:rsidR="005D4B22" w:rsidRPr="005C36F7">
        <w:rPr>
          <w:rFonts w:ascii="Arial" w:hAnsi="Arial" w:cs="Arial"/>
          <w:color w:val="000000" w:themeColor="text1"/>
          <w:sz w:val="22"/>
        </w:rPr>
        <w:t>)</w:t>
      </w:r>
      <w:r w:rsidR="00C75A02" w:rsidRPr="005C36F7">
        <w:rPr>
          <w:rFonts w:ascii="Arial" w:hAnsi="Arial" w:cs="Arial"/>
          <w:color w:val="000000" w:themeColor="text1"/>
          <w:sz w:val="22"/>
        </w:rPr>
        <w:t>.</w:t>
      </w:r>
    </w:p>
    <w:p w14:paraId="6F8DF8E8" w14:textId="33A8F969" w:rsidR="00A3450F" w:rsidRDefault="00A3450F" w:rsidP="00740FA2">
      <w:pPr>
        <w:rPr>
          <w:rFonts w:ascii="Arial" w:hAnsi="Arial" w:cs="Arial"/>
          <w:color w:val="000000" w:themeColor="text1"/>
          <w:sz w:val="22"/>
        </w:rPr>
      </w:pPr>
    </w:p>
    <w:p w14:paraId="0D9A59C5" w14:textId="77777777" w:rsidR="00C00612" w:rsidRPr="001939D3" w:rsidRDefault="00C00612" w:rsidP="00C00612">
      <w:pPr>
        <w:jc w:val="center"/>
        <w:rPr>
          <w:b/>
        </w:rPr>
      </w:pPr>
      <w:r w:rsidRPr="00C70538">
        <w:rPr>
          <w:b/>
        </w:rPr>
        <w:t>Table</w:t>
      </w:r>
      <w:r>
        <w:rPr>
          <w:b/>
        </w:rPr>
        <w:t xml:space="preserve"> </w:t>
      </w:r>
      <w:r>
        <w:rPr>
          <w:rFonts w:hint="eastAsia"/>
          <w:b/>
        </w:rPr>
        <w:t xml:space="preserve">3 </w:t>
      </w:r>
      <w:r w:rsidRPr="00525032">
        <w:rPr>
          <w:b/>
        </w:rPr>
        <w:t>Comparison</w:t>
      </w:r>
      <w:r>
        <w:rPr>
          <w:rFonts w:hint="eastAsia"/>
          <w:b/>
        </w:rPr>
        <w:t>s</w:t>
      </w:r>
      <w:r w:rsidRPr="00525032">
        <w:rPr>
          <w:b/>
        </w:rPr>
        <w:t xml:space="preserve"> of</w:t>
      </w:r>
      <w:r>
        <w:rPr>
          <w:rFonts w:hint="eastAsia"/>
          <w:b/>
        </w:rPr>
        <w:t xml:space="preserve"> I</w:t>
      </w:r>
      <w:r w:rsidRPr="005A04C5">
        <w:rPr>
          <w:b/>
        </w:rPr>
        <w:t>nflammatory</w:t>
      </w:r>
      <w:r w:rsidRPr="00525032">
        <w:rPr>
          <w:b/>
        </w:rPr>
        <w:t xml:space="preserve"> </w:t>
      </w:r>
      <w:r>
        <w:rPr>
          <w:rFonts w:hint="eastAsia"/>
          <w:b/>
        </w:rPr>
        <w:t xml:space="preserve">Markers </w:t>
      </w:r>
    </w:p>
    <w:tbl>
      <w:tblPr>
        <w:tblStyle w:val="TableGrid"/>
        <w:tblW w:w="9640" w:type="dxa"/>
        <w:tblInd w:w="-74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93"/>
        <w:gridCol w:w="142"/>
        <w:gridCol w:w="1701"/>
        <w:gridCol w:w="1701"/>
        <w:gridCol w:w="1701"/>
        <w:gridCol w:w="1701"/>
        <w:gridCol w:w="709"/>
        <w:gridCol w:w="992"/>
      </w:tblGrid>
      <w:tr w:rsidR="00C00612" w:rsidRPr="004976B4" w14:paraId="7CD48DC3" w14:textId="77777777" w:rsidTr="00324A33">
        <w:tc>
          <w:tcPr>
            <w:tcW w:w="993" w:type="dxa"/>
            <w:tcBorders>
              <w:bottom w:val="single" w:sz="4" w:space="0" w:color="auto"/>
            </w:tcBorders>
          </w:tcPr>
          <w:p w14:paraId="7572A139" w14:textId="77777777" w:rsidR="00C00612" w:rsidRPr="004976B4" w:rsidRDefault="00C00612" w:rsidP="00324A33">
            <w:pPr>
              <w:jc w:val="center"/>
              <w:rPr>
                <w:b/>
              </w:rPr>
            </w:pPr>
          </w:p>
        </w:tc>
        <w:tc>
          <w:tcPr>
            <w:tcW w:w="1843" w:type="dxa"/>
            <w:gridSpan w:val="2"/>
            <w:tcBorders>
              <w:bottom w:val="single" w:sz="4" w:space="0" w:color="auto"/>
            </w:tcBorders>
          </w:tcPr>
          <w:p w14:paraId="499FEC8F" w14:textId="77777777" w:rsidR="00C00612" w:rsidRPr="004976B4" w:rsidRDefault="00C00612" w:rsidP="00324A33">
            <w:pPr>
              <w:jc w:val="center"/>
              <w:rPr>
                <w:b/>
              </w:rPr>
            </w:pPr>
            <w:r w:rsidRPr="004976B4">
              <w:rPr>
                <w:b/>
              </w:rPr>
              <w:t>SAn</w:t>
            </w:r>
          </w:p>
          <w:p w14:paraId="174316AC" w14:textId="77777777" w:rsidR="00C00612" w:rsidRPr="004976B4" w:rsidRDefault="00C00612" w:rsidP="00324A33">
            <w:pPr>
              <w:jc w:val="center"/>
              <w:rPr>
                <w:b/>
              </w:rPr>
            </w:pPr>
          </w:p>
        </w:tc>
        <w:tc>
          <w:tcPr>
            <w:tcW w:w="1701" w:type="dxa"/>
            <w:tcBorders>
              <w:bottom w:val="single" w:sz="4" w:space="0" w:color="auto"/>
            </w:tcBorders>
          </w:tcPr>
          <w:p w14:paraId="03C98D78" w14:textId="77777777" w:rsidR="00C00612" w:rsidRPr="004976B4" w:rsidRDefault="00C00612" w:rsidP="00324A33">
            <w:pPr>
              <w:jc w:val="center"/>
              <w:rPr>
                <w:b/>
              </w:rPr>
            </w:pPr>
            <w:r w:rsidRPr="001E14F0">
              <w:rPr>
                <w:b/>
                <w:color w:val="000000" w:themeColor="text1"/>
              </w:rPr>
              <w:t>SAs</w:t>
            </w:r>
          </w:p>
        </w:tc>
        <w:tc>
          <w:tcPr>
            <w:tcW w:w="1701" w:type="dxa"/>
            <w:tcBorders>
              <w:bottom w:val="single" w:sz="4" w:space="0" w:color="auto"/>
            </w:tcBorders>
          </w:tcPr>
          <w:p w14:paraId="6644E4EC" w14:textId="77777777" w:rsidR="00C00612" w:rsidRPr="004976B4" w:rsidRDefault="00C00612" w:rsidP="00324A33">
            <w:pPr>
              <w:jc w:val="center"/>
              <w:rPr>
                <w:b/>
              </w:rPr>
            </w:pPr>
            <w:r w:rsidRPr="004976B4">
              <w:rPr>
                <w:b/>
              </w:rPr>
              <w:t>MMA</w:t>
            </w:r>
          </w:p>
        </w:tc>
        <w:tc>
          <w:tcPr>
            <w:tcW w:w="1701" w:type="dxa"/>
            <w:tcBorders>
              <w:bottom w:val="single" w:sz="4" w:space="0" w:color="auto"/>
            </w:tcBorders>
          </w:tcPr>
          <w:p w14:paraId="7C0F11A4" w14:textId="77777777" w:rsidR="00C00612" w:rsidRPr="004976B4" w:rsidRDefault="00C00612" w:rsidP="00324A33">
            <w:pPr>
              <w:jc w:val="center"/>
              <w:rPr>
                <w:b/>
              </w:rPr>
            </w:pPr>
            <w:r w:rsidRPr="004976B4">
              <w:rPr>
                <w:b/>
              </w:rPr>
              <w:t>HC</w:t>
            </w:r>
          </w:p>
        </w:tc>
        <w:tc>
          <w:tcPr>
            <w:tcW w:w="709" w:type="dxa"/>
            <w:tcBorders>
              <w:bottom w:val="single" w:sz="4" w:space="0" w:color="auto"/>
            </w:tcBorders>
          </w:tcPr>
          <w:p w14:paraId="6924AD99" w14:textId="77777777" w:rsidR="00C00612" w:rsidRPr="004976B4" w:rsidRDefault="00C00612" w:rsidP="00324A33">
            <w:pPr>
              <w:jc w:val="center"/>
              <w:rPr>
                <w:b/>
                <w:i/>
              </w:rPr>
            </w:pPr>
            <w:r w:rsidRPr="004976B4">
              <w:rPr>
                <w:rFonts w:hint="eastAsia"/>
                <w:b/>
                <w:i/>
              </w:rPr>
              <w:t>H</w:t>
            </w:r>
          </w:p>
        </w:tc>
        <w:tc>
          <w:tcPr>
            <w:tcW w:w="992" w:type="dxa"/>
            <w:tcBorders>
              <w:bottom w:val="single" w:sz="4" w:space="0" w:color="auto"/>
            </w:tcBorders>
          </w:tcPr>
          <w:p w14:paraId="3F24AB83" w14:textId="77777777" w:rsidR="00C00612" w:rsidRPr="004976B4" w:rsidRDefault="00C00612" w:rsidP="00324A33">
            <w:pPr>
              <w:jc w:val="center"/>
              <w:rPr>
                <w:b/>
                <w:i/>
              </w:rPr>
            </w:pPr>
            <w:r w:rsidRPr="004976B4">
              <w:rPr>
                <w:b/>
                <w:i/>
              </w:rPr>
              <w:t>p</w:t>
            </w:r>
          </w:p>
        </w:tc>
      </w:tr>
      <w:tr w:rsidR="00C00612" w:rsidRPr="00C403D2" w14:paraId="2D8FFCEA" w14:textId="77777777" w:rsidTr="00324A33">
        <w:tc>
          <w:tcPr>
            <w:tcW w:w="1135" w:type="dxa"/>
            <w:gridSpan w:val="2"/>
            <w:tcBorders>
              <w:bottom w:val="nil"/>
            </w:tcBorders>
          </w:tcPr>
          <w:p w14:paraId="014F757E" w14:textId="023E4342" w:rsidR="00C00612" w:rsidRPr="004976B4" w:rsidRDefault="00C00612" w:rsidP="00264C97">
            <w:pPr>
              <w:jc w:val="left"/>
              <w:rPr>
                <w:b/>
              </w:rPr>
            </w:pPr>
            <w:r>
              <w:rPr>
                <w:b/>
              </w:rPr>
              <w:t>E</w:t>
            </w:r>
            <w:r w:rsidR="00264C97">
              <w:rPr>
                <w:b/>
              </w:rPr>
              <w:t>otaxin</w:t>
            </w:r>
            <w:r>
              <w:rPr>
                <w:b/>
              </w:rPr>
              <w:t>3</w:t>
            </w:r>
          </w:p>
        </w:tc>
        <w:tc>
          <w:tcPr>
            <w:tcW w:w="1701" w:type="dxa"/>
            <w:tcBorders>
              <w:bottom w:val="nil"/>
            </w:tcBorders>
          </w:tcPr>
          <w:p w14:paraId="605B1BCB" w14:textId="77777777" w:rsidR="00C00612" w:rsidRPr="00C403D2" w:rsidRDefault="00C00612" w:rsidP="00324A33">
            <w:pPr>
              <w:jc w:val="center"/>
            </w:pPr>
            <w:r w:rsidRPr="00C403D2">
              <w:rPr>
                <w:rFonts w:hint="eastAsia"/>
              </w:rPr>
              <w:t>17.6</w:t>
            </w:r>
          </w:p>
          <w:p w14:paraId="22461D5B" w14:textId="4A3F9FB8" w:rsidR="00C00612" w:rsidRPr="00C403D2" w:rsidRDefault="00C00612" w:rsidP="00324A33">
            <w:pPr>
              <w:jc w:val="center"/>
            </w:pPr>
            <w:r w:rsidRPr="00C403D2">
              <w:rPr>
                <w:rFonts w:hint="eastAsia"/>
              </w:rPr>
              <w:t>(3.08,75</w:t>
            </w:r>
            <w:r w:rsidR="00407F3B">
              <w:t>.</w:t>
            </w:r>
            <w:r w:rsidRPr="00C403D2">
              <w:rPr>
                <w:rFonts w:hint="eastAsia"/>
              </w:rPr>
              <w:t>30)</w:t>
            </w:r>
          </w:p>
        </w:tc>
        <w:tc>
          <w:tcPr>
            <w:tcW w:w="1701" w:type="dxa"/>
            <w:tcBorders>
              <w:bottom w:val="nil"/>
            </w:tcBorders>
          </w:tcPr>
          <w:p w14:paraId="76E0EC7E" w14:textId="77777777" w:rsidR="00C00612" w:rsidRPr="00C403D2" w:rsidRDefault="00C00612" w:rsidP="00324A33">
            <w:pPr>
              <w:jc w:val="center"/>
            </w:pPr>
            <w:r w:rsidRPr="00C403D2">
              <w:rPr>
                <w:rFonts w:hint="eastAsia"/>
              </w:rPr>
              <w:t>17.90</w:t>
            </w:r>
          </w:p>
          <w:p w14:paraId="2DDDA612" w14:textId="05DF20B3" w:rsidR="00C00612" w:rsidRPr="00C403D2" w:rsidRDefault="00C00612" w:rsidP="00324A33">
            <w:pPr>
              <w:jc w:val="center"/>
            </w:pPr>
            <w:r w:rsidRPr="00C403D2">
              <w:rPr>
                <w:rFonts w:hint="eastAsia"/>
              </w:rPr>
              <w:t>(3.08,94</w:t>
            </w:r>
            <w:r w:rsidR="00407F3B">
              <w:t>.</w:t>
            </w:r>
            <w:r w:rsidRPr="00C403D2">
              <w:rPr>
                <w:rFonts w:hint="eastAsia"/>
              </w:rPr>
              <w:t>3)</w:t>
            </w:r>
          </w:p>
        </w:tc>
        <w:tc>
          <w:tcPr>
            <w:tcW w:w="1701" w:type="dxa"/>
            <w:tcBorders>
              <w:bottom w:val="nil"/>
            </w:tcBorders>
          </w:tcPr>
          <w:p w14:paraId="2B38C39A" w14:textId="77777777" w:rsidR="00C00612" w:rsidRPr="00C403D2" w:rsidRDefault="00C00612" w:rsidP="00324A33">
            <w:pPr>
              <w:jc w:val="center"/>
            </w:pPr>
            <w:r w:rsidRPr="00C403D2">
              <w:rPr>
                <w:rFonts w:hint="eastAsia"/>
              </w:rPr>
              <w:t>17.10</w:t>
            </w:r>
          </w:p>
          <w:p w14:paraId="3BB4B43A" w14:textId="5BF6381C" w:rsidR="00C00612" w:rsidRPr="00C403D2" w:rsidRDefault="00C00612" w:rsidP="00324A33">
            <w:pPr>
              <w:jc w:val="center"/>
            </w:pPr>
            <w:r w:rsidRPr="00C403D2">
              <w:rPr>
                <w:rFonts w:hint="eastAsia"/>
              </w:rPr>
              <w:t>(3.08,42</w:t>
            </w:r>
            <w:r w:rsidR="00407F3B">
              <w:t>.</w:t>
            </w:r>
            <w:r w:rsidRPr="00C403D2">
              <w:rPr>
                <w:rFonts w:hint="eastAsia"/>
              </w:rPr>
              <w:t>80)</w:t>
            </w:r>
          </w:p>
        </w:tc>
        <w:tc>
          <w:tcPr>
            <w:tcW w:w="1701" w:type="dxa"/>
            <w:tcBorders>
              <w:bottom w:val="nil"/>
            </w:tcBorders>
          </w:tcPr>
          <w:p w14:paraId="1E72E146" w14:textId="77777777" w:rsidR="00C00612" w:rsidRPr="00C403D2" w:rsidRDefault="00C00612" w:rsidP="00324A33">
            <w:pPr>
              <w:jc w:val="center"/>
            </w:pPr>
            <w:r w:rsidRPr="00C403D2">
              <w:rPr>
                <w:rFonts w:hint="eastAsia"/>
              </w:rPr>
              <w:t>18.80</w:t>
            </w:r>
          </w:p>
          <w:p w14:paraId="383909DB" w14:textId="0FD37626" w:rsidR="00C00612" w:rsidRPr="00C403D2" w:rsidRDefault="00C00612" w:rsidP="00324A33">
            <w:pPr>
              <w:jc w:val="center"/>
            </w:pPr>
            <w:r w:rsidRPr="00C403D2">
              <w:rPr>
                <w:rFonts w:hint="eastAsia"/>
              </w:rPr>
              <w:t>(7.96</w:t>
            </w:r>
            <w:r w:rsidRPr="00C403D2">
              <w:t>,</w:t>
            </w:r>
            <w:r w:rsidRPr="00C403D2">
              <w:rPr>
                <w:rFonts w:hint="eastAsia"/>
              </w:rPr>
              <w:t>26</w:t>
            </w:r>
            <w:r w:rsidR="00407F3B">
              <w:t>.</w:t>
            </w:r>
            <w:r w:rsidRPr="00C403D2">
              <w:rPr>
                <w:rFonts w:hint="eastAsia"/>
              </w:rPr>
              <w:t>)</w:t>
            </w:r>
          </w:p>
        </w:tc>
        <w:tc>
          <w:tcPr>
            <w:tcW w:w="709" w:type="dxa"/>
            <w:tcBorders>
              <w:bottom w:val="nil"/>
            </w:tcBorders>
          </w:tcPr>
          <w:p w14:paraId="7F3BDEB6" w14:textId="77777777" w:rsidR="00C00612" w:rsidRPr="00C403D2" w:rsidRDefault="00C00612" w:rsidP="00324A33">
            <w:pPr>
              <w:jc w:val="center"/>
            </w:pPr>
            <w:r>
              <w:rPr>
                <w:rFonts w:hint="eastAsia"/>
              </w:rPr>
              <w:t>1.03</w:t>
            </w:r>
          </w:p>
        </w:tc>
        <w:tc>
          <w:tcPr>
            <w:tcW w:w="992" w:type="dxa"/>
            <w:tcBorders>
              <w:bottom w:val="nil"/>
            </w:tcBorders>
          </w:tcPr>
          <w:p w14:paraId="36DBE940" w14:textId="77777777" w:rsidR="00C00612" w:rsidRPr="00C403D2" w:rsidRDefault="00C00612" w:rsidP="00324A33">
            <w:pPr>
              <w:jc w:val="center"/>
            </w:pPr>
            <w:r>
              <w:rPr>
                <w:rFonts w:hint="eastAsia"/>
              </w:rPr>
              <w:t>0.794</w:t>
            </w:r>
          </w:p>
        </w:tc>
      </w:tr>
      <w:tr w:rsidR="00C00612" w:rsidRPr="00C403D2" w14:paraId="17E0970F" w14:textId="77777777" w:rsidTr="00324A33">
        <w:tc>
          <w:tcPr>
            <w:tcW w:w="1135" w:type="dxa"/>
            <w:gridSpan w:val="2"/>
            <w:tcBorders>
              <w:top w:val="nil"/>
              <w:bottom w:val="nil"/>
            </w:tcBorders>
          </w:tcPr>
          <w:p w14:paraId="07E66D7C" w14:textId="77777777" w:rsidR="00C00612" w:rsidRPr="00436139" w:rsidRDefault="00C00612" w:rsidP="00324A33">
            <w:pPr>
              <w:jc w:val="left"/>
              <w:rPr>
                <w:b/>
                <w:color w:val="FF0000"/>
              </w:rPr>
            </w:pPr>
            <w:r w:rsidRPr="001E14F0">
              <w:rPr>
                <w:b/>
                <w:color w:val="000000" w:themeColor="text1"/>
              </w:rPr>
              <w:t>IL17A</w:t>
            </w:r>
          </w:p>
        </w:tc>
        <w:tc>
          <w:tcPr>
            <w:tcW w:w="1701" w:type="dxa"/>
            <w:tcBorders>
              <w:top w:val="nil"/>
              <w:bottom w:val="nil"/>
            </w:tcBorders>
          </w:tcPr>
          <w:p w14:paraId="2E02E4AC" w14:textId="77777777" w:rsidR="00C00612" w:rsidRPr="00C403D2" w:rsidRDefault="00C00612" w:rsidP="00324A33">
            <w:pPr>
              <w:jc w:val="center"/>
            </w:pPr>
            <w:r w:rsidRPr="00C403D2">
              <w:rPr>
                <w:rFonts w:hint="eastAsia"/>
              </w:rPr>
              <w:t>0.36</w:t>
            </w:r>
          </w:p>
          <w:p w14:paraId="400B5DEC" w14:textId="77777777" w:rsidR="00C00612" w:rsidRPr="00C403D2" w:rsidRDefault="00C00612" w:rsidP="00324A33">
            <w:pPr>
              <w:jc w:val="center"/>
            </w:pPr>
            <w:r w:rsidRPr="00C403D2">
              <w:rPr>
                <w:rFonts w:hint="eastAsia"/>
              </w:rPr>
              <w:t>(0.03,1.72)</w:t>
            </w:r>
          </w:p>
        </w:tc>
        <w:tc>
          <w:tcPr>
            <w:tcW w:w="1701" w:type="dxa"/>
            <w:tcBorders>
              <w:top w:val="nil"/>
              <w:bottom w:val="nil"/>
            </w:tcBorders>
          </w:tcPr>
          <w:p w14:paraId="0F1EEC7F" w14:textId="77777777" w:rsidR="00C00612" w:rsidRPr="00C403D2" w:rsidRDefault="00C00612" w:rsidP="00324A33">
            <w:pPr>
              <w:jc w:val="center"/>
            </w:pPr>
            <w:r w:rsidRPr="00C403D2">
              <w:rPr>
                <w:rFonts w:hint="eastAsia"/>
              </w:rPr>
              <w:t>0.31</w:t>
            </w:r>
          </w:p>
          <w:p w14:paraId="30637BBC" w14:textId="77777777" w:rsidR="00C00612" w:rsidRPr="00C403D2" w:rsidRDefault="00C00612" w:rsidP="00324A33">
            <w:pPr>
              <w:jc w:val="center"/>
            </w:pPr>
            <w:r w:rsidRPr="00C403D2">
              <w:rPr>
                <w:rFonts w:hint="eastAsia"/>
              </w:rPr>
              <w:t>(0.14,1.83)</w:t>
            </w:r>
          </w:p>
        </w:tc>
        <w:tc>
          <w:tcPr>
            <w:tcW w:w="1701" w:type="dxa"/>
            <w:tcBorders>
              <w:top w:val="nil"/>
              <w:bottom w:val="nil"/>
            </w:tcBorders>
          </w:tcPr>
          <w:p w14:paraId="738EAC97" w14:textId="77777777" w:rsidR="00C00612" w:rsidRPr="00C403D2" w:rsidRDefault="00C00612" w:rsidP="00324A33">
            <w:pPr>
              <w:jc w:val="center"/>
            </w:pPr>
            <w:r w:rsidRPr="00C403D2">
              <w:rPr>
                <w:rFonts w:hint="eastAsia"/>
              </w:rPr>
              <w:t>0.31</w:t>
            </w:r>
          </w:p>
          <w:p w14:paraId="43802021" w14:textId="77777777" w:rsidR="00C00612" w:rsidRPr="00C403D2" w:rsidRDefault="00C00612" w:rsidP="00324A33">
            <w:pPr>
              <w:jc w:val="center"/>
            </w:pPr>
            <w:r w:rsidRPr="00C403D2">
              <w:rPr>
                <w:rFonts w:hint="eastAsia"/>
              </w:rPr>
              <w:t>(0.11,2.18)</w:t>
            </w:r>
          </w:p>
        </w:tc>
        <w:tc>
          <w:tcPr>
            <w:tcW w:w="1701" w:type="dxa"/>
            <w:tcBorders>
              <w:top w:val="nil"/>
              <w:bottom w:val="nil"/>
            </w:tcBorders>
          </w:tcPr>
          <w:p w14:paraId="255D74D2" w14:textId="77777777" w:rsidR="00C00612" w:rsidRPr="00C403D2" w:rsidRDefault="00C00612" w:rsidP="00324A33">
            <w:pPr>
              <w:jc w:val="center"/>
            </w:pPr>
            <w:r w:rsidRPr="00C403D2">
              <w:rPr>
                <w:rFonts w:hint="eastAsia"/>
              </w:rPr>
              <w:t>0.35</w:t>
            </w:r>
          </w:p>
          <w:p w14:paraId="0D57662C" w14:textId="77777777" w:rsidR="00C00612" w:rsidRPr="00C403D2" w:rsidRDefault="00C00612" w:rsidP="00324A33">
            <w:pPr>
              <w:jc w:val="center"/>
            </w:pPr>
            <w:r w:rsidRPr="00C403D2">
              <w:rPr>
                <w:rFonts w:hint="eastAsia"/>
              </w:rPr>
              <w:t>(0.14,0.70)</w:t>
            </w:r>
          </w:p>
        </w:tc>
        <w:tc>
          <w:tcPr>
            <w:tcW w:w="709" w:type="dxa"/>
            <w:tcBorders>
              <w:top w:val="nil"/>
              <w:bottom w:val="nil"/>
            </w:tcBorders>
          </w:tcPr>
          <w:p w14:paraId="6CF75D34" w14:textId="77777777" w:rsidR="00C00612" w:rsidRPr="00C403D2" w:rsidRDefault="00C00612" w:rsidP="00324A33">
            <w:pPr>
              <w:jc w:val="center"/>
            </w:pPr>
            <w:r>
              <w:rPr>
                <w:rFonts w:hint="eastAsia"/>
              </w:rPr>
              <w:t>5.36</w:t>
            </w:r>
          </w:p>
        </w:tc>
        <w:tc>
          <w:tcPr>
            <w:tcW w:w="992" w:type="dxa"/>
            <w:tcBorders>
              <w:top w:val="nil"/>
              <w:bottom w:val="nil"/>
            </w:tcBorders>
          </w:tcPr>
          <w:p w14:paraId="68BF8F12" w14:textId="77777777" w:rsidR="00C00612" w:rsidRPr="00C403D2" w:rsidRDefault="00C00612" w:rsidP="00324A33">
            <w:pPr>
              <w:jc w:val="center"/>
            </w:pPr>
            <w:r>
              <w:rPr>
                <w:rFonts w:hint="eastAsia"/>
              </w:rPr>
              <w:t>0.147</w:t>
            </w:r>
          </w:p>
        </w:tc>
      </w:tr>
      <w:tr w:rsidR="00C00612" w:rsidRPr="00C403D2" w14:paraId="0BC31058" w14:textId="77777777" w:rsidTr="00324A33">
        <w:tc>
          <w:tcPr>
            <w:tcW w:w="1135" w:type="dxa"/>
            <w:gridSpan w:val="2"/>
            <w:tcBorders>
              <w:top w:val="nil"/>
              <w:bottom w:val="nil"/>
            </w:tcBorders>
          </w:tcPr>
          <w:p w14:paraId="1E0FD50C" w14:textId="77777777" w:rsidR="00C00612" w:rsidRPr="004976B4" w:rsidRDefault="00C00612" w:rsidP="00324A33">
            <w:pPr>
              <w:jc w:val="left"/>
              <w:rPr>
                <w:b/>
              </w:rPr>
            </w:pPr>
            <w:r w:rsidRPr="004976B4">
              <w:rPr>
                <w:b/>
              </w:rPr>
              <w:t>IL13</w:t>
            </w:r>
          </w:p>
        </w:tc>
        <w:tc>
          <w:tcPr>
            <w:tcW w:w="1701" w:type="dxa"/>
            <w:tcBorders>
              <w:top w:val="nil"/>
              <w:bottom w:val="nil"/>
            </w:tcBorders>
          </w:tcPr>
          <w:p w14:paraId="606CE27B" w14:textId="77777777" w:rsidR="00C00612" w:rsidRPr="00C403D2" w:rsidRDefault="00C00612" w:rsidP="00324A33">
            <w:pPr>
              <w:jc w:val="center"/>
            </w:pPr>
            <w:r w:rsidRPr="00C403D2">
              <w:rPr>
                <w:rFonts w:hint="eastAsia"/>
              </w:rPr>
              <w:t>0.64</w:t>
            </w:r>
          </w:p>
          <w:p w14:paraId="4C398092" w14:textId="77777777" w:rsidR="00C00612" w:rsidRPr="00C403D2" w:rsidRDefault="00C00612" w:rsidP="00324A33">
            <w:pPr>
              <w:jc w:val="center"/>
            </w:pPr>
            <w:r w:rsidRPr="00C403D2">
              <w:rPr>
                <w:rFonts w:hint="eastAsia"/>
              </w:rPr>
              <w:t>(0.01,10.40)</w:t>
            </w:r>
          </w:p>
        </w:tc>
        <w:tc>
          <w:tcPr>
            <w:tcW w:w="1701" w:type="dxa"/>
            <w:tcBorders>
              <w:top w:val="nil"/>
              <w:bottom w:val="nil"/>
            </w:tcBorders>
          </w:tcPr>
          <w:p w14:paraId="55062C7E" w14:textId="77777777" w:rsidR="00C00612" w:rsidRPr="00C403D2" w:rsidRDefault="00C00612" w:rsidP="00324A33">
            <w:pPr>
              <w:jc w:val="center"/>
            </w:pPr>
            <w:r w:rsidRPr="00C403D2">
              <w:rPr>
                <w:rFonts w:hint="eastAsia"/>
              </w:rPr>
              <w:t>0.58</w:t>
            </w:r>
          </w:p>
          <w:p w14:paraId="68E5B43D" w14:textId="77777777" w:rsidR="00C00612" w:rsidRPr="00C403D2" w:rsidRDefault="00C00612" w:rsidP="00324A33">
            <w:pPr>
              <w:jc w:val="center"/>
            </w:pPr>
            <w:r w:rsidRPr="00C403D2">
              <w:rPr>
                <w:rFonts w:hint="eastAsia"/>
              </w:rPr>
              <w:t>(0.01,3.95)</w:t>
            </w:r>
          </w:p>
        </w:tc>
        <w:tc>
          <w:tcPr>
            <w:tcW w:w="1701" w:type="dxa"/>
            <w:tcBorders>
              <w:top w:val="nil"/>
              <w:bottom w:val="nil"/>
            </w:tcBorders>
          </w:tcPr>
          <w:p w14:paraId="4F407987" w14:textId="77777777" w:rsidR="00C00612" w:rsidRPr="00C403D2" w:rsidRDefault="00C00612" w:rsidP="00324A33">
            <w:pPr>
              <w:jc w:val="center"/>
            </w:pPr>
            <w:r w:rsidRPr="00C403D2">
              <w:rPr>
                <w:rFonts w:hint="eastAsia"/>
              </w:rPr>
              <w:t>0.59</w:t>
            </w:r>
          </w:p>
          <w:p w14:paraId="7783030F" w14:textId="77777777" w:rsidR="00C00612" w:rsidRPr="00C403D2" w:rsidRDefault="00C00612" w:rsidP="00324A33">
            <w:pPr>
              <w:jc w:val="center"/>
            </w:pPr>
            <w:r w:rsidRPr="00C403D2">
              <w:rPr>
                <w:rFonts w:hint="eastAsia"/>
              </w:rPr>
              <w:t>(0.11,2.29)</w:t>
            </w:r>
          </w:p>
        </w:tc>
        <w:tc>
          <w:tcPr>
            <w:tcW w:w="1701" w:type="dxa"/>
            <w:tcBorders>
              <w:top w:val="nil"/>
              <w:bottom w:val="nil"/>
            </w:tcBorders>
          </w:tcPr>
          <w:p w14:paraId="7819608A" w14:textId="77777777" w:rsidR="00C00612" w:rsidRPr="00C403D2" w:rsidRDefault="00C00612" w:rsidP="00324A33">
            <w:pPr>
              <w:jc w:val="center"/>
            </w:pPr>
            <w:r w:rsidRPr="00C403D2">
              <w:rPr>
                <w:rFonts w:hint="eastAsia"/>
              </w:rPr>
              <w:t>0.41</w:t>
            </w:r>
          </w:p>
          <w:p w14:paraId="00998559" w14:textId="77777777" w:rsidR="00C00612" w:rsidRPr="00C403D2" w:rsidRDefault="00C00612" w:rsidP="00324A33">
            <w:pPr>
              <w:jc w:val="center"/>
            </w:pPr>
            <w:r w:rsidRPr="00C403D2">
              <w:rPr>
                <w:rFonts w:hint="eastAsia"/>
              </w:rPr>
              <w:t>(0.15,0.96)</w:t>
            </w:r>
          </w:p>
        </w:tc>
        <w:tc>
          <w:tcPr>
            <w:tcW w:w="709" w:type="dxa"/>
            <w:tcBorders>
              <w:top w:val="nil"/>
              <w:bottom w:val="nil"/>
            </w:tcBorders>
          </w:tcPr>
          <w:p w14:paraId="1C9D5A83" w14:textId="77777777" w:rsidR="00C00612" w:rsidRPr="00C403D2" w:rsidRDefault="00C00612" w:rsidP="00324A33">
            <w:pPr>
              <w:jc w:val="center"/>
            </w:pPr>
            <w:r>
              <w:rPr>
                <w:rFonts w:hint="eastAsia"/>
              </w:rPr>
              <w:t>4.62</w:t>
            </w:r>
          </w:p>
        </w:tc>
        <w:tc>
          <w:tcPr>
            <w:tcW w:w="992" w:type="dxa"/>
            <w:tcBorders>
              <w:top w:val="nil"/>
              <w:bottom w:val="nil"/>
            </w:tcBorders>
          </w:tcPr>
          <w:p w14:paraId="5BA60963" w14:textId="77777777" w:rsidR="00C00612" w:rsidRPr="00C403D2" w:rsidRDefault="00C00612" w:rsidP="00324A33">
            <w:pPr>
              <w:jc w:val="center"/>
            </w:pPr>
            <w:r>
              <w:rPr>
                <w:rFonts w:hint="eastAsia"/>
              </w:rPr>
              <w:t>0.202</w:t>
            </w:r>
          </w:p>
        </w:tc>
      </w:tr>
      <w:tr w:rsidR="00C00612" w:rsidRPr="00C403D2" w14:paraId="68B46775" w14:textId="77777777" w:rsidTr="00324A33">
        <w:tc>
          <w:tcPr>
            <w:tcW w:w="1135" w:type="dxa"/>
            <w:gridSpan w:val="2"/>
            <w:tcBorders>
              <w:top w:val="nil"/>
              <w:bottom w:val="nil"/>
            </w:tcBorders>
          </w:tcPr>
          <w:p w14:paraId="5556B504" w14:textId="77777777" w:rsidR="00C00612" w:rsidRPr="004976B4" w:rsidRDefault="00C00612" w:rsidP="00324A33">
            <w:pPr>
              <w:jc w:val="left"/>
              <w:rPr>
                <w:b/>
              </w:rPr>
            </w:pPr>
            <w:r w:rsidRPr="004976B4">
              <w:rPr>
                <w:b/>
              </w:rPr>
              <w:t>Periostin</w:t>
            </w:r>
          </w:p>
        </w:tc>
        <w:tc>
          <w:tcPr>
            <w:tcW w:w="1701" w:type="dxa"/>
            <w:tcBorders>
              <w:top w:val="nil"/>
              <w:bottom w:val="nil"/>
            </w:tcBorders>
          </w:tcPr>
          <w:p w14:paraId="7A6B4B5E" w14:textId="77777777" w:rsidR="00C00612" w:rsidRPr="00C403D2" w:rsidRDefault="00C00612" w:rsidP="00324A33">
            <w:pPr>
              <w:jc w:val="center"/>
            </w:pPr>
            <w:r w:rsidRPr="00C403D2">
              <w:rPr>
                <w:rFonts w:hint="eastAsia"/>
              </w:rPr>
              <w:t>50.19</w:t>
            </w:r>
          </w:p>
          <w:p w14:paraId="01374B17" w14:textId="77777777" w:rsidR="00C00612" w:rsidRPr="00C403D2" w:rsidRDefault="00C00612" w:rsidP="00324A33">
            <w:pPr>
              <w:jc w:val="center"/>
            </w:pPr>
            <w:r w:rsidRPr="00C403D2">
              <w:rPr>
                <w:rFonts w:hint="eastAsia"/>
              </w:rPr>
              <w:t>(27.76,142.60)</w:t>
            </w:r>
          </w:p>
        </w:tc>
        <w:tc>
          <w:tcPr>
            <w:tcW w:w="1701" w:type="dxa"/>
            <w:tcBorders>
              <w:top w:val="nil"/>
              <w:bottom w:val="nil"/>
            </w:tcBorders>
          </w:tcPr>
          <w:p w14:paraId="4148613C" w14:textId="77777777" w:rsidR="00C00612" w:rsidRPr="00C403D2" w:rsidRDefault="00C00612" w:rsidP="00324A33">
            <w:pPr>
              <w:jc w:val="center"/>
            </w:pPr>
            <w:r w:rsidRPr="00C403D2">
              <w:rPr>
                <w:rFonts w:hint="eastAsia"/>
              </w:rPr>
              <w:t>43.81</w:t>
            </w:r>
          </w:p>
          <w:p w14:paraId="10C71743" w14:textId="77777777" w:rsidR="00C00612" w:rsidRPr="00C403D2" w:rsidRDefault="00C00612" w:rsidP="00324A33">
            <w:pPr>
              <w:jc w:val="center"/>
            </w:pPr>
            <w:r w:rsidRPr="00C403D2">
              <w:rPr>
                <w:rFonts w:hint="eastAsia"/>
              </w:rPr>
              <w:t>(24.99,78.30)</w:t>
            </w:r>
          </w:p>
        </w:tc>
        <w:tc>
          <w:tcPr>
            <w:tcW w:w="1701" w:type="dxa"/>
            <w:tcBorders>
              <w:top w:val="nil"/>
              <w:bottom w:val="nil"/>
            </w:tcBorders>
          </w:tcPr>
          <w:p w14:paraId="40D429D3" w14:textId="77777777" w:rsidR="00C00612" w:rsidRPr="00C403D2" w:rsidRDefault="00C00612" w:rsidP="00324A33">
            <w:pPr>
              <w:jc w:val="center"/>
            </w:pPr>
            <w:r w:rsidRPr="00C403D2">
              <w:rPr>
                <w:rFonts w:hint="eastAsia"/>
              </w:rPr>
              <w:t>47.79</w:t>
            </w:r>
          </w:p>
          <w:p w14:paraId="26555E3E" w14:textId="77777777" w:rsidR="00C00612" w:rsidRPr="00C403D2" w:rsidRDefault="00C00612" w:rsidP="00324A33">
            <w:pPr>
              <w:jc w:val="center"/>
            </w:pPr>
            <w:r w:rsidRPr="00C403D2">
              <w:rPr>
                <w:rFonts w:hint="eastAsia"/>
              </w:rPr>
              <w:t>(26.84,72.24)</w:t>
            </w:r>
          </w:p>
        </w:tc>
        <w:tc>
          <w:tcPr>
            <w:tcW w:w="1701" w:type="dxa"/>
            <w:tcBorders>
              <w:top w:val="nil"/>
              <w:bottom w:val="nil"/>
            </w:tcBorders>
          </w:tcPr>
          <w:p w14:paraId="340D3B27" w14:textId="77777777" w:rsidR="00C00612" w:rsidRPr="00C403D2" w:rsidRDefault="00C00612" w:rsidP="00324A33">
            <w:pPr>
              <w:jc w:val="center"/>
            </w:pPr>
            <w:r w:rsidRPr="00C403D2">
              <w:rPr>
                <w:rFonts w:hint="eastAsia"/>
              </w:rPr>
              <w:t>47.66</w:t>
            </w:r>
          </w:p>
          <w:p w14:paraId="7AA31DB5" w14:textId="77777777" w:rsidR="00C00612" w:rsidRPr="00C403D2" w:rsidRDefault="00C00612" w:rsidP="00324A33">
            <w:pPr>
              <w:jc w:val="center"/>
            </w:pPr>
            <w:r w:rsidRPr="00C403D2">
              <w:rPr>
                <w:rFonts w:hint="eastAsia"/>
              </w:rPr>
              <w:t>(31.74,80.15)</w:t>
            </w:r>
          </w:p>
        </w:tc>
        <w:tc>
          <w:tcPr>
            <w:tcW w:w="709" w:type="dxa"/>
            <w:tcBorders>
              <w:top w:val="nil"/>
              <w:bottom w:val="nil"/>
            </w:tcBorders>
          </w:tcPr>
          <w:p w14:paraId="5EB7A116" w14:textId="77777777" w:rsidR="00C00612" w:rsidRPr="00C403D2" w:rsidRDefault="00C00612" w:rsidP="00324A33">
            <w:pPr>
              <w:jc w:val="center"/>
            </w:pPr>
            <w:r>
              <w:rPr>
                <w:rFonts w:hint="eastAsia"/>
              </w:rPr>
              <w:t>6.53</w:t>
            </w:r>
          </w:p>
        </w:tc>
        <w:tc>
          <w:tcPr>
            <w:tcW w:w="992" w:type="dxa"/>
            <w:tcBorders>
              <w:top w:val="nil"/>
              <w:bottom w:val="nil"/>
            </w:tcBorders>
          </w:tcPr>
          <w:p w14:paraId="45ABBE68" w14:textId="77777777" w:rsidR="00C00612" w:rsidRPr="00C403D2" w:rsidRDefault="00C00612" w:rsidP="00324A33">
            <w:pPr>
              <w:jc w:val="center"/>
            </w:pPr>
            <w:r>
              <w:rPr>
                <w:rFonts w:hint="eastAsia"/>
              </w:rPr>
              <w:t>0.088</w:t>
            </w:r>
          </w:p>
        </w:tc>
      </w:tr>
      <w:tr w:rsidR="00C00612" w:rsidRPr="00C403D2" w14:paraId="327984E2" w14:textId="77777777" w:rsidTr="00324A33">
        <w:tc>
          <w:tcPr>
            <w:tcW w:w="1135" w:type="dxa"/>
            <w:gridSpan w:val="2"/>
            <w:tcBorders>
              <w:top w:val="nil"/>
              <w:bottom w:val="nil"/>
            </w:tcBorders>
          </w:tcPr>
          <w:p w14:paraId="6BF1DEE0" w14:textId="77777777" w:rsidR="00C00612" w:rsidRPr="004976B4" w:rsidRDefault="00C00612" w:rsidP="00324A33">
            <w:pPr>
              <w:jc w:val="left"/>
              <w:rPr>
                <w:b/>
              </w:rPr>
            </w:pPr>
            <w:r w:rsidRPr="004976B4">
              <w:rPr>
                <w:b/>
              </w:rPr>
              <w:t>MIP1b</w:t>
            </w:r>
          </w:p>
        </w:tc>
        <w:tc>
          <w:tcPr>
            <w:tcW w:w="1701" w:type="dxa"/>
            <w:tcBorders>
              <w:top w:val="nil"/>
              <w:bottom w:val="nil"/>
            </w:tcBorders>
          </w:tcPr>
          <w:p w14:paraId="39001C61" w14:textId="77777777" w:rsidR="00C00612" w:rsidRPr="00C403D2" w:rsidRDefault="00C00612" w:rsidP="00324A33">
            <w:pPr>
              <w:jc w:val="center"/>
            </w:pPr>
            <w:r w:rsidRPr="00C403D2">
              <w:rPr>
                <w:rFonts w:hint="eastAsia"/>
              </w:rPr>
              <w:t>54.65</w:t>
            </w:r>
          </w:p>
          <w:p w14:paraId="544D8962" w14:textId="77777777" w:rsidR="00C00612" w:rsidRPr="00C403D2" w:rsidRDefault="00C00612" w:rsidP="00324A33">
            <w:pPr>
              <w:jc w:val="center"/>
            </w:pPr>
            <w:r w:rsidRPr="00C403D2">
              <w:rPr>
                <w:rFonts w:hint="eastAsia"/>
              </w:rPr>
              <w:t>(20.20,289.00)</w:t>
            </w:r>
          </w:p>
        </w:tc>
        <w:tc>
          <w:tcPr>
            <w:tcW w:w="1701" w:type="dxa"/>
            <w:tcBorders>
              <w:top w:val="nil"/>
              <w:bottom w:val="nil"/>
            </w:tcBorders>
          </w:tcPr>
          <w:p w14:paraId="3D9C4DC4" w14:textId="77777777" w:rsidR="00C00612" w:rsidRPr="00C403D2" w:rsidRDefault="00C00612" w:rsidP="00324A33">
            <w:pPr>
              <w:jc w:val="center"/>
            </w:pPr>
            <w:r w:rsidRPr="00C403D2">
              <w:rPr>
                <w:rFonts w:hint="eastAsia"/>
              </w:rPr>
              <w:t>53.80</w:t>
            </w:r>
          </w:p>
          <w:p w14:paraId="306037E3" w14:textId="77777777" w:rsidR="00C00612" w:rsidRPr="00C403D2" w:rsidRDefault="00C00612" w:rsidP="00324A33">
            <w:pPr>
              <w:jc w:val="center"/>
            </w:pPr>
            <w:r w:rsidRPr="00C403D2">
              <w:rPr>
                <w:rFonts w:hint="eastAsia"/>
              </w:rPr>
              <w:t>(22.30,290.00)</w:t>
            </w:r>
          </w:p>
        </w:tc>
        <w:tc>
          <w:tcPr>
            <w:tcW w:w="1701" w:type="dxa"/>
            <w:tcBorders>
              <w:top w:val="nil"/>
              <w:bottom w:val="nil"/>
            </w:tcBorders>
          </w:tcPr>
          <w:p w14:paraId="764CD794" w14:textId="77777777" w:rsidR="00C00612" w:rsidRPr="00C403D2" w:rsidRDefault="00C00612" w:rsidP="00324A33">
            <w:pPr>
              <w:jc w:val="center"/>
            </w:pPr>
            <w:r w:rsidRPr="00C403D2">
              <w:rPr>
                <w:rFonts w:hint="eastAsia"/>
              </w:rPr>
              <w:t>50.80</w:t>
            </w:r>
          </w:p>
          <w:p w14:paraId="7CF739FB" w14:textId="77777777" w:rsidR="00C00612" w:rsidRPr="00C403D2" w:rsidRDefault="00C00612" w:rsidP="00324A33">
            <w:pPr>
              <w:jc w:val="center"/>
            </w:pPr>
            <w:r w:rsidRPr="00C403D2">
              <w:rPr>
                <w:rFonts w:hint="eastAsia"/>
              </w:rPr>
              <w:t>(21.00,252.00)</w:t>
            </w:r>
          </w:p>
        </w:tc>
        <w:tc>
          <w:tcPr>
            <w:tcW w:w="1701" w:type="dxa"/>
            <w:tcBorders>
              <w:top w:val="nil"/>
              <w:bottom w:val="nil"/>
            </w:tcBorders>
          </w:tcPr>
          <w:p w14:paraId="33783DB5" w14:textId="77777777" w:rsidR="00C00612" w:rsidRPr="00C403D2" w:rsidRDefault="00C00612" w:rsidP="00324A33">
            <w:pPr>
              <w:jc w:val="center"/>
            </w:pPr>
            <w:r w:rsidRPr="00C403D2">
              <w:rPr>
                <w:rFonts w:hint="eastAsia"/>
              </w:rPr>
              <w:t>39.50</w:t>
            </w:r>
          </w:p>
          <w:p w14:paraId="26E41568" w14:textId="77777777" w:rsidR="00C00612" w:rsidRPr="00C403D2" w:rsidRDefault="00C00612" w:rsidP="00324A33">
            <w:pPr>
              <w:jc w:val="center"/>
            </w:pPr>
            <w:r w:rsidRPr="00C403D2">
              <w:rPr>
                <w:rFonts w:hint="eastAsia"/>
              </w:rPr>
              <w:t>(22.60</w:t>
            </w:r>
            <w:r w:rsidRPr="00C403D2">
              <w:rPr>
                <w:rFonts w:hint="eastAsia"/>
              </w:rPr>
              <w:t>，</w:t>
            </w:r>
            <w:r w:rsidRPr="00C403D2">
              <w:rPr>
                <w:rFonts w:hint="eastAsia"/>
              </w:rPr>
              <w:t>98.40)</w:t>
            </w:r>
          </w:p>
        </w:tc>
        <w:tc>
          <w:tcPr>
            <w:tcW w:w="709" w:type="dxa"/>
            <w:tcBorders>
              <w:top w:val="nil"/>
              <w:bottom w:val="nil"/>
            </w:tcBorders>
          </w:tcPr>
          <w:p w14:paraId="171609A8" w14:textId="77777777" w:rsidR="00C00612" w:rsidRPr="00C403D2" w:rsidRDefault="00C00612" w:rsidP="00324A33">
            <w:pPr>
              <w:jc w:val="center"/>
            </w:pPr>
            <w:r>
              <w:rPr>
                <w:rFonts w:hint="eastAsia"/>
              </w:rPr>
              <w:t>6.31</w:t>
            </w:r>
          </w:p>
        </w:tc>
        <w:tc>
          <w:tcPr>
            <w:tcW w:w="992" w:type="dxa"/>
            <w:tcBorders>
              <w:top w:val="nil"/>
              <w:bottom w:val="nil"/>
            </w:tcBorders>
          </w:tcPr>
          <w:p w14:paraId="437D2176" w14:textId="77777777" w:rsidR="00C00612" w:rsidRPr="00C403D2" w:rsidRDefault="00C00612" w:rsidP="00324A33">
            <w:pPr>
              <w:jc w:val="center"/>
            </w:pPr>
            <w:r>
              <w:rPr>
                <w:rFonts w:hint="eastAsia"/>
              </w:rPr>
              <w:t>0.097</w:t>
            </w:r>
          </w:p>
        </w:tc>
      </w:tr>
      <w:tr w:rsidR="00C00612" w:rsidRPr="00C403D2" w14:paraId="77D9CDED" w14:textId="77777777" w:rsidTr="00324A33">
        <w:tc>
          <w:tcPr>
            <w:tcW w:w="1135" w:type="dxa"/>
            <w:gridSpan w:val="2"/>
            <w:tcBorders>
              <w:top w:val="nil"/>
              <w:bottom w:val="nil"/>
            </w:tcBorders>
          </w:tcPr>
          <w:p w14:paraId="7AEBA3D8" w14:textId="77777777" w:rsidR="00C00612" w:rsidRPr="004976B4" w:rsidRDefault="00C00612" w:rsidP="00324A33">
            <w:pPr>
              <w:jc w:val="left"/>
              <w:rPr>
                <w:b/>
              </w:rPr>
            </w:pPr>
            <w:r w:rsidRPr="004976B4">
              <w:rPr>
                <w:b/>
              </w:rPr>
              <w:t>IL6</w:t>
            </w:r>
          </w:p>
        </w:tc>
        <w:tc>
          <w:tcPr>
            <w:tcW w:w="1701" w:type="dxa"/>
            <w:tcBorders>
              <w:top w:val="nil"/>
              <w:bottom w:val="nil"/>
            </w:tcBorders>
          </w:tcPr>
          <w:p w14:paraId="3CF99C31" w14:textId="77777777" w:rsidR="00C00612" w:rsidRPr="00C403D2" w:rsidRDefault="00C00612" w:rsidP="00324A33">
            <w:pPr>
              <w:jc w:val="center"/>
            </w:pPr>
            <w:r w:rsidRPr="00C403D2">
              <w:t>0.94</w:t>
            </w:r>
          </w:p>
          <w:p w14:paraId="4EE9CE0E" w14:textId="77777777" w:rsidR="00C00612" w:rsidRPr="00C403D2" w:rsidRDefault="00C00612" w:rsidP="00324A33">
            <w:pPr>
              <w:jc w:val="center"/>
            </w:pPr>
            <w:r w:rsidRPr="00C403D2">
              <w:rPr>
                <w:rFonts w:hint="eastAsia"/>
              </w:rPr>
              <w:t>(0.16,14.60)</w:t>
            </w:r>
          </w:p>
        </w:tc>
        <w:tc>
          <w:tcPr>
            <w:tcW w:w="1701" w:type="dxa"/>
            <w:tcBorders>
              <w:top w:val="nil"/>
              <w:bottom w:val="nil"/>
            </w:tcBorders>
          </w:tcPr>
          <w:p w14:paraId="7A92C926" w14:textId="77777777" w:rsidR="00C00612" w:rsidRPr="00C403D2" w:rsidRDefault="00C00612" w:rsidP="00324A33">
            <w:pPr>
              <w:jc w:val="center"/>
            </w:pPr>
            <w:r w:rsidRPr="00C403D2">
              <w:rPr>
                <w:rFonts w:hint="eastAsia"/>
              </w:rPr>
              <w:t>1.04</w:t>
            </w:r>
          </w:p>
          <w:p w14:paraId="6C3B9D61" w14:textId="77777777" w:rsidR="00C00612" w:rsidRPr="00C403D2" w:rsidRDefault="00C00612" w:rsidP="00324A33">
            <w:pPr>
              <w:jc w:val="center"/>
            </w:pPr>
            <w:r w:rsidRPr="00C403D2">
              <w:rPr>
                <w:rFonts w:hint="eastAsia"/>
              </w:rPr>
              <w:t>(0.16,5.41)</w:t>
            </w:r>
          </w:p>
        </w:tc>
        <w:tc>
          <w:tcPr>
            <w:tcW w:w="1701" w:type="dxa"/>
            <w:tcBorders>
              <w:top w:val="nil"/>
              <w:bottom w:val="nil"/>
            </w:tcBorders>
          </w:tcPr>
          <w:p w14:paraId="461185B4" w14:textId="77777777" w:rsidR="00C00612" w:rsidRPr="00C403D2" w:rsidRDefault="00C00612" w:rsidP="00324A33">
            <w:pPr>
              <w:jc w:val="center"/>
            </w:pPr>
            <w:r w:rsidRPr="00C403D2">
              <w:rPr>
                <w:rFonts w:hint="eastAsia"/>
              </w:rPr>
              <w:t>0.53</w:t>
            </w:r>
          </w:p>
          <w:p w14:paraId="294320C9" w14:textId="77777777" w:rsidR="00C00612" w:rsidRPr="00C403D2" w:rsidRDefault="00C00612" w:rsidP="00324A33">
            <w:pPr>
              <w:jc w:val="center"/>
            </w:pPr>
            <w:r w:rsidRPr="00C403D2">
              <w:rPr>
                <w:rFonts w:hint="eastAsia"/>
              </w:rPr>
              <w:t>(0.16,9.72)</w:t>
            </w:r>
          </w:p>
        </w:tc>
        <w:tc>
          <w:tcPr>
            <w:tcW w:w="1701" w:type="dxa"/>
            <w:tcBorders>
              <w:top w:val="nil"/>
              <w:bottom w:val="nil"/>
            </w:tcBorders>
          </w:tcPr>
          <w:p w14:paraId="0F4D830F" w14:textId="77777777" w:rsidR="00C00612" w:rsidRPr="00C403D2" w:rsidRDefault="00C00612" w:rsidP="00324A33">
            <w:pPr>
              <w:jc w:val="center"/>
            </w:pPr>
            <w:r w:rsidRPr="00C403D2">
              <w:rPr>
                <w:rFonts w:hint="eastAsia"/>
              </w:rPr>
              <w:t>0.49</w:t>
            </w:r>
          </w:p>
          <w:p w14:paraId="2BA9873B" w14:textId="77777777" w:rsidR="00C00612" w:rsidRPr="00C403D2" w:rsidRDefault="00C00612" w:rsidP="00324A33">
            <w:pPr>
              <w:jc w:val="center"/>
            </w:pPr>
            <w:r w:rsidRPr="00C403D2">
              <w:rPr>
                <w:rFonts w:hint="eastAsia"/>
              </w:rPr>
              <w:t>(0.16,1.37)</w:t>
            </w:r>
          </w:p>
        </w:tc>
        <w:tc>
          <w:tcPr>
            <w:tcW w:w="709" w:type="dxa"/>
            <w:tcBorders>
              <w:top w:val="nil"/>
              <w:bottom w:val="nil"/>
            </w:tcBorders>
          </w:tcPr>
          <w:p w14:paraId="21B59F6D" w14:textId="77777777" w:rsidR="00C00612" w:rsidRPr="00C403D2" w:rsidRDefault="00C00612" w:rsidP="00324A33">
            <w:pPr>
              <w:jc w:val="center"/>
            </w:pPr>
            <w:r>
              <w:rPr>
                <w:rFonts w:hint="eastAsia"/>
              </w:rPr>
              <w:t>33.31</w:t>
            </w:r>
          </w:p>
        </w:tc>
        <w:tc>
          <w:tcPr>
            <w:tcW w:w="992" w:type="dxa"/>
            <w:tcBorders>
              <w:top w:val="nil"/>
              <w:bottom w:val="nil"/>
            </w:tcBorders>
          </w:tcPr>
          <w:p w14:paraId="4FB1ECE4" w14:textId="08130BE2" w:rsidR="00C00612" w:rsidRPr="00C403D2" w:rsidRDefault="00D33253" w:rsidP="00324A33">
            <w:pPr>
              <w:jc w:val="center"/>
            </w:pPr>
            <w:r>
              <w:t>&lt;</w:t>
            </w:r>
            <w:r w:rsidR="00C00612">
              <w:rPr>
                <w:rFonts w:hint="eastAsia"/>
              </w:rPr>
              <w:t>0.00</w:t>
            </w:r>
            <w:r>
              <w:t>1</w:t>
            </w:r>
            <w:r w:rsidR="00C00612" w:rsidRPr="0012597F">
              <w:t>**</w:t>
            </w:r>
          </w:p>
        </w:tc>
      </w:tr>
      <w:tr w:rsidR="00C00612" w:rsidRPr="00C403D2" w14:paraId="4ECF51CF" w14:textId="77777777" w:rsidTr="00324A33">
        <w:tc>
          <w:tcPr>
            <w:tcW w:w="1135" w:type="dxa"/>
            <w:gridSpan w:val="2"/>
            <w:tcBorders>
              <w:top w:val="nil"/>
              <w:bottom w:val="nil"/>
            </w:tcBorders>
          </w:tcPr>
          <w:p w14:paraId="79BDFAE6" w14:textId="77777777" w:rsidR="00C00612" w:rsidRPr="004976B4" w:rsidRDefault="00C00612" w:rsidP="00324A33">
            <w:pPr>
              <w:jc w:val="left"/>
              <w:rPr>
                <w:b/>
              </w:rPr>
            </w:pPr>
            <w:r w:rsidRPr="001C208B">
              <w:rPr>
                <w:b/>
              </w:rPr>
              <w:t>IP10</w:t>
            </w:r>
          </w:p>
        </w:tc>
        <w:tc>
          <w:tcPr>
            <w:tcW w:w="1701" w:type="dxa"/>
            <w:tcBorders>
              <w:top w:val="nil"/>
              <w:bottom w:val="nil"/>
            </w:tcBorders>
          </w:tcPr>
          <w:p w14:paraId="084F48DD" w14:textId="77777777" w:rsidR="00C00612" w:rsidRPr="00C403D2" w:rsidRDefault="00C00612" w:rsidP="00324A33">
            <w:pPr>
              <w:jc w:val="center"/>
            </w:pPr>
            <w:r w:rsidRPr="00C403D2">
              <w:rPr>
                <w:rFonts w:hint="eastAsia"/>
              </w:rPr>
              <w:t>310.00</w:t>
            </w:r>
          </w:p>
          <w:p w14:paraId="64AAEAC6" w14:textId="77777777" w:rsidR="00C00612" w:rsidRPr="00C403D2" w:rsidRDefault="00C00612" w:rsidP="00324A33">
            <w:pPr>
              <w:jc w:val="center"/>
            </w:pPr>
            <w:r w:rsidRPr="00C403D2">
              <w:rPr>
                <w:rFonts w:hint="eastAsia"/>
              </w:rPr>
              <w:t>(57.50,2010.00)</w:t>
            </w:r>
          </w:p>
        </w:tc>
        <w:tc>
          <w:tcPr>
            <w:tcW w:w="1701" w:type="dxa"/>
            <w:tcBorders>
              <w:top w:val="nil"/>
              <w:bottom w:val="nil"/>
            </w:tcBorders>
          </w:tcPr>
          <w:p w14:paraId="0BFD9961" w14:textId="77777777" w:rsidR="00C00612" w:rsidRPr="00C403D2" w:rsidRDefault="00C00612" w:rsidP="00324A33">
            <w:pPr>
              <w:jc w:val="center"/>
            </w:pPr>
            <w:r w:rsidRPr="00C403D2">
              <w:rPr>
                <w:rFonts w:hint="eastAsia"/>
              </w:rPr>
              <w:t>304.00</w:t>
            </w:r>
          </w:p>
          <w:p w14:paraId="1AF1E3D9" w14:textId="77777777" w:rsidR="00C00612" w:rsidRPr="00C403D2" w:rsidRDefault="00C00612" w:rsidP="00324A33">
            <w:pPr>
              <w:jc w:val="center"/>
            </w:pPr>
            <w:r w:rsidRPr="00C403D2">
              <w:rPr>
                <w:rFonts w:hint="eastAsia"/>
              </w:rPr>
              <w:t>(109.00,954.00)</w:t>
            </w:r>
          </w:p>
        </w:tc>
        <w:tc>
          <w:tcPr>
            <w:tcW w:w="1701" w:type="dxa"/>
            <w:tcBorders>
              <w:top w:val="nil"/>
              <w:bottom w:val="nil"/>
            </w:tcBorders>
          </w:tcPr>
          <w:p w14:paraId="4CBECBDB" w14:textId="77777777" w:rsidR="00C00612" w:rsidRPr="00C403D2" w:rsidRDefault="00C00612" w:rsidP="00324A33">
            <w:pPr>
              <w:jc w:val="center"/>
            </w:pPr>
            <w:r w:rsidRPr="00C403D2">
              <w:rPr>
                <w:rFonts w:hint="eastAsia"/>
              </w:rPr>
              <w:t>270.00</w:t>
            </w:r>
          </w:p>
          <w:p w14:paraId="4E9F6A19" w14:textId="77777777" w:rsidR="00C00612" w:rsidRPr="00C403D2" w:rsidRDefault="00C00612" w:rsidP="00324A33">
            <w:pPr>
              <w:jc w:val="center"/>
            </w:pPr>
            <w:r w:rsidRPr="00C403D2">
              <w:rPr>
                <w:rFonts w:hint="eastAsia"/>
              </w:rPr>
              <w:t>(119.00,890.00)</w:t>
            </w:r>
          </w:p>
        </w:tc>
        <w:tc>
          <w:tcPr>
            <w:tcW w:w="1701" w:type="dxa"/>
            <w:tcBorders>
              <w:top w:val="nil"/>
              <w:bottom w:val="nil"/>
            </w:tcBorders>
          </w:tcPr>
          <w:p w14:paraId="54B61D3E" w14:textId="77777777" w:rsidR="00C00612" w:rsidRPr="00C403D2" w:rsidRDefault="00C00612" w:rsidP="00324A33">
            <w:pPr>
              <w:jc w:val="center"/>
            </w:pPr>
            <w:r w:rsidRPr="00C403D2">
              <w:rPr>
                <w:rFonts w:hint="eastAsia"/>
              </w:rPr>
              <w:t>275.50</w:t>
            </w:r>
          </w:p>
          <w:p w14:paraId="698CBD65" w14:textId="77777777" w:rsidR="00C00612" w:rsidRPr="00C403D2" w:rsidRDefault="00C00612" w:rsidP="00324A33">
            <w:pPr>
              <w:jc w:val="center"/>
            </w:pPr>
            <w:r w:rsidRPr="00C403D2">
              <w:rPr>
                <w:rFonts w:hint="eastAsia"/>
              </w:rPr>
              <w:t>(157.00,1010.00)</w:t>
            </w:r>
          </w:p>
        </w:tc>
        <w:tc>
          <w:tcPr>
            <w:tcW w:w="709" w:type="dxa"/>
            <w:tcBorders>
              <w:top w:val="nil"/>
              <w:bottom w:val="nil"/>
            </w:tcBorders>
          </w:tcPr>
          <w:p w14:paraId="574ABEC8" w14:textId="77777777" w:rsidR="00C00612" w:rsidRPr="00C403D2" w:rsidRDefault="00C00612" w:rsidP="00324A33">
            <w:pPr>
              <w:jc w:val="center"/>
            </w:pPr>
            <w:r>
              <w:rPr>
                <w:rFonts w:hint="eastAsia"/>
              </w:rPr>
              <w:t>2.83</w:t>
            </w:r>
          </w:p>
        </w:tc>
        <w:tc>
          <w:tcPr>
            <w:tcW w:w="992" w:type="dxa"/>
            <w:tcBorders>
              <w:top w:val="nil"/>
              <w:bottom w:val="nil"/>
            </w:tcBorders>
          </w:tcPr>
          <w:p w14:paraId="6985D87E" w14:textId="77777777" w:rsidR="00C00612" w:rsidRPr="00C403D2" w:rsidRDefault="00C00612" w:rsidP="00324A33">
            <w:pPr>
              <w:jc w:val="center"/>
            </w:pPr>
            <w:r>
              <w:rPr>
                <w:rFonts w:hint="eastAsia"/>
              </w:rPr>
              <w:t>0.418</w:t>
            </w:r>
          </w:p>
        </w:tc>
      </w:tr>
      <w:tr w:rsidR="00C00612" w:rsidRPr="00C403D2" w14:paraId="10C45DBC" w14:textId="77777777" w:rsidTr="00324A33">
        <w:tc>
          <w:tcPr>
            <w:tcW w:w="1135" w:type="dxa"/>
            <w:gridSpan w:val="2"/>
            <w:tcBorders>
              <w:top w:val="nil"/>
              <w:bottom w:val="nil"/>
            </w:tcBorders>
          </w:tcPr>
          <w:p w14:paraId="02824B98" w14:textId="77777777" w:rsidR="00C00612" w:rsidRPr="004976B4" w:rsidRDefault="00C00612" w:rsidP="00324A33">
            <w:pPr>
              <w:jc w:val="left"/>
              <w:rPr>
                <w:b/>
              </w:rPr>
            </w:pPr>
            <w:r w:rsidRPr="004976B4">
              <w:rPr>
                <w:b/>
              </w:rPr>
              <w:t>MCP1</w:t>
            </w:r>
          </w:p>
        </w:tc>
        <w:tc>
          <w:tcPr>
            <w:tcW w:w="1701" w:type="dxa"/>
            <w:tcBorders>
              <w:top w:val="nil"/>
              <w:bottom w:val="nil"/>
            </w:tcBorders>
          </w:tcPr>
          <w:p w14:paraId="5B9AAE14" w14:textId="77777777" w:rsidR="00C00612" w:rsidRPr="00C403D2" w:rsidRDefault="00C00612" w:rsidP="00324A33">
            <w:pPr>
              <w:jc w:val="center"/>
            </w:pPr>
            <w:r w:rsidRPr="00C403D2">
              <w:rPr>
                <w:rFonts w:hint="eastAsia"/>
              </w:rPr>
              <w:t>109.00</w:t>
            </w:r>
          </w:p>
          <w:p w14:paraId="58152762" w14:textId="77777777" w:rsidR="00C00612" w:rsidRPr="00C403D2" w:rsidRDefault="00C00612" w:rsidP="00324A33">
            <w:pPr>
              <w:jc w:val="center"/>
            </w:pPr>
            <w:r w:rsidRPr="00C403D2">
              <w:rPr>
                <w:rFonts w:hint="eastAsia"/>
              </w:rPr>
              <w:t>(41.00,293.00)</w:t>
            </w:r>
          </w:p>
        </w:tc>
        <w:tc>
          <w:tcPr>
            <w:tcW w:w="1701" w:type="dxa"/>
            <w:tcBorders>
              <w:top w:val="nil"/>
              <w:bottom w:val="nil"/>
            </w:tcBorders>
          </w:tcPr>
          <w:p w14:paraId="3E94BD95" w14:textId="77777777" w:rsidR="00C00612" w:rsidRPr="00C403D2" w:rsidRDefault="00C00612" w:rsidP="00324A33">
            <w:pPr>
              <w:jc w:val="center"/>
            </w:pPr>
            <w:r w:rsidRPr="00C403D2">
              <w:rPr>
                <w:rFonts w:hint="eastAsia"/>
              </w:rPr>
              <w:t>113.00</w:t>
            </w:r>
          </w:p>
          <w:p w14:paraId="6B39D4F1" w14:textId="77777777" w:rsidR="00C00612" w:rsidRPr="00C403D2" w:rsidRDefault="00C00612" w:rsidP="00324A33">
            <w:pPr>
              <w:jc w:val="center"/>
            </w:pPr>
            <w:r w:rsidRPr="00C403D2">
              <w:rPr>
                <w:rFonts w:hint="eastAsia"/>
              </w:rPr>
              <w:t>(47.20,240.00)</w:t>
            </w:r>
          </w:p>
        </w:tc>
        <w:tc>
          <w:tcPr>
            <w:tcW w:w="1701" w:type="dxa"/>
            <w:tcBorders>
              <w:top w:val="nil"/>
              <w:bottom w:val="nil"/>
            </w:tcBorders>
          </w:tcPr>
          <w:p w14:paraId="24AB1D42" w14:textId="77777777" w:rsidR="00C00612" w:rsidRPr="00C403D2" w:rsidRDefault="00C00612" w:rsidP="00324A33">
            <w:pPr>
              <w:jc w:val="center"/>
            </w:pPr>
            <w:r w:rsidRPr="00C403D2">
              <w:rPr>
                <w:rFonts w:hint="eastAsia"/>
              </w:rPr>
              <w:t>92.60</w:t>
            </w:r>
          </w:p>
          <w:p w14:paraId="538E429E" w14:textId="77777777" w:rsidR="00C00612" w:rsidRPr="00C403D2" w:rsidRDefault="00C00612" w:rsidP="00324A33">
            <w:pPr>
              <w:jc w:val="center"/>
            </w:pPr>
            <w:r w:rsidRPr="00C403D2">
              <w:rPr>
                <w:rFonts w:hint="eastAsia"/>
              </w:rPr>
              <w:t>(47.00,200.00)</w:t>
            </w:r>
          </w:p>
        </w:tc>
        <w:tc>
          <w:tcPr>
            <w:tcW w:w="1701" w:type="dxa"/>
            <w:tcBorders>
              <w:top w:val="nil"/>
              <w:bottom w:val="nil"/>
            </w:tcBorders>
          </w:tcPr>
          <w:p w14:paraId="139E98D8" w14:textId="77777777" w:rsidR="00C00612" w:rsidRPr="00C403D2" w:rsidRDefault="00C00612" w:rsidP="00324A33">
            <w:pPr>
              <w:jc w:val="center"/>
            </w:pPr>
            <w:r w:rsidRPr="00C403D2">
              <w:rPr>
                <w:rFonts w:hint="eastAsia"/>
              </w:rPr>
              <w:t>95.40</w:t>
            </w:r>
          </w:p>
          <w:p w14:paraId="465A4A18" w14:textId="77777777" w:rsidR="00C00612" w:rsidRPr="00C403D2" w:rsidRDefault="00C00612" w:rsidP="00324A33">
            <w:pPr>
              <w:jc w:val="center"/>
            </w:pPr>
            <w:r w:rsidRPr="00C403D2">
              <w:rPr>
                <w:rFonts w:hint="eastAsia"/>
              </w:rPr>
              <w:t>(58.60,327.00)</w:t>
            </w:r>
          </w:p>
        </w:tc>
        <w:tc>
          <w:tcPr>
            <w:tcW w:w="709" w:type="dxa"/>
            <w:tcBorders>
              <w:top w:val="nil"/>
              <w:bottom w:val="nil"/>
            </w:tcBorders>
          </w:tcPr>
          <w:p w14:paraId="10D95A55" w14:textId="77777777" w:rsidR="00C00612" w:rsidRPr="00C403D2" w:rsidRDefault="00C00612" w:rsidP="00324A33">
            <w:pPr>
              <w:jc w:val="center"/>
            </w:pPr>
            <w:r>
              <w:rPr>
                <w:rFonts w:hint="eastAsia"/>
              </w:rPr>
              <w:t>12.84</w:t>
            </w:r>
          </w:p>
        </w:tc>
        <w:tc>
          <w:tcPr>
            <w:tcW w:w="992" w:type="dxa"/>
            <w:tcBorders>
              <w:top w:val="nil"/>
              <w:bottom w:val="nil"/>
            </w:tcBorders>
          </w:tcPr>
          <w:p w14:paraId="7D6B19A9" w14:textId="77777777" w:rsidR="00C00612" w:rsidRPr="00C403D2" w:rsidRDefault="00C00612" w:rsidP="00324A33">
            <w:pPr>
              <w:jc w:val="center"/>
            </w:pPr>
            <w:r>
              <w:rPr>
                <w:rFonts w:hint="eastAsia"/>
              </w:rPr>
              <w:t>0.005</w:t>
            </w:r>
            <w:r w:rsidRPr="0012597F">
              <w:t>**</w:t>
            </w:r>
          </w:p>
        </w:tc>
      </w:tr>
      <w:tr w:rsidR="00C00612" w:rsidRPr="00C403D2" w14:paraId="006687A6" w14:textId="77777777" w:rsidTr="00324A33">
        <w:tc>
          <w:tcPr>
            <w:tcW w:w="1135" w:type="dxa"/>
            <w:gridSpan w:val="2"/>
            <w:tcBorders>
              <w:top w:val="nil"/>
              <w:bottom w:val="nil"/>
            </w:tcBorders>
          </w:tcPr>
          <w:p w14:paraId="584CBA28" w14:textId="77777777" w:rsidR="00C00612" w:rsidRPr="004976B4" w:rsidRDefault="00C00612" w:rsidP="00324A33">
            <w:pPr>
              <w:jc w:val="left"/>
              <w:rPr>
                <w:b/>
              </w:rPr>
            </w:pPr>
            <w:r w:rsidRPr="004976B4">
              <w:rPr>
                <w:b/>
              </w:rPr>
              <w:t>CCL18</w:t>
            </w:r>
          </w:p>
        </w:tc>
        <w:tc>
          <w:tcPr>
            <w:tcW w:w="1701" w:type="dxa"/>
            <w:tcBorders>
              <w:top w:val="nil"/>
              <w:bottom w:val="nil"/>
            </w:tcBorders>
          </w:tcPr>
          <w:p w14:paraId="128E679A" w14:textId="77777777" w:rsidR="00C00612" w:rsidRPr="00C403D2" w:rsidRDefault="00C00612" w:rsidP="00324A33">
            <w:pPr>
              <w:jc w:val="center"/>
            </w:pPr>
            <w:r w:rsidRPr="00C403D2">
              <w:rPr>
                <w:rFonts w:hint="eastAsia"/>
              </w:rPr>
              <w:t>173.17</w:t>
            </w:r>
          </w:p>
          <w:p w14:paraId="7C2934F7" w14:textId="77777777" w:rsidR="00C00612" w:rsidRPr="00C403D2" w:rsidRDefault="00C00612" w:rsidP="00324A33">
            <w:pPr>
              <w:jc w:val="center"/>
            </w:pPr>
            <w:r w:rsidRPr="00C403D2">
              <w:rPr>
                <w:rFonts w:hint="eastAsia"/>
              </w:rPr>
              <w:t>(30.58,804.58)</w:t>
            </w:r>
          </w:p>
        </w:tc>
        <w:tc>
          <w:tcPr>
            <w:tcW w:w="1701" w:type="dxa"/>
            <w:tcBorders>
              <w:top w:val="nil"/>
              <w:bottom w:val="nil"/>
            </w:tcBorders>
          </w:tcPr>
          <w:p w14:paraId="53E1E682" w14:textId="77777777" w:rsidR="00C00612" w:rsidRPr="00C403D2" w:rsidRDefault="00C00612" w:rsidP="00324A33">
            <w:pPr>
              <w:jc w:val="center"/>
            </w:pPr>
            <w:r w:rsidRPr="00C403D2">
              <w:rPr>
                <w:rFonts w:hint="eastAsia"/>
              </w:rPr>
              <w:t>190.26</w:t>
            </w:r>
          </w:p>
          <w:p w14:paraId="1C54EFF5" w14:textId="77777777" w:rsidR="00C00612" w:rsidRPr="00C403D2" w:rsidRDefault="00C00612" w:rsidP="00324A33">
            <w:pPr>
              <w:jc w:val="center"/>
            </w:pPr>
            <w:r w:rsidRPr="00C403D2">
              <w:rPr>
                <w:rFonts w:hint="eastAsia"/>
              </w:rPr>
              <w:t>(76.43,754.63)</w:t>
            </w:r>
          </w:p>
        </w:tc>
        <w:tc>
          <w:tcPr>
            <w:tcW w:w="1701" w:type="dxa"/>
            <w:tcBorders>
              <w:top w:val="nil"/>
              <w:bottom w:val="nil"/>
            </w:tcBorders>
          </w:tcPr>
          <w:p w14:paraId="01863E9C" w14:textId="77777777" w:rsidR="00C00612" w:rsidRPr="00C403D2" w:rsidRDefault="00C00612" w:rsidP="00324A33">
            <w:pPr>
              <w:jc w:val="center"/>
            </w:pPr>
            <w:r w:rsidRPr="00C403D2">
              <w:rPr>
                <w:rFonts w:hint="eastAsia"/>
              </w:rPr>
              <w:t>121.48</w:t>
            </w:r>
          </w:p>
          <w:p w14:paraId="161C876B" w14:textId="77777777" w:rsidR="00C00612" w:rsidRPr="00C403D2" w:rsidRDefault="00C00612" w:rsidP="00324A33">
            <w:pPr>
              <w:jc w:val="center"/>
            </w:pPr>
            <w:r w:rsidRPr="00C403D2">
              <w:rPr>
                <w:rFonts w:hint="eastAsia"/>
              </w:rPr>
              <w:t>(38.66,383.73)</w:t>
            </w:r>
          </w:p>
        </w:tc>
        <w:tc>
          <w:tcPr>
            <w:tcW w:w="1701" w:type="dxa"/>
            <w:tcBorders>
              <w:top w:val="nil"/>
              <w:bottom w:val="nil"/>
            </w:tcBorders>
          </w:tcPr>
          <w:p w14:paraId="5F83D5CF" w14:textId="77777777" w:rsidR="00C00612" w:rsidRPr="00C403D2" w:rsidRDefault="00C00612" w:rsidP="00324A33">
            <w:pPr>
              <w:jc w:val="center"/>
            </w:pPr>
            <w:r w:rsidRPr="00C403D2">
              <w:rPr>
                <w:rFonts w:hint="eastAsia"/>
              </w:rPr>
              <w:t>118.29</w:t>
            </w:r>
          </w:p>
          <w:p w14:paraId="5FAE458B" w14:textId="77777777" w:rsidR="00C00612" w:rsidRPr="00C403D2" w:rsidRDefault="00C00612" w:rsidP="00324A33">
            <w:pPr>
              <w:jc w:val="center"/>
            </w:pPr>
            <w:r w:rsidRPr="00C403D2">
              <w:rPr>
                <w:rFonts w:hint="eastAsia"/>
              </w:rPr>
              <w:t>(12.91,317.38)</w:t>
            </w:r>
          </w:p>
        </w:tc>
        <w:tc>
          <w:tcPr>
            <w:tcW w:w="709" w:type="dxa"/>
            <w:tcBorders>
              <w:top w:val="nil"/>
              <w:bottom w:val="nil"/>
            </w:tcBorders>
          </w:tcPr>
          <w:p w14:paraId="3BAED7D6" w14:textId="77777777" w:rsidR="00C00612" w:rsidRPr="00C403D2" w:rsidRDefault="00C00612" w:rsidP="00324A33">
            <w:pPr>
              <w:jc w:val="center"/>
            </w:pPr>
            <w:r>
              <w:rPr>
                <w:rFonts w:hint="eastAsia"/>
              </w:rPr>
              <w:t>32.85</w:t>
            </w:r>
          </w:p>
        </w:tc>
        <w:tc>
          <w:tcPr>
            <w:tcW w:w="992" w:type="dxa"/>
            <w:tcBorders>
              <w:top w:val="nil"/>
              <w:bottom w:val="nil"/>
            </w:tcBorders>
          </w:tcPr>
          <w:p w14:paraId="3D9B0DA0" w14:textId="5DBB9645" w:rsidR="00C00612" w:rsidRPr="00C403D2" w:rsidRDefault="00D33253" w:rsidP="00D33253">
            <w:r>
              <w:t>&lt;</w:t>
            </w:r>
            <w:r w:rsidR="00C00612">
              <w:rPr>
                <w:rFonts w:hint="eastAsia"/>
              </w:rPr>
              <w:t>0.00</w:t>
            </w:r>
            <w:r>
              <w:t>1</w:t>
            </w:r>
            <w:r w:rsidR="00C00612" w:rsidRPr="0012597F">
              <w:t>**</w:t>
            </w:r>
          </w:p>
        </w:tc>
      </w:tr>
      <w:tr w:rsidR="00C00612" w:rsidRPr="00C403D2" w14:paraId="65668749" w14:textId="77777777" w:rsidTr="00324A33">
        <w:tc>
          <w:tcPr>
            <w:tcW w:w="1135" w:type="dxa"/>
            <w:gridSpan w:val="2"/>
            <w:tcBorders>
              <w:top w:val="nil"/>
              <w:bottom w:val="nil"/>
            </w:tcBorders>
          </w:tcPr>
          <w:p w14:paraId="786E9A95" w14:textId="77777777" w:rsidR="00C00612" w:rsidRPr="004976B4" w:rsidRDefault="00C00612" w:rsidP="00324A33">
            <w:pPr>
              <w:jc w:val="left"/>
              <w:rPr>
                <w:b/>
              </w:rPr>
            </w:pPr>
            <w:r w:rsidRPr="004976B4">
              <w:rPr>
                <w:b/>
              </w:rPr>
              <w:t>CCL22</w:t>
            </w:r>
          </w:p>
        </w:tc>
        <w:tc>
          <w:tcPr>
            <w:tcW w:w="1701" w:type="dxa"/>
            <w:tcBorders>
              <w:top w:val="nil"/>
              <w:bottom w:val="nil"/>
            </w:tcBorders>
          </w:tcPr>
          <w:p w14:paraId="462D3792" w14:textId="77777777" w:rsidR="00C00612" w:rsidRPr="00C403D2" w:rsidRDefault="00C00612" w:rsidP="00324A33">
            <w:pPr>
              <w:jc w:val="center"/>
            </w:pPr>
            <w:r w:rsidRPr="00C403D2">
              <w:rPr>
                <w:rFonts w:hint="eastAsia"/>
              </w:rPr>
              <w:t>821.50</w:t>
            </w:r>
          </w:p>
          <w:p w14:paraId="4FB9C46A" w14:textId="77777777" w:rsidR="00C00612" w:rsidRPr="00C403D2" w:rsidRDefault="00C00612" w:rsidP="00324A33">
            <w:pPr>
              <w:jc w:val="center"/>
            </w:pPr>
            <w:r w:rsidRPr="00C403D2">
              <w:rPr>
                <w:rFonts w:hint="eastAsia"/>
              </w:rPr>
              <w:t>(165.00,2600.00)</w:t>
            </w:r>
          </w:p>
        </w:tc>
        <w:tc>
          <w:tcPr>
            <w:tcW w:w="1701" w:type="dxa"/>
            <w:tcBorders>
              <w:top w:val="nil"/>
              <w:bottom w:val="nil"/>
            </w:tcBorders>
          </w:tcPr>
          <w:p w14:paraId="24B0F153" w14:textId="77777777" w:rsidR="00C00612" w:rsidRPr="00C403D2" w:rsidRDefault="00C00612" w:rsidP="00324A33">
            <w:pPr>
              <w:jc w:val="center"/>
            </w:pPr>
            <w:r w:rsidRPr="00C403D2">
              <w:rPr>
                <w:rFonts w:hint="eastAsia"/>
              </w:rPr>
              <w:t>925.00</w:t>
            </w:r>
          </w:p>
          <w:p w14:paraId="3326B653" w14:textId="77777777" w:rsidR="00C00612" w:rsidRPr="00C403D2" w:rsidRDefault="00C00612" w:rsidP="00324A33">
            <w:pPr>
              <w:jc w:val="center"/>
            </w:pPr>
            <w:r w:rsidRPr="00C403D2">
              <w:rPr>
                <w:rFonts w:hint="eastAsia"/>
              </w:rPr>
              <w:t>(244.00,2250.00)</w:t>
            </w:r>
          </w:p>
        </w:tc>
        <w:tc>
          <w:tcPr>
            <w:tcW w:w="1701" w:type="dxa"/>
            <w:tcBorders>
              <w:top w:val="nil"/>
              <w:bottom w:val="nil"/>
            </w:tcBorders>
          </w:tcPr>
          <w:p w14:paraId="6F2D5854" w14:textId="77777777" w:rsidR="00C00612" w:rsidRPr="00C403D2" w:rsidRDefault="00C00612" w:rsidP="00324A33">
            <w:pPr>
              <w:jc w:val="center"/>
            </w:pPr>
            <w:r w:rsidRPr="00C403D2">
              <w:rPr>
                <w:rFonts w:hint="eastAsia"/>
              </w:rPr>
              <w:t>859.00</w:t>
            </w:r>
          </w:p>
          <w:p w14:paraId="39A287FA" w14:textId="77777777" w:rsidR="00C00612" w:rsidRPr="00C403D2" w:rsidRDefault="00C00612" w:rsidP="00324A33">
            <w:pPr>
              <w:jc w:val="center"/>
            </w:pPr>
            <w:r w:rsidRPr="00C403D2">
              <w:rPr>
                <w:rFonts w:hint="eastAsia"/>
              </w:rPr>
              <w:t>(224.00,2180.00)</w:t>
            </w:r>
          </w:p>
        </w:tc>
        <w:tc>
          <w:tcPr>
            <w:tcW w:w="1701" w:type="dxa"/>
            <w:tcBorders>
              <w:top w:val="nil"/>
              <w:bottom w:val="nil"/>
            </w:tcBorders>
          </w:tcPr>
          <w:p w14:paraId="2B47463B" w14:textId="77777777" w:rsidR="00C00612" w:rsidRPr="00C403D2" w:rsidRDefault="00C00612" w:rsidP="00324A33">
            <w:pPr>
              <w:jc w:val="center"/>
            </w:pPr>
            <w:r w:rsidRPr="00C403D2">
              <w:rPr>
                <w:rFonts w:hint="eastAsia"/>
              </w:rPr>
              <w:t>721.50</w:t>
            </w:r>
          </w:p>
          <w:p w14:paraId="685E190D" w14:textId="77777777" w:rsidR="00C00612" w:rsidRPr="00C403D2" w:rsidRDefault="00C00612" w:rsidP="00324A33">
            <w:pPr>
              <w:jc w:val="center"/>
            </w:pPr>
            <w:r w:rsidRPr="00C403D2">
              <w:rPr>
                <w:rFonts w:hint="eastAsia"/>
              </w:rPr>
              <w:t>(487.00,1260.00)</w:t>
            </w:r>
          </w:p>
        </w:tc>
        <w:tc>
          <w:tcPr>
            <w:tcW w:w="709" w:type="dxa"/>
            <w:tcBorders>
              <w:top w:val="nil"/>
              <w:bottom w:val="nil"/>
            </w:tcBorders>
          </w:tcPr>
          <w:p w14:paraId="7CF3FCD5" w14:textId="77777777" w:rsidR="00C00612" w:rsidRPr="00C403D2" w:rsidRDefault="00C00612" w:rsidP="00324A33">
            <w:pPr>
              <w:jc w:val="center"/>
            </w:pPr>
            <w:r>
              <w:rPr>
                <w:rFonts w:hint="eastAsia"/>
              </w:rPr>
              <w:t>3.50</w:t>
            </w:r>
          </w:p>
        </w:tc>
        <w:tc>
          <w:tcPr>
            <w:tcW w:w="992" w:type="dxa"/>
            <w:tcBorders>
              <w:top w:val="nil"/>
              <w:bottom w:val="nil"/>
            </w:tcBorders>
          </w:tcPr>
          <w:p w14:paraId="373773E9" w14:textId="77777777" w:rsidR="00C00612" w:rsidRPr="00C403D2" w:rsidRDefault="00C00612" w:rsidP="00324A33">
            <w:pPr>
              <w:jc w:val="center"/>
            </w:pPr>
            <w:r>
              <w:rPr>
                <w:rFonts w:hint="eastAsia"/>
              </w:rPr>
              <w:t>0.320</w:t>
            </w:r>
          </w:p>
        </w:tc>
      </w:tr>
      <w:tr w:rsidR="00C00612" w:rsidRPr="00C403D2" w14:paraId="46085FCE" w14:textId="77777777" w:rsidTr="00324A33">
        <w:tc>
          <w:tcPr>
            <w:tcW w:w="1135" w:type="dxa"/>
            <w:gridSpan w:val="2"/>
            <w:tcBorders>
              <w:top w:val="nil"/>
              <w:bottom w:val="nil"/>
            </w:tcBorders>
          </w:tcPr>
          <w:p w14:paraId="2960ECF6" w14:textId="77777777" w:rsidR="00C00612" w:rsidRPr="004976B4" w:rsidRDefault="00C00612" w:rsidP="00324A33">
            <w:pPr>
              <w:jc w:val="left"/>
              <w:rPr>
                <w:b/>
              </w:rPr>
            </w:pPr>
            <w:r w:rsidRPr="004976B4">
              <w:rPr>
                <w:b/>
              </w:rPr>
              <w:t>CCL17</w:t>
            </w:r>
          </w:p>
        </w:tc>
        <w:tc>
          <w:tcPr>
            <w:tcW w:w="1701" w:type="dxa"/>
            <w:tcBorders>
              <w:top w:val="nil"/>
              <w:bottom w:val="nil"/>
            </w:tcBorders>
          </w:tcPr>
          <w:p w14:paraId="066F735C" w14:textId="77777777" w:rsidR="00C00612" w:rsidRPr="00C403D2" w:rsidRDefault="00C00612" w:rsidP="00324A33">
            <w:pPr>
              <w:jc w:val="center"/>
            </w:pPr>
            <w:r w:rsidRPr="00C403D2">
              <w:rPr>
                <w:rFonts w:hint="eastAsia"/>
              </w:rPr>
              <w:t>85.05</w:t>
            </w:r>
          </w:p>
          <w:p w14:paraId="7CA949AA" w14:textId="77777777" w:rsidR="00C00612" w:rsidRPr="00C403D2" w:rsidRDefault="00C00612" w:rsidP="00324A33">
            <w:pPr>
              <w:jc w:val="center"/>
            </w:pPr>
            <w:r w:rsidRPr="00C403D2">
              <w:rPr>
                <w:rFonts w:hint="eastAsia"/>
              </w:rPr>
              <w:t>(9.74,844.00)</w:t>
            </w:r>
          </w:p>
        </w:tc>
        <w:tc>
          <w:tcPr>
            <w:tcW w:w="1701" w:type="dxa"/>
            <w:tcBorders>
              <w:top w:val="nil"/>
              <w:bottom w:val="nil"/>
            </w:tcBorders>
          </w:tcPr>
          <w:p w14:paraId="057BF646" w14:textId="77777777" w:rsidR="00C00612" w:rsidRPr="00C403D2" w:rsidRDefault="00C00612" w:rsidP="00324A33">
            <w:pPr>
              <w:jc w:val="center"/>
            </w:pPr>
            <w:r w:rsidRPr="00C403D2">
              <w:rPr>
                <w:rFonts w:hint="eastAsia"/>
              </w:rPr>
              <w:t>79.60</w:t>
            </w:r>
          </w:p>
          <w:p w14:paraId="7FA3841D" w14:textId="77777777" w:rsidR="00C00612" w:rsidRPr="00C403D2" w:rsidRDefault="00C00612" w:rsidP="00324A33">
            <w:pPr>
              <w:jc w:val="center"/>
            </w:pPr>
            <w:r w:rsidRPr="00C403D2">
              <w:rPr>
                <w:rFonts w:hint="eastAsia"/>
              </w:rPr>
              <w:t>(15.90,897.00)</w:t>
            </w:r>
          </w:p>
        </w:tc>
        <w:tc>
          <w:tcPr>
            <w:tcW w:w="1701" w:type="dxa"/>
            <w:tcBorders>
              <w:top w:val="nil"/>
              <w:bottom w:val="nil"/>
            </w:tcBorders>
          </w:tcPr>
          <w:p w14:paraId="3F103E94" w14:textId="77777777" w:rsidR="00C00612" w:rsidRPr="00C403D2" w:rsidRDefault="00C00612" w:rsidP="00324A33">
            <w:pPr>
              <w:jc w:val="center"/>
            </w:pPr>
            <w:r w:rsidRPr="00C403D2">
              <w:rPr>
                <w:rFonts w:hint="eastAsia"/>
              </w:rPr>
              <w:t>59.50</w:t>
            </w:r>
          </w:p>
          <w:p w14:paraId="6D3D78EC" w14:textId="77777777" w:rsidR="00C00612" w:rsidRPr="00C403D2" w:rsidRDefault="00C00612" w:rsidP="00324A33">
            <w:pPr>
              <w:jc w:val="center"/>
            </w:pPr>
            <w:r w:rsidRPr="00C403D2">
              <w:rPr>
                <w:rFonts w:hint="eastAsia"/>
              </w:rPr>
              <w:t>(8.98,808.00)</w:t>
            </w:r>
          </w:p>
        </w:tc>
        <w:tc>
          <w:tcPr>
            <w:tcW w:w="1701" w:type="dxa"/>
            <w:tcBorders>
              <w:top w:val="nil"/>
              <w:bottom w:val="nil"/>
            </w:tcBorders>
          </w:tcPr>
          <w:p w14:paraId="6A54E8AC" w14:textId="77777777" w:rsidR="00C00612" w:rsidRPr="00C403D2" w:rsidRDefault="00C00612" w:rsidP="00324A33">
            <w:pPr>
              <w:jc w:val="center"/>
            </w:pPr>
            <w:r w:rsidRPr="00C403D2">
              <w:rPr>
                <w:rFonts w:hint="eastAsia"/>
              </w:rPr>
              <w:t>40.60</w:t>
            </w:r>
          </w:p>
          <w:p w14:paraId="566F00E6" w14:textId="77777777" w:rsidR="00C00612" w:rsidRPr="00C403D2" w:rsidRDefault="00C00612" w:rsidP="00324A33">
            <w:pPr>
              <w:jc w:val="center"/>
            </w:pPr>
            <w:r w:rsidRPr="00C403D2">
              <w:rPr>
                <w:rFonts w:hint="eastAsia"/>
              </w:rPr>
              <w:t>(11.30,289.00)</w:t>
            </w:r>
          </w:p>
        </w:tc>
        <w:tc>
          <w:tcPr>
            <w:tcW w:w="709" w:type="dxa"/>
            <w:tcBorders>
              <w:top w:val="nil"/>
              <w:bottom w:val="nil"/>
            </w:tcBorders>
          </w:tcPr>
          <w:p w14:paraId="7B825F67" w14:textId="77777777" w:rsidR="00C00612" w:rsidRPr="00C403D2" w:rsidRDefault="00C00612" w:rsidP="00324A33">
            <w:pPr>
              <w:jc w:val="center"/>
            </w:pPr>
            <w:r>
              <w:rPr>
                <w:rFonts w:hint="eastAsia"/>
              </w:rPr>
              <w:t>17.59</w:t>
            </w:r>
          </w:p>
        </w:tc>
        <w:tc>
          <w:tcPr>
            <w:tcW w:w="992" w:type="dxa"/>
            <w:tcBorders>
              <w:top w:val="nil"/>
              <w:bottom w:val="nil"/>
            </w:tcBorders>
          </w:tcPr>
          <w:p w14:paraId="5392E92E" w14:textId="77777777" w:rsidR="00C00612" w:rsidRPr="00C403D2" w:rsidRDefault="00C00612" w:rsidP="00324A33">
            <w:pPr>
              <w:jc w:val="center"/>
            </w:pPr>
            <w:r>
              <w:rPr>
                <w:rFonts w:hint="eastAsia"/>
              </w:rPr>
              <w:t>0.001</w:t>
            </w:r>
            <w:r w:rsidRPr="0012597F">
              <w:t>**</w:t>
            </w:r>
          </w:p>
        </w:tc>
      </w:tr>
      <w:tr w:rsidR="00C00612" w:rsidRPr="00C403D2" w14:paraId="1E048693" w14:textId="77777777" w:rsidTr="00324A33">
        <w:tc>
          <w:tcPr>
            <w:tcW w:w="1135" w:type="dxa"/>
            <w:gridSpan w:val="2"/>
            <w:tcBorders>
              <w:top w:val="nil"/>
              <w:bottom w:val="nil"/>
            </w:tcBorders>
          </w:tcPr>
          <w:p w14:paraId="4A50305C" w14:textId="29A6EB62" w:rsidR="00C00612" w:rsidRPr="004976B4" w:rsidRDefault="002B5654" w:rsidP="002B5654">
            <w:pPr>
              <w:jc w:val="left"/>
              <w:rPr>
                <w:b/>
              </w:rPr>
            </w:pPr>
            <w:r w:rsidRPr="004976B4">
              <w:rPr>
                <w:b/>
              </w:rPr>
              <w:t>IFN</w:t>
            </w:r>
            <w:r>
              <w:rPr>
                <w:b/>
              </w:rPr>
              <w:t>-</w:t>
            </w:r>
            <w:r>
              <w:rPr>
                <w:b/>
              </w:rPr>
              <w:sym w:font="Symbol" w:char="F067"/>
            </w:r>
          </w:p>
        </w:tc>
        <w:tc>
          <w:tcPr>
            <w:tcW w:w="1701" w:type="dxa"/>
            <w:tcBorders>
              <w:top w:val="nil"/>
              <w:bottom w:val="nil"/>
            </w:tcBorders>
          </w:tcPr>
          <w:p w14:paraId="015C210D" w14:textId="77777777" w:rsidR="00C00612" w:rsidRPr="00C403D2" w:rsidRDefault="00C00612" w:rsidP="00324A33">
            <w:pPr>
              <w:jc w:val="center"/>
            </w:pPr>
            <w:r w:rsidRPr="00C403D2">
              <w:rPr>
                <w:rFonts w:hint="eastAsia"/>
              </w:rPr>
              <w:t>6.58</w:t>
            </w:r>
          </w:p>
          <w:p w14:paraId="466CAB37" w14:textId="77777777" w:rsidR="00C00612" w:rsidRPr="00C403D2" w:rsidRDefault="00C00612" w:rsidP="00324A33">
            <w:pPr>
              <w:jc w:val="center"/>
            </w:pPr>
            <w:r w:rsidRPr="00C403D2">
              <w:rPr>
                <w:rFonts w:hint="eastAsia"/>
              </w:rPr>
              <w:t>(1.31,87.60)</w:t>
            </w:r>
          </w:p>
        </w:tc>
        <w:tc>
          <w:tcPr>
            <w:tcW w:w="1701" w:type="dxa"/>
            <w:tcBorders>
              <w:top w:val="nil"/>
              <w:bottom w:val="nil"/>
            </w:tcBorders>
          </w:tcPr>
          <w:p w14:paraId="51F13F5D" w14:textId="77777777" w:rsidR="00C00612" w:rsidRPr="00C403D2" w:rsidRDefault="00C00612" w:rsidP="00324A33">
            <w:pPr>
              <w:jc w:val="center"/>
            </w:pPr>
            <w:r w:rsidRPr="00C403D2">
              <w:rPr>
                <w:rFonts w:hint="eastAsia"/>
              </w:rPr>
              <w:t>5.05</w:t>
            </w:r>
          </w:p>
          <w:p w14:paraId="2F18A4AF" w14:textId="77777777" w:rsidR="00C00612" w:rsidRPr="00C403D2" w:rsidRDefault="00C00612" w:rsidP="00324A33">
            <w:pPr>
              <w:jc w:val="center"/>
            </w:pPr>
            <w:r w:rsidRPr="00C403D2">
              <w:rPr>
                <w:rFonts w:hint="eastAsia"/>
              </w:rPr>
              <w:t>(1.31,34.60)</w:t>
            </w:r>
          </w:p>
        </w:tc>
        <w:tc>
          <w:tcPr>
            <w:tcW w:w="1701" w:type="dxa"/>
            <w:tcBorders>
              <w:top w:val="nil"/>
              <w:bottom w:val="nil"/>
            </w:tcBorders>
          </w:tcPr>
          <w:p w14:paraId="5F729581" w14:textId="77777777" w:rsidR="00C00612" w:rsidRPr="00C403D2" w:rsidRDefault="00C00612" w:rsidP="00324A33">
            <w:pPr>
              <w:jc w:val="center"/>
            </w:pPr>
            <w:r w:rsidRPr="00C403D2">
              <w:rPr>
                <w:rFonts w:hint="eastAsia"/>
              </w:rPr>
              <w:t>5.08</w:t>
            </w:r>
          </w:p>
          <w:p w14:paraId="49DE5E17" w14:textId="77777777" w:rsidR="00C00612" w:rsidRPr="00C403D2" w:rsidRDefault="00C00612" w:rsidP="00324A33">
            <w:pPr>
              <w:jc w:val="center"/>
            </w:pPr>
            <w:r w:rsidRPr="00C403D2">
              <w:rPr>
                <w:rFonts w:hint="eastAsia"/>
              </w:rPr>
              <w:t>(1.31,80.70)</w:t>
            </w:r>
          </w:p>
        </w:tc>
        <w:tc>
          <w:tcPr>
            <w:tcW w:w="1701" w:type="dxa"/>
            <w:tcBorders>
              <w:top w:val="nil"/>
              <w:bottom w:val="nil"/>
            </w:tcBorders>
          </w:tcPr>
          <w:p w14:paraId="72CC653B" w14:textId="77777777" w:rsidR="00C00612" w:rsidRPr="00C403D2" w:rsidRDefault="00C00612" w:rsidP="00324A33">
            <w:pPr>
              <w:jc w:val="center"/>
            </w:pPr>
            <w:r w:rsidRPr="00C403D2">
              <w:rPr>
                <w:rFonts w:hint="eastAsia"/>
              </w:rPr>
              <w:t>5.65</w:t>
            </w:r>
          </w:p>
          <w:p w14:paraId="26547036" w14:textId="77777777" w:rsidR="00C00612" w:rsidRPr="00C403D2" w:rsidRDefault="00C00612" w:rsidP="00324A33">
            <w:pPr>
              <w:jc w:val="center"/>
            </w:pPr>
            <w:r w:rsidRPr="00C403D2">
              <w:rPr>
                <w:rFonts w:hint="eastAsia"/>
              </w:rPr>
              <w:t>(2.76,20.30)</w:t>
            </w:r>
          </w:p>
        </w:tc>
        <w:tc>
          <w:tcPr>
            <w:tcW w:w="709" w:type="dxa"/>
            <w:tcBorders>
              <w:top w:val="nil"/>
              <w:bottom w:val="nil"/>
            </w:tcBorders>
          </w:tcPr>
          <w:p w14:paraId="10619120" w14:textId="77777777" w:rsidR="00C00612" w:rsidRPr="00C403D2" w:rsidRDefault="00C00612" w:rsidP="00324A33">
            <w:pPr>
              <w:jc w:val="center"/>
            </w:pPr>
            <w:r>
              <w:rPr>
                <w:rFonts w:hint="eastAsia"/>
              </w:rPr>
              <w:t>7.29</w:t>
            </w:r>
          </w:p>
        </w:tc>
        <w:tc>
          <w:tcPr>
            <w:tcW w:w="992" w:type="dxa"/>
            <w:tcBorders>
              <w:top w:val="nil"/>
              <w:bottom w:val="nil"/>
            </w:tcBorders>
          </w:tcPr>
          <w:p w14:paraId="0A09335F" w14:textId="77777777" w:rsidR="00C00612" w:rsidRPr="00C403D2" w:rsidRDefault="00C00612" w:rsidP="00324A33">
            <w:pPr>
              <w:jc w:val="center"/>
            </w:pPr>
            <w:r>
              <w:rPr>
                <w:rFonts w:hint="eastAsia"/>
              </w:rPr>
              <w:t>0.063</w:t>
            </w:r>
          </w:p>
        </w:tc>
      </w:tr>
      <w:tr w:rsidR="00C00612" w:rsidRPr="00C403D2" w14:paraId="62C9CE32" w14:textId="77777777" w:rsidTr="00324A33">
        <w:tc>
          <w:tcPr>
            <w:tcW w:w="1135" w:type="dxa"/>
            <w:gridSpan w:val="2"/>
            <w:tcBorders>
              <w:top w:val="nil"/>
              <w:bottom w:val="nil"/>
            </w:tcBorders>
          </w:tcPr>
          <w:p w14:paraId="2EAB7EAF" w14:textId="03A0CF1F" w:rsidR="00C00612" w:rsidRPr="004976B4" w:rsidRDefault="00C00612" w:rsidP="002B5654">
            <w:pPr>
              <w:jc w:val="left"/>
              <w:rPr>
                <w:b/>
              </w:rPr>
            </w:pPr>
            <w:r w:rsidRPr="004976B4">
              <w:rPr>
                <w:b/>
              </w:rPr>
              <w:t>TNF</w:t>
            </w:r>
            <w:r w:rsidR="002B5654">
              <w:rPr>
                <w:b/>
              </w:rPr>
              <w:sym w:font="Symbol" w:char="F061"/>
            </w:r>
          </w:p>
        </w:tc>
        <w:tc>
          <w:tcPr>
            <w:tcW w:w="1701" w:type="dxa"/>
            <w:tcBorders>
              <w:top w:val="nil"/>
              <w:bottom w:val="nil"/>
            </w:tcBorders>
          </w:tcPr>
          <w:p w14:paraId="0427CBC8" w14:textId="77777777" w:rsidR="00C00612" w:rsidRPr="00C403D2" w:rsidRDefault="00C00612" w:rsidP="00324A33">
            <w:pPr>
              <w:jc w:val="center"/>
            </w:pPr>
            <w:r w:rsidRPr="00C403D2">
              <w:rPr>
                <w:rFonts w:hint="eastAsia"/>
              </w:rPr>
              <w:t>1.83</w:t>
            </w:r>
          </w:p>
          <w:p w14:paraId="05C160B9" w14:textId="77777777" w:rsidR="00C00612" w:rsidRPr="00C403D2" w:rsidRDefault="00C00612" w:rsidP="00324A33">
            <w:pPr>
              <w:jc w:val="center"/>
            </w:pPr>
            <w:r w:rsidRPr="00C403D2">
              <w:rPr>
                <w:rFonts w:hint="eastAsia"/>
              </w:rPr>
              <w:t>(0.62,8.74)</w:t>
            </w:r>
          </w:p>
        </w:tc>
        <w:tc>
          <w:tcPr>
            <w:tcW w:w="1701" w:type="dxa"/>
            <w:tcBorders>
              <w:top w:val="nil"/>
              <w:bottom w:val="nil"/>
            </w:tcBorders>
          </w:tcPr>
          <w:p w14:paraId="66A83AFF" w14:textId="77777777" w:rsidR="00C00612" w:rsidRPr="00C403D2" w:rsidRDefault="00C00612" w:rsidP="00324A33">
            <w:pPr>
              <w:jc w:val="center"/>
            </w:pPr>
            <w:r w:rsidRPr="00C403D2">
              <w:rPr>
                <w:rFonts w:hint="eastAsia"/>
              </w:rPr>
              <w:t>1.96</w:t>
            </w:r>
          </w:p>
          <w:p w14:paraId="5EEC45C4" w14:textId="77777777" w:rsidR="00C00612" w:rsidRPr="00C403D2" w:rsidRDefault="00C00612" w:rsidP="00324A33">
            <w:pPr>
              <w:jc w:val="center"/>
            </w:pPr>
            <w:r w:rsidRPr="00C403D2">
              <w:rPr>
                <w:rFonts w:hint="eastAsia"/>
              </w:rPr>
              <w:t>(0.78,4.02)</w:t>
            </w:r>
          </w:p>
        </w:tc>
        <w:tc>
          <w:tcPr>
            <w:tcW w:w="1701" w:type="dxa"/>
            <w:tcBorders>
              <w:top w:val="nil"/>
              <w:bottom w:val="nil"/>
            </w:tcBorders>
          </w:tcPr>
          <w:p w14:paraId="293D5715" w14:textId="77777777" w:rsidR="00C00612" w:rsidRPr="00C403D2" w:rsidRDefault="00C00612" w:rsidP="00324A33">
            <w:pPr>
              <w:jc w:val="center"/>
            </w:pPr>
            <w:r w:rsidRPr="00C403D2">
              <w:rPr>
                <w:rFonts w:hint="eastAsia"/>
              </w:rPr>
              <w:t>1.65</w:t>
            </w:r>
          </w:p>
          <w:p w14:paraId="3142832B" w14:textId="77777777" w:rsidR="00C00612" w:rsidRPr="00C403D2" w:rsidRDefault="00C00612" w:rsidP="00324A33">
            <w:pPr>
              <w:jc w:val="center"/>
            </w:pPr>
            <w:r w:rsidRPr="00C403D2">
              <w:rPr>
                <w:rFonts w:hint="eastAsia"/>
              </w:rPr>
              <w:t>(0.94,4.09)</w:t>
            </w:r>
          </w:p>
        </w:tc>
        <w:tc>
          <w:tcPr>
            <w:tcW w:w="1701" w:type="dxa"/>
            <w:tcBorders>
              <w:top w:val="nil"/>
              <w:bottom w:val="nil"/>
            </w:tcBorders>
          </w:tcPr>
          <w:p w14:paraId="5FAEC77C" w14:textId="77777777" w:rsidR="00C00612" w:rsidRPr="00C403D2" w:rsidRDefault="00C00612" w:rsidP="00324A33">
            <w:pPr>
              <w:jc w:val="center"/>
            </w:pPr>
            <w:r w:rsidRPr="00C403D2">
              <w:rPr>
                <w:rFonts w:hint="eastAsia"/>
              </w:rPr>
              <w:t>1.74</w:t>
            </w:r>
          </w:p>
          <w:p w14:paraId="4F27C919" w14:textId="77777777" w:rsidR="00C00612" w:rsidRPr="00C403D2" w:rsidRDefault="00C00612" w:rsidP="00324A33">
            <w:pPr>
              <w:jc w:val="center"/>
            </w:pPr>
            <w:r w:rsidRPr="00C403D2">
              <w:rPr>
                <w:rFonts w:hint="eastAsia"/>
              </w:rPr>
              <w:t>(1.06,3.01)</w:t>
            </w:r>
          </w:p>
        </w:tc>
        <w:tc>
          <w:tcPr>
            <w:tcW w:w="709" w:type="dxa"/>
            <w:tcBorders>
              <w:top w:val="nil"/>
              <w:bottom w:val="nil"/>
            </w:tcBorders>
          </w:tcPr>
          <w:p w14:paraId="445A90E2" w14:textId="77777777" w:rsidR="00C00612" w:rsidRPr="00C403D2" w:rsidRDefault="00C00612" w:rsidP="00324A33">
            <w:pPr>
              <w:jc w:val="center"/>
            </w:pPr>
            <w:r>
              <w:rPr>
                <w:rFonts w:hint="eastAsia"/>
              </w:rPr>
              <w:t>3.80</w:t>
            </w:r>
          </w:p>
        </w:tc>
        <w:tc>
          <w:tcPr>
            <w:tcW w:w="992" w:type="dxa"/>
            <w:tcBorders>
              <w:top w:val="nil"/>
              <w:bottom w:val="nil"/>
            </w:tcBorders>
          </w:tcPr>
          <w:p w14:paraId="61750EE8" w14:textId="77777777" w:rsidR="00C00612" w:rsidRPr="00C403D2" w:rsidRDefault="00C00612" w:rsidP="00324A33">
            <w:pPr>
              <w:jc w:val="center"/>
            </w:pPr>
            <w:r>
              <w:rPr>
                <w:rFonts w:hint="eastAsia"/>
              </w:rPr>
              <w:t>0.284</w:t>
            </w:r>
          </w:p>
        </w:tc>
      </w:tr>
      <w:tr w:rsidR="00C00612" w:rsidRPr="00C403D2" w14:paraId="2AA877CF" w14:textId="77777777" w:rsidTr="00324A33">
        <w:tc>
          <w:tcPr>
            <w:tcW w:w="1135" w:type="dxa"/>
            <w:gridSpan w:val="2"/>
            <w:tcBorders>
              <w:top w:val="nil"/>
              <w:bottom w:val="nil"/>
            </w:tcBorders>
          </w:tcPr>
          <w:p w14:paraId="72F82DED" w14:textId="77777777" w:rsidR="00C00612" w:rsidRPr="004976B4" w:rsidRDefault="00C00612" w:rsidP="00324A33">
            <w:pPr>
              <w:jc w:val="left"/>
              <w:rPr>
                <w:b/>
              </w:rPr>
            </w:pPr>
            <w:r w:rsidRPr="004976B4">
              <w:rPr>
                <w:b/>
              </w:rPr>
              <w:t>IL8</w:t>
            </w:r>
          </w:p>
        </w:tc>
        <w:tc>
          <w:tcPr>
            <w:tcW w:w="1701" w:type="dxa"/>
            <w:tcBorders>
              <w:top w:val="nil"/>
              <w:bottom w:val="nil"/>
            </w:tcBorders>
          </w:tcPr>
          <w:p w14:paraId="3606CE2A" w14:textId="77777777" w:rsidR="00C00612" w:rsidRPr="00C403D2" w:rsidRDefault="00C00612" w:rsidP="00324A33">
            <w:pPr>
              <w:jc w:val="center"/>
            </w:pPr>
            <w:r w:rsidRPr="00C403D2">
              <w:rPr>
                <w:rFonts w:hint="eastAsia"/>
              </w:rPr>
              <w:t>3.41</w:t>
            </w:r>
          </w:p>
          <w:p w14:paraId="3E1FFED8" w14:textId="77777777" w:rsidR="00C00612" w:rsidRPr="00C403D2" w:rsidRDefault="00C00612" w:rsidP="00324A33">
            <w:pPr>
              <w:jc w:val="center"/>
            </w:pPr>
            <w:r w:rsidRPr="00C403D2">
              <w:rPr>
                <w:rFonts w:hint="eastAsia"/>
              </w:rPr>
              <w:t>(1.12,183.00)</w:t>
            </w:r>
          </w:p>
        </w:tc>
        <w:tc>
          <w:tcPr>
            <w:tcW w:w="1701" w:type="dxa"/>
            <w:tcBorders>
              <w:top w:val="nil"/>
              <w:bottom w:val="nil"/>
            </w:tcBorders>
          </w:tcPr>
          <w:p w14:paraId="6C807949" w14:textId="77777777" w:rsidR="00C00612" w:rsidRPr="00C403D2" w:rsidRDefault="00C00612" w:rsidP="00324A33">
            <w:pPr>
              <w:jc w:val="center"/>
            </w:pPr>
            <w:r w:rsidRPr="00C403D2">
              <w:rPr>
                <w:rFonts w:hint="eastAsia"/>
              </w:rPr>
              <w:t>3.96</w:t>
            </w:r>
          </w:p>
          <w:p w14:paraId="17B9D70A" w14:textId="77777777" w:rsidR="00C00612" w:rsidRPr="00C403D2" w:rsidRDefault="00C00612" w:rsidP="00324A33">
            <w:pPr>
              <w:jc w:val="center"/>
            </w:pPr>
            <w:r w:rsidRPr="00C403D2">
              <w:rPr>
                <w:rFonts w:hint="eastAsia"/>
              </w:rPr>
              <w:t>(1.69,9.15)</w:t>
            </w:r>
          </w:p>
        </w:tc>
        <w:tc>
          <w:tcPr>
            <w:tcW w:w="1701" w:type="dxa"/>
            <w:tcBorders>
              <w:top w:val="nil"/>
              <w:bottom w:val="nil"/>
            </w:tcBorders>
          </w:tcPr>
          <w:p w14:paraId="4F7B554D" w14:textId="77777777" w:rsidR="00C00612" w:rsidRPr="00C403D2" w:rsidRDefault="00C00612" w:rsidP="00324A33">
            <w:pPr>
              <w:jc w:val="center"/>
            </w:pPr>
            <w:r w:rsidRPr="00C403D2">
              <w:rPr>
                <w:rFonts w:hint="eastAsia"/>
              </w:rPr>
              <w:t>2.99</w:t>
            </w:r>
          </w:p>
          <w:p w14:paraId="49844D6E" w14:textId="77777777" w:rsidR="00C00612" w:rsidRPr="00C403D2" w:rsidRDefault="00C00612" w:rsidP="00324A33">
            <w:pPr>
              <w:jc w:val="center"/>
            </w:pPr>
            <w:r w:rsidRPr="00C403D2">
              <w:rPr>
                <w:rFonts w:hint="eastAsia"/>
              </w:rPr>
              <w:t>(1.40,11.70)</w:t>
            </w:r>
          </w:p>
        </w:tc>
        <w:tc>
          <w:tcPr>
            <w:tcW w:w="1701" w:type="dxa"/>
            <w:tcBorders>
              <w:top w:val="nil"/>
              <w:bottom w:val="nil"/>
            </w:tcBorders>
          </w:tcPr>
          <w:p w14:paraId="739B425C" w14:textId="77777777" w:rsidR="00C00612" w:rsidRPr="00C403D2" w:rsidRDefault="00C00612" w:rsidP="00324A33">
            <w:pPr>
              <w:jc w:val="center"/>
            </w:pPr>
            <w:r w:rsidRPr="00C403D2">
              <w:rPr>
                <w:rFonts w:hint="eastAsia"/>
              </w:rPr>
              <w:t>2.37</w:t>
            </w:r>
          </w:p>
          <w:p w14:paraId="264DB59D" w14:textId="77777777" w:rsidR="00C00612" w:rsidRPr="00C403D2" w:rsidRDefault="00C00612" w:rsidP="00324A33">
            <w:pPr>
              <w:jc w:val="center"/>
            </w:pPr>
            <w:r w:rsidRPr="00C403D2">
              <w:rPr>
                <w:rFonts w:hint="eastAsia"/>
              </w:rPr>
              <w:t>(0.84,8.97)</w:t>
            </w:r>
          </w:p>
        </w:tc>
        <w:tc>
          <w:tcPr>
            <w:tcW w:w="709" w:type="dxa"/>
            <w:tcBorders>
              <w:top w:val="nil"/>
              <w:bottom w:val="nil"/>
            </w:tcBorders>
          </w:tcPr>
          <w:p w14:paraId="0E3D1AFC" w14:textId="77777777" w:rsidR="00C00612" w:rsidRPr="00C403D2" w:rsidRDefault="00C00612" w:rsidP="00324A33">
            <w:pPr>
              <w:jc w:val="center"/>
            </w:pPr>
            <w:r>
              <w:rPr>
                <w:rFonts w:hint="eastAsia"/>
              </w:rPr>
              <w:t>17.24</w:t>
            </w:r>
          </w:p>
        </w:tc>
        <w:tc>
          <w:tcPr>
            <w:tcW w:w="992" w:type="dxa"/>
            <w:tcBorders>
              <w:top w:val="nil"/>
              <w:bottom w:val="nil"/>
            </w:tcBorders>
          </w:tcPr>
          <w:p w14:paraId="5940EBF2" w14:textId="77777777" w:rsidR="00C00612" w:rsidRPr="00C403D2" w:rsidRDefault="00C00612" w:rsidP="00324A33">
            <w:pPr>
              <w:jc w:val="center"/>
            </w:pPr>
            <w:r>
              <w:rPr>
                <w:rFonts w:hint="eastAsia"/>
              </w:rPr>
              <w:t>0.001</w:t>
            </w:r>
            <w:r w:rsidRPr="0012597F">
              <w:t>**</w:t>
            </w:r>
          </w:p>
        </w:tc>
      </w:tr>
      <w:tr w:rsidR="00C00612" w:rsidRPr="00C403D2" w14:paraId="61E83D1E" w14:textId="77777777" w:rsidTr="00324A33">
        <w:tc>
          <w:tcPr>
            <w:tcW w:w="1135" w:type="dxa"/>
            <w:gridSpan w:val="2"/>
            <w:tcBorders>
              <w:top w:val="nil"/>
            </w:tcBorders>
          </w:tcPr>
          <w:p w14:paraId="1C091253" w14:textId="4B368B70" w:rsidR="00C00612" w:rsidRPr="004976B4" w:rsidRDefault="00C00612" w:rsidP="00264C97">
            <w:pPr>
              <w:jc w:val="left"/>
              <w:rPr>
                <w:b/>
              </w:rPr>
            </w:pPr>
            <w:r w:rsidRPr="004976B4">
              <w:rPr>
                <w:b/>
              </w:rPr>
              <w:t>E</w:t>
            </w:r>
            <w:r w:rsidR="00264C97">
              <w:rPr>
                <w:b/>
              </w:rPr>
              <w:t>otaxin</w:t>
            </w:r>
          </w:p>
        </w:tc>
        <w:tc>
          <w:tcPr>
            <w:tcW w:w="1701" w:type="dxa"/>
            <w:tcBorders>
              <w:top w:val="nil"/>
            </w:tcBorders>
          </w:tcPr>
          <w:p w14:paraId="2310B0A1" w14:textId="77777777" w:rsidR="00C00612" w:rsidRPr="00C403D2" w:rsidRDefault="00C00612" w:rsidP="00324A33">
            <w:pPr>
              <w:jc w:val="center"/>
            </w:pPr>
            <w:r w:rsidRPr="00C403D2">
              <w:rPr>
                <w:rFonts w:hint="eastAsia"/>
              </w:rPr>
              <w:t>107.00</w:t>
            </w:r>
          </w:p>
          <w:p w14:paraId="5254C5FC" w14:textId="77777777" w:rsidR="00C00612" w:rsidRPr="00C403D2" w:rsidRDefault="00C00612" w:rsidP="00324A33">
            <w:pPr>
              <w:jc w:val="center"/>
            </w:pPr>
            <w:r w:rsidRPr="00C403D2">
              <w:rPr>
                <w:rFonts w:hint="eastAsia"/>
              </w:rPr>
              <w:t>(14.75,855.00)</w:t>
            </w:r>
          </w:p>
        </w:tc>
        <w:tc>
          <w:tcPr>
            <w:tcW w:w="1701" w:type="dxa"/>
            <w:tcBorders>
              <w:top w:val="nil"/>
            </w:tcBorders>
          </w:tcPr>
          <w:p w14:paraId="193C48EA" w14:textId="77777777" w:rsidR="00C00612" w:rsidRPr="00C403D2" w:rsidRDefault="00C00612" w:rsidP="00324A33">
            <w:pPr>
              <w:jc w:val="center"/>
            </w:pPr>
            <w:r w:rsidRPr="00C403D2">
              <w:rPr>
                <w:rFonts w:hint="eastAsia"/>
              </w:rPr>
              <w:t>117.00</w:t>
            </w:r>
          </w:p>
          <w:p w14:paraId="38C5EFDB" w14:textId="77777777" w:rsidR="00C00612" w:rsidRPr="00C403D2" w:rsidRDefault="00C00612" w:rsidP="00324A33">
            <w:pPr>
              <w:jc w:val="center"/>
            </w:pPr>
            <w:r w:rsidRPr="00C403D2">
              <w:rPr>
                <w:rFonts w:hint="eastAsia"/>
              </w:rPr>
              <w:t>(51.60,370.00)</w:t>
            </w:r>
          </w:p>
        </w:tc>
        <w:tc>
          <w:tcPr>
            <w:tcW w:w="1701" w:type="dxa"/>
            <w:tcBorders>
              <w:top w:val="nil"/>
            </w:tcBorders>
          </w:tcPr>
          <w:p w14:paraId="1C8F7CE7" w14:textId="77777777" w:rsidR="00C00612" w:rsidRPr="00C403D2" w:rsidRDefault="00C00612" w:rsidP="00324A33">
            <w:pPr>
              <w:jc w:val="center"/>
            </w:pPr>
            <w:r w:rsidRPr="00C403D2">
              <w:rPr>
                <w:rFonts w:hint="eastAsia"/>
              </w:rPr>
              <w:t>88.80</w:t>
            </w:r>
          </w:p>
          <w:p w14:paraId="47B76350" w14:textId="77777777" w:rsidR="00C00612" w:rsidRPr="00C403D2" w:rsidRDefault="00C00612" w:rsidP="00324A33">
            <w:pPr>
              <w:jc w:val="center"/>
            </w:pPr>
            <w:r w:rsidRPr="00C403D2">
              <w:rPr>
                <w:rFonts w:hint="eastAsia"/>
              </w:rPr>
              <w:t>(31.50,308.00)</w:t>
            </w:r>
          </w:p>
        </w:tc>
        <w:tc>
          <w:tcPr>
            <w:tcW w:w="1701" w:type="dxa"/>
            <w:tcBorders>
              <w:top w:val="nil"/>
            </w:tcBorders>
          </w:tcPr>
          <w:p w14:paraId="6169D325" w14:textId="77777777" w:rsidR="00C00612" w:rsidRPr="00C403D2" w:rsidRDefault="00C00612" w:rsidP="00324A33">
            <w:pPr>
              <w:jc w:val="center"/>
            </w:pPr>
            <w:r w:rsidRPr="00C403D2">
              <w:rPr>
                <w:rFonts w:hint="eastAsia"/>
              </w:rPr>
              <w:t>94.35</w:t>
            </w:r>
          </w:p>
          <w:p w14:paraId="33D61F8A" w14:textId="77777777" w:rsidR="00C00612" w:rsidRPr="00C403D2" w:rsidRDefault="00C00612" w:rsidP="00324A33">
            <w:pPr>
              <w:jc w:val="center"/>
            </w:pPr>
            <w:r w:rsidRPr="00C403D2">
              <w:rPr>
                <w:rFonts w:hint="eastAsia"/>
              </w:rPr>
              <w:t>(32.80,163.00)</w:t>
            </w:r>
          </w:p>
        </w:tc>
        <w:tc>
          <w:tcPr>
            <w:tcW w:w="709" w:type="dxa"/>
            <w:tcBorders>
              <w:top w:val="nil"/>
            </w:tcBorders>
          </w:tcPr>
          <w:p w14:paraId="3884B698" w14:textId="77777777" w:rsidR="00C00612" w:rsidRPr="00C403D2" w:rsidRDefault="00C00612" w:rsidP="00324A33">
            <w:pPr>
              <w:jc w:val="center"/>
            </w:pPr>
            <w:r>
              <w:rPr>
                <w:rFonts w:hint="eastAsia"/>
              </w:rPr>
              <w:t>12.18</w:t>
            </w:r>
          </w:p>
        </w:tc>
        <w:tc>
          <w:tcPr>
            <w:tcW w:w="992" w:type="dxa"/>
            <w:tcBorders>
              <w:top w:val="nil"/>
            </w:tcBorders>
          </w:tcPr>
          <w:p w14:paraId="565DA74E" w14:textId="77777777" w:rsidR="00C00612" w:rsidRPr="00C403D2" w:rsidRDefault="00C00612" w:rsidP="00324A33">
            <w:pPr>
              <w:jc w:val="center"/>
            </w:pPr>
            <w:r>
              <w:rPr>
                <w:rFonts w:hint="eastAsia"/>
              </w:rPr>
              <w:t>0.007</w:t>
            </w:r>
            <w:r w:rsidRPr="0012597F">
              <w:t>**</w:t>
            </w:r>
          </w:p>
        </w:tc>
      </w:tr>
    </w:tbl>
    <w:p w14:paraId="1A1D4C48" w14:textId="77777777" w:rsidR="009A6497" w:rsidRDefault="009A6497" w:rsidP="00C00612">
      <w:pPr>
        <w:rPr>
          <w:sz w:val="20"/>
          <w:szCs w:val="20"/>
        </w:rPr>
      </w:pPr>
    </w:p>
    <w:p w14:paraId="5B235E9D" w14:textId="1E8E3D3D" w:rsidR="00C00612" w:rsidRPr="001B68E2" w:rsidRDefault="00C00612" w:rsidP="00C00612">
      <w:pPr>
        <w:rPr>
          <w:sz w:val="20"/>
          <w:szCs w:val="20"/>
        </w:rPr>
      </w:pPr>
      <w:r w:rsidRPr="001B68E2">
        <w:rPr>
          <w:sz w:val="20"/>
          <w:szCs w:val="20"/>
        </w:rPr>
        <w:t>SAn:</w:t>
      </w:r>
      <w:r w:rsidR="002B5654">
        <w:rPr>
          <w:sz w:val="20"/>
          <w:szCs w:val="20"/>
        </w:rPr>
        <w:t xml:space="preserve"> </w:t>
      </w:r>
      <w:r w:rsidRPr="001B68E2">
        <w:rPr>
          <w:sz w:val="20"/>
          <w:szCs w:val="20"/>
        </w:rPr>
        <w:t xml:space="preserve">nonsmoking patients with severe asthma; SAs/ex: smoking patients with severe asthma; MMA: nonsmoking patients with mild-to-moderate asthma; HC: healthy nonsmokers; </w:t>
      </w:r>
      <w:r w:rsidRPr="001B68E2">
        <w:rPr>
          <w:color w:val="000000" w:themeColor="text1"/>
          <w:sz w:val="20"/>
          <w:szCs w:val="20"/>
        </w:rPr>
        <w:t>IL17A</w:t>
      </w:r>
      <w:r w:rsidRPr="001B68E2">
        <w:rPr>
          <w:rFonts w:hint="eastAsia"/>
          <w:sz w:val="20"/>
          <w:szCs w:val="20"/>
        </w:rPr>
        <w:t>:</w:t>
      </w:r>
      <w:r w:rsidRPr="001B68E2">
        <w:rPr>
          <w:sz w:val="20"/>
          <w:szCs w:val="20"/>
        </w:rPr>
        <w:t xml:space="preserve"> </w:t>
      </w:r>
      <w:r w:rsidRPr="001B68E2">
        <w:rPr>
          <w:rFonts w:hint="eastAsia"/>
          <w:sz w:val="20"/>
          <w:szCs w:val="20"/>
        </w:rPr>
        <w:t>i</w:t>
      </w:r>
      <w:r w:rsidRPr="001B68E2">
        <w:rPr>
          <w:sz w:val="20"/>
          <w:szCs w:val="20"/>
        </w:rPr>
        <w:t>nterleukin 17A</w:t>
      </w:r>
      <w:r w:rsidRPr="001B68E2">
        <w:rPr>
          <w:rFonts w:hint="eastAsia"/>
          <w:sz w:val="20"/>
          <w:szCs w:val="20"/>
        </w:rPr>
        <w:t>;</w:t>
      </w:r>
      <w:r w:rsidRPr="001B68E2">
        <w:rPr>
          <w:sz w:val="20"/>
          <w:szCs w:val="20"/>
        </w:rPr>
        <w:t xml:space="preserve"> IL13</w:t>
      </w:r>
      <w:r w:rsidRPr="001B68E2">
        <w:rPr>
          <w:rFonts w:hint="eastAsia"/>
          <w:sz w:val="20"/>
          <w:szCs w:val="20"/>
        </w:rPr>
        <w:t xml:space="preserve">: </w:t>
      </w:r>
      <w:r w:rsidRPr="001B68E2">
        <w:rPr>
          <w:sz w:val="20"/>
          <w:szCs w:val="20"/>
        </w:rPr>
        <w:t>interleukin</w:t>
      </w:r>
      <w:r w:rsidRPr="001B68E2">
        <w:rPr>
          <w:rFonts w:hint="eastAsia"/>
          <w:sz w:val="20"/>
          <w:szCs w:val="20"/>
        </w:rPr>
        <w:t xml:space="preserve"> 13;</w:t>
      </w:r>
      <w:r w:rsidRPr="001B68E2">
        <w:rPr>
          <w:sz w:val="20"/>
          <w:szCs w:val="20"/>
        </w:rPr>
        <w:t xml:space="preserve"> MIP1b</w:t>
      </w:r>
      <w:r w:rsidRPr="001B68E2">
        <w:rPr>
          <w:rFonts w:hint="eastAsia"/>
          <w:sz w:val="20"/>
          <w:szCs w:val="20"/>
        </w:rPr>
        <w:t>: m</w:t>
      </w:r>
      <w:r w:rsidRPr="001B68E2">
        <w:rPr>
          <w:sz w:val="20"/>
          <w:szCs w:val="20"/>
        </w:rPr>
        <w:t xml:space="preserve">acrophage </w:t>
      </w:r>
      <w:r w:rsidRPr="001B68E2">
        <w:rPr>
          <w:rFonts w:hint="eastAsia"/>
          <w:sz w:val="20"/>
          <w:szCs w:val="20"/>
        </w:rPr>
        <w:t>i</w:t>
      </w:r>
      <w:r w:rsidRPr="001B68E2">
        <w:rPr>
          <w:sz w:val="20"/>
          <w:szCs w:val="20"/>
        </w:rPr>
        <w:t xml:space="preserve">nflammatory </w:t>
      </w:r>
      <w:r w:rsidRPr="001B68E2">
        <w:rPr>
          <w:rFonts w:hint="eastAsia"/>
          <w:sz w:val="20"/>
          <w:szCs w:val="20"/>
        </w:rPr>
        <w:t>p</w:t>
      </w:r>
      <w:r w:rsidRPr="001B68E2">
        <w:rPr>
          <w:sz w:val="20"/>
          <w:szCs w:val="20"/>
        </w:rPr>
        <w:t xml:space="preserve">rotein 1 </w:t>
      </w:r>
      <w:r w:rsidRPr="001B68E2">
        <w:rPr>
          <w:rFonts w:hint="eastAsia"/>
          <w:sz w:val="20"/>
          <w:szCs w:val="20"/>
        </w:rPr>
        <w:t>b</w:t>
      </w:r>
      <w:r w:rsidRPr="001B68E2">
        <w:rPr>
          <w:sz w:val="20"/>
          <w:szCs w:val="20"/>
        </w:rPr>
        <w:t>eta</w:t>
      </w:r>
      <w:r w:rsidRPr="001B68E2">
        <w:rPr>
          <w:rFonts w:hint="eastAsia"/>
          <w:sz w:val="20"/>
          <w:szCs w:val="20"/>
        </w:rPr>
        <w:t>;</w:t>
      </w:r>
      <w:r w:rsidRPr="001B68E2">
        <w:rPr>
          <w:sz w:val="20"/>
          <w:szCs w:val="20"/>
        </w:rPr>
        <w:t xml:space="preserve"> IL6</w:t>
      </w:r>
      <w:r w:rsidRPr="001B68E2">
        <w:rPr>
          <w:rFonts w:hint="eastAsia"/>
          <w:sz w:val="20"/>
          <w:szCs w:val="20"/>
        </w:rPr>
        <w:t>:</w:t>
      </w:r>
      <w:r w:rsidRPr="001B68E2">
        <w:rPr>
          <w:sz w:val="20"/>
          <w:szCs w:val="20"/>
        </w:rPr>
        <w:t xml:space="preserve"> interleukin 6</w:t>
      </w:r>
      <w:r w:rsidRPr="001B68E2">
        <w:rPr>
          <w:rFonts w:hint="eastAsia"/>
          <w:sz w:val="20"/>
          <w:szCs w:val="20"/>
        </w:rPr>
        <w:t>;</w:t>
      </w:r>
      <w:r w:rsidRPr="001B68E2">
        <w:rPr>
          <w:sz w:val="20"/>
          <w:szCs w:val="20"/>
        </w:rPr>
        <w:t xml:space="preserve"> IP10</w:t>
      </w:r>
      <w:r w:rsidRPr="001B68E2">
        <w:rPr>
          <w:rFonts w:hint="eastAsia"/>
          <w:sz w:val="20"/>
          <w:szCs w:val="20"/>
        </w:rPr>
        <w:t>:</w:t>
      </w:r>
      <w:r w:rsidRPr="001B68E2">
        <w:rPr>
          <w:sz w:val="20"/>
          <w:szCs w:val="20"/>
        </w:rPr>
        <w:t xml:space="preserve"> IFN-γ-inducible protein 10</w:t>
      </w:r>
      <w:r w:rsidRPr="001B68E2">
        <w:rPr>
          <w:rFonts w:hint="eastAsia"/>
          <w:sz w:val="20"/>
          <w:szCs w:val="20"/>
        </w:rPr>
        <w:t xml:space="preserve">; </w:t>
      </w:r>
      <w:r w:rsidRPr="001B68E2">
        <w:rPr>
          <w:sz w:val="20"/>
          <w:szCs w:val="20"/>
        </w:rPr>
        <w:t>MCP1</w:t>
      </w:r>
      <w:r w:rsidRPr="001B68E2">
        <w:rPr>
          <w:rFonts w:hint="eastAsia"/>
          <w:sz w:val="20"/>
          <w:szCs w:val="20"/>
        </w:rPr>
        <w:t>:</w:t>
      </w:r>
      <w:r w:rsidRPr="001B68E2">
        <w:rPr>
          <w:sz w:val="20"/>
          <w:szCs w:val="20"/>
        </w:rPr>
        <w:t xml:space="preserve"> </w:t>
      </w:r>
      <w:r w:rsidRPr="001B68E2">
        <w:rPr>
          <w:rFonts w:hint="eastAsia"/>
          <w:sz w:val="20"/>
          <w:szCs w:val="20"/>
        </w:rPr>
        <w:t>m</w:t>
      </w:r>
      <w:r w:rsidRPr="001B68E2">
        <w:rPr>
          <w:sz w:val="20"/>
          <w:szCs w:val="20"/>
        </w:rPr>
        <w:t>onocyte chemoattractant protein 1</w:t>
      </w:r>
      <w:r w:rsidRPr="001B68E2">
        <w:rPr>
          <w:rFonts w:hint="eastAsia"/>
          <w:sz w:val="20"/>
          <w:szCs w:val="20"/>
        </w:rPr>
        <w:t>;</w:t>
      </w:r>
      <w:r w:rsidRPr="001B68E2">
        <w:rPr>
          <w:sz w:val="20"/>
          <w:szCs w:val="20"/>
        </w:rPr>
        <w:t xml:space="preserve"> CCL18</w:t>
      </w:r>
      <w:r w:rsidRPr="001B68E2">
        <w:rPr>
          <w:rFonts w:hint="eastAsia"/>
          <w:sz w:val="20"/>
          <w:szCs w:val="20"/>
        </w:rPr>
        <w:t>:</w:t>
      </w:r>
      <w:r w:rsidRPr="001B68E2">
        <w:rPr>
          <w:sz w:val="20"/>
          <w:szCs w:val="20"/>
        </w:rPr>
        <w:t xml:space="preserve"> chemokine (C C motif) ligand 18</w:t>
      </w:r>
      <w:r w:rsidRPr="001B68E2">
        <w:rPr>
          <w:rFonts w:hint="eastAsia"/>
          <w:sz w:val="20"/>
          <w:szCs w:val="20"/>
        </w:rPr>
        <w:t>;</w:t>
      </w:r>
      <w:r w:rsidRPr="001B68E2">
        <w:rPr>
          <w:sz w:val="20"/>
          <w:szCs w:val="20"/>
        </w:rPr>
        <w:t xml:space="preserve"> CCL22</w:t>
      </w:r>
      <w:r w:rsidRPr="001B68E2">
        <w:rPr>
          <w:rFonts w:hint="eastAsia"/>
          <w:sz w:val="20"/>
          <w:szCs w:val="20"/>
        </w:rPr>
        <w:t>:</w:t>
      </w:r>
      <w:r w:rsidRPr="001B68E2">
        <w:rPr>
          <w:sz w:val="20"/>
          <w:szCs w:val="20"/>
        </w:rPr>
        <w:t xml:space="preserve"> chemokine (C C motif) ligand </w:t>
      </w:r>
      <w:r w:rsidRPr="001B68E2">
        <w:rPr>
          <w:rFonts w:hint="eastAsia"/>
          <w:sz w:val="20"/>
          <w:szCs w:val="20"/>
        </w:rPr>
        <w:t>22;</w:t>
      </w:r>
      <w:r w:rsidRPr="001B68E2">
        <w:rPr>
          <w:sz w:val="20"/>
          <w:szCs w:val="20"/>
        </w:rPr>
        <w:t xml:space="preserve"> CCL17</w:t>
      </w:r>
      <w:r w:rsidRPr="001B68E2">
        <w:rPr>
          <w:rFonts w:hint="eastAsia"/>
          <w:sz w:val="20"/>
          <w:szCs w:val="20"/>
        </w:rPr>
        <w:t>:</w:t>
      </w:r>
      <w:r w:rsidRPr="001B68E2">
        <w:rPr>
          <w:sz w:val="20"/>
          <w:szCs w:val="20"/>
        </w:rPr>
        <w:t xml:space="preserve"> chemokine (C C motif) ligand</w:t>
      </w:r>
      <w:r w:rsidRPr="001B68E2">
        <w:rPr>
          <w:rFonts w:hint="eastAsia"/>
          <w:sz w:val="20"/>
          <w:szCs w:val="20"/>
        </w:rPr>
        <w:t xml:space="preserve"> 17;</w:t>
      </w:r>
      <w:r w:rsidRPr="001B68E2">
        <w:rPr>
          <w:sz w:val="20"/>
          <w:szCs w:val="20"/>
        </w:rPr>
        <w:t xml:space="preserve"> IFN</w:t>
      </w:r>
      <w:r w:rsidR="002B5654">
        <w:rPr>
          <w:sz w:val="20"/>
          <w:szCs w:val="20"/>
        </w:rPr>
        <w:t>-</w:t>
      </w:r>
      <w:r w:rsidR="002B5654">
        <w:rPr>
          <w:sz w:val="20"/>
          <w:szCs w:val="20"/>
        </w:rPr>
        <w:sym w:font="Symbol" w:char="F067"/>
      </w:r>
      <w:r w:rsidRPr="001B68E2">
        <w:rPr>
          <w:rFonts w:hint="eastAsia"/>
          <w:sz w:val="20"/>
          <w:szCs w:val="20"/>
        </w:rPr>
        <w:t>:</w:t>
      </w:r>
      <w:r w:rsidRPr="001B68E2">
        <w:rPr>
          <w:sz w:val="20"/>
          <w:szCs w:val="20"/>
        </w:rPr>
        <w:t xml:space="preserve"> </w:t>
      </w:r>
      <w:r w:rsidRPr="001B68E2">
        <w:rPr>
          <w:rFonts w:hint="eastAsia"/>
          <w:sz w:val="20"/>
          <w:szCs w:val="20"/>
        </w:rPr>
        <w:t>i</w:t>
      </w:r>
      <w:r w:rsidRPr="001B68E2">
        <w:rPr>
          <w:sz w:val="20"/>
          <w:szCs w:val="20"/>
        </w:rPr>
        <w:t xml:space="preserve">nterferon </w:t>
      </w:r>
      <w:r w:rsidRPr="001B68E2">
        <w:rPr>
          <w:rFonts w:hint="eastAsia"/>
          <w:sz w:val="20"/>
          <w:szCs w:val="20"/>
        </w:rPr>
        <w:t>g</w:t>
      </w:r>
      <w:r w:rsidRPr="001B68E2">
        <w:rPr>
          <w:sz w:val="20"/>
          <w:szCs w:val="20"/>
        </w:rPr>
        <w:t>amma</w:t>
      </w:r>
      <w:r w:rsidRPr="001B68E2">
        <w:rPr>
          <w:rFonts w:hint="eastAsia"/>
          <w:sz w:val="20"/>
          <w:szCs w:val="20"/>
        </w:rPr>
        <w:t>;</w:t>
      </w:r>
      <w:r w:rsidRPr="001B68E2">
        <w:rPr>
          <w:sz w:val="20"/>
          <w:szCs w:val="20"/>
        </w:rPr>
        <w:t xml:space="preserve"> TNF</w:t>
      </w:r>
      <w:r w:rsidR="002B5654">
        <w:rPr>
          <w:sz w:val="20"/>
          <w:szCs w:val="20"/>
        </w:rPr>
        <w:sym w:font="Symbol" w:char="F061"/>
      </w:r>
      <w:r w:rsidRPr="001B68E2">
        <w:rPr>
          <w:rFonts w:hint="eastAsia"/>
          <w:sz w:val="20"/>
          <w:szCs w:val="20"/>
        </w:rPr>
        <w:t>: t</w:t>
      </w:r>
      <w:r w:rsidRPr="001B68E2">
        <w:rPr>
          <w:sz w:val="20"/>
          <w:szCs w:val="20"/>
        </w:rPr>
        <w:t xml:space="preserve">umour </w:t>
      </w:r>
      <w:r w:rsidRPr="001B68E2">
        <w:rPr>
          <w:rFonts w:hint="eastAsia"/>
          <w:sz w:val="20"/>
          <w:szCs w:val="20"/>
        </w:rPr>
        <w:t>n</w:t>
      </w:r>
      <w:r w:rsidRPr="001B68E2">
        <w:rPr>
          <w:sz w:val="20"/>
          <w:szCs w:val="20"/>
        </w:rPr>
        <w:t>ecrosis</w:t>
      </w:r>
      <w:r w:rsidRPr="001B68E2">
        <w:rPr>
          <w:rFonts w:hint="eastAsia"/>
          <w:sz w:val="20"/>
          <w:szCs w:val="20"/>
        </w:rPr>
        <w:t xml:space="preserve"> f</w:t>
      </w:r>
      <w:r w:rsidRPr="001B68E2">
        <w:rPr>
          <w:sz w:val="20"/>
          <w:szCs w:val="20"/>
        </w:rPr>
        <w:t>actor alpha</w:t>
      </w:r>
      <w:r w:rsidRPr="001B68E2">
        <w:rPr>
          <w:rFonts w:hint="eastAsia"/>
          <w:sz w:val="20"/>
          <w:szCs w:val="20"/>
        </w:rPr>
        <w:t xml:space="preserve">; </w:t>
      </w:r>
      <w:r w:rsidRPr="001B68E2">
        <w:rPr>
          <w:sz w:val="20"/>
          <w:szCs w:val="20"/>
        </w:rPr>
        <w:t>IL8</w:t>
      </w:r>
      <w:r w:rsidRPr="001B68E2">
        <w:rPr>
          <w:rFonts w:hint="eastAsia"/>
          <w:sz w:val="20"/>
          <w:szCs w:val="20"/>
        </w:rPr>
        <w:t xml:space="preserve">: </w:t>
      </w:r>
      <w:r w:rsidRPr="001B68E2">
        <w:rPr>
          <w:sz w:val="20"/>
          <w:szCs w:val="20"/>
        </w:rPr>
        <w:t xml:space="preserve">interleukin </w:t>
      </w:r>
      <w:r w:rsidRPr="001B68E2">
        <w:rPr>
          <w:rFonts w:hint="eastAsia"/>
          <w:sz w:val="20"/>
          <w:szCs w:val="20"/>
        </w:rPr>
        <w:t>8;</w:t>
      </w:r>
      <w:r w:rsidRPr="001B68E2">
        <w:rPr>
          <w:sz w:val="20"/>
          <w:szCs w:val="20"/>
        </w:rPr>
        <w:t xml:space="preserve"> H: Kruskal–Wallis test statistic</w:t>
      </w:r>
      <w:r w:rsidRPr="001B68E2">
        <w:rPr>
          <w:rFonts w:hint="eastAsia"/>
          <w:sz w:val="20"/>
          <w:szCs w:val="20"/>
        </w:rPr>
        <w:t>;</w:t>
      </w:r>
      <w:r w:rsidRPr="001B68E2">
        <w:rPr>
          <w:sz w:val="20"/>
          <w:szCs w:val="20"/>
        </w:rPr>
        <w:t>** p&lt;0.01.</w:t>
      </w:r>
    </w:p>
    <w:p w14:paraId="76F1A2F8" w14:textId="13E267A7" w:rsidR="00C00612" w:rsidRDefault="00C00612" w:rsidP="00C00612"/>
    <w:p w14:paraId="6FAF3361" w14:textId="77777777" w:rsidR="003F7A1E" w:rsidRDefault="003F7A1E" w:rsidP="00C00612"/>
    <w:p w14:paraId="3492CEEC" w14:textId="43F85C39" w:rsidR="00A3450F" w:rsidRPr="005C36F7" w:rsidRDefault="00672CB6" w:rsidP="001D62F4">
      <w:pPr>
        <w:jc w:val="left"/>
        <w:rPr>
          <w:rFonts w:ascii="Arial" w:hAnsi="Arial" w:cs="Arial"/>
          <w:i/>
          <w:color w:val="000000" w:themeColor="text1"/>
          <w:sz w:val="22"/>
        </w:rPr>
      </w:pPr>
      <w:r w:rsidRPr="005C36F7">
        <w:rPr>
          <w:rFonts w:ascii="Arial" w:hAnsi="Arial" w:cs="Arial"/>
          <w:i/>
          <w:color w:val="000000" w:themeColor="text1"/>
          <w:sz w:val="22"/>
        </w:rPr>
        <w:t xml:space="preserve">3.4. </w:t>
      </w:r>
      <w:r w:rsidR="00DF2045" w:rsidRPr="005C36F7">
        <w:rPr>
          <w:rFonts w:ascii="Arial" w:hAnsi="Arial" w:cs="Arial"/>
          <w:i/>
          <w:color w:val="000000" w:themeColor="text1"/>
          <w:sz w:val="22"/>
        </w:rPr>
        <w:t>Correlations</w:t>
      </w:r>
      <w:r w:rsidR="001D62F4" w:rsidRPr="005C36F7">
        <w:rPr>
          <w:rFonts w:ascii="Arial" w:hAnsi="Arial" w:cs="Arial"/>
          <w:i/>
          <w:color w:val="000000" w:themeColor="text1"/>
          <w:sz w:val="22"/>
        </w:rPr>
        <w:t xml:space="preserve"> among anxiety, depression and inflammatory markers</w:t>
      </w:r>
    </w:p>
    <w:p w14:paraId="7F190A46" w14:textId="1E97EE45" w:rsidR="001D62F4" w:rsidRDefault="00FC2882" w:rsidP="00740FA2">
      <w:pPr>
        <w:rPr>
          <w:rFonts w:ascii="Arial" w:hAnsi="Arial" w:cs="Arial"/>
          <w:color w:val="000000" w:themeColor="text1"/>
          <w:sz w:val="22"/>
        </w:rPr>
      </w:pPr>
      <w:r w:rsidRPr="005C36F7">
        <w:rPr>
          <w:rFonts w:ascii="Arial" w:hAnsi="Arial" w:cs="Arial"/>
          <w:color w:val="000000" w:themeColor="text1"/>
          <w:sz w:val="22"/>
        </w:rPr>
        <w:t xml:space="preserve">There were </w:t>
      </w:r>
      <w:r w:rsidR="00986E80" w:rsidRPr="005C36F7">
        <w:rPr>
          <w:rFonts w:ascii="Arial" w:hAnsi="Arial" w:cs="Arial"/>
          <w:color w:val="000000" w:themeColor="text1"/>
          <w:sz w:val="22"/>
        </w:rPr>
        <w:t xml:space="preserve">significant </w:t>
      </w:r>
      <w:r w:rsidRPr="005C36F7">
        <w:rPr>
          <w:rFonts w:ascii="Arial" w:hAnsi="Arial" w:cs="Arial"/>
          <w:color w:val="000000" w:themeColor="text1"/>
          <w:sz w:val="22"/>
        </w:rPr>
        <w:t>positive correlations between serum IL</w:t>
      </w:r>
      <w:r w:rsidR="006E46B2" w:rsidRPr="005C36F7">
        <w:rPr>
          <w:rFonts w:ascii="Arial" w:hAnsi="Arial" w:cs="Arial"/>
          <w:color w:val="000000" w:themeColor="text1"/>
          <w:sz w:val="22"/>
        </w:rPr>
        <w:t>-</w:t>
      </w:r>
      <w:r w:rsidRPr="005C36F7">
        <w:rPr>
          <w:rFonts w:ascii="Arial" w:hAnsi="Arial" w:cs="Arial"/>
          <w:color w:val="000000" w:themeColor="text1"/>
          <w:sz w:val="22"/>
        </w:rPr>
        <w:t>6 level</w:t>
      </w:r>
      <w:r w:rsidR="00264C97">
        <w:rPr>
          <w:rFonts w:ascii="Arial" w:hAnsi="Arial" w:cs="Arial"/>
          <w:color w:val="000000" w:themeColor="text1"/>
          <w:sz w:val="22"/>
        </w:rPr>
        <w:t>s</w:t>
      </w:r>
      <w:r w:rsidRPr="005C36F7">
        <w:rPr>
          <w:rFonts w:ascii="Arial" w:hAnsi="Arial" w:cs="Arial"/>
          <w:color w:val="000000" w:themeColor="text1"/>
          <w:sz w:val="22"/>
        </w:rPr>
        <w:t xml:space="preserve"> and </w:t>
      </w:r>
      <w:r w:rsidR="00264C97">
        <w:rPr>
          <w:rFonts w:ascii="Arial" w:hAnsi="Arial" w:cs="Arial"/>
          <w:color w:val="000000" w:themeColor="text1"/>
          <w:sz w:val="22"/>
        </w:rPr>
        <w:t xml:space="preserve">the </w:t>
      </w:r>
      <w:r w:rsidRPr="005C36F7">
        <w:rPr>
          <w:rFonts w:ascii="Arial" w:hAnsi="Arial" w:cs="Arial"/>
          <w:color w:val="000000" w:themeColor="text1"/>
          <w:sz w:val="22"/>
        </w:rPr>
        <w:t>depression score</w:t>
      </w:r>
      <w:r w:rsidR="00A37983" w:rsidRPr="005C36F7">
        <w:rPr>
          <w:rFonts w:ascii="Arial" w:hAnsi="Arial" w:cs="Arial"/>
          <w:color w:val="000000" w:themeColor="text1"/>
          <w:sz w:val="22"/>
        </w:rPr>
        <w:t xml:space="preserve"> </w:t>
      </w:r>
      <w:r w:rsidRPr="005C36F7">
        <w:rPr>
          <w:rFonts w:ascii="Arial" w:hAnsi="Arial" w:cs="Arial"/>
          <w:color w:val="000000" w:themeColor="text1"/>
          <w:sz w:val="22"/>
        </w:rPr>
        <w:t>(r</w:t>
      </w:r>
      <w:r w:rsidR="00264C97">
        <w:rPr>
          <w:rFonts w:ascii="Arial" w:hAnsi="Arial" w:cs="Arial"/>
          <w:color w:val="000000" w:themeColor="text1"/>
          <w:sz w:val="22"/>
        </w:rPr>
        <w:t xml:space="preserve"> </w:t>
      </w:r>
      <w:r w:rsidRPr="005C36F7">
        <w:rPr>
          <w:rFonts w:ascii="Arial" w:hAnsi="Arial" w:cs="Arial"/>
          <w:color w:val="000000" w:themeColor="text1"/>
          <w:sz w:val="22"/>
        </w:rPr>
        <w:t>=</w:t>
      </w:r>
      <w:r w:rsidR="00264C97">
        <w:rPr>
          <w:rFonts w:ascii="Arial" w:hAnsi="Arial" w:cs="Arial"/>
          <w:color w:val="000000" w:themeColor="text1"/>
          <w:sz w:val="22"/>
        </w:rPr>
        <w:t xml:space="preserve"> </w:t>
      </w:r>
      <w:r w:rsidRPr="005C36F7">
        <w:rPr>
          <w:rFonts w:ascii="Arial" w:hAnsi="Arial" w:cs="Arial"/>
          <w:color w:val="000000" w:themeColor="text1"/>
          <w:sz w:val="22"/>
        </w:rPr>
        <w:t xml:space="preserve">0.165, </w:t>
      </w:r>
      <w:bookmarkStart w:id="10" w:name="OLE_LINK3"/>
      <w:bookmarkStart w:id="11" w:name="OLE_LINK4"/>
      <w:r w:rsidR="00BC7F07" w:rsidRPr="00BA7F41">
        <w:rPr>
          <w:rFonts w:ascii="Arial" w:hAnsi="Arial" w:cs="Arial"/>
          <w:i/>
          <w:iCs/>
          <w:color w:val="000000" w:themeColor="text1"/>
          <w:sz w:val="22"/>
        </w:rPr>
        <w:t>p</w:t>
      </w:r>
      <w:r w:rsidRPr="005C36F7">
        <w:rPr>
          <w:rFonts w:ascii="Arial" w:hAnsi="Arial" w:cs="Arial"/>
          <w:color w:val="000000" w:themeColor="text1"/>
          <w:sz w:val="22"/>
        </w:rPr>
        <w:t>&lt;</w:t>
      </w:r>
      <w:r w:rsidR="00264C97">
        <w:rPr>
          <w:rFonts w:ascii="Arial" w:hAnsi="Arial" w:cs="Arial"/>
          <w:color w:val="000000" w:themeColor="text1"/>
          <w:sz w:val="22"/>
        </w:rPr>
        <w:t xml:space="preserve"> </w:t>
      </w:r>
      <w:r w:rsidRPr="005C36F7">
        <w:rPr>
          <w:rFonts w:ascii="Arial" w:hAnsi="Arial" w:cs="Arial"/>
          <w:color w:val="000000" w:themeColor="text1"/>
          <w:sz w:val="22"/>
        </w:rPr>
        <w:t>0.01</w:t>
      </w:r>
      <w:bookmarkEnd w:id="10"/>
      <w:bookmarkEnd w:id="11"/>
      <w:r w:rsidRPr="005C36F7">
        <w:rPr>
          <w:rFonts w:ascii="Arial" w:hAnsi="Arial" w:cs="Arial"/>
          <w:color w:val="000000" w:themeColor="text1"/>
          <w:sz w:val="22"/>
        </w:rPr>
        <w:t>) and total score</w:t>
      </w:r>
      <w:r w:rsidR="00A37983" w:rsidRPr="005C36F7">
        <w:rPr>
          <w:rFonts w:ascii="Arial" w:hAnsi="Arial" w:cs="Arial"/>
          <w:color w:val="000000" w:themeColor="text1"/>
          <w:sz w:val="22"/>
        </w:rPr>
        <w:t xml:space="preserve"> </w:t>
      </w:r>
      <w:r w:rsidRPr="005C36F7">
        <w:rPr>
          <w:rFonts w:ascii="Arial" w:hAnsi="Arial" w:cs="Arial"/>
          <w:color w:val="000000" w:themeColor="text1"/>
          <w:sz w:val="22"/>
        </w:rPr>
        <w:t>(</w:t>
      </w:r>
      <w:r w:rsidR="00BC18A2" w:rsidRPr="005C36F7">
        <w:rPr>
          <w:rFonts w:ascii="Arial" w:hAnsi="Arial" w:cs="Arial"/>
          <w:color w:val="000000" w:themeColor="text1"/>
          <w:sz w:val="22"/>
        </w:rPr>
        <w:t>r</w:t>
      </w:r>
      <w:r w:rsidR="00264C97">
        <w:rPr>
          <w:rFonts w:ascii="Arial" w:hAnsi="Arial" w:cs="Arial"/>
          <w:color w:val="000000" w:themeColor="text1"/>
          <w:sz w:val="22"/>
        </w:rPr>
        <w:t xml:space="preserve"> </w:t>
      </w:r>
      <w:r w:rsidR="00BC18A2" w:rsidRPr="005C36F7">
        <w:rPr>
          <w:rFonts w:ascii="Arial" w:hAnsi="Arial" w:cs="Arial"/>
          <w:color w:val="000000" w:themeColor="text1"/>
          <w:sz w:val="22"/>
        </w:rPr>
        <w:t>=</w:t>
      </w:r>
      <w:r w:rsidR="00264C97">
        <w:rPr>
          <w:rFonts w:ascii="Arial" w:hAnsi="Arial" w:cs="Arial"/>
          <w:color w:val="000000" w:themeColor="text1"/>
          <w:sz w:val="22"/>
        </w:rPr>
        <w:t xml:space="preserve"> </w:t>
      </w:r>
      <w:r w:rsidR="00BC18A2" w:rsidRPr="005C36F7">
        <w:rPr>
          <w:rFonts w:ascii="Arial" w:hAnsi="Arial" w:cs="Arial"/>
          <w:color w:val="000000" w:themeColor="text1"/>
          <w:sz w:val="22"/>
        </w:rPr>
        <w:t xml:space="preserve">0.126, </w:t>
      </w:r>
      <w:r w:rsidR="00BC7F07" w:rsidRPr="00BA7F41">
        <w:rPr>
          <w:rFonts w:ascii="Arial" w:hAnsi="Arial" w:cs="Arial"/>
          <w:i/>
          <w:iCs/>
          <w:color w:val="000000" w:themeColor="text1"/>
          <w:sz w:val="22"/>
        </w:rPr>
        <w:t>p</w:t>
      </w:r>
      <w:r w:rsidR="00BC18A2" w:rsidRPr="005C36F7">
        <w:rPr>
          <w:rFonts w:ascii="Arial" w:hAnsi="Arial" w:cs="Arial"/>
          <w:color w:val="000000" w:themeColor="text1"/>
          <w:sz w:val="22"/>
        </w:rPr>
        <w:t>&lt;</w:t>
      </w:r>
      <w:r w:rsidR="00264C97">
        <w:rPr>
          <w:rFonts w:ascii="Arial" w:hAnsi="Arial" w:cs="Arial"/>
          <w:color w:val="000000" w:themeColor="text1"/>
          <w:sz w:val="22"/>
        </w:rPr>
        <w:t xml:space="preserve"> </w:t>
      </w:r>
      <w:r w:rsidR="00BC18A2" w:rsidRPr="005C36F7">
        <w:rPr>
          <w:rFonts w:ascii="Arial" w:hAnsi="Arial" w:cs="Arial"/>
          <w:color w:val="000000" w:themeColor="text1"/>
          <w:sz w:val="22"/>
        </w:rPr>
        <w:t>0.05</w:t>
      </w:r>
      <w:r w:rsidRPr="005C36F7">
        <w:rPr>
          <w:rFonts w:ascii="Arial" w:hAnsi="Arial" w:cs="Arial"/>
          <w:color w:val="000000" w:themeColor="text1"/>
          <w:sz w:val="22"/>
        </w:rPr>
        <w:t xml:space="preserve">), </w:t>
      </w:r>
      <w:r w:rsidR="00264C97">
        <w:rPr>
          <w:rFonts w:ascii="Arial" w:hAnsi="Arial" w:cs="Arial"/>
          <w:color w:val="000000" w:themeColor="text1"/>
          <w:sz w:val="22"/>
        </w:rPr>
        <w:t xml:space="preserve">the </w:t>
      </w:r>
      <w:r w:rsidR="00BC47E0" w:rsidRPr="005C36F7">
        <w:rPr>
          <w:rFonts w:ascii="Arial" w:hAnsi="Arial" w:cs="Arial"/>
          <w:color w:val="000000" w:themeColor="text1"/>
          <w:sz w:val="22"/>
        </w:rPr>
        <w:t xml:space="preserve">MCP1 level and </w:t>
      </w:r>
      <w:r w:rsidR="00264C97">
        <w:rPr>
          <w:rFonts w:ascii="Arial" w:hAnsi="Arial" w:cs="Arial"/>
          <w:color w:val="000000" w:themeColor="text1"/>
          <w:sz w:val="22"/>
        </w:rPr>
        <w:t xml:space="preserve">the </w:t>
      </w:r>
      <w:r w:rsidR="00BC47E0" w:rsidRPr="005C36F7">
        <w:rPr>
          <w:rFonts w:ascii="Arial" w:hAnsi="Arial" w:cs="Arial"/>
          <w:color w:val="000000" w:themeColor="text1"/>
          <w:sz w:val="22"/>
        </w:rPr>
        <w:t>depression score</w:t>
      </w:r>
      <w:r w:rsidR="00A37983" w:rsidRPr="005C36F7">
        <w:rPr>
          <w:rFonts w:ascii="Arial" w:hAnsi="Arial" w:cs="Arial"/>
          <w:color w:val="000000" w:themeColor="text1"/>
          <w:sz w:val="22"/>
        </w:rPr>
        <w:t xml:space="preserve"> </w:t>
      </w:r>
      <w:r w:rsidR="00BC47E0" w:rsidRPr="005C36F7">
        <w:rPr>
          <w:rFonts w:ascii="Arial" w:hAnsi="Arial" w:cs="Arial"/>
          <w:color w:val="000000" w:themeColor="text1"/>
          <w:sz w:val="22"/>
        </w:rPr>
        <w:t>(r</w:t>
      </w:r>
      <w:r w:rsidR="00264C97">
        <w:rPr>
          <w:rFonts w:ascii="Arial" w:hAnsi="Arial" w:cs="Arial"/>
          <w:color w:val="000000" w:themeColor="text1"/>
          <w:sz w:val="22"/>
        </w:rPr>
        <w:t xml:space="preserve"> </w:t>
      </w:r>
      <w:r w:rsidR="00BC47E0" w:rsidRPr="005C36F7">
        <w:rPr>
          <w:rFonts w:ascii="Arial" w:hAnsi="Arial" w:cs="Arial"/>
          <w:color w:val="000000" w:themeColor="text1"/>
          <w:sz w:val="22"/>
        </w:rPr>
        <w:t>=</w:t>
      </w:r>
      <w:r w:rsidR="00264C97">
        <w:rPr>
          <w:rFonts w:ascii="Arial" w:hAnsi="Arial" w:cs="Arial"/>
          <w:color w:val="000000" w:themeColor="text1"/>
          <w:sz w:val="22"/>
        </w:rPr>
        <w:t xml:space="preserve"> </w:t>
      </w:r>
      <w:r w:rsidR="00BC47E0" w:rsidRPr="005C36F7">
        <w:rPr>
          <w:rFonts w:ascii="Arial" w:hAnsi="Arial" w:cs="Arial"/>
          <w:color w:val="000000" w:themeColor="text1"/>
          <w:sz w:val="22"/>
        </w:rPr>
        <w:t xml:space="preserve">0.152, </w:t>
      </w:r>
      <w:r w:rsidR="00BC7F07" w:rsidRPr="00BA7F41">
        <w:rPr>
          <w:rFonts w:ascii="Arial" w:hAnsi="Arial" w:cs="Arial"/>
          <w:i/>
          <w:iCs/>
          <w:color w:val="000000" w:themeColor="text1"/>
          <w:sz w:val="22"/>
        </w:rPr>
        <w:t>p</w:t>
      </w:r>
      <w:r w:rsidR="00BC47E0" w:rsidRPr="005C36F7">
        <w:rPr>
          <w:rFonts w:ascii="Arial" w:hAnsi="Arial" w:cs="Arial"/>
          <w:color w:val="000000" w:themeColor="text1"/>
          <w:sz w:val="22"/>
        </w:rPr>
        <w:t>&lt;</w:t>
      </w:r>
      <w:r w:rsidR="00264C97">
        <w:rPr>
          <w:rFonts w:ascii="Arial" w:hAnsi="Arial" w:cs="Arial"/>
          <w:color w:val="000000" w:themeColor="text1"/>
          <w:sz w:val="22"/>
        </w:rPr>
        <w:t xml:space="preserve"> </w:t>
      </w:r>
      <w:r w:rsidR="00BC47E0" w:rsidRPr="005C36F7">
        <w:rPr>
          <w:rFonts w:ascii="Arial" w:hAnsi="Arial" w:cs="Arial"/>
          <w:color w:val="000000" w:themeColor="text1"/>
          <w:sz w:val="22"/>
        </w:rPr>
        <w:t>0.01), CCL18 level</w:t>
      </w:r>
      <w:r w:rsidR="00264C97">
        <w:rPr>
          <w:rFonts w:ascii="Arial" w:hAnsi="Arial" w:cs="Arial"/>
          <w:color w:val="000000" w:themeColor="text1"/>
          <w:sz w:val="22"/>
        </w:rPr>
        <w:t>s</w:t>
      </w:r>
      <w:r w:rsidR="00BC47E0" w:rsidRPr="005C36F7">
        <w:rPr>
          <w:rFonts w:ascii="Arial" w:hAnsi="Arial" w:cs="Arial"/>
          <w:color w:val="000000" w:themeColor="text1"/>
          <w:sz w:val="22"/>
        </w:rPr>
        <w:t xml:space="preserve"> and </w:t>
      </w:r>
      <w:r w:rsidR="00264C97">
        <w:rPr>
          <w:rFonts w:ascii="Arial" w:hAnsi="Arial" w:cs="Arial"/>
          <w:color w:val="000000" w:themeColor="text1"/>
          <w:sz w:val="22"/>
        </w:rPr>
        <w:t xml:space="preserve">the </w:t>
      </w:r>
      <w:r w:rsidR="00BC47E0" w:rsidRPr="005C36F7">
        <w:rPr>
          <w:rFonts w:ascii="Arial" w:hAnsi="Arial" w:cs="Arial"/>
          <w:color w:val="000000" w:themeColor="text1"/>
          <w:sz w:val="22"/>
        </w:rPr>
        <w:t>depression score</w:t>
      </w:r>
      <w:r w:rsidR="00570120" w:rsidRPr="005C36F7">
        <w:rPr>
          <w:rFonts w:ascii="Arial" w:hAnsi="Arial" w:cs="Arial"/>
          <w:color w:val="000000" w:themeColor="text1"/>
          <w:sz w:val="22"/>
        </w:rPr>
        <w:t xml:space="preserve"> </w:t>
      </w:r>
      <w:r w:rsidR="00BC47E0" w:rsidRPr="005C36F7">
        <w:rPr>
          <w:rFonts w:ascii="Arial" w:hAnsi="Arial" w:cs="Arial"/>
          <w:color w:val="000000" w:themeColor="text1"/>
          <w:sz w:val="22"/>
        </w:rPr>
        <w:t>(r</w:t>
      </w:r>
      <w:r w:rsidR="00264C97">
        <w:rPr>
          <w:rFonts w:ascii="Arial" w:hAnsi="Arial" w:cs="Arial"/>
          <w:color w:val="000000" w:themeColor="text1"/>
          <w:sz w:val="22"/>
        </w:rPr>
        <w:t xml:space="preserve"> </w:t>
      </w:r>
      <w:r w:rsidR="00BC47E0" w:rsidRPr="005C36F7">
        <w:rPr>
          <w:rFonts w:ascii="Arial" w:hAnsi="Arial" w:cs="Arial"/>
          <w:color w:val="000000" w:themeColor="text1"/>
          <w:sz w:val="22"/>
        </w:rPr>
        <w:t>=</w:t>
      </w:r>
      <w:r w:rsidR="00264C97">
        <w:rPr>
          <w:rFonts w:ascii="Arial" w:hAnsi="Arial" w:cs="Arial"/>
          <w:color w:val="000000" w:themeColor="text1"/>
          <w:sz w:val="22"/>
        </w:rPr>
        <w:t xml:space="preserve"> </w:t>
      </w:r>
      <w:r w:rsidR="00BC47E0" w:rsidRPr="005C36F7">
        <w:rPr>
          <w:rFonts w:ascii="Arial" w:hAnsi="Arial" w:cs="Arial"/>
          <w:color w:val="000000" w:themeColor="text1"/>
          <w:sz w:val="22"/>
        </w:rPr>
        <w:t xml:space="preserve">0.136, </w:t>
      </w:r>
      <w:r w:rsidR="00BC7F07" w:rsidRPr="00BA7F41">
        <w:rPr>
          <w:rFonts w:ascii="Arial" w:hAnsi="Arial" w:cs="Arial"/>
          <w:i/>
          <w:iCs/>
          <w:color w:val="000000" w:themeColor="text1"/>
          <w:sz w:val="22"/>
        </w:rPr>
        <w:t>p</w:t>
      </w:r>
      <w:r w:rsidR="00BC47E0" w:rsidRPr="005C36F7">
        <w:rPr>
          <w:rFonts w:ascii="Arial" w:hAnsi="Arial" w:cs="Arial"/>
          <w:color w:val="000000" w:themeColor="text1"/>
          <w:sz w:val="22"/>
        </w:rPr>
        <w:t>&lt;</w:t>
      </w:r>
      <w:r w:rsidR="00264C97">
        <w:rPr>
          <w:rFonts w:ascii="Arial" w:hAnsi="Arial" w:cs="Arial"/>
          <w:color w:val="000000" w:themeColor="text1"/>
          <w:sz w:val="22"/>
        </w:rPr>
        <w:t xml:space="preserve"> </w:t>
      </w:r>
      <w:r w:rsidR="00BC47E0" w:rsidRPr="005C36F7">
        <w:rPr>
          <w:rFonts w:ascii="Arial" w:hAnsi="Arial" w:cs="Arial"/>
          <w:color w:val="000000" w:themeColor="text1"/>
          <w:sz w:val="22"/>
        </w:rPr>
        <w:t>0.05) and total score</w:t>
      </w:r>
      <w:r w:rsidR="00264C97">
        <w:rPr>
          <w:rFonts w:ascii="Arial" w:hAnsi="Arial" w:cs="Arial"/>
          <w:color w:val="000000" w:themeColor="text1"/>
          <w:sz w:val="22"/>
        </w:rPr>
        <w:t xml:space="preserve"> </w:t>
      </w:r>
      <w:r w:rsidR="00BC47E0" w:rsidRPr="005C36F7">
        <w:rPr>
          <w:rFonts w:ascii="Arial" w:hAnsi="Arial" w:cs="Arial"/>
          <w:color w:val="000000" w:themeColor="text1"/>
          <w:sz w:val="22"/>
        </w:rPr>
        <w:t>(r</w:t>
      </w:r>
      <w:r w:rsidR="00264C97">
        <w:rPr>
          <w:rFonts w:ascii="Arial" w:hAnsi="Arial" w:cs="Arial"/>
          <w:color w:val="000000" w:themeColor="text1"/>
          <w:sz w:val="22"/>
        </w:rPr>
        <w:t xml:space="preserve"> </w:t>
      </w:r>
      <w:r w:rsidR="00BC47E0" w:rsidRPr="005C36F7">
        <w:rPr>
          <w:rFonts w:ascii="Arial" w:hAnsi="Arial" w:cs="Arial"/>
          <w:color w:val="000000" w:themeColor="text1"/>
          <w:sz w:val="22"/>
        </w:rPr>
        <w:t>=</w:t>
      </w:r>
      <w:r w:rsidR="00264C97">
        <w:rPr>
          <w:rFonts w:ascii="Arial" w:hAnsi="Arial" w:cs="Arial"/>
          <w:color w:val="000000" w:themeColor="text1"/>
          <w:sz w:val="22"/>
        </w:rPr>
        <w:t xml:space="preserve"> </w:t>
      </w:r>
      <w:r w:rsidR="00BC47E0" w:rsidRPr="005C36F7">
        <w:rPr>
          <w:rFonts w:ascii="Arial" w:hAnsi="Arial" w:cs="Arial"/>
          <w:color w:val="000000" w:themeColor="text1"/>
          <w:sz w:val="22"/>
        </w:rPr>
        <w:t xml:space="preserve">0.122, </w:t>
      </w:r>
      <w:r w:rsidR="00BC7F07" w:rsidRPr="00BA7F41">
        <w:rPr>
          <w:rFonts w:ascii="Arial" w:hAnsi="Arial" w:cs="Arial"/>
          <w:i/>
          <w:iCs/>
          <w:color w:val="000000" w:themeColor="text1"/>
          <w:sz w:val="22"/>
        </w:rPr>
        <w:t>p</w:t>
      </w:r>
      <w:r w:rsidR="00BC47E0" w:rsidRPr="005C36F7">
        <w:rPr>
          <w:rFonts w:ascii="Arial" w:hAnsi="Arial" w:cs="Arial"/>
          <w:color w:val="000000" w:themeColor="text1"/>
          <w:sz w:val="22"/>
        </w:rPr>
        <w:t>&lt;</w:t>
      </w:r>
      <w:r w:rsidR="00264C97">
        <w:rPr>
          <w:rFonts w:ascii="Arial" w:hAnsi="Arial" w:cs="Arial"/>
          <w:color w:val="000000" w:themeColor="text1"/>
          <w:sz w:val="22"/>
        </w:rPr>
        <w:t xml:space="preserve"> </w:t>
      </w:r>
      <w:r w:rsidR="00BC47E0" w:rsidRPr="005C36F7">
        <w:rPr>
          <w:rFonts w:ascii="Arial" w:hAnsi="Arial" w:cs="Arial"/>
          <w:color w:val="000000" w:themeColor="text1"/>
          <w:sz w:val="22"/>
        </w:rPr>
        <w:t>0.05), CCL17 level</w:t>
      </w:r>
      <w:r w:rsidR="00264C97">
        <w:rPr>
          <w:rFonts w:ascii="Arial" w:hAnsi="Arial" w:cs="Arial"/>
          <w:color w:val="000000" w:themeColor="text1"/>
          <w:sz w:val="22"/>
        </w:rPr>
        <w:t>s</w:t>
      </w:r>
      <w:r w:rsidR="00BC47E0" w:rsidRPr="005C36F7">
        <w:rPr>
          <w:rFonts w:ascii="Arial" w:hAnsi="Arial" w:cs="Arial"/>
          <w:color w:val="000000" w:themeColor="text1"/>
          <w:sz w:val="22"/>
        </w:rPr>
        <w:t xml:space="preserve"> and </w:t>
      </w:r>
      <w:r w:rsidR="00264C97">
        <w:rPr>
          <w:rFonts w:ascii="Arial" w:hAnsi="Arial" w:cs="Arial"/>
          <w:color w:val="000000" w:themeColor="text1"/>
          <w:sz w:val="22"/>
        </w:rPr>
        <w:t xml:space="preserve">the </w:t>
      </w:r>
      <w:r w:rsidR="00BC47E0" w:rsidRPr="005C36F7">
        <w:rPr>
          <w:rFonts w:ascii="Arial" w:hAnsi="Arial" w:cs="Arial"/>
          <w:color w:val="000000" w:themeColor="text1"/>
          <w:sz w:val="22"/>
        </w:rPr>
        <w:t>depression score</w:t>
      </w:r>
      <w:r w:rsidR="00570120" w:rsidRPr="005C36F7">
        <w:rPr>
          <w:rFonts w:ascii="Arial" w:hAnsi="Arial" w:cs="Arial"/>
          <w:color w:val="000000" w:themeColor="text1"/>
          <w:sz w:val="22"/>
        </w:rPr>
        <w:t xml:space="preserve"> </w:t>
      </w:r>
      <w:r w:rsidR="00BC47E0" w:rsidRPr="005C36F7">
        <w:rPr>
          <w:rFonts w:ascii="Arial" w:hAnsi="Arial" w:cs="Arial"/>
          <w:color w:val="000000" w:themeColor="text1"/>
          <w:sz w:val="22"/>
        </w:rPr>
        <w:t>(r</w:t>
      </w:r>
      <w:r w:rsidR="00264C97">
        <w:rPr>
          <w:rFonts w:ascii="Arial" w:hAnsi="Arial" w:cs="Arial"/>
          <w:color w:val="000000" w:themeColor="text1"/>
          <w:sz w:val="22"/>
        </w:rPr>
        <w:t xml:space="preserve"> </w:t>
      </w:r>
      <w:r w:rsidR="00BC47E0" w:rsidRPr="005C36F7">
        <w:rPr>
          <w:rFonts w:ascii="Arial" w:hAnsi="Arial" w:cs="Arial"/>
          <w:color w:val="000000" w:themeColor="text1"/>
          <w:sz w:val="22"/>
        </w:rPr>
        <w:t>=</w:t>
      </w:r>
      <w:r w:rsidR="00264C97">
        <w:rPr>
          <w:rFonts w:ascii="Arial" w:hAnsi="Arial" w:cs="Arial"/>
          <w:color w:val="000000" w:themeColor="text1"/>
          <w:sz w:val="22"/>
        </w:rPr>
        <w:t xml:space="preserve"> </w:t>
      </w:r>
      <w:r w:rsidR="00BC47E0" w:rsidRPr="005C36F7">
        <w:rPr>
          <w:rFonts w:ascii="Arial" w:hAnsi="Arial" w:cs="Arial"/>
          <w:color w:val="000000" w:themeColor="text1"/>
          <w:sz w:val="22"/>
        </w:rPr>
        <w:t>0.108,</w:t>
      </w:r>
      <w:r w:rsidR="00BC7F07" w:rsidRPr="00BC7F07">
        <w:rPr>
          <w:rFonts w:ascii="Arial" w:hAnsi="Arial" w:cs="Arial"/>
          <w:i/>
          <w:iCs/>
          <w:color w:val="000000" w:themeColor="text1"/>
          <w:sz w:val="22"/>
        </w:rPr>
        <w:t xml:space="preserve"> </w:t>
      </w:r>
      <w:r w:rsidR="00BC7F07" w:rsidRPr="00BA7F41">
        <w:rPr>
          <w:rFonts w:ascii="Arial" w:hAnsi="Arial" w:cs="Arial"/>
          <w:i/>
          <w:iCs/>
          <w:color w:val="000000" w:themeColor="text1"/>
          <w:sz w:val="22"/>
        </w:rPr>
        <w:t>p</w:t>
      </w:r>
      <w:r w:rsidR="00BC47E0" w:rsidRPr="005C36F7">
        <w:rPr>
          <w:rFonts w:ascii="Arial" w:hAnsi="Arial" w:cs="Arial"/>
          <w:color w:val="000000" w:themeColor="text1"/>
          <w:sz w:val="22"/>
        </w:rPr>
        <w:t>&lt;</w:t>
      </w:r>
      <w:r w:rsidR="00264C97">
        <w:rPr>
          <w:rFonts w:ascii="Arial" w:hAnsi="Arial" w:cs="Arial"/>
          <w:color w:val="000000" w:themeColor="text1"/>
          <w:sz w:val="22"/>
        </w:rPr>
        <w:t xml:space="preserve"> </w:t>
      </w:r>
      <w:r w:rsidR="00BC47E0" w:rsidRPr="005C36F7">
        <w:rPr>
          <w:rFonts w:ascii="Arial" w:hAnsi="Arial" w:cs="Arial"/>
          <w:color w:val="000000" w:themeColor="text1"/>
          <w:sz w:val="22"/>
        </w:rPr>
        <w:t>0.05), anxiety score</w:t>
      </w:r>
      <w:r w:rsidR="00570120" w:rsidRPr="005C36F7">
        <w:rPr>
          <w:rFonts w:ascii="Arial" w:hAnsi="Arial" w:cs="Arial"/>
          <w:color w:val="000000" w:themeColor="text1"/>
          <w:sz w:val="22"/>
        </w:rPr>
        <w:t xml:space="preserve"> </w:t>
      </w:r>
      <w:r w:rsidR="00BC47E0" w:rsidRPr="005C36F7">
        <w:rPr>
          <w:rFonts w:ascii="Arial" w:hAnsi="Arial" w:cs="Arial"/>
          <w:color w:val="000000" w:themeColor="text1"/>
          <w:sz w:val="22"/>
        </w:rPr>
        <w:t>(r</w:t>
      </w:r>
      <w:r w:rsidR="00264C97">
        <w:rPr>
          <w:rFonts w:ascii="Arial" w:hAnsi="Arial" w:cs="Arial"/>
          <w:color w:val="000000" w:themeColor="text1"/>
          <w:sz w:val="22"/>
        </w:rPr>
        <w:t xml:space="preserve"> </w:t>
      </w:r>
      <w:r w:rsidR="00BC47E0" w:rsidRPr="005C36F7">
        <w:rPr>
          <w:rFonts w:ascii="Arial" w:hAnsi="Arial" w:cs="Arial"/>
          <w:color w:val="000000" w:themeColor="text1"/>
          <w:sz w:val="22"/>
        </w:rPr>
        <w:t>=</w:t>
      </w:r>
      <w:r w:rsidR="00264C97">
        <w:rPr>
          <w:rFonts w:ascii="Arial" w:hAnsi="Arial" w:cs="Arial"/>
          <w:color w:val="000000" w:themeColor="text1"/>
          <w:sz w:val="22"/>
        </w:rPr>
        <w:t xml:space="preserve"> </w:t>
      </w:r>
      <w:r w:rsidR="00BC47E0" w:rsidRPr="005C36F7">
        <w:rPr>
          <w:rFonts w:ascii="Arial" w:hAnsi="Arial" w:cs="Arial"/>
          <w:color w:val="000000" w:themeColor="text1"/>
          <w:sz w:val="22"/>
        </w:rPr>
        <w:t xml:space="preserve">0.115, </w:t>
      </w:r>
      <w:r w:rsidR="00BC7F07" w:rsidRPr="00BA7F41">
        <w:rPr>
          <w:rFonts w:ascii="Arial" w:hAnsi="Arial" w:cs="Arial"/>
          <w:i/>
          <w:iCs/>
          <w:color w:val="000000" w:themeColor="text1"/>
          <w:sz w:val="22"/>
        </w:rPr>
        <w:t>p</w:t>
      </w:r>
      <w:r w:rsidR="00BC47E0" w:rsidRPr="005C36F7">
        <w:rPr>
          <w:rFonts w:ascii="Arial" w:hAnsi="Arial" w:cs="Arial"/>
          <w:color w:val="000000" w:themeColor="text1"/>
          <w:sz w:val="22"/>
        </w:rPr>
        <w:t>&lt;</w:t>
      </w:r>
      <w:r w:rsidR="00264C97">
        <w:rPr>
          <w:rFonts w:ascii="Arial" w:hAnsi="Arial" w:cs="Arial"/>
          <w:color w:val="000000" w:themeColor="text1"/>
          <w:sz w:val="22"/>
        </w:rPr>
        <w:t xml:space="preserve"> </w:t>
      </w:r>
      <w:r w:rsidR="00BC47E0" w:rsidRPr="005C36F7">
        <w:rPr>
          <w:rFonts w:ascii="Arial" w:hAnsi="Arial" w:cs="Arial"/>
          <w:color w:val="000000" w:themeColor="text1"/>
          <w:sz w:val="22"/>
        </w:rPr>
        <w:t xml:space="preserve">0.05) and </w:t>
      </w:r>
      <w:r w:rsidR="00264C97">
        <w:rPr>
          <w:rFonts w:ascii="Arial" w:hAnsi="Arial" w:cs="Arial"/>
          <w:color w:val="000000" w:themeColor="text1"/>
          <w:sz w:val="22"/>
        </w:rPr>
        <w:t xml:space="preserve">the </w:t>
      </w:r>
      <w:r w:rsidR="00BC47E0" w:rsidRPr="005C36F7">
        <w:rPr>
          <w:rFonts w:ascii="Arial" w:hAnsi="Arial" w:cs="Arial"/>
          <w:color w:val="000000" w:themeColor="text1"/>
          <w:sz w:val="22"/>
        </w:rPr>
        <w:t>total score</w:t>
      </w:r>
      <w:r w:rsidR="006E46B2" w:rsidRPr="005C36F7">
        <w:rPr>
          <w:rFonts w:ascii="Arial" w:hAnsi="Arial" w:cs="Arial"/>
          <w:color w:val="000000" w:themeColor="text1"/>
          <w:sz w:val="22"/>
        </w:rPr>
        <w:t xml:space="preserve"> </w:t>
      </w:r>
      <w:r w:rsidR="00BC47E0" w:rsidRPr="005C36F7">
        <w:rPr>
          <w:rFonts w:ascii="Arial" w:hAnsi="Arial" w:cs="Arial"/>
          <w:color w:val="000000" w:themeColor="text1"/>
          <w:sz w:val="22"/>
        </w:rPr>
        <w:t>(r</w:t>
      </w:r>
      <w:r w:rsidR="00264C97">
        <w:rPr>
          <w:rFonts w:ascii="Arial" w:hAnsi="Arial" w:cs="Arial"/>
          <w:color w:val="000000" w:themeColor="text1"/>
          <w:sz w:val="22"/>
        </w:rPr>
        <w:t xml:space="preserve"> </w:t>
      </w:r>
      <w:r w:rsidR="00BC47E0" w:rsidRPr="005C36F7">
        <w:rPr>
          <w:rFonts w:ascii="Arial" w:hAnsi="Arial" w:cs="Arial"/>
          <w:color w:val="000000" w:themeColor="text1"/>
          <w:sz w:val="22"/>
        </w:rPr>
        <w:t>=</w:t>
      </w:r>
      <w:r w:rsidR="00264C97">
        <w:rPr>
          <w:rFonts w:ascii="Arial" w:hAnsi="Arial" w:cs="Arial"/>
          <w:color w:val="000000" w:themeColor="text1"/>
          <w:sz w:val="22"/>
        </w:rPr>
        <w:t xml:space="preserve"> </w:t>
      </w:r>
      <w:r w:rsidR="00BC47E0" w:rsidRPr="005C36F7">
        <w:rPr>
          <w:rFonts w:ascii="Arial" w:hAnsi="Arial" w:cs="Arial"/>
          <w:color w:val="000000" w:themeColor="text1"/>
          <w:sz w:val="22"/>
        </w:rPr>
        <w:t xml:space="preserve">0.116, </w:t>
      </w:r>
      <w:r w:rsidR="00BC7F07" w:rsidRPr="00BA7F41">
        <w:rPr>
          <w:rFonts w:ascii="Arial" w:hAnsi="Arial" w:cs="Arial"/>
          <w:i/>
          <w:iCs/>
          <w:color w:val="000000" w:themeColor="text1"/>
          <w:sz w:val="22"/>
        </w:rPr>
        <w:t>p</w:t>
      </w:r>
      <w:r w:rsidR="00BC47E0" w:rsidRPr="005C36F7">
        <w:rPr>
          <w:rFonts w:ascii="Arial" w:hAnsi="Arial" w:cs="Arial"/>
          <w:color w:val="000000" w:themeColor="text1"/>
          <w:sz w:val="22"/>
        </w:rPr>
        <w:t>&lt;</w:t>
      </w:r>
      <w:r w:rsidR="00264C97">
        <w:rPr>
          <w:rFonts w:ascii="Arial" w:hAnsi="Arial" w:cs="Arial"/>
          <w:color w:val="000000" w:themeColor="text1"/>
          <w:sz w:val="22"/>
        </w:rPr>
        <w:t xml:space="preserve"> </w:t>
      </w:r>
      <w:r w:rsidR="00BC47E0" w:rsidRPr="005C36F7">
        <w:rPr>
          <w:rFonts w:ascii="Arial" w:hAnsi="Arial" w:cs="Arial"/>
          <w:color w:val="000000" w:themeColor="text1"/>
          <w:sz w:val="22"/>
        </w:rPr>
        <w:t>0.05)</w:t>
      </w:r>
      <w:r w:rsidR="002A1C27" w:rsidRPr="005C36F7">
        <w:rPr>
          <w:rFonts w:ascii="Arial" w:hAnsi="Arial" w:cs="Arial"/>
          <w:color w:val="000000" w:themeColor="text1"/>
          <w:sz w:val="22"/>
        </w:rPr>
        <w:t xml:space="preserve"> (Table</w:t>
      </w:r>
      <w:r w:rsidR="00C00612">
        <w:rPr>
          <w:rFonts w:ascii="Arial" w:hAnsi="Arial" w:cs="Arial"/>
          <w:color w:val="000000" w:themeColor="text1"/>
          <w:sz w:val="22"/>
        </w:rPr>
        <w:t xml:space="preserve"> </w:t>
      </w:r>
      <w:r w:rsidR="002A1C27" w:rsidRPr="005C36F7">
        <w:rPr>
          <w:rFonts w:ascii="Arial" w:hAnsi="Arial" w:cs="Arial"/>
          <w:color w:val="000000" w:themeColor="text1"/>
          <w:sz w:val="22"/>
        </w:rPr>
        <w:t>4).</w:t>
      </w:r>
      <w:r w:rsidR="00B35B7C" w:rsidRPr="005C36F7">
        <w:rPr>
          <w:rFonts w:ascii="Arial" w:hAnsi="Arial" w:cs="Arial"/>
          <w:color w:val="000000" w:themeColor="text1"/>
          <w:sz w:val="22"/>
        </w:rPr>
        <w:t xml:space="preserve"> </w:t>
      </w:r>
      <w:proofErr w:type="gramStart"/>
      <w:r w:rsidR="00B35B7C" w:rsidRPr="005C36F7">
        <w:rPr>
          <w:rFonts w:ascii="Arial" w:hAnsi="Arial" w:cs="Arial"/>
          <w:color w:val="000000" w:themeColor="text1"/>
          <w:sz w:val="22"/>
        </w:rPr>
        <w:t xml:space="preserve">After controlling </w:t>
      </w:r>
      <w:r w:rsidR="00B20CD4" w:rsidRPr="005C36F7">
        <w:rPr>
          <w:rFonts w:ascii="Arial" w:hAnsi="Arial" w:cs="Arial"/>
          <w:color w:val="000000" w:themeColor="text1"/>
          <w:sz w:val="22"/>
        </w:rPr>
        <w:t xml:space="preserve">for </w:t>
      </w:r>
      <w:r w:rsidR="00B35B7C" w:rsidRPr="005C36F7">
        <w:rPr>
          <w:rFonts w:ascii="Arial" w:hAnsi="Arial" w:cs="Arial"/>
          <w:color w:val="000000" w:themeColor="text1"/>
          <w:sz w:val="22"/>
        </w:rPr>
        <w:t xml:space="preserve">gender, age and </w:t>
      </w:r>
      <w:r w:rsidR="00A37983" w:rsidRPr="005C36F7">
        <w:rPr>
          <w:rFonts w:ascii="Arial" w:hAnsi="Arial" w:cs="Arial"/>
          <w:color w:val="000000" w:themeColor="text1"/>
          <w:sz w:val="22"/>
        </w:rPr>
        <w:t>ethnicity</w:t>
      </w:r>
      <w:r w:rsidR="00B35B7C" w:rsidRPr="005C36F7">
        <w:rPr>
          <w:rFonts w:ascii="Arial" w:hAnsi="Arial" w:cs="Arial"/>
          <w:color w:val="000000" w:themeColor="text1"/>
          <w:sz w:val="22"/>
        </w:rPr>
        <w:t>, there</w:t>
      </w:r>
      <w:proofErr w:type="gramEnd"/>
      <w:r w:rsidR="00B35B7C" w:rsidRPr="005C36F7">
        <w:rPr>
          <w:rFonts w:ascii="Arial" w:hAnsi="Arial" w:cs="Arial"/>
          <w:color w:val="000000" w:themeColor="text1"/>
          <w:sz w:val="22"/>
        </w:rPr>
        <w:t xml:space="preserve"> was only </w:t>
      </w:r>
      <w:r w:rsidR="00A37983" w:rsidRPr="005C36F7">
        <w:rPr>
          <w:rFonts w:ascii="Arial" w:hAnsi="Arial" w:cs="Arial"/>
          <w:color w:val="000000" w:themeColor="text1"/>
          <w:sz w:val="22"/>
        </w:rPr>
        <w:t xml:space="preserve">a </w:t>
      </w:r>
      <w:r w:rsidR="00B35B7C" w:rsidRPr="005C36F7">
        <w:rPr>
          <w:rFonts w:ascii="Arial" w:hAnsi="Arial" w:cs="Arial"/>
          <w:color w:val="000000" w:themeColor="text1"/>
          <w:sz w:val="22"/>
        </w:rPr>
        <w:t>positive correlation between serum IL6 level</w:t>
      </w:r>
      <w:r w:rsidR="00264C97">
        <w:rPr>
          <w:rFonts w:ascii="Arial" w:hAnsi="Arial" w:cs="Arial"/>
          <w:color w:val="000000" w:themeColor="text1"/>
          <w:sz w:val="22"/>
        </w:rPr>
        <w:t>s</w:t>
      </w:r>
      <w:r w:rsidR="00B35B7C" w:rsidRPr="005C36F7">
        <w:rPr>
          <w:rFonts w:ascii="Arial" w:hAnsi="Arial" w:cs="Arial"/>
          <w:color w:val="000000" w:themeColor="text1"/>
          <w:sz w:val="22"/>
        </w:rPr>
        <w:t xml:space="preserve"> and </w:t>
      </w:r>
      <w:r w:rsidR="00264C97">
        <w:rPr>
          <w:rFonts w:ascii="Arial" w:hAnsi="Arial" w:cs="Arial"/>
          <w:color w:val="000000" w:themeColor="text1"/>
          <w:sz w:val="22"/>
        </w:rPr>
        <w:t xml:space="preserve">the </w:t>
      </w:r>
      <w:r w:rsidR="00B35B7C" w:rsidRPr="005C36F7">
        <w:rPr>
          <w:rFonts w:ascii="Arial" w:hAnsi="Arial" w:cs="Arial"/>
          <w:color w:val="000000" w:themeColor="text1"/>
          <w:sz w:val="22"/>
        </w:rPr>
        <w:t>depression score</w:t>
      </w:r>
      <w:r w:rsidR="00A37983" w:rsidRPr="005C36F7">
        <w:rPr>
          <w:rFonts w:ascii="Arial" w:hAnsi="Arial" w:cs="Arial"/>
          <w:color w:val="000000" w:themeColor="text1"/>
          <w:sz w:val="22"/>
        </w:rPr>
        <w:t xml:space="preserve"> </w:t>
      </w:r>
      <w:r w:rsidR="00F07B73" w:rsidRPr="005C36F7">
        <w:rPr>
          <w:rFonts w:ascii="Arial" w:hAnsi="Arial" w:cs="Arial"/>
          <w:color w:val="000000" w:themeColor="text1"/>
          <w:sz w:val="22"/>
        </w:rPr>
        <w:t>(r</w:t>
      </w:r>
      <w:r w:rsidR="00264C97">
        <w:rPr>
          <w:rFonts w:ascii="Arial" w:hAnsi="Arial" w:cs="Arial"/>
          <w:color w:val="000000" w:themeColor="text1"/>
          <w:sz w:val="22"/>
        </w:rPr>
        <w:t xml:space="preserve"> </w:t>
      </w:r>
      <w:r w:rsidR="00F07B73" w:rsidRPr="005C36F7">
        <w:rPr>
          <w:rFonts w:ascii="Arial" w:hAnsi="Arial" w:cs="Arial"/>
          <w:color w:val="000000" w:themeColor="text1"/>
          <w:sz w:val="22"/>
        </w:rPr>
        <w:t>=</w:t>
      </w:r>
      <w:r w:rsidR="00264C97">
        <w:rPr>
          <w:rFonts w:ascii="Arial" w:hAnsi="Arial" w:cs="Arial"/>
          <w:color w:val="000000" w:themeColor="text1"/>
          <w:sz w:val="22"/>
        </w:rPr>
        <w:t xml:space="preserve"> </w:t>
      </w:r>
      <w:r w:rsidR="00F07B73" w:rsidRPr="005C36F7">
        <w:rPr>
          <w:rFonts w:ascii="Arial" w:hAnsi="Arial" w:cs="Arial"/>
          <w:color w:val="000000" w:themeColor="text1"/>
          <w:sz w:val="22"/>
        </w:rPr>
        <w:t xml:space="preserve">0.131, </w:t>
      </w:r>
      <w:r w:rsidR="00BC7F07" w:rsidRPr="00BA7F41">
        <w:rPr>
          <w:rFonts w:ascii="Arial" w:hAnsi="Arial" w:cs="Arial"/>
          <w:i/>
          <w:iCs/>
          <w:color w:val="000000" w:themeColor="text1"/>
          <w:sz w:val="22"/>
        </w:rPr>
        <w:t>p</w:t>
      </w:r>
      <w:r w:rsidR="00F07B73" w:rsidRPr="005C36F7">
        <w:rPr>
          <w:rFonts w:ascii="Arial" w:hAnsi="Arial" w:cs="Arial"/>
          <w:color w:val="000000" w:themeColor="text1"/>
          <w:sz w:val="22"/>
        </w:rPr>
        <w:t>&lt;</w:t>
      </w:r>
      <w:r w:rsidR="00264C97">
        <w:rPr>
          <w:rFonts w:ascii="Arial" w:hAnsi="Arial" w:cs="Arial"/>
          <w:color w:val="000000" w:themeColor="text1"/>
          <w:sz w:val="22"/>
        </w:rPr>
        <w:t xml:space="preserve"> </w:t>
      </w:r>
      <w:r w:rsidR="00F07B73" w:rsidRPr="005C36F7">
        <w:rPr>
          <w:rFonts w:ascii="Arial" w:hAnsi="Arial" w:cs="Arial"/>
          <w:color w:val="000000" w:themeColor="text1"/>
          <w:sz w:val="22"/>
        </w:rPr>
        <w:t>0.05)</w:t>
      </w:r>
      <w:r w:rsidR="000B4840" w:rsidRPr="005C36F7">
        <w:rPr>
          <w:rFonts w:ascii="Arial" w:hAnsi="Arial" w:cs="Arial"/>
          <w:color w:val="000000" w:themeColor="text1"/>
          <w:sz w:val="22"/>
        </w:rPr>
        <w:t>.</w:t>
      </w:r>
      <w:r w:rsidR="00A37983" w:rsidRPr="005C36F7">
        <w:rPr>
          <w:rFonts w:ascii="Arial" w:hAnsi="Arial" w:cs="Arial"/>
          <w:color w:val="000000" w:themeColor="text1"/>
          <w:sz w:val="22"/>
        </w:rPr>
        <w:t xml:space="preserve"> </w:t>
      </w:r>
      <w:r w:rsidR="001648B8" w:rsidRPr="005C36F7">
        <w:rPr>
          <w:rFonts w:ascii="Arial" w:hAnsi="Arial" w:cs="Arial"/>
          <w:color w:val="000000" w:themeColor="text1"/>
          <w:sz w:val="22"/>
        </w:rPr>
        <w:t xml:space="preserve">After controlling </w:t>
      </w:r>
      <w:r w:rsidR="00A37983" w:rsidRPr="005C36F7">
        <w:rPr>
          <w:rFonts w:ascii="Arial" w:hAnsi="Arial" w:cs="Arial"/>
          <w:color w:val="000000" w:themeColor="text1"/>
          <w:sz w:val="22"/>
        </w:rPr>
        <w:t xml:space="preserve">for </w:t>
      </w:r>
      <w:r w:rsidR="00986E80" w:rsidRPr="005C36F7">
        <w:rPr>
          <w:rFonts w:ascii="Arial" w:hAnsi="Arial" w:cs="Arial"/>
          <w:color w:val="000000" w:themeColor="text1"/>
          <w:sz w:val="22"/>
        </w:rPr>
        <w:t>anxiety</w:t>
      </w:r>
      <w:r w:rsidR="00A37983" w:rsidRPr="005C36F7">
        <w:rPr>
          <w:rFonts w:ascii="Arial" w:hAnsi="Arial" w:cs="Arial"/>
          <w:color w:val="000000" w:themeColor="text1"/>
          <w:sz w:val="22"/>
        </w:rPr>
        <w:t xml:space="preserve">, this association remained significant </w:t>
      </w:r>
      <w:r w:rsidR="001648B8" w:rsidRPr="005C36F7">
        <w:rPr>
          <w:rFonts w:ascii="Arial" w:hAnsi="Arial" w:cs="Arial"/>
          <w:color w:val="000000" w:themeColor="text1"/>
          <w:sz w:val="22"/>
        </w:rPr>
        <w:t>(r</w:t>
      </w:r>
      <w:r w:rsidR="00264C97">
        <w:rPr>
          <w:rFonts w:ascii="Arial" w:hAnsi="Arial" w:cs="Arial"/>
          <w:color w:val="000000" w:themeColor="text1"/>
          <w:sz w:val="22"/>
        </w:rPr>
        <w:t xml:space="preserve"> </w:t>
      </w:r>
      <w:r w:rsidR="001648B8" w:rsidRPr="005C36F7">
        <w:rPr>
          <w:rFonts w:ascii="Arial" w:hAnsi="Arial" w:cs="Arial"/>
          <w:color w:val="000000" w:themeColor="text1"/>
          <w:sz w:val="22"/>
        </w:rPr>
        <w:t>=</w:t>
      </w:r>
      <w:r w:rsidR="00264C97">
        <w:rPr>
          <w:rFonts w:ascii="Arial" w:hAnsi="Arial" w:cs="Arial"/>
          <w:color w:val="000000" w:themeColor="text1"/>
          <w:sz w:val="22"/>
        </w:rPr>
        <w:t xml:space="preserve"> </w:t>
      </w:r>
      <w:r w:rsidR="001648B8" w:rsidRPr="005C36F7">
        <w:rPr>
          <w:rFonts w:ascii="Arial" w:hAnsi="Arial" w:cs="Arial"/>
          <w:color w:val="000000" w:themeColor="text1"/>
          <w:sz w:val="22"/>
        </w:rPr>
        <w:t xml:space="preserve">0.144, </w:t>
      </w:r>
      <w:r w:rsidR="00BC7F07" w:rsidRPr="00BA7F41">
        <w:rPr>
          <w:rFonts w:ascii="Arial" w:hAnsi="Arial" w:cs="Arial"/>
          <w:i/>
          <w:iCs/>
          <w:color w:val="000000" w:themeColor="text1"/>
          <w:sz w:val="22"/>
        </w:rPr>
        <w:t>p</w:t>
      </w:r>
      <w:r w:rsidR="001648B8" w:rsidRPr="005C36F7">
        <w:rPr>
          <w:rFonts w:ascii="Arial" w:hAnsi="Arial" w:cs="Arial"/>
          <w:color w:val="000000" w:themeColor="text1"/>
          <w:sz w:val="22"/>
        </w:rPr>
        <w:t>&lt;</w:t>
      </w:r>
      <w:r w:rsidR="00570120" w:rsidRPr="005C36F7">
        <w:rPr>
          <w:rFonts w:ascii="Arial" w:hAnsi="Arial" w:cs="Arial"/>
          <w:color w:val="000000" w:themeColor="text1"/>
          <w:sz w:val="22"/>
        </w:rPr>
        <w:t xml:space="preserve"> </w:t>
      </w:r>
      <w:r w:rsidR="001648B8" w:rsidRPr="005C36F7">
        <w:rPr>
          <w:rFonts w:ascii="Arial" w:hAnsi="Arial" w:cs="Arial"/>
          <w:color w:val="000000" w:themeColor="text1"/>
          <w:sz w:val="22"/>
        </w:rPr>
        <w:t>0.05).</w:t>
      </w:r>
      <w:r w:rsidR="000B4840" w:rsidRPr="005C36F7">
        <w:rPr>
          <w:rFonts w:ascii="Arial" w:hAnsi="Arial" w:cs="Arial"/>
          <w:color w:val="000000" w:themeColor="text1"/>
          <w:sz w:val="22"/>
        </w:rPr>
        <w:t xml:space="preserve"> </w:t>
      </w:r>
      <w:r w:rsidR="00F93B50">
        <w:rPr>
          <w:rFonts w:ascii="Arial" w:hAnsi="Arial" w:cs="Arial"/>
          <w:color w:val="000000" w:themeColor="text1"/>
          <w:sz w:val="22"/>
        </w:rPr>
        <w:t>Correlation analysis</w:t>
      </w:r>
      <w:r w:rsidR="00EB231C">
        <w:rPr>
          <w:rFonts w:ascii="Arial" w:hAnsi="Arial" w:cs="Arial"/>
          <w:color w:val="000000" w:themeColor="text1"/>
          <w:sz w:val="22"/>
        </w:rPr>
        <w:t xml:space="preserve"> </w:t>
      </w:r>
      <w:r w:rsidR="00F93B50">
        <w:rPr>
          <w:rFonts w:ascii="Arial" w:hAnsi="Arial" w:cs="Arial"/>
          <w:color w:val="000000" w:themeColor="text1"/>
          <w:sz w:val="22"/>
        </w:rPr>
        <w:t xml:space="preserve">was also conducted between inflammatory markers </w:t>
      </w:r>
      <w:r w:rsidR="00853C22">
        <w:rPr>
          <w:rFonts w:ascii="Arial" w:hAnsi="Arial" w:cs="Arial"/>
          <w:color w:val="000000" w:themeColor="text1"/>
          <w:sz w:val="22"/>
        </w:rPr>
        <w:t xml:space="preserve">for air flow obstruction and HADS scores. There </w:t>
      </w:r>
      <w:r w:rsidR="00123C9D" w:rsidRPr="00123C9D">
        <w:rPr>
          <w:rFonts w:ascii="Arial" w:hAnsi="Arial" w:cs="Arial"/>
          <w:color w:val="000000" w:themeColor="text1"/>
          <w:sz w:val="22"/>
        </w:rPr>
        <w:t>was a small negative correlation between eosinophil count and HADS, and also a small negative correlation between FeNO and HADS in sever smoking asthma patients, see Table</w:t>
      </w:r>
      <w:r w:rsidR="00123C9D">
        <w:rPr>
          <w:rFonts w:ascii="Arial" w:hAnsi="Arial" w:cs="Arial"/>
          <w:color w:val="000000" w:themeColor="text1"/>
          <w:sz w:val="22"/>
        </w:rPr>
        <w:t xml:space="preserve"> 5. </w:t>
      </w:r>
      <w:r w:rsidR="00123C9D" w:rsidRPr="00123C9D">
        <w:rPr>
          <w:rFonts w:ascii="Arial" w:hAnsi="Arial" w:cs="Arial"/>
          <w:color w:val="000000" w:themeColor="text1"/>
          <w:sz w:val="22"/>
        </w:rPr>
        <w:t xml:space="preserve">  </w:t>
      </w:r>
    </w:p>
    <w:p w14:paraId="61FC99C8" w14:textId="32A47DAD" w:rsidR="00C00612" w:rsidRDefault="00C00612" w:rsidP="00740FA2">
      <w:pPr>
        <w:rPr>
          <w:rFonts w:ascii="Arial" w:hAnsi="Arial" w:cs="Arial"/>
          <w:color w:val="000000" w:themeColor="text1"/>
          <w:sz w:val="22"/>
        </w:rPr>
      </w:pPr>
    </w:p>
    <w:p w14:paraId="2D7E023A" w14:textId="33AE9F18" w:rsidR="00C00612" w:rsidRPr="00853741" w:rsidRDefault="00C00612" w:rsidP="00C00612">
      <w:pPr>
        <w:jc w:val="center"/>
        <w:rPr>
          <w:b/>
        </w:rPr>
      </w:pPr>
      <w:r>
        <w:rPr>
          <w:rFonts w:hint="eastAsia"/>
          <w:b/>
        </w:rPr>
        <w:t>Table</w:t>
      </w:r>
      <w:r>
        <w:rPr>
          <w:b/>
        </w:rPr>
        <w:t xml:space="preserve"> </w:t>
      </w:r>
      <w:r>
        <w:rPr>
          <w:rFonts w:hint="eastAsia"/>
          <w:b/>
        </w:rPr>
        <w:t xml:space="preserve">4 </w:t>
      </w:r>
      <w:r w:rsidRPr="00A2013D">
        <w:rPr>
          <w:rFonts w:hint="eastAsia"/>
          <w:b/>
        </w:rPr>
        <w:t>Correl</w:t>
      </w:r>
      <w:r>
        <w:rPr>
          <w:rFonts w:hint="eastAsia"/>
          <w:b/>
        </w:rPr>
        <w:t xml:space="preserve">ations between </w:t>
      </w:r>
      <w:r w:rsidR="00674122">
        <w:rPr>
          <w:b/>
        </w:rPr>
        <w:t>i</w:t>
      </w:r>
      <w:r w:rsidR="00674122" w:rsidRPr="00DC1E6F">
        <w:rPr>
          <w:b/>
        </w:rPr>
        <w:t>nflammatory</w:t>
      </w:r>
      <w:r w:rsidR="00674122">
        <w:rPr>
          <w:rFonts w:hint="eastAsia"/>
          <w:b/>
        </w:rPr>
        <w:t xml:space="preserve"> </w:t>
      </w:r>
      <w:r w:rsidR="00674122">
        <w:rPr>
          <w:b/>
        </w:rPr>
        <w:t>m</w:t>
      </w:r>
      <w:r w:rsidR="00674122" w:rsidRPr="006B6AC0">
        <w:rPr>
          <w:b/>
        </w:rPr>
        <w:t>arkers</w:t>
      </w:r>
      <w:r w:rsidR="00674122" w:rsidRPr="00A2013D">
        <w:rPr>
          <w:rFonts w:hint="eastAsia"/>
          <w:b/>
        </w:rPr>
        <w:t xml:space="preserve"> </w:t>
      </w:r>
      <w:r w:rsidRPr="00A2013D">
        <w:rPr>
          <w:rFonts w:hint="eastAsia"/>
          <w:b/>
        </w:rPr>
        <w:t>and HADS</w:t>
      </w:r>
      <w:r>
        <w:rPr>
          <w:rFonts w:hint="eastAsia"/>
          <w:b/>
        </w:rPr>
        <w:t xml:space="preserve"> in asthma patients</w:t>
      </w:r>
    </w:p>
    <w:tbl>
      <w:tblPr>
        <w:tblStyle w:val="TableGrid"/>
        <w:tblW w:w="8613" w:type="dxa"/>
        <w:tblLook w:val="04A0" w:firstRow="1" w:lastRow="0" w:firstColumn="1" w:lastColumn="0" w:noHBand="0" w:noVBand="1"/>
      </w:tblPr>
      <w:tblGrid>
        <w:gridCol w:w="1526"/>
        <w:gridCol w:w="2410"/>
        <w:gridCol w:w="2268"/>
        <w:gridCol w:w="2409"/>
      </w:tblGrid>
      <w:tr w:rsidR="00C00612" w14:paraId="796C4B8E" w14:textId="77777777" w:rsidTr="00324A33">
        <w:tc>
          <w:tcPr>
            <w:tcW w:w="1526" w:type="dxa"/>
            <w:tcBorders>
              <w:left w:val="nil"/>
              <w:bottom w:val="single" w:sz="4" w:space="0" w:color="auto"/>
              <w:right w:val="nil"/>
            </w:tcBorders>
          </w:tcPr>
          <w:p w14:paraId="5628352C" w14:textId="77777777" w:rsidR="00C00612" w:rsidRDefault="00C00612" w:rsidP="00324A33">
            <w:pPr>
              <w:jc w:val="center"/>
            </w:pPr>
          </w:p>
        </w:tc>
        <w:tc>
          <w:tcPr>
            <w:tcW w:w="2410" w:type="dxa"/>
            <w:tcBorders>
              <w:left w:val="nil"/>
              <w:bottom w:val="single" w:sz="4" w:space="0" w:color="auto"/>
              <w:right w:val="nil"/>
            </w:tcBorders>
          </w:tcPr>
          <w:p w14:paraId="5F8CCB79" w14:textId="77777777" w:rsidR="00C00612" w:rsidRDefault="00C00612" w:rsidP="00324A33">
            <w:pPr>
              <w:jc w:val="center"/>
              <w:rPr>
                <w:b/>
              </w:rPr>
            </w:pPr>
            <w:r w:rsidRPr="00FD419F">
              <w:rPr>
                <w:b/>
              </w:rPr>
              <w:t>HADS_D</w:t>
            </w:r>
          </w:p>
          <w:p w14:paraId="3766CFC7" w14:textId="77777777" w:rsidR="00C00612" w:rsidRPr="00FD419F" w:rsidRDefault="00C00612" w:rsidP="00324A33">
            <w:pPr>
              <w:jc w:val="center"/>
              <w:rPr>
                <w:b/>
              </w:rPr>
            </w:pPr>
            <w:r w:rsidRPr="0059479B">
              <w:rPr>
                <w:b/>
                <w:i/>
              </w:rPr>
              <w:t>p</w:t>
            </w:r>
          </w:p>
        </w:tc>
        <w:tc>
          <w:tcPr>
            <w:tcW w:w="2268" w:type="dxa"/>
            <w:tcBorders>
              <w:left w:val="nil"/>
              <w:bottom w:val="single" w:sz="4" w:space="0" w:color="auto"/>
              <w:right w:val="nil"/>
            </w:tcBorders>
          </w:tcPr>
          <w:p w14:paraId="7E3DD191" w14:textId="77777777" w:rsidR="00C00612" w:rsidRDefault="00C00612" w:rsidP="00324A33">
            <w:pPr>
              <w:jc w:val="center"/>
              <w:rPr>
                <w:b/>
              </w:rPr>
            </w:pPr>
            <w:r w:rsidRPr="00FD419F">
              <w:rPr>
                <w:b/>
              </w:rPr>
              <w:t>HADS_A</w:t>
            </w:r>
          </w:p>
          <w:p w14:paraId="249DA46F" w14:textId="77777777" w:rsidR="00C00612" w:rsidRPr="00FD419F" w:rsidRDefault="00C00612" w:rsidP="00324A33">
            <w:pPr>
              <w:jc w:val="center"/>
              <w:rPr>
                <w:b/>
              </w:rPr>
            </w:pPr>
            <w:r w:rsidRPr="0059479B">
              <w:rPr>
                <w:b/>
                <w:i/>
              </w:rPr>
              <w:t>p</w:t>
            </w:r>
          </w:p>
        </w:tc>
        <w:tc>
          <w:tcPr>
            <w:tcW w:w="2409" w:type="dxa"/>
            <w:tcBorders>
              <w:left w:val="nil"/>
              <w:bottom w:val="single" w:sz="4" w:space="0" w:color="auto"/>
              <w:right w:val="nil"/>
            </w:tcBorders>
          </w:tcPr>
          <w:p w14:paraId="4EB9FA6F" w14:textId="77777777" w:rsidR="00C00612" w:rsidRDefault="00C00612" w:rsidP="00324A33">
            <w:pPr>
              <w:jc w:val="center"/>
              <w:rPr>
                <w:b/>
              </w:rPr>
            </w:pPr>
            <w:r w:rsidRPr="00FD419F">
              <w:rPr>
                <w:b/>
              </w:rPr>
              <w:t>HADS_Total</w:t>
            </w:r>
          </w:p>
          <w:p w14:paraId="4FC9526F" w14:textId="77777777" w:rsidR="00C00612" w:rsidRPr="00FD419F" w:rsidRDefault="00C00612" w:rsidP="00324A33">
            <w:pPr>
              <w:jc w:val="center"/>
              <w:rPr>
                <w:b/>
              </w:rPr>
            </w:pPr>
            <w:r w:rsidRPr="0059479B">
              <w:rPr>
                <w:b/>
                <w:i/>
              </w:rPr>
              <w:t>p</w:t>
            </w:r>
          </w:p>
        </w:tc>
      </w:tr>
      <w:tr w:rsidR="00C00612" w14:paraId="0807338F" w14:textId="77777777" w:rsidTr="00324A33">
        <w:tc>
          <w:tcPr>
            <w:tcW w:w="1526" w:type="dxa"/>
            <w:tcBorders>
              <w:top w:val="nil"/>
              <w:left w:val="nil"/>
              <w:bottom w:val="nil"/>
              <w:right w:val="nil"/>
            </w:tcBorders>
          </w:tcPr>
          <w:p w14:paraId="4A9B819E" w14:textId="77777777" w:rsidR="00C00612" w:rsidRPr="00FD419F" w:rsidRDefault="00C00612" w:rsidP="00324A33">
            <w:pPr>
              <w:jc w:val="center"/>
              <w:rPr>
                <w:b/>
              </w:rPr>
            </w:pPr>
            <w:r w:rsidRPr="00FD419F">
              <w:rPr>
                <w:b/>
              </w:rPr>
              <w:t>IL6</w:t>
            </w:r>
          </w:p>
        </w:tc>
        <w:tc>
          <w:tcPr>
            <w:tcW w:w="2410" w:type="dxa"/>
            <w:tcBorders>
              <w:top w:val="nil"/>
              <w:left w:val="nil"/>
              <w:bottom w:val="nil"/>
              <w:right w:val="nil"/>
            </w:tcBorders>
          </w:tcPr>
          <w:p w14:paraId="4AC86E21" w14:textId="77777777" w:rsidR="00C00612" w:rsidRDefault="00C00612" w:rsidP="00324A33">
            <w:pPr>
              <w:jc w:val="center"/>
            </w:pPr>
            <w:r>
              <w:rPr>
                <w:rFonts w:hint="eastAsia"/>
              </w:rPr>
              <w:t>0.165**</w:t>
            </w:r>
          </w:p>
        </w:tc>
        <w:tc>
          <w:tcPr>
            <w:tcW w:w="2268" w:type="dxa"/>
            <w:tcBorders>
              <w:top w:val="nil"/>
              <w:left w:val="nil"/>
              <w:bottom w:val="nil"/>
              <w:right w:val="nil"/>
            </w:tcBorders>
          </w:tcPr>
          <w:p w14:paraId="0635B8C4" w14:textId="77777777" w:rsidR="00C00612" w:rsidRDefault="00C00612" w:rsidP="00324A33">
            <w:pPr>
              <w:jc w:val="center"/>
            </w:pPr>
            <w:r>
              <w:rPr>
                <w:rFonts w:hint="eastAsia"/>
              </w:rPr>
              <w:t>0.077</w:t>
            </w:r>
          </w:p>
        </w:tc>
        <w:tc>
          <w:tcPr>
            <w:tcW w:w="2409" w:type="dxa"/>
            <w:tcBorders>
              <w:top w:val="nil"/>
              <w:left w:val="nil"/>
              <w:bottom w:val="nil"/>
              <w:right w:val="nil"/>
            </w:tcBorders>
          </w:tcPr>
          <w:p w14:paraId="55FDE356" w14:textId="77777777" w:rsidR="00C00612" w:rsidRDefault="00C00612" w:rsidP="00324A33">
            <w:pPr>
              <w:jc w:val="center"/>
            </w:pPr>
            <w:r>
              <w:rPr>
                <w:rFonts w:hint="eastAsia"/>
              </w:rPr>
              <w:t>0.126*</w:t>
            </w:r>
          </w:p>
        </w:tc>
      </w:tr>
      <w:tr w:rsidR="00C00612" w14:paraId="56C0C41A" w14:textId="77777777" w:rsidTr="00324A33">
        <w:tc>
          <w:tcPr>
            <w:tcW w:w="1526" w:type="dxa"/>
            <w:tcBorders>
              <w:top w:val="nil"/>
              <w:left w:val="nil"/>
              <w:bottom w:val="nil"/>
              <w:right w:val="nil"/>
            </w:tcBorders>
          </w:tcPr>
          <w:p w14:paraId="1751BC35" w14:textId="77777777" w:rsidR="00C00612" w:rsidRPr="00FD419F" w:rsidRDefault="00C00612" w:rsidP="00324A33">
            <w:pPr>
              <w:jc w:val="center"/>
              <w:rPr>
                <w:b/>
              </w:rPr>
            </w:pPr>
            <w:r w:rsidRPr="00FD419F">
              <w:rPr>
                <w:b/>
              </w:rPr>
              <w:t>MCP1</w:t>
            </w:r>
          </w:p>
        </w:tc>
        <w:tc>
          <w:tcPr>
            <w:tcW w:w="2410" w:type="dxa"/>
            <w:tcBorders>
              <w:top w:val="nil"/>
              <w:left w:val="nil"/>
              <w:bottom w:val="nil"/>
              <w:right w:val="nil"/>
            </w:tcBorders>
          </w:tcPr>
          <w:p w14:paraId="35AE0D21" w14:textId="77777777" w:rsidR="00C00612" w:rsidRDefault="00C00612" w:rsidP="00324A33">
            <w:pPr>
              <w:jc w:val="center"/>
            </w:pPr>
            <w:r>
              <w:rPr>
                <w:rFonts w:hint="eastAsia"/>
              </w:rPr>
              <w:t>0.152**</w:t>
            </w:r>
          </w:p>
        </w:tc>
        <w:tc>
          <w:tcPr>
            <w:tcW w:w="2268" w:type="dxa"/>
            <w:tcBorders>
              <w:top w:val="nil"/>
              <w:left w:val="nil"/>
              <w:bottom w:val="nil"/>
              <w:right w:val="nil"/>
            </w:tcBorders>
          </w:tcPr>
          <w:p w14:paraId="713A7697" w14:textId="77777777" w:rsidR="00C00612" w:rsidRDefault="00C00612" w:rsidP="00324A33">
            <w:pPr>
              <w:jc w:val="center"/>
            </w:pPr>
            <w:r>
              <w:rPr>
                <w:rFonts w:hint="eastAsia"/>
              </w:rPr>
              <w:t>0.039</w:t>
            </w:r>
          </w:p>
        </w:tc>
        <w:tc>
          <w:tcPr>
            <w:tcW w:w="2409" w:type="dxa"/>
            <w:tcBorders>
              <w:top w:val="nil"/>
              <w:left w:val="nil"/>
              <w:bottom w:val="nil"/>
              <w:right w:val="nil"/>
            </w:tcBorders>
          </w:tcPr>
          <w:p w14:paraId="6AE46342" w14:textId="77777777" w:rsidR="00C00612" w:rsidRDefault="00C00612" w:rsidP="00324A33">
            <w:pPr>
              <w:jc w:val="center"/>
            </w:pPr>
            <w:r>
              <w:rPr>
                <w:rFonts w:hint="eastAsia"/>
              </w:rPr>
              <w:t>0.097</w:t>
            </w:r>
          </w:p>
        </w:tc>
      </w:tr>
      <w:tr w:rsidR="00C00612" w14:paraId="61B8FEC6" w14:textId="77777777" w:rsidTr="00324A33">
        <w:tc>
          <w:tcPr>
            <w:tcW w:w="1526" w:type="dxa"/>
            <w:tcBorders>
              <w:top w:val="nil"/>
              <w:left w:val="nil"/>
              <w:bottom w:val="nil"/>
              <w:right w:val="nil"/>
            </w:tcBorders>
          </w:tcPr>
          <w:p w14:paraId="3C2FED4A" w14:textId="77777777" w:rsidR="00C00612" w:rsidRPr="00FD419F" w:rsidRDefault="00C00612" w:rsidP="00324A33">
            <w:pPr>
              <w:jc w:val="center"/>
              <w:rPr>
                <w:b/>
              </w:rPr>
            </w:pPr>
            <w:r w:rsidRPr="00FD419F">
              <w:rPr>
                <w:b/>
              </w:rPr>
              <w:t>CCL18</w:t>
            </w:r>
          </w:p>
        </w:tc>
        <w:tc>
          <w:tcPr>
            <w:tcW w:w="2410" w:type="dxa"/>
            <w:tcBorders>
              <w:top w:val="nil"/>
              <w:left w:val="nil"/>
              <w:bottom w:val="nil"/>
              <w:right w:val="nil"/>
            </w:tcBorders>
          </w:tcPr>
          <w:p w14:paraId="15AF138A" w14:textId="77777777" w:rsidR="00C00612" w:rsidRDefault="00C00612" w:rsidP="00324A33">
            <w:pPr>
              <w:jc w:val="center"/>
            </w:pPr>
            <w:r>
              <w:rPr>
                <w:rFonts w:hint="eastAsia"/>
              </w:rPr>
              <w:t>0.136*</w:t>
            </w:r>
          </w:p>
        </w:tc>
        <w:tc>
          <w:tcPr>
            <w:tcW w:w="2268" w:type="dxa"/>
            <w:tcBorders>
              <w:top w:val="nil"/>
              <w:left w:val="nil"/>
              <w:bottom w:val="nil"/>
              <w:right w:val="nil"/>
            </w:tcBorders>
          </w:tcPr>
          <w:p w14:paraId="788D5EEF" w14:textId="77777777" w:rsidR="00C00612" w:rsidRDefault="00C00612" w:rsidP="00324A33">
            <w:pPr>
              <w:jc w:val="center"/>
            </w:pPr>
            <w:r>
              <w:rPr>
                <w:rFonts w:hint="eastAsia"/>
              </w:rPr>
              <w:t>0.098</w:t>
            </w:r>
          </w:p>
        </w:tc>
        <w:tc>
          <w:tcPr>
            <w:tcW w:w="2409" w:type="dxa"/>
            <w:tcBorders>
              <w:top w:val="nil"/>
              <w:left w:val="nil"/>
              <w:bottom w:val="nil"/>
              <w:right w:val="nil"/>
            </w:tcBorders>
          </w:tcPr>
          <w:p w14:paraId="627FF3CE" w14:textId="77777777" w:rsidR="00C00612" w:rsidRDefault="00C00612" w:rsidP="00324A33">
            <w:pPr>
              <w:jc w:val="center"/>
            </w:pPr>
            <w:r>
              <w:rPr>
                <w:rFonts w:hint="eastAsia"/>
              </w:rPr>
              <w:t>0.122*</w:t>
            </w:r>
          </w:p>
        </w:tc>
      </w:tr>
      <w:tr w:rsidR="00C00612" w14:paraId="012E915E" w14:textId="77777777" w:rsidTr="00324A33">
        <w:tc>
          <w:tcPr>
            <w:tcW w:w="1526" w:type="dxa"/>
            <w:tcBorders>
              <w:top w:val="nil"/>
              <w:left w:val="nil"/>
              <w:bottom w:val="single" w:sz="4" w:space="0" w:color="auto"/>
              <w:right w:val="nil"/>
            </w:tcBorders>
          </w:tcPr>
          <w:p w14:paraId="1112E313" w14:textId="1A33CFD4" w:rsidR="00C00612" w:rsidRPr="00FD419F" w:rsidRDefault="00C00612" w:rsidP="002B5654">
            <w:pPr>
              <w:jc w:val="center"/>
              <w:rPr>
                <w:b/>
              </w:rPr>
            </w:pPr>
            <w:r w:rsidRPr="00FD419F">
              <w:rPr>
                <w:b/>
              </w:rPr>
              <w:t>CCL17</w:t>
            </w:r>
          </w:p>
        </w:tc>
        <w:tc>
          <w:tcPr>
            <w:tcW w:w="2410" w:type="dxa"/>
            <w:tcBorders>
              <w:top w:val="nil"/>
              <w:left w:val="nil"/>
              <w:bottom w:val="single" w:sz="4" w:space="0" w:color="auto"/>
              <w:right w:val="nil"/>
            </w:tcBorders>
          </w:tcPr>
          <w:p w14:paraId="1C9E0E05" w14:textId="77777777" w:rsidR="00C00612" w:rsidRDefault="00C00612" w:rsidP="00324A33">
            <w:pPr>
              <w:jc w:val="center"/>
            </w:pPr>
            <w:r>
              <w:rPr>
                <w:rFonts w:hint="eastAsia"/>
              </w:rPr>
              <w:t>0.108*</w:t>
            </w:r>
          </w:p>
        </w:tc>
        <w:tc>
          <w:tcPr>
            <w:tcW w:w="2268" w:type="dxa"/>
            <w:tcBorders>
              <w:top w:val="nil"/>
              <w:left w:val="nil"/>
              <w:bottom w:val="single" w:sz="4" w:space="0" w:color="auto"/>
              <w:right w:val="nil"/>
            </w:tcBorders>
          </w:tcPr>
          <w:p w14:paraId="768C9F8B" w14:textId="77777777" w:rsidR="00C00612" w:rsidRDefault="00C00612" w:rsidP="00324A33">
            <w:pPr>
              <w:jc w:val="center"/>
            </w:pPr>
            <w:r>
              <w:rPr>
                <w:rFonts w:hint="eastAsia"/>
              </w:rPr>
              <w:t>0.115*</w:t>
            </w:r>
          </w:p>
        </w:tc>
        <w:tc>
          <w:tcPr>
            <w:tcW w:w="2409" w:type="dxa"/>
            <w:tcBorders>
              <w:top w:val="nil"/>
              <w:left w:val="nil"/>
              <w:bottom w:val="single" w:sz="4" w:space="0" w:color="auto"/>
              <w:right w:val="nil"/>
            </w:tcBorders>
          </w:tcPr>
          <w:p w14:paraId="0BD18D83" w14:textId="77777777" w:rsidR="00C00612" w:rsidRDefault="00C00612" w:rsidP="00324A33">
            <w:pPr>
              <w:jc w:val="center"/>
            </w:pPr>
            <w:r>
              <w:rPr>
                <w:rFonts w:hint="eastAsia"/>
              </w:rPr>
              <w:t>0.116*</w:t>
            </w:r>
          </w:p>
        </w:tc>
      </w:tr>
    </w:tbl>
    <w:p w14:paraId="4740D78A" w14:textId="77777777" w:rsidR="009A6497" w:rsidRDefault="009A6497" w:rsidP="00C00612">
      <w:pPr>
        <w:jc w:val="left"/>
        <w:rPr>
          <w:sz w:val="20"/>
          <w:szCs w:val="20"/>
        </w:rPr>
      </w:pPr>
    </w:p>
    <w:p w14:paraId="728B6E28" w14:textId="2716421E" w:rsidR="00C00612" w:rsidRPr="001B68E2" w:rsidRDefault="00C00612" w:rsidP="00C00612">
      <w:pPr>
        <w:jc w:val="left"/>
        <w:rPr>
          <w:sz w:val="20"/>
          <w:szCs w:val="20"/>
        </w:rPr>
      </w:pPr>
      <w:r w:rsidRPr="001B68E2">
        <w:rPr>
          <w:rFonts w:hint="eastAsia"/>
          <w:sz w:val="20"/>
          <w:szCs w:val="20"/>
        </w:rPr>
        <w:t xml:space="preserve">Spearman test was used; </w:t>
      </w:r>
      <w:r w:rsidRPr="001B68E2">
        <w:rPr>
          <w:sz w:val="20"/>
          <w:szCs w:val="20"/>
        </w:rPr>
        <w:t>HADS: Hospital Anxiety and Depression Scale</w:t>
      </w:r>
      <w:r w:rsidRPr="001B68E2">
        <w:rPr>
          <w:rFonts w:hint="eastAsia"/>
          <w:sz w:val="20"/>
          <w:szCs w:val="20"/>
        </w:rPr>
        <w:t>;</w:t>
      </w:r>
      <w:r w:rsidRPr="001B68E2">
        <w:rPr>
          <w:sz w:val="20"/>
          <w:szCs w:val="20"/>
        </w:rPr>
        <w:t xml:space="preserve"> IL6: interleukin 6; MCP1: monocyte chemoattractant protein 1; CCL18: chemokine (C C motif) ligand 18; CCL17: chemokine (C C motif) ligand 17</w:t>
      </w:r>
      <w:r w:rsidRPr="001B68E2">
        <w:rPr>
          <w:rFonts w:hint="eastAsia"/>
          <w:sz w:val="20"/>
          <w:szCs w:val="20"/>
        </w:rPr>
        <w:t>;</w:t>
      </w:r>
      <w:r w:rsidRPr="001B68E2">
        <w:rPr>
          <w:sz w:val="20"/>
          <w:szCs w:val="20"/>
        </w:rPr>
        <w:t xml:space="preserve"> *</w:t>
      </w:r>
      <w:r w:rsidRPr="001B68E2">
        <w:rPr>
          <w:rFonts w:hint="eastAsia"/>
          <w:sz w:val="20"/>
          <w:szCs w:val="20"/>
        </w:rPr>
        <w:t>p&lt;0.05;</w:t>
      </w:r>
      <w:r w:rsidRPr="001B68E2">
        <w:rPr>
          <w:sz w:val="20"/>
          <w:szCs w:val="20"/>
        </w:rPr>
        <w:t xml:space="preserve"> ** p&lt;0.0</w:t>
      </w:r>
      <w:r w:rsidRPr="001B68E2">
        <w:rPr>
          <w:rFonts w:hint="eastAsia"/>
          <w:sz w:val="20"/>
          <w:szCs w:val="20"/>
        </w:rPr>
        <w:t>1.</w:t>
      </w:r>
    </w:p>
    <w:p w14:paraId="692832F8" w14:textId="463843D0" w:rsidR="00F224C3" w:rsidRDefault="00F224C3" w:rsidP="00740FA2">
      <w:pPr>
        <w:rPr>
          <w:rFonts w:ascii="Arial" w:hAnsi="Arial" w:cs="Arial"/>
          <w:color w:val="000000" w:themeColor="text1"/>
          <w:sz w:val="22"/>
        </w:rPr>
      </w:pPr>
    </w:p>
    <w:p w14:paraId="31A00C97" w14:textId="263A19C3" w:rsidR="006F0AA7" w:rsidRPr="00853741" w:rsidRDefault="00DC1D81" w:rsidP="00EE027B">
      <w:pPr>
        <w:rPr>
          <w:b/>
        </w:rPr>
      </w:pPr>
      <w:r>
        <w:rPr>
          <w:b/>
        </w:rPr>
        <w:t xml:space="preserve">       </w:t>
      </w:r>
      <w:r w:rsidR="006F0AA7">
        <w:rPr>
          <w:rFonts w:hint="eastAsia"/>
          <w:b/>
        </w:rPr>
        <w:t>Table</w:t>
      </w:r>
      <w:r w:rsidR="006F0AA7">
        <w:rPr>
          <w:b/>
        </w:rPr>
        <w:t xml:space="preserve"> 5</w:t>
      </w:r>
      <w:r w:rsidR="006F0AA7">
        <w:rPr>
          <w:rFonts w:hint="eastAsia"/>
          <w:b/>
        </w:rPr>
        <w:t xml:space="preserve"> </w:t>
      </w:r>
      <w:r w:rsidR="006F0AA7" w:rsidRPr="00A2013D">
        <w:rPr>
          <w:rFonts w:hint="eastAsia"/>
          <w:b/>
        </w:rPr>
        <w:t>Correl</w:t>
      </w:r>
      <w:r w:rsidR="006F0AA7">
        <w:rPr>
          <w:rFonts w:hint="eastAsia"/>
          <w:b/>
        </w:rPr>
        <w:t xml:space="preserve">ations between </w:t>
      </w:r>
      <w:r w:rsidR="005E18D9" w:rsidRPr="00EE027B">
        <w:rPr>
          <w:rFonts w:ascii="Calibri" w:eastAsia="Times New Roman" w:hAnsi="Calibri" w:cs="Calibri"/>
          <w:b/>
          <w:bCs/>
          <w:color w:val="000000"/>
          <w:kern w:val="0"/>
          <w:sz w:val="22"/>
        </w:rPr>
        <w:t>eosinophils</w:t>
      </w:r>
      <w:r w:rsidR="005E18D9">
        <w:rPr>
          <w:b/>
        </w:rPr>
        <w:t xml:space="preserve"> and </w:t>
      </w:r>
      <w:r>
        <w:rPr>
          <w:b/>
        </w:rPr>
        <w:t xml:space="preserve">FeNO </w:t>
      </w:r>
      <w:r w:rsidR="006F0AA7" w:rsidRPr="00A2013D">
        <w:rPr>
          <w:rFonts w:hint="eastAsia"/>
          <w:b/>
        </w:rPr>
        <w:t>and HADS</w:t>
      </w:r>
      <w:r w:rsidR="006F0AA7">
        <w:rPr>
          <w:rFonts w:hint="eastAsia"/>
          <w:b/>
        </w:rPr>
        <w:t xml:space="preserve"> </w:t>
      </w:r>
    </w:p>
    <w:tbl>
      <w:tblPr>
        <w:tblW w:w="6802" w:type="dxa"/>
        <w:tblBorders>
          <w:top w:val="single" w:sz="4" w:space="0" w:color="auto"/>
          <w:bottom w:val="single" w:sz="4" w:space="0" w:color="auto"/>
        </w:tblBorders>
        <w:tblLook w:val="04A0" w:firstRow="1" w:lastRow="0" w:firstColumn="1" w:lastColumn="0" w:noHBand="0" w:noVBand="1"/>
      </w:tblPr>
      <w:tblGrid>
        <w:gridCol w:w="1276"/>
        <w:gridCol w:w="584"/>
        <w:gridCol w:w="1740"/>
        <w:gridCol w:w="962"/>
        <w:gridCol w:w="960"/>
        <w:gridCol w:w="1280"/>
      </w:tblGrid>
      <w:tr w:rsidR="00F224C3" w:rsidRPr="00F224C3" w14:paraId="643791DB" w14:textId="77777777" w:rsidTr="00EE027B">
        <w:trPr>
          <w:trHeight w:val="300"/>
        </w:trPr>
        <w:tc>
          <w:tcPr>
            <w:tcW w:w="1860" w:type="dxa"/>
            <w:gridSpan w:val="2"/>
            <w:tcBorders>
              <w:top w:val="single" w:sz="4" w:space="0" w:color="auto"/>
              <w:bottom w:val="single" w:sz="4" w:space="0" w:color="auto"/>
            </w:tcBorders>
            <w:shd w:val="clear" w:color="auto" w:fill="auto"/>
            <w:noWrap/>
            <w:vAlign w:val="bottom"/>
            <w:hideMark/>
          </w:tcPr>
          <w:p w14:paraId="54E186E0" w14:textId="77777777" w:rsidR="00F224C3" w:rsidRPr="00F224C3" w:rsidRDefault="00F224C3" w:rsidP="00F224C3">
            <w:pPr>
              <w:widowControl/>
              <w:jc w:val="left"/>
              <w:rPr>
                <w:rFonts w:ascii="Times New Roman" w:eastAsia="Times New Roman" w:hAnsi="Times New Roman" w:cs="Times New Roman"/>
                <w:kern w:val="0"/>
                <w:sz w:val="24"/>
                <w:szCs w:val="24"/>
              </w:rPr>
            </w:pPr>
          </w:p>
        </w:tc>
        <w:tc>
          <w:tcPr>
            <w:tcW w:w="1740" w:type="dxa"/>
            <w:tcBorders>
              <w:top w:val="single" w:sz="4" w:space="0" w:color="auto"/>
              <w:bottom w:val="single" w:sz="4" w:space="0" w:color="auto"/>
            </w:tcBorders>
            <w:shd w:val="clear" w:color="auto" w:fill="auto"/>
            <w:noWrap/>
            <w:vAlign w:val="bottom"/>
            <w:hideMark/>
          </w:tcPr>
          <w:p w14:paraId="6B001EC2" w14:textId="77777777" w:rsidR="00F224C3" w:rsidRPr="00F224C3" w:rsidRDefault="00F224C3" w:rsidP="00F224C3">
            <w:pPr>
              <w:widowControl/>
              <w:jc w:val="left"/>
              <w:rPr>
                <w:rFonts w:ascii="Times New Roman" w:eastAsia="Times New Roman" w:hAnsi="Times New Roman" w:cs="Times New Roman"/>
                <w:kern w:val="0"/>
                <w:sz w:val="20"/>
                <w:szCs w:val="20"/>
              </w:rPr>
            </w:pPr>
          </w:p>
        </w:tc>
        <w:tc>
          <w:tcPr>
            <w:tcW w:w="962" w:type="dxa"/>
            <w:tcBorders>
              <w:top w:val="single" w:sz="4" w:space="0" w:color="auto"/>
              <w:bottom w:val="single" w:sz="4" w:space="0" w:color="auto"/>
            </w:tcBorders>
            <w:shd w:val="clear" w:color="auto" w:fill="auto"/>
            <w:noWrap/>
            <w:vAlign w:val="bottom"/>
            <w:hideMark/>
          </w:tcPr>
          <w:p w14:paraId="7EA8DB14" w14:textId="77777777" w:rsidR="00F224C3" w:rsidRPr="00F224C3" w:rsidRDefault="00F224C3" w:rsidP="00F224C3">
            <w:pPr>
              <w:widowControl/>
              <w:jc w:val="left"/>
              <w:rPr>
                <w:rFonts w:ascii="Calibri" w:eastAsia="Times New Roman" w:hAnsi="Calibri" w:cs="Calibri"/>
                <w:color w:val="000000"/>
                <w:kern w:val="0"/>
                <w:sz w:val="22"/>
              </w:rPr>
            </w:pPr>
            <w:r w:rsidRPr="00F224C3">
              <w:rPr>
                <w:rFonts w:ascii="Calibri" w:eastAsia="Times New Roman" w:hAnsi="Calibri" w:cs="Calibri"/>
                <w:color w:val="000000"/>
                <w:kern w:val="0"/>
                <w:sz w:val="22"/>
              </w:rPr>
              <w:t>HADS_D</w:t>
            </w:r>
          </w:p>
        </w:tc>
        <w:tc>
          <w:tcPr>
            <w:tcW w:w="960" w:type="dxa"/>
            <w:tcBorders>
              <w:top w:val="single" w:sz="4" w:space="0" w:color="auto"/>
              <w:bottom w:val="single" w:sz="4" w:space="0" w:color="auto"/>
            </w:tcBorders>
            <w:shd w:val="clear" w:color="auto" w:fill="auto"/>
            <w:noWrap/>
            <w:vAlign w:val="bottom"/>
            <w:hideMark/>
          </w:tcPr>
          <w:p w14:paraId="2EE98FF8" w14:textId="77777777" w:rsidR="00F224C3" w:rsidRPr="00F224C3" w:rsidRDefault="00F224C3" w:rsidP="00F224C3">
            <w:pPr>
              <w:widowControl/>
              <w:jc w:val="left"/>
              <w:rPr>
                <w:rFonts w:ascii="Calibri" w:eastAsia="Times New Roman" w:hAnsi="Calibri" w:cs="Calibri"/>
                <w:color w:val="000000"/>
                <w:kern w:val="0"/>
                <w:sz w:val="22"/>
              </w:rPr>
            </w:pPr>
            <w:r w:rsidRPr="00F224C3">
              <w:rPr>
                <w:rFonts w:ascii="Calibri" w:eastAsia="Times New Roman" w:hAnsi="Calibri" w:cs="Calibri"/>
                <w:color w:val="000000"/>
                <w:kern w:val="0"/>
                <w:sz w:val="22"/>
              </w:rPr>
              <w:t>HADS_A</w:t>
            </w:r>
          </w:p>
        </w:tc>
        <w:tc>
          <w:tcPr>
            <w:tcW w:w="1280" w:type="dxa"/>
            <w:tcBorders>
              <w:top w:val="single" w:sz="4" w:space="0" w:color="auto"/>
              <w:bottom w:val="single" w:sz="4" w:space="0" w:color="auto"/>
            </w:tcBorders>
            <w:shd w:val="clear" w:color="auto" w:fill="auto"/>
            <w:noWrap/>
            <w:vAlign w:val="bottom"/>
            <w:hideMark/>
          </w:tcPr>
          <w:p w14:paraId="5144E0C1" w14:textId="77777777" w:rsidR="00F224C3" w:rsidRPr="00F224C3" w:rsidRDefault="00F224C3" w:rsidP="00F224C3">
            <w:pPr>
              <w:widowControl/>
              <w:jc w:val="left"/>
              <w:rPr>
                <w:rFonts w:ascii="Calibri" w:eastAsia="Times New Roman" w:hAnsi="Calibri" w:cs="Calibri"/>
                <w:color w:val="000000"/>
                <w:kern w:val="0"/>
                <w:sz w:val="22"/>
              </w:rPr>
            </w:pPr>
            <w:r w:rsidRPr="00F224C3">
              <w:rPr>
                <w:rFonts w:ascii="Calibri" w:eastAsia="Times New Roman" w:hAnsi="Calibri" w:cs="Calibri"/>
                <w:color w:val="000000"/>
                <w:kern w:val="0"/>
                <w:sz w:val="22"/>
              </w:rPr>
              <w:t>HADS_Total</w:t>
            </w:r>
          </w:p>
        </w:tc>
      </w:tr>
      <w:tr w:rsidR="002969AD" w:rsidRPr="00F224C3" w14:paraId="3517BCE2" w14:textId="77777777" w:rsidTr="00EE027B">
        <w:trPr>
          <w:trHeight w:val="300"/>
        </w:trPr>
        <w:tc>
          <w:tcPr>
            <w:tcW w:w="1276" w:type="dxa"/>
            <w:vMerge w:val="restart"/>
            <w:tcBorders>
              <w:top w:val="single" w:sz="4" w:space="0" w:color="auto"/>
            </w:tcBorders>
            <w:shd w:val="clear" w:color="auto" w:fill="auto"/>
            <w:noWrap/>
            <w:vAlign w:val="center"/>
            <w:hideMark/>
          </w:tcPr>
          <w:p w14:paraId="752F71E3" w14:textId="77777777" w:rsidR="00F224C3" w:rsidRPr="00F224C3" w:rsidRDefault="00F224C3" w:rsidP="00F224C3">
            <w:pPr>
              <w:widowControl/>
              <w:jc w:val="left"/>
              <w:rPr>
                <w:rFonts w:ascii="Calibri" w:eastAsia="Times New Roman" w:hAnsi="Calibri" w:cs="Calibri"/>
                <w:color w:val="000000"/>
                <w:kern w:val="0"/>
                <w:sz w:val="22"/>
              </w:rPr>
            </w:pPr>
            <w:r w:rsidRPr="00F224C3">
              <w:rPr>
                <w:rFonts w:ascii="Calibri" w:eastAsia="Times New Roman" w:hAnsi="Calibri" w:cs="Calibri"/>
                <w:color w:val="000000"/>
                <w:kern w:val="0"/>
                <w:sz w:val="22"/>
              </w:rPr>
              <w:t>HC</w:t>
            </w:r>
          </w:p>
        </w:tc>
        <w:tc>
          <w:tcPr>
            <w:tcW w:w="2324" w:type="dxa"/>
            <w:gridSpan w:val="2"/>
            <w:tcBorders>
              <w:top w:val="single" w:sz="4" w:space="0" w:color="auto"/>
            </w:tcBorders>
            <w:shd w:val="clear" w:color="auto" w:fill="auto"/>
            <w:noWrap/>
            <w:vAlign w:val="bottom"/>
            <w:hideMark/>
          </w:tcPr>
          <w:p w14:paraId="38310A40" w14:textId="77777777" w:rsidR="00F224C3" w:rsidRPr="00F224C3" w:rsidRDefault="00F224C3" w:rsidP="00F224C3">
            <w:pPr>
              <w:widowControl/>
              <w:jc w:val="left"/>
              <w:rPr>
                <w:rFonts w:ascii="Calibri" w:eastAsia="Times New Roman" w:hAnsi="Calibri" w:cs="Calibri"/>
                <w:color w:val="000000"/>
                <w:kern w:val="0"/>
                <w:sz w:val="22"/>
              </w:rPr>
            </w:pPr>
            <w:r w:rsidRPr="00F224C3">
              <w:rPr>
                <w:rFonts w:ascii="Calibri" w:eastAsia="Times New Roman" w:hAnsi="Calibri" w:cs="Calibri"/>
                <w:color w:val="000000"/>
                <w:kern w:val="0"/>
                <w:sz w:val="22"/>
              </w:rPr>
              <w:t>Blood eosinophils</w:t>
            </w:r>
          </w:p>
        </w:tc>
        <w:tc>
          <w:tcPr>
            <w:tcW w:w="962" w:type="dxa"/>
            <w:tcBorders>
              <w:top w:val="single" w:sz="4" w:space="0" w:color="auto"/>
            </w:tcBorders>
            <w:shd w:val="clear" w:color="auto" w:fill="auto"/>
            <w:noWrap/>
            <w:vAlign w:val="bottom"/>
            <w:hideMark/>
          </w:tcPr>
          <w:p w14:paraId="4C630B99" w14:textId="77777777" w:rsidR="00F224C3" w:rsidRPr="00F224C3" w:rsidRDefault="00F224C3" w:rsidP="00F224C3">
            <w:pPr>
              <w:widowControl/>
              <w:jc w:val="right"/>
              <w:rPr>
                <w:rFonts w:ascii="Calibri" w:eastAsia="Times New Roman" w:hAnsi="Calibri" w:cs="Calibri"/>
                <w:color w:val="000000"/>
                <w:kern w:val="0"/>
                <w:sz w:val="22"/>
              </w:rPr>
            </w:pPr>
            <w:r w:rsidRPr="00F224C3">
              <w:rPr>
                <w:rFonts w:ascii="Calibri" w:eastAsia="Times New Roman" w:hAnsi="Calibri" w:cs="Calibri"/>
                <w:color w:val="000000"/>
                <w:kern w:val="0"/>
                <w:sz w:val="22"/>
              </w:rPr>
              <w:t>-0.18</w:t>
            </w:r>
          </w:p>
        </w:tc>
        <w:tc>
          <w:tcPr>
            <w:tcW w:w="960" w:type="dxa"/>
            <w:tcBorders>
              <w:top w:val="single" w:sz="4" w:space="0" w:color="auto"/>
            </w:tcBorders>
            <w:shd w:val="clear" w:color="auto" w:fill="auto"/>
            <w:noWrap/>
            <w:vAlign w:val="bottom"/>
            <w:hideMark/>
          </w:tcPr>
          <w:p w14:paraId="0EC0B7F7" w14:textId="77777777" w:rsidR="00F224C3" w:rsidRPr="00F224C3" w:rsidRDefault="00F224C3" w:rsidP="00F224C3">
            <w:pPr>
              <w:widowControl/>
              <w:jc w:val="right"/>
              <w:rPr>
                <w:rFonts w:ascii="Calibri" w:eastAsia="Times New Roman" w:hAnsi="Calibri" w:cs="Calibri"/>
                <w:color w:val="000000"/>
                <w:kern w:val="0"/>
                <w:sz w:val="22"/>
              </w:rPr>
            </w:pPr>
            <w:r w:rsidRPr="00F224C3">
              <w:rPr>
                <w:rFonts w:ascii="Calibri" w:eastAsia="Times New Roman" w:hAnsi="Calibri" w:cs="Calibri"/>
                <w:color w:val="000000"/>
                <w:kern w:val="0"/>
                <w:sz w:val="22"/>
              </w:rPr>
              <w:t>-0.13</w:t>
            </w:r>
          </w:p>
        </w:tc>
        <w:tc>
          <w:tcPr>
            <w:tcW w:w="1280" w:type="dxa"/>
            <w:tcBorders>
              <w:top w:val="single" w:sz="4" w:space="0" w:color="auto"/>
            </w:tcBorders>
            <w:shd w:val="clear" w:color="auto" w:fill="auto"/>
            <w:noWrap/>
            <w:vAlign w:val="bottom"/>
            <w:hideMark/>
          </w:tcPr>
          <w:p w14:paraId="125E27DF" w14:textId="77777777" w:rsidR="00F224C3" w:rsidRPr="00F224C3" w:rsidRDefault="00F224C3" w:rsidP="00F224C3">
            <w:pPr>
              <w:widowControl/>
              <w:jc w:val="right"/>
              <w:rPr>
                <w:rFonts w:ascii="Calibri" w:eastAsia="Times New Roman" w:hAnsi="Calibri" w:cs="Calibri"/>
                <w:color w:val="000000"/>
                <w:kern w:val="0"/>
                <w:sz w:val="22"/>
              </w:rPr>
            </w:pPr>
            <w:r w:rsidRPr="00F224C3">
              <w:rPr>
                <w:rFonts w:ascii="Calibri" w:eastAsia="Times New Roman" w:hAnsi="Calibri" w:cs="Calibri"/>
                <w:color w:val="000000"/>
                <w:kern w:val="0"/>
                <w:sz w:val="22"/>
              </w:rPr>
              <w:t>-0.16</w:t>
            </w:r>
          </w:p>
        </w:tc>
      </w:tr>
      <w:tr w:rsidR="002969AD" w:rsidRPr="00F224C3" w14:paraId="0E356F5E" w14:textId="77777777" w:rsidTr="00EE027B">
        <w:trPr>
          <w:trHeight w:val="300"/>
        </w:trPr>
        <w:tc>
          <w:tcPr>
            <w:tcW w:w="1276" w:type="dxa"/>
            <w:vMerge/>
            <w:vAlign w:val="center"/>
            <w:hideMark/>
          </w:tcPr>
          <w:p w14:paraId="59710493" w14:textId="77777777" w:rsidR="00F224C3" w:rsidRPr="00F224C3" w:rsidRDefault="00F224C3" w:rsidP="00F224C3">
            <w:pPr>
              <w:widowControl/>
              <w:jc w:val="left"/>
              <w:rPr>
                <w:rFonts w:ascii="Calibri" w:eastAsia="Times New Roman" w:hAnsi="Calibri" w:cs="Calibri"/>
                <w:color w:val="000000"/>
                <w:kern w:val="0"/>
                <w:sz w:val="22"/>
              </w:rPr>
            </w:pPr>
          </w:p>
        </w:tc>
        <w:tc>
          <w:tcPr>
            <w:tcW w:w="2324" w:type="dxa"/>
            <w:gridSpan w:val="2"/>
            <w:shd w:val="clear" w:color="auto" w:fill="auto"/>
            <w:noWrap/>
            <w:vAlign w:val="bottom"/>
            <w:hideMark/>
          </w:tcPr>
          <w:p w14:paraId="5FC962A7" w14:textId="77777777" w:rsidR="00F224C3" w:rsidRPr="00F224C3" w:rsidRDefault="00F224C3" w:rsidP="00F224C3">
            <w:pPr>
              <w:widowControl/>
              <w:jc w:val="left"/>
              <w:rPr>
                <w:rFonts w:ascii="Calibri" w:eastAsia="Times New Roman" w:hAnsi="Calibri" w:cs="Calibri"/>
                <w:color w:val="000000"/>
                <w:kern w:val="0"/>
                <w:sz w:val="22"/>
              </w:rPr>
            </w:pPr>
            <w:r w:rsidRPr="00F224C3">
              <w:rPr>
                <w:rFonts w:ascii="Calibri" w:eastAsia="Times New Roman" w:hAnsi="Calibri" w:cs="Calibri"/>
                <w:color w:val="000000"/>
                <w:kern w:val="0"/>
                <w:sz w:val="22"/>
              </w:rPr>
              <w:t>FeNO</w:t>
            </w:r>
          </w:p>
        </w:tc>
        <w:tc>
          <w:tcPr>
            <w:tcW w:w="962" w:type="dxa"/>
            <w:shd w:val="clear" w:color="auto" w:fill="auto"/>
            <w:noWrap/>
            <w:vAlign w:val="bottom"/>
            <w:hideMark/>
          </w:tcPr>
          <w:p w14:paraId="4BDA860C" w14:textId="77777777" w:rsidR="00F224C3" w:rsidRPr="00F224C3" w:rsidRDefault="00F224C3" w:rsidP="00F224C3">
            <w:pPr>
              <w:widowControl/>
              <w:jc w:val="right"/>
              <w:rPr>
                <w:rFonts w:ascii="Calibri" w:eastAsia="Times New Roman" w:hAnsi="Calibri" w:cs="Calibri"/>
                <w:color w:val="000000"/>
                <w:kern w:val="0"/>
                <w:sz w:val="22"/>
              </w:rPr>
            </w:pPr>
            <w:r w:rsidRPr="00F224C3">
              <w:rPr>
                <w:rFonts w:ascii="Calibri" w:eastAsia="Times New Roman" w:hAnsi="Calibri" w:cs="Calibri"/>
                <w:color w:val="000000"/>
                <w:kern w:val="0"/>
                <w:sz w:val="22"/>
              </w:rPr>
              <w:t>-0.11</w:t>
            </w:r>
          </w:p>
        </w:tc>
        <w:tc>
          <w:tcPr>
            <w:tcW w:w="960" w:type="dxa"/>
            <w:shd w:val="clear" w:color="auto" w:fill="auto"/>
            <w:noWrap/>
            <w:vAlign w:val="bottom"/>
            <w:hideMark/>
          </w:tcPr>
          <w:p w14:paraId="19554AFC" w14:textId="77777777" w:rsidR="00F224C3" w:rsidRPr="00F224C3" w:rsidRDefault="00F224C3" w:rsidP="00F224C3">
            <w:pPr>
              <w:widowControl/>
              <w:jc w:val="right"/>
              <w:rPr>
                <w:rFonts w:ascii="Calibri" w:eastAsia="Times New Roman" w:hAnsi="Calibri" w:cs="Calibri"/>
                <w:color w:val="000000"/>
                <w:kern w:val="0"/>
                <w:sz w:val="22"/>
              </w:rPr>
            </w:pPr>
            <w:r w:rsidRPr="00F224C3">
              <w:rPr>
                <w:rFonts w:ascii="Calibri" w:eastAsia="Times New Roman" w:hAnsi="Calibri" w:cs="Calibri"/>
                <w:color w:val="000000"/>
                <w:kern w:val="0"/>
                <w:sz w:val="22"/>
              </w:rPr>
              <w:t>-0.24</w:t>
            </w:r>
          </w:p>
        </w:tc>
        <w:tc>
          <w:tcPr>
            <w:tcW w:w="1280" w:type="dxa"/>
            <w:shd w:val="clear" w:color="auto" w:fill="auto"/>
            <w:noWrap/>
            <w:vAlign w:val="bottom"/>
            <w:hideMark/>
          </w:tcPr>
          <w:p w14:paraId="782A6A1A" w14:textId="77777777" w:rsidR="00F224C3" w:rsidRPr="00F224C3" w:rsidRDefault="00F224C3" w:rsidP="00F224C3">
            <w:pPr>
              <w:widowControl/>
              <w:jc w:val="right"/>
              <w:rPr>
                <w:rFonts w:ascii="Calibri" w:eastAsia="Times New Roman" w:hAnsi="Calibri" w:cs="Calibri"/>
                <w:color w:val="000000"/>
                <w:kern w:val="0"/>
                <w:sz w:val="22"/>
              </w:rPr>
            </w:pPr>
            <w:r w:rsidRPr="00F224C3">
              <w:rPr>
                <w:rFonts w:ascii="Calibri" w:eastAsia="Times New Roman" w:hAnsi="Calibri" w:cs="Calibri"/>
                <w:color w:val="000000"/>
                <w:kern w:val="0"/>
                <w:sz w:val="22"/>
              </w:rPr>
              <w:t>-0.19</w:t>
            </w:r>
          </w:p>
        </w:tc>
      </w:tr>
      <w:tr w:rsidR="002969AD" w:rsidRPr="00F224C3" w14:paraId="2AA4DD2E" w14:textId="77777777" w:rsidTr="00EE027B">
        <w:trPr>
          <w:trHeight w:val="300"/>
        </w:trPr>
        <w:tc>
          <w:tcPr>
            <w:tcW w:w="1276" w:type="dxa"/>
            <w:vMerge w:val="restart"/>
            <w:shd w:val="clear" w:color="auto" w:fill="auto"/>
            <w:noWrap/>
            <w:vAlign w:val="center"/>
            <w:hideMark/>
          </w:tcPr>
          <w:p w14:paraId="32FE2FCF" w14:textId="77777777" w:rsidR="00F224C3" w:rsidRPr="00F224C3" w:rsidRDefault="00F224C3" w:rsidP="00F224C3">
            <w:pPr>
              <w:widowControl/>
              <w:jc w:val="left"/>
              <w:rPr>
                <w:rFonts w:ascii="Calibri" w:eastAsia="Times New Roman" w:hAnsi="Calibri" w:cs="Calibri"/>
                <w:color w:val="000000"/>
                <w:kern w:val="0"/>
                <w:sz w:val="22"/>
              </w:rPr>
            </w:pPr>
            <w:r w:rsidRPr="00F224C3">
              <w:rPr>
                <w:rFonts w:ascii="Calibri" w:eastAsia="Times New Roman" w:hAnsi="Calibri" w:cs="Calibri"/>
                <w:color w:val="000000"/>
                <w:kern w:val="0"/>
                <w:sz w:val="22"/>
              </w:rPr>
              <w:t>MMA</w:t>
            </w:r>
          </w:p>
        </w:tc>
        <w:tc>
          <w:tcPr>
            <w:tcW w:w="2324" w:type="dxa"/>
            <w:gridSpan w:val="2"/>
            <w:shd w:val="clear" w:color="auto" w:fill="auto"/>
            <w:noWrap/>
            <w:vAlign w:val="bottom"/>
            <w:hideMark/>
          </w:tcPr>
          <w:p w14:paraId="5C7CD6B0" w14:textId="77777777" w:rsidR="00F224C3" w:rsidRPr="00F224C3" w:rsidRDefault="00F224C3" w:rsidP="00F224C3">
            <w:pPr>
              <w:widowControl/>
              <w:jc w:val="left"/>
              <w:rPr>
                <w:rFonts w:ascii="Calibri" w:eastAsia="Times New Roman" w:hAnsi="Calibri" w:cs="Calibri"/>
                <w:color w:val="000000"/>
                <w:kern w:val="0"/>
                <w:sz w:val="22"/>
              </w:rPr>
            </w:pPr>
            <w:r w:rsidRPr="00F224C3">
              <w:rPr>
                <w:rFonts w:ascii="Calibri" w:eastAsia="Times New Roman" w:hAnsi="Calibri" w:cs="Calibri"/>
                <w:color w:val="000000"/>
                <w:kern w:val="0"/>
                <w:sz w:val="22"/>
              </w:rPr>
              <w:t>Blood eosinophils</w:t>
            </w:r>
          </w:p>
        </w:tc>
        <w:tc>
          <w:tcPr>
            <w:tcW w:w="962" w:type="dxa"/>
            <w:shd w:val="clear" w:color="auto" w:fill="auto"/>
            <w:noWrap/>
            <w:vAlign w:val="bottom"/>
            <w:hideMark/>
          </w:tcPr>
          <w:p w14:paraId="3C450A82" w14:textId="77777777" w:rsidR="00F224C3" w:rsidRPr="00F224C3" w:rsidRDefault="00F224C3" w:rsidP="00F224C3">
            <w:pPr>
              <w:widowControl/>
              <w:jc w:val="right"/>
              <w:rPr>
                <w:rFonts w:ascii="Calibri" w:eastAsia="Times New Roman" w:hAnsi="Calibri" w:cs="Calibri"/>
                <w:color w:val="000000"/>
                <w:kern w:val="0"/>
                <w:sz w:val="22"/>
              </w:rPr>
            </w:pPr>
            <w:r w:rsidRPr="00F224C3">
              <w:rPr>
                <w:rFonts w:ascii="Calibri" w:eastAsia="Times New Roman" w:hAnsi="Calibri" w:cs="Calibri"/>
                <w:color w:val="000000"/>
                <w:kern w:val="0"/>
                <w:sz w:val="22"/>
              </w:rPr>
              <w:t>-0.25</w:t>
            </w:r>
          </w:p>
        </w:tc>
        <w:tc>
          <w:tcPr>
            <w:tcW w:w="960" w:type="dxa"/>
            <w:shd w:val="clear" w:color="auto" w:fill="auto"/>
            <w:noWrap/>
            <w:vAlign w:val="bottom"/>
            <w:hideMark/>
          </w:tcPr>
          <w:p w14:paraId="3FB0FEA2" w14:textId="77777777" w:rsidR="00F224C3" w:rsidRPr="00F224C3" w:rsidRDefault="00F224C3" w:rsidP="00F224C3">
            <w:pPr>
              <w:widowControl/>
              <w:jc w:val="right"/>
              <w:rPr>
                <w:rFonts w:ascii="Calibri" w:eastAsia="Times New Roman" w:hAnsi="Calibri" w:cs="Calibri"/>
                <w:color w:val="000000"/>
                <w:kern w:val="0"/>
                <w:sz w:val="22"/>
              </w:rPr>
            </w:pPr>
            <w:r w:rsidRPr="00F224C3">
              <w:rPr>
                <w:rFonts w:ascii="Calibri" w:eastAsia="Times New Roman" w:hAnsi="Calibri" w:cs="Calibri"/>
                <w:color w:val="000000"/>
                <w:kern w:val="0"/>
                <w:sz w:val="22"/>
              </w:rPr>
              <w:t>-0.28</w:t>
            </w:r>
          </w:p>
        </w:tc>
        <w:tc>
          <w:tcPr>
            <w:tcW w:w="1280" w:type="dxa"/>
            <w:shd w:val="clear" w:color="auto" w:fill="auto"/>
            <w:noWrap/>
            <w:vAlign w:val="bottom"/>
            <w:hideMark/>
          </w:tcPr>
          <w:p w14:paraId="04256BCA" w14:textId="77777777" w:rsidR="00F224C3" w:rsidRPr="00F224C3" w:rsidRDefault="00F224C3" w:rsidP="00F224C3">
            <w:pPr>
              <w:widowControl/>
              <w:jc w:val="right"/>
              <w:rPr>
                <w:rFonts w:ascii="Calibri" w:eastAsia="Times New Roman" w:hAnsi="Calibri" w:cs="Calibri"/>
                <w:color w:val="000000"/>
                <w:kern w:val="0"/>
                <w:sz w:val="22"/>
              </w:rPr>
            </w:pPr>
            <w:r w:rsidRPr="00F224C3">
              <w:rPr>
                <w:rFonts w:ascii="Calibri" w:eastAsia="Times New Roman" w:hAnsi="Calibri" w:cs="Calibri"/>
                <w:color w:val="000000"/>
                <w:kern w:val="0"/>
                <w:sz w:val="22"/>
              </w:rPr>
              <w:t>-0.30</w:t>
            </w:r>
          </w:p>
        </w:tc>
      </w:tr>
      <w:tr w:rsidR="002969AD" w:rsidRPr="00F224C3" w14:paraId="4BA29196" w14:textId="77777777" w:rsidTr="00EE027B">
        <w:trPr>
          <w:trHeight w:val="300"/>
        </w:trPr>
        <w:tc>
          <w:tcPr>
            <w:tcW w:w="1276" w:type="dxa"/>
            <w:vMerge/>
            <w:vAlign w:val="center"/>
            <w:hideMark/>
          </w:tcPr>
          <w:p w14:paraId="11C5FB6A" w14:textId="77777777" w:rsidR="00F224C3" w:rsidRPr="00F224C3" w:rsidRDefault="00F224C3" w:rsidP="00F224C3">
            <w:pPr>
              <w:widowControl/>
              <w:jc w:val="left"/>
              <w:rPr>
                <w:rFonts w:ascii="Calibri" w:eastAsia="Times New Roman" w:hAnsi="Calibri" w:cs="Calibri"/>
                <w:color w:val="000000"/>
                <w:kern w:val="0"/>
                <w:sz w:val="22"/>
              </w:rPr>
            </w:pPr>
          </w:p>
        </w:tc>
        <w:tc>
          <w:tcPr>
            <w:tcW w:w="2324" w:type="dxa"/>
            <w:gridSpan w:val="2"/>
            <w:shd w:val="clear" w:color="auto" w:fill="auto"/>
            <w:noWrap/>
            <w:vAlign w:val="bottom"/>
            <w:hideMark/>
          </w:tcPr>
          <w:p w14:paraId="734AD2D8" w14:textId="77777777" w:rsidR="00F224C3" w:rsidRPr="00F224C3" w:rsidRDefault="00F224C3" w:rsidP="00F224C3">
            <w:pPr>
              <w:widowControl/>
              <w:jc w:val="left"/>
              <w:rPr>
                <w:rFonts w:ascii="Calibri" w:eastAsia="Times New Roman" w:hAnsi="Calibri" w:cs="Calibri"/>
                <w:color w:val="000000"/>
                <w:kern w:val="0"/>
                <w:sz w:val="22"/>
              </w:rPr>
            </w:pPr>
            <w:r w:rsidRPr="00F224C3">
              <w:rPr>
                <w:rFonts w:ascii="Calibri" w:eastAsia="Times New Roman" w:hAnsi="Calibri" w:cs="Calibri"/>
                <w:color w:val="000000"/>
                <w:kern w:val="0"/>
                <w:sz w:val="22"/>
              </w:rPr>
              <w:t>FeNO</w:t>
            </w:r>
          </w:p>
        </w:tc>
        <w:tc>
          <w:tcPr>
            <w:tcW w:w="962" w:type="dxa"/>
            <w:shd w:val="clear" w:color="auto" w:fill="auto"/>
            <w:noWrap/>
            <w:vAlign w:val="bottom"/>
            <w:hideMark/>
          </w:tcPr>
          <w:p w14:paraId="1887914C" w14:textId="77777777" w:rsidR="00F224C3" w:rsidRPr="00F224C3" w:rsidRDefault="00F224C3" w:rsidP="00F224C3">
            <w:pPr>
              <w:widowControl/>
              <w:jc w:val="right"/>
              <w:rPr>
                <w:rFonts w:ascii="Calibri" w:eastAsia="Times New Roman" w:hAnsi="Calibri" w:cs="Calibri"/>
                <w:color w:val="000000"/>
                <w:kern w:val="0"/>
                <w:sz w:val="22"/>
              </w:rPr>
            </w:pPr>
            <w:r w:rsidRPr="00F224C3">
              <w:rPr>
                <w:rFonts w:ascii="Calibri" w:eastAsia="Times New Roman" w:hAnsi="Calibri" w:cs="Calibri"/>
                <w:color w:val="000000"/>
                <w:kern w:val="0"/>
                <w:sz w:val="22"/>
              </w:rPr>
              <w:t>-0.10</w:t>
            </w:r>
          </w:p>
        </w:tc>
        <w:tc>
          <w:tcPr>
            <w:tcW w:w="960" w:type="dxa"/>
            <w:shd w:val="clear" w:color="auto" w:fill="auto"/>
            <w:noWrap/>
            <w:vAlign w:val="bottom"/>
            <w:hideMark/>
          </w:tcPr>
          <w:p w14:paraId="23DDC895" w14:textId="77777777" w:rsidR="00F224C3" w:rsidRPr="00F224C3" w:rsidRDefault="00F224C3" w:rsidP="00F224C3">
            <w:pPr>
              <w:widowControl/>
              <w:jc w:val="right"/>
              <w:rPr>
                <w:rFonts w:ascii="Calibri" w:eastAsia="Times New Roman" w:hAnsi="Calibri" w:cs="Calibri"/>
                <w:color w:val="000000"/>
                <w:kern w:val="0"/>
                <w:sz w:val="22"/>
              </w:rPr>
            </w:pPr>
            <w:r w:rsidRPr="00F224C3">
              <w:rPr>
                <w:rFonts w:ascii="Calibri" w:eastAsia="Times New Roman" w:hAnsi="Calibri" w:cs="Calibri"/>
                <w:color w:val="000000"/>
                <w:kern w:val="0"/>
                <w:sz w:val="22"/>
              </w:rPr>
              <w:t>-0.20</w:t>
            </w:r>
          </w:p>
        </w:tc>
        <w:tc>
          <w:tcPr>
            <w:tcW w:w="1280" w:type="dxa"/>
            <w:shd w:val="clear" w:color="auto" w:fill="auto"/>
            <w:noWrap/>
            <w:vAlign w:val="bottom"/>
            <w:hideMark/>
          </w:tcPr>
          <w:p w14:paraId="0E64C9E8" w14:textId="77777777" w:rsidR="00F224C3" w:rsidRPr="00F224C3" w:rsidRDefault="00F224C3" w:rsidP="00F224C3">
            <w:pPr>
              <w:widowControl/>
              <w:jc w:val="right"/>
              <w:rPr>
                <w:rFonts w:ascii="Calibri" w:eastAsia="Times New Roman" w:hAnsi="Calibri" w:cs="Calibri"/>
                <w:color w:val="000000"/>
                <w:kern w:val="0"/>
                <w:sz w:val="22"/>
              </w:rPr>
            </w:pPr>
            <w:r w:rsidRPr="00F224C3">
              <w:rPr>
                <w:rFonts w:ascii="Calibri" w:eastAsia="Times New Roman" w:hAnsi="Calibri" w:cs="Calibri"/>
                <w:color w:val="000000"/>
                <w:kern w:val="0"/>
                <w:sz w:val="22"/>
              </w:rPr>
              <w:t>-0.17</w:t>
            </w:r>
          </w:p>
        </w:tc>
      </w:tr>
      <w:tr w:rsidR="002969AD" w:rsidRPr="00F224C3" w14:paraId="25618222" w14:textId="77777777" w:rsidTr="00EE027B">
        <w:trPr>
          <w:trHeight w:val="300"/>
        </w:trPr>
        <w:tc>
          <w:tcPr>
            <w:tcW w:w="1276" w:type="dxa"/>
            <w:vMerge w:val="restart"/>
            <w:shd w:val="clear" w:color="auto" w:fill="auto"/>
            <w:noWrap/>
            <w:vAlign w:val="center"/>
            <w:hideMark/>
          </w:tcPr>
          <w:p w14:paraId="36B80C32" w14:textId="77777777" w:rsidR="00F224C3" w:rsidRPr="00F224C3" w:rsidRDefault="00F224C3" w:rsidP="00F224C3">
            <w:pPr>
              <w:widowControl/>
              <w:jc w:val="left"/>
              <w:rPr>
                <w:rFonts w:ascii="Calibri" w:eastAsia="Times New Roman" w:hAnsi="Calibri" w:cs="Calibri"/>
                <w:color w:val="000000"/>
                <w:kern w:val="0"/>
                <w:sz w:val="22"/>
              </w:rPr>
            </w:pPr>
            <w:r w:rsidRPr="00F224C3">
              <w:rPr>
                <w:rFonts w:ascii="Calibri" w:eastAsia="Times New Roman" w:hAnsi="Calibri" w:cs="Calibri"/>
                <w:color w:val="000000"/>
                <w:kern w:val="0"/>
                <w:sz w:val="22"/>
              </w:rPr>
              <w:t>SAns</w:t>
            </w:r>
          </w:p>
        </w:tc>
        <w:tc>
          <w:tcPr>
            <w:tcW w:w="2324" w:type="dxa"/>
            <w:gridSpan w:val="2"/>
            <w:shd w:val="clear" w:color="auto" w:fill="auto"/>
            <w:noWrap/>
            <w:vAlign w:val="bottom"/>
            <w:hideMark/>
          </w:tcPr>
          <w:p w14:paraId="4DB8B8CC" w14:textId="77777777" w:rsidR="00F224C3" w:rsidRPr="00F224C3" w:rsidRDefault="00F224C3" w:rsidP="00F224C3">
            <w:pPr>
              <w:widowControl/>
              <w:jc w:val="left"/>
              <w:rPr>
                <w:rFonts w:ascii="Calibri" w:eastAsia="Times New Roman" w:hAnsi="Calibri" w:cs="Calibri"/>
                <w:color w:val="000000"/>
                <w:kern w:val="0"/>
                <w:sz w:val="22"/>
              </w:rPr>
            </w:pPr>
            <w:r w:rsidRPr="00F224C3">
              <w:rPr>
                <w:rFonts w:ascii="Calibri" w:eastAsia="Times New Roman" w:hAnsi="Calibri" w:cs="Calibri"/>
                <w:color w:val="000000"/>
                <w:kern w:val="0"/>
                <w:sz w:val="22"/>
              </w:rPr>
              <w:t>Blood eosinophils</w:t>
            </w:r>
          </w:p>
        </w:tc>
        <w:tc>
          <w:tcPr>
            <w:tcW w:w="962" w:type="dxa"/>
            <w:shd w:val="clear" w:color="auto" w:fill="auto"/>
            <w:noWrap/>
            <w:vAlign w:val="bottom"/>
            <w:hideMark/>
          </w:tcPr>
          <w:p w14:paraId="429653C2" w14:textId="77777777" w:rsidR="00F224C3" w:rsidRPr="00F224C3" w:rsidRDefault="00F224C3" w:rsidP="00F224C3">
            <w:pPr>
              <w:widowControl/>
              <w:jc w:val="right"/>
              <w:rPr>
                <w:rFonts w:ascii="Calibri" w:eastAsia="Times New Roman" w:hAnsi="Calibri" w:cs="Calibri"/>
                <w:color w:val="000000"/>
                <w:kern w:val="0"/>
                <w:sz w:val="22"/>
              </w:rPr>
            </w:pPr>
            <w:r w:rsidRPr="00F224C3">
              <w:rPr>
                <w:rFonts w:ascii="Calibri" w:eastAsia="Times New Roman" w:hAnsi="Calibri" w:cs="Calibri"/>
                <w:color w:val="000000"/>
                <w:kern w:val="0"/>
                <w:sz w:val="22"/>
              </w:rPr>
              <w:t>-0.22</w:t>
            </w:r>
          </w:p>
        </w:tc>
        <w:tc>
          <w:tcPr>
            <w:tcW w:w="960" w:type="dxa"/>
            <w:shd w:val="clear" w:color="auto" w:fill="auto"/>
            <w:noWrap/>
            <w:vAlign w:val="bottom"/>
            <w:hideMark/>
          </w:tcPr>
          <w:p w14:paraId="1C1817AA" w14:textId="77777777" w:rsidR="00F224C3" w:rsidRPr="00F224C3" w:rsidRDefault="00F224C3" w:rsidP="00F224C3">
            <w:pPr>
              <w:widowControl/>
              <w:jc w:val="right"/>
              <w:rPr>
                <w:rFonts w:ascii="Calibri" w:eastAsia="Times New Roman" w:hAnsi="Calibri" w:cs="Calibri"/>
                <w:color w:val="000000"/>
                <w:kern w:val="0"/>
                <w:sz w:val="22"/>
              </w:rPr>
            </w:pPr>
            <w:r w:rsidRPr="00F224C3">
              <w:rPr>
                <w:rFonts w:ascii="Calibri" w:eastAsia="Times New Roman" w:hAnsi="Calibri" w:cs="Calibri"/>
                <w:color w:val="000000"/>
                <w:kern w:val="0"/>
                <w:sz w:val="22"/>
              </w:rPr>
              <w:t>-0.19</w:t>
            </w:r>
          </w:p>
        </w:tc>
        <w:tc>
          <w:tcPr>
            <w:tcW w:w="1280" w:type="dxa"/>
            <w:shd w:val="clear" w:color="auto" w:fill="auto"/>
            <w:noWrap/>
            <w:vAlign w:val="bottom"/>
            <w:hideMark/>
          </w:tcPr>
          <w:p w14:paraId="63509498" w14:textId="77777777" w:rsidR="00F224C3" w:rsidRPr="00F224C3" w:rsidRDefault="00F224C3" w:rsidP="00F224C3">
            <w:pPr>
              <w:widowControl/>
              <w:jc w:val="right"/>
              <w:rPr>
                <w:rFonts w:ascii="Calibri" w:eastAsia="Times New Roman" w:hAnsi="Calibri" w:cs="Calibri"/>
                <w:color w:val="000000"/>
                <w:kern w:val="0"/>
                <w:sz w:val="22"/>
              </w:rPr>
            </w:pPr>
            <w:r w:rsidRPr="00F224C3">
              <w:rPr>
                <w:rFonts w:ascii="Calibri" w:eastAsia="Times New Roman" w:hAnsi="Calibri" w:cs="Calibri"/>
                <w:color w:val="000000"/>
                <w:kern w:val="0"/>
                <w:sz w:val="22"/>
              </w:rPr>
              <w:t>-0.22</w:t>
            </w:r>
          </w:p>
        </w:tc>
      </w:tr>
      <w:tr w:rsidR="002969AD" w:rsidRPr="00F224C3" w14:paraId="74B052C9" w14:textId="77777777" w:rsidTr="00EE027B">
        <w:trPr>
          <w:trHeight w:val="300"/>
        </w:trPr>
        <w:tc>
          <w:tcPr>
            <w:tcW w:w="1276" w:type="dxa"/>
            <w:vMerge/>
            <w:vAlign w:val="center"/>
            <w:hideMark/>
          </w:tcPr>
          <w:p w14:paraId="28CA0FF2" w14:textId="77777777" w:rsidR="00F224C3" w:rsidRPr="00F224C3" w:rsidRDefault="00F224C3" w:rsidP="00F224C3">
            <w:pPr>
              <w:widowControl/>
              <w:jc w:val="left"/>
              <w:rPr>
                <w:rFonts w:ascii="Calibri" w:eastAsia="Times New Roman" w:hAnsi="Calibri" w:cs="Calibri"/>
                <w:color w:val="000000"/>
                <w:kern w:val="0"/>
                <w:sz w:val="22"/>
              </w:rPr>
            </w:pPr>
          </w:p>
        </w:tc>
        <w:tc>
          <w:tcPr>
            <w:tcW w:w="2324" w:type="dxa"/>
            <w:gridSpan w:val="2"/>
            <w:shd w:val="clear" w:color="auto" w:fill="auto"/>
            <w:noWrap/>
            <w:vAlign w:val="bottom"/>
            <w:hideMark/>
          </w:tcPr>
          <w:p w14:paraId="6AD2763A" w14:textId="77777777" w:rsidR="00F224C3" w:rsidRPr="00F224C3" w:rsidRDefault="00F224C3" w:rsidP="00F224C3">
            <w:pPr>
              <w:widowControl/>
              <w:jc w:val="left"/>
              <w:rPr>
                <w:rFonts w:ascii="Calibri" w:eastAsia="Times New Roman" w:hAnsi="Calibri" w:cs="Calibri"/>
                <w:color w:val="000000"/>
                <w:kern w:val="0"/>
                <w:sz w:val="22"/>
              </w:rPr>
            </w:pPr>
            <w:r w:rsidRPr="00F224C3">
              <w:rPr>
                <w:rFonts w:ascii="Calibri" w:eastAsia="Times New Roman" w:hAnsi="Calibri" w:cs="Calibri"/>
                <w:color w:val="000000"/>
                <w:kern w:val="0"/>
                <w:sz w:val="22"/>
              </w:rPr>
              <w:t>FeNO</w:t>
            </w:r>
          </w:p>
        </w:tc>
        <w:tc>
          <w:tcPr>
            <w:tcW w:w="962" w:type="dxa"/>
            <w:shd w:val="clear" w:color="auto" w:fill="auto"/>
            <w:noWrap/>
            <w:vAlign w:val="bottom"/>
            <w:hideMark/>
          </w:tcPr>
          <w:p w14:paraId="270E7B91" w14:textId="77777777" w:rsidR="00F224C3" w:rsidRPr="00F224C3" w:rsidRDefault="00F224C3" w:rsidP="00F224C3">
            <w:pPr>
              <w:widowControl/>
              <w:jc w:val="right"/>
              <w:rPr>
                <w:rFonts w:ascii="Calibri" w:eastAsia="Times New Roman" w:hAnsi="Calibri" w:cs="Calibri"/>
                <w:color w:val="000000"/>
                <w:kern w:val="0"/>
                <w:sz w:val="22"/>
              </w:rPr>
            </w:pPr>
            <w:r w:rsidRPr="00F224C3">
              <w:rPr>
                <w:rFonts w:ascii="Calibri" w:eastAsia="Times New Roman" w:hAnsi="Calibri" w:cs="Calibri"/>
                <w:color w:val="000000"/>
                <w:kern w:val="0"/>
                <w:sz w:val="22"/>
              </w:rPr>
              <w:t>-0.12</w:t>
            </w:r>
          </w:p>
        </w:tc>
        <w:tc>
          <w:tcPr>
            <w:tcW w:w="960" w:type="dxa"/>
            <w:shd w:val="clear" w:color="auto" w:fill="auto"/>
            <w:noWrap/>
            <w:vAlign w:val="bottom"/>
            <w:hideMark/>
          </w:tcPr>
          <w:p w14:paraId="71A7441D" w14:textId="77777777" w:rsidR="00F224C3" w:rsidRPr="00F224C3" w:rsidRDefault="00F224C3" w:rsidP="00F224C3">
            <w:pPr>
              <w:widowControl/>
              <w:jc w:val="right"/>
              <w:rPr>
                <w:rFonts w:ascii="Calibri" w:eastAsia="Times New Roman" w:hAnsi="Calibri" w:cs="Calibri"/>
                <w:color w:val="000000"/>
                <w:kern w:val="0"/>
                <w:sz w:val="22"/>
              </w:rPr>
            </w:pPr>
            <w:r w:rsidRPr="00F224C3">
              <w:rPr>
                <w:rFonts w:ascii="Calibri" w:eastAsia="Times New Roman" w:hAnsi="Calibri" w:cs="Calibri"/>
                <w:color w:val="000000"/>
                <w:kern w:val="0"/>
                <w:sz w:val="22"/>
              </w:rPr>
              <w:t>-0.13</w:t>
            </w:r>
          </w:p>
        </w:tc>
        <w:tc>
          <w:tcPr>
            <w:tcW w:w="1280" w:type="dxa"/>
            <w:shd w:val="clear" w:color="auto" w:fill="auto"/>
            <w:noWrap/>
            <w:vAlign w:val="bottom"/>
            <w:hideMark/>
          </w:tcPr>
          <w:p w14:paraId="38ECEF97" w14:textId="77777777" w:rsidR="00F224C3" w:rsidRPr="00F224C3" w:rsidRDefault="00F224C3" w:rsidP="00F224C3">
            <w:pPr>
              <w:widowControl/>
              <w:jc w:val="right"/>
              <w:rPr>
                <w:rFonts w:ascii="Calibri" w:eastAsia="Times New Roman" w:hAnsi="Calibri" w:cs="Calibri"/>
                <w:color w:val="000000"/>
                <w:kern w:val="0"/>
                <w:sz w:val="22"/>
              </w:rPr>
            </w:pPr>
            <w:r w:rsidRPr="00F224C3">
              <w:rPr>
                <w:rFonts w:ascii="Calibri" w:eastAsia="Times New Roman" w:hAnsi="Calibri" w:cs="Calibri"/>
                <w:color w:val="000000"/>
                <w:kern w:val="0"/>
                <w:sz w:val="22"/>
              </w:rPr>
              <w:t>-0.14</w:t>
            </w:r>
          </w:p>
        </w:tc>
      </w:tr>
      <w:tr w:rsidR="002969AD" w:rsidRPr="00F224C3" w14:paraId="4469F7DF" w14:textId="77777777" w:rsidTr="00EE027B">
        <w:trPr>
          <w:trHeight w:val="300"/>
        </w:trPr>
        <w:tc>
          <w:tcPr>
            <w:tcW w:w="1276" w:type="dxa"/>
            <w:vMerge w:val="restart"/>
            <w:shd w:val="clear" w:color="auto" w:fill="auto"/>
            <w:noWrap/>
            <w:vAlign w:val="center"/>
            <w:hideMark/>
          </w:tcPr>
          <w:p w14:paraId="2B64EE8B" w14:textId="77777777" w:rsidR="00F224C3" w:rsidRPr="00F224C3" w:rsidRDefault="00F224C3" w:rsidP="00F224C3">
            <w:pPr>
              <w:widowControl/>
              <w:jc w:val="left"/>
              <w:rPr>
                <w:rFonts w:ascii="Calibri" w:eastAsia="Times New Roman" w:hAnsi="Calibri" w:cs="Calibri"/>
                <w:color w:val="000000"/>
                <w:kern w:val="0"/>
                <w:sz w:val="22"/>
              </w:rPr>
            </w:pPr>
            <w:r w:rsidRPr="00F224C3">
              <w:rPr>
                <w:rFonts w:ascii="Calibri" w:eastAsia="Times New Roman" w:hAnsi="Calibri" w:cs="Calibri"/>
                <w:color w:val="000000"/>
                <w:kern w:val="0"/>
                <w:sz w:val="22"/>
              </w:rPr>
              <w:t>SAs</w:t>
            </w:r>
          </w:p>
        </w:tc>
        <w:tc>
          <w:tcPr>
            <w:tcW w:w="2324" w:type="dxa"/>
            <w:gridSpan w:val="2"/>
            <w:shd w:val="clear" w:color="auto" w:fill="auto"/>
            <w:noWrap/>
            <w:vAlign w:val="bottom"/>
            <w:hideMark/>
          </w:tcPr>
          <w:p w14:paraId="5A201858" w14:textId="77777777" w:rsidR="00F224C3" w:rsidRPr="00F224C3" w:rsidRDefault="00F224C3" w:rsidP="00F224C3">
            <w:pPr>
              <w:widowControl/>
              <w:jc w:val="left"/>
              <w:rPr>
                <w:rFonts w:ascii="Calibri" w:eastAsia="Times New Roman" w:hAnsi="Calibri" w:cs="Calibri"/>
                <w:color w:val="000000"/>
                <w:kern w:val="0"/>
                <w:sz w:val="22"/>
              </w:rPr>
            </w:pPr>
            <w:r w:rsidRPr="00F224C3">
              <w:rPr>
                <w:rFonts w:ascii="Calibri" w:eastAsia="Times New Roman" w:hAnsi="Calibri" w:cs="Calibri"/>
                <w:color w:val="000000"/>
                <w:kern w:val="0"/>
                <w:sz w:val="22"/>
              </w:rPr>
              <w:t>Blood eosinophils</w:t>
            </w:r>
          </w:p>
        </w:tc>
        <w:tc>
          <w:tcPr>
            <w:tcW w:w="962" w:type="dxa"/>
            <w:shd w:val="clear" w:color="auto" w:fill="auto"/>
            <w:noWrap/>
            <w:vAlign w:val="bottom"/>
            <w:hideMark/>
          </w:tcPr>
          <w:p w14:paraId="1C52DD9C" w14:textId="64042114" w:rsidR="00F224C3" w:rsidRPr="00F224C3" w:rsidRDefault="00F224C3" w:rsidP="00F224C3">
            <w:pPr>
              <w:widowControl/>
              <w:jc w:val="right"/>
              <w:rPr>
                <w:rFonts w:ascii="Calibri" w:eastAsia="Times New Roman" w:hAnsi="Calibri" w:cs="Calibri"/>
                <w:color w:val="000000"/>
                <w:kern w:val="0"/>
                <w:sz w:val="22"/>
              </w:rPr>
            </w:pPr>
            <w:r w:rsidRPr="00F224C3">
              <w:rPr>
                <w:rFonts w:ascii="Calibri" w:eastAsia="Times New Roman" w:hAnsi="Calibri" w:cs="Calibri"/>
                <w:color w:val="000000"/>
                <w:kern w:val="0"/>
                <w:sz w:val="22"/>
              </w:rPr>
              <w:t>-0.01</w:t>
            </w:r>
            <w:r w:rsidR="000E2835" w:rsidRPr="000E2835">
              <w:rPr>
                <w:rFonts w:ascii="Calibri" w:eastAsia="Times New Roman" w:hAnsi="Calibri" w:cs="Calibri"/>
                <w:color w:val="000000"/>
                <w:kern w:val="0"/>
                <w:sz w:val="22"/>
              </w:rPr>
              <w:t>*</w:t>
            </w:r>
          </w:p>
        </w:tc>
        <w:tc>
          <w:tcPr>
            <w:tcW w:w="960" w:type="dxa"/>
            <w:shd w:val="clear" w:color="auto" w:fill="auto"/>
            <w:noWrap/>
            <w:vAlign w:val="bottom"/>
            <w:hideMark/>
          </w:tcPr>
          <w:p w14:paraId="320C63E4" w14:textId="77777777" w:rsidR="00F224C3" w:rsidRPr="00F224C3" w:rsidRDefault="00F224C3" w:rsidP="00F224C3">
            <w:pPr>
              <w:widowControl/>
              <w:jc w:val="right"/>
              <w:rPr>
                <w:rFonts w:ascii="Calibri" w:eastAsia="Times New Roman" w:hAnsi="Calibri" w:cs="Calibri"/>
                <w:color w:val="000000"/>
                <w:kern w:val="0"/>
                <w:sz w:val="22"/>
              </w:rPr>
            </w:pPr>
            <w:r w:rsidRPr="00F224C3">
              <w:rPr>
                <w:rFonts w:ascii="Calibri" w:eastAsia="Times New Roman" w:hAnsi="Calibri" w:cs="Calibri"/>
                <w:color w:val="000000"/>
                <w:kern w:val="0"/>
                <w:sz w:val="22"/>
              </w:rPr>
              <w:t>-0.05</w:t>
            </w:r>
          </w:p>
        </w:tc>
        <w:tc>
          <w:tcPr>
            <w:tcW w:w="1280" w:type="dxa"/>
            <w:shd w:val="clear" w:color="auto" w:fill="auto"/>
            <w:noWrap/>
            <w:vAlign w:val="bottom"/>
            <w:hideMark/>
          </w:tcPr>
          <w:p w14:paraId="206100D7" w14:textId="588702AF" w:rsidR="00F224C3" w:rsidRPr="00F224C3" w:rsidRDefault="00F224C3" w:rsidP="00F224C3">
            <w:pPr>
              <w:widowControl/>
              <w:jc w:val="right"/>
              <w:rPr>
                <w:rFonts w:ascii="Calibri" w:eastAsia="Times New Roman" w:hAnsi="Calibri" w:cs="Calibri"/>
                <w:color w:val="000000"/>
                <w:kern w:val="0"/>
                <w:sz w:val="22"/>
              </w:rPr>
            </w:pPr>
            <w:r w:rsidRPr="00F224C3">
              <w:rPr>
                <w:rFonts w:ascii="Calibri" w:eastAsia="Times New Roman" w:hAnsi="Calibri" w:cs="Calibri"/>
                <w:color w:val="000000"/>
                <w:kern w:val="0"/>
                <w:sz w:val="22"/>
              </w:rPr>
              <w:t>-0.03</w:t>
            </w:r>
            <w:r w:rsidR="007A00B2" w:rsidRPr="001B68E2">
              <w:rPr>
                <w:sz w:val="20"/>
                <w:szCs w:val="20"/>
              </w:rPr>
              <w:t>*</w:t>
            </w:r>
          </w:p>
        </w:tc>
      </w:tr>
      <w:tr w:rsidR="002969AD" w:rsidRPr="00F224C3" w14:paraId="63483320" w14:textId="77777777" w:rsidTr="00EE027B">
        <w:trPr>
          <w:trHeight w:val="300"/>
        </w:trPr>
        <w:tc>
          <w:tcPr>
            <w:tcW w:w="1276" w:type="dxa"/>
            <w:vMerge/>
            <w:vAlign w:val="center"/>
            <w:hideMark/>
          </w:tcPr>
          <w:p w14:paraId="3056EF98" w14:textId="77777777" w:rsidR="00F224C3" w:rsidRPr="00F224C3" w:rsidRDefault="00F224C3" w:rsidP="00F224C3">
            <w:pPr>
              <w:widowControl/>
              <w:jc w:val="left"/>
              <w:rPr>
                <w:rFonts w:ascii="Calibri" w:eastAsia="Times New Roman" w:hAnsi="Calibri" w:cs="Calibri"/>
                <w:color w:val="000000"/>
                <w:kern w:val="0"/>
                <w:sz w:val="22"/>
              </w:rPr>
            </w:pPr>
          </w:p>
        </w:tc>
        <w:tc>
          <w:tcPr>
            <w:tcW w:w="2324" w:type="dxa"/>
            <w:gridSpan w:val="2"/>
            <w:shd w:val="clear" w:color="auto" w:fill="auto"/>
            <w:noWrap/>
            <w:vAlign w:val="bottom"/>
            <w:hideMark/>
          </w:tcPr>
          <w:p w14:paraId="12325BEF" w14:textId="77777777" w:rsidR="00F224C3" w:rsidRPr="00F224C3" w:rsidRDefault="00F224C3" w:rsidP="00F224C3">
            <w:pPr>
              <w:widowControl/>
              <w:jc w:val="left"/>
              <w:rPr>
                <w:rFonts w:ascii="Calibri" w:eastAsia="Times New Roman" w:hAnsi="Calibri" w:cs="Calibri"/>
                <w:color w:val="000000"/>
                <w:kern w:val="0"/>
                <w:sz w:val="22"/>
              </w:rPr>
            </w:pPr>
            <w:r w:rsidRPr="00F224C3">
              <w:rPr>
                <w:rFonts w:ascii="Calibri" w:eastAsia="Times New Roman" w:hAnsi="Calibri" w:cs="Calibri"/>
                <w:color w:val="000000"/>
                <w:kern w:val="0"/>
                <w:sz w:val="22"/>
              </w:rPr>
              <w:t>FeNO</w:t>
            </w:r>
          </w:p>
        </w:tc>
        <w:tc>
          <w:tcPr>
            <w:tcW w:w="962" w:type="dxa"/>
            <w:shd w:val="clear" w:color="auto" w:fill="auto"/>
            <w:noWrap/>
            <w:vAlign w:val="bottom"/>
            <w:hideMark/>
          </w:tcPr>
          <w:p w14:paraId="30FD9EC4" w14:textId="6385CBAA" w:rsidR="00F224C3" w:rsidRPr="00F224C3" w:rsidRDefault="00F224C3" w:rsidP="00F224C3">
            <w:pPr>
              <w:widowControl/>
              <w:jc w:val="right"/>
              <w:rPr>
                <w:rFonts w:ascii="Calibri" w:eastAsia="Times New Roman" w:hAnsi="Calibri" w:cs="Calibri"/>
                <w:color w:val="000000"/>
                <w:kern w:val="0"/>
                <w:sz w:val="22"/>
              </w:rPr>
            </w:pPr>
            <w:r w:rsidRPr="00F224C3">
              <w:rPr>
                <w:rFonts w:ascii="Calibri" w:eastAsia="Times New Roman" w:hAnsi="Calibri" w:cs="Calibri"/>
                <w:color w:val="000000"/>
                <w:kern w:val="0"/>
                <w:sz w:val="22"/>
              </w:rPr>
              <w:t>-0.04</w:t>
            </w:r>
            <w:r w:rsidR="000E2835" w:rsidRPr="001B68E2">
              <w:rPr>
                <w:sz w:val="20"/>
                <w:szCs w:val="20"/>
              </w:rPr>
              <w:t>*</w:t>
            </w:r>
          </w:p>
        </w:tc>
        <w:tc>
          <w:tcPr>
            <w:tcW w:w="960" w:type="dxa"/>
            <w:shd w:val="clear" w:color="auto" w:fill="auto"/>
            <w:noWrap/>
            <w:vAlign w:val="bottom"/>
            <w:hideMark/>
          </w:tcPr>
          <w:p w14:paraId="0CC08EDC" w14:textId="77777777" w:rsidR="00F224C3" w:rsidRPr="00F224C3" w:rsidRDefault="00F224C3" w:rsidP="00F224C3">
            <w:pPr>
              <w:widowControl/>
              <w:jc w:val="right"/>
              <w:rPr>
                <w:rFonts w:ascii="Calibri" w:eastAsia="Times New Roman" w:hAnsi="Calibri" w:cs="Calibri"/>
                <w:color w:val="000000"/>
                <w:kern w:val="0"/>
                <w:sz w:val="22"/>
              </w:rPr>
            </w:pPr>
            <w:r w:rsidRPr="00F224C3">
              <w:rPr>
                <w:rFonts w:ascii="Calibri" w:eastAsia="Times New Roman" w:hAnsi="Calibri" w:cs="Calibri"/>
                <w:color w:val="000000"/>
                <w:kern w:val="0"/>
                <w:sz w:val="22"/>
              </w:rPr>
              <w:t>-0.05</w:t>
            </w:r>
          </w:p>
        </w:tc>
        <w:tc>
          <w:tcPr>
            <w:tcW w:w="1280" w:type="dxa"/>
            <w:shd w:val="clear" w:color="auto" w:fill="auto"/>
            <w:noWrap/>
            <w:vAlign w:val="bottom"/>
            <w:hideMark/>
          </w:tcPr>
          <w:p w14:paraId="5235569A" w14:textId="5229B59D" w:rsidR="00F224C3" w:rsidRPr="00F224C3" w:rsidRDefault="00F224C3" w:rsidP="00F224C3">
            <w:pPr>
              <w:widowControl/>
              <w:jc w:val="right"/>
              <w:rPr>
                <w:rFonts w:ascii="Calibri" w:eastAsia="Times New Roman" w:hAnsi="Calibri" w:cs="Calibri"/>
                <w:color w:val="000000"/>
                <w:kern w:val="0"/>
                <w:sz w:val="22"/>
              </w:rPr>
            </w:pPr>
            <w:r w:rsidRPr="00F224C3">
              <w:rPr>
                <w:rFonts w:ascii="Calibri" w:eastAsia="Times New Roman" w:hAnsi="Calibri" w:cs="Calibri"/>
                <w:color w:val="000000"/>
                <w:kern w:val="0"/>
                <w:sz w:val="22"/>
              </w:rPr>
              <w:t>-0.04</w:t>
            </w:r>
            <w:r w:rsidR="007A00B2" w:rsidRPr="001B68E2">
              <w:rPr>
                <w:sz w:val="20"/>
                <w:szCs w:val="20"/>
              </w:rPr>
              <w:t>*</w:t>
            </w:r>
          </w:p>
        </w:tc>
      </w:tr>
    </w:tbl>
    <w:p w14:paraId="75E6FE2B" w14:textId="77777777" w:rsidR="00DC1D81" w:rsidRDefault="00DC1D81" w:rsidP="00A41B3B">
      <w:pPr>
        <w:rPr>
          <w:rFonts w:ascii="Arial" w:hAnsi="Arial" w:cs="Arial"/>
          <w:color w:val="000000" w:themeColor="text1"/>
          <w:sz w:val="22"/>
        </w:rPr>
      </w:pPr>
    </w:p>
    <w:p w14:paraId="5BB11E0C" w14:textId="572C0275" w:rsidR="00F224C3" w:rsidRDefault="00A47E04" w:rsidP="00740FA2">
      <w:pPr>
        <w:rPr>
          <w:sz w:val="20"/>
          <w:szCs w:val="20"/>
        </w:rPr>
      </w:pPr>
      <w:r w:rsidRPr="001B68E2">
        <w:rPr>
          <w:sz w:val="20"/>
          <w:szCs w:val="20"/>
        </w:rPr>
        <w:t>HADS: Hospital Anxiety and Depression Scale</w:t>
      </w:r>
      <w:r>
        <w:rPr>
          <w:sz w:val="20"/>
          <w:szCs w:val="20"/>
        </w:rPr>
        <w:t xml:space="preserve">; HADS-A: </w:t>
      </w:r>
      <w:r w:rsidR="00A95FF8">
        <w:rPr>
          <w:sz w:val="20"/>
          <w:szCs w:val="20"/>
        </w:rPr>
        <w:t>HADS anxiety; HADS-D: HADS depression; FeNO:</w:t>
      </w:r>
      <w:r w:rsidR="00130B15" w:rsidRPr="00130B15">
        <w:t xml:space="preserve"> </w:t>
      </w:r>
      <w:r w:rsidR="00130B15" w:rsidRPr="00130B15">
        <w:rPr>
          <w:sz w:val="20"/>
          <w:szCs w:val="20"/>
        </w:rPr>
        <w:t>fractional exhaled nitric oxide</w:t>
      </w:r>
      <w:r w:rsidR="00B32705">
        <w:rPr>
          <w:sz w:val="20"/>
          <w:szCs w:val="20"/>
        </w:rPr>
        <w:t xml:space="preserve">; </w:t>
      </w:r>
      <w:r w:rsidR="00B32705" w:rsidRPr="001B68E2">
        <w:rPr>
          <w:sz w:val="20"/>
          <w:szCs w:val="20"/>
        </w:rPr>
        <w:t>*</w:t>
      </w:r>
      <w:r w:rsidR="00B32705" w:rsidRPr="001B68E2">
        <w:rPr>
          <w:rFonts w:hint="eastAsia"/>
          <w:sz w:val="20"/>
          <w:szCs w:val="20"/>
        </w:rPr>
        <w:t>p&lt;0.05</w:t>
      </w:r>
      <w:r w:rsidR="00130B15" w:rsidRPr="00130B15">
        <w:rPr>
          <w:sz w:val="20"/>
          <w:szCs w:val="20"/>
        </w:rPr>
        <w:t xml:space="preserve"> </w:t>
      </w:r>
    </w:p>
    <w:p w14:paraId="1B19ECC6" w14:textId="77777777" w:rsidR="00123C9D" w:rsidRPr="005C36F7" w:rsidRDefault="00123C9D" w:rsidP="00740FA2">
      <w:pPr>
        <w:rPr>
          <w:rFonts w:ascii="Arial" w:hAnsi="Arial" w:cs="Arial"/>
          <w:color w:val="000000" w:themeColor="text1"/>
          <w:sz w:val="22"/>
        </w:rPr>
      </w:pPr>
    </w:p>
    <w:p w14:paraId="26210608" w14:textId="410BD54D" w:rsidR="00EF3131" w:rsidRPr="005C36F7" w:rsidRDefault="00672CB6" w:rsidP="00A41B3B">
      <w:pPr>
        <w:rPr>
          <w:rFonts w:ascii="Arial" w:hAnsi="Arial" w:cs="Arial"/>
          <w:b/>
          <w:color w:val="000000" w:themeColor="text1"/>
          <w:sz w:val="22"/>
        </w:rPr>
      </w:pPr>
      <w:r w:rsidRPr="005C36F7">
        <w:rPr>
          <w:rFonts w:ascii="Arial" w:hAnsi="Arial" w:cs="Arial"/>
          <w:b/>
          <w:color w:val="000000" w:themeColor="text1"/>
          <w:sz w:val="22"/>
        </w:rPr>
        <w:t xml:space="preserve">4. </w:t>
      </w:r>
      <w:r w:rsidR="00EF3131" w:rsidRPr="005C36F7">
        <w:rPr>
          <w:rFonts w:ascii="Arial" w:hAnsi="Arial" w:cs="Arial"/>
          <w:b/>
          <w:color w:val="000000" w:themeColor="text1"/>
          <w:sz w:val="22"/>
        </w:rPr>
        <w:t>Discussion</w:t>
      </w:r>
    </w:p>
    <w:p w14:paraId="37629D5B" w14:textId="3154DF56" w:rsidR="0093091E" w:rsidRDefault="00FE02D2" w:rsidP="00A41B3B">
      <w:pPr>
        <w:rPr>
          <w:rFonts w:ascii="Arial" w:hAnsi="Arial" w:cs="Arial"/>
          <w:color w:val="000000" w:themeColor="text1"/>
          <w:sz w:val="22"/>
        </w:rPr>
      </w:pPr>
      <w:r w:rsidRPr="00FE02D2">
        <w:rPr>
          <w:rFonts w:ascii="Arial" w:hAnsi="Arial" w:cs="Arial"/>
          <w:color w:val="000000" w:themeColor="text1"/>
          <w:sz w:val="22"/>
        </w:rPr>
        <w:t xml:space="preserve">Findings from our study </w:t>
      </w:r>
      <w:r w:rsidR="00D400FE">
        <w:rPr>
          <w:rFonts w:ascii="Arial" w:hAnsi="Arial" w:cs="Arial"/>
          <w:color w:val="000000" w:themeColor="text1"/>
          <w:sz w:val="22"/>
        </w:rPr>
        <w:t xml:space="preserve">support </w:t>
      </w:r>
      <w:r w:rsidR="009A4943">
        <w:rPr>
          <w:rFonts w:ascii="Arial" w:hAnsi="Arial" w:cs="Arial"/>
          <w:color w:val="000000" w:themeColor="text1"/>
          <w:sz w:val="22"/>
        </w:rPr>
        <w:t>severe</w:t>
      </w:r>
      <w:r w:rsidR="00F70798">
        <w:rPr>
          <w:rFonts w:ascii="Arial" w:hAnsi="Arial" w:cs="Arial"/>
          <w:color w:val="000000" w:themeColor="text1"/>
          <w:sz w:val="22"/>
        </w:rPr>
        <w:t xml:space="preserve"> asthma associated with </w:t>
      </w:r>
      <w:r w:rsidR="006A1D38">
        <w:rPr>
          <w:rFonts w:ascii="Arial" w:hAnsi="Arial" w:cs="Arial"/>
          <w:color w:val="000000" w:themeColor="text1"/>
          <w:sz w:val="22"/>
        </w:rPr>
        <w:t xml:space="preserve">higher </w:t>
      </w:r>
      <w:r w:rsidR="009A4943">
        <w:rPr>
          <w:rFonts w:ascii="Arial" w:hAnsi="Arial" w:cs="Arial"/>
          <w:color w:val="000000" w:themeColor="text1"/>
          <w:sz w:val="22"/>
        </w:rPr>
        <w:t xml:space="preserve">levels of </w:t>
      </w:r>
      <w:r w:rsidR="00F70798">
        <w:rPr>
          <w:rFonts w:ascii="Arial" w:hAnsi="Arial" w:cs="Arial"/>
          <w:color w:val="000000" w:themeColor="text1"/>
          <w:sz w:val="22"/>
        </w:rPr>
        <w:t>anxiety and depression</w:t>
      </w:r>
      <w:r w:rsidR="0093091E">
        <w:rPr>
          <w:rFonts w:ascii="Arial" w:hAnsi="Arial" w:cs="Arial"/>
          <w:color w:val="000000" w:themeColor="text1"/>
          <w:sz w:val="22"/>
        </w:rPr>
        <w:t>,</w:t>
      </w:r>
      <w:r w:rsidR="0093091E" w:rsidRPr="0093091E">
        <w:rPr>
          <w:rFonts w:ascii="Arial" w:hAnsi="Arial" w:cs="Arial"/>
          <w:color w:val="000000" w:themeColor="text1"/>
          <w:sz w:val="22"/>
        </w:rPr>
        <w:t xml:space="preserve"> and inflammatory responses may underlie this comorbid condition.</w:t>
      </w:r>
      <w:r w:rsidR="006A1D38" w:rsidRPr="006A1D38">
        <w:t xml:space="preserve"> </w:t>
      </w:r>
      <w:r w:rsidR="006A1D38" w:rsidRPr="006A1D38">
        <w:rPr>
          <w:rFonts w:ascii="Arial" w:hAnsi="Arial" w:cs="Arial"/>
          <w:color w:val="000000" w:themeColor="text1"/>
          <w:sz w:val="22"/>
        </w:rPr>
        <w:t xml:space="preserve">The </w:t>
      </w:r>
      <w:r w:rsidR="00455552">
        <w:rPr>
          <w:rFonts w:ascii="Arial" w:hAnsi="Arial" w:cs="Arial"/>
          <w:color w:val="000000" w:themeColor="text1"/>
          <w:sz w:val="22"/>
        </w:rPr>
        <w:t>study was able to analyse a</w:t>
      </w:r>
      <w:r w:rsidR="006A1D38" w:rsidRPr="006A1D38">
        <w:rPr>
          <w:rFonts w:ascii="Arial" w:hAnsi="Arial" w:cs="Arial"/>
          <w:color w:val="000000" w:themeColor="text1"/>
          <w:sz w:val="22"/>
        </w:rPr>
        <w:t xml:space="preserve"> large </w:t>
      </w:r>
      <w:r w:rsidR="00455552">
        <w:rPr>
          <w:rFonts w:ascii="Arial" w:hAnsi="Arial" w:cs="Arial"/>
          <w:color w:val="000000" w:themeColor="text1"/>
          <w:sz w:val="22"/>
        </w:rPr>
        <w:t xml:space="preserve">European </w:t>
      </w:r>
      <w:r w:rsidR="006A1D38" w:rsidRPr="006A1D38">
        <w:rPr>
          <w:rFonts w:ascii="Arial" w:hAnsi="Arial" w:cs="Arial"/>
          <w:color w:val="000000" w:themeColor="text1"/>
          <w:sz w:val="22"/>
        </w:rPr>
        <w:t>dataset collected involving three cohorts of asthma patients</w:t>
      </w:r>
      <w:r w:rsidR="0093091E">
        <w:rPr>
          <w:rFonts w:ascii="Arial" w:hAnsi="Arial" w:cs="Arial"/>
          <w:color w:val="000000" w:themeColor="text1"/>
          <w:sz w:val="22"/>
        </w:rPr>
        <w:t xml:space="preserve"> and examine</w:t>
      </w:r>
      <w:r w:rsidR="006A1D38" w:rsidRPr="006A1D38">
        <w:rPr>
          <w:rFonts w:ascii="Arial" w:hAnsi="Arial" w:cs="Arial"/>
          <w:color w:val="000000" w:themeColor="text1"/>
          <w:sz w:val="22"/>
        </w:rPr>
        <w:t xml:space="preserve"> how asthma severity </w:t>
      </w:r>
      <w:r w:rsidR="0093091E">
        <w:rPr>
          <w:rFonts w:ascii="Arial" w:hAnsi="Arial" w:cs="Arial"/>
          <w:color w:val="000000" w:themeColor="text1"/>
          <w:sz w:val="22"/>
        </w:rPr>
        <w:t>wa</w:t>
      </w:r>
      <w:r w:rsidR="0093091E" w:rsidRPr="006A1D38">
        <w:rPr>
          <w:rFonts w:ascii="Arial" w:hAnsi="Arial" w:cs="Arial"/>
          <w:color w:val="000000" w:themeColor="text1"/>
          <w:sz w:val="22"/>
        </w:rPr>
        <w:t xml:space="preserve">s </w:t>
      </w:r>
      <w:r w:rsidR="006A1D38" w:rsidRPr="006A1D38">
        <w:rPr>
          <w:rFonts w:ascii="Arial" w:hAnsi="Arial" w:cs="Arial"/>
          <w:color w:val="000000" w:themeColor="text1"/>
          <w:sz w:val="22"/>
        </w:rPr>
        <w:t>linked to psychological distress</w:t>
      </w:r>
      <w:r w:rsidR="0093091E">
        <w:rPr>
          <w:rFonts w:ascii="Arial" w:hAnsi="Arial" w:cs="Arial"/>
          <w:color w:val="000000" w:themeColor="text1"/>
          <w:sz w:val="22"/>
        </w:rPr>
        <w:t xml:space="preserve"> utilising</w:t>
      </w:r>
      <w:r w:rsidR="006A1D38" w:rsidRPr="006A1D38">
        <w:rPr>
          <w:rFonts w:ascii="Arial" w:hAnsi="Arial" w:cs="Arial"/>
          <w:color w:val="000000" w:themeColor="text1"/>
          <w:sz w:val="22"/>
        </w:rPr>
        <w:t xml:space="preserve"> measurements of multiple inflammatory markers</w:t>
      </w:r>
      <w:r w:rsidR="0093091E">
        <w:rPr>
          <w:rFonts w:ascii="Arial" w:hAnsi="Arial" w:cs="Arial"/>
          <w:color w:val="000000" w:themeColor="text1"/>
          <w:sz w:val="22"/>
        </w:rPr>
        <w:t xml:space="preserve"> and taking into</w:t>
      </w:r>
      <w:r w:rsidR="006A1D38" w:rsidRPr="006A1D38">
        <w:rPr>
          <w:rFonts w:ascii="Arial" w:hAnsi="Arial" w:cs="Arial"/>
          <w:color w:val="000000" w:themeColor="text1"/>
          <w:sz w:val="22"/>
        </w:rPr>
        <w:t xml:space="preserve"> consideration of confounding factors in the study design and data analysis.</w:t>
      </w:r>
    </w:p>
    <w:p w14:paraId="467F41D3" w14:textId="23ABC434" w:rsidR="00BF1749" w:rsidRDefault="0093091E" w:rsidP="00A41B3B">
      <w:pPr>
        <w:rPr>
          <w:rFonts w:ascii="Arial" w:hAnsi="Arial" w:cs="Arial"/>
          <w:color w:val="000000" w:themeColor="text1"/>
          <w:sz w:val="22"/>
        </w:rPr>
      </w:pPr>
      <w:r>
        <w:rPr>
          <w:rFonts w:ascii="Arial" w:hAnsi="Arial" w:cs="Arial"/>
          <w:color w:val="000000" w:themeColor="text1"/>
          <w:sz w:val="22"/>
        </w:rPr>
        <w:t xml:space="preserve">   </w:t>
      </w:r>
      <w:r w:rsidR="00C2331F" w:rsidRPr="005C36F7">
        <w:rPr>
          <w:rFonts w:ascii="Arial" w:hAnsi="Arial" w:cs="Arial"/>
          <w:color w:val="000000" w:themeColor="text1"/>
          <w:sz w:val="22"/>
        </w:rPr>
        <w:t xml:space="preserve">Asthma </w:t>
      </w:r>
      <w:r w:rsidR="00807156" w:rsidRPr="005C36F7">
        <w:rPr>
          <w:rFonts w:ascii="Arial" w:hAnsi="Arial" w:cs="Arial"/>
          <w:color w:val="000000" w:themeColor="text1"/>
          <w:sz w:val="22"/>
        </w:rPr>
        <w:t xml:space="preserve">is </w:t>
      </w:r>
      <w:r w:rsidR="00C2331F" w:rsidRPr="005C36F7">
        <w:rPr>
          <w:rFonts w:ascii="Arial" w:hAnsi="Arial" w:cs="Arial"/>
          <w:color w:val="000000" w:themeColor="text1"/>
          <w:sz w:val="22"/>
        </w:rPr>
        <w:t xml:space="preserve">often </w:t>
      </w:r>
      <w:r w:rsidR="00807156" w:rsidRPr="005C36F7">
        <w:rPr>
          <w:rFonts w:ascii="Arial" w:hAnsi="Arial" w:cs="Arial"/>
          <w:color w:val="000000" w:themeColor="text1"/>
          <w:sz w:val="22"/>
        </w:rPr>
        <w:t xml:space="preserve">regarded as a </w:t>
      </w:r>
      <w:r w:rsidR="006E46B2" w:rsidRPr="005C36F7">
        <w:rPr>
          <w:rFonts w:ascii="Arial" w:hAnsi="Arial" w:cs="Arial"/>
          <w:color w:val="000000" w:themeColor="text1"/>
          <w:sz w:val="22"/>
        </w:rPr>
        <w:t xml:space="preserve">chronic disease with </w:t>
      </w:r>
      <w:r w:rsidR="00807156" w:rsidRPr="005C36F7">
        <w:rPr>
          <w:rFonts w:ascii="Arial" w:hAnsi="Arial" w:cs="Arial"/>
          <w:color w:val="000000" w:themeColor="text1"/>
          <w:sz w:val="22"/>
        </w:rPr>
        <w:t xml:space="preserve">psychosomatic </w:t>
      </w:r>
      <w:r w:rsidR="006E46B2" w:rsidRPr="005C36F7">
        <w:rPr>
          <w:rFonts w:ascii="Arial" w:hAnsi="Arial" w:cs="Arial"/>
          <w:color w:val="000000" w:themeColor="text1"/>
          <w:sz w:val="22"/>
        </w:rPr>
        <w:t xml:space="preserve">elements </w:t>
      </w:r>
      <w:r w:rsidR="00807156" w:rsidRPr="005C36F7">
        <w:rPr>
          <w:rFonts w:ascii="Arial" w:hAnsi="Arial" w:cs="Arial"/>
          <w:color w:val="000000" w:themeColor="text1"/>
          <w:sz w:val="22"/>
        </w:rPr>
        <w:t>(</w:t>
      </w:r>
      <w:r w:rsidR="006C1E37" w:rsidRPr="005C36F7">
        <w:rPr>
          <w:rFonts w:ascii="Arial" w:hAnsi="Arial" w:cs="Arial"/>
          <w:color w:val="000000" w:themeColor="text1"/>
          <w:sz w:val="22"/>
        </w:rPr>
        <w:t>Mrazek,</w:t>
      </w:r>
      <w:r w:rsidR="00F764B3" w:rsidRPr="005C36F7">
        <w:rPr>
          <w:rFonts w:ascii="Arial" w:hAnsi="Arial" w:cs="Arial"/>
          <w:color w:val="000000" w:themeColor="text1"/>
          <w:sz w:val="22"/>
        </w:rPr>
        <w:t xml:space="preserve"> </w:t>
      </w:r>
      <w:r w:rsidR="00882FFC" w:rsidRPr="005C36F7">
        <w:rPr>
          <w:rFonts w:ascii="Arial" w:hAnsi="Arial" w:cs="Arial"/>
          <w:color w:val="000000" w:themeColor="text1"/>
          <w:sz w:val="22"/>
        </w:rPr>
        <w:t>2003</w:t>
      </w:r>
      <w:r w:rsidR="00807156" w:rsidRPr="005C36F7">
        <w:rPr>
          <w:rFonts w:ascii="Arial" w:hAnsi="Arial" w:cs="Arial"/>
          <w:color w:val="000000" w:themeColor="text1"/>
          <w:sz w:val="22"/>
        </w:rPr>
        <w:t>)</w:t>
      </w:r>
      <w:r w:rsidR="00D9478A" w:rsidRPr="005C36F7">
        <w:rPr>
          <w:rFonts w:ascii="Arial" w:hAnsi="Arial" w:cs="Arial"/>
          <w:color w:val="000000" w:themeColor="text1"/>
          <w:sz w:val="22"/>
        </w:rPr>
        <w:t>, as p</w:t>
      </w:r>
      <w:r w:rsidR="00395754" w:rsidRPr="005C36F7">
        <w:rPr>
          <w:rFonts w:ascii="Arial" w:hAnsi="Arial" w:cs="Arial"/>
          <w:color w:val="000000" w:themeColor="text1"/>
          <w:sz w:val="22"/>
        </w:rPr>
        <w:t xml:space="preserve">sychological disturbances such as anxiety or depression are </w:t>
      </w:r>
      <w:r w:rsidR="00570120" w:rsidRPr="005C36F7">
        <w:rPr>
          <w:rFonts w:ascii="Arial" w:hAnsi="Arial" w:cs="Arial"/>
          <w:color w:val="000000" w:themeColor="text1"/>
          <w:sz w:val="22"/>
        </w:rPr>
        <w:t>strongly associated</w:t>
      </w:r>
      <w:r w:rsidR="00A37983" w:rsidRPr="005C36F7">
        <w:rPr>
          <w:rFonts w:ascii="Arial" w:hAnsi="Arial" w:cs="Arial"/>
          <w:color w:val="000000" w:themeColor="text1"/>
          <w:sz w:val="22"/>
        </w:rPr>
        <w:t xml:space="preserve"> with</w:t>
      </w:r>
      <w:r w:rsidR="00395754" w:rsidRPr="005C36F7">
        <w:rPr>
          <w:rFonts w:ascii="Arial" w:hAnsi="Arial" w:cs="Arial"/>
          <w:color w:val="000000" w:themeColor="text1"/>
          <w:sz w:val="22"/>
        </w:rPr>
        <w:t xml:space="preserve"> asthma</w:t>
      </w:r>
      <w:r w:rsidR="00A37983" w:rsidRPr="005C36F7">
        <w:rPr>
          <w:rFonts w:ascii="Arial" w:hAnsi="Arial" w:cs="Arial"/>
          <w:color w:val="000000" w:themeColor="text1"/>
          <w:sz w:val="22"/>
        </w:rPr>
        <w:t xml:space="preserve"> </w:t>
      </w:r>
      <w:r w:rsidR="00395754" w:rsidRPr="005C36F7">
        <w:rPr>
          <w:rFonts w:ascii="Arial" w:hAnsi="Arial" w:cs="Arial"/>
          <w:color w:val="000000" w:themeColor="text1"/>
          <w:sz w:val="22"/>
        </w:rPr>
        <w:t>(</w:t>
      </w:r>
      <w:r w:rsidR="006C1E37" w:rsidRPr="005C36F7">
        <w:rPr>
          <w:rFonts w:ascii="Arial" w:hAnsi="Arial" w:cs="Arial"/>
          <w:color w:val="000000" w:themeColor="text1"/>
          <w:sz w:val="22"/>
        </w:rPr>
        <w:t>Oga</w:t>
      </w:r>
      <w:r w:rsidR="00570120" w:rsidRPr="005C36F7">
        <w:rPr>
          <w:rFonts w:ascii="Arial" w:hAnsi="Arial" w:cs="Arial"/>
          <w:color w:val="000000" w:themeColor="text1"/>
          <w:sz w:val="22"/>
        </w:rPr>
        <w:t> </w:t>
      </w:r>
      <w:r w:rsidR="00395754" w:rsidRPr="005C36F7">
        <w:rPr>
          <w:rFonts w:ascii="Arial" w:hAnsi="Arial" w:cs="Arial"/>
          <w:color w:val="000000" w:themeColor="text1"/>
          <w:sz w:val="22"/>
        </w:rPr>
        <w:t>et</w:t>
      </w:r>
      <w:r w:rsidR="00F764B3" w:rsidRPr="005C36F7">
        <w:rPr>
          <w:rFonts w:ascii="Arial" w:hAnsi="Arial" w:cs="Arial"/>
          <w:color w:val="000000" w:themeColor="text1"/>
          <w:sz w:val="22"/>
        </w:rPr>
        <w:t xml:space="preserve"> </w:t>
      </w:r>
      <w:r w:rsidR="00395754" w:rsidRPr="005C36F7">
        <w:rPr>
          <w:rFonts w:ascii="Arial" w:hAnsi="Arial" w:cs="Arial"/>
          <w:color w:val="000000" w:themeColor="text1"/>
          <w:sz w:val="22"/>
        </w:rPr>
        <w:t>al.,</w:t>
      </w:r>
      <w:r w:rsidR="00F764B3" w:rsidRPr="005C36F7">
        <w:rPr>
          <w:rFonts w:ascii="Arial" w:hAnsi="Arial" w:cs="Arial"/>
          <w:color w:val="000000" w:themeColor="text1"/>
          <w:sz w:val="22"/>
        </w:rPr>
        <w:t xml:space="preserve"> </w:t>
      </w:r>
      <w:r w:rsidR="00395754" w:rsidRPr="005C36F7">
        <w:rPr>
          <w:rFonts w:ascii="Arial" w:hAnsi="Arial" w:cs="Arial"/>
          <w:color w:val="000000" w:themeColor="text1"/>
          <w:sz w:val="22"/>
        </w:rPr>
        <w:t>2007).</w:t>
      </w:r>
      <w:r w:rsidR="007F5E4E" w:rsidRPr="005C36F7">
        <w:rPr>
          <w:rFonts w:ascii="Arial" w:hAnsi="Arial" w:cs="Arial"/>
          <w:color w:val="000000" w:themeColor="text1"/>
          <w:sz w:val="22"/>
        </w:rPr>
        <w:t xml:space="preserve"> </w:t>
      </w:r>
      <w:r w:rsidR="000F2419" w:rsidRPr="005C36F7">
        <w:rPr>
          <w:rFonts w:ascii="Arial" w:hAnsi="Arial" w:cs="Arial"/>
          <w:color w:val="000000" w:themeColor="text1"/>
          <w:sz w:val="22"/>
        </w:rPr>
        <w:t>Previous studies</w:t>
      </w:r>
      <w:r w:rsidR="00A41B3B" w:rsidRPr="005C36F7">
        <w:rPr>
          <w:rFonts w:ascii="Arial" w:hAnsi="Arial" w:cs="Arial"/>
          <w:color w:val="000000" w:themeColor="text1"/>
          <w:sz w:val="22"/>
        </w:rPr>
        <w:t xml:space="preserve"> have found elevated levels of anxiety</w:t>
      </w:r>
      <w:r w:rsidR="00203E1E" w:rsidRPr="005C36F7">
        <w:rPr>
          <w:rFonts w:ascii="Arial" w:hAnsi="Arial" w:cs="Arial"/>
          <w:color w:val="000000" w:themeColor="text1"/>
          <w:sz w:val="22"/>
        </w:rPr>
        <w:t xml:space="preserve"> </w:t>
      </w:r>
      <w:r w:rsidR="00A41B3B" w:rsidRPr="005C36F7">
        <w:rPr>
          <w:rFonts w:ascii="Arial" w:hAnsi="Arial" w:cs="Arial"/>
          <w:color w:val="000000" w:themeColor="text1"/>
          <w:sz w:val="22"/>
        </w:rPr>
        <w:t>(Ritz et al.,</w:t>
      </w:r>
      <w:r w:rsidR="00F764B3" w:rsidRPr="005C36F7">
        <w:rPr>
          <w:rFonts w:ascii="Arial" w:hAnsi="Arial" w:cs="Arial"/>
          <w:color w:val="000000" w:themeColor="text1"/>
          <w:sz w:val="22"/>
        </w:rPr>
        <w:t xml:space="preserve"> </w:t>
      </w:r>
      <w:r w:rsidR="00A41B3B" w:rsidRPr="005C36F7">
        <w:rPr>
          <w:rFonts w:ascii="Arial" w:hAnsi="Arial" w:cs="Arial"/>
          <w:color w:val="000000" w:themeColor="text1"/>
          <w:sz w:val="22"/>
        </w:rPr>
        <w:t>2005; Goodwin,</w:t>
      </w:r>
      <w:r w:rsidR="00F764B3" w:rsidRPr="005C36F7">
        <w:rPr>
          <w:rFonts w:ascii="Arial" w:hAnsi="Arial" w:cs="Arial"/>
          <w:color w:val="000000" w:themeColor="text1"/>
          <w:sz w:val="22"/>
        </w:rPr>
        <w:t xml:space="preserve"> </w:t>
      </w:r>
      <w:r w:rsidR="00A41B3B" w:rsidRPr="005C36F7">
        <w:rPr>
          <w:rFonts w:ascii="Arial" w:hAnsi="Arial" w:cs="Arial"/>
          <w:color w:val="000000" w:themeColor="text1"/>
          <w:sz w:val="22"/>
        </w:rPr>
        <w:t>2003) and depression</w:t>
      </w:r>
      <w:r w:rsidR="00203E1E" w:rsidRPr="005C36F7">
        <w:rPr>
          <w:rFonts w:ascii="Arial" w:hAnsi="Arial" w:cs="Arial"/>
          <w:color w:val="000000" w:themeColor="text1"/>
          <w:sz w:val="22"/>
        </w:rPr>
        <w:t xml:space="preserve"> </w:t>
      </w:r>
      <w:r w:rsidR="00A41B3B" w:rsidRPr="005C36F7">
        <w:rPr>
          <w:rFonts w:ascii="Arial" w:hAnsi="Arial" w:cs="Arial"/>
          <w:color w:val="000000" w:themeColor="text1"/>
          <w:sz w:val="22"/>
        </w:rPr>
        <w:t>(Zielinski et al.,2003)</w:t>
      </w:r>
      <w:r w:rsidR="00D9478A" w:rsidRPr="005C36F7">
        <w:rPr>
          <w:rFonts w:ascii="Arial" w:hAnsi="Arial" w:cs="Arial"/>
          <w:color w:val="000000" w:themeColor="text1"/>
          <w:sz w:val="22"/>
        </w:rPr>
        <w:t xml:space="preserve"> in patients with asthma</w:t>
      </w:r>
      <w:r w:rsidR="00B97B14" w:rsidRPr="005C36F7">
        <w:rPr>
          <w:rFonts w:ascii="Arial" w:hAnsi="Arial" w:cs="Arial"/>
          <w:color w:val="000000" w:themeColor="text1"/>
          <w:sz w:val="22"/>
        </w:rPr>
        <w:t xml:space="preserve">, </w:t>
      </w:r>
      <w:r w:rsidR="00EA2DE0" w:rsidRPr="005C36F7">
        <w:rPr>
          <w:rFonts w:ascii="Arial" w:hAnsi="Arial" w:cs="Arial"/>
          <w:color w:val="000000" w:themeColor="text1"/>
          <w:sz w:val="22"/>
        </w:rPr>
        <w:t xml:space="preserve">but </w:t>
      </w:r>
      <w:r w:rsidR="00B97B14" w:rsidRPr="005C36F7">
        <w:rPr>
          <w:rFonts w:ascii="Arial" w:hAnsi="Arial" w:cs="Arial"/>
          <w:color w:val="000000" w:themeColor="text1"/>
          <w:sz w:val="22"/>
        </w:rPr>
        <w:t>the association with asthma severity is controversial</w:t>
      </w:r>
      <w:r w:rsidR="00A41B3B" w:rsidRPr="005C36F7">
        <w:rPr>
          <w:rFonts w:ascii="Arial" w:hAnsi="Arial" w:cs="Arial"/>
          <w:color w:val="000000" w:themeColor="text1"/>
          <w:sz w:val="22"/>
        </w:rPr>
        <w:t xml:space="preserve"> </w:t>
      </w:r>
      <w:r w:rsidR="00EA2DE0" w:rsidRPr="005C36F7">
        <w:rPr>
          <w:rFonts w:ascii="Arial" w:hAnsi="Arial" w:cs="Arial"/>
          <w:color w:val="000000" w:themeColor="text1"/>
          <w:sz w:val="22"/>
        </w:rPr>
        <w:t>(Amelink et al.,</w:t>
      </w:r>
      <w:r w:rsidR="00203E1E" w:rsidRPr="005C36F7">
        <w:rPr>
          <w:rFonts w:ascii="Arial" w:hAnsi="Arial" w:cs="Arial"/>
          <w:color w:val="000000" w:themeColor="text1"/>
          <w:sz w:val="22"/>
        </w:rPr>
        <w:t xml:space="preserve"> </w:t>
      </w:r>
      <w:r w:rsidR="00EA2DE0" w:rsidRPr="005C36F7">
        <w:rPr>
          <w:rFonts w:ascii="Arial" w:hAnsi="Arial" w:cs="Arial"/>
          <w:color w:val="000000" w:themeColor="text1"/>
          <w:sz w:val="22"/>
        </w:rPr>
        <w:t>2014)</w:t>
      </w:r>
      <w:r w:rsidR="00B97B14" w:rsidRPr="005C36F7">
        <w:rPr>
          <w:rFonts w:ascii="Arial" w:hAnsi="Arial" w:cs="Arial"/>
          <w:color w:val="000000" w:themeColor="text1"/>
          <w:sz w:val="22"/>
        </w:rPr>
        <w:t xml:space="preserve">. </w:t>
      </w:r>
      <w:r w:rsidR="00584989" w:rsidRPr="005C36F7">
        <w:rPr>
          <w:rFonts w:ascii="Arial" w:hAnsi="Arial" w:cs="Arial"/>
          <w:color w:val="000000" w:themeColor="text1"/>
          <w:sz w:val="22"/>
        </w:rPr>
        <w:t xml:space="preserve">Findings from our study </w:t>
      </w:r>
      <w:r w:rsidR="00584989">
        <w:rPr>
          <w:rFonts w:ascii="Arial" w:hAnsi="Arial" w:cs="Arial"/>
          <w:color w:val="000000" w:themeColor="text1"/>
          <w:sz w:val="22"/>
        </w:rPr>
        <w:t>found</w:t>
      </w:r>
      <w:r w:rsidR="00584989" w:rsidRPr="005C36F7">
        <w:rPr>
          <w:rFonts w:ascii="Arial" w:hAnsi="Arial" w:cs="Arial"/>
          <w:color w:val="000000" w:themeColor="text1"/>
          <w:sz w:val="22"/>
        </w:rPr>
        <w:t xml:space="preserve"> that severe asthma patients are </w:t>
      </w:r>
      <w:r w:rsidR="00584989">
        <w:rPr>
          <w:rFonts w:ascii="Arial" w:hAnsi="Arial" w:cs="Arial"/>
          <w:color w:val="000000" w:themeColor="text1"/>
          <w:sz w:val="22"/>
        </w:rPr>
        <w:t xml:space="preserve">associated with </w:t>
      </w:r>
      <w:r w:rsidR="00584989" w:rsidRPr="005C36F7">
        <w:rPr>
          <w:rFonts w:ascii="Arial" w:hAnsi="Arial" w:cs="Arial"/>
          <w:color w:val="000000" w:themeColor="text1"/>
          <w:sz w:val="22"/>
        </w:rPr>
        <w:t xml:space="preserve">higher </w:t>
      </w:r>
      <w:r w:rsidR="00584989">
        <w:rPr>
          <w:rFonts w:ascii="Arial" w:hAnsi="Arial" w:cs="Arial"/>
          <w:color w:val="000000" w:themeColor="text1"/>
          <w:sz w:val="22"/>
        </w:rPr>
        <w:t>levels of</w:t>
      </w:r>
      <w:r w:rsidR="00584989" w:rsidRPr="005C36F7">
        <w:rPr>
          <w:rFonts w:ascii="Arial" w:hAnsi="Arial" w:cs="Arial"/>
          <w:color w:val="000000" w:themeColor="text1"/>
          <w:sz w:val="22"/>
        </w:rPr>
        <w:t xml:space="preserve"> anxiety and depression in comparison to mild and moderate asthma patients</w:t>
      </w:r>
      <w:r w:rsidR="00C87FC0">
        <w:rPr>
          <w:rFonts w:ascii="Arial" w:hAnsi="Arial" w:cs="Arial"/>
          <w:color w:val="000000" w:themeColor="text1"/>
          <w:sz w:val="22"/>
        </w:rPr>
        <w:t xml:space="preserve">, which is in line with findings from </w:t>
      </w:r>
      <w:r w:rsidR="00B97B14" w:rsidRPr="005C36F7">
        <w:rPr>
          <w:rFonts w:ascii="Arial" w:hAnsi="Arial" w:cs="Arial"/>
          <w:color w:val="000000" w:themeColor="text1"/>
          <w:sz w:val="22"/>
        </w:rPr>
        <w:t xml:space="preserve"> studies </w:t>
      </w:r>
      <w:r w:rsidR="00CB78A8">
        <w:rPr>
          <w:rFonts w:ascii="Arial" w:hAnsi="Arial" w:cs="Arial"/>
          <w:color w:val="000000" w:themeColor="text1"/>
          <w:sz w:val="22"/>
        </w:rPr>
        <w:t xml:space="preserve">conducted by </w:t>
      </w:r>
      <w:r w:rsidR="00EA2DE0" w:rsidRPr="005C36F7">
        <w:rPr>
          <w:rFonts w:ascii="Arial" w:hAnsi="Arial" w:cs="Arial"/>
          <w:color w:val="000000" w:themeColor="text1"/>
          <w:sz w:val="22"/>
        </w:rPr>
        <w:t>Goodwin et al.,</w:t>
      </w:r>
      <w:r w:rsidR="00203E1E" w:rsidRPr="005C36F7">
        <w:rPr>
          <w:rFonts w:ascii="Arial" w:hAnsi="Arial" w:cs="Arial"/>
          <w:color w:val="000000" w:themeColor="text1"/>
          <w:sz w:val="22"/>
        </w:rPr>
        <w:t xml:space="preserve"> </w:t>
      </w:r>
      <w:r w:rsidR="00CB78A8">
        <w:rPr>
          <w:rFonts w:ascii="Arial" w:hAnsi="Arial" w:cs="Arial"/>
          <w:color w:val="000000" w:themeColor="text1"/>
          <w:sz w:val="22"/>
        </w:rPr>
        <w:t>(</w:t>
      </w:r>
      <w:r w:rsidR="00EA2DE0" w:rsidRPr="005C36F7">
        <w:rPr>
          <w:rFonts w:ascii="Arial" w:hAnsi="Arial" w:cs="Arial"/>
          <w:color w:val="000000" w:themeColor="text1"/>
          <w:sz w:val="22"/>
        </w:rPr>
        <w:t>2003)</w:t>
      </w:r>
      <w:r w:rsidR="00B97B14" w:rsidRPr="005C36F7">
        <w:rPr>
          <w:rFonts w:ascii="Arial" w:hAnsi="Arial" w:cs="Arial"/>
          <w:color w:val="000000" w:themeColor="text1"/>
          <w:sz w:val="22"/>
        </w:rPr>
        <w:t xml:space="preserve"> and </w:t>
      </w:r>
      <w:r w:rsidR="00EA2DE0" w:rsidRPr="005C36F7">
        <w:rPr>
          <w:rFonts w:ascii="Arial" w:hAnsi="Arial" w:cs="Arial"/>
          <w:color w:val="000000" w:themeColor="text1"/>
          <w:sz w:val="22"/>
        </w:rPr>
        <w:t>Mancuso et al.,</w:t>
      </w:r>
      <w:r w:rsidR="00203E1E" w:rsidRPr="005C36F7">
        <w:rPr>
          <w:rFonts w:ascii="Arial" w:hAnsi="Arial" w:cs="Arial"/>
          <w:color w:val="000000" w:themeColor="text1"/>
          <w:sz w:val="22"/>
        </w:rPr>
        <w:t xml:space="preserve"> </w:t>
      </w:r>
      <w:r w:rsidR="00CB78A8">
        <w:rPr>
          <w:rFonts w:ascii="Arial" w:hAnsi="Arial" w:cs="Arial"/>
          <w:color w:val="000000" w:themeColor="text1"/>
          <w:sz w:val="22"/>
        </w:rPr>
        <w:t>(</w:t>
      </w:r>
      <w:r w:rsidR="00EA2DE0" w:rsidRPr="005C36F7">
        <w:rPr>
          <w:rFonts w:ascii="Arial" w:hAnsi="Arial" w:cs="Arial"/>
          <w:color w:val="000000" w:themeColor="text1"/>
          <w:sz w:val="22"/>
        </w:rPr>
        <w:t>2008)</w:t>
      </w:r>
      <w:r w:rsidR="00CB78A8">
        <w:rPr>
          <w:rFonts w:ascii="Arial" w:hAnsi="Arial" w:cs="Arial"/>
          <w:color w:val="000000" w:themeColor="text1"/>
          <w:sz w:val="22"/>
        </w:rPr>
        <w:t>.</w:t>
      </w:r>
      <w:r w:rsidR="008F1F30">
        <w:rPr>
          <w:rFonts w:ascii="Arial" w:hAnsi="Arial" w:cs="Arial"/>
          <w:color w:val="000000" w:themeColor="text1"/>
          <w:sz w:val="22"/>
        </w:rPr>
        <w:t xml:space="preserve"> </w:t>
      </w:r>
      <w:r w:rsidR="00EB0F95">
        <w:rPr>
          <w:rFonts w:ascii="Arial" w:hAnsi="Arial" w:cs="Arial"/>
          <w:color w:val="000000" w:themeColor="text1"/>
          <w:sz w:val="22"/>
        </w:rPr>
        <w:t>In addition, t</w:t>
      </w:r>
      <w:r w:rsidR="008F1F30">
        <w:rPr>
          <w:rFonts w:ascii="Arial" w:hAnsi="Arial" w:cs="Arial"/>
          <w:color w:val="000000" w:themeColor="text1"/>
          <w:sz w:val="22"/>
        </w:rPr>
        <w:t xml:space="preserve">he current study did not find any treatment effect on </w:t>
      </w:r>
      <w:r w:rsidR="00EB0F95">
        <w:rPr>
          <w:rFonts w:ascii="Arial" w:hAnsi="Arial" w:cs="Arial"/>
          <w:color w:val="000000" w:themeColor="text1"/>
          <w:sz w:val="22"/>
        </w:rPr>
        <w:t>these associations in severe asthma patient cohort.</w:t>
      </w:r>
      <w:r w:rsidR="00CB78A8">
        <w:rPr>
          <w:rFonts w:ascii="Arial" w:hAnsi="Arial" w:cs="Arial"/>
          <w:color w:val="000000" w:themeColor="text1"/>
          <w:sz w:val="22"/>
        </w:rPr>
        <w:t xml:space="preserve"> However, </w:t>
      </w:r>
      <w:r w:rsidR="00A57DC0" w:rsidRPr="005C36F7">
        <w:rPr>
          <w:rFonts w:ascii="Arial" w:hAnsi="Arial" w:cs="Arial"/>
          <w:color w:val="000000" w:themeColor="text1"/>
          <w:sz w:val="22"/>
        </w:rPr>
        <w:t xml:space="preserve">mildasthma was also </w:t>
      </w:r>
      <w:r w:rsidR="00CB78A8">
        <w:rPr>
          <w:rFonts w:ascii="Arial" w:hAnsi="Arial" w:cs="Arial"/>
          <w:color w:val="000000" w:themeColor="text1"/>
          <w:sz w:val="22"/>
        </w:rPr>
        <w:t xml:space="preserve">found to be </w:t>
      </w:r>
      <w:r w:rsidR="00A57DC0" w:rsidRPr="005C36F7">
        <w:rPr>
          <w:rFonts w:ascii="Arial" w:hAnsi="Arial" w:cs="Arial"/>
          <w:color w:val="000000" w:themeColor="text1"/>
          <w:sz w:val="22"/>
        </w:rPr>
        <w:t>significantly associated with anxiety</w:t>
      </w:r>
      <w:r w:rsidR="00CB78A8">
        <w:rPr>
          <w:rFonts w:ascii="Arial" w:hAnsi="Arial" w:cs="Arial"/>
          <w:color w:val="000000" w:themeColor="text1"/>
          <w:sz w:val="22"/>
        </w:rPr>
        <w:t xml:space="preserve">by </w:t>
      </w:r>
      <w:r w:rsidR="00A57DC0" w:rsidRPr="005C36F7">
        <w:rPr>
          <w:rFonts w:ascii="Arial" w:hAnsi="Arial" w:cs="Arial"/>
          <w:color w:val="000000" w:themeColor="text1"/>
          <w:sz w:val="22"/>
        </w:rPr>
        <w:t>Gada et al</w:t>
      </w:r>
      <w:r w:rsidR="00203E1E" w:rsidRPr="005C36F7">
        <w:rPr>
          <w:rFonts w:ascii="Arial" w:hAnsi="Arial" w:cs="Arial"/>
          <w:color w:val="000000" w:themeColor="text1"/>
          <w:sz w:val="22"/>
        </w:rPr>
        <w:t>.</w:t>
      </w:r>
      <w:r w:rsidR="00A57DC0" w:rsidRPr="005C36F7">
        <w:rPr>
          <w:rFonts w:ascii="Arial" w:hAnsi="Arial" w:cs="Arial"/>
          <w:color w:val="000000" w:themeColor="text1"/>
          <w:sz w:val="22"/>
        </w:rPr>
        <w:t>,</w:t>
      </w:r>
      <w:r w:rsidR="00203E1E" w:rsidRPr="005C36F7">
        <w:rPr>
          <w:rFonts w:ascii="Arial" w:hAnsi="Arial" w:cs="Arial"/>
          <w:color w:val="000000" w:themeColor="text1"/>
          <w:sz w:val="22"/>
        </w:rPr>
        <w:t xml:space="preserve"> </w:t>
      </w:r>
      <w:r w:rsidR="00CB78A8">
        <w:rPr>
          <w:rFonts w:ascii="Arial" w:hAnsi="Arial" w:cs="Arial"/>
          <w:color w:val="000000" w:themeColor="text1"/>
          <w:sz w:val="22"/>
        </w:rPr>
        <w:t>(</w:t>
      </w:r>
      <w:r w:rsidR="00A57DC0" w:rsidRPr="005C36F7">
        <w:rPr>
          <w:rFonts w:ascii="Arial" w:hAnsi="Arial" w:cs="Arial"/>
          <w:color w:val="000000" w:themeColor="text1"/>
          <w:sz w:val="22"/>
        </w:rPr>
        <w:t xml:space="preserve">2014), </w:t>
      </w:r>
      <w:r w:rsidR="00CB78A8">
        <w:rPr>
          <w:rFonts w:ascii="Arial" w:hAnsi="Arial" w:cs="Arial"/>
          <w:color w:val="000000" w:themeColor="text1"/>
          <w:sz w:val="22"/>
        </w:rPr>
        <w:t>whereas others</w:t>
      </w:r>
      <w:r w:rsidR="00B97B14" w:rsidRPr="005C36F7">
        <w:rPr>
          <w:rFonts w:ascii="Arial" w:hAnsi="Arial" w:cs="Arial"/>
          <w:color w:val="000000" w:themeColor="text1"/>
          <w:sz w:val="22"/>
        </w:rPr>
        <w:t xml:space="preserve"> did not find such differences</w:t>
      </w:r>
      <w:r w:rsidR="00203E1E" w:rsidRPr="005C36F7">
        <w:rPr>
          <w:rFonts w:ascii="Arial" w:hAnsi="Arial" w:cs="Arial"/>
          <w:color w:val="000000" w:themeColor="text1"/>
          <w:sz w:val="22"/>
        </w:rPr>
        <w:t xml:space="preserve"> </w:t>
      </w:r>
      <w:r w:rsidR="007540DC" w:rsidRPr="005C36F7">
        <w:rPr>
          <w:rFonts w:ascii="Arial" w:hAnsi="Arial" w:cs="Arial"/>
          <w:color w:val="000000" w:themeColor="text1"/>
          <w:sz w:val="22"/>
        </w:rPr>
        <w:t>(Yellowlees et al.,</w:t>
      </w:r>
      <w:r w:rsidR="00203E1E" w:rsidRPr="005C36F7">
        <w:rPr>
          <w:rFonts w:ascii="Arial" w:hAnsi="Arial" w:cs="Arial"/>
          <w:color w:val="000000" w:themeColor="text1"/>
          <w:sz w:val="22"/>
        </w:rPr>
        <w:t xml:space="preserve"> </w:t>
      </w:r>
      <w:r w:rsidR="007540DC" w:rsidRPr="005C36F7">
        <w:rPr>
          <w:rFonts w:ascii="Arial" w:hAnsi="Arial" w:cs="Arial"/>
          <w:color w:val="000000" w:themeColor="text1"/>
          <w:sz w:val="22"/>
        </w:rPr>
        <w:t>1988; ten Brinkeet al.,</w:t>
      </w:r>
      <w:r w:rsidR="00203E1E" w:rsidRPr="005C36F7">
        <w:rPr>
          <w:rFonts w:ascii="Arial" w:hAnsi="Arial" w:cs="Arial"/>
          <w:color w:val="000000" w:themeColor="text1"/>
          <w:sz w:val="22"/>
        </w:rPr>
        <w:t xml:space="preserve"> </w:t>
      </w:r>
      <w:r w:rsidR="007540DC" w:rsidRPr="005C36F7">
        <w:rPr>
          <w:rFonts w:ascii="Arial" w:hAnsi="Arial" w:cs="Arial"/>
          <w:color w:val="000000" w:themeColor="text1"/>
          <w:sz w:val="22"/>
        </w:rPr>
        <w:t>2001; Lavoie et al.,</w:t>
      </w:r>
      <w:r w:rsidR="00203E1E" w:rsidRPr="005C36F7">
        <w:rPr>
          <w:rFonts w:ascii="Arial" w:hAnsi="Arial" w:cs="Arial"/>
          <w:color w:val="000000" w:themeColor="text1"/>
          <w:sz w:val="22"/>
        </w:rPr>
        <w:t xml:space="preserve"> </w:t>
      </w:r>
      <w:r w:rsidR="007540DC" w:rsidRPr="005C36F7">
        <w:rPr>
          <w:rFonts w:ascii="Arial" w:hAnsi="Arial" w:cs="Arial"/>
          <w:color w:val="000000" w:themeColor="text1"/>
          <w:sz w:val="22"/>
        </w:rPr>
        <w:t>2010)</w:t>
      </w:r>
      <w:r w:rsidR="00B97B14" w:rsidRPr="005C36F7">
        <w:rPr>
          <w:rFonts w:ascii="Arial" w:hAnsi="Arial" w:cs="Arial"/>
          <w:color w:val="000000" w:themeColor="text1"/>
          <w:sz w:val="22"/>
        </w:rPr>
        <w:t>.</w:t>
      </w:r>
      <w:r w:rsidR="00D35EC4" w:rsidRPr="005C36F7">
        <w:rPr>
          <w:rFonts w:ascii="Arial" w:hAnsi="Arial" w:cs="Arial"/>
          <w:color w:val="000000" w:themeColor="text1"/>
          <w:sz w:val="22"/>
        </w:rPr>
        <w:t xml:space="preserve"> </w:t>
      </w:r>
    </w:p>
    <w:p w14:paraId="7509381F" w14:textId="69D81A4E" w:rsidR="006E6470" w:rsidRPr="005C36F7" w:rsidRDefault="00BF1749" w:rsidP="00A41B3B">
      <w:pPr>
        <w:rPr>
          <w:rFonts w:ascii="Arial" w:hAnsi="Arial" w:cs="Arial"/>
          <w:color w:val="000000" w:themeColor="text1"/>
          <w:sz w:val="22"/>
        </w:rPr>
      </w:pPr>
      <w:r>
        <w:rPr>
          <w:rFonts w:ascii="Arial" w:hAnsi="Arial" w:cs="Arial"/>
          <w:color w:val="000000" w:themeColor="text1"/>
          <w:sz w:val="22"/>
        </w:rPr>
        <w:t xml:space="preserve">    </w:t>
      </w:r>
      <w:r w:rsidR="006E46B2" w:rsidRPr="005C36F7">
        <w:rPr>
          <w:rFonts w:ascii="Arial" w:hAnsi="Arial" w:cs="Arial"/>
          <w:color w:val="000000" w:themeColor="text1"/>
          <w:sz w:val="22"/>
        </w:rPr>
        <w:t>Of note, w</w:t>
      </w:r>
      <w:r w:rsidR="008C2319" w:rsidRPr="005C36F7">
        <w:rPr>
          <w:rFonts w:ascii="Arial" w:hAnsi="Arial" w:cs="Arial"/>
          <w:color w:val="000000" w:themeColor="text1"/>
          <w:sz w:val="22"/>
        </w:rPr>
        <w:t xml:space="preserve">e did not find </w:t>
      </w:r>
      <w:r w:rsidR="009104FD" w:rsidRPr="005C36F7">
        <w:rPr>
          <w:rFonts w:ascii="Arial" w:hAnsi="Arial" w:cs="Arial"/>
          <w:color w:val="000000" w:themeColor="text1"/>
          <w:sz w:val="22"/>
        </w:rPr>
        <w:t xml:space="preserve">any effect of </w:t>
      </w:r>
      <w:r w:rsidR="008C2319" w:rsidRPr="005C36F7">
        <w:rPr>
          <w:rFonts w:ascii="Arial" w:hAnsi="Arial" w:cs="Arial"/>
          <w:color w:val="000000" w:themeColor="text1"/>
          <w:sz w:val="22"/>
        </w:rPr>
        <w:t xml:space="preserve">smoking </w:t>
      </w:r>
      <w:r w:rsidR="009104FD" w:rsidRPr="005C36F7">
        <w:rPr>
          <w:rFonts w:ascii="Arial" w:hAnsi="Arial" w:cs="Arial"/>
          <w:color w:val="000000" w:themeColor="text1"/>
          <w:sz w:val="22"/>
        </w:rPr>
        <w:t xml:space="preserve">on </w:t>
      </w:r>
      <w:r w:rsidR="008C2319" w:rsidRPr="005C36F7">
        <w:rPr>
          <w:rFonts w:ascii="Arial" w:hAnsi="Arial" w:cs="Arial"/>
          <w:color w:val="000000" w:themeColor="text1"/>
          <w:sz w:val="22"/>
        </w:rPr>
        <w:t xml:space="preserve">the </w:t>
      </w:r>
      <w:r w:rsidR="00D9478A" w:rsidRPr="005C36F7">
        <w:rPr>
          <w:rFonts w:ascii="Arial" w:hAnsi="Arial" w:cs="Arial"/>
          <w:color w:val="000000" w:themeColor="text1"/>
          <w:sz w:val="22"/>
        </w:rPr>
        <w:t xml:space="preserve">levels of </w:t>
      </w:r>
      <w:r w:rsidR="008C2319" w:rsidRPr="005C36F7">
        <w:rPr>
          <w:rFonts w:ascii="Arial" w:hAnsi="Arial" w:cs="Arial"/>
          <w:color w:val="000000" w:themeColor="text1"/>
          <w:sz w:val="22"/>
        </w:rPr>
        <w:t xml:space="preserve">anxiety </w:t>
      </w:r>
      <w:r w:rsidR="00D9478A" w:rsidRPr="005C36F7">
        <w:rPr>
          <w:rFonts w:ascii="Arial" w:hAnsi="Arial" w:cs="Arial"/>
          <w:color w:val="000000" w:themeColor="text1"/>
          <w:sz w:val="22"/>
        </w:rPr>
        <w:t xml:space="preserve">or </w:t>
      </w:r>
      <w:r w:rsidR="008C2319" w:rsidRPr="005C36F7">
        <w:rPr>
          <w:rFonts w:ascii="Arial" w:hAnsi="Arial" w:cs="Arial"/>
          <w:color w:val="000000" w:themeColor="text1"/>
          <w:sz w:val="22"/>
        </w:rPr>
        <w:t>depression in severe asthma patients</w:t>
      </w:r>
      <w:r w:rsidR="007F5E4E" w:rsidRPr="005C36F7">
        <w:rPr>
          <w:rFonts w:ascii="Arial" w:hAnsi="Arial" w:cs="Arial"/>
          <w:color w:val="000000" w:themeColor="text1"/>
          <w:sz w:val="22"/>
        </w:rPr>
        <w:t xml:space="preserve">. This </w:t>
      </w:r>
      <w:r w:rsidR="009104FD" w:rsidRPr="005C36F7">
        <w:rPr>
          <w:rFonts w:ascii="Arial" w:hAnsi="Arial" w:cs="Arial"/>
          <w:color w:val="000000" w:themeColor="text1"/>
          <w:sz w:val="22"/>
        </w:rPr>
        <w:t xml:space="preserve">is not in line </w:t>
      </w:r>
      <w:r w:rsidR="005E6170" w:rsidRPr="005C36F7">
        <w:rPr>
          <w:rFonts w:ascii="Arial" w:hAnsi="Arial" w:cs="Arial"/>
          <w:color w:val="000000" w:themeColor="text1"/>
          <w:sz w:val="22"/>
        </w:rPr>
        <w:t>with previous studies</w:t>
      </w:r>
      <w:r w:rsidR="00D9478A" w:rsidRPr="005C36F7">
        <w:rPr>
          <w:rFonts w:ascii="Arial" w:hAnsi="Arial" w:cs="Arial"/>
          <w:color w:val="000000" w:themeColor="text1"/>
          <w:sz w:val="22"/>
        </w:rPr>
        <w:t xml:space="preserve"> as </w:t>
      </w:r>
      <w:r w:rsidR="00630482" w:rsidRPr="005C36F7">
        <w:rPr>
          <w:rFonts w:ascii="Arial" w:hAnsi="Arial" w:cs="Arial"/>
          <w:color w:val="000000" w:themeColor="text1"/>
          <w:sz w:val="22"/>
        </w:rPr>
        <w:t>Gada et al</w:t>
      </w:r>
      <w:r w:rsidR="0014483A" w:rsidRPr="005C36F7">
        <w:rPr>
          <w:rFonts w:ascii="Arial" w:hAnsi="Arial" w:cs="Arial"/>
          <w:color w:val="000000" w:themeColor="text1"/>
          <w:sz w:val="22"/>
        </w:rPr>
        <w:t xml:space="preserve"> </w:t>
      </w:r>
      <w:r w:rsidR="00630482" w:rsidRPr="005C36F7">
        <w:rPr>
          <w:rFonts w:ascii="Arial" w:hAnsi="Arial" w:cs="Arial"/>
          <w:color w:val="000000" w:themeColor="text1"/>
          <w:sz w:val="22"/>
        </w:rPr>
        <w:t xml:space="preserve">(2014) found </w:t>
      </w:r>
      <w:r w:rsidR="006842D1" w:rsidRPr="005C36F7">
        <w:rPr>
          <w:rFonts w:ascii="Arial" w:hAnsi="Arial" w:cs="Arial"/>
          <w:color w:val="000000" w:themeColor="text1"/>
          <w:sz w:val="22"/>
        </w:rPr>
        <w:t xml:space="preserve">smoking </w:t>
      </w:r>
      <w:r w:rsidR="006E46B2" w:rsidRPr="005C36F7">
        <w:rPr>
          <w:rFonts w:ascii="Arial" w:hAnsi="Arial" w:cs="Arial"/>
          <w:color w:val="000000" w:themeColor="text1"/>
          <w:sz w:val="22"/>
        </w:rPr>
        <w:t xml:space="preserve">to be </w:t>
      </w:r>
      <w:r w:rsidR="006842D1" w:rsidRPr="005C36F7">
        <w:rPr>
          <w:rFonts w:ascii="Arial" w:hAnsi="Arial" w:cs="Arial"/>
          <w:color w:val="000000" w:themeColor="text1"/>
          <w:sz w:val="22"/>
        </w:rPr>
        <w:t>significantly associated with anxiety</w:t>
      </w:r>
      <w:r w:rsidR="007F5E4E" w:rsidRPr="005C36F7">
        <w:rPr>
          <w:rFonts w:ascii="Arial" w:hAnsi="Arial" w:cs="Arial"/>
          <w:color w:val="000000" w:themeColor="text1"/>
          <w:sz w:val="22"/>
        </w:rPr>
        <w:t xml:space="preserve"> and</w:t>
      </w:r>
      <w:r w:rsidR="00FB0456" w:rsidRPr="005C36F7">
        <w:rPr>
          <w:rFonts w:ascii="Arial" w:hAnsi="Arial" w:cs="Arial"/>
          <w:color w:val="000000" w:themeColor="text1"/>
          <w:sz w:val="22"/>
        </w:rPr>
        <w:t xml:space="preserve"> Choi et al</w:t>
      </w:r>
      <w:r w:rsidR="0014483A" w:rsidRPr="005C36F7">
        <w:rPr>
          <w:rFonts w:ascii="Arial" w:hAnsi="Arial" w:cs="Arial"/>
          <w:color w:val="000000" w:themeColor="text1"/>
          <w:sz w:val="22"/>
        </w:rPr>
        <w:t xml:space="preserve"> </w:t>
      </w:r>
      <w:r w:rsidR="00FB0456" w:rsidRPr="005C36F7">
        <w:rPr>
          <w:rFonts w:ascii="Arial" w:hAnsi="Arial" w:cs="Arial"/>
          <w:color w:val="000000" w:themeColor="text1"/>
          <w:sz w:val="22"/>
        </w:rPr>
        <w:t>(2014) found current smoking status significantly associated with depression in elderly ast</w:t>
      </w:r>
      <w:r w:rsidR="00D62067" w:rsidRPr="005C36F7">
        <w:rPr>
          <w:rFonts w:ascii="Arial" w:hAnsi="Arial" w:cs="Arial"/>
          <w:color w:val="000000" w:themeColor="text1"/>
          <w:sz w:val="22"/>
        </w:rPr>
        <w:t>hma patients</w:t>
      </w:r>
      <w:r w:rsidR="00F91440" w:rsidRPr="005C36F7">
        <w:rPr>
          <w:rFonts w:ascii="Arial" w:hAnsi="Arial" w:cs="Arial"/>
          <w:color w:val="000000" w:themeColor="text1"/>
          <w:sz w:val="22"/>
        </w:rPr>
        <w:t>.</w:t>
      </w:r>
      <w:r w:rsidR="006E6470" w:rsidRPr="005C36F7">
        <w:rPr>
          <w:rFonts w:ascii="Arial" w:hAnsi="Arial" w:cs="Arial"/>
          <w:color w:val="000000" w:themeColor="text1"/>
          <w:sz w:val="22"/>
        </w:rPr>
        <w:t xml:space="preserve"> Studies </w:t>
      </w:r>
      <w:r w:rsidR="008F76A4" w:rsidRPr="005C36F7">
        <w:rPr>
          <w:rFonts w:ascii="Arial" w:hAnsi="Arial" w:cs="Arial"/>
          <w:color w:val="000000" w:themeColor="text1"/>
          <w:sz w:val="22"/>
        </w:rPr>
        <w:t xml:space="preserve">in </w:t>
      </w:r>
      <w:r w:rsidR="006E6470" w:rsidRPr="005C36F7">
        <w:rPr>
          <w:rFonts w:ascii="Arial" w:hAnsi="Arial" w:cs="Arial"/>
          <w:color w:val="000000" w:themeColor="text1"/>
          <w:sz w:val="22"/>
        </w:rPr>
        <w:t xml:space="preserve">adolescents with asthma </w:t>
      </w:r>
      <w:r w:rsidR="006E46B2" w:rsidRPr="005C36F7">
        <w:rPr>
          <w:rFonts w:ascii="Arial" w:hAnsi="Arial" w:cs="Arial"/>
          <w:color w:val="000000" w:themeColor="text1"/>
          <w:sz w:val="22"/>
        </w:rPr>
        <w:t xml:space="preserve">have shown </w:t>
      </w:r>
      <w:r w:rsidR="006E6470" w:rsidRPr="005C36F7">
        <w:rPr>
          <w:rFonts w:ascii="Arial" w:hAnsi="Arial" w:cs="Arial"/>
          <w:color w:val="000000" w:themeColor="text1"/>
          <w:sz w:val="22"/>
        </w:rPr>
        <w:t xml:space="preserve">that </w:t>
      </w:r>
      <w:r w:rsidR="008F4E64" w:rsidRPr="005C36F7">
        <w:rPr>
          <w:rFonts w:ascii="Arial" w:hAnsi="Arial" w:cs="Arial"/>
          <w:color w:val="000000" w:themeColor="text1"/>
          <w:sz w:val="22"/>
        </w:rPr>
        <w:t xml:space="preserve">those </w:t>
      </w:r>
      <w:r w:rsidR="006E6470" w:rsidRPr="005C36F7">
        <w:rPr>
          <w:rFonts w:ascii="Arial" w:hAnsi="Arial" w:cs="Arial"/>
          <w:color w:val="000000" w:themeColor="text1"/>
          <w:sz w:val="22"/>
        </w:rPr>
        <w:t>who smoked were more than twice as likely to have major depression and one or more anxiety disorders compared with non</w:t>
      </w:r>
      <w:r w:rsidR="008F4E64" w:rsidRPr="005C36F7">
        <w:rPr>
          <w:rFonts w:ascii="Arial" w:hAnsi="Arial" w:cs="Arial"/>
          <w:color w:val="000000" w:themeColor="text1"/>
          <w:sz w:val="22"/>
        </w:rPr>
        <w:t>-</w:t>
      </w:r>
      <w:r w:rsidR="006E6470" w:rsidRPr="005C36F7">
        <w:rPr>
          <w:rFonts w:ascii="Arial" w:hAnsi="Arial" w:cs="Arial"/>
          <w:color w:val="000000" w:themeColor="text1"/>
          <w:sz w:val="22"/>
        </w:rPr>
        <w:t>smokers</w:t>
      </w:r>
      <w:r w:rsidR="008F4E64" w:rsidRPr="005C36F7">
        <w:rPr>
          <w:rFonts w:ascii="Arial" w:hAnsi="Arial" w:cs="Arial"/>
          <w:color w:val="000000" w:themeColor="text1"/>
          <w:sz w:val="22"/>
        </w:rPr>
        <w:t xml:space="preserve"> </w:t>
      </w:r>
      <w:r w:rsidR="006E6470" w:rsidRPr="005C36F7">
        <w:rPr>
          <w:rFonts w:ascii="Arial" w:hAnsi="Arial" w:cs="Arial"/>
          <w:color w:val="000000" w:themeColor="text1"/>
          <w:sz w:val="22"/>
        </w:rPr>
        <w:t>(Bush et al</w:t>
      </w:r>
      <w:r w:rsidR="001839EC" w:rsidRPr="005C36F7">
        <w:rPr>
          <w:rFonts w:ascii="Arial" w:hAnsi="Arial" w:cs="Arial"/>
          <w:color w:val="000000" w:themeColor="text1"/>
          <w:sz w:val="22"/>
        </w:rPr>
        <w:t>.</w:t>
      </w:r>
      <w:r w:rsidR="006E6470" w:rsidRPr="005C36F7">
        <w:rPr>
          <w:rFonts w:ascii="Arial" w:hAnsi="Arial" w:cs="Arial"/>
          <w:color w:val="000000" w:themeColor="text1"/>
          <w:sz w:val="22"/>
        </w:rPr>
        <w:t>,</w:t>
      </w:r>
      <w:r w:rsidR="0014483A" w:rsidRPr="005C36F7">
        <w:rPr>
          <w:rFonts w:ascii="Arial" w:hAnsi="Arial" w:cs="Arial"/>
          <w:color w:val="000000" w:themeColor="text1"/>
          <w:sz w:val="22"/>
        </w:rPr>
        <w:t xml:space="preserve"> </w:t>
      </w:r>
      <w:r w:rsidR="006E6470" w:rsidRPr="005C36F7">
        <w:rPr>
          <w:rFonts w:ascii="Arial" w:hAnsi="Arial" w:cs="Arial"/>
          <w:color w:val="000000" w:themeColor="text1"/>
          <w:sz w:val="22"/>
        </w:rPr>
        <w:t>2007).</w:t>
      </w:r>
      <w:r w:rsidR="00F5396D" w:rsidRPr="005C36F7">
        <w:rPr>
          <w:rFonts w:ascii="Arial" w:hAnsi="Arial" w:cs="Arial"/>
          <w:color w:val="000000" w:themeColor="text1"/>
          <w:sz w:val="22"/>
        </w:rPr>
        <w:t xml:space="preserve"> </w:t>
      </w:r>
      <w:r w:rsidR="007F5E4E" w:rsidRPr="005C36F7">
        <w:rPr>
          <w:rFonts w:ascii="Arial" w:hAnsi="Arial" w:cs="Arial"/>
          <w:color w:val="000000" w:themeColor="text1"/>
          <w:sz w:val="22"/>
        </w:rPr>
        <w:t xml:space="preserve">A possible explanation for this is that </w:t>
      </w:r>
      <w:r w:rsidR="00D9478A" w:rsidRPr="005C36F7">
        <w:rPr>
          <w:rFonts w:ascii="Arial" w:hAnsi="Arial" w:cs="Arial"/>
          <w:color w:val="000000" w:themeColor="text1"/>
          <w:sz w:val="22"/>
        </w:rPr>
        <w:t>our study examined smoking status within severe</w:t>
      </w:r>
      <w:r w:rsidR="00F5396D" w:rsidRPr="005C36F7">
        <w:rPr>
          <w:rFonts w:ascii="Arial" w:hAnsi="Arial" w:cs="Arial"/>
          <w:color w:val="000000" w:themeColor="text1"/>
          <w:sz w:val="22"/>
        </w:rPr>
        <w:t xml:space="preserve"> asthma patients while other studies </w:t>
      </w:r>
      <w:r w:rsidR="004B68DE" w:rsidRPr="005C36F7">
        <w:rPr>
          <w:rFonts w:ascii="Arial" w:hAnsi="Arial" w:cs="Arial"/>
          <w:color w:val="000000" w:themeColor="text1"/>
          <w:sz w:val="22"/>
        </w:rPr>
        <w:t>did not take the severity of asthma i</w:t>
      </w:r>
      <w:r w:rsidR="00BC6B6A" w:rsidRPr="005C36F7">
        <w:rPr>
          <w:rFonts w:ascii="Arial" w:hAnsi="Arial" w:cs="Arial"/>
          <w:color w:val="000000" w:themeColor="text1"/>
          <w:sz w:val="22"/>
        </w:rPr>
        <w:t>nto consideration</w:t>
      </w:r>
      <w:r w:rsidR="007F5E4E" w:rsidRPr="005C36F7">
        <w:rPr>
          <w:rFonts w:ascii="Arial" w:hAnsi="Arial" w:cs="Arial"/>
          <w:color w:val="000000" w:themeColor="text1"/>
          <w:sz w:val="22"/>
        </w:rPr>
        <w:t>. Se</w:t>
      </w:r>
      <w:r w:rsidR="00BC6B6A" w:rsidRPr="005C36F7">
        <w:rPr>
          <w:rFonts w:ascii="Arial" w:hAnsi="Arial" w:cs="Arial"/>
          <w:color w:val="000000" w:themeColor="text1"/>
          <w:sz w:val="22"/>
        </w:rPr>
        <w:t xml:space="preserve">condly, </w:t>
      </w:r>
      <w:r w:rsidR="00DF7AC3" w:rsidRPr="005C36F7">
        <w:rPr>
          <w:rFonts w:ascii="Arial" w:hAnsi="Arial" w:cs="Arial"/>
          <w:color w:val="000000" w:themeColor="text1"/>
          <w:sz w:val="22"/>
        </w:rPr>
        <w:t xml:space="preserve">previous work </w:t>
      </w:r>
      <w:r w:rsidR="006E46B2" w:rsidRPr="005C36F7">
        <w:rPr>
          <w:rFonts w:ascii="Arial" w:hAnsi="Arial" w:cs="Arial"/>
          <w:color w:val="000000" w:themeColor="text1"/>
          <w:sz w:val="22"/>
        </w:rPr>
        <w:t xml:space="preserve">has </w:t>
      </w:r>
      <w:r w:rsidR="00DF7AC3" w:rsidRPr="005C36F7">
        <w:rPr>
          <w:rFonts w:ascii="Arial" w:hAnsi="Arial" w:cs="Arial"/>
          <w:color w:val="000000" w:themeColor="text1"/>
          <w:sz w:val="22"/>
        </w:rPr>
        <w:t>examined asthma in specific population</w:t>
      </w:r>
      <w:r w:rsidR="007F5E4E" w:rsidRPr="005C36F7">
        <w:rPr>
          <w:rFonts w:ascii="Arial" w:hAnsi="Arial" w:cs="Arial"/>
          <w:color w:val="000000" w:themeColor="text1"/>
          <w:sz w:val="22"/>
        </w:rPr>
        <w:t>s</w:t>
      </w:r>
      <w:r w:rsidR="00DF7AC3" w:rsidRPr="005C36F7">
        <w:rPr>
          <w:rFonts w:ascii="Arial" w:hAnsi="Arial" w:cs="Arial"/>
          <w:color w:val="000000" w:themeColor="text1"/>
          <w:sz w:val="22"/>
        </w:rPr>
        <w:t xml:space="preserve"> such as</w:t>
      </w:r>
      <w:r w:rsidR="00BC6B6A" w:rsidRPr="005C36F7">
        <w:rPr>
          <w:rFonts w:ascii="Arial" w:hAnsi="Arial" w:cs="Arial"/>
          <w:color w:val="000000" w:themeColor="text1"/>
          <w:sz w:val="22"/>
        </w:rPr>
        <w:t xml:space="preserve"> adolescents</w:t>
      </w:r>
      <w:r w:rsidR="00DF7AC3" w:rsidRPr="005C36F7">
        <w:rPr>
          <w:rFonts w:ascii="Arial" w:hAnsi="Arial" w:cs="Arial"/>
          <w:color w:val="000000" w:themeColor="text1"/>
          <w:sz w:val="22"/>
        </w:rPr>
        <w:t xml:space="preserve"> and </w:t>
      </w:r>
      <w:r w:rsidR="006E46B2" w:rsidRPr="005C36F7">
        <w:rPr>
          <w:rFonts w:ascii="Arial" w:hAnsi="Arial" w:cs="Arial"/>
          <w:color w:val="000000" w:themeColor="text1"/>
          <w:sz w:val="22"/>
        </w:rPr>
        <w:t xml:space="preserve">the </w:t>
      </w:r>
      <w:r w:rsidR="00DF7AC3" w:rsidRPr="005C36F7">
        <w:rPr>
          <w:rFonts w:ascii="Arial" w:hAnsi="Arial" w:cs="Arial"/>
          <w:color w:val="000000" w:themeColor="text1"/>
          <w:sz w:val="22"/>
        </w:rPr>
        <w:t>elderly</w:t>
      </w:r>
      <w:r w:rsidR="00BC6B6A" w:rsidRPr="005C36F7">
        <w:rPr>
          <w:rFonts w:ascii="Arial" w:hAnsi="Arial" w:cs="Arial"/>
          <w:color w:val="000000" w:themeColor="text1"/>
          <w:sz w:val="22"/>
        </w:rPr>
        <w:t>.</w:t>
      </w:r>
      <w:r w:rsidR="009104FD" w:rsidRPr="005C36F7">
        <w:rPr>
          <w:rFonts w:ascii="Arial" w:hAnsi="Arial" w:cs="Arial"/>
          <w:color w:val="000000" w:themeColor="text1"/>
          <w:sz w:val="22"/>
        </w:rPr>
        <w:t xml:space="preserve"> </w:t>
      </w:r>
      <w:r w:rsidR="007F5E4E" w:rsidRPr="005C36F7">
        <w:rPr>
          <w:rFonts w:ascii="Arial" w:hAnsi="Arial" w:cs="Arial"/>
          <w:color w:val="000000" w:themeColor="text1"/>
          <w:sz w:val="22"/>
        </w:rPr>
        <w:t>Overall, t</w:t>
      </w:r>
      <w:r w:rsidR="008F4E64" w:rsidRPr="005C36F7">
        <w:rPr>
          <w:rFonts w:ascii="Arial" w:hAnsi="Arial" w:cs="Arial"/>
          <w:color w:val="000000" w:themeColor="text1"/>
          <w:sz w:val="22"/>
        </w:rPr>
        <w:t xml:space="preserve">he current study </w:t>
      </w:r>
      <w:r w:rsidR="006E46B2" w:rsidRPr="005C36F7">
        <w:rPr>
          <w:rFonts w:ascii="Arial" w:hAnsi="Arial" w:cs="Arial"/>
          <w:color w:val="000000" w:themeColor="text1"/>
          <w:sz w:val="22"/>
        </w:rPr>
        <w:t xml:space="preserve">points to a </w:t>
      </w:r>
      <w:r w:rsidR="008F4E64" w:rsidRPr="005C36F7">
        <w:rPr>
          <w:rFonts w:ascii="Arial" w:hAnsi="Arial" w:cs="Arial"/>
          <w:color w:val="000000" w:themeColor="text1"/>
          <w:sz w:val="22"/>
        </w:rPr>
        <w:t>significant effect of asthma severity on</w:t>
      </w:r>
      <w:r w:rsidR="009104FD" w:rsidRPr="005C36F7">
        <w:rPr>
          <w:rFonts w:ascii="Arial" w:hAnsi="Arial" w:cs="Arial"/>
          <w:color w:val="000000" w:themeColor="text1"/>
          <w:sz w:val="22"/>
        </w:rPr>
        <w:t xml:space="preserve"> anxiety and depression </w:t>
      </w:r>
      <w:r w:rsidR="006E46B2" w:rsidRPr="005C36F7">
        <w:rPr>
          <w:rFonts w:ascii="Arial" w:hAnsi="Arial" w:cs="Arial"/>
          <w:color w:val="000000" w:themeColor="text1"/>
          <w:sz w:val="22"/>
        </w:rPr>
        <w:t xml:space="preserve">rather than </w:t>
      </w:r>
      <w:r w:rsidR="009104FD" w:rsidRPr="005C36F7">
        <w:rPr>
          <w:rFonts w:ascii="Arial" w:hAnsi="Arial" w:cs="Arial"/>
          <w:color w:val="000000" w:themeColor="text1"/>
          <w:sz w:val="22"/>
        </w:rPr>
        <w:t>smoking status.</w:t>
      </w:r>
    </w:p>
    <w:p w14:paraId="002E5827" w14:textId="77777777" w:rsidR="00264C97" w:rsidRDefault="00DF7AC3" w:rsidP="009B227A">
      <w:pPr>
        <w:ind w:firstLine="432"/>
        <w:rPr>
          <w:rFonts w:ascii="Arial" w:hAnsi="Arial" w:cs="Arial"/>
          <w:color w:val="000000" w:themeColor="text1"/>
          <w:sz w:val="22"/>
        </w:rPr>
      </w:pPr>
      <w:r w:rsidRPr="005C36F7">
        <w:rPr>
          <w:rFonts w:ascii="Arial" w:hAnsi="Arial" w:cs="Arial"/>
          <w:color w:val="000000" w:themeColor="text1"/>
          <w:sz w:val="22"/>
        </w:rPr>
        <w:t>The cause and effect relationship between asthma and psychological stress is unclear. One model, proposed by Chen and Miller (2007), depicts the immunological mechanisms by which psychological stress can exacerbate clinical symptoms in patients with asthma by altering the magnitude of the airway inflammatory response caused by irritants, allergens and infections. Other more recent evidence has demonstrated activation in the ventrolateral periaqueductal grey matter associated with respiratory threat, and prefrontal activity linked to stress-related inflammation (Faull et al.</w:t>
      </w:r>
      <w:r w:rsidR="001839EC" w:rsidRPr="005C36F7">
        <w:rPr>
          <w:rFonts w:ascii="Arial" w:hAnsi="Arial" w:cs="Arial"/>
          <w:color w:val="000000" w:themeColor="text1"/>
          <w:sz w:val="22"/>
        </w:rPr>
        <w:t>,</w:t>
      </w:r>
      <w:r w:rsidRPr="005C36F7">
        <w:rPr>
          <w:rFonts w:ascii="Arial" w:hAnsi="Arial" w:cs="Arial"/>
          <w:color w:val="000000" w:themeColor="text1"/>
          <w:sz w:val="22"/>
        </w:rPr>
        <w:t xml:space="preserve"> 2016; Rosenkranz et al.</w:t>
      </w:r>
      <w:r w:rsidR="001839EC" w:rsidRPr="005C36F7">
        <w:rPr>
          <w:rFonts w:ascii="Arial" w:hAnsi="Arial" w:cs="Arial"/>
          <w:color w:val="000000" w:themeColor="text1"/>
          <w:sz w:val="22"/>
        </w:rPr>
        <w:t>,</w:t>
      </w:r>
      <w:r w:rsidRPr="005C36F7">
        <w:rPr>
          <w:rFonts w:ascii="Arial" w:hAnsi="Arial" w:cs="Arial"/>
          <w:color w:val="000000" w:themeColor="text1"/>
          <w:sz w:val="22"/>
        </w:rPr>
        <w:t xml:space="preserve"> 2016). T</w:t>
      </w:r>
      <w:r w:rsidR="0010483B" w:rsidRPr="005C36F7">
        <w:rPr>
          <w:rFonts w:ascii="Arial" w:hAnsi="Arial" w:cs="Arial"/>
          <w:color w:val="000000" w:themeColor="text1"/>
          <w:sz w:val="22"/>
        </w:rPr>
        <w:t>he presence of inflammatory responses and the crucial role of cytokines in anxiety</w:t>
      </w:r>
      <w:r w:rsidR="004344A2" w:rsidRPr="005C36F7">
        <w:rPr>
          <w:rFonts w:ascii="Arial" w:hAnsi="Arial" w:cs="Arial"/>
          <w:color w:val="000000" w:themeColor="text1"/>
          <w:sz w:val="22"/>
        </w:rPr>
        <w:t xml:space="preserve"> (</w:t>
      </w:r>
      <w:r w:rsidR="0010483B" w:rsidRPr="005C36F7">
        <w:rPr>
          <w:rFonts w:ascii="Arial" w:hAnsi="Arial" w:cs="Arial"/>
          <w:color w:val="000000" w:themeColor="text1"/>
          <w:sz w:val="22"/>
        </w:rPr>
        <w:t>Hou</w:t>
      </w:r>
      <w:r w:rsidR="00637743" w:rsidRPr="005C36F7">
        <w:rPr>
          <w:rFonts w:ascii="Arial" w:hAnsi="Arial" w:cs="Arial"/>
          <w:color w:val="000000" w:themeColor="text1"/>
          <w:sz w:val="22"/>
        </w:rPr>
        <w:t xml:space="preserve"> and Baldwin</w:t>
      </w:r>
      <w:r w:rsidR="0062234D" w:rsidRPr="005C36F7">
        <w:rPr>
          <w:rFonts w:ascii="Arial" w:hAnsi="Arial" w:cs="Arial"/>
          <w:color w:val="000000" w:themeColor="text1"/>
          <w:sz w:val="22"/>
        </w:rPr>
        <w:t xml:space="preserve">, </w:t>
      </w:r>
      <w:r w:rsidR="00637743" w:rsidRPr="005C36F7">
        <w:rPr>
          <w:rFonts w:ascii="Arial" w:hAnsi="Arial" w:cs="Arial"/>
          <w:color w:val="000000" w:themeColor="text1"/>
          <w:sz w:val="22"/>
        </w:rPr>
        <w:t>2012</w:t>
      </w:r>
      <w:r w:rsidR="0010483B" w:rsidRPr="005C36F7">
        <w:rPr>
          <w:rFonts w:ascii="Arial" w:hAnsi="Arial" w:cs="Arial"/>
          <w:color w:val="000000" w:themeColor="text1"/>
          <w:sz w:val="22"/>
        </w:rPr>
        <w:t>) and depression</w:t>
      </w:r>
      <w:r w:rsidRPr="005C36F7">
        <w:rPr>
          <w:rFonts w:ascii="Arial" w:hAnsi="Arial" w:cs="Arial"/>
          <w:color w:val="000000" w:themeColor="text1"/>
          <w:sz w:val="22"/>
        </w:rPr>
        <w:t xml:space="preserve"> </w:t>
      </w:r>
      <w:r w:rsidR="0010483B" w:rsidRPr="005C36F7">
        <w:rPr>
          <w:rFonts w:ascii="Arial" w:hAnsi="Arial" w:cs="Arial"/>
          <w:color w:val="000000" w:themeColor="text1"/>
          <w:sz w:val="22"/>
        </w:rPr>
        <w:t>(Liu et al.</w:t>
      </w:r>
      <w:r w:rsidR="0062234D" w:rsidRPr="005C36F7">
        <w:rPr>
          <w:rFonts w:ascii="Arial" w:hAnsi="Arial" w:cs="Arial"/>
          <w:color w:val="000000" w:themeColor="text1"/>
          <w:sz w:val="22"/>
        </w:rPr>
        <w:t>,</w:t>
      </w:r>
      <w:r w:rsidR="0010483B" w:rsidRPr="005C36F7">
        <w:rPr>
          <w:rFonts w:ascii="Arial" w:hAnsi="Arial" w:cs="Arial"/>
          <w:color w:val="000000" w:themeColor="text1"/>
          <w:sz w:val="22"/>
        </w:rPr>
        <w:t xml:space="preserve"> 2019) have also been addressed in numerous studies. </w:t>
      </w:r>
    </w:p>
    <w:p w14:paraId="7DBB0481" w14:textId="0B3BC187" w:rsidR="006E6470" w:rsidRPr="005C36F7" w:rsidRDefault="005A02B2" w:rsidP="009B227A">
      <w:pPr>
        <w:ind w:firstLine="432"/>
        <w:rPr>
          <w:rFonts w:ascii="Arial" w:hAnsi="Arial" w:cs="Arial"/>
          <w:color w:val="000000" w:themeColor="text1"/>
          <w:sz w:val="22"/>
        </w:rPr>
      </w:pPr>
      <w:r w:rsidRPr="005C36F7">
        <w:rPr>
          <w:rFonts w:ascii="Arial" w:hAnsi="Arial" w:cs="Arial"/>
          <w:color w:val="000000" w:themeColor="text1"/>
          <w:sz w:val="22"/>
        </w:rPr>
        <w:t xml:space="preserve">Our study found </w:t>
      </w:r>
      <w:r w:rsidR="008F4E64" w:rsidRPr="005C36F7">
        <w:rPr>
          <w:rFonts w:ascii="Arial" w:hAnsi="Arial" w:cs="Arial"/>
          <w:color w:val="000000" w:themeColor="text1"/>
          <w:sz w:val="22"/>
        </w:rPr>
        <w:t xml:space="preserve">elevated </w:t>
      </w:r>
      <w:r w:rsidR="005C234E" w:rsidRPr="005C36F7">
        <w:rPr>
          <w:rFonts w:ascii="Arial" w:hAnsi="Arial" w:cs="Arial"/>
          <w:color w:val="000000" w:themeColor="text1"/>
          <w:sz w:val="22"/>
        </w:rPr>
        <w:t>serum IL</w:t>
      </w:r>
      <w:r w:rsidR="0037295D" w:rsidRPr="005C36F7">
        <w:rPr>
          <w:rFonts w:ascii="Arial" w:hAnsi="Arial" w:cs="Arial"/>
          <w:color w:val="000000" w:themeColor="text1"/>
          <w:sz w:val="22"/>
        </w:rPr>
        <w:t>-</w:t>
      </w:r>
      <w:r w:rsidR="005C234E" w:rsidRPr="005C36F7">
        <w:rPr>
          <w:rFonts w:ascii="Arial" w:hAnsi="Arial" w:cs="Arial"/>
          <w:color w:val="000000" w:themeColor="text1"/>
          <w:sz w:val="22"/>
        </w:rPr>
        <w:t xml:space="preserve">6 level </w:t>
      </w:r>
      <w:r w:rsidR="00A34688" w:rsidRPr="005C36F7">
        <w:rPr>
          <w:rFonts w:ascii="Arial" w:hAnsi="Arial" w:cs="Arial"/>
          <w:color w:val="000000" w:themeColor="text1"/>
          <w:sz w:val="22"/>
        </w:rPr>
        <w:t>in severe asthma patients with depression</w:t>
      </w:r>
      <w:r w:rsidR="00DF7AC3" w:rsidRPr="005C36F7">
        <w:rPr>
          <w:rFonts w:ascii="Arial" w:hAnsi="Arial" w:cs="Arial"/>
          <w:color w:val="000000" w:themeColor="text1"/>
          <w:sz w:val="22"/>
        </w:rPr>
        <w:t xml:space="preserve"> and anxiety</w:t>
      </w:r>
      <w:r w:rsidR="00A34688" w:rsidRPr="005C36F7">
        <w:rPr>
          <w:rFonts w:ascii="Arial" w:hAnsi="Arial" w:cs="Arial"/>
          <w:color w:val="000000" w:themeColor="text1"/>
          <w:sz w:val="22"/>
        </w:rPr>
        <w:t xml:space="preserve"> after controlling for </w:t>
      </w:r>
      <w:r w:rsidR="00051CE5" w:rsidRPr="005C36F7">
        <w:rPr>
          <w:rFonts w:ascii="Arial" w:hAnsi="Arial" w:cs="Arial"/>
          <w:color w:val="000000" w:themeColor="text1"/>
          <w:sz w:val="22"/>
        </w:rPr>
        <w:t xml:space="preserve">gender, age, </w:t>
      </w:r>
      <w:r w:rsidR="00DF7AC3" w:rsidRPr="005C36F7">
        <w:rPr>
          <w:rFonts w:ascii="Arial" w:hAnsi="Arial" w:cs="Arial"/>
          <w:color w:val="000000" w:themeColor="text1"/>
          <w:sz w:val="22"/>
        </w:rPr>
        <w:t>and ethnicity</w:t>
      </w:r>
      <w:r w:rsidR="0037295D" w:rsidRPr="005C36F7">
        <w:rPr>
          <w:rFonts w:ascii="Arial" w:hAnsi="Arial" w:cs="Arial"/>
          <w:color w:val="000000" w:themeColor="text1"/>
          <w:sz w:val="22"/>
        </w:rPr>
        <w:t>, which</w:t>
      </w:r>
      <w:r w:rsidR="006F351F" w:rsidRPr="005C36F7">
        <w:rPr>
          <w:rFonts w:ascii="Arial" w:hAnsi="Arial" w:cs="Arial"/>
          <w:color w:val="000000" w:themeColor="text1"/>
          <w:sz w:val="22"/>
        </w:rPr>
        <w:t xml:space="preserve"> is in line with</w:t>
      </w:r>
      <w:r w:rsidR="00620857" w:rsidRPr="005C36F7">
        <w:rPr>
          <w:rFonts w:ascii="Arial" w:hAnsi="Arial" w:cs="Arial"/>
          <w:color w:val="000000" w:themeColor="text1"/>
          <w:sz w:val="22"/>
        </w:rPr>
        <w:t xml:space="preserve"> previous </w:t>
      </w:r>
      <w:r w:rsidR="006F351F" w:rsidRPr="005C36F7">
        <w:rPr>
          <w:rFonts w:ascii="Arial" w:hAnsi="Arial" w:cs="Arial"/>
          <w:color w:val="000000" w:themeColor="text1"/>
          <w:sz w:val="22"/>
        </w:rPr>
        <w:t>research</w:t>
      </w:r>
      <w:r w:rsidR="00620857" w:rsidRPr="005C36F7">
        <w:rPr>
          <w:rFonts w:ascii="Arial" w:hAnsi="Arial" w:cs="Arial"/>
          <w:color w:val="000000" w:themeColor="text1"/>
          <w:sz w:val="22"/>
        </w:rPr>
        <w:t xml:space="preserve">. </w:t>
      </w:r>
      <w:r w:rsidR="00D47393" w:rsidRPr="005C36F7">
        <w:rPr>
          <w:rFonts w:ascii="Arial" w:hAnsi="Arial" w:cs="Arial"/>
          <w:color w:val="000000" w:themeColor="text1"/>
          <w:sz w:val="22"/>
        </w:rPr>
        <w:t>IL</w:t>
      </w:r>
      <w:r w:rsidR="0037295D" w:rsidRPr="005C36F7">
        <w:rPr>
          <w:rFonts w:ascii="Arial" w:hAnsi="Arial" w:cs="Arial"/>
          <w:color w:val="000000" w:themeColor="text1"/>
          <w:sz w:val="22"/>
        </w:rPr>
        <w:t>-</w:t>
      </w:r>
      <w:r w:rsidR="00D47393" w:rsidRPr="005C36F7">
        <w:rPr>
          <w:rFonts w:ascii="Arial" w:hAnsi="Arial" w:cs="Arial"/>
          <w:color w:val="000000" w:themeColor="text1"/>
          <w:sz w:val="22"/>
        </w:rPr>
        <w:t>6</w:t>
      </w:r>
      <w:r w:rsidR="001D6A67" w:rsidRPr="005C36F7">
        <w:rPr>
          <w:rFonts w:ascii="Arial" w:hAnsi="Arial" w:cs="Arial"/>
          <w:color w:val="000000" w:themeColor="text1"/>
          <w:sz w:val="22"/>
        </w:rPr>
        <w:t xml:space="preserve"> is a multifunctional cytokine that plays a critical role in immune response and acute phase reactions (Kopf et al.</w:t>
      </w:r>
      <w:r w:rsidR="0062234D" w:rsidRPr="005C36F7">
        <w:rPr>
          <w:rFonts w:ascii="Arial" w:hAnsi="Arial" w:cs="Arial"/>
          <w:color w:val="000000" w:themeColor="text1"/>
          <w:sz w:val="22"/>
        </w:rPr>
        <w:t>,</w:t>
      </w:r>
      <w:r w:rsidR="001D6A67" w:rsidRPr="005C36F7">
        <w:rPr>
          <w:rFonts w:ascii="Arial" w:hAnsi="Arial" w:cs="Arial"/>
          <w:color w:val="000000" w:themeColor="text1"/>
          <w:sz w:val="22"/>
        </w:rPr>
        <w:t xml:space="preserve"> 1994; Kiecolt-Glaser et al.</w:t>
      </w:r>
      <w:r w:rsidR="0062234D" w:rsidRPr="005C36F7">
        <w:rPr>
          <w:rFonts w:ascii="Arial" w:hAnsi="Arial" w:cs="Arial"/>
          <w:color w:val="000000" w:themeColor="text1"/>
          <w:sz w:val="22"/>
        </w:rPr>
        <w:t>,</w:t>
      </w:r>
      <w:r w:rsidR="001D6A67" w:rsidRPr="005C36F7">
        <w:rPr>
          <w:rFonts w:ascii="Arial" w:hAnsi="Arial" w:cs="Arial"/>
          <w:color w:val="000000" w:themeColor="text1"/>
          <w:sz w:val="22"/>
        </w:rPr>
        <w:t xml:space="preserve"> 2003).</w:t>
      </w:r>
      <w:r w:rsidR="00D47393" w:rsidRPr="005C36F7">
        <w:rPr>
          <w:rFonts w:ascii="Arial" w:hAnsi="Arial" w:cs="Arial"/>
          <w:color w:val="000000" w:themeColor="text1"/>
          <w:sz w:val="22"/>
        </w:rPr>
        <w:t xml:space="preserve"> A recent study found that there was a strong association between high systemic IL</w:t>
      </w:r>
      <w:r w:rsidR="0037295D" w:rsidRPr="005C36F7">
        <w:rPr>
          <w:rFonts w:ascii="Arial" w:hAnsi="Arial" w:cs="Arial"/>
          <w:color w:val="000000" w:themeColor="text1"/>
          <w:sz w:val="22"/>
        </w:rPr>
        <w:t>-</w:t>
      </w:r>
      <w:r w:rsidR="00D47393" w:rsidRPr="005C36F7">
        <w:rPr>
          <w:rFonts w:ascii="Arial" w:hAnsi="Arial" w:cs="Arial"/>
          <w:color w:val="000000" w:themeColor="text1"/>
          <w:sz w:val="22"/>
        </w:rPr>
        <w:t>6 levels and asthma severity (Peters et al.</w:t>
      </w:r>
      <w:r w:rsidR="00231A59" w:rsidRPr="005C36F7">
        <w:rPr>
          <w:rFonts w:ascii="Arial" w:hAnsi="Arial" w:cs="Arial"/>
          <w:color w:val="000000" w:themeColor="text1"/>
          <w:sz w:val="22"/>
        </w:rPr>
        <w:t>,</w:t>
      </w:r>
      <w:r w:rsidR="00D47393" w:rsidRPr="005C36F7">
        <w:rPr>
          <w:rFonts w:ascii="Arial" w:hAnsi="Arial" w:cs="Arial"/>
          <w:color w:val="000000" w:themeColor="text1"/>
          <w:sz w:val="22"/>
        </w:rPr>
        <w:t xml:space="preserve"> 2016)</w:t>
      </w:r>
      <w:r w:rsidR="00CB41C5" w:rsidRPr="005C36F7">
        <w:rPr>
          <w:rFonts w:ascii="Arial" w:hAnsi="Arial" w:cs="Arial"/>
          <w:color w:val="000000" w:themeColor="text1"/>
          <w:sz w:val="22"/>
        </w:rPr>
        <w:t xml:space="preserve">, </w:t>
      </w:r>
      <w:r w:rsidR="00102F6B" w:rsidRPr="005C36F7">
        <w:rPr>
          <w:rFonts w:ascii="Arial" w:hAnsi="Arial" w:cs="Arial"/>
          <w:color w:val="000000" w:themeColor="text1"/>
          <w:sz w:val="22"/>
        </w:rPr>
        <w:t xml:space="preserve">as well as a significant increase in </w:t>
      </w:r>
      <w:r w:rsidR="006F351F" w:rsidRPr="005C36F7">
        <w:rPr>
          <w:rFonts w:ascii="Arial" w:hAnsi="Arial" w:cs="Arial"/>
          <w:color w:val="000000" w:themeColor="text1"/>
          <w:sz w:val="22"/>
        </w:rPr>
        <w:t xml:space="preserve">serum </w:t>
      </w:r>
      <w:r w:rsidR="00CB41C5" w:rsidRPr="005C36F7">
        <w:rPr>
          <w:rFonts w:ascii="Arial" w:hAnsi="Arial" w:cs="Arial"/>
          <w:color w:val="000000" w:themeColor="text1"/>
          <w:sz w:val="22"/>
        </w:rPr>
        <w:t>sIL-6R levels in asthma patients compared to control subjects</w:t>
      </w:r>
      <w:r w:rsidR="006F351F" w:rsidRPr="005C36F7">
        <w:rPr>
          <w:rFonts w:ascii="Arial" w:hAnsi="Arial" w:cs="Arial"/>
          <w:color w:val="000000" w:themeColor="text1"/>
          <w:sz w:val="22"/>
        </w:rPr>
        <w:t xml:space="preserve"> </w:t>
      </w:r>
      <w:r w:rsidR="00AF3AAB" w:rsidRPr="005C36F7">
        <w:rPr>
          <w:rFonts w:ascii="Arial" w:hAnsi="Arial" w:cs="Arial"/>
          <w:color w:val="000000" w:themeColor="text1"/>
          <w:sz w:val="22"/>
        </w:rPr>
        <w:t>(Yokoyama et al.</w:t>
      </w:r>
      <w:r w:rsidR="00231A59" w:rsidRPr="005C36F7">
        <w:rPr>
          <w:rFonts w:ascii="Arial" w:hAnsi="Arial" w:cs="Arial"/>
          <w:color w:val="000000" w:themeColor="text1"/>
          <w:sz w:val="22"/>
        </w:rPr>
        <w:t>,</w:t>
      </w:r>
      <w:r w:rsidR="00AF3AAB" w:rsidRPr="005C36F7">
        <w:rPr>
          <w:rFonts w:ascii="Arial" w:hAnsi="Arial" w:cs="Arial"/>
          <w:color w:val="000000" w:themeColor="text1"/>
          <w:sz w:val="22"/>
        </w:rPr>
        <w:t xml:space="preserve"> 1997)</w:t>
      </w:r>
      <w:r w:rsidR="00CB41C5" w:rsidRPr="005C36F7">
        <w:rPr>
          <w:rFonts w:ascii="Arial" w:hAnsi="Arial" w:cs="Arial"/>
          <w:color w:val="000000" w:themeColor="text1"/>
          <w:sz w:val="22"/>
        </w:rPr>
        <w:t>. The role of IL</w:t>
      </w:r>
      <w:r w:rsidR="0037295D" w:rsidRPr="005C36F7">
        <w:rPr>
          <w:rFonts w:ascii="Arial" w:hAnsi="Arial" w:cs="Arial"/>
          <w:color w:val="000000" w:themeColor="text1"/>
          <w:sz w:val="22"/>
        </w:rPr>
        <w:t>-</w:t>
      </w:r>
      <w:r w:rsidR="00CB41C5" w:rsidRPr="005C36F7">
        <w:rPr>
          <w:rFonts w:ascii="Arial" w:hAnsi="Arial" w:cs="Arial"/>
          <w:color w:val="000000" w:themeColor="text1"/>
          <w:sz w:val="22"/>
        </w:rPr>
        <w:t xml:space="preserve">6 </w:t>
      </w:r>
      <w:r w:rsidR="006F351F" w:rsidRPr="005C36F7">
        <w:rPr>
          <w:rFonts w:ascii="Arial" w:hAnsi="Arial" w:cs="Arial"/>
          <w:color w:val="000000" w:themeColor="text1"/>
          <w:sz w:val="22"/>
        </w:rPr>
        <w:t xml:space="preserve">in </w:t>
      </w:r>
      <w:r w:rsidR="00CB41C5" w:rsidRPr="005C36F7">
        <w:rPr>
          <w:rFonts w:ascii="Arial" w:hAnsi="Arial" w:cs="Arial"/>
          <w:color w:val="000000" w:themeColor="text1"/>
          <w:sz w:val="22"/>
        </w:rPr>
        <w:t>asthma ha</w:t>
      </w:r>
      <w:r w:rsidR="0037295D" w:rsidRPr="005C36F7">
        <w:rPr>
          <w:rFonts w:ascii="Arial" w:hAnsi="Arial" w:cs="Arial"/>
          <w:color w:val="000000" w:themeColor="text1"/>
          <w:sz w:val="22"/>
        </w:rPr>
        <w:t>s</w:t>
      </w:r>
      <w:r w:rsidR="00CB41C5" w:rsidRPr="005C36F7">
        <w:rPr>
          <w:rFonts w:ascii="Arial" w:hAnsi="Arial" w:cs="Arial"/>
          <w:color w:val="000000" w:themeColor="text1"/>
          <w:sz w:val="22"/>
        </w:rPr>
        <w:t xml:space="preserve"> also been supported by genetic evidence</w:t>
      </w:r>
      <w:r w:rsidR="006F351F" w:rsidRPr="005C36F7">
        <w:rPr>
          <w:rFonts w:ascii="Arial" w:hAnsi="Arial" w:cs="Arial"/>
          <w:color w:val="000000" w:themeColor="text1"/>
          <w:sz w:val="22"/>
        </w:rPr>
        <w:t xml:space="preserve"> </w:t>
      </w:r>
      <w:r w:rsidR="00CA2F90" w:rsidRPr="005C36F7">
        <w:rPr>
          <w:rFonts w:ascii="Arial" w:hAnsi="Arial" w:cs="Arial"/>
          <w:color w:val="000000" w:themeColor="text1"/>
          <w:sz w:val="22"/>
        </w:rPr>
        <w:t xml:space="preserve">such as rs4129267 in the interleukin-6 receptor (IL6R) gene </w:t>
      </w:r>
      <w:r w:rsidR="0037295D" w:rsidRPr="005C36F7">
        <w:rPr>
          <w:rFonts w:ascii="Arial" w:hAnsi="Arial" w:cs="Arial"/>
          <w:color w:val="000000" w:themeColor="text1"/>
          <w:sz w:val="22"/>
        </w:rPr>
        <w:t xml:space="preserve">identified </w:t>
      </w:r>
      <w:r w:rsidR="00CA2F90" w:rsidRPr="005C36F7">
        <w:rPr>
          <w:rFonts w:ascii="Arial" w:hAnsi="Arial" w:cs="Arial"/>
          <w:color w:val="000000" w:themeColor="text1"/>
          <w:sz w:val="22"/>
        </w:rPr>
        <w:t xml:space="preserve">as a </w:t>
      </w:r>
      <w:r w:rsidR="001F3C0C" w:rsidRPr="005C36F7">
        <w:rPr>
          <w:rFonts w:ascii="Arial" w:hAnsi="Arial" w:cs="Arial"/>
          <w:color w:val="000000" w:themeColor="text1"/>
          <w:sz w:val="22"/>
        </w:rPr>
        <w:t>risk locus</w:t>
      </w:r>
      <w:r w:rsidR="00CA2F90" w:rsidRPr="005C36F7">
        <w:rPr>
          <w:rFonts w:ascii="Arial" w:hAnsi="Arial" w:cs="Arial"/>
          <w:color w:val="000000" w:themeColor="text1"/>
          <w:sz w:val="22"/>
        </w:rPr>
        <w:t xml:space="preserve"> for asthma</w:t>
      </w:r>
      <w:r w:rsidR="009B227A" w:rsidRPr="005C36F7">
        <w:rPr>
          <w:rFonts w:ascii="Arial" w:hAnsi="Arial" w:cs="Arial"/>
          <w:color w:val="000000" w:themeColor="text1"/>
          <w:sz w:val="22"/>
        </w:rPr>
        <w:t xml:space="preserve"> </w:t>
      </w:r>
      <w:r w:rsidR="00CB41C5" w:rsidRPr="005C36F7">
        <w:rPr>
          <w:rFonts w:ascii="Arial" w:hAnsi="Arial" w:cs="Arial"/>
          <w:color w:val="000000" w:themeColor="text1"/>
          <w:sz w:val="22"/>
        </w:rPr>
        <w:t>(Ferreira et al.</w:t>
      </w:r>
      <w:r w:rsidR="00231A59" w:rsidRPr="005C36F7">
        <w:rPr>
          <w:rFonts w:ascii="Arial" w:hAnsi="Arial" w:cs="Arial"/>
          <w:color w:val="000000" w:themeColor="text1"/>
          <w:sz w:val="22"/>
        </w:rPr>
        <w:t>,</w:t>
      </w:r>
      <w:r w:rsidR="00CB41C5" w:rsidRPr="005C36F7">
        <w:rPr>
          <w:rFonts w:ascii="Arial" w:hAnsi="Arial" w:cs="Arial"/>
          <w:color w:val="000000" w:themeColor="text1"/>
          <w:sz w:val="22"/>
        </w:rPr>
        <w:t xml:space="preserve"> 2011)</w:t>
      </w:r>
      <w:r w:rsidR="0037295D" w:rsidRPr="005C36F7">
        <w:rPr>
          <w:rFonts w:ascii="Arial" w:hAnsi="Arial" w:cs="Arial"/>
          <w:color w:val="000000" w:themeColor="text1"/>
          <w:sz w:val="22"/>
        </w:rPr>
        <w:t>. Furthermore,</w:t>
      </w:r>
      <w:r w:rsidR="009B227A" w:rsidRPr="005C36F7">
        <w:rPr>
          <w:rFonts w:ascii="Arial" w:hAnsi="Arial" w:cs="Arial"/>
          <w:color w:val="000000" w:themeColor="text1"/>
          <w:sz w:val="22"/>
        </w:rPr>
        <w:t xml:space="preserve"> IL6 SNP rs1800797 </w:t>
      </w:r>
      <w:r w:rsidR="0037295D" w:rsidRPr="005C36F7">
        <w:rPr>
          <w:rFonts w:ascii="Arial" w:hAnsi="Arial" w:cs="Arial"/>
          <w:color w:val="000000" w:themeColor="text1"/>
          <w:sz w:val="22"/>
        </w:rPr>
        <w:t xml:space="preserve">has been </w:t>
      </w:r>
      <w:r w:rsidR="009B227A" w:rsidRPr="005C36F7">
        <w:rPr>
          <w:rFonts w:ascii="Arial" w:hAnsi="Arial" w:cs="Arial"/>
          <w:color w:val="000000" w:themeColor="text1"/>
          <w:sz w:val="22"/>
        </w:rPr>
        <w:t>associate</w:t>
      </w:r>
      <w:r w:rsidR="0037295D" w:rsidRPr="005C36F7">
        <w:rPr>
          <w:rFonts w:ascii="Arial" w:hAnsi="Arial" w:cs="Arial"/>
          <w:color w:val="000000" w:themeColor="text1"/>
          <w:sz w:val="22"/>
        </w:rPr>
        <w:t>d</w:t>
      </w:r>
      <w:r w:rsidR="009B227A" w:rsidRPr="005C36F7">
        <w:rPr>
          <w:rFonts w:ascii="Arial" w:hAnsi="Arial" w:cs="Arial"/>
          <w:color w:val="000000" w:themeColor="text1"/>
          <w:sz w:val="22"/>
        </w:rPr>
        <w:t xml:space="preserve"> with the risk of adult-onset asthma</w:t>
      </w:r>
      <w:r w:rsidR="00226308" w:rsidRPr="005C36F7">
        <w:rPr>
          <w:rFonts w:ascii="Arial" w:hAnsi="Arial" w:cs="Arial"/>
          <w:color w:val="000000" w:themeColor="text1"/>
          <w:sz w:val="22"/>
        </w:rPr>
        <w:t xml:space="preserve"> </w:t>
      </w:r>
      <w:r w:rsidR="009B227A" w:rsidRPr="005C36F7">
        <w:rPr>
          <w:rFonts w:ascii="Arial" w:hAnsi="Arial" w:cs="Arial"/>
          <w:color w:val="000000" w:themeColor="text1"/>
          <w:sz w:val="22"/>
        </w:rPr>
        <w:t>(Lajunen et al.,2016)</w:t>
      </w:r>
      <w:r w:rsidR="00CB41C5" w:rsidRPr="005C36F7">
        <w:rPr>
          <w:rFonts w:ascii="Arial" w:hAnsi="Arial" w:cs="Arial"/>
          <w:color w:val="000000" w:themeColor="text1"/>
          <w:sz w:val="22"/>
        </w:rPr>
        <w:t>.</w:t>
      </w:r>
      <w:r w:rsidR="00B54213" w:rsidRPr="005C36F7">
        <w:rPr>
          <w:rFonts w:ascii="Arial" w:hAnsi="Arial" w:cs="Arial"/>
          <w:color w:val="000000" w:themeColor="text1"/>
          <w:sz w:val="22"/>
        </w:rPr>
        <w:t xml:space="preserve"> </w:t>
      </w:r>
      <w:r w:rsidR="00A402A9">
        <w:rPr>
          <w:rFonts w:ascii="Arial" w:hAnsi="Arial" w:cs="Arial"/>
          <w:color w:val="000000" w:themeColor="text1"/>
          <w:sz w:val="22"/>
        </w:rPr>
        <w:t>Data from our U-BIOPRED also revealed that e</w:t>
      </w:r>
      <w:r w:rsidR="00A402A9" w:rsidRPr="00A402A9">
        <w:rPr>
          <w:rFonts w:ascii="Arial" w:hAnsi="Arial" w:cs="Arial"/>
          <w:color w:val="000000" w:themeColor="text1"/>
          <w:sz w:val="22"/>
        </w:rPr>
        <w:t>pithelial IL-6 trans-signaling defines a new asthma phenotype with increased airway inflammation</w:t>
      </w:r>
      <w:r w:rsidR="00A402A9">
        <w:rPr>
          <w:rFonts w:ascii="Arial" w:hAnsi="Arial" w:cs="Arial"/>
          <w:color w:val="000000" w:themeColor="text1"/>
          <w:sz w:val="22"/>
        </w:rPr>
        <w:t xml:space="preserve"> (Jevnikar et al. 2019) and data also suggested</w:t>
      </w:r>
      <w:r w:rsidR="00A402A9" w:rsidRPr="00A402A9">
        <w:rPr>
          <w:rFonts w:ascii="Arial" w:hAnsi="Arial" w:cs="Arial"/>
          <w:color w:val="000000" w:themeColor="text1"/>
          <w:sz w:val="22"/>
        </w:rPr>
        <w:t xml:space="preserve"> </w:t>
      </w:r>
      <w:r w:rsidR="00A402A9">
        <w:rPr>
          <w:rFonts w:ascii="Arial" w:hAnsi="Arial" w:cs="Arial"/>
          <w:color w:val="000000" w:themeColor="text1"/>
          <w:sz w:val="22"/>
        </w:rPr>
        <w:t xml:space="preserve">that </w:t>
      </w:r>
      <w:r w:rsidR="00A402A9" w:rsidRPr="00A402A9">
        <w:rPr>
          <w:rFonts w:ascii="Arial" w:hAnsi="Arial" w:cs="Arial"/>
          <w:color w:val="000000" w:themeColor="text1"/>
          <w:sz w:val="22"/>
        </w:rPr>
        <w:t>IL6R-high sub-population of severe asthma patients with high sputum neutrophilia could potentially benefit from</w:t>
      </w:r>
      <w:r w:rsidR="00A402A9">
        <w:rPr>
          <w:rFonts w:ascii="Arial" w:hAnsi="Arial" w:cs="Arial"/>
          <w:color w:val="000000" w:themeColor="text1"/>
          <w:sz w:val="22"/>
        </w:rPr>
        <w:t xml:space="preserve"> interventions </w:t>
      </w:r>
      <w:r w:rsidR="00A402A9" w:rsidRPr="00A402A9">
        <w:rPr>
          <w:rFonts w:ascii="Arial" w:hAnsi="Arial" w:cs="Arial"/>
          <w:color w:val="000000" w:themeColor="text1"/>
          <w:sz w:val="22"/>
        </w:rPr>
        <w:t>targeting IL-6 pathway</w:t>
      </w:r>
      <w:r w:rsidR="00A402A9">
        <w:rPr>
          <w:rFonts w:ascii="Arial" w:hAnsi="Arial" w:cs="Arial"/>
          <w:color w:val="000000" w:themeColor="text1"/>
          <w:sz w:val="22"/>
        </w:rPr>
        <w:t xml:space="preserve"> (Turan et al. 2017). </w:t>
      </w:r>
      <w:r w:rsidR="009C0355" w:rsidRPr="005C36F7">
        <w:rPr>
          <w:rFonts w:ascii="Arial" w:hAnsi="Arial" w:cs="Arial"/>
          <w:color w:val="000000" w:themeColor="text1"/>
          <w:sz w:val="22"/>
        </w:rPr>
        <w:t xml:space="preserve">On the other hand, </w:t>
      </w:r>
      <w:r w:rsidR="006F351F" w:rsidRPr="005C36F7">
        <w:rPr>
          <w:rFonts w:ascii="Arial" w:hAnsi="Arial" w:cs="Arial"/>
          <w:color w:val="000000" w:themeColor="text1"/>
          <w:sz w:val="22"/>
        </w:rPr>
        <w:t xml:space="preserve">growing evidence </w:t>
      </w:r>
      <w:r w:rsidR="0037295D" w:rsidRPr="005C36F7">
        <w:rPr>
          <w:rFonts w:ascii="Arial" w:hAnsi="Arial" w:cs="Arial"/>
          <w:color w:val="000000" w:themeColor="text1"/>
          <w:sz w:val="22"/>
        </w:rPr>
        <w:t xml:space="preserve">suggests a </w:t>
      </w:r>
      <w:r w:rsidR="001F3C0C" w:rsidRPr="005C36F7">
        <w:rPr>
          <w:rFonts w:ascii="Arial" w:hAnsi="Arial" w:cs="Arial"/>
          <w:color w:val="000000" w:themeColor="text1"/>
          <w:sz w:val="22"/>
        </w:rPr>
        <w:t>strong association</w:t>
      </w:r>
      <w:r w:rsidR="006F351F" w:rsidRPr="005C36F7">
        <w:rPr>
          <w:rFonts w:ascii="Arial" w:hAnsi="Arial" w:cs="Arial"/>
          <w:color w:val="000000" w:themeColor="text1"/>
          <w:sz w:val="22"/>
        </w:rPr>
        <w:t xml:space="preserve"> between</w:t>
      </w:r>
      <w:r w:rsidR="00B54213" w:rsidRPr="005C36F7">
        <w:rPr>
          <w:rFonts w:ascii="Arial" w:hAnsi="Arial" w:cs="Arial"/>
          <w:color w:val="000000" w:themeColor="text1"/>
          <w:sz w:val="22"/>
        </w:rPr>
        <w:t xml:space="preserve"> </w:t>
      </w:r>
      <w:r w:rsidR="00E32FDC" w:rsidRPr="005C36F7">
        <w:rPr>
          <w:rFonts w:ascii="Arial" w:hAnsi="Arial" w:cs="Arial"/>
          <w:color w:val="000000" w:themeColor="text1"/>
          <w:sz w:val="22"/>
        </w:rPr>
        <w:t>IL</w:t>
      </w:r>
      <w:r w:rsidR="00B54213" w:rsidRPr="005C36F7">
        <w:rPr>
          <w:rFonts w:ascii="Arial" w:hAnsi="Arial" w:cs="Arial"/>
          <w:color w:val="000000" w:themeColor="text1"/>
          <w:sz w:val="22"/>
        </w:rPr>
        <w:t>6</w:t>
      </w:r>
      <w:r w:rsidR="00815DEE" w:rsidRPr="005C36F7">
        <w:rPr>
          <w:rFonts w:ascii="Arial" w:hAnsi="Arial" w:cs="Arial"/>
          <w:color w:val="000000" w:themeColor="text1"/>
          <w:sz w:val="22"/>
        </w:rPr>
        <w:t xml:space="preserve"> </w:t>
      </w:r>
      <w:r w:rsidR="00B54213" w:rsidRPr="005C36F7">
        <w:rPr>
          <w:rFonts w:ascii="Arial" w:hAnsi="Arial" w:cs="Arial"/>
          <w:color w:val="000000" w:themeColor="text1"/>
          <w:sz w:val="22"/>
        </w:rPr>
        <w:t>and depressive symptoms</w:t>
      </w:r>
      <w:r w:rsidR="00226308" w:rsidRPr="005C36F7">
        <w:rPr>
          <w:rFonts w:ascii="Arial" w:hAnsi="Arial" w:cs="Arial"/>
          <w:color w:val="000000" w:themeColor="text1"/>
          <w:sz w:val="22"/>
        </w:rPr>
        <w:t xml:space="preserve"> </w:t>
      </w:r>
      <w:r w:rsidR="00537BF7" w:rsidRPr="005C36F7">
        <w:rPr>
          <w:rFonts w:ascii="Arial" w:hAnsi="Arial" w:cs="Arial"/>
          <w:color w:val="000000" w:themeColor="text1"/>
          <w:sz w:val="22"/>
        </w:rPr>
        <w:t xml:space="preserve">(Liu </w:t>
      </w:r>
      <w:r w:rsidR="00FC0EC9" w:rsidRPr="005C36F7">
        <w:rPr>
          <w:rFonts w:ascii="Arial" w:hAnsi="Arial" w:cs="Arial"/>
          <w:color w:val="000000" w:themeColor="text1"/>
          <w:sz w:val="22"/>
        </w:rPr>
        <w:t>et al</w:t>
      </w:r>
      <w:r w:rsidR="00231A59" w:rsidRPr="005C36F7">
        <w:rPr>
          <w:rFonts w:ascii="Arial" w:hAnsi="Arial" w:cs="Arial"/>
          <w:color w:val="000000" w:themeColor="text1"/>
          <w:sz w:val="22"/>
        </w:rPr>
        <w:t>.</w:t>
      </w:r>
      <w:r w:rsidR="003C66F6" w:rsidRPr="005C36F7">
        <w:rPr>
          <w:rFonts w:ascii="Arial" w:hAnsi="Arial" w:cs="Arial"/>
          <w:color w:val="000000" w:themeColor="text1"/>
          <w:sz w:val="22"/>
        </w:rPr>
        <w:t>,</w:t>
      </w:r>
      <w:r w:rsidR="00231A59" w:rsidRPr="005C36F7">
        <w:rPr>
          <w:rFonts w:ascii="Arial" w:hAnsi="Arial" w:cs="Arial"/>
          <w:color w:val="000000" w:themeColor="text1"/>
          <w:sz w:val="22"/>
        </w:rPr>
        <w:t>2017;</w:t>
      </w:r>
      <w:r w:rsidR="003C66F6" w:rsidRPr="005C36F7">
        <w:rPr>
          <w:rFonts w:ascii="Arial" w:hAnsi="Arial" w:cs="Arial"/>
          <w:color w:val="000000" w:themeColor="text1"/>
          <w:sz w:val="22"/>
        </w:rPr>
        <w:t xml:space="preserve"> Liu et al</w:t>
      </w:r>
      <w:r w:rsidR="00231A59" w:rsidRPr="005C36F7">
        <w:rPr>
          <w:rFonts w:ascii="Arial" w:hAnsi="Arial" w:cs="Arial"/>
          <w:color w:val="000000" w:themeColor="text1"/>
          <w:sz w:val="22"/>
        </w:rPr>
        <w:t>.</w:t>
      </w:r>
      <w:r w:rsidR="003C66F6" w:rsidRPr="005C36F7">
        <w:rPr>
          <w:rFonts w:ascii="Arial" w:hAnsi="Arial" w:cs="Arial"/>
          <w:color w:val="000000" w:themeColor="text1"/>
          <w:sz w:val="22"/>
        </w:rPr>
        <w:t>, 2012; Valkanova et al</w:t>
      </w:r>
      <w:r w:rsidR="00231A59" w:rsidRPr="005C36F7">
        <w:rPr>
          <w:rFonts w:ascii="Arial" w:hAnsi="Arial" w:cs="Arial"/>
          <w:color w:val="000000" w:themeColor="text1"/>
          <w:sz w:val="22"/>
        </w:rPr>
        <w:t>.</w:t>
      </w:r>
      <w:r w:rsidR="003C66F6" w:rsidRPr="005C36F7">
        <w:rPr>
          <w:rFonts w:ascii="Arial" w:hAnsi="Arial" w:cs="Arial"/>
          <w:color w:val="000000" w:themeColor="text1"/>
          <w:sz w:val="22"/>
        </w:rPr>
        <w:t>,</w:t>
      </w:r>
      <w:r w:rsidR="00226308" w:rsidRPr="005C36F7">
        <w:rPr>
          <w:rFonts w:ascii="Arial" w:hAnsi="Arial" w:cs="Arial"/>
          <w:color w:val="000000" w:themeColor="text1"/>
          <w:sz w:val="22"/>
        </w:rPr>
        <w:t xml:space="preserve"> </w:t>
      </w:r>
      <w:r w:rsidR="003C66F6" w:rsidRPr="005C36F7">
        <w:rPr>
          <w:rFonts w:ascii="Arial" w:hAnsi="Arial" w:cs="Arial"/>
          <w:color w:val="000000" w:themeColor="text1"/>
          <w:sz w:val="22"/>
        </w:rPr>
        <w:t>2013</w:t>
      </w:r>
      <w:r w:rsidR="00FC0EC9" w:rsidRPr="005C36F7">
        <w:rPr>
          <w:rFonts w:ascii="Arial" w:hAnsi="Arial" w:cs="Arial"/>
          <w:color w:val="000000" w:themeColor="text1"/>
          <w:sz w:val="22"/>
        </w:rPr>
        <w:t>) and genetic polymorphisms in the genes for IL</w:t>
      </w:r>
      <w:r w:rsidR="0037295D" w:rsidRPr="005C36F7">
        <w:rPr>
          <w:rFonts w:ascii="Arial" w:hAnsi="Arial" w:cs="Arial"/>
          <w:color w:val="000000" w:themeColor="text1"/>
          <w:sz w:val="22"/>
        </w:rPr>
        <w:t>-</w:t>
      </w:r>
      <w:r w:rsidR="00FC0EC9" w:rsidRPr="005C36F7">
        <w:rPr>
          <w:rFonts w:ascii="Arial" w:hAnsi="Arial" w:cs="Arial"/>
          <w:color w:val="000000" w:themeColor="text1"/>
          <w:sz w:val="22"/>
        </w:rPr>
        <w:t xml:space="preserve">6 </w:t>
      </w:r>
      <w:r w:rsidR="0037295D" w:rsidRPr="005C36F7">
        <w:rPr>
          <w:rFonts w:ascii="Arial" w:hAnsi="Arial" w:cs="Arial"/>
          <w:color w:val="000000" w:themeColor="text1"/>
          <w:sz w:val="22"/>
        </w:rPr>
        <w:t xml:space="preserve">have been </w:t>
      </w:r>
      <w:r w:rsidR="00FC0EC9" w:rsidRPr="005C36F7">
        <w:rPr>
          <w:rFonts w:ascii="Arial" w:hAnsi="Arial" w:cs="Arial"/>
          <w:color w:val="000000" w:themeColor="text1"/>
          <w:sz w:val="22"/>
        </w:rPr>
        <w:t>involved in both immune activation and depression</w:t>
      </w:r>
      <w:r w:rsidR="00226308" w:rsidRPr="005C36F7">
        <w:rPr>
          <w:rFonts w:ascii="Arial" w:hAnsi="Arial" w:cs="Arial"/>
          <w:color w:val="000000" w:themeColor="text1"/>
          <w:sz w:val="22"/>
        </w:rPr>
        <w:t xml:space="preserve"> </w:t>
      </w:r>
      <w:r w:rsidR="00FC0EC9" w:rsidRPr="005C36F7">
        <w:rPr>
          <w:rFonts w:ascii="Arial" w:hAnsi="Arial" w:cs="Arial"/>
          <w:color w:val="000000" w:themeColor="text1"/>
          <w:sz w:val="22"/>
        </w:rPr>
        <w:t>(Barnes et al.</w:t>
      </w:r>
      <w:r w:rsidR="00231A59" w:rsidRPr="005C36F7">
        <w:rPr>
          <w:rFonts w:ascii="Arial" w:hAnsi="Arial" w:cs="Arial"/>
          <w:color w:val="000000" w:themeColor="text1"/>
          <w:sz w:val="22"/>
        </w:rPr>
        <w:t>,</w:t>
      </w:r>
      <w:r w:rsidR="00FC0EC9" w:rsidRPr="005C36F7">
        <w:rPr>
          <w:rFonts w:ascii="Arial" w:hAnsi="Arial" w:cs="Arial"/>
          <w:color w:val="000000" w:themeColor="text1"/>
          <w:sz w:val="22"/>
        </w:rPr>
        <w:t xml:space="preserve"> 2017).</w:t>
      </w:r>
      <w:r w:rsidR="00C547B8" w:rsidRPr="005C36F7">
        <w:rPr>
          <w:rFonts w:ascii="Arial" w:hAnsi="Arial" w:cs="Arial"/>
          <w:color w:val="000000" w:themeColor="text1"/>
          <w:sz w:val="22"/>
        </w:rPr>
        <w:t xml:space="preserve"> IL</w:t>
      </w:r>
      <w:r w:rsidR="0037295D" w:rsidRPr="005C36F7">
        <w:rPr>
          <w:rFonts w:ascii="Arial" w:hAnsi="Arial" w:cs="Arial"/>
          <w:color w:val="000000" w:themeColor="text1"/>
          <w:sz w:val="22"/>
        </w:rPr>
        <w:t>-</w:t>
      </w:r>
      <w:r w:rsidR="00C547B8" w:rsidRPr="005C36F7">
        <w:rPr>
          <w:rFonts w:ascii="Arial" w:hAnsi="Arial" w:cs="Arial"/>
          <w:color w:val="000000" w:themeColor="text1"/>
          <w:sz w:val="22"/>
        </w:rPr>
        <w:t xml:space="preserve">6 </w:t>
      </w:r>
      <w:r w:rsidR="006F351F" w:rsidRPr="005C36F7">
        <w:rPr>
          <w:rFonts w:ascii="Arial" w:hAnsi="Arial" w:cs="Arial"/>
          <w:color w:val="000000" w:themeColor="text1"/>
          <w:sz w:val="22"/>
        </w:rPr>
        <w:t xml:space="preserve">is </w:t>
      </w:r>
      <w:r w:rsidR="00A67D66" w:rsidRPr="005C36F7">
        <w:rPr>
          <w:rFonts w:ascii="Arial" w:hAnsi="Arial" w:cs="Arial"/>
          <w:color w:val="000000" w:themeColor="text1"/>
          <w:sz w:val="22"/>
        </w:rPr>
        <w:t xml:space="preserve">a central mediator by </w:t>
      </w:r>
      <w:r w:rsidR="00A67D66" w:rsidRPr="00AC4B33">
        <w:rPr>
          <w:rFonts w:ascii="Arial" w:hAnsi="Arial" w:cs="Arial"/>
          <w:color w:val="000000" w:themeColor="text1"/>
          <w:sz w:val="22"/>
        </w:rPr>
        <w:t xml:space="preserve">which psychological and physical stressors contribute to the development of </w:t>
      </w:r>
      <w:r w:rsidR="00A67D66" w:rsidRPr="00527CBF">
        <w:rPr>
          <w:rFonts w:ascii="Arial" w:hAnsi="Arial" w:cs="Arial"/>
          <w:color w:val="000000" w:themeColor="text1"/>
          <w:sz w:val="22"/>
        </w:rPr>
        <w:t>depression</w:t>
      </w:r>
      <w:r w:rsidR="00A67D66" w:rsidRPr="00AC4B33">
        <w:rPr>
          <w:rFonts w:ascii="Arial" w:hAnsi="Arial" w:cs="Arial"/>
          <w:color w:val="000000" w:themeColor="text1"/>
          <w:sz w:val="22"/>
        </w:rPr>
        <w:t>(Iwata et al.</w:t>
      </w:r>
      <w:r w:rsidR="004F12B8" w:rsidRPr="00527CBF">
        <w:rPr>
          <w:rFonts w:ascii="Arial" w:hAnsi="Arial" w:cs="Arial"/>
          <w:color w:val="000000" w:themeColor="text1"/>
          <w:sz w:val="22"/>
        </w:rPr>
        <w:t>,</w:t>
      </w:r>
      <w:r w:rsidR="00A67D66" w:rsidRPr="00527CBF">
        <w:rPr>
          <w:rFonts w:ascii="Arial" w:hAnsi="Arial" w:cs="Arial"/>
          <w:color w:val="000000" w:themeColor="text1"/>
          <w:sz w:val="22"/>
        </w:rPr>
        <w:t xml:space="preserve"> 2013</w:t>
      </w:r>
      <w:r w:rsidR="00A67D66" w:rsidRPr="00AC4B33">
        <w:rPr>
          <w:rFonts w:ascii="Arial" w:hAnsi="Arial" w:cs="Arial"/>
          <w:color w:val="000000" w:themeColor="text1"/>
          <w:sz w:val="22"/>
        </w:rPr>
        <w:t>).</w:t>
      </w:r>
      <w:r w:rsidR="0095037E" w:rsidRPr="005C36F7">
        <w:rPr>
          <w:rFonts w:ascii="Arial" w:hAnsi="Arial" w:cs="Arial"/>
          <w:color w:val="000000" w:themeColor="text1"/>
          <w:sz w:val="22"/>
        </w:rPr>
        <w:t xml:space="preserve"> </w:t>
      </w:r>
      <w:r w:rsidR="00620857" w:rsidRPr="005C36F7">
        <w:rPr>
          <w:rFonts w:ascii="Arial" w:hAnsi="Arial" w:cs="Arial"/>
          <w:color w:val="000000" w:themeColor="text1"/>
          <w:sz w:val="22"/>
        </w:rPr>
        <w:t xml:space="preserve">The clinical symptoms and the </w:t>
      </w:r>
      <w:r w:rsidR="00BB2641" w:rsidRPr="005C36F7">
        <w:rPr>
          <w:rFonts w:ascii="Arial" w:hAnsi="Arial" w:cs="Arial"/>
          <w:color w:val="000000" w:themeColor="text1"/>
          <w:sz w:val="22"/>
        </w:rPr>
        <w:t xml:space="preserve">chronic </w:t>
      </w:r>
      <w:r w:rsidR="00620857" w:rsidRPr="005C36F7">
        <w:rPr>
          <w:rFonts w:ascii="Arial" w:hAnsi="Arial" w:cs="Arial"/>
          <w:color w:val="000000" w:themeColor="text1"/>
          <w:sz w:val="22"/>
        </w:rPr>
        <w:t xml:space="preserve">course </w:t>
      </w:r>
      <w:r w:rsidR="00BB2641" w:rsidRPr="005C36F7">
        <w:rPr>
          <w:rFonts w:ascii="Arial" w:hAnsi="Arial" w:cs="Arial"/>
          <w:color w:val="000000" w:themeColor="text1"/>
          <w:sz w:val="22"/>
        </w:rPr>
        <w:t>of asthma</w:t>
      </w:r>
      <w:r w:rsidR="00620857" w:rsidRPr="005C36F7">
        <w:rPr>
          <w:rFonts w:ascii="Arial" w:hAnsi="Arial" w:cs="Arial"/>
          <w:color w:val="000000" w:themeColor="text1"/>
          <w:sz w:val="22"/>
        </w:rPr>
        <w:t xml:space="preserve"> </w:t>
      </w:r>
      <w:r w:rsidR="001775E9" w:rsidRPr="005C36F7">
        <w:rPr>
          <w:rFonts w:ascii="Arial" w:hAnsi="Arial" w:cs="Arial"/>
          <w:color w:val="000000" w:themeColor="text1"/>
          <w:sz w:val="22"/>
        </w:rPr>
        <w:t xml:space="preserve">can be </w:t>
      </w:r>
      <w:r w:rsidR="00620857" w:rsidRPr="005C36F7">
        <w:rPr>
          <w:rFonts w:ascii="Arial" w:hAnsi="Arial" w:cs="Arial"/>
          <w:color w:val="000000" w:themeColor="text1"/>
          <w:sz w:val="22"/>
        </w:rPr>
        <w:t xml:space="preserve">a serious stressor </w:t>
      </w:r>
      <w:r w:rsidR="00BB2641" w:rsidRPr="005C36F7">
        <w:rPr>
          <w:rFonts w:ascii="Arial" w:hAnsi="Arial" w:cs="Arial"/>
          <w:color w:val="000000" w:themeColor="text1"/>
          <w:sz w:val="22"/>
        </w:rPr>
        <w:t>to</w:t>
      </w:r>
      <w:r w:rsidR="00620857" w:rsidRPr="005C36F7">
        <w:rPr>
          <w:rFonts w:ascii="Arial" w:hAnsi="Arial" w:cs="Arial"/>
          <w:color w:val="000000" w:themeColor="text1"/>
          <w:sz w:val="22"/>
        </w:rPr>
        <w:t xml:space="preserve"> patients</w:t>
      </w:r>
      <w:r w:rsidR="00C5332D" w:rsidRPr="005C36F7">
        <w:rPr>
          <w:rFonts w:ascii="Arial" w:hAnsi="Arial" w:cs="Arial"/>
          <w:color w:val="000000" w:themeColor="text1"/>
          <w:sz w:val="22"/>
        </w:rPr>
        <w:t xml:space="preserve">, which </w:t>
      </w:r>
      <w:r w:rsidR="00102F6B" w:rsidRPr="005C36F7">
        <w:rPr>
          <w:rFonts w:ascii="Arial" w:hAnsi="Arial" w:cs="Arial"/>
          <w:color w:val="000000" w:themeColor="text1"/>
          <w:sz w:val="22"/>
        </w:rPr>
        <w:t xml:space="preserve">may </w:t>
      </w:r>
      <w:r w:rsidR="00C5332D" w:rsidRPr="005C36F7">
        <w:rPr>
          <w:rFonts w:ascii="Arial" w:hAnsi="Arial" w:cs="Arial"/>
          <w:color w:val="000000" w:themeColor="text1"/>
          <w:sz w:val="22"/>
        </w:rPr>
        <w:t>stimulate the pro-inflammatory cytokine</w:t>
      </w:r>
      <w:r w:rsidR="00B27F78" w:rsidRPr="005C36F7">
        <w:rPr>
          <w:rFonts w:ascii="Arial" w:hAnsi="Arial" w:cs="Arial"/>
          <w:color w:val="000000" w:themeColor="text1"/>
          <w:sz w:val="22"/>
        </w:rPr>
        <w:t xml:space="preserve"> network, including increased</w:t>
      </w:r>
      <w:r w:rsidR="00C5332D" w:rsidRPr="005C36F7">
        <w:rPr>
          <w:rFonts w:ascii="Arial" w:hAnsi="Arial" w:cs="Arial"/>
          <w:color w:val="000000" w:themeColor="text1"/>
          <w:sz w:val="22"/>
        </w:rPr>
        <w:t xml:space="preserve"> </w:t>
      </w:r>
      <w:r w:rsidR="00B27F78" w:rsidRPr="005C36F7">
        <w:rPr>
          <w:rFonts w:ascii="Arial" w:hAnsi="Arial" w:cs="Arial"/>
          <w:color w:val="000000" w:themeColor="text1"/>
          <w:sz w:val="22"/>
        </w:rPr>
        <w:t xml:space="preserve">level of </w:t>
      </w:r>
      <w:r w:rsidR="00C5332D" w:rsidRPr="005C36F7">
        <w:rPr>
          <w:rFonts w:ascii="Arial" w:hAnsi="Arial" w:cs="Arial"/>
          <w:color w:val="000000" w:themeColor="text1"/>
          <w:sz w:val="22"/>
        </w:rPr>
        <w:t>IL</w:t>
      </w:r>
      <w:r w:rsidR="0037295D" w:rsidRPr="005C36F7">
        <w:rPr>
          <w:rFonts w:ascii="Arial" w:hAnsi="Arial" w:cs="Arial"/>
          <w:color w:val="000000" w:themeColor="text1"/>
          <w:sz w:val="22"/>
        </w:rPr>
        <w:t>-</w:t>
      </w:r>
      <w:r w:rsidR="00C5332D" w:rsidRPr="005C36F7">
        <w:rPr>
          <w:rFonts w:ascii="Arial" w:hAnsi="Arial" w:cs="Arial"/>
          <w:color w:val="000000" w:themeColor="text1"/>
          <w:sz w:val="22"/>
        </w:rPr>
        <w:t>6</w:t>
      </w:r>
      <w:r w:rsidR="00271AC7" w:rsidRPr="005C36F7">
        <w:rPr>
          <w:rFonts w:ascii="Arial" w:hAnsi="Arial" w:cs="Arial"/>
          <w:color w:val="000000" w:themeColor="text1"/>
          <w:sz w:val="22"/>
        </w:rPr>
        <w:t xml:space="preserve"> </w:t>
      </w:r>
      <w:r w:rsidR="00C5332D" w:rsidRPr="005C36F7">
        <w:rPr>
          <w:rFonts w:ascii="Arial" w:hAnsi="Arial" w:cs="Arial"/>
          <w:color w:val="000000" w:themeColor="text1"/>
          <w:sz w:val="22"/>
        </w:rPr>
        <w:t>(Berk et al.</w:t>
      </w:r>
      <w:r w:rsidR="004F12B8" w:rsidRPr="005C36F7">
        <w:rPr>
          <w:rFonts w:ascii="Arial" w:hAnsi="Arial" w:cs="Arial"/>
          <w:color w:val="000000" w:themeColor="text1"/>
          <w:sz w:val="22"/>
        </w:rPr>
        <w:t>,</w:t>
      </w:r>
      <w:r w:rsidR="00C5332D" w:rsidRPr="005C36F7">
        <w:rPr>
          <w:rFonts w:ascii="Arial" w:hAnsi="Arial" w:cs="Arial"/>
          <w:color w:val="000000" w:themeColor="text1"/>
          <w:sz w:val="22"/>
        </w:rPr>
        <w:t xml:space="preserve"> 2013)</w:t>
      </w:r>
      <w:r w:rsidR="003134AB" w:rsidRPr="005C36F7">
        <w:rPr>
          <w:rFonts w:ascii="Arial" w:hAnsi="Arial" w:cs="Arial"/>
          <w:color w:val="000000" w:themeColor="text1"/>
          <w:sz w:val="22"/>
        </w:rPr>
        <w:t>, which lead</w:t>
      </w:r>
      <w:r w:rsidR="0037295D" w:rsidRPr="005C36F7">
        <w:rPr>
          <w:rFonts w:ascii="Arial" w:hAnsi="Arial" w:cs="Arial"/>
          <w:color w:val="000000" w:themeColor="text1"/>
          <w:sz w:val="22"/>
        </w:rPr>
        <w:t>s</w:t>
      </w:r>
      <w:r w:rsidR="003134AB" w:rsidRPr="005C36F7">
        <w:rPr>
          <w:rFonts w:ascii="Arial" w:hAnsi="Arial" w:cs="Arial"/>
          <w:color w:val="000000" w:themeColor="text1"/>
          <w:sz w:val="22"/>
        </w:rPr>
        <w:t xml:space="preserve"> to </w:t>
      </w:r>
      <w:r w:rsidR="00271AC7" w:rsidRPr="005C36F7">
        <w:rPr>
          <w:rFonts w:ascii="Arial" w:hAnsi="Arial" w:cs="Arial"/>
          <w:color w:val="000000" w:themeColor="text1"/>
          <w:sz w:val="22"/>
        </w:rPr>
        <w:t xml:space="preserve">stress-related disorders, </w:t>
      </w:r>
      <w:r w:rsidR="00B27F78" w:rsidRPr="005C36F7">
        <w:rPr>
          <w:rFonts w:ascii="Arial" w:hAnsi="Arial" w:cs="Arial"/>
          <w:color w:val="000000" w:themeColor="text1"/>
          <w:sz w:val="22"/>
        </w:rPr>
        <w:t xml:space="preserve">such as </w:t>
      </w:r>
      <w:r w:rsidR="00271AC7" w:rsidRPr="005C36F7">
        <w:rPr>
          <w:rFonts w:ascii="Arial" w:hAnsi="Arial" w:cs="Arial"/>
          <w:color w:val="000000" w:themeColor="text1"/>
          <w:sz w:val="22"/>
        </w:rPr>
        <w:t>depression</w:t>
      </w:r>
      <w:r w:rsidR="003134AB" w:rsidRPr="005C36F7">
        <w:rPr>
          <w:rFonts w:ascii="Arial" w:hAnsi="Arial" w:cs="Arial"/>
          <w:color w:val="000000" w:themeColor="text1"/>
          <w:sz w:val="22"/>
        </w:rPr>
        <w:t xml:space="preserve"> </w:t>
      </w:r>
      <w:r w:rsidR="00527CBF" w:rsidRPr="00527CBF">
        <w:rPr>
          <w:rFonts w:ascii="Arial" w:hAnsi="Arial" w:cs="Arial"/>
          <w:color w:val="000000" w:themeColor="text1"/>
          <w:sz w:val="22"/>
        </w:rPr>
        <w:t>through activation of hypothalamic-pituitary-adrenal axis or inﬂuence of the neurotransmitter metabolism (Ting et al., 2020</w:t>
      </w:r>
      <w:proofErr w:type="gramStart"/>
      <w:r w:rsidR="00527CBF" w:rsidRPr="00527CBF">
        <w:rPr>
          <w:rFonts w:ascii="Arial" w:hAnsi="Arial" w:cs="Arial"/>
          <w:color w:val="000000" w:themeColor="text1"/>
          <w:sz w:val="22"/>
        </w:rPr>
        <w:t>).</w:t>
      </w:r>
      <w:r w:rsidR="00271AC7" w:rsidRPr="005C36F7">
        <w:rPr>
          <w:rFonts w:ascii="Arial" w:hAnsi="Arial" w:cs="Arial"/>
          <w:color w:val="000000" w:themeColor="text1"/>
          <w:sz w:val="22"/>
        </w:rPr>
        <w:t>.</w:t>
      </w:r>
      <w:proofErr w:type="gramEnd"/>
      <w:r w:rsidR="00271AC7" w:rsidRPr="005C36F7">
        <w:rPr>
          <w:rFonts w:ascii="Arial" w:hAnsi="Arial" w:cs="Arial"/>
          <w:color w:val="000000" w:themeColor="text1"/>
          <w:sz w:val="22"/>
        </w:rPr>
        <w:t xml:space="preserve"> </w:t>
      </w:r>
      <w:r w:rsidR="00B27F78" w:rsidRPr="005C36F7">
        <w:rPr>
          <w:rFonts w:ascii="Arial" w:hAnsi="Arial" w:cs="Arial"/>
          <w:color w:val="000000" w:themeColor="text1"/>
          <w:sz w:val="22"/>
        </w:rPr>
        <w:t>At the same time,</w:t>
      </w:r>
      <w:r w:rsidR="006E7F2C" w:rsidRPr="005C36F7">
        <w:rPr>
          <w:rFonts w:ascii="Arial" w:hAnsi="Arial" w:cs="Arial"/>
          <w:color w:val="000000" w:themeColor="text1"/>
          <w:sz w:val="22"/>
        </w:rPr>
        <w:t xml:space="preserve"> </w:t>
      </w:r>
      <w:r w:rsidR="00B27F78" w:rsidRPr="005C36F7">
        <w:rPr>
          <w:rFonts w:ascii="Arial" w:hAnsi="Arial" w:cs="Arial"/>
          <w:color w:val="000000" w:themeColor="text1"/>
          <w:sz w:val="22"/>
        </w:rPr>
        <w:t>w</w:t>
      </w:r>
      <w:r w:rsidR="0095037E" w:rsidRPr="005C36F7">
        <w:rPr>
          <w:rFonts w:ascii="Arial" w:hAnsi="Arial" w:cs="Arial"/>
          <w:color w:val="000000" w:themeColor="text1"/>
          <w:sz w:val="22"/>
        </w:rPr>
        <w:t xml:space="preserve">hen the </w:t>
      </w:r>
      <w:r w:rsidR="00102F6B" w:rsidRPr="005C36F7">
        <w:rPr>
          <w:rFonts w:ascii="Arial" w:hAnsi="Arial" w:cs="Arial"/>
          <w:color w:val="000000" w:themeColor="text1"/>
          <w:sz w:val="22"/>
        </w:rPr>
        <w:t>im</w:t>
      </w:r>
      <w:r w:rsidR="0095037E" w:rsidRPr="005C36F7">
        <w:rPr>
          <w:rFonts w:ascii="Arial" w:hAnsi="Arial" w:cs="Arial"/>
          <w:color w:val="000000" w:themeColor="text1"/>
          <w:sz w:val="22"/>
        </w:rPr>
        <w:t>balance between</w:t>
      </w:r>
      <w:r w:rsidR="00102F6B" w:rsidRPr="005C36F7">
        <w:rPr>
          <w:rFonts w:ascii="Arial" w:hAnsi="Arial" w:cs="Arial"/>
          <w:color w:val="000000" w:themeColor="text1"/>
          <w:sz w:val="22"/>
        </w:rPr>
        <w:t xml:space="preserve"> </w:t>
      </w:r>
      <w:r w:rsidR="0095037E" w:rsidRPr="005C36F7">
        <w:rPr>
          <w:rFonts w:ascii="Arial" w:hAnsi="Arial" w:cs="Arial"/>
          <w:color w:val="000000" w:themeColor="text1"/>
          <w:sz w:val="22"/>
        </w:rPr>
        <w:t xml:space="preserve">Th1/Th2 of </w:t>
      </w:r>
      <w:r w:rsidR="00102F6B" w:rsidRPr="005C36F7">
        <w:rPr>
          <w:rFonts w:ascii="Arial" w:hAnsi="Arial" w:cs="Arial"/>
          <w:color w:val="000000" w:themeColor="text1"/>
          <w:sz w:val="22"/>
        </w:rPr>
        <w:t xml:space="preserve">the </w:t>
      </w:r>
      <w:r w:rsidR="0095037E" w:rsidRPr="005C36F7">
        <w:rPr>
          <w:rFonts w:ascii="Arial" w:hAnsi="Arial" w:cs="Arial"/>
          <w:color w:val="000000" w:themeColor="text1"/>
          <w:sz w:val="22"/>
        </w:rPr>
        <w:t xml:space="preserve">immune system </w:t>
      </w:r>
      <w:r w:rsidR="00102F6B" w:rsidRPr="005C36F7">
        <w:rPr>
          <w:rFonts w:ascii="Arial" w:hAnsi="Arial" w:cs="Arial"/>
          <w:color w:val="000000" w:themeColor="text1"/>
          <w:sz w:val="22"/>
        </w:rPr>
        <w:t>arose</w:t>
      </w:r>
      <w:r w:rsidR="0095037E" w:rsidRPr="005C36F7">
        <w:rPr>
          <w:rFonts w:ascii="Arial" w:hAnsi="Arial" w:cs="Arial"/>
          <w:color w:val="000000" w:themeColor="text1"/>
          <w:sz w:val="22"/>
        </w:rPr>
        <w:t>, it would generate further allerg</w:t>
      </w:r>
      <w:r w:rsidR="00102F6B" w:rsidRPr="005C36F7">
        <w:rPr>
          <w:rFonts w:ascii="Arial" w:hAnsi="Arial" w:cs="Arial"/>
          <w:color w:val="000000" w:themeColor="text1"/>
          <w:sz w:val="22"/>
        </w:rPr>
        <w:t>ic</w:t>
      </w:r>
      <w:r w:rsidR="0095037E" w:rsidRPr="005C36F7">
        <w:rPr>
          <w:rFonts w:ascii="Arial" w:hAnsi="Arial" w:cs="Arial"/>
          <w:color w:val="000000" w:themeColor="text1"/>
          <w:sz w:val="22"/>
        </w:rPr>
        <w:t xml:space="preserve"> </w:t>
      </w:r>
      <w:r w:rsidR="00102F6B" w:rsidRPr="005C36F7">
        <w:rPr>
          <w:rFonts w:ascii="Arial" w:hAnsi="Arial" w:cs="Arial"/>
          <w:color w:val="000000" w:themeColor="text1"/>
          <w:sz w:val="22"/>
        </w:rPr>
        <w:t>response</w:t>
      </w:r>
      <w:r w:rsidR="00264C97">
        <w:rPr>
          <w:rFonts w:ascii="Arial" w:hAnsi="Arial" w:cs="Arial"/>
          <w:color w:val="000000" w:themeColor="text1"/>
          <w:sz w:val="22"/>
        </w:rPr>
        <w:t>s</w:t>
      </w:r>
      <w:r w:rsidR="00102F6B" w:rsidRPr="005C36F7">
        <w:rPr>
          <w:rFonts w:ascii="Arial" w:hAnsi="Arial" w:cs="Arial"/>
          <w:color w:val="000000" w:themeColor="text1"/>
          <w:sz w:val="22"/>
        </w:rPr>
        <w:t xml:space="preserve"> </w:t>
      </w:r>
      <w:r w:rsidR="0095037E" w:rsidRPr="005C36F7">
        <w:rPr>
          <w:rFonts w:ascii="Arial" w:hAnsi="Arial" w:cs="Arial"/>
          <w:color w:val="000000" w:themeColor="text1"/>
          <w:sz w:val="22"/>
        </w:rPr>
        <w:t>(Jiang et al.</w:t>
      </w:r>
      <w:r w:rsidR="002D2EEE" w:rsidRPr="005C36F7">
        <w:rPr>
          <w:rFonts w:ascii="Arial" w:hAnsi="Arial" w:cs="Arial"/>
          <w:color w:val="000000" w:themeColor="text1"/>
          <w:sz w:val="22"/>
        </w:rPr>
        <w:t>,</w:t>
      </w:r>
      <w:r w:rsidR="0095037E" w:rsidRPr="005C36F7">
        <w:rPr>
          <w:rFonts w:ascii="Arial" w:hAnsi="Arial" w:cs="Arial"/>
          <w:color w:val="000000" w:themeColor="text1"/>
          <w:sz w:val="22"/>
        </w:rPr>
        <w:t xml:space="preserve"> 2014)</w:t>
      </w:r>
      <w:r w:rsidR="003134AB" w:rsidRPr="005C36F7">
        <w:rPr>
          <w:rFonts w:ascii="Arial" w:hAnsi="Arial" w:cs="Arial"/>
          <w:color w:val="000000" w:themeColor="text1"/>
          <w:sz w:val="22"/>
        </w:rPr>
        <w:t>, forming a negative loop</w:t>
      </w:r>
      <w:r w:rsidR="0095037E" w:rsidRPr="005C36F7">
        <w:rPr>
          <w:rFonts w:ascii="Arial" w:hAnsi="Arial" w:cs="Arial"/>
          <w:color w:val="000000" w:themeColor="text1"/>
          <w:sz w:val="22"/>
        </w:rPr>
        <w:t>.</w:t>
      </w:r>
    </w:p>
    <w:p w14:paraId="0AA8C3D3" w14:textId="6AC5BFEE" w:rsidR="00A85520" w:rsidRPr="005C36F7" w:rsidRDefault="0037295D" w:rsidP="002B063A">
      <w:pPr>
        <w:ind w:firstLine="432"/>
        <w:rPr>
          <w:rFonts w:ascii="Arial" w:hAnsi="Arial" w:cs="Arial"/>
          <w:color w:val="000000" w:themeColor="text1"/>
          <w:sz w:val="22"/>
        </w:rPr>
      </w:pPr>
      <w:r w:rsidRPr="005C36F7">
        <w:rPr>
          <w:rFonts w:ascii="Arial" w:hAnsi="Arial" w:cs="Arial"/>
          <w:color w:val="000000" w:themeColor="text1"/>
          <w:sz w:val="22"/>
        </w:rPr>
        <w:t xml:space="preserve">In this study the levels of the </w:t>
      </w:r>
      <w:r w:rsidR="008F4E64" w:rsidRPr="005C36F7">
        <w:rPr>
          <w:rFonts w:ascii="Arial" w:hAnsi="Arial" w:cs="Arial"/>
          <w:color w:val="000000" w:themeColor="text1"/>
          <w:sz w:val="22"/>
        </w:rPr>
        <w:t xml:space="preserve">measured chemokines </w:t>
      </w:r>
      <w:r w:rsidR="00A6630B" w:rsidRPr="005C36F7">
        <w:rPr>
          <w:rFonts w:ascii="Arial" w:hAnsi="Arial" w:cs="Arial"/>
          <w:color w:val="000000" w:themeColor="text1"/>
          <w:sz w:val="22"/>
        </w:rPr>
        <w:t xml:space="preserve">MCP1, </w:t>
      </w:r>
      <w:r w:rsidR="008F679A" w:rsidRPr="005C36F7">
        <w:rPr>
          <w:rFonts w:ascii="Arial" w:hAnsi="Arial" w:cs="Arial"/>
          <w:color w:val="000000" w:themeColor="text1"/>
          <w:sz w:val="22"/>
        </w:rPr>
        <w:t>CCL17</w:t>
      </w:r>
      <w:r w:rsidR="00A6630B" w:rsidRPr="005C36F7">
        <w:rPr>
          <w:rFonts w:ascii="Arial" w:hAnsi="Arial" w:cs="Arial"/>
          <w:color w:val="000000" w:themeColor="text1"/>
          <w:sz w:val="22"/>
        </w:rPr>
        <w:t>,</w:t>
      </w:r>
      <w:r w:rsidR="008F679A" w:rsidRPr="005C36F7">
        <w:rPr>
          <w:rFonts w:ascii="Arial" w:hAnsi="Arial" w:cs="Arial"/>
          <w:color w:val="000000" w:themeColor="text1"/>
          <w:sz w:val="22"/>
        </w:rPr>
        <w:t xml:space="preserve"> </w:t>
      </w:r>
      <w:r w:rsidR="003134AB" w:rsidRPr="005C36F7">
        <w:rPr>
          <w:rFonts w:ascii="Arial" w:hAnsi="Arial" w:cs="Arial"/>
          <w:color w:val="000000" w:themeColor="text1"/>
          <w:sz w:val="22"/>
        </w:rPr>
        <w:t xml:space="preserve">and </w:t>
      </w:r>
      <w:r w:rsidR="008F679A" w:rsidRPr="005C36F7">
        <w:rPr>
          <w:rFonts w:ascii="Arial" w:hAnsi="Arial" w:cs="Arial"/>
          <w:color w:val="000000" w:themeColor="text1"/>
          <w:sz w:val="22"/>
        </w:rPr>
        <w:t>CCL18</w:t>
      </w:r>
      <w:r w:rsidR="00A6630B" w:rsidRPr="005C36F7">
        <w:rPr>
          <w:rFonts w:ascii="Arial" w:hAnsi="Arial" w:cs="Arial"/>
          <w:color w:val="000000" w:themeColor="text1"/>
          <w:sz w:val="22"/>
        </w:rPr>
        <w:t xml:space="preserve"> were positively correlated with depression</w:t>
      </w:r>
      <w:r w:rsidR="00D106AA">
        <w:rPr>
          <w:rFonts w:ascii="Arial" w:hAnsi="Arial" w:cs="Arial"/>
          <w:color w:val="000000" w:themeColor="text1"/>
          <w:sz w:val="22"/>
        </w:rPr>
        <w:t xml:space="preserve">. </w:t>
      </w:r>
      <w:r w:rsidR="00067C2B" w:rsidRPr="005C36F7">
        <w:rPr>
          <w:rFonts w:ascii="Arial" w:hAnsi="Arial" w:cs="Arial"/>
          <w:color w:val="000000" w:themeColor="text1"/>
          <w:sz w:val="22"/>
        </w:rPr>
        <w:t>Chemokines and their receptors play an important role in the late inflammatory stage of asthma</w:t>
      </w:r>
      <w:r w:rsidR="00B43B68" w:rsidRPr="005C36F7">
        <w:rPr>
          <w:rFonts w:ascii="Arial" w:hAnsi="Arial" w:cs="Arial"/>
          <w:color w:val="000000" w:themeColor="text1"/>
          <w:sz w:val="22"/>
        </w:rPr>
        <w:t xml:space="preserve"> </w:t>
      </w:r>
      <w:r w:rsidR="00D10C4F" w:rsidRPr="005C36F7">
        <w:rPr>
          <w:rFonts w:ascii="Arial" w:hAnsi="Arial" w:cs="Arial"/>
          <w:color w:val="000000" w:themeColor="text1"/>
          <w:sz w:val="22"/>
        </w:rPr>
        <w:t>(</w:t>
      </w:r>
      <w:r w:rsidR="00067C2B" w:rsidRPr="005C36F7">
        <w:rPr>
          <w:rFonts w:ascii="Arial" w:hAnsi="Arial" w:cs="Arial"/>
          <w:color w:val="000000" w:themeColor="text1"/>
          <w:sz w:val="22"/>
        </w:rPr>
        <w:t>Dhaouadi et al.</w:t>
      </w:r>
      <w:r w:rsidR="000054C3" w:rsidRPr="005C36F7">
        <w:rPr>
          <w:rFonts w:ascii="Arial" w:hAnsi="Arial" w:cs="Arial"/>
          <w:color w:val="000000" w:themeColor="text1"/>
          <w:sz w:val="22"/>
        </w:rPr>
        <w:t>,</w:t>
      </w:r>
      <w:r w:rsidR="00067C2B" w:rsidRPr="005C36F7">
        <w:rPr>
          <w:rFonts w:ascii="Arial" w:hAnsi="Arial" w:cs="Arial"/>
          <w:color w:val="000000" w:themeColor="text1"/>
          <w:sz w:val="22"/>
        </w:rPr>
        <w:t xml:space="preserve"> 2013</w:t>
      </w:r>
      <w:r w:rsidR="00D10C4F" w:rsidRPr="005C36F7">
        <w:rPr>
          <w:rFonts w:ascii="Arial" w:hAnsi="Arial" w:cs="Arial"/>
          <w:color w:val="000000" w:themeColor="text1"/>
          <w:sz w:val="22"/>
        </w:rPr>
        <w:t>).</w:t>
      </w:r>
      <w:r w:rsidR="00067C2B" w:rsidRPr="005C36F7">
        <w:rPr>
          <w:rFonts w:ascii="Arial" w:hAnsi="Arial" w:cs="Arial"/>
          <w:color w:val="000000" w:themeColor="text1"/>
          <w:sz w:val="22"/>
        </w:rPr>
        <w:t xml:space="preserve"> </w:t>
      </w:r>
      <w:r w:rsidR="00B43B68" w:rsidRPr="005C36F7">
        <w:rPr>
          <w:rFonts w:ascii="Arial" w:hAnsi="Arial" w:cs="Arial"/>
          <w:color w:val="000000" w:themeColor="text1"/>
          <w:sz w:val="22"/>
        </w:rPr>
        <w:t>MCP1</w:t>
      </w:r>
      <w:r w:rsidR="00A85520" w:rsidRPr="005C36F7">
        <w:rPr>
          <w:rFonts w:ascii="Arial" w:hAnsi="Arial" w:cs="Arial"/>
          <w:color w:val="000000" w:themeColor="text1"/>
          <w:sz w:val="22"/>
        </w:rPr>
        <w:t xml:space="preserve"> </w:t>
      </w:r>
      <w:r w:rsidR="00067C2B" w:rsidRPr="005C36F7">
        <w:rPr>
          <w:rFonts w:ascii="Arial" w:hAnsi="Arial" w:cs="Arial"/>
          <w:color w:val="000000" w:themeColor="text1"/>
          <w:sz w:val="22"/>
        </w:rPr>
        <w:t>mi</w:t>
      </w:r>
      <w:r w:rsidR="00B43B68" w:rsidRPr="005C36F7">
        <w:rPr>
          <w:rFonts w:ascii="Arial" w:hAnsi="Arial" w:cs="Arial"/>
          <w:color w:val="000000" w:themeColor="text1"/>
          <w:sz w:val="22"/>
        </w:rPr>
        <w:t xml:space="preserve">ght play a </w:t>
      </w:r>
      <w:r w:rsidR="00067C2B" w:rsidRPr="005C36F7">
        <w:rPr>
          <w:rFonts w:ascii="Arial" w:hAnsi="Arial" w:cs="Arial"/>
          <w:color w:val="000000" w:themeColor="text1"/>
          <w:sz w:val="22"/>
        </w:rPr>
        <w:t>significant role in al</w:t>
      </w:r>
      <w:r w:rsidR="00B43B68" w:rsidRPr="005C36F7">
        <w:rPr>
          <w:rFonts w:ascii="Arial" w:hAnsi="Arial" w:cs="Arial"/>
          <w:color w:val="000000" w:themeColor="text1"/>
          <w:sz w:val="22"/>
        </w:rPr>
        <w:t xml:space="preserve">lergic responses because of its </w:t>
      </w:r>
      <w:r w:rsidR="00067C2B" w:rsidRPr="005C36F7">
        <w:rPr>
          <w:rFonts w:ascii="Arial" w:hAnsi="Arial" w:cs="Arial"/>
          <w:color w:val="000000" w:themeColor="text1"/>
          <w:sz w:val="22"/>
        </w:rPr>
        <w:t>ability to induce mast cel</w:t>
      </w:r>
      <w:r w:rsidR="00B43B68" w:rsidRPr="005C36F7">
        <w:rPr>
          <w:rFonts w:ascii="Arial" w:hAnsi="Arial" w:cs="Arial"/>
          <w:color w:val="000000" w:themeColor="text1"/>
          <w:sz w:val="22"/>
        </w:rPr>
        <w:t xml:space="preserve">l activation and leukotriene C4 </w:t>
      </w:r>
      <w:r w:rsidR="00067C2B" w:rsidRPr="005C36F7">
        <w:rPr>
          <w:rFonts w:ascii="Arial" w:hAnsi="Arial" w:cs="Arial"/>
          <w:color w:val="000000" w:themeColor="text1"/>
          <w:sz w:val="22"/>
        </w:rPr>
        <w:t>release into the air</w:t>
      </w:r>
      <w:r w:rsidR="00B43B68" w:rsidRPr="005C36F7">
        <w:rPr>
          <w:rFonts w:ascii="Arial" w:hAnsi="Arial" w:cs="Arial"/>
          <w:color w:val="000000" w:themeColor="text1"/>
          <w:sz w:val="22"/>
        </w:rPr>
        <w:t xml:space="preserve">ways through its receptor CCR2, </w:t>
      </w:r>
      <w:r w:rsidR="00067C2B" w:rsidRPr="005C36F7">
        <w:rPr>
          <w:rFonts w:ascii="Arial" w:hAnsi="Arial" w:cs="Arial"/>
          <w:color w:val="000000" w:themeColor="text1"/>
          <w:sz w:val="22"/>
        </w:rPr>
        <w:t>which directly induces airway hyper-responsiveness</w:t>
      </w:r>
      <w:r w:rsidR="00A85520" w:rsidRPr="005C36F7">
        <w:rPr>
          <w:rFonts w:ascii="Arial" w:hAnsi="Arial" w:cs="Arial"/>
          <w:color w:val="000000" w:themeColor="text1"/>
          <w:sz w:val="22"/>
        </w:rPr>
        <w:t xml:space="preserve"> </w:t>
      </w:r>
      <w:r w:rsidR="00970F88" w:rsidRPr="005C36F7">
        <w:rPr>
          <w:rFonts w:ascii="Arial" w:hAnsi="Arial" w:cs="Arial"/>
          <w:color w:val="000000" w:themeColor="text1"/>
          <w:sz w:val="22"/>
        </w:rPr>
        <w:t>(Campbell et al.</w:t>
      </w:r>
      <w:r w:rsidR="003807E3" w:rsidRPr="005C36F7">
        <w:rPr>
          <w:rFonts w:ascii="Arial" w:hAnsi="Arial" w:cs="Arial"/>
          <w:color w:val="000000" w:themeColor="text1"/>
          <w:sz w:val="22"/>
        </w:rPr>
        <w:t>,</w:t>
      </w:r>
      <w:r w:rsidR="00970F88" w:rsidRPr="005C36F7">
        <w:rPr>
          <w:rFonts w:ascii="Arial" w:hAnsi="Arial" w:cs="Arial"/>
          <w:color w:val="000000" w:themeColor="text1"/>
          <w:sz w:val="22"/>
        </w:rPr>
        <w:t xml:space="preserve"> 1999)</w:t>
      </w:r>
      <w:r w:rsidR="00067C2B" w:rsidRPr="005C36F7">
        <w:rPr>
          <w:rFonts w:ascii="Arial" w:hAnsi="Arial" w:cs="Arial"/>
          <w:color w:val="000000" w:themeColor="text1"/>
          <w:sz w:val="22"/>
        </w:rPr>
        <w:t>.</w:t>
      </w:r>
      <w:r w:rsidR="008F679A" w:rsidRPr="005C36F7">
        <w:rPr>
          <w:rFonts w:ascii="Arial" w:hAnsi="Arial" w:cs="Arial"/>
          <w:color w:val="000000" w:themeColor="text1"/>
          <w:sz w:val="22"/>
        </w:rPr>
        <w:t xml:space="preserve"> </w:t>
      </w:r>
      <w:r w:rsidR="00A85520" w:rsidRPr="005C36F7">
        <w:rPr>
          <w:rFonts w:ascii="Arial" w:hAnsi="Arial" w:cs="Arial"/>
          <w:color w:val="000000" w:themeColor="text1"/>
          <w:sz w:val="22"/>
        </w:rPr>
        <w:t>It</w:t>
      </w:r>
      <w:r w:rsidR="008F679A" w:rsidRPr="005C36F7">
        <w:rPr>
          <w:rFonts w:ascii="Arial" w:hAnsi="Arial" w:cs="Arial"/>
          <w:color w:val="000000" w:themeColor="text1"/>
          <w:sz w:val="22"/>
        </w:rPr>
        <w:t xml:space="preserve"> </w:t>
      </w:r>
      <w:r w:rsidR="00A85520" w:rsidRPr="005C36F7">
        <w:rPr>
          <w:rFonts w:ascii="Arial" w:hAnsi="Arial" w:cs="Arial"/>
          <w:color w:val="000000" w:themeColor="text1"/>
          <w:sz w:val="22"/>
        </w:rPr>
        <w:t xml:space="preserve">is also expressed in highly regionalized neuronal areas in the brain, </w:t>
      </w:r>
      <w:r w:rsidR="008F4E64" w:rsidRPr="005C36F7">
        <w:rPr>
          <w:rFonts w:ascii="Arial" w:hAnsi="Arial" w:cs="Arial"/>
          <w:color w:val="000000" w:themeColor="text1"/>
          <w:sz w:val="22"/>
        </w:rPr>
        <w:t>modulating</w:t>
      </w:r>
      <w:r w:rsidR="00A85520" w:rsidRPr="005C36F7">
        <w:rPr>
          <w:rFonts w:ascii="Arial" w:hAnsi="Arial" w:cs="Arial"/>
          <w:color w:val="000000" w:themeColor="text1"/>
          <w:sz w:val="22"/>
        </w:rPr>
        <w:t xml:space="preserve"> neuronal activity and neuroendocrine functions commonly seen in patients with </w:t>
      </w:r>
      <w:r w:rsidR="008A43EE" w:rsidRPr="005C36F7">
        <w:rPr>
          <w:rFonts w:ascii="Arial" w:hAnsi="Arial" w:cs="Arial"/>
          <w:color w:val="000000" w:themeColor="text1"/>
          <w:sz w:val="22"/>
        </w:rPr>
        <w:t>depression</w:t>
      </w:r>
      <w:r w:rsidR="00A85520" w:rsidRPr="005C36F7">
        <w:rPr>
          <w:rFonts w:ascii="Arial" w:hAnsi="Arial" w:cs="Arial"/>
          <w:color w:val="000000" w:themeColor="text1"/>
          <w:sz w:val="22"/>
        </w:rPr>
        <w:t xml:space="preserve">. Additionally, it is involved in the control of other cytokines associated with the development of </w:t>
      </w:r>
      <w:r w:rsidR="008A43EE" w:rsidRPr="005C36F7">
        <w:rPr>
          <w:rFonts w:ascii="Arial" w:hAnsi="Arial" w:cs="Arial"/>
          <w:color w:val="000000" w:themeColor="text1"/>
          <w:sz w:val="22"/>
        </w:rPr>
        <w:t xml:space="preserve">depression </w:t>
      </w:r>
      <w:r w:rsidR="00A85520" w:rsidRPr="005C36F7">
        <w:rPr>
          <w:rFonts w:ascii="Arial" w:hAnsi="Arial" w:cs="Arial"/>
          <w:color w:val="000000" w:themeColor="text1"/>
          <w:sz w:val="22"/>
        </w:rPr>
        <w:t>(Pae,</w:t>
      </w:r>
      <w:r w:rsidR="003807E3" w:rsidRPr="005C36F7">
        <w:rPr>
          <w:rFonts w:ascii="Arial" w:hAnsi="Arial" w:cs="Arial"/>
          <w:color w:val="000000" w:themeColor="text1"/>
          <w:sz w:val="22"/>
        </w:rPr>
        <w:t xml:space="preserve"> </w:t>
      </w:r>
      <w:r w:rsidR="00A85520" w:rsidRPr="005C36F7">
        <w:rPr>
          <w:rFonts w:ascii="Arial" w:hAnsi="Arial" w:cs="Arial"/>
          <w:color w:val="000000" w:themeColor="text1"/>
          <w:sz w:val="22"/>
        </w:rPr>
        <w:t>2014).</w:t>
      </w:r>
      <w:r w:rsidR="00E367ED" w:rsidRPr="005C36F7">
        <w:rPr>
          <w:rFonts w:ascii="Arial" w:hAnsi="Arial" w:cs="Arial"/>
          <w:color w:val="000000" w:themeColor="text1"/>
          <w:sz w:val="22"/>
        </w:rPr>
        <w:t xml:space="preserve"> </w:t>
      </w:r>
      <w:r w:rsidR="00321FDC" w:rsidRPr="005C36F7">
        <w:rPr>
          <w:rFonts w:ascii="Arial" w:hAnsi="Arial" w:cs="Arial"/>
          <w:color w:val="000000" w:themeColor="text1"/>
          <w:sz w:val="22"/>
        </w:rPr>
        <w:t>CCL17 is a chemokine produced by myeloid dendritic cells, endothelial cells, bronchial epithelial cells and several tumo</w:t>
      </w:r>
      <w:r w:rsidRPr="005C36F7">
        <w:rPr>
          <w:rFonts w:ascii="Arial" w:hAnsi="Arial" w:cs="Arial"/>
          <w:color w:val="000000" w:themeColor="text1"/>
          <w:sz w:val="22"/>
        </w:rPr>
        <w:t>u</w:t>
      </w:r>
      <w:r w:rsidR="00321FDC" w:rsidRPr="005C36F7">
        <w:rPr>
          <w:rFonts w:ascii="Arial" w:hAnsi="Arial" w:cs="Arial"/>
          <w:color w:val="000000" w:themeColor="text1"/>
          <w:sz w:val="22"/>
        </w:rPr>
        <w:t>r cells</w:t>
      </w:r>
      <w:r w:rsidR="00102F6B" w:rsidRPr="005C36F7">
        <w:rPr>
          <w:rFonts w:ascii="Arial" w:hAnsi="Arial" w:cs="Arial"/>
          <w:color w:val="000000" w:themeColor="text1"/>
          <w:sz w:val="22"/>
        </w:rPr>
        <w:t xml:space="preserve"> </w:t>
      </w:r>
      <w:r w:rsidR="00321FDC" w:rsidRPr="005C36F7">
        <w:rPr>
          <w:rFonts w:ascii="Arial" w:hAnsi="Arial" w:cs="Arial"/>
          <w:color w:val="000000" w:themeColor="text1"/>
          <w:sz w:val="22"/>
        </w:rPr>
        <w:t>(Kumai et al.</w:t>
      </w:r>
      <w:r w:rsidR="00A26152" w:rsidRPr="005C36F7">
        <w:rPr>
          <w:rFonts w:ascii="Arial" w:hAnsi="Arial" w:cs="Arial"/>
          <w:color w:val="000000" w:themeColor="text1"/>
          <w:sz w:val="22"/>
        </w:rPr>
        <w:t>,</w:t>
      </w:r>
      <w:r w:rsidR="00082C67" w:rsidRPr="005C36F7">
        <w:rPr>
          <w:rFonts w:ascii="Arial" w:hAnsi="Arial" w:cs="Arial"/>
          <w:color w:val="000000" w:themeColor="text1"/>
          <w:sz w:val="22"/>
        </w:rPr>
        <w:t xml:space="preserve"> </w:t>
      </w:r>
      <w:r w:rsidR="00321FDC" w:rsidRPr="005C36F7">
        <w:rPr>
          <w:rFonts w:ascii="Arial" w:hAnsi="Arial" w:cs="Arial"/>
          <w:color w:val="000000" w:themeColor="text1"/>
          <w:sz w:val="22"/>
        </w:rPr>
        <w:t>2015)</w:t>
      </w:r>
      <w:r w:rsidR="001F3C0C" w:rsidRPr="005C36F7">
        <w:rPr>
          <w:rFonts w:ascii="Arial" w:hAnsi="Arial" w:cs="Arial"/>
          <w:color w:val="000000" w:themeColor="text1"/>
          <w:sz w:val="22"/>
        </w:rPr>
        <w:t>,</w:t>
      </w:r>
      <w:r w:rsidR="00EA1FA6" w:rsidRPr="005C36F7">
        <w:rPr>
          <w:rFonts w:ascii="Arial" w:hAnsi="Arial" w:cs="Arial"/>
          <w:color w:val="000000" w:themeColor="text1"/>
          <w:sz w:val="22"/>
        </w:rPr>
        <w:t xml:space="preserve"> and</w:t>
      </w:r>
      <w:r w:rsidR="00603FCE" w:rsidRPr="005C36F7">
        <w:rPr>
          <w:rFonts w:ascii="Arial" w:hAnsi="Arial" w:cs="Arial"/>
          <w:color w:val="000000" w:themeColor="text1"/>
          <w:sz w:val="22"/>
        </w:rPr>
        <w:t xml:space="preserve"> </w:t>
      </w:r>
      <w:r w:rsidR="001F3C0C" w:rsidRPr="005C36F7">
        <w:rPr>
          <w:rFonts w:ascii="Arial" w:hAnsi="Arial" w:cs="Arial"/>
          <w:color w:val="000000" w:themeColor="text1"/>
          <w:sz w:val="22"/>
        </w:rPr>
        <w:t>can</w:t>
      </w:r>
      <w:r w:rsidR="00603FCE" w:rsidRPr="005C36F7">
        <w:rPr>
          <w:rFonts w:ascii="Arial" w:hAnsi="Arial" w:cs="Arial"/>
          <w:color w:val="000000" w:themeColor="text1"/>
          <w:sz w:val="22"/>
        </w:rPr>
        <w:t xml:space="preserve"> recruit T cells</w:t>
      </w:r>
      <w:r w:rsidRPr="005C36F7">
        <w:rPr>
          <w:rFonts w:ascii="Arial" w:hAnsi="Arial" w:cs="Arial"/>
          <w:color w:val="000000" w:themeColor="text1"/>
          <w:sz w:val="22"/>
        </w:rPr>
        <w:t xml:space="preserve">, in </w:t>
      </w:r>
      <w:r w:rsidR="00603FCE" w:rsidRPr="005C36F7">
        <w:rPr>
          <w:rFonts w:ascii="Arial" w:hAnsi="Arial" w:cs="Arial"/>
          <w:color w:val="000000" w:themeColor="text1"/>
          <w:sz w:val="22"/>
        </w:rPr>
        <w:t>particular Th2 cells</w:t>
      </w:r>
      <w:r w:rsidRPr="005C36F7">
        <w:rPr>
          <w:rFonts w:ascii="Arial" w:hAnsi="Arial" w:cs="Arial"/>
          <w:color w:val="000000" w:themeColor="text1"/>
          <w:sz w:val="22"/>
        </w:rPr>
        <w:t>,</w:t>
      </w:r>
      <w:r w:rsidR="00603FCE" w:rsidRPr="005C36F7">
        <w:rPr>
          <w:rFonts w:ascii="Arial" w:hAnsi="Arial" w:cs="Arial"/>
          <w:color w:val="000000" w:themeColor="text1"/>
          <w:sz w:val="22"/>
        </w:rPr>
        <w:t xml:space="preserve"> and </w:t>
      </w:r>
      <w:r w:rsidRPr="005C36F7">
        <w:rPr>
          <w:rFonts w:ascii="Arial" w:hAnsi="Arial" w:cs="Arial"/>
          <w:color w:val="000000" w:themeColor="text1"/>
          <w:sz w:val="22"/>
        </w:rPr>
        <w:t xml:space="preserve">to </w:t>
      </w:r>
      <w:r w:rsidR="00603FCE" w:rsidRPr="005C36F7">
        <w:rPr>
          <w:rFonts w:ascii="Arial" w:hAnsi="Arial" w:cs="Arial"/>
          <w:color w:val="000000" w:themeColor="text1"/>
          <w:sz w:val="22"/>
        </w:rPr>
        <w:t>activate other antigen-presenting cells.</w:t>
      </w:r>
      <w:r w:rsidR="00EA1FA6" w:rsidRPr="005C36F7">
        <w:rPr>
          <w:rFonts w:ascii="Arial" w:hAnsi="Arial" w:cs="Arial"/>
          <w:color w:val="000000" w:themeColor="text1"/>
          <w:sz w:val="22"/>
        </w:rPr>
        <w:t xml:space="preserve"> It can trigger secondary inflammatory events, aggravating asthma pathogenesis</w:t>
      </w:r>
      <w:r w:rsidR="00102F6B" w:rsidRPr="005C36F7">
        <w:rPr>
          <w:rFonts w:ascii="Arial" w:hAnsi="Arial" w:cs="Arial"/>
          <w:color w:val="000000" w:themeColor="text1"/>
          <w:sz w:val="22"/>
        </w:rPr>
        <w:t xml:space="preserve"> </w:t>
      </w:r>
      <w:r w:rsidR="00EA1FA6" w:rsidRPr="005C36F7">
        <w:rPr>
          <w:rFonts w:ascii="Arial" w:hAnsi="Arial" w:cs="Arial"/>
          <w:color w:val="000000" w:themeColor="text1"/>
          <w:sz w:val="22"/>
        </w:rPr>
        <w:t>(Jo et al.</w:t>
      </w:r>
      <w:r w:rsidR="00D05888" w:rsidRPr="005C36F7">
        <w:rPr>
          <w:rFonts w:ascii="Arial" w:hAnsi="Arial" w:cs="Arial"/>
          <w:color w:val="000000" w:themeColor="text1"/>
          <w:sz w:val="22"/>
        </w:rPr>
        <w:t xml:space="preserve">, </w:t>
      </w:r>
      <w:r w:rsidR="00EA1FA6" w:rsidRPr="005C36F7">
        <w:rPr>
          <w:rFonts w:ascii="Arial" w:hAnsi="Arial" w:cs="Arial"/>
          <w:color w:val="000000" w:themeColor="text1"/>
          <w:sz w:val="22"/>
        </w:rPr>
        <w:t xml:space="preserve">2018). </w:t>
      </w:r>
      <w:r w:rsidR="00E367ED" w:rsidRPr="005C36F7">
        <w:rPr>
          <w:rFonts w:ascii="Arial" w:hAnsi="Arial" w:cs="Arial"/>
          <w:color w:val="000000" w:themeColor="text1"/>
          <w:sz w:val="22"/>
        </w:rPr>
        <w:t>CCL18</w:t>
      </w:r>
      <w:r w:rsidR="00267825" w:rsidRPr="005C36F7">
        <w:rPr>
          <w:rFonts w:ascii="Arial" w:hAnsi="Arial" w:cs="Arial"/>
          <w:color w:val="000000" w:themeColor="text1"/>
          <w:sz w:val="22"/>
        </w:rPr>
        <w:t xml:space="preserve"> is a chemokine preferentially expressed in the lung, secreted by APCs, induced by Th2-type cytokines</w:t>
      </w:r>
      <w:r w:rsidR="007E273A" w:rsidRPr="005C36F7">
        <w:rPr>
          <w:rFonts w:ascii="Arial" w:hAnsi="Arial" w:cs="Arial"/>
          <w:color w:val="000000" w:themeColor="text1"/>
          <w:sz w:val="22"/>
        </w:rPr>
        <w:t xml:space="preserve"> </w:t>
      </w:r>
      <w:r w:rsidR="00267825" w:rsidRPr="005C36F7">
        <w:rPr>
          <w:rFonts w:ascii="Arial" w:hAnsi="Arial" w:cs="Arial"/>
          <w:color w:val="000000" w:themeColor="text1"/>
          <w:sz w:val="22"/>
        </w:rPr>
        <w:t>(de Nadaı et al.,</w:t>
      </w:r>
      <w:r w:rsidR="00082C67" w:rsidRPr="005C36F7">
        <w:rPr>
          <w:rFonts w:ascii="Arial" w:hAnsi="Arial" w:cs="Arial"/>
          <w:color w:val="000000" w:themeColor="text1"/>
          <w:sz w:val="22"/>
        </w:rPr>
        <w:t xml:space="preserve"> </w:t>
      </w:r>
      <w:r w:rsidR="00267825" w:rsidRPr="005C36F7">
        <w:rPr>
          <w:rFonts w:ascii="Arial" w:hAnsi="Arial" w:cs="Arial"/>
          <w:color w:val="000000" w:themeColor="text1"/>
          <w:sz w:val="22"/>
        </w:rPr>
        <w:t>2006).</w:t>
      </w:r>
      <w:r w:rsidR="008F4E64" w:rsidRPr="005C36F7">
        <w:rPr>
          <w:rFonts w:ascii="Arial" w:hAnsi="Arial" w:cs="Arial"/>
          <w:color w:val="000000" w:themeColor="text1"/>
          <w:sz w:val="22"/>
        </w:rPr>
        <w:t xml:space="preserve"> </w:t>
      </w:r>
      <w:r w:rsidR="00267825" w:rsidRPr="005C36F7">
        <w:rPr>
          <w:rFonts w:ascii="Arial" w:hAnsi="Arial" w:cs="Arial"/>
          <w:color w:val="000000" w:themeColor="text1"/>
          <w:sz w:val="22"/>
        </w:rPr>
        <w:t xml:space="preserve">It </w:t>
      </w:r>
      <w:r w:rsidR="008F4E64" w:rsidRPr="005C36F7">
        <w:rPr>
          <w:rFonts w:ascii="Arial" w:hAnsi="Arial" w:cs="Arial"/>
          <w:color w:val="000000" w:themeColor="text1"/>
          <w:sz w:val="22"/>
        </w:rPr>
        <w:t xml:space="preserve">can </w:t>
      </w:r>
      <w:r w:rsidR="00267825" w:rsidRPr="005C36F7">
        <w:rPr>
          <w:rFonts w:ascii="Arial" w:hAnsi="Arial" w:cs="Arial"/>
          <w:color w:val="000000" w:themeColor="text1"/>
          <w:sz w:val="22"/>
        </w:rPr>
        <w:t>exhibit both pro- and anti-inflammatory properties, the latter through its ability to generate adaptive regulatory T cells in healthy subjects, with a loss of function in allergic patients</w:t>
      </w:r>
      <w:r w:rsidR="00082C67" w:rsidRPr="005C36F7">
        <w:rPr>
          <w:rFonts w:ascii="Arial" w:hAnsi="Arial" w:cs="Arial"/>
          <w:color w:val="000000" w:themeColor="text1"/>
          <w:sz w:val="22"/>
        </w:rPr>
        <w:t xml:space="preserve"> </w:t>
      </w:r>
      <w:r w:rsidR="00343D68" w:rsidRPr="005C36F7">
        <w:rPr>
          <w:rFonts w:ascii="Arial" w:hAnsi="Arial" w:cs="Arial"/>
          <w:color w:val="000000" w:themeColor="text1"/>
          <w:sz w:val="22"/>
        </w:rPr>
        <w:t>(</w:t>
      </w:r>
      <w:r w:rsidR="008A7B83" w:rsidRPr="005C36F7">
        <w:rPr>
          <w:rFonts w:ascii="Arial" w:hAnsi="Arial" w:cs="Arial"/>
          <w:color w:val="000000" w:themeColor="text1"/>
          <w:sz w:val="22"/>
        </w:rPr>
        <w:t>Tsicopoulos et al.</w:t>
      </w:r>
      <w:r w:rsidR="00D05888" w:rsidRPr="005C36F7">
        <w:rPr>
          <w:rFonts w:ascii="Arial" w:hAnsi="Arial" w:cs="Arial"/>
          <w:color w:val="000000" w:themeColor="text1"/>
          <w:sz w:val="22"/>
        </w:rPr>
        <w:t>,</w:t>
      </w:r>
      <w:r w:rsidR="008A7B83" w:rsidRPr="005C36F7">
        <w:rPr>
          <w:rFonts w:ascii="Arial" w:hAnsi="Arial" w:cs="Arial"/>
          <w:color w:val="000000" w:themeColor="text1"/>
          <w:sz w:val="22"/>
        </w:rPr>
        <w:t xml:space="preserve"> 2013</w:t>
      </w:r>
      <w:r w:rsidR="00343D68" w:rsidRPr="005C36F7">
        <w:rPr>
          <w:rFonts w:ascii="Arial" w:hAnsi="Arial" w:cs="Arial"/>
          <w:color w:val="000000" w:themeColor="text1"/>
          <w:sz w:val="22"/>
        </w:rPr>
        <w:t>)</w:t>
      </w:r>
      <w:r w:rsidR="00A9673C" w:rsidRPr="005C36F7">
        <w:rPr>
          <w:rFonts w:ascii="Arial" w:hAnsi="Arial" w:cs="Arial"/>
          <w:color w:val="000000" w:themeColor="text1"/>
          <w:sz w:val="22"/>
        </w:rPr>
        <w:t xml:space="preserve">. </w:t>
      </w:r>
      <w:r w:rsidR="00D82921" w:rsidRPr="005C36F7">
        <w:rPr>
          <w:rFonts w:ascii="Arial" w:hAnsi="Arial" w:cs="Arial"/>
          <w:color w:val="000000" w:themeColor="text1"/>
          <w:sz w:val="22"/>
        </w:rPr>
        <w:t xml:space="preserve">As chemokines, CCL17 and CCL18 </w:t>
      </w:r>
      <w:r w:rsidR="00A9673C" w:rsidRPr="005C36F7">
        <w:rPr>
          <w:rFonts w:ascii="Arial" w:hAnsi="Arial" w:cs="Arial"/>
          <w:color w:val="000000" w:themeColor="text1"/>
          <w:sz w:val="22"/>
        </w:rPr>
        <w:t>can also affect</w:t>
      </w:r>
      <w:r w:rsidR="00D82921" w:rsidRPr="005C36F7">
        <w:rPr>
          <w:rFonts w:ascii="Arial" w:hAnsi="Arial" w:cs="Arial"/>
          <w:color w:val="000000" w:themeColor="text1"/>
          <w:sz w:val="22"/>
        </w:rPr>
        <w:t xml:space="preserve"> synaptic transmission and plasticity, neurogenesis, and neuron-glia communication</w:t>
      </w:r>
      <w:r w:rsidR="00082C67" w:rsidRPr="005C36F7">
        <w:rPr>
          <w:rFonts w:ascii="Arial" w:hAnsi="Arial" w:cs="Arial"/>
          <w:color w:val="000000" w:themeColor="text1"/>
          <w:sz w:val="22"/>
        </w:rPr>
        <w:t xml:space="preserve"> </w:t>
      </w:r>
      <w:r w:rsidR="00D82921" w:rsidRPr="005C36F7">
        <w:rPr>
          <w:rFonts w:ascii="Arial" w:hAnsi="Arial" w:cs="Arial"/>
          <w:color w:val="000000" w:themeColor="text1"/>
          <w:sz w:val="22"/>
        </w:rPr>
        <w:t>(</w:t>
      </w:r>
      <w:r w:rsidR="00F23A36" w:rsidRPr="005C36F7">
        <w:rPr>
          <w:rFonts w:ascii="Arial" w:hAnsi="Arial" w:cs="Arial"/>
          <w:color w:val="000000" w:themeColor="text1"/>
          <w:sz w:val="22"/>
        </w:rPr>
        <w:t>Stuart et al.,</w:t>
      </w:r>
      <w:r w:rsidR="00082C67" w:rsidRPr="005C36F7">
        <w:rPr>
          <w:rFonts w:ascii="Arial" w:hAnsi="Arial" w:cs="Arial"/>
          <w:color w:val="000000" w:themeColor="text1"/>
          <w:sz w:val="22"/>
        </w:rPr>
        <w:t xml:space="preserve"> </w:t>
      </w:r>
      <w:r w:rsidR="00F23A36" w:rsidRPr="005C36F7">
        <w:rPr>
          <w:rFonts w:ascii="Arial" w:hAnsi="Arial" w:cs="Arial"/>
          <w:color w:val="000000" w:themeColor="text1"/>
          <w:sz w:val="22"/>
        </w:rPr>
        <w:t>2014; de Jong et al.,</w:t>
      </w:r>
      <w:r w:rsidR="00082C67" w:rsidRPr="005C36F7">
        <w:rPr>
          <w:rFonts w:ascii="Arial" w:hAnsi="Arial" w:cs="Arial"/>
          <w:color w:val="000000" w:themeColor="text1"/>
          <w:sz w:val="22"/>
        </w:rPr>
        <w:t xml:space="preserve"> </w:t>
      </w:r>
      <w:r w:rsidR="00F23A36" w:rsidRPr="005C36F7">
        <w:rPr>
          <w:rFonts w:ascii="Arial" w:hAnsi="Arial" w:cs="Arial"/>
          <w:color w:val="000000" w:themeColor="text1"/>
          <w:sz w:val="22"/>
        </w:rPr>
        <w:t>2008; Heinisch et al.,</w:t>
      </w:r>
      <w:r w:rsidR="00082C67" w:rsidRPr="005C36F7">
        <w:rPr>
          <w:rFonts w:ascii="Arial" w:hAnsi="Arial" w:cs="Arial"/>
          <w:color w:val="000000" w:themeColor="text1"/>
          <w:sz w:val="22"/>
        </w:rPr>
        <w:t xml:space="preserve"> </w:t>
      </w:r>
      <w:r w:rsidR="00F23A36" w:rsidRPr="005C36F7">
        <w:rPr>
          <w:rFonts w:ascii="Arial" w:hAnsi="Arial" w:cs="Arial"/>
          <w:color w:val="000000" w:themeColor="text1"/>
          <w:sz w:val="22"/>
        </w:rPr>
        <w:t>2009; Pujol et al.,</w:t>
      </w:r>
      <w:r w:rsidR="00082C67" w:rsidRPr="005C36F7">
        <w:rPr>
          <w:rFonts w:ascii="Arial" w:hAnsi="Arial" w:cs="Arial"/>
          <w:color w:val="000000" w:themeColor="text1"/>
          <w:sz w:val="22"/>
        </w:rPr>
        <w:t xml:space="preserve"> </w:t>
      </w:r>
      <w:r w:rsidR="00F23A36" w:rsidRPr="005C36F7">
        <w:rPr>
          <w:rFonts w:ascii="Arial" w:hAnsi="Arial" w:cs="Arial"/>
          <w:color w:val="000000" w:themeColor="text1"/>
          <w:sz w:val="22"/>
        </w:rPr>
        <w:t>2005</w:t>
      </w:r>
      <w:r w:rsidR="00D82921" w:rsidRPr="005C36F7">
        <w:rPr>
          <w:rFonts w:ascii="Arial" w:hAnsi="Arial" w:cs="Arial"/>
          <w:color w:val="000000" w:themeColor="text1"/>
          <w:sz w:val="22"/>
        </w:rPr>
        <w:t>).</w:t>
      </w:r>
      <w:r w:rsidR="002B063A" w:rsidRPr="005C36F7">
        <w:rPr>
          <w:rFonts w:ascii="Arial" w:hAnsi="Arial" w:cs="Arial"/>
          <w:color w:val="000000" w:themeColor="text1"/>
          <w:sz w:val="22"/>
        </w:rPr>
        <w:t xml:space="preserve"> The disruption of any of these functions, by activati</w:t>
      </w:r>
      <w:r w:rsidR="003134AB" w:rsidRPr="005C36F7">
        <w:rPr>
          <w:rFonts w:ascii="Arial" w:hAnsi="Arial" w:cs="Arial"/>
          <w:color w:val="000000" w:themeColor="text1"/>
          <w:sz w:val="22"/>
        </w:rPr>
        <w:t xml:space="preserve">ng </w:t>
      </w:r>
      <w:r w:rsidR="00102F6B" w:rsidRPr="005C36F7">
        <w:rPr>
          <w:rFonts w:ascii="Arial" w:hAnsi="Arial" w:cs="Arial"/>
          <w:color w:val="000000" w:themeColor="text1"/>
          <w:sz w:val="22"/>
        </w:rPr>
        <w:t xml:space="preserve">an </w:t>
      </w:r>
      <w:r w:rsidR="002B063A" w:rsidRPr="005C36F7">
        <w:rPr>
          <w:rFonts w:ascii="Arial" w:hAnsi="Arial" w:cs="Arial"/>
          <w:color w:val="000000" w:themeColor="text1"/>
          <w:sz w:val="22"/>
        </w:rPr>
        <w:t xml:space="preserve">inflammatory response, could </w:t>
      </w:r>
      <w:r w:rsidR="00A9673C" w:rsidRPr="005C36F7">
        <w:rPr>
          <w:rFonts w:ascii="Arial" w:hAnsi="Arial" w:cs="Arial"/>
          <w:color w:val="000000" w:themeColor="text1"/>
          <w:sz w:val="22"/>
        </w:rPr>
        <w:t>contribute to</w:t>
      </w:r>
      <w:r w:rsidR="002B063A" w:rsidRPr="005C36F7">
        <w:rPr>
          <w:rFonts w:ascii="Arial" w:hAnsi="Arial" w:cs="Arial"/>
          <w:color w:val="000000" w:themeColor="text1"/>
          <w:sz w:val="22"/>
        </w:rPr>
        <w:t xml:space="preserve"> the pathogenesis of </w:t>
      </w:r>
      <w:r w:rsidR="008A43EE" w:rsidRPr="005C36F7">
        <w:rPr>
          <w:rFonts w:ascii="Arial" w:hAnsi="Arial" w:cs="Arial"/>
          <w:color w:val="000000" w:themeColor="text1"/>
          <w:sz w:val="22"/>
        </w:rPr>
        <w:t xml:space="preserve">depression </w:t>
      </w:r>
      <w:r w:rsidR="002B063A" w:rsidRPr="005C36F7">
        <w:rPr>
          <w:rFonts w:ascii="Arial" w:hAnsi="Arial" w:cs="Arial"/>
          <w:color w:val="000000" w:themeColor="text1"/>
          <w:sz w:val="22"/>
        </w:rPr>
        <w:t>(Milenkovic et al.,</w:t>
      </w:r>
      <w:r w:rsidR="00060CDB" w:rsidRPr="005C36F7">
        <w:rPr>
          <w:rFonts w:ascii="Arial" w:hAnsi="Arial" w:cs="Arial"/>
          <w:color w:val="000000" w:themeColor="text1"/>
          <w:sz w:val="22"/>
        </w:rPr>
        <w:t xml:space="preserve"> </w:t>
      </w:r>
      <w:r w:rsidR="002B063A" w:rsidRPr="005C36F7">
        <w:rPr>
          <w:rFonts w:ascii="Arial" w:hAnsi="Arial" w:cs="Arial"/>
          <w:color w:val="000000" w:themeColor="text1"/>
          <w:sz w:val="22"/>
        </w:rPr>
        <w:t>2019).</w:t>
      </w:r>
      <w:r w:rsidR="00493B1A">
        <w:rPr>
          <w:rFonts w:ascii="Arial" w:hAnsi="Arial" w:cs="Arial"/>
          <w:color w:val="000000" w:themeColor="text1"/>
          <w:sz w:val="22"/>
        </w:rPr>
        <w:t xml:space="preserve"> </w:t>
      </w:r>
      <w:r w:rsidR="00CE3301">
        <w:rPr>
          <w:rFonts w:ascii="Arial" w:hAnsi="Arial" w:cs="Arial"/>
          <w:color w:val="000000" w:themeColor="text1"/>
          <w:sz w:val="22"/>
        </w:rPr>
        <w:t xml:space="preserve">However, </w:t>
      </w:r>
      <w:r w:rsidR="001D6D43">
        <w:rPr>
          <w:rFonts w:ascii="Arial" w:hAnsi="Arial" w:cs="Arial"/>
          <w:color w:val="000000" w:themeColor="text1"/>
          <w:sz w:val="22"/>
        </w:rPr>
        <w:t xml:space="preserve">the </w:t>
      </w:r>
      <w:r w:rsidR="006E5830" w:rsidRPr="006E5830">
        <w:rPr>
          <w:rFonts w:ascii="Arial" w:hAnsi="Arial" w:cs="Arial"/>
          <w:color w:val="000000" w:themeColor="text1"/>
          <w:sz w:val="22"/>
        </w:rPr>
        <w:t xml:space="preserve">negative correlation between FeNO and </w:t>
      </w:r>
      <w:r w:rsidR="0053719B">
        <w:rPr>
          <w:rFonts w:ascii="Arial" w:hAnsi="Arial" w:cs="Arial"/>
          <w:color w:val="000000" w:themeColor="text1"/>
          <w:sz w:val="22"/>
        </w:rPr>
        <w:t xml:space="preserve">the </w:t>
      </w:r>
      <w:r w:rsidR="006E5830" w:rsidRPr="006E5830">
        <w:rPr>
          <w:rFonts w:ascii="Arial" w:hAnsi="Arial" w:cs="Arial"/>
          <w:color w:val="000000" w:themeColor="text1"/>
          <w:sz w:val="22"/>
        </w:rPr>
        <w:t xml:space="preserve">depression score in </w:t>
      </w:r>
      <w:r w:rsidR="00F10980">
        <w:rPr>
          <w:rFonts w:ascii="Arial" w:hAnsi="Arial" w:cs="Arial"/>
          <w:color w:val="000000" w:themeColor="text1"/>
          <w:sz w:val="22"/>
        </w:rPr>
        <w:t>severe</w:t>
      </w:r>
      <w:r w:rsidR="006E5830" w:rsidRPr="006E5830">
        <w:rPr>
          <w:rFonts w:ascii="Arial" w:hAnsi="Arial" w:cs="Arial"/>
          <w:color w:val="000000" w:themeColor="text1"/>
          <w:sz w:val="22"/>
        </w:rPr>
        <w:t xml:space="preserve"> </w:t>
      </w:r>
      <w:r w:rsidR="00551685">
        <w:rPr>
          <w:rFonts w:ascii="Arial" w:hAnsi="Arial" w:cs="Arial"/>
          <w:color w:val="000000" w:themeColor="text1"/>
          <w:sz w:val="22"/>
        </w:rPr>
        <w:t xml:space="preserve">and </w:t>
      </w:r>
      <w:r w:rsidR="006E5830" w:rsidRPr="006E5830">
        <w:rPr>
          <w:rFonts w:ascii="Arial" w:hAnsi="Arial" w:cs="Arial"/>
          <w:color w:val="000000" w:themeColor="text1"/>
          <w:sz w:val="22"/>
        </w:rPr>
        <w:t>smoking asthma patients</w:t>
      </w:r>
      <w:r w:rsidR="00013BAC">
        <w:rPr>
          <w:rFonts w:ascii="Arial" w:hAnsi="Arial" w:cs="Arial"/>
          <w:color w:val="000000" w:themeColor="text1"/>
          <w:sz w:val="22"/>
        </w:rPr>
        <w:t xml:space="preserve"> </w:t>
      </w:r>
      <w:r w:rsidR="00494E99">
        <w:rPr>
          <w:rFonts w:ascii="Arial" w:hAnsi="Arial" w:cs="Arial"/>
          <w:color w:val="000000" w:themeColor="text1"/>
          <w:sz w:val="22"/>
        </w:rPr>
        <w:t>suggests</w:t>
      </w:r>
      <w:r w:rsidR="008C0704">
        <w:rPr>
          <w:rFonts w:ascii="Arial" w:hAnsi="Arial" w:cs="Arial"/>
          <w:color w:val="000000" w:themeColor="text1"/>
          <w:sz w:val="22"/>
        </w:rPr>
        <w:t xml:space="preserve"> </w:t>
      </w:r>
      <w:r w:rsidR="007746F8">
        <w:rPr>
          <w:rFonts w:ascii="Arial" w:hAnsi="Arial" w:cs="Arial"/>
          <w:color w:val="000000" w:themeColor="text1"/>
          <w:sz w:val="22"/>
        </w:rPr>
        <w:t xml:space="preserve">that </w:t>
      </w:r>
      <w:r w:rsidR="001D6D43">
        <w:rPr>
          <w:rFonts w:ascii="Arial" w:hAnsi="Arial" w:cs="Arial"/>
          <w:color w:val="000000" w:themeColor="text1"/>
          <w:sz w:val="22"/>
        </w:rPr>
        <w:t xml:space="preserve">the </w:t>
      </w:r>
      <w:r w:rsidR="008B4D86">
        <w:rPr>
          <w:rFonts w:ascii="Arial" w:hAnsi="Arial" w:cs="Arial"/>
          <w:color w:val="000000" w:themeColor="text1"/>
          <w:sz w:val="22"/>
        </w:rPr>
        <w:t xml:space="preserve">airway </w:t>
      </w:r>
      <w:r w:rsidR="00282AD1">
        <w:rPr>
          <w:rFonts w:ascii="Arial" w:hAnsi="Arial" w:cs="Arial"/>
          <w:color w:val="000000" w:themeColor="text1"/>
          <w:sz w:val="22"/>
        </w:rPr>
        <w:t>obstruction</w:t>
      </w:r>
      <w:r w:rsidR="008B4D86">
        <w:rPr>
          <w:rFonts w:ascii="Arial" w:hAnsi="Arial" w:cs="Arial"/>
          <w:color w:val="000000" w:themeColor="text1"/>
          <w:sz w:val="22"/>
        </w:rPr>
        <w:t xml:space="preserve"> alone </w:t>
      </w:r>
      <w:r w:rsidR="00282AD1">
        <w:rPr>
          <w:rFonts w:ascii="Arial" w:hAnsi="Arial" w:cs="Arial"/>
          <w:color w:val="000000" w:themeColor="text1"/>
          <w:sz w:val="22"/>
        </w:rPr>
        <w:t xml:space="preserve">may not be </w:t>
      </w:r>
      <w:r w:rsidR="007746F8">
        <w:rPr>
          <w:rFonts w:ascii="Arial" w:hAnsi="Arial" w:cs="Arial"/>
          <w:color w:val="000000" w:themeColor="text1"/>
          <w:sz w:val="22"/>
        </w:rPr>
        <w:t>associated with depression in this cohort.</w:t>
      </w:r>
      <w:r w:rsidR="00476385">
        <w:rPr>
          <w:rFonts w:ascii="Arial" w:hAnsi="Arial" w:cs="Arial"/>
          <w:color w:val="000000" w:themeColor="text1"/>
          <w:sz w:val="22"/>
        </w:rPr>
        <w:t xml:space="preserve"> Further </w:t>
      </w:r>
      <w:r w:rsidR="00EF2D18">
        <w:rPr>
          <w:rFonts w:ascii="Arial" w:hAnsi="Arial" w:cs="Arial"/>
          <w:color w:val="000000" w:themeColor="text1"/>
          <w:sz w:val="22"/>
        </w:rPr>
        <w:t>research</w:t>
      </w:r>
      <w:r w:rsidR="00476385">
        <w:rPr>
          <w:rFonts w:ascii="Arial" w:hAnsi="Arial" w:cs="Arial"/>
          <w:color w:val="000000" w:themeColor="text1"/>
          <w:sz w:val="22"/>
        </w:rPr>
        <w:t xml:space="preserve"> is needed to explore and confirm these findings</w:t>
      </w:r>
      <w:r w:rsidR="00223C79">
        <w:rPr>
          <w:rFonts w:ascii="Arial" w:hAnsi="Arial" w:cs="Arial"/>
          <w:color w:val="000000" w:themeColor="text1"/>
          <w:sz w:val="22"/>
        </w:rPr>
        <w:t>.</w:t>
      </w:r>
    </w:p>
    <w:p w14:paraId="023CE3C0" w14:textId="3F610C3D" w:rsidR="00E14424" w:rsidRPr="005C36F7" w:rsidRDefault="009503B4" w:rsidP="00046F06">
      <w:pPr>
        <w:ind w:firstLine="432"/>
        <w:rPr>
          <w:rFonts w:ascii="Arial" w:hAnsi="Arial" w:cs="Arial"/>
          <w:color w:val="000000" w:themeColor="text1"/>
          <w:sz w:val="22"/>
        </w:rPr>
      </w:pPr>
      <w:r w:rsidRPr="005C36F7">
        <w:rPr>
          <w:rFonts w:ascii="Arial" w:hAnsi="Arial" w:cs="Arial"/>
          <w:color w:val="000000" w:themeColor="text1"/>
          <w:sz w:val="22"/>
        </w:rPr>
        <w:t xml:space="preserve">With respect to anxiety, we found </w:t>
      </w:r>
      <w:r w:rsidR="00102F6B" w:rsidRPr="005C36F7">
        <w:rPr>
          <w:rFonts w:ascii="Arial" w:hAnsi="Arial" w:cs="Arial"/>
          <w:color w:val="000000" w:themeColor="text1"/>
          <w:sz w:val="22"/>
        </w:rPr>
        <w:t xml:space="preserve">that </w:t>
      </w:r>
      <w:r w:rsidR="00F17CDD" w:rsidRPr="005C36F7">
        <w:rPr>
          <w:rFonts w:ascii="Arial" w:hAnsi="Arial" w:cs="Arial"/>
          <w:color w:val="000000" w:themeColor="text1"/>
          <w:sz w:val="22"/>
        </w:rPr>
        <w:t>only CCL17 level</w:t>
      </w:r>
      <w:r w:rsidR="00102F6B" w:rsidRPr="005C36F7">
        <w:rPr>
          <w:rFonts w:ascii="Arial" w:hAnsi="Arial" w:cs="Arial"/>
          <w:color w:val="000000" w:themeColor="text1"/>
          <w:sz w:val="22"/>
        </w:rPr>
        <w:t>s</w:t>
      </w:r>
      <w:r w:rsidR="00F17CDD" w:rsidRPr="005C36F7">
        <w:rPr>
          <w:rFonts w:ascii="Arial" w:hAnsi="Arial" w:cs="Arial"/>
          <w:color w:val="000000" w:themeColor="text1"/>
          <w:sz w:val="22"/>
        </w:rPr>
        <w:t xml:space="preserve"> </w:t>
      </w:r>
      <w:r w:rsidR="00102F6B" w:rsidRPr="005C36F7">
        <w:rPr>
          <w:rFonts w:ascii="Arial" w:hAnsi="Arial" w:cs="Arial"/>
          <w:color w:val="000000" w:themeColor="text1"/>
          <w:sz w:val="22"/>
        </w:rPr>
        <w:t xml:space="preserve">were </w:t>
      </w:r>
      <w:r w:rsidR="00F17CDD" w:rsidRPr="005C36F7">
        <w:rPr>
          <w:rFonts w:ascii="Arial" w:hAnsi="Arial" w:cs="Arial"/>
          <w:color w:val="000000" w:themeColor="text1"/>
          <w:sz w:val="22"/>
        </w:rPr>
        <w:t>positively correlated with anxiety level</w:t>
      </w:r>
      <w:r w:rsidR="00102F6B" w:rsidRPr="005C36F7">
        <w:rPr>
          <w:rFonts w:ascii="Arial" w:hAnsi="Arial" w:cs="Arial"/>
          <w:color w:val="000000" w:themeColor="text1"/>
          <w:sz w:val="22"/>
        </w:rPr>
        <w:t>s</w:t>
      </w:r>
      <w:r w:rsidR="00F17CDD" w:rsidRPr="005C36F7">
        <w:rPr>
          <w:rFonts w:ascii="Arial" w:hAnsi="Arial" w:cs="Arial"/>
          <w:color w:val="000000" w:themeColor="text1"/>
          <w:sz w:val="22"/>
        </w:rPr>
        <w:t xml:space="preserve">. </w:t>
      </w:r>
      <w:r w:rsidR="00F3602E" w:rsidRPr="005C36F7">
        <w:rPr>
          <w:rFonts w:ascii="Arial" w:hAnsi="Arial" w:cs="Arial"/>
          <w:color w:val="000000" w:themeColor="text1"/>
          <w:sz w:val="22"/>
        </w:rPr>
        <w:t xml:space="preserve">Recent </w:t>
      </w:r>
      <w:r w:rsidR="00A9673C" w:rsidRPr="005C36F7">
        <w:rPr>
          <w:rFonts w:ascii="Arial" w:hAnsi="Arial" w:cs="Arial"/>
          <w:color w:val="000000" w:themeColor="text1"/>
          <w:sz w:val="22"/>
        </w:rPr>
        <w:t xml:space="preserve">evidence suggests </w:t>
      </w:r>
      <w:r w:rsidR="00F3602E" w:rsidRPr="005C36F7">
        <w:rPr>
          <w:rFonts w:ascii="Arial" w:hAnsi="Arial" w:cs="Arial"/>
          <w:color w:val="000000" w:themeColor="text1"/>
          <w:sz w:val="22"/>
        </w:rPr>
        <w:t xml:space="preserve">that </w:t>
      </w:r>
      <w:r w:rsidR="00C00BA2" w:rsidRPr="005C36F7">
        <w:rPr>
          <w:rFonts w:ascii="Arial" w:hAnsi="Arial" w:cs="Arial"/>
          <w:color w:val="000000" w:themeColor="text1"/>
          <w:sz w:val="22"/>
        </w:rPr>
        <w:t>c</w:t>
      </w:r>
      <w:r w:rsidR="00F3602E" w:rsidRPr="005C36F7">
        <w:rPr>
          <w:rFonts w:ascii="Arial" w:hAnsi="Arial" w:cs="Arial"/>
          <w:color w:val="000000" w:themeColor="text1"/>
          <w:sz w:val="22"/>
        </w:rPr>
        <w:t xml:space="preserve">hemokines and their receptors </w:t>
      </w:r>
      <w:r w:rsidR="00A9673C" w:rsidRPr="005C36F7">
        <w:rPr>
          <w:rFonts w:ascii="Arial" w:hAnsi="Arial" w:cs="Arial"/>
          <w:color w:val="000000" w:themeColor="text1"/>
          <w:sz w:val="22"/>
        </w:rPr>
        <w:t>are</w:t>
      </w:r>
      <w:r w:rsidR="00F3602E" w:rsidRPr="005C36F7">
        <w:rPr>
          <w:rFonts w:ascii="Arial" w:hAnsi="Arial" w:cs="Arial"/>
          <w:color w:val="000000" w:themeColor="text1"/>
          <w:sz w:val="22"/>
        </w:rPr>
        <w:t xml:space="preserve"> the key regulators of immune cell trafficking and activation </w:t>
      </w:r>
      <w:r w:rsidR="00A9673C" w:rsidRPr="005C36F7">
        <w:rPr>
          <w:rFonts w:ascii="Arial" w:hAnsi="Arial" w:cs="Arial"/>
          <w:color w:val="000000" w:themeColor="text1"/>
          <w:sz w:val="22"/>
        </w:rPr>
        <w:t>which lead to</w:t>
      </w:r>
      <w:r w:rsidR="00F3602E" w:rsidRPr="005C36F7">
        <w:rPr>
          <w:rFonts w:ascii="Arial" w:hAnsi="Arial" w:cs="Arial"/>
          <w:color w:val="000000" w:themeColor="text1"/>
          <w:sz w:val="22"/>
        </w:rPr>
        <w:t xml:space="preserve"> pathophysiological </w:t>
      </w:r>
      <w:r w:rsidR="00A9673C" w:rsidRPr="005C36F7">
        <w:rPr>
          <w:rFonts w:ascii="Arial" w:hAnsi="Arial" w:cs="Arial"/>
          <w:color w:val="000000" w:themeColor="text1"/>
          <w:sz w:val="22"/>
        </w:rPr>
        <w:t xml:space="preserve">changes </w:t>
      </w:r>
      <w:r w:rsidR="0037295D" w:rsidRPr="005C36F7">
        <w:rPr>
          <w:rFonts w:ascii="Arial" w:hAnsi="Arial" w:cs="Arial"/>
          <w:color w:val="000000" w:themeColor="text1"/>
          <w:sz w:val="22"/>
        </w:rPr>
        <w:t xml:space="preserve">that </w:t>
      </w:r>
      <w:r w:rsidR="00A9673C" w:rsidRPr="005C36F7">
        <w:rPr>
          <w:rFonts w:ascii="Arial" w:hAnsi="Arial" w:cs="Arial"/>
          <w:color w:val="000000" w:themeColor="text1"/>
          <w:sz w:val="22"/>
        </w:rPr>
        <w:t>underly</w:t>
      </w:r>
      <w:r w:rsidR="00F3602E" w:rsidRPr="005C36F7">
        <w:rPr>
          <w:rFonts w:ascii="Arial" w:hAnsi="Arial" w:cs="Arial"/>
          <w:color w:val="000000" w:themeColor="text1"/>
          <w:sz w:val="22"/>
        </w:rPr>
        <w:t xml:space="preserve"> anxiety disorders (</w:t>
      </w:r>
      <w:r w:rsidR="00C00BA2" w:rsidRPr="005C36F7">
        <w:rPr>
          <w:rFonts w:ascii="Arial" w:hAnsi="Arial" w:cs="Arial"/>
          <w:color w:val="000000" w:themeColor="text1"/>
          <w:sz w:val="22"/>
        </w:rPr>
        <w:t>Stuart et al.,</w:t>
      </w:r>
      <w:r w:rsidR="007954FC" w:rsidRPr="005C36F7">
        <w:rPr>
          <w:rFonts w:ascii="Arial" w:hAnsi="Arial" w:cs="Arial"/>
          <w:color w:val="000000" w:themeColor="text1"/>
          <w:sz w:val="22"/>
        </w:rPr>
        <w:t xml:space="preserve"> 2014</w:t>
      </w:r>
      <w:r w:rsidR="00060CDB" w:rsidRPr="005C36F7">
        <w:rPr>
          <w:rFonts w:ascii="Arial" w:hAnsi="Arial" w:cs="Arial"/>
          <w:color w:val="000000" w:themeColor="text1"/>
          <w:sz w:val="22"/>
        </w:rPr>
        <w:t>,</w:t>
      </w:r>
      <w:r w:rsidR="007954FC" w:rsidRPr="005C36F7">
        <w:rPr>
          <w:rFonts w:ascii="Arial" w:hAnsi="Arial" w:cs="Arial"/>
          <w:color w:val="000000" w:themeColor="text1"/>
          <w:sz w:val="22"/>
        </w:rPr>
        <w:t xml:space="preserve"> 2015</w:t>
      </w:r>
      <w:r w:rsidR="00F3602E" w:rsidRPr="005C36F7">
        <w:rPr>
          <w:rFonts w:ascii="Arial" w:hAnsi="Arial" w:cs="Arial"/>
          <w:color w:val="000000" w:themeColor="text1"/>
          <w:sz w:val="22"/>
        </w:rPr>
        <w:t>).</w:t>
      </w:r>
      <w:r w:rsidR="009C3824" w:rsidRPr="005C36F7">
        <w:rPr>
          <w:rFonts w:ascii="Arial" w:hAnsi="Arial" w:cs="Arial"/>
          <w:color w:val="000000" w:themeColor="text1"/>
          <w:sz w:val="22"/>
        </w:rPr>
        <w:t xml:space="preserve"> </w:t>
      </w:r>
      <w:r w:rsidR="00A9673C" w:rsidRPr="005C36F7">
        <w:rPr>
          <w:rFonts w:ascii="Arial" w:hAnsi="Arial" w:cs="Arial"/>
          <w:color w:val="000000" w:themeColor="text1"/>
          <w:sz w:val="22"/>
        </w:rPr>
        <w:t>Evidence from</w:t>
      </w:r>
      <w:r w:rsidR="00A67CAC" w:rsidRPr="005C36F7">
        <w:rPr>
          <w:rFonts w:ascii="Arial" w:hAnsi="Arial" w:cs="Arial"/>
          <w:color w:val="000000" w:themeColor="text1"/>
          <w:sz w:val="22"/>
        </w:rPr>
        <w:t xml:space="preserve"> animal model</w:t>
      </w:r>
      <w:r w:rsidR="00A9673C" w:rsidRPr="005C36F7">
        <w:rPr>
          <w:rFonts w:ascii="Arial" w:hAnsi="Arial" w:cs="Arial"/>
          <w:color w:val="000000" w:themeColor="text1"/>
          <w:sz w:val="22"/>
        </w:rPr>
        <w:t>s</w:t>
      </w:r>
      <w:r w:rsidR="00A67CAC" w:rsidRPr="005C36F7">
        <w:rPr>
          <w:rFonts w:ascii="Arial" w:hAnsi="Arial" w:cs="Arial"/>
          <w:color w:val="000000" w:themeColor="text1"/>
          <w:sz w:val="22"/>
        </w:rPr>
        <w:t xml:space="preserve"> </w:t>
      </w:r>
      <w:r w:rsidR="0037295D" w:rsidRPr="005C36F7">
        <w:rPr>
          <w:rFonts w:ascii="Arial" w:hAnsi="Arial" w:cs="Arial"/>
          <w:color w:val="000000" w:themeColor="text1"/>
          <w:sz w:val="22"/>
        </w:rPr>
        <w:t xml:space="preserve">has shown </w:t>
      </w:r>
      <w:r w:rsidR="003661EF" w:rsidRPr="005C36F7">
        <w:rPr>
          <w:rFonts w:ascii="Arial" w:hAnsi="Arial" w:cs="Arial"/>
          <w:color w:val="000000" w:themeColor="text1"/>
          <w:sz w:val="22"/>
        </w:rPr>
        <w:t>that</w:t>
      </w:r>
      <w:r w:rsidR="0037295D" w:rsidRPr="005C36F7">
        <w:rPr>
          <w:rFonts w:ascii="Arial" w:hAnsi="Arial" w:cs="Arial"/>
          <w:color w:val="000000" w:themeColor="text1"/>
          <w:sz w:val="22"/>
        </w:rPr>
        <w:t>,</w:t>
      </w:r>
      <w:r w:rsidR="003661EF" w:rsidRPr="005C36F7">
        <w:rPr>
          <w:rFonts w:ascii="Arial" w:hAnsi="Arial" w:cs="Arial"/>
          <w:color w:val="000000" w:themeColor="text1"/>
          <w:sz w:val="22"/>
        </w:rPr>
        <w:t xml:space="preserve"> compared to wild type</w:t>
      </w:r>
      <w:r w:rsidR="003134AB" w:rsidRPr="005C36F7">
        <w:rPr>
          <w:rFonts w:ascii="Arial" w:hAnsi="Arial" w:cs="Arial"/>
          <w:color w:val="000000" w:themeColor="text1"/>
          <w:sz w:val="22"/>
        </w:rPr>
        <w:t xml:space="preserve"> </w:t>
      </w:r>
      <w:r w:rsidR="003661EF" w:rsidRPr="005C36F7">
        <w:rPr>
          <w:rFonts w:ascii="Arial" w:hAnsi="Arial" w:cs="Arial"/>
          <w:color w:val="000000" w:themeColor="text1"/>
          <w:sz w:val="22"/>
        </w:rPr>
        <w:t xml:space="preserve">mice, </w:t>
      </w:r>
      <w:r w:rsidR="003D4725" w:rsidRPr="005C36F7">
        <w:rPr>
          <w:rFonts w:ascii="Arial" w:hAnsi="Arial" w:cs="Arial"/>
          <w:color w:val="000000" w:themeColor="text1"/>
          <w:sz w:val="22"/>
        </w:rPr>
        <w:t>CCL17 deficient mice did not show an altered anxiety-related behavio</w:t>
      </w:r>
      <w:r w:rsidR="00F6592A" w:rsidRPr="005C36F7">
        <w:rPr>
          <w:rFonts w:ascii="Arial" w:hAnsi="Arial" w:cs="Arial"/>
          <w:color w:val="000000" w:themeColor="text1"/>
          <w:sz w:val="22"/>
        </w:rPr>
        <w:t>u</w:t>
      </w:r>
      <w:r w:rsidR="003D4725" w:rsidRPr="005C36F7">
        <w:rPr>
          <w:rFonts w:ascii="Arial" w:hAnsi="Arial" w:cs="Arial"/>
          <w:color w:val="000000" w:themeColor="text1"/>
          <w:sz w:val="22"/>
        </w:rPr>
        <w:t xml:space="preserve">r, while </w:t>
      </w:r>
      <w:r w:rsidR="00BC417D" w:rsidRPr="005C36F7">
        <w:rPr>
          <w:rFonts w:ascii="Arial" w:hAnsi="Arial" w:cs="Arial"/>
          <w:color w:val="000000" w:themeColor="text1"/>
          <w:sz w:val="22"/>
        </w:rPr>
        <w:t>CCR4 knockout (CCR4−/−) mice exhibited fewer anxiety related behavio</w:t>
      </w:r>
      <w:r w:rsidR="0037295D" w:rsidRPr="005C36F7">
        <w:rPr>
          <w:rFonts w:ascii="Arial" w:hAnsi="Arial" w:cs="Arial"/>
          <w:color w:val="000000" w:themeColor="text1"/>
          <w:sz w:val="22"/>
        </w:rPr>
        <w:t>u</w:t>
      </w:r>
      <w:r w:rsidR="00BC417D" w:rsidRPr="005C36F7">
        <w:rPr>
          <w:rFonts w:ascii="Arial" w:hAnsi="Arial" w:cs="Arial"/>
          <w:color w:val="000000" w:themeColor="text1"/>
          <w:sz w:val="22"/>
        </w:rPr>
        <w:t>r (Ambrée et al.,</w:t>
      </w:r>
      <w:r w:rsidR="002C2137" w:rsidRPr="005C36F7">
        <w:rPr>
          <w:rFonts w:ascii="Arial" w:hAnsi="Arial" w:cs="Arial"/>
          <w:color w:val="000000" w:themeColor="text1"/>
          <w:sz w:val="22"/>
        </w:rPr>
        <w:t xml:space="preserve"> </w:t>
      </w:r>
      <w:r w:rsidR="00BC417D" w:rsidRPr="005C36F7">
        <w:rPr>
          <w:rFonts w:ascii="Arial" w:hAnsi="Arial" w:cs="Arial"/>
          <w:color w:val="000000" w:themeColor="text1"/>
          <w:sz w:val="22"/>
        </w:rPr>
        <w:t>2016).</w:t>
      </w:r>
      <w:r w:rsidR="00AD2ACC" w:rsidRPr="005C36F7">
        <w:rPr>
          <w:rFonts w:ascii="Arial" w:hAnsi="Arial" w:cs="Arial"/>
          <w:color w:val="000000" w:themeColor="text1"/>
          <w:sz w:val="22"/>
        </w:rPr>
        <w:t xml:space="preserve"> In </w:t>
      </w:r>
      <w:r w:rsidR="003134AB" w:rsidRPr="005C36F7">
        <w:rPr>
          <w:rFonts w:ascii="Arial" w:hAnsi="Arial" w:cs="Arial"/>
          <w:color w:val="000000" w:themeColor="text1"/>
          <w:sz w:val="22"/>
        </w:rPr>
        <w:t>line with previous work</w:t>
      </w:r>
      <w:r w:rsidR="00AD2ACC" w:rsidRPr="005C36F7">
        <w:rPr>
          <w:rFonts w:ascii="Arial" w:hAnsi="Arial" w:cs="Arial"/>
          <w:color w:val="000000" w:themeColor="text1"/>
          <w:sz w:val="22"/>
        </w:rPr>
        <w:t xml:space="preserve">, </w:t>
      </w:r>
      <w:r w:rsidR="000E6862" w:rsidRPr="005C36F7">
        <w:rPr>
          <w:rFonts w:ascii="Arial" w:hAnsi="Arial" w:cs="Arial"/>
          <w:color w:val="000000" w:themeColor="text1"/>
          <w:sz w:val="22"/>
        </w:rPr>
        <w:t xml:space="preserve">the current study further supports the association of </w:t>
      </w:r>
      <w:r w:rsidR="00AD2ACC" w:rsidRPr="005C36F7">
        <w:rPr>
          <w:rFonts w:ascii="Arial" w:hAnsi="Arial" w:cs="Arial"/>
          <w:color w:val="000000" w:themeColor="text1"/>
          <w:sz w:val="22"/>
        </w:rPr>
        <w:t>CCL17</w:t>
      </w:r>
      <w:r w:rsidR="000E6862" w:rsidRPr="005C36F7">
        <w:rPr>
          <w:rFonts w:ascii="Arial" w:hAnsi="Arial" w:cs="Arial"/>
          <w:color w:val="000000" w:themeColor="text1"/>
          <w:sz w:val="22"/>
        </w:rPr>
        <w:t xml:space="preserve"> and anxiety</w:t>
      </w:r>
      <w:r w:rsidR="00AD2ACC" w:rsidRPr="005C36F7">
        <w:rPr>
          <w:rFonts w:ascii="Arial" w:hAnsi="Arial" w:cs="Arial"/>
          <w:color w:val="000000" w:themeColor="text1"/>
          <w:sz w:val="22"/>
        </w:rPr>
        <w:t xml:space="preserve"> in severe asthma</w:t>
      </w:r>
      <w:r w:rsidR="000E6862" w:rsidRPr="005C36F7">
        <w:rPr>
          <w:rFonts w:ascii="Arial" w:hAnsi="Arial" w:cs="Arial"/>
          <w:color w:val="000000" w:themeColor="text1"/>
          <w:sz w:val="22"/>
        </w:rPr>
        <w:t xml:space="preserve"> patients</w:t>
      </w:r>
      <w:r w:rsidR="00361EB8" w:rsidRPr="005C36F7">
        <w:rPr>
          <w:rFonts w:ascii="Arial" w:hAnsi="Arial" w:cs="Arial"/>
          <w:color w:val="000000" w:themeColor="text1"/>
          <w:sz w:val="22"/>
        </w:rPr>
        <w:t xml:space="preserve">. </w:t>
      </w:r>
    </w:p>
    <w:p w14:paraId="7E4F766B" w14:textId="620E4A51" w:rsidR="0037295D" w:rsidRPr="005C36F7" w:rsidRDefault="003F0A08" w:rsidP="004C0A9F">
      <w:pPr>
        <w:ind w:firstLine="432"/>
        <w:rPr>
          <w:rFonts w:ascii="Arial" w:hAnsi="Arial" w:cs="Arial"/>
          <w:color w:val="000000" w:themeColor="text1"/>
          <w:sz w:val="22"/>
        </w:rPr>
      </w:pPr>
      <w:r w:rsidRPr="005C36F7">
        <w:rPr>
          <w:rFonts w:ascii="Arial" w:hAnsi="Arial" w:cs="Arial"/>
          <w:color w:val="000000" w:themeColor="text1"/>
          <w:sz w:val="22"/>
        </w:rPr>
        <w:t xml:space="preserve">However, the findings of the study must be interpreted </w:t>
      </w:r>
      <w:r w:rsidR="001F3C0C" w:rsidRPr="005C36F7">
        <w:rPr>
          <w:rFonts w:ascii="Arial" w:hAnsi="Arial" w:cs="Arial"/>
          <w:color w:val="000000" w:themeColor="text1"/>
          <w:sz w:val="22"/>
        </w:rPr>
        <w:t>considering</w:t>
      </w:r>
      <w:r w:rsidRPr="005C36F7">
        <w:rPr>
          <w:rFonts w:ascii="Arial" w:hAnsi="Arial" w:cs="Arial"/>
          <w:color w:val="000000" w:themeColor="text1"/>
          <w:sz w:val="22"/>
        </w:rPr>
        <w:t xml:space="preserve"> </w:t>
      </w:r>
      <w:r w:rsidR="0037295D" w:rsidRPr="005C36F7">
        <w:rPr>
          <w:rFonts w:ascii="Arial" w:hAnsi="Arial" w:cs="Arial"/>
          <w:color w:val="000000" w:themeColor="text1"/>
          <w:sz w:val="22"/>
        </w:rPr>
        <w:t xml:space="preserve">some </w:t>
      </w:r>
      <w:r w:rsidRPr="005C36F7">
        <w:rPr>
          <w:rFonts w:ascii="Arial" w:hAnsi="Arial" w:cs="Arial"/>
          <w:color w:val="000000" w:themeColor="text1"/>
          <w:sz w:val="22"/>
        </w:rPr>
        <w:t>limitations. First</w:t>
      </w:r>
      <w:r w:rsidR="007C2E5C">
        <w:rPr>
          <w:rFonts w:ascii="Arial" w:hAnsi="Arial" w:cs="Arial"/>
          <w:color w:val="000000" w:themeColor="text1"/>
          <w:sz w:val="22"/>
        </w:rPr>
        <w:t>ly</w:t>
      </w:r>
      <w:r w:rsidRPr="005C36F7">
        <w:rPr>
          <w:rFonts w:ascii="Arial" w:hAnsi="Arial" w:cs="Arial"/>
          <w:color w:val="000000" w:themeColor="text1"/>
          <w:sz w:val="22"/>
        </w:rPr>
        <w:t>,</w:t>
      </w:r>
      <w:r w:rsidR="000F5BE8" w:rsidRPr="005C36F7">
        <w:rPr>
          <w:rFonts w:ascii="Arial" w:hAnsi="Arial" w:cs="Arial"/>
          <w:color w:val="000000" w:themeColor="text1"/>
          <w:sz w:val="22"/>
        </w:rPr>
        <w:t xml:space="preserve"> we only </w:t>
      </w:r>
      <w:r w:rsidR="00E031D4" w:rsidRPr="005C36F7">
        <w:rPr>
          <w:rFonts w:ascii="Arial" w:hAnsi="Arial" w:cs="Arial"/>
          <w:color w:val="000000" w:themeColor="text1"/>
          <w:sz w:val="22"/>
        </w:rPr>
        <w:t>an</w:t>
      </w:r>
      <w:r w:rsidR="00F6592A" w:rsidRPr="005C36F7">
        <w:rPr>
          <w:rFonts w:ascii="Arial" w:hAnsi="Arial" w:cs="Arial"/>
          <w:color w:val="000000" w:themeColor="text1"/>
          <w:sz w:val="22"/>
        </w:rPr>
        <w:t>a</w:t>
      </w:r>
      <w:r w:rsidR="00E031D4" w:rsidRPr="005C36F7">
        <w:rPr>
          <w:rFonts w:ascii="Arial" w:hAnsi="Arial" w:cs="Arial"/>
          <w:color w:val="000000" w:themeColor="text1"/>
          <w:sz w:val="22"/>
        </w:rPr>
        <w:t xml:space="preserve">lysed </w:t>
      </w:r>
      <w:r w:rsidR="0037295D" w:rsidRPr="005C36F7">
        <w:rPr>
          <w:rFonts w:ascii="Arial" w:hAnsi="Arial" w:cs="Arial"/>
          <w:color w:val="000000" w:themeColor="text1"/>
          <w:sz w:val="22"/>
        </w:rPr>
        <w:t xml:space="preserve">a single time-point </w:t>
      </w:r>
      <w:r w:rsidR="001A3540" w:rsidRPr="005C36F7">
        <w:rPr>
          <w:rFonts w:ascii="Arial" w:hAnsi="Arial" w:cs="Arial"/>
          <w:color w:val="000000" w:themeColor="text1"/>
          <w:sz w:val="22"/>
        </w:rPr>
        <w:t>(i.e.</w:t>
      </w:r>
      <w:r w:rsidR="001F3C0C" w:rsidRPr="005C36F7">
        <w:rPr>
          <w:rFonts w:ascii="Arial" w:hAnsi="Arial" w:cs="Arial"/>
          <w:color w:val="000000" w:themeColor="text1"/>
          <w:sz w:val="22"/>
        </w:rPr>
        <w:t> </w:t>
      </w:r>
      <w:r w:rsidR="000F5BE8" w:rsidRPr="005C36F7">
        <w:rPr>
          <w:rFonts w:ascii="Arial" w:hAnsi="Arial" w:cs="Arial"/>
          <w:color w:val="000000" w:themeColor="text1"/>
          <w:sz w:val="22"/>
        </w:rPr>
        <w:t>baseline data</w:t>
      </w:r>
      <w:r w:rsidR="001A3540" w:rsidRPr="005C36F7">
        <w:rPr>
          <w:rFonts w:ascii="Arial" w:hAnsi="Arial" w:cs="Arial"/>
          <w:color w:val="000000" w:themeColor="text1"/>
          <w:sz w:val="22"/>
        </w:rPr>
        <w:t>)</w:t>
      </w:r>
      <w:r w:rsidR="000F5BE8" w:rsidRPr="005C36F7">
        <w:rPr>
          <w:rFonts w:ascii="Arial" w:hAnsi="Arial" w:cs="Arial"/>
          <w:color w:val="000000" w:themeColor="text1"/>
          <w:sz w:val="22"/>
        </w:rPr>
        <w:t xml:space="preserve"> </w:t>
      </w:r>
      <w:r w:rsidR="001A3540" w:rsidRPr="005C36F7">
        <w:rPr>
          <w:rFonts w:ascii="Arial" w:hAnsi="Arial" w:cs="Arial"/>
          <w:color w:val="000000" w:themeColor="text1"/>
          <w:sz w:val="22"/>
        </w:rPr>
        <w:t xml:space="preserve">in </w:t>
      </w:r>
      <w:r w:rsidR="000F5BE8" w:rsidRPr="005C36F7">
        <w:rPr>
          <w:rFonts w:ascii="Arial" w:hAnsi="Arial" w:cs="Arial"/>
          <w:color w:val="000000" w:themeColor="text1"/>
          <w:sz w:val="22"/>
        </w:rPr>
        <w:t>the U-BIOPRED study</w:t>
      </w:r>
      <w:r w:rsidR="002A598B">
        <w:rPr>
          <w:rFonts w:ascii="Arial" w:hAnsi="Arial" w:cs="Arial"/>
          <w:color w:val="000000" w:themeColor="text1"/>
          <w:sz w:val="22"/>
        </w:rPr>
        <w:t xml:space="preserve"> </w:t>
      </w:r>
      <w:r w:rsidR="00326D4E">
        <w:rPr>
          <w:rFonts w:ascii="Arial" w:hAnsi="Arial" w:cs="Arial"/>
          <w:color w:val="000000" w:themeColor="text1"/>
          <w:sz w:val="22"/>
        </w:rPr>
        <w:t xml:space="preserve">which does not allow a causal </w:t>
      </w:r>
      <w:r w:rsidR="007C2E5C">
        <w:rPr>
          <w:rFonts w:ascii="Arial" w:hAnsi="Arial" w:cs="Arial"/>
          <w:color w:val="000000" w:themeColor="text1"/>
          <w:sz w:val="22"/>
        </w:rPr>
        <w:t>judgement</w:t>
      </w:r>
      <w:r w:rsidR="000F5BE8" w:rsidRPr="005C36F7">
        <w:rPr>
          <w:rFonts w:ascii="Arial" w:hAnsi="Arial" w:cs="Arial"/>
          <w:color w:val="000000" w:themeColor="text1"/>
          <w:sz w:val="22"/>
        </w:rPr>
        <w:t>; second</w:t>
      </w:r>
      <w:r w:rsidR="007C2E5C">
        <w:rPr>
          <w:rFonts w:ascii="Arial" w:hAnsi="Arial" w:cs="Arial"/>
          <w:color w:val="000000" w:themeColor="text1"/>
          <w:sz w:val="22"/>
        </w:rPr>
        <w:t>ly</w:t>
      </w:r>
      <w:r w:rsidR="000F5BE8" w:rsidRPr="005C36F7">
        <w:rPr>
          <w:rFonts w:ascii="Arial" w:hAnsi="Arial" w:cs="Arial"/>
          <w:color w:val="000000" w:themeColor="text1"/>
          <w:sz w:val="22"/>
        </w:rPr>
        <w:t xml:space="preserve">, </w:t>
      </w:r>
      <w:r w:rsidR="004C0A9F" w:rsidRPr="005C36F7">
        <w:rPr>
          <w:rFonts w:ascii="Arial" w:hAnsi="Arial" w:cs="Arial"/>
          <w:color w:val="000000" w:themeColor="text1"/>
          <w:sz w:val="22"/>
        </w:rPr>
        <w:t>subjective or historical data were assessed by questionnaire</w:t>
      </w:r>
      <w:r w:rsidR="007C2E5C">
        <w:rPr>
          <w:rFonts w:ascii="Arial" w:hAnsi="Arial" w:cs="Arial"/>
          <w:color w:val="000000" w:themeColor="text1"/>
          <w:sz w:val="22"/>
        </w:rPr>
        <w:t>s</w:t>
      </w:r>
      <w:r w:rsidR="004C0A9F" w:rsidRPr="005C36F7">
        <w:rPr>
          <w:rFonts w:ascii="Arial" w:hAnsi="Arial" w:cs="Arial"/>
          <w:color w:val="000000" w:themeColor="text1"/>
          <w:sz w:val="22"/>
        </w:rPr>
        <w:t xml:space="preserve"> which might be prone to recall bias</w:t>
      </w:r>
      <w:r w:rsidR="007903D8">
        <w:rPr>
          <w:rFonts w:ascii="Arial" w:hAnsi="Arial" w:cs="Arial"/>
          <w:color w:val="000000" w:themeColor="text1"/>
          <w:sz w:val="22"/>
        </w:rPr>
        <w:t>; thirdly</w:t>
      </w:r>
      <w:r w:rsidR="00EA28AC">
        <w:rPr>
          <w:rFonts w:ascii="Arial" w:hAnsi="Arial" w:cs="Arial"/>
          <w:color w:val="000000" w:themeColor="text1"/>
          <w:sz w:val="22"/>
        </w:rPr>
        <w:t xml:space="preserve">, </w:t>
      </w:r>
      <w:r w:rsidR="00BC5B3B">
        <w:rPr>
          <w:rFonts w:ascii="Arial" w:hAnsi="Arial" w:cs="Arial"/>
          <w:color w:val="000000" w:themeColor="text1"/>
          <w:sz w:val="22"/>
        </w:rPr>
        <w:t>comparison</w:t>
      </w:r>
      <w:r w:rsidR="00FC7298">
        <w:rPr>
          <w:rFonts w:ascii="Arial" w:hAnsi="Arial" w:cs="Arial"/>
          <w:color w:val="000000" w:themeColor="text1"/>
          <w:sz w:val="22"/>
        </w:rPr>
        <w:t>s</w:t>
      </w:r>
      <w:r w:rsidR="00BC5B3B">
        <w:rPr>
          <w:rFonts w:ascii="Arial" w:hAnsi="Arial" w:cs="Arial"/>
          <w:color w:val="000000" w:themeColor="text1"/>
          <w:sz w:val="22"/>
        </w:rPr>
        <w:t xml:space="preserve"> </w:t>
      </w:r>
      <w:r w:rsidR="0007362F">
        <w:rPr>
          <w:rFonts w:ascii="Arial" w:hAnsi="Arial" w:cs="Arial"/>
          <w:color w:val="000000" w:themeColor="text1"/>
          <w:sz w:val="22"/>
        </w:rPr>
        <w:t>between</w:t>
      </w:r>
      <w:r w:rsidR="00BC5B3B">
        <w:rPr>
          <w:rFonts w:ascii="Arial" w:hAnsi="Arial" w:cs="Arial"/>
          <w:color w:val="000000" w:themeColor="text1"/>
          <w:sz w:val="22"/>
        </w:rPr>
        <w:t xml:space="preserve"> asthma patients </w:t>
      </w:r>
      <w:r w:rsidR="00BC5B3B" w:rsidRPr="00BC5B3B">
        <w:rPr>
          <w:rFonts w:ascii="Arial" w:hAnsi="Arial" w:cs="Arial"/>
          <w:color w:val="000000" w:themeColor="text1"/>
          <w:sz w:val="22"/>
        </w:rPr>
        <w:t>with and without anxiety/depression</w:t>
      </w:r>
      <w:r w:rsidR="007903D8" w:rsidRPr="005C36F7">
        <w:rPr>
          <w:rFonts w:ascii="Arial" w:hAnsi="Arial" w:cs="Arial"/>
          <w:color w:val="000000" w:themeColor="text1"/>
          <w:sz w:val="22"/>
        </w:rPr>
        <w:t xml:space="preserve"> </w:t>
      </w:r>
      <w:r w:rsidR="004C21FF">
        <w:rPr>
          <w:rFonts w:ascii="Arial" w:hAnsi="Arial" w:cs="Arial"/>
          <w:color w:val="000000" w:themeColor="text1"/>
          <w:sz w:val="22"/>
        </w:rPr>
        <w:t>w</w:t>
      </w:r>
      <w:r w:rsidR="00FC7298">
        <w:rPr>
          <w:rFonts w:ascii="Arial" w:hAnsi="Arial" w:cs="Arial"/>
          <w:color w:val="000000" w:themeColor="text1"/>
          <w:sz w:val="22"/>
        </w:rPr>
        <w:t>ere</w:t>
      </w:r>
      <w:r w:rsidR="004C21FF">
        <w:rPr>
          <w:rFonts w:ascii="Arial" w:hAnsi="Arial" w:cs="Arial"/>
          <w:color w:val="000000" w:themeColor="text1"/>
          <w:sz w:val="22"/>
        </w:rPr>
        <w:t xml:space="preserve"> not conducted due to </w:t>
      </w:r>
      <w:r w:rsidR="00C82D4B" w:rsidRPr="00C82D4B">
        <w:rPr>
          <w:rFonts w:ascii="Arial" w:hAnsi="Arial" w:cs="Arial"/>
          <w:color w:val="000000" w:themeColor="text1"/>
          <w:sz w:val="22"/>
        </w:rPr>
        <w:t xml:space="preserve">the small numbers of subjects with this phenotype who were available for study and also that with the absence of a severe asthma </w:t>
      </w:r>
      <w:r w:rsidR="000460C5">
        <w:rPr>
          <w:rFonts w:ascii="Arial" w:hAnsi="Arial" w:cs="Arial"/>
          <w:color w:val="000000" w:themeColor="text1"/>
          <w:sz w:val="22"/>
        </w:rPr>
        <w:t xml:space="preserve">group </w:t>
      </w:r>
      <w:r w:rsidR="00C82D4B" w:rsidRPr="00C82D4B">
        <w:rPr>
          <w:rFonts w:ascii="Arial" w:hAnsi="Arial" w:cs="Arial"/>
          <w:color w:val="000000" w:themeColor="text1"/>
          <w:sz w:val="22"/>
        </w:rPr>
        <w:t xml:space="preserve">without anxiety/depression, it is not possible to determine the contribution of anxiety/depression to the greater inflammatory response found </w:t>
      </w:r>
      <w:r w:rsidR="0093167B">
        <w:rPr>
          <w:rFonts w:ascii="Arial" w:hAnsi="Arial" w:cs="Arial"/>
          <w:color w:val="000000" w:themeColor="text1"/>
          <w:sz w:val="22"/>
        </w:rPr>
        <w:t>in</w:t>
      </w:r>
      <w:r w:rsidR="00C82D4B" w:rsidRPr="00C82D4B">
        <w:rPr>
          <w:rFonts w:ascii="Arial" w:hAnsi="Arial" w:cs="Arial"/>
          <w:color w:val="000000" w:themeColor="text1"/>
          <w:sz w:val="22"/>
        </w:rPr>
        <w:t xml:space="preserve"> severe asthma</w:t>
      </w:r>
      <w:r w:rsidR="0093167B">
        <w:rPr>
          <w:rFonts w:ascii="Arial" w:hAnsi="Arial" w:cs="Arial"/>
          <w:color w:val="000000" w:themeColor="text1"/>
          <w:sz w:val="22"/>
        </w:rPr>
        <w:t xml:space="preserve"> </w:t>
      </w:r>
      <w:r w:rsidR="00D20A08">
        <w:rPr>
          <w:rFonts w:ascii="Arial" w:hAnsi="Arial" w:cs="Arial"/>
          <w:color w:val="000000" w:themeColor="text1"/>
          <w:sz w:val="22"/>
        </w:rPr>
        <w:t>group</w:t>
      </w:r>
      <w:r w:rsidR="00624BE6">
        <w:rPr>
          <w:rFonts w:ascii="Arial" w:hAnsi="Arial" w:cs="Arial"/>
          <w:color w:val="000000" w:themeColor="text1"/>
          <w:sz w:val="22"/>
        </w:rPr>
        <w:t xml:space="preserve">; fourthly, </w:t>
      </w:r>
      <w:r w:rsidR="00C16D97">
        <w:rPr>
          <w:rFonts w:ascii="Arial" w:hAnsi="Arial" w:cs="Arial"/>
          <w:color w:val="000000" w:themeColor="text1"/>
          <w:sz w:val="22"/>
        </w:rPr>
        <w:t xml:space="preserve">due to limited access to </w:t>
      </w:r>
      <w:r w:rsidR="000C2BA3">
        <w:rPr>
          <w:rFonts w:ascii="Arial" w:hAnsi="Arial" w:cs="Arial"/>
          <w:color w:val="000000" w:themeColor="text1"/>
          <w:sz w:val="22"/>
        </w:rPr>
        <w:t xml:space="preserve">records of </w:t>
      </w:r>
      <w:r w:rsidR="00996E62">
        <w:rPr>
          <w:rFonts w:ascii="Arial" w:hAnsi="Arial" w:cs="Arial"/>
          <w:color w:val="000000" w:themeColor="text1"/>
          <w:sz w:val="22"/>
        </w:rPr>
        <w:t>life events</w:t>
      </w:r>
      <w:r w:rsidR="00C16D97">
        <w:rPr>
          <w:rFonts w:ascii="Arial" w:hAnsi="Arial" w:cs="Arial"/>
          <w:color w:val="000000" w:themeColor="text1"/>
          <w:sz w:val="22"/>
        </w:rPr>
        <w:t xml:space="preserve">, we were not able to examine </w:t>
      </w:r>
      <w:r w:rsidR="00996E62">
        <w:rPr>
          <w:rFonts w:ascii="Arial" w:hAnsi="Arial" w:cs="Arial"/>
          <w:color w:val="000000" w:themeColor="text1"/>
          <w:sz w:val="22"/>
        </w:rPr>
        <w:t>any</w:t>
      </w:r>
      <w:r w:rsidR="00C16D97">
        <w:rPr>
          <w:rFonts w:ascii="Arial" w:hAnsi="Arial" w:cs="Arial"/>
          <w:color w:val="000000" w:themeColor="text1"/>
          <w:sz w:val="22"/>
        </w:rPr>
        <w:t xml:space="preserve"> </w:t>
      </w:r>
      <w:r w:rsidR="00996E62">
        <w:rPr>
          <w:rFonts w:ascii="Arial" w:hAnsi="Arial" w:cs="Arial"/>
          <w:color w:val="000000" w:themeColor="text1"/>
          <w:sz w:val="22"/>
        </w:rPr>
        <w:t xml:space="preserve">life events </w:t>
      </w:r>
      <w:r w:rsidR="00C3264A">
        <w:rPr>
          <w:rFonts w:ascii="Arial" w:hAnsi="Arial" w:cs="Arial"/>
          <w:color w:val="000000" w:themeColor="text1"/>
          <w:sz w:val="22"/>
        </w:rPr>
        <w:t xml:space="preserve">which could affect </w:t>
      </w:r>
      <w:r w:rsidR="007C1EF6">
        <w:rPr>
          <w:rFonts w:ascii="Arial" w:hAnsi="Arial" w:cs="Arial"/>
          <w:color w:val="000000" w:themeColor="text1"/>
          <w:sz w:val="22"/>
        </w:rPr>
        <w:t>anxiety/depression and inflammatory markers.</w:t>
      </w:r>
      <w:r w:rsidR="0007362F">
        <w:rPr>
          <w:rFonts w:ascii="Arial" w:hAnsi="Arial" w:cs="Arial"/>
          <w:color w:val="000000" w:themeColor="text1"/>
          <w:sz w:val="22"/>
        </w:rPr>
        <w:t xml:space="preserve"> </w:t>
      </w:r>
      <w:r w:rsidR="00F32B1C">
        <w:rPr>
          <w:rFonts w:ascii="Arial" w:hAnsi="Arial" w:cs="Arial"/>
          <w:color w:val="000000" w:themeColor="text1"/>
          <w:sz w:val="22"/>
        </w:rPr>
        <w:t>In addition, it would also be useful to evaluate</w:t>
      </w:r>
      <w:r w:rsidR="00F36882" w:rsidRPr="00F36882">
        <w:rPr>
          <w:rFonts w:ascii="Arial" w:hAnsi="Arial" w:cs="Arial"/>
          <w:color w:val="000000" w:themeColor="text1"/>
          <w:sz w:val="22"/>
        </w:rPr>
        <w:t xml:space="preserve"> lung functions</w:t>
      </w:r>
      <w:r w:rsidR="00996E62">
        <w:rPr>
          <w:rFonts w:ascii="Arial" w:hAnsi="Arial" w:cs="Arial"/>
          <w:color w:val="000000" w:themeColor="text1"/>
          <w:sz w:val="22"/>
        </w:rPr>
        <w:t xml:space="preserve"> and</w:t>
      </w:r>
      <w:r w:rsidR="00F36882" w:rsidRPr="00F36882">
        <w:rPr>
          <w:rFonts w:ascii="Arial" w:hAnsi="Arial" w:cs="Arial"/>
          <w:color w:val="000000" w:themeColor="text1"/>
          <w:sz w:val="22"/>
        </w:rPr>
        <w:t xml:space="preserve"> </w:t>
      </w:r>
      <w:r w:rsidR="000C2BA3">
        <w:rPr>
          <w:rFonts w:ascii="Arial" w:hAnsi="Arial" w:cs="Arial"/>
          <w:color w:val="000000" w:themeColor="text1"/>
          <w:sz w:val="22"/>
        </w:rPr>
        <w:t xml:space="preserve">the </w:t>
      </w:r>
      <w:r w:rsidR="00F36882" w:rsidRPr="00F36882">
        <w:rPr>
          <w:rFonts w:ascii="Arial" w:hAnsi="Arial" w:cs="Arial"/>
          <w:color w:val="000000" w:themeColor="text1"/>
          <w:sz w:val="22"/>
        </w:rPr>
        <w:t>frequency of exacerbations</w:t>
      </w:r>
      <w:r w:rsidR="00F32B1C">
        <w:rPr>
          <w:rFonts w:ascii="Arial" w:hAnsi="Arial" w:cs="Arial"/>
          <w:color w:val="000000" w:themeColor="text1"/>
          <w:sz w:val="22"/>
        </w:rPr>
        <w:t xml:space="preserve"> in future studies.</w:t>
      </w:r>
      <w:r w:rsidR="00F36882" w:rsidRPr="00F36882">
        <w:rPr>
          <w:rFonts w:ascii="Arial" w:hAnsi="Arial" w:cs="Arial"/>
          <w:color w:val="000000" w:themeColor="text1"/>
          <w:sz w:val="22"/>
        </w:rPr>
        <w:t xml:space="preserve"> </w:t>
      </w:r>
      <w:r w:rsidR="001A3540" w:rsidRPr="005C36F7">
        <w:rPr>
          <w:rFonts w:ascii="Arial" w:hAnsi="Arial" w:cs="Arial"/>
          <w:color w:val="000000" w:themeColor="text1"/>
          <w:sz w:val="22"/>
        </w:rPr>
        <w:t>F</w:t>
      </w:r>
      <w:r w:rsidR="00F6592A" w:rsidRPr="005C36F7">
        <w:rPr>
          <w:rFonts w:ascii="Arial" w:hAnsi="Arial" w:cs="Arial"/>
          <w:color w:val="000000" w:themeColor="text1"/>
          <w:sz w:val="22"/>
        </w:rPr>
        <w:t>inally</w:t>
      </w:r>
      <w:r w:rsidR="004C0A9F" w:rsidRPr="005C36F7">
        <w:rPr>
          <w:rFonts w:ascii="Arial" w:hAnsi="Arial" w:cs="Arial"/>
          <w:color w:val="000000" w:themeColor="text1"/>
          <w:sz w:val="22"/>
        </w:rPr>
        <w:t xml:space="preserve">, </w:t>
      </w:r>
      <w:r w:rsidR="003C0104" w:rsidRPr="005C36F7">
        <w:rPr>
          <w:rFonts w:ascii="Arial" w:hAnsi="Arial" w:cs="Arial"/>
          <w:color w:val="000000" w:themeColor="text1"/>
          <w:sz w:val="22"/>
        </w:rPr>
        <w:t>the sample size of the four group</w:t>
      </w:r>
      <w:r w:rsidR="000C3288" w:rsidRPr="005C36F7">
        <w:rPr>
          <w:rFonts w:ascii="Arial" w:hAnsi="Arial" w:cs="Arial"/>
          <w:color w:val="000000" w:themeColor="text1"/>
          <w:sz w:val="22"/>
        </w:rPr>
        <w:t>s</w:t>
      </w:r>
      <w:r w:rsidR="003C0104" w:rsidRPr="005C36F7">
        <w:rPr>
          <w:rFonts w:ascii="Arial" w:hAnsi="Arial" w:cs="Arial"/>
          <w:color w:val="000000" w:themeColor="text1"/>
          <w:sz w:val="22"/>
        </w:rPr>
        <w:t xml:space="preserve"> </w:t>
      </w:r>
      <w:r w:rsidR="000C3288" w:rsidRPr="005C36F7">
        <w:rPr>
          <w:rFonts w:ascii="Arial" w:hAnsi="Arial" w:cs="Arial"/>
          <w:color w:val="000000" w:themeColor="text1"/>
          <w:sz w:val="22"/>
        </w:rPr>
        <w:t>was</w:t>
      </w:r>
      <w:r w:rsidR="003C0104" w:rsidRPr="005C36F7">
        <w:rPr>
          <w:rFonts w:ascii="Arial" w:hAnsi="Arial" w:cs="Arial"/>
          <w:color w:val="000000" w:themeColor="text1"/>
          <w:sz w:val="22"/>
        </w:rPr>
        <w:t xml:space="preserve"> </w:t>
      </w:r>
      <w:r w:rsidR="00E031D4" w:rsidRPr="005C36F7">
        <w:rPr>
          <w:rFonts w:ascii="Arial" w:hAnsi="Arial" w:cs="Arial"/>
          <w:color w:val="000000" w:themeColor="text1"/>
          <w:sz w:val="22"/>
        </w:rPr>
        <w:t xml:space="preserve">relatively </w:t>
      </w:r>
      <w:r w:rsidR="003C0104" w:rsidRPr="005C36F7">
        <w:rPr>
          <w:rFonts w:ascii="Arial" w:hAnsi="Arial" w:cs="Arial"/>
          <w:color w:val="000000" w:themeColor="text1"/>
          <w:sz w:val="22"/>
        </w:rPr>
        <w:t>unbalance</w:t>
      </w:r>
      <w:r w:rsidR="00E031D4" w:rsidRPr="005C36F7">
        <w:rPr>
          <w:rFonts w:ascii="Arial" w:hAnsi="Arial" w:cs="Arial"/>
          <w:color w:val="000000" w:themeColor="text1"/>
          <w:sz w:val="22"/>
        </w:rPr>
        <w:t>d</w:t>
      </w:r>
      <w:r w:rsidR="004220BC">
        <w:rPr>
          <w:rFonts w:ascii="Arial" w:hAnsi="Arial" w:cs="Arial"/>
          <w:color w:val="000000" w:themeColor="text1"/>
          <w:sz w:val="22"/>
        </w:rPr>
        <w:t xml:space="preserve"> which </w:t>
      </w:r>
      <w:r w:rsidR="003038C3">
        <w:rPr>
          <w:rFonts w:ascii="Arial" w:hAnsi="Arial" w:cs="Arial"/>
          <w:color w:val="000000" w:themeColor="text1"/>
          <w:sz w:val="22"/>
        </w:rPr>
        <w:t>may minimise statistical power</w:t>
      </w:r>
      <w:r w:rsidR="000C3288" w:rsidRPr="005C36F7">
        <w:rPr>
          <w:rFonts w:ascii="Arial" w:hAnsi="Arial" w:cs="Arial"/>
          <w:color w:val="000000" w:themeColor="text1"/>
          <w:sz w:val="22"/>
        </w:rPr>
        <w:t>.</w:t>
      </w:r>
    </w:p>
    <w:p w14:paraId="7FB08B2A" w14:textId="6864DC8D" w:rsidR="00A85520" w:rsidRDefault="00B32945" w:rsidP="00634A44">
      <w:pPr>
        <w:ind w:firstLine="432"/>
        <w:rPr>
          <w:rFonts w:ascii="Arial" w:hAnsi="Arial" w:cs="Arial"/>
          <w:color w:val="000000" w:themeColor="text1"/>
          <w:sz w:val="22"/>
        </w:rPr>
      </w:pPr>
      <w:r w:rsidRPr="005C36F7">
        <w:rPr>
          <w:rFonts w:ascii="Arial" w:hAnsi="Arial" w:cs="Arial"/>
          <w:color w:val="000000" w:themeColor="text1"/>
          <w:sz w:val="22"/>
        </w:rPr>
        <w:t xml:space="preserve">In conclusion, </w:t>
      </w:r>
      <w:r w:rsidR="001A3540" w:rsidRPr="005C36F7">
        <w:rPr>
          <w:rFonts w:ascii="Arial" w:hAnsi="Arial" w:cs="Arial"/>
          <w:color w:val="000000" w:themeColor="text1"/>
          <w:sz w:val="22"/>
        </w:rPr>
        <w:t xml:space="preserve">the </w:t>
      </w:r>
      <w:r w:rsidR="000B5E7D" w:rsidRPr="005C36F7">
        <w:rPr>
          <w:rFonts w:ascii="Arial" w:hAnsi="Arial" w:cs="Arial"/>
          <w:color w:val="000000" w:themeColor="text1"/>
          <w:sz w:val="22"/>
        </w:rPr>
        <w:t>findings of the current study</w:t>
      </w:r>
      <w:r w:rsidRPr="005C36F7">
        <w:rPr>
          <w:rFonts w:ascii="Arial" w:hAnsi="Arial" w:cs="Arial"/>
          <w:color w:val="000000" w:themeColor="text1"/>
          <w:sz w:val="22"/>
        </w:rPr>
        <w:t xml:space="preserve"> </w:t>
      </w:r>
      <w:r w:rsidR="00D76C99">
        <w:rPr>
          <w:rFonts w:ascii="Arial" w:hAnsi="Arial" w:cs="Arial"/>
          <w:color w:val="000000" w:themeColor="text1"/>
          <w:sz w:val="22"/>
        </w:rPr>
        <w:t>suggest</w:t>
      </w:r>
      <w:r w:rsidR="00BB4218" w:rsidRPr="005C36F7">
        <w:rPr>
          <w:rFonts w:ascii="Arial" w:hAnsi="Arial" w:cs="Arial"/>
          <w:color w:val="000000" w:themeColor="text1"/>
          <w:sz w:val="22"/>
        </w:rPr>
        <w:t xml:space="preserve"> </w:t>
      </w:r>
      <w:r w:rsidRPr="005C36F7">
        <w:rPr>
          <w:rFonts w:ascii="Arial" w:hAnsi="Arial" w:cs="Arial"/>
          <w:color w:val="000000" w:themeColor="text1"/>
          <w:sz w:val="22"/>
        </w:rPr>
        <w:t xml:space="preserve">that severe asthma patients are </w:t>
      </w:r>
      <w:r w:rsidR="00DC0349">
        <w:rPr>
          <w:rFonts w:ascii="Arial" w:hAnsi="Arial" w:cs="Arial"/>
          <w:color w:val="000000" w:themeColor="text1"/>
          <w:sz w:val="22"/>
        </w:rPr>
        <w:t>associated with</w:t>
      </w:r>
      <w:r w:rsidR="001A3540" w:rsidRPr="005C36F7">
        <w:rPr>
          <w:rFonts w:ascii="Arial" w:hAnsi="Arial" w:cs="Arial"/>
          <w:color w:val="000000" w:themeColor="text1"/>
          <w:sz w:val="22"/>
        </w:rPr>
        <w:t xml:space="preserve"> </w:t>
      </w:r>
      <w:r w:rsidRPr="005C36F7">
        <w:rPr>
          <w:rFonts w:ascii="Arial" w:hAnsi="Arial" w:cs="Arial"/>
          <w:color w:val="000000" w:themeColor="text1"/>
          <w:sz w:val="22"/>
        </w:rPr>
        <w:t>high</w:t>
      </w:r>
      <w:r w:rsidR="001A3540" w:rsidRPr="005C36F7">
        <w:rPr>
          <w:rFonts w:ascii="Arial" w:hAnsi="Arial" w:cs="Arial"/>
          <w:color w:val="000000" w:themeColor="text1"/>
          <w:sz w:val="22"/>
        </w:rPr>
        <w:t>er</w:t>
      </w:r>
      <w:r w:rsidRPr="005C36F7">
        <w:rPr>
          <w:rFonts w:ascii="Arial" w:hAnsi="Arial" w:cs="Arial"/>
          <w:color w:val="000000" w:themeColor="text1"/>
          <w:sz w:val="22"/>
        </w:rPr>
        <w:t xml:space="preserve"> </w:t>
      </w:r>
      <w:r w:rsidR="008117AE">
        <w:rPr>
          <w:rFonts w:ascii="Arial" w:hAnsi="Arial" w:cs="Arial"/>
          <w:color w:val="000000" w:themeColor="text1"/>
          <w:sz w:val="22"/>
        </w:rPr>
        <w:t>levels</w:t>
      </w:r>
      <w:r w:rsidR="008117AE" w:rsidRPr="005C36F7">
        <w:rPr>
          <w:rFonts w:ascii="Arial" w:hAnsi="Arial" w:cs="Arial"/>
          <w:color w:val="000000" w:themeColor="text1"/>
          <w:sz w:val="22"/>
        </w:rPr>
        <w:t xml:space="preserve"> </w:t>
      </w:r>
      <w:r w:rsidRPr="005C36F7">
        <w:rPr>
          <w:rFonts w:ascii="Arial" w:hAnsi="Arial" w:cs="Arial"/>
          <w:color w:val="000000" w:themeColor="text1"/>
          <w:sz w:val="22"/>
        </w:rPr>
        <w:t>of anxiety and depression</w:t>
      </w:r>
      <w:r w:rsidR="00102F6B" w:rsidRPr="005C36F7">
        <w:rPr>
          <w:rFonts w:ascii="Arial" w:hAnsi="Arial" w:cs="Arial"/>
          <w:color w:val="000000" w:themeColor="text1"/>
          <w:sz w:val="22"/>
        </w:rPr>
        <w:t>,</w:t>
      </w:r>
      <w:r w:rsidR="000E3187" w:rsidRPr="005C36F7">
        <w:rPr>
          <w:rFonts w:ascii="Arial" w:hAnsi="Arial" w:cs="Arial"/>
          <w:color w:val="000000" w:themeColor="text1"/>
          <w:sz w:val="22"/>
        </w:rPr>
        <w:t xml:space="preserve"> and </w:t>
      </w:r>
      <w:r w:rsidR="00920B93" w:rsidRPr="005C36F7">
        <w:rPr>
          <w:rFonts w:ascii="Arial" w:hAnsi="Arial" w:cs="Arial"/>
          <w:color w:val="000000" w:themeColor="text1"/>
          <w:sz w:val="22"/>
        </w:rPr>
        <w:t>inflammat</w:t>
      </w:r>
      <w:r w:rsidR="000E3187" w:rsidRPr="005C36F7">
        <w:rPr>
          <w:rFonts w:ascii="Arial" w:hAnsi="Arial" w:cs="Arial"/>
          <w:color w:val="000000" w:themeColor="text1"/>
          <w:sz w:val="22"/>
        </w:rPr>
        <w:t xml:space="preserve">ory responses </w:t>
      </w:r>
      <w:r w:rsidR="008C4559">
        <w:rPr>
          <w:rFonts w:ascii="Arial" w:hAnsi="Arial" w:cs="Arial"/>
          <w:color w:val="000000" w:themeColor="text1"/>
          <w:sz w:val="22"/>
        </w:rPr>
        <w:t>m</w:t>
      </w:r>
      <w:r w:rsidR="007A2631">
        <w:rPr>
          <w:rFonts w:ascii="Arial" w:hAnsi="Arial" w:cs="Arial"/>
          <w:color w:val="000000" w:themeColor="text1"/>
          <w:sz w:val="22"/>
        </w:rPr>
        <w:t>a</w:t>
      </w:r>
      <w:r w:rsidR="008C4559">
        <w:rPr>
          <w:rFonts w:ascii="Arial" w:hAnsi="Arial" w:cs="Arial"/>
          <w:color w:val="000000" w:themeColor="text1"/>
          <w:sz w:val="22"/>
        </w:rPr>
        <w:t>y underlie</w:t>
      </w:r>
      <w:r w:rsidR="000564FB" w:rsidRPr="005C36F7">
        <w:rPr>
          <w:rFonts w:ascii="Arial" w:hAnsi="Arial" w:cs="Arial"/>
          <w:color w:val="000000" w:themeColor="text1"/>
          <w:sz w:val="22"/>
        </w:rPr>
        <w:t xml:space="preserve"> </w:t>
      </w:r>
      <w:r w:rsidR="000B5E7D" w:rsidRPr="005C36F7">
        <w:rPr>
          <w:rFonts w:ascii="Arial" w:hAnsi="Arial" w:cs="Arial"/>
          <w:color w:val="000000" w:themeColor="text1"/>
          <w:sz w:val="22"/>
        </w:rPr>
        <w:t xml:space="preserve">this </w:t>
      </w:r>
      <w:r w:rsidR="000564FB" w:rsidRPr="005C36F7">
        <w:rPr>
          <w:rFonts w:ascii="Arial" w:hAnsi="Arial" w:cs="Arial"/>
          <w:color w:val="000000" w:themeColor="text1"/>
          <w:sz w:val="22"/>
        </w:rPr>
        <w:t>comorbid</w:t>
      </w:r>
      <w:r w:rsidR="00920B93" w:rsidRPr="005C36F7">
        <w:rPr>
          <w:rFonts w:ascii="Arial" w:hAnsi="Arial" w:cs="Arial"/>
          <w:color w:val="000000" w:themeColor="text1"/>
          <w:sz w:val="22"/>
        </w:rPr>
        <w:t xml:space="preserve"> </w:t>
      </w:r>
      <w:r w:rsidR="000B5E7D" w:rsidRPr="005C36F7">
        <w:rPr>
          <w:rFonts w:ascii="Arial" w:hAnsi="Arial" w:cs="Arial"/>
          <w:color w:val="000000" w:themeColor="text1"/>
          <w:sz w:val="22"/>
        </w:rPr>
        <w:t>condition</w:t>
      </w:r>
      <w:r w:rsidR="004E1A16" w:rsidRPr="005C36F7">
        <w:rPr>
          <w:rFonts w:ascii="Arial" w:hAnsi="Arial" w:cs="Arial"/>
          <w:color w:val="000000" w:themeColor="text1"/>
          <w:sz w:val="22"/>
        </w:rPr>
        <w:t xml:space="preserve">. </w:t>
      </w:r>
      <w:r w:rsidR="000E3187" w:rsidRPr="005C36F7">
        <w:rPr>
          <w:rFonts w:ascii="Arial" w:hAnsi="Arial" w:cs="Arial"/>
          <w:color w:val="000000" w:themeColor="text1"/>
          <w:sz w:val="22"/>
        </w:rPr>
        <w:t xml:space="preserve">In particular, </w:t>
      </w:r>
      <w:r w:rsidR="00230575" w:rsidRPr="005C36F7">
        <w:rPr>
          <w:rFonts w:ascii="Arial" w:hAnsi="Arial" w:cs="Arial"/>
          <w:color w:val="000000" w:themeColor="text1"/>
          <w:sz w:val="22"/>
        </w:rPr>
        <w:t xml:space="preserve">IL6, MCP1, CCL18 and CCL17 are associated with comorbid depression whereas CCL17 </w:t>
      </w:r>
      <w:r w:rsidR="001A3540" w:rsidRPr="005C36F7">
        <w:rPr>
          <w:rFonts w:ascii="Arial" w:hAnsi="Arial" w:cs="Arial"/>
          <w:color w:val="000000" w:themeColor="text1"/>
          <w:sz w:val="22"/>
        </w:rPr>
        <w:t xml:space="preserve">is </w:t>
      </w:r>
      <w:r w:rsidR="00230575" w:rsidRPr="005C36F7">
        <w:rPr>
          <w:rFonts w:ascii="Arial" w:hAnsi="Arial" w:cs="Arial"/>
          <w:color w:val="000000" w:themeColor="text1"/>
          <w:sz w:val="22"/>
        </w:rPr>
        <w:t>associated with anxiety in severe asthma. Future prospective studies are warranted to confirm the role of inflammation in the development of anxiety and depression in asthma</w:t>
      </w:r>
      <w:r w:rsidR="00102F6B" w:rsidRPr="005C36F7">
        <w:rPr>
          <w:rFonts w:ascii="Arial" w:hAnsi="Arial" w:cs="Arial"/>
          <w:color w:val="000000" w:themeColor="text1"/>
          <w:sz w:val="22"/>
        </w:rPr>
        <w:t>,</w:t>
      </w:r>
      <w:r w:rsidR="00230575" w:rsidRPr="005C36F7">
        <w:rPr>
          <w:rFonts w:ascii="Arial" w:hAnsi="Arial" w:cs="Arial"/>
          <w:color w:val="000000" w:themeColor="text1"/>
          <w:sz w:val="22"/>
        </w:rPr>
        <w:t xml:space="preserve"> which could be used to stratify patients and develop targeted interventions </w:t>
      </w:r>
      <w:r w:rsidR="00592F4C" w:rsidRPr="005C36F7">
        <w:rPr>
          <w:rFonts w:ascii="Arial" w:hAnsi="Arial" w:cs="Arial"/>
          <w:color w:val="000000" w:themeColor="text1"/>
          <w:sz w:val="22"/>
        </w:rPr>
        <w:t>to achieve</w:t>
      </w:r>
      <w:r w:rsidR="00230575" w:rsidRPr="005C36F7">
        <w:rPr>
          <w:rFonts w:ascii="Arial" w:hAnsi="Arial" w:cs="Arial"/>
          <w:color w:val="000000" w:themeColor="text1"/>
          <w:sz w:val="22"/>
        </w:rPr>
        <w:t xml:space="preserve"> improved outcomes.</w:t>
      </w:r>
    </w:p>
    <w:p w14:paraId="0276CC25" w14:textId="77777777" w:rsidR="002B5654" w:rsidRPr="005C36F7" w:rsidRDefault="002B5654" w:rsidP="00634A44">
      <w:pPr>
        <w:ind w:firstLine="432"/>
        <w:rPr>
          <w:rFonts w:ascii="Arial" w:hAnsi="Arial" w:cs="Arial"/>
          <w:color w:val="000000" w:themeColor="text1"/>
          <w:sz w:val="22"/>
        </w:rPr>
      </w:pPr>
    </w:p>
    <w:p w14:paraId="32D7C8AA" w14:textId="63AAA737" w:rsidR="00D66A44" w:rsidRPr="005C36F7" w:rsidRDefault="00672CB6" w:rsidP="00672CB6">
      <w:pPr>
        <w:rPr>
          <w:rFonts w:ascii="Arial" w:hAnsi="Arial" w:cs="Arial"/>
          <w:b/>
          <w:bCs/>
          <w:color w:val="000000" w:themeColor="text1"/>
          <w:sz w:val="22"/>
        </w:rPr>
      </w:pPr>
      <w:r w:rsidRPr="005C36F7">
        <w:rPr>
          <w:rFonts w:ascii="Arial" w:hAnsi="Arial" w:cs="Arial"/>
          <w:b/>
          <w:bCs/>
          <w:color w:val="000000" w:themeColor="text1"/>
          <w:sz w:val="22"/>
        </w:rPr>
        <w:t>Acknowledgements</w:t>
      </w:r>
    </w:p>
    <w:p w14:paraId="6E7EE813" w14:textId="77777777" w:rsidR="00634A44" w:rsidRPr="005C36F7" w:rsidRDefault="00634A44" w:rsidP="00634A44">
      <w:pPr>
        <w:rPr>
          <w:rFonts w:ascii="Arial" w:hAnsi="Arial" w:cs="Arial"/>
          <w:sz w:val="22"/>
        </w:rPr>
      </w:pPr>
      <w:r w:rsidRPr="005C36F7">
        <w:rPr>
          <w:rFonts w:ascii="Arial" w:hAnsi="Arial" w:cs="Arial"/>
          <w:sz w:val="22"/>
        </w:rPr>
        <w:t>This article is presented on behalf of the U-BIOPRED Study Group with input from the U-BIOPRED Patient Input Platform, Ethics Board, and Safety Management Board. We thank all the members of each recruiting center for their dedicated effort, devotion, promptness, and care in the recruitment and assessment of the participants in this study. Members of the U-BIOPRED Study Group are as follows: H. Ahmed, European Institute for Systems Biology and Medicine, University of Lyon; D. Allen, North West Severe Asthma Network; Pennine Acute Hospital NHS Trust; P. Badorrek, Fraunhofer ITEM; S. Ballereau, European Institute for Systems Biology and Medicine, University of Lyon; F. Baribaud, Janssen R&amp;D; M. K. Batuwitage, Imperial College, London; A. Bedding, Roche Diagnostics GmbH, Mannheim; A. F. Behndig, Umea University; A. Berglind, Karolinska University Hospital and Karolinska Institutet; A. Berton, Boehringer Ingelheim Pharma GmbH &amp; Co. KG; J. Bigler, Amgen; M.J. Boedigheimer, Amgen; K. Bønnelykke, University of Copenhagen and Danish Pediatric Asthma Center, Gentofte Hospital, University of Copenhagen; P. Brinkman, Academic Medical Centre, University of Amsterdam; A. Bush, Department of Paediatrics and National Heart and Lung Institute, Imperial College, and Department of Respiratory Paediatrics, Royal Brompton Hospital, London; D. Campagna, University of Catania; C. Casaulta, University Children’s Hospital Bern; A. Chaiboonchoe, European Institute for Systems Biology and Medicine, University of Lyon; T. Davison, Janssen R&amp;D; B. De Meulder, European Institute for Systems Biology and Medicine, University of Lyon; I. Delin, Institute of Environmental Medicine, Karolinska Instituet, Stockholm; P. Dennison, NIHR Southampton Respiratory Biomedical Research Unit and University of Southampton; P. Dodson, AstraZeneca, M€olndal; L. El Hadjam, European Institute for Systems Biology and Medicine, University of Lyon; D. Erzen, Boehringer Ingelheim Pharma GmbH &amp; Co. KG; C. Faulenbach, Fraunhofer ITEM; K. Fichtner, Boehringer Ingelheim Pharma GmbH &amp; Co. KG; N. Fitch, BioSci Consulting, Belgium; E. Formaggio, PhD, Project manager, Verona; M. Gahlemann, Boehringer Ingelheim (Schweiz) GmbH; G. Galffy, Semmelweis University, Budapest; D. Garissi, Global Head Clinical Research Division, CROMSOURCE; T. Garret, BioSci Consulting, Belgium; J. Gent, Royal Brompton and Harefield NHS Foundation Trust; E. Guillmant-Farry, Royal Brompton Hospital, London; E. Henriksson, Karolinska Institutet; U. Hoda, Imperial College; J. M. Hohlfeld, Fraunhofer ITEM; X. Hu, Amgen; A. James, Karolinska Institutet; K. Johnson, Centre for Respiratory Medicine and Allergy, Institute of Inflammation and Repair, University Hospital of South Manchester, NHS Foundation Trust, Manchester; N. Jullian, European Institute for Systems Biology and Medicine, University of Lyon; G. Kerry, Centre for Respiratory Medicine and Allergy, Institute of Inflammation and Repair, University Hospital of South Manchester, NHS Foundation Trust, Manchester; M. Kl€uglich, Boehringer Ingelheim Pharma GmbH &amp; Co. KG; R. Knowles, Arachos Pharma, Stevenge; J.R. Konradsen, Karolinska University Hospital and Karolinska Institutet; K. Kretsos, UCB, Slough, UK; L. Krueger, University Children’s Hospital Bern; A.-S. Lantz, Karolinska University Hospital and Karolinska Institutet; C. Larminie, GSK, London; P. Latzin, University Children’s Hospital Bern; D. Lefaudeux, European Institute for Systems Biology and Medicine, University of Lyon; N. Lemonnier, European Institute for Systems Biology and Medicine, University of Lyon; L. A. Lowe, Centre for respiratory medicine and allergy, Institute of Inflammation and Repair, University Hospital of South Manchester, NHS Foundation Trust, Manchester; R. Lutter, Academic Medical Centre, University of Amsterdam; A. Manta, Roche Diagnostics GmbH, Mannheim; A. Mazein, European Institute for Systems Biology and Medicine, University of Lyon; L. McEvoy, University Hospital, Department of Pulmonary Medicine, Bern; A. Menzies-Gow, Royal Brompton and Harefield NHS Foundation Trust; N. Mores, Universita Cattolica del Sacro Cuore C.S. Murray, Centre for Respiratory Medicine and Allergy, University of Manchester, Manchester Academic Health Science Centre, University Hospital of South Manchester NHS Foundation Trust, Manchester; K. Nething, Boehringer Ingelheim Pharma GmbH &amp; Co. KG; U. Nihlen, Department of Respiratory Medicine and Allergology, Skane University Hospital, Lund, and AstraZeneca R&amp;D, M€olndal; R. Niven, North West Severe Asthma Network, University Hospital South Manchester NHS Trust; B. Nordlund, Astrid Lindgren Children’s Hospital, Karolinska University Hospital, Stockholm, and the Department of Women’s and Children’s Health, Karolinska Institutet, Stockholm; S. Nsubuga, Royal Brompton Hospital, London; J. Pellet, European Institute for Systems Biology and Medicine, University of Lyon; C. Pison, European Institute for Systems Biology and Medicine, University of Lyon; G. Pratico, CROMSOURCE, Verona; M. Puig Valls, CROMSOURCE, Barcelona; K. Riemann, Boehringer Ingelheim Pharma GmbH &amp; Co. KG; J.P. Rocha, Royal Brompton and Harefield NHS Foundation Trust; C. Rossios, Imperial College; G. Santini, Universita Cattolica del Sacro Cuore; M. Saqi, European Institute for Systems Biology and Medicine, University of Lyon; S. Scott, North West Severe Asthma Network; Countess of Chester NHS Trust; N. Sehgal, North West Severe Asthma Network and Pennine Acute Hospital NHS Trust; A. Selby, NIHR Southampton Respiratory Biomedical Research Unit, Clinical and Experimental Sciences and Human Development and Health, Southampton; P. S€oderman, Astrid Lindgren Children’s Hospital, Karolinska University Hospital, Stockholm, and the Department of Women’s and Children’s Health, Stockholm; A. Sogbesan, Royal Brompton and Harefield NHS Foundation Trust; F. Spycher, University Hospital, Department of Pulmonary Medicine, Bern; S. Stephan, Centre for respiratory medicine and allergy, Institute of Inflammation and repair, University Hospital of South Manchester, NHS Foundation Trust, Manchester; J. Stokholm, University of Copenhagen and Danish Pediatric Asthma Center, Gentofte Hospital, University of Copenhagen; M. Sunther, Centre for Respiratory Medicine and Allergy, Institute of Inflammation and Repair, University Hospital of South Manchester, NHS Foundation Trust, Manchester; M. Szentkereszty, Semmelweis University, Budapest; L. Tamasi, Semmelweis University, Budapest; K. Tariq, NIHR Southampton Respiratory Biomedical Research Unit and University of Southampton; S. Valente, Universita Cattolica del Sacro Cuore; W. M. van Aalderen, Academic Medical Centre, University of Amsterdam; C. M. van Drunen, Academic Medical Centre, University of Amsterdam; J. Van Eyll, UCB, Slough; A. Vyas, North West Severe Asthma Network and the Lancashire Teaching Hospitals NHS Trust; W. Yu, Amgen; W. Zetterquist, Department of Woman and Child Health, Karolinska Institutet, Department of Woman and Child Health, Karolinska Institutet, Stockholm; Z. Zolkipli, NIHR Southampton Respiratory Biomedical Research Unit, University Hospital Southampton NHS Foundation Trust, Southampton; the Clinical and Experimental Sciences and Human Development in Health Academic Unit, University of Southampton Faculty of Medicine, Southampton, UK; and the David Hide Asthma and Allergy Research Centre, St Mary’s Hospital, Isle of Wight; and A. H. Zwinderman, Academic Medical Centre, University of Amsterdam. The U-BIOPRED consortium wishes to acknowledge the help and expertise of the following individuals and groups without whom the study would not have been possible: Investigators and contributors Nora Adriaens, Academic Medical Centre, University of Amsterdam, Amsterdam, The Netherlands; Antonios Aliprantis, Merck Research Laboratories, Boston, Massachusetts; Kjell Alving, Department of Women’s and Children’s Health, Uppsala University, Uppsala, Sweden; Per Bakke, Department of Clinical Science, University of Bergen, Bergen, Norway; David Balgoma, Centre for Allergy Research, Karolinska Institutet, Stockholm, Sweden; Clair Barber, NIHR Southampton Respiratory Biomedical Research Unit and Clinical and Experimental Sciences, Southampton, United Kingdom; Frederic Baribaud, Janssen R&amp;D; Stewart Bates, Respiratory Therapeutic Unit, GSK, London, United Kingdom; An Bautmans, MSD, Brussels, Belgium; Jorge Beleta, Almirall S.A., Barcelona, Spain; Grazyna Bochenek, II Department of Internal Medicine, Jagiellonian University Medical College, Krakow, Poland; Joost Brandsma, University of Southampton, Southampton, United Kingdom; Armin Braun, Fraunhofer Institute for Toxicology and Experimental Medicine, Hannover, Germany; Dominic Burg, Centre for Proteomic Research, Institute for Life Sciences, University of Southampton, Southampton, United Kingdom; Leon Carayannopoulos, previously at MSD; Jo~ao Pedro Carvalho da Purificac¸~ao Rocha, Royal Brompton and Harefield NHS Foundation Trust, London, United Kingdom; Romanas Chaleckis, Centre of Allergy Research, Karolinska Institutet, Stockholm, Sweden; Arnaldo D’Amico, University of Rome ‘Tor Vergata,’ Rome Italy; Jorge De Alba, Almirall S.A., Barcelona, Spain; Inge De Lepeleire, MSD, Brussels, Belgium; Tamara Dekker, Academic Medical Centre, University of Amsterdam, Amsterdam, The Netherlands; Annemiek Dijkhuis, Academic Medical Centre, University of Amsterdam, Amsterdam, The Netherlands; Aleksandra Draper, BioSci Consulting, Maasmechelen, Belgium; Jessica Edwards, Asthma UK, London, United Kingdom; Rosalia Emma, Department of Clinical and Experimental Medicine, University of Catania, Catania, Italy; Magnus Ericsson, Karolinska University Hospital, Stockholm, Sweden; Breda Flood, European Federation of Allergy and Airways Diseases Patient’s Associations, Brussels, Belgium; Hector Gallart, Centre for Allergy Research, Karolinska Institutet, Stockholm, Sweden; Cristina Gomez, Centre for Allergy Research, Karolinska Institutet, Stockholm, Sweden; Kerry Gove, NIHR Southampton Respiratory Biomedical Research Unit and Clinical and Experimental Sciences, Southampton, United Kingdom; Neil Gozzard, UCB, Slough, United Kingdom; John Haughney, International Primary Care Respiratory Group, Aberdeen, Scotland; Lorraine Hewitt, NIHR Southampton Respiratory Biomedical Research Unit, Southampton, United Kingdom; Jens Hohlfeld, Fraunhofer Institute for Toxicology and Experimental Medicine, Hannover, Germany; Cecile Holweg, Respiratory and Allergy Diseases, Genentech, San Francisco, California; Richard Hu, Amgen, Thousand Oaks, California; Sile Hu, National Heart and Lung Institute, Imperial College, London, United Kingdom; Juliette Kamphuis, Longfonds, Amersfoort, The Netherlands; Erika J. Kennington, Asthma UK, London, United Kingdom; Dyson Kerry, CromSource, Stirling, United Kingdom; Hugo Knobel, Philips Research Laboratories, Eindhoven, The Netherlands; Johan Kolmert, Centre for Allergy Research, Karolinska Institutet, Stockholm, Sweden; Maxim Kots, Chiesi Pharmaceuticals, SPA, Parma, Italy; Scott Kuo, National Heart and Lung Institute, Imperial College, London, United Kingdom; Maciej Kupczyk, Centre for Allergy Research, Karolinska Institutet, Stockholm, Sweden; Bart Lambrecht, University of Gent, Gent, Belgium; Saeeda Lone-Latif, Academic Medical Centre, University of Amsterdam, Amsterdam, The Netherlands; Matthew J. Loza, Janssen R&amp;D; Lisa Marouzet, NIHR Southampton Respiratory Biomedical Research Unit, Southampton, United Kingdom; Jane Martin, NIHR Southampton Respiratory Biomedical Research Unit, Southampton, United Kingdom; Sarah Masefield, European Lung Foundation, Sheffield, United Kingdom; Caroline Mathon, Centre of Allergy Research, Karolinska Institutet, Stockholm, Sweden; Sally Meah, National Heart and Lung Institute, Imperial College, London, United Kingdom; Andrea Meiser, Data Science Institute, Imperial College, London, United Kingdom; Leanne Metcalf, previously at Asthma UK, London, United Kingdom; Maria Mikus, Science for Life Laboratory and the Royal Institute of Technology, Stockholm, Sweden; Montse Miralpeix, Almirall, Barcelona, Spain; Philip Monk, Synairgen Research, Southampton, United Kingdom; Shama Naz, Centre for Allergy Research, Karolinska Institutet, Stockholm, Sweden; Ben Nicholas, University of Southampton, Southampton, United Kingdom; Peter Nilsson, Science for Life Laboratory and the Royal Institute of Technology, Stockholm, Sweden; J€orgen Ostling, AstraZeneca, M € €olndal, Sweden; Antonio Pacino, Lega Italiano Anti Fumo, Catania, Italy; Susanna Palkonen, European Federation of Allergy and Airways Diseases Patient’s Associations, Brussels, Belgium; Stelios Pavlidis, National Heart and Lung Institute, Imperial College, London, United Kingdom; Giorgio Pennazza, University of Rome ’Tor Vergata,’ Rome Italy; Anne Petren, Centre for Allergy Research, Karolinska Institutet, Stockholm, Sweden; Sandy Pink, NIHR Southampton Respiratory Biomedical Research Unit, Southampton, United Kingdom; Anthony Postle, University of Southampton, United Kingdom; Pippa Powell, European Lung Foundation, Sheffield, United Kingdom; Malayka RahmanAmin, previously at Asthma UK, London, United Kingdom; Navin Rao, Janssen R&amp;D; Lara Ravanetti, Academic Medical Centre, University of Amsterdam, Amsterdam, The Netherlands; Emma Ray, NIHR Southampton Respiratory Biomedical Research Unit, Southampton, United Kingdom; Stacey Reinke, Centre for Allergy Research, Karolinska Institutet, Stockholm, Sweden; Leanne Reynolds, previously at Asthma UK, London, United Kingdom; John Riley, Respiratory Therapeutic Unit, GSK, London, United Kingdom; Martine Robberechts, MSD, Brussels, Belgium; Amanda Roberts, Asthma UK, London, United Kingdom; Kirsty Russell, National Heart and Lung Institute, Imperial College, London, United Kingdom; Michael Rutgers, Longfonds, Amersfoort, The Netherlands; Marco Santoninco, University of Rome ’Tor Vergata,’ Rome Italy; Corinna Schoelch, Boehringer Ingelheim Pharma GmbH &amp; Co. KG, Biberach, Germany; James P. R. Schofield, Centre for Proteomic Research, Institute for Life Sciences, University of Southampton, Southampton, United Kingdom; Marcus Sj€odin, Centre for Allergy Research, Karolinska Institutet, Stockholm, Sweden; Paul J. Skipp, Centre for Proteomic Research, Institute for Life Sciences, University of Southampton, Southampton, United Kingdom; Barbara Smids, Academic Medical Centre, University of Amsterdam, Amsterdam, The Netherlands; Caroline Smith, NIHR Southampton Respiratory Biomedical Research Unit, Southampton, United Kingdom; Jessica Smith, Asthma UK, London, United Kingdom; Katherine M. Smith, University of Nottingham, United Kingdom; Doroteya Staykova, University of Southampton, Southampton, United Kingdom; Kai Sun, Data Science Institute, Imperial College, London, United Kingdom; John-Olof Th€orngren, Karolinska University Hospital, Stockholm, Sweden; Bob Thornton, MSD; Jonathan Thorsen, COPSAC, Copenhagen Prospective Studies on Asthma in Childhood, Herlev and Gentofte Hospital, University of Copenhagen, Copenhagen, Denmark; Marianne van de Pol, Academic Medical Centre, University of Amsterdam, Amsterdam, The Netherlands; Marleen van Geest, AstraZeneca, M€olndal, Sweden; Jenny Versnel, previously at Asthma UK, London, United Kingdom; Anton Vink, Philips Research Laboratories, Eindhoven, The Netherlands; Frans Wald, Boehringer Ingelheim Pharma GmbH &amp; Co. KG, Biberach, Germany; Samantha Walker, Asthma UK, London, United Kingdom; Jonathan Ward, Histochemistry Research Unit, Faculty of Medicine, University of Southampton, Southampton, United Kingdom; Zsoka Weiszhart, Semmelweis University, Budapest, Hungary; Kristiane Wetzel, Boehringer Ingelheim Pharma GmbH, Biberach, Germany; Craig E. Wheelock, Centre for Allergy Research, Karolinska Institutet, Stockholm, Sweden; Coen Wiegman, National Heart and Lung Institute, Imperial College, London, United Kingdom; Si^an Williams, International Primary Care Respiratory Group, Aberdeen, Scotland; Susan J. Wilson, Histochemistry Research Unit, Faculty of Medicine, University of Southampton, Southampton, United Kingdom; Ashley Woodcock, Centre for Respiratory Medicine and Allergy, Institute of Inflammation and Repair, University of Manchester and University Hospital of South Manchester, Manchester Academic Health Sciences Centre, Manchester, United Kingdom; Xian Yang, Data Science Institute, Imperial College, London, United Kingdom; and Elizabeth Yeyasingham, UK Clinical Operations, GSK, Stockley Park, United Kingdom. Partner organizations Novartis Pharma AG; University of Southampton, Southampton, United Kingdom; Academic Medical Centre, University of Amsterdam, Amsterdam, The Netherlands; Imperial College London, London, United Kingdom; University of Catania, Catania, Italy; University of Rome ’Tor Vergata,’ Rome, Italy; Hvidore Hospital, Hvidore, Denmark; Jagiellonian University Medical College, Krakow, Poland; University Hospital, Inselspital, Bern, Switzerland; Semmelweis University, Budapest, Hungary; University of Manchester, Manchester, United Kingdom; Universite d’Aix-Marseille, Marseille, France; Fraunhofer Institute, Hannover, Germany; University Hospital, Umea, Sweden; Ghent University, Ghent, Belgium; Ctr. Nat. Recherche Scientifique, Villejuif, France; Universita Cattolica del Sacro Cuore, Rome, Italy; University Hospital, Copenhagen, Denmark; Karolinska Institutet, Stockholm, Sweden; Nottingham University Hospital, Nottingham, United Kingdom; University of Bergen, Bergen, Norway; Netherlands Asthma Foundation, Leusden, The Netherlands; European Lung Foundation, Sheffield, United Kingdom; Asthma UK, London, United Kingdom; European Federation of Allergy and Airways Diseases Patients’ Associations, Brussels, Belgium; Lega Italiano Anti Fumo, Catania, Italy; International Primary Care Respiratory Group, Aberdeen, Scotland; Philips Research Laboratories, Eindhoven, The Netherlands; Synairgen Research, Southampton, United Kingdom; Aerocrine AB, Stockholm, Sweden; BioSci Consulting, Maasmechelen, Belgium; Almirall; AstraZeneca; Boehringer Ingelheim; Chiesi; GlaxoSmithKline; Roche; UCB; Janssen Biologics BV; Amgen NV; and Merck Sharp &amp; Dohme Corp. Third Parties to the project, contributing to the clinical trial Academic Medical Centre (AMC), Amsterdam (in the U-BIOPRED consortium the legal entity is AMC Medical Research BV [AMR]; AMR is a subsidiary of both AMC and the University of Amsterdam; AMC contribute across the U-BIOPRED project); University Hospital Southampton NHS Trust (third party of the University of Southampton and contributor to the U-BIOPRED clinical trial); South Manchester Healthcare Trust (third party to the University of Manchester, South Manchester Healthcare Trust, contributor to the U-BIOPRED clinical trial and to the U-BIOPRED Biobank); Protisvalor Mediterranee SAS (third party to University of the Mediterranean; contributor to the U-BIOPRED clinical trial); Karolinska University Hospital (third party Karolinska Institutet [KI)] contributor to the U-BIOPRED clinical trial); Nottingham University Hospital (third party to University of Nottingham, contributor to the U-BIOPRED clinical trial); and NIHR-Wellcome Trust Clinical Research Facility. Members of the ethics board Jan-Bas Prins, biomedical research, LUMC, The Netherlands; Martina Gahlemann, clinical care, BI, Germany; Luigi Visintin, legal affairs, LIAF, Italy; Hazel Evans, paediatric care, Southampton, United Kingdom; Martine Puhl, patient representation (co-chair), NAF, The Netherlands; Lina Buzermaniene, patient representation, EFA, Lithuania; Val Hudson, patient representation, Asthma UK; Laura Bond, patient representation, Asthma UK; Pim de Boer, patient representation and pathobiology, IND; Guy Widdershoven, research ethics, VUMC, the Netherlands; and Ralf Sigmund, research methodology and biostatistics, BI, Germany. Patient input platform Amanda Roberts, United Kingdom; David Supple (chair), United Kingdom; Dominique Hamerlijnck, The Netherlands; Jenny Negus, United Kingdom; Julitte Kamphuis, The Netherlands; Lehanne Sergison, United Kingdom; Luigi Visintin, Italy; Pim de Boer (cochair), The Netherlands; and Susanne Onstein, The Netherlands. Members of the safety monitoring board William MacNee, clinical care; Renato Bernardini, clinical pharmacology; Louis Bont, paediatric care and infectious diseases; Per-Ake Wecksell, patient representation; Pim de Boer, patient representation and pathobiology (chair); Martina Gahlemann, patient safety advice and clinical care (cochair); and Ralf Sigmund, bioinformatician. This work was partially funded by the Engineering and Physical Sciences Research Council, United Kingdom (EP/N014189: Joining the Dots, From Data to Insight). Instrumentation in the Centre for Proteomic Research is supported by the BBSRC (BM/M012387/1) and the Wessex Medical Trust. We thank Ayasdi for use of, and support with, the Ayasdi TDA software.</w:t>
      </w:r>
    </w:p>
    <w:p w14:paraId="111D7BC2" w14:textId="77777777" w:rsidR="00672CB6" w:rsidRPr="005C36F7" w:rsidRDefault="00672CB6" w:rsidP="00634A44">
      <w:pPr>
        <w:rPr>
          <w:rFonts w:ascii="Arial" w:hAnsi="Arial" w:cs="Arial"/>
          <w:b/>
          <w:bCs/>
          <w:color w:val="000000" w:themeColor="text1"/>
          <w:sz w:val="22"/>
        </w:rPr>
      </w:pPr>
    </w:p>
    <w:p w14:paraId="60C35D03" w14:textId="77777777" w:rsidR="003F7A1E" w:rsidRDefault="003F7A1E" w:rsidP="00A32AAE">
      <w:pPr>
        <w:rPr>
          <w:rFonts w:ascii="Arial" w:hAnsi="Arial" w:cs="Arial"/>
          <w:b/>
          <w:bCs/>
          <w:color w:val="000000" w:themeColor="text1"/>
          <w:sz w:val="22"/>
        </w:rPr>
      </w:pPr>
    </w:p>
    <w:p w14:paraId="3CD4C90E" w14:textId="25C063DA" w:rsidR="00B36F62" w:rsidRPr="005C36F7" w:rsidRDefault="00B36F62" w:rsidP="00A32AAE">
      <w:pPr>
        <w:rPr>
          <w:rFonts w:ascii="Arial" w:hAnsi="Arial" w:cs="Arial"/>
          <w:b/>
          <w:bCs/>
          <w:color w:val="000000" w:themeColor="text1"/>
          <w:sz w:val="22"/>
        </w:rPr>
      </w:pPr>
      <w:r w:rsidRPr="005C36F7">
        <w:rPr>
          <w:rFonts w:ascii="Arial" w:hAnsi="Arial" w:cs="Arial"/>
          <w:b/>
          <w:bCs/>
          <w:color w:val="000000" w:themeColor="text1"/>
          <w:sz w:val="22"/>
        </w:rPr>
        <w:t>References</w:t>
      </w:r>
    </w:p>
    <w:p w14:paraId="1D910FA7" w14:textId="24DA62B7" w:rsidR="0020208A" w:rsidRPr="005C36F7" w:rsidRDefault="0020208A" w:rsidP="00A32AAE">
      <w:pPr>
        <w:rPr>
          <w:rFonts w:ascii="Arial" w:hAnsi="Arial" w:cs="Arial"/>
          <w:color w:val="000000" w:themeColor="text1"/>
          <w:sz w:val="22"/>
        </w:rPr>
      </w:pPr>
      <w:r w:rsidRPr="005C36F7">
        <w:rPr>
          <w:rFonts w:ascii="Arial" w:hAnsi="Arial" w:cs="Arial"/>
          <w:color w:val="000000" w:themeColor="text1"/>
          <w:sz w:val="22"/>
        </w:rPr>
        <w:t>Ambrée,</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O., Klassen, I., Förster, I., Arolt, V., Scheu, S., Alferink, J., 2016. Reduced locomotor activity</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and exploratory behavior in CC chemokine receptor 4 deficient mice. Behav Brain Res. 314,</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87-95. https:// doi: 10.1016/j.bbr.2016.07.041.</w:t>
      </w:r>
    </w:p>
    <w:p w14:paraId="48FC50B0" w14:textId="7298A7E1" w:rsidR="00231A59" w:rsidRPr="005C36F7" w:rsidRDefault="00011620" w:rsidP="00A32AAE">
      <w:pPr>
        <w:rPr>
          <w:rFonts w:ascii="Arial" w:hAnsi="Arial" w:cs="Arial"/>
          <w:color w:val="000000" w:themeColor="text1"/>
          <w:sz w:val="22"/>
        </w:rPr>
      </w:pPr>
      <w:r w:rsidRPr="005C36F7">
        <w:rPr>
          <w:rFonts w:ascii="Arial" w:hAnsi="Arial" w:cs="Arial"/>
          <w:color w:val="000000" w:themeColor="text1"/>
          <w:sz w:val="22"/>
        </w:rPr>
        <w:t>Amelink,</w:t>
      </w:r>
      <w:r w:rsidR="00F61A65" w:rsidRPr="005C36F7">
        <w:rPr>
          <w:rFonts w:ascii="Arial" w:hAnsi="Arial" w:cs="Arial"/>
          <w:color w:val="000000" w:themeColor="text1"/>
          <w:sz w:val="22"/>
        </w:rPr>
        <w:t xml:space="preserve"> M.</w:t>
      </w:r>
      <w:r w:rsidRPr="005C36F7">
        <w:rPr>
          <w:rFonts w:ascii="Arial" w:hAnsi="Arial" w:cs="Arial"/>
          <w:color w:val="000000" w:themeColor="text1"/>
          <w:sz w:val="22"/>
        </w:rPr>
        <w:t>, Hashimoto</w:t>
      </w:r>
      <w:r w:rsidR="00F61A65" w:rsidRPr="005C36F7">
        <w:rPr>
          <w:rFonts w:ascii="Arial" w:hAnsi="Arial" w:cs="Arial"/>
          <w:color w:val="000000" w:themeColor="text1"/>
          <w:sz w:val="22"/>
        </w:rPr>
        <w:t>, S.</w:t>
      </w:r>
      <w:r w:rsidRPr="005C36F7">
        <w:rPr>
          <w:rFonts w:ascii="Arial" w:hAnsi="Arial" w:cs="Arial"/>
          <w:color w:val="000000" w:themeColor="text1"/>
          <w:sz w:val="22"/>
        </w:rPr>
        <w:t>, Spinhoven</w:t>
      </w:r>
      <w:r w:rsidR="00F61A65" w:rsidRPr="005C36F7">
        <w:rPr>
          <w:rFonts w:ascii="Arial" w:hAnsi="Arial" w:cs="Arial"/>
          <w:color w:val="000000" w:themeColor="text1"/>
          <w:sz w:val="22"/>
        </w:rPr>
        <w:t>,</w:t>
      </w:r>
      <w:r w:rsidRPr="005C36F7">
        <w:rPr>
          <w:rFonts w:ascii="Arial" w:hAnsi="Arial" w:cs="Arial"/>
          <w:color w:val="000000" w:themeColor="text1"/>
          <w:sz w:val="22"/>
        </w:rPr>
        <w:t> </w:t>
      </w:r>
      <w:r w:rsidR="00F61A65" w:rsidRPr="005C36F7">
        <w:rPr>
          <w:rFonts w:ascii="Arial" w:hAnsi="Arial" w:cs="Arial"/>
          <w:color w:val="000000" w:themeColor="text1"/>
          <w:sz w:val="22"/>
        </w:rPr>
        <w:t>P.</w:t>
      </w:r>
      <w:r w:rsidRPr="005C36F7">
        <w:rPr>
          <w:rFonts w:ascii="Arial" w:hAnsi="Arial" w:cs="Arial"/>
          <w:color w:val="000000" w:themeColor="text1"/>
          <w:sz w:val="22"/>
        </w:rPr>
        <w:t>, Pasma</w:t>
      </w:r>
      <w:r w:rsidR="00F61A65" w:rsidRPr="005C36F7">
        <w:rPr>
          <w:rFonts w:ascii="Arial" w:hAnsi="Arial" w:cs="Arial"/>
          <w:color w:val="000000" w:themeColor="text1"/>
          <w:sz w:val="22"/>
        </w:rPr>
        <w:t>,</w:t>
      </w:r>
      <w:r w:rsidR="005C36F7">
        <w:rPr>
          <w:rFonts w:ascii="Arial" w:hAnsi="Arial" w:cs="Arial"/>
          <w:color w:val="000000" w:themeColor="text1"/>
          <w:sz w:val="22"/>
        </w:rPr>
        <w:t xml:space="preserve"> </w:t>
      </w:r>
      <w:r w:rsidR="00F61A65" w:rsidRPr="005C36F7">
        <w:rPr>
          <w:rFonts w:ascii="Arial" w:hAnsi="Arial" w:cs="Arial"/>
          <w:color w:val="000000" w:themeColor="text1"/>
          <w:sz w:val="22"/>
        </w:rPr>
        <w:t>H.R.</w:t>
      </w:r>
      <w:r w:rsidRPr="005C36F7">
        <w:rPr>
          <w:rFonts w:ascii="Arial" w:hAnsi="Arial" w:cs="Arial"/>
          <w:color w:val="000000" w:themeColor="text1"/>
          <w:sz w:val="22"/>
        </w:rPr>
        <w:t>, Sterk</w:t>
      </w:r>
      <w:r w:rsidR="00F61A65" w:rsidRPr="005C36F7">
        <w:rPr>
          <w:rFonts w:ascii="Arial" w:hAnsi="Arial" w:cs="Arial"/>
          <w:color w:val="000000" w:themeColor="text1"/>
          <w:sz w:val="22"/>
        </w:rPr>
        <w:t>,</w:t>
      </w:r>
      <w:r w:rsidRPr="005C36F7">
        <w:rPr>
          <w:rFonts w:ascii="Arial" w:hAnsi="Arial" w:cs="Arial"/>
          <w:color w:val="000000" w:themeColor="text1"/>
          <w:sz w:val="22"/>
        </w:rPr>
        <w:t> </w:t>
      </w:r>
      <w:r w:rsidR="00F61A65" w:rsidRPr="005C36F7">
        <w:rPr>
          <w:rFonts w:ascii="Arial" w:hAnsi="Arial" w:cs="Arial"/>
          <w:color w:val="000000" w:themeColor="text1"/>
          <w:sz w:val="22"/>
        </w:rPr>
        <w:t> P.J.</w:t>
      </w:r>
      <w:r w:rsidRPr="005C36F7">
        <w:rPr>
          <w:rFonts w:ascii="Arial" w:hAnsi="Arial" w:cs="Arial"/>
          <w:color w:val="000000" w:themeColor="text1"/>
          <w:sz w:val="22"/>
        </w:rPr>
        <w:t>, </w:t>
      </w:r>
      <w:r w:rsidR="00F61A65" w:rsidRPr="005C36F7">
        <w:rPr>
          <w:rFonts w:ascii="Arial" w:hAnsi="Arial" w:cs="Arial"/>
          <w:color w:val="000000" w:themeColor="text1"/>
          <w:sz w:val="22"/>
        </w:rPr>
        <w:t>H.</w:t>
      </w:r>
      <w:r w:rsidRPr="005C36F7">
        <w:rPr>
          <w:rFonts w:ascii="Arial" w:hAnsi="Arial" w:cs="Arial"/>
          <w:color w:val="000000" w:themeColor="text1"/>
          <w:sz w:val="22"/>
        </w:rPr>
        <w:t>Bel</w:t>
      </w:r>
      <w:r w:rsidR="00F61A65" w:rsidRPr="005C36F7">
        <w:rPr>
          <w:rFonts w:ascii="Arial" w:hAnsi="Arial" w:cs="Arial"/>
          <w:color w:val="000000" w:themeColor="text1"/>
          <w:sz w:val="22"/>
        </w:rPr>
        <w:t>,</w:t>
      </w:r>
      <w:r w:rsidRPr="005C36F7">
        <w:rPr>
          <w:rFonts w:ascii="Arial" w:hAnsi="Arial" w:cs="Arial"/>
          <w:color w:val="000000" w:themeColor="text1"/>
          <w:sz w:val="22"/>
        </w:rPr>
        <w:t> </w:t>
      </w:r>
      <w:r w:rsidR="00F61A65" w:rsidRPr="005C36F7">
        <w:rPr>
          <w:rFonts w:ascii="Arial" w:hAnsi="Arial" w:cs="Arial"/>
          <w:color w:val="000000" w:themeColor="text1"/>
          <w:sz w:val="22"/>
        </w:rPr>
        <w:t>E.</w:t>
      </w:r>
      <w:r w:rsidRPr="005C36F7">
        <w:rPr>
          <w:rFonts w:ascii="Arial" w:hAnsi="Arial" w:cs="Arial"/>
          <w:color w:val="000000" w:themeColor="text1"/>
          <w:sz w:val="22"/>
        </w:rPr>
        <w:t>, </w:t>
      </w:r>
      <w:r w:rsidR="00F61A65" w:rsidRPr="005C36F7">
        <w:rPr>
          <w:rFonts w:ascii="Arial" w:hAnsi="Arial" w:cs="Arial"/>
          <w:color w:val="000000" w:themeColor="text1"/>
          <w:sz w:val="22"/>
        </w:rPr>
        <w:t>ten Brinke , Anneke., 2014. Anxiety, depression and personality traits in severe, prednisone-dependent asthma. Respir Med . 108,438-444. https:// doi: 10.1016/j.rmed.</w:t>
      </w:r>
    </w:p>
    <w:p w14:paraId="2AC5EFB2" w14:textId="7C4DF913" w:rsidR="00590367" w:rsidRPr="005C36F7" w:rsidRDefault="00590367" w:rsidP="00A32AAE">
      <w:pPr>
        <w:rPr>
          <w:rFonts w:ascii="Arial" w:hAnsi="Arial" w:cs="Arial"/>
          <w:color w:val="000000" w:themeColor="text1"/>
          <w:sz w:val="22"/>
        </w:rPr>
      </w:pPr>
      <w:r w:rsidRPr="005C36F7">
        <w:rPr>
          <w:rFonts w:ascii="Arial" w:hAnsi="Arial" w:cs="Arial"/>
          <w:color w:val="000000" w:themeColor="text1"/>
          <w:sz w:val="22"/>
        </w:rPr>
        <w:t>Barnes, J., Mondelli, V., Pariante, C.M., 2017. Genetic Contributions of Inflammation to Depression. Neuropsychopharmacology.</w:t>
      </w:r>
      <w:r w:rsidR="005C36F7">
        <w:rPr>
          <w:rFonts w:ascii="Arial" w:hAnsi="Arial" w:cs="Arial"/>
          <w:color w:val="000000" w:themeColor="text1"/>
          <w:sz w:val="22"/>
        </w:rPr>
        <w:t xml:space="preserve"> </w:t>
      </w:r>
      <w:r w:rsidRPr="005C36F7">
        <w:rPr>
          <w:rFonts w:ascii="Arial" w:hAnsi="Arial" w:cs="Arial"/>
          <w:color w:val="000000" w:themeColor="text1"/>
          <w:sz w:val="22"/>
        </w:rPr>
        <w:t>42,</w:t>
      </w:r>
      <w:r w:rsidR="005C36F7">
        <w:rPr>
          <w:rFonts w:ascii="Arial" w:hAnsi="Arial" w:cs="Arial"/>
          <w:color w:val="000000" w:themeColor="text1"/>
          <w:sz w:val="22"/>
        </w:rPr>
        <w:t xml:space="preserve"> </w:t>
      </w:r>
      <w:r w:rsidRPr="005C36F7">
        <w:rPr>
          <w:rFonts w:ascii="Arial" w:hAnsi="Arial" w:cs="Arial"/>
          <w:color w:val="000000" w:themeColor="text1"/>
          <w:sz w:val="22"/>
        </w:rPr>
        <w:t>81-98.</w:t>
      </w:r>
      <w:r w:rsidR="005C36F7">
        <w:rPr>
          <w:rFonts w:ascii="Arial" w:hAnsi="Arial" w:cs="Arial"/>
          <w:color w:val="000000" w:themeColor="text1"/>
          <w:sz w:val="22"/>
        </w:rPr>
        <w:t xml:space="preserve"> </w:t>
      </w:r>
      <w:r w:rsidRPr="005C36F7">
        <w:rPr>
          <w:rFonts w:ascii="Arial" w:hAnsi="Arial" w:cs="Arial"/>
          <w:color w:val="000000" w:themeColor="text1"/>
          <w:sz w:val="22"/>
        </w:rPr>
        <w:t>https://doi: 10.1038/npp.2016.169.</w:t>
      </w:r>
    </w:p>
    <w:p w14:paraId="34551AAF" w14:textId="0112F89B" w:rsidR="00271BEB" w:rsidRPr="005C36F7" w:rsidRDefault="00271BEB" w:rsidP="00A32AAE">
      <w:pPr>
        <w:rPr>
          <w:rFonts w:ascii="Arial" w:hAnsi="Arial" w:cs="Arial"/>
          <w:color w:val="000000" w:themeColor="text1"/>
          <w:sz w:val="22"/>
        </w:rPr>
      </w:pPr>
      <w:r w:rsidRPr="005C36F7">
        <w:rPr>
          <w:rFonts w:ascii="Arial" w:hAnsi="Arial" w:cs="Arial"/>
          <w:color w:val="000000" w:themeColor="text1"/>
          <w:sz w:val="22"/>
        </w:rPr>
        <w:t xml:space="preserve">Berk, M., Williams, L.J., Jacka, F.N., O'Neil, A., Pasco, J.A., Moylan, S., Allen, N.B., Stuart, A.L., Hayley, A.C., Byrne, M.L., Maes, M., 2013. </w:t>
      </w:r>
      <w:proofErr w:type="gramStart"/>
      <w:r w:rsidRPr="005C36F7">
        <w:rPr>
          <w:rFonts w:ascii="Arial" w:hAnsi="Arial" w:cs="Arial"/>
          <w:color w:val="000000" w:themeColor="text1"/>
          <w:sz w:val="22"/>
        </w:rPr>
        <w:t>So</w:t>
      </w:r>
      <w:proofErr w:type="gramEnd"/>
      <w:r w:rsidRPr="005C36F7">
        <w:rPr>
          <w:rFonts w:ascii="Arial" w:hAnsi="Arial" w:cs="Arial"/>
          <w:color w:val="000000" w:themeColor="text1"/>
          <w:sz w:val="22"/>
        </w:rPr>
        <w:t xml:space="preserve"> depression is an inflammatory disease, but where does the inflammation come from? BMC Med. 11,</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200. https://doi: 10.1186/1741-7015-11-200.</w:t>
      </w:r>
    </w:p>
    <w:p w14:paraId="6C2E0120" w14:textId="18B05344" w:rsidR="00A0130E" w:rsidRPr="005C36F7" w:rsidRDefault="00A0130E" w:rsidP="00A32AAE">
      <w:pPr>
        <w:rPr>
          <w:rFonts w:ascii="Arial" w:hAnsi="Arial" w:cs="Arial"/>
          <w:color w:val="000000" w:themeColor="text1"/>
          <w:sz w:val="22"/>
        </w:rPr>
      </w:pPr>
      <w:r w:rsidRPr="005C36F7">
        <w:rPr>
          <w:rFonts w:ascii="Arial" w:hAnsi="Arial" w:cs="Arial"/>
          <w:color w:val="000000" w:themeColor="text1"/>
          <w:sz w:val="22"/>
        </w:rPr>
        <w:t>Bush, T., Richardson, L., Katon, W., Russo, J., Lozano, P., McCauley, E., Oliver, M.,</w:t>
      </w:r>
      <w:r w:rsidR="00E20FC5" w:rsidRPr="005C36F7">
        <w:rPr>
          <w:rFonts w:ascii="Arial" w:hAnsi="Arial" w:cs="Arial"/>
          <w:color w:val="000000" w:themeColor="text1"/>
          <w:sz w:val="22"/>
        </w:rPr>
        <w:t xml:space="preserve"> </w:t>
      </w:r>
      <w:r w:rsidRPr="005C36F7">
        <w:rPr>
          <w:rFonts w:ascii="Arial" w:hAnsi="Arial" w:cs="Arial"/>
          <w:color w:val="000000" w:themeColor="text1"/>
          <w:sz w:val="22"/>
        </w:rPr>
        <w:t>2007. Anxiety and Depressive Disorders Are Associated with Smoking in Adolescents with</w:t>
      </w:r>
      <w:r w:rsidR="005C36F7">
        <w:rPr>
          <w:rFonts w:ascii="Arial" w:hAnsi="Arial" w:cs="Arial"/>
          <w:color w:val="000000" w:themeColor="text1"/>
          <w:sz w:val="22"/>
        </w:rPr>
        <w:t xml:space="preserve"> </w:t>
      </w:r>
      <w:r w:rsidRPr="005C36F7">
        <w:rPr>
          <w:rFonts w:ascii="Arial" w:hAnsi="Arial" w:cs="Arial"/>
          <w:color w:val="000000" w:themeColor="text1"/>
          <w:sz w:val="22"/>
        </w:rPr>
        <w:t>Asthma.</w:t>
      </w:r>
      <w:r w:rsidR="005C36F7">
        <w:rPr>
          <w:rFonts w:ascii="Arial" w:hAnsi="Arial" w:cs="Arial"/>
          <w:color w:val="000000" w:themeColor="text1"/>
          <w:sz w:val="22"/>
        </w:rPr>
        <w:t xml:space="preserve"> </w:t>
      </w:r>
      <w:r w:rsidRPr="005C36F7">
        <w:rPr>
          <w:rFonts w:ascii="Arial" w:hAnsi="Arial" w:cs="Arial"/>
          <w:color w:val="000000" w:themeColor="text1"/>
          <w:sz w:val="22"/>
        </w:rPr>
        <w:t>J Adolesc Health. 40,</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425-432. https://doi: 10.1016/j.jadohealth.2006.11.145.</w:t>
      </w:r>
    </w:p>
    <w:p w14:paraId="5826B884" w14:textId="17733EA4" w:rsidR="00B46F63" w:rsidRPr="005C36F7" w:rsidRDefault="00B46F63" w:rsidP="00A32AAE">
      <w:pPr>
        <w:rPr>
          <w:rFonts w:ascii="Arial" w:hAnsi="Arial" w:cs="Arial"/>
          <w:color w:val="000000" w:themeColor="text1"/>
          <w:sz w:val="22"/>
        </w:rPr>
      </w:pPr>
      <w:r w:rsidRPr="005C36F7">
        <w:rPr>
          <w:rFonts w:ascii="Arial" w:hAnsi="Arial" w:cs="Arial"/>
          <w:color w:val="000000" w:themeColor="text1"/>
          <w:sz w:val="22"/>
        </w:rPr>
        <w:t>Campbell, E.M., Charo, I.F., Kunkel, S.L., Strieter, R.M., Boring, L., Gosling, J., Lukacs, N.W., 1999. Monocyte chemoattractant protein-1 mediates cockroach allergen</w:t>
      </w:r>
      <w:r w:rsidR="002C2137" w:rsidRPr="005C36F7">
        <w:rPr>
          <w:rFonts w:ascii="Arial" w:hAnsi="Arial" w:cs="Arial"/>
          <w:color w:val="000000" w:themeColor="text1"/>
          <w:sz w:val="22"/>
        </w:rPr>
        <w:t xml:space="preserve"> </w:t>
      </w:r>
      <w:r w:rsidRPr="005C36F7">
        <w:rPr>
          <w:rFonts w:ascii="Arial" w:hAnsi="Arial" w:cs="Arial"/>
          <w:color w:val="000000" w:themeColor="text1"/>
          <w:sz w:val="22"/>
        </w:rPr>
        <w:t>induced</w:t>
      </w:r>
      <w:r w:rsidR="002C2137" w:rsidRPr="005C36F7">
        <w:rPr>
          <w:rFonts w:ascii="Arial" w:hAnsi="Arial" w:cs="Arial"/>
          <w:color w:val="000000" w:themeColor="text1"/>
          <w:sz w:val="22"/>
        </w:rPr>
        <w:t xml:space="preserve"> </w:t>
      </w:r>
      <w:r w:rsidRPr="005C36F7">
        <w:rPr>
          <w:rFonts w:ascii="Arial" w:hAnsi="Arial" w:cs="Arial"/>
          <w:color w:val="000000" w:themeColor="text1"/>
          <w:sz w:val="22"/>
        </w:rPr>
        <w:t>bronchial hyperreactivity in normal but not CCR2-/- mice: the role of mast cells. J Immunol.163,</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2160-2167.</w:t>
      </w:r>
    </w:p>
    <w:p w14:paraId="4D14EE53" w14:textId="7DC45B3A" w:rsidR="00E20FC5" w:rsidRPr="005C36F7" w:rsidRDefault="00E20FC5" w:rsidP="00A32AAE">
      <w:pPr>
        <w:rPr>
          <w:rFonts w:ascii="Arial" w:hAnsi="Arial" w:cs="Arial"/>
          <w:color w:val="000000" w:themeColor="text1"/>
          <w:sz w:val="22"/>
        </w:rPr>
      </w:pPr>
      <w:r w:rsidRPr="005C36F7">
        <w:rPr>
          <w:rFonts w:ascii="Arial" w:hAnsi="Arial" w:cs="Arial"/>
          <w:color w:val="000000" w:themeColor="text1"/>
          <w:sz w:val="22"/>
        </w:rPr>
        <w:t>Chen, E., Miller, G.E., 2007. Stress and inflammation in exacerbations of asthma. Brain Behav Immun. 21,</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993-999. https:// doi: 10.1016/j.bbi.2007.03.009.</w:t>
      </w:r>
    </w:p>
    <w:p w14:paraId="2AE476CE" w14:textId="1B7BFB67" w:rsidR="009101C8" w:rsidRPr="005C36F7" w:rsidRDefault="009101C8" w:rsidP="00A32AAE">
      <w:pPr>
        <w:rPr>
          <w:rFonts w:ascii="Arial" w:hAnsi="Arial" w:cs="Arial"/>
          <w:color w:val="000000" w:themeColor="text1"/>
          <w:sz w:val="22"/>
        </w:rPr>
      </w:pPr>
      <w:r w:rsidRPr="005C36F7">
        <w:rPr>
          <w:rFonts w:ascii="Arial" w:hAnsi="Arial" w:cs="Arial"/>
          <w:color w:val="000000" w:themeColor="text1"/>
          <w:sz w:val="22"/>
        </w:rPr>
        <w:t>Choi, G.S., Shin, Y.S., Kim, J.H., Choi, S.Y., Lee, S.K., Nam, Y.H., Lee, Y.M., Park, H.S., Premier Researchers Aiming New Era in Asthma and Allergic Disease (PRANA) Study Group,2014. Prevalence and Risk Factors for Depression in Korean Adult Patients with Asthma: Is There a Difference between Elderly and Non-Elderly Patients? J Korean Med Sci. 29,</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1626-1631. https:// doi: 10.3346/jkms.2014.29.12.1626.</w:t>
      </w:r>
    </w:p>
    <w:p w14:paraId="58F0DB57" w14:textId="41104A2C" w:rsidR="004C7DE4" w:rsidRPr="005C36F7" w:rsidRDefault="0000709D" w:rsidP="00A32AAE">
      <w:pPr>
        <w:rPr>
          <w:rFonts w:ascii="Arial" w:hAnsi="Arial" w:cs="Arial"/>
          <w:color w:val="000000" w:themeColor="text1"/>
          <w:sz w:val="22"/>
        </w:rPr>
      </w:pPr>
      <w:r w:rsidRPr="005C36F7">
        <w:rPr>
          <w:rFonts w:ascii="Arial" w:hAnsi="Arial" w:cs="Arial"/>
          <w:color w:val="000000" w:themeColor="text1"/>
          <w:sz w:val="22"/>
        </w:rPr>
        <w:t>Cooper, C.L., Parry, G.D., Saul, C., Morice, A.H., Hutchcroft, B.J., Moore, J., Esmonde, L.,</w:t>
      </w:r>
      <w:r w:rsidR="005517A8" w:rsidRPr="005C36F7">
        <w:rPr>
          <w:rFonts w:ascii="Arial" w:hAnsi="Arial" w:cs="Arial"/>
          <w:color w:val="000000" w:themeColor="text1"/>
          <w:sz w:val="22"/>
        </w:rPr>
        <w:t xml:space="preserve"> 2007. Anxiety and panic fear in adults with asthma: prevalence in primary care. BMC Fam Pract. 8, 62. https:// doi: 10.1186/1471-2296-8-62.</w:t>
      </w:r>
    </w:p>
    <w:p w14:paraId="0A1EC410" w14:textId="3D291196" w:rsidR="00B94054" w:rsidRPr="005C36F7" w:rsidRDefault="00B94054" w:rsidP="00A32AAE">
      <w:pPr>
        <w:rPr>
          <w:rFonts w:ascii="Arial" w:hAnsi="Arial" w:cs="Arial"/>
          <w:color w:val="000000" w:themeColor="text1"/>
          <w:sz w:val="22"/>
        </w:rPr>
      </w:pPr>
      <w:r w:rsidRPr="005C36F7">
        <w:rPr>
          <w:rFonts w:ascii="Arial" w:hAnsi="Arial" w:cs="Arial"/>
          <w:color w:val="000000" w:themeColor="text1"/>
          <w:sz w:val="22"/>
        </w:rPr>
        <w:t>de Jong, E.K., Vinet, J., Stanulovic, V.S., Meijer, M., Wesseling, E., Sjollema, K., Boddeke, H.W., Biber, K., 2008. Expression, transport, and axonal sorting of neuronal CCL21 in large dense-core vesicles. FASEB J. 22,4136-4145. https:// doi: 10.1096/fj.07-101907.</w:t>
      </w:r>
    </w:p>
    <w:p w14:paraId="49944262" w14:textId="3279564E" w:rsidR="00614B5A" w:rsidRPr="005C36F7" w:rsidRDefault="00614B5A" w:rsidP="00A32AAE">
      <w:pPr>
        <w:rPr>
          <w:rFonts w:ascii="Arial" w:hAnsi="Arial" w:cs="Arial"/>
          <w:color w:val="000000" w:themeColor="text1"/>
          <w:sz w:val="22"/>
        </w:rPr>
      </w:pPr>
      <w:r w:rsidRPr="005C36F7">
        <w:rPr>
          <w:rFonts w:ascii="Arial" w:hAnsi="Arial" w:cs="Arial"/>
          <w:color w:val="000000" w:themeColor="text1"/>
          <w:sz w:val="22"/>
        </w:rPr>
        <w:t>de Nadaï, P., Charbonnier, A.S., Chenivesse, C., Sénéchal, S., Fournier, C., Gilet, J., Vorng, H., Chang, Y., Gosset, P., Wallaert, B., Tonnel, A.B., Lassalle, P., Tsicopoulos, A.,</w:t>
      </w:r>
      <w:r w:rsidR="002C1002" w:rsidRPr="005C36F7">
        <w:rPr>
          <w:rFonts w:ascii="Arial" w:hAnsi="Arial" w:cs="Arial"/>
          <w:color w:val="000000" w:themeColor="text1"/>
          <w:sz w:val="22"/>
        </w:rPr>
        <w:t xml:space="preserve"> 2006. Involvement of CCL18 in allergic asthma. J Immunol. 176,6286-6293. https://doi: 10.4049/ jimmunol. 176. 10. 6286.</w:t>
      </w:r>
    </w:p>
    <w:p w14:paraId="20BBBFB2" w14:textId="7F17C539" w:rsidR="003C64BF" w:rsidRPr="005C36F7" w:rsidRDefault="00B36F62" w:rsidP="00A32AAE">
      <w:pPr>
        <w:rPr>
          <w:rFonts w:ascii="Arial" w:hAnsi="Arial" w:cs="Arial"/>
          <w:color w:val="000000" w:themeColor="text1"/>
          <w:sz w:val="22"/>
        </w:rPr>
      </w:pPr>
      <w:r w:rsidRPr="005C36F7">
        <w:rPr>
          <w:rFonts w:ascii="Arial" w:hAnsi="Arial" w:cs="Arial"/>
          <w:color w:val="000000" w:themeColor="text1"/>
          <w:sz w:val="22"/>
        </w:rPr>
        <w:t>Del Giacco, S.R., Cappai, A., Gambula, L., Cabras, S., Perra, S., Manconi, P.E., Carpiniello, B., Pinna, F.,</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2016.</w:t>
      </w:r>
      <w:r w:rsidR="001375EA" w:rsidRPr="005C36F7">
        <w:rPr>
          <w:rFonts w:ascii="Arial" w:hAnsi="Arial" w:cs="Arial"/>
          <w:color w:val="000000" w:themeColor="text1"/>
          <w:sz w:val="22"/>
        </w:rPr>
        <w:t xml:space="preserve"> The asthma-anxiety connection. Respir Med. 120,44-53.</w:t>
      </w:r>
      <w:r w:rsidR="003C64BF" w:rsidRPr="005C36F7">
        <w:rPr>
          <w:rFonts w:ascii="Arial" w:hAnsi="Arial" w:cs="Arial"/>
          <w:color w:val="000000" w:themeColor="text1"/>
          <w:sz w:val="22"/>
        </w:rPr>
        <w:t xml:space="preserve"> https://doi: 10.1016/j.rmed.</w:t>
      </w:r>
    </w:p>
    <w:p w14:paraId="7AD33E74" w14:textId="5DB5D9C4" w:rsidR="00B36F62" w:rsidRPr="005C36F7" w:rsidRDefault="003C64BF" w:rsidP="00A32AAE">
      <w:pPr>
        <w:rPr>
          <w:rFonts w:ascii="Arial" w:hAnsi="Arial" w:cs="Arial"/>
          <w:color w:val="000000" w:themeColor="text1"/>
          <w:sz w:val="22"/>
        </w:rPr>
      </w:pPr>
      <w:r w:rsidRPr="005C36F7">
        <w:rPr>
          <w:rFonts w:ascii="Arial" w:hAnsi="Arial" w:cs="Arial"/>
          <w:color w:val="000000" w:themeColor="text1"/>
          <w:sz w:val="22"/>
        </w:rPr>
        <w:t>2016.09.014.</w:t>
      </w:r>
    </w:p>
    <w:p w14:paraId="7E9CA746" w14:textId="267328E0" w:rsidR="001A69C1" w:rsidRPr="005C36F7" w:rsidRDefault="001A69C1" w:rsidP="00A32AAE">
      <w:pPr>
        <w:rPr>
          <w:rFonts w:ascii="Arial" w:hAnsi="Arial" w:cs="Arial"/>
          <w:color w:val="000000" w:themeColor="text1"/>
          <w:sz w:val="22"/>
        </w:rPr>
      </w:pPr>
      <w:r w:rsidRPr="005C36F7">
        <w:rPr>
          <w:rFonts w:ascii="Arial" w:hAnsi="Arial" w:cs="Arial"/>
          <w:color w:val="000000" w:themeColor="text1"/>
          <w:sz w:val="22"/>
        </w:rPr>
        <w:t>Dhaouadi, T., Sfar, I., Aounallah-Skhiri, H., Jendoubi-Ayed, S., Bouacha, H., Ben Abdallah, T., Gorgi, Y., 2013. MCP-1, CCR2 and CCR5 polymorphisms in Tunisian patients with atopic asthma. Iran J Allergy Asthma Immunol. 12,</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 xml:space="preserve">29-36. </w:t>
      </w:r>
      <w:r w:rsidR="00B46F63" w:rsidRPr="005C36F7">
        <w:rPr>
          <w:rFonts w:ascii="Arial" w:hAnsi="Arial" w:cs="Arial"/>
          <w:color w:val="000000" w:themeColor="text1"/>
          <w:sz w:val="22"/>
        </w:rPr>
        <w:t xml:space="preserve">https:// </w:t>
      </w:r>
      <w:r w:rsidRPr="005C36F7">
        <w:rPr>
          <w:rFonts w:ascii="Arial" w:hAnsi="Arial" w:cs="Arial"/>
          <w:color w:val="000000" w:themeColor="text1"/>
          <w:sz w:val="22"/>
        </w:rPr>
        <w:t>10.1186/1479-5876-9-S2-P10</w:t>
      </w:r>
      <w:r w:rsidR="00B46F63" w:rsidRPr="005C36F7">
        <w:rPr>
          <w:rFonts w:ascii="Arial" w:hAnsi="Arial" w:cs="Arial"/>
          <w:color w:val="000000" w:themeColor="text1"/>
          <w:sz w:val="22"/>
        </w:rPr>
        <w:t>.</w:t>
      </w:r>
    </w:p>
    <w:p w14:paraId="7CFC2BF3" w14:textId="2C53D73E" w:rsidR="00EA4EBC" w:rsidRPr="005C36F7" w:rsidRDefault="00293AC9" w:rsidP="00A32AAE">
      <w:pPr>
        <w:rPr>
          <w:rFonts w:ascii="Arial" w:hAnsi="Arial" w:cs="Arial"/>
          <w:color w:val="000000" w:themeColor="text1"/>
          <w:sz w:val="22"/>
        </w:rPr>
      </w:pPr>
      <w:r w:rsidRPr="005C36F7">
        <w:rPr>
          <w:rFonts w:ascii="Arial" w:hAnsi="Arial" w:cs="Arial"/>
          <w:color w:val="000000" w:themeColor="text1"/>
          <w:sz w:val="22"/>
        </w:rPr>
        <w:t>Edwards, M.R., Saglani, S., Schwarze, J., Skevaki, C., Smith, J.A., Ainsworth, B., Almond, M., Andreakos, E., Belvisi, M.G., Chung, K.F., Cookson, W., Cullinan, P., Hawrylowicz, C., Lommatzsch, M., Jackson, D., Lutter, R., Marsland, B., Moffatt, M., Thomas, M., Virchow, J.C., Xanthou,G., Edwards, J.,  Walker, S.,  Johnston, S.L., members of the EARIP WP2 working group,2017. Addressing unmet needs in understanding asthma mechanisms: From the European Asthma Research and Innovation Partnership (EARIP) Work Package (WP)2 collaborators. Eur Respir J.</w:t>
      </w:r>
      <w:r w:rsidR="00C81045" w:rsidRPr="005C36F7">
        <w:rPr>
          <w:rFonts w:ascii="Arial" w:hAnsi="Arial" w:cs="Arial"/>
          <w:color w:val="000000" w:themeColor="text1"/>
          <w:sz w:val="22"/>
        </w:rPr>
        <w:t>49, 1602448.</w:t>
      </w:r>
      <w:r w:rsidR="00A327C0" w:rsidRPr="005C36F7">
        <w:rPr>
          <w:rFonts w:ascii="Arial" w:hAnsi="Arial" w:cs="Arial"/>
          <w:color w:val="000000" w:themeColor="text1"/>
          <w:sz w:val="22"/>
        </w:rPr>
        <w:t xml:space="preserve"> https://doi: 10.1183/13993003.02448-2016.</w:t>
      </w:r>
    </w:p>
    <w:p w14:paraId="11110432" w14:textId="2BA5017E" w:rsidR="00C37EDB" w:rsidRPr="005C36F7" w:rsidRDefault="00C37EDB" w:rsidP="00A32AAE">
      <w:pPr>
        <w:rPr>
          <w:rFonts w:ascii="Arial" w:hAnsi="Arial" w:cs="Arial"/>
          <w:color w:val="000000" w:themeColor="text1"/>
          <w:sz w:val="22"/>
        </w:rPr>
      </w:pPr>
      <w:r w:rsidRPr="005C36F7">
        <w:rPr>
          <w:rFonts w:ascii="Arial" w:hAnsi="Arial" w:cs="Arial"/>
          <w:color w:val="000000" w:themeColor="text1"/>
          <w:sz w:val="22"/>
        </w:rPr>
        <w:t>Faull, O.K., Jenkinson, M., Ezra, M., Pattinson, K.Ts., 2016. Conditioned respiratory threat in the subdivisions of the human periaqueductal gray. Elife. 5:e12047. https://doi: 10.7554/eLife.12047.</w:t>
      </w:r>
    </w:p>
    <w:p w14:paraId="2091C237" w14:textId="5FA20678" w:rsidR="00BD66A2" w:rsidRPr="005C36F7" w:rsidRDefault="00BD66A2" w:rsidP="00A32AAE">
      <w:pPr>
        <w:rPr>
          <w:rFonts w:ascii="Arial" w:hAnsi="Arial" w:cs="Arial"/>
          <w:color w:val="000000" w:themeColor="text1"/>
          <w:sz w:val="22"/>
        </w:rPr>
      </w:pPr>
      <w:r w:rsidRPr="005C36F7">
        <w:rPr>
          <w:rFonts w:ascii="Arial" w:hAnsi="Arial" w:cs="Arial"/>
          <w:color w:val="000000" w:themeColor="text1"/>
          <w:sz w:val="22"/>
        </w:rPr>
        <w:t>Gada, E., Khan, D.A., DeFina, L.F., Brown, E.S.,</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2014. The relationship between asthma and self-reported anxiety in a predominantly healthy adult population. Ann Allergy Asthma Immunol. 112,</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329–332. https://doi: 10.1016/j.anai.2013.08.027.</w:t>
      </w:r>
    </w:p>
    <w:p w14:paraId="23E7DEA7" w14:textId="35FF98DC" w:rsidR="00E31815" w:rsidRPr="005C36F7" w:rsidRDefault="00E31815" w:rsidP="00A32AAE">
      <w:pPr>
        <w:rPr>
          <w:rFonts w:ascii="Arial" w:hAnsi="Arial" w:cs="Arial"/>
          <w:color w:val="000000" w:themeColor="text1"/>
          <w:sz w:val="22"/>
        </w:rPr>
      </w:pPr>
      <w:r w:rsidRPr="005C36F7">
        <w:rPr>
          <w:rFonts w:ascii="Arial" w:hAnsi="Arial" w:cs="Arial"/>
          <w:color w:val="000000" w:themeColor="text1"/>
          <w:sz w:val="22"/>
        </w:rPr>
        <w:t>Ferreira., M.A., Matheson, M.C., Duffy, D.L., Marks, G.B., Hui, J., Le Souëf, P., Danoy, P., Baltic, S., Nyholt, D.R., Jenkins, M., Hayden, C., Willemsen, G., Ang, W., Kuokkanen, M., Beilby, J., Cheah, F., de Geus, E.J., Ramasamy, A., Vedantam, S., Salomaa, V., Madden, P.A., Heath, A.C., Hopper, J.L., Visscher, P.M., Musk, B., Leeder, S.R., Jarvelin, M.R., Pennell, C., Boomsma, D.I., Hirschhorn, J.N., Walters, H., Martin, N.G., James, A., Jones, G., Abramson, M.J., Robertson, C.F., Dharmage, S.C., Brown, M.A., Montgomery, G.W., Thompson, P.J., Australian Asthma Genetics Consortium,</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2011. Identification of IL6R and chromosome 11q13.5 as risk loci for asthma. Lancet. 378,</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1006-1014. https://doi: 10.1016/S0140-6736(11)60874-X.</w:t>
      </w:r>
    </w:p>
    <w:p w14:paraId="7288163D" w14:textId="0E7B4EDA" w:rsidR="008C6452" w:rsidRPr="005C36F7" w:rsidRDefault="008C6452" w:rsidP="00A32AAE">
      <w:pPr>
        <w:rPr>
          <w:rFonts w:ascii="Arial" w:hAnsi="Arial" w:cs="Arial"/>
          <w:color w:val="000000" w:themeColor="text1"/>
          <w:sz w:val="22"/>
        </w:rPr>
      </w:pPr>
      <w:r w:rsidRPr="005C36F7">
        <w:rPr>
          <w:rFonts w:ascii="Arial" w:hAnsi="Arial" w:cs="Arial"/>
          <w:color w:val="000000" w:themeColor="text1"/>
          <w:sz w:val="22"/>
        </w:rPr>
        <w:t>Goodwin, R.D.,</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2003. Asthma and anxiety disorder. Adv Psychosom Med. 24,</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51–71. https://doi: 10.1159/000073780.</w:t>
      </w:r>
    </w:p>
    <w:p w14:paraId="40CC20EE" w14:textId="4C25E507" w:rsidR="00490B9F" w:rsidRPr="005C36F7" w:rsidRDefault="00490B9F" w:rsidP="00A32AAE">
      <w:pPr>
        <w:rPr>
          <w:rFonts w:ascii="Arial" w:hAnsi="Arial" w:cs="Arial"/>
          <w:color w:val="000000" w:themeColor="text1"/>
          <w:sz w:val="22"/>
        </w:rPr>
      </w:pPr>
      <w:r w:rsidRPr="005C36F7">
        <w:rPr>
          <w:rFonts w:ascii="Arial" w:hAnsi="Arial" w:cs="Arial"/>
          <w:color w:val="000000" w:themeColor="text1"/>
          <w:sz w:val="22"/>
        </w:rPr>
        <w:t>Goodwin, R.D., Olfson, M., Shea, S., Lantigua, R.A., Carrasquilo, O., Gameroff, M.J., Weissman, M.M.,</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 xml:space="preserve">2003. Asthma and mental disorders in primary care. Gen Hosp Psychiatry. </w:t>
      </w:r>
      <w:r w:rsidR="006477F9" w:rsidRPr="005C36F7">
        <w:rPr>
          <w:rFonts w:ascii="Arial" w:hAnsi="Arial" w:cs="Arial"/>
          <w:color w:val="000000" w:themeColor="text1"/>
          <w:sz w:val="22"/>
        </w:rPr>
        <w:t>25</w:t>
      </w:r>
      <w:r w:rsidRPr="005C36F7">
        <w:rPr>
          <w:rFonts w:ascii="Arial" w:hAnsi="Arial" w:cs="Arial"/>
          <w:color w:val="000000" w:themeColor="text1"/>
          <w:sz w:val="22"/>
        </w:rPr>
        <w:t>,</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479-</w:t>
      </w:r>
      <w:r w:rsidR="00801331" w:rsidRPr="005C36F7">
        <w:rPr>
          <w:rFonts w:ascii="Arial" w:hAnsi="Arial" w:cs="Arial"/>
          <w:color w:val="000000" w:themeColor="text1"/>
          <w:sz w:val="22"/>
        </w:rPr>
        <w:t>4</w:t>
      </w:r>
      <w:r w:rsidRPr="005C36F7">
        <w:rPr>
          <w:rFonts w:ascii="Arial" w:hAnsi="Arial" w:cs="Arial"/>
          <w:color w:val="000000" w:themeColor="text1"/>
          <w:sz w:val="22"/>
        </w:rPr>
        <w:t>83. https://doi: 10.1016/s0163-8343(03)00071-9.</w:t>
      </w:r>
    </w:p>
    <w:p w14:paraId="52632A2F" w14:textId="45B05502" w:rsidR="00A44E10" w:rsidRPr="005C36F7" w:rsidRDefault="00737750" w:rsidP="00A32AAE">
      <w:pPr>
        <w:rPr>
          <w:rFonts w:ascii="Arial" w:hAnsi="Arial" w:cs="Arial"/>
          <w:color w:val="000000" w:themeColor="text1"/>
          <w:sz w:val="22"/>
        </w:rPr>
      </w:pPr>
      <w:r w:rsidRPr="005C36F7">
        <w:rPr>
          <w:rFonts w:ascii="Arial" w:hAnsi="Arial" w:cs="Arial"/>
          <w:color w:val="000000" w:themeColor="text1"/>
          <w:sz w:val="22"/>
        </w:rPr>
        <w:t>Goodwin, R.D., Pine, D.S., Hoven, C.W.,</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2003. Asthma and panic attacks among youth in the community. J Asthma. 40,</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139-145. https://doi: 10.1081/jas-120017984.</w:t>
      </w:r>
    </w:p>
    <w:p w14:paraId="142A8625" w14:textId="0887F1AE" w:rsidR="00F975BD" w:rsidRPr="005C36F7" w:rsidRDefault="00F975BD" w:rsidP="00A32AAE">
      <w:pPr>
        <w:rPr>
          <w:rFonts w:ascii="Arial" w:hAnsi="Arial" w:cs="Arial"/>
          <w:color w:val="000000" w:themeColor="text1"/>
          <w:sz w:val="22"/>
        </w:rPr>
      </w:pPr>
      <w:r w:rsidRPr="005C36F7">
        <w:rPr>
          <w:rFonts w:ascii="Arial" w:hAnsi="Arial" w:cs="Arial"/>
          <w:color w:val="000000" w:themeColor="text1"/>
          <w:sz w:val="22"/>
        </w:rPr>
        <w:t xml:space="preserve">Hasegawa, T., Koya, T., Sakagami, T., Muramatsu, Y., Muramatsu, K., Kagamu, H., Mashima, I., Arakawa, M., Gejyo, F., Miyaoka, H., Kamijima, K., Narita, I., Suzuki, E., 2012. Analysis of depression in asthmatic patients using the Japanese version of Patient Health Questionnaire-9. </w:t>
      </w:r>
      <w:r w:rsidR="00E17E6F" w:rsidRPr="005C36F7">
        <w:rPr>
          <w:rFonts w:ascii="Arial" w:hAnsi="Arial" w:cs="Arial"/>
          <w:color w:val="000000" w:themeColor="text1"/>
          <w:sz w:val="22"/>
        </w:rPr>
        <w:t xml:space="preserve">Allergol Int. </w:t>
      </w:r>
      <w:r w:rsidRPr="005C36F7">
        <w:rPr>
          <w:rFonts w:ascii="Arial" w:hAnsi="Arial" w:cs="Arial"/>
          <w:color w:val="000000" w:themeColor="text1"/>
          <w:sz w:val="22"/>
        </w:rPr>
        <w:t>61,</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475-</w:t>
      </w:r>
      <w:r w:rsidR="00E17E6F" w:rsidRPr="005C36F7">
        <w:rPr>
          <w:rFonts w:ascii="Arial" w:hAnsi="Arial" w:cs="Arial"/>
          <w:color w:val="000000" w:themeColor="text1"/>
          <w:sz w:val="22"/>
        </w:rPr>
        <w:t>4</w:t>
      </w:r>
      <w:r w:rsidRPr="005C36F7">
        <w:rPr>
          <w:rFonts w:ascii="Arial" w:hAnsi="Arial" w:cs="Arial"/>
          <w:color w:val="000000" w:themeColor="text1"/>
          <w:sz w:val="22"/>
        </w:rPr>
        <w:t>87. https:// doi: 10.2332/allergolint.11-OA-0413.</w:t>
      </w:r>
    </w:p>
    <w:p w14:paraId="070F4C33" w14:textId="0EE872B8" w:rsidR="00A95E82" w:rsidRPr="005C36F7" w:rsidRDefault="00A95E82" w:rsidP="00A32AAE">
      <w:pPr>
        <w:rPr>
          <w:rFonts w:ascii="Arial" w:hAnsi="Arial" w:cs="Arial"/>
          <w:color w:val="000000" w:themeColor="text1"/>
          <w:sz w:val="22"/>
        </w:rPr>
      </w:pPr>
      <w:r w:rsidRPr="005C36F7">
        <w:rPr>
          <w:rFonts w:ascii="Arial" w:hAnsi="Arial" w:cs="Arial"/>
          <w:color w:val="000000" w:themeColor="text1"/>
          <w:sz w:val="22"/>
        </w:rPr>
        <w:t>Heinisch, S., Kirby, L.G., 2009. Fractalkine/CX3CL1 enhances GABA synaptic activity at serotonin neurons in the rat dorsal raphe nucleus. Neuroscience. 164,</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1210-1223. https://doi: 10.1016/ j. neuroscience.2009.08.075.</w:t>
      </w:r>
    </w:p>
    <w:p w14:paraId="0F5B41E8" w14:textId="6E015EC9" w:rsidR="004F12B8" w:rsidRPr="005C36F7" w:rsidRDefault="00637743" w:rsidP="00A32AAE">
      <w:pPr>
        <w:rPr>
          <w:rFonts w:ascii="Arial" w:hAnsi="Arial" w:cs="Arial"/>
          <w:color w:val="000000" w:themeColor="text1"/>
          <w:sz w:val="22"/>
        </w:rPr>
      </w:pPr>
      <w:r w:rsidRPr="005C36F7">
        <w:rPr>
          <w:rFonts w:ascii="Arial" w:hAnsi="Arial" w:cs="Arial"/>
          <w:color w:val="000000" w:themeColor="text1"/>
          <w:sz w:val="22"/>
        </w:rPr>
        <w:t>Hou, R., Baldwin, D.S.,</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2012. A neuroimmunological perspective on anxiety disorders. Hum Psychopharmacol. 27,</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6-14.</w:t>
      </w:r>
      <w:r w:rsidR="00CF7F4C" w:rsidRPr="005C36F7">
        <w:rPr>
          <w:rFonts w:ascii="Arial" w:hAnsi="Arial" w:cs="Arial"/>
          <w:color w:val="000000" w:themeColor="text1"/>
          <w:sz w:val="22"/>
        </w:rPr>
        <w:t xml:space="preserve"> https://</w:t>
      </w:r>
      <w:r w:rsidRPr="005C36F7">
        <w:rPr>
          <w:rFonts w:ascii="Arial" w:hAnsi="Arial" w:cs="Arial"/>
          <w:color w:val="000000" w:themeColor="text1"/>
          <w:sz w:val="22"/>
        </w:rPr>
        <w:t xml:space="preserve"> doi: 10.1002/hup.1259.</w:t>
      </w:r>
    </w:p>
    <w:p w14:paraId="2BA2A13E" w14:textId="2DEB9FE2" w:rsidR="00A402A9" w:rsidRDefault="00C15513" w:rsidP="00A402A9">
      <w:pPr>
        <w:rPr>
          <w:rFonts w:ascii="Arial" w:hAnsi="Arial" w:cs="Arial"/>
          <w:color w:val="000000" w:themeColor="text1"/>
          <w:sz w:val="22"/>
        </w:rPr>
      </w:pPr>
      <w:r w:rsidRPr="005C36F7">
        <w:rPr>
          <w:rFonts w:ascii="Arial" w:hAnsi="Arial" w:cs="Arial"/>
          <w:color w:val="000000" w:themeColor="text1"/>
          <w:sz w:val="22"/>
        </w:rPr>
        <w:t>Iwata, M., Ota, K.T., Duman, R.S., 2013. The inflammasome: pathways linking psychological stress, depression, and systemic illnesses. Brain Behav Immun. 31,</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105-114. https:// doi: 10.1016/ j.</w:t>
      </w:r>
      <w:r w:rsidR="006548FB" w:rsidRPr="005C36F7">
        <w:rPr>
          <w:rFonts w:ascii="Arial" w:hAnsi="Arial" w:cs="Arial"/>
          <w:color w:val="000000" w:themeColor="text1"/>
          <w:sz w:val="22"/>
        </w:rPr>
        <w:t xml:space="preserve"> bbi.</w:t>
      </w:r>
      <w:r w:rsidR="00A402A9" w:rsidRPr="00A402A9">
        <w:rPr>
          <w:rFonts w:ascii="Arial" w:hAnsi="Arial" w:cs="Arial"/>
          <w:color w:val="000000" w:themeColor="text1"/>
          <w:sz w:val="22"/>
        </w:rPr>
        <w:t xml:space="preserve"> </w:t>
      </w:r>
      <w:r w:rsidR="00A402A9" w:rsidRPr="005C36F7">
        <w:rPr>
          <w:rFonts w:ascii="Arial" w:hAnsi="Arial" w:cs="Arial"/>
          <w:color w:val="000000" w:themeColor="text1"/>
          <w:sz w:val="22"/>
        </w:rPr>
        <w:t>2012.12.008.</w:t>
      </w:r>
    </w:p>
    <w:p w14:paraId="6ECEB4A1" w14:textId="7612C421" w:rsidR="00A402A9" w:rsidRPr="005C36F7" w:rsidRDefault="00A402A9" w:rsidP="00A32AAE">
      <w:pPr>
        <w:rPr>
          <w:rFonts w:ascii="Arial" w:hAnsi="Arial" w:cs="Arial"/>
          <w:color w:val="000000" w:themeColor="text1"/>
          <w:sz w:val="22"/>
        </w:rPr>
      </w:pPr>
      <w:r w:rsidRPr="00A402A9">
        <w:rPr>
          <w:rFonts w:ascii="Arial" w:hAnsi="Arial" w:cs="Arial"/>
          <w:color w:val="000000" w:themeColor="text1"/>
          <w:sz w:val="22"/>
        </w:rPr>
        <w:t>Jevnikar Z, Östling J, Ax E, Calvén J, Thörn K, Israelsson E, Öberg L, Singhania A, Lau LCK, Wilson SJ, Ward JA, Chauhan A, Sousa AR, De Meulder B, Loza MJ, Baribaud F, Sterk PJ, Chung KF, Sun K, Guo Y, Adcock IM, Payne D, Dahlen B, Chanez P, Shaw DE, Krug N, Hohlfeld JM, Sandström T, Djukanovic R, James A, Hinks TSC, Howarth PH, Vaarala O, van Geest M, Olsson H; Unbiased Biomarkers in Prediction of Respiratory Disease Outcomes study group. Epithelial IL-6 trans-signaling defines a new asthma phenotype with increased airway inflammation. J Allergy Clin Immunol. 2019 Feb;143(2):577-590. doi: 10.1016/j.jaci.2018.05.026. Epub 2018 Jun 11. PMID: 29902480.</w:t>
      </w:r>
    </w:p>
    <w:p w14:paraId="04C4D253" w14:textId="0036A66B" w:rsidR="00975246" w:rsidRPr="005C36F7" w:rsidRDefault="00975246" w:rsidP="00A32AAE">
      <w:pPr>
        <w:rPr>
          <w:rFonts w:ascii="Arial" w:hAnsi="Arial" w:cs="Arial"/>
          <w:color w:val="000000" w:themeColor="text1"/>
          <w:sz w:val="22"/>
        </w:rPr>
      </w:pPr>
      <w:r w:rsidRPr="005C36F7">
        <w:rPr>
          <w:rFonts w:ascii="Arial" w:hAnsi="Arial" w:cs="Arial"/>
          <w:color w:val="000000" w:themeColor="text1"/>
          <w:sz w:val="22"/>
        </w:rPr>
        <w:t>Jiang, M., Qin, P., Yang, X.,</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 xml:space="preserve">2014. Comorbidity between depression and asthma via immune-inflammatory pathways : a meta-analysis. J Affect Disord. 166, 22-29. </w:t>
      </w:r>
      <w:r w:rsidR="00DD2FF8" w:rsidRPr="005C36F7">
        <w:rPr>
          <w:rFonts w:ascii="Arial" w:hAnsi="Arial" w:cs="Arial"/>
          <w:color w:val="000000" w:themeColor="text1"/>
          <w:sz w:val="22"/>
        </w:rPr>
        <w:t xml:space="preserve">https:// </w:t>
      </w:r>
      <w:r w:rsidRPr="005C36F7">
        <w:rPr>
          <w:rFonts w:ascii="Arial" w:hAnsi="Arial" w:cs="Arial"/>
          <w:color w:val="000000" w:themeColor="text1"/>
          <w:sz w:val="22"/>
        </w:rPr>
        <w:t>doi: 10.1016/ j. jad. 2014.04.027.</w:t>
      </w:r>
    </w:p>
    <w:p w14:paraId="61EA61F5" w14:textId="2819B960" w:rsidR="003517E7" w:rsidRPr="005C36F7" w:rsidRDefault="003517E7" w:rsidP="00A32AAE">
      <w:pPr>
        <w:rPr>
          <w:rFonts w:ascii="Arial" w:hAnsi="Arial" w:cs="Arial"/>
          <w:color w:val="000000" w:themeColor="text1"/>
          <w:sz w:val="22"/>
        </w:rPr>
      </w:pPr>
      <w:r w:rsidRPr="005C36F7">
        <w:rPr>
          <w:rFonts w:ascii="Arial" w:hAnsi="Arial" w:cs="Arial"/>
          <w:color w:val="000000" w:themeColor="text1"/>
          <w:sz w:val="22"/>
        </w:rPr>
        <w:t>Jo, K.M., Lim, H.K., Sull, J.W., Choi, E., Lee, J.S., Cheong, M.A., Hong, M.H., Kim, Y., Kim, I.S., 2018. Thymus and activation-regulated chemokine (TARC)/CCL17 and IgE are associated with elderly asthmatics. Immun Ageing. 15,</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13. https:// doi: 10.1186/s12979-018-0118-7.</w:t>
      </w:r>
    </w:p>
    <w:p w14:paraId="7CD05DDB" w14:textId="53A232D0" w:rsidR="006477F9" w:rsidRPr="005C36F7" w:rsidRDefault="006477F9" w:rsidP="00A32AAE">
      <w:pPr>
        <w:rPr>
          <w:rFonts w:ascii="Arial" w:hAnsi="Arial" w:cs="Arial"/>
          <w:color w:val="000000" w:themeColor="text1"/>
          <w:sz w:val="22"/>
        </w:rPr>
      </w:pPr>
      <w:r w:rsidRPr="005C36F7">
        <w:rPr>
          <w:rFonts w:ascii="Arial" w:hAnsi="Arial" w:cs="Arial"/>
          <w:color w:val="000000" w:themeColor="text1"/>
          <w:sz w:val="22"/>
        </w:rPr>
        <w:t>Katon, W.J.,</w:t>
      </w:r>
      <w:r w:rsidR="00FC582A" w:rsidRPr="005C36F7">
        <w:rPr>
          <w:rFonts w:ascii="Arial" w:hAnsi="Arial" w:cs="Arial"/>
          <w:color w:val="000000" w:themeColor="text1"/>
          <w:sz w:val="22"/>
        </w:rPr>
        <w:t xml:space="preserve"> </w:t>
      </w:r>
      <w:r w:rsidRPr="005C36F7">
        <w:rPr>
          <w:rFonts w:ascii="Arial" w:hAnsi="Arial" w:cs="Arial"/>
          <w:color w:val="000000" w:themeColor="text1"/>
          <w:sz w:val="22"/>
        </w:rPr>
        <w:t>Richardson, L.,</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Lozano, P.,</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Mccauley, E.,</w:t>
      </w:r>
      <w:r w:rsidR="00FC582A" w:rsidRPr="005C36F7">
        <w:rPr>
          <w:rFonts w:ascii="Arial" w:hAnsi="Arial" w:cs="Arial"/>
          <w:color w:val="000000" w:themeColor="text1"/>
          <w:sz w:val="22"/>
        </w:rPr>
        <w:t xml:space="preserve"> </w:t>
      </w:r>
      <w:r w:rsidRPr="005C36F7">
        <w:rPr>
          <w:rFonts w:ascii="Arial" w:hAnsi="Arial" w:cs="Arial"/>
          <w:color w:val="000000" w:themeColor="text1"/>
          <w:sz w:val="22"/>
        </w:rPr>
        <w:t>2004. The relationship of asthma and anxiety disorders.</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Psychosom Med. 66,</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349–355.</w:t>
      </w:r>
      <w:r w:rsidR="0098313F" w:rsidRPr="005C36F7">
        <w:rPr>
          <w:rFonts w:ascii="Arial" w:hAnsi="Arial" w:cs="Arial"/>
          <w:color w:val="000000" w:themeColor="text1"/>
          <w:sz w:val="22"/>
        </w:rPr>
        <w:t xml:space="preserve"> https://doi: 10.1097/01.psy.0000126202.89941.ea.</w:t>
      </w:r>
    </w:p>
    <w:p w14:paraId="0AEA1E1E" w14:textId="48C73024" w:rsidR="008E18F4" w:rsidRPr="005C36F7" w:rsidRDefault="008E18F4" w:rsidP="00A32AAE">
      <w:pPr>
        <w:rPr>
          <w:rFonts w:ascii="Arial" w:hAnsi="Arial" w:cs="Arial"/>
          <w:color w:val="000000" w:themeColor="text1"/>
          <w:sz w:val="22"/>
        </w:rPr>
      </w:pPr>
      <w:r w:rsidRPr="005C36F7">
        <w:rPr>
          <w:rFonts w:ascii="Arial" w:hAnsi="Arial" w:cs="Arial"/>
          <w:color w:val="000000" w:themeColor="text1"/>
          <w:sz w:val="22"/>
        </w:rPr>
        <w:t>Kiecolt-Glaser, J.K., Preacher, K.J., MacCallum, R.C., Atkinson, C., Malarkey, W.B., Glaser, R., 2003. Chronic stress and age-related increases in the proinflammatory cytokine IL-6. Proc Natl Acad Sci U S A. 100, 9090-9095. https:// doi: 10.1073/pnas.1531903100.</w:t>
      </w:r>
    </w:p>
    <w:p w14:paraId="692FA8E5" w14:textId="1EAEA046" w:rsidR="007A5931" w:rsidRPr="005C36F7" w:rsidRDefault="007A5931" w:rsidP="00A32AAE">
      <w:pPr>
        <w:rPr>
          <w:rFonts w:ascii="Arial" w:hAnsi="Arial" w:cs="Arial"/>
          <w:color w:val="000000" w:themeColor="text1"/>
          <w:sz w:val="22"/>
        </w:rPr>
      </w:pPr>
      <w:r w:rsidRPr="005C36F7">
        <w:rPr>
          <w:rFonts w:ascii="Arial" w:hAnsi="Arial" w:cs="Arial"/>
          <w:color w:val="000000" w:themeColor="text1"/>
          <w:sz w:val="22"/>
        </w:rPr>
        <w:t>Köhler, C.A., Freitas, T.H., Stubbs, B., Maes, M., Solmi, M., Veronese, N., de Andrade, N.Q., Morris, G., Fernandes, B.S., Brunoni, A.R., Herrmann, N., Raison, C.L., Miller, B.J., Lanctôt, K.L., Carvalho, A.F.,</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2018. Peripheral Alterations in Cytokine and Chemokine Levels After Antidepressant Drug Treatment for Major Depressive Disorder: Systematic Review and Meta-Analysis. Mol Neurobiol. 55, 4195-4206. https://doi: 10.1007/s12035-017-0632-1.</w:t>
      </w:r>
    </w:p>
    <w:p w14:paraId="1C38DE3A" w14:textId="330A2102" w:rsidR="00DD2FF8" w:rsidRPr="005C36F7" w:rsidRDefault="00DD2FF8" w:rsidP="00A32AAE">
      <w:pPr>
        <w:rPr>
          <w:rFonts w:ascii="Arial" w:hAnsi="Arial" w:cs="Arial"/>
          <w:color w:val="000000" w:themeColor="text1"/>
          <w:sz w:val="22"/>
        </w:rPr>
      </w:pPr>
      <w:r w:rsidRPr="005C36F7">
        <w:rPr>
          <w:rFonts w:ascii="Arial" w:hAnsi="Arial" w:cs="Arial"/>
          <w:color w:val="000000" w:themeColor="text1"/>
          <w:sz w:val="22"/>
        </w:rPr>
        <w:t>Kopf, M., Baumann, H., Freer, G., Freudenberg, M., Lamers, M., Kishimoto, T., Zinkernagel, R., Bluethmann, H., Köhler, G., 1994. Impaired immune and acute-phase responses in interleukin-6- deficient mice. Nature. 368, 339-</w:t>
      </w:r>
      <w:r w:rsidR="00C659CE" w:rsidRPr="005C36F7">
        <w:rPr>
          <w:rFonts w:ascii="Arial" w:hAnsi="Arial" w:cs="Arial"/>
          <w:color w:val="000000" w:themeColor="text1"/>
          <w:sz w:val="22"/>
        </w:rPr>
        <w:t>3</w:t>
      </w:r>
      <w:r w:rsidRPr="005C36F7">
        <w:rPr>
          <w:rFonts w:ascii="Arial" w:hAnsi="Arial" w:cs="Arial"/>
          <w:color w:val="000000" w:themeColor="text1"/>
          <w:sz w:val="22"/>
        </w:rPr>
        <w:t>42. https:// doi: 10.1038/368339a0.</w:t>
      </w:r>
    </w:p>
    <w:p w14:paraId="0F8CE87F" w14:textId="1AC71815" w:rsidR="0016789E" w:rsidRPr="005C36F7" w:rsidRDefault="0016789E" w:rsidP="00A32AAE">
      <w:pPr>
        <w:rPr>
          <w:rFonts w:ascii="Arial" w:hAnsi="Arial" w:cs="Arial"/>
          <w:color w:val="000000" w:themeColor="text1"/>
          <w:sz w:val="22"/>
        </w:rPr>
      </w:pPr>
      <w:r w:rsidRPr="005C36F7">
        <w:rPr>
          <w:rFonts w:ascii="Arial" w:hAnsi="Arial" w:cs="Arial"/>
          <w:color w:val="000000" w:themeColor="text1"/>
          <w:sz w:val="22"/>
        </w:rPr>
        <w:t>Kumai, T., Nagato, T., Kobayashi, H., Komabayashi, Y., Ueda, S., Kishibe, K., Ohkuri, T., Takahara, M., Celis, E., Harabuchi, Y.,</w:t>
      </w:r>
      <w:r w:rsidR="005673BC" w:rsidRPr="005C36F7">
        <w:rPr>
          <w:rFonts w:ascii="Arial" w:hAnsi="Arial" w:cs="Arial"/>
          <w:color w:val="000000" w:themeColor="text1"/>
          <w:sz w:val="22"/>
        </w:rPr>
        <w:t xml:space="preserve"> 2015.</w:t>
      </w:r>
      <w:r w:rsidRPr="005C36F7">
        <w:rPr>
          <w:rFonts w:ascii="Arial" w:hAnsi="Arial" w:cs="Arial"/>
          <w:color w:val="000000" w:themeColor="text1"/>
          <w:sz w:val="22"/>
        </w:rPr>
        <w:t xml:space="preserve"> CCL17 and CCL22/CCR4 signaling is a strong candidate for novel targeted therapy against nasal natural killer/T-cell lymphoma. Cancer Immunol Immunother. </w:t>
      </w:r>
      <w:r w:rsidR="005673BC" w:rsidRPr="005C36F7">
        <w:rPr>
          <w:rFonts w:ascii="Arial" w:hAnsi="Arial" w:cs="Arial"/>
          <w:color w:val="000000" w:themeColor="text1"/>
          <w:sz w:val="22"/>
        </w:rPr>
        <w:t>64,</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697–705.</w:t>
      </w:r>
      <w:r w:rsidR="005673BC" w:rsidRPr="005C36F7">
        <w:rPr>
          <w:rFonts w:ascii="Arial" w:hAnsi="Arial" w:cs="Arial"/>
          <w:color w:val="000000" w:themeColor="text1"/>
          <w:sz w:val="22"/>
        </w:rPr>
        <w:t xml:space="preserve"> https:// doi:10.1007/s00262-015-1675-7.</w:t>
      </w:r>
    </w:p>
    <w:p w14:paraId="47A0A897" w14:textId="2EB13B0D" w:rsidR="00CC06FC" w:rsidRPr="005C36F7" w:rsidRDefault="00CC06FC" w:rsidP="00A32AAE">
      <w:pPr>
        <w:rPr>
          <w:rFonts w:ascii="Arial" w:hAnsi="Arial" w:cs="Arial"/>
          <w:color w:val="000000" w:themeColor="text1"/>
          <w:sz w:val="22"/>
        </w:rPr>
      </w:pPr>
      <w:r w:rsidRPr="005C36F7">
        <w:rPr>
          <w:rFonts w:ascii="Arial" w:hAnsi="Arial" w:cs="Arial"/>
          <w:color w:val="000000" w:themeColor="text1"/>
          <w:sz w:val="22"/>
        </w:rPr>
        <w:t>Lajunen, T.K., Jaakkola</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J.J., Jaakkola, M.S.,</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2016. Interleukin 6 SNP rs1800797 associates with the risk of adult-onset asthma. Genes Immun. 17,</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193-198. https://doi: 10.1038/gene.2016.8.</w:t>
      </w:r>
    </w:p>
    <w:p w14:paraId="25C1B842" w14:textId="511073E9" w:rsidR="004A5615" w:rsidRPr="005C36F7" w:rsidRDefault="004A5615" w:rsidP="00A32AAE">
      <w:pPr>
        <w:rPr>
          <w:rFonts w:ascii="Arial" w:hAnsi="Arial" w:cs="Arial"/>
          <w:color w:val="000000" w:themeColor="text1"/>
          <w:sz w:val="22"/>
        </w:rPr>
      </w:pPr>
      <w:r w:rsidRPr="005C36F7">
        <w:rPr>
          <w:rFonts w:ascii="Arial" w:hAnsi="Arial" w:cs="Arial"/>
          <w:color w:val="000000" w:themeColor="text1"/>
          <w:sz w:val="22"/>
        </w:rPr>
        <w:t>Lavoie, K.L., Bouthillier, D., Bacon, S.L., Lemiere, C., Martin, J., Hamid, Q., Ludwig, M., Olivenstein, R.,  Ernst, Pierre., 2010. Psychologic distress and maladaptive coping styles in patients with severe vs moderate asthma. Chest. 137,</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1324-1331. https:// doi: 10.1378/chest.09-1979.</w:t>
      </w:r>
    </w:p>
    <w:p w14:paraId="11CC0A4A" w14:textId="7D48FD3C" w:rsidR="00232AFA" w:rsidRPr="005C36F7" w:rsidRDefault="00232AFA" w:rsidP="00A32AAE">
      <w:pPr>
        <w:rPr>
          <w:rFonts w:ascii="Arial" w:hAnsi="Arial" w:cs="Arial"/>
          <w:color w:val="000000" w:themeColor="text1"/>
          <w:sz w:val="22"/>
        </w:rPr>
      </w:pPr>
      <w:r w:rsidRPr="005C36F7">
        <w:rPr>
          <w:rFonts w:ascii="Arial" w:hAnsi="Arial" w:cs="Arial"/>
          <w:color w:val="000000" w:themeColor="text1"/>
          <w:sz w:val="22"/>
        </w:rPr>
        <w:t>Liu, C.H., Zhang, G.Z., Li, B., Li, M., Woelfer, M., Walter, M., Wang, L., 2019. Role of inflammation in depression relapse. J Neuroinflammation. 16,</w:t>
      </w:r>
      <w:r w:rsidR="00F73824" w:rsidRPr="005C36F7">
        <w:rPr>
          <w:rFonts w:ascii="Arial" w:hAnsi="Arial" w:cs="Arial"/>
          <w:color w:val="000000" w:themeColor="text1"/>
          <w:sz w:val="22"/>
        </w:rPr>
        <w:t xml:space="preserve"> </w:t>
      </w:r>
      <w:r w:rsidRPr="005C36F7">
        <w:rPr>
          <w:rFonts w:ascii="Arial" w:hAnsi="Arial" w:cs="Arial"/>
          <w:color w:val="000000" w:themeColor="text1"/>
          <w:sz w:val="22"/>
        </w:rPr>
        <w:t>90. https://doi: 10.1186/s12974-019-1475-7.</w:t>
      </w:r>
    </w:p>
    <w:p w14:paraId="73F53061" w14:textId="77777777" w:rsidR="00283A39" w:rsidRPr="005C36F7" w:rsidRDefault="00283A39" w:rsidP="00A32AAE">
      <w:pPr>
        <w:rPr>
          <w:rFonts w:ascii="Arial" w:hAnsi="Arial" w:cs="Arial"/>
          <w:color w:val="000000" w:themeColor="text1"/>
          <w:sz w:val="22"/>
        </w:rPr>
      </w:pPr>
      <w:r w:rsidRPr="005C36F7">
        <w:rPr>
          <w:rFonts w:ascii="Arial" w:hAnsi="Arial" w:cs="Arial"/>
          <w:color w:val="000000" w:themeColor="text1"/>
          <w:sz w:val="22"/>
        </w:rPr>
        <w:t>Liu,C.S., Adibfar, A., Herrmann, N., Gallagher, D., Lanctôt, K.L., 2017. Evidence for Inflammation</w:t>
      </w:r>
    </w:p>
    <w:p w14:paraId="0ADD1CB0" w14:textId="496E619E" w:rsidR="00283A39" w:rsidRPr="005C36F7" w:rsidRDefault="00283A39" w:rsidP="00A32AAE">
      <w:pPr>
        <w:rPr>
          <w:rFonts w:ascii="Arial" w:hAnsi="Arial" w:cs="Arial"/>
          <w:color w:val="000000" w:themeColor="text1"/>
          <w:sz w:val="22"/>
        </w:rPr>
      </w:pPr>
      <w:r w:rsidRPr="005C36F7">
        <w:rPr>
          <w:rFonts w:ascii="Arial" w:hAnsi="Arial" w:cs="Arial"/>
          <w:color w:val="000000" w:themeColor="text1"/>
          <w:sz w:val="22"/>
        </w:rPr>
        <w:t>-Associated Depression. Curr Top Behav Neurosci. 31,</w:t>
      </w:r>
      <w:r w:rsidR="003A20F3" w:rsidRPr="005C36F7">
        <w:rPr>
          <w:rFonts w:ascii="Arial" w:hAnsi="Arial" w:cs="Arial"/>
          <w:color w:val="000000" w:themeColor="text1"/>
          <w:sz w:val="22"/>
        </w:rPr>
        <w:t xml:space="preserve"> </w:t>
      </w:r>
      <w:r w:rsidRPr="005C36F7">
        <w:rPr>
          <w:rFonts w:ascii="Arial" w:hAnsi="Arial" w:cs="Arial"/>
          <w:color w:val="000000" w:themeColor="text1"/>
          <w:sz w:val="22"/>
        </w:rPr>
        <w:t>3-30. https:// doi: 10.1007/ 7854_2016_2.</w:t>
      </w:r>
    </w:p>
    <w:p w14:paraId="5338C738" w14:textId="3006DB19" w:rsidR="0032404E" w:rsidRPr="005C36F7" w:rsidRDefault="0032404E" w:rsidP="00A32AAE">
      <w:pPr>
        <w:rPr>
          <w:rFonts w:ascii="Arial" w:hAnsi="Arial" w:cs="Arial"/>
          <w:color w:val="000000" w:themeColor="text1"/>
          <w:sz w:val="22"/>
        </w:rPr>
      </w:pPr>
      <w:r w:rsidRPr="005C36F7">
        <w:rPr>
          <w:rFonts w:ascii="Arial" w:hAnsi="Arial" w:cs="Arial"/>
          <w:color w:val="000000" w:themeColor="text1"/>
          <w:sz w:val="22"/>
        </w:rPr>
        <w:t>Liu, Y., Ho, R.C., Mak, A., 2012. Interleukin (IL)-6, tumour necrosis factor alpha (TNF-α) and soluble interleukin-2 receptors (sIL-2R) are elevated in patients with major depressive disorder: a meta-analysis and meta-regression. J Affect Disord. 139,</w:t>
      </w:r>
      <w:r w:rsidR="003A20F3" w:rsidRPr="005C36F7">
        <w:rPr>
          <w:rFonts w:ascii="Arial" w:hAnsi="Arial" w:cs="Arial"/>
          <w:color w:val="000000" w:themeColor="text1"/>
          <w:sz w:val="22"/>
        </w:rPr>
        <w:t xml:space="preserve"> </w:t>
      </w:r>
      <w:r w:rsidRPr="005C36F7">
        <w:rPr>
          <w:rFonts w:ascii="Arial" w:hAnsi="Arial" w:cs="Arial"/>
          <w:color w:val="000000" w:themeColor="text1"/>
          <w:sz w:val="22"/>
        </w:rPr>
        <w:t>230–239. https:// doi: 10.1016/ j.jad. 2011.08.003.</w:t>
      </w:r>
    </w:p>
    <w:p w14:paraId="48939B73" w14:textId="5283E394" w:rsidR="00C02EE0" w:rsidRPr="005C36F7" w:rsidRDefault="00C02EE0" w:rsidP="00A32AAE">
      <w:pPr>
        <w:rPr>
          <w:rFonts w:ascii="Arial" w:hAnsi="Arial" w:cs="Arial"/>
          <w:color w:val="000000" w:themeColor="text1"/>
          <w:sz w:val="22"/>
        </w:rPr>
      </w:pPr>
      <w:r w:rsidRPr="005C36F7">
        <w:rPr>
          <w:rFonts w:ascii="Arial" w:hAnsi="Arial" w:cs="Arial"/>
          <w:color w:val="000000" w:themeColor="text1"/>
          <w:sz w:val="22"/>
        </w:rPr>
        <w:t>Mancuso, C.A., Wenderoth, S., Westermann, H., Choi, T.N., Briggs, W.M., Charlson, M.E.,2008. Patient-reported and physician-reported depressive conditions in relation to asthma severity and control. Chest . 133, 1142-1148. https:// doi: 10.1378/chest.07-2243.</w:t>
      </w:r>
    </w:p>
    <w:p w14:paraId="1E492C63" w14:textId="7FC52DFC" w:rsidR="006309A3" w:rsidRPr="005C36F7" w:rsidRDefault="006309A3" w:rsidP="00A32AAE">
      <w:pPr>
        <w:rPr>
          <w:rFonts w:ascii="Arial" w:hAnsi="Arial" w:cs="Arial"/>
          <w:color w:val="000000" w:themeColor="text1"/>
          <w:sz w:val="22"/>
        </w:rPr>
      </w:pPr>
      <w:r w:rsidRPr="005C36F7">
        <w:rPr>
          <w:rFonts w:ascii="Arial" w:hAnsi="Arial" w:cs="Arial"/>
          <w:color w:val="000000" w:themeColor="text1"/>
          <w:sz w:val="22"/>
        </w:rPr>
        <w:t>Masoli, M., Fabian, D., Holt, S., Beasley, R., Global Initiative for Asthma (GINA) Program, 2004. The global burden of asthma: executive summary of the GINA Dissemination Committee Report. Allergy. 59,469-</w:t>
      </w:r>
      <w:r w:rsidR="00CB36C7" w:rsidRPr="005C36F7">
        <w:rPr>
          <w:rFonts w:ascii="Arial" w:hAnsi="Arial" w:cs="Arial"/>
          <w:color w:val="000000" w:themeColor="text1"/>
          <w:sz w:val="22"/>
        </w:rPr>
        <w:t>4</w:t>
      </w:r>
      <w:r w:rsidRPr="005C36F7">
        <w:rPr>
          <w:rFonts w:ascii="Arial" w:hAnsi="Arial" w:cs="Arial"/>
          <w:color w:val="000000" w:themeColor="text1"/>
          <w:sz w:val="22"/>
        </w:rPr>
        <w:t>78. https://doi: 10.1111/j.1398-9995.2004.00526.x.</w:t>
      </w:r>
    </w:p>
    <w:p w14:paraId="366B9F06" w14:textId="0D021EEC" w:rsidR="007A5931" w:rsidRPr="005C36F7" w:rsidRDefault="007A5931" w:rsidP="00A32AAE">
      <w:pPr>
        <w:rPr>
          <w:rFonts w:ascii="Arial" w:hAnsi="Arial" w:cs="Arial"/>
          <w:color w:val="000000" w:themeColor="text1"/>
          <w:sz w:val="22"/>
        </w:rPr>
      </w:pPr>
      <w:r w:rsidRPr="005C36F7">
        <w:rPr>
          <w:rFonts w:ascii="Arial" w:hAnsi="Arial" w:cs="Arial"/>
          <w:color w:val="000000" w:themeColor="text1"/>
          <w:sz w:val="22"/>
        </w:rPr>
        <w:t>McCauley, E., Katon, W., Russo, J., Richardson, L., Lozano, P., 2007. Impact of anxiety and depression on functional impairment in adolescents with asthma. Gen Hosp Psychiatry. 29,</w:t>
      </w:r>
      <w:r w:rsidR="003A20F3" w:rsidRPr="005C36F7">
        <w:rPr>
          <w:rFonts w:ascii="Arial" w:hAnsi="Arial" w:cs="Arial"/>
          <w:color w:val="000000" w:themeColor="text1"/>
          <w:sz w:val="22"/>
        </w:rPr>
        <w:t xml:space="preserve"> </w:t>
      </w:r>
      <w:r w:rsidRPr="005C36F7">
        <w:rPr>
          <w:rFonts w:ascii="Arial" w:hAnsi="Arial" w:cs="Arial"/>
          <w:color w:val="000000" w:themeColor="text1"/>
          <w:sz w:val="22"/>
        </w:rPr>
        <w:t>214–222. https://doi: 10.1016/j.genhosppsych.2007.02.003.</w:t>
      </w:r>
    </w:p>
    <w:p w14:paraId="3FD77ECA" w14:textId="1E466BA3" w:rsidR="007A5931" w:rsidRPr="005C36F7" w:rsidRDefault="007A5931" w:rsidP="00A32AAE">
      <w:pPr>
        <w:rPr>
          <w:rFonts w:ascii="Arial" w:hAnsi="Arial" w:cs="Arial"/>
          <w:color w:val="000000" w:themeColor="text1"/>
          <w:sz w:val="22"/>
        </w:rPr>
      </w:pPr>
      <w:r w:rsidRPr="005C36F7">
        <w:rPr>
          <w:rFonts w:ascii="Arial" w:hAnsi="Arial" w:cs="Arial"/>
          <w:color w:val="000000" w:themeColor="text1"/>
          <w:sz w:val="22"/>
        </w:rPr>
        <w:t>Milenkovic, V.M., Stanton, E.H., Nothdurfter, C., Rupprecht, R., Wetzel, C.H., 2019. The Role of Chemokines in the Pathophysiology of Major Depressive Disorder. Int J Mol Sci. 20,2283. https:// doi: 10.3390/ijms20092283.</w:t>
      </w:r>
    </w:p>
    <w:p w14:paraId="221EF2AB" w14:textId="627DBAE2" w:rsidR="00120F57" w:rsidRPr="005C36F7" w:rsidRDefault="0073285C" w:rsidP="00A32AAE">
      <w:pPr>
        <w:rPr>
          <w:rFonts w:ascii="Arial" w:hAnsi="Arial" w:cs="Arial"/>
          <w:color w:val="000000" w:themeColor="text1"/>
          <w:sz w:val="22"/>
        </w:rPr>
      </w:pPr>
      <w:r w:rsidRPr="005C36F7">
        <w:rPr>
          <w:rFonts w:ascii="Arial" w:hAnsi="Arial" w:cs="Arial"/>
          <w:color w:val="000000" w:themeColor="text1"/>
          <w:sz w:val="22"/>
        </w:rPr>
        <w:t>Mrazek, D.A., 2003. Psychiatric symptoms in patients with asthma causality, comorbidity, or shared genetic etiology. Child Adolesc Psychiatr Clin N Am. 12, 459-471. https:// doi: 10.1016/ s1056-4993(03)00028-2.</w:t>
      </w:r>
    </w:p>
    <w:p w14:paraId="03B15179" w14:textId="544DF4AF" w:rsidR="00120F57" w:rsidRPr="005C36F7" w:rsidRDefault="006C1E37" w:rsidP="00B46F63">
      <w:pPr>
        <w:rPr>
          <w:rFonts w:ascii="Arial" w:hAnsi="Arial" w:cs="Arial"/>
          <w:color w:val="000000" w:themeColor="text1"/>
          <w:sz w:val="22"/>
        </w:rPr>
      </w:pPr>
      <w:r w:rsidRPr="005C36F7">
        <w:rPr>
          <w:rFonts w:ascii="Arial" w:hAnsi="Arial" w:cs="Arial"/>
          <w:color w:val="000000" w:themeColor="text1"/>
          <w:sz w:val="22"/>
        </w:rPr>
        <w:t>Oga, T., Nishimura, K., Tsukino, M., Sato, S., Hajiro, T., Mishima, M.,</w:t>
      </w:r>
      <w:r w:rsidR="003A20F3" w:rsidRPr="005C36F7">
        <w:rPr>
          <w:rFonts w:ascii="Arial" w:hAnsi="Arial" w:cs="Arial"/>
          <w:color w:val="000000" w:themeColor="text1"/>
          <w:sz w:val="22"/>
        </w:rPr>
        <w:t xml:space="preserve"> </w:t>
      </w:r>
      <w:r w:rsidRPr="005C36F7">
        <w:rPr>
          <w:rFonts w:ascii="Arial" w:hAnsi="Arial" w:cs="Arial"/>
          <w:color w:val="000000" w:themeColor="text1"/>
          <w:sz w:val="22"/>
        </w:rPr>
        <w:t>2007. Analysis of longitudinal changes in the psychological status of patients with asthma. Respir Med. 101,</w:t>
      </w:r>
      <w:r w:rsidR="003A20F3" w:rsidRPr="005C36F7">
        <w:rPr>
          <w:rFonts w:ascii="Arial" w:hAnsi="Arial" w:cs="Arial"/>
          <w:color w:val="000000" w:themeColor="text1"/>
          <w:sz w:val="22"/>
        </w:rPr>
        <w:t xml:space="preserve"> </w:t>
      </w:r>
      <w:r w:rsidRPr="005C36F7">
        <w:rPr>
          <w:rFonts w:ascii="Arial" w:hAnsi="Arial" w:cs="Arial"/>
          <w:color w:val="000000" w:themeColor="text1"/>
          <w:sz w:val="22"/>
        </w:rPr>
        <w:t>2133-2138. https://doi: 10.1016/j.rmed.2007.05.009.</w:t>
      </w:r>
      <w:r w:rsidR="00B46F63" w:rsidRPr="005C36F7">
        <w:rPr>
          <w:rFonts w:ascii="Arial" w:hAnsi="Arial" w:cs="Arial"/>
          <w:color w:val="000000" w:themeColor="text1"/>
          <w:sz w:val="22"/>
        </w:rPr>
        <w:t xml:space="preserve"> </w:t>
      </w:r>
    </w:p>
    <w:p w14:paraId="1805099F" w14:textId="3B3D3AC5" w:rsidR="00B46F63" w:rsidRPr="005C36F7" w:rsidRDefault="00B46F63" w:rsidP="00A32AAE">
      <w:pPr>
        <w:rPr>
          <w:rFonts w:ascii="Arial" w:hAnsi="Arial" w:cs="Arial"/>
          <w:color w:val="000000" w:themeColor="text1"/>
          <w:sz w:val="22"/>
        </w:rPr>
      </w:pPr>
      <w:r w:rsidRPr="005C36F7">
        <w:rPr>
          <w:rFonts w:ascii="Arial" w:hAnsi="Arial" w:cs="Arial"/>
          <w:color w:val="000000" w:themeColor="text1"/>
          <w:sz w:val="22"/>
        </w:rPr>
        <w:t>Pae, C.U., 2014. The potential role of monocyte chemoattractant protein-1 for major depressive disorder.</w:t>
      </w:r>
      <w:r w:rsidR="003A20F3" w:rsidRPr="005C36F7">
        <w:rPr>
          <w:rFonts w:ascii="Arial" w:hAnsi="Arial" w:cs="Arial"/>
          <w:color w:val="000000" w:themeColor="text1"/>
          <w:sz w:val="22"/>
        </w:rPr>
        <w:t xml:space="preserve"> </w:t>
      </w:r>
      <w:r w:rsidRPr="005C36F7">
        <w:rPr>
          <w:rFonts w:ascii="Arial" w:hAnsi="Arial" w:cs="Arial"/>
          <w:color w:val="000000" w:themeColor="text1"/>
          <w:sz w:val="22"/>
        </w:rPr>
        <w:t>Psychiatry Investig. 11,</w:t>
      </w:r>
      <w:r w:rsidR="003A20F3" w:rsidRPr="005C36F7">
        <w:rPr>
          <w:rFonts w:ascii="Arial" w:hAnsi="Arial" w:cs="Arial"/>
          <w:color w:val="000000" w:themeColor="text1"/>
          <w:sz w:val="22"/>
        </w:rPr>
        <w:t xml:space="preserve"> </w:t>
      </w:r>
      <w:r w:rsidRPr="005C36F7">
        <w:rPr>
          <w:rFonts w:ascii="Arial" w:hAnsi="Arial" w:cs="Arial"/>
          <w:color w:val="000000" w:themeColor="text1"/>
          <w:sz w:val="22"/>
        </w:rPr>
        <w:t>217-222. https:// doi: 10.4306/pi.2014.11.3.217.</w:t>
      </w:r>
    </w:p>
    <w:p w14:paraId="65A9856F" w14:textId="16324BEA" w:rsidR="00821529" w:rsidRPr="005C36F7" w:rsidRDefault="00821529" w:rsidP="00A32AAE">
      <w:pPr>
        <w:rPr>
          <w:rFonts w:ascii="Arial" w:hAnsi="Arial" w:cs="Arial"/>
          <w:color w:val="000000" w:themeColor="text1"/>
          <w:sz w:val="22"/>
        </w:rPr>
      </w:pPr>
      <w:r w:rsidRPr="005C36F7">
        <w:rPr>
          <w:rFonts w:ascii="Arial" w:hAnsi="Arial" w:cs="Arial"/>
          <w:color w:val="000000" w:themeColor="text1"/>
          <w:sz w:val="22"/>
        </w:rPr>
        <w:t>Peters, M.C., McGrath, K.W., Hawkins, G.A., Hastie, A.T., Levy, B.D., Israel, E., Phillips, B.R., Mauger, D.T., Comhair, S.A., Erzurum, S.C., Johansson, M.W., Jarjour, N.N., Coverstone, A.M., Castro, M., Holguin, F., Wenzel, S.E., Woodruff, P.G., Bleecker, E.R., Fahy, J.V</w:t>
      </w:r>
      <w:r w:rsidR="00602809" w:rsidRPr="005C36F7">
        <w:rPr>
          <w:rFonts w:ascii="Arial" w:hAnsi="Arial" w:cs="Arial"/>
          <w:color w:val="000000" w:themeColor="text1"/>
          <w:sz w:val="22"/>
        </w:rPr>
        <w:t>.,</w:t>
      </w:r>
      <w:r w:rsidRPr="005C36F7">
        <w:rPr>
          <w:rFonts w:ascii="Arial" w:hAnsi="Arial" w:cs="Arial"/>
          <w:color w:val="000000" w:themeColor="text1"/>
          <w:sz w:val="22"/>
        </w:rPr>
        <w:t xml:space="preserve"> National Heart, Lung, and Blood Institute Severe Asthma Research Program.</w:t>
      </w:r>
      <w:r w:rsidR="00602809" w:rsidRPr="005C36F7">
        <w:rPr>
          <w:rFonts w:ascii="Arial" w:hAnsi="Arial" w:cs="Arial"/>
          <w:color w:val="000000" w:themeColor="text1"/>
          <w:sz w:val="22"/>
        </w:rPr>
        <w:t>,</w:t>
      </w:r>
      <w:r w:rsidR="003A20F3" w:rsidRPr="005C36F7">
        <w:rPr>
          <w:rFonts w:ascii="Arial" w:hAnsi="Arial" w:cs="Arial"/>
          <w:color w:val="000000" w:themeColor="text1"/>
          <w:sz w:val="22"/>
        </w:rPr>
        <w:t xml:space="preserve"> </w:t>
      </w:r>
      <w:r w:rsidR="00602809" w:rsidRPr="005C36F7">
        <w:rPr>
          <w:rFonts w:ascii="Arial" w:hAnsi="Arial" w:cs="Arial"/>
          <w:color w:val="000000" w:themeColor="text1"/>
          <w:sz w:val="22"/>
        </w:rPr>
        <w:t>2016. Plasma interleukin-6 concentrations, metabolic dysfunction, and asthma severity: a cross-sectional analysis of two cohorts. Lancet Respir Med. 4,</w:t>
      </w:r>
      <w:r w:rsidR="003A20F3" w:rsidRPr="005C36F7">
        <w:rPr>
          <w:rFonts w:ascii="Arial" w:hAnsi="Arial" w:cs="Arial"/>
          <w:color w:val="000000" w:themeColor="text1"/>
          <w:sz w:val="22"/>
        </w:rPr>
        <w:t xml:space="preserve"> </w:t>
      </w:r>
      <w:r w:rsidR="00602809" w:rsidRPr="005C36F7">
        <w:rPr>
          <w:rFonts w:ascii="Arial" w:hAnsi="Arial" w:cs="Arial"/>
          <w:color w:val="000000" w:themeColor="text1"/>
          <w:sz w:val="22"/>
        </w:rPr>
        <w:t>574-</w:t>
      </w:r>
      <w:r w:rsidR="002E6E01" w:rsidRPr="005C36F7">
        <w:rPr>
          <w:rFonts w:ascii="Arial" w:hAnsi="Arial" w:cs="Arial"/>
          <w:color w:val="000000" w:themeColor="text1"/>
          <w:sz w:val="22"/>
        </w:rPr>
        <w:t>4</w:t>
      </w:r>
      <w:r w:rsidR="00602809" w:rsidRPr="005C36F7">
        <w:rPr>
          <w:rFonts w:ascii="Arial" w:hAnsi="Arial" w:cs="Arial"/>
          <w:color w:val="000000" w:themeColor="text1"/>
          <w:sz w:val="22"/>
        </w:rPr>
        <w:t>584. https://doi: 10.1016/S2213-2600(16)30048-0.</w:t>
      </w:r>
    </w:p>
    <w:p w14:paraId="39250A51" w14:textId="38E4638F" w:rsidR="002E6E01" w:rsidRPr="005C36F7" w:rsidRDefault="002E6E01" w:rsidP="00A32AAE">
      <w:pPr>
        <w:rPr>
          <w:rFonts w:ascii="Arial" w:hAnsi="Arial" w:cs="Arial"/>
          <w:color w:val="000000" w:themeColor="text1"/>
          <w:sz w:val="22"/>
        </w:rPr>
      </w:pPr>
      <w:r w:rsidRPr="005C36F7">
        <w:rPr>
          <w:rFonts w:ascii="Arial" w:hAnsi="Arial" w:cs="Arial"/>
          <w:color w:val="000000" w:themeColor="text1"/>
          <w:sz w:val="22"/>
        </w:rPr>
        <w:t>Pujol, F., Kitabgi, P., Boudin, H., 2005. The chemokine SDF-1 dierentially regulates axonal elongation and branching in hippocampal neurons. J. Cell Sci. 118, 1071–1080. https:// 10.1242/jcs.01694.</w:t>
      </w:r>
    </w:p>
    <w:p w14:paraId="5C0507A5" w14:textId="10A6B419" w:rsidR="003877C5" w:rsidRPr="005C36F7" w:rsidRDefault="003877C5" w:rsidP="00A32AAE">
      <w:pPr>
        <w:rPr>
          <w:rFonts w:ascii="Arial" w:hAnsi="Arial" w:cs="Arial"/>
          <w:color w:val="000000" w:themeColor="text1"/>
          <w:sz w:val="22"/>
        </w:rPr>
      </w:pPr>
      <w:r w:rsidRPr="005C36F7">
        <w:rPr>
          <w:rFonts w:ascii="Arial" w:hAnsi="Arial" w:cs="Arial"/>
          <w:color w:val="000000" w:themeColor="text1"/>
          <w:sz w:val="22"/>
        </w:rPr>
        <w:t>Richardson, L.P., Lozano, P., Russo, J., McCauley, E., Bush, T., Katon, W., 2006. Asthma symptom burden: relationship to asthma severity and anxiety and depression symptoms. Pediatrics.118, 1042–1051. https:// doi: 10.1542/peds.2006-0249.</w:t>
      </w:r>
    </w:p>
    <w:p w14:paraId="12FD83E2" w14:textId="0B617030" w:rsidR="00097562" w:rsidRPr="005C36F7" w:rsidRDefault="00097562" w:rsidP="00A32AAE">
      <w:pPr>
        <w:rPr>
          <w:rFonts w:ascii="Arial" w:hAnsi="Arial" w:cs="Arial"/>
          <w:color w:val="000000" w:themeColor="text1"/>
          <w:sz w:val="22"/>
        </w:rPr>
      </w:pPr>
      <w:r w:rsidRPr="005C36F7">
        <w:rPr>
          <w:rFonts w:ascii="Arial" w:hAnsi="Arial" w:cs="Arial"/>
          <w:color w:val="000000" w:themeColor="text1"/>
          <w:sz w:val="22"/>
        </w:rPr>
        <w:t>Ritz, T., Thöns, M., Fahrenkrug, S., Dahme, B.,</w:t>
      </w:r>
      <w:r w:rsidR="00B55946" w:rsidRPr="005C36F7">
        <w:rPr>
          <w:rFonts w:ascii="Arial" w:hAnsi="Arial" w:cs="Arial"/>
          <w:color w:val="000000" w:themeColor="text1"/>
          <w:sz w:val="22"/>
        </w:rPr>
        <w:t xml:space="preserve"> </w:t>
      </w:r>
      <w:r w:rsidRPr="005C36F7">
        <w:rPr>
          <w:rFonts w:ascii="Arial" w:hAnsi="Arial" w:cs="Arial"/>
          <w:color w:val="000000" w:themeColor="text1"/>
          <w:sz w:val="22"/>
        </w:rPr>
        <w:t>2005. Airways, respiration, and respiratory sinus arrhythmia during picture viewing. Psychophysiology. 42</w:t>
      </w:r>
      <w:r w:rsidR="00B55946" w:rsidRPr="005C36F7">
        <w:rPr>
          <w:rFonts w:ascii="Arial" w:hAnsi="Arial" w:cs="Arial"/>
          <w:color w:val="000000" w:themeColor="text1"/>
          <w:sz w:val="22"/>
        </w:rPr>
        <w:t xml:space="preserve">, </w:t>
      </w:r>
      <w:r w:rsidRPr="005C36F7">
        <w:rPr>
          <w:rFonts w:ascii="Arial" w:hAnsi="Arial" w:cs="Arial"/>
          <w:color w:val="000000" w:themeColor="text1"/>
          <w:sz w:val="22"/>
        </w:rPr>
        <w:t>568-578. https://  doi: 10.1111/ j. 1469-8986.2005.00312.x.</w:t>
      </w:r>
    </w:p>
    <w:p w14:paraId="745B4FCA" w14:textId="3E49CC48" w:rsidR="005F77AB" w:rsidRPr="005C36F7" w:rsidRDefault="005F77AB" w:rsidP="00A32AAE">
      <w:pPr>
        <w:rPr>
          <w:rFonts w:ascii="Arial" w:hAnsi="Arial" w:cs="Arial"/>
          <w:color w:val="000000" w:themeColor="text1"/>
          <w:sz w:val="22"/>
        </w:rPr>
      </w:pPr>
      <w:r w:rsidRPr="005C36F7">
        <w:rPr>
          <w:rFonts w:ascii="Arial" w:hAnsi="Arial" w:cs="Arial"/>
          <w:color w:val="000000" w:themeColor="text1"/>
          <w:sz w:val="22"/>
        </w:rPr>
        <w:t>Rosenblat, J.D., McIntyre, R.S.,</w:t>
      </w:r>
      <w:r w:rsidR="00F415E4" w:rsidRPr="005C36F7">
        <w:rPr>
          <w:rFonts w:ascii="Arial" w:hAnsi="Arial" w:cs="Arial"/>
          <w:color w:val="000000" w:themeColor="text1"/>
          <w:sz w:val="22"/>
        </w:rPr>
        <w:t xml:space="preserve"> </w:t>
      </w:r>
      <w:r w:rsidRPr="005C36F7">
        <w:rPr>
          <w:rFonts w:ascii="Arial" w:hAnsi="Arial" w:cs="Arial"/>
          <w:color w:val="000000" w:themeColor="text1"/>
          <w:sz w:val="22"/>
        </w:rPr>
        <w:t>2017. Bipolar Disorder and Immune Dysfunction: Epidemiological Findings, Proposed Pathophysiology and Clinical Implications. Brain Sci. 7,</w:t>
      </w:r>
      <w:r w:rsidR="003A20F3" w:rsidRPr="005C36F7">
        <w:rPr>
          <w:rFonts w:ascii="Arial" w:hAnsi="Arial" w:cs="Arial"/>
          <w:color w:val="000000" w:themeColor="text1"/>
          <w:sz w:val="22"/>
        </w:rPr>
        <w:t xml:space="preserve"> </w:t>
      </w:r>
      <w:r w:rsidR="00D366C0" w:rsidRPr="005C36F7">
        <w:rPr>
          <w:rFonts w:ascii="Arial" w:hAnsi="Arial" w:cs="Arial"/>
          <w:color w:val="000000" w:themeColor="text1"/>
          <w:sz w:val="22"/>
        </w:rPr>
        <w:t>144.</w:t>
      </w:r>
      <w:r w:rsidRPr="005C36F7">
        <w:rPr>
          <w:rFonts w:ascii="Arial" w:hAnsi="Arial" w:cs="Arial"/>
          <w:color w:val="000000" w:themeColor="text1"/>
          <w:sz w:val="22"/>
        </w:rPr>
        <w:t>doi: 10.3390/</w:t>
      </w:r>
      <w:r w:rsidR="00D366C0" w:rsidRPr="005C36F7">
        <w:rPr>
          <w:rFonts w:ascii="Arial" w:hAnsi="Arial" w:cs="Arial"/>
          <w:color w:val="000000" w:themeColor="text1"/>
          <w:sz w:val="22"/>
        </w:rPr>
        <w:t xml:space="preserve"> </w:t>
      </w:r>
      <w:r w:rsidRPr="005C36F7">
        <w:rPr>
          <w:rFonts w:ascii="Arial" w:hAnsi="Arial" w:cs="Arial"/>
          <w:color w:val="000000" w:themeColor="text1"/>
          <w:sz w:val="22"/>
        </w:rPr>
        <w:t>brainsci7110144.</w:t>
      </w:r>
    </w:p>
    <w:p w14:paraId="763E1030" w14:textId="26E5255B" w:rsidR="00FC582A" w:rsidRPr="005C36F7" w:rsidRDefault="00FC582A" w:rsidP="00A32AAE">
      <w:pPr>
        <w:rPr>
          <w:rFonts w:ascii="Arial" w:hAnsi="Arial" w:cs="Arial"/>
          <w:color w:val="000000" w:themeColor="text1"/>
          <w:sz w:val="22"/>
        </w:rPr>
      </w:pPr>
      <w:r w:rsidRPr="005C36F7">
        <w:rPr>
          <w:rFonts w:ascii="Arial" w:hAnsi="Arial" w:cs="Arial"/>
          <w:color w:val="000000" w:themeColor="text1"/>
          <w:sz w:val="22"/>
        </w:rPr>
        <w:t>Rosenkranz, M.A., Davidson, R.J., 2009. Affective neural circuitry and mind-body inﬂuences in asthma. Neuroimage. 47, 972–980. https://doi: 10.1016/j.neuroimage.2009.05.042.</w:t>
      </w:r>
    </w:p>
    <w:p w14:paraId="59AAC7EA" w14:textId="0057D83C" w:rsidR="004C7DE4" w:rsidRPr="005C36F7" w:rsidRDefault="000B5B22" w:rsidP="00A32AAE">
      <w:pPr>
        <w:rPr>
          <w:rFonts w:ascii="Arial" w:hAnsi="Arial" w:cs="Arial"/>
          <w:color w:val="000000" w:themeColor="text1"/>
          <w:sz w:val="22"/>
        </w:rPr>
      </w:pPr>
      <w:r w:rsidRPr="005C36F7">
        <w:rPr>
          <w:rFonts w:ascii="Arial" w:hAnsi="Arial" w:cs="Arial"/>
          <w:color w:val="000000" w:themeColor="text1"/>
          <w:sz w:val="22"/>
        </w:rPr>
        <w:t>Rosenkranz, M.A., Esnault, S., Christian, B.T., Crisafi, G., Gresham, L.K., Higgins, A.T., Moore, M.N., Moore, S.M., Weng, H.Y., Salk, R.H., Busse, W.W., Davidson, R.J., 2016. Mind-body interactions in the regulation of airway inflammation in asthma: A PET study of acute and chronic stress. Brain Behav Immun. 58,</w:t>
      </w:r>
      <w:r w:rsidR="003A20F3" w:rsidRPr="005C36F7">
        <w:rPr>
          <w:rFonts w:ascii="Arial" w:hAnsi="Arial" w:cs="Arial"/>
          <w:color w:val="000000" w:themeColor="text1"/>
          <w:sz w:val="22"/>
        </w:rPr>
        <w:t xml:space="preserve"> </w:t>
      </w:r>
      <w:r w:rsidRPr="005C36F7">
        <w:rPr>
          <w:rFonts w:ascii="Arial" w:hAnsi="Arial" w:cs="Arial"/>
          <w:color w:val="000000" w:themeColor="text1"/>
          <w:sz w:val="22"/>
        </w:rPr>
        <w:t>18-30. https://doi: 10.1016/j.bbi.2016.03.024.</w:t>
      </w:r>
    </w:p>
    <w:p w14:paraId="0648F922" w14:textId="116C9164" w:rsidR="00EA4EBC" w:rsidRPr="005C36F7" w:rsidRDefault="003063AD" w:rsidP="00A32AAE">
      <w:pPr>
        <w:rPr>
          <w:rFonts w:ascii="Arial" w:hAnsi="Arial" w:cs="Arial"/>
          <w:color w:val="000000" w:themeColor="text1"/>
          <w:sz w:val="22"/>
        </w:rPr>
      </w:pPr>
      <w:r w:rsidRPr="005C36F7">
        <w:rPr>
          <w:rFonts w:ascii="Arial" w:hAnsi="Arial" w:cs="Arial"/>
          <w:color w:val="000000" w:themeColor="text1"/>
          <w:sz w:val="22"/>
        </w:rPr>
        <w:t>Shaw, D.E., Sousa, A.R., Fowler, S.J., Fleming, L.J., Roberts, G., Corfield, J., Pandis, I., Bansal, A.T., Bel, E.H., Auffray, C., Compton, C.H., Bisgaard, H., Bucchioni, E., Caruso, M., Chanez, P., Dahlén, B., Dahlen, S.E., Dyson, K., Frey, U., Geiser, T., Gerhardsson de Verdier, M., Gibeon, D., Guo, Y.K., Hashimoto, S., Hedlin, G., Jeyasingham, E., Hekking, P.P., Higenbottam, T., Horváth, I., Knox, A.J., Krug, N., Erpenbeck, V.J., Larsson, L.X., Lazarinis, N., Matthews, J.G., Middelveld, R., Montuschi, P., Musial, J., Myles, D., Pahus, L., Sandström, T., Seibold, W., Singer, F., Strandberg, K., Vestbo, J., Vissing, N., von Garnier, C., Adcock, I.M., Wagers, S., Rowe, A., Howarth, P., Wagener, A.H., Djukanovic, R., Sterk, P.J., Chung, K.F., U-BIOPRED Study Group, 2015. Clinical and inflammatory characteristics  of the European U-BIOPRED adult severe  asthma cohort. Eur Respir J. 46,</w:t>
      </w:r>
      <w:r w:rsidR="003A20F3" w:rsidRPr="005C36F7">
        <w:rPr>
          <w:rFonts w:ascii="Arial" w:hAnsi="Arial" w:cs="Arial"/>
          <w:color w:val="000000" w:themeColor="text1"/>
          <w:sz w:val="22"/>
        </w:rPr>
        <w:t xml:space="preserve"> </w:t>
      </w:r>
      <w:r w:rsidRPr="005C36F7">
        <w:rPr>
          <w:rFonts w:ascii="Arial" w:hAnsi="Arial" w:cs="Arial"/>
          <w:color w:val="000000" w:themeColor="text1"/>
          <w:sz w:val="22"/>
        </w:rPr>
        <w:t>1308-1321. https:// doi: 10.1183/13993003.00779-2015.</w:t>
      </w:r>
    </w:p>
    <w:p w14:paraId="044ABA4A" w14:textId="2873C933" w:rsidR="00567019" w:rsidRPr="005C36F7" w:rsidRDefault="00567019" w:rsidP="00A32AAE">
      <w:pPr>
        <w:rPr>
          <w:rFonts w:ascii="Arial" w:hAnsi="Arial" w:cs="Arial"/>
          <w:color w:val="000000" w:themeColor="text1"/>
          <w:sz w:val="22"/>
        </w:rPr>
      </w:pPr>
      <w:r w:rsidRPr="005C36F7">
        <w:rPr>
          <w:rFonts w:ascii="Arial" w:hAnsi="Arial" w:cs="Arial"/>
          <w:color w:val="000000" w:themeColor="text1"/>
          <w:sz w:val="22"/>
        </w:rPr>
        <w:t>Stuart, M.J., Baune, B.T., 2014. Chemokines and chemokine receptors in mood disorders, schizophrenia, and cognitive impairment: a systematic review of biomarker studies. Neurosci Biobehav Rev. 42,</w:t>
      </w:r>
      <w:r w:rsidR="003A20F3" w:rsidRPr="005C36F7">
        <w:rPr>
          <w:rFonts w:ascii="Arial" w:hAnsi="Arial" w:cs="Arial"/>
          <w:color w:val="000000" w:themeColor="text1"/>
          <w:sz w:val="22"/>
        </w:rPr>
        <w:t xml:space="preserve"> </w:t>
      </w:r>
      <w:r w:rsidRPr="005C36F7">
        <w:rPr>
          <w:rFonts w:ascii="Arial" w:hAnsi="Arial" w:cs="Arial"/>
          <w:color w:val="000000" w:themeColor="text1"/>
          <w:sz w:val="22"/>
        </w:rPr>
        <w:t>93-115. https://doi: 10.1016/j.neubiorev.2014.02.001.</w:t>
      </w:r>
    </w:p>
    <w:p w14:paraId="0E6FC4C9" w14:textId="592385B3" w:rsidR="00567019" w:rsidRPr="005C36F7" w:rsidRDefault="00DA0DCF" w:rsidP="00A32AAE">
      <w:pPr>
        <w:rPr>
          <w:rFonts w:ascii="Arial" w:hAnsi="Arial" w:cs="Arial"/>
          <w:color w:val="000000" w:themeColor="text1"/>
          <w:sz w:val="22"/>
        </w:rPr>
      </w:pPr>
      <w:r w:rsidRPr="005C36F7">
        <w:rPr>
          <w:rFonts w:ascii="Arial" w:hAnsi="Arial" w:cs="Arial"/>
          <w:color w:val="000000" w:themeColor="text1"/>
          <w:sz w:val="22"/>
        </w:rPr>
        <w:t>Stuart, M.J., Singhal, G., Baune, B.T., 2015. Systematic Review of the Neurobiological Relevance of Chemokines to Psychiatric Disorders. Front Cell Neurosci. 9,</w:t>
      </w:r>
      <w:r w:rsidR="003A20F3" w:rsidRPr="005C36F7">
        <w:rPr>
          <w:rFonts w:ascii="Arial" w:hAnsi="Arial" w:cs="Arial"/>
          <w:color w:val="000000" w:themeColor="text1"/>
          <w:sz w:val="22"/>
        </w:rPr>
        <w:t xml:space="preserve"> </w:t>
      </w:r>
      <w:r w:rsidRPr="005C36F7">
        <w:rPr>
          <w:rFonts w:ascii="Arial" w:hAnsi="Arial" w:cs="Arial"/>
          <w:color w:val="000000" w:themeColor="text1"/>
          <w:sz w:val="22"/>
        </w:rPr>
        <w:t>357. https:// doi: 10.3389/ fncel.2015.00357.</w:t>
      </w:r>
    </w:p>
    <w:p w14:paraId="398E8F5E" w14:textId="42CD17DE" w:rsidR="000357F1" w:rsidRPr="005C36F7" w:rsidRDefault="000357F1" w:rsidP="00A32AAE">
      <w:pPr>
        <w:rPr>
          <w:rFonts w:ascii="Arial" w:hAnsi="Arial" w:cs="Arial"/>
          <w:color w:val="000000" w:themeColor="text1"/>
          <w:sz w:val="22"/>
        </w:rPr>
      </w:pPr>
      <w:r w:rsidRPr="005C36F7">
        <w:rPr>
          <w:rFonts w:ascii="Arial" w:hAnsi="Arial" w:cs="Arial"/>
          <w:color w:val="000000" w:themeColor="text1"/>
          <w:sz w:val="22"/>
        </w:rPr>
        <w:t>ten Brinke, A., Ouwerkerk, M.E., Bel, E.H.,  Spinhoven, P., 2001. Similar psychological characteristics in mild and severe asthma. J Psychosom Res. 50,7-10. https://doi:  10.1016/s0022-3999(00)00203-8.</w:t>
      </w:r>
    </w:p>
    <w:p w14:paraId="40B66DA7" w14:textId="6CF67323" w:rsidR="00285BEB" w:rsidRPr="005C36F7" w:rsidRDefault="00285BEB" w:rsidP="00A32AAE">
      <w:pPr>
        <w:rPr>
          <w:rFonts w:ascii="Arial" w:hAnsi="Arial" w:cs="Arial"/>
          <w:color w:val="000000" w:themeColor="text1"/>
          <w:sz w:val="22"/>
        </w:rPr>
      </w:pPr>
      <w:r w:rsidRPr="005C36F7">
        <w:rPr>
          <w:rFonts w:ascii="Arial" w:hAnsi="Arial" w:cs="Arial"/>
          <w:color w:val="000000" w:themeColor="text1"/>
          <w:sz w:val="22"/>
        </w:rPr>
        <w:t>ten Thoren, C., Petermann, F.,</w:t>
      </w:r>
      <w:r w:rsidR="0094380A" w:rsidRPr="005C36F7">
        <w:rPr>
          <w:rFonts w:ascii="Arial" w:hAnsi="Arial" w:cs="Arial"/>
          <w:color w:val="000000" w:themeColor="text1"/>
          <w:sz w:val="22"/>
        </w:rPr>
        <w:t xml:space="preserve"> </w:t>
      </w:r>
      <w:r w:rsidRPr="005C36F7">
        <w:rPr>
          <w:rFonts w:ascii="Arial" w:hAnsi="Arial" w:cs="Arial"/>
          <w:color w:val="000000" w:themeColor="text1"/>
          <w:sz w:val="22"/>
        </w:rPr>
        <w:t>2000. Reviewing asthma and anxiety. Respir Med. 94,</w:t>
      </w:r>
      <w:r w:rsidR="003A20F3" w:rsidRPr="005C36F7">
        <w:rPr>
          <w:rFonts w:ascii="Arial" w:hAnsi="Arial" w:cs="Arial"/>
          <w:color w:val="000000" w:themeColor="text1"/>
          <w:sz w:val="22"/>
        </w:rPr>
        <w:t xml:space="preserve"> </w:t>
      </w:r>
      <w:r w:rsidRPr="005C36F7">
        <w:rPr>
          <w:rFonts w:ascii="Arial" w:hAnsi="Arial" w:cs="Arial"/>
          <w:color w:val="000000" w:themeColor="text1"/>
          <w:sz w:val="22"/>
        </w:rPr>
        <w:t>409-415. https://doi: 10.1053/rmed.1999.0757.</w:t>
      </w:r>
    </w:p>
    <w:p w14:paraId="0C93FA9C" w14:textId="51197DE8" w:rsidR="00DD0532" w:rsidRPr="005C36F7" w:rsidRDefault="00DD0532" w:rsidP="00DD0532">
      <w:pPr>
        <w:rPr>
          <w:rFonts w:ascii="Arial" w:hAnsi="Arial" w:cs="Arial"/>
          <w:color w:val="000000" w:themeColor="text1"/>
          <w:sz w:val="22"/>
        </w:rPr>
      </w:pPr>
      <w:r w:rsidRPr="005C36F7">
        <w:rPr>
          <w:rFonts w:ascii="Arial" w:hAnsi="Arial" w:cs="Arial"/>
          <w:color w:val="000000" w:themeColor="text1"/>
          <w:sz w:val="22"/>
        </w:rPr>
        <w:t>Thomas, M., Bruton, A., Moffat, M., Cleland, J.,</w:t>
      </w:r>
      <w:r w:rsidR="003A20F3" w:rsidRPr="005C36F7">
        <w:rPr>
          <w:rFonts w:ascii="Arial" w:hAnsi="Arial" w:cs="Arial"/>
          <w:color w:val="000000" w:themeColor="text1"/>
          <w:sz w:val="22"/>
        </w:rPr>
        <w:t xml:space="preserve"> </w:t>
      </w:r>
      <w:r w:rsidRPr="005C36F7">
        <w:rPr>
          <w:rFonts w:ascii="Arial" w:hAnsi="Arial" w:cs="Arial"/>
          <w:color w:val="000000" w:themeColor="text1"/>
          <w:sz w:val="22"/>
        </w:rPr>
        <w:t>2011. Asthma and psychological dysfunction. Prim</w:t>
      </w:r>
      <w:r w:rsidR="005C36F7">
        <w:rPr>
          <w:rFonts w:ascii="Arial" w:hAnsi="Arial" w:cs="Arial"/>
          <w:color w:val="000000" w:themeColor="text1"/>
          <w:sz w:val="22"/>
        </w:rPr>
        <w:t xml:space="preserve"> </w:t>
      </w:r>
      <w:r w:rsidRPr="005C36F7">
        <w:rPr>
          <w:rFonts w:ascii="Arial" w:hAnsi="Arial" w:cs="Arial"/>
          <w:color w:val="000000" w:themeColor="text1"/>
          <w:sz w:val="22"/>
        </w:rPr>
        <w:t>Care Respir J. 20, 250–256. https://doi: 10.4104/pcrj.2011.00058.</w:t>
      </w:r>
    </w:p>
    <w:p w14:paraId="6280D6E8" w14:textId="6C5D06E5" w:rsidR="00A44827" w:rsidRDefault="00A44827" w:rsidP="00A32AAE">
      <w:pPr>
        <w:rPr>
          <w:rFonts w:ascii="Arial" w:hAnsi="Arial" w:cs="Arial"/>
          <w:color w:val="000000" w:themeColor="text1"/>
          <w:sz w:val="22"/>
        </w:rPr>
      </w:pPr>
      <w:r w:rsidRPr="00A44827">
        <w:rPr>
          <w:rFonts w:ascii="Arial" w:hAnsi="Arial" w:cs="Arial"/>
          <w:color w:val="000000" w:themeColor="text1"/>
          <w:sz w:val="22"/>
        </w:rPr>
        <w:t>Ting EY, Yang AC, Tsai SJ. Role of Interleukin-6 in Depressive Disorder. Int J Mol Sci. 2020 Mar 22;21:2194. doi: 10.3390/ijms21062194. PMID: 32235786; PMCID: PMC7139933.</w:t>
      </w:r>
    </w:p>
    <w:p w14:paraId="6FB2F9C8" w14:textId="40DFBDCA" w:rsidR="00DD0532" w:rsidRDefault="00DD0532" w:rsidP="00A32AAE">
      <w:pPr>
        <w:rPr>
          <w:rFonts w:ascii="Arial" w:hAnsi="Arial" w:cs="Arial"/>
          <w:color w:val="000000" w:themeColor="text1"/>
          <w:sz w:val="22"/>
        </w:rPr>
      </w:pPr>
      <w:r w:rsidRPr="005C36F7">
        <w:rPr>
          <w:rFonts w:ascii="Arial" w:hAnsi="Arial" w:cs="Arial"/>
          <w:color w:val="000000" w:themeColor="text1"/>
          <w:sz w:val="22"/>
        </w:rPr>
        <w:t>Tsicopoulos, A., Chang, Y., Ait Yahia, S., de Nadai, P., Chenivesse, C., 2013. Role of CCL18 in asthma and lung immunity. Clin Exp Allergy. 43,</w:t>
      </w:r>
      <w:r w:rsidR="003A20F3" w:rsidRPr="005C36F7">
        <w:rPr>
          <w:rFonts w:ascii="Arial" w:hAnsi="Arial" w:cs="Arial"/>
          <w:color w:val="000000" w:themeColor="text1"/>
          <w:sz w:val="22"/>
        </w:rPr>
        <w:t xml:space="preserve"> </w:t>
      </w:r>
      <w:r w:rsidRPr="005C36F7">
        <w:rPr>
          <w:rFonts w:ascii="Arial" w:hAnsi="Arial" w:cs="Arial"/>
          <w:color w:val="000000" w:themeColor="text1"/>
          <w:sz w:val="22"/>
        </w:rPr>
        <w:t>716-722. https://doi: 10.1111/cea.12065.</w:t>
      </w:r>
    </w:p>
    <w:p w14:paraId="1802D91B" w14:textId="41359DC3" w:rsidR="00AD7D51" w:rsidRPr="005C36F7" w:rsidRDefault="00AD7D51" w:rsidP="00AD7D51">
      <w:pPr>
        <w:rPr>
          <w:rFonts w:ascii="Arial" w:hAnsi="Arial" w:cs="Arial"/>
          <w:color w:val="000000" w:themeColor="text1"/>
          <w:sz w:val="22"/>
        </w:rPr>
      </w:pPr>
      <w:r w:rsidRPr="00AD7D51">
        <w:rPr>
          <w:rFonts w:ascii="Arial" w:hAnsi="Arial" w:cs="Arial"/>
          <w:color w:val="000000" w:themeColor="text1"/>
          <w:sz w:val="22"/>
        </w:rPr>
        <w:t>Turan</w:t>
      </w:r>
      <w:r>
        <w:rPr>
          <w:rFonts w:ascii="Arial" w:hAnsi="Arial" w:cs="Arial"/>
          <w:color w:val="000000" w:themeColor="text1"/>
          <w:sz w:val="22"/>
        </w:rPr>
        <w:t xml:space="preserve"> N</w:t>
      </w:r>
      <w:r w:rsidRPr="00AD7D51">
        <w:rPr>
          <w:rFonts w:ascii="Arial" w:hAnsi="Arial" w:cs="Arial"/>
          <w:color w:val="000000" w:themeColor="text1"/>
          <w:sz w:val="22"/>
        </w:rPr>
        <w:t>, Bates</w:t>
      </w:r>
      <w:r>
        <w:rPr>
          <w:rFonts w:ascii="Arial" w:hAnsi="Arial" w:cs="Arial"/>
          <w:color w:val="000000" w:themeColor="text1"/>
          <w:sz w:val="22"/>
        </w:rPr>
        <w:t xml:space="preserve"> S</w:t>
      </w:r>
      <w:r w:rsidRPr="00AD7D51">
        <w:rPr>
          <w:rFonts w:ascii="Arial" w:hAnsi="Arial" w:cs="Arial"/>
          <w:color w:val="000000" w:themeColor="text1"/>
          <w:sz w:val="22"/>
        </w:rPr>
        <w:t>, Edwards</w:t>
      </w:r>
      <w:r>
        <w:rPr>
          <w:rFonts w:ascii="Arial" w:hAnsi="Arial" w:cs="Arial"/>
          <w:color w:val="000000" w:themeColor="text1"/>
          <w:sz w:val="22"/>
        </w:rPr>
        <w:t xml:space="preserve"> M</w:t>
      </w:r>
      <w:r w:rsidRPr="00AD7D51">
        <w:rPr>
          <w:rFonts w:ascii="Arial" w:hAnsi="Arial" w:cs="Arial"/>
          <w:color w:val="000000" w:themeColor="text1"/>
          <w:sz w:val="22"/>
        </w:rPr>
        <w:t>, Shaw</w:t>
      </w:r>
      <w:r>
        <w:rPr>
          <w:rFonts w:ascii="Arial" w:hAnsi="Arial" w:cs="Arial"/>
          <w:color w:val="000000" w:themeColor="text1"/>
          <w:sz w:val="22"/>
        </w:rPr>
        <w:t xml:space="preserve"> DE</w:t>
      </w:r>
      <w:r w:rsidRPr="00AD7D51">
        <w:rPr>
          <w:rFonts w:ascii="Arial" w:hAnsi="Arial" w:cs="Arial"/>
          <w:color w:val="000000" w:themeColor="text1"/>
          <w:sz w:val="22"/>
        </w:rPr>
        <w:t>, Chung</w:t>
      </w:r>
      <w:r>
        <w:rPr>
          <w:rFonts w:ascii="Arial" w:hAnsi="Arial" w:cs="Arial"/>
          <w:color w:val="000000" w:themeColor="text1"/>
          <w:sz w:val="22"/>
        </w:rPr>
        <w:t xml:space="preserve"> KF</w:t>
      </w:r>
      <w:r w:rsidRPr="00AD7D51">
        <w:rPr>
          <w:rFonts w:ascii="Arial" w:hAnsi="Arial" w:cs="Arial"/>
          <w:color w:val="000000" w:themeColor="text1"/>
          <w:sz w:val="22"/>
        </w:rPr>
        <w:t>, James</w:t>
      </w:r>
      <w:r>
        <w:rPr>
          <w:rFonts w:ascii="Arial" w:hAnsi="Arial" w:cs="Arial"/>
          <w:color w:val="000000" w:themeColor="text1"/>
          <w:sz w:val="22"/>
        </w:rPr>
        <w:t xml:space="preserve"> A</w:t>
      </w:r>
      <w:r w:rsidRPr="00AD7D51">
        <w:rPr>
          <w:rFonts w:ascii="Arial" w:hAnsi="Arial" w:cs="Arial"/>
          <w:color w:val="000000" w:themeColor="text1"/>
          <w:sz w:val="22"/>
        </w:rPr>
        <w:t>, Loza</w:t>
      </w:r>
      <w:r>
        <w:rPr>
          <w:rFonts w:ascii="Arial" w:hAnsi="Arial" w:cs="Arial"/>
          <w:color w:val="000000" w:themeColor="text1"/>
          <w:sz w:val="22"/>
        </w:rPr>
        <w:t xml:space="preserve"> MJ</w:t>
      </w:r>
      <w:r w:rsidRPr="00AD7D51">
        <w:rPr>
          <w:rFonts w:ascii="Arial" w:hAnsi="Arial" w:cs="Arial"/>
          <w:color w:val="000000" w:themeColor="text1"/>
          <w:sz w:val="22"/>
        </w:rPr>
        <w:t>, Van Oosterhout</w:t>
      </w:r>
      <w:r>
        <w:rPr>
          <w:rFonts w:ascii="Arial" w:hAnsi="Arial" w:cs="Arial"/>
          <w:color w:val="000000" w:themeColor="text1"/>
          <w:sz w:val="22"/>
        </w:rPr>
        <w:t xml:space="preserve"> AJ. </w:t>
      </w:r>
      <w:r w:rsidRPr="00AD7D51">
        <w:rPr>
          <w:rFonts w:ascii="Arial" w:hAnsi="Arial" w:cs="Arial"/>
          <w:color w:val="000000" w:themeColor="text1"/>
          <w:sz w:val="22"/>
        </w:rPr>
        <w:t>A hypothesis driven approach investigating the interleukin-6 pathway in UBIOPRED severe asthma patients</w:t>
      </w:r>
      <w:r>
        <w:rPr>
          <w:rFonts w:ascii="Arial" w:hAnsi="Arial" w:cs="Arial"/>
          <w:color w:val="000000" w:themeColor="text1"/>
          <w:sz w:val="22"/>
        </w:rPr>
        <w:t xml:space="preserve">. </w:t>
      </w:r>
      <w:r w:rsidRPr="00AD7D51">
        <w:rPr>
          <w:rFonts w:ascii="Arial" w:hAnsi="Arial" w:cs="Arial"/>
          <w:color w:val="000000" w:themeColor="text1"/>
          <w:sz w:val="22"/>
        </w:rPr>
        <w:t>European Respiratory Journal 2017 50: PA4941; DOI: 10.1183/1393003.congress-2017.PA4941</w:t>
      </w:r>
    </w:p>
    <w:p w14:paraId="62DF3D2F" w14:textId="5A001A73" w:rsidR="0032404E" w:rsidRPr="005C36F7" w:rsidRDefault="0032404E" w:rsidP="00A32AAE">
      <w:pPr>
        <w:rPr>
          <w:rFonts w:ascii="Arial" w:hAnsi="Arial" w:cs="Arial"/>
          <w:color w:val="000000" w:themeColor="text1"/>
          <w:sz w:val="22"/>
        </w:rPr>
      </w:pPr>
      <w:r w:rsidRPr="005C36F7">
        <w:rPr>
          <w:rFonts w:ascii="Arial" w:hAnsi="Arial" w:cs="Arial"/>
          <w:color w:val="000000" w:themeColor="text1"/>
          <w:sz w:val="22"/>
        </w:rPr>
        <w:t>Valkanova, V., Ebmeier, K.P., Allan, C.L., 2013. CRP, IL-6 and depression: a systematic review and meta-analysis of longitudinal studies. J Affect Disord. 150,736-744. https:// doi: 10.1016/ j.jad.</w:t>
      </w:r>
      <w:r w:rsidR="005C36F7">
        <w:rPr>
          <w:rFonts w:ascii="Arial" w:hAnsi="Arial" w:cs="Arial"/>
          <w:color w:val="000000" w:themeColor="text1"/>
          <w:sz w:val="22"/>
        </w:rPr>
        <w:t xml:space="preserve"> </w:t>
      </w:r>
      <w:r w:rsidRPr="005C36F7">
        <w:rPr>
          <w:rFonts w:ascii="Arial" w:hAnsi="Arial" w:cs="Arial"/>
          <w:color w:val="000000" w:themeColor="text1"/>
          <w:sz w:val="22"/>
        </w:rPr>
        <w:t>2013.06.004.</w:t>
      </w:r>
    </w:p>
    <w:p w14:paraId="3EE4AC08" w14:textId="7FF46F86" w:rsidR="00A44E10" w:rsidRPr="005C36F7" w:rsidRDefault="000D384A" w:rsidP="00A32AAE">
      <w:pPr>
        <w:rPr>
          <w:rFonts w:ascii="Arial" w:hAnsi="Arial" w:cs="Arial"/>
          <w:color w:val="000000" w:themeColor="text1"/>
          <w:sz w:val="22"/>
        </w:rPr>
      </w:pPr>
      <w:r w:rsidRPr="005C36F7">
        <w:rPr>
          <w:rFonts w:ascii="Arial" w:hAnsi="Arial" w:cs="Arial"/>
          <w:color w:val="000000" w:themeColor="text1"/>
          <w:sz w:val="22"/>
        </w:rPr>
        <w:t>Weiser, E.B.,</w:t>
      </w:r>
      <w:r w:rsidR="003A20F3" w:rsidRPr="005C36F7">
        <w:rPr>
          <w:rFonts w:ascii="Arial" w:hAnsi="Arial" w:cs="Arial"/>
          <w:color w:val="000000" w:themeColor="text1"/>
          <w:sz w:val="22"/>
        </w:rPr>
        <w:t xml:space="preserve"> </w:t>
      </w:r>
      <w:r w:rsidRPr="005C36F7">
        <w:rPr>
          <w:rFonts w:ascii="Arial" w:hAnsi="Arial" w:cs="Arial"/>
          <w:color w:val="000000" w:themeColor="text1"/>
          <w:sz w:val="22"/>
        </w:rPr>
        <w:t>2007.</w:t>
      </w:r>
      <w:r w:rsidR="003A20F3" w:rsidRPr="005C36F7">
        <w:rPr>
          <w:rFonts w:ascii="Arial" w:hAnsi="Arial" w:cs="Arial"/>
          <w:color w:val="000000" w:themeColor="text1"/>
          <w:sz w:val="22"/>
        </w:rPr>
        <w:t xml:space="preserve"> </w:t>
      </w:r>
      <w:r w:rsidRPr="005C36F7">
        <w:rPr>
          <w:rFonts w:ascii="Arial" w:hAnsi="Arial" w:cs="Arial"/>
          <w:color w:val="000000" w:themeColor="text1"/>
          <w:sz w:val="22"/>
        </w:rPr>
        <w:t>The prevalence of anxiety disorders among adults with asthma: a meta-analytic review. J.Clin.Psychol.Med.Settings14,297–307. https://doi: 10.1007/</w:t>
      </w:r>
      <w:r w:rsidR="003A20F3" w:rsidRPr="005C36F7">
        <w:rPr>
          <w:rFonts w:ascii="Arial" w:hAnsi="Arial" w:cs="Arial"/>
          <w:color w:val="000000" w:themeColor="text1"/>
          <w:sz w:val="22"/>
        </w:rPr>
        <w:t xml:space="preserve"> </w:t>
      </w:r>
      <w:r w:rsidRPr="005C36F7">
        <w:rPr>
          <w:rFonts w:ascii="Arial" w:hAnsi="Arial" w:cs="Arial"/>
          <w:color w:val="000000" w:themeColor="text1"/>
          <w:sz w:val="22"/>
        </w:rPr>
        <w:t>s10880</w:t>
      </w:r>
      <w:r w:rsidR="003A20F3" w:rsidRPr="005C36F7">
        <w:rPr>
          <w:rFonts w:ascii="Arial" w:hAnsi="Arial" w:cs="Arial"/>
          <w:color w:val="000000" w:themeColor="text1"/>
          <w:sz w:val="22"/>
        </w:rPr>
        <w:t xml:space="preserve"> – </w:t>
      </w:r>
      <w:r w:rsidRPr="005C36F7">
        <w:rPr>
          <w:rFonts w:ascii="Arial" w:hAnsi="Arial" w:cs="Arial"/>
          <w:color w:val="000000" w:themeColor="text1"/>
          <w:sz w:val="22"/>
        </w:rPr>
        <w:t>007</w:t>
      </w:r>
      <w:r w:rsidR="003A20F3" w:rsidRPr="005C36F7">
        <w:rPr>
          <w:rFonts w:ascii="Arial" w:hAnsi="Arial" w:cs="Arial"/>
          <w:color w:val="000000" w:themeColor="text1"/>
          <w:sz w:val="22"/>
        </w:rPr>
        <w:t xml:space="preserve"> </w:t>
      </w:r>
      <w:r w:rsidRPr="005C36F7">
        <w:rPr>
          <w:rFonts w:ascii="Arial" w:hAnsi="Arial" w:cs="Arial"/>
          <w:color w:val="000000" w:themeColor="text1"/>
          <w:sz w:val="22"/>
        </w:rPr>
        <w:t>-9087-2.</w:t>
      </w:r>
    </w:p>
    <w:p w14:paraId="0BC2E3B3" w14:textId="6EC30ABD" w:rsidR="00E476F6" w:rsidRPr="005C36F7" w:rsidRDefault="00E476F6" w:rsidP="00E476F6">
      <w:pPr>
        <w:rPr>
          <w:rFonts w:ascii="Arial" w:hAnsi="Arial" w:cs="Arial"/>
          <w:color w:val="000000" w:themeColor="text1"/>
          <w:sz w:val="22"/>
        </w:rPr>
      </w:pPr>
      <w:r w:rsidRPr="005C36F7">
        <w:rPr>
          <w:rFonts w:ascii="Arial" w:hAnsi="Arial" w:cs="Arial"/>
          <w:color w:val="000000" w:themeColor="text1"/>
          <w:sz w:val="22"/>
        </w:rPr>
        <w:t>G Ye, DS Baldwin, R Hou, 2021. Anxiety in Asthma: a systematic review and meta-analysis. Psychological Medicine</w:t>
      </w:r>
      <w:r w:rsidR="005C36F7">
        <w:rPr>
          <w:rFonts w:ascii="Arial" w:hAnsi="Arial" w:cs="Arial"/>
          <w:color w:val="000000" w:themeColor="text1"/>
          <w:sz w:val="22"/>
        </w:rPr>
        <w:t xml:space="preserve"> 81:105-110.</w:t>
      </w:r>
    </w:p>
    <w:p w14:paraId="1A5155FE" w14:textId="0514D884" w:rsidR="00B45502" w:rsidRPr="005C36F7" w:rsidRDefault="00B45502" w:rsidP="00B45502">
      <w:pPr>
        <w:rPr>
          <w:rFonts w:ascii="Arial" w:hAnsi="Arial" w:cs="Arial"/>
          <w:color w:val="000000" w:themeColor="text1"/>
          <w:sz w:val="22"/>
        </w:rPr>
      </w:pPr>
      <w:r w:rsidRPr="005C36F7">
        <w:rPr>
          <w:rFonts w:ascii="Arial" w:hAnsi="Arial" w:cs="Arial"/>
          <w:color w:val="000000" w:themeColor="text1"/>
          <w:sz w:val="22"/>
        </w:rPr>
        <w:t>Yellowlees, P.M., Haynes, S., Potts, N., Ruffin, R.E., 1988. Psychiatric morbidity in patients with life-threatening asthma: initial report of a controlled study. Med J Aust. 149,</w:t>
      </w:r>
      <w:r w:rsidR="003A20F3" w:rsidRPr="005C36F7">
        <w:rPr>
          <w:rFonts w:ascii="Arial" w:hAnsi="Arial" w:cs="Arial"/>
          <w:color w:val="000000" w:themeColor="text1"/>
          <w:sz w:val="22"/>
        </w:rPr>
        <w:t xml:space="preserve"> </w:t>
      </w:r>
      <w:r w:rsidRPr="005C36F7">
        <w:rPr>
          <w:rFonts w:ascii="Arial" w:hAnsi="Arial" w:cs="Arial"/>
          <w:color w:val="000000" w:themeColor="text1"/>
          <w:sz w:val="22"/>
        </w:rPr>
        <w:t>246-249.</w:t>
      </w:r>
    </w:p>
    <w:p w14:paraId="10904D52" w14:textId="4B7FF2FD" w:rsidR="00B45502" w:rsidRPr="005C36F7" w:rsidRDefault="00B45502" w:rsidP="00A32AAE">
      <w:pPr>
        <w:rPr>
          <w:rFonts w:ascii="Arial" w:hAnsi="Arial" w:cs="Arial"/>
          <w:color w:val="000000" w:themeColor="text1"/>
          <w:sz w:val="22"/>
        </w:rPr>
      </w:pPr>
      <w:r w:rsidRPr="005C36F7">
        <w:rPr>
          <w:rFonts w:ascii="Arial" w:hAnsi="Arial" w:cs="Arial"/>
          <w:color w:val="000000" w:themeColor="text1"/>
          <w:sz w:val="22"/>
        </w:rPr>
        <w:t>Yokoyama, A., Kohno, N., Sakai, K., Kondo, K., Hirasawa, Y., Hiwada, K., 1997. Circulating levels of soluble interleukin-6 receptor in patients with bronchial asthma. Am J Respir Crit Care Med. 156,</w:t>
      </w:r>
      <w:r w:rsidR="003A20F3" w:rsidRPr="005C36F7">
        <w:rPr>
          <w:rFonts w:ascii="Arial" w:hAnsi="Arial" w:cs="Arial"/>
          <w:color w:val="000000" w:themeColor="text1"/>
          <w:sz w:val="22"/>
        </w:rPr>
        <w:t xml:space="preserve"> </w:t>
      </w:r>
      <w:r w:rsidRPr="005C36F7">
        <w:rPr>
          <w:rFonts w:ascii="Arial" w:hAnsi="Arial" w:cs="Arial"/>
          <w:color w:val="000000" w:themeColor="text1"/>
          <w:sz w:val="22"/>
        </w:rPr>
        <w:t>1688-1691. https://doi: 10.1164/ajrccm.156.5.9610070.</w:t>
      </w:r>
    </w:p>
    <w:p w14:paraId="6104A557" w14:textId="5103A091" w:rsidR="00D44E24" w:rsidRPr="005C36F7" w:rsidRDefault="0094380A" w:rsidP="00A32AAE">
      <w:pPr>
        <w:rPr>
          <w:rFonts w:ascii="Arial" w:hAnsi="Arial" w:cs="Arial"/>
          <w:color w:val="000000" w:themeColor="text1"/>
          <w:sz w:val="22"/>
        </w:rPr>
      </w:pPr>
      <w:r w:rsidRPr="005C36F7">
        <w:rPr>
          <w:rFonts w:ascii="Arial" w:hAnsi="Arial" w:cs="Arial"/>
          <w:color w:val="000000" w:themeColor="text1"/>
          <w:sz w:val="22"/>
        </w:rPr>
        <w:t>Zhu, M., Liang, Z., Wang, T., Chen,R., Wang,G., Ji, Y., 2016. Th1/Th2/Th17 cells imbalance in patients with asthma with and without psychological symptoms.</w:t>
      </w:r>
      <w:r w:rsidR="00785D4A" w:rsidRPr="005C36F7">
        <w:rPr>
          <w:rFonts w:ascii="Arial" w:hAnsi="Arial" w:cs="Arial"/>
          <w:color w:val="000000" w:themeColor="text1"/>
          <w:sz w:val="22"/>
        </w:rPr>
        <w:t xml:space="preserve"> Allergy Asthma Proc .</w:t>
      </w:r>
      <w:r w:rsidRPr="005C36F7">
        <w:rPr>
          <w:rFonts w:ascii="Arial" w:hAnsi="Arial" w:cs="Arial"/>
          <w:color w:val="000000" w:themeColor="text1"/>
          <w:sz w:val="22"/>
        </w:rPr>
        <w:t xml:space="preserve"> 37,</w:t>
      </w:r>
      <w:r w:rsidR="00785D4A" w:rsidRPr="005C36F7">
        <w:rPr>
          <w:rFonts w:ascii="Arial" w:hAnsi="Arial" w:cs="Arial"/>
          <w:color w:val="000000" w:themeColor="text1"/>
          <w:sz w:val="22"/>
        </w:rPr>
        <w:t xml:space="preserve"> </w:t>
      </w:r>
      <w:r w:rsidRPr="005C36F7">
        <w:rPr>
          <w:rFonts w:ascii="Arial" w:hAnsi="Arial" w:cs="Arial"/>
          <w:color w:val="000000" w:themeColor="text1"/>
          <w:sz w:val="22"/>
        </w:rPr>
        <w:t>148-156. https://doi: 10.2500/aap.2016.37.3928.</w:t>
      </w:r>
    </w:p>
    <w:p w14:paraId="67C0F6B5" w14:textId="465B8B7B" w:rsidR="004F2E3D" w:rsidRPr="005C36F7" w:rsidRDefault="004F2E3D" w:rsidP="00A32AAE">
      <w:pPr>
        <w:rPr>
          <w:rFonts w:ascii="Arial" w:hAnsi="Arial" w:cs="Arial"/>
          <w:color w:val="000000" w:themeColor="text1"/>
          <w:sz w:val="22"/>
        </w:rPr>
      </w:pPr>
      <w:r w:rsidRPr="005C36F7">
        <w:rPr>
          <w:rFonts w:ascii="Arial" w:hAnsi="Arial" w:cs="Arial"/>
          <w:color w:val="000000" w:themeColor="text1"/>
          <w:sz w:val="22"/>
        </w:rPr>
        <w:t>Zielinski, T.A., Brown, E.S.,</w:t>
      </w:r>
      <w:r w:rsidR="00046F06" w:rsidRPr="005C36F7">
        <w:rPr>
          <w:rFonts w:ascii="Arial" w:hAnsi="Arial" w:cs="Arial"/>
          <w:color w:val="000000" w:themeColor="text1"/>
          <w:sz w:val="22"/>
        </w:rPr>
        <w:t xml:space="preserve"> </w:t>
      </w:r>
      <w:r w:rsidRPr="005C36F7">
        <w:rPr>
          <w:rFonts w:ascii="Arial" w:hAnsi="Arial" w:cs="Arial"/>
          <w:color w:val="000000" w:themeColor="text1"/>
          <w:sz w:val="22"/>
        </w:rPr>
        <w:t>2003. Depression in patients with asthma. In:</w:t>
      </w:r>
      <w:r w:rsidR="00046F06" w:rsidRPr="005C36F7">
        <w:rPr>
          <w:rFonts w:ascii="Arial" w:hAnsi="Arial" w:cs="Arial"/>
          <w:color w:val="000000" w:themeColor="text1"/>
          <w:sz w:val="22"/>
        </w:rPr>
        <w:t xml:space="preserve"> </w:t>
      </w:r>
      <w:r w:rsidRPr="005C36F7">
        <w:rPr>
          <w:rFonts w:ascii="Arial" w:hAnsi="Arial" w:cs="Arial"/>
          <w:color w:val="000000" w:themeColor="text1"/>
          <w:sz w:val="22"/>
        </w:rPr>
        <w:t>Brown ES, editor. Asthma: social and psychological factors and psychosomatic syndromes. Basel: Karger. Adv Psychosom Med,</w:t>
      </w:r>
      <w:r w:rsidR="003A20F3" w:rsidRPr="005C36F7">
        <w:rPr>
          <w:rFonts w:ascii="Arial" w:hAnsi="Arial" w:cs="Arial"/>
          <w:color w:val="000000" w:themeColor="text1"/>
          <w:sz w:val="22"/>
        </w:rPr>
        <w:t xml:space="preserve"> </w:t>
      </w:r>
      <w:r w:rsidRPr="005C36F7">
        <w:rPr>
          <w:rFonts w:ascii="Arial" w:hAnsi="Arial" w:cs="Arial"/>
          <w:color w:val="000000" w:themeColor="text1"/>
          <w:sz w:val="22"/>
        </w:rPr>
        <w:t>pp.42–50.</w:t>
      </w:r>
    </w:p>
    <w:sectPr w:rsidR="004F2E3D" w:rsidRPr="005C36F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AC0CC" w14:textId="77777777" w:rsidR="005E7C81" w:rsidRDefault="005E7C81" w:rsidP="00230575">
      <w:r>
        <w:separator/>
      </w:r>
    </w:p>
  </w:endnote>
  <w:endnote w:type="continuationSeparator" w:id="0">
    <w:p w14:paraId="7B34E24D" w14:textId="77777777" w:rsidR="005E7C81" w:rsidRDefault="005E7C81" w:rsidP="0023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533653"/>
      <w:docPartObj>
        <w:docPartGallery w:val="Page Numbers (Bottom of Page)"/>
        <w:docPartUnique/>
      </w:docPartObj>
    </w:sdtPr>
    <w:sdtEndPr>
      <w:rPr>
        <w:noProof/>
      </w:rPr>
    </w:sdtEndPr>
    <w:sdtContent>
      <w:p w14:paraId="43DF602B" w14:textId="768B2AEB" w:rsidR="00324A33" w:rsidRDefault="00324A33">
        <w:pPr>
          <w:pStyle w:val="Footer"/>
          <w:jc w:val="right"/>
        </w:pPr>
        <w:r>
          <w:fldChar w:fldCharType="begin"/>
        </w:r>
        <w:r>
          <w:instrText xml:space="preserve"> PAGE   \* MERGEFORMAT </w:instrText>
        </w:r>
        <w:r>
          <w:fldChar w:fldCharType="separate"/>
        </w:r>
        <w:r w:rsidR="002B5654">
          <w:rPr>
            <w:noProof/>
          </w:rPr>
          <w:t>22</w:t>
        </w:r>
        <w:r>
          <w:rPr>
            <w:noProof/>
          </w:rPr>
          <w:fldChar w:fldCharType="end"/>
        </w:r>
      </w:p>
    </w:sdtContent>
  </w:sdt>
  <w:p w14:paraId="7971DA2D" w14:textId="77777777" w:rsidR="00324A33" w:rsidRDefault="00324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C4914" w14:textId="77777777" w:rsidR="005E7C81" w:rsidRDefault="005E7C81" w:rsidP="00230575">
      <w:r>
        <w:separator/>
      </w:r>
    </w:p>
  </w:footnote>
  <w:footnote w:type="continuationSeparator" w:id="0">
    <w:p w14:paraId="224EC96E" w14:textId="77777777" w:rsidR="005E7C81" w:rsidRDefault="005E7C81" w:rsidP="00230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35931"/>
    <w:multiLevelType w:val="hybridMultilevel"/>
    <w:tmpl w:val="067AC486"/>
    <w:lvl w:ilvl="0" w:tplc="40567268">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AC6F45"/>
    <w:multiLevelType w:val="hybridMultilevel"/>
    <w:tmpl w:val="654EEE8C"/>
    <w:lvl w:ilvl="0" w:tplc="D1648FEA">
      <w:start w:val="1"/>
      <w:numFmt w:val="decimal"/>
      <w:lvlText w:val="%1."/>
      <w:lvlJc w:val="left"/>
      <w:pPr>
        <w:ind w:left="676" w:hanging="360"/>
      </w:pPr>
      <w:rPr>
        <w:rFonts w:hint="default"/>
      </w:rPr>
    </w:lvl>
    <w:lvl w:ilvl="1" w:tplc="04090019" w:tentative="1">
      <w:start w:val="1"/>
      <w:numFmt w:val="lowerLetter"/>
      <w:lvlText w:val="%2)"/>
      <w:lvlJc w:val="left"/>
      <w:pPr>
        <w:ind w:left="1156" w:hanging="420"/>
      </w:pPr>
    </w:lvl>
    <w:lvl w:ilvl="2" w:tplc="0409001B" w:tentative="1">
      <w:start w:val="1"/>
      <w:numFmt w:val="lowerRoman"/>
      <w:lvlText w:val="%3."/>
      <w:lvlJc w:val="right"/>
      <w:pPr>
        <w:ind w:left="1576" w:hanging="420"/>
      </w:pPr>
    </w:lvl>
    <w:lvl w:ilvl="3" w:tplc="0409000F" w:tentative="1">
      <w:start w:val="1"/>
      <w:numFmt w:val="decimal"/>
      <w:lvlText w:val="%4."/>
      <w:lvlJc w:val="left"/>
      <w:pPr>
        <w:ind w:left="1996" w:hanging="420"/>
      </w:pPr>
    </w:lvl>
    <w:lvl w:ilvl="4" w:tplc="04090019" w:tentative="1">
      <w:start w:val="1"/>
      <w:numFmt w:val="lowerLetter"/>
      <w:lvlText w:val="%5)"/>
      <w:lvlJc w:val="left"/>
      <w:pPr>
        <w:ind w:left="2416" w:hanging="420"/>
      </w:pPr>
    </w:lvl>
    <w:lvl w:ilvl="5" w:tplc="0409001B" w:tentative="1">
      <w:start w:val="1"/>
      <w:numFmt w:val="lowerRoman"/>
      <w:lvlText w:val="%6."/>
      <w:lvlJc w:val="right"/>
      <w:pPr>
        <w:ind w:left="2836" w:hanging="420"/>
      </w:pPr>
    </w:lvl>
    <w:lvl w:ilvl="6" w:tplc="0409000F" w:tentative="1">
      <w:start w:val="1"/>
      <w:numFmt w:val="decimal"/>
      <w:lvlText w:val="%7."/>
      <w:lvlJc w:val="left"/>
      <w:pPr>
        <w:ind w:left="3256" w:hanging="420"/>
      </w:pPr>
    </w:lvl>
    <w:lvl w:ilvl="7" w:tplc="04090019" w:tentative="1">
      <w:start w:val="1"/>
      <w:numFmt w:val="lowerLetter"/>
      <w:lvlText w:val="%8)"/>
      <w:lvlJc w:val="left"/>
      <w:pPr>
        <w:ind w:left="3676" w:hanging="420"/>
      </w:pPr>
    </w:lvl>
    <w:lvl w:ilvl="8" w:tplc="0409001B" w:tentative="1">
      <w:start w:val="1"/>
      <w:numFmt w:val="lowerRoman"/>
      <w:lvlText w:val="%9."/>
      <w:lvlJc w:val="right"/>
      <w:pPr>
        <w:ind w:left="4096" w:hanging="420"/>
      </w:pPr>
    </w:lvl>
  </w:abstractNum>
  <w:num w:numId="1" w16cid:durableId="770709146">
    <w:abstractNumId w:val="1"/>
  </w:num>
  <w:num w:numId="2" w16cid:durableId="1949315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B7F"/>
    <w:rsid w:val="0000125A"/>
    <w:rsid w:val="000023A2"/>
    <w:rsid w:val="000054C3"/>
    <w:rsid w:val="0000709D"/>
    <w:rsid w:val="00011620"/>
    <w:rsid w:val="00011E51"/>
    <w:rsid w:val="00013BAC"/>
    <w:rsid w:val="00016006"/>
    <w:rsid w:val="00024F7A"/>
    <w:rsid w:val="000304C3"/>
    <w:rsid w:val="000357F1"/>
    <w:rsid w:val="00042489"/>
    <w:rsid w:val="000460C5"/>
    <w:rsid w:val="00046F06"/>
    <w:rsid w:val="00051CE5"/>
    <w:rsid w:val="00052F30"/>
    <w:rsid w:val="000564FB"/>
    <w:rsid w:val="00060CDB"/>
    <w:rsid w:val="00061164"/>
    <w:rsid w:val="0006152C"/>
    <w:rsid w:val="00067C2B"/>
    <w:rsid w:val="000706BE"/>
    <w:rsid w:val="0007237D"/>
    <w:rsid w:val="0007256F"/>
    <w:rsid w:val="0007362F"/>
    <w:rsid w:val="00077CB6"/>
    <w:rsid w:val="00082C67"/>
    <w:rsid w:val="000927B0"/>
    <w:rsid w:val="00097562"/>
    <w:rsid w:val="000B0E66"/>
    <w:rsid w:val="000B2310"/>
    <w:rsid w:val="000B4840"/>
    <w:rsid w:val="000B5B22"/>
    <w:rsid w:val="000B5E7D"/>
    <w:rsid w:val="000C0686"/>
    <w:rsid w:val="000C1D5F"/>
    <w:rsid w:val="000C2BA3"/>
    <w:rsid w:val="000C2C54"/>
    <w:rsid w:val="000C3288"/>
    <w:rsid w:val="000C543C"/>
    <w:rsid w:val="000C589E"/>
    <w:rsid w:val="000C5E60"/>
    <w:rsid w:val="000C7FAE"/>
    <w:rsid w:val="000D33E7"/>
    <w:rsid w:val="000D384A"/>
    <w:rsid w:val="000D7A43"/>
    <w:rsid w:val="000E2835"/>
    <w:rsid w:val="000E3187"/>
    <w:rsid w:val="000E6862"/>
    <w:rsid w:val="000F2419"/>
    <w:rsid w:val="000F3916"/>
    <w:rsid w:val="000F5BE8"/>
    <w:rsid w:val="001008B8"/>
    <w:rsid w:val="00101846"/>
    <w:rsid w:val="00102F6B"/>
    <w:rsid w:val="0010483B"/>
    <w:rsid w:val="0010593F"/>
    <w:rsid w:val="00106726"/>
    <w:rsid w:val="001127B0"/>
    <w:rsid w:val="001138A0"/>
    <w:rsid w:val="00113ABB"/>
    <w:rsid w:val="0011603C"/>
    <w:rsid w:val="00116A35"/>
    <w:rsid w:val="00120F16"/>
    <w:rsid w:val="00120F57"/>
    <w:rsid w:val="00121B91"/>
    <w:rsid w:val="00121DDD"/>
    <w:rsid w:val="00122C6B"/>
    <w:rsid w:val="00123C9D"/>
    <w:rsid w:val="001245E4"/>
    <w:rsid w:val="00130B15"/>
    <w:rsid w:val="001375EA"/>
    <w:rsid w:val="001378D8"/>
    <w:rsid w:val="00142A33"/>
    <w:rsid w:val="00142DF2"/>
    <w:rsid w:val="0014425E"/>
    <w:rsid w:val="0014483A"/>
    <w:rsid w:val="001648B8"/>
    <w:rsid w:val="00165B1D"/>
    <w:rsid w:val="0016789E"/>
    <w:rsid w:val="001703D7"/>
    <w:rsid w:val="00173177"/>
    <w:rsid w:val="00176A26"/>
    <w:rsid w:val="001775E9"/>
    <w:rsid w:val="00180DBA"/>
    <w:rsid w:val="0018134E"/>
    <w:rsid w:val="00182DD6"/>
    <w:rsid w:val="001839EC"/>
    <w:rsid w:val="00184530"/>
    <w:rsid w:val="00185F17"/>
    <w:rsid w:val="001A0A12"/>
    <w:rsid w:val="001A0AA1"/>
    <w:rsid w:val="001A3540"/>
    <w:rsid w:val="001A5069"/>
    <w:rsid w:val="001A5723"/>
    <w:rsid w:val="001A69C1"/>
    <w:rsid w:val="001A7C97"/>
    <w:rsid w:val="001B68E2"/>
    <w:rsid w:val="001D62F4"/>
    <w:rsid w:val="001D6A67"/>
    <w:rsid w:val="001D6D43"/>
    <w:rsid w:val="001D711E"/>
    <w:rsid w:val="001E4730"/>
    <w:rsid w:val="001E7B0C"/>
    <w:rsid w:val="001F3C0C"/>
    <w:rsid w:val="00200CAE"/>
    <w:rsid w:val="0020208A"/>
    <w:rsid w:val="00203E1E"/>
    <w:rsid w:val="00212434"/>
    <w:rsid w:val="00217B33"/>
    <w:rsid w:val="00223C79"/>
    <w:rsid w:val="00226308"/>
    <w:rsid w:val="00230575"/>
    <w:rsid w:val="00231A59"/>
    <w:rsid w:val="00232AFA"/>
    <w:rsid w:val="00235B63"/>
    <w:rsid w:val="00257631"/>
    <w:rsid w:val="00264C97"/>
    <w:rsid w:val="00267825"/>
    <w:rsid w:val="00271AC7"/>
    <w:rsid w:val="00271BEB"/>
    <w:rsid w:val="00281721"/>
    <w:rsid w:val="00282AD1"/>
    <w:rsid w:val="00283A39"/>
    <w:rsid w:val="00284252"/>
    <w:rsid w:val="0028488E"/>
    <w:rsid w:val="0028538C"/>
    <w:rsid w:val="00285BEB"/>
    <w:rsid w:val="00290137"/>
    <w:rsid w:val="00293AC9"/>
    <w:rsid w:val="00295444"/>
    <w:rsid w:val="002969AD"/>
    <w:rsid w:val="002A1C27"/>
    <w:rsid w:val="002A2F96"/>
    <w:rsid w:val="002A598B"/>
    <w:rsid w:val="002B063A"/>
    <w:rsid w:val="002B5654"/>
    <w:rsid w:val="002B7479"/>
    <w:rsid w:val="002C1002"/>
    <w:rsid w:val="002C2137"/>
    <w:rsid w:val="002C3304"/>
    <w:rsid w:val="002C4148"/>
    <w:rsid w:val="002C6E15"/>
    <w:rsid w:val="002D2EEE"/>
    <w:rsid w:val="002D3B19"/>
    <w:rsid w:val="002D7526"/>
    <w:rsid w:val="002E1061"/>
    <w:rsid w:val="002E6CE5"/>
    <w:rsid w:val="002E6E01"/>
    <w:rsid w:val="002F0B3D"/>
    <w:rsid w:val="002F37F1"/>
    <w:rsid w:val="002F4169"/>
    <w:rsid w:val="002F4AD8"/>
    <w:rsid w:val="003008BE"/>
    <w:rsid w:val="003038C3"/>
    <w:rsid w:val="00303B92"/>
    <w:rsid w:val="003063AD"/>
    <w:rsid w:val="003134AB"/>
    <w:rsid w:val="0031484F"/>
    <w:rsid w:val="00321FDC"/>
    <w:rsid w:val="0032404E"/>
    <w:rsid w:val="00324A33"/>
    <w:rsid w:val="00326D4E"/>
    <w:rsid w:val="0033447A"/>
    <w:rsid w:val="003358D3"/>
    <w:rsid w:val="00341AD7"/>
    <w:rsid w:val="00343D68"/>
    <w:rsid w:val="00345556"/>
    <w:rsid w:val="00345FB7"/>
    <w:rsid w:val="00350667"/>
    <w:rsid w:val="003517E7"/>
    <w:rsid w:val="00352998"/>
    <w:rsid w:val="0035763F"/>
    <w:rsid w:val="00360CE4"/>
    <w:rsid w:val="00361EB8"/>
    <w:rsid w:val="00363DB7"/>
    <w:rsid w:val="003641B2"/>
    <w:rsid w:val="003661EF"/>
    <w:rsid w:val="0037295D"/>
    <w:rsid w:val="00373089"/>
    <w:rsid w:val="003742C9"/>
    <w:rsid w:val="00377137"/>
    <w:rsid w:val="003807E3"/>
    <w:rsid w:val="00381D46"/>
    <w:rsid w:val="003877C5"/>
    <w:rsid w:val="00395754"/>
    <w:rsid w:val="003A20F3"/>
    <w:rsid w:val="003A4F2E"/>
    <w:rsid w:val="003A6EB2"/>
    <w:rsid w:val="003B011A"/>
    <w:rsid w:val="003C0104"/>
    <w:rsid w:val="003C1B0A"/>
    <w:rsid w:val="003C5F40"/>
    <w:rsid w:val="003C64BF"/>
    <w:rsid w:val="003C66F6"/>
    <w:rsid w:val="003D391B"/>
    <w:rsid w:val="003D4725"/>
    <w:rsid w:val="003F0A08"/>
    <w:rsid w:val="003F1794"/>
    <w:rsid w:val="003F2E6B"/>
    <w:rsid w:val="003F47AA"/>
    <w:rsid w:val="003F47C7"/>
    <w:rsid w:val="003F7A1E"/>
    <w:rsid w:val="00407F3B"/>
    <w:rsid w:val="00415946"/>
    <w:rsid w:val="004220BC"/>
    <w:rsid w:val="00422947"/>
    <w:rsid w:val="004344A2"/>
    <w:rsid w:val="00440C63"/>
    <w:rsid w:val="004516EF"/>
    <w:rsid w:val="00455552"/>
    <w:rsid w:val="00455598"/>
    <w:rsid w:val="0045697F"/>
    <w:rsid w:val="00461E8B"/>
    <w:rsid w:val="00465287"/>
    <w:rsid w:val="00476385"/>
    <w:rsid w:val="0049050C"/>
    <w:rsid w:val="00490B9F"/>
    <w:rsid w:val="00493B1A"/>
    <w:rsid w:val="00494E99"/>
    <w:rsid w:val="004A1595"/>
    <w:rsid w:val="004A5615"/>
    <w:rsid w:val="004B68DE"/>
    <w:rsid w:val="004B6B63"/>
    <w:rsid w:val="004C0A9F"/>
    <w:rsid w:val="004C21FF"/>
    <w:rsid w:val="004C331C"/>
    <w:rsid w:val="004C58B1"/>
    <w:rsid w:val="004C7848"/>
    <w:rsid w:val="004C7DE4"/>
    <w:rsid w:val="004D2FB5"/>
    <w:rsid w:val="004E18BD"/>
    <w:rsid w:val="004E1A16"/>
    <w:rsid w:val="004E2EDA"/>
    <w:rsid w:val="004F12B8"/>
    <w:rsid w:val="004F2E3D"/>
    <w:rsid w:val="004F42D0"/>
    <w:rsid w:val="00501366"/>
    <w:rsid w:val="00502562"/>
    <w:rsid w:val="0050274A"/>
    <w:rsid w:val="00512B41"/>
    <w:rsid w:val="0052798A"/>
    <w:rsid w:val="00527CBF"/>
    <w:rsid w:val="0053719B"/>
    <w:rsid w:val="00537BF7"/>
    <w:rsid w:val="00543475"/>
    <w:rsid w:val="00545BCC"/>
    <w:rsid w:val="00551685"/>
    <w:rsid w:val="005517A8"/>
    <w:rsid w:val="00552363"/>
    <w:rsid w:val="0055256C"/>
    <w:rsid w:val="00556995"/>
    <w:rsid w:val="0056270D"/>
    <w:rsid w:val="0056316A"/>
    <w:rsid w:val="00565CDB"/>
    <w:rsid w:val="00567019"/>
    <w:rsid w:val="005673BC"/>
    <w:rsid w:val="00570120"/>
    <w:rsid w:val="00571CC7"/>
    <w:rsid w:val="005772E0"/>
    <w:rsid w:val="00577EF6"/>
    <w:rsid w:val="00584989"/>
    <w:rsid w:val="00590367"/>
    <w:rsid w:val="00592F4C"/>
    <w:rsid w:val="00596E07"/>
    <w:rsid w:val="005A02B2"/>
    <w:rsid w:val="005A4CC0"/>
    <w:rsid w:val="005A54DA"/>
    <w:rsid w:val="005A7954"/>
    <w:rsid w:val="005C046D"/>
    <w:rsid w:val="005C234E"/>
    <w:rsid w:val="005C36F7"/>
    <w:rsid w:val="005D1BB5"/>
    <w:rsid w:val="005D4B22"/>
    <w:rsid w:val="005E18D9"/>
    <w:rsid w:val="005E40DC"/>
    <w:rsid w:val="005E6170"/>
    <w:rsid w:val="005E7C81"/>
    <w:rsid w:val="005F1222"/>
    <w:rsid w:val="005F2665"/>
    <w:rsid w:val="005F77AB"/>
    <w:rsid w:val="00601707"/>
    <w:rsid w:val="00602809"/>
    <w:rsid w:val="00603FCE"/>
    <w:rsid w:val="00613C55"/>
    <w:rsid w:val="00614B5A"/>
    <w:rsid w:val="00620857"/>
    <w:rsid w:val="0062234D"/>
    <w:rsid w:val="00624BE6"/>
    <w:rsid w:val="006274B4"/>
    <w:rsid w:val="00630482"/>
    <w:rsid w:val="006309A3"/>
    <w:rsid w:val="00634A44"/>
    <w:rsid w:val="00637743"/>
    <w:rsid w:val="00644FDC"/>
    <w:rsid w:val="006467F8"/>
    <w:rsid w:val="006477F9"/>
    <w:rsid w:val="006503B6"/>
    <w:rsid w:val="006508A2"/>
    <w:rsid w:val="006540E0"/>
    <w:rsid w:val="006548FB"/>
    <w:rsid w:val="00656C86"/>
    <w:rsid w:val="006606AF"/>
    <w:rsid w:val="00660910"/>
    <w:rsid w:val="00664126"/>
    <w:rsid w:val="00664388"/>
    <w:rsid w:val="0067024D"/>
    <w:rsid w:val="00672CB6"/>
    <w:rsid w:val="00674122"/>
    <w:rsid w:val="0068086E"/>
    <w:rsid w:val="006842D1"/>
    <w:rsid w:val="00686F0B"/>
    <w:rsid w:val="006A0D18"/>
    <w:rsid w:val="006A1D38"/>
    <w:rsid w:val="006B6C33"/>
    <w:rsid w:val="006C0FA6"/>
    <w:rsid w:val="006C10AE"/>
    <w:rsid w:val="006C1E37"/>
    <w:rsid w:val="006C1F0A"/>
    <w:rsid w:val="006D533B"/>
    <w:rsid w:val="006D59D2"/>
    <w:rsid w:val="006D7AAA"/>
    <w:rsid w:val="006E18A7"/>
    <w:rsid w:val="006E314A"/>
    <w:rsid w:val="006E46B2"/>
    <w:rsid w:val="006E5830"/>
    <w:rsid w:val="006E6470"/>
    <w:rsid w:val="006E7F2C"/>
    <w:rsid w:val="006F0AA7"/>
    <w:rsid w:val="006F351F"/>
    <w:rsid w:val="007039B3"/>
    <w:rsid w:val="00707349"/>
    <w:rsid w:val="00710AEA"/>
    <w:rsid w:val="00711C0F"/>
    <w:rsid w:val="0071221C"/>
    <w:rsid w:val="0071717F"/>
    <w:rsid w:val="00717D23"/>
    <w:rsid w:val="007249A5"/>
    <w:rsid w:val="0073285C"/>
    <w:rsid w:val="00734F1D"/>
    <w:rsid w:val="00735F18"/>
    <w:rsid w:val="007369BF"/>
    <w:rsid w:val="00737750"/>
    <w:rsid w:val="00740FA2"/>
    <w:rsid w:val="007540DC"/>
    <w:rsid w:val="00756F59"/>
    <w:rsid w:val="0076268C"/>
    <w:rsid w:val="007660EF"/>
    <w:rsid w:val="00766F4E"/>
    <w:rsid w:val="00773042"/>
    <w:rsid w:val="007746F8"/>
    <w:rsid w:val="00774944"/>
    <w:rsid w:val="00776A84"/>
    <w:rsid w:val="00776FAA"/>
    <w:rsid w:val="00780142"/>
    <w:rsid w:val="00782EE5"/>
    <w:rsid w:val="0078372D"/>
    <w:rsid w:val="00785D4A"/>
    <w:rsid w:val="007903D8"/>
    <w:rsid w:val="00795376"/>
    <w:rsid w:val="007954FC"/>
    <w:rsid w:val="00797DC5"/>
    <w:rsid w:val="007A00B2"/>
    <w:rsid w:val="007A2631"/>
    <w:rsid w:val="007A5771"/>
    <w:rsid w:val="007A5931"/>
    <w:rsid w:val="007B7FF6"/>
    <w:rsid w:val="007C1EF6"/>
    <w:rsid w:val="007C2E5C"/>
    <w:rsid w:val="007C709E"/>
    <w:rsid w:val="007D2F61"/>
    <w:rsid w:val="007D55DB"/>
    <w:rsid w:val="007D7315"/>
    <w:rsid w:val="007E050A"/>
    <w:rsid w:val="007E273A"/>
    <w:rsid w:val="007E3A01"/>
    <w:rsid w:val="007E4677"/>
    <w:rsid w:val="007E600A"/>
    <w:rsid w:val="007E6A0E"/>
    <w:rsid w:val="007F5E4E"/>
    <w:rsid w:val="008005A2"/>
    <w:rsid w:val="00801331"/>
    <w:rsid w:val="008018B9"/>
    <w:rsid w:val="00805119"/>
    <w:rsid w:val="00807156"/>
    <w:rsid w:val="008117AE"/>
    <w:rsid w:val="0081448A"/>
    <w:rsid w:val="00814555"/>
    <w:rsid w:val="00815DEE"/>
    <w:rsid w:val="00820F62"/>
    <w:rsid w:val="00821529"/>
    <w:rsid w:val="00833715"/>
    <w:rsid w:val="00843B57"/>
    <w:rsid w:val="00843D01"/>
    <w:rsid w:val="00853C22"/>
    <w:rsid w:val="008542B1"/>
    <w:rsid w:val="00867657"/>
    <w:rsid w:val="0086770B"/>
    <w:rsid w:val="008729D9"/>
    <w:rsid w:val="008820B3"/>
    <w:rsid w:val="008826C3"/>
    <w:rsid w:val="00882FFC"/>
    <w:rsid w:val="008977B2"/>
    <w:rsid w:val="008A43EE"/>
    <w:rsid w:val="008A47EC"/>
    <w:rsid w:val="008A7B83"/>
    <w:rsid w:val="008B4D86"/>
    <w:rsid w:val="008C0704"/>
    <w:rsid w:val="008C2319"/>
    <w:rsid w:val="008C2DC8"/>
    <w:rsid w:val="008C4559"/>
    <w:rsid w:val="008C6452"/>
    <w:rsid w:val="008D1EC6"/>
    <w:rsid w:val="008D1F31"/>
    <w:rsid w:val="008D5250"/>
    <w:rsid w:val="008D6575"/>
    <w:rsid w:val="008D7FC9"/>
    <w:rsid w:val="008E18F4"/>
    <w:rsid w:val="008F1F30"/>
    <w:rsid w:val="008F4E64"/>
    <w:rsid w:val="008F679A"/>
    <w:rsid w:val="008F6B37"/>
    <w:rsid w:val="008F76A4"/>
    <w:rsid w:val="009101C8"/>
    <w:rsid w:val="009104FD"/>
    <w:rsid w:val="00916452"/>
    <w:rsid w:val="00916542"/>
    <w:rsid w:val="009201B2"/>
    <w:rsid w:val="00920B93"/>
    <w:rsid w:val="0092298E"/>
    <w:rsid w:val="00922E50"/>
    <w:rsid w:val="00924982"/>
    <w:rsid w:val="0093091E"/>
    <w:rsid w:val="0093167B"/>
    <w:rsid w:val="0094380A"/>
    <w:rsid w:val="00944169"/>
    <w:rsid w:val="00945E73"/>
    <w:rsid w:val="0095037E"/>
    <w:rsid w:val="009503B4"/>
    <w:rsid w:val="00960670"/>
    <w:rsid w:val="00970F88"/>
    <w:rsid w:val="0097288F"/>
    <w:rsid w:val="0097290A"/>
    <w:rsid w:val="00975246"/>
    <w:rsid w:val="00976979"/>
    <w:rsid w:val="0098313F"/>
    <w:rsid w:val="00986E80"/>
    <w:rsid w:val="00996E62"/>
    <w:rsid w:val="009A4943"/>
    <w:rsid w:val="009A6497"/>
    <w:rsid w:val="009A7AE3"/>
    <w:rsid w:val="009B227A"/>
    <w:rsid w:val="009C0355"/>
    <w:rsid w:val="009C057D"/>
    <w:rsid w:val="009C3824"/>
    <w:rsid w:val="009D0253"/>
    <w:rsid w:val="009D09E7"/>
    <w:rsid w:val="009D1B1F"/>
    <w:rsid w:val="00A0130E"/>
    <w:rsid w:val="00A16648"/>
    <w:rsid w:val="00A26152"/>
    <w:rsid w:val="00A327C0"/>
    <w:rsid w:val="00A328B9"/>
    <w:rsid w:val="00A32AAE"/>
    <w:rsid w:val="00A3450F"/>
    <w:rsid w:val="00A34688"/>
    <w:rsid w:val="00A34F4B"/>
    <w:rsid w:val="00A35B71"/>
    <w:rsid w:val="00A37983"/>
    <w:rsid w:val="00A402A9"/>
    <w:rsid w:val="00A41B3B"/>
    <w:rsid w:val="00A43333"/>
    <w:rsid w:val="00A44827"/>
    <w:rsid w:val="00A44E10"/>
    <w:rsid w:val="00A47E04"/>
    <w:rsid w:val="00A57DC0"/>
    <w:rsid w:val="00A60C74"/>
    <w:rsid w:val="00A6630B"/>
    <w:rsid w:val="00A66652"/>
    <w:rsid w:val="00A67CAC"/>
    <w:rsid w:val="00A67D66"/>
    <w:rsid w:val="00A67E1E"/>
    <w:rsid w:val="00A70588"/>
    <w:rsid w:val="00A733AB"/>
    <w:rsid w:val="00A733C0"/>
    <w:rsid w:val="00A80E7F"/>
    <w:rsid w:val="00A84315"/>
    <w:rsid w:val="00A85520"/>
    <w:rsid w:val="00A933B9"/>
    <w:rsid w:val="00A95E82"/>
    <w:rsid w:val="00A95FF8"/>
    <w:rsid w:val="00A9673C"/>
    <w:rsid w:val="00AA590A"/>
    <w:rsid w:val="00AA74A1"/>
    <w:rsid w:val="00AB208C"/>
    <w:rsid w:val="00AC0143"/>
    <w:rsid w:val="00AC4B33"/>
    <w:rsid w:val="00AC6E2A"/>
    <w:rsid w:val="00AD2ACC"/>
    <w:rsid w:val="00AD458F"/>
    <w:rsid w:val="00AD4E3F"/>
    <w:rsid w:val="00AD7D51"/>
    <w:rsid w:val="00AE0A37"/>
    <w:rsid w:val="00AE1696"/>
    <w:rsid w:val="00AE1B7F"/>
    <w:rsid w:val="00AF3AAB"/>
    <w:rsid w:val="00AF7B07"/>
    <w:rsid w:val="00B101DA"/>
    <w:rsid w:val="00B1386C"/>
    <w:rsid w:val="00B14822"/>
    <w:rsid w:val="00B15C0A"/>
    <w:rsid w:val="00B20CD4"/>
    <w:rsid w:val="00B22B16"/>
    <w:rsid w:val="00B25A69"/>
    <w:rsid w:val="00B2799A"/>
    <w:rsid w:val="00B27F78"/>
    <w:rsid w:val="00B31774"/>
    <w:rsid w:val="00B32705"/>
    <w:rsid w:val="00B32945"/>
    <w:rsid w:val="00B33F3F"/>
    <w:rsid w:val="00B35B7C"/>
    <w:rsid w:val="00B36F62"/>
    <w:rsid w:val="00B42A1B"/>
    <w:rsid w:val="00B43B68"/>
    <w:rsid w:val="00B45230"/>
    <w:rsid w:val="00B45502"/>
    <w:rsid w:val="00B46F63"/>
    <w:rsid w:val="00B5081F"/>
    <w:rsid w:val="00B54213"/>
    <w:rsid w:val="00B55946"/>
    <w:rsid w:val="00B71771"/>
    <w:rsid w:val="00B7233B"/>
    <w:rsid w:val="00B7668B"/>
    <w:rsid w:val="00B83B1A"/>
    <w:rsid w:val="00B94054"/>
    <w:rsid w:val="00B95333"/>
    <w:rsid w:val="00B97B14"/>
    <w:rsid w:val="00BB0A7A"/>
    <w:rsid w:val="00BB2641"/>
    <w:rsid w:val="00BB4218"/>
    <w:rsid w:val="00BB6605"/>
    <w:rsid w:val="00BC18A2"/>
    <w:rsid w:val="00BC417D"/>
    <w:rsid w:val="00BC47E0"/>
    <w:rsid w:val="00BC5B3B"/>
    <w:rsid w:val="00BC6173"/>
    <w:rsid w:val="00BC6B6A"/>
    <w:rsid w:val="00BC7F07"/>
    <w:rsid w:val="00BD596C"/>
    <w:rsid w:val="00BD66A2"/>
    <w:rsid w:val="00BE77A8"/>
    <w:rsid w:val="00BF1749"/>
    <w:rsid w:val="00BF52E0"/>
    <w:rsid w:val="00C00612"/>
    <w:rsid w:val="00C00BA2"/>
    <w:rsid w:val="00C014A1"/>
    <w:rsid w:val="00C02EE0"/>
    <w:rsid w:val="00C04949"/>
    <w:rsid w:val="00C15513"/>
    <w:rsid w:val="00C16D97"/>
    <w:rsid w:val="00C21EC6"/>
    <w:rsid w:val="00C2331F"/>
    <w:rsid w:val="00C24CBB"/>
    <w:rsid w:val="00C27DDC"/>
    <w:rsid w:val="00C3264A"/>
    <w:rsid w:val="00C36774"/>
    <w:rsid w:val="00C374BD"/>
    <w:rsid w:val="00C37A29"/>
    <w:rsid w:val="00C37EDB"/>
    <w:rsid w:val="00C5332D"/>
    <w:rsid w:val="00C547B8"/>
    <w:rsid w:val="00C56AE1"/>
    <w:rsid w:val="00C659CE"/>
    <w:rsid w:val="00C75A02"/>
    <w:rsid w:val="00C80988"/>
    <w:rsid w:val="00C81045"/>
    <w:rsid w:val="00C82D4B"/>
    <w:rsid w:val="00C8445C"/>
    <w:rsid w:val="00C8728E"/>
    <w:rsid w:val="00C87FC0"/>
    <w:rsid w:val="00C92FAE"/>
    <w:rsid w:val="00C9525B"/>
    <w:rsid w:val="00CA0716"/>
    <w:rsid w:val="00CA20EF"/>
    <w:rsid w:val="00CA2F90"/>
    <w:rsid w:val="00CA675D"/>
    <w:rsid w:val="00CB2563"/>
    <w:rsid w:val="00CB36C7"/>
    <w:rsid w:val="00CB41C5"/>
    <w:rsid w:val="00CB78A8"/>
    <w:rsid w:val="00CC0552"/>
    <w:rsid w:val="00CC06FC"/>
    <w:rsid w:val="00CC0D4D"/>
    <w:rsid w:val="00CD110A"/>
    <w:rsid w:val="00CD7C0F"/>
    <w:rsid w:val="00CE3301"/>
    <w:rsid w:val="00CF7F4C"/>
    <w:rsid w:val="00D056BE"/>
    <w:rsid w:val="00D05888"/>
    <w:rsid w:val="00D10516"/>
    <w:rsid w:val="00D106AA"/>
    <w:rsid w:val="00D10C4F"/>
    <w:rsid w:val="00D14A99"/>
    <w:rsid w:val="00D208B0"/>
    <w:rsid w:val="00D20A08"/>
    <w:rsid w:val="00D30639"/>
    <w:rsid w:val="00D32DEE"/>
    <w:rsid w:val="00D33253"/>
    <w:rsid w:val="00D34692"/>
    <w:rsid w:val="00D35EC4"/>
    <w:rsid w:val="00D366C0"/>
    <w:rsid w:val="00D400FE"/>
    <w:rsid w:val="00D44E24"/>
    <w:rsid w:val="00D463A7"/>
    <w:rsid w:val="00D4695A"/>
    <w:rsid w:val="00D46B22"/>
    <w:rsid w:val="00D47393"/>
    <w:rsid w:val="00D53A73"/>
    <w:rsid w:val="00D55432"/>
    <w:rsid w:val="00D55D47"/>
    <w:rsid w:val="00D62067"/>
    <w:rsid w:val="00D64D8F"/>
    <w:rsid w:val="00D66A44"/>
    <w:rsid w:val="00D76C99"/>
    <w:rsid w:val="00D8099D"/>
    <w:rsid w:val="00D82921"/>
    <w:rsid w:val="00D9478A"/>
    <w:rsid w:val="00D95E9E"/>
    <w:rsid w:val="00DA0DCF"/>
    <w:rsid w:val="00DA209B"/>
    <w:rsid w:val="00DA5A8E"/>
    <w:rsid w:val="00DB1C87"/>
    <w:rsid w:val="00DB4CC1"/>
    <w:rsid w:val="00DC0349"/>
    <w:rsid w:val="00DC1D81"/>
    <w:rsid w:val="00DC24FB"/>
    <w:rsid w:val="00DC5968"/>
    <w:rsid w:val="00DD0532"/>
    <w:rsid w:val="00DD2FF8"/>
    <w:rsid w:val="00DD4A5E"/>
    <w:rsid w:val="00DD68E6"/>
    <w:rsid w:val="00DE43DE"/>
    <w:rsid w:val="00DF2045"/>
    <w:rsid w:val="00DF2EC7"/>
    <w:rsid w:val="00DF68AD"/>
    <w:rsid w:val="00DF7AC3"/>
    <w:rsid w:val="00E011DB"/>
    <w:rsid w:val="00E031D4"/>
    <w:rsid w:val="00E071B3"/>
    <w:rsid w:val="00E14424"/>
    <w:rsid w:val="00E1498D"/>
    <w:rsid w:val="00E17E6F"/>
    <w:rsid w:val="00E20A0E"/>
    <w:rsid w:val="00E20FC5"/>
    <w:rsid w:val="00E25692"/>
    <w:rsid w:val="00E31815"/>
    <w:rsid w:val="00E329C8"/>
    <w:rsid w:val="00E32FDC"/>
    <w:rsid w:val="00E367ED"/>
    <w:rsid w:val="00E43460"/>
    <w:rsid w:val="00E4611D"/>
    <w:rsid w:val="00E476F6"/>
    <w:rsid w:val="00E61D4E"/>
    <w:rsid w:val="00E63A04"/>
    <w:rsid w:val="00E70E8D"/>
    <w:rsid w:val="00E71C7C"/>
    <w:rsid w:val="00EA1FA6"/>
    <w:rsid w:val="00EA28AC"/>
    <w:rsid w:val="00EA2DE0"/>
    <w:rsid w:val="00EA4DBC"/>
    <w:rsid w:val="00EA4EBC"/>
    <w:rsid w:val="00EB0F95"/>
    <w:rsid w:val="00EB231C"/>
    <w:rsid w:val="00EB4488"/>
    <w:rsid w:val="00EC0107"/>
    <w:rsid w:val="00EC12CD"/>
    <w:rsid w:val="00EC24BF"/>
    <w:rsid w:val="00EC58F5"/>
    <w:rsid w:val="00EE027B"/>
    <w:rsid w:val="00EE04EF"/>
    <w:rsid w:val="00EE59E3"/>
    <w:rsid w:val="00EF0711"/>
    <w:rsid w:val="00EF24B4"/>
    <w:rsid w:val="00EF2D18"/>
    <w:rsid w:val="00EF3131"/>
    <w:rsid w:val="00F07B73"/>
    <w:rsid w:val="00F10980"/>
    <w:rsid w:val="00F17177"/>
    <w:rsid w:val="00F17CDD"/>
    <w:rsid w:val="00F224C3"/>
    <w:rsid w:val="00F23A36"/>
    <w:rsid w:val="00F31B9E"/>
    <w:rsid w:val="00F32B1C"/>
    <w:rsid w:val="00F3602E"/>
    <w:rsid w:val="00F36882"/>
    <w:rsid w:val="00F415E4"/>
    <w:rsid w:val="00F5396D"/>
    <w:rsid w:val="00F60631"/>
    <w:rsid w:val="00F60C6F"/>
    <w:rsid w:val="00F61A65"/>
    <w:rsid w:val="00F6592A"/>
    <w:rsid w:val="00F65CA6"/>
    <w:rsid w:val="00F70798"/>
    <w:rsid w:val="00F73824"/>
    <w:rsid w:val="00F764B3"/>
    <w:rsid w:val="00F903B9"/>
    <w:rsid w:val="00F90A48"/>
    <w:rsid w:val="00F91440"/>
    <w:rsid w:val="00F93B50"/>
    <w:rsid w:val="00F941AE"/>
    <w:rsid w:val="00F95420"/>
    <w:rsid w:val="00F95AD4"/>
    <w:rsid w:val="00F95C66"/>
    <w:rsid w:val="00F975BD"/>
    <w:rsid w:val="00FA0B7F"/>
    <w:rsid w:val="00FA14BA"/>
    <w:rsid w:val="00FA3863"/>
    <w:rsid w:val="00FB0456"/>
    <w:rsid w:val="00FB1699"/>
    <w:rsid w:val="00FB608C"/>
    <w:rsid w:val="00FC0EC9"/>
    <w:rsid w:val="00FC2882"/>
    <w:rsid w:val="00FC582A"/>
    <w:rsid w:val="00FC6782"/>
    <w:rsid w:val="00FC7298"/>
    <w:rsid w:val="00FD4F30"/>
    <w:rsid w:val="00FD7A5B"/>
    <w:rsid w:val="00FE02D2"/>
    <w:rsid w:val="00FE2D17"/>
    <w:rsid w:val="00FE4668"/>
    <w:rsid w:val="00FE70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7EEF7"/>
  <w15:docId w15:val="{D4E3C5AA-CF2A-4EEB-8E84-D426425BC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F3B"/>
    <w:pPr>
      <w:widowControl w:val="0"/>
      <w:jc w:val="both"/>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E43DE"/>
    <w:rPr>
      <w:sz w:val="21"/>
      <w:szCs w:val="21"/>
    </w:rPr>
  </w:style>
  <w:style w:type="paragraph" w:styleId="CommentText">
    <w:name w:val="annotation text"/>
    <w:basedOn w:val="Normal"/>
    <w:link w:val="CommentTextChar"/>
    <w:uiPriority w:val="99"/>
    <w:unhideWhenUsed/>
    <w:rsid w:val="00DE43DE"/>
    <w:pPr>
      <w:jc w:val="left"/>
    </w:pPr>
  </w:style>
  <w:style w:type="character" w:customStyle="1" w:styleId="CommentTextChar">
    <w:name w:val="Comment Text Char"/>
    <w:basedOn w:val="DefaultParagraphFont"/>
    <w:link w:val="CommentText"/>
    <w:uiPriority w:val="99"/>
    <w:rsid w:val="00DE43DE"/>
  </w:style>
  <w:style w:type="paragraph" w:styleId="CommentSubject">
    <w:name w:val="annotation subject"/>
    <w:basedOn w:val="CommentText"/>
    <w:next w:val="CommentText"/>
    <w:link w:val="CommentSubjectChar"/>
    <w:uiPriority w:val="99"/>
    <w:semiHidden/>
    <w:unhideWhenUsed/>
    <w:rsid w:val="00DE43DE"/>
    <w:rPr>
      <w:b/>
      <w:bCs/>
    </w:rPr>
  </w:style>
  <w:style w:type="character" w:customStyle="1" w:styleId="CommentSubjectChar">
    <w:name w:val="Comment Subject Char"/>
    <w:basedOn w:val="CommentTextChar"/>
    <w:link w:val="CommentSubject"/>
    <w:uiPriority w:val="99"/>
    <w:semiHidden/>
    <w:rsid w:val="00DE43DE"/>
    <w:rPr>
      <w:b/>
      <w:bCs/>
    </w:rPr>
  </w:style>
  <w:style w:type="paragraph" w:styleId="BalloonText">
    <w:name w:val="Balloon Text"/>
    <w:basedOn w:val="Normal"/>
    <w:link w:val="BalloonTextChar"/>
    <w:uiPriority w:val="99"/>
    <w:semiHidden/>
    <w:unhideWhenUsed/>
    <w:rsid w:val="00DE43DE"/>
    <w:rPr>
      <w:sz w:val="18"/>
      <w:szCs w:val="18"/>
    </w:rPr>
  </w:style>
  <w:style w:type="character" w:customStyle="1" w:styleId="BalloonTextChar">
    <w:name w:val="Balloon Text Char"/>
    <w:basedOn w:val="DefaultParagraphFont"/>
    <w:link w:val="BalloonText"/>
    <w:uiPriority w:val="99"/>
    <w:semiHidden/>
    <w:rsid w:val="00DE43DE"/>
    <w:rPr>
      <w:sz w:val="18"/>
      <w:szCs w:val="18"/>
    </w:rPr>
  </w:style>
  <w:style w:type="paragraph" w:styleId="Revision">
    <w:name w:val="Revision"/>
    <w:hidden/>
    <w:uiPriority w:val="99"/>
    <w:semiHidden/>
    <w:rsid w:val="00FD7A5B"/>
  </w:style>
  <w:style w:type="paragraph" w:styleId="Header">
    <w:name w:val="header"/>
    <w:basedOn w:val="Normal"/>
    <w:link w:val="HeaderChar"/>
    <w:uiPriority w:val="99"/>
    <w:unhideWhenUsed/>
    <w:rsid w:val="00230575"/>
    <w:pPr>
      <w:tabs>
        <w:tab w:val="center" w:pos="4513"/>
        <w:tab w:val="right" w:pos="9026"/>
      </w:tabs>
    </w:pPr>
  </w:style>
  <w:style w:type="character" w:customStyle="1" w:styleId="HeaderChar">
    <w:name w:val="Header Char"/>
    <w:basedOn w:val="DefaultParagraphFont"/>
    <w:link w:val="Header"/>
    <w:uiPriority w:val="99"/>
    <w:rsid w:val="00230575"/>
    <w:rPr>
      <w:lang w:val="en-GB"/>
    </w:rPr>
  </w:style>
  <w:style w:type="paragraph" w:styleId="Footer">
    <w:name w:val="footer"/>
    <w:basedOn w:val="Normal"/>
    <w:link w:val="FooterChar"/>
    <w:uiPriority w:val="99"/>
    <w:unhideWhenUsed/>
    <w:rsid w:val="00230575"/>
    <w:pPr>
      <w:tabs>
        <w:tab w:val="center" w:pos="4513"/>
        <w:tab w:val="right" w:pos="9026"/>
      </w:tabs>
    </w:pPr>
  </w:style>
  <w:style w:type="character" w:customStyle="1" w:styleId="FooterChar">
    <w:name w:val="Footer Char"/>
    <w:basedOn w:val="DefaultParagraphFont"/>
    <w:link w:val="Footer"/>
    <w:uiPriority w:val="99"/>
    <w:rsid w:val="00230575"/>
    <w:rPr>
      <w:lang w:val="en-GB"/>
    </w:rPr>
  </w:style>
  <w:style w:type="paragraph" w:styleId="ListParagraph">
    <w:name w:val="List Paragraph"/>
    <w:basedOn w:val="Normal"/>
    <w:uiPriority w:val="34"/>
    <w:qFormat/>
    <w:rsid w:val="005C046D"/>
    <w:pPr>
      <w:ind w:firstLineChars="200" w:firstLine="420"/>
    </w:pPr>
  </w:style>
  <w:style w:type="table" w:styleId="TableGrid">
    <w:name w:val="Table Grid"/>
    <w:basedOn w:val="TableNormal"/>
    <w:uiPriority w:val="59"/>
    <w:rsid w:val="00C00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538C"/>
    <w:pPr>
      <w:widowControl w:val="0"/>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15935">
      <w:bodyDiv w:val="1"/>
      <w:marLeft w:val="0"/>
      <w:marRight w:val="0"/>
      <w:marTop w:val="0"/>
      <w:marBottom w:val="0"/>
      <w:divBdr>
        <w:top w:val="none" w:sz="0" w:space="0" w:color="auto"/>
        <w:left w:val="none" w:sz="0" w:space="0" w:color="auto"/>
        <w:bottom w:val="none" w:sz="0" w:space="0" w:color="auto"/>
        <w:right w:val="none" w:sz="0" w:space="0" w:color="auto"/>
      </w:divBdr>
    </w:div>
    <w:div w:id="583106533">
      <w:bodyDiv w:val="1"/>
      <w:marLeft w:val="0"/>
      <w:marRight w:val="0"/>
      <w:marTop w:val="0"/>
      <w:marBottom w:val="0"/>
      <w:divBdr>
        <w:top w:val="none" w:sz="0" w:space="0" w:color="auto"/>
        <w:left w:val="none" w:sz="0" w:space="0" w:color="auto"/>
        <w:bottom w:val="none" w:sz="0" w:space="0" w:color="auto"/>
        <w:right w:val="none" w:sz="0" w:space="0" w:color="auto"/>
      </w:divBdr>
    </w:div>
    <w:div w:id="858352710">
      <w:bodyDiv w:val="1"/>
      <w:marLeft w:val="0"/>
      <w:marRight w:val="0"/>
      <w:marTop w:val="0"/>
      <w:marBottom w:val="0"/>
      <w:divBdr>
        <w:top w:val="none" w:sz="0" w:space="0" w:color="auto"/>
        <w:left w:val="none" w:sz="0" w:space="0" w:color="auto"/>
        <w:bottom w:val="none" w:sz="0" w:space="0" w:color="auto"/>
        <w:right w:val="none" w:sz="0" w:space="0" w:color="auto"/>
      </w:divBdr>
    </w:div>
    <w:div w:id="937835768">
      <w:bodyDiv w:val="1"/>
      <w:marLeft w:val="0"/>
      <w:marRight w:val="0"/>
      <w:marTop w:val="0"/>
      <w:marBottom w:val="0"/>
      <w:divBdr>
        <w:top w:val="none" w:sz="0" w:space="0" w:color="auto"/>
        <w:left w:val="none" w:sz="0" w:space="0" w:color="auto"/>
        <w:bottom w:val="none" w:sz="0" w:space="0" w:color="auto"/>
        <w:right w:val="none" w:sz="0" w:space="0" w:color="auto"/>
      </w:divBdr>
    </w:div>
    <w:div w:id="212981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02FE8-144D-4DA2-881C-0A093BDDD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10567</Words>
  <Characters>60238</Characters>
  <Application>Microsoft Office Word</Application>
  <DocSecurity>4</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dc:creator>
  <cp:keywords/>
  <dc:description/>
  <cp:lastModifiedBy>Mary Houston</cp:lastModifiedBy>
  <cp:revision>2</cp:revision>
  <cp:lastPrinted>2022-12-05T07:14:00Z</cp:lastPrinted>
  <dcterms:created xsi:type="dcterms:W3CDTF">2023-05-02T11:11:00Z</dcterms:created>
  <dcterms:modified xsi:type="dcterms:W3CDTF">2023-05-02T11:11:00Z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6d8876f36df69219802da4dee699847c00d101e56ee670cfe901a5f4c22a1045</vt:lpwstr>
  </property>
</Properties>
</file>