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0172" w14:textId="26D3BF48" w:rsidR="00E454A7" w:rsidRDefault="00E454A7" w:rsidP="00E454A7">
      <w:pPr>
        <w:spacing w:line="480" w:lineRule="auto"/>
        <w:rPr>
          <w:rFonts w:cstheme="minorHAnsi"/>
          <w:b/>
          <w:bCs/>
        </w:rPr>
      </w:pPr>
      <w:r>
        <w:rPr>
          <w:rFonts w:cstheme="minorHAnsi"/>
          <w:b/>
          <w:bCs/>
        </w:rPr>
        <w:t>Title:</w:t>
      </w:r>
    </w:p>
    <w:p w14:paraId="0B1F1A50" w14:textId="4176E733" w:rsidR="00E454A7" w:rsidRDefault="00962628" w:rsidP="00E454A7">
      <w:pPr>
        <w:spacing w:line="480" w:lineRule="auto"/>
        <w:rPr>
          <w:rFonts w:cstheme="minorHAnsi"/>
          <w:b/>
          <w:bCs/>
        </w:rPr>
      </w:pPr>
      <w:r>
        <w:rPr>
          <w:rFonts w:cstheme="minorHAnsi"/>
          <w:b/>
          <w:bCs/>
        </w:rPr>
        <w:t xml:space="preserve">Comprehensive </w:t>
      </w:r>
      <w:r w:rsidR="0065415D">
        <w:rPr>
          <w:rFonts w:cstheme="minorHAnsi"/>
          <w:b/>
          <w:bCs/>
        </w:rPr>
        <w:t>characterisation</w:t>
      </w:r>
      <w:r w:rsidR="006C418C">
        <w:rPr>
          <w:rFonts w:cstheme="minorHAnsi"/>
          <w:b/>
          <w:bCs/>
        </w:rPr>
        <w:t xml:space="preserve"> of difficult-to-treat asthma reveals near absence of T2-low </w:t>
      </w:r>
      <w:r w:rsidR="005C63C3">
        <w:rPr>
          <w:rFonts w:cstheme="minorHAnsi"/>
          <w:b/>
          <w:bCs/>
        </w:rPr>
        <w:t xml:space="preserve">status </w:t>
      </w:r>
    </w:p>
    <w:p w14:paraId="7DABB3A1" w14:textId="546F915C" w:rsidR="003748A6" w:rsidRDefault="00B81BA9" w:rsidP="00E454A7">
      <w:pPr>
        <w:spacing w:line="480" w:lineRule="auto"/>
        <w:rPr>
          <w:rFonts w:cstheme="minorHAnsi"/>
          <w:b/>
          <w:bCs/>
        </w:rPr>
      </w:pPr>
      <w:r>
        <w:rPr>
          <w:rFonts w:cstheme="minorHAnsi"/>
          <w:b/>
          <w:bCs/>
        </w:rPr>
        <w:t>Authors:</w:t>
      </w:r>
    </w:p>
    <w:p w14:paraId="5A13C3F0" w14:textId="1979B92F" w:rsidR="00B81BA9" w:rsidRDefault="00082BC5" w:rsidP="00E454A7">
      <w:pPr>
        <w:spacing w:line="480" w:lineRule="auto"/>
        <w:rPr>
          <w:rFonts w:cstheme="minorHAnsi"/>
          <w:vertAlign w:val="superscript"/>
        </w:rPr>
      </w:pPr>
      <w:bookmarkStart w:id="0" w:name="_Hlk124254819"/>
      <w:r w:rsidRPr="006B42D7">
        <w:rPr>
          <w:rFonts w:cstheme="minorHAnsi"/>
        </w:rPr>
        <w:t xml:space="preserve">Hitasha </w:t>
      </w:r>
      <w:proofErr w:type="spellStart"/>
      <w:r w:rsidRPr="006B42D7">
        <w:rPr>
          <w:rFonts w:cstheme="minorHAnsi"/>
        </w:rPr>
        <w:t>Rupani</w:t>
      </w:r>
      <w:proofErr w:type="spellEnd"/>
      <w:r w:rsidR="0075209C">
        <w:rPr>
          <w:rFonts w:cstheme="minorHAnsi"/>
        </w:rPr>
        <w:t xml:space="preserve"> PhD</w:t>
      </w:r>
      <w:r w:rsidR="00B54A3A">
        <w:rPr>
          <w:rFonts w:cstheme="minorHAnsi"/>
          <w:vertAlign w:val="superscript"/>
        </w:rPr>
        <w:t>1,2,3</w:t>
      </w:r>
      <w:r w:rsidR="008B5AB3">
        <w:rPr>
          <w:rFonts w:cstheme="minorHAnsi"/>
          <w:vertAlign w:val="superscript"/>
        </w:rPr>
        <w:t>*</w:t>
      </w:r>
      <w:r w:rsidRPr="006B42D7">
        <w:rPr>
          <w:rFonts w:cstheme="minorHAnsi"/>
        </w:rPr>
        <w:t>, Mohammed Aref Kyyaly</w:t>
      </w:r>
      <w:r w:rsidR="00E06684">
        <w:rPr>
          <w:rFonts w:cstheme="minorHAnsi"/>
        </w:rPr>
        <w:t xml:space="preserve"> PhD</w:t>
      </w:r>
      <w:r w:rsidR="000D0167">
        <w:rPr>
          <w:rFonts w:cstheme="minorHAnsi"/>
          <w:vertAlign w:val="superscript"/>
        </w:rPr>
        <w:t>1,4</w:t>
      </w:r>
      <w:r w:rsidR="008B5AB3">
        <w:rPr>
          <w:rFonts w:cstheme="minorHAnsi"/>
          <w:vertAlign w:val="superscript"/>
        </w:rPr>
        <w:t>*</w:t>
      </w:r>
      <w:r w:rsidRPr="006B42D7">
        <w:rPr>
          <w:rFonts w:cstheme="minorHAnsi"/>
        </w:rPr>
        <w:t xml:space="preserve">, </w:t>
      </w:r>
      <w:r w:rsidR="0075743A" w:rsidRPr="006B42D7">
        <w:rPr>
          <w:rFonts w:cstheme="minorHAnsi"/>
        </w:rPr>
        <w:t>Adnan Azim</w:t>
      </w:r>
      <w:r w:rsidR="00E06684">
        <w:rPr>
          <w:rFonts w:cstheme="minorHAnsi"/>
        </w:rPr>
        <w:t xml:space="preserve"> MRCP</w:t>
      </w:r>
      <w:r w:rsidR="00436FDF">
        <w:rPr>
          <w:rFonts w:cstheme="minorHAnsi"/>
          <w:vertAlign w:val="superscript"/>
        </w:rPr>
        <w:t>1,2</w:t>
      </w:r>
      <w:r w:rsidR="0075743A" w:rsidRPr="006B42D7">
        <w:rPr>
          <w:rFonts w:cstheme="minorHAnsi"/>
        </w:rPr>
        <w:t xml:space="preserve">, </w:t>
      </w:r>
      <w:r w:rsidR="005764D9">
        <w:rPr>
          <w:rFonts w:cstheme="minorHAnsi"/>
        </w:rPr>
        <w:t xml:space="preserve">Rana </w:t>
      </w:r>
      <w:proofErr w:type="spellStart"/>
      <w:r w:rsidR="005764D9">
        <w:rPr>
          <w:rFonts w:cstheme="minorHAnsi"/>
        </w:rPr>
        <w:t>Abadalkareen</w:t>
      </w:r>
      <w:proofErr w:type="spellEnd"/>
      <w:r w:rsidR="00E06684">
        <w:rPr>
          <w:rFonts w:cstheme="minorHAnsi"/>
        </w:rPr>
        <w:t xml:space="preserve"> PhD</w:t>
      </w:r>
      <w:r w:rsidR="005764D9" w:rsidRPr="005764D9">
        <w:rPr>
          <w:rFonts w:cstheme="minorHAnsi"/>
          <w:vertAlign w:val="superscript"/>
        </w:rPr>
        <w:t>1</w:t>
      </w:r>
      <w:r w:rsidR="005764D9">
        <w:rPr>
          <w:rFonts w:cstheme="minorHAnsi"/>
        </w:rPr>
        <w:t xml:space="preserve">, </w:t>
      </w:r>
      <w:r w:rsidR="0075743A" w:rsidRPr="006B42D7">
        <w:rPr>
          <w:rFonts w:cstheme="minorHAnsi"/>
        </w:rPr>
        <w:t>Anna Freeman</w:t>
      </w:r>
      <w:r w:rsidR="00E06684">
        <w:rPr>
          <w:rFonts w:cstheme="minorHAnsi"/>
        </w:rPr>
        <w:t xml:space="preserve"> PhD</w:t>
      </w:r>
      <w:r w:rsidR="00436FDF">
        <w:rPr>
          <w:rFonts w:cstheme="minorHAnsi"/>
          <w:vertAlign w:val="superscript"/>
        </w:rPr>
        <w:t>1,2,3</w:t>
      </w:r>
      <w:r w:rsidRPr="006B42D7">
        <w:rPr>
          <w:rFonts w:cstheme="minorHAnsi"/>
        </w:rPr>
        <w:t>, Paddy Dennison</w:t>
      </w:r>
      <w:r w:rsidR="00E06684">
        <w:rPr>
          <w:rFonts w:cstheme="minorHAnsi"/>
        </w:rPr>
        <w:t xml:space="preserve"> PhD</w:t>
      </w:r>
      <w:r w:rsidR="0067345A">
        <w:rPr>
          <w:rFonts w:cstheme="minorHAnsi"/>
          <w:vertAlign w:val="superscript"/>
        </w:rPr>
        <w:t>1,2,3</w:t>
      </w:r>
      <w:r w:rsidRPr="006B42D7">
        <w:rPr>
          <w:rFonts w:cstheme="minorHAnsi"/>
        </w:rPr>
        <w:t xml:space="preserve">, </w:t>
      </w:r>
      <w:r w:rsidR="0004691F" w:rsidRPr="006B42D7">
        <w:rPr>
          <w:rFonts w:cstheme="minorHAnsi"/>
        </w:rPr>
        <w:t>Peter Howarth</w:t>
      </w:r>
      <w:r w:rsidR="00E06684">
        <w:rPr>
          <w:rFonts w:cstheme="minorHAnsi"/>
        </w:rPr>
        <w:t xml:space="preserve"> DM</w:t>
      </w:r>
      <w:r w:rsidR="0067345A">
        <w:rPr>
          <w:rFonts w:cstheme="minorHAnsi"/>
          <w:vertAlign w:val="superscript"/>
        </w:rPr>
        <w:t>1,2</w:t>
      </w:r>
      <w:r w:rsidR="0004691F" w:rsidRPr="006B42D7">
        <w:rPr>
          <w:rFonts w:cstheme="minorHAnsi"/>
        </w:rPr>
        <w:t xml:space="preserve">, Ratko </w:t>
      </w:r>
      <w:proofErr w:type="spellStart"/>
      <w:r w:rsidR="0004691F" w:rsidRPr="006B42D7">
        <w:rPr>
          <w:rFonts w:cstheme="minorHAnsi"/>
        </w:rPr>
        <w:t>Djukanovic</w:t>
      </w:r>
      <w:proofErr w:type="spellEnd"/>
      <w:r w:rsidR="00E06684">
        <w:rPr>
          <w:rFonts w:cstheme="minorHAnsi"/>
        </w:rPr>
        <w:t xml:space="preserve"> DM</w:t>
      </w:r>
      <w:r w:rsidR="0067345A">
        <w:rPr>
          <w:rFonts w:cstheme="minorHAnsi"/>
          <w:vertAlign w:val="superscript"/>
        </w:rPr>
        <w:t>1,2</w:t>
      </w:r>
      <w:r w:rsidR="0004691F" w:rsidRPr="006B42D7">
        <w:rPr>
          <w:rFonts w:cstheme="minorHAnsi"/>
        </w:rPr>
        <w:t xml:space="preserve">, </w:t>
      </w:r>
      <w:proofErr w:type="spellStart"/>
      <w:r w:rsidR="0004691F" w:rsidRPr="006B42D7">
        <w:rPr>
          <w:rFonts w:cstheme="minorHAnsi"/>
        </w:rPr>
        <w:t>Pandurangan</w:t>
      </w:r>
      <w:proofErr w:type="spellEnd"/>
      <w:r w:rsidR="0004691F" w:rsidRPr="006B42D7">
        <w:rPr>
          <w:rFonts w:cstheme="minorHAnsi"/>
        </w:rPr>
        <w:t xml:space="preserve"> Vijayanand</w:t>
      </w:r>
      <w:r w:rsidR="00E06684">
        <w:rPr>
          <w:rFonts w:cstheme="minorHAnsi"/>
        </w:rPr>
        <w:t xml:space="preserve"> PhD</w:t>
      </w:r>
      <w:r w:rsidR="00787B7C">
        <w:rPr>
          <w:rFonts w:cstheme="minorHAnsi"/>
          <w:vertAlign w:val="superscript"/>
        </w:rPr>
        <w:t>5</w:t>
      </w:r>
      <w:r w:rsidR="0004691F" w:rsidRPr="006B42D7">
        <w:rPr>
          <w:rFonts w:cstheme="minorHAnsi"/>
        </w:rPr>
        <w:t>, Gregory Seumois</w:t>
      </w:r>
      <w:r w:rsidR="00E06684">
        <w:rPr>
          <w:rFonts w:cstheme="minorHAnsi"/>
        </w:rPr>
        <w:t xml:space="preserve"> PhD</w:t>
      </w:r>
      <w:r w:rsidR="00787B7C">
        <w:rPr>
          <w:rFonts w:cstheme="minorHAnsi"/>
          <w:vertAlign w:val="superscript"/>
        </w:rPr>
        <w:t>5</w:t>
      </w:r>
      <w:r w:rsidR="0004691F" w:rsidRPr="006B42D7">
        <w:rPr>
          <w:rFonts w:cstheme="minorHAnsi"/>
        </w:rPr>
        <w:t xml:space="preserve">, </w:t>
      </w:r>
      <w:r w:rsidR="00C9052E" w:rsidRPr="006B42D7">
        <w:rPr>
          <w:rFonts w:cstheme="minorHAnsi"/>
        </w:rPr>
        <w:t>S Hasan Arshad</w:t>
      </w:r>
      <w:r w:rsidR="00E06684">
        <w:rPr>
          <w:rFonts w:cstheme="minorHAnsi"/>
        </w:rPr>
        <w:t xml:space="preserve"> DM</w:t>
      </w:r>
      <w:r w:rsidR="00D26C5C">
        <w:rPr>
          <w:rFonts w:cstheme="minorHAnsi"/>
          <w:vertAlign w:val="superscript"/>
        </w:rPr>
        <w:t>1,2,6</w:t>
      </w:r>
      <w:r w:rsidR="00C9052E" w:rsidRPr="006B42D7">
        <w:rPr>
          <w:rFonts w:cstheme="minorHAnsi"/>
        </w:rPr>
        <w:t xml:space="preserve">, Hans Michael </w:t>
      </w:r>
      <w:proofErr w:type="spellStart"/>
      <w:r w:rsidR="00C9052E" w:rsidRPr="006B42D7">
        <w:rPr>
          <w:rFonts w:cstheme="minorHAnsi"/>
        </w:rPr>
        <w:t>Haitchi</w:t>
      </w:r>
      <w:proofErr w:type="spellEnd"/>
      <w:r w:rsidR="00E06684">
        <w:rPr>
          <w:rFonts w:cstheme="minorHAnsi"/>
        </w:rPr>
        <w:t xml:space="preserve"> PhD</w:t>
      </w:r>
      <w:r w:rsidR="00FC788A">
        <w:rPr>
          <w:rFonts w:cstheme="minorHAnsi"/>
          <w:vertAlign w:val="superscript"/>
        </w:rPr>
        <w:t>1,2,</w:t>
      </w:r>
      <w:r w:rsidR="00604BBA">
        <w:rPr>
          <w:rFonts w:cstheme="minorHAnsi"/>
          <w:vertAlign w:val="superscript"/>
        </w:rPr>
        <w:t>3,</w:t>
      </w:r>
      <w:r w:rsidR="00FC788A">
        <w:rPr>
          <w:rFonts w:cstheme="minorHAnsi"/>
          <w:vertAlign w:val="superscript"/>
        </w:rPr>
        <w:t>7</w:t>
      </w:r>
      <w:r w:rsidR="00C9052E" w:rsidRPr="006B42D7">
        <w:rPr>
          <w:rFonts w:cstheme="minorHAnsi"/>
        </w:rPr>
        <w:t>, Ramesh J Kurukulaaratchy</w:t>
      </w:r>
      <w:r w:rsidR="00E06684">
        <w:rPr>
          <w:rFonts w:cstheme="minorHAnsi"/>
        </w:rPr>
        <w:t xml:space="preserve"> DM</w:t>
      </w:r>
      <w:r w:rsidR="00FC788A">
        <w:rPr>
          <w:rFonts w:cstheme="minorHAnsi"/>
          <w:vertAlign w:val="superscript"/>
        </w:rPr>
        <w:t>1,2</w:t>
      </w:r>
      <w:r w:rsidR="00604BBA">
        <w:rPr>
          <w:rFonts w:cstheme="minorHAnsi"/>
          <w:vertAlign w:val="superscript"/>
        </w:rPr>
        <w:t>,3,</w:t>
      </w:r>
      <w:r w:rsidR="00FC788A">
        <w:rPr>
          <w:rFonts w:cstheme="minorHAnsi"/>
          <w:vertAlign w:val="superscript"/>
        </w:rPr>
        <w:t>,6</w:t>
      </w:r>
    </w:p>
    <w:bookmarkEnd w:id="0"/>
    <w:p w14:paraId="1F38C1E2" w14:textId="38C7DA71" w:rsidR="000232E0" w:rsidRPr="00DF200A" w:rsidRDefault="000232E0" w:rsidP="00E454A7">
      <w:pPr>
        <w:spacing w:line="480" w:lineRule="auto"/>
        <w:rPr>
          <w:rFonts w:cstheme="minorHAnsi"/>
        </w:rPr>
      </w:pPr>
      <w:r w:rsidRPr="00DF200A">
        <w:rPr>
          <w:rFonts w:cstheme="minorHAnsi"/>
        </w:rPr>
        <w:t>*Joint 1st authors</w:t>
      </w:r>
    </w:p>
    <w:p w14:paraId="20F22633" w14:textId="4F5C3827" w:rsidR="006B42D7" w:rsidRDefault="006B42D7" w:rsidP="00E454A7">
      <w:pPr>
        <w:spacing w:line="480" w:lineRule="auto"/>
        <w:rPr>
          <w:rFonts w:cstheme="minorHAnsi"/>
          <w:b/>
          <w:bCs/>
        </w:rPr>
      </w:pPr>
      <w:r>
        <w:rPr>
          <w:rFonts w:cstheme="minorHAnsi"/>
          <w:b/>
          <w:bCs/>
        </w:rPr>
        <w:t>From:</w:t>
      </w:r>
    </w:p>
    <w:p w14:paraId="0E7E37D1" w14:textId="77777777" w:rsidR="00323974" w:rsidRPr="007D5464" w:rsidRDefault="00323974" w:rsidP="00323974">
      <w:pPr>
        <w:spacing w:line="480" w:lineRule="auto"/>
        <w:rPr>
          <w:rFonts w:cstheme="minorHAnsi"/>
        </w:rPr>
      </w:pPr>
      <w:r w:rsidRPr="007D5464">
        <w:rPr>
          <w:rFonts w:cstheme="minorHAnsi"/>
          <w:vertAlign w:val="superscript"/>
        </w:rPr>
        <w:t>1</w:t>
      </w:r>
      <w:r w:rsidRPr="007D5464">
        <w:rPr>
          <w:rFonts w:cstheme="minorHAnsi"/>
        </w:rPr>
        <w:t>School of Clinical and Experimental Sciences, Faculty of Medicine, University of Southampton, UK.</w:t>
      </w:r>
    </w:p>
    <w:p w14:paraId="1B3004C0" w14:textId="77777777" w:rsidR="00323974" w:rsidRPr="007D5464" w:rsidRDefault="00323974" w:rsidP="00323974">
      <w:pPr>
        <w:spacing w:line="480" w:lineRule="auto"/>
        <w:rPr>
          <w:rFonts w:cstheme="minorHAnsi"/>
        </w:rPr>
      </w:pPr>
      <w:r w:rsidRPr="007D5464">
        <w:rPr>
          <w:rFonts w:cstheme="minorHAnsi"/>
          <w:vertAlign w:val="superscript"/>
        </w:rPr>
        <w:t>2</w:t>
      </w:r>
      <w:r w:rsidRPr="007D5464">
        <w:rPr>
          <w:rFonts w:cstheme="minorHAnsi"/>
        </w:rPr>
        <w:t>National Institute for Health Research (NIHR) Southampton Biomedical Research Centre at University Hospital Southampton NHS Foundation Trust, Southampton, UK.</w:t>
      </w:r>
    </w:p>
    <w:p w14:paraId="1C32F997" w14:textId="77777777" w:rsidR="00323974" w:rsidRPr="007D5464" w:rsidRDefault="00323974" w:rsidP="00323974">
      <w:pPr>
        <w:spacing w:line="480" w:lineRule="auto"/>
        <w:rPr>
          <w:rFonts w:cstheme="minorHAnsi"/>
        </w:rPr>
      </w:pPr>
      <w:r w:rsidRPr="007D5464">
        <w:rPr>
          <w:rFonts w:cstheme="minorHAnsi"/>
          <w:vertAlign w:val="superscript"/>
        </w:rPr>
        <w:t>3</w:t>
      </w:r>
      <w:r w:rsidRPr="007D5464">
        <w:rPr>
          <w:rFonts w:cstheme="minorHAnsi"/>
        </w:rPr>
        <w:t>Respiratory Medicine Department, University Hospital Southampton NHS Foundation Trust, Southampton, UK.</w:t>
      </w:r>
    </w:p>
    <w:p w14:paraId="6CBA3589" w14:textId="11057E24" w:rsidR="00E97315" w:rsidRPr="00E97315" w:rsidRDefault="00323974" w:rsidP="00E97315">
      <w:pPr>
        <w:spacing w:line="480" w:lineRule="auto"/>
        <w:rPr>
          <w:rFonts w:cstheme="minorHAnsi"/>
          <w:bCs/>
        </w:rPr>
      </w:pPr>
      <w:r w:rsidRPr="007D5464">
        <w:rPr>
          <w:rFonts w:cstheme="minorHAnsi"/>
          <w:vertAlign w:val="superscript"/>
        </w:rPr>
        <w:t>4</w:t>
      </w:r>
      <w:r w:rsidR="007D5464">
        <w:rPr>
          <w:rFonts w:cstheme="minorHAnsi"/>
        </w:rPr>
        <w:t xml:space="preserve"> </w:t>
      </w:r>
      <w:r w:rsidR="00E97315" w:rsidRPr="00E97315">
        <w:rPr>
          <w:rFonts w:cstheme="minorHAnsi"/>
          <w:bCs/>
        </w:rPr>
        <w:t>Biomedical Science, Faculty of Sport, Health and Social Sciences, Solent University Southampton, Southampton, UK</w:t>
      </w:r>
    </w:p>
    <w:p w14:paraId="1BF29828" w14:textId="6EA7AE52" w:rsidR="006D2A5E" w:rsidRPr="007D5464" w:rsidRDefault="000B6A49" w:rsidP="00323974">
      <w:pPr>
        <w:spacing w:line="480" w:lineRule="auto"/>
        <w:rPr>
          <w:rFonts w:cstheme="minorHAnsi"/>
        </w:rPr>
      </w:pPr>
      <w:r>
        <w:rPr>
          <w:rFonts w:cstheme="minorHAnsi"/>
          <w:vertAlign w:val="superscript"/>
        </w:rPr>
        <w:t>5</w:t>
      </w:r>
      <w:r w:rsidR="007D5464">
        <w:rPr>
          <w:rFonts w:cstheme="minorHAnsi"/>
        </w:rPr>
        <w:t>La</w:t>
      </w:r>
      <w:r w:rsidR="00415DDF" w:rsidRPr="00415DDF">
        <w:rPr>
          <w:rFonts w:cstheme="minorHAnsi"/>
        </w:rPr>
        <w:t xml:space="preserve"> Jolla Institute of Immunology, La Jolla, California 92037, USA</w:t>
      </w:r>
    </w:p>
    <w:p w14:paraId="0B7EDF31" w14:textId="5C360693" w:rsidR="00323974" w:rsidRPr="007D5464" w:rsidRDefault="007465F5" w:rsidP="00323974">
      <w:pPr>
        <w:spacing w:line="480" w:lineRule="auto"/>
        <w:rPr>
          <w:rFonts w:cstheme="minorHAnsi"/>
        </w:rPr>
      </w:pPr>
      <w:r>
        <w:rPr>
          <w:rFonts w:cstheme="minorHAnsi"/>
          <w:vertAlign w:val="superscript"/>
        </w:rPr>
        <w:t>6</w:t>
      </w:r>
      <w:r w:rsidR="00323974" w:rsidRPr="007D5464">
        <w:rPr>
          <w:rFonts w:cstheme="minorHAnsi"/>
          <w:vertAlign w:val="superscript"/>
        </w:rPr>
        <w:t xml:space="preserve"> </w:t>
      </w:r>
      <w:r w:rsidR="00323974" w:rsidRPr="007D5464">
        <w:rPr>
          <w:rFonts w:cstheme="minorHAnsi"/>
        </w:rPr>
        <w:t>The David Hide Asthma &amp; Allergy Research Centre, St Mary’s Hospital, Newport, Isle of Wight, UK.</w:t>
      </w:r>
    </w:p>
    <w:p w14:paraId="1D4520F0" w14:textId="1FA71A2F" w:rsidR="00323974" w:rsidRPr="007D5464" w:rsidRDefault="007465F5" w:rsidP="00323974">
      <w:pPr>
        <w:spacing w:line="480" w:lineRule="auto"/>
        <w:rPr>
          <w:rFonts w:cstheme="minorHAnsi"/>
        </w:rPr>
      </w:pPr>
      <w:r>
        <w:rPr>
          <w:rFonts w:cstheme="minorHAnsi"/>
          <w:vertAlign w:val="superscript"/>
        </w:rPr>
        <w:t>7</w:t>
      </w:r>
      <w:r w:rsidR="007D5464" w:rsidRPr="007D5464">
        <w:rPr>
          <w:rFonts w:cstheme="minorHAnsi"/>
          <w:vertAlign w:val="superscript"/>
        </w:rPr>
        <w:t xml:space="preserve"> </w:t>
      </w:r>
      <w:r w:rsidR="00323974" w:rsidRPr="007D5464">
        <w:rPr>
          <w:rFonts w:cstheme="minorHAnsi"/>
        </w:rPr>
        <w:t>Institute for Life Sciences, University of Southampton, Southampton, UK.</w:t>
      </w:r>
    </w:p>
    <w:p w14:paraId="3AB9CD8F" w14:textId="77777777" w:rsidR="009F6983" w:rsidRDefault="009F6983" w:rsidP="00E454A7">
      <w:pPr>
        <w:spacing w:line="480" w:lineRule="auto"/>
        <w:rPr>
          <w:rFonts w:cstheme="minorHAnsi"/>
          <w:b/>
          <w:bCs/>
        </w:rPr>
      </w:pPr>
    </w:p>
    <w:p w14:paraId="12DC03EB" w14:textId="77777777" w:rsidR="00370985" w:rsidRDefault="00370985" w:rsidP="00E454A7">
      <w:pPr>
        <w:spacing w:line="480" w:lineRule="auto"/>
        <w:rPr>
          <w:rFonts w:cstheme="minorHAnsi"/>
          <w:b/>
          <w:bCs/>
        </w:rPr>
      </w:pPr>
    </w:p>
    <w:p w14:paraId="56215AC1" w14:textId="71924132" w:rsidR="00431BE4" w:rsidRDefault="009F6983" w:rsidP="00E454A7">
      <w:pPr>
        <w:spacing w:line="480" w:lineRule="auto"/>
        <w:rPr>
          <w:rFonts w:cstheme="minorHAnsi"/>
          <w:b/>
          <w:bCs/>
        </w:rPr>
      </w:pPr>
      <w:r>
        <w:rPr>
          <w:rFonts w:cstheme="minorHAnsi"/>
          <w:b/>
          <w:bCs/>
        </w:rPr>
        <w:lastRenderedPageBreak/>
        <w:t>Corresponding Author:</w:t>
      </w:r>
    </w:p>
    <w:p w14:paraId="295A93CC" w14:textId="77777777" w:rsidR="00020E23" w:rsidRPr="00020E23" w:rsidRDefault="00020E23" w:rsidP="00020E23">
      <w:pPr>
        <w:spacing w:line="480" w:lineRule="auto"/>
        <w:rPr>
          <w:rFonts w:cstheme="minorHAnsi"/>
        </w:rPr>
      </w:pPr>
      <w:r w:rsidRPr="00020E23">
        <w:rPr>
          <w:rFonts w:cstheme="minorHAnsi"/>
        </w:rPr>
        <w:t>Dr Ramesh J Kurukulaaratchy DM FRCP</w:t>
      </w:r>
    </w:p>
    <w:p w14:paraId="12E4C7A3" w14:textId="77777777" w:rsidR="00020E23" w:rsidRPr="00020E23" w:rsidRDefault="00020E23" w:rsidP="00020E23">
      <w:pPr>
        <w:spacing w:line="480" w:lineRule="auto"/>
        <w:rPr>
          <w:rFonts w:cstheme="minorHAnsi"/>
        </w:rPr>
      </w:pPr>
      <w:r w:rsidRPr="00020E23">
        <w:rPr>
          <w:rFonts w:cstheme="minorHAnsi"/>
        </w:rPr>
        <w:t>Associate Professor &amp; (Hon) Consultant in Respiratory Medicine &amp; Allergy</w:t>
      </w:r>
    </w:p>
    <w:p w14:paraId="6DCB797A" w14:textId="77777777" w:rsidR="00020E23" w:rsidRPr="00020E23" w:rsidRDefault="00020E23" w:rsidP="00020E23">
      <w:pPr>
        <w:spacing w:line="480" w:lineRule="auto"/>
        <w:rPr>
          <w:rFonts w:cstheme="minorHAnsi"/>
        </w:rPr>
      </w:pPr>
      <w:r w:rsidRPr="00020E23">
        <w:rPr>
          <w:rFonts w:cstheme="minorHAnsi"/>
        </w:rPr>
        <w:t xml:space="preserve">Clinical Experimental Sciences, Mailpoint 810, F-Level, South Academic Block, Southampton General Hospital, </w:t>
      </w:r>
      <w:proofErr w:type="spellStart"/>
      <w:r w:rsidRPr="00020E23">
        <w:rPr>
          <w:rFonts w:cstheme="minorHAnsi"/>
        </w:rPr>
        <w:t>Tremona</w:t>
      </w:r>
      <w:proofErr w:type="spellEnd"/>
      <w:r w:rsidRPr="00020E23">
        <w:rPr>
          <w:rFonts w:cstheme="minorHAnsi"/>
        </w:rPr>
        <w:t xml:space="preserve"> Road, Southampton, Hampshire. SO16 6YD. United Kingdom</w:t>
      </w:r>
    </w:p>
    <w:p w14:paraId="32001F2E" w14:textId="74353B0B" w:rsidR="00020E23" w:rsidRPr="00020E23" w:rsidRDefault="00020E23" w:rsidP="00020E23">
      <w:pPr>
        <w:spacing w:line="480" w:lineRule="auto"/>
        <w:rPr>
          <w:rFonts w:cstheme="minorHAnsi"/>
        </w:rPr>
      </w:pPr>
      <w:r w:rsidRPr="00020E23">
        <w:rPr>
          <w:rFonts w:cstheme="minorHAnsi"/>
        </w:rPr>
        <w:t xml:space="preserve">Email: </w:t>
      </w:r>
      <w:r w:rsidRPr="00B47D78">
        <w:t>Rjk1s07@soton.ac.uk</w:t>
      </w:r>
    </w:p>
    <w:p w14:paraId="49B8E3E1" w14:textId="77777777" w:rsidR="00020E23" w:rsidRPr="00020E23" w:rsidRDefault="00020E23" w:rsidP="00020E23">
      <w:pPr>
        <w:spacing w:line="480" w:lineRule="auto"/>
        <w:rPr>
          <w:rFonts w:cstheme="minorHAnsi"/>
        </w:rPr>
      </w:pPr>
      <w:r w:rsidRPr="00020E23">
        <w:rPr>
          <w:rFonts w:cstheme="minorHAnsi"/>
        </w:rPr>
        <w:t>Tel: +44238120 5232</w:t>
      </w:r>
    </w:p>
    <w:p w14:paraId="67A70693" w14:textId="77777777" w:rsidR="009F6983" w:rsidRDefault="009F6983" w:rsidP="00E454A7">
      <w:pPr>
        <w:spacing w:line="480" w:lineRule="auto"/>
        <w:rPr>
          <w:rFonts w:cstheme="minorHAnsi"/>
          <w:b/>
          <w:bCs/>
        </w:rPr>
      </w:pPr>
    </w:p>
    <w:p w14:paraId="465E84A2" w14:textId="57EBBB3E" w:rsidR="009F6983" w:rsidRDefault="009F6983" w:rsidP="00E454A7">
      <w:pPr>
        <w:spacing w:line="480" w:lineRule="auto"/>
        <w:rPr>
          <w:rFonts w:cstheme="minorHAnsi"/>
          <w:b/>
          <w:bCs/>
        </w:rPr>
      </w:pPr>
      <w:r>
        <w:rPr>
          <w:rFonts w:cstheme="minorHAnsi"/>
          <w:b/>
          <w:bCs/>
        </w:rPr>
        <w:t>Keywords:</w:t>
      </w:r>
    </w:p>
    <w:p w14:paraId="097B2413" w14:textId="013372A6" w:rsidR="001942D2" w:rsidRPr="002D3750" w:rsidRDefault="001942D2" w:rsidP="00E454A7">
      <w:pPr>
        <w:spacing w:line="480" w:lineRule="auto"/>
        <w:rPr>
          <w:rFonts w:cstheme="minorHAnsi"/>
        </w:rPr>
      </w:pPr>
      <w:r w:rsidRPr="002D3750">
        <w:rPr>
          <w:rFonts w:cstheme="minorHAnsi"/>
        </w:rPr>
        <w:t>Difficult-to-treat asthma, Eosinophils, T2-inflammation, T2-low asthma, Phenotypes.</w:t>
      </w:r>
    </w:p>
    <w:p w14:paraId="2E43F207" w14:textId="087C145E" w:rsidR="009F6983" w:rsidRDefault="009F6983" w:rsidP="00E454A7">
      <w:pPr>
        <w:spacing w:line="480" w:lineRule="auto"/>
        <w:rPr>
          <w:rFonts w:cstheme="minorHAnsi"/>
          <w:b/>
          <w:bCs/>
        </w:rPr>
      </w:pPr>
    </w:p>
    <w:p w14:paraId="1B261B0A" w14:textId="2A69CD4D" w:rsidR="001942D2" w:rsidRDefault="001942D2" w:rsidP="00E454A7">
      <w:pPr>
        <w:spacing w:line="480" w:lineRule="auto"/>
        <w:rPr>
          <w:rFonts w:cstheme="minorHAnsi"/>
          <w:b/>
          <w:bCs/>
        </w:rPr>
      </w:pPr>
      <w:r>
        <w:rPr>
          <w:rFonts w:cstheme="minorHAnsi"/>
          <w:b/>
          <w:bCs/>
        </w:rPr>
        <w:t>Conflict of Interest Statement</w:t>
      </w:r>
    </w:p>
    <w:p w14:paraId="37F5D71E" w14:textId="0744D490" w:rsidR="001942D2" w:rsidRPr="00610F18" w:rsidRDefault="00610F18" w:rsidP="00610F18">
      <w:pPr>
        <w:rPr>
          <w:rFonts w:ascii="Calibri" w:eastAsia="Times New Roman" w:hAnsi="Calibri" w:cs="Calibri"/>
          <w:sz w:val="22"/>
          <w:szCs w:val="22"/>
        </w:rPr>
      </w:pPr>
      <w:r>
        <w:rPr>
          <w:rStyle w:val="contentpasted0"/>
          <w:color w:val="000000"/>
          <w:shd w:val="clear" w:color="auto" w:fill="FFFFFF"/>
        </w:rPr>
        <w:t xml:space="preserve">Dr. Hitasha Rupani reports </w:t>
      </w:r>
      <w:r w:rsidR="00EC4842">
        <w:rPr>
          <w:rStyle w:val="contentpasted0"/>
          <w:color w:val="000000"/>
          <w:shd w:val="clear" w:color="auto" w:fill="FFFFFF"/>
        </w:rPr>
        <w:t>s</w:t>
      </w:r>
      <w:r>
        <w:rPr>
          <w:rStyle w:val="contentpasted0"/>
          <w:color w:val="000000"/>
          <w:shd w:val="clear" w:color="auto" w:fill="FFFFFF"/>
        </w:rPr>
        <w:t xml:space="preserve">peaker and consultancy fees from AstraZeneca, GlaxoSmithKline, Teva, Novartis and </w:t>
      </w:r>
      <w:proofErr w:type="spellStart"/>
      <w:r>
        <w:rPr>
          <w:rStyle w:val="contentpasted0"/>
          <w:color w:val="000000"/>
          <w:shd w:val="clear" w:color="auto" w:fill="FFFFFF"/>
        </w:rPr>
        <w:t>Chiesi</w:t>
      </w:r>
      <w:proofErr w:type="spellEnd"/>
      <w:r>
        <w:rPr>
          <w:rStyle w:val="contentpasted0"/>
          <w:color w:val="000000"/>
          <w:shd w:val="clear" w:color="auto" w:fill="FFFFFF"/>
        </w:rPr>
        <w:t xml:space="preserve">.  </w:t>
      </w:r>
      <w:r>
        <w:rPr>
          <w:rStyle w:val="contentpasted0"/>
          <w:rFonts w:cstheme="minorHAnsi"/>
          <w:color w:val="000000"/>
          <w:shd w:val="clear" w:color="auto" w:fill="FFFFFF"/>
        </w:rPr>
        <w:t xml:space="preserve">Professor Peter Howarth reports employment by GSK outside of the submitted work. Dr. Adnan Azim reports employment from Astra Zeneca outside of the submitted work. </w:t>
      </w:r>
      <w:r w:rsidRPr="00610F18">
        <w:rPr>
          <w:rStyle w:val="contentpasted0"/>
          <w:rFonts w:eastAsia="Times New Roman" w:cstheme="minorHAnsi"/>
          <w:bCs/>
          <w:color w:val="000000"/>
          <w:shd w:val="clear" w:color="auto" w:fill="FFFFFF"/>
        </w:rPr>
        <w:t xml:space="preserve">Mohammed Aref Kyyaly, Rana </w:t>
      </w:r>
      <w:proofErr w:type="spellStart"/>
      <w:r w:rsidRPr="00610F18">
        <w:rPr>
          <w:rStyle w:val="contentpasted0"/>
          <w:rFonts w:eastAsia="Times New Roman" w:cstheme="minorHAnsi"/>
          <w:bCs/>
          <w:color w:val="000000"/>
          <w:shd w:val="clear" w:color="auto" w:fill="FFFFFF"/>
        </w:rPr>
        <w:t>Abadalkareen</w:t>
      </w:r>
      <w:proofErr w:type="spellEnd"/>
      <w:r w:rsidRPr="00610F18">
        <w:rPr>
          <w:rStyle w:val="contentpasted0"/>
          <w:rFonts w:eastAsia="Times New Roman" w:cstheme="minorHAnsi"/>
          <w:bCs/>
          <w:color w:val="000000"/>
          <w:shd w:val="clear" w:color="auto" w:fill="FFFFFF"/>
        </w:rPr>
        <w:t xml:space="preserve">, Anna Freeman, Paddy Dennison, Ratko </w:t>
      </w:r>
      <w:proofErr w:type="spellStart"/>
      <w:r w:rsidRPr="00610F18">
        <w:rPr>
          <w:rStyle w:val="contentpasted0"/>
          <w:rFonts w:eastAsia="Times New Roman" w:cstheme="minorHAnsi"/>
          <w:bCs/>
          <w:color w:val="000000"/>
          <w:shd w:val="clear" w:color="auto" w:fill="FFFFFF"/>
        </w:rPr>
        <w:t>Djukanovic</w:t>
      </w:r>
      <w:proofErr w:type="spellEnd"/>
      <w:r w:rsidRPr="00610F18">
        <w:rPr>
          <w:rStyle w:val="contentpasted0"/>
          <w:rFonts w:eastAsia="Times New Roman" w:cstheme="minorHAnsi"/>
          <w:bCs/>
          <w:color w:val="000000"/>
          <w:shd w:val="clear" w:color="auto" w:fill="FFFFFF"/>
        </w:rPr>
        <w:t xml:space="preserve">, </w:t>
      </w:r>
      <w:proofErr w:type="spellStart"/>
      <w:r w:rsidRPr="00610F18">
        <w:rPr>
          <w:rStyle w:val="contentpasted0"/>
          <w:rFonts w:eastAsia="Times New Roman" w:cstheme="minorHAnsi"/>
          <w:bCs/>
          <w:color w:val="000000"/>
          <w:shd w:val="clear" w:color="auto" w:fill="FFFFFF"/>
        </w:rPr>
        <w:t>Pandurangan</w:t>
      </w:r>
      <w:proofErr w:type="spellEnd"/>
      <w:r w:rsidRPr="00610F18">
        <w:rPr>
          <w:rStyle w:val="contentpasted0"/>
          <w:rFonts w:eastAsia="Times New Roman" w:cstheme="minorHAnsi"/>
          <w:bCs/>
          <w:color w:val="000000"/>
          <w:shd w:val="clear" w:color="auto" w:fill="FFFFFF"/>
        </w:rPr>
        <w:t xml:space="preserve"> Vijayanand, Gregory Seumois, S Hasan Arshad, Hans Michael </w:t>
      </w:r>
      <w:proofErr w:type="spellStart"/>
      <w:r w:rsidRPr="00610F18">
        <w:rPr>
          <w:rStyle w:val="contentpasted0"/>
          <w:rFonts w:eastAsia="Times New Roman" w:cstheme="minorHAnsi"/>
          <w:bCs/>
          <w:color w:val="000000"/>
          <w:shd w:val="clear" w:color="auto" w:fill="FFFFFF"/>
        </w:rPr>
        <w:t>Haitchi</w:t>
      </w:r>
      <w:proofErr w:type="spellEnd"/>
      <w:r w:rsidRPr="00610F18">
        <w:rPr>
          <w:rStyle w:val="contentpasted0"/>
          <w:rFonts w:eastAsia="Times New Roman" w:cstheme="minorHAnsi"/>
          <w:bCs/>
          <w:color w:val="000000"/>
          <w:shd w:val="clear" w:color="auto" w:fill="FFFFFF"/>
        </w:rPr>
        <w:t>, Ramesh J Kurukulaaratchy</w:t>
      </w:r>
      <w:r>
        <w:rPr>
          <w:rStyle w:val="contentpasted0"/>
          <w:rFonts w:eastAsia="Times New Roman" w:cstheme="minorHAnsi"/>
          <w:bCs/>
          <w:color w:val="000000"/>
          <w:shd w:val="clear" w:color="auto" w:fill="FFFFFF"/>
        </w:rPr>
        <w:t xml:space="preserve"> declare that they have no known competing financial interests or personal relationships that could have appeared to influence the work reported in this paper</w:t>
      </w:r>
      <w:r>
        <w:rPr>
          <w:rStyle w:val="fluidplugincopy"/>
          <w:rFonts w:ascii="Times New Roman" w:eastAsia="Times New Roman" w:hAnsi="Times New Roman" w:cs="Times New Roman"/>
          <w:bCs/>
          <w:color w:val="000000"/>
          <w:shd w:val="clear" w:color="auto" w:fill="FFFFFF"/>
        </w:rPr>
        <w:t>.</w:t>
      </w:r>
      <w:r w:rsidR="001942D2">
        <w:rPr>
          <w:rFonts w:cstheme="minorHAnsi"/>
        </w:rPr>
        <w:br/>
      </w:r>
    </w:p>
    <w:p w14:paraId="1CF837BF" w14:textId="35A7C2D3" w:rsidR="00E60C36" w:rsidRDefault="00E60C36" w:rsidP="00E454A7">
      <w:pPr>
        <w:spacing w:line="480" w:lineRule="auto"/>
        <w:rPr>
          <w:rFonts w:cstheme="minorHAnsi"/>
          <w:b/>
          <w:bCs/>
        </w:rPr>
      </w:pPr>
      <w:r>
        <w:rPr>
          <w:rFonts w:cstheme="minorHAnsi"/>
          <w:b/>
          <w:bCs/>
        </w:rPr>
        <w:t>Word Count:</w:t>
      </w:r>
      <w:r w:rsidR="00B142FB">
        <w:rPr>
          <w:rFonts w:cstheme="minorHAnsi"/>
          <w:b/>
          <w:bCs/>
        </w:rPr>
        <w:t xml:space="preserve"> 3</w:t>
      </w:r>
      <w:r w:rsidR="002922D5">
        <w:rPr>
          <w:rFonts w:cstheme="minorHAnsi"/>
          <w:b/>
          <w:bCs/>
        </w:rPr>
        <w:t>346</w:t>
      </w:r>
    </w:p>
    <w:p w14:paraId="1DEF3D13" w14:textId="77777777" w:rsidR="00693D35" w:rsidRDefault="00693D35">
      <w:pPr>
        <w:rPr>
          <w:rFonts w:cstheme="minorHAnsi"/>
          <w:b/>
          <w:bCs/>
        </w:rPr>
      </w:pPr>
    </w:p>
    <w:p w14:paraId="00EA3436" w14:textId="77777777" w:rsidR="00D23D9E" w:rsidRPr="00D23D9E" w:rsidRDefault="00D23D9E" w:rsidP="00D23D9E">
      <w:pPr>
        <w:rPr>
          <w:rFonts w:cstheme="minorHAnsi"/>
          <w:b/>
          <w:bCs/>
        </w:rPr>
      </w:pPr>
      <w:r w:rsidRPr="00D23D9E">
        <w:rPr>
          <w:rFonts w:cstheme="minorHAnsi"/>
          <w:b/>
          <w:bCs/>
        </w:rPr>
        <w:t xml:space="preserve">Funding Source: </w:t>
      </w:r>
    </w:p>
    <w:p w14:paraId="06E5F21F" w14:textId="03B0BAF8" w:rsidR="00693D35" w:rsidRDefault="00D23D9E">
      <w:pPr>
        <w:rPr>
          <w:rFonts w:cstheme="minorHAnsi"/>
        </w:rPr>
      </w:pPr>
      <w:r w:rsidRPr="00D23D9E">
        <w:rPr>
          <w:rFonts w:cstheme="minorHAnsi"/>
        </w:rPr>
        <w:t xml:space="preserve">The Wessex </w:t>
      </w:r>
      <w:proofErr w:type="spellStart"/>
      <w:r w:rsidRPr="00D23D9E">
        <w:rPr>
          <w:rFonts w:cstheme="minorHAnsi"/>
        </w:rPr>
        <w:t>AsThma</w:t>
      </w:r>
      <w:proofErr w:type="spellEnd"/>
      <w:r w:rsidRPr="00D23D9E">
        <w:rPr>
          <w:rFonts w:cstheme="minorHAnsi"/>
        </w:rPr>
        <w:t xml:space="preserve"> </w:t>
      </w:r>
      <w:proofErr w:type="spellStart"/>
      <w:r w:rsidRPr="00D23D9E">
        <w:rPr>
          <w:rFonts w:cstheme="minorHAnsi"/>
        </w:rPr>
        <w:t>CoHort</w:t>
      </w:r>
      <w:proofErr w:type="spellEnd"/>
      <w:r w:rsidRPr="00D23D9E">
        <w:rPr>
          <w:rFonts w:cstheme="minorHAnsi"/>
        </w:rPr>
        <w:t xml:space="preserve"> of difficult asthma (WATCH) study has been supported by the NIHR Southampton Biomedical Research Centre (BRC) and Clinical Research Facility at University Hospital Southampton NHS Foundation Trust (UHSFT), UK. The WATCH study itself is not externally funded. Funding assistance for database support for the WATCH study was initially obtained from a non-promotional grant from Novartis (£35,000). </w:t>
      </w:r>
      <w:r w:rsidR="002A159E" w:rsidRPr="002A159E">
        <w:rPr>
          <w:rFonts w:cstheme="minorHAnsi"/>
        </w:rPr>
        <w:t>Funding assistance for sputum assessment was provided within a non-promotional investigator-led grant from Boehringer-Ingelheim</w:t>
      </w:r>
      <w:r w:rsidR="004A7FB4">
        <w:rPr>
          <w:rFonts w:cstheme="minorHAnsi"/>
        </w:rPr>
        <w:t>.</w:t>
      </w:r>
      <w:r w:rsidR="002A159E" w:rsidRPr="002A159E">
        <w:rPr>
          <w:rFonts w:cstheme="minorHAnsi"/>
        </w:rPr>
        <w:t xml:space="preserve"> </w:t>
      </w:r>
      <w:r w:rsidRPr="00D23D9E">
        <w:rPr>
          <w:rFonts w:cstheme="minorHAnsi"/>
        </w:rPr>
        <w:t>Funding assistance for patient costs (e.g. parking) were initially provided by a charitable grant (£3,500) from the Asthma, Allergy &amp; Inflammation Research (AAIR) Charity.</w:t>
      </w:r>
      <w:r w:rsidR="00846347">
        <w:rPr>
          <w:rFonts w:cstheme="minorHAnsi"/>
        </w:rPr>
        <w:br/>
      </w:r>
    </w:p>
    <w:p w14:paraId="2E017FD5" w14:textId="794A0DE5" w:rsidR="00E22685" w:rsidRDefault="00E22685">
      <w:pPr>
        <w:rPr>
          <w:rFonts w:cstheme="minorHAnsi"/>
        </w:rPr>
      </w:pPr>
      <w:r>
        <w:rPr>
          <w:rFonts w:cstheme="minorHAnsi"/>
        </w:rPr>
        <w:lastRenderedPageBreak/>
        <w:t>Abbreviations:</w:t>
      </w:r>
    </w:p>
    <w:p w14:paraId="29040BBF" w14:textId="77777777" w:rsidR="00E22685" w:rsidRDefault="00E22685">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1F6AD9" w14:paraId="338F7D52" w14:textId="77777777" w:rsidTr="00595153">
        <w:tc>
          <w:tcPr>
            <w:tcW w:w="1129" w:type="dxa"/>
          </w:tcPr>
          <w:p w14:paraId="163CAE93" w14:textId="77777777" w:rsidR="001F6AD9" w:rsidRDefault="001F6AD9" w:rsidP="00595153">
            <w:r>
              <w:t>BMI</w:t>
            </w:r>
          </w:p>
        </w:tc>
        <w:tc>
          <w:tcPr>
            <w:tcW w:w="7887" w:type="dxa"/>
          </w:tcPr>
          <w:p w14:paraId="3101F7E3" w14:textId="77777777" w:rsidR="001F6AD9" w:rsidRDefault="001F6AD9" w:rsidP="00595153">
            <w:r>
              <w:t xml:space="preserve">Body mass </w:t>
            </w:r>
            <w:proofErr w:type="spellStart"/>
            <w:r>
              <w:t>indx</w:t>
            </w:r>
            <w:proofErr w:type="spellEnd"/>
          </w:p>
        </w:tc>
      </w:tr>
      <w:tr w:rsidR="001F6AD9" w14:paraId="7B332663" w14:textId="77777777" w:rsidTr="00595153">
        <w:tc>
          <w:tcPr>
            <w:tcW w:w="1129" w:type="dxa"/>
          </w:tcPr>
          <w:p w14:paraId="22C77750" w14:textId="77777777" w:rsidR="001F6AD9" w:rsidRDefault="001F6AD9" w:rsidP="00595153">
            <w:r>
              <w:t>FeNO</w:t>
            </w:r>
          </w:p>
        </w:tc>
        <w:tc>
          <w:tcPr>
            <w:tcW w:w="7887" w:type="dxa"/>
          </w:tcPr>
          <w:p w14:paraId="593902F4" w14:textId="77777777" w:rsidR="001F6AD9" w:rsidRDefault="001F6AD9" w:rsidP="00595153">
            <w:r>
              <w:t xml:space="preserve">Fractional exhaled </w:t>
            </w:r>
            <w:proofErr w:type="spellStart"/>
            <w:r>
              <w:t>nitroen</w:t>
            </w:r>
            <w:proofErr w:type="spellEnd"/>
            <w:r>
              <w:t xml:space="preserve"> </w:t>
            </w:r>
            <w:proofErr w:type="spellStart"/>
            <w:r>
              <w:t>oxde</w:t>
            </w:r>
            <w:proofErr w:type="spellEnd"/>
          </w:p>
        </w:tc>
      </w:tr>
      <w:tr w:rsidR="001F6AD9" w14:paraId="5350FBEF" w14:textId="77777777" w:rsidTr="00595153">
        <w:tc>
          <w:tcPr>
            <w:tcW w:w="1129" w:type="dxa"/>
          </w:tcPr>
          <w:p w14:paraId="7454A118" w14:textId="77777777" w:rsidR="001F6AD9" w:rsidRDefault="001F6AD9" w:rsidP="00595153">
            <w:r>
              <w:t>FEV1</w:t>
            </w:r>
          </w:p>
        </w:tc>
        <w:tc>
          <w:tcPr>
            <w:tcW w:w="7887" w:type="dxa"/>
          </w:tcPr>
          <w:p w14:paraId="6DB4FCBE" w14:textId="77777777" w:rsidR="001F6AD9" w:rsidRDefault="001F6AD9" w:rsidP="00595153">
            <w:r>
              <w:t>Forced expiratory volume in 1 second</w:t>
            </w:r>
          </w:p>
        </w:tc>
      </w:tr>
      <w:tr w:rsidR="001F6AD9" w14:paraId="1EF5367C" w14:textId="77777777" w:rsidTr="00595153">
        <w:tc>
          <w:tcPr>
            <w:tcW w:w="1129" w:type="dxa"/>
          </w:tcPr>
          <w:p w14:paraId="64DDE3DA" w14:textId="77777777" w:rsidR="001F6AD9" w:rsidRDefault="001F6AD9" w:rsidP="00595153">
            <w:r>
              <w:t>FVC</w:t>
            </w:r>
          </w:p>
        </w:tc>
        <w:tc>
          <w:tcPr>
            <w:tcW w:w="7887" w:type="dxa"/>
          </w:tcPr>
          <w:p w14:paraId="2F7B0ED8" w14:textId="77777777" w:rsidR="001F6AD9" w:rsidRDefault="001F6AD9" w:rsidP="00595153">
            <w:r>
              <w:t xml:space="preserve">Forced </w:t>
            </w:r>
            <w:proofErr w:type="spellStart"/>
            <w:r>
              <w:t>vtal</w:t>
            </w:r>
            <w:proofErr w:type="spellEnd"/>
            <w:r>
              <w:t xml:space="preserve"> capacity</w:t>
            </w:r>
          </w:p>
        </w:tc>
      </w:tr>
      <w:tr w:rsidR="001F6AD9" w14:paraId="3C76DAAA" w14:textId="77777777" w:rsidTr="00595153">
        <w:tc>
          <w:tcPr>
            <w:tcW w:w="1129" w:type="dxa"/>
          </w:tcPr>
          <w:p w14:paraId="4037E77F" w14:textId="77777777" w:rsidR="001F6AD9" w:rsidRDefault="001F6AD9" w:rsidP="00595153">
            <w:r>
              <w:t>GINA</w:t>
            </w:r>
          </w:p>
        </w:tc>
        <w:tc>
          <w:tcPr>
            <w:tcW w:w="7887" w:type="dxa"/>
          </w:tcPr>
          <w:p w14:paraId="3BB8D2AC" w14:textId="77777777" w:rsidR="001F6AD9" w:rsidRDefault="001F6AD9" w:rsidP="00595153">
            <w:r>
              <w:t>Global Initiative for Asthma</w:t>
            </w:r>
          </w:p>
        </w:tc>
      </w:tr>
      <w:tr w:rsidR="001F6AD9" w14:paraId="40AC2CD8" w14:textId="77777777" w:rsidTr="00595153">
        <w:tc>
          <w:tcPr>
            <w:tcW w:w="1129" w:type="dxa"/>
          </w:tcPr>
          <w:p w14:paraId="36AF7EDB" w14:textId="77777777" w:rsidR="001F6AD9" w:rsidRDefault="001F6AD9" w:rsidP="00595153">
            <w:r>
              <w:t>ICS</w:t>
            </w:r>
          </w:p>
        </w:tc>
        <w:tc>
          <w:tcPr>
            <w:tcW w:w="7887" w:type="dxa"/>
          </w:tcPr>
          <w:p w14:paraId="05A25BE6" w14:textId="77777777" w:rsidR="001F6AD9" w:rsidRDefault="001F6AD9" w:rsidP="00595153">
            <w:r>
              <w:t>Inhaled corticosteroid</w:t>
            </w:r>
          </w:p>
        </w:tc>
      </w:tr>
      <w:tr w:rsidR="001F6AD9" w14:paraId="17017A13" w14:textId="77777777" w:rsidTr="00595153">
        <w:tc>
          <w:tcPr>
            <w:tcW w:w="1129" w:type="dxa"/>
          </w:tcPr>
          <w:p w14:paraId="28412D57" w14:textId="77777777" w:rsidR="001F6AD9" w:rsidRDefault="001F6AD9" w:rsidP="00595153">
            <w:r>
              <w:t>IL</w:t>
            </w:r>
          </w:p>
        </w:tc>
        <w:tc>
          <w:tcPr>
            <w:tcW w:w="7887" w:type="dxa"/>
          </w:tcPr>
          <w:p w14:paraId="67753865" w14:textId="77777777" w:rsidR="001F6AD9" w:rsidRDefault="001F6AD9" w:rsidP="00595153">
            <w:r>
              <w:t>Interleukin</w:t>
            </w:r>
          </w:p>
        </w:tc>
      </w:tr>
      <w:tr w:rsidR="001F6AD9" w14:paraId="53AF17D7" w14:textId="77777777" w:rsidTr="00595153">
        <w:tc>
          <w:tcPr>
            <w:tcW w:w="1129" w:type="dxa"/>
          </w:tcPr>
          <w:p w14:paraId="2EB4D64A" w14:textId="77777777" w:rsidR="001F6AD9" w:rsidRDefault="001F6AD9" w:rsidP="00595153">
            <w:r>
              <w:t>mOCS</w:t>
            </w:r>
          </w:p>
        </w:tc>
        <w:tc>
          <w:tcPr>
            <w:tcW w:w="7887" w:type="dxa"/>
          </w:tcPr>
          <w:p w14:paraId="6A8D8EE0" w14:textId="77777777" w:rsidR="001F6AD9" w:rsidRDefault="001F6AD9" w:rsidP="00595153">
            <w:r>
              <w:t>Maintenance oral corticosteroid</w:t>
            </w:r>
          </w:p>
        </w:tc>
      </w:tr>
      <w:tr w:rsidR="001F6AD9" w14:paraId="29E6D6FD" w14:textId="77777777" w:rsidTr="00595153">
        <w:tc>
          <w:tcPr>
            <w:tcW w:w="1129" w:type="dxa"/>
          </w:tcPr>
          <w:p w14:paraId="7F328598" w14:textId="77777777" w:rsidR="001F6AD9" w:rsidRDefault="001F6AD9" w:rsidP="00595153">
            <w:r>
              <w:t>NHS</w:t>
            </w:r>
          </w:p>
        </w:tc>
        <w:tc>
          <w:tcPr>
            <w:tcW w:w="7887" w:type="dxa"/>
          </w:tcPr>
          <w:p w14:paraId="503C0709" w14:textId="77777777" w:rsidR="001F6AD9" w:rsidRDefault="001F6AD9" w:rsidP="00595153">
            <w:r>
              <w:t>National Health Service</w:t>
            </w:r>
          </w:p>
        </w:tc>
      </w:tr>
      <w:tr w:rsidR="001F6AD9" w14:paraId="3440D577" w14:textId="77777777" w:rsidTr="00595153">
        <w:tc>
          <w:tcPr>
            <w:tcW w:w="1129" w:type="dxa"/>
          </w:tcPr>
          <w:p w14:paraId="17D25EE9" w14:textId="77777777" w:rsidR="001F6AD9" w:rsidRDefault="001F6AD9" w:rsidP="00595153">
            <w:r>
              <w:t>PBE</w:t>
            </w:r>
          </w:p>
        </w:tc>
        <w:tc>
          <w:tcPr>
            <w:tcW w:w="7887" w:type="dxa"/>
          </w:tcPr>
          <w:p w14:paraId="7C8FD08E" w14:textId="77777777" w:rsidR="001F6AD9" w:rsidRDefault="001F6AD9" w:rsidP="00595153">
            <w:r>
              <w:t>Peripheral blood eosinophil</w:t>
            </w:r>
          </w:p>
        </w:tc>
      </w:tr>
      <w:tr w:rsidR="001F6AD9" w14:paraId="71478C42" w14:textId="77777777" w:rsidTr="00595153">
        <w:tc>
          <w:tcPr>
            <w:tcW w:w="1129" w:type="dxa"/>
          </w:tcPr>
          <w:p w14:paraId="364A1611" w14:textId="77777777" w:rsidR="001F6AD9" w:rsidRDefault="001F6AD9" w:rsidP="00595153">
            <w:r>
              <w:t>T2</w:t>
            </w:r>
          </w:p>
        </w:tc>
        <w:tc>
          <w:tcPr>
            <w:tcW w:w="7887" w:type="dxa"/>
          </w:tcPr>
          <w:p w14:paraId="533D49DD" w14:textId="77777777" w:rsidR="001F6AD9" w:rsidRDefault="001F6AD9" w:rsidP="00595153">
            <w:r>
              <w:t>Type-2 inflammation</w:t>
            </w:r>
          </w:p>
        </w:tc>
      </w:tr>
      <w:tr w:rsidR="001F6AD9" w14:paraId="21EAF630" w14:textId="77777777" w:rsidTr="00595153">
        <w:tc>
          <w:tcPr>
            <w:tcW w:w="1129" w:type="dxa"/>
          </w:tcPr>
          <w:p w14:paraId="60DCAC2C" w14:textId="77777777" w:rsidR="001F6AD9" w:rsidRDefault="001F6AD9" w:rsidP="00595153">
            <w:r>
              <w:t>WATCH</w:t>
            </w:r>
          </w:p>
        </w:tc>
        <w:tc>
          <w:tcPr>
            <w:tcW w:w="7887" w:type="dxa"/>
          </w:tcPr>
          <w:p w14:paraId="0CC5F8EB" w14:textId="77777777" w:rsidR="001F6AD9" w:rsidRDefault="001F6AD9" w:rsidP="00595153">
            <w:r>
              <w:t>Wessex Asthma Cohort of difficult asthma</w:t>
            </w:r>
          </w:p>
        </w:tc>
      </w:tr>
    </w:tbl>
    <w:p w14:paraId="48B87C47" w14:textId="77777777" w:rsidR="001F6AD9" w:rsidRDefault="001F6AD9">
      <w:pPr>
        <w:rPr>
          <w:rFonts w:cstheme="minorHAnsi"/>
        </w:rPr>
      </w:pPr>
    </w:p>
    <w:p w14:paraId="4EE197A1" w14:textId="77777777" w:rsidR="001F6AD9" w:rsidRPr="00846347" w:rsidRDefault="001F6AD9">
      <w:pPr>
        <w:rPr>
          <w:rFonts w:cstheme="minorHAnsi"/>
        </w:rPr>
      </w:pPr>
    </w:p>
    <w:p w14:paraId="68126728" w14:textId="1F75086C" w:rsidR="00E60C36" w:rsidRDefault="009F6983" w:rsidP="00E454A7">
      <w:pPr>
        <w:spacing w:line="480" w:lineRule="auto"/>
        <w:rPr>
          <w:rFonts w:cstheme="minorHAnsi"/>
          <w:b/>
          <w:bCs/>
        </w:rPr>
      </w:pPr>
      <w:r>
        <w:rPr>
          <w:rFonts w:cstheme="minorHAnsi"/>
          <w:b/>
          <w:bCs/>
        </w:rPr>
        <w:t>Abstract:</w:t>
      </w:r>
    </w:p>
    <w:p w14:paraId="14C356C8" w14:textId="77777777" w:rsidR="00CE673C" w:rsidRPr="0087102C" w:rsidRDefault="00CE673C" w:rsidP="0098196F">
      <w:pPr>
        <w:spacing w:line="480" w:lineRule="auto"/>
        <w:rPr>
          <w:b/>
          <w:bCs/>
        </w:rPr>
      </w:pPr>
      <w:r w:rsidRPr="0087102C">
        <w:rPr>
          <w:b/>
          <w:bCs/>
        </w:rPr>
        <w:t>Background</w:t>
      </w:r>
    </w:p>
    <w:p w14:paraId="24E4E809" w14:textId="717232FB" w:rsidR="00CE673C" w:rsidRDefault="00134718" w:rsidP="0098196F">
      <w:pPr>
        <w:spacing w:line="480" w:lineRule="auto"/>
      </w:pPr>
      <w:r>
        <w:t>A</w:t>
      </w:r>
      <w:r w:rsidR="00B020DB">
        <w:t xml:space="preserve">sthma is </w:t>
      </w:r>
      <w:r w:rsidR="000053F1">
        <w:t>conventionally</w:t>
      </w:r>
      <w:r w:rsidR="00B020DB">
        <w:t xml:space="preserve"> stratified</w:t>
      </w:r>
      <w:r w:rsidR="00B70716">
        <w:t xml:space="preserve"> as typ</w:t>
      </w:r>
      <w:r w:rsidR="0051039A">
        <w:t>e</w:t>
      </w:r>
      <w:r w:rsidR="00B8797F">
        <w:t xml:space="preserve"> </w:t>
      </w:r>
      <w:r w:rsidR="0051039A">
        <w:t>2</w:t>
      </w:r>
      <w:r w:rsidR="00B8797F">
        <w:t>-</w:t>
      </w:r>
      <w:r w:rsidR="0051039A">
        <w:t>inflammation (T2) high or</w:t>
      </w:r>
      <w:r w:rsidR="00B020DB">
        <w:t xml:space="preserve"> </w:t>
      </w:r>
      <w:r w:rsidR="00B8797F">
        <w:t>T2-low</w:t>
      </w:r>
      <w:r w:rsidR="003244F0">
        <w:t xml:space="preserve"> dis</w:t>
      </w:r>
      <w:r w:rsidR="001171E1">
        <w:t>ease</w:t>
      </w:r>
      <w:r w:rsidR="00B8797F">
        <w:t>.</w:t>
      </w:r>
      <w:r w:rsidR="000053F1">
        <w:t xml:space="preserve"> </w:t>
      </w:r>
      <w:r w:rsidR="00AA1259">
        <w:t>Identifying T2</w:t>
      </w:r>
      <w:r w:rsidR="00C07F54">
        <w:t>-</w:t>
      </w:r>
      <w:r w:rsidR="00AA1259">
        <w:t xml:space="preserve">status has </w:t>
      </w:r>
      <w:r w:rsidR="001F323C">
        <w:t xml:space="preserve">therapeutic implications for patient management but </w:t>
      </w:r>
      <w:r w:rsidR="00722CF4">
        <w:t xml:space="preserve">real-world understanding of this T2 paradigm </w:t>
      </w:r>
      <w:r w:rsidR="00353723">
        <w:t xml:space="preserve">in difficult-to-treat/ severe asthma </w:t>
      </w:r>
      <w:r w:rsidR="00ED3114">
        <w:t>remains limited.</w:t>
      </w:r>
    </w:p>
    <w:p w14:paraId="7CA66FA4" w14:textId="77777777" w:rsidR="00CE673C" w:rsidRDefault="00CE673C" w:rsidP="0098196F">
      <w:pPr>
        <w:spacing w:line="480" w:lineRule="auto"/>
      </w:pPr>
    </w:p>
    <w:p w14:paraId="1815E6A2" w14:textId="77F1696C" w:rsidR="00CE673C" w:rsidRPr="0087102C" w:rsidRDefault="00DE16DC" w:rsidP="0098196F">
      <w:pPr>
        <w:spacing w:line="480" w:lineRule="auto"/>
        <w:rPr>
          <w:b/>
          <w:bCs/>
        </w:rPr>
      </w:pPr>
      <w:r>
        <w:rPr>
          <w:b/>
          <w:bCs/>
        </w:rPr>
        <w:t>Objectives</w:t>
      </w:r>
    </w:p>
    <w:p w14:paraId="1B3D98AA" w14:textId="5514CE85" w:rsidR="00CE673C" w:rsidRDefault="00801DED" w:rsidP="0098196F">
      <w:pPr>
        <w:spacing w:line="480" w:lineRule="auto"/>
      </w:pPr>
      <w:r>
        <w:t xml:space="preserve">To </w:t>
      </w:r>
      <w:r w:rsidR="00B54C69">
        <w:t>identify</w:t>
      </w:r>
      <w:r w:rsidR="00CE673C">
        <w:t xml:space="preserve"> prevalence of T2-high </w:t>
      </w:r>
      <w:r w:rsidR="009A71E4">
        <w:t>status</w:t>
      </w:r>
      <w:r w:rsidR="00CE673C">
        <w:t xml:space="preserve"> in </w:t>
      </w:r>
      <w:r w:rsidR="000E4E76">
        <w:t xml:space="preserve">difficult-to-treat asthma </w:t>
      </w:r>
      <w:r w:rsidR="00CE673C">
        <w:t>patients using a multicomponent definition</w:t>
      </w:r>
      <w:r w:rsidR="009A71E4">
        <w:t xml:space="preserve"> and compare clinical and </w:t>
      </w:r>
      <w:r w:rsidR="00CD5BD4">
        <w:t>pathophysiological</w:t>
      </w:r>
      <w:r w:rsidR="009A71E4">
        <w:t xml:space="preserve"> characteristics between patients classified as T2-high and T2-low</w:t>
      </w:r>
      <w:r w:rsidR="00CE673C">
        <w:t xml:space="preserve">. </w:t>
      </w:r>
    </w:p>
    <w:p w14:paraId="251673FF" w14:textId="77777777" w:rsidR="00CE673C" w:rsidRDefault="00CE673C" w:rsidP="0098196F">
      <w:pPr>
        <w:spacing w:line="480" w:lineRule="auto"/>
      </w:pPr>
    </w:p>
    <w:p w14:paraId="696CC6FD" w14:textId="77777777" w:rsidR="00CE673C" w:rsidRPr="00AE6B82" w:rsidRDefault="00CE673C" w:rsidP="0098196F">
      <w:pPr>
        <w:spacing w:line="480" w:lineRule="auto"/>
        <w:rPr>
          <w:b/>
          <w:bCs/>
        </w:rPr>
      </w:pPr>
      <w:r w:rsidRPr="00AE6B82">
        <w:rPr>
          <w:b/>
          <w:bCs/>
        </w:rPr>
        <w:t>Methods</w:t>
      </w:r>
    </w:p>
    <w:p w14:paraId="0D1AD173" w14:textId="751E46DB" w:rsidR="00CE673C" w:rsidRDefault="00CE673C" w:rsidP="0098196F">
      <w:pPr>
        <w:spacing w:line="480" w:lineRule="auto"/>
      </w:pPr>
      <w:r>
        <w:t>388 biologic naïve patients from the Wessex Asthma Cohort of difficult asthma</w:t>
      </w:r>
      <w:r w:rsidR="00604BBA">
        <w:t xml:space="preserve"> (WATCH)</w:t>
      </w:r>
      <w:r w:rsidR="009A71E4">
        <w:t xml:space="preserve"> </w:t>
      </w:r>
      <w:r>
        <w:t>study</w:t>
      </w:r>
      <w:r w:rsidR="00217D3A">
        <w:t>, United Kingdom,</w:t>
      </w:r>
      <w:r>
        <w:t xml:space="preserve"> were evaluated. T2-high asthma was defined as </w:t>
      </w:r>
      <w:r w:rsidR="00716EC9">
        <w:t>fractional exhaled nitric oxide (</w:t>
      </w:r>
      <w:r>
        <w:t>FeNO</w:t>
      </w:r>
      <w:r w:rsidR="00716EC9">
        <w:t>)</w:t>
      </w:r>
      <w:r>
        <w:t xml:space="preserve">≥20ppb and/or </w:t>
      </w:r>
      <w:r w:rsidR="009A71E4">
        <w:t>peripheral blood eosinophils</w:t>
      </w:r>
      <w:r>
        <w:t xml:space="preserve"> </w:t>
      </w:r>
      <w:r w:rsidR="00637038">
        <w:t xml:space="preserve">(PBE) </w:t>
      </w:r>
      <w:r>
        <w:t>≥150 cells/</w:t>
      </w:r>
      <w:proofErr w:type="spellStart"/>
      <w:r>
        <w:t>ul</w:t>
      </w:r>
      <w:proofErr w:type="spellEnd"/>
      <w:r>
        <w:t xml:space="preserve"> and/or need for maintenance </w:t>
      </w:r>
      <w:r w:rsidR="00416446">
        <w:t xml:space="preserve">oral corticosteroids </w:t>
      </w:r>
      <w:r>
        <w:t>and/or clinically allergy</w:t>
      </w:r>
      <w:r w:rsidR="00716EC9">
        <w:t>-</w:t>
      </w:r>
      <w:r>
        <w:t>driven asthma.</w:t>
      </w:r>
    </w:p>
    <w:p w14:paraId="58E1CDB7" w14:textId="77777777" w:rsidR="00CE673C" w:rsidRDefault="00CE673C" w:rsidP="0098196F">
      <w:pPr>
        <w:spacing w:line="480" w:lineRule="auto"/>
      </w:pPr>
    </w:p>
    <w:p w14:paraId="699DD45F" w14:textId="77777777" w:rsidR="00CE673C" w:rsidRPr="00AE6B82" w:rsidRDefault="00CE673C" w:rsidP="0098196F">
      <w:pPr>
        <w:spacing w:line="480" w:lineRule="auto"/>
        <w:rPr>
          <w:b/>
          <w:bCs/>
        </w:rPr>
      </w:pPr>
      <w:r w:rsidRPr="00AE6B82">
        <w:rPr>
          <w:b/>
          <w:bCs/>
        </w:rPr>
        <w:t>Results</w:t>
      </w:r>
    </w:p>
    <w:p w14:paraId="66E93A1E" w14:textId="174D7CAB" w:rsidR="00CE673C" w:rsidRDefault="00B40B9F" w:rsidP="0098196F">
      <w:pPr>
        <w:spacing w:line="480" w:lineRule="auto"/>
      </w:pPr>
      <w:r>
        <w:t xml:space="preserve">This multicomponent assessment identified </w:t>
      </w:r>
      <w:r w:rsidR="00CE673C">
        <w:t>T2-high asthma in 93% (360/388)</w:t>
      </w:r>
      <w:r w:rsidR="00F320D9">
        <w:t xml:space="preserve"> of patients</w:t>
      </w:r>
      <w:r w:rsidR="009A71E4">
        <w:t xml:space="preserve">. </w:t>
      </w:r>
      <w:r w:rsidR="00CE673C">
        <w:t>B</w:t>
      </w:r>
      <w:r w:rsidR="00AC6C0A">
        <w:t xml:space="preserve">ody </w:t>
      </w:r>
      <w:r w:rsidR="00CE673C">
        <w:t>M</w:t>
      </w:r>
      <w:r w:rsidR="00AC6C0A">
        <w:t xml:space="preserve">ass </w:t>
      </w:r>
      <w:r w:rsidR="00EB72C2">
        <w:t>I</w:t>
      </w:r>
      <w:r w:rsidR="00AC6C0A">
        <w:t>ndex</w:t>
      </w:r>
      <w:r w:rsidR="00CE673C">
        <w:t xml:space="preserve">, </w:t>
      </w:r>
      <w:r w:rsidR="00AC6C0A">
        <w:t xml:space="preserve"> </w:t>
      </w:r>
      <w:r w:rsidR="00BB2E81">
        <w:t>i</w:t>
      </w:r>
      <w:r w:rsidR="00AC6C0A">
        <w:t xml:space="preserve">nhaled </w:t>
      </w:r>
      <w:r w:rsidR="00BB2E81">
        <w:t>c</w:t>
      </w:r>
      <w:r w:rsidR="00AC6C0A">
        <w:t xml:space="preserve">orticosteroid </w:t>
      </w:r>
      <w:r w:rsidR="00CE673C">
        <w:t xml:space="preserve">dose, </w:t>
      </w:r>
      <w:r w:rsidR="00E85461">
        <w:t xml:space="preserve">asthma </w:t>
      </w:r>
      <w:r w:rsidR="00CE673C">
        <w:t xml:space="preserve">exacerbations and </w:t>
      </w:r>
      <w:r w:rsidR="003B743D">
        <w:t xml:space="preserve">common </w:t>
      </w:r>
      <w:r w:rsidR="00CE673C">
        <w:t xml:space="preserve">comorbidities </w:t>
      </w:r>
      <w:r w:rsidR="00F320D9">
        <w:t>did not differ by T2</w:t>
      </w:r>
      <w:r w:rsidR="00813D28">
        <w:t>-</w:t>
      </w:r>
      <w:r w:rsidR="00194E77">
        <w:t>status</w:t>
      </w:r>
      <w:r w:rsidR="00CE673C">
        <w:t xml:space="preserve">. </w:t>
      </w:r>
      <w:r w:rsidR="00C34ABD">
        <w:rPr>
          <w:rFonts w:cstheme="minorHAnsi"/>
        </w:rPr>
        <w:t>S</w:t>
      </w:r>
      <w:r w:rsidR="009A71E4">
        <w:rPr>
          <w:rFonts w:cstheme="minorHAnsi"/>
        </w:rPr>
        <w:t xml:space="preserve">ignificantly </w:t>
      </w:r>
      <w:r w:rsidR="00CE673C">
        <w:rPr>
          <w:rFonts w:cstheme="minorHAnsi"/>
        </w:rPr>
        <w:t xml:space="preserve">worse airflow limitation </w:t>
      </w:r>
      <w:r w:rsidR="00C34ABD">
        <w:rPr>
          <w:rFonts w:cstheme="minorHAnsi"/>
        </w:rPr>
        <w:t xml:space="preserve">was found in T2-high </w:t>
      </w:r>
      <w:r w:rsidR="00CE673C">
        <w:rPr>
          <w:rFonts w:cstheme="minorHAnsi"/>
        </w:rPr>
        <w:t>compared to T2-low patients (FEV</w:t>
      </w:r>
      <w:r w:rsidR="00CE673C" w:rsidRPr="00676371">
        <w:rPr>
          <w:rFonts w:cstheme="minorHAnsi"/>
          <w:vertAlign w:val="subscript"/>
        </w:rPr>
        <w:t>1</w:t>
      </w:r>
      <w:r w:rsidR="00CE673C">
        <w:rPr>
          <w:rFonts w:cstheme="minorHAnsi"/>
        </w:rPr>
        <w:t xml:space="preserve">/FVC 65.9% vs 74.6%). </w:t>
      </w:r>
      <w:r w:rsidR="00716EC9">
        <w:t>75%</w:t>
      </w:r>
      <w:r w:rsidR="00CE673C">
        <w:t xml:space="preserve"> patients </w:t>
      </w:r>
      <w:r w:rsidR="00682CDF">
        <w:t>defined as T2-low</w:t>
      </w:r>
      <w:r w:rsidR="00F0522E">
        <w:t xml:space="preserve"> asthma</w:t>
      </w:r>
      <w:r w:rsidR="00A0755A">
        <w:t xml:space="preserve"> </w:t>
      </w:r>
      <w:r w:rsidR="0056608A">
        <w:t>had</w:t>
      </w:r>
      <w:r w:rsidR="00CE673C">
        <w:t xml:space="preserve"> raised PBE within the preceding 10</w:t>
      </w:r>
      <w:r w:rsidR="00A0755A">
        <w:t>-</w:t>
      </w:r>
      <w:r w:rsidR="00CE673C">
        <w:t>years</w:t>
      </w:r>
      <w:r w:rsidR="00361195">
        <w:t xml:space="preserve">, </w:t>
      </w:r>
      <w:r w:rsidR="00CE673C">
        <w:t xml:space="preserve">leaving only 7 patients (1.8%) who </w:t>
      </w:r>
      <w:r w:rsidR="00E85461">
        <w:t>never had</w:t>
      </w:r>
      <w:r w:rsidR="00CE673C">
        <w:t xml:space="preserve"> T2-signal</w:t>
      </w:r>
      <w:r w:rsidR="00E85461">
        <w:t>s</w:t>
      </w:r>
      <w:r w:rsidR="00CE673C">
        <w:t xml:space="preserve">. Incorporation of sputum eosinophilia ≥2% into the multicomponent definition in a subset of 117 patients with induced sputum data </w:t>
      </w:r>
      <w:r w:rsidR="00A2319E">
        <w:t xml:space="preserve">similarly </w:t>
      </w:r>
      <w:r w:rsidR="00CE673C">
        <w:t>found</w:t>
      </w:r>
      <w:r w:rsidR="00F0522E">
        <w:t xml:space="preserve"> </w:t>
      </w:r>
      <w:r w:rsidR="00CE673C">
        <w:t>that 96% (112/117) met criteria for T2-high asthma</w:t>
      </w:r>
      <w:r w:rsidR="00604BBA">
        <w:t xml:space="preserve"> of which </w:t>
      </w:r>
      <w:r w:rsidR="00637038">
        <w:t>50% (</w:t>
      </w:r>
      <w:r w:rsidR="000643FC">
        <w:t>56</w:t>
      </w:r>
      <w:r w:rsidR="00CE673C">
        <w:t>/11</w:t>
      </w:r>
      <w:r w:rsidR="000643FC">
        <w:t>2</w:t>
      </w:r>
      <w:r w:rsidR="00637038">
        <w:t>)</w:t>
      </w:r>
      <w:r w:rsidR="00CE673C">
        <w:t>, had sputum eosinophils ≥2%.</w:t>
      </w:r>
    </w:p>
    <w:p w14:paraId="1C678989" w14:textId="77777777" w:rsidR="00CE673C" w:rsidRDefault="00CE673C" w:rsidP="0098196F">
      <w:pPr>
        <w:spacing w:line="480" w:lineRule="auto"/>
      </w:pPr>
    </w:p>
    <w:p w14:paraId="4B14112E" w14:textId="77777777" w:rsidR="00CE673C" w:rsidRPr="00AE6B82" w:rsidRDefault="00CE673C" w:rsidP="0098196F">
      <w:pPr>
        <w:spacing w:line="480" w:lineRule="auto"/>
        <w:rPr>
          <w:b/>
          <w:bCs/>
        </w:rPr>
      </w:pPr>
      <w:r w:rsidRPr="00AE6B82">
        <w:rPr>
          <w:b/>
          <w:bCs/>
        </w:rPr>
        <w:t>Conclusion</w:t>
      </w:r>
    </w:p>
    <w:p w14:paraId="458DF505" w14:textId="7C16BEF1" w:rsidR="0006025D" w:rsidRDefault="00CE673C" w:rsidP="0098196F">
      <w:pPr>
        <w:spacing w:line="480" w:lineRule="auto"/>
      </w:pPr>
      <w:r>
        <w:t xml:space="preserve">Almost all patients with difficult-to-treat asthma have T2-high disease with &lt;2% of patients </w:t>
      </w:r>
      <w:r w:rsidR="00720DEB">
        <w:t xml:space="preserve">never </w:t>
      </w:r>
      <w:r>
        <w:t xml:space="preserve">displaying T2-defining criteria. </w:t>
      </w:r>
      <w:r w:rsidR="009A71E4">
        <w:t xml:space="preserve">This </w:t>
      </w:r>
      <w:r w:rsidR="00CC624A">
        <w:t xml:space="preserve">highlights a need to </w:t>
      </w:r>
      <w:r w:rsidR="00CB6422">
        <w:t>comprehensively assess</w:t>
      </w:r>
      <w:r w:rsidR="00986C95">
        <w:t xml:space="preserve"> T2 status in clinical practice before </w:t>
      </w:r>
      <w:r w:rsidR="007712C9">
        <w:t>labelling</w:t>
      </w:r>
      <w:r w:rsidR="005D4E1D">
        <w:t xml:space="preserve"> a patient with difficult-to-treat asthma as T2-low.</w:t>
      </w:r>
      <w:r w:rsidR="00EB72C2">
        <w:t xml:space="preserve"> </w:t>
      </w:r>
    </w:p>
    <w:p w14:paraId="70369170" w14:textId="1FC5E008" w:rsidR="0006025D" w:rsidRDefault="0006025D" w:rsidP="0098196F">
      <w:pPr>
        <w:spacing w:line="480" w:lineRule="auto"/>
        <w:rPr>
          <w:rFonts w:cstheme="minorHAnsi"/>
          <w:b/>
          <w:bCs/>
        </w:rPr>
      </w:pPr>
    </w:p>
    <w:p w14:paraId="05304377" w14:textId="18A9DBD5" w:rsidR="00637038" w:rsidRPr="00637038" w:rsidRDefault="00637038" w:rsidP="0098196F">
      <w:pPr>
        <w:spacing w:line="480" w:lineRule="auto"/>
        <w:rPr>
          <w:rFonts w:cstheme="minorHAnsi"/>
        </w:rPr>
      </w:pPr>
      <w:r w:rsidRPr="00637038">
        <w:rPr>
          <w:rFonts w:cstheme="minorHAnsi"/>
        </w:rPr>
        <w:t>Abstract: 250 words</w:t>
      </w:r>
    </w:p>
    <w:p w14:paraId="0517E1C8" w14:textId="35B93D4B" w:rsidR="00637038" w:rsidRDefault="00637038" w:rsidP="0098196F">
      <w:pPr>
        <w:spacing w:line="480" w:lineRule="auto"/>
        <w:rPr>
          <w:rFonts w:cstheme="minorHAnsi"/>
          <w:b/>
          <w:bCs/>
        </w:rPr>
      </w:pPr>
    </w:p>
    <w:p w14:paraId="1E7137B2" w14:textId="48BDD48E" w:rsidR="002D3750" w:rsidRDefault="00610F18" w:rsidP="0098196F">
      <w:pPr>
        <w:spacing w:line="480" w:lineRule="auto"/>
        <w:rPr>
          <w:rFonts w:cstheme="minorHAnsi"/>
          <w:b/>
          <w:bCs/>
        </w:rPr>
      </w:pPr>
      <w:r>
        <w:rPr>
          <w:rFonts w:cstheme="minorHAnsi"/>
          <w:b/>
          <w:bCs/>
        </w:rPr>
        <w:t>ClinicalTrials.gov Registration Number</w:t>
      </w:r>
    </w:p>
    <w:p w14:paraId="35903024" w14:textId="1AB5C7F2" w:rsidR="00610F18" w:rsidRPr="00610F18" w:rsidRDefault="00610F18" w:rsidP="0098196F">
      <w:pPr>
        <w:spacing w:line="480" w:lineRule="auto"/>
        <w:rPr>
          <w:rFonts w:cstheme="minorHAnsi"/>
        </w:rPr>
      </w:pPr>
      <w:r w:rsidRPr="00610F18">
        <w:rPr>
          <w:rFonts w:cstheme="minorHAnsi"/>
        </w:rPr>
        <w:t>NCT03996590</w:t>
      </w:r>
    </w:p>
    <w:p w14:paraId="14A847E8" w14:textId="77777777" w:rsidR="002D3750" w:rsidRDefault="002D3750" w:rsidP="0098196F">
      <w:pPr>
        <w:spacing w:line="480" w:lineRule="auto"/>
        <w:rPr>
          <w:rFonts w:cstheme="minorHAnsi"/>
          <w:b/>
          <w:bCs/>
        </w:rPr>
      </w:pPr>
    </w:p>
    <w:p w14:paraId="0A1A93EC" w14:textId="6752787D" w:rsidR="008803D1" w:rsidRDefault="008803D1" w:rsidP="0098196F">
      <w:pPr>
        <w:spacing w:line="480" w:lineRule="auto"/>
        <w:rPr>
          <w:rFonts w:cstheme="minorHAnsi"/>
          <w:b/>
          <w:bCs/>
        </w:rPr>
      </w:pPr>
      <w:r>
        <w:rPr>
          <w:rFonts w:cstheme="minorHAnsi"/>
          <w:b/>
          <w:bCs/>
        </w:rPr>
        <w:t>Highlights Box</w:t>
      </w:r>
    </w:p>
    <w:p w14:paraId="119252B8" w14:textId="77777777" w:rsidR="008E1665" w:rsidRPr="008E1665" w:rsidRDefault="008E1665" w:rsidP="008E1665">
      <w:pPr>
        <w:numPr>
          <w:ilvl w:val="0"/>
          <w:numId w:val="13"/>
        </w:numPr>
        <w:spacing w:line="480" w:lineRule="auto"/>
        <w:rPr>
          <w:rFonts w:cstheme="minorHAnsi"/>
          <w:b/>
          <w:bCs/>
          <w:lang w:val="fr-FR"/>
        </w:rPr>
      </w:pPr>
      <w:r w:rsidRPr="008E1665">
        <w:rPr>
          <w:rFonts w:cstheme="minorHAnsi"/>
          <w:b/>
          <w:bCs/>
          <w:lang w:val="fr-FR"/>
        </w:rPr>
        <w:t>What is already known about this topic?</w:t>
      </w:r>
    </w:p>
    <w:p w14:paraId="357C1ACF" w14:textId="3922A755" w:rsidR="008E1665" w:rsidRPr="0037448B" w:rsidRDefault="00DE0D5A" w:rsidP="008E1665">
      <w:pPr>
        <w:spacing w:line="480" w:lineRule="auto"/>
        <w:rPr>
          <w:rFonts w:cstheme="minorHAnsi"/>
          <w:lang w:val="fr-FR"/>
        </w:rPr>
      </w:pPr>
      <w:r w:rsidRPr="0037448B">
        <w:rPr>
          <w:rFonts w:cstheme="minorHAnsi"/>
          <w:lang w:val="fr-FR"/>
        </w:rPr>
        <w:lastRenderedPageBreak/>
        <w:t xml:space="preserve">Difficult-to-treat/ severe asthma is stratified into </w:t>
      </w:r>
      <w:r w:rsidR="006B599A" w:rsidRPr="0037448B">
        <w:rPr>
          <w:rFonts w:cstheme="minorHAnsi"/>
          <w:lang w:val="fr-FR"/>
        </w:rPr>
        <w:t xml:space="preserve">T2-high and low endotypes but </w:t>
      </w:r>
      <w:r w:rsidR="007133D4" w:rsidRPr="0037448B">
        <w:rPr>
          <w:rFonts w:cstheme="minorHAnsi"/>
          <w:lang w:val="fr-FR"/>
        </w:rPr>
        <w:t xml:space="preserve">their real-world prevalence and clinical characteristics remain poorly understood.  </w:t>
      </w:r>
    </w:p>
    <w:p w14:paraId="751D595A" w14:textId="77777777" w:rsidR="008E1665" w:rsidRPr="008E1665" w:rsidRDefault="008E1665" w:rsidP="008E1665">
      <w:pPr>
        <w:numPr>
          <w:ilvl w:val="0"/>
          <w:numId w:val="13"/>
        </w:numPr>
        <w:spacing w:line="480" w:lineRule="auto"/>
        <w:rPr>
          <w:rFonts w:cstheme="minorHAnsi"/>
          <w:b/>
          <w:bCs/>
          <w:lang w:val="fr-FR"/>
        </w:rPr>
      </w:pPr>
      <w:r w:rsidRPr="008E1665">
        <w:rPr>
          <w:rFonts w:cstheme="minorHAnsi"/>
          <w:b/>
          <w:bCs/>
          <w:lang w:val="fr-FR"/>
        </w:rPr>
        <w:t>What does this article add to our knowledge?</w:t>
      </w:r>
    </w:p>
    <w:p w14:paraId="01F9CFF4" w14:textId="30849FCF" w:rsidR="008E1665" w:rsidRDefault="008E1665" w:rsidP="008E1665">
      <w:pPr>
        <w:spacing w:line="480" w:lineRule="auto"/>
        <w:rPr>
          <w:rFonts w:cstheme="minorHAnsi"/>
          <w:lang w:val="fr-FR"/>
        </w:rPr>
      </w:pPr>
      <w:r w:rsidRPr="0037448B">
        <w:rPr>
          <w:rFonts w:cstheme="minorHAnsi"/>
          <w:lang w:val="fr-FR"/>
        </w:rPr>
        <w:t xml:space="preserve">This real-world study shows that </w:t>
      </w:r>
      <w:r w:rsidR="00604F66" w:rsidRPr="0037448B">
        <w:rPr>
          <w:rFonts w:cstheme="minorHAnsi"/>
          <w:lang w:val="fr-FR"/>
        </w:rPr>
        <w:t xml:space="preserve">multicomponent and longitudinal characterisation of T2-status reveals a near absence of T2-low status among </w:t>
      </w:r>
      <w:r w:rsidR="00CA6517" w:rsidRPr="0037448B">
        <w:rPr>
          <w:rFonts w:cstheme="minorHAnsi"/>
          <w:lang w:val="fr-FR"/>
        </w:rPr>
        <w:t>biologic naïve difficult-to-treat</w:t>
      </w:r>
      <w:r w:rsidR="008B791E">
        <w:rPr>
          <w:rFonts w:cstheme="minorHAnsi"/>
          <w:lang w:val="fr-FR"/>
        </w:rPr>
        <w:t>/severe</w:t>
      </w:r>
      <w:r w:rsidR="00CA6517" w:rsidRPr="0037448B">
        <w:rPr>
          <w:rFonts w:cstheme="minorHAnsi"/>
          <w:lang w:val="fr-FR"/>
        </w:rPr>
        <w:t xml:space="preserve"> asthma patients.</w:t>
      </w:r>
    </w:p>
    <w:p w14:paraId="67AB79A9" w14:textId="77777777" w:rsidR="008E1665" w:rsidRPr="008E1665" w:rsidRDefault="008E1665" w:rsidP="008E1665">
      <w:pPr>
        <w:numPr>
          <w:ilvl w:val="0"/>
          <w:numId w:val="13"/>
        </w:numPr>
        <w:spacing w:line="480" w:lineRule="auto"/>
        <w:rPr>
          <w:rFonts w:cstheme="minorHAnsi"/>
          <w:b/>
          <w:bCs/>
          <w:lang w:val="fr-FR"/>
        </w:rPr>
      </w:pPr>
      <w:r w:rsidRPr="008E1665">
        <w:rPr>
          <w:rFonts w:cstheme="minorHAnsi"/>
          <w:b/>
          <w:bCs/>
          <w:lang w:val="fr-FR"/>
        </w:rPr>
        <w:t>How does this study impact current management guidelines?</w:t>
      </w:r>
    </w:p>
    <w:p w14:paraId="67D0C803" w14:textId="4A3FD6F6" w:rsidR="00E60C36" w:rsidRPr="0037448B" w:rsidRDefault="003075B0" w:rsidP="0098196F">
      <w:pPr>
        <w:spacing w:line="480" w:lineRule="auto"/>
        <w:rPr>
          <w:rFonts w:cstheme="minorHAnsi"/>
        </w:rPr>
      </w:pPr>
      <w:r w:rsidRPr="0037448B">
        <w:rPr>
          <w:rFonts w:cstheme="minorHAnsi"/>
        </w:rPr>
        <w:t xml:space="preserve">This study emphasises the need to undertake comprehensive assessment of T2-status in difficult-to-treat </w:t>
      </w:r>
      <w:r w:rsidR="008B791E">
        <w:rPr>
          <w:rFonts w:cstheme="minorHAnsi"/>
        </w:rPr>
        <w:t xml:space="preserve">and severe </w:t>
      </w:r>
      <w:r w:rsidRPr="0037448B">
        <w:rPr>
          <w:rFonts w:cstheme="minorHAnsi"/>
        </w:rPr>
        <w:t>asthma</w:t>
      </w:r>
      <w:r w:rsidR="0037448B" w:rsidRPr="0037448B">
        <w:rPr>
          <w:rFonts w:cstheme="minorHAnsi"/>
        </w:rPr>
        <w:t xml:space="preserve"> in order to accurately guide treatment options.</w:t>
      </w:r>
      <w:r w:rsidR="00610F18">
        <w:rPr>
          <w:rFonts w:cstheme="minorHAnsi"/>
        </w:rPr>
        <w:br/>
      </w:r>
    </w:p>
    <w:p w14:paraId="583BEFD3" w14:textId="0A3345DD" w:rsidR="00D35173" w:rsidRPr="00885F17" w:rsidRDefault="00D35173" w:rsidP="00FB0CF3">
      <w:pPr>
        <w:spacing w:line="480" w:lineRule="auto"/>
        <w:rPr>
          <w:rFonts w:cstheme="minorHAnsi"/>
          <w:b/>
          <w:bCs/>
        </w:rPr>
      </w:pPr>
      <w:r w:rsidRPr="009A244A">
        <w:rPr>
          <w:rFonts w:cstheme="minorHAnsi"/>
          <w:b/>
          <w:bCs/>
        </w:rPr>
        <w:t>Introduction</w:t>
      </w:r>
    </w:p>
    <w:p w14:paraId="251B3326" w14:textId="13813E1D" w:rsidR="006671BE" w:rsidRDefault="00D35173" w:rsidP="00FB0CF3">
      <w:pPr>
        <w:spacing w:line="480" w:lineRule="auto"/>
        <w:rPr>
          <w:rFonts w:cstheme="minorHAnsi"/>
        </w:rPr>
      </w:pPr>
      <w:r>
        <w:rPr>
          <w:rFonts w:cstheme="minorHAnsi"/>
        </w:rPr>
        <w:t>A</w:t>
      </w:r>
      <w:r w:rsidR="004173E1">
        <w:rPr>
          <w:rFonts w:cstheme="minorHAnsi"/>
        </w:rPr>
        <w:t>irway in</w:t>
      </w:r>
      <w:r w:rsidR="00AF3DB1">
        <w:rPr>
          <w:rFonts w:cstheme="minorHAnsi"/>
        </w:rPr>
        <w:t xml:space="preserve">flammation is the hallmark of asthma and underscores </w:t>
      </w:r>
      <w:r w:rsidR="003F0A4E">
        <w:rPr>
          <w:rFonts w:cstheme="minorHAnsi"/>
        </w:rPr>
        <w:t>the typical features of the disease</w:t>
      </w:r>
      <w:r w:rsidR="0053706F">
        <w:rPr>
          <w:rFonts w:cstheme="minorHAnsi"/>
        </w:rPr>
        <w:t>:</w:t>
      </w:r>
      <w:r w:rsidR="003F0A4E">
        <w:rPr>
          <w:rFonts w:cstheme="minorHAnsi"/>
        </w:rPr>
        <w:t xml:space="preserve"> </w:t>
      </w:r>
      <w:r>
        <w:rPr>
          <w:rFonts w:cstheme="minorHAnsi"/>
        </w:rPr>
        <w:t>airway</w:t>
      </w:r>
      <w:r w:rsidR="00627CF3">
        <w:rPr>
          <w:rFonts w:cstheme="minorHAnsi"/>
        </w:rPr>
        <w:t xml:space="preserve"> remodelling and</w:t>
      </w:r>
      <w:r>
        <w:rPr>
          <w:rFonts w:cstheme="minorHAnsi"/>
        </w:rPr>
        <w:t xml:space="preserve"> hyperresponsiveness </w:t>
      </w:r>
      <w:r w:rsidR="001345A9">
        <w:rPr>
          <w:rFonts w:cstheme="minorHAnsi"/>
        </w:rPr>
        <w:t>and</w:t>
      </w:r>
      <w:r w:rsidR="00404192">
        <w:rPr>
          <w:rFonts w:cstheme="minorHAnsi"/>
        </w:rPr>
        <w:t xml:space="preserve"> </w:t>
      </w:r>
      <w:r>
        <w:rPr>
          <w:rFonts w:cstheme="minorHAnsi"/>
        </w:rPr>
        <w:t xml:space="preserve">variable airflow limitation. </w:t>
      </w:r>
      <w:r w:rsidR="004A5452">
        <w:rPr>
          <w:rFonts w:cstheme="minorHAnsi"/>
        </w:rPr>
        <w:t>I</w:t>
      </w:r>
      <w:r w:rsidR="006671BE">
        <w:rPr>
          <w:rFonts w:cstheme="minorHAnsi"/>
        </w:rPr>
        <w:t xml:space="preserve">n recent years, </w:t>
      </w:r>
      <w:proofErr w:type="spellStart"/>
      <w:r w:rsidR="00037C8A">
        <w:rPr>
          <w:rFonts w:cstheme="minorHAnsi"/>
        </w:rPr>
        <w:t>endotypic</w:t>
      </w:r>
      <w:proofErr w:type="spellEnd"/>
      <w:r w:rsidR="00037C8A">
        <w:rPr>
          <w:rFonts w:cstheme="minorHAnsi"/>
        </w:rPr>
        <w:t xml:space="preserve"> classification of asthma has focused </w:t>
      </w:r>
      <w:r w:rsidR="00706F92">
        <w:rPr>
          <w:rFonts w:cstheme="minorHAnsi"/>
        </w:rPr>
        <w:t xml:space="preserve">on the paradigm of </w:t>
      </w:r>
      <w:r w:rsidR="006671BE">
        <w:rPr>
          <w:rFonts w:cstheme="minorHAnsi"/>
        </w:rPr>
        <w:t xml:space="preserve">type 2-inflammation high (T2-high) </w:t>
      </w:r>
      <w:r w:rsidR="00FD7135">
        <w:rPr>
          <w:rFonts w:cstheme="minorHAnsi"/>
        </w:rPr>
        <w:t xml:space="preserve">or </w:t>
      </w:r>
      <w:r w:rsidR="006671BE">
        <w:rPr>
          <w:rFonts w:cstheme="minorHAnsi"/>
        </w:rPr>
        <w:t>type 2-inflammation low (T2-low)</w:t>
      </w:r>
      <w:r w:rsidR="00FD7135">
        <w:rPr>
          <w:rFonts w:cstheme="minorHAnsi"/>
        </w:rPr>
        <w:t xml:space="preserve"> status</w:t>
      </w:r>
      <w:r w:rsidR="006671BE">
        <w:rPr>
          <w:rFonts w:cstheme="minorHAnsi"/>
        </w:rPr>
        <w:t xml:space="preserve">. </w:t>
      </w:r>
      <w:r w:rsidR="00551A09">
        <w:rPr>
          <w:rFonts w:cstheme="minorHAnsi"/>
        </w:rPr>
        <w:t xml:space="preserve">While there is no agreed consensus on the definition of T2-high </w:t>
      </w:r>
      <w:r w:rsidR="007B0D1D">
        <w:rPr>
          <w:rFonts w:cstheme="minorHAnsi"/>
        </w:rPr>
        <w:t xml:space="preserve">status, </w:t>
      </w:r>
      <w:r w:rsidR="00551A09">
        <w:rPr>
          <w:rFonts w:cstheme="minorHAnsi"/>
        </w:rPr>
        <w:t xml:space="preserve">it </w:t>
      </w:r>
      <w:r w:rsidR="00D51FB6">
        <w:rPr>
          <w:rFonts w:cstheme="minorHAnsi"/>
        </w:rPr>
        <w:t xml:space="preserve">is widely </w:t>
      </w:r>
      <w:r w:rsidR="00DE0BE0">
        <w:rPr>
          <w:rFonts w:cstheme="minorHAnsi"/>
        </w:rPr>
        <w:t>acknow</w:t>
      </w:r>
      <w:r w:rsidR="00D51FB6">
        <w:rPr>
          <w:rFonts w:cstheme="minorHAnsi"/>
        </w:rPr>
        <w:t>l</w:t>
      </w:r>
      <w:r w:rsidR="00DE0BE0">
        <w:rPr>
          <w:rFonts w:cstheme="minorHAnsi"/>
        </w:rPr>
        <w:t>edged as being</w:t>
      </w:r>
      <w:r w:rsidR="006671BE">
        <w:rPr>
          <w:rFonts w:cstheme="minorHAnsi"/>
        </w:rPr>
        <w:t xml:space="preserve"> orchestrated by</w:t>
      </w:r>
      <w:r w:rsidR="004933DA">
        <w:rPr>
          <w:rFonts w:cstheme="minorHAnsi"/>
        </w:rPr>
        <w:t xml:space="preserve"> </w:t>
      </w:r>
      <w:r w:rsidR="00DE0BE0">
        <w:rPr>
          <w:rFonts w:cstheme="minorHAnsi"/>
        </w:rPr>
        <w:t xml:space="preserve">key </w:t>
      </w:r>
      <w:r w:rsidR="00D51FB6">
        <w:rPr>
          <w:rFonts w:cstheme="minorHAnsi"/>
        </w:rPr>
        <w:t>interleukins</w:t>
      </w:r>
      <w:r w:rsidR="00627CF3">
        <w:rPr>
          <w:rFonts w:cstheme="minorHAnsi"/>
        </w:rPr>
        <w:t xml:space="preserve"> (IL)</w:t>
      </w:r>
      <w:r w:rsidR="00D51FB6">
        <w:rPr>
          <w:rFonts w:cstheme="minorHAnsi"/>
        </w:rPr>
        <w:t xml:space="preserve"> including</w:t>
      </w:r>
      <w:r w:rsidR="006671BE">
        <w:rPr>
          <w:rFonts w:cstheme="minorHAnsi"/>
        </w:rPr>
        <w:t xml:space="preserve"> IL-4, IL-5 and IL-13</w:t>
      </w:r>
      <w:r w:rsidR="00D51FB6">
        <w:rPr>
          <w:rFonts w:cstheme="minorHAnsi"/>
        </w:rPr>
        <w:t xml:space="preserve"> and characteri</w:t>
      </w:r>
      <w:r w:rsidR="005010EE">
        <w:rPr>
          <w:rFonts w:cstheme="minorHAnsi"/>
        </w:rPr>
        <w:t>zed by eosinophilic inflammation</w:t>
      </w:r>
      <w:r w:rsidR="00551A09">
        <w:rPr>
          <w:rFonts w:cstheme="minorHAnsi"/>
        </w:rPr>
        <w:t xml:space="preserve">. </w:t>
      </w:r>
      <w:r w:rsidR="006671BE">
        <w:rPr>
          <w:rFonts w:cstheme="minorHAnsi"/>
        </w:rPr>
        <w:t>T2-low asthma is less well understood and frequently loosely defined as the absence of prominent T2-pathway signatures.</w:t>
      </w:r>
      <w:r w:rsidR="007A3FE7" w:rsidRPr="007A3FE7">
        <w:rPr>
          <w:rFonts w:cstheme="minorHAnsi"/>
          <w:noProof/>
          <w:vertAlign w:val="superscript"/>
        </w:rPr>
        <w:t>1</w:t>
      </w:r>
      <w:r w:rsidR="00551A09">
        <w:rPr>
          <w:rFonts w:cstheme="minorHAnsi"/>
        </w:rPr>
        <w:t xml:space="preserve"> Patients with T2-low asthma have been characterised as being poorly responsive to corticosteroids and present with significant symptom</w:t>
      </w:r>
      <w:r w:rsidR="004446D5">
        <w:rPr>
          <w:rFonts w:cstheme="minorHAnsi"/>
        </w:rPr>
        <w:t>at</w:t>
      </w:r>
      <w:r w:rsidR="00551A09">
        <w:rPr>
          <w:rFonts w:cstheme="minorHAnsi"/>
        </w:rPr>
        <w:t>ology, high medication requirements and numerous comorbidities</w:t>
      </w:r>
      <w:r w:rsidR="00914384">
        <w:rPr>
          <w:rFonts w:cstheme="minorHAnsi"/>
        </w:rPr>
        <w:t>.</w:t>
      </w:r>
      <w:r w:rsidR="00914384" w:rsidRPr="00914384">
        <w:rPr>
          <w:rFonts w:cstheme="minorHAnsi"/>
          <w:noProof/>
          <w:vertAlign w:val="superscript"/>
        </w:rPr>
        <w:t>1, 2</w:t>
      </w:r>
    </w:p>
    <w:p w14:paraId="72FF52B5" w14:textId="6B44CF4A" w:rsidR="006671BE" w:rsidRDefault="006671BE" w:rsidP="00FB0CF3">
      <w:pPr>
        <w:spacing w:line="480" w:lineRule="auto"/>
        <w:rPr>
          <w:rFonts w:cstheme="minorHAnsi"/>
        </w:rPr>
      </w:pPr>
    </w:p>
    <w:p w14:paraId="129539FD" w14:textId="33500453" w:rsidR="003E7935" w:rsidRDefault="003E7935" w:rsidP="003E7935">
      <w:pPr>
        <w:spacing w:line="480" w:lineRule="auto"/>
        <w:rPr>
          <w:rFonts w:cstheme="minorHAnsi"/>
        </w:rPr>
      </w:pPr>
      <w:r>
        <w:rPr>
          <w:rFonts w:cstheme="minorHAnsi"/>
        </w:rPr>
        <w:t>T</w:t>
      </w:r>
      <w:r w:rsidR="00581FC5">
        <w:rPr>
          <w:rFonts w:cstheme="minorHAnsi"/>
        </w:rPr>
        <w:t xml:space="preserve">he identification of T2-high disease is clinically </w:t>
      </w:r>
      <w:r w:rsidR="004A5452">
        <w:rPr>
          <w:rFonts w:cstheme="minorHAnsi"/>
        </w:rPr>
        <w:t>relevant</w:t>
      </w:r>
      <w:r w:rsidR="00581FC5">
        <w:rPr>
          <w:rFonts w:cstheme="minorHAnsi"/>
        </w:rPr>
        <w:t xml:space="preserve"> as it has prognostic and therapeutic implications</w:t>
      </w:r>
      <w:r w:rsidR="00155616">
        <w:rPr>
          <w:rFonts w:cstheme="minorHAnsi"/>
        </w:rPr>
        <w:t xml:space="preserve"> in an evolving landscape of effective T2-focused biological therapies</w:t>
      </w:r>
      <w:r w:rsidR="00581FC5">
        <w:rPr>
          <w:rFonts w:cstheme="minorHAnsi"/>
        </w:rPr>
        <w:t>.</w:t>
      </w:r>
      <w:r w:rsidR="00E30036" w:rsidRPr="00E30036">
        <w:rPr>
          <w:rFonts w:cstheme="minorHAnsi"/>
          <w:noProof/>
          <w:vertAlign w:val="superscript"/>
        </w:rPr>
        <w:t>3, 4</w:t>
      </w:r>
      <w:r w:rsidR="00581FC5">
        <w:rPr>
          <w:rFonts w:cstheme="minorHAnsi"/>
        </w:rPr>
        <w:t xml:space="preserve"> </w:t>
      </w:r>
      <w:r w:rsidR="0043643C">
        <w:rPr>
          <w:rFonts w:cstheme="minorHAnsi"/>
        </w:rPr>
        <w:t xml:space="preserve">This is </w:t>
      </w:r>
      <w:r w:rsidR="0043643C">
        <w:rPr>
          <w:rFonts w:cstheme="minorHAnsi"/>
        </w:rPr>
        <w:lastRenderedPageBreak/>
        <w:t>particularly important in difficult-to-treat and severe asthma</w:t>
      </w:r>
      <w:r w:rsidR="00E30036">
        <w:rPr>
          <w:rFonts w:cstheme="minorHAnsi"/>
        </w:rPr>
        <w:t xml:space="preserve"> w</w:t>
      </w:r>
      <w:r w:rsidR="00D460AC">
        <w:rPr>
          <w:rFonts w:cstheme="minorHAnsi"/>
        </w:rPr>
        <w:t>hich is</w:t>
      </w:r>
      <w:r w:rsidR="0043643C">
        <w:rPr>
          <w:rFonts w:cstheme="minorHAnsi"/>
        </w:rPr>
        <w:t xml:space="preserve"> characteri</w:t>
      </w:r>
      <w:r w:rsidR="00D460AC">
        <w:rPr>
          <w:rFonts w:cstheme="minorHAnsi"/>
        </w:rPr>
        <w:t>z</w:t>
      </w:r>
      <w:r w:rsidR="0043643C">
        <w:rPr>
          <w:rFonts w:cstheme="minorHAnsi"/>
        </w:rPr>
        <w:t xml:space="preserve">ed by high symptom burden and poor disease control despite high dose inhaled </w:t>
      </w:r>
      <w:r w:rsidR="004A5452">
        <w:rPr>
          <w:rFonts w:cstheme="minorHAnsi"/>
        </w:rPr>
        <w:t xml:space="preserve">steroid </w:t>
      </w:r>
      <w:r w:rsidR="0043643C">
        <w:rPr>
          <w:rFonts w:cstheme="minorHAnsi"/>
        </w:rPr>
        <w:t>therapy.</w:t>
      </w:r>
      <w:r w:rsidR="00E30036" w:rsidRPr="00E30036">
        <w:rPr>
          <w:rFonts w:cstheme="minorHAnsi"/>
          <w:noProof/>
          <w:vertAlign w:val="superscript"/>
        </w:rPr>
        <w:t>5</w:t>
      </w:r>
      <w:r w:rsidR="0043643C">
        <w:rPr>
          <w:rFonts w:cstheme="minorHAnsi"/>
        </w:rPr>
        <w:t xml:space="preserve"> </w:t>
      </w:r>
      <w:r w:rsidR="00836D28">
        <w:rPr>
          <w:rFonts w:cstheme="minorHAnsi"/>
        </w:rPr>
        <w:t>Measuring sputum eosinophils is often considered the gold standard test for airway inflammation and sputum eosinophilia reliably predicts T2 gene expression in induced sputum.</w:t>
      </w:r>
      <w:r w:rsidR="00E30036" w:rsidRPr="00E30036">
        <w:rPr>
          <w:rFonts w:cstheme="minorHAnsi"/>
          <w:noProof/>
          <w:vertAlign w:val="superscript"/>
        </w:rPr>
        <w:t>6</w:t>
      </w:r>
      <w:r w:rsidR="00836D28">
        <w:rPr>
          <w:rFonts w:cstheme="minorHAnsi"/>
        </w:rPr>
        <w:t xml:space="preserve"> However, sputum induction is impractical </w:t>
      </w:r>
      <w:r w:rsidR="00B519B9">
        <w:rPr>
          <w:rFonts w:cstheme="minorHAnsi"/>
        </w:rPr>
        <w:t>in routine clinical</w:t>
      </w:r>
      <w:r w:rsidR="00424376">
        <w:rPr>
          <w:rFonts w:cstheme="minorHAnsi"/>
        </w:rPr>
        <w:t xml:space="preserve"> practice. T</w:t>
      </w:r>
      <w:r w:rsidR="00836D28">
        <w:rPr>
          <w:rFonts w:cstheme="minorHAnsi"/>
        </w:rPr>
        <w:t>herefore se</w:t>
      </w:r>
      <w:r>
        <w:rPr>
          <w:rFonts w:cstheme="minorHAnsi"/>
        </w:rPr>
        <w:t>veral non-invasive T2-markers have been explored including serum IgE, peripheral blood eosinophil</w:t>
      </w:r>
      <w:r w:rsidR="00EB2C43">
        <w:rPr>
          <w:rFonts w:cstheme="minorHAnsi"/>
        </w:rPr>
        <w:t>s</w:t>
      </w:r>
      <w:r>
        <w:rPr>
          <w:rFonts w:cstheme="minorHAnsi"/>
        </w:rPr>
        <w:t xml:space="preserve"> (PBE) and fractional exhaled nitric oxide (FeNO). The UK Severe Asthma Registry used raised PBE and FeNO to define T2-high asthma and </w:t>
      </w:r>
      <w:r w:rsidR="00240DC8">
        <w:rPr>
          <w:rFonts w:cstheme="minorHAnsi"/>
        </w:rPr>
        <w:t>reported that</w:t>
      </w:r>
      <w:r>
        <w:rPr>
          <w:rFonts w:cstheme="minorHAnsi"/>
        </w:rPr>
        <w:t xml:space="preserve"> 45% of their 2225 patients can be considered T2-high.</w:t>
      </w:r>
      <w:r w:rsidR="00E30036" w:rsidRPr="00E30036">
        <w:rPr>
          <w:rFonts w:cstheme="minorHAnsi"/>
          <w:noProof/>
          <w:vertAlign w:val="superscript"/>
        </w:rPr>
        <w:t>7</w:t>
      </w:r>
      <w:r>
        <w:rPr>
          <w:rFonts w:cstheme="minorHAnsi"/>
        </w:rPr>
        <w:t xml:space="preserve"> </w:t>
      </w:r>
      <w:r w:rsidR="00C309A5">
        <w:rPr>
          <w:rFonts w:cstheme="minorHAnsi"/>
        </w:rPr>
        <w:t>In our own real-wo</w:t>
      </w:r>
      <w:r w:rsidR="00A00B28">
        <w:rPr>
          <w:rFonts w:cstheme="minorHAnsi"/>
        </w:rPr>
        <w:t>r</w:t>
      </w:r>
      <w:r w:rsidR="00C309A5">
        <w:rPr>
          <w:rFonts w:cstheme="minorHAnsi"/>
        </w:rPr>
        <w:t>ld difficult</w:t>
      </w:r>
      <w:r w:rsidR="00744BAD">
        <w:rPr>
          <w:rFonts w:cstheme="minorHAnsi"/>
        </w:rPr>
        <w:t>-to-treat</w:t>
      </w:r>
      <w:r w:rsidR="00C309A5">
        <w:rPr>
          <w:rFonts w:cstheme="minorHAnsi"/>
        </w:rPr>
        <w:t xml:space="preserve"> asthma cohort</w:t>
      </w:r>
      <w:r w:rsidR="00C804AC" w:rsidRPr="00C804AC">
        <w:rPr>
          <w:rFonts w:cstheme="minorHAnsi"/>
          <w:noProof/>
          <w:vertAlign w:val="superscript"/>
        </w:rPr>
        <w:t>8</w:t>
      </w:r>
      <w:r w:rsidR="00C309A5">
        <w:rPr>
          <w:rFonts w:cstheme="minorHAnsi"/>
        </w:rPr>
        <w:t xml:space="preserve"> we </w:t>
      </w:r>
      <w:r w:rsidR="00A13B9A">
        <w:rPr>
          <w:rFonts w:cstheme="minorHAnsi"/>
        </w:rPr>
        <w:t>recently found</w:t>
      </w:r>
      <w:r w:rsidR="00C309A5">
        <w:rPr>
          <w:rFonts w:cstheme="minorHAnsi"/>
        </w:rPr>
        <w:t xml:space="preserve"> that 40.3% </w:t>
      </w:r>
      <w:r w:rsidR="00E04285">
        <w:rPr>
          <w:rFonts w:cstheme="minorHAnsi"/>
        </w:rPr>
        <w:t xml:space="preserve">of </w:t>
      </w:r>
      <w:r w:rsidR="00555327">
        <w:rPr>
          <w:rFonts w:cstheme="minorHAnsi"/>
        </w:rPr>
        <w:t xml:space="preserve">500 </w:t>
      </w:r>
      <w:r w:rsidR="00E04285">
        <w:rPr>
          <w:rFonts w:cstheme="minorHAnsi"/>
        </w:rPr>
        <w:t xml:space="preserve">enrolled participants </w:t>
      </w:r>
      <w:r w:rsidR="0023568B">
        <w:rPr>
          <w:rFonts w:cstheme="minorHAnsi"/>
        </w:rPr>
        <w:t>had</w:t>
      </w:r>
      <w:r w:rsidR="00E04285">
        <w:rPr>
          <w:rFonts w:cstheme="minorHAnsi"/>
        </w:rPr>
        <w:t xml:space="preserve"> raised PBE at cross-sectional assessment</w:t>
      </w:r>
      <w:r w:rsidR="008C1251">
        <w:rPr>
          <w:rFonts w:cstheme="minorHAnsi"/>
        </w:rPr>
        <w:t>, but this rose to 83.</w:t>
      </w:r>
      <w:r w:rsidR="00DE64AF">
        <w:rPr>
          <w:rFonts w:cstheme="minorHAnsi"/>
        </w:rPr>
        <w:t>4</w:t>
      </w:r>
      <w:r w:rsidR="008C1251">
        <w:rPr>
          <w:rFonts w:cstheme="minorHAnsi"/>
        </w:rPr>
        <w:t>% w</w:t>
      </w:r>
      <w:r w:rsidR="005F2B16">
        <w:rPr>
          <w:rFonts w:cstheme="minorHAnsi"/>
        </w:rPr>
        <w:t>ith</w:t>
      </w:r>
      <w:r w:rsidR="008C1251">
        <w:rPr>
          <w:rFonts w:cstheme="minorHAnsi"/>
        </w:rPr>
        <w:t xml:space="preserve"> a longitudinal perspective of PBE.</w:t>
      </w:r>
      <w:r w:rsidR="00C804AC" w:rsidRPr="00C804AC">
        <w:rPr>
          <w:rFonts w:cstheme="minorHAnsi"/>
          <w:noProof/>
          <w:vertAlign w:val="superscript"/>
        </w:rPr>
        <w:t>9</w:t>
      </w:r>
      <w:r w:rsidR="008C1251">
        <w:rPr>
          <w:rFonts w:cstheme="minorHAnsi"/>
        </w:rPr>
        <w:t xml:space="preserve"> </w:t>
      </w:r>
      <w:r>
        <w:rPr>
          <w:rFonts w:cstheme="minorHAnsi"/>
        </w:rPr>
        <w:t xml:space="preserve">The International Severe Asthma Registry (ISAR) used a multi-component eosinophil gradient algorithm to </w:t>
      </w:r>
      <w:r w:rsidR="00A83588">
        <w:rPr>
          <w:rFonts w:cstheme="minorHAnsi"/>
        </w:rPr>
        <w:t xml:space="preserve">similarly </w:t>
      </w:r>
      <w:r>
        <w:rPr>
          <w:rFonts w:cstheme="minorHAnsi"/>
        </w:rPr>
        <w:t>show that 83.8% of severe asthma patients are ‘most likely’ to have eosinophilic inflammation</w:t>
      </w:r>
      <w:r w:rsidR="00C804AC" w:rsidRPr="00C804AC">
        <w:rPr>
          <w:rFonts w:cstheme="minorHAnsi"/>
          <w:noProof/>
          <w:vertAlign w:val="superscript"/>
        </w:rPr>
        <w:t>10</w:t>
      </w:r>
      <w:r>
        <w:rPr>
          <w:rFonts w:cstheme="minorHAnsi"/>
        </w:rPr>
        <w:t xml:space="preserve"> (which is predominantly </w:t>
      </w:r>
      <w:r w:rsidR="005E4265">
        <w:rPr>
          <w:rFonts w:cstheme="minorHAnsi"/>
        </w:rPr>
        <w:t>T2-</w:t>
      </w:r>
      <w:r>
        <w:rPr>
          <w:rFonts w:cstheme="minorHAnsi"/>
        </w:rPr>
        <w:t xml:space="preserve">driven). </w:t>
      </w:r>
      <w:r w:rsidR="00A13B9A">
        <w:rPr>
          <w:rFonts w:cstheme="minorHAnsi"/>
        </w:rPr>
        <w:t xml:space="preserve">Subsequently, </w:t>
      </w:r>
      <w:r>
        <w:rPr>
          <w:rFonts w:cstheme="minorHAnsi"/>
        </w:rPr>
        <w:t xml:space="preserve">we applied this algorithm to our </w:t>
      </w:r>
      <w:r w:rsidR="00744BAD">
        <w:rPr>
          <w:rFonts w:cstheme="minorHAnsi"/>
        </w:rPr>
        <w:t>difficu</w:t>
      </w:r>
      <w:r w:rsidR="00E12CA5">
        <w:rPr>
          <w:rFonts w:cstheme="minorHAnsi"/>
        </w:rPr>
        <w:t xml:space="preserve">lt-to-treat asthma </w:t>
      </w:r>
      <w:r>
        <w:rPr>
          <w:rFonts w:cstheme="minorHAnsi"/>
        </w:rPr>
        <w:t xml:space="preserve">cohort and incorporated longitudinal </w:t>
      </w:r>
      <w:r w:rsidR="00252106">
        <w:rPr>
          <w:rFonts w:cstheme="minorHAnsi"/>
        </w:rPr>
        <w:t xml:space="preserve">PBE </w:t>
      </w:r>
      <w:r>
        <w:rPr>
          <w:rFonts w:cstheme="minorHAnsi"/>
        </w:rPr>
        <w:t xml:space="preserve">measurements to show that a </w:t>
      </w:r>
      <w:r w:rsidR="00327E41">
        <w:rPr>
          <w:rFonts w:cstheme="minorHAnsi"/>
        </w:rPr>
        <w:t xml:space="preserve">comparable </w:t>
      </w:r>
      <w:r>
        <w:rPr>
          <w:rFonts w:cstheme="minorHAnsi"/>
        </w:rPr>
        <w:t>proportion of patients, 77.4%</w:t>
      </w:r>
      <w:r w:rsidR="00E12CA5">
        <w:rPr>
          <w:rFonts w:cstheme="minorHAnsi"/>
        </w:rPr>
        <w:t>,</w:t>
      </w:r>
      <w:r>
        <w:rPr>
          <w:rFonts w:cstheme="minorHAnsi"/>
        </w:rPr>
        <w:t xml:space="preserve"> can be classified as ‘most likely’ to have an eosinophilic phenotype.</w:t>
      </w:r>
      <w:r w:rsidR="00C804AC" w:rsidRPr="00C804AC">
        <w:rPr>
          <w:rFonts w:cstheme="minorHAnsi"/>
          <w:noProof/>
          <w:vertAlign w:val="superscript"/>
        </w:rPr>
        <w:t>11</w:t>
      </w:r>
      <w:r>
        <w:rPr>
          <w:rFonts w:cstheme="minorHAnsi"/>
        </w:rPr>
        <w:t xml:space="preserve"> </w:t>
      </w:r>
    </w:p>
    <w:p w14:paraId="1DB37A6E" w14:textId="77777777" w:rsidR="00343218" w:rsidRDefault="00343218" w:rsidP="00FB0CF3">
      <w:pPr>
        <w:spacing w:line="480" w:lineRule="auto"/>
        <w:rPr>
          <w:rFonts w:cstheme="minorHAnsi"/>
        </w:rPr>
      </w:pPr>
    </w:p>
    <w:p w14:paraId="6B69888C" w14:textId="635ABFD8" w:rsidR="00E46101" w:rsidRDefault="00B83E7E" w:rsidP="00FB0CF3">
      <w:pPr>
        <w:spacing w:line="480" w:lineRule="auto"/>
        <w:rPr>
          <w:rFonts w:cstheme="minorHAnsi"/>
        </w:rPr>
      </w:pPr>
      <w:r>
        <w:rPr>
          <w:rFonts w:cstheme="minorHAnsi"/>
        </w:rPr>
        <w:t xml:space="preserve">However, there remains ongoing debate on the </w:t>
      </w:r>
      <w:r w:rsidR="007B4A94">
        <w:rPr>
          <w:rFonts w:cstheme="minorHAnsi"/>
        </w:rPr>
        <w:t xml:space="preserve">proportionate </w:t>
      </w:r>
      <w:r w:rsidR="00C93913">
        <w:rPr>
          <w:rFonts w:cstheme="minorHAnsi"/>
        </w:rPr>
        <w:t>distribution and nature of</w:t>
      </w:r>
      <w:r>
        <w:rPr>
          <w:rFonts w:cstheme="minorHAnsi"/>
        </w:rPr>
        <w:t xml:space="preserve"> T2-high and T2-low disease</w:t>
      </w:r>
      <w:r w:rsidR="004C760C">
        <w:rPr>
          <w:rFonts w:cstheme="minorHAnsi"/>
        </w:rPr>
        <w:t xml:space="preserve"> in </w:t>
      </w:r>
      <w:r w:rsidR="006D4F1A">
        <w:rPr>
          <w:rFonts w:cstheme="minorHAnsi"/>
        </w:rPr>
        <w:t xml:space="preserve">biologic naïve </w:t>
      </w:r>
      <w:r w:rsidR="004C760C">
        <w:rPr>
          <w:rFonts w:cstheme="minorHAnsi"/>
        </w:rPr>
        <w:t xml:space="preserve">patients with difficult-to-treat and severe asthma. </w:t>
      </w:r>
      <w:r w:rsidR="007E589F">
        <w:rPr>
          <w:rFonts w:cstheme="minorHAnsi"/>
        </w:rPr>
        <w:t>In this paper, w</w:t>
      </w:r>
      <w:r w:rsidR="000014A4">
        <w:rPr>
          <w:rFonts w:cstheme="minorHAnsi"/>
        </w:rPr>
        <w:t xml:space="preserve">e </w:t>
      </w:r>
      <w:r w:rsidR="00EE1969">
        <w:rPr>
          <w:rFonts w:cstheme="minorHAnsi"/>
        </w:rPr>
        <w:t xml:space="preserve">therefore </w:t>
      </w:r>
      <w:r w:rsidR="000014A4">
        <w:rPr>
          <w:rFonts w:cstheme="minorHAnsi"/>
        </w:rPr>
        <w:t xml:space="preserve">sought to: (i) </w:t>
      </w:r>
      <w:r w:rsidR="007A29DE">
        <w:rPr>
          <w:rFonts w:cstheme="minorHAnsi"/>
        </w:rPr>
        <w:t xml:space="preserve">assess </w:t>
      </w:r>
      <w:r w:rsidR="003D34B1">
        <w:rPr>
          <w:rFonts w:cstheme="minorHAnsi"/>
        </w:rPr>
        <w:t>the</w:t>
      </w:r>
      <w:r w:rsidR="000014A4">
        <w:rPr>
          <w:rFonts w:cstheme="minorHAnsi"/>
        </w:rPr>
        <w:t xml:space="preserve"> multi-component definition of T2-</w:t>
      </w:r>
      <w:r w:rsidR="00121DA6">
        <w:rPr>
          <w:rFonts w:cstheme="minorHAnsi"/>
        </w:rPr>
        <w:t xml:space="preserve">status </w:t>
      </w:r>
      <w:r w:rsidR="003D34B1">
        <w:rPr>
          <w:rFonts w:cstheme="minorHAnsi"/>
        </w:rPr>
        <w:t xml:space="preserve">proposed by GINA 2021 </w:t>
      </w:r>
      <w:r w:rsidR="002247AD">
        <w:rPr>
          <w:rFonts w:cstheme="minorHAnsi"/>
        </w:rPr>
        <w:t xml:space="preserve"> using the 4 clinical elements </w:t>
      </w:r>
      <w:r w:rsidR="00576155">
        <w:rPr>
          <w:rFonts w:cstheme="minorHAnsi"/>
        </w:rPr>
        <w:t xml:space="preserve">of that definition </w:t>
      </w:r>
      <w:r w:rsidR="006F35D9">
        <w:rPr>
          <w:rFonts w:cstheme="minorHAnsi"/>
        </w:rPr>
        <w:t>(</w:t>
      </w:r>
      <w:r w:rsidR="00252106">
        <w:rPr>
          <w:rFonts w:cstheme="minorHAnsi"/>
        </w:rPr>
        <w:t>PBE</w:t>
      </w:r>
      <w:r w:rsidR="006F35D9">
        <w:rPr>
          <w:rFonts w:cstheme="minorHAnsi"/>
        </w:rPr>
        <w:t xml:space="preserve"> ≥</w:t>
      </w:r>
      <w:r w:rsidR="0056608A">
        <w:rPr>
          <w:rFonts w:cstheme="minorHAnsi"/>
        </w:rPr>
        <w:t>150 cells/</w:t>
      </w:r>
      <w:proofErr w:type="spellStart"/>
      <w:r w:rsidR="006F35D9">
        <w:rPr>
          <w:rFonts w:cstheme="minorHAnsi"/>
        </w:rPr>
        <w:t>ul</w:t>
      </w:r>
      <w:proofErr w:type="spellEnd"/>
      <w:r w:rsidR="006F35D9">
        <w:rPr>
          <w:rFonts w:cstheme="minorHAnsi"/>
        </w:rPr>
        <w:t xml:space="preserve"> and/or FeNO≥20ppb and/or need for daily maintenance corticosteroids </w:t>
      </w:r>
      <w:r w:rsidR="00365A34">
        <w:rPr>
          <w:rFonts w:cstheme="minorHAnsi"/>
        </w:rPr>
        <w:t>[</w:t>
      </w:r>
      <w:r w:rsidR="006F35D9">
        <w:rPr>
          <w:rFonts w:cstheme="minorHAnsi"/>
        </w:rPr>
        <w:t>mOCS</w:t>
      </w:r>
      <w:r w:rsidR="00365A34">
        <w:rPr>
          <w:rFonts w:cstheme="minorHAnsi"/>
        </w:rPr>
        <w:t>]</w:t>
      </w:r>
      <w:r w:rsidR="006F35D9">
        <w:rPr>
          <w:rFonts w:cstheme="minorHAnsi"/>
        </w:rPr>
        <w:t xml:space="preserve"> and/or clinically allergy driven asthma</w:t>
      </w:r>
      <w:r w:rsidR="00365A34">
        <w:rPr>
          <w:rFonts w:cstheme="minorHAnsi"/>
        </w:rPr>
        <w:t>)</w:t>
      </w:r>
      <w:r w:rsidR="006F35D9">
        <w:rPr>
          <w:rFonts w:cstheme="minorHAnsi"/>
        </w:rPr>
        <w:t xml:space="preserve"> </w:t>
      </w:r>
      <w:r w:rsidR="00121DA6">
        <w:rPr>
          <w:rFonts w:cstheme="minorHAnsi"/>
        </w:rPr>
        <w:t xml:space="preserve">in </w:t>
      </w:r>
      <w:r w:rsidR="000014A4">
        <w:rPr>
          <w:rFonts w:cstheme="minorHAnsi"/>
        </w:rPr>
        <w:t xml:space="preserve">this </w:t>
      </w:r>
      <w:r w:rsidR="006F35D9">
        <w:rPr>
          <w:rFonts w:cstheme="minorHAnsi"/>
        </w:rPr>
        <w:t>group of patients</w:t>
      </w:r>
      <w:r w:rsidR="004C1662">
        <w:rPr>
          <w:rFonts w:cstheme="minorHAnsi"/>
        </w:rPr>
        <w:t xml:space="preserve">, </w:t>
      </w:r>
      <w:r w:rsidR="000014A4">
        <w:rPr>
          <w:rFonts w:cstheme="minorHAnsi"/>
        </w:rPr>
        <w:t xml:space="preserve">(ii) </w:t>
      </w:r>
      <w:r w:rsidR="00215B58">
        <w:rPr>
          <w:rFonts w:cstheme="minorHAnsi"/>
        </w:rPr>
        <w:t xml:space="preserve">understand the clinical </w:t>
      </w:r>
      <w:r w:rsidR="002764EE">
        <w:rPr>
          <w:rFonts w:cstheme="minorHAnsi"/>
        </w:rPr>
        <w:t xml:space="preserve">and </w:t>
      </w:r>
      <w:r w:rsidR="002764EE">
        <w:rPr>
          <w:rFonts w:cstheme="minorHAnsi"/>
        </w:rPr>
        <w:lastRenderedPageBreak/>
        <w:t xml:space="preserve">pathophysiological </w:t>
      </w:r>
      <w:r w:rsidR="00215B58">
        <w:rPr>
          <w:rFonts w:cstheme="minorHAnsi"/>
        </w:rPr>
        <w:t>characteristics of patients that fall into T2-high and T2-low asthma groups</w:t>
      </w:r>
      <w:r w:rsidR="008F5D7B">
        <w:rPr>
          <w:rFonts w:cstheme="minorHAnsi"/>
        </w:rPr>
        <w:t xml:space="preserve">, utilizing longitudinal </w:t>
      </w:r>
      <w:r w:rsidR="002764EE">
        <w:rPr>
          <w:rFonts w:cstheme="minorHAnsi"/>
        </w:rPr>
        <w:t xml:space="preserve">data including </w:t>
      </w:r>
      <w:r w:rsidR="005D3DFD">
        <w:rPr>
          <w:rFonts w:cstheme="minorHAnsi"/>
        </w:rPr>
        <w:t>PBE</w:t>
      </w:r>
      <w:r w:rsidR="004C1662">
        <w:rPr>
          <w:rFonts w:cstheme="minorHAnsi"/>
        </w:rPr>
        <w:t xml:space="preserve"> measures to verify T2-</w:t>
      </w:r>
      <w:r w:rsidR="00EA1719">
        <w:rPr>
          <w:rFonts w:cstheme="minorHAnsi"/>
        </w:rPr>
        <w:t>s</w:t>
      </w:r>
      <w:r w:rsidR="004C1662">
        <w:rPr>
          <w:rFonts w:cstheme="minorHAnsi"/>
        </w:rPr>
        <w:t xml:space="preserve">tatus </w:t>
      </w:r>
      <w:r w:rsidR="00C56BEA">
        <w:rPr>
          <w:rFonts w:cstheme="minorHAnsi"/>
        </w:rPr>
        <w:t xml:space="preserve">and (iii) </w:t>
      </w:r>
      <w:r w:rsidR="000014A4">
        <w:rPr>
          <w:rFonts w:cstheme="minorHAnsi"/>
        </w:rPr>
        <w:t xml:space="preserve">investigate the </w:t>
      </w:r>
      <w:r w:rsidR="00404686">
        <w:rPr>
          <w:rFonts w:cstheme="minorHAnsi"/>
        </w:rPr>
        <w:t xml:space="preserve">further </w:t>
      </w:r>
      <w:r w:rsidR="000014A4">
        <w:rPr>
          <w:rFonts w:cstheme="minorHAnsi"/>
        </w:rPr>
        <w:t xml:space="preserve">value of </w:t>
      </w:r>
      <w:r w:rsidR="00121DA6">
        <w:rPr>
          <w:rFonts w:cstheme="minorHAnsi"/>
        </w:rPr>
        <w:t xml:space="preserve">adding </w:t>
      </w:r>
      <w:r w:rsidR="000014A4">
        <w:rPr>
          <w:rFonts w:cstheme="minorHAnsi"/>
        </w:rPr>
        <w:t xml:space="preserve">sputum eosinophilia </w:t>
      </w:r>
      <w:r w:rsidR="00F553EE">
        <w:rPr>
          <w:rFonts w:cstheme="minorHAnsi"/>
        </w:rPr>
        <w:t xml:space="preserve">to the </w:t>
      </w:r>
      <w:r w:rsidR="003168BF">
        <w:rPr>
          <w:rFonts w:cstheme="minorHAnsi"/>
        </w:rPr>
        <w:t>clinical multicomponent a</w:t>
      </w:r>
      <w:r w:rsidR="00404686">
        <w:rPr>
          <w:rFonts w:cstheme="minorHAnsi"/>
        </w:rPr>
        <w:t>ss</w:t>
      </w:r>
      <w:r w:rsidR="003168BF">
        <w:rPr>
          <w:rFonts w:cstheme="minorHAnsi"/>
        </w:rPr>
        <w:t xml:space="preserve">essment </w:t>
      </w:r>
      <w:r w:rsidR="000014A4">
        <w:rPr>
          <w:rFonts w:cstheme="minorHAnsi"/>
        </w:rPr>
        <w:t xml:space="preserve">of T2-high </w:t>
      </w:r>
      <w:r w:rsidR="00121DA6">
        <w:rPr>
          <w:rFonts w:cstheme="minorHAnsi"/>
        </w:rPr>
        <w:t>s</w:t>
      </w:r>
      <w:r w:rsidR="00F553EE">
        <w:rPr>
          <w:rFonts w:cstheme="minorHAnsi"/>
        </w:rPr>
        <w:t>tatus</w:t>
      </w:r>
      <w:r w:rsidR="00C56BEA">
        <w:rPr>
          <w:rFonts w:cstheme="minorHAnsi"/>
        </w:rPr>
        <w:t>.</w:t>
      </w:r>
      <w:r w:rsidR="000014A4">
        <w:rPr>
          <w:rFonts w:cstheme="minorHAnsi"/>
        </w:rPr>
        <w:t xml:space="preserve"> </w:t>
      </w:r>
    </w:p>
    <w:p w14:paraId="78F595B6" w14:textId="007D5112" w:rsidR="009A244A" w:rsidRDefault="009A244A" w:rsidP="00FB0CF3">
      <w:pPr>
        <w:spacing w:line="480" w:lineRule="auto"/>
        <w:rPr>
          <w:rFonts w:cstheme="minorHAnsi"/>
        </w:rPr>
      </w:pPr>
    </w:p>
    <w:p w14:paraId="629BCD05" w14:textId="3456E14B" w:rsidR="009A244A" w:rsidRPr="009A244A" w:rsidRDefault="009A244A" w:rsidP="00FB0CF3">
      <w:pPr>
        <w:spacing w:line="480" w:lineRule="auto"/>
        <w:rPr>
          <w:rFonts w:cstheme="minorHAnsi"/>
          <w:b/>
          <w:bCs/>
        </w:rPr>
      </w:pPr>
      <w:r w:rsidRPr="009A244A">
        <w:rPr>
          <w:rFonts w:cstheme="minorHAnsi"/>
          <w:b/>
          <w:bCs/>
        </w:rPr>
        <w:t>Methods</w:t>
      </w:r>
    </w:p>
    <w:p w14:paraId="51AF624A" w14:textId="505C8EFC" w:rsidR="006F35D9" w:rsidRDefault="006F35D9" w:rsidP="006F35D9">
      <w:pPr>
        <w:spacing w:line="480" w:lineRule="auto"/>
        <w:rPr>
          <w:rFonts w:cstheme="minorHAnsi"/>
        </w:rPr>
      </w:pPr>
      <w:r>
        <w:rPr>
          <w:rFonts w:cstheme="minorHAnsi"/>
        </w:rPr>
        <w:t xml:space="preserve">The Wessex Asthma Cohort of difficult asthma (WATCH) study </w:t>
      </w:r>
      <w:r w:rsidR="004E0FAF">
        <w:rPr>
          <w:rFonts w:cstheme="minorHAnsi"/>
        </w:rPr>
        <w:t xml:space="preserve">(n=500) </w:t>
      </w:r>
      <w:r>
        <w:rPr>
          <w:rFonts w:cstheme="minorHAnsi"/>
        </w:rPr>
        <w:t xml:space="preserve">is a </w:t>
      </w:r>
      <w:r w:rsidR="004E0FAF">
        <w:rPr>
          <w:rFonts w:cstheme="minorHAnsi"/>
        </w:rPr>
        <w:t>prospective observational study of well-characterised patients with difficult-to-treat and severe asthma managed in the tertiary difficult asthma clinic at University Hospital Southampton</w:t>
      </w:r>
      <w:r w:rsidR="00365A34">
        <w:rPr>
          <w:rFonts w:cstheme="minorHAnsi"/>
        </w:rPr>
        <w:t>.</w:t>
      </w:r>
      <w:r w:rsidR="00365A34" w:rsidRPr="00365A34">
        <w:rPr>
          <w:rFonts w:cstheme="minorHAnsi"/>
          <w:noProof/>
          <w:vertAlign w:val="superscript"/>
        </w:rPr>
        <w:t>8</w:t>
      </w:r>
    </w:p>
    <w:p w14:paraId="7182D9CC" w14:textId="3E181783" w:rsidR="00DE16DC" w:rsidRDefault="00F76945" w:rsidP="00484FB4">
      <w:pPr>
        <w:spacing w:line="480" w:lineRule="auto"/>
        <w:rPr>
          <w:rFonts w:cstheme="minorHAnsi"/>
        </w:rPr>
      </w:pPr>
      <w:r>
        <w:rPr>
          <w:rFonts w:cstheme="minorHAnsi"/>
        </w:rPr>
        <w:t>Difficult asthma was defined as asthma with ongoing symptoms despite ‘high dose therapies’ and/or ‘continuous or frequent use of oral steroids’ according to the British Thoracic Society (BTS) Adult Asthma Management Guidelines 2016</w:t>
      </w:r>
      <w:r w:rsidR="00C50D96">
        <w:rPr>
          <w:rFonts w:cstheme="minorHAnsi"/>
        </w:rPr>
        <w:t>.</w:t>
      </w:r>
      <w:r w:rsidR="00365A34" w:rsidRPr="00365A34">
        <w:rPr>
          <w:rFonts w:cstheme="minorHAnsi"/>
          <w:noProof/>
          <w:vertAlign w:val="superscript"/>
        </w:rPr>
        <w:t>12</w:t>
      </w:r>
      <w:r>
        <w:rPr>
          <w:rFonts w:cstheme="minorHAnsi"/>
        </w:rPr>
        <w:t xml:space="preserve"> </w:t>
      </w:r>
      <w:r w:rsidR="00B923FD">
        <w:rPr>
          <w:rFonts w:cstheme="minorHAnsi"/>
        </w:rPr>
        <w:t>All patients provided written informed consent (R</w:t>
      </w:r>
      <w:r>
        <w:rPr>
          <w:rFonts w:cstheme="minorHAnsi"/>
        </w:rPr>
        <w:t>EC reference 14/WM/1226). Detailed study methodology has been previously published</w:t>
      </w:r>
      <w:r w:rsidR="00C804AC" w:rsidRPr="00C804AC">
        <w:rPr>
          <w:rFonts w:cstheme="minorHAnsi"/>
          <w:noProof/>
          <w:vertAlign w:val="superscript"/>
        </w:rPr>
        <w:t>8</w:t>
      </w:r>
      <w:r>
        <w:rPr>
          <w:rFonts w:cstheme="minorHAnsi"/>
        </w:rPr>
        <w:t xml:space="preserve"> </w:t>
      </w:r>
      <w:r w:rsidR="00DE16DC">
        <w:rPr>
          <w:rFonts w:cstheme="minorHAnsi"/>
        </w:rPr>
        <w:t>and we have summarised the inclusion and exclusion criteria</w:t>
      </w:r>
      <w:r w:rsidR="00624C39">
        <w:rPr>
          <w:rFonts w:cstheme="minorHAnsi"/>
        </w:rPr>
        <w:t xml:space="preserve"> </w:t>
      </w:r>
      <w:r w:rsidR="00A72DD4">
        <w:rPr>
          <w:rFonts w:cstheme="minorHAnsi"/>
        </w:rPr>
        <w:t>along with a study flow chart in the supplement (</w:t>
      </w:r>
      <w:r w:rsidR="00A72DD4" w:rsidRPr="00A72DD4">
        <w:rPr>
          <w:rFonts w:cstheme="minorHAnsi"/>
          <w:b/>
          <w:bCs/>
        </w:rPr>
        <w:t>Supplementary Table E1</w:t>
      </w:r>
      <w:r w:rsidR="00A72DD4">
        <w:rPr>
          <w:rFonts w:cstheme="minorHAnsi"/>
        </w:rPr>
        <w:t xml:space="preserve">, </w:t>
      </w:r>
      <w:r w:rsidR="00A72DD4" w:rsidRPr="00A72DD4">
        <w:rPr>
          <w:rFonts w:cstheme="minorHAnsi"/>
          <w:b/>
          <w:bCs/>
        </w:rPr>
        <w:t>Supplementary Figure E1</w:t>
      </w:r>
      <w:r w:rsidR="00A72DD4">
        <w:rPr>
          <w:rFonts w:cstheme="minorHAnsi"/>
        </w:rPr>
        <w:t>)</w:t>
      </w:r>
      <w:r w:rsidR="00A72DD4">
        <w:rPr>
          <w:rFonts w:cstheme="minorHAnsi"/>
          <w:b/>
          <w:bCs/>
        </w:rPr>
        <w:t>.</w:t>
      </w:r>
    </w:p>
    <w:p w14:paraId="71D8FA5D" w14:textId="77777777" w:rsidR="00DE16DC" w:rsidRDefault="00DE16DC" w:rsidP="00484FB4">
      <w:pPr>
        <w:spacing w:line="480" w:lineRule="auto"/>
        <w:rPr>
          <w:rFonts w:cstheme="minorHAnsi"/>
        </w:rPr>
      </w:pPr>
    </w:p>
    <w:p w14:paraId="25C833F5" w14:textId="15D909C9" w:rsidR="00484FB4" w:rsidRDefault="00DE16DC" w:rsidP="00484FB4">
      <w:pPr>
        <w:spacing w:line="480" w:lineRule="auto"/>
        <w:rPr>
          <w:rFonts w:cstheme="minorHAnsi"/>
        </w:rPr>
      </w:pPr>
      <w:r>
        <w:rPr>
          <w:rFonts w:cstheme="minorHAnsi"/>
        </w:rPr>
        <w:t xml:space="preserve">As this was a real-world cohort, the presence of </w:t>
      </w:r>
      <w:proofErr w:type="spellStart"/>
      <w:r>
        <w:rPr>
          <w:rFonts w:cstheme="minorHAnsi"/>
        </w:rPr>
        <w:t>comorbidites</w:t>
      </w:r>
      <w:proofErr w:type="spellEnd"/>
      <w:r>
        <w:rPr>
          <w:rFonts w:cstheme="minorHAnsi"/>
        </w:rPr>
        <w:t xml:space="preserve"> or other medical conditions e.g. diabetes or ischaemic heart disease, did not preclude patients from being enrolled. We have previously shown that the WATCH cohort is broadly representative of the wider clinic population that it is drawn from and there are no major differences between the WATCH-cohort and other patients in our difficult asthma clinic apart fr</w:t>
      </w:r>
      <w:r w:rsidR="00A72DD4">
        <w:rPr>
          <w:rFonts w:cstheme="minorHAnsi"/>
        </w:rPr>
        <w:t>o</w:t>
      </w:r>
      <w:r>
        <w:rPr>
          <w:rFonts w:cstheme="minorHAnsi"/>
        </w:rPr>
        <w:t>m a higher prevalence of mOCS dependence.</w:t>
      </w:r>
      <w:r w:rsidRPr="007C2AA8">
        <w:rPr>
          <w:rFonts w:cstheme="minorHAnsi"/>
          <w:noProof/>
          <w:vertAlign w:val="superscript"/>
        </w:rPr>
        <w:t>13</w:t>
      </w:r>
      <w:r>
        <w:rPr>
          <w:rFonts w:cstheme="minorHAnsi"/>
        </w:rPr>
        <w:t xml:space="preserve"> </w:t>
      </w:r>
      <w:r w:rsidR="00F76945">
        <w:rPr>
          <w:rFonts w:cstheme="minorHAnsi"/>
        </w:rPr>
        <w:t xml:space="preserve">Clinical data including detailed clinical, health and disease-related questionnaires, anthropometry, allergy skin prick testing, blood tests and lung function </w:t>
      </w:r>
      <w:r w:rsidR="00F76945">
        <w:rPr>
          <w:rFonts w:cstheme="minorHAnsi"/>
        </w:rPr>
        <w:lastRenderedPageBreak/>
        <w:t>testing were capture</w:t>
      </w:r>
      <w:r w:rsidR="003F5B5D">
        <w:rPr>
          <w:rFonts w:cstheme="minorHAnsi"/>
        </w:rPr>
        <w:t>d</w:t>
      </w:r>
      <w:r w:rsidR="00F76945">
        <w:rPr>
          <w:rFonts w:cstheme="minorHAnsi"/>
        </w:rPr>
        <w:t xml:space="preserve"> at enrolment to the WATCH study.</w:t>
      </w:r>
      <w:r w:rsidR="00E533E0">
        <w:rPr>
          <w:rFonts w:cstheme="minorHAnsi"/>
        </w:rPr>
        <w:t xml:space="preserve"> </w:t>
      </w:r>
      <w:r w:rsidR="00945659">
        <w:rPr>
          <w:rFonts w:cstheme="minorHAnsi"/>
        </w:rPr>
        <w:t>Only b</w:t>
      </w:r>
      <w:r w:rsidR="00E533E0">
        <w:rPr>
          <w:rFonts w:cstheme="minorHAnsi"/>
        </w:rPr>
        <w:t>iologic naïve patients were included in th</w:t>
      </w:r>
      <w:r w:rsidR="00460CED">
        <w:rPr>
          <w:rFonts w:cstheme="minorHAnsi"/>
        </w:rPr>
        <w:t>e present</w:t>
      </w:r>
      <w:r w:rsidR="00E533E0">
        <w:rPr>
          <w:rFonts w:cstheme="minorHAnsi"/>
        </w:rPr>
        <w:t xml:space="preserve"> analysis</w:t>
      </w:r>
      <w:r w:rsidR="00BE64A0">
        <w:rPr>
          <w:rFonts w:cstheme="minorHAnsi"/>
        </w:rPr>
        <w:t xml:space="preserve"> (n=388)</w:t>
      </w:r>
      <w:r w:rsidR="00E533E0">
        <w:rPr>
          <w:rFonts w:cstheme="minorHAnsi"/>
        </w:rPr>
        <w:t>.</w:t>
      </w:r>
      <w:r w:rsidR="007B3CFA">
        <w:rPr>
          <w:rFonts w:cstheme="minorHAnsi"/>
        </w:rPr>
        <w:t xml:space="preserve"> Sputum induction was performed in a subset of patients </w:t>
      </w:r>
      <w:r w:rsidR="007E589F">
        <w:rPr>
          <w:rFonts w:cstheme="minorHAnsi"/>
        </w:rPr>
        <w:t xml:space="preserve">(n =117) </w:t>
      </w:r>
      <w:r w:rsidR="007B3CFA">
        <w:rPr>
          <w:rFonts w:cstheme="minorHAnsi"/>
        </w:rPr>
        <w:t>as previously described</w:t>
      </w:r>
      <w:r w:rsidR="00365A34">
        <w:rPr>
          <w:rFonts w:cstheme="minorHAnsi"/>
        </w:rPr>
        <w:t>.</w:t>
      </w:r>
      <w:r w:rsidR="00365A34" w:rsidRPr="00365A34">
        <w:rPr>
          <w:rFonts w:cstheme="minorHAnsi"/>
          <w:noProof/>
          <w:vertAlign w:val="superscript"/>
        </w:rPr>
        <w:t>8</w:t>
      </w:r>
      <w:r w:rsidR="007B3CFA">
        <w:rPr>
          <w:rFonts w:cstheme="minorHAnsi"/>
        </w:rPr>
        <w:t xml:space="preserve"> Sputum inflammatory phenotypes were determined using a &gt;2% cut off for sputum eosinophils and &gt;61% cut off for sputum neutrophils. Clinically requested blood tests were processed by the fully accredited hospital pathology laboratory, compliant to ISO142819 standards.</w:t>
      </w:r>
      <w:r w:rsidR="00484FB4" w:rsidRPr="00484FB4">
        <w:rPr>
          <w:rFonts w:cstheme="minorHAnsi"/>
        </w:rPr>
        <w:t xml:space="preserve"> </w:t>
      </w:r>
    </w:p>
    <w:p w14:paraId="26C9E209" w14:textId="77777777" w:rsidR="003C1E54" w:rsidRPr="00484FB4" w:rsidRDefault="003C1E54" w:rsidP="00484FB4">
      <w:pPr>
        <w:spacing w:line="480" w:lineRule="auto"/>
        <w:rPr>
          <w:rFonts w:cstheme="minorHAnsi"/>
        </w:rPr>
      </w:pPr>
    </w:p>
    <w:p w14:paraId="1C2E1134" w14:textId="5D7A8779" w:rsidR="00B21C62" w:rsidRPr="003D72A7" w:rsidRDefault="009F444E" w:rsidP="00B21C62">
      <w:pPr>
        <w:spacing w:line="480" w:lineRule="auto"/>
        <w:rPr>
          <w:rFonts w:cstheme="minorHAnsi"/>
        </w:rPr>
      </w:pPr>
      <w:r>
        <w:rPr>
          <w:rFonts w:cstheme="minorHAnsi"/>
        </w:rPr>
        <w:t>Blood c</w:t>
      </w:r>
      <w:r w:rsidR="003A4291">
        <w:rPr>
          <w:rFonts w:cstheme="minorHAnsi"/>
        </w:rPr>
        <w:t>ytokine levels</w:t>
      </w:r>
      <w:r w:rsidR="009008BB">
        <w:rPr>
          <w:rFonts w:cstheme="minorHAnsi"/>
        </w:rPr>
        <w:t xml:space="preserve"> (</w:t>
      </w:r>
      <w:proofErr w:type="spellStart"/>
      <w:r w:rsidR="009008BB">
        <w:rPr>
          <w:rFonts w:cstheme="minorHAnsi"/>
        </w:rPr>
        <w:t>pg</w:t>
      </w:r>
      <w:proofErr w:type="spellEnd"/>
      <w:r w:rsidR="009008BB">
        <w:rPr>
          <w:rFonts w:cstheme="minorHAnsi"/>
        </w:rPr>
        <w:t>/ml)</w:t>
      </w:r>
      <w:r w:rsidR="003A4291">
        <w:rPr>
          <w:rFonts w:cstheme="minorHAnsi"/>
        </w:rPr>
        <w:t xml:space="preserve"> were measured in plasma from 3</w:t>
      </w:r>
      <w:r w:rsidR="00B16CF2">
        <w:rPr>
          <w:rFonts w:cstheme="minorHAnsi"/>
        </w:rPr>
        <w:t xml:space="preserve">60 </w:t>
      </w:r>
      <w:r w:rsidR="003A4291">
        <w:rPr>
          <w:rFonts w:cstheme="minorHAnsi"/>
        </w:rPr>
        <w:t>WATCH study participants using a</w:t>
      </w:r>
      <w:r>
        <w:rPr>
          <w:rFonts w:cstheme="minorHAnsi"/>
        </w:rPr>
        <w:t xml:space="preserve"> human magnetic</w:t>
      </w:r>
      <w:r w:rsidR="003A4291">
        <w:rPr>
          <w:rFonts w:cstheme="minorHAnsi"/>
        </w:rPr>
        <w:t xml:space="preserve"> Luminex</w:t>
      </w:r>
      <w:r w:rsidR="009008BB">
        <w:rPr>
          <w:rFonts w:cstheme="minorHAnsi"/>
        </w:rPr>
        <w:t>®</w:t>
      </w:r>
      <w:r w:rsidR="003A4291">
        <w:rPr>
          <w:rFonts w:cstheme="minorHAnsi"/>
        </w:rPr>
        <w:t xml:space="preserve"> multiplex </w:t>
      </w:r>
      <w:r>
        <w:rPr>
          <w:rFonts w:cstheme="minorHAnsi"/>
        </w:rPr>
        <w:t xml:space="preserve"> assay </w:t>
      </w:r>
      <w:r w:rsidR="003A4291">
        <w:rPr>
          <w:rFonts w:cstheme="minorHAnsi"/>
        </w:rPr>
        <w:t>for</w:t>
      </w:r>
      <w:r w:rsidR="00163EBE">
        <w:rPr>
          <w:rFonts w:cstheme="minorHAnsi"/>
        </w:rPr>
        <w:t xml:space="preserve"> </w:t>
      </w:r>
      <w:r w:rsidR="00B16CF2" w:rsidRPr="00163EBE">
        <w:rPr>
          <w:rFonts w:cstheme="minorHAnsi"/>
        </w:rPr>
        <w:t>C-C Motif Chemokine Ligand 2/</w:t>
      </w:r>
      <w:r w:rsidR="00B16CF2" w:rsidRPr="00C55695">
        <w:rPr>
          <w:rFonts w:cstheme="minorHAnsi"/>
        </w:rPr>
        <w:t>Monocyte chemoattractant protein</w:t>
      </w:r>
      <w:r w:rsidR="00B16CF2" w:rsidRPr="00163EBE">
        <w:rPr>
          <w:rFonts w:cstheme="minorHAnsi"/>
        </w:rPr>
        <w:t>-</w:t>
      </w:r>
      <w:r w:rsidR="00B16CF2" w:rsidRPr="00C55695">
        <w:rPr>
          <w:rFonts w:cstheme="minorHAnsi"/>
        </w:rPr>
        <w:t>1 (CCL2/MCP-1)</w:t>
      </w:r>
      <w:r w:rsidR="00B16CF2">
        <w:rPr>
          <w:rFonts w:cstheme="minorHAnsi"/>
        </w:rPr>
        <w:t xml:space="preserve">, C-C Motif Chemokine Ligand 3/Macrophage </w:t>
      </w:r>
      <w:proofErr w:type="spellStart"/>
      <w:r w:rsidR="00B16CF2" w:rsidRPr="00163EBE">
        <w:rPr>
          <w:rFonts w:cstheme="minorHAnsi"/>
        </w:rPr>
        <w:t>Inflammotry</w:t>
      </w:r>
      <w:proofErr w:type="spellEnd"/>
      <w:r w:rsidR="00B16CF2" w:rsidRPr="00163EBE">
        <w:rPr>
          <w:rFonts w:cstheme="minorHAnsi"/>
        </w:rPr>
        <w:t xml:space="preserve"> Protein-1 Alpha (CCL3/MIP-1-Alpha), Interleukin (IL)-4, </w:t>
      </w:r>
      <w:r w:rsidR="00B16CF2">
        <w:rPr>
          <w:rFonts w:cstheme="minorHAnsi"/>
        </w:rPr>
        <w:t>IL-5, IL-6, IL-8, IL-10, IL-13, IL-17, interferon (IFN)-gamma,</w:t>
      </w:r>
      <w:r w:rsidR="00163EBE">
        <w:rPr>
          <w:rFonts w:cstheme="minorHAnsi"/>
          <w:b/>
          <w:bCs/>
        </w:rPr>
        <w:t xml:space="preserve"> </w:t>
      </w:r>
      <w:r w:rsidR="00B16CF2">
        <w:rPr>
          <w:rFonts w:cstheme="minorHAnsi"/>
        </w:rPr>
        <w:t xml:space="preserve">Periostin (POSTN) and </w:t>
      </w:r>
      <w:proofErr w:type="spellStart"/>
      <w:r w:rsidR="00163EBE">
        <w:rPr>
          <w:rFonts w:cstheme="minorHAnsi"/>
        </w:rPr>
        <w:t>Tumor</w:t>
      </w:r>
      <w:proofErr w:type="spellEnd"/>
      <w:r w:rsidR="00163EBE">
        <w:rPr>
          <w:rFonts w:cstheme="minorHAnsi"/>
        </w:rPr>
        <w:t xml:space="preserve"> Necrosis Factor-Alpha (TNF-Alpha)</w:t>
      </w:r>
      <w:r w:rsidR="006744AB">
        <w:rPr>
          <w:rFonts w:cstheme="minorHAnsi"/>
        </w:rPr>
        <w:t xml:space="preserve"> </w:t>
      </w:r>
      <w:r w:rsidR="00117FF8">
        <w:rPr>
          <w:rFonts w:cstheme="minorHAnsi"/>
        </w:rPr>
        <w:t>according to the manufacturer’s instructions</w:t>
      </w:r>
      <w:r>
        <w:rPr>
          <w:rFonts w:cstheme="minorHAnsi"/>
        </w:rPr>
        <w:t xml:space="preserve"> (R&amp;D Systems, Bio-Techne Ltd, Abington, UK)</w:t>
      </w:r>
      <w:r w:rsidR="003A4291">
        <w:rPr>
          <w:rFonts w:cstheme="minorHAnsi"/>
        </w:rPr>
        <w:t>.</w:t>
      </w:r>
      <w:r w:rsidR="00B21C62">
        <w:rPr>
          <w:rFonts w:cstheme="minorHAnsi"/>
        </w:rPr>
        <w:t xml:space="preserve"> </w:t>
      </w:r>
      <w:r w:rsidR="00B21C62" w:rsidRPr="003D72A7">
        <w:rPr>
          <w:rFonts w:cstheme="minorHAnsi"/>
        </w:rPr>
        <w:t>To control for a batch effect, we prepared five 96-well plates and pipetted all the 360</w:t>
      </w:r>
      <w:r w:rsidR="00624C39">
        <w:rPr>
          <w:rFonts w:cstheme="minorHAnsi"/>
        </w:rPr>
        <w:t xml:space="preserve"> </w:t>
      </w:r>
      <w:r w:rsidR="00A72DD4">
        <w:rPr>
          <w:rFonts w:cstheme="minorHAnsi"/>
        </w:rPr>
        <w:t>available</w:t>
      </w:r>
      <w:r w:rsidR="00B21C62" w:rsidRPr="003D72A7">
        <w:rPr>
          <w:rFonts w:cstheme="minorHAnsi"/>
        </w:rPr>
        <w:t xml:space="preserve"> plasma samples at the same session and sequentially ran the five 96-well plates. Each plate contained the 8 standard curve dilutions in duplicate wells and 2 blank wells. </w:t>
      </w:r>
    </w:p>
    <w:p w14:paraId="50B99C26" w14:textId="2E56ADEA" w:rsidR="003D3032" w:rsidRDefault="003D3032" w:rsidP="00E454A7">
      <w:pPr>
        <w:spacing w:line="480" w:lineRule="auto"/>
        <w:rPr>
          <w:rFonts w:cstheme="minorHAnsi"/>
        </w:rPr>
      </w:pPr>
    </w:p>
    <w:p w14:paraId="526C9E1B" w14:textId="77777777" w:rsidR="003C1E54" w:rsidRDefault="003C1E54" w:rsidP="00E454A7">
      <w:pPr>
        <w:spacing w:line="480" w:lineRule="auto"/>
        <w:rPr>
          <w:rFonts w:cstheme="minorHAnsi"/>
        </w:rPr>
      </w:pPr>
    </w:p>
    <w:p w14:paraId="395C0B18" w14:textId="06363ACE" w:rsidR="00510190" w:rsidRDefault="00510190" w:rsidP="00E454A7">
      <w:pPr>
        <w:spacing w:line="480" w:lineRule="auto"/>
        <w:rPr>
          <w:rFonts w:cstheme="minorHAnsi"/>
        </w:rPr>
      </w:pPr>
      <w:r>
        <w:rPr>
          <w:rFonts w:cstheme="minorHAnsi"/>
        </w:rPr>
        <w:t>T2</w:t>
      </w:r>
      <w:r w:rsidR="002962DC">
        <w:rPr>
          <w:rFonts w:cstheme="minorHAnsi"/>
        </w:rPr>
        <w:t>-high status</w:t>
      </w:r>
      <w:r>
        <w:rPr>
          <w:rFonts w:cstheme="minorHAnsi"/>
        </w:rPr>
        <w:t xml:space="preserve"> was </w:t>
      </w:r>
      <w:r w:rsidR="00571BFA">
        <w:rPr>
          <w:rFonts w:cstheme="minorHAnsi"/>
        </w:rPr>
        <w:t xml:space="preserve">defined </w:t>
      </w:r>
      <w:r w:rsidR="00F22FAA">
        <w:rPr>
          <w:rFonts w:cstheme="minorHAnsi"/>
        </w:rPr>
        <w:t xml:space="preserve">using </w:t>
      </w:r>
      <w:r w:rsidR="00186773">
        <w:rPr>
          <w:rFonts w:cstheme="minorHAnsi"/>
        </w:rPr>
        <w:t xml:space="preserve">the </w:t>
      </w:r>
      <w:r w:rsidR="00C71C1B">
        <w:rPr>
          <w:rFonts w:cstheme="minorHAnsi"/>
        </w:rPr>
        <w:t>4 clinical measures</w:t>
      </w:r>
      <w:r w:rsidR="00396890">
        <w:rPr>
          <w:rFonts w:cstheme="minorHAnsi"/>
        </w:rPr>
        <w:t xml:space="preserve"> </w:t>
      </w:r>
      <w:r w:rsidR="00C71C1B">
        <w:rPr>
          <w:rFonts w:cstheme="minorHAnsi"/>
        </w:rPr>
        <w:t xml:space="preserve">of the </w:t>
      </w:r>
      <w:r w:rsidR="00F22FAA">
        <w:rPr>
          <w:rFonts w:cstheme="minorHAnsi"/>
        </w:rPr>
        <w:t>multicomponent algorithm</w:t>
      </w:r>
      <w:r w:rsidR="00EE4867">
        <w:rPr>
          <w:rFonts w:cstheme="minorHAnsi"/>
        </w:rPr>
        <w:t xml:space="preserve"> proposed by GINA 2021</w:t>
      </w:r>
      <w:r w:rsidR="00CB0889">
        <w:rPr>
          <w:rFonts w:cstheme="minorHAnsi"/>
        </w:rPr>
        <w:t xml:space="preserve">, </w:t>
      </w:r>
      <w:r w:rsidR="00396890">
        <w:rPr>
          <w:rFonts w:cstheme="minorHAnsi"/>
        </w:rPr>
        <w:t xml:space="preserve">as </w:t>
      </w:r>
      <w:r w:rsidR="002D56EB">
        <w:rPr>
          <w:rFonts w:cstheme="minorHAnsi"/>
        </w:rPr>
        <w:t xml:space="preserve">presence of </w:t>
      </w:r>
      <w:r w:rsidR="00F22FAA">
        <w:rPr>
          <w:rFonts w:cstheme="minorHAnsi"/>
        </w:rPr>
        <w:t xml:space="preserve">any of the </w:t>
      </w:r>
      <w:r w:rsidR="00CB0889">
        <w:rPr>
          <w:rFonts w:cstheme="minorHAnsi"/>
        </w:rPr>
        <w:t xml:space="preserve">following </w:t>
      </w:r>
      <w:r w:rsidR="002D56EB">
        <w:rPr>
          <w:rFonts w:cstheme="minorHAnsi"/>
        </w:rPr>
        <w:t xml:space="preserve">clinically relevant </w:t>
      </w:r>
      <w:r w:rsidR="00CB0889">
        <w:rPr>
          <w:rFonts w:cstheme="minorHAnsi"/>
        </w:rPr>
        <w:t>parameters</w:t>
      </w:r>
      <w:r>
        <w:rPr>
          <w:rFonts w:cstheme="minorHAnsi"/>
        </w:rPr>
        <w:t>:</w:t>
      </w:r>
    </w:p>
    <w:p w14:paraId="54C0D697" w14:textId="77777777" w:rsidR="00B923FD" w:rsidRDefault="00B923FD" w:rsidP="00787DCE">
      <w:pPr>
        <w:pStyle w:val="ListParagraph"/>
        <w:numPr>
          <w:ilvl w:val="0"/>
          <w:numId w:val="10"/>
        </w:numPr>
        <w:spacing w:line="480" w:lineRule="auto"/>
        <w:rPr>
          <w:rFonts w:cstheme="minorHAnsi"/>
        </w:rPr>
      </w:pPr>
      <w:r>
        <w:rPr>
          <w:rFonts w:cstheme="minorHAnsi"/>
        </w:rPr>
        <w:t>FeNO≥20ppb and/or</w:t>
      </w:r>
    </w:p>
    <w:p w14:paraId="04F54270" w14:textId="5DDD1789" w:rsidR="00B923FD" w:rsidRDefault="00B923FD" w:rsidP="00787DCE">
      <w:pPr>
        <w:pStyle w:val="ListParagraph"/>
        <w:numPr>
          <w:ilvl w:val="0"/>
          <w:numId w:val="10"/>
        </w:numPr>
        <w:spacing w:line="480" w:lineRule="auto"/>
        <w:rPr>
          <w:rFonts w:cstheme="minorHAnsi"/>
        </w:rPr>
      </w:pPr>
      <w:r>
        <w:rPr>
          <w:rFonts w:cstheme="minorHAnsi"/>
        </w:rPr>
        <w:t>PBE ≥</w:t>
      </w:r>
      <w:r w:rsidR="0056608A">
        <w:rPr>
          <w:rFonts w:cstheme="minorHAnsi"/>
        </w:rPr>
        <w:t>150</w:t>
      </w:r>
      <w:r>
        <w:rPr>
          <w:rFonts w:cstheme="minorHAnsi"/>
        </w:rPr>
        <w:t>cells/</w:t>
      </w:r>
      <w:proofErr w:type="spellStart"/>
      <w:r>
        <w:rPr>
          <w:rFonts w:cstheme="minorHAnsi"/>
        </w:rPr>
        <w:t>uL</w:t>
      </w:r>
      <w:proofErr w:type="spellEnd"/>
      <w:r>
        <w:rPr>
          <w:rFonts w:cstheme="minorHAnsi"/>
        </w:rPr>
        <w:t xml:space="preserve"> and/or</w:t>
      </w:r>
    </w:p>
    <w:p w14:paraId="0BC9406C" w14:textId="218A8C1A" w:rsidR="00B923FD" w:rsidRDefault="00B923FD" w:rsidP="00787DCE">
      <w:pPr>
        <w:pStyle w:val="ListParagraph"/>
        <w:numPr>
          <w:ilvl w:val="0"/>
          <w:numId w:val="10"/>
        </w:numPr>
        <w:spacing w:line="480" w:lineRule="auto"/>
        <w:rPr>
          <w:rFonts w:cstheme="minorHAnsi"/>
        </w:rPr>
      </w:pPr>
      <w:r>
        <w:rPr>
          <w:rFonts w:cstheme="minorHAnsi"/>
        </w:rPr>
        <w:t>Need for mOCS</w:t>
      </w:r>
      <w:r w:rsidR="00510190">
        <w:rPr>
          <w:rFonts w:cstheme="minorHAnsi"/>
        </w:rPr>
        <w:t xml:space="preserve"> and/or</w:t>
      </w:r>
    </w:p>
    <w:p w14:paraId="42B92170" w14:textId="550F78A5" w:rsidR="00B923FD" w:rsidRDefault="00B923FD" w:rsidP="00787DCE">
      <w:pPr>
        <w:pStyle w:val="ListParagraph"/>
        <w:numPr>
          <w:ilvl w:val="0"/>
          <w:numId w:val="10"/>
        </w:numPr>
        <w:spacing w:line="480" w:lineRule="auto"/>
        <w:rPr>
          <w:rFonts w:cstheme="minorHAnsi"/>
        </w:rPr>
      </w:pPr>
      <w:r w:rsidRPr="003F5B5D">
        <w:rPr>
          <w:rFonts w:cstheme="minorHAnsi"/>
        </w:rPr>
        <w:lastRenderedPageBreak/>
        <w:t>Clinically allergy driven asthma</w:t>
      </w:r>
      <w:r w:rsidR="00510190">
        <w:rPr>
          <w:rFonts w:cstheme="minorHAnsi"/>
        </w:rPr>
        <w:t xml:space="preserve"> (</w:t>
      </w:r>
      <w:r w:rsidRPr="003F5B5D">
        <w:rPr>
          <w:rFonts w:cstheme="minorHAnsi"/>
        </w:rPr>
        <w:t>defined</w:t>
      </w:r>
      <w:r w:rsidR="00510190">
        <w:rPr>
          <w:rFonts w:cstheme="minorHAnsi"/>
        </w:rPr>
        <w:t xml:space="preserve"> </w:t>
      </w:r>
      <w:r w:rsidRPr="003F5B5D">
        <w:rPr>
          <w:rFonts w:cstheme="minorHAnsi"/>
        </w:rPr>
        <w:t>as positive skin test to any aeroallergen plus ‘yes’ to the question posed to patients ‘any allergic triggers for asthma</w:t>
      </w:r>
      <w:r w:rsidR="00945659">
        <w:rPr>
          <w:rFonts w:cstheme="minorHAnsi"/>
        </w:rPr>
        <w:t>)</w:t>
      </w:r>
    </w:p>
    <w:p w14:paraId="29CC16DE" w14:textId="2C90A66C" w:rsidR="002873E9" w:rsidRPr="002873E9" w:rsidRDefault="002873E9" w:rsidP="002873E9">
      <w:pPr>
        <w:spacing w:line="480" w:lineRule="auto"/>
        <w:rPr>
          <w:rFonts w:cstheme="minorHAnsi"/>
        </w:rPr>
      </w:pPr>
      <w:r w:rsidRPr="002873E9">
        <w:rPr>
          <w:rFonts w:cstheme="minorHAnsi"/>
        </w:rPr>
        <w:t>By interrogating available electronic health records, historical values for PBE were reviewed within the preceding 10 years with a median of 10 measurements reviewed per patient.</w:t>
      </w:r>
      <w:r w:rsidRPr="002873E9">
        <w:rPr>
          <w:rFonts w:cstheme="minorHAnsi"/>
          <w:noProof/>
          <w:vertAlign w:val="superscript"/>
        </w:rPr>
        <w:t>14</w:t>
      </w:r>
      <w:r w:rsidRPr="002873E9">
        <w:rPr>
          <w:rFonts w:cstheme="minorHAnsi"/>
        </w:rPr>
        <w:t xml:space="preserve"> Only baseline FeNO measurements were available. </w:t>
      </w:r>
    </w:p>
    <w:p w14:paraId="5BE0FEE0" w14:textId="77777777" w:rsidR="003065E9" w:rsidRDefault="003065E9" w:rsidP="007F377D">
      <w:pPr>
        <w:spacing w:line="480" w:lineRule="auto"/>
        <w:rPr>
          <w:rFonts w:cstheme="minorHAnsi"/>
          <w:b/>
          <w:bCs/>
        </w:rPr>
      </w:pPr>
    </w:p>
    <w:p w14:paraId="639A77CF" w14:textId="711F6134" w:rsidR="002E27C7" w:rsidRPr="002E27C7" w:rsidRDefault="002E27C7" w:rsidP="007F377D">
      <w:pPr>
        <w:spacing w:line="480" w:lineRule="auto"/>
        <w:rPr>
          <w:rFonts w:cstheme="minorHAnsi"/>
          <w:b/>
          <w:bCs/>
        </w:rPr>
      </w:pPr>
      <w:r w:rsidRPr="002E27C7">
        <w:rPr>
          <w:rFonts w:cstheme="minorHAnsi"/>
          <w:b/>
          <w:bCs/>
        </w:rPr>
        <w:t>Statistical analysis</w:t>
      </w:r>
    </w:p>
    <w:p w14:paraId="4B9FF67C" w14:textId="38CA256B" w:rsidR="002E27C7" w:rsidRDefault="002E27C7" w:rsidP="007F377D">
      <w:pPr>
        <w:spacing w:line="480" w:lineRule="auto"/>
        <w:rPr>
          <w:rFonts w:cstheme="minorHAnsi"/>
        </w:rPr>
      </w:pPr>
      <w:r>
        <w:rPr>
          <w:rFonts w:cstheme="minorHAnsi"/>
        </w:rPr>
        <w:t>Statistical analysis was performed using SPSS 25 (</w:t>
      </w:r>
      <w:r w:rsidR="00117FF8">
        <w:rPr>
          <w:rFonts w:cstheme="minorHAnsi"/>
        </w:rPr>
        <w:t xml:space="preserve">IBM, SPSS Inc., </w:t>
      </w:r>
      <w:r>
        <w:rPr>
          <w:rFonts w:cstheme="minorHAnsi"/>
        </w:rPr>
        <w:t xml:space="preserve">NY, USA), GraphPad Prism </w:t>
      </w:r>
      <w:r w:rsidR="00117FF8">
        <w:rPr>
          <w:rFonts w:cstheme="minorHAnsi"/>
        </w:rPr>
        <w:t>9</w:t>
      </w:r>
      <w:r>
        <w:rPr>
          <w:rFonts w:cstheme="minorHAnsi"/>
        </w:rPr>
        <w:t xml:space="preserve"> (</w:t>
      </w:r>
      <w:proofErr w:type="spellStart"/>
      <w:r w:rsidR="00117FF8">
        <w:rPr>
          <w:rFonts w:cstheme="minorHAnsi"/>
        </w:rPr>
        <w:t>Graphpad</w:t>
      </w:r>
      <w:proofErr w:type="spellEnd"/>
      <w:r w:rsidR="00117FF8">
        <w:rPr>
          <w:rFonts w:cstheme="minorHAnsi"/>
        </w:rPr>
        <w:t xml:space="preserve"> Software, LLC, </w:t>
      </w:r>
      <w:r>
        <w:rPr>
          <w:rFonts w:cstheme="minorHAnsi"/>
        </w:rPr>
        <w:t>La Jolla, California, USA)</w:t>
      </w:r>
      <w:r w:rsidR="00F07106">
        <w:rPr>
          <w:rFonts w:cstheme="minorHAnsi"/>
        </w:rPr>
        <w:t xml:space="preserve">, </w:t>
      </w:r>
      <w:proofErr w:type="spellStart"/>
      <w:r w:rsidR="00F07106" w:rsidRPr="00F07106">
        <w:rPr>
          <w:rFonts w:cstheme="minorHAnsi"/>
        </w:rPr>
        <w:t>Venny's</w:t>
      </w:r>
      <w:proofErr w:type="spellEnd"/>
      <w:r w:rsidR="00F07106" w:rsidRPr="00F07106">
        <w:rPr>
          <w:rFonts w:cstheme="minorHAnsi"/>
        </w:rPr>
        <w:t xml:space="preserve"> on-line</w:t>
      </w:r>
      <w:r w:rsidR="00F07106">
        <w:rPr>
          <w:rFonts w:cstheme="minorHAnsi"/>
        </w:rPr>
        <w:t xml:space="preserve"> tool</w:t>
      </w:r>
      <w:r w:rsidR="002873E9" w:rsidRPr="002873E9">
        <w:rPr>
          <w:rFonts w:cstheme="minorHAnsi"/>
          <w:noProof/>
          <w:vertAlign w:val="superscript"/>
        </w:rPr>
        <w:t>15</w:t>
      </w:r>
      <w:r>
        <w:rPr>
          <w:rFonts w:cstheme="minorHAnsi"/>
        </w:rPr>
        <w:t xml:space="preserve"> and R (Vienna, Austria). Continuous clinical variables are presented as median</w:t>
      </w:r>
      <w:r w:rsidR="00361E0D">
        <w:rPr>
          <w:rFonts w:cstheme="minorHAnsi"/>
        </w:rPr>
        <w:t xml:space="preserve"> plus interquartile range</w:t>
      </w:r>
      <w:r>
        <w:rPr>
          <w:rFonts w:cstheme="minorHAnsi"/>
        </w:rPr>
        <w:t xml:space="preserve"> (IQR) and categorical variables as frequencies (percentages). Between group differences were assessed by Mann Whitney, Kruskal Wallis, Chi Squared or Fisher’s Exact test </w:t>
      </w:r>
      <w:r w:rsidR="00E40F9C">
        <w:rPr>
          <w:rFonts w:cstheme="minorHAnsi"/>
        </w:rPr>
        <w:t xml:space="preserve">as </w:t>
      </w:r>
      <w:r>
        <w:rPr>
          <w:rFonts w:cstheme="minorHAnsi"/>
        </w:rPr>
        <w:t>appropriate.</w:t>
      </w:r>
    </w:p>
    <w:p w14:paraId="21734FB8" w14:textId="77777777" w:rsidR="002873E9" w:rsidRDefault="003D72A7" w:rsidP="008736A2">
      <w:pPr>
        <w:spacing w:line="480" w:lineRule="auto"/>
        <w:rPr>
          <w:rFonts w:cstheme="minorHAnsi"/>
        </w:rPr>
      </w:pPr>
      <w:r>
        <w:rPr>
          <w:rFonts w:cstheme="minorHAnsi"/>
        </w:rPr>
        <w:t xml:space="preserve">For the cytokine </w:t>
      </w:r>
      <w:r w:rsidR="002873E9">
        <w:rPr>
          <w:rFonts w:cstheme="minorHAnsi"/>
        </w:rPr>
        <w:t xml:space="preserve">measurement and </w:t>
      </w:r>
      <w:r>
        <w:rPr>
          <w:rFonts w:cstheme="minorHAnsi"/>
        </w:rPr>
        <w:t>analysis</w:t>
      </w:r>
      <w:r w:rsidR="002873E9">
        <w:rPr>
          <w:rFonts w:cstheme="minorHAnsi"/>
        </w:rPr>
        <w:t>:</w:t>
      </w:r>
      <w:r w:rsidR="008736A2">
        <w:rPr>
          <w:rFonts w:cstheme="minorHAnsi"/>
        </w:rPr>
        <w:t xml:space="preserve"> </w:t>
      </w:r>
    </w:p>
    <w:p w14:paraId="6DF3A4D9" w14:textId="77777777" w:rsidR="002873E9" w:rsidRDefault="002873E9" w:rsidP="002873E9">
      <w:pPr>
        <w:spacing w:line="480" w:lineRule="auto"/>
        <w:rPr>
          <w:rFonts w:cstheme="minorHAnsi"/>
        </w:rPr>
      </w:pPr>
      <w:r w:rsidRPr="00595153">
        <w:rPr>
          <w:rFonts w:cstheme="minorHAnsi"/>
        </w:rPr>
        <w:t xml:space="preserve">Using </w:t>
      </w:r>
      <w:proofErr w:type="spellStart"/>
      <w:r w:rsidRPr="00595153">
        <w:rPr>
          <w:rFonts w:cstheme="minorHAnsi"/>
        </w:rPr>
        <w:t>Graphpad</w:t>
      </w:r>
      <w:proofErr w:type="spellEnd"/>
      <w:r w:rsidRPr="00595153">
        <w:rPr>
          <w:rFonts w:cstheme="minorHAnsi"/>
        </w:rPr>
        <w:t xml:space="preserve"> Prism 9, we </w:t>
      </w:r>
      <w:r>
        <w:rPr>
          <w:rFonts w:cstheme="minorHAnsi"/>
        </w:rPr>
        <w:t>used the</w:t>
      </w:r>
      <w:r w:rsidRPr="00595153">
        <w:rPr>
          <w:rFonts w:cstheme="minorHAnsi"/>
        </w:rPr>
        <w:t xml:space="preserve"> Kruskal-Wallis test on mean ranks and corrected for multiple comparisons using the Dunn’s test. Multiple comparisons were accounted for by controlling the False Discovery Rate with the two-stage step-up method of </w:t>
      </w:r>
      <w:proofErr w:type="spellStart"/>
      <w:r w:rsidRPr="00595153">
        <w:rPr>
          <w:rFonts w:cstheme="minorHAnsi"/>
        </w:rPr>
        <w:t>Benjamini</w:t>
      </w:r>
      <w:proofErr w:type="spellEnd"/>
      <w:r w:rsidRPr="00595153">
        <w:rPr>
          <w:rFonts w:cstheme="minorHAnsi"/>
        </w:rPr>
        <w:t xml:space="preserve">, Krieger and </w:t>
      </w:r>
      <w:proofErr w:type="spellStart"/>
      <w:r w:rsidRPr="00595153">
        <w:rPr>
          <w:rFonts w:cstheme="minorHAnsi"/>
        </w:rPr>
        <w:t>Yekutieli</w:t>
      </w:r>
      <w:proofErr w:type="spellEnd"/>
      <w:r w:rsidRPr="00595153">
        <w:rPr>
          <w:rFonts w:cstheme="minorHAnsi"/>
        </w:rPr>
        <w:t xml:space="preserve"> for comparing each cytokine between the T2-high and T2-low groups. As these tests showed no significant</w:t>
      </w:r>
      <w:r>
        <w:rPr>
          <w:rFonts w:cstheme="minorHAnsi"/>
          <w:b/>
          <w:bCs/>
        </w:rPr>
        <w:t xml:space="preserve"> </w:t>
      </w:r>
      <w:r w:rsidRPr="003D72A7">
        <w:rPr>
          <w:rFonts w:cstheme="minorHAnsi"/>
        </w:rPr>
        <w:t xml:space="preserve">differences, we used the non-parametric Mann-Whitney test on sum of and median ranks to compare the T2-high versus the T2-low group for each cytokine. </w:t>
      </w:r>
    </w:p>
    <w:p w14:paraId="20796793" w14:textId="6F09AE82" w:rsidR="00B21C62" w:rsidRPr="001F6AD9" w:rsidRDefault="00B21C62" w:rsidP="007F377D">
      <w:pPr>
        <w:spacing w:line="480" w:lineRule="auto"/>
        <w:rPr>
          <w:rFonts w:cstheme="minorHAnsi"/>
        </w:rPr>
      </w:pPr>
    </w:p>
    <w:p w14:paraId="5FD8453E" w14:textId="5112990F" w:rsidR="003F5B5D" w:rsidRDefault="009A244A" w:rsidP="007F377D">
      <w:pPr>
        <w:spacing w:line="480" w:lineRule="auto"/>
        <w:rPr>
          <w:rFonts w:cstheme="minorHAnsi"/>
          <w:b/>
          <w:bCs/>
        </w:rPr>
      </w:pPr>
      <w:r w:rsidRPr="00C56BEA">
        <w:rPr>
          <w:rFonts w:cstheme="minorHAnsi"/>
          <w:b/>
          <w:bCs/>
        </w:rPr>
        <w:t>Results</w:t>
      </w:r>
    </w:p>
    <w:p w14:paraId="6C804D6F" w14:textId="425910E7" w:rsidR="004379D2" w:rsidRDefault="00C55695" w:rsidP="007F377D">
      <w:pPr>
        <w:spacing w:line="480" w:lineRule="auto"/>
        <w:rPr>
          <w:rFonts w:cstheme="minorHAnsi"/>
        </w:rPr>
      </w:pPr>
      <w:r>
        <w:rPr>
          <w:rFonts w:cstheme="minorHAnsi"/>
        </w:rPr>
        <w:t>Of the 500 patients in the WATCH cohort</w:t>
      </w:r>
      <w:r w:rsidR="00CB36C5">
        <w:rPr>
          <w:rFonts w:cstheme="minorHAnsi"/>
        </w:rPr>
        <w:t xml:space="preserve">, 388 biologic naïve patients </w:t>
      </w:r>
      <w:r w:rsidR="00C77509">
        <w:rPr>
          <w:rFonts w:cstheme="minorHAnsi"/>
        </w:rPr>
        <w:t>(</w:t>
      </w:r>
      <w:r w:rsidR="00D36375">
        <w:rPr>
          <w:rFonts w:cstheme="minorHAnsi"/>
        </w:rPr>
        <w:t xml:space="preserve">either with </w:t>
      </w:r>
      <w:r w:rsidR="00C47FD2">
        <w:rPr>
          <w:rFonts w:cstheme="minorHAnsi"/>
        </w:rPr>
        <w:t xml:space="preserve">at least 1 </w:t>
      </w:r>
      <w:r w:rsidR="006147A9">
        <w:rPr>
          <w:rFonts w:cstheme="minorHAnsi"/>
        </w:rPr>
        <w:t xml:space="preserve">positive </w:t>
      </w:r>
      <w:r w:rsidR="00165D63">
        <w:rPr>
          <w:rFonts w:cstheme="minorHAnsi"/>
        </w:rPr>
        <w:t xml:space="preserve">GINA </w:t>
      </w:r>
      <w:r w:rsidR="00402775">
        <w:rPr>
          <w:rFonts w:cstheme="minorHAnsi"/>
        </w:rPr>
        <w:t xml:space="preserve">2021 defined T2-clinical </w:t>
      </w:r>
      <w:r w:rsidR="00806430">
        <w:rPr>
          <w:rFonts w:cstheme="minorHAnsi"/>
        </w:rPr>
        <w:t>parameter</w:t>
      </w:r>
      <w:r w:rsidR="00402775">
        <w:rPr>
          <w:rFonts w:cstheme="minorHAnsi"/>
        </w:rPr>
        <w:t xml:space="preserve"> or negative to all 4 of these parameters</w:t>
      </w:r>
      <w:r w:rsidR="00806430">
        <w:rPr>
          <w:rFonts w:cstheme="minorHAnsi"/>
        </w:rPr>
        <w:t>)</w:t>
      </w:r>
      <w:r w:rsidR="006147A9">
        <w:rPr>
          <w:rFonts w:cstheme="minorHAnsi"/>
        </w:rPr>
        <w:t xml:space="preserve"> </w:t>
      </w:r>
      <w:r w:rsidR="00CB36C5">
        <w:rPr>
          <w:rFonts w:cstheme="minorHAnsi"/>
        </w:rPr>
        <w:lastRenderedPageBreak/>
        <w:t>were i</w:t>
      </w:r>
      <w:r>
        <w:rPr>
          <w:rFonts w:cstheme="minorHAnsi"/>
        </w:rPr>
        <w:t>ncluded in the present analysis</w:t>
      </w:r>
      <w:r w:rsidR="00E12F17">
        <w:rPr>
          <w:rFonts w:cstheme="minorHAnsi"/>
        </w:rPr>
        <w:t xml:space="preserve"> (</w:t>
      </w:r>
      <w:r w:rsidR="00E12F17" w:rsidRPr="00A72DD4">
        <w:rPr>
          <w:rFonts w:cstheme="minorHAnsi"/>
          <w:b/>
          <w:bCs/>
        </w:rPr>
        <w:t>Supplementary Figure E1</w:t>
      </w:r>
      <w:r w:rsidR="00E12F17">
        <w:rPr>
          <w:rFonts w:cstheme="minorHAnsi"/>
        </w:rPr>
        <w:t>)</w:t>
      </w:r>
      <w:r>
        <w:rPr>
          <w:rFonts w:cstheme="minorHAnsi"/>
        </w:rPr>
        <w:t xml:space="preserve">. </w:t>
      </w:r>
      <w:r w:rsidR="00D07BA9">
        <w:rPr>
          <w:rFonts w:cstheme="minorHAnsi"/>
        </w:rPr>
        <w:t>Biologic naïve p</w:t>
      </w:r>
      <w:r w:rsidR="004379D2" w:rsidRPr="00B206A4">
        <w:rPr>
          <w:rFonts w:cstheme="minorHAnsi"/>
        </w:rPr>
        <w:t xml:space="preserve">atients </w:t>
      </w:r>
      <w:r w:rsidR="0083503E">
        <w:rPr>
          <w:rFonts w:cstheme="minorHAnsi"/>
        </w:rPr>
        <w:t xml:space="preserve">were </w:t>
      </w:r>
      <w:r w:rsidR="00421986">
        <w:rPr>
          <w:rFonts w:cstheme="minorHAnsi"/>
        </w:rPr>
        <w:t xml:space="preserve">comparable in core clinical characteristics </w:t>
      </w:r>
      <w:r w:rsidR="00CB36C5">
        <w:rPr>
          <w:rFonts w:cstheme="minorHAnsi"/>
        </w:rPr>
        <w:t>to the rest of</w:t>
      </w:r>
      <w:r w:rsidR="008C6FC2">
        <w:rPr>
          <w:rFonts w:cstheme="minorHAnsi"/>
        </w:rPr>
        <w:t xml:space="preserve"> the</w:t>
      </w:r>
      <w:r w:rsidR="00421986">
        <w:rPr>
          <w:rFonts w:cstheme="minorHAnsi"/>
        </w:rPr>
        <w:t xml:space="preserve"> WATCH </w:t>
      </w:r>
      <w:r w:rsidR="00CB36C5">
        <w:rPr>
          <w:rFonts w:cstheme="minorHAnsi"/>
        </w:rPr>
        <w:t>cohort</w:t>
      </w:r>
      <w:r w:rsidR="00393A04">
        <w:rPr>
          <w:rFonts w:cstheme="minorHAnsi"/>
        </w:rPr>
        <w:t xml:space="preserve"> </w:t>
      </w:r>
      <w:r w:rsidR="00633D66">
        <w:rPr>
          <w:rFonts w:cstheme="minorHAnsi"/>
        </w:rPr>
        <w:t>(</w:t>
      </w:r>
      <w:r w:rsidR="00633D66" w:rsidRPr="00EA1719">
        <w:rPr>
          <w:rFonts w:cstheme="minorHAnsi"/>
          <w:b/>
          <w:bCs/>
        </w:rPr>
        <w:t>Supplementary Table E</w:t>
      </w:r>
      <w:r w:rsidR="002873E9">
        <w:rPr>
          <w:rFonts w:cstheme="minorHAnsi"/>
          <w:b/>
          <w:bCs/>
        </w:rPr>
        <w:t>2</w:t>
      </w:r>
      <w:r w:rsidR="00633D66">
        <w:rPr>
          <w:rFonts w:cstheme="minorHAnsi"/>
        </w:rPr>
        <w:t>)</w:t>
      </w:r>
      <w:r w:rsidR="00771C3E">
        <w:rPr>
          <w:rFonts w:cstheme="minorHAnsi"/>
        </w:rPr>
        <w:t>.</w:t>
      </w:r>
    </w:p>
    <w:p w14:paraId="2F4094DF" w14:textId="77777777" w:rsidR="00A9729B" w:rsidRDefault="00A9729B" w:rsidP="007F377D">
      <w:pPr>
        <w:spacing w:line="480" w:lineRule="auto"/>
        <w:rPr>
          <w:rFonts w:cstheme="minorHAnsi"/>
        </w:rPr>
      </w:pPr>
    </w:p>
    <w:p w14:paraId="307543E2" w14:textId="2C482C5E" w:rsidR="009B2805" w:rsidRDefault="00804E27" w:rsidP="0053385B">
      <w:pPr>
        <w:rPr>
          <w:i/>
          <w:iCs/>
          <w:u w:val="single"/>
        </w:rPr>
      </w:pPr>
      <w:r w:rsidRPr="00AF0F1A">
        <w:rPr>
          <w:i/>
          <w:iCs/>
          <w:u w:val="single"/>
        </w:rPr>
        <w:t xml:space="preserve">T2-high </w:t>
      </w:r>
      <w:r w:rsidR="007221D2" w:rsidRPr="00AF0F1A">
        <w:rPr>
          <w:i/>
          <w:iCs/>
          <w:u w:val="single"/>
        </w:rPr>
        <w:t>status overwhelmingly predominates in patients with difficult-to-treat and severe asthma</w:t>
      </w:r>
      <w:r w:rsidR="00A75A53">
        <w:rPr>
          <w:i/>
          <w:iCs/>
          <w:u w:val="single"/>
        </w:rPr>
        <w:t>:</w:t>
      </w:r>
    </w:p>
    <w:p w14:paraId="67DAE0BF" w14:textId="77777777" w:rsidR="0098196F" w:rsidRPr="00A75A53" w:rsidRDefault="0098196F" w:rsidP="0053385B">
      <w:pPr>
        <w:rPr>
          <w:i/>
          <w:iCs/>
          <w:u w:val="single"/>
        </w:rPr>
      </w:pPr>
    </w:p>
    <w:p w14:paraId="7BC17762" w14:textId="0803A9B7" w:rsidR="008A63B2" w:rsidRDefault="009B2805" w:rsidP="007F74EC">
      <w:pPr>
        <w:spacing w:line="480" w:lineRule="auto"/>
        <w:rPr>
          <w:rFonts w:cstheme="minorHAnsi"/>
        </w:rPr>
      </w:pPr>
      <w:r>
        <w:rPr>
          <w:rFonts w:cstheme="minorHAnsi"/>
        </w:rPr>
        <w:t>T2-high status was identified in 93% (360/388)</w:t>
      </w:r>
      <w:r w:rsidR="00410FAE">
        <w:rPr>
          <w:rFonts w:cstheme="minorHAnsi"/>
        </w:rPr>
        <w:t xml:space="preserve"> of the biologic-naïve WATCH participants</w:t>
      </w:r>
      <w:r w:rsidR="00DC5E69">
        <w:rPr>
          <w:rFonts w:cstheme="minorHAnsi"/>
        </w:rPr>
        <w:t xml:space="preserve"> (</w:t>
      </w:r>
      <w:r w:rsidR="00DC5E69" w:rsidRPr="00633D66">
        <w:rPr>
          <w:rFonts w:cstheme="minorHAnsi"/>
          <w:b/>
          <w:bCs/>
        </w:rPr>
        <w:t xml:space="preserve">Table </w:t>
      </w:r>
      <w:r w:rsidR="00E84619" w:rsidRPr="00633D66">
        <w:rPr>
          <w:rFonts w:cstheme="minorHAnsi"/>
          <w:b/>
          <w:bCs/>
        </w:rPr>
        <w:t>1</w:t>
      </w:r>
      <w:r w:rsidR="00E84619">
        <w:rPr>
          <w:rFonts w:cstheme="minorHAnsi"/>
        </w:rPr>
        <w:t>)</w:t>
      </w:r>
      <w:r>
        <w:rPr>
          <w:rFonts w:cstheme="minorHAnsi"/>
        </w:rPr>
        <w:t>. Of these T2-high patients, 52.9% had a raised</w:t>
      </w:r>
      <w:r w:rsidRPr="00CA3667">
        <w:rPr>
          <w:rFonts w:cstheme="minorHAnsi"/>
        </w:rPr>
        <w:t xml:space="preserve"> </w:t>
      </w:r>
      <w:r>
        <w:rPr>
          <w:rFonts w:cstheme="minorHAnsi"/>
        </w:rPr>
        <w:t xml:space="preserve">FeNO, 66.3% had raised PBE, 29.5% were on </w:t>
      </w:r>
      <w:r w:rsidR="00EA1719">
        <w:rPr>
          <w:rFonts w:cstheme="minorHAnsi"/>
        </w:rPr>
        <w:t>m</w:t>
      </w:r>
      <w:r>
        <w:rPr>
          <w:rFonts w:cstheme="minorHAnsi"/>
        </w:rPr>
        <w:t>OCS and 50.6% had clinically allergen driven symptoms (</w:t>
      </w:r>
      <w:r w:rsidRPr="00633D66">
        <w:rPr>
          <w:rFonts w:cstheme="minorHAnsi"/>
          <w:b/>
          <w:bCs/>
        </w:rPr>
        <w:t>Figure 1</w:t>
      </w:r>
      <w:r w:rsidR="004F64C5" w:rsidRPr="00E01A38">
        <w:rPr>
          <w:rFonts w:cstheme="minorHAnsi"/>
          <w:b/>
          <w:bCs/>
        </w:rPr>
        <w:t>,A-</w:t>
      </w:r>
      <w:r w:rsidR="00172C0E" w:rsidRPr="00E01A38">
        <w:rPr>
          <w:rFonts w:cstheme="minorHAnsi"/>
          <w:b/>
          <w:bCs/>
        </w:rPr>
        <w:t>D</w:t>
      </w:r>
      <w:r>
        <w:rPr>
          <w:rFonts w:cstheme="minorHAnsi"/>
        </w:rPr>
        <w:t>).</w:t>
      </w:r>
      <w:r w:rsidR="00801BF2">
        <w:rPr>
          <w:rFonts w:cstheme="minorHAnsi"/>
        </w:rPr>
        <w:t xml:space="preserve"> Of the 314</w:t>
      </w:r>
      <w:r w:rsidR="00151D1A">
        <w:rPr>
          <w:rFonts w:cstheme="minorHAnsi"/>
        </w:rPr>
        <w:t>/388</w:t>
      </w:r>
      <w:r w:rsidR="00801BF2">
        <w:rPr>
          <w:rFonts w:cstheme="minorHAnsi"/>
        </w:rPr>
        <w:t xml:space="preserve"> patients that had all 4 criteria measured, </w:t>
      </w:r>
      <w:r w:rsidR="00861F00">
        <w:rPr>
          <w:rFonts w:cstheme="minorHAnsi"/>
        </w:rPr>
        <w:t>4.8</w:t>
      </w:r>
      <w:r w:rsidR="00084B47">
        <w:rPr>
          <w:rFonts w:cstheme="minorHAnsi"/>
        </w:rPr>
        <w:t>% (</w:t>
      </w:r>
      <w:r w:rsidR="00356BEA">
        <w:rPr>
          <w:rFonts w:cstheme="minorHAnsi"/>
        </w:rPr>
        <w:t>n=</w:t>
      </w:r>
      <w:r w:rsidR="00084B47">
        <w:rPr>
          <w:rFonts w:cstheme="minorHAnsi"/>
        </w:rPr>
        <w:t>15) fulfilled all 4 criteria, 3</w:t>
      </w:r>
      <w:r w:rsidR="008B0F20">
        <w:rPr>
          <w:rFonts w:cstheme="minorHAnsi"/>
        </w:rPr>
        <w:t>6.9</w:t>
      </w:r>
      <w:r w:rsidR="00084B47">
        <w:rPr>
          <w:rFonts w:cstheme="minorHAnsi"/>
        </w:rPr>
        <w:t xml:space="preserve">% </w:t>
      </w:r>
      <w:r w:rsidR="00792C67">
        <w:rPr>
          <w:rFonts w:cstheme="minorHAnsi"/>
        </w:rPr>
        <w:t>(</w:t>
      </w:r>
      <w:r w:rsidR="00356BEA">
        <w:rPr>
          <w:rFonts w:cstheme="minorHAnsi"/>
        </w:rPr>
        <w:t>n=</w:t>
      </w:r>
      <w:r w:rsidR="00792C67">
        <w:rPr>
          <w:rFonts w:cstheme="minorHAnsi"/>
        </w:rPr>
        <w:t xml:space="preserve">116) </w:t>
      </w:r>
      <w:r w:rsidR="00084B47">
        <w:rPr>
          <w:rFonts w:cstheme="minorHAnsi"/>
        </w:rPr>
        <w:t xml:space="preserve">had raised PBE and allergy associated symptoms, </w:t>
      </w:r>
      <w:r w:rsidR="00921B91">
        <w:rPr>
          <w:rFonts w:cstheme="minorHAnsi"/>
        </w:rPr>
        <w:t>30.8%</w:t>
      </w:r>
      <w:r w:rsidR="008E37EC">
        <w:rPr>
          <w:rFonts w:cstheme="minorHAnsi"/>
        </w:rPr>
        <w:t xml:space="preserve"> (</w:t>
      </w:r>
      <w:r w:rsidR="00472340">
        <w:rPr>
          <w:rFonts w:cstheme="minorHAnsi"/>
        </w:rPr>
        <w:t>n=97</w:t>
      </w:r>
      <w:r w:rsidR="008E37EC">
        <w:rPr>
          <w:rFonts w:cstheme="minorHAnsi"/>
        </w:rPr>
        <w:t>) had raised PBE and FeNO, 30</w:t>
      </w:r>
      <w:r w:rsidR="00900FC0">
        <w:rPr>
          <w:rFonts w:cstheme="minorHAnsi"/>
        </w:rPr>
        <w:t>.3</w:t>
      </w:r>
      <w:r w:rsidR="008E37EC">
        <w:rPr>
          <w:rFonts w:cstheme="minorHAnsi"/>
        </w:rPr>
        <w:t xml:space="preserve">% </w:t>
      </w:r>
      <w:r w:rsidR="00900FC0">
        <w:rPr>
          <w:rFonts w:cstheme="minorHAnsi"/>
        </w:rPr>
        <w:t xml:space="preserve">(n=95) </w:t>
      </w:r>
      <w:r w:rsidR="008E37EC">
        <w:rPr>
          <w:rFonts w:cstheme="minorHAnsi"/>
        </w:rPr>
        <w:t>had raised FeNO and allergy associated symptoms</w:t>
      </w:r>
      <w:r w:rsidR="003C1E54">
        <w:rPr>
          <w:rFonts w:cstheme="minorHAnsi"/>
        </w:rPr>
        <w:t xml:space="preserve"> and 25.9% </w:t>
      </w:r>
      <w:r w:rsidR="004B0CA6">
        <w:rPr>
          <w:rFonts w:cstheme="minorHAnsi"/>
        </w:rPr>
        <w:t xml:space="preserve">(n=81) </w:t>
      </w:r>
      <w:r w:rsidR="00347957">
        <w:rPr>
          <w:rFonts w:cstheme="minorHAnsi"/>
        </w:rPr>
        <w:t xml:space="preserve"> </w:t>
      </w:r>
      <w:r w:rsidR="00084B47">
        <w:rPr>
          <w:rFonts w:cstheme="minorHAnsi"/>
        </w:rPr>
        <w:t xml:space="preserve">were on mOCS and still had a raised FeNO </w:t>
      </w:r>
      <w:r w:rsidR="004B0CA6">
        <w:rPr>
          <w:rFonts w:cstheme="minorHAnsi"/>
        </w:rPr>
        <w:t>or</w:t>
      </w:r>
      <w:r w:rsidR="00084B47">
        <w:rPr>
          <w:rFonts w:cstheme="minorHAnsi"/>
        </w:rPr>
        <w:t xml:space="preserve"> PBE (</w:t>
      </w:r>
      <w:r w:rsidR="00084B47" w:rsidRPr="00633D66">
        <w:rPr>
          <w:rFonts w:cstheme="minorHAnsi"/>
          <w:b/>
          <w:bCs/>
        </w:rPr>
        <w:t>Figure 2</w:t>
      </w:r>
      <w:r w:rsidR="00084B47">
        <w:rPr>
          <w:rFonts w:cstheme="minorHAnsi"/>
        </w:rPr>
        <w:t>).</w:t>
      </w:r>
      <w:r w:rsidR="007F74EC">
        <w:rPr>
          <w:rFonts w:cstheme="minorHAnsi"/>
        </w:rPr>
        <w:t xml:space="preserve"> </w:t>
      </w:r>
      <w:r w:rsidR="008A63B2">
        <w:rPr>
          <w:rFonts w:cstheme="minorHAnsi"/>
        </w:rPr>
        <w:t>PBE and FeNO are commonly used T2-biomarkers</w:t>
      </w:r>
      <w:r w:rsidR="00971E8C">
        <w:rPr>
          <w:rFonts w:cstheme="minorHAnsi"/>
        </w:rPr>
        <w:t xml:space="preserve"> and </w:t>
      </w:r>
      <w:r w:rsidR="0056608A">
        <w:rPr>
          <w:rFonts w:cstheme="minorHAnsi"/>
        </w:rPr>
        <w:t>80% (n=251) of patients had either one biomarker raised at baseline with</w:t>
      </w:r>
      <w:r w:rsidR="00EB095C">
        <w:rPr>
          <w:rFonts w:cstheme="minorHAnsi"/>
        </w:rPr>
        <w:t xml:space="preserve"> PBE historically raised in a further 30 patients.</w:t>
      </w:r>
    </w:p>
    <w:p w14:paraId="10FABD2A" w14:textId="245C150A" w:rsidR="002873E9" w:rsidRDefault="002873E9" w:rsidP="002873E9">
      <w:pPr>
        <w:spacing w:line="480" w:lineRule="auto"/>
        <w:rPr>
          <w:rFonts w:cstheme="minorHAnsi"/>
        </w:rPr>
      </w:pPr>
      <w:r>
        <w:rPr>
          <w:rFonts w:cstheme="minorHAnsi"/>
        </w:rPr>
        <w:t>Generally in clinical practice, higher thresholds for PBE and FeNO are used to identify patients with T2-high disease, especially when considering elig</w:t>
      </w:r>
      <w:r w:rsidR="00A72DD4">
        <w:rPr>
          <w:rFonts w:cstheme="minorHAnsi"/>
        </w:rPr>
        <w:t>i</w:t>
      </w:r>
      <w:r>
        <w:rPr>
          <w:rFonts w:cstheme="minorHAnsi"/>
        </w:rPr>
        <w:t xml:space="preserve">bility criteria for biologic therapy. We therefore reviewed the proportion of T2-high and T2-low asthma in our cohort using PBE ≥300 cells/l and FeNO≥25ppb (along with mOCS use and allergic tendencies). This analysis revealed that 81% of patients (316/388) could be classified as T2-high (versus 93% classified as T2-high using the lower thresholds for PBE and FeNO). Omission of OCS use as a criteria for T2-high disease revealed 75% (291/388) </w:t>
      </w:r>
      <w:r w:rsidR="00A72DD4">
        <w:rPr>
          <w:rFonts w:cstheme="minorHAnsi"/>
        </w:rPr>
        <w:t>w</w:t>
      </w:r>
      <w:r>
        <w:rPr>
          <w:rFonts w:cstheme="minorHAnsi"/>
        </w:rPr>
        <w:t xml:space="preserve">ould </w:t>
      </w:r>
      <w:r w:rsidR="00A72DD4">
        <w:rPr>
          <w:rFonts w:cstheme="minorHAnsi"/>
        </w:rPr>
        <w:t>still</w:t>
      </w:r>
      <w:r w:rsidR="00B67F4D">
        <w:rPr>
          <w:rFonts w:cstheme="minorHAnsi"/>
        </w:rPr>
        <w:t xml:space="preserve"> </w:t>
      </w:r>
      <w:r>
        <w:rPr>
          <w:rFonts w:cstheme="minorHAnsi"/>
        </w:rPr>
        <w:t>be classified as T2-high.</w:t>
      </w:r>
    </w:p>
    <w:p w14:paraId="4B55C7C1" w14:textId="77777777" w:rsidR="0053385B" w:rsidRDefault="0053385B" w:rsidP="007F74EC">
      <w:pPr>
        <w:spacing w:line="480" w:lineRule="auto"/>
        <w:rPr>
          <w:rFonts w:cstheme="minorHAnsi"/>
        </w:rPr>
      </w:pPr>
    </w:p>
    <w:p w14:paraId="5481F1FB" w14:textId="026726AE" w:rsidR="007F74EC" w:rsidRDefault="002873E9" w:rsidP="007F74EC">
      <w:pPr>
        <w:spacing w:line="480" w:lineRule="auto"/>
        <w:rPr>
          <w:rFonts w:cstheme="minorHAnsi"/>
        </w:rPr>
      </w:pPr>
      <w:r>
        <w:rPr>
          <w:rFonts w:cstheme="minorHAnsi"/>
        </w:rPr>
        <w:lastRenderedPageBreak/>
        <w:t>Using the previously defined GINA 2021 T2-classification, e</w:t>
      </w:r>
      <w:r w:rsidR="00952A77">
        <w:rPr>
          <w:rFonts w:cstheme="minorHAnsi"/>
        </w:rPr>
        <w:t xml:space="preserve">ight </w:t>
      </w:r>
      <w:r w:rsidR="007F74EC" w:rsidRPr="007F74EC">
        <w:rPr>
          <w:rFonts w:cstheme="minorHAnsi"/>
        </w:rPr>
        <w:t xml:space="preserve">patients were classified as T2-high solely based on the need for mOCS. </w:t>
      </w:r>
      <w:r w:rsidR="00004F9A">
        <w:rPr>
          <w:rFonts w:cstheme="minorHAnsi"/>
        </w:rPr>
        <w:t>Deeper sc</w:t>
      </w:r>
      <w:r w:rsidR="00603DA9">
        <w:rPr>
          <w:rFonts w:cstheme="minorHAnsi"/>
        </w:rPr>
        <w:t>rutiny</w:t>
      </w:r>
      <w:r w:rsidR="007F74EC" w:rsidRPr="007F74EC">
        <w:rPr>
          <w:rFonts w:cstheme="minorHAnsi"/>
        </w:rPr>
        <w:t xml:space="preserve"> of these patients showed that 2 had historical evidence of PBE ≥</w:t>
      </w:r>
      <w:r w:rsidR="0056608A">
        <w:rPr>
          <w:rFonts w:cstheme="minorHAnsi"/>
        </w:rPr>
        <w:t>15</w:t>
      </w:r>
      <w:r w:rsidR="007F74EC" w:rsidRPr="007F74EC">
        <w:rPr>
          <w:rFonts w:cstheme="minorHAnsi"/>
        </w:rPr>
        <w:t>0 cells/</w:t>
      </w:r>
      <w:r w:rsidR="007F74EC" w:rsidRPr="007F74EC">
        <w:rPr>
          <w:rFonts w:cstheme="minorHAnsi"/>
        </w:rPr>
        <w:sym w:font="Symbol" w:char="F06D"/>
      </w:r>
      <w:r w:rsidR="007F74EC" w:rsidRPr="007F74EC">
        <w:rPr>
          <w:rFonts w:cstheme="minorHAnsi"/>
        </w:rPr>
        <w:t xml:space="preserve">l, </w:t>
      </w:r>
      <w:r w:rsidR="00DA2D91">
        <w:rPr>
          <w:rFonts w:cstheme="minorHAnsi"/>
        </w:rPr>
        <w:t xml:space="preserve">while </w:t>
      </w:r>
      <w:r w:rsidR="007F74EC" w:rsidRPr="007F74EC">
        <w:rPr>
          <w:rFonts w:cstheme="minorHAnsi"/>
        </w:rPr>
        <w:t>1 patient developed raised PBE ≥</w:t>
      </w:r>
      <w:r w:rsidR="0056608A">
        <w:rPr>
          <w:rFonts w:cstheme="minorHAnsi"/>
        </w:rPr>
        <w:t>15</w:t>
      </w:r>
      <w:r w:rsidR="007F74EC" w:rsidRPr="007F74EC">
        <w:rPr>
          <w:rFonts w:cstheme="minorHAnsi"/>
        </w:rPr>
        <w:t>0 cells/</w:t>
      </w:r>
      <w:r w:rsidR="007F74EC" w:rsidRPr="007F74EC">
        <w:rPr>
          <w:rFonts w:cstheme="minorHAnsi"/>
        </w:rPr>
        <w:sym w:font="Symbol" w:char="F06D"/>
      </w:r>
      <w:r w:rsidR="007F74EC" w:rsidRPr="007F74EC">
        <w:rPr>
          <w:rFonts w:cstheme="minorHAnsi"/>
        </w:rPr>
        <w:t xml:space="preserve">L during the follow-up period </w:t>
      </w:r>
      <w:r w:rsidR="00294A0B">
        <w:rPr>
          <w:rFonts w:cstheme="minorHAnsi"/>
        </w:rPr>
        <w:t>after study enrolment</w:t>
      </w:r>
      <w:r w:rsidR="0070148B">
        <w:rPr>
          <w:rFonts w:cstheme="minorHAnsi"/>
        </w:rPr>
        <w:t>. A</w:t>
      </w:r>
      <w:r w:rsidR="007F74EC" w:rsidRPr="007F74EC">
        <w:rPr>
          <w:rFonts w:cstheme="minorHAnsi"/>
        </w:rPr>
        <w:t xml:space="preserve"> further 1 patient was found to have confirmed sensiti</w:t>
      </w:r>
      <w:r w:rsidR="00DA2D91">
        <w:rPr>
          <w:rFonts w:cstheme="minorHAnsi"/>
        </w:rPr>
        <w:t>z</w:t>
      </w:r>
      <w:r w:rsidR="007F74EC" w:rsidRPr="007F74EC">
        <w:rPr>
          <w:rFonts w:cstheme="minorHAnsi"/>
        </w:rPr>
        <w:t xml:space="preserve">ation to a perennial aeroallergen and was subsequently commenced on anti-IgE therapy indicating the presence of other markers of T2-high disease in most of these patients. </w:t>
      </w:r>
      <w:r w:rsidR="001E46DC">
        <w:rPr>
          <w:rFonts w:cstheme="minorHAnsi"/>
        </w:rPr>
        <w:t xml:space="preserve">The </w:t>
      </w:r>
      <w:r w:rsidR="00004908">
        <w:rPr>
          <w:rFonts w:cstheme="minorHAnsi"/>
        </w:rPr>
        <w:t xml:space="preserve">remaining </w:t>
      </w:r>
      <w:r w:rsidR="000A0A99">
        <w:rPr>
          <w:rFonts w:cstheme="minorHAnsi"/>
        </w:rPr>
        <w:t xml:space="preserve">4 patients did not show </w:t>
      </w:r>
      <w:r w:rsidR="00E83992">
        <w:rPr>
          <w:rFonts w:cstheme="minorHAnsi"/>
        </w:rPr>
        <w:t xml:space="preserve">other </w:t>
      </w:r>
      <w:r w:rsidR="00EB095C">
        <w:rPr>
          <w:rFonts w:cstheme="minorHAnsi"/>
        </w:rPr>
        <w:t xml:space="preserve">or </w:t>
      </w:r>
      <w:r w:rsidR="00E83992">
        <w:rPr>
          <w:rFonts w:cstheme="minorHAnsi"/>
        </w:rPr>
        <w:t xml:space="preserve">historical </w:t>
      </w:r>
      <w:r w:rsidR="00004908">
        <w:rPr>
          <w:rFonts w:cstheme="minorHAnsi"/>
        </w:rPr>
        <w:t>evidence of T2-high disease.</w:t>
      </w:r>
      <w:r>
        <w:rPr>
          <w:rFonts w:cstheme="minorHAnsi"/>
        </w:rPr>
        <w:t xml:space="preserve"> </w:t>
      </w:r>
    </w:p>
    <w:p w14:paraId="03355BB3" w14:textId="77777777" w:rsidR="002873E9" w:rsidRPr="007F74EC" w:rsidRDefault="002873E9" w:rsidP="007F74EC">
      <w:pPr>
        <w:spacing w:line="480" w:lineRule="auto"/>
        <w:rPr>
          <w:rFonts w:cstheme="minorHAnsi"/>
        </w:rPr>
      </w:pPr>
    </w:p>
    <w:p w14:paraId="65B3D0BB" w14:textId="2C017711" w:rsidR="00FC702B" w:rsidRPr="00DA2D91" w:rsidRDefault="00852517" w:rsidP="009B2805">
      <w:pPr>
        <w:spacing w:line="480" w:lineRule="auto"/>
        <w:rPr>
          <w:rFonts w:cstheme="minorHAnsi"/>
          <w:i/>
          <w:iCs/>
          <w:u w:val="single"/>
        </w:rPr>
      </w:pPr>
      <w:r w:rsidRPr="00151D1A">
        <w:rPr>
          <w:rFonts w:cstheme="minorHAnsi"/>
          <w:i/>
          <w:iCs/>
          <w:u w:val="single"/>
        </w:rPr>
        <w:t>Similarities</w:t>
      </w:r>
      <w:r w:rsidRPr="00151D1A">
        <w:rPr>
          <w:rFonts w:cstheme="minorHAnsi"/>
          <w:u w:val="single"/>
        </w:rPr>
        <w:t xml:space="preserve"> and</w:t>
      </w:r>
      <w:r>
        <w:rPr>
          <w:rFonts w:cstheme="minorHAnsi"/>
        </w:rPr>
        <w:t xml:space="preserve"> </w:t>
      </w:r>
      <w:r>
        <w:rPr>
          <w:rFonts w:cstheme="minorHAnsi"/>
          <w:i/>
          <w:iCs/>
          <w:u w:val="single"/>
        </w:rPr>
        <w:t>d</w:t>
      </w:r>
      <w:r w:rsidR="00546781">
        <w:rPr>
          <w:rFonts w:cstheme="minorHAnsi"/>
          <w:i/>
          <w:iCs/>
          <w:u w:val="single"/>
        </w:rPr>
        <w:t xml:space="preserve">ifferences in </w:t>
      </w:r>
      <w:r>
        <w:rPr>
          <w:rFonts w:cstheme="minorHAnsi"/>
          <w:i/>
          <w:iCs/>
          <w:u w:val="single"/>
        </w:rPr>
        <w:t>c</w:t>
      </w:r>
      <w:r w:rsidR="00546781">
        <w:rPr>
          <w:rFonts w:cstheme="minorHAnsi"/>
          <w:i/>
          <w:iCs/>
          <w:u w:val="single"/>
        </w:rPr>
        <w:t>haracteristics</w:t>
      </w:r>
      <w:r w:rsidR="00694986" w:rsidRPr="00DA2D91">
        <w:rPr>
          <w:rFonts w:cstheme="minorHAnsi"/>
          <w:i/>
          <w:iCs/>
          <w:u w:val="single"/>
        </w:rPr>
        <w:t xml:space="preserve"> of </w:t>
      </w:r>
      <w:r w:rsidR="00644F71" w:rsidRPr="00DA2D91">
        <w:rPr>
          <w:rFonts w:cstheme="minorHAnsi"/>
          <w:i/>
          <w:iCs/>
          <w:u w:val="single"/>
        </w:rPr>
        <w:t xml:space="preserve">T2-high and T2-low asthma </w:t>
      </w:r>
      <w:r w:rsidR="00FC702B" w:rsidRPr="00DA2D91">
        <w:rPr>
          <w:rFonts w:cstheme="minorHAnsi"/>
          <w:i/>
          <w:iCs/>
          <w:u w:val="single"/>
        </w:rPr>
        <w:t>patients:</w:t>
      </w:r>
    </w:p>
    <w:p w14:paraId="4178B270" w14:textId="6DEA4030" w:rsidR="00A436E5" w:rsidRPr="00A436E5" w:rsidRDefault="009B2805" w:rsidP="00A436E5">
      <w:pPr>
        <w:spacing w:line="480" w:lineRule="auto"/>
        <w:rPr>
          <w:rFonts w:cstheme="minorHAnsi"/>
        </w:rPr>
      </w:pPr>
      <w:r>
        <w:rPr>
          <w:rFonts w:cstheme="minorHAnsi"/>
        </w:rPr>
        <w:t xml:space="preserve">Patients classified as T2-high status had similar age of asthma onset as those who were classified as T2-low. While there was a female predominance overall, the proportion of men was similar </w:t>
      </w:r>
      <w:r w:rsidR="001B4B0E">
        <w:rPr>
          <w:rFonts w:cstheme="minorHAnsi"/>
        </w:rPr>
        <w:t>for</w:t>
      </w:r>
      <w:r>
        <w:rPr>
          <w:rFonts w:cstheme="minorHAnsi"/>
        </w:rPr>
        <w:t xml:space="preserve"> T2-high and T2-low group</w:t>
      </w:r>
      <w:r w:rsidR="001B4B0E">
        <w:rPr>
          <w:rFonts w:cstheme="minorHAnsi"/>
        </w:rPr>
        <w:t>s</w:t>
      </w:r>
      <w:r>
        <w:rPr>
          <w:rFonts w:cstheme="minorHAnsi"/>
        </w:rPr>
        <w:t xml:space="preserve">. Similarly, there were no differences in BMI, </w:t>
      </w:r>
      <w:r w:rsidR="00FA4229">
        <w:rPr>
          <w:rFonts w:cstheme="minorHAnsi"/>
        </w:rPr>
        <w:t xml:space="preserve">or </w:t>
      </w:r>
      <w:r>
        <w:rPr>
          <w:rFonts w:cstheme="minorHAnsi"/>
        </w:rPr>
        <w:t xml:space="preserve">proportion of never smokers </w:t>
      </w:r>
      <w:r w:rsidR="00E4236E">
        <w:rPr>
          <w:rFonts w:cstheme="minorHAnsi"/>
        </w:rPr>
        <w:t>between</w:t>
      </w:r>
      <w:r>
        <w:rPr>
          <w:rFonts w:cstheme="minorHAnsi"/>
        </w:rPr>
        <w:t xml:space="preserve"> T2-high and T2-low asthma</w:t>
      </w:r>
      <w:r w:rsidR="00DC526C">
        <w:rPr>
          <w:rFonts w:cstheme="minorHAnsi"/>
        </w:rPr>
        <w:t xml:space="preserve"> patients</w:t>
      </w:r>
      <w:r>
        <w:rPr>
          <w:rFonts w:cstheme="minorHAnsi"/>
        </w:rPr>
        <w:t xml:space="preserve">. </w:t>
      </w:r>
      <w:r w:rsidR="00B843FF">
        <w:rPr>
          <w:rFonts w:cstheme="minorHAnsi"/>
        </w:rPr>
        <w:t xml:space="preserve">Prevalence </w:t>
      </w:r>
      <w:r w:rsidR="00A436E5" w:rsidRPr="00A436E5">
        <w:rPr>
          <w:rFonts w:cstheme="minorHAnsi"/>
        </w:rPr>
        <w:t>of other comorbidities commonly associated with asthma, including eczema, gastro-oesophageal reflux disease (GORD), rhinitis, breathing pattern disorder, anxiety</w:t>
      </w:r>
      <w:r w:rsidR="00B77BBE">
        <w:rPr>
          <w:rFonts w:cstheme="minorHAnsi"/>
        </w:rPr>
        <w:t>,</w:t>
      </w:r>
      <w:r w:rsidR="00A436E5" w:rsidRPr="00A436E5">
        <w:rPr>
          <w:rFonts w:cstheme="minorHAnsi"/>
        </w:rPr>
        <w:t xml:space="preserve"> bronchiectasis </w:t>
      </w:r>
      <w:r w:rsidR="00B77BBE">
        <w:rPr>
          <w:rFonts w:cstheme="minorHAnsi"/>
        </w:rPr>
        <w:t xml:space="preserve">and obesity </w:t>
      </w:r>
      <w:r w:rsidR="00A436E5" w:rsidRPr="00A436E5">
        <w:rPr>
          <w:rFonts w:cstheme="minorHAnsi"/>
        </w:rPr>
        <w:t>was similar in patients classified as T2-high or T2-low</w:t>
      </w:r>
      <w:r w:rsidR="004B0D31">
        <w:rPr>
          <w:rFonts w:cstheme="minorHAnsi"/>
        </w:rPr>
        <w:t xml:space="preserve"> (</w:t>
      </w:r>
      <w:r w:rsidR="004B0D31" w:rsidRPr="00633D66">
        <w:rPr>
          <w:rFonts w:cstheme="minorHAnsi"/>
          <w:b/>
          <w:bCs/>
        </w:rPr>
        <w:t>Table 2</w:t>
      </w:r>
      <w:r w:rsidR="004B0D31">
        <w:rPr>
          <w:rFonts w:cstheme="minorHAnsi"/>
        </w:rPr>
        <w:t>)</w:t>
      </w:r>
      <w:r w:rsidR="0053385B">
        <w:rPr>
          <w:rFonts w:cstheme="minorHAnsi"/>
        </w:rPr>
        <w:t>.</w:t>
      </w:r>
      <w:r w:rsidR="00A436E5" w:rsidRPr="00A436E5">
        <w:rPr>
          <w:rFonts w:cstheme="minorHAnsi"/>
        </w:rPr>
        <w:t xml:space="preserve"> </w:t>
      </w:r>
    </w:p>
    <w:p w14:paraId="4E623AC5" w14:textId="77777777" w:rsidR="00A436E5" w:rsidRPr="00A436E5" w:rsidRDefault="00A436E5" w:rsidP="00A436E5">
      <w:pPr>
        <w:spacing w:line="480" w:lineRule="auto"/>
        <w:rPr>
          <w:rFonts w:cstheme="minorHAnsi"/>
        </w:rPr>
      </w:pPr>
    </w:p>
    <w:p w14:paraId="2975675E" w14:textId="4EAD5C36" w:rsidR="00A436E5" w:rsidRPr="00A436E5" w:rsidRDefault="00A436E5" w:rsidP="00A436E5">
      <w:pPr>
        <w:spacing w:line="480" w:lineRule="auto"/>
        <w:rPr>
          <w:rFonts w:cstheme="minorHAnsi"/>
        </w:rPr>
      </w:pPr>
      <w:r w:rsidRPr="00A436E5">
        <w:rPr>
          <w:rFonts w:cstheme="minorHAnsi"/>
        </w:rPr>
        <w:t xml:space="preserve">T2-high </w:t>
      </w:r>
      <w:r w:rsidR="00B06CF6">
        <w:rPr>
          <w:rFonts w:cstheme="minorHAnsi"/>
        </w:rPr>
        <w:t xml:space="preserve">asthma patients </w:t>
      </w:r>
      <w:r w:rsidRPr="00A436E5">
        <w:rPr>
          <w:rFonts w:cstheme="minorHAnsi"/>
        </w:rPr>
        <w:t xml:space="preserve">had </w:t>
      </w:r>
      <w:r w:rsidR="004B0D31">
        <w:rPr>
          <w:rFonts w:cstheme="minorHAnsi"/>
        </w:rPr>
        <w:t xml:space="preserve">significantly worse </w:t>
      </w:r>
      <w:r w:rsidRPr="00A436E5">
        <w:rPr>
          <w:rFonts w:cstheme="minorHAnsi"/>
        </w:rPr>
        <w:t xml:space="preserve">airflow limitation </w:t>
      </w:r>
      <w:r w:rsidR="00E8489C">
        <w:rPr>
          <w:rFonts w:cstheme="minorHAnsi"/>
        </w:rPr>
        <w:t>(</w:t>
      </w:r>
      <w:r w:rsidR="00E8489C" w:rsidRPr="00A436E5">
        <w:rPr>
          <w:rFonts w:cstheme="minorHAnsi"/>
        </w:rPr>
        <w:t>FEV</w:t>
      </w:r>
      <w:r w:rsidR="00E8489C" w:rsidRPr="00A436E5">
        <w:rPr>
          <w:rFonts w:cstheme="minorHAnsi"/>
          <w:vertAlign w:val="subscript"/>
        </w:rPr>
        <w:t>1</w:t>
      </w:r>
      <w:r w:rsidR="00E8489C" w:rsidRPr="00A436E5">
        <w:rPr>
          <w:rFonts w:cstheme="minorHAnsi"/>
        </w:rPr>
        <w:t>/FVC 65.9% vs 74.6%</w:t>
      </w:r>
      <w:r w:rsidR="00E8489C">
        <w:rPr>
          <w:rFonts w:cstheme="minorHAnsi"/>
        </w:rPr>
        <w:t>)</w:t>
      </w:r>
      <w:r w:rsidR="00163EBE">
        <w:rPr>
          <w:rFonts w:cstheme="minorHAnsi"/>
        </w:rPr>
        <w:t xml:space="preserve"> (</w:t>
      </w:r>
      <w:r w:rsidR="00163EBE" w:rsidRPr="00633D66">
        <w:rPr>
          <w:rFonts w:cstheme="minorHAnsi"/>
          <w:b/>
          <w:bCs/>
        </w:rPr>
        <w:t>Figure 3</w:t>
      </w:r>
      <w:r w:rsidR="00163EBE" w:rsidRPr="00E01A38">
        <w:rPr>
          <w:rFonts w:cstheme="minorHAnsi"/>
          <w:b/>
          <w:bCs/>
        </w:rPr>
        <w:t>,</w:t>
      </w:r>
      <w:r w:rsidR="001C54C1" w:rsidRPr="00E01A38">
        <w:rPr>
          <w:rFonts w:cstheme="minorHAnsi"/>
          <w:b/>
          <w:bCs/>
        </w:rPr>
        <w:t xml:space="preserve"> </w:t>
      </w:r>
      <w:r w:rsidR="00163EBE" w:rsidRPr="00E01A38">
        <w:rPr>
          <w:rFonts w:cstheme="minorHAnsi"/>
          <w:b/>
          <w:bCs/>
        </w:rPr>
        <w:t>A-C</w:t>
      </w:r>
      <w:r w:rsidR="00163EBE">
        <w:rPr>
          <w:rFonts w:cstheme="minorHAnsi"/>
        </w:rPr>
        <w:t>)</w:t>
      </w:r>
      <w:r w:rsidR="00E8489C">
        <w:rPr>
          <w:rFonts w:cstheme="minorHAnsi"/>
        </w:rPr>
        <w:t xml:space="preserve"> </w:t>
      </w:r>
      <w:r w:rsidR="00B25313">
        <w:rPr>
          <w:rFonts w:cstheme="minorHAnsi"/>
        </w:rPr>
        <w:t xml:space="preserve">and </w:t>
      </w:r>
      <w:r w:rsidR="00B25313" w:rsidRPr="00A436E5">
        <w:rPr>
          <w:rFonts w:cstheme="minorHAnsi"/>
        </w:rPr>
        <w:t>MEF</w:t>
      </w:r>
      <w:r w:rsidR="00B25313" w:rsidRPr="00A436E5">
        <w:rPr>
          <w:rFonts w:cstheme="minorHAnsi"/>
          <w:vertAlign w:val="subscript"/>
        </w:rPr>
        <w:t>25-75</w:t>
      </w:r>
      <w:r w:rsidR="00B25313" w:rsidRPr="00A436E5">
        <w:rPr>
          <w:rFonts w:cstheme="minorHAnsi"/>
        </w:rPr>
        <w:t xml:space="preserve"> </w:t>
      </w:r>
      <w:r w:rsidR="00A42D0E">
        <w:rPr>
          <w:rFonts w:cstheme="minorHAnsi"/>
        </w:rPr>
        <w:t>(</w:t>
      </w:r>
      <w:r w:rsidR="001C54C1">
        <w:rPr>
          <w:rFonts w:cstheme="minorHAnsi"/>
        </w:rPr>
        <w:t>48.3% predicted vs 75.6% predicted</w:t>
      </w:r>
      <w:r w:rsidR="00180658">
        <w:rPr>
          <w:rFonts w:cstheme="minorHAnsi"/>
        </w:rPr>
        <w:t xml:space="preserve">) </w:t>
      </w:r>
      <w:r w:rsidRPr="00A436E5">
        <w:rPr>
          <w:rFonts w:cstheme="minorHAnsi"/>
        </w:rPr>
        <w:t xml:space="preserve">compared to patients with T2-low </w:t>
      </w:r>
      <w:r w:rsidR="00961F87">
        <w:rPr>
          <w:rFonts w:cstheme="minorHAnsi"/>
        </w:rPr>
        <w:t>status</w:t>
      </w:r>
      <w:r w:rsidR="005A0274">
        <w:rPr>
          <w:rFonts w:cstheme="minorHAnsi"/>
        </w:rPr>
        <w:t xml:space="preserve"> at </w:t>
      </w:r>
      <w:r w:rsidR="003134D0">
        <w:rPr>
          <w:rFonts w:cstheme="minorHAnsi"/>
        </w:rPr>
        <w:t>clinic (post-bronchodilator) spirometry</w:t>
      </w:r>
      <w:r w:rsidR="009351D5">
        <w:rPr>
          <w:rFonts w:cstheme="minorHAnsi"/>
        </w:rPr>
        <w:t xml:space="preserve"> </w:t>
      </w:r>
      <w:r w:rsidRPr="00A436E5">
        <w:rPr>
          <w:rFonts w:cstheme="minorHAnsi"/>
        </w:rPr>
        <w:t>(</w:t>
      </w:r>
      <w:r w:rsidRPr="00633D66">
        <w:rPr>
          <w:rFonts w:cstheme="minorHAnsi"/>
          <w:b/>
          <w:bCs/>
        </w:rPr>
        <w:t>Figure 3</w:t>
      </w:r>
      <w:r w:rsidR="00172C0E" w:rsidRPr="00E01A38">
        <w:rPr>
          <w:rFonts w:cstheme="minorHAnsi"/>
          <w:b/>
          <w:bCs/>
        </w:rPr>
        <w:t>,</w:t>
      </w:r>
      <w:r w:rsidR="00163EBE" w:rsidRPr="00E01A38">
        <w:rPr>
          <w:rFonts w:cstheme="minorHAnsi"/>
          <w:b/>
          <w:bCs/>
        </w:rPr>
        <w:t>D</w:t>
      </w:r>
      <w:r w:rsidRPr="00A436E5">
        <w:rPr>
          <w:rFonts w:cstheme="minorHAnsi"/>
        </w:rPr>
        <w:t>). Measurements of gas exchange were similar in both groups</w:t>
      </w:r>
      <w:r w:rsidR="00163EBE">
        <w:rPr>
          <w:rFonts w:cstheme="minorHAnsi"/>
        </w:rPr>
        <w:t xml:space="preserve"> (</w:t>
      </w:r>
      <w:r w:rsidR="00163EBE" w:rsidRPr="00633D66">
        <w:rPr>
          <w:rFonts w:cstheme="minorHAnsi"/>
          <w:b/>
          <w:bCs/>
        </w:rPr>
        <w:t>Figure 3</w:t>
      </w:r>
      <w:r w:rsidR="00163EBE" w:rsidRPr="00E01A38">
        <w:rPr>
          <w:rFonts w:cstheme="minorHAnsi"/>
          <w:b/>
          <w:bCs/>
        </w:rPr>
        <w:t>,</w:t>
      </w:r>
      <w:r w:rsidR="001C54C1" w:rsidRPr="00E01A38">
        <w:rPr>
          <w:rFonts w:cstheme="minorHAnsi"/>
          <w:b/>
          <w:bCs/>
        </w:rPr>
        <w:t xml:space="preserve"> </w:t>
      </w:r>
      <w:r w:rsidR="00163EBE" w:rsidRPr="00E01A38">
        <w:rPr>
          <w:rFonts w:cstheme="minorHAnsi"/>
          <w:b/>
          <w:bCs/>
        </w:rPr>
        <w:t>E</w:t>
      </w:r>
      <w:r w:rsidR="001C54C1" w:rsidRPr="00E01A38">
        <w:rPr>
          <w:rFonts w:cstheme="minorHAnsi"/>
          <w:b/>
          <w:bCs/>
        </w:rPr>
        <w:t xml:space="preserve"> and </w:t>
      </w:r>
      <w:r w:rsidR="00163EBE" w:rsidRPr="00E01A38">
        <w:rPr>
          <w:rFonts w:cstheme="minorHAnsi"/>
          <w:b/>
          <w:bCs/>
        </w:rPr>
        <w:t>F</w:t>
      </w:r>
      <w:r w:rsidR="00163EBE">
        <w:rPr>
          <w:rFonts w:cstheme="minorHAnsi"/>
        </w:rPr>
        <w:t>)</w:t>
      </w:r>
      <w:r w:rsidR="006C1087">
        <w:rPr>
          <w:rFonts w:cstheme="minorHAnsi"/>
        </w:rPr>
        <w:t xml:space="preserve"> (</w:t>
      </w:r>
      <w:r w:rsidR="006C1087" w:rsidRPr="00633D66">
        <w:rPr>
          <w:rFonts w:cstheme="minorHAnsi"/>
          <w:b/>
          <w:bCs/>
        </w:rPr>
        <w:t>Supplementary Table E</w:t>
      </w:r>
      <w:r w:rsidR="002873E9">
        <w:rPr>
          <w:rFonts w:cstheme="minorHAnsi"/>
          <w:b/>
          <w:bCs/>
        </w:rPr>
        <w:t>3</w:t>
      </w:r>
      <w:r w:rsidR="006C1087">
        <w:rPr>
          <w:rFonts w:cstheme="minorHAnsi"/>
        </w:rPr>
        <w:t>)</w:t>
      </w:r>
      <w:r w:rsidRPr="00A436E5">
        <w:rPr>
          <w:rFonts w:cstheme="minorHAnsi"/>
        </w:rPr>
        <w:t>.</w:t>
      </w:r>
    </w:p>
    <w:p w14:paraId="4D4A63BD" w14:textId="77777777" w:rsidR="00613AA0" w:rsidRDefault="00613AA0" w:rsidP="00613AA0">
      <w:pPr>
        <w:spacing w:line="480" w:lineRule="auto"/>
        <w:rPr>
          <w:rFonts w:cstheme="minorHAnsi"/>
        </w:rPr>
      </w:pPr>
    </w:p>
    <w:p w14:paraId="27BA4521" w14:textId="739D6DC7" w:rsidR="00613AA0" w:rsidRPr="00613AA0" w:rsidRDefault="00613AA0" w:rsidP="00613AA0">
      <w:pPr>
        <w:spacing w:line="480" w:lineRule="auto"/>
        <w:rPr>
          <w:rFonts w:cstheme="minorHAnsi"/>
        </w:rPr>
      </w:pPr>
      <w:r w:rsidRPr="00613AA0">
        <w:rPr>
          <w:rFonts w:cstheme="minorHAnsi"/>
        </w:rPr>
        <w:lastRenderedPageBreak/>
        <w:t xml:space="preserve">Blood levels of </w:t>
      </w:r>
      <w:r w:rsidR="00E12391">
        <w:rPr>
          <w:rFonts w:cstheme="minorHAnsi"/>
        </w:rPr>
        <w:t xml:space="preserve"> cyt</w:t>
      </w:r>
      <w:r w:rsidR="009628A0">
        <w:rPr>
          <w:rFonts w:cstheme="minorHAnsi"/>
        </w:rPr>
        <w:t>o</w:t>
      </w:r>
      <w:r w:rsidR="00E12391">
        <w:rPr>
          <w:rFonts w:cstheme="minorHAnsi"/>
        </w:rPr>
        <w:t xml:space="preserve">kines </w:t>
      </w:r>
      <w:r w:rsidR="001C54C1">
        <w:rPr>
          <w:rFonts w:cstheme="minorHAnsi"/>
        </w:rPr>
        <w:t>associated with allergic airway inflammation</w:t>
      </w:r>
      <w:r w:rsidR="008C5DA4">
        <w:rPr>
          <w:rFonts w:cstheme="minorHAnsi"/>
        </w:rPr>
        <w:t>,</w:t>
      </w:r>
      <w:r w:rsidR="006744AB">
        <w:rPr>
          <w:rFonts w:cstheme="minorHAnsi"/>
        </w:rPr>
        <w:t xml:space="preserve"> </w:t>
      </w:r>
      <w:r w:rsidR="00B16CF2" w:rsidRPr="00613AA0">
        <w:rPr>
          <w:rFonts w:cstheme="minorHAnsi"/>
        </w:rPr>
        <w:t>IL-4</w:t>
      </w:r>
      <w:r w:rsidR="00B16CF2">
        <w:rPr>
          <w:rFonts w:cstheme="minorHAnsi"/>
        </w:rPr>
        <w:t xml:space="preserve">, </w:t>
      </w:r>
      <w:r w:rsidRPr="00613AA0">
        <w:rPr>
          <w:rFonts w:cstheme="minorHAnsi"/>
        </w:rPr>
        <w:t>CCL2</w:t>
      </w:r>
      <w:r w:rsidR="00E12391">
        <w:rPr>
          <w:rFonts w:cstheme="minorHAnsi"/>
        </w:rPr>
        <w:t>/MCP-1</w:t>
      </w:r>
      <w:r w:rsidRPr="00613AA0">
        <w:rPr>
          <w:rFonts w:cstheme="minorHAnsi"/>
        </w:rPr>
        <w:t xml:space="preserve"> </w:t>
      </w:r>
      <w:r w:rsidR="00B16CF2" w:rsidRPr="00613AA0">
        <w:rPr>
          <w:rFonts w:cstheme="minorHAnsi"/>
        </w:rPr>
        <w:t xml:space="preserve">and </w:t>
      </w:r>
      <w:r w:rsidRPr="00613AA0">
        <w:rPr>
          <w:rFonts w:cstheme="minorHAnsi"/>
        </w:rPr>
        <w:t>CCL3</w:t>
      </w:r>
      <w:r w:rsidR="00E12391">
        <w:rPr>
          <w:rFonts w:cstheme="minorHAnsi"/>
        </w:rPr>
        <w:t>/MIP-1 alpha</w:t>
      </w:r>
      <w:r w:rsidR="008C5DA4">
        <w:rPr>
          <w:rFonts w:cstheme="minorHAnsi"/>
        </w:rPr>
        <w:t xml:space="preserve">, and </w:t>
      </w:r>
      <w:r w:rsidR="00F45D8B" w:rsidRPr="00F45D8B">
        <w:rPr>
          <w:rFonts w:cstheme="minorHAnsi"/>
        </w:rPr>
        <w:t xml:space="preserve">IFN-gamma </w:t>
      </w:r>
      <w:r w:rsidR="006B08B8">
        <w:rPr>
          <w:rFonts w:cstheme="minorHAnsi"/>
        </w:rPr>
        <w:t>were</w:t>
      </w:r>
      <w:r w:rsidRPr="00613AA0">
        <w:rPr>
          <w:rFonts w:cstheme="minorHAnsi"/>
        </w:rPr>
        <w:t xml:space="preserve"> </w:t>
      </w:r>
      <w:r w:rsidR="00664353">
        <w:rPr>
          <w:rFonts w:cstheme="minorHAnsi"/>
        </w:rPr>
        <w:t xml:space="preserve">significantly </w:t>
      </w:r>
      <w:r w:rsidRPr="00613AA0">
        <w:rPr>
          <w:rFonts w:cstheme="minorHAnsi"/>
        </w:rPr>
        <w:t xml:space="preserve">higher in </w:t>
      </w:r>
      <w:r w:rsidR="004E5E68">
        <w:rPr>
          <w:rFonts w:cstheme="minorHAnsi"/>
        </w:rPr>
        <w:t>the presence of T2-high status</w:t>
      </w:r>
      <w:r w:rsidR="00E12391">
        <w:rPr>
          <w:rFonts w:cstheme="minorHAnsi"/>
        </w:rPr>
        <w:t xml:space="preserve"> (</w:t>
      </w:r>
      <w:r w:rsidR="00E12391" w:rsidRPr="00633D66">
        <w:rPr>
          <w:rFonts w:cstheme="minorHAnsi"/>
          <w:b/>
          <w:bCs/>
        </w:rPr>
        <w:t xml:space="preserve">Figure </w:t>
      </w:r>
      <w:r w:rsidR="005743D2" w:rsidRPr="00633D66">
        <w:rPr>
          <w:rFonts w:cstheme="minorHAnsi"/>
          <w:b/>
          <w:bCs/>
        </w:rPr>
        <w:t>4</w:t>
      </w:r>
      <w:r w:rsidR="00E12391" w:rsidRPr="00E01A38">
        <w:rPr>
          <w:rFonts w:cstheme="minorHAnsi"/>
          <w:b/>
          <w:bCs/>
        </w:rPr>
        <w:t>,A-</w:t>
      </w:r>
      <w:r w:rsidR="0056165B">
        <w:rPr>
          <w:rFonts w:cstheme="minorHAnsi"/>
          <w:b/>
          <w:bCs/>
        </w:rPr>
        <w:t>D</w:t>
      </w:r>
      <w:r w:rsidR="00E12391">
        <w:rPr>
          <w:rFonts w:cstheme="minorHAnsi"/>
        </w:rPr>
        <w:t>)</w:t>
      </w:r>
      <w:r w:rsidR="006744AB">
        <w:rPr>
          <w:rFonts w:cstheme="minorHAnsi"/>
        </w:rPr>
        <w:t>. H</w:t>
      </w:r>
      <w:r w:rsidR="00E12391">
        <w:rPr>
          <w:rFonts w:cstheme="minorHAnsi"/>
        </w:rPr>
        <w:t>owever</w:t>
      </w:r>
      <w:r w:rsidR="006744AB">
        <w:rPr>
          <w:rFonts w:cstheme="minorHAnsi"/>
        </w:rPr>
        <w:t>,</w:t>
      </w:r>
      <w:r w:rsidR="00E12391">
        <w:rPr>
          <w:rFonts w:cstheme="minorHAnsi"/>
        </w:rPr>
        <w:t xml:space="preserve"> the levels for </w:t>
      </w:r>
      <w:r w:rsidR="00B16CF2">
        <w:rPr>
          <w:rFonts w:cstheme="minorHAnsi"/>
        </w:rPr>
        <w:t>IL-4</w:t>
      </w:r>
      <w:r w:rsidR="008C5DA4">
        <w:rPr>
          <w:rFonts w:cstheme="minorHAnsi"/>
        </w:rPr>
        <w:t>,</w:t>
      </w:r>
      <w:r w:rsidR="00B16CF2">
        <w:rPr>
          <w:rFonts w:cstheme="minorHAnsi"/>
        </w:rPr>
        <w:t xml:space="preserve"> </w:t>
      </w:r>
      <w:r w:rsidR="00E12391">
        <w:rPr>
          <w:rFonts w:cstheme="minorHAnsi"/>
        </w:rPr>
        <w:t>CCL3/MIP1</w:t>
      </w:r>
      <w:r w:rsidR="008C5DA4">
        <w:rPr>
          <w:rFonts w:cstheme="minorHAnsi"/>
        </w:rPr>
        <w:t>-</w:t>
      </w:r>
      <w:r w:rsidR="00E12391">
        <w:rPr>
          <w:rFonts w:cstheme="minorHAnsi"/>
        </w:rPr>
        <w:t xml:space="preserve">alpha </w:t>
      </w:r>
      <w:r w:rsidR="008C5DA4">
        <w:rPr>
          <w:rFonts w:cstheme="minorHAnsi"/>
        </w:rPr>
        <w:t>and IF</w:t>
      </w:r>
      <w:r w:rsidR="008604CA">
        <w:rPr>
          <w:rFonts w:cstheme="minorHAnsi"/>
        </w:rPr>
        <w:t>N</w:t>
      </w:r>
      <w:r w:rsidR="008C5DA4">
        <w:rPr>
          <w:rFonts w:cstheme="minorHAnsi"/>
        </w:rPr>
        <w:t xml:space="preserve">-gamma </w:t>
      </w:r>
      <w:r w:rsidR="00E12391">
        <w:rPr>
          <w:rFonts w:cstheme="minorHAnsi"/>
        </w:rPr>
        <w:t xml:space="preserve">were very low or </w:t>
      </w:r>
      <w:r w:rsidR="006C1087">
        <w:rPr>
          <w:rFonts w:cstheme="minorHAnsi"/>
        </w:rPr>
        <w:t>at the</w:t>
      </w:r>
      <w:r w:rsidR="00E12391">
        <w:rPr>
          <w:rFonts w:cstheme="minorHAnsi"/>
        </w:rPr>
        <w:t xml:space="preserve"> limit of detection</w:t>
      </w:r>
      <w:r w:rsidRPr="00613AA0">
        <w:rPr>
          <w:rFonts w:cstheme="minorHAnsi"/>
        </w:rPr>
        <w:t xml:space="preserve">. </w:t>
      </w:r>
      <w:r w:rsidR="00BE266F">
        <w:rPr>
          <w:rFonts w:cstheme="minorHAnsi"/>
        </w:rPr>
        <w:t>Conversely, l</w:t>
      </w:r>
      <w:r w:rsidRPr="00613AA0">
        <w:rPr>
          <w:rFonts w:cstheme="minorHAnsi"/>
        </w:rPr>
        <w:t>evels of</w:t>
      </w:r>
      <w:r w:rsidR="00E12391">
        <w:rPr>
          <w:rFonts w:cstheme="minorHAnsi"/>
        </w:rPr>
        <w:t xml:space="preserve"> other T2 associated cytokines</w:t>
      </w:r>
      <w:r w:rsidRPr="00613AA0">
        <w:rPr>
          <w:rFonts w:cstheme="minorHAnsi"/>
        </w:rPr>
        <w:t xml:space="preserve"> </w:t>
      </w:r>
      <w:r w:rsidR="006744AB">
        <w:rPr>
          <w:rFonts w:cstheme="minorHAnsi"/>
        </w:rPr>
        <w:t xml:space="preserve">such as </w:t>
      </w:r>
      <w:r w:rsidRPr="00613AA0">
        <w:rPr>
          <w:rFonts w:cstheme="minorHAnsi"/>
        </w:rPr>
        <w:t>IL-5,</w:t>
      </w:r>
      <w:r w:rsidR="00B16CF2" w:rsidRPr="00B16CF2">
        <w:rPr>
          <w:rFonts w:cstheme="minorHAnsi"/>
        </w:rPr>
        <w:t xml:space="preserve"> </w:t>
      </w:r>
      <w:r w:rsidR="00B16CF2" w:rsidRPr="00613AA0">
        <w:rPr>
          <w:rFonts w:cstheme="minorHAnsi"/>
        </w:rPr>
        <w:t>Periostin</w:t>
      </w:r>
      <w:r w:rsidR="00B16CF2">
        <w:rPr>
          <w:rFonts w:cstheme="minorHAnsi"/>
        </w:rPr>
        <w:t xml:space="preserve"> </w:t>
      </w:r>
      <w:r w:rsidR="00B16CF2" w:rsidRPr="00613AA0">
        <w:rPr>
          <w:rFonts w:cstheme="minorHAnsi"/>
        </w:rPr>
        <w:t>,</w:t>
      </w:r>
      <w:r w:rsidRPr="00613AA0">
        <w:rPr>
          <w:rFonts w:cstheme="minorHAnsi"/>
        </w:rPr>
        <w:t xml:space="preserve"> IL-10</w:t>
      </w:r>
      <w:r w:rsidR="00B16CF2">
        <w:rPr>
          <w:rFonts w:cstheme="minorHAnsi"/>
        </w:rPr>
        <w:t xml:space="preserve"> </w:t>
      </w:r>
      <w:r w:rsidRPr="00613AA0">
        <w:rPr>
          <w:rFonts w:cstheme="minorHAnsi"/>
        </w:rPr>
        <w:t>and</w:t>
      </w:r>
      <w:r w:rsidR="00E12391">
        <w:rPr>
          <w:rFonts w:cstheme="minorHAnsi"/>
        </w:rPr>
        <w:t xml:space="preserve"> non</w:t>
      </w:r>
      <w:r w:rsidR="006744AB">
        <w:rPr>
          <w:rFonts w:cstheme="minorHAnsi"/>
        </w:rPr>
        <w:t>-</w:t>
      </w:r>
      <w:r w:rsidR="00E12391">
        <w:rPr>
          <w:rFonts w:cstheme="minorHAnsi"/>
        </w:rPr>
        <w:t>T2 associated cytokines such as</w:t>
      </w:r>
      <w:r w:rsidR="003D72A7">
        <w:rPr>
          <w:rFonts w:cstheme="minorHAnsi"/>
        </w:rPr>
        <w:t xml:space="preserve"> IL-6,</w:t>
      </w:r>
      <w:r w:rsidR="00E12391">
        <w:rPr>
          <w:rFonts w:cstheme="minorHAnsi"/>
        </w:rPr>
        <w:t xml:space="preserve"> IL-8 and</w:t>
      </w:r>
      <w:r w:rsidRPr="00613AA0">
        <w:rPr>
          <w:rFonts w:cstheme="minorHAnsi"/>
        </w:rPr>
        <w:t xml:space="preserve"> TNF-</w:t>
      </w:r>
      <w:r w:rsidRPr="00613AA0">
        <w:rPr>
          <w:rFonts w:cstheme="minorHAnsi"/>
        </w:rPr>
        <w:sym w:font="Symbol" w:char="F061"/>
      </w:r>
      <w:r w:rsidRPr="00613AA0">
        <w:rPr>
          <w:rFonts w:cstheme="minorHAnsi"/>
        </w:rPr>
        <w:t xml:space="preserve"> </w:t>
      </w:r>
      <w:r w:rsidR="00BE266F">
        <w:rPr>
          <w:rFonts w:cstheme="minorHAnsi"/>
        </w:rPr>
        <w:t>did not differ sign</w:t>
      </w:r>
      <w:r w:rsidR="006A2A44">
        <w:rPr>
          <w:rFonts w:cstheme="minorHAnsi"/>
        </w:rPr>
        <w:t>if</w:t>
      </w:r>
      <w:r w:rsidR="00BE266F">
        <w:rPr>
          <w:rFonts w:cstheme="minorHAnsi"/>
        </w:rPr>
        <w:t>icantly by T2-sta</w:t>
      </w:r>
      <w:r w:rsidR="004F6342">
        <w:rPr>
          <w:rFonts w:cstheme="minorHAnsi"/>
        </w:rPr>
        <w:t>tus</w:t>
      </w:r>
      <w:r w:rsidRPr="00613AA0">
        <w:rPr>
          <w:rFonts w:cstheme="minorHAnsi"/>
        </w:rPr>
        <w:t xml:space="preserve"> (</w:t>
      </w:r>
      <w:r w:rsidRPr="00633D66">
        <w:rPr>
          <w:rFonts w:cstheme="minorHAnsi"/>
          <w:b/>
          <w:bCs/>
        </w:rPr>
        <w:t xml:space="preserve">Figure </w:t>
      </w:r>
      <w:r w:rsidR="005743D2" w:rsidRPr="00633D66">
        <w:rPr>
          <w:rFonts w:cstheme="minorHAnsi"/>
          <w:b/>
          <w:bCs/>
        </w:rPr>
        <w:t>4</w:t>
      </w:r>
      <w:r w:rsidR="00E12391" w:rsidRPr="005743D2">
        <w:rPr>
          <w:rFonts w:cstheme="minorHAnsi"/>
          <w:b/>
          <w:bCs/>
        </w:rPr>
        <w:t>,</w:t>
      </w:r>
      <w:r w:rsidR="004A4E77">
        <w:rPr>
          <w:rFonts w:cstheme="minorHAnsi"/>
          <w:b/>
          <w:bCs/>
        </w:rPr>
        <w:t>E-J</w:t>
      </w:r>
      <w:r w:rsidRPr="00613AA0">
        <w:rPr>
          <w:rFonts w:cstheme="minorHAnsi"/>
        </w:rPr>
        <w:t xml:space="preserve">). </w:t>
      </w:r>
      <w:r w:rsidR="004B0D31">
        <w:rPr>
          <w:rFonts w:cstheme="minorHAnsi"/>
        </w:rPr>
        <w:t xml:space="preserve">Other </w:t>
      </w:r>
      <w:r w:rsidR="00A55F0D">
        <w:rPr>
          <w:rFonts w:cstheme="minorHAnsi"/>
        </w:rPr>
        <w:t xml:space="preserve">potentially relevant </w:t>
      </w:r>
      <w:r w:rsidR="004B0D31">
        <w:rPr>
          <w:rFonts w:cstheme="minorHAnsi"/>
        </w:rPr>
        <w:t>inflammatory cytokines such as IL-13</w:t>
      </w:r>
      <w:r w:rsidR="008C5DA4">
        <w:rPr>
          <w:rFonts w:cstheme="minorHAnsi"/>
        </w:rPr>
        <w:t xml:space="preserve"> and</w:t>
      </w:r>
      <w:r w:rsidR="004B0D31">
        <w:rPr>
          <w:rFonts w:cstheme="minorHAnsi"/>
        </w:rPr>
        <w:t xml:space="preserve"> IL</w:t>
      </w:r>
      <w:r w:rsidR="00A55F0D">
        <w:rPr>
          <w:rFonts w:cstheme="minorHAnsi"/>
        </w:rPr>
        <w:t>-</w:t>
      </w:r>
      <w:r w:rsidR="004B0D31">
        <w:rPr>
          <w:rFonts w:cstheme="minorHAnsi"/>
        </w:rPr>
        <w:t>17 were</w:t>
      </w:r>
      <w:r w:rsidR="008C5DA4">
        <w:rPr>
          <w:rFonts w:cstheme="minorHAnsi"/>
        </w:rPr>
        <w:t xml:space="preserve"> not detected or</w:t>
      </w:r>
      <w:r w:rsidR="00A55F0D">
        <w:rPr>
          <w:rFonts w:cstheme="minorHAnsi"/>
        </w:rPr>
        <w:t xml:space="preserve"> at the limit of detection (</w:t>
      </w:r>
      <w:r w:rsidR="008C5DA4" w:rsidRPr="00633D66">
        <w:rPr>
          <w:rFonts w:cstheme="minorHAnsi"/>
          <w:b/>
          <w:bCs/>
        </w:rPr>
        <w:t>Supplementary Table E</w:t>
      </w:r>
      <w:r w:rsidR="002873E9">
        <w:rPr>
          <w:rFonts w:cstheme="minorHAnsi"/>
          <w:b/>
          <w:bCs/>
        </w:rPr>
        <w:t>4</w:t>
      </w:r>
      <w:r w:rsidR="00A55F0D">
        <w:rPr>
          <w:rFonts w:cstheme="minorHAnsi"/>
        </w:rPr>
        <w:t>).</w:t>
      </w:r>
    </w:p>
    <w:p w14:paraId="1F7BEC83" w14:textId="1E35473A" w:rsidR="002873E9" w:rsidRDefault="002873E9" w:rsidP="002873E9">
      <w:pPr>
        <w:spacing w:line="480" w:lineRule="auto"/>
        <w:rPr>
          <w:rFonts w:cstheme="minorHAnsi"/>
        </w:rPr>
      </w:pPr>
      <w:r>
        <w:rPr>
          <w:rFonts w:cstheme="minorHAnsi"/>
        </w:rPr>
        <w:t>However, applying a false discovery rate correction showed no significant difference in any of the measured cytokines suggesting that baseline levels of these cytokines do not discrim</w:t>
      </w:r>
      <w:r w:rsidR="00A72DD4">
        <w:rPr>
          <w:rFonts w:cstheme="minorHAnsi"/>
        </w:rPr>
        <w:t>in</w:t>
      </w:r>
      <w:r>
        <w:rPr>
          <w:rFonts w:cstheme="minorHAnsi"/>
        </w:rPr>
        <w:t>ate between the two groups.</w:t>
      </w:r>
    </w:p>
    <w:p w14:paraId="53F021CD" w14:textId="77777777" w:rsidR="002873E9" w:rsidRDefault="002873E9" w:rsidP="009B2805">
      <w:pPr>
        <w:spacing w:line="480" w:lineRule="auto"/>
        <w:rPr>
          <w:rFonts w:cstheme="minorHAnsi"/>
        </w:rPr>
      </w:pPr>
    </w:p>
    <w:p w14:paraId="117EA410" w14:textId="77D8D1A8" w:rsidR="005945EF" w:rsidRDefault="009B2805" w:rsidP="009B2805">
      <w:pPr>
        <w:spacing w:line="480" w:lineRule="auto"/>
        <w:rPr>
          <w:rFonts w:cstheme="minorHAnsi"/>
        </w:rPr>
      </w:pPr>
      <w:r>
        <w:rPr>
          <w:rFonts w:cstheme="minorHAnsi"/>
        </w:rPr>
        <w:t>A significantly higher proportion of patients with T2-low asthma had ever been intubated for acute asthma (</w:t>
      </w:r>
      <w:r w:rsidR="000E51D5" w:rsidRPr="00EA1719">
        <w:rPr>
          <w:rFonts w:cstheme="minorHAnsi"/>
          <w:b/>
          <w:bCs/>
        </w:rPr>
        <w:t>Table 1</w:t>
      </w:r>
      <w:r w:rsidR="00054B80">
        <w:rPr>
          <w:rFonts w:cstheme="minorHAnsi"/>
        </w:rPr>
        <w:t>, 28.6%, 8/28 vs 11.1%</w:t>
      </w:r>
      <w:r w:rsidR="006744AB">
        <w:rPr>
          <w:rFonts w:cstheme="minorHAnsi"/>
        </w:rPr>
        <w:t>,</w:t>
      </w:r>
      <w:r w:rsidR="00054B80">
        <w:rPr>
          <w:rFonts w:cstheme="minorHAnsi"/>
        </w:rPr>
        <w:t xml:space="preserve"> </w:t>
      </w:r>
      <w:r w:rsidR="00D1273C">
        <w:rPr>
          <w:rFonts w:cstheme="minorHAnsi"/>
        </w:rPr>
        <w:t>4</w:t>
      </w:r>
      <w:r w:rsidR="00054B80">
        <w:rPr>
          <w:rFonts w:cstheme="minorHAnsi"/>
        </w:rPr>
        <w:t>0/360</w:t>
      </w:r>
      <w:r w:rsidR="000E51D5">
        <w:rPr>
          <w:rFonts w:cstheme="minorHAnsi"/>
        </w:rPr>
        <w:t>).</w:t>
      </w:r>
      <w:r>
        <w:rPr>
          <w:rFonts w:cstheme="minorHAnsi"/>
        </w:rPr>
        <w:t xml:space="preserve"> Of the 8 T2-low patients who had been</w:t>
      </w:r>
      <w:r w:rsidR="003D0C3C">
        <w:rPr>
          <w:rFonts w:cstheme="minorHAnsi"/>
        </w:rPr>
        <w:t xml:space="preserve"> acutely</w:t>
      </w:r>
      <w:r>
        <w:rPr>
          <w:rFonts w:cstheme="minorHAnsi"/>
        </w:rPr>
        <w:t xml:space="preserve"> intubated, </w:t>
      </w:r>
      <w:r w:rsidR="005945EF">
        <w:rPr>
          <w:rFonts w:cstheme="minorHAnsi"/>
        </w:rPr>
        <w:t>6/8 (</w:t>
      </w:r>
      <w:r>
        <w:rPr>
          <w:rFonts w:cstheme="minorHAnsi"/>
        </w:rPr>
        <w:t>75%</w:t>
      </w:r>
      <w:r w:rsidR="005945EF">
        <w:rPr>
          <w:rFonts w:cstheme="minorHAnsi"/>
        </w:rPr>
        <w:t>)</w:t>
      </w:r>
      <w:r>
        <w:rPr>
          <w:rFonts w:cstheme="minorHAnsi"/>
        </w:rPr>
        <w:t xml:space="preserve"> had raised PBE within the preceding 10-years</w:t>
      </w:r>
      <w:r w:rsidR="00D1273C">
        <w:rPr>
          <w:rFonts w:cstheme="minorHAnsi"/>
        </w:rPr>
        <w:t xml:space="preserve">, </w:t>
      </w:r>
      <w:r w:rsidR="006B50BF">
        <w:rPr>
          <w:rFonts w:cstheme="minorHAnsi"/>
        </w:rPr>
        <w:t xml:space="preserve">suggesting </w:t>
      </w:r>
      <w:r w:rsidR="009F3E9E">
        <w:rPr>
          <w:rFonts w:cstheme="minorHAnsi"/>
        </w:rPr>
        <w:t xml:space="preserve">a </w:t>
      </w:r>
      <w:r w:rsidR="00DA3A63">
        <w:rPr>
          <w:rFonts w:cstheme="minorHAnsi"/>
        </w:rPr>
        <w:t>masked</w:t>
      </w:r>
      <w:r w:rsidR="00440620">
        <w:rPr>
          <w:rFonts w:cstheme="minorHAnsi"/>
        </w:rPr>
        <w:t xml:space="preserve"> </w:t>
      </w:r>
      <w:r w:rsidR="009F3E9E">
        <w:rPr>
          <w:rFonts w:cstheme="minorHAnsi"/>
        </w:rPr>
        <w:t xml:space="preserve">background </w:t>
      </w:r>
      <w:r w:rsidR="00D614FB">
        <w:rPr>
          <w:rFonts w:cstheme="minorHAnsi"/>
        </w:rPr>
        <w:t>T2-high</w:t>
      </w:r>
      <w:r w:rsidR="00440620">
        <w:rPr>
          <w:rFonts w:cstheme="minorHAnsi"/>
        </w:rPr>
        <w:t xml:space="preserve"> status</w:t>
      </w:r>
      <w:r w:rsidR="00676C72">
        <w:rPr>
          <w:rFonts w:cstheme="minorHAnsi"/>
        </w:rPr>
        <w:t xml:space="preserve">. </w:t>
      </w:r>
      <w:r w:rsidR="009D2DDD">
        <w:rPr>
          <w:rFonts w:cstheme="minorHAnsi"/>
        </w:rPr>
        <w:t>Furthermore</w:t>
      </w:r>
      <w:r w:rsidR="00D1273C">
        <w:rPr>
          <w:rFonts w:cstheme="minorHAnsi"/>
        </w:rPr>
        <w:t xml:space="preserve"> </w:t>
      </w:r>
      <w:r w:rsidR="005945EF">
        <w:rPr>
          <w:rFonts w:cstheme="minorHAnsi"/>
        </w:rPr>
        <w:t>5/8 (</w:t>
      </w:r>
      <w:r w:rsidR="00A65FE8">
        <w:rPr>
          <w:rFonts w:cstheme="minorHAnsi"/>
        </w:rPr>
        <w:t>62.</w:t>
      </w:r>
      <w:r w:rsidRPr="00C64923">
        <w:rPr>
          <w:rFonts w:cstheme="minorHAnsi"/>
        </w:rPr>
        <w:t>5</w:t>
      </w:r>
      <w:r w:rsidR="00A65FE8">
        <w:rPr>
          <w:rFonts w:cstheme="minorHAnsi"/>
        </w:rPr>
        <w:t>%</w:t>
      </w:r>
      <w:r w:rsidR="005945EF">
        <w:rPr>
          <w:rFonts w:cstheme="minorHAnsi"/>
        </w:rPr>
        <w:t>)</w:t>
      </w:r>
      <w:r w:rsidRPr="00C64923">
        <w:rPr>
          <w:rFonts w:cstheme="minorHAnsi"/>
        </w:rPr>
        <w:t xml:space="preserve"> had </w:t>
      </w:r>
      <w:r w:rsidR="00A65FE8">
        <w:rPr>
          <w:rFonts w:cstheme="minorHAnsi"/>
        </w:rPr>
        <w:t>clinically diagnosed</w:t>
      </w:r>
      <w:r w:rsidRPr="00C64923">
        <w:rPr>
          <w:rFonts w:cstheme="minorHAnsi"/>
        </w:rPr>
        <w:t xml:space="preserve"> breathing pattern disorder</w:t>
      </w:r>
      <w:r w:rsidR="009D2DDD">
        <w:rPr>
          <w:rFonts w:cstheme="minorHAnsi"/>
        </w:rPr>
        <w:t>,</w:t>
      </w:r>
      <w:r w:rsidR="005F68D3">
        <w:rPr>
          <w:rFonts w:cstheme="minorHAnsi"/>
        </w:rPr>
        <w:t xml:space="preserve"> </w:t>
      </w:r>
      <w:r w:rsidR="00D63393">
        <w:rPr>
          <w:rFonts w:cstheme="minorHAnsi"/>
        </w:rPr>
        <w:t>3</w:t>
      </w:r>
      <w:r w:rsidR="00067243">
        <w:rPr>
          <w:rFonts w:cstheme="minorHAnsi"/>
        </w:rPr>
        <w:t>/8 (</w:t>
      </w:r>
      <w:r w:rsidR="00372C93">
        <w:rPr>
          <w:rFonts w:cstheme="minorHAnsi"/>
        </w:rPr>
        <w:t>37.5</w:t>
      </w:r>
      <w:r w:rsidR="00067243">
        <w:rPr>
          <w:rFonts w:cstheme="minorHAnsi"/>
        </w:rPr>
        <w:t>%) had d</w:t>
      </w:r>
      <w:r w:rsidR="00063561">
        <w:rPr>
          <w:rFonts w:cstheme="minorHAnsi"/>
        </w:rPr>
        <w:t xml:space="preserve">iagnosed depression, </w:t>
      </w:r>
      <w:r w:rsidR="00D63393">
        <w:rPr>
          <w:rFonts w:cstheme="minorHAnsi"/>
        </w:rPr>
        <w:t>2</w:t>
      </w:r>
      <w:r w:rsidR="00063561">
        <w:rPr>
          <w:rFonts w:cstheme="minorHAnsi"/>
        </w:rPr>
        <w:t>/8 (</w:t>
      </w:r>
      <w:r w:rsidR="00372C93">
        <w:rPr>
          <w:rFonts w:cstheme="minorHAnsi"/>
        </w:rPr>
        <w:t>25</w:t>
      </w:r>
      <w:r w:rsidR="00063561">
        <w:rPr>
          <w:rFonts w:cstheme="minorHAnsi"/>
        </w:rPr>
        <w:t>%) had diagnosed anxiety</w:t>
      </w:r>
      <w:r w:rsidR="002F5969">
        <w:rPr>
          <w:rFonts w:cstheme="minorHAnsi"/>
        </w:rPr>
        <w:t xml:space="preserve"> and</w:t>
      </w:r>
      <w:r>
        <w:rPr>
          <w:rFonts w:cstheme="minorHAnsi"/>
        </w:rPr>
        <w:t xml:space="preserve"> 4</w:t>
      </w:r>
      <w:r w:rsidR="005945EF">
        <w:rPr>
          <w:rFonts w:cstheme="minorHAnsi"/>
        </w:rPr>
        <w:t>/8 (50%)</w:t>
      </w:r>
      <w:r>
        <w:rPr>
          <w:rFonts w:cstheme="minorHAnsi"/>
        </w:rPr>
        <w:t xml:space="preserve"> were clinically obese (BMI 34.5</w:t>
      </w:r>
      <w:r>
        <w:rPr>
          <w:rFonts w:cstheme="minorHAnsi"/>
        </w:rPr>
        <w:sym w:font="Symbol" w:char="F0B1"/>
      </w:r>
      <w:r>
        <w:rPr>
          <w:rFonts w:cstheme="minorHAnsi"/>
        </w:rPr>
        <w:t>9.8).</w:t>
      </w:r>
      <w:r w:rsidR="000E51D5">
        <w:rPr>
          <w:rFonts w:cstheme="minorHAnsi"/>
        </w:rPr>
        <w:t xml:space="preserve"> </w:t>
      </w:r>
    </w:p>
    <w:p w14:paraId="04B013D5" w14:textId="77777777" w:rsidR="005945EF" w:rsidRDefault="005945EF" w:rsidP="009B2805">
      <w:pPr>
        <w:spacing w:line="480" w:lineRule="auto"/>
        <w:rPr>
          <w:rFonts w:cstheme="minorHAnsi"/>
        </w:rPr>
      </w:pPr>
    </w:p>
    <w:p w14:paraId="3D0EE689" w14:textId="115897EB" w:rsidR="009B2805" w:rsidRDefault="009B2805" w:rsidP="009B2805">
      <w:pPr>
        <w:spacing w:line="480" w:lineRule="auto"/>
        <w:rPr>
          <w:rFonts w:cstheme="minorHAnsi"/>
        </w:rPr>
      </w:pPr>
      <w:r>
        <w:rPr>
          <w:rFonts w:cstheme="minorHAnsi"/>
        </w:rPr>
        <w:t xml:space="preserve">Other </w:t>
      </w:r>
      <w:r w:rsidR="00852925">
        <w:rPr>
          <w:rFonts w:cstheme="minorHAnsi"/>
        </w:rPr>
        <w:t xml:space="preserve">acute </w:t>
      </w:r>
      <w:r>
        <w:rPr>
          <w:rFonts w:cstheme="minorHAnsi"/>
        </w:rPr>
        <w:t xml:space="preserve">healthcare </w:t>
      </w:r>
      <w:r w:rsidR="006049AB">
        <w:rPr>
          <w:rFonts w:cstheme="minorHAnsi"/>
        </w:rPr>
        <w:t>needs did not differ significantly by T2-status including</w:t>
      </w:r>
      <w:r>
        <w:rPr>
          <w:rFonts w:cstheme="minorHAnsi"/>
        </w:rPr>
        <w:t xml:space="preserve"> </w:t>
      </w:r>
      <w:r w:rsidR="000B4001">
        <w:rPr>
          <w:rFonts w:cstheme="minorHAnsi"/>
        </w:rPr>
        <w:t>asthma exacerbations needing oral corticosteroids or acute asthma admissions in the preceding 12 months (</w:t>
      </w:r>
      <w:r w:rsidR="000B4001" w:rsidRPr="00633D66">
        <w:rPr>
          <w:rFonts w:cstheme="minorHAnsi"/>
          <w:b/>
          <w:bCs/>
        </w:rPr>
        <w:t>Table 1</w:t>
      </w:r>
      <w:r w:rsidR="000B4001" w:rsidRPr="00633D66">
        <w:rPr>
          <w:rFonts w:cstheme="minorHAnsi"/>
        </w:rPr>
        <w:t>)</w:t>
      </w:r>
      <w:r w:rsidR="00D1273C" w:rsidRPr="00633D66">
        <w:rPr>
          <w:rFonts w:cstheme="minorHAnsi"/>
        </w:rPr>
        <w:t>;</w:t>
      </w:r>
      <w:r>
        <w:rPr>
          <w:rFonts w:cstheme="minorHAnsi"/>
        </w:rPr>
        <w:t xml:space="preserve"> </w:t>
      </w:r>
      <w:r w:rsidR="00D1273C">
        <w:rPr>
          <w:rFonts w:cstheme="minorHAnsi"/>
        </w:rPr>
        <w:t>n</w:t>
      </w:r>
      <w:r w:rsidR="0034779D">
        <w:rPr>
          <w:rFonts w:cstheme="minorHAnsi"/>
        </w:rPr>
        <w:t>or did ICS dose</w:t>
      </w:r>
      <w:r w:rsidR="00753161">
        <w:rPr>
          <w:rFonts w:cstheme="minorHAnsi"/>
        </w:rPr>
        <w:t>.</w:t>
      </w:r>
    </w:p>
    <w:p w14:paraId="7FAEEB2F" w14:textId="77777777" w:rsidR="009B2805" w:rsidRDefault="009B2805" w:rsidP="009B2805">
      <w:pPr>
        <w:spacing w:line="480" w:lineRule="auto"/>
        <w:rPr>
          <w:rFonts w:cstheme="minorHAnsi"/>
        </w:rPr>
      </w:pPr>
    </w:p>
    <w:p w14:paraId="444FA70A" w14:textId="6B1634F1" w:rsidR="009B2805" w:rsidRDefault="009B2805" w:rsidP="009B2805">
      <w:pPr>
        <w:spacing w:line="480" w:lineRule="auto"/>
        <w:rPr>
          <w:rFonts w:cstheme="minorHAnsi"/>
        </w:rPr>
      </w:pPr>
      <w:r>
        <w:rPr>
          <w:rFonts w:cstheme="minorHAnsi"/>
        </w:rPr>
        <w:lastRenderedPageBreak/>
        <w:t>Following WATCH enrolment, subsequent initiation of asthma biologic therapy was significantly greater in patients defined as T2-high compared to T2-low status (</w:t>
      </w:r>
      <w:r w:rsidR="00494D38" w:rsidRPr="00EB72C2">
        <w:rPr>
          <w:rFonts w:cstheme="minorHAnsi"/>
          <w:b/>
          <w:bCs/>
        </w:rPr>
        <w:t>Table 1</w:t>
      </w:r>
      <w:r w:rsidR="00054B80">
        <w:rPr>
          <w:rFonts w:cstheme="minorHAnsi"/>
        </w:rPr>
        <w:t>, 32.8% vs 10.7%</w:t>
      </w:r>
      <w:r>
        <w:rPr>
          <w:rFonts w:cstheme="minorHAnsi"/>
        </w:rPr>
        <w:t>). Biologics would not typically be started in patients with T2-low asthma. However</w:t>
      </w:r>
      <w:r w:rsidR="00641335">
        <w:rPr>
          <w:rFonts w:cstheme="minorHAnsi"/>
        </w:rPr>
        <w:t>,</w:t>
      </w:r>
      <w:r>
        <w:rPr>
          <w:rFonts w:cstheme="minorHAnsi"/>
        </w:rPr>
        <w:t xml:space="preserve"> review of the 3/28 T2-low defined patients subsequently commenced on a biologic revealed that 1 patient developed raised PBE following enrolment and was therefore suitable for treatment with an anti-IL5/</w:t>
      </w:r>
      <w:r w:rsidR="00D1273C">
        <w:rPr>
          <w:rFonts w:cstheme="minorHAnsi"/>
        </w:rPr>
        <w:t>IL-5 receptor</w:t>
      </w:r>
      <w:r>
        <w:rPr>
          <w:rFonts w:cstheme="minorHAnsi"/>
        </w:rPr>
        <w:t xml:space="preserve"> biologic. The other 2 were commenced on anti-IgE therapy. They were atopic on skin prick testing but had not reported allergy driven asthma or met any of the other T2 classifying criteria at WATCH enrolment. Furthermore, all 3 patients had historical evidence of raised PBE (≥300 cells/</w:t>
      </w:r>
      <w:r>
        <w:rPr>
          <w:rFonts w:cstheme="minorHAnsi"/>
        </w:rPr>
        <w:sym w:font="Symbol" w:char="F06D"/>
      </w:r>
      <w:r>
        <w:rPr>
          <w:rFonts w:cstheme="minorHAnsi"/>
        </w:rPr>
        <w:t>L) in the prior decade.</w:t>
      </w:r>
    </w:p>
    <w:p w14:paraId="3EC80CF0" w14:textId="77777777" w:rsidR="009B2805" w:rsidRDefault="009B2805" w:rsidP="009B2805">
      <w:pPr>
        <w:spacing w:line="480" w:lineRule="auto"/>
        <w:rPr>
          <w:rFonts w:cstheme="minorHAnsi"/>
        </w:rPr>
      </w:pPr>
    </w:p>
    <w:p w14:paraId="6209FA25" w14:textId="26037483" w:rsidR="001C0081" w:rsidRPr="00054B80" w:rsidRDefault="005E183A" w:rsidP="001C0081">
      <w:pPr>
        <w:spacing w:line="480" w:lineRule="auto"/>
        <w:rPr>
          <w:rFonts w:cstheme="minorHAnsi"/>
          <w:i/>
          <w:iCs/>
          <w:u w:val="single"/>
        </w:rPr>
      </w:pPr>
      <w:r w:rsidRPr="00054B80">
        <w:rPr>
          <w:rFonts w:cstheme="minorHAnsi"/>
          <w:i/>
          <w:iCs/>
        </w:rPr>
        <w:t xml:space="preserve">Unmasking </w:t>
      </w:r>
      <w:r w:rsidR="00FE31B9" w:rsidRPr="00054B80">
        <w:rPr>
          <w:rFonts w:cstheme="minorHAnsi"/>
          <w:i/>
          <w:iCs/>
        </w:rPr>
        <w:t>T2-high</w:t>
      </w:r>
      <w:r w:rsidR="00D81319" w:rsidRPr="00054B80">
        <w:rPr>
          <w:rFonts w:cstheme="minorHAnsi"/>
          <w:i/>
          <w:iCs/>
        </w:rPr>
        <w:t xml:space="preserve"> </w:t>
      </w:r>
      <w:r w:rsidR="009A319C" w:rsidRPr="00054B80">
        <w:rPr>
          <w:rFonts w:cstheme="minorHAnsi"/>
          <w:i/>
          <w:iCs/>
        </w:rPr>
        <w:t xml:space="preserve">signatures in </w:t>
      </w:r>
      <w:r w:rsidR="007C64B3" w:rsidRPr="00054B80">
        <w:rPr>
          <w:rFonts w:cstheme="minorHAnsi"/>
          <w:i/>
          <w:iCs/>
        </w:rPr>
        <w:t xml:space="preserve">patients with </w:t>
      </w:r>
      <w:r w:rsidR="009A319C" w:rsidRPr="00054B80">
        <w:rPr>
          <w:rFonts w:cstheme="minorHAnsi"/>
          <w:i/>
          <w:iCs/>
        </w:rPr>
        <w:t xml:space="preserve">apparent T2-low </w:t>
      </w:r>
      <w:r w:rsidR="00201C50" w:rsidRPr="00054B80">
        <w:rPr>
          <w:rFonts w:cstheme="minorHAnsi"/>
          <w:i/>
          <w:iCs/>
        </w:rPr>
        <w:t>status:</w:t>
      </w:r>
    </w:p>
    <w:p w14:paraId="33CE44B2" w14:textId="305CCDCB" w:rsidR="001C0081" w:rsidRPr="005D7F37" w:rsidRDefault="001C0081" w:rsidP="001C0081">
      <w:pPr>
        <w:spacing w:line="480" w:lineRule="auto"/>
        <w:rPr>
          <w:rFonts w:cstheme="minorHAnsi"/>
        </w:rPr>
      </w:pPr>
      <w:r w:rsidRPr="005D7F37">
        <w:rPr>
          <w:rFonts w:cstheme="minorHAnsi"/>
        </w:rPr>
        <w:t>T2-low status was defined in 7% (28/388) patients who did not fit criteria for T2-high asthma. This group was examined in more detail</w:t>
      </w:r>
      <w:r w:rsidR="00366DAA">
        <w:rPr>
          <w:rFonts w:cstheme="minorHAnsi"/>
        </w:rPr>
        <w:t xml:space="preserve"> for potential masked features</w:t>
      </w:r>
      <w:r w:rsidR="00583931">
        <w:rPr>
          <w:rFonts w:cstheme="minorHAnsi"/>
        </w:rPr>
        <w:t xml:space="preserve"> suggestive of T2-high status</w:t>
      </w:r>
      <w:r w:rsidR="00FD21E2">
        <w:rPr>
          <w:rFonts w:cstheme="minorHAnsi"/>
        </w:rPr>
        <w:t>.</w:t>
      </w:r>
      <w:r w:rsidRPr="005D7F37">
        <w:rPr>
          <w:rFonts w:cstheme="minorHAnsi"/>
        </w:rPr>
        <w:t xml:space="preserve"> </w:t>
      </w:r>
      <w:r w:rsidR="00583931">
        <w:rPr>
          <w:rFonts w:cstheme="minorHAnsi"/>
        </w:rPr>
        <w:t xml:space="preserve">Three quarters of </w:t>
      </w:r>
      <w:r w:rsidR="009D23A8">
        <w:rPr>
          <w:rFonts w:cstheme="minorHAnsi"/>
        </w:rPr>
        <w:t>non-T2 patients</w:t>
      </w:r>
      <w:r w:rsidR="00FD21E2">
        <w:rPr>
          <w:rFonts w:cstheme="minorHAnsi"/>
        </w:rPr>
        <w:t xml:space="preserve"> (21/28)</w:t>
      </w:r>
      <w:r w:rsidRPr="005D7F37">
        <w:rPr>
          <w:rFonts w:cstheme="minorHAnsi"/>
        </w:rPr>
        <w:t xml:space="preserve"> </w:t>
      </w:r>
      <w:r w:rsidR="009D23A8">
        <w:rPr>
          <w:rFonts w:cstheme="minorHAnsi"/>
        </w:rPr>
        <w:t xml:space="preserve">demonstrated </w:t>
      </w:r>
      <w:r w:rsidRPr="005D7F37">
        <w:rPr>
          <w:rFonts w:cstheme="minorHAnsi"/>
        </w:rPr>
        <w:t>raised PBE (≥</w:t>
      </w:r>
      <w:r w:rsidR="0056608A">
        <w:rPr>
          <w:rFonts w:cstheme="minorHAnsi"/>
        </w:rPr>
        <w:t>15</w:t>
      </w:r>
      <w:r w:rsidRPr="005D7F37">
        <w:rPr>
          <w:rFonts w:cstheme="minorHAnsi"/>
        </w:rPr>
        <w:t>0 cells/</w:t>
      </w:r>
      <w:r w:rsidRPr="005D7F37">
        <w:rPr>
          <w:rFonts w:cstheme="minorHAnsi"/>
        </w:rPr>
        <w:sym w:font="Symbol" w:char="F06D"/>
      </w:r>
      <w:r w:rsidRPr="005D7F37">
        <w:rPr>
          <w:rFonts w:cstheme="minorHAnsi"/>
        </w:rPr>
        <w:t xml:space="preserve">L) within the preceding 10-years. Therefore, in our cohort of 388 patients only 7 patients (1.8%) did not have a current or historical T2-signal. </w:t>
      </w:r>
      <w:r w:rsidR="007C1180">
        <w:rPr>
          <w:rFonts w:cstheme="minorHAnsi"/>
        </w:rPr>
        <w:t>Furthermore, o</w:t>
      </w:r>
      <w:r w:rsidRPr="005D7F37">
        <w:rPr>
          <w:rFonts w:cstheme="minorHAnsi"/>
        </w:rPr>
        <w:t>f these 7 patients, 3 patients were on treatment with very high dose ICS (≥2000mcg BDP equivalent</w:t>
      </w:r>
      <w:r w:rsidR="008606A2" w:rsidRPr="005D7F37">
        <w:rPr>
          <w:rFonts w:cstheme="minorHAnsi"/>
        </w:rPr>
        <w:t>)</w:t>
      </w:r>
      <w:r w:rsidR="00054B80">
        <w:rPr>
          <w:rFonts w:cstheme="minorHAnsi"/>
        </w:rPr>
        <w:t xml:space="preserve">- treatment that could </w:t>
      </w:r>
      <w:r w:rsidR="009C7DA7">
        <w:rPr>
          <w:rFonts w:cstheme="minorHAnsi"/>
        </w:rPr>
        <w:t xml:space="preserve">have </w:t>
      </w:r>
      <w:r w:rsidR="00054B80">
        <w:rPr>
          <w:rFonts w:cstheme="minorHAnsi"/>
        </w:rPr>
        <w:t>suppress</w:t>
      </w:r>
      <w:r w:rsidR="009C7DA7">
        <w:rPr>
          <w:rFonts w:cstheme="minorHAnsi"/>
        </w:rPr>
        <w:t>ed</w:t>
      </w:r>
      <w:r w:rsidR="00054B80">
        <w:rPr>
          <w:rFonts w:cstheme="minorHAnsi"/>
        </w:rPr>
        <w:t xml:space="preserve"> T2-signal</w:t>
      </w:r>
      <w:r w:rsidR="00BD6B4B">
        <w:rPr>
          <w:rFonts w:cstheme="minorHAnsi"/>
        </w:rPr>
        <w:t xml:space="preserve"> at WATCH enrolment</w:t>
      </w:r>
      <w:r w:rsidR="00054B80">
        <w:rPr>
          <w:rFonts w:cstheme="minorHAnsi"/>
        </w:rPr>
        <w:t xml:space="preserve">. </w:t>
      </w:r>
    </w:p>
    <w:p w14:paraId="655258D7" w14:textId="77777777" w:rsidR="009B2805" w:rsidRPr="009B2805" w:rsidRDefault="009B2805" w:rsidP="007F377D">
      <w:pPr>
        <w:spacing w:line="480" w:lineRule="auto"/>
        <w:rPr>
          <w:rFonts w:cstheme="minorHAnsi"/>
        </w:rPr>
      </w:pPr>
    </w:p>
    <w:p w14:paraId="403B48A0" w14:textId="0F72A7B0" w:rsidR="002E27C7" w:rsidRPr="008606A2" w:rsidRDefault="00E51BEF" w:rsidP="00046AB5">
      <w:pPr>
        <w:spacing w:line="480" w:lineRule="auto"/>
        <w:rPr>
          <w:rFonts w:cstheme="minorHAnsi"/>
          <w:i/>
          <w:iCs/>
          <w:u w:val="single"/>
        </w:rPr>
      </w:pPr>
      <w:r w:rsidRPr="008606A2">
        <w:rPr>
          <w:rFonts w:cstheme="minorHAnsi"/>
          <w:i/>
          <w:iCs/>
          <w:u w:val="single"/>
        </w:rPr>
        <w:t xml:space="preserve">High prevalence of T2-high </w:t>
      </w:r>
      <w:r w:rsidR="00172CC8" w:rsidRPr="008606A2">
        <w:rPr>
          <w:rFonts w:cstheme="minorHAnsi"/>
          <w:i/>
          <w:iCs/>
          <w:u w:val="single"/>
        </w:rPr>
        <w:t>asthma</w:t>
      </w:r>
      <w:r w:rsidRPr="008606A2">
        <w:rPr>
          <w:rFonts w:cstheme="minorHAnsi"/>
          <w:i/>
          <w:iCs/>
          <w:u w:val="single"/>
        </w:rPr>
        <w:t xml:space="preserve"> </w:t>
      </w:r>
      <w:r w:rsidR="000F004C" w:rsidRPr="008606A2">
        <w:rPr>
          <w:rFonts w:cstheme="minorHAnsi"/>
          <w:i/>
          <w:iCs/>
          <w:u w:val="single"/>
        </w:rPr>
        <w:t xml:space="preserve">status </w:t>
      </w:r>
      <w:r w:rsidRPr="008606A2">
        <w:rPr>
          <w:rFonts w:cstheme="minorHAnsi"/>
          <w:i/>
          <w:iCs/>
          <w:u w:val="single"/>
        </w:rPr>
        <w:t>is independent of sputum analysis</w:t>
      </w:r>
      <w:r w:rsidR="008606A2" w:rsidRPr="008606A2">
        <w:rPr>
          <w:rFonts w:cstheme="minorHAnsi"/>
          <w:i/>
          <w:iCs/>
          <w:u w:val="single"/>
        </w:rPr>
        <w:t>:</w:t>
      </w:r>
    </w:p>
    <w:p w14:paraId="6ED9DD32" w14:textId="4B2D9C36" w:rsidR="00516FC5" w:rsidRDefault="00EA6587" w:rsidP="002203E3">
      <w:pPr>
        <w:spacing w:line="480" w:lineRule="auto"/>
        <w:rPr>
          <w:rFonts w:cstheme="minorHAnsi"/>
        </w:rPr>
      </w:pPr>
      <w:r>
        <w:rPr>
          <w:rFonts w:cstheme="minorHAnsi"/>
        </w:rPr>
        <w:t xml:space="preserve">Induced sputum was </w:t>
      </w:r>
      <w:r w:rsidR="002203E3">
        <w:rPr>
          <w:rFonts w:cstheme="minorHAnsi"/>
        </w:rPr>
        <w:t>obtained</w:t>
      </w:r>
      <w:r>
        <w:rPr>
          <w:rFonts w:cstheme="minorHAnsi"/>
        </w:rPr>
        <w:t xml:space="preserve"> </w:t>
      </w:r>
      <w:r w:rsidR="00D13B31">
        <w:rPr>
          <w:rFonts w:cstheme="minorHAnsi"/>
        </w:rPr>
        <w:t>from</w:t>
      </w:r>
      <w:r>
        <w:rPr>
          <w:rFonts w:cstheme="minorHAnsi"/>
        </w:rPr>
        <w:t xml:space="preserve"> </w:t>
      </w:r>
      <w:r w:rsidR="009A7B5A">
        <w:rPr>
          <w:rFonts w:cstheme="minorHAnsi"/>
        </w:rPr>
        <w:t>117</w:t>
      </w:r>
      <w:r w:rsidR="00A8104A">
        <w:rPr>
          <w:rFonts w:cstheme="minorHAnsi"/>
        </w:rPr>
        <w:t xml:space="preserve"> of these 388</w:t>
      </w:r>
      <w:r w:rsidR="009A7B5A">
        <w:rPr>
          <w:rFonts w:cstheme="minorHAnsi"/>
        </w:rPr>
        <w:t xml:space="preserve"> WATCH participant</w:t>
      </w:r>
      <w:r w:rsidR="00E109BF">
        <w:rPr>
          <w:rFonts w:cstheme="minorHAnsi"/>
        </w:rPr>
        <w:t>s</w:t>
      </w:r>
      <w:r w:rsidR="008E1F59">
        <w:rPr>
          <w:rFonts w:cstheme="minorHAnsi"/>
        </w:rPr>
        <w:t xml:space="preserve"> (</w:t>
      </w:r>
      <w:r w:rsidR="008E1F59" w:rsidRPr="00633D66">
        <w:rPr>
          <w:rFonts w:cstheme="minorHAnsi"/>
          <w:b/>
          <w:bCs/>
        </w:rPr>
        <w:t>Table 3</w:t>
      </w:r>
      <w:r w:rsidR="008E1F59">
        <w:rPr>
          <w:rFonts w:cstheme="minorHAnsi"/>
        </w:rPr>
        <w:t>)</w:t>
      </w:r>
      <w:r w:rsidR="00036835">
        <w:rPr>
          <w:rFonts w:cstheme="minorHAnsi"/>
        </w:rPr>
        <w:t xml:space="preserve">. </w:t>
      </w:r>
      <w:r w:rsidR="0056608A">
        <w:rPr>
          <w:rFonts w:cstheme="minorHAnsi"/>
        </w:rPr>
        <w:t xml:space="preserve">48% (56/117) </w:t>
      </w:r>
      <w:r w:rsidR="00516FC5">
        <w:rPr>
          <w:rFonts w:cstheme="minorHAnsi"/>
        </w:rPr>
        <w:t>had eosinophils ≥2%, 26% (31/117) had neutrophils ≥61%</w:t>
      </w:r>
      <w:r w:rsidR="00784142">
        <w:rPr>
          <w:rFonts w:cstheme="minorHAnsi"/>
        </w:rPr>
        <w:t>. Of the 87 patients with raised sputum eosinophils or neutrophils, 13 patients (</w:t>
      </w:r>
      <w:r w:rsidR="00516FC5">
        <w:rPr>
          <w:rFonts w:cstheme="minorHAnsi"/>
        </w:rPr>
        <w:t xml:space="preserve">11% </w:t>
      </w:r>
      <w:r w:rsidR="00784142">
        <w:rPr>
          <w:rFonts w:cstheme="minorHAnsi"/>
        </w:rPr>
        <w:t xml:space="preserve">of </w:t>
      </w:r>
      <w:r w:rsidR="00516FC5">
        <w:rPr>
          <w:rFonts w:cstheme="minorHAnsi"/>
        </w:rPr>
        <w:t xml:space="preserve">117) had mixed granulocytic </w:t>
      </w:r>
      <w:r w:rsidR="00516FC5">
        <w:rPr>
          <w:rFonts w:cstheme="minorHAnsi"/>
        </w:rPr>
        <w:lastRenderedPageBreak/>
        <w:t>sputum (eosinophils</w:t>
      </w:r>
      <w:r w:rsidR="00516FC5" w:rsidRPr="00207AD1">
        <w:rPr>
          <w:rFonts w:cstheme="minorHAnsi"/>
        </w:rPr>
        <w:t>≥2% and neutrophils≥61%)</w:t>
      </w:r>
      <w:r w:rsidR="00784142">
        <w:rPr>
          <w:rFonts w:cstheme="minorHAnsi"/>
        </w:rPr>
        <w:t>.</w:t>
      </w:r>
      <w:r w:rsidR="0056608A" w:rsidRPr="00207AD1">
        <w:rPr>
          <w:rFonts w:cstheme="minorHAnsi"/>
        </w:rPr>
        <w:t xml:space="preserve"> 37% (43/117) had paucigranulocytic sputum</w:t>
      </w:r>
      <w:r w:rsidR="00516FC5" w:rsidRPr="00207AD1">
        <w:rPr>
          <w:rFonts w:cstheme="minorHAnsi"/>
        </w:rPr>
        <w:t>.</w:t>
      </w:r>
      <w:r w:rsidR="00516FC5">
        <w:rPr>
          <w:rFonts w:cstheme="minorHAnsi"/>
        </w:rPr>
        <w:t xml:space="preserve"> </w:t>
      </w:r>
    </w:p>
    <w:p w14:paraId="5CF2F30B" w14:textId="77777777" w:rsidR="0056608A" w:rsidRDefault="0056608A" w:rsidP="002203E3">
      <w:pPr>
        <w:spacing w:line="480" w:lineRule="auto"/>
        <w:rPr>
          <w:rFonts w:cstheme="minorHAnsi"/>
        </w:rPr>
      </w:pPr>
    </w:p>
    <w:p w14:paraId="16E36968" w14:textId="1059972A" w:rsidR="002203E3" w:rsidRDefault="00036835" w:rsidP="002203E3">
      <w:pPr>
        <w:spacing w:line="480" w:lineRule="auto"/>
        <w:rPr>
          <w:rFonts w:cstheme="minorHAnsi"/>
        </w:rPr>
      </w:pPr>
      <w:r>
        <w:rPr>
          <w:rFonts w:cstheme="minorHAnsi"/>
        </w:rPr>
        <w:t xml:space="preserve">96% (111/117) </w:t>
      </w:r>
      <w:r w:rsidR="006874D6">
        <w:rPr>
          <w:rFonts w:cstheme="minorHAnsi"/>
        </w:rPr>
        <w:t>met</w:t>
      </w:r>
      <w:r>
        <w:rPr>
          <w:rFonts w:cstheme="minorHAnsi"/>
        </w:rPr>
        <w:t xml:space="preserve"> </w:t>
      </w:r>
      <w:r w:rsidR="006874D6">
        <w:rPr>
          <w:rFonts w:cstheme="minorHAnsi"/>
        </w:rPr>
        <w:t xml:space="preserve">our </w:t>
      </w:r>
      <w:r>
        <w:rPr>
          <w:rFonts w:cstheme="minorHAnsi"/>
        </w:rPr>
        <w:t xml:space="preserve">applied definition of T2-high asthma. </w:t>
      </w:r>
      <w:r w:rsidR="002203E3">
        <w:rPr>
          <w:rFonts w:cstheme="minorHAnsi"/>
        </w:rPr>
        <w:t xml:space="preserve">Using sputum eosinophilia as an additional defining criterion </w:t>
      </w:r>
      <w:r w:rsidR="00BF16EA">
        <w:rPr>
          <w:rFonts w:cstheme="minorHAnsi"/>
        </w:rPr>
        <w:t xml:space="preserve">alongside </w:t>
      </w:r>
      <w:r w:rsidR="00236714">
        <w:rPr>
          <w:rFonts w:cstheme="minorHAnsi"/>
        </w:rPr>
        <w:t xml:space="preserve">the other 4 components used to define T2-status </w:t>
      </w:r>
      <w:r w:rsidR="002203E3">
        <w:rPr>
          <w:rFonts w:cstheme="minorHAnsi"/>
        </w:rPr>
        <w:t>identified just 1 more patient as having T2-high asthma. Of note, historically, this patient had PBE ≥</w:t>
      </w:r>
      <w:r w:rsidR="0056608A">
        <w:rPr>
          <w:rFonts w:cstheme="minorHAnsi"/>
        </w:rPr>
        <w:t>150</w:t>
      </w:r>
      <w:r w:rsidR="00796E71">
        <w:rPr>
          <w:rFonts w:cstheme="minorHAnsi"/>
        </w:rPr>
        <w:t xml:space="preserve"> cells</w:t>
      </w:r>
      <w:r w:rsidR="002203E3">
        <w:rPr>
          <w:rFonts w:cstheme="minorHAnsi"/>
        </w:rPr>
        <w:t>/</w:t>
      </w:r>
      <w:r w:rsidR="002203E3">
        <w:rPr>
          <w:rFonts w:cstheme="minorHAnsi"/>
        </w:rPr>
        <w:sym w:font="Symbol" w:char="F06D"/>
      </w:r>
      <w:r w:rsidR="002203E3">
        <w:rPr>
          <w:rFonts w:cstheme="minorHAnsi"/>
        </w:rPr>
        <w:t>L in the preceding decade.</w:t>
      </w:r>
      <w:r w:rsidR="002D3B6A">
        <w:rPr>
          <w:rFonts w:cstheme="minorHAnsi"/>
        </w:rPr>
        <w:t xml:space="preserve"> </w:t>
      </w:r>
    </w:p>
    <w:p w14:paraId="22911BF0" w14:textId="77777777" w:rsidR="00435EED" w:rsidRDefault="00435EED" w:rsidP="007F377D">
      <w:pPr>
        <w:spacing w:line="480" w:lineRule="auto"/>
        <w:rPr>
          <w:rFonts w:cstheme="minorHAnsi"/>
        </w:rPr>
      </w:pPr>
    </w:p>
    <w:p w14:paraId="4D477B48" w14:textId="1DFDE686" w:rsidR="0005147D" w:rsidRDefault="00516FC5" w:rsidP="007F377D">
      <w:pPr>
        <w:spacing w:line="480" w:lineRule="auto"/>
        <w:rPr>
          <w:rFonts w:cstheme="minorHAnsi"/>
        </w:rPr>
      </w:pPr>
      <w:r>
        <w:rPr>
          <w:rFonts w:cstheme="minorHAnsi"/>
        </w:rPr>
        <w:t xml:space="preserve">Of the </w:t>
      </w:r>
      <w:r w:rsidR="0022143A">
        <w:rPr>
          <w:rFonts w:cstheme="minorHAnsi"/>
        </w:rPr>
        <w:t xml:space="preserve">112 </w:t>
      </w:r>
      <w:r>
        <w:rPr>
          <w:rFonts w:cstheme="minorHAnsi"/>
        </w:rPr>
        <w:t>patients classified as T2-high</w:t>
      </w:r>
      <w:r w:rsidR="0022143A">
        <w:rPr>
          <w:rFonts w:cstheme="minorHAnsi"/>
        </w:rPr>
        <w:t>,</w:t>
      </w:r>
      <w:r>
        <w:rPr>
          <w:rFonts w:cstheme="minorHAnsi"/>
        </w:rPr>
        <w:t xml:space="preserve"> </w:t>
      </w:r>
      <w:r w:rsidR="0022143A">
        <w:rPr>
          <w:rFonts w:cstheme="minorHAnsi"/>
        </w:rPr>
        <w:t xml:space="preserve">50% (56/112) </w:t>
      </w:r>
      <w:r w:rsidR="002203E3">
        <w:rPr>
          <w:rFonts w:cstheme="minorHAnsi"/>
        </w:rPr>
        <w:t>had sputum eosinophils ≥2%</w:t>
      </w:r>
      <w:r w:rsidR="00435EED">
        <w:rPr>
          <w:rFonts w:cstheme="minorHAnsi"/>
        </w:rPr>
        <w:t xml:space="preserve">, </w:t>
      </w:r>
      <w:r w:rsidR="007B487A">
        <w:rPr>
          <w:rFonts w:cstheme="minorHAnsi"/>
        </w:rPr>
        <w:t>25% (28/112)</w:t>
      </w:r>
      <w:r w:rsidR="002203E3">
        <w:rPr>
          <w:rFonts w:cstheme="minorHAnsi"/>
        </w:rPr>
        <w:t xml:space="preserve"> had ≥61% neutrophils</w:t>
      </w:r>
      <w:r w:rsidR="00344721">
        <w:rPr>
          <w:rFonts w:cstheme="minorHAnsi"/>
        </w:rPr>
        <w:t xml:space="preserve">. Of the 84/112 patients with raised </w:t>
      </w:r>
      <w:proofErr w:type="spellStart"/>
      <w:r w:rsidR="00344721">
        <w:rPr>
          <w:rFonts w:cstheme="minorHAnsi"/>
        </w:rPr>
        <w:t>spuum</w:t>
      </w:r>
      <w:proofErr w:type="spellEnd"/>
      <w:r w:rsidR="00344721">
        <w:rPr>
          <w:rFonts w:cstheme="minorHAnsi"/>
        </w:rPr>
        <w:t xml:space="preserve"> eosinophils or neutrophils, 13</w:t>
      </w:r>
      <w:r w:rsidR="007B487A">
        <w:rPr>
          <w:rFonts w:cstheme="minorHAnsi"/>
        </w:rPr>
        <w:t xml:space="preserve"> </w:t>
      </w:r>
      <w:r w:rsidR="002203E3">
        <w:rPr>
          <w:rFonts w:cstheme="minorHAnsi"/>
        </w:rPr>
        <w:t>had mixed granulocytic sputum</w:t>
      </w:r>
      <w:r w:rsidR="007B487A">
        <w:rPr>
          <w:rFonts w:cstheme="minorHAnsi"/>
        </w:rPr>
        <w:t xml:space="preserve">. </w:t>
      </w:r>
      <w:r w:rsidR="002C67C0">
        <w:rPr>
          <w:rFonts w:cstheme="minorHAnsi"/>
        </w:rPr>
        <w:t>Furthermore</w:t>
      </w:r>
      <w:r w:rsidR="00AC4174">
        <w:rPr>
          <w:rFonts w:cstheme="minorHAnsi"/>
        </w:rPr>
        <w:t>,</w:t>
      </w:r>
      <w:r w:rsidR="002C67C0">
        <w:rPr>
          <w:rFonts w:cstheme="minorHAnsi"/>
        </w:rPr>
        <w:t xml:space="preserve"> </w:t>
      </w:r>
      <w:r w:rsidR="002203E3">
        <w:rPr>
          <w:rFonts w:cstheme="minorHAnsi"/>
        </w:rPr>
        <w:t>T2-high patients accounted for 93% of those with sputum neutrophilia</w:t>
      </w:r>
      <w:r w:rsidR="00E86FC7">
        <w:rPr>
          <w:rFonts w:cstheme="minorHAnsi"/>
        </w:rPr>
        <w:t xml:space="preserve"> (</w:t>
      </w:r>
      <w:r w:rsidR="00E86FC7" w:rsidRPr="00633D66">
        <w:rPr>
          <w:rFonts w:cstheme="minorHAnsi"/>
          <w:b/>
          <w:bCs/>
        </w:rPr>
        <w:t>Table</w:t>
      </w:r>
      <w:r w:rsidR="00E86FC7" w:rsidRPr="0022143A">
        <w:rPr>
          <w:rFonts w:cstheme="minorHAnsi"/>
          <w:b/>
          <w:bCs/>
        </w:rPr>
        <w:t xml:space="preserve"> </w:t>
      </w:r>
      <w:r w:rsidR="008E1F59" w:rsidRPr="00633D66">
        <w:rPr>
          <w:rFonts w:cstheme="minorHAnsi"/>
          <w:b/>
          <w:bCs/>
        </w:rPr>
        <w:t>3</w:t>
      </w:r>
      <w:r w:rsidR="008E1F59">
        <w:rPr>
          <w:rFonts w:cstheme="minorHAnsi"/>
        </w:rPr>
        <w:t>)</w:t>
      </w:r>
      <w:r w:rsidR="002203E3">
        <w:rPr>
          <w:rFonts w:cstheme="minorHAnsi"/>
        </w:rPr>
        <w:t>.</w:t>
      </w:r>
    </w:p>
    <w:p w14:paraId="4F20232C" w14:textId="77777777" w:rsidR="00AF0455" w:rsidRDefault="00AF0455" w:rsidP="007F377D">
      <w:pPr>
        <w:spacing w:line="480" w:lineRule="auto"/>
        <w:rPr>
          <w:rFonts w:cstheme="minorHAnsi"/>
          <w:b/>
          <w:bCs/>
        </w:rPr>
      </w:pPr>
    </w:p>
    <w:p w14:paraId="05256EDC" w14:textId="6C9DBFAF" w:rsidR="00846019" w:rsidRPr="005971CB" w:rsidRDefault="00846019" w:rsidP="007F377D">
      <w:pPr>
        <w:spacing w:line="480" w:lineRule="auto"/>
        <w:rPr>
          <w:rFonts w:cstheme="minorHAnsi"/>
          <w:b/>
          <w:bCs/>
        </w:rPr>
      </w:pPr>
      <w:r w:rsidRPr="005971CB">
        <w:rPr>
          <w:rFonts w:cstheme="minorHAnsi"/>
          <w:b/>
          <w:bCs/>
        </w:rPr>
        <w:t>Discussion</w:t>
      </w:r>
    </w:p>
    <w:p w14:paraId="3BD093F0" w14:textId="3FCA8C52" w:rsidR="004B70A5" w:rsidRDefault="00FA37D7" w:rsidP="00FA37D7">
      <w:pPr>
        <w:spacing w:line="480" w:lineRule="auto"/>
        <w:rPr>
          <w:rFonts w:cstheme="minorHAnsi"/>
        </w:rPr>
      </w:pPr>
      <w:r>
        <w:rPr>
          <w:rFonts w:cstheme="minorHAnsi"/>
        </w:rPr>
        <w:t xml:space="preserve">Using a multicomponent classification of T2-inflammation in a large cohort of patients with difficult-to-treat and severe asthma, we have shown that 93% of patients have T2-high </w:t>
      </w:r>
      <w:r w:rsidR="00747E0C">
        <w:rPr>
          <w:rFonts w:cstheme="minorHAnsi"/>
        </w:rPr>
        <w:t>statu</w:t>
      </w:r>
      <w:r w:rsidR="00D74214">
        <w:rPr>
          <w:rFonts w:cstheme="minorHAnsi"/>
        </w:rPr>
        <w:t>s</w:t>
      </w:r>
      <w:r w:rsidR="00747E0C">
        <w:rPr>
          <w:rFonts w:cstheme="minorHAnsi"/>
        </w:rPr>
        <w:t xml:space="preserve"> </w:t>
      </w:r>
      <w:r>
        <w:rPr>
          <w:rFonts w:cstheme="minorHAnsi"/>
        </w:rPr>
        <w:t xml:space="preserve">while only 1.8% of patients have no T2 signal after thorough longitudinal characterisation. </w:t>
      </w:r>
    </w:p>
    <w:p w14:paraId="6E704679" w14:textId="77777777" w:rsidR="0042061A" w:rsidRDefault="0042061A" w:rsidP="00FA37D7">
      <w:pPr>
        <w:spacing w:line="480" w:lineRule="auto"/>
        <w:rPr>
          <w:rFonts w:cstheme="minorHAnsi"/>
        </w:rPr>
      </w:pPr>
    </w:p>
    <w:p w14:paraId="32840A94" w14:textId="5F284A09" w:rsidR="00FA37D7" w:rsidRDefault="00FA37D7" w:rsidP="00FA37D7">
      <w:pPr>
        <w:spacing w:line="480" w:lineRule="auto"/>
        <w:rPr>
          <w:rFonts w:cstheme="minorHAnsi"/>
        </w:rPr>
      </w:pPr>
      <w:r>
        <w:rPr>
          <w:rFonts w:cstheme="minorHAnsi"/>
        </w:rPr>
        <w:t xml:space="preserve">The criteria we used to define T2-status are </w:t>
      </w:r>
      <w:r w:rsidR="00A97A09">
        <w:rPr>
          <w:rFonts w:cstheme="minorHAnsi"/>
        </w:rPr>
        <w:t>closely aligned to those</w:t>
      </w:r>
      <w:r w:rsidR="00A27704">
        <w:rPr>
          <w:rFonts w:cstheme="minorHAnsi"/>
        </w:rPr>
        <w:t xml:space="preserve"> previously</w:t>
      </w:r>
      <w:r w:rsidR="00A97A09">
        <w:rPr>
          <w:rFonts w:cstheme="minorHAnsi"/>
        </w:rPr>
        <w:t xml:space="preserve"> </w:t>
      </w:r>
      <w:r>
        <w:rPr>
          <w:rFonts w:cstheme="minorHAnsi"/>
        </w:rPr>
        <w:t>proposed by GINA</w:t>
      </w:r>
      <w:r w:rsidR="002873E9" w:rsidRPr="002873E9">
        <w:rPr>
          <w:rFonts w:cstheme="minorHAnsi"/>
          <w:noProof/>
          <w:vertAlign w:val="superscript"/>
        </w:rPr>
        <w:t>16</w:t>
      </w:r>
      <w:r>
        <w:rPr>
          <w:rFonts w:cstheme="minorHAnsi"/>
        </w:rPr>
        <w:t xml:space="preserve"> and most are readily available clinical variables. However, the </w:t>
      </w:r>
      <w:r w:rsidR="007D4470">
        <w:rPr>
          <w:rFonts w:cstheme="minorHAnsi"/>
        </w:rPr>
        <w:t xml:space="preserve">GINA 2021 </w:t>
      </w:r>
      <w:r>
        <w:rPr>
          <w:rFonts w:cstheme="minorHAnsi"/>
        </w:rPr>
        <w:t>criteria also include</w:t>
      </w:r>
      <w:r w:rsidR="00EB7D85">
        <w:rPr>
          <w:rFonts w:cstheme="minorHAnsi"/>
        </w:rPr>
        <w:t>d</w:t>
      </w:r>
      <w:r>
        <w:rPr>
          <w:rFonts w:cstheme="minorHAnsi"/>
        </w:rPr>
        <w:t xml:space="preserve"> sputum eosinophilia</w:t>
      </w:r>
      <w:r w:rsidR="00947615">
        <w:rPr>
          <w:rFonts w:cstheme="minorHAnsi"/>
        </w:rPr>
        <w:t>,</w:t>
      </w:r>
      <w:r>
        <w:rPr>
          <w:rFonts w:cstheme="minorHAnsi"/>
        </w:rPr>
        <w:t xml:space="preserve"> a test that is not readily available for all patients. The WATCH cohort included a group of patients (n=117) who underwent sputum induction and therefore we evaluated the T2-high/T2-low split with and without using sputum eosinophilia </w:t>
      </w:r>
      <w:r>
        <w:rPr>
          <w:rFonts w:cstheme="minorHAnsi"/>
        </w:rPr>
        <w:lastRenderedPageBreak/>
        <w:t xml:space="preserve">as a defining criterion. This analysis revealed that using sputum analysis to identify T2-high status does not </w:t>
      </w:r>
      <w:r w:rsidR="003E783E">
        <w:rPr>
          <w:rFonts w:cstheme="minorHAnsi"/>
        </w:rPr>
        <w:t>increase</w:t>
      </w:r>
      <w:r>
        <w:rPr>
          <w:rFonts w:cstheme="minorHAnsi"/>
        </w:rPr>
        <w:t xml:space="preserve"> the number of patients identified a</w:t>
      </w:r>
      <w:r w:rsidR="003D0937">
        <w:rPr>
          <w:rFonts w:cstheme="minorHAnsi"/>
        </w:rPr>
        <w:t>s</w:t>
      </w:r>
      <w:r>
        <w:rPr>
          <w:rFonts w:cstheme="minorHAnsi"/>
        </w:rPr>
        <w:t xml:space="preserve"> T2-high, over and above those identified by readily available clinical and biomarker variables. In fact, in our cohort it only added one additional patient to the ‘T2-high’ group. Furthermore, this patient had historically raised PBE, suggesting an underlying T2-high phenotype that was probably suppressed at the time of enrolment and further emphasises the importance of longitudinal evaluation of biomarkers. Therefore, while sputum induction is considered by many to be the gold-standard investigation for airway inflammation, our findings, coupled with the finding that PBE are an accurate surrogate marker for sputum eosinophils with a reported ROC AUC of 89%</w:t>
      </w:r>
      <w:r w:rsidR="002873E9" w:rsidRPr="002873E9">
        <w:rPr>
          <w:rFonts w:cstheme="minorHAnsi"/>
          <w:noProof/>
          <w:vertAlign w:val="superscript"/>
        </w:rPr>
        <w:t>17</w:t>
      </w:r>
      <w:r>
        <w:rPr>
          <w:rFonts w:cstheme="minorHAnsi"/>
        </w:rPr>
        <w:t xml:space="preserve"> supports a move away from placing heavy emphasis on sputum analysis </w:t>
      </w:r>
      <w:r w:rsidR="00E92768">
        <w:rPr>
          <w:rFonts w:cstheme="minorHAnsi"/>
        </w:rPr>
        <w:t xml:space="preserve">to define T2-status </w:t>
      </w:r>
      <w:r>
        <w:rPr>
          <w:rFonts w:cstheme="minorHAnsi"/>
        </w:rPr>
        <w:t xml:space="preserve">in </w:t>
      </w:r>
      <w:r w:rsidR="00E92768">
        <w:rPr>
          <w:rFonts w:cstheme="minorHAnsi"/>
        </w:rPr>
        <w:t xml:space="preserve">daily </w:t>
      </w:r>
      <w:r>
        <w:rPr>
          <w:rFonts w:cstheme="minorHAnsi"/>
        </w:rPr>
        <w:t xml:space="preserve">clinical practice.  </w:t>
      </w:r>
    </w:p>
    <w:p w14:paraId="0E969920" w14:textId="77777777" w:rsidR="00FA37D7" w:rsidRDefault="00FA37D7" w:rsidP="00FA37D7">
      <w:pPr>
        <w:spacing w:line="480" w:lineRule="auto"/>
        <w:rPr>
          <w:rFonts w:cstheme="minorHAnsi"/>
        </w:rPr>
      </w:pPr>
    </w:p>
    <w:p w14:paraId="00C78480" w14:textId="636425F2" w:rsidR="00D948C7" w:rsidRDefault="00FA37D7" w:rsidP="00FA37D7">
      <w:pPr>
        <w:spacing w:line="480" w:lineRule="auto"/>
        <w:rPr>
          <w:rFonts w:cstheme="minorHAnsi"/>
        </w:rPr>
      </w:pPr>
      <w:r>
        <w:rPr>
          <w:rFonts w:cstheme="minorHAnsi"/>
        </w:rPr>
        <w:t>There remains ongoing debate on the prevalence of T2-high and T2-low status in patients with difficult-to-treat and severe asthma. Using data from an international severe asthma registry and a multicomponent algorithm</w:t>
      </w:r>
      <w:r w:rsidR="00E92768">
        <w:rPr>
          <w:rFonts w:cstheme="minorHAnsi"/>
        </w:rPr>
        <w:t xml:space="preserve"> that included the biomarkers PBE and FeNO, use of medication including mOCS and anti-IL5 treatment, presence of nasal polyps and adult onset disease</w:t>
      </w:r>
      <w:r>
        <w:rPr>
          <w:rFonts w:cstheme="minorHAnsi"/>
        </w:rPr>
        <w:t>, Heaney et al showed that 83.8% of patients with severe asthma are most likely to have an eosinophilic phenotype</w:t>
      </w:r>
      <w:r w:rsidR="00C804AC" w:rsidRPr="00C804AC">
        <w:rPr>
          <w:rFonts w:cstheme="minorHAnsi"/>
          <w:noProof/>
          <w:vertAlign w:val="superscript"/>
        </w:rPr>
        <w:t>10</w:t>
      </w:r>
      <w:r>
        <w:rPr>
          <w:rFonts w:cstheme="minorHAnsi"/>
        </w:rPr>
        <w:t xml:space="preserve"> while the UK Severe Asthma Registry identified 44.6% patients as T2-high (defined based on FeNO≥25ppb and PBE ≥150 cells/</w:t>
      </w:r>
      <w:r>
        <w:rPr>
          <w:rFonts w:cstheme="minorHAnsi"/>
        </w:rPr>
        <w:sym w:font="Symbol" w:char="F06D"/>
      </w:r>
      <w:r>
        <w:rPr>
          <w:rFonts w:cstheme="minorHAnsi"/>
        </w:rPr>
        <w:t>L) and 9.4% as T2-low.</w:t>
      </w:r>
      <w:r w:rsidR="00E72F65">
        <w:rPr>
          <w:rFonts w:cstheme="minorHAnsi"/>
          <w:noProof/>
          <w:vertAlign w:val="superscript"/>
        </w:rPr>
        <w:t>7</w:t>
      </w:r>
      <w:r w:rsidR="00E72F65">
        <w:rPr>
          <w:rFonts w:cstheme="minorHAnsi"/>
        </w:rPr>
        <w:t xml:space="preserve"> </w:t>
      </w:r>
      <w:r>
        <w:rPr>
          <w:rFonts w:cstheme="minorHAnsi"/>
        </w:rPr>
        <w:t>However, the historical highest median PBE count in the T2-low group was 350 cells/</w:t>
      </w:r>
      <w:r>
        <w:rPr>
          <w:rFonts w:cstheme="minorHAnsi"/>
        </w:rPr>
        <w:sym w:font="Symbol" w:char="F06D"/>
      </w:r>
      <w:r>
        <w:rPr>
          <w:rFonts w:cstheme="minorHAnsi"/>
        </w:rPr>
        <w:t xml:space="preserve">L indicating that many from this group were probably T2-high but had suppressed biomarkers at the time of sampling. </w:t>
      </w:r>
      <w:r w:rsidR="002E4494">
        <w:rPr>
          <w:rFonts w:cstheme="minorHAnsi"/>
        </w:rPr>
        <w:t xml:space="preserve">The prevalence of T2-high status was higher in our cohort and this is likely to be attributed to </w:t>
      </w:r>
      <w:r w:rsidR="00D948C7">
        <w:rPr>
          <w:rFonts w:cstheme="minorHAnsi"/>
        </w:rPr>
        <w:t>utilisation of a multi-component definition</w:t>
      </w:r>
      <w:r w:rsidR="00CB3591">
        <w:rPr>
          <w:rFonts w:cstheme="minorHAnsi"/>
        </w:rPr>
        <w:t xml:space="preserve">, use of </w:t>
      </w:r>
      <w:r w:rsidR="006233E3">
        <w:rPr>
          <w:rFonts w:cstheme="minorHAnsi"/>
        </w:rPr>
        <w:lastRenderedPageBreak/>
        <w:t>lower defining cut-offs for PBE as recommende</w:t>
      </w:r>
      <w:r w:rsidR="00DE4ECF">
        <w:rPr>
          <w:rFonts w:cstheme="minorHAnsi"/>
        </w:rPr>
        <w:t>d</w:t>
      </w:r>
      <w:r w:rsidR="006233E3">
        <w:rPr>
          <w:rFonts w:cstheme="minorHAnsi"/>
        </w:rPr>
        <w:t xml:space="preserve"> by GINA,</w:t>
      </w:r>
      <w:r w:rsidR="00D948C7">
        <w:rPr>
          <w:rFonts w:cstheme="minorHAnsi"/>
        </w:rPr>
        <w:t xml:space="preserve"> and </w:t>
      </w:r>
      <w:r w:rsidR="002E4494">
        <w:rPr>
          <w:rFonts w:cstheme="minorHAnsi"/>
        </w:rPr>
        <w:t>incorporation of historical PBE values</w:t>
      </w:r>
      <w:r w:rsidR="00D948C7">
        <w:rPr>
          <w:rFonts w:cstheme="minorHAnsi"/>
        </w:rPr>
        <w:t>.</w:t>
      </w:r>
    </w:p>
    <w:p w14:paraId="28DD6ED0" w14:textId="77777777" w:rsidR="00D948C7" w:rsidRDefault="00D948C7" w:rsidP="00FA37D7">
      <w:pPr>
        <w:spacing w:line="480" w:lineRule="auto"/>
        <w:rPr>
          <w:rFonts w:cstheme="minorHAnsi"/>
        </w:rPr>
      </w:pPr>
    </w:p>
    <w:p w14:paraId="5D876BFA" w14:textId="7524AFE2" w:rsidR="002E4494" w:rsidRDefault="00B034DA" w:rsidP="00FA37D7">
      <w:pPr>
        <w:spacing w:line="480" w:lineRule="auto"/>
        <w:rPr>
          <w:rFonts w:cstheme="minorHAnsi"/>
        </w:rPr>
      </w:pPr>
      <w:r>
        <w:rPr>
          <w:rFonts w:cstheme="minorHAnsi"/>
        </w:rPr>
        <w:t>Over-</w:t>
      </w:r>
      <w:r w:rsidR="00014E27">
        <w:rPr>
          <w:rFonts w:cstheme="minorHAnsi"/>
        </w:rPr>
        <w:t>r</w:t>
      </w:r>
      <w:r w:rsidR="005C1A06">
        <w:rPr>
          <w:rFonts w:cstheme="minorHAnsi"/>
        </w:rPr>
        <w:t xml:space="preserve">eliance on cross-sectional evaluation of T2-biomarkers is hampered </w:t>
      </w:r>
      <w:r w:rsidR="00D516C1">
        <w:rPr>
          <w:rFonts w:cstheme="minorHAnsi"/>
        </w:rPr>
        <w:t>by inherent disease variability</w:t>
      </w:r>
      <w:r w:rsidR="009811F9">
        <w:rPr>
          <w:rFonts w:cstheme="minorHAnsi"/>
        </w:rPr>
        <w:t xml:space="preserve"> and suppression of biomarkers by inhaled and oral corticosteroids. O</w:t>
      </w:r>
      <w:r w:rsidR="002E4494">
        <w:rPr>
          <w:rFonts w:cstheme="minorHAnsi"/>
        </w:rPr>
        <w:t xml:space="preserve">ur analysis adds to the growing body of literature supporting longitudinal </w:t>
      </w:r>
      <w:r w:rsidR="009811F9">
        <w:rPr>
          <w:rFonts w:cstheme="minorHAnsi"/>
        </w:rPr>
        <w:t>co</w:t>
      </w:r>
      <w:r w:rsidR="002E4494">
        <w:rPr>
          <w:rFonts w:cstheme="minorHAnsi"/>
        </w:rPr>
        <w:t>nsideration of these biomarkers when evaluating disease phenotype.</w:t>
      </w:r>
      <w:r w:rsidR="00C804AC" w:rsidRPr="00C804AC">
        <w:rPr>
          <w:rFonts w:cstheme="minorHAnsi"/>
          <w:noProof/>
          <w:vertAlign w:val="superscript"/>
        </w:rPr>
        <w:t>9, 11</w:t>
      </w:r>
      <w:r w:rsidR="009811F9">
        <w:rPr>
          <w:rFonts w:cstheme="minorHAnsi"/>
        </w:rPr>
        <w:t xml:space="preserve"> When using baseline clinical variables, 7%</w:t>
      </w:r>
      <w:r w:rsidR="00761235">
        <w:rPr>
          <w:rFonts w:cstheme="minorHAnsi"/>
        </w:rPr>
        <w:t xml:space="preserve"> (28/388) </w:t>
      </w:r>
      <w:r w:rsidR="009811F9">
        <w:rPr>
          <w:rFonts w:cstheme="minorHAnsi"/>
        </w:rPr>
        <w:t xml:space="preserve">of patients in our cohort did not show a T2-high signal with this </w:t>
      </w:r>
      <w:r w:rsidR="00204FC5">
        <w:rPr>
          <w:rFonts w:cstheme="minorHAnsi"/>
        </w:rPr>
        <w:t xml:space="preserve">proportion </w:t>
      </w:r>
      <w:r w:rsidR="009811F9">
        <w:rPr>
          <w:rFonts w:cstheme="minorHAnsi"/>
        </w:rPr>
        <w:t xml:space="preserve">dropping to </w:t>
      </w:r>
      <w:r w:rsidR="00204FC5">
        <w:rPr>
          <w:rFonts w:cstheme="minorHAnsi"/>
        </w:rPr>
        <w:t xml:space="preserve">only </w:t>
      </w:r>
      <w:r w:rsidR="009811F9">
        <w:rPr>
          <w:rFonts w:cstheme="minorHAnsi"/>
        </w:rPr>
        <w:t>1.8%</w:t>
      </w:r>
      <w:r w:rsidR="00761235">
        <w:rPr>
          <w:rFonts w:cstheme="minorHAnsi"/>
        </w:rPr>
        <w:t xml:space="preserve"> (7/388)</w:t>
      </w:r>
      <w:r w:rsidR="009811F9">
        <w:rPr>
          <w:rFonts w:cstheme="minorHAnsi"/>
        </w:rPr>
        <w:t xml:space="preserve"> when we included longitudinal PBE values. </w:t>
      </w:r>
      <w:r w:rsidR="00D26207">
        <w:rPr>
          <w:rFonts w:cstheme="minorHAnsi"/>
        </w:rPr>
        <w:t>We have previously demonstrated that persistent historical PBE is associated with worse lung function</w:t>
      </w:r>
      <w:r w:rsidR="00D26207" w:rsidRPr="00D26207">
        <w:rPr>
          <w:rFonts w:cstheme="minorHAnsi"/>
          <w:noProof/>
          <w:vertAlign w:val="superscript"/>
        </w:rPr>
        <w:t>9</w:t>
      </w:r>
      <w:r w:rsidR="00204FC5">
        <w:rPr>
          <w:rFonts w:cstheme="minorHAnsi"/>
        </w:rPr>
        <w:t xml:space="preserve"> further highlighting the relevance of longitudinal review in providing insight on disease progression.</w:t>
      </w:r>
    </w:p>
    <w:p w14:paraId="36598D22" w14:textId="77777777" w:rsidR="002E4494" w:rsidRDefault="002E4494" w:rsidP="00FA37D7">
      <w:pPr>
        <w:spacing w:line="480" w:lineRule="auto"/>
        <w:rPr>
          <w:rFonts w:cstheme="minorHAnsi"/>
        </w:rPr>
      </w:pPr>
    </w:p>
    <w:p w14:paraId="427D0D6F" w14:textId="335FCE25" w:rsidR="00FA37D7" w:rsidRDefault="00FA37D7" w:rsidP="00FA37D7">
      <w:pPr>
        <w:spacing w:line="480" w:lineRule="auto"/>
        <w:rPr>
          <w:rFonts w:cstheme="minorHAnsi"/>
        </w:rPr>
      </w:pPr>
      <w:proofErr w:type="spellStart"/>
      <w:r>
        <w:rPr>
          <w:rFonts w:cstheme="minorHAnsi"/>
        </w:rPr>
        <w:t>Frossing</w:t>
      </w:r>
      <w:proofErr w:type="spellEnd"/>
      <w:r>
        <w:rPr>
          <w:rFonts w:cstheme="minorHAnsi"/>
        </w:rPr>
        <w:t xml:space="preserve"> </w:t>
      </w:r>
      <w:r w:rsidRPr="00674D85">
        <w:rPr>
          <w:rFonts w:cstheme="minorHAnsi"/>
          <w:i/>
          <w:iCs/>
        </w:rPr>
        <w:t>et al</w:t>
      </w:r>
      <w:r>
        <w:rPr>
          <w:rFonts w:cstheme="minorHAnsi"/>
        </w:rPr>
        <w:t xml:space="preserve"> recently reported that 70% of the 166 patients in their severe asthma cohort had elevation of at least </w:t>
      </w:r>
      <w:r w:rsidR="00DB4E0E">
        <w:rPr>
          <w:rFonts w:cstheme="minorHAnsi"/>
        </w:rPr>
        <w:t>one</w:t>
      </w:r>
      <w:r>
        <w:rPr>
          <w:rFonts w:cstheme="minorHAnsi"/>
        </w:rPr>
        <w:t xml:space="preserve"> T2-biomarker (FeNO, PBE, total IgE) with 31% having </w:t>
      </w:r>
      <w:r w:rsidR="00DB4E0E">
        <w:rPr>
          <w:rFonts w:cstheme="minorHAnsi"/>
        </w:rPr>
        <w:t>two</w:t>
      </w:r>
      <w:r>
        <w:rPr>
          <w:rFonts w:cstheme="minorHAnsi"/>
        </w:rPr>
        <w:t xml:space="preserve"> or more elevated biomarkers.</w:t>
      </w:r>
      <w:r w:rsidR="002873E9" w:rsidRPr="002873E9">
        <w:rPr>
          <w:rFonts w:cstheme="minorHAnsi"/>
          <w:noProof/>
          <w:vertAlign w:val="superscript"/>
        </w:rPr>
        <w:t>1</w:t>
      </w:r>
      <w:r w:rsidR="00E077E2">
        <w:rPr>
          <w:rFonts w:cstheme="minorHAnsi"/>
          <w:noProof/>
          <w:vertAlign w:val="superscript"/>
        </w:rPr>
        <w:t>8</w:t>
      </w:r>
      <w:r>
        <w:rPr>
          <w:rFonts w:cstheme="minorHAnsi"/>
        </w:rPr>
        <w:t xml:space="preserve"> </w:t>
      </w:r>
      <w:r w:rsidR="002E4494">
        <w:rPr>
          <w:rFonts w:cstheme="minorHAnsi"/>
        </w:rPr>
        <w:t xml:space="preserve">In our cohort, a similar </w:t>
      </w:r>
      <w:r w:rsidR="00477E91">
        <w:rPr>
          <w:rFonts w:cstheme="minorHAnsi"/>
        </w:rPr>
        <w:t>proportion</w:t>
      </w:r>
      <w:r w:rsidR="002E4494">
        <w:rPr>
          <w:rFonts w:cstheme="minorHAnsi"/>
        </w:rPr>
        <w:t xml:space="preserve"> (up to 37% of patients) had 2 or more elevated T2-biomarkers. Interestingly, </w:t>
      </w:r>
      <w:r w:rsidR="00D948C7">
        <w:rPr>
          <w:rFonts w:cstheme="minorHAnsi"/>
        </w:rPr>
        <w:t xml:space="preserve">most patients on mOCS (75%) </w:t>
      </w:r>
      <w:r w:rsidR="002E4494">
        <w:rPr>
          <w:rFonts w:cstheme="minorHAnsi"/>
        </w:rPr>
        <w:t>had raised biomarkers (PBE and FeNO) despite being on</w:t>
      </w:r>
      <w:r w:rsidR="00D948C7">
        <w:rPr>
          <w:rFonts w:cstheme="minorHAnsi"/>
        </w:rPr>
        <w:t xml:space="preserve"> </w:t>
      </w:r>
      <w:r w:rsidR="002E4494">
        <w:rPr>
          <w:rFonts w:cstheme="minorHAnsi"/>
        </w:rPr>
        <w:t>mOCS</w:t>
      </w:r>
      <w:r w:rsidR="00D948C7">
        <w:rPr>
          <w:rFonts w:cstheme="minorHAnsi"/>
        </w:rPr>
        <w:t>.</w:t>
      </w:r>
      <w:r w:rsidR="002E4494">
        <w:rPr>
          <w:rFonts w:cstheme="minorHAnsi"/>
        </w:rPr>
        <w:t xml:space="preserve"> This may reflect underlying disease severity and potential steroid resistance but could also be due to treatment non-adherence</w:t>
      </w:r>
      <w:r w:rsidR="00DB4E0E">
        <w:rPr>
          <w:rFonts w:cstheme="minorHAnsi"/>
        </w:rPr>
        <w:t xml:space="preserve"> to ICS and OCS</w:t>
      </w:r>
      <w:r w:rsidR="002E4494">
        <w:rPr>
          <w:rFonts w:cstheme="minorHAnsi"/>
        </w:rPr>
        <w:t xml:space="preserve">. In our study we did not </w:t>
      </w:r>
      <w:r w:rsidR="00520C50">
        <w:rPr>
          <w:rFonts w:cstheme="minorHAnsi"/>
        </w:rPr>
        <w:t xml:space="preserve">collect </w:t>
      </w:r>
      <w:r w:rsidR="002E4494">
        <w:rPr>
          <w:rFonts w:cstheme="minorHAnsi"/>
        </w:rPr>
        <w:t>medicines-possession ratio</w:t>
      </w:r>
      <w:r w:rsidR="00A650DB">
        <w:rPr>
          <w:rFonts w:cstheme="minorHAnsi"/>
        </w:rPr>
        <w:t xml:space="preserve"> </w:t>
      </w:r>
      <w:r w:rsidR="00520C50">
        <w:rPr>
          <w:rFonts w:cstheme="minorHAnsi"/>
        </w:rPr>
        <w:t xml:space="preserve">data </w:t>
      </w:r>
      <w:r w:rsidR="00A650DB">
        <w:rPr>
          <w:rFonts w:cstheme="minorHAnsi"/>
        </w:rPr>
        <w:t xml:space="preserve">and so are unable to corroborate medication use. </w:t>
      </w:r>
    </w:p>
    <w:p w14:paraId="527926A0" w14:textId="77777777" w:rsidR="00FA37D7" w:rsidRDefault="00FA37D7" w:rsidP="00FA37D7">
      <w:pPr>
        <w:spacing w:line="480" w:lineRule="auto"/>
        <w:rPr>
          <w:rFonts w:cstheme="minorHAnsi"/>
        </w:rPr>
      </w:pPr>
    </w:p>
    <w:p w14:paraId="7E390E0F" w14:textId="7C2684ED" w:rsidR="00FA37D7" w:rsidRDefault="00FA37D7" w:rsidP="00FA37D7">
      <w:pPr>
        <w:spacing w:line="480" w:lineRule="auto"/>
        <w:rPr>
          <w:rFonts w:cstheme="minorHAnsi"/>
        </w:rPr>
      </w:pPr>
      <w:r>
        <w:rPr>
          <w:rFonts w:cstheme="minorHAnsi"/>
        </w:rPr>
        <w:t xml:space="preserve">While there is no agreed consensus on the definition of T2-high asthma, the criteria recommended by GINA 2021 are pragmatic and incorporate clinical and biomarker </w:t>
      </w:r>
      <w:r>
        <w:rPr>
          <w:rFonts w:cstheme="minorHAnsi"/>
        </w:rPr>
        <w:lastRenderedPageBreak/>
        <w:t xml:space="preserve">variables. Raised PBE and FeNO are uncontested T2-biomarkers though both are time and treatment dependent.  The detailed clinical characterisation possible within our analysis enabled careful scrutiny of patients that were classified as T2-low. Three quarters of T2-low patients had evidence of historically raised PBE indicating the presence of a T2 signal. Therefore, less than 2% of patients (7/388) with difficult-to-treat and severe asthma could be classified as T2-low. GINA 2022 has updated the classification of T2-inflammation in severe asthma and mOCS use is no longer included as a defining criterion. Within our cohort only 7/388 patients </w:t>
      </w:r>
      <w:r w:rsidR="00E92768">
        <w:rPr>
          <w:rFonts w:cstheme="minorHAnsi"/>
        </w:rPr>
        <w:t xml:space="preserve">(1.8%) </w:t>
      </w:r>
      <w:r>
        <w:rPr>
          <w:rFonts w:cstheme="minorHAnsi"/>
        </w:rPr>
        <w:t xml:space="preserve">were classified as T2-high solely based on mOCS use with only 3 of these patients having no evidence of historically raised PBE or atopic sensitisation. </w:t>
      </w:r>
      <w:r w:rsidR="00A93442">
        <w:rPr>
          <w:rFonts w:cstheme="minorHAnsi"/>
        </w:rPr>
        <w:t>This would suggest that the contribution of this criteria in identifying T2-high status is low</w:t>
      </w:r>
      <w:r w:rsidR="005C1878">
        <w:rPr>
          <w:rFonts w:cstheme="minorHAnsi"/>
        </w:rPr>
        <w:t xml:space="preserve"> and rightly removed from the GINA 2022 classification.</w:t>
      </w:r>
    </w:p>
    <w:p w14:paraId="708DBC94" w14:textId="77777777" w:rsidR="00E72CD2" w:rsidRDefault="00E72CD2" w:rsidP="00FA37D7">
      <w:pPr>
        <w:spacing w:line="480" w:lineRule="auto"/>
        <w:rPr>
          <w:rFonts w:cstheme="minorHAnsi"/>
        </w:rPr>
      </w:pPr>
    </w:p>
    <w:p w14:paraId="6DDD4E15" w14:textId="3AC25D38" w:rsidR="00FA37D7" w:rsidRDefault="00FA37D7" w:rsidP="00FA37D7">
      <w:pPr>
        <w:spacing w:line="480" w:lineRule="auto"/>
        <w:rPr>
          <w:rFonts w:cstheme="minorHAnsi"/>
        </w:rPr>
      </w:pPr>
      <w:r>
        <w:rPr>
          <w:rFonts w:cstheme="minorHAnsi"/>
        </w:rPr>
        <w:t xml:space="preserve">T2-low asthma </w:t>
      </w:r>
      <w:r w:rsidR="003C59F4">
        <w:rPr>
          <w:rFonts w:cstheme="minorHAnsi"/>
        </w:rPr>
        <w:t xml:space="preserve">has previously </w:t>
      </w:r>
      <w:r w:rsidR="00B12B81">
        <w:rPr>
          <w:rFonts w:cstheme="minorHAnsi"/>
        </w:rPr>
        <w:t xml:space="preserve">been </w:t>
      </w:r>
      <w:r>
        <w:rPr>
          <w:rFonts w:cstheme="minorHAnsi"/>
        </w:rPr>
        <w:t>associated with higher medication requirements, obesity, significant symptom</w:t>
      </w:r>
      <w:r w:rsidR="00CD4B30">
        <w:rPr>
          <w:rFonts w:cstheme="minorHAnsi"/>
        </w:rPr>
        <w:t>at</w:t>
      </w:r>
      <w:r>
        <w:rPr>
          <w:rFonts w:cstheme="minorHAnsi"/>
        </w:rPr>
        <w:t>ology, multimor</w:t>
      </w:r>
      <w:r w:rsidR="00EF37D6">
        <w:rPr>
          <w:rFonts w:cstheme="minorHAnsi"/>
        </w:rPr>
        <w:t>b</w:t>
      </w:r>
      <w:r>
        <w:rPr>
          <w:rFonts w:cstheme="minorHAnsi"/>
        </w:rPr>
        <w:t>idity and increased health care burden.</w:t>
      </w:r>
      <w:r w:rsidR="002873E9" w:rsidRPr="002873E9">
        <w:rPr>
          <w:rFonts w:cstheme="minorHAnsi"/>
          <w:noProof/>
          <w:vertAlign w:val="superscript"/>
        </w:rPr>
        <w:t>20-22</w:t>
      </w:r>
      <w:r>
        <w:rPr>
          <w:rFonts w:cstheme="minorHAnsi"/>
        </w:rPr>
        <w:t xml:space="preserve"> Registry studies suggest that patients with T2-high or eosinophilic asthma have a higher age of asthma onset.</w:t>
      </w:r>
      <w:r w:rsidR="00C804AC" w:rsidRPr="00C804AC">
        <w:rPr>
          <w:rFonts w:cstheme="minorHAnsi"/>
          <w:noProof/>
          <w:vertAlign w:val="superscript"/>
        </w:rPr>
        <w:t>7, 10</w:t>
      </w:r>
      <w:r>
        <w:rPr>
          <w:rFonts w:cstheme="minorHAnsi"/>
        </w:rPr>
        <w:t xml:space="preserve"> However, in our cohort, clinical characterisation of patients identified as T2-high and T2-low </w:t>
      </w:r>
      <w:r w:rsidR="008811C4">
        <w:rPr>
          <w:rFonts w:cstheme="minorHAnsi"/>
        </w:rPr>
        <w:t>showed broad comparability</w:t>
      </w:r>
      <w:r>
        <w:rPr>
          <w:rFonts w:cstheme="minorHAnsi"/>
        </w:rPr>
        <w:t xml:space="preserve"> with no difference</w:t>
      </w:r>
      <w:r w:rsidR="00772E5F">
        <w:rPr>
          <w:rFonts w:cstheme="minorHAnsi"/>
        </w:rPr>
        <w:t xml:space="preserve"> in</w:t>
      </w:r>
      <w:r>
        <w:rPr>
          <w:rFonts w:cstheme="minorHAnsi"/>
        </w:rPr>
        <w:t xml:space="preserve"> ICS dose, BMI or age of asthma onset. Similarly, the presence of comorbidities usually associated with high symptom</w:t>
      </w:r>
      <w:r w:rsidR="00212001">
        <w:rPr>
          <w:rFonts w:cstheme="minorHAnsi"/>
        </w:rPr>
        <w:t>at</w:t>
      </w:r>
      <w:r>
        <w:rPr>
          <w:rFonts w:cstheme="minorHAnsi"/>
        </w:rPr>
        <w:t xml:space="preserve">ology, such as breathing pattern disorder, anxiety and depression was similar across the two groups. In particular, hospitalisation for asthma and exacerbations treated with steroids </w:t>
      </w:r>
      <w:r w:rsidR="00212001">
        <w:rPr>
          <w:rFonts w:cstheme="minorHAnsi"/>
        </w:rPr>
        <w:t xml:space="preserve">were </w:t>
      </w:r>
      <w:r>
        <w:rPr>
          <w:rFonts w:cstheme="minorHAnsi"/>
        </w:rPr>
        <w:t xml:space="preserve">similar in the T2-high and T2-low patients. While the overall small number of T2-low patients may partly explain why we did not detect a difference, we also show that most of the patients classified as T2-low using baseline PBE have evidence of historically raised PBE and so may in fact have T2-high disease that is simply masked at the </w:t>
      </w:r>
      <w:r>
        <w:rPr>
          <w:rFonts w:cstheme="minorHAnsi"/>
        </w:rPr>
        <w:lastRenderedPageBreak/>
        <w:t xml:space="preserve">time of sampling. </w:t>
      </w:r>
      <w:r w:rsidR="00B034DA">
        <w:rPr>
          <w:rFonts w:cstheme="minorHAnsi"/>
        </w:rPr>
        <w:t xml:space="preserve">Therefore, the absence of significant clinical differences between the two cohorts may </w:t>
      </w:r>
      <w:r w:rsidR="00C40AA4">
        <w:rPr>
          <w:rFonts w:cstheme="minorHAnsi"/>
        </w:rPr>
        <w:t>reflect that</w:t>
      </w:r>
      <w:r w:rsidR="00B034DA">
        <w:rPr>
          <w:rFonts w:cstheme="minorHAnsi"/>
        </w:rPr>
        <w:t xml:space="preserve"> T2-high signal is present in almost all patients with difficult-to-treat and severe asthma</w:t>
      </w:r>
      <w:r w:rsidR="008210F5">
        <w:rPr>
          <w:rFonts w:cstheme="minorHAnsi"/>
        </w:rPr>
        <w:t xml:space="preserve">. </w:t>
      </w:r>
      <w:r>
        <w:rPr>
          <w:rFonts w:cstheme="minorHAnsi"/>
        </w:rPr>
        <w:t xml:space="preserve">This concept is supported by our </w:t>
      </w:r>
      <w:r w:rsidR="00A81C2C">
        <w:rPr>
          <w:rFonts w:cstheme="minorHAnsi"/>
        </w:rPr>
        <w:t xml:space="preserve">blood </w:t>
      </w:r>
      <w:r>
        <w:rPr>
          <w:rFonts w:cstheme="minorHAnsi"/>
        </w:rPr>
        <w:t xml:space="preserve">cytokine data which showed that </w:t>
      </w:r>
      <w:r w:rsidR="00A81C2C">
        <w:rPr>
          <w:rFonts w:cstheme="minorHAnsi"/>
        </w:rPr>
        <w:t xml:space="preserve">many </w:t>
      </w:r>
      <w:r>
        <w:rPr>
          <w:rFonts w:cstheme="minorHAnsi"/>
        </w:rPr>
        <w:t>typical T2</w:t>
      </w:r>
      <w:r w:rsidR="008210F5">
        <w:rPr>
          <w:rFonts w:cstheme="minorHAnsi"/>
        </w:rPr>
        <w:t>-</w:t>
      </w:r>
      <w:r w:rsidR="00A64E98">
        <w:rPr>
          <w:rFonts w:cstheme="minorHAnsi"/>
        </w:rPr>
        <w:t>associated</w:t>
      </w:r>
      <w:r>
        <w:rPr>
          <w:rFonts w:cstheme="minorHAnsi"/>
        </w:rPr>
        <w:t xml:space="preserve"> cytokines </w:t>
      </w:r>
      <w:r w:rsidR="003004F3">
        <w:rPr>
          <w:rFonts w:cstheme="minorHAnsi"/>
        </w:rPr>
        <w:t>did not differ</w:t>
      </w:r>
      <w:r w:rsidR="008210F5">
        <w:rPr>
          <w:rFonts w:cstheme="minorHAnsi"/>
        </w:rPr>
        <w:t xml:space="preserve"> between the two patient</w:t>
      </w:r>
      <w:r>
        <w:rPr>
          <w:rFonts w:cstheme="minorHAnsi"/>
        </w:rPr>
        <w:t xml:space="preserve"> group</w:t>
      </w:r>
      <w:r w:rsidR="008210F5">
        <w:rPr>
          <w:rFonts w:cstheme="minorHAnsi"/>
        </w:rPr>
        <w:t>s</w:t>
      </w:r>
      <w:r>
        <w:rPr>
          <w:rFonts w:cstheme="minorHAnsi"/>
        </w:rPr>
        <w:t xml:space="preserve">. </w:t>
      </w:r>
    </w:p>
    <w:p w14:paraId="5E09668D" w14:textId="77777777" w:rsidR="00FA37D7" w:rsidRDefault="00FA37D7" w:rsidP="00FA37D7">
      <w:pPr>
        <w:spacing w:line="480" w:lineRule="auto"/>
        <w:rPr>
          <w:rFonts w:cstheme="minorHAnsi"/>
        </w:rPr>
      </w:pPr>
    </w:p>
    <w:p w14:paraId="7411D7DC" w14:textId="5F11AC25" w:rsidR="002873E9" w:rsidRDefault="00FA37D7" w:rsidP="002873E9">
      <w:pPr>
        <w:spacing w:line="480" w:lineRule="auto"/>
        <w:rPr>
          <w:rFonts w:cstheme="minorHAnsi"/>
        </w:rPr>
      </w:pPr>
      <w:r>
        <w:rPr>
          <w:rFonts w:cstheme="minorHAnsi"/>
        </w:rPr>
        <w:t>T2-low asthma is frequently described as ‘neutrophilic’ asthma.</w:t>
      </w:r>
      <w:r w:rsidR="002873E9" w:rsidRPr="002873E9">
        <w:rPr>
          <w:rFonts w:cstheme="minorHAnsi"/>
          <w:noProof/>
          <w:vertAlign w:val="superscript"/>
        </w:rPr>
        <w:t>2</w:t>
      </w:r>
      <w:r w:rsidR="002C447C">
        <w:rPr>
          <w:rFonts w:cstheme="minorHAnsi"/>
          <w:noProof/>
          <w:vertAlign w:val="superscript"/>
        </w:rPr>
        <w:t>2</w:t>
      </w:r>
      <w:r>
        <w:rPr>
          <w:rFonts w:cstheme="minorHAnsi"/>
        </w:rPr>
        <w:t xml:space="preserve"> In our cohort </w:t>
      </w:r>
      <w:r w:rsidR="002F79A2">
        <w:rPr>
          <w:rFonts w:cstheme="minorHAnsi"/>
        </w:rPr>
        <w:t>a quarter</w:t>
      </w:r>
      <w:r>
        <w:rPr>
          <w:rFonts w:cstheme="minorHAnsi"/>
        </w:rPr>
        <w:t xml:space="preserve"> of patients classified as T2-high had elevated sputum neutrophils</w:t>
      </w:r>
      <w:r w:rsidR="00781F09">
        <w:rPr>
          <w:rFonts w:cstheme="minorHAnsi"/>
        </w:rPr>
        <w:t xml:space="preserve"> while most (</w:t>
      </w:r>
      <w:r w:rsidR="002F79A2">
        <w:rPr>
          <w:rFonts w:cstheme="minorHAnsi"/>
        </w:rPr>
        <w:t>93</w:t>
      </w:r>
      <w:r w:rsidR="00781F09">
        <w:rPr>
          <w:rFonts w:cstheme="minorHAnsi"/>
        </w:rPr>
        <w:t>%) participants with sputum neutrophilia</w:t>
      </w:r>
      <w:r w:rsidR="00DA356E">
        <w:rPr>
          <w:rFonts w:cstheme="minorHAnsi"/>
        </w:rPr>
        <w:t xml:space="preserve"> were T2-high</w:t>
      </w:r>
      <w:r>
        <w:rPr>
          <w:rFonts w:cstheme="minorHAnsi"/>
        </w:rPr>
        <w:t xml:space="preserve">. Levels of typical neutrophil-associated cytokines and chemokines such as IL-6 and IL-8 were similar in both T2-high and T2-low patients. This suggests that the presence of sputum neutrophilia should not be viewed as an indicator of disease phenotype but instead should prompt </w:t>
      </w:r>
      <w:r w:rsidR="00555D33">
        <w:rPr>
          <w:rFonts w:cstheme="minorHAnsi"/>
        </w:rPr>
        <w:t xml:space="preserve">investigating </w:t>
      </w:r>
      <w:r>
        <w:rPr>
          <w:rFonts w:cstheme="minorHAnsi"/>
        </w:rPr>
        <w:t>reasons for the presence of this inflammatory cell in the sputum e.g. bacterial colonisation.</w:t>
      </w:r>
      <w:r w:rsidR="008210F5">
        <w:rPr>
          <w:rFonts w:cstheme="minorHAnsi"/>
        </w:rPr>
        <w:t xml:space="preserve"> We have demonstrated that </w:t>
      </w:r>
      <w:r w:rsidR="00101DA8">
        <w:rPr>
          <w:rFonts w:cstheme="minorHAnsi"/>
        </w:rPr>
        <w:t>colonisation of the airways in patients with severe asthma with potentially pathogenic bacteria (</w:t>
      </w:r>
      <w:r w:rsidR="00101DA8" w:rsidRPr="00101DA8">
        <w:rPr>
          <w:rFonts w:cstheme="minorHAnsi"/>
          <w:i/>
          <w:iCs/>
        </w:rPr>
        <w:t>Moraxella catarrhalis</w:t>
      </w:r>
      <w:r w:rsidR="00101DA8">
        <w:rPr>
          <w:rFonts w:cstheme="minorHAnsi"/>
        </w:rPr>
        <w:t xml:space="preserve">, </w:t>
      </w:r>
      <w:r w:rsidR="00101DA8" w:rsidRPr="00101DA8">
        <w:rPr>
          <w:rFonts w:cstheme="minorHAnsi"/>
          <w:i/>
          <w:iCs/>
        </w:rPr>
        <w:t xml:space="preserve">Haemophilus </w:t>
      </w:r>
      <w:proofErr w:type="spellStart"/>
      <w:r w:rsidR="00101DA8" w:rsidRPr="00101DA8">
        <w:rPr>
          <w:rFonts w:cstheme="minorHAnsi"/>
          <w:i/>
          <w:iCs/>
        </w:rPr>
        <w:t>sp</w:t>
      </w:r>
      <w:proofErr w:type="spellEnd"/>
      <w:r w:rsidR="00101DA8">
        <w:rPr>
          <w:rFonts w:cstheme="minorHAnsi"/>
        </w:rPr>
        <w:t xml:space="preserve"> and </w:t>
      </w:r>
      <w:r w:rsidR="00101DA8" w:rsidRPr="00101DA8">
        <w:rPr>
          <w:rFonts w:cstheme="minorHAnsi"/>
          <w:i/>
          <w:iCs/>
        </w:rPr>
        <w:t xml:space="preserve">Streptococcus </w:t>
      </w:r>
      <w:proofErr w:type="spellStart"/>
      <w:r w:rsidR="00101DA8" w:rsidRPr="00101DA8">
        <w:rPr>
          <w:rFonts w:cstheme="minorHAnsi"/>
          <w:i/>
          <w:iCs/>
        </w:rPr>
        <w:t>sp</w:t>
      </w:r>
      <w:proofErr w:type="spellEnd"/>
      <w:r w:rsidR="00101DA8">
        <w:rPr>
          <w:rFonts w:cstheme="minorHAnsi"/>
        </w:rPr>
        <w:t>) correlates with bronchoalveolar lavage neutrophilia and IL-13 levels</w:t>
      </w:r>
      <w:r w:rsidR="007366AF">
        <w:rPr>
          <w:rFonts w:cstheme="minorHAnsi"/>
        </w:rPr>
        <w:t>.</w:t>
      </w:r>
      <w:r w:rsidR="00101DA8">
        <w:rPr>
          <w:rFonts w:cstheme="minorHAnsi"/>
        </w:rPr>
        <w:t xml:space="preserve"> </w:t>
      </w:r>
      <w:r w:rsidR="002C447C">
        <w:rPr>
          <w:rFonts w:cstheme="minorHAnsi"/>
          <w:noProof/>
          <w:vertAlign w:val="superscript"/>
        </w:rPr>
        <w:t>23</w:t>
      </w:r>
      <w:r w:rsidR="002C447C">
        <w:rPr>
          <w:rFonts w:cstheme="minorHAnsi"/>
        </w:rPr>
        <w:t xml:space="preserve"> </w:t>
      </w:r>
      <w:r w:rsidR="003B2916">
        <w:rPr>
          <w:rFonts w:cstheme="minorHAnsi"/>
        </w:rPr>
        <w:t>Furthermore, w</w:t>
      </w:r>
      <w:r w:rsidR="004910D8">
        <w:rPr>
          <w:rFonts w:cstheme="minorHAnsi"/>
        </w:rPr>
        <w:t xml:space="preserve">e recently added further </w:t>
      </w:r>
      <w:r w:rsidR="00B20245">
        <w:rPr>
          <w:rFonts w:cstheme="minorHAnsi"/>
        </w:rPr>
        <w:t xml:space="preserve">mechanistic </w:t>
      </w:r>
      <w:r w:rsidR="004910D8">
        <w:rPr>
          <w:rFonts w:cstheme="minorHAnsi"/>
        </w:rPr>
        <w:t xml:space="preserve">insight into </w:t>
      </w:r>
      <w:r w:rsidR="00671E1A">
        <w:rPr>
          <w:rFonts w:cstheme="minorHAnsi"/>
        </w:rPr>
        <w:t xml:space="preserve">how </w:t>
      </w:r>
      <w:r w:rsidR="000D4583">
        <w:rPr>
          <w:rFonts w:cstheme="minorHAnsi"/>
        </w:rPr>
        <w:t xml:space="preserve">bacterial pathogens like Haemophilus Influenzae </w:t>
      </w:r>
      <w:r w:rsidR="00A63A7B">
        <w:rPr>
          <w:rFonts w:cstheme="minorHAnsi"/>
        </w:rPr>
        <w:t xml:space="preserve">drive neutrophilic inflammation </w:t>
      </w:r>
      <w:r w:rsidR="00DD3B71">
        <w:rPr>
          <w:rFonts w:cstheme="minorHAnsi"/>
        </w:rPr>
        <w:t>in severe asthma</w:t>
      </w:r>
      <w:r w:rsidR="00686259">
        <w:rPr>
          <w:rFonts w:cstheme="minorHAnsi"/>
        </w:rPr>
        <w:t xml:space="preserve">, demonstrating </w:t>
      </w:r>
      <w:r w:rsidR="005F1DCE">
        <w:rPr>
          <w:rFonts w:cstheme="minorHAnsi"/>
        </w:rPr>
        <w:t>associations with persistent infection</w:t>
      </w:r>
      <w:r w:rsidR="00A9568C">
        <w:rPr>
          <w:rFonts w:cstheme="minorHAnsi"/>
        </w:rPr>
        <w:t xml:space="preserve"> of alve</w:t>
      </w:r>
      <w:r w:rsidR="00BE54C0">
        <w:rPr>
          <w:rFonts w:cstheme="minorHAnsi"/>
        </w:rPr>
        <w:t>olar macrophages.</w:t>
      </w:r>
      <w:r w:rsidR="002C447C">
        <w:rPr>
          <w:rFonts w:cstheme="minorHAnsi"/>
          <w:noProof/>
          <w:vertAlign w:val="superscript"/>
        </w:rPr>
        <w:t>24</w:t>
      </w:r>
      <w:r w:rsidR="002C447C">
        <w:rPr>
          <w:rFonts w:cstheme="minorHAnsi"/>
        </w:rPr>
        <w:t xml:space="preserve"> </w:t>
      </w:r>
      <w:r w:rsidR="009B4CD7">
        <w:rPr>
          <w:rFonts w:cstheme="minorHAnsi"/>
        </w:rPr>
        <w:t xml:space="preserve">Collectively these findings suggest that </w:t>
      </w:r>
      <w:r w:rsidR="007366AF">
        <w:rPr>
          <w:rFonts w:cstheme="minorHAnsi"/>
        </w:rPr>
        <w:t xml:space="preserve">airway neutrophilia </w:t>
      </w:r>
      <w:r w:rsidR="002312AE">
        <w:rPr>
          <w:rFonts w:cstheme="minorHAnsi"/>
        </w:rPr>
        <w:t xml:space="preserve">is </w:t>
      </w:r>
      <w:r w:rsidR="005D7428">
        <w:rPr>
          <w:rFonts w:cstheme="minorHAnsi"/>
        </w:rPr>
        <w:t xml:space="preserve">better considered to reflect </w:t>
      </w:r>
      <w:r w:rsidR="00F51212">
        <w:rPr>
          <w:rFonts w:cstheme="minorHAnsi"/>
        </w:rPr>
        <w:t xml:space="preserve">and be a consequence of </w:t>
      </w:r>
      <w:r w:rsidR="00D40984">
        <w:rPr>
          <w:rFonts w:cstheme="minorHAnsi"/>
        </w:rPr>
        <w:t xml:space="preserve">airway dysbiosis or infection rather than </w:t>
      </w:r>
      <w:r w:rsidR="00B26D22">
        <w:rPr>
          <w:rFonts w:cstheme="minorHAnsi"/>
        </w:rPr>
        <w:t>being definitive</w:t>
      </w:r>
      <w:r w:rsidR="004315F3">
        <w:rPr>
          <w:rFonts w:cstheme="minorHAnsi"/>
        </w:rPr>
        <w:t xml:space="preserve"> of a </w:t>
      </w:r>
      <w:r w:rsidR="004315F3" w:rsidRPr="004315F3">
        <w:rPr>
          <w:rFonts w:cstheme="minorHAnsi"/>
        </w:rPr>
        <w:t>T2-low status</w:t>
      </w:r>
      <w:r w:rsidR="00555D33">
        <w:rPr>
          <w:rFonts w:cstheme="minorHAnsi"/>
        </w:rPr>
        <w:t xml:space="preserve"> and clinicians should target treatments at the airway microbiome over atte</w:t>
      </w:r>
      <w:r w:rsidR="001A37A5">
        <w:rPr>
          <w:rFonts w:cstheme="minorHAnsi"/>
        </w:rPr>
        <w:t>m</w:t>
      </w:r>
      <w:r w:rsidR="00555D33">
        <w:rPr>
          <w:rFonts w:cstheme="minorHAnsi"/>
        </w:rPr>
        <w:t>pts at reducing airway neutrophilia</w:t>
      </w:r>
      <w:r w:rsidR="004315F3">
        <w:rPr>
          <w:rFonts w:cstheme="minorHAnsi"/>
        </w:rPr>
        <w:t>.</w:t>
      </w:r>
      <w:r w:rsidR="002873E9">
        <w:rPr>
          <w:rFonts w:cstheme="minorHAnsi"/>
        </w:rPr>
        <w:t xml:space="preserve"> Recently, the association between airway neutrophilia and dysbiosis has been extended to blood neutrophils with increased blood neutrophil levels being linked to more prescription for antibiotic courses over a 12 year</w:t>
      </w:r>
      <w:r w:rsidR="00A72DD4">
        <w:rPr>
          <w:rFonts w:cstheme="minorHAnsi"/>
        </w:rPr>
        <w:t xml:space="preserve"> period</w:t>
      </w:r>
      <w:r w:rsidR="00E66F55">
        <w:rPr>
          <w:rFonts w:cstheme="minorHAnsi"/>
        </w:rPr>
        <w:t xml:space="preserve"> </w:t>
      </w:r>
      <w:r w:rsidR="002873E9">
        <w:rPr>
          <w:rFonts w:cstheme="minorHAnsi"/>
        </w:rPr>
        <w:t>in people with asthma.</w:t>
      </w:r>
      <w:r w:rsidR="002873E9" w:rsidRPr="00DF6DE1">
        <w:rPr>
          <w:rFonts w:cstheme="minorHAnsi"/>
          <w:noProof/>
          <w:vertAlign w:val="superscript"/>
        </w:rPr>
        <w:t>2</w:t>
      </w:r>
      <w:r w:rsidR="009A752A">
        <w:rPr>
          <w:rFonts w:cstheme="minorHAnsi"/>
          <w:noProof/>
          <w:vertAlign w:val="superscript"/>
        </w:rPr>
        <w:t>5</w:t>
      </w:r>
      <w:r w:rsidR="002873E9">
        <w:rPr>
          <w:rFonts w:cstheme="minorHAnsi"/>
        </w:rPr>
        <w:t xml:space="preserve"> </w:t>
      </w:r>
    </w:p>
    <w:p w14:paraId="09B0F149" w14:textId="77777777" w:rsidR="00D802F7" w:rsidRDefault="00D802F7" w:rsidP="00FA37D7">
      <w:pPr>
        <w:spacing w:line="480" w:lineRule="auto"/>
        <w:rPr>
          <w:rFonts w:cstheme="minorHAnsi"/>
        </w:rPr>
      </w:pPr>
    </w:p>
    <w:p w14:paraId="62836F08" w14:textId="627D9E46" w:rsidR="00FA37D7" w:rsidRDefault="0007331F" w:rsidP="00FA37D7">
      <w:pPr>
        <w:spacing w:line="480" w:lineRule="auto"/>
        <w:rPr>
          <w:rFonts w:cstheme="minorHAnsi"/>
        </w:rPr>
      </w:pPr>
      <w:r>
        <w:rPr>
          <w:rFonts w:cstheme="minorHAnsi"/>
        </w:rPr>
        <w:t>A</w:t>
      </w:r>
      <w:r w:rsidR="00FA37D7">
        <w:rPr>
          <w:rFonts w:cstheme="minorHAnsi"/>
        </w:rPr>
        <w:t xml:space="preserve"> strength of our study is </w:t>
      </w:r>
      <w:r>
        <w:rPr>
          <w:rFonts w:cstheme="minorHAnsi"/>
        </w:rPr>
        <w:t xml:space="preserve">that it reflects a real-world </w:t>
      </w:r>
      <w:r w:rsidR="00A64E98">
        <w:rPr>
          <w:rFonts w:cstheme="minorHAnsi"/>
        </w:rPr>
        <w:t xml:space="preserve">UK </w:t>
      </w:r>
      <w:r>
        <w:rPr>
          <w:rFonts w:cstheme="minorHAnsi"/>
        </w:rPr>
        <w:t>cohort</w:t>
      </w:r>
      <w:r w:rsidR="00603F5B">
        <w:rPr>
          <w:rFonts w:cstheme="minorHAnsi"/>
        </w:rPr>
        <w:t xml:space="preserve"> </w:t>
      </w:r>
      <w:r w:rsidR="00F51212">
        <w:rPr>
          <w:rFonts w:cstheme="minorHAnsi"/>
        </w:rPr>
        <w:t>of biologic naïve patients thereby ex</w:t>
      </w:r>
      <w:r w:rsidR="001A37A5">
        <w:rPr>
          <w:rFonts w:cstheme="minorHAnsi"/>
        </w:rPr>
        <w:t>c</w:t>
      </w:r>
      <w:r w:rsidR="00F51212">
        <w:rPr>
          <w:rFonts w:cstheme="minorHAnsi"/>
        </w:rPr>
        <w:t>luding any confounding effects of biologics on baseline clinical and biomarker characteristics. D</w:t>
      </w:r>
      <w:r w:rsidR="00603F5B">
        <w:rPr>
          <w:rFonts w:cstheme="minorHAnsi"/>
        </w:rPr>
        <w:t>etailed clinical characterisation enabled us to scrutinise</w:t>
      </w:r>
      <w:r w:rsidR="00BF255B">
        <w:rPr>
          <w:rFonts w:cstheme="minorHAnsi"/>
        </w:rPr>
        <w:t xml:space="preserve"> </w:t>
      </w:r>
      <w:r w:rsidR="006634C4">
        <w:rPr>
          <w:rFonts w:cstheme="minorHAnsi"/>
        </w:rPr>
        <w:t>the presence of</w:t>
      </w:r>
      <w:r w:rsidR="00D557EC">
        <w:rPr>
          <w:rFonts w:cstheme="minorHAnsi"/>
        </w:rPr>
        <w:t xml:space="preserve"> clinical variables in sub-groups of patients. </w:t>
      </w:r>
      <w:r w:rsidR="002757F3">
        <w:rPr>
          <w:rFonts w:cstheme="minorHAnsi"/>
        </w:rPr>
        <w:t>O</w:t>
      </w:r>
      <w:r w:rsidR="002757F3" w:rsidRPr="002757F3">
        <w:rPr>
          <w:rFonts w:cstheme="minorHAnsi"/>
        </w:rPr>
        <w:t>ne potential limitation of our T2 classification was that it used largely cross-sectional criteria</w:t>
      </w:r>
      <w:r w:rsidR="002757F3">
        <w:rPr>
          <w:rFonts w:cstheme="minorHAnsi"/>
        </w:rPr>
        <w:t>, apart from longitudinal PBE levels</w:t>
      </w:r>
      <w:r w:rsidR="002757F3" w:rsidRPr="002757F3">
        <w:rPr>
          <w:rFonts w:cstheme="minorHAnsi"/>
        </w:rPr>
        <w:t xml:space="preserve">. Use of </w:t>
      </w:r>
      <w:r w:rsidR="006339CF">
        <w:rPr>
          <w:rFonts w:cstheme="minorHAnsi"/>
        </w:rPr>
        <w:t xml:space="preserve">broader </w:t>
      </w:r>
      <w:r w:rsidR="002757F3" w:rsidRPr="002757F3">
        <w:rPr>
          <w:rFonts w:cstheme="minorHAnsi"/>
        </w:rPr>
        <w:t xml:space="preserve">longitudinal data might have given greater insights, though </w:t>
      </w:r>
      <w:r w:rsidR="002757F3">
        <w:rPr>
          <w:rFonts w:cstheme="minorHAnsi"/>
        </w:rPr>
        <w:t>the</w:t>
      </w:r>
      <w:r w:rsidR="002757F3" w:rsidRPr="002757F3">
        <w:rPr>
          <w:rFonts w:cstheme="minorHAnsi"/>
        </w:rPr>
        <w:t xml:space="preserve"> multicomponent nature </w:t>
      </w:r>
      <w:r w:rsidR="002757F3">
        <w:rPr>
          <w:rFonts w:cstheme="minorHAnsi"/>
        </w:rPr>
        <w:t xml:space="preserve">of our scrutiny </w:t>
      </w:r>
      <w:r w:rsidR="002757F3" w:rsidRPr="002757F3">
        <w:rPr>
          <w:rFonts w:cstheme="minorHAnsi"/>
        </w:rPr>
        <w:t>will have compensated to a degree</w:t>
      </w:r>
      <w:r w:rsidR="002757F3">
        <w:rPr>
          <w:rFonts w:cstheme="minorHAnsi"/>
        </w:rPr>
        <w:t xml:space="preserve">. </w:t>
      </w:r>
      <w:r w:rsidR="002757F3" w:rsidRPr="002757F3">
        <w:rPr>
          <w:rFonts w:cstheme="minorHAnsi"/>
        </w:rPr>
        <w:t>Another limitation of our study is that it focuses on a relatively homogeneous Caucasian population. Replication in other ethnic populations is required</w:t>
      </w:r>
      <w:r w:rsidR="002757F3">
        <w:rPr>
          <w:rFonts w:cstheme="minorHAnsi"/>
        </w:rPr>
        <w:t>.</w:t>
      </w:r>
      <w:r w:rsidR="00555D33">
        <w:rPr>
          <w:rFonts w:cstheme="minorHAnsi"/>
        </w:rPr>
        <w:t xml:space="preserve"> </w:t>
      </w:r>
    </w:p>
    <w:p w14:paraId="67477F10" w14:textId="77777777" w:rsidR="00FA37D7" w:rsidRDefault="00FA37D7" w:rsidP="00FA37D7">
      <w:pPr>
        <w:spacing w:line="480" w:lineRule="auto"/>
        <w:rPr>
          <w:rFonts w:cstheme="minorHAnsi"/>
        </w:rPr>
      </w:pPr>
    </w:p>
    <w:p w14:paraId="3CE27E00" w14:textId="4022417F" w:rsidR="00FA37D7" w:rsidRDefault="00FA37D7" w:rsidP="00FA37D7">
      <w:pPr>
        <w:spacing w:line="480" w:lineRule="auto"/>
        <w:rPr>
          <w:rFonts w:cstheme="minorHAnsi"/>
        </w:rPr>
      </w:pPr>
      <w:r>
        <w:rPr>
          <w:rFonts w:cstheme="minorHAnsi"/>
        </w:rPr>
        <w:t xml:space="preserve">In summary, our results demonstrate that in a UK population of difficult-to-treat and severe asthma, the majority of patients have T2-high </w:t>
      </w:r>
      <w:r w:rsidR="00B90F38">
        <w:rPr>
          <w:rFonts w:cstheme="minorHAnsi"/>
        </w:rPr>
        <w:t xml:space="preserve">status </w:t>
      </w:r>
      <w:r>
        <w:rPr>
          <w:rFonts w:cstheme="minorHAnsi"/>
        </w:rPr>
        <w:t>and there is a near absence of T2-low asthma. T2-high signal</w:t>
      </w:r>
      <w:r w:rsidR="00192886">
        <w:rPr>
          <w:rFonts w:cstheme="minorHAnsi"/>
        </w:rPr>
        <w:t>s</w:t>
      </w:r>
      <w:r>
        <w:rPr>
          <w:rFonts w:cstheme="minorHAnsi"/>
        </w:rPr>
        <w:t xml:space="preserve"> typically represent steroid responsive disease and our re</w:t>
      </w:r>
      <w:r w:rsidR="00E66219">
        <w:rPr>
          <w:rFonts w:cstheme="minorHAnsi"/>
        </w:rPr>
        <w:t>sults</w:t>
      </w:r>
      <w:r>
        <w:rPr>
          <w:rFonts w:cstheme="minorHAnsi"/>
        </w:rPr>
        <w:t xml:space="preserve"> support the use of inhaled steroids in all patients with asthma, regardless of underlying severity. Our results also </w:t>
      </w:r>
      <w:r w:rsidR="00E66219">
        <w:rPr>
          <w:rFonts w:cstheme="minorHAnsi"/>
        </w:rPr>
        <w:t>allow us to propose</w:t>
      </w:r>
      <w:r>
        <w:rPr>
          <w:rFonts w:cstheme="minorHAnsi"/>
        </w:rPr>
        <w:t xml:space="preserve"> that rather than dichotomising asthma as T2-high or T2-low, asthma should be considered a T2-inflammatory disease with periods when patients are biomarker-low or biomarker high. Designation of T2-low status should only be made in clinical practice after stringent multidimensional and longitudinal characterisation. </w:t>
      </w:r>
      <w:r w:rsidR="00DE57E9">
        <w:rPr>
          <w:rFonts w:cstheme="minorHAnsi"/>
        </w:rPr>
        <w:t xml:space="preserve">This </w:t>
      </w:r>
      <w:r w:rsidR="004967F9">
        <w:rPr>
          <w:rFonts w:cstheme="minorHAnsi"/>
        </w:rPr>
        <w:t>infers that with careful characterisation, most diff</w:t>
      </w:r>
      <w:r w:rsidR="00027F73">
        <w:rPr>
          <w:rFonts w:cstheme="minorHAnsi"/>
        </w:rPr>
        <w:t xml:space="preserve">icult-to-treat and severe asthma patients would suit </w:t>
      </w:r>
      <w:r w:rsidR="00672E2A">
        <w:rPr>
          <w:rFonts w:cstheme="minorHAnsi"/>
        </w:rPr>
        <w:t xml:space="preserve">higher level biologic therapies if needed. </w:t>
      </w:r>
      <w:r>
        <w:rPr>
          <w:rFonts w:cstheme="minorHAnsi"/>
        </w:rPr>
        <w:t>F</w:t>
      </w:r>
      <w:r w:rsidR="00A14CE5">
        <w:rPr>
          <w:rFonts w:cstheme="minorHAnsi"/>
        </w:rPr>
        <w:t>inally, to better understand</w:t>
      </w:r>
      <w:r>
        <w:rPr>
          <w:rFonts w:cstheme="minorHAnsi"/>
        </w:rPr>
        <w:t xml:space="preserve"> the </w:t>
      </w:r>
      <w:r w:rsidR="00406405">
        <w:rPr>
          <w:rFonts w:cstheme="minorHAnsi"/>
        </w:rPr>
        <w:t>clinical</w:t>
      </w:r>
      <w:r>
        <w:rPr>
          <w:rFonts w:cstheme="minorHAnsi"/>
        </w:rPr>
        <w:t xml:space="preserve"> diversity of difficult-to-treat and severe asthma </w:t>
      </w:r>
      <w:r w:rsidR="00A14CE5">
        <w:rPr>
          <w:rFonts w:cstheme="minorHAnsi"/>
        </w:rPr>
        <w:t>there is a need to look beyond a simple</w:t>
      </w:r>
      <w:r w:rsidR="006B57DE">
        <w:rPr>
          <w:rFonts w:cstheme="minorHAnsi"/>
        </w:rPr>
        <w:t xml:space="preserve"> T2-high/-low paradigm and </w:t>
      </w:r>
      <w:r w:rsidR="00117196">
        <w:rPr>
          <w:rFonts w:cstheme="minorHAnsi"/>
        </w:rPr>
        <w:t>identify the role of</w:t>
      </w:r>
      <w:r w:rsidR="006B57DE">
        <w:rPr>
          <w:rFonts w:cstheme="minorHAnsi"/>
        </w:rPr>
        <w:t xml:space="preserve"> additional </w:t>
      </w:r>
      <w:r w:rsidR="00590260">
        <w:rPr>
          <w:rFonts w:cstheme="minorHAnsi"/>
        </w:rPr>
        <w:t>pathophysiological pathways</w:t>
      </w:r>
      <w:r w:rsidR="00117196">
        <w:rPr>
          <w:rFonts w:cstheme="minorHAnsi"/>
        </w:rPr>
        <w:t xml:space="preserve"> </w:t>
      </w:r>
      <w:r w:rsidR="00E366F5">
        <w:rPr>
          <w:rFonts w:cstheme="minorHAnsi"/>
        </w:rPr>
        <w:t>alongside a holistic view of the patient</w:t>
      </w:r>
      <w:r w:rsidR="00963F8A">
        <w:rPr>
          <w:rFonts w:cstheme="minorHAnsi"/>
        </w:rPr>
        <w:t xml:space="preserve">. </w:t>
      </w:r>
    </w:p>
    <w:p w14:paraId="701D1F05" w14:textId="77777777" w:rsidR="00D23D9E" w:rsidRDefault="00D23D9E" w:rsidP="004A6DBF">
      <w:pPr>
        <w:spacing w:line="480" w:lineRule="auto"/>
        <w:rPr>
          <w:rFonts w:cstheme="minorHAnsi"/>
          <w:b/>
          <w:bCs/>
        </w:rPr>
      </w:pPr>
    </w:p>
    <w:p w14:paraId="338260E5" w14:textId="3239D7EB" w:rsidR="004A6DBF" w:rsidRPr="004A6DBF" w:rsidRDefault="004A6DBF" w:rsidP="004A6DBF">
      <w:pPr>
        <w:spacing w:line="480" w:lineRule="auto"/>
        <w:rPr>
          <w:rFonts w:cstheme="minorHAnsi"/>
          <w:b/>
          <w:bCs/>
        </w:rPr>
      </w:pPr>
      <w:r w:rsidRPr="004A6DBF">
        <w:rPr>
          <w:rFonts w:cstheme="minorHAnsi"/>
          <w:b/>
          <w:bCs/>
        </w:rPr>
        <w:t>ACKNOWLEDGMENTS</w:t>
      </w:r>
    </w:p>
    <w:p w14:paraId="0112F438" w14:textId="76B294B2" w:rsidR="004A6DBF" w:rsidRDefault="004A6DBF" w:rsidP="004A6DBF">
      <w:pPr>
        <w:spacing w:line="480" w:lineRule="auto"/>
        <w:rPr>
          <w:rFonts w:cstheme="minorHAnsi"/>
        </w:rPr>
      </w:pPr>
      <w:r w:rsidRPr="004A6DBF">
        <w:rPr>
          <w:rFonts w:cstheme="minorHAnsi"/>
        </w:rPr>
        <w:t xml:space="preserve">The authors wish to thank the patients who are participating in this study. They also wish to acknowledge the contributions of the wider WATCH study team including Matthew Harvey, Mae Felongco, Helen Wheeler, June Law, Yvette Thirlwall, Kim Bentley, Laura Presland, Frances Mitchell, Yueqing Cheng, Josune Olza Meneses, Wei Chern Gavin Fong, Kerry Day, David Hill and </w:t>
      </w:r>
      <w:r w:rsidR="003D34B6">
        <w:rPr>
          <w:rFonts w:cstheme="minorHAnsi"/>
        </w:rPr>
        <w:t>with particular thanks to Clair Barber for sputum processing</w:t>
      </w:r>
      <w:r w:rsidRPr="004A6DBF">
        <w:rPr>
          <w:rFonts w:cstheme="minorHAnsi"/>
        </w:rPr>
        <w:t>. The authors also wish to acknowledge the support of the Southampton NIHR BRC and Clinical Research Facility. The Clinical Research Facility and BRC are funded by NIHR Southampton and are a partnership between the University of Southampton and University Hospital Southampton NHS Foundation Trust. The authors also acknowledge funding support from Novartis</w:t>
      </w:r>
      <w:r w:rsidR="00344721">
        <w:rPr>
          <w:rFonts w:cstheme="minorHAnsi"/>
        </w:rPr>
        <w:t>, Boehringer Ingelheim</w:t>
      </w:r>
      <w:r w:rsidRPr="004A6DBF">
        <w:rPr>
          <w:rFonts w:cstheme="minorHAnsi"/>
        </w:rPr>
        <w:t xml:space="preserve"> and the AAIR Charity.</w:t>
      </w:r>
    </w:p>
    <w:p w14:paraId="140B5F73" w14:textId="77777777" w:rsidR="004F3292" w:rsidRDefault="004F3292" w:rsidP="007F377D">
      <w:pPr>
        <w:spacing w:line="480" w:lineRule="auto"/>
        <w:rPr>
          <w:rFonts w:cstheme="minorHAnsi"/>
        </w:rPr>
      </w:pPr>
    </w:p>
    <w:p w14:paraId="30A37B22" w14:textId="33669A77" w:rsidR="00205CB6" w:rsidRDefault="00205CB6" w:rsidP="007F377D">
      <w:pPr>
        <w:spacing w:line="480" w:lineRule="auto"/>
        <w:rPr>
          <w:rFonts w:cstheme="minorHAnsi"/>
        </w:rPr>
      </w:pPr>
    </w:p>
    <w:p w14:paraId="692D9321" w14:textId="35C0FDFC" w:rsidR="00E86F7D" w:rsidRDefault="00E86F7D">
      <w:pPr>
        <w:rPr>
          <w:rFonts w:cstheme="minorHAnsi"/>
        </w:rPr>
      </w:pPr>
    </w:p>
    <w:p w14:paraId="1FF078B9" w14:textId="77777777" w:rsidR="00056967" w:rsidRDefault="00056967">
      <w:pPr>
        <w:rPr>
          <w:rFonts w:cstheme="minorHAnsi"/>
          <w:b/>
          <w:bCs/>
        </w:rPr>
      </w:pPr>
      <w:r>
        <w:rPr>
          <w:rFonts w:cstheme="minorHAnsi"/>
          <w:b/>
          <w:bCs/>
        </w:rPr>
        <w:br w:type="page"/>
      </w:r>
    </w:p>
    <w:p w14:paraId="74CA6A4C" w14:textId="5B13C16E" w:rsidR="00710F10" w:rsidRPr="00633D66" w:rsidRDefault="00E86F7D" w:rsidP="003019C5">
      <w:pPr>
        <w:spacing w:line="480" w:lineRule="auto"/>
        <w:rPr>
          <w:rFonts w:cstheme="minorHAnsi"/>
          <w:b/>
          <w:bCs/>
        </w:rPr>
      </w:pPr>
      <w:r w:rsidRPr="00633D66">
        <w:rPr>
          <w:rFonts w:cstheme="minorHAnsi"/>
          <w:b/>
          <w:bCs/>
        </w:rPr>
        <w:lastRenderedPageBreak/>
        <w:t>References</w:t>
      </w:r>
    </w:p>
    <w:p w14:paraId="43923F4F" w14:textId="6373C358" w:rsidR="002873E9" w:rsidRPr="002873E9" w:rsidRDefault="002873E9" w:rsidP="002873E9">
      <w:pPr>
        <w:pStyle w:val="EndNoteBibliography"/>
        <w:rPr>
          <w:noProof/>
        </w:rPr>
      </w:pPr>
      <w:r w:rsidRPr="002873E9">
        <w:rPr>
          <w:noProof/>
        </w:rPr>
        <w:t>1.</w:t>
      </w:r>
      <w:r w:rsidRPr="002873E9">
        <w:rPr>
          <w:noProof/>
        </w:rPr>
        <w:tab/>
        <w:t xml:space="preserve">Fitzpatrick AM, Chipps BE, Holguin F, Woodruff PG. T2-"Low" Asthma: Overview and Management Strategies. </w:t>
      </w:r>
      <w:r w:rsidRPr="002873E9">
        <w:rPr>
          <w:i/>
          <w:noProof/>
        </w:rPr>
        <w:t>J Allergy Clin Immunol Pract</w:t>
      </w:r>
      <w:r w:rsidRPr="002873E9">
        <w:rPr>
          <w:noProof/>
        </w:rPr>
        <w:t>. Feb 2020;8(2):452-463. doi:10.1016/j.jaip.2019.11.006</w:t>
      </w:r>
    </w:p>
    <w:p w14:paraId="061F4759" w14:textId="77777777" w:rsidR="002873E9" w:rsidRPr="002873E9" w:rsidRDefault="002873E9" w:rsidP="002873E9">
      <w:pPr>
        <w:pStyle w:val="EndNoteBibliography"/>
        <w:rPr>
          <w:noProof/>
        </w:rPr>
      </w:pPr>
      <w:r w:rsidRPr="002873E9">
        <w:rPr>
          <w:noProof/>
        </w:rPr>
        <w:t>2.</w:t>
      </w:r>
      <w:r w:rsidRPr="002873E9">
        <w:rPr>
          <w:noProof/>
        </w:rPr>
        <w:tab/>
        <w:t xml:space="preserve">Hinks TSC, Levine SJ, Brusselle GG. Treatment options in type-2 low asthma. </w:t>
      </w:r>
      <w:r w:rsidRPr="002873E9">
        <w:rPr>
          <w:i/>
          <w:noProof/>
        </w:rPr>
        <w:t>Eur Respir J</w:t>
      </w:r>
      <w:r w:rsidRPr="002873E9">
        <w:rPr>
          <w:noProof/>
        </w:rPr>
        <w:t>. Jan 2021;57(1)doi:10.1183/13993003.00528-2020</w:t>
      </w:r>
    </w:p>
    <w:p w14:paraId="486CCF0B" w14:textId="0DD24BB1" w:rsidR="002873E9" w:rsidRPr="002873E9" w:rsidRDefault="002873E9" w:rsidP="002873E9">
      <w:pPr>
        <w:pStyle w:val="EndNoteBibliography"/>
        <w:rPr>
          <w:noProof/>
        </w:rPr>
      </w:pPr>
      <w:r w:rsidRPr="002873E9">
        <w:rPr>
          <w:noProof/>
        </w:rPr>
        <w:t>3.</w:t>
      </w:r>
      <w:r w:rsidRPr="002873E9">
        <w:rPr>
          <w:noProof/>
        </w:rPr>
        <w:tab/>
        <w:t>Fong WCG, Azim A, Knight D,</w:t>
      </w:r>
      <w:r w:rsidR="00192CF6">
        <w:rPr>
          <w:noProof/>
        </w:rPr>
        <w:t xml:space="preserve"> Mistry H, Freeman A, Felongco M,</w:t>
      </w:r>
      <w:r w:rsidRPr="002873E9">
        <w:rPr>
          <w:noProof/>
        </w:rPr>
        <w:t xml:space="preserve"> et al. Real-world Omalizumab and Mepolizumab treated difficult asthma phenotypes and their clinical outcomes. </w:t>
      </w:r>
      <w:r w:rsidRPr="002873E9">
        <w:rPr>
          <w:i/>
          <w:noProof/>
        </w:rPr>
        <w:t>Clin Exp Allergy</w:t>
      </w:r>
      <w:r w:rsidRPr="002873E9">
        <w:rPr>
          <w:noProof/>
        </w:rPr>
        <w:t>. Apr 18 2021;doi:10.1111/cea.13882</w:t>
      </w:r>
    </w:p>
    <w:p w14:paraId="38D1B5D2" w14:textId="77777777" w:rsidR="002873E9" w:rsidRPr="002873E9" w:rsidRDefault="002873E9" w:rsidP="002873E9">
      <w:pPr>
        <w:pStyle w:val="EndNoteBibliography"/>
        <w:rPr>
          <w:noProof/>
        </w:rPr>
      </w:pPr>
      <w:r w:rsidRPr="002873E9">
        <w:rPr>
          <w:noProof/>
        </w:rPr>
        <w:t>4.</w:t>
      </w:r>
      <w:r w:rsidRPr="002873E9">
        <w:rPr>
          <w:noProof/>
        </w:rPr>
        <w:tab/>
        <w:t xml:space="preserve">Brusselle GG, Koppelman GH. Biologic Therapies for Severe Asthma. </w:t>
      </w:r>
      <w:r w:rsidRPr="002873E9">
        <w:rPr>
          <w:i/>
          <w:noProof/>
        </w:rPr>
        <w:t>N Engl J Med</w:t>
      </w:r>
      <w:r w:rsidRPr="002873E9">
        <w:rPr>
          <w:noProof/>
        </w:rPr>
        <w:t>. Jan 13 2022;386(2):157-171. doi:10.1056/NEJMra2032506</w:t>
      </w:r>
    </w:p>
    <w:p w14:paraId="7A42BA6C" w14:textId="77777777" w:rsidR="002873E9" w:rsidRPr="002873E9" w:rsidRDefault="002873E9" w:rsidP="002873E9">
      <w:pPr>
        <w:pStyle w:val="EndNoteBibliography"/>
        <w:rPr>
          <w:noProof/>
        </w:rPr>
      </w:pPr>
      <w:r w:rsidRPr="002873E9">
        <w:rPr>
          <w:noProof/>
        </w:rPr>
        <w:t>5.</w:t>
      </w:r>
      <w:r w:rsidRPr="002873E9">
        <w:rPr>
          <w:noProof/>
        </w:rPr>
        <w:tab/>
        <w:t xml:space="preserve">Israel E, Reddel HK. Severe and Difficult-to-Treat Asthma in Adults. </w:t>
      </w:r>
      <w:r w:rsidRPr="002873E9">
        <w:rPr>
          <w:i/>
          <w:noProof/>
        </w:rPr>
        <w:t>N Engl J Med</w:t>
      </w:r>
      <w:r w:rsidRPr="002873E9">
        <w:rPr>
          <w:noProof/>
        </w:rPr>
        <w:t>. Sep 7 2017;377(10):965-976. doi:10.1056/NEJMra1608969</w:t>
      </w:r>
    </w:p>
    <w:p w14:paraId="7FB1DAE7" w14:textId="77777777" w:rsidR="002873E9" w:rsidRPr="002873E9" w:rsidRDefault="002873E9" w:rsidP="002873E9">
      <w:pPr>
        <w:pStyle w:val="EndNoteBibliography"/>
        <w:rPr>
          <w:noProof/>
        </w:rPr>
      </w:pPr>
      <w:r w:rsidRPr="002873E9">
        <w:rPr>
          <w:noProof/>
        </w:rPr>
        <w:t>6.</w:t>
      </w:r>
      <w:r w:rsidRPr="002873E9">
        <w:rPr>
          <w:noProof/>
        </w:rPr>
        <w:tab/>
        <w:t xml:space="preserve">Peters MC, Mekonnen ZK, Yuan S, Bhakta NR, Woodruff PG, Fahy JV. Measures of gene expression in sputum cells can identify TH2-high and TH2-low subtypes of asthma. </w:t>
      </w:r>
      <w:r w:rsidRPr="002873E9">
        <w:rPr>
          <w:i/>
          <w:noProof/>
        </w:rPr>
        <w:t>J Allergy Clin Immunol</w:t>
      </w:r>
      <w:r w:rsidRPr="002873E9">
        <w:rPr>
          <w:noProof/>
        </w:rPr>
        <w:t>. Feb 2014;133(2):388-394. doi:10.1016/j.jaci.2013.07.036</w:t>
      </w:r>
    </w:p>
    <w:p w14:paraId="40AD865C" w14:textId="6C16C3AA" w:rsidR="002873E9" w:rsidRPr="002873E9" w:rsidRDefault="002873E9" w:rsidP="002873E9">
      <w:pPr>
        <w:pStyle w:val="EndNoteBibliography"/>
        <w:rPr>
          <w:noProof/>
        </w:rPr>
      </w:pPr>
      <w:r w:rsidRPr="002873E9">
        <w:rPr>
          <w:noProof/>
        </w:rPr>
        <w:t>7.</w:t>
      </w:r>
      <w:r w:rsidRPr="002873E9">
        <w:rPr>
          <w:noProof/>
        </w:rPr>
        <w:tab/>
        <w:t xml:space="preserve">Jackson DJ, Busby J, Pfeffer PE, </w:t>
      </w:r>
      <w:r w:rsidR="00192CF6">
        <w:rPr>
          <w:noProof/>
        </w:rPr>
        <w:t xml:space="preserve">Menzies-Gow A, Brown T, Gore R, </w:t>
      </w:r>
      <w:r w:rsidRPr="002873E9">
        <w:rPr>
          <w:noProof/>
        </w:rPr>
        <w:t xml:space="preserve">et al. Characterisation of patients with severe asthma in the UK Severe Asthma Registry in the biologic era. </w:t>
      </w:r>
      <w:r w:rsidRPr="002873E9">
        <w:rPr>
          <w:i/>
          <w:noProof/>
        </w:rPr>
        <w:t>Thorax</w:t>
      </w:r>
      <w:r w:rsidRPr="002873E9">
        <w:rPr>
          <w:noProof/>
        </w:rPr>
        <w:t>. Dec 9 2020;doi:10.1136/thoraxjnl-2020-215168</w:t>
      </w:r>
    </w:p>
    <w:p w14:paraId="6B454257" w14:textId="0EA55200" w:rsidR="002873E9" w:rsidRPr="002873E9" w:rsidRDefault="002873E9" w:rsidP="002873E9">
      <w:pPr>
        <w:pStyle w:val="EndNoteBibliography"/>
        <w:rPr>
          <w:noProof/>
        </w:rPr>
      </w:pPr>
      <w:r w:rsidRPr="002873E9">
        <w:rPr>
          <w:noProof/>
        </w:rPr>
        <w:t>8.</w:t>
      </w:r>
      <w:r w:rsidRPr="002873E9">
        <w:rPr>
          <w:noProof/>
        </w:rPr>
        <w:tab/>
        <w:t xml:space="preserve">Azim A, Mistry H, Freeman A, </w:t>
      </w:r>
      <w:r w:rsidR="00192CF6">
        <w:rPr>
          <w:noProof/>
        </w:rPr>
        <w:t xml:space="preserve">Barber C, Newell C, Gove K, </w:t>
      </w:r>
      <w:r w:rsidRPr="002873E9">
        <w:rPr>
          <w:noProof/>
        </w:rPr>
        <w:t xml:space="preserve">et al. Protocol for the Wessex AsThma CoHort of difficult asthma (WATCH): a pragmatic real-life longitudinal study of difficult asthma in the clinic. </w:t>
      </w:r>
      <w:r w:rsidRPr="002873E9">
        <w:rPr>
          <w:i/>
          <w:noProof/>
        </w:rPr>
        <w:t>BMC Pulm Med</w:t>
      </w:r>
      <w:r w:rsidRPr="002873E9">
        <w:rPr>
          <w:noProof/>
        </w:rPr>
        <w:t>. May 24 2019;19(1):99. doi:10.1186/s12890-019-0862-2</w:t>
      </w:r>
    </w:p>
    <w:p w14:paraId="360F8C82" w14:textId="3B6DE474" w:rsidR="002873E9" w:rsidRPr="002873E9" w:rsidRDefault="002873E9" w:rsidP="002873E9">
      <w:pPr>
        <w:pStyle w:val="EndNoteBibliography"/>
        <w:rPr>
          <w:noProof/>
        </w:rPr>
      </w:pPr>
      <w:r w:rsidRPr="002873E9">
        <w:rPr>
          <w:noProof/>
        </w:rPr>
        <w:t>9.</w:t>
      </w:r>
      <w:r w:rsidRPr="002873E9">
        <w:rPr>
          <w:noProof/>
        </w:rPr>
        <w:tab/>
        <w:t xml:space="preserve">Azim A, Newell C, Barber C, </w:t>
      </w:r>
      <w:r w:rsidR="00192CF6">
        <w:rPr>
          <w:noProof/>
        </w:rPr>
        <w:t xml:space="preserve">Harvey M, Knight D, Freeman A, </w:t>
      </w:r>
      <w:r w:rsidRPr="002873E9">
        <w:rPr>
          <w:noProof/>
        </w:rPr>
        <w:t xml:space="preserve">et al. Clinical evaluation of type 2 disease status in a real-world population of difficult to manage asthma using historic electronic healthcare records of blood eosinophil counts. </w:t>
      </w:r>
      <w:r w:rsidRPr="002873E9">
        <w:rPr>
          <w:i/>
          <w:noProof/>
        </w:rPr>
        <w:t>Clin Exp Allergy</w:t>
      </w:r>
      <w:r w:rsidRPr="002873E9">
        <w:rPr>
          <w:noProof/>
        </w:rPr>
        <w:t>. Feb 2 2021;doi:10.1111/cea.13841</w:t>
      </w:r>
    </w:p>
    <w:p w14:paraId="30D06F6E" w14:textId="5899080E" w:rsidR="002873E9" w:rsidRPr="002873E9" w:rsidRDefault="002873E9" w:rsidP="002873E9">
      <w:pPr>
        <w:pStyle w:val="EndNoteBibliography"/>
        <w:rPr>
          <w:noProof/>
        </w:rPr>
      </w:pPr>
      <w:r w:rsidRPr="002873E9">
        <w:rPr>
          <w:noProof/>
        </w:rPr>
        <w:t>10.</w:t>
      </w:r>
      <w:r w:rsidRPr="002873E9">
        <w:rPr>
          <w:noProof/>
        </w:rPr>
        <w:tab/>
        <w:t>Heaney LG, Perez de Llano L, Al-Ahmad M,</w:t>
      </w:r>
      <w:r w:rsidR="00192CF6">
        <w:rPr>
          <w:noProof/>
        </w:rPr>
        <w:t xml:space="preserve"> Backer V, Busby J, Canonica GW,</w:t>
      </w:r>
      <w:r w:rsidRPr="002873E9">
        <w:rPr>
          <w:noProof/>
        </w:rPr>
        <w:t xml:space="preserve"> et al. Eosinophilic and non-eosinophilic asthma: an expert consensus framework to characterize phenotypes in a global real-life severe asthma cohort. </w:t>
      </w:r>
      <w:r w:rsidRPr="002873E9">
        <w:rPr>
          <w:i/>
          <w:noProof/>
        </w:rPr>
        <w:t>Chest</w:t>
      </w:r>
      <w:r w:rsidRPr="002873E9">
        <w:rPr>
          <w:noProof/>
        </w:rPr>
        <w:t>. Apr 19 2021;doi:10.1016/j.chest.2021.04.013</w:t>
      </w:r>
    </w:p>
    <w:p w14:paraId="404EF12C" w14:textId="270B2B7F" w:rsidR="002873E9" w:rsidRPr="002873E9" w:rsidRDefault="002873E9" w:rsidP="002873E9">
      <w:pPr>
        <w:pStyle w:val="EndNoteBibliography"/>
        <w:rPr>
          <w:noProof/>
        </w:rPr>
      </w:pPr>
      <w:r w:rsidRPr="002873E9">
        <w:rPr>
          <w:noProof/>
        </w:rPr>
        <w:t>11.</w:t>
      </w:r>
      <w:r w:rsidRPr="002873E9">
        <w:rPr>
          <w:noProof/>
        </w:rPr>
        <w:tab/>
        <w:t xml:space="preserve">Barber C, Azim A, Newell C, </w:t>
      </w:r>
      <w:r w:rsidR="00192CF6">
        <w:rPr>
          <w:noProof/>
        </w:rPr>
        <w:t xml:space="preserve">Kyyaly A, Rupani H, Haitchi HM, </w:t>
      </w:r>
      <w:r w:rsidRPr="002873E9">
        <w:rPr>
          <w:noProof/>
        </w:rPr>
        <w:t xml:space="preserve">et al. Validation and further insight into the International Severe Asthma Registry (ISAR) eosinophil gradient algorithm in the Wessex AsThma CoHort of difficult asthma (WATCH) using historical blood eosinophil counts and induced sputum. </w:t>
      </w:r>
      <w:r w:rsidRPr="002873E9">
        <w:rPr>
          <w:i/>
          <w:noProof/>
        </w:rPr>
        <w:t>Clin Exp Allergy</w:t>
      </w:r>
      <w:r w:rsidRPr="002873E9">
        <w:rPr>
          <w:noProof/>
        </w:rPr>
        <w:t>. Jun 2022;52(6):792-796. doi:10.1111/cea.14109</w:t>
      </w:r>
    </w:p>
    <w:p w14:paraId="66F0CD15" w14:textId="38C34F3C" w:rsidR="002873E9" w:rsidRPr="002873E9" w:rsidRDefault="002873E9" w:rsidP="002873E9">
      <w:pPr>
        <w:pStyle w:val="EndNoteBibliography"/>
        <w:rPr>
          <w:noProof/>
        </w:rPr>
      </w:pPr>
      <w:r w:rsidRPr="002873E9">
        <w:rPr>
          <w:noProof/>
        </w:rPr>
        <w:t>12.</w:t>
      </w:r>
      <w:r w:rsidRPr="002873E9">
        <w:rPr>
          <w:noProof/>
        </w:rPr>
        <w:tab/>
        <w:t xml:space="preserve">BTS/SIGN Guideline for the management of asthma. Accessed October 2021, </w:t>
      </w:r>
      <w:r w:rsidRPr="00B47D78">
        <w:t>https://www.brit-thoracic.org.uk/quality-improvement/guidelines/asthma/</w:t>
      </w:r>
    </w:p>
    <w:p w14:paraId="3B5D2D04" w14:textId="6D0FE913" w:rsidR="002873E9" w:rsidRPr="002873E9" w:rsidRDefault="002873E9" w:rsidP="002873E9">
      <w:pPr>
        <w:pStyle w:val="EndNoteBibliography"/>
        <w:rPr>
          <w:noProof/>
        </w:rPr>
      </w:pPr>
      <w:r w:rsidRPr="002873E9">
        <w:rPr>
          <w:noProof/>
        </w:rPr>
        <w:t>13.</w:t>
      </w:r>
      <w:r w:rsidRPr="002873E9">
        <w:rPr>
          <w:noProof/>
        </w:rPr>
        <w:tab/>
        <w:t xml:space="preserve">Azim A, Freeman A, Lavenu A, </w:t>
      </w:r>
      <w:r w:rsidR="00192CF6">
        <w:rPr>
          <w:noProof/>
        </w:rPr>
        <w:t xml:space="preserve">Mistry H, Haitchi HM, Newell C, </w:t>
      </w:r>
      <w:r w:rsidRPr="002873E9">
        <w:rPr>
          <w:noProof/>
        </w:rPr>
        <w:t xml:space="preserve">et al. New Perspectives on Difficult Asthma; Sex and Age of Asthma-Onset Based Phenotypes. </w:t>
      </w:r>
      <w:r w:rsidRPr="002873E9">
        <w:rPr>
          <w:i/>
          <w:noProof/>
        </w:rPr>
        <w:t>J Allergy Clin Immunol Pract</w:t>
      </w:r>
      <w:r w:rsidRPr="002873E9">
        <w:rPr>
          <w:noProof/>
        </w:rPr>
        <w:t>. Nov - Dec 2020;8(10):3396-3406 e3394. doi:10.1016/j.jaip.2020.05.053</w:t>
      </w:r>
    </w:p>
    <w:p w14:paraId="025F4F41" w14:textId="0973B742" w:rsidR="002873E9" w:rsidRPr="002873E9" w:rsidRDefault="002873E9" w:rsidP="002873E9">
      <w:pPr>
        <w:pStyle w:val="EndNoteBibliography"/>
        <w:rPr>
          <w:noProof/>
        </w:rPr>
      </w:pPr>
      <w:r w:rsidRPr="002873E9">
        <w:rPr>
          <w:noProof/>
        </w:rPr>
        <w:t>14.</w:t>
      </w:r>
      <w:r w:rsidRPr="002873E9">
        <w:rPr>
          <w:noProof/>
        </w:rPr>
        <w:tab/>
      </w:r>
      <w:r w:rsidRPr="001145F3">
        <w:rPr>
          <w:noProof/>
        </w:rPr>
        <w:t>Azim A, N</w:t>
      </w:r>
      <w:r w:rsidR="00192CF6" w:rsidRPr="001145F3">
        <w:rPr>
          <w:noProof/>
        </w:rPr>
        <w:t>ewell C</w:t>
      </w:r>
      <w:r w:rsidRPr="001145F3">
        <w:rPr>
          <w:noProof/>
        </w:rPr>
        <w:t xml:space="preserve">, Barber C, </w:t>
      </w:r>
      <w:r w:rsidR="009C1288" w:rsidRPr="001145F3">
        <w:rPr>
          <w:noProof/>
        </w:rPr>
        <w:t xml:space="preserve">Freeman A, Mistry H, </w:t>
      </w:r>
      <w:r w:rsidR="001145F3" w:rsidRPr="001145F3">
        <w:rPr>
          <w:noProof/>
        </w:rPr>
        <w:t xml:space="preserve">Kyyaly MA, </w:t>
      </w:r>
      <w:r w:rsidRPr="001145F3">
        <w:rPr>
          <w:noProof/>
        </w:rPr>
        <w:t xml:space="preserve">et al. Variability in Blood Eosinophils: Findings from the WATCH Cohort of Difficult Asthma. </w:t>
      </w:r>
      <w:r w:rsidRPr="001145F3">
        <w:rPr>
          <w:i/>
          <w:noProof/>
        </w:rPr>
        <w:t>European Respiratory Journal</w:t>
      </w:r>
      <w:r w:rsidRPr="001145F3">
        <w:rPr>
          <w:noProof/>
        </w:rPr>
        <w:t>. 2019;54(suppl 63):PA2543. doi:10.1183/13993003.congress-2019.PA2543</w:t>
      </w:r>
    </w:p>
    <w:p w14:paraId="15F44793" w14:textId="7117E35C" w:rsidR="002873E9" w:rsidRPr="002873E9" w:rsidRDefault="002873E9" w:rsidP="002873E9">
      <w:pPr>
        <w:pStyle w:val="EndNoteBibliography"/>
        <w:rPr>
          <w:noProof/>
        </w:rPr>
      </w:pPr>
      <w:r w:rsidRPr="002873E9">
        <w:rPr>
          <w:noProof/>
        </w:rPr>
        <w:lastRenderedPageBreak/>
        <w:t>15.</w:t>
      </w:r>
      <w:r w:rsidRPr="002873E9">
        <w:rPr>
          <w:noProof/>
        </w:rPr>
        <w:tab/>
        <w:t xml:space="preserve">Oliveros JC. VENNY. An interactive tool for comparing lists with Venn Diagrams. Accessed June, 2021. </w:t>
      </w:r>
      <w:r w:rsidRPr="00B47D78">
        <w:t>https://bioinfogp.cnb.csic.es/tools/venny/index.html</w:t>
      </w:r>
      <w:r w:rsidRPr="002873E9">
        <w:rPr>
          <w:noProof/>
        </w:rPr>
        <w:t>.</w:t>
      </w:r>
    </w:p>
    <w:p w14:paraId="30986CA1" w14:textId="1C07D834" w:rsidR="002873E9" w:rsidRPr="002873E9" w:rsidRDefault="002873E9" w:rsidP="002873E9">
      <w:pPr>
        <w:pStyle w:val="EndNoteBibliography"/>
        <w:rPr>
          <w:noProof/>
        </w:rPr>
      </w:pPr>
      <w:r w:rsidRPr="002873E9">
        <w:rPr>
          <w:noProof/>
        </w:rPr>
        <w:t>16.</w:t>
      </w:r>
      <w:r w:rsidRPr="002873E9">
        <w:rPr>
          <w:noProof/>
        </w:rPr>
        <w:tab/>
        <w:t xml:space="preserve">Global Initiative for Asthma. Global Strategy for Asthma Managment and Prevention. Available from </w:t>
      </w:r>
      <w:r w:rsidRPr="00B47D78">
        <w:t>www.ginasthma.org</w:t>
      </w:r>
      <w:r w:rsidRPr="002873E9">
        <w:rPr>
          <w:noProof/>
        </w:rPr>
        <w:t xml:space="preserve">. Accessed June 2021. </w:t>
      </w:r>
    </w:p>
    <w:p w14:paraId="4932F303" w14:textId="724A4463" w:rsidR="002873E9" w:rsidRPr="002873E9" w:rsidRDefault="002873E9" w:rsidP="002873E9">
      <w:pPr>
        <w:pStyle w:val="EndNoteBibliography"/>
        <w:rPr>
          <w:noProof/>
        </w:rPr>
      </w:pPr>
      <w:r w:rsidRPr="002873E9">
        <w:rPr>
          <w:noProof/>
        </w:rPr>
        <w:t>17.</w:t>
      </w:r>
      <w:r w:rsidRPr="002873E9">
        <w:rPr>
          <w:noProof/>
        </w:rPr>
        <w:tab/>
        <w:t xml:space="preserve">Wagener AH, de Nijs SB, Lutter R, </w:t>
      </w:r>
      <w:r w:rsidR="004C2F61">
        <w:rPr>
          <w:noProof/>
        </w:rPr>
        <w:t xml:space="preserve">Sousa AR, Weersink EJ, Bel EH, </w:t>
      </w:r>
      <w:r w:rsidRPr="002873E9">
        <w:rPr>
          <w:noProof/>
        </w:rPr>
        <w:t xml:space="preserve">et al. External validation of blood eosinophils, FE(NO) and serum periostin as surrogates for sputum eosinophils in asthma. </w:t>
      </w:r>
      <w:r w:rsidRPr="002873E9">
        <w:rPr>
          <w:i/>
          <w:noProof/>
        </w:rPr>
        <w:t>Thorax</w:t>
      </w:r>
      <w:r w:rsidRPr="002873E9">
        <w:rPr>
          <w:noProof/>
        </w:rPr>
        <w:t>. Feb 2015;70(2):115-120. doi:10.1136/thoraxjnl-2014-205634</w:t>
      </w:r>
    </w:p>
    <w:p w14:paraId="5E01DB4B" w14:textId="7CD80577" w:rsidR="002873E9" w:rsidRPr="002873E9" w:rsidRDefault="002873E9" w:rsidP="002873E9">
      <w:pPr>
        <w:pStyle w:val="EndNoteBibliography"/>
        <w:rPr>
          <w:noProof/>
        </w:rPr>
      </w:pPr>
      <w:r w:rsidRPr="002873E9">
        <w:rPr>
          <w:noProof/>
        </w:rPr>
        <w:t>18.</w:t>
      </w:r>
      <w:r w:rsidRPr="002873E9">
        <w:rPr>
          <w:noProof/>
        </w:rPr>
        <w:tab/>
        <w:t xml:space="preserve">Frossing L, Silberbrandt A, Von Bulow A, Backer V, Porsbjerg C. The Prevalence of Subtypes of Type 2 Inflammation in an Unselected Population of Patients with Severe Asthma. </w:t>
      </w:r>
      <w:r w:rsidRPr="002873E9">
        <w:rPr>
          <w:i/>
          <w:noProof/>
        </w:rPr>
        <w:t>J Allergy Clin Immunol Pract</w:t>
      </w:r>
      <w:r w:rsidRPr="002873E9">
        <w:rPr>
          <w:noProof/>
        </w:rPr>
        <w:t>. Mar 2021;9(3):1267-1275. doi:10.1016/j.jaip.2020.09.051</w:t>
      </w:r>
    </w:p>
    <w:p w14:paraId="4DC0B909" w14:textId="34396DA7" w:rsidR="002873E9" w:rsidRPr="002873E9" w:rsidRDefault="008244D8" w:rsidP="002873E9">
      <w:pPr>
        <w:pStyle w:val="EndNoteBibliography"/>
        <w:rPr>
          <w:noProof/>
        </w:rPr>
      </w:pPr>
      <w:r>
        <w:rPr>
          <w:noProof/>
        </w:rPr>
        <w:t>19</w:t>
      </w:r>
      <w:r w:rsidR="002873E9" w:rsidRPr="002873E9">
        <w:rPr>
          <w:noProof/>
        </w:rPr>
        <w:t>.</w:t>
      </w:r>
      <w:r w:rsidR="002873E9" w:rsidRPr="002873E9">
        <w:rPr>
          <w:noProof/>
        </w:rPr>
        <w:tab/>
        <w:t xml:space="preserve">Hastie AT, Mauger DT, Denlinger LC, </w:t>
      </w:r>
      <w:r w:rsidR="004C2F61">
        <w:rPr>
          <w:noProof/>
        </w:rPr>
        <w:t xml:space="preserve">Coverstone A, Castro M, Erzurum S, </w:t>
      </w:r>
      <w:r w:rsidR="002873E9" w:rsidRPr="002873E9">
        <w:rPr>
          <w:noProof/>
        </w:rPr>
        <w:t xml:space="preserve">et al. Mixed Sputum Granulocyte Longitudinal Impact on Lung Function in the Severe Asthma Research Program. </w:t>
      </w:r>
      <w:r w:rsidR="002873E9" w:rsidRPr="002873E9">
        <w:rPr>
          <w:i/>
          <w:noProof/>
        </w:rPr>
        <w:t>Am J Respir Crit Care Med</w:t>
      </w:r>
      <w:r w:rsidR="002873E9" w:rsidRPr="002873E9">
        <w:rPr>
          <w:noProof/>
        </w:rPr>
        <w:t>. Apr 1 2021;203(7):882-892. doi:10.1164/rccm.202009-3713OC</w:t>
      </w:r>
    </w:p>
    <w:p w14:paraId="37E22445" w14:textId="5344A236" w:rsidR="002873E9" w:rsidRPr="002873E9" w:rsidRDefault="002873E9" w:rsidP="002873E9">
      <w:pPr>
        <w:pStyle w:val="EndNoteBibliography"/>
        <w:rPr>
          <w:noProof/>
        </w:rPr>
      </w:pPr>
      <w:r w:rsidRPr="002873E9">
        <w:rPr>
          <w:noProof/>
        </w:rPr>
        <w:t>2</w:t>
      </w:r>
      <w:r w:rsidR="008244D8">
        <w:rPr>
          <w:noProof/>
        </w:rPr>
        <w:t>0</w:t>
      </w:r>
      <w:r w:rsidRPr="002873E9">
        <w:rPr>
          <w:noProof/>
        </w:rPr>
        <w:t>.</w:t>
      </w:r>
      <w:r w:rsidRPr="002873E9">
        <w:rPr>
          <w:noProof/>
        </w:rPr>
        <w:tab/>
        <w:t xml:space="preserve">Peters MC, Ringel L, Dyjack N, </w:t>
      </w:r>
      <w:r w:rsidR="004C2F61">
        <w:rPr>
          <w:noProof/>
        </w:rPr>
        <w:t xml:space="preserve">Herrin R, Woodruff PG, Rios C, </w:t>
      </w:r>
      <w:r w:rsidRPr="002873E9">
        <w:rPr>
          <w:noProof/>
        </w:rPr>
        <w:t xml:space="preserve">et al. A Transcriptomic Method to Determine Airway Immune Dysfunction in T2-High and T2-Low Asthma. </w:t>
      </w:r>
      <w:r w:rsidRPr="002873E9">
        <w:rPr>
          <w:i/>
          <w:noProof/>
        </w:rPr>
        <w:t>American Journal of Respiratory and Critical Care Medicine</w:t>
      </w:r>
      <w:r w:rsidRPr="002873E9">
        <w:rPr>
          <w:noProof/>
        </w:rPr>
        <w:t>. 2019;199(4):465-477. doi:10.1164/rccm.201807-1291OC</w:t>
      </w:r>
    </w:p>
    <w:p w14:paraId="71FF9C85" w14:textId="606E0F18" w:rsidR="002873E9" w:rsidRPr="002873E9" w:rsidRDefault="002873E9" w:rsidP="002873E9">
      <w:pPr>
        <w:pStyle w:val="EndNoteBibliography"/>
        <w:rPr>
          <w:noProof/>
        </w:rPr>
      </w:pPr>
      <w:r w:rsidRPr="002873E9">
        <w:rPr>
          <w:noProof/>
        </w:rPr>
        <w:t>2</w:t>
      </w:r>
      <w:r w:rsidR="008244D8">
        <w:rPr>
          <w:noProof/>
        </w:rPr>
        <w:t>1</w:t>
      </w:r>
      <w:r w:rsidRPr="002873E9">
        <w:rPr>
          <w:noProof/>
        </w:rPr>
        <w:t>.</w:t>
      </w:r>
      <w:r w:rsidRPr="002873E9">
        <w:rPr>
          <w:noProof/>
        </w:rPr>
        <w:tab/>
        <w:t xml:space="preserve">Niessen NM, Fricker M, McDonald VM, Gibson PG. T2-low: what do we know?: Past, present, and future of biologic therapies in noneosinophilic asthma. </w:t>
      </w:r>
      <w:r w:rsidRPr="002873E9">
        <w:rPr>
          <w:i/>
          <w:noProof/>
        </w:rPr>
        <w:t>Annals of Allergy, Asthma &amp; Immunology</w:t>
      </w:r>
      <w:r w:rsidRPr="002873E9">
        <w:rPr>
          <w:noProof/>
        </w:rPr>
        <w:t>. 2022/08/01/ 2022;129(2):150-159. doi:</w:t>
      </w:r>
      <w:r w:rsidRPr="00B47D78">
        <w:t>https://doi.org/10.1016/j.anai.2022.04.020</w:t>
      </w:r>
    </w:p>
    <w:p w14:paraId="28BD9642" w14:textId="798963B3" w:rsidR="002873E9" w:rsidRPr="002873E9" w:rsidRDefault="002873E9" w:rsidP="002873E9">
      <w:pPr>
        <w:pStyle w:val="EndNoteBibliography"/>
        <w:rPr>
          <w:noProof/>
        </w:rPr>
      </w:pPr>
      <w:r w:rsidRPr="002873E9">
        <w:rPr>
          <w:noProof/>
        </w:rPr>
        <w:t>2</w:t>
      </w:r>
      <w:r w:rsidR="008244D8">
        <w:rPr>
          <w:noProof/>
        </w:rPr>
        <w:t>2</w:t>
      </w:r>
      <w:r w:rsidRPr="002873E9">
        <w:rPr>
          <w:noProof/>
        </w:rPr>
        <w:t>.</w:t>
      </w:r>
      <w:r w:rsidRPr="002873E9">
        <w:rPr>
          <w:noProof/>
        </w:rPr>
        <w:tab/>
        <w:t xml:space="preserve">Kyriakopoulos C, Gogali A, Bartziokas K, Kostikas K. Identification and treatment of T2-low asthma in the era of biologics. </w:t>
      </w:r>
      <w:r w:rsidRPr="002873E9">
        <w:rPr>
          <w:i/>
          <w:noProof/>
        </w:rPr>
        <w:t>ERJ Open Research</w:t>
      </w:r>
      <w:r w:rsidRPr="002873E9">
        <w:rPr>
          <w:noProof/>
        </w:rPr>
        <w:t>. 2021;7(2):00309-02020. doi:10.1183/23120541.00309-2020</w:t>
      </w:r>
    </w:p>
    <w:p w14:paraId="2D94BAF3" w14:textId="26C2C656" w:rsidR="002873E9" w:rsidRPr="002873E9" w:rsidRDefault="002873E9" w:rsidP="002873E9">
      <w:pPr>
        <w:pStyle w:val="EndNoteBibliography"/>
        <w:rPr>
          <w:noProof/>
        </w:rPr>
      </w:pPr>
      <w:r w:rsidRPr="002873E9">
        <w:rPr>
          <w:noProof/>
        </w:rPr>
        <w:t>2</w:t>
      </w:r>
      <w:r w:rsidR="008244D8">
        <w:rPr>
          <w:noProof/>
        </w:rPr>
        <w:t>3</w:t>
      </w:r>
      <w:r w:rsidRPr="002873E9">
        <w:rPr>
          <w:noProof/>
        </w:rPr>
        <w:t>.</w:t>
      </w:r>
      <w:r w:rsidRPr="002873E9">
        <w:rPr>
          <w:noProof/>
        </w:rPr>
        <w:tab/>
        <w:t xml:space="preserve">Azim A, Green B, Lau L, </w:t>
      </w:r>
      <w:r w:rsidR="004C2F61">
        <w:rPr>
          <w:noProof/>
        </w:rPr>
        <w:t xml:space="preserve">Rupani H, Jayasekera N, Bruce K, </w:t>
      </w:r>
      <w:r w:rsidRPr="002873E9">
        <w:rPr>
          <w:noProof/>
        </w:rPr>
        <w:t xml:space="preserve">et al. Peripheral airways type 2 inflammation, neutrophilia and microbial dysbiosis in severe asthma. </w:t>
      </w:r>
      <w:r w:rsidRPr="002873E9">
        <w:rPr>
          <w:i/>
          <w:noProof/>
        </w:rPr>
        <w:t>Allergy</w:t>
      </w:r>
      <w:r w:rsidRPr="002873E9">
        <w:rPr>
          <w:noProof/>
        </w:rPr>
        <w:t>. Jul 2021;76(7):2070-2078. doi:10.1111/all.14732</w:t>
      </w:r>
    </w:p>
    <w:p w14:paraId="7089C033" w14:textId="671D2DBE" w:rsidR="002873E9" w:rsidRPr="002873E9" w:rsidRDefault="002873E9" w:rsidP="002873E9">
      <w:pPr>
        <w:pStyle w:val="EndNoteBibliography"/>
        <w:rPr>
          <w:noProof/>
        </w:rPr>
      </w:pPr>
      <w:r w:rsidRPr="002873E9">
        <w:rPr>
          <w:noProof/>
        </w:rPr>
        <w:t>2</w:t>
      </w:r>
      <w:r w:rsidR="008244D8">
        <w:rPr>
          <w:noProof/>
        </w:rPr>
        <w:t>4</w:t>
      </w:r>
      <w:r w:rsidRPr="002873E9">
        <w:rPr>
          <w:noProof/>
        </w:rPr>
        <w:t>.</w:t>
      </w:r>
      <w:r w:rsidRPr="002873E9">
        <w:rPr>
          <w:noProof/>
        </w:rPr>
        <w:tab/>
        <w:t xml:space="preserve">Ackland J, Barber C, Heinson A, </w:t>
      </w:r>
      <w:r w:rsidR="004C2F61">
        <w:rPr>
          <w:noProof/>
        </w:rPr>
        <w:t xml:space="preserve">Azim A, Cleary DW, Christodoulides M, </w:t>
      </w:r>
      <w:r w:rsidRPr="002873E9">
        <w:rPr>
          <w:noProof/>
        </w:rPr>
        <w:t xml:space="preserve">et al. Nontypeable Haemophilus influenzae infection of pulmonary macrophages drives neutrophilic inflammation in severe asthma. </w:t>
      </w:r>
      <w:r w:rsidRPr="002873E9">
        <w:rPr>
          <w:i/>
          <w:noProof/>
        </w:rPr>
        <w:t>Allergy</w:t>
      </w:r>
      <w:r w:rsidRPr="002873E9">
        <w:rPr>
          <w:noProof/>
        </w:rPr>
        <w:t>. 2022;77(10):2961-2973. doi:</w:t>
      </w:r>
      <w:r w:rsidRPr="00B47D78">
        <w:t>https://doi.org/10.1111/all.15375</w:t>
      </w:r>
    </w:p>
    <w:p w14:paraId="3997945C" w14:textId="394133BB" w:rsidR="002873E9" w:rsidRPr="002873E9" w:rsidRDefault="002873E9" w:rsidP="002873E9">
      <w:pPr>
        <w:pStyle w:val="EndNoteBibliography"/>
        <w:rPr>
          <w:noProof/>
        </w:rPr>
      </w:pPr>
      <w:r w:rsidRPr="002873E9">
        <w:rPr>
          <w:noProof/>
        </w:rPr>
        <w:t>2</w:t>
      </w:r>
      <w:r w:rsidR="008244D8">
        <w:rPr>
          <w:noProof/>
        </w:rPr>
        <w:t>5</w:t>
      </w:r>
      <w:r w:rsidRPr="002873E9">
        <w:rPr>
          <w:noProof/>
        </w:rPr>
        <w:t>.</w:t>
      </w:r>
      <w:r w:rsidRPr="002873E9">
        <w:rPr>
          <w:noProof/>
        </w:rPr>
        <w:tab/>
        <w:t xml:space="preserve">Flinkman E, Vähätalo I, Tuomisto LE, </w:t>
      </w:r>
      <w:r w:rsidR="004C2F61">
        <w:rPr>
          <w:noProof/>
        </w:rPr>
        <w:t xml:space="preserve">Lehtimaki L, Nieminen P, Niemela O, </w:t>
      </w:r>
      <w:r w:rsidRPr="002873E9">
        <w:rPr>
          <w:noProof/>
        </w:rPr>
        <w:t xml:space="preserve">et al. </w:t>
      </w:r>
      <w:r w:rsidR="004C2F61" w:rsidRPr="002873E9">
        <w:rPr>
          <w:noProof/>
        </w:rPr>
        <w:t xml:space="preserve">Association between blood eosinophils and neutrophils with clinical features in adult-onset asthma. </w:t>
      </w:r>
      <w:r w:rsidRPr="002873E9">
        <w:rPr>
          <w:i/>
          <w:noProof/>
        </w:rPr>
        <w:t>J Allergy Clin Immunol Pract</w:t>
      </w:r>
      <w:r w:rsidRPr="002873E9">
        <w:rPr>
          <w:noProof/>
        </w:rPr>
        <w:t>. Dec 3 2022;doi:10.1016/j.jaip.2022.11.025</w:t>
      </w:r>
    </w:p>
    <w:p w14:paraId="6F8153D3" w14:textId="37C38937" w:rsidR="00D35173" w:rsidRDefault="00D35173" w:rsidP="003B683A">
      <w:pPr>
        <w:spacing w:line="480" w:lineRule="auto"/>
        <w:rPr>
          <w:rFonts w:cstheme="minorHAnsi"/>
        </w:rPr>
      </w:pPr>
    </w:p>
    <w:p w14:paraId="3F406F1B" w14:textId="0C9FE5DC" w:rsidR="0023411D" w:rsidRDefault="0023411D">
      <w:pPr>
        <w:rPr>
          <w:rFonts w:cstheme="minorHAnsi"/>
        </w:rPr>
      </w:pPr>
      <w:r>
        <w:rPr>
          <w:rFonts w:cstheme="minorHAnsi"/>
        </w:rPr>
        <w:br w:type="page"/>
      </w:r>
    </w:p>
    <w:p w14:paraId="579FC3ED" w14:textId="77777777" w:rsidR="00BD4D30" w:rsidRDefault="00FE7DB5">
      <w:pPr>
        <w:rPr>
          <w:rFonts w:cstheme="minorHAnsi"/>
          <w:b/>
          <w:bCs/>
        </w:rPr>
      </w:pPr>
      <w:r w:rsidRPr="00BD4D30">
        <w:rPr>
          <w:rFonts w:cstheme="minorHAnsi"/>
          <w:b/>
          <w:bCs/>
        </w:rPr>
        <w:lastRenderedPageBreak/>
        <w:t>Figure legends:</w:t>
      </w:r>
    </w:p>
    <w:p w14:paraId="135AAAD2" w14:textId="77777777" w:rsidR="00BD4D30" w:rsidRDefault="00BD4D30">
      <w:pPr>
        <w:rPr>
          <w:rFonts w:cstheme="minorHAnsi"/>
          <w:b/>
          <w:bCs/>
        </w:rPr>
      </w:pPr>
    </w:p>
    <w:p w14:paraId="325207A0" w14:textId="77777777" w:rsidR="00BD4D30" w:rsidRPr="00D7131A" w:rsidRDefault="00BD4D30" w:rsidP="00BD4D30">
      <w:pPr>
        <w:rPr>
          <w:rFonts w:cstheme="minorHAnsi"/>
        </w:rPr>
      </w:pPr>
      <w:r w:rsidRPr="00D7131A">
        <w:rPr>
          <w:rFonts w:cstheme="minorHAnsi"/>
          <w:b/>
          <w:bCs/>
        </w:rPr>
        <w:t xml:space="preserve">Fig.1: Relative Distribution of T2 Defining Parameters in </w:t>
      </w:r>
      <w:r>
        <w:rPr>
          <w:rFonts w:cstheme="minorHAnsi"/>
          <w:b/>
          <w:bCs/>
        </w:rPr>
        <w:t xml:space="preserve">the 360 patients classified as </w:t>
      </w:r>
      <w:r w:rsidRPr="00D7131A">
        <w:rPr>
          <w:rFonts w:cstheme="minorHAnsi"/>
          <w:b/>
          <w:bCs/>
        </w:rPr>
        <w:t>T2</w:t>
      </w:r>
      <w:r>
        <w:rPr>
          <w:rFonts w:cstheme="minorHAnsi"/>
          <w:b/>
          <w:bCs/>
        </w:rPr>
        <w:t>-high</w:t>
      </w:r>
      <w:r w:rsidRPr="00D7131A">
        <w:rPr>
          <w:rFonts w:cstheme="minorHAnsi"/>
          <w:b/>
          <w:bCs/>
        </w:rPr>
        <w:t xml:space="preserve"> defined by </w:t>
      </w:r>
      <w:r>
        <w:rPr>
          <w:rFonts w:cstheme="minorHAnsi"/>
          <w:b/>
          <w:bCs/>
        </w:rPr>
        <w:t>A</w:t>
      </w:r>
      <w:r w:rsidRPr="00D7131A">
        <w:rPr>
          <w:rFonts w:cstheme="minorHAnsi"/>
          <w:b/>
          <w:bCs/>
        </w:rPr>
        <w:t xml:space="preserve">: FeNO, </w:t>
      </w:r>
      <w:r>
        <w:rPr>
          <w:rFonts w:cstheme="minorHAnsi"/>
          <w:b/>
          <w:bCs/>
        </w:rPr>
        <w:t>B</w:t>
      </w:r>
      <w:r w:rsidRPr="00D7131A">
        <w:rPr>
          <w:rFonts w:cstheme="minorHAnsi"/>
          <w:b/>
          <w:bCs/>
        </w:rPr>
        <w:t xml:space="preserve">: Peripheral blood eosinophils, </w:t>
      </w:r>
      <w:r>
        <w:rPr>
          <w:rFonts w:cstheme="minorHAnsi"/>
          <w:b/>
          <w:bCs/>
        </w:rPr>
        <w:t>C</w:t>
      </w:r>
      <w:r w:rsidRPr="00D7131A">
        <w:rPr>
          <w:rFonts w:cstheme="minorHAnsi"/>
          <w:b/>
          <w:bCs/>
        </w:rPr>
        <w:t xml:space="preserve">: On maintenance OCS, and </w:t>
      </w:r>
      <w:r>
        <w:rPr>
          <w:rFonts w:cstheme="minorHAnsi"/>
          <w:b/>
          <w:bCs/>
        </w:rPr>
        <w:t>D</w:t>
      </w:r>
      <w:r w:rsidRPr="00D7131A">
        <w:rPr>
          <w:rFonts w:cstheme="minorHAnsi"/>
          <w:b/>
          <w:bCs/>
        </w:rPr>
        <w:t xml:space="preserve">: </w:t>
      </w:r>
      <w:r>
        <w:rPr>
          <w:rFonts w:cstheme="minorHAnsi"/>
          <w:b/>
          <w:bCs/>
        </w:rPr>
        <w:t>c</w:t>
      </w:r>
      <w:r w:rsidRPr="00D7131A">
        <w:rPr>
          <w:rFonts w:cstheme="minorHAnsi"/>
          <w:b/>
          <w:bCs/>
        </w:rPr>
        <w:t xml:space="preserve">linically </w:t>
      </w:r>
      <w:r>
        <w:rPr>
          <w:rFonts w:cstheme="minorHAnsi"/>
          <w:b/>
          <w:bCs/>
        </w:rPr>
        <w:t>a</w:t>
      </w:r>
      <w:r w:rsidRPr="00D7131A">
        <w:rPr>
          <w:rFonts w:cstheme="minorHAnsi"/>
          <w:b/>
          <w:bCs/>
        </w:rPr>
        <w:t xml:space="preserve">llergen </w:t>
      </w:r>
      <w:r>
        <w:rPr>
          <w:rFonts w:cstheme="minorHAnsi"/>
          <w:b/>
          <w:bCs/>
        </w:rPr>
        <w:t>d</w:t>
      </w:r>
      <w:r w:rsidRPr="00D7131A">
        <w:rPr>
          <w:rFonts w:cstheme="minorHAnsi"/>
          <w:b/>
          <w:bCs/>
        </w:rPr>
        <w:t>riven</w:t>
      </w:r>
      <w:r>
        <w:rPr>
          <w:rFonts w:cstheme="minorHAnsi"/>
          <w:b/>
          <w:bCs/>
        </w:rPr>
        <w:t xml:space="preserve"> symptoms</w:t>
      </w:r>
      <w:r w:rsidRPr="00D7131A">
        <w:rPr>
          <w:rFonts w:cstheme="minorHAnsi"/>
          <w:b/>
          <w:bCs/>
        </w:rPr>
        <w:t xml:space="preserve">. </w:t>
      </w:r>
      <w:r w:rsidRPr="00D7131A">
        <w:rPr>
          <w:rFonts w:cstheme="minorHAnsi"/>
        </w:rPr>
        <w:t>(</w:t>
      </w:r>
      <w:r>
        <w:rPr>
          <w:rFonts w:cstheme="minorHAnsi"/>
        </w:rPr>
        <w:t>data missing A: 67 patients, B: 28 patients, C: 11 patients</w:t>
      </w:r>
      <w:r w:rsidRPr="00D7131A">
        <w:rPr>
          <w:rFonts w:cstheme="minorHAnsi"/>
        </w:rPr>
        <w:t xml:space="preserve">, </w:t>
      </w:r>
      <w:r>
        <w:rPr>
          <w:rFonts w:cstheme="minorHAnsi"/>
        </w:rPr>
        <w:t>D: 48 patients</w:t>
      </w:r>
      <w:r w:rsidRPr="00D7131A">
        <w:rPr>
          <w:rFonts w:cstheme="minorHAnsi"/>
        </w:rPr>
        <w:t xml:space="preserve">). Abbreviations: </w:t>
      </w:r>
      <w:r>
        <w:rPr>
          <w:rFonts w:cstheme="minorHAnsi"/>
        </w:rPr>
        <w:t xml:space="preserve">FeNO: fractional exhaled nitric oxide, PBE: peripheral blood eosinophil count, </w:t>
      </w:r>
      <w:r w:rsidRPr="00D7131A">
        <w:rPr>
          <w:rFonts w:cstheme="minorHAnsi"/>
        </w:rPr>
        <w:t>OCS: oral corticosteroid</w:t>
      </w:r>
      <w:r>
        <w:rPr>
          <w:rFonts w:cstheme="minorHAnsi"/>
        </w:rPr>
        <w:t>s</w:t>
      </w:r>
      <w:r w:rsidRPr="00D7131A">
        <w:rPr>
          <w:rFonts w:cstheme="minorHAnsi"/>
        </w:rPr>
        <w:t>.</w:t>
      </w:r>
    </w:p>
    <w:p w14:paraId="730C0AF0" w14:textId="77777777" w:rsidR="00BD4D30" w:rsidRDefault="00BD4D30">
      <w:pPr>
        <w:rPr>
          <w:rFonts w:cstheme="minorHAnsi"/>
          <w:b/>
          <w:bCs/>
        </w:rPr>
      </w:pPr>
    </w:p>
    <w:p w14:paraId="1F1EC9AD" w14:textId="77777777" w:rsidR="00BD4D30" w:rsidRDefault="00BD4D30" w:rsidP="00BD4D30">
      <w:pPr>
        <w:rPr>
          <w:rFonts w:cstheme="minorHAnsi"/>
        </w:rPr>
      </w:pPr>
      <w:r w:rsidRPr="00195EFD">
        <w:rPr>
          <w:rFonts w:cstheme="minorHAnsi"/>
          <w:b/>
          <w:bCs/>
        </w:rPr>
        <w:t>Figure 2</w:t>
      </w:r>
      <w:r>
        <w:rPr>
          <w:rFonts w:cstheme="minorHAnsi"/>
        </w:rPr>
        <w:t xml:space="preserve">: </w:t>
      </w:r>
      <w:r w:rsidRPr="00D7131A">
        <w:rPr>
          <w:rFonts w:cstheme="minorHAnsi"/>
        </w:rPr>
        <w:t xml:space="preserve">Overlap between the presence of the </w:t>
      </w:r>
      <w:r>
        <w:rPr>
          <w:rFonts w:cstheme="minorHAnsi"/>
        </w:rPr>
        <w:t>four</w:t>
      </w:r>
      <w:r w:rsidRPr="00D7131A">
        <w:rPr>
          <w:rFonts w:cstheme="minorHAnsi"/>
        </w:rPr>
        <w:t xml:space="preserve"> criteria used to define T2-high disease status in 314 patients with difficult-to-treat and severe asthma. </w:t>
      </w:r>
      <w:r>
        <w:rPr>
          <w:rFonts w:cstheme="minorHAnsi"/>
        </w:rPr>
        <w:t>The four criteria: (i) maintenance OCS use, (ii) FeNO ≥20ppb (Hi FeNO), (iii) peripheral blood eosinophils ≥150cells/</w:t>
      </w:r>
      <w:r>
        <w:rPr>
          <w:rFonts w:cstheme="minorHAnsi"/>
        </w:rPr>
        <w:sym w:font="Symbol" w:char="F06D"/>
      </w:r>
      <w:r>
        <w:rPr>
          <w:rFonts w:cstheme="minorHAnsi"/>
        </w:rPr>
        <w:t>L (Hi eosinophil) and (iv) allergy associated symptoms (allergy triggered).</w:t>
      </w:r>
    </w:p>
    <w:p w14:paraId="442563B9" w14:textId="77777777" w:rsidR="00396F53" w:rsidRPr="00D7131A" w:rsidRDefault="00396F53" w:rsidP="00BD4D30">
      <w:pPr>
        <w:rPr>
          <w:rFonts w:cstheme="minorHAnsi"/>
        </w:rPr>
      </w:pPr>
    </w:p>
    <w:p w14:paraId="48A99CD2" w14:textId="77777777" w:rsidR="00BD4D30" w:rsidRDefault="00BD4D30" w:rsidP="00BD4D30">
      <w:r w:rsidRPr="00555D33">
        <w:rPr>
          <w:rFonts w:cstheme="minorHAnsi"/>
          <w:b/>
          <w:bCs/>
        </w:rPr>
        <w:t>Figure 3:</w:t>
      </w:r>
      <w:r>
        <w:rPr>
          <w:rFonts w:cstheme="minorHAnsi"/>
        </w:rPr>
        <w:t xml:space="preserve"> </w:t>
      </w:r>
      <w:r w:rsidRPr="00D7131A">
        <w:rPr>
          <w:rFonts w:cstheme="minorHAnsi"/>
        </w:rPr>
        <w:t>Lung function of patients characterised as T2-high and T2-low</w:t>
      </w:r>
      <w:r>
        <w:rPr>
          <w:rFonts w:cstheme="minorHAnsi"/>
        </w:rPr>
        <w:t xml:space="preserve">. </w:t>
      </w:r>
      <w:r w:rsidRPr="00EB5F17">
        <w:t xml:space="preserve">A: </w:t>
      </w:r>
      <w:r>
        <w:t xml:space="preserve">Post-bronchodilator %predicted FEV1, </w:t>
      </w:r>
      <w:r w:rsidRPr="00EB5F17">
        <w:t xml:space="preserve">B: </w:t>
      </w:r>
      <w:r>
        <w:t>Post-bronchodilator %predicted FVC</w:t>
      </w:r>
      <w:r w:rsidRPr="00EB5F17">
        <w:t xml:space="preserve">, </w:t>
      </w:r>
      <w:r>
        <w:t xml:space="preserve">C: FEV1/FVC ratio, </w:t>
      </w:r>
      <w:r w:rsidRPr="00EB5F17">
        <w:t xml:space="preserve">D: </w:t>
      </w:r>
      <w:r>
        <w:t xml:space="preserve">Post-bronchodilator %predicted </w:t>
      </w:r>
      <w:r w:rsidRPr="00EB5F17">
        <w:t xml:space="preserve">MEF 25-75, E: Transfer Factor </w:t>
      </w:r>
      <w:proofErr w:type="spellStart"/>
      <w:r w:rsidRPr="00EB5F17">
        <w:t>TLco</w:t>
      </w:r>
      <w:proofErr w:type="spellEnd"/>
      <w:r>
        <w:t>,</w:t>
      </w:r>
      <w:r w:rsidRPr="00EB5F17">
        <w:t xml:space="preserve"> F: Transfer Factor </w:t>
      </w:r>
      <w:proofErr w:type="spellStart"/>
      <w:r w:rsidRPr="00EB5F17">
        <w:t>Kc</w:t>
      </w:r>
      <w:r>
        <w:t>o</w:t>
      </w:r>
      <w:proofErr w:type="spellEnd"/>
      <w:r w:rsidRPr="00EB5F17">
        <w:t>.</w:t>
      </w:r>
      <w:r>
        <w:t xml:space="preserve"> *p&lt;0.05, ns = not significant</w:t>
      </w:r>
    </w:p>
    <w:p w14:paraId="3377A228" w14:textId="77777777" w:rsidR="00BD4D30" w:rsidRDefault="00BD4D30">
      <w:pPr>
        <w:rPr>
          <w:rFonts w:cstheme="minorHAnsi"/>
          <w:b/>
          <w:bCs/>
        </w:rPr>
      </w:pPr>
    </w:p>
    <w:p w14:paraId="0E67E2F2" w14:textId="77777777" w:rsidR="00BD4D30" w:rsidRDefault="00BD4D30" w:rsidP="00BD4D30">
      <w:pPr>
        <w:rPr>
          <w:rFonts w:cstheme="minorHAnsi"/>
        </w:rPr>
      </w:pPr>
      <w:r w:rsidRPr="000246E2">
        <w:rPr>
          <w:rFonts w:cstheme="minorHAnsi"/>
          <w:b/>
          <w:bCs/>
        </w:rPr>
        <w:t>Figure 4:</w:t>
      </w:r>
      <w:r>
        <w:rPr>
          <w:rFonts w:cstheme="minorHAnsi"/>
        </w:rPr>
        <w:t xml:space="preserve"> </w:t>
      </w:r>
      <w:r w:rsidRPr="00D7131A">
        <w:rPr>
          <w:rFonts w:cstheme="minorHAnsi"/>
        </w:rPr>
        <w:t>Expression of inflammatory cytokines</w:t>
      </w:r>
      <w:r>
        <w:rPr>
          <w:rFonts w:cstheme="minorHAnsi"/>
        </w:rPr>
        <w:t xml:space="preserve"> in blood (plasma: </w:t>
      </w:r>
      <w:proofErr w:type="spellStart"/>
      <w:r>
        <w:rPr>
          <w:rFonts w:cstheme="minorHAnsi"/>
        </w:rPr>
        <w:t>pg</w:t>
      </w:r>
      <w:proofErr w:type="spellEnd"/>
      <w:r>
        <w:rPr>
          <w:rFonts w:cstheme="minorHAnsi"/>
        </w:rPr>
        <w:t>/ml)</w:t>
      </w:r>
      <w:r w:rsidRPr="00D7131A">
        <w:rPr>
          <w:rFonts w:cstheme="minorHAnsi"/>
        </w:rPr>
        <w:t xml:space="preserve"> in patients </w:t>
      </w:r>
      <w:r>
        <w:rPr>
          <w:rFonts w:cstheme="minorHAnsi"/>
        </w:rPr>
        <w:t xml:space="preserve"> with asthma </w:t>
      </w:r>
      <w:r w:rsidRPr="00D7131A">
        <w:rPr>
          <w:rFonts w:cstheme="minorHAnsi"/>
        </w:rPr>
        <w:t>defined at T2-high or T2-low</w:t>
      </w:r>
      <w:r>
        <w:rPr>
          <w:rFonts w:cstheme="minorHAnsi"/>
        </w:rPr>
        <w:t>. A: IL-4, B: CCL2/MCP-1, C: CCL3/MIP-1alpha, D: IL-5, E: IL-6, F: Periostin, G: IL-8, H: IL-10, I: TNF-alpha</w:t>
      </w:r>
      <w:r w:rsidRPr="00D7131A">
        <w:rPr>
          <w:rFonts w:cstheme="minorHAnsi"/>
        </w:rPr>
        <w:t xml:space="preserve"> </w:t>
      </w:r>
    </w:p>
    <w:p w14:paraId="6E193492" w14:textId="77777777" w:rsidR="00B77BBE" w:rsidRDefault="00B77BBE" w:rsidP="00BD4D30">
      <w:pPr>
        <w:rPr>
          <w:rFonts w:cstheme="minorHAnsi"/>
        </w:rPr>
      </w:pPr>
    </w:p>
    <w:p w14:paraId="3126C7AC" w14:textId="77777777" w:rsidR="00B77BBE" w:rsidRPr="00D7131A" w:rsidRDefault="00B77BBE" w:rsidP="00BD4D30">
      <w:pPr>
        <w:rPr>
          <w:rFonts w:cstheme="minorHAnsi"/>
        </w:rPr>
      </w:pPr>
    </w:p>
    <w:p w14:paraId="5B17AAA3" w14:textId="00F0DDBF" w:rsidR="00D7131A" w:rsidRPr="00BD4D30" w:rsidRDefault="00C320C6">
      <w:pPr>
        <w:rPr>
          <w:rFonts w:cstheme="minorHAnsi"/>
          <w:b/>
          <w:bCs/>
        </w:rPr>
      </w:pPr>
      <w:r w:rsidRPr="00BD4D30">
        <w:rPr>
          <w:rFonts w:cstheme="minorHAnsi"/>
          <w:b/>
          <w:bCs/>
        </w:rPr>
        <w:br w:type="page"/>
      </w:r>
    </w:p>
    <w:p w14:paraId="4E414599" w14:textId="77777777" w:rsidR="00D7131A" w:rsidRPr="00D7131A" w:rsidRDefault="00D7131A" w:rsidP="00D7131A">
      <w:pPr>
        <w:rPr>
          <w:rFonts w:cstheme="minorHAnsi"/>
        </w:rPr>
      </w:pPr>
      <w:bookmarkStart w:id="1" w:name="Table1"/>
      <w:bookmarkEnd w:id="1"/>
      <w:r w:rsidRPr="00D7131A">
        <w:rPr>
          <w:rFonts w:cstheme="minorHAnsi"/>
          <w:b/>
          <w:bCs/>
        </w:rPr>
        <w:lastRenderedPageBreak/>
        <w:t>Table 1:</w:t>
      </w:r>
      <w:r w:rsidRPr="00D7131A">
        <w:rPr>
          <w:rFonts w:cstheme="minorHAnsi"/>
        </w:rPr>
        <w:t xml:space="preserve"> Clinical characteristics for patients with T2-high and T2-low status using clinical and biomarker variables</w:t>
      </w:r>
    </w:p>
    <w:p w14:paraId="3917DC78" w14:textId="77777777" w:rsidR="00D7131A" w:rsidRPr="00D7131A" w:rsidRDefault="00D7131A" w:rsidP="00D7131A">
      <w:pPr>
        <w:rPr>
          <w:rFonts w:cstheme="minorHAnsi"/>
        </w:rPr>
      </w:pPr>
    </w:p>
    <w:tbl>
      <w:tblPr>
        <w:tblStyle w:val="TableGrid"/>
        <w:tblW w:w="8506" w:type="dxa"/>
        <w:jc w:val="center"/>
        <w:shd w:val="clear" w:color="auto" w:fill="FFFFFF" w:themeFill="background1"/>
        <w:tblLayout w:type="fixed"/>
        <w:tblLook w:val="04A0" w:firstRow="1" w:lastRow="0" w:firstColumn="1" w:lastColumn="0" w:noHBand="0" w:noVBand="1"/>
      </w:tblPr>
      <w:tblGrid>
        <w:gridCol w:w="4390"/>
        <w:gridCol w:w="1559"/>
        <w:gridCol w:w="1417"/>
        <w:gridCol w:w="1140"/>
      </w:tblGrid>
      <w:tr w:rsidR="00D7131A" w:rsidRPr="00D7131A" w14:paraId="3BFCBC1D" w14:textId="77777777" w:rsidTr="00125FCC">
        <w:trPr>
          <w:trHeight w:val="135"/>
          <w:jc w:val="center"/>
        </w:trPr>
        <w:tc>
          <w:tcPr>
            <w:tcW w:w="4390" w:type="dxa"/>
            <w:shd w:val="clear" w:color="auto" w:fill="E7E6E6" w:themeFill="background2"/>
            <w:vAlign w:val="center"/>
          </w:tcPr>
          <w:p w14:paraId="6371B1EC" w14:textId="77777777" w:rsidR="00D7131A" w:rsidRPr="00D7131A" w:rsidRDefault="00D7131A" w:rsidP="00D7131A">
            <w:pPr>
              <w:rPr>
                <w:rFonts w:cstheme="minorHAnsi"/>
                <w:b/>
                <w:bCs/>
              </w:rPr>
            </w:pPr>
          </w:p>
        </w:tc>
        <w:tc>
          <w:tcPr>
            <w:tcW w:w="1559" w:type="dxa"/>
            <w:shd w:val="clear" w:color="auto" w:fill="FFFFFF" w:themeFill="background1"/>
          </w:tcPr>
          <w:p w14:paraId="1BC38BC5" w14:textId="77777777" w:rsidR="00D7131A" w:rsidRPr="00E61E70" w:rsidRDefault="00D7131A" w:rsidP="0081440C">
            <w:pPr>
              <w:jc w:val="center"/>
              <w:rPr>
                <w:rFonts w:cstheme="minorHAnsi"/>
                <w:b/>
                <w:bCs/>
              </w:rPr>
            </w:pPr>
            <w:r w:rsidRPr="00E61E70">
              <w:rPr>
                <w:rFonts w:cstheme="minorHAnsi"/>
                <w:b/>
                <w:bCs/>
              </w:rPr>
              <w:t>T2-high</w:t>
            </w:r>
          </w:p>
          <w:p w14:paraId="37D5C0A9" w14:textId="780FD5B0" w:rsidR="00D7131A" w:rsidRPr="00E61E70" w:rsidRDefault="002757F3" w:rsidP="0081440C">
            <w:pPr>
              <w:jc w:val="center"/>
              <w:rPr>
                <w:rFonts w:cstheme="minorHAnsi"/>
                <w:b/>
                <w:bCs/>
              </w:rPr>
            </w:pPr>
            <w:r w:rsidRPr="00E61E70">
              <w:rPr>
                <w:rFonts w:cstheme="minorHAnsi"/>
                <w:b/>
                <w:bCs/>
              </w:rPr>
              <w:t>n</w:t>
            </w:r>
            <w:r w:rsidR="00D7131A" w:rsidRPr="00E61E70">
              <w:rPr>
                <w:rFonts w:cstheme="minorHAnsi"/>
                <w:b/>
                <w:bCs/>
              </w:rPr>
              <w:t>= 360</w:t>
            </w:r>
          </w:p>
        </w:tc>
        <w:tc>
          <w:tcPr>
            <w:tcW w:w="1417" w:type="dxa"/>
            <w:shd w:val="clear" w:color="auto" w:fill="FFFFFF" w:themeFill="background1"/>
          </w:tcPr>
          <w:p w14:paraId="1E4CE0CC" w14:textId="77777777" w:rsidR="00D7131A" w:rsidRPr="00E61E70" w:rsidRDefault="00D7131A" w:rsidP="0081440C">
            <w:pPr>
              <w:jc w:val="center"/>
              <w:rPr>
                <w:rFonts w:cstheme="minorHAnsi"/>
                <w:b/>
                <w:bCs/>
              </w:rPr>
            </w:pPr>
            <w:r w:rsidRPr="00E61E70">
              <w:rPr>
                <w:rFonts w:cstheme="minorHAnsi"/>
                <w:b/>
                <w:bCs/>
              </w:rPr>
              <w:t>T2-low</w:t>
            </w:r>
          </w:p>
          <w:p w14:paraId="0658BDF1" w14:textId="3D950FFD" w:rsidR="00D7131A" w:rsidRPr="00E61E70" w:rsidRDefault="002757F3" w:rsidP="0081440C">
            <w:pPr>
              <w:jc w:val="center"/>
              <w:rPr>
                <w:rFonts w:cstheme="minorHAnsi"/>
                <w:b/>
                <w:bCs/>
              </w:rPr>
            </w:pPr>
            <w:r w:rsidRPr="00E61E70">
              <w:rPr>
                <w:rFonts w:cstheme="minorHAnsi"/>
                <w:b/>
                <w:bCs/>
              </w:rPr>
              <w:t>n</w:t>
            </w:r>
            <w:r w:rsidR="00D7131A" w:rsidRPr="00E61E70">
              <w:rPr>
                <w:rFonts w:cstheme="minorHAnsi"/>
                <w:b/>
                <w:bCs/>
              </w:rPr>
              <w:t>=28</w:t>
            </w:r>
          </w:p>
        </w:tc>
        <w:tc>
          <w:tcPr>
            <w:tcW w:w="1140" w:type="dxa"/>
            <w:shd w:val="clear" w:color="auto" w:fill="FFFFFF" w:themeFill="background1"/>
          </w:tcPr>
          <w:p w14:paraId="157B7323" w14:textId="77777777" w:rsidR="00D7131A" w:rsidRPr="00E61E70" w:rsidRDefault="00D7131A" w:rsidP="00D7131A">
            <w:pPr>
              <w:rPr>
                <w:rFonts w:cstheme="minorHAnsi"/>
                <w:b/>
                <w:bCs/>
              </w:rPr>
            </w:pPr>
            <w:r w:rsidRPr="00E61E70">
              <w:rPr>
                <w:rFonts w:cstheme="minorHAnsi"/>
                <w:b/>
                <w:bCs/>
              </w:rPr>
              <w:t>P value</w:t>
            </w:r>
          </w:p>
        </w:tc>
      </w:tr>
      <w:tr w:rsidR="00D7131A" w:rsidRPr="00D7131A" w14:paraId="270125A2" w14:textId="77777777" w:rsidTr="00125FCC">
        <w:trPr>
          <w:jc w:val="center"/>
        </w:trPr>
        <w:tc>
          <w:tcPr>
            <w:tcW w:w="4390" w:type="dxa"/>
            <w:shd w:val="clear" w:color="auto" w:fill="E7E6E6" w:themeFill="background2"/>
            <w:vAlign w:val="center"/>
          </w:tcPr>
          <w:p w14:paraId="69C9796D" w14:textId="33A90956" w:rsidR="00D7131A" w:rsidRPr="002757F3" w:rsidRDefault="00D7131A" w:rsidP="00D7131A">
            <w:pPr>
              <w:rPr>
                <w:rFonts w:cstheme="minorHAnsi"/>
              </w:rPr>
            </w:pPr>
            <w:r w:rsidRPr="002757F3">
              <w:rPr>
                <w:rFonts w:cstheme="minorHAnsi"/>
              </w:rPr>
              <w:t>Age at diagnosis</w:t>
            </w:r>
            <w:r w:rsidR="0081440C">
              <w:rPr>
                <w:rFonts w:cstheme="minorHAnsi"/>
              </w:rPr>
              <w:t xml:space="preserve"> (years)</w:t>
            </w:r>
          </w:p>
        </w:tc>
        <w:tc>
          <w:tcPr>
            <w:tcW w:w="1559" w:type="dxa"/>
            <w:shd w:val="clear" w:color="auto" w:fill="FFFFFF" w:themeFill="background1"/>
            <w:vAlign w:val="center"/>
          </w:tcPr>
          <w:p w14:paraId="71444314" w14:textId="1C9FE8E6" w:rsidR="00D7131A" w:rsidRPr="00D7131A" w:rsidRDefault="00D7131A" w:rsidP="0081440C">
            <w:pPr>
              <w:jc w:val="center"/>
              <w:rPr>
                <w:rFonts w:cstheme="minorHAnsi"/>
              </w:rPr>
            </w:pPr>
            <w:r w:rsidRPr="00D7131A">
              <w:rPr>
                <w:rFonts w:cstheme="minorHAnsi"/>
              </w:rPr>
              <w:t>20</w:t>
            </w:r>
            <w:r w:rsidRPr="00D7131A">
              <w:rPr>
                <w:rFonts w:cstheme="minorHAnsi"/>
                <w:vertAlign w:val="superscript"/>
              </w:rPr>
              <w:t>¶</w:t>
            </w:r>
          </w:p>
          <w:p w14:paraId="62CE5977" w14:textId="77777777" w:rsidR="00D7131A" w:rsidRPr="00D7131A" w:rsidRDefault="00D7131A" w:rsidP="0081440C">
            <w:pPr>
              <w:jc w:val="center"/>
              <w:rPr>
                <w:rFonts w:cstheme="minorHAnsi"/>
              </w:rPr>
            </w:pPr>
            <w:r w:rsidRPr="00D7131A">
              <w:rPr>
                <w:rFonts w:cstheme="minorHAnsi"/>
              </w:rPr>
              <w:t>(36)</w:t>
            </w:r>
          </w:p>
        </w:tc>
        <w:tc>
          <w:tcPr>
            <w:tcW w:w="1417" w:type="dxa"/>
            <w:shd w:val="clear" w:color="auto" w:fill="FFFFFF" w:themeFill="background1"/>
            <w:vAlign w:val="center"/>
          </w:tcPr>
          <w:p w14:paraId="214B062B" w14:textId="2A6B756A" w:rsidR="00D7131A" w:rsidRPr="00D7131A" w:rsidRDefault="00D7131A" w:rsidP="0081440C">
            <w:pPr>
              <w:jc w:val="center"/>
              <w:rPr>
                <w:rFonts w:cstheme="minorHAnsi"/>
              </w:rPr>
            </w:pPr>
            <w:r w:rsidRPr="00D7131A">
              <w:rPr>
                <w:rFonts w:cstheme="minorHAnsi"/>
              </w:rPr>
              <w:t>27.6</w:t>
            </w:r>
            <w:r w:rsidRPr="00D7131A">
              <w:rPr>
                <w:rFonts w:cstheme="minorHAnsi"/>
                <w:vertAlign w:val="superscript"/>
              </w:rPr>
              <w:t>¶¶</w:t>
            </w:r>
          </w:p>
          <w:p w14:paraId="56387497" w14:textId="77777777" w:rsidR="00D7131A" w:rsidRPr="00D7131A" w:rsidRDefault="00D7131A" w:rsidP="0081440C">
            <w:pPr>
              <w:jc w:val="center"/>
              <w:rPr>
                <w:rFonts w:cstheme="minorHAnsi"/>
              </w:rPr>
            </w:pPr>
            <w:r w:rsidRPr="00D7131A">
              <w:rPr>
                <w:rFonts w:cstheme="minorHAnsi"/>
              </w:rPr>
              <w:t>(17.7)</w:t>
            </w:r>
          </w:p>
        </w:tc>
        <w:tc>
          <w:tcPr>
            <w:tcW w:w="1140" w:type="dxa"/>
            <w:shd w:val="clear" w:color="auto" w:fill="FFFFFF" w:themeFill="background1"/>
          </w:tcPr>
          <w:p w14:paraId="4EDD9DF2" w14:textId="77777777" w:rsidR="00D7131A" w:rsidRPr="00D7131A" w:rsidRDefault="00D7131A" w:rsidP="00D7131A">
            <w:pPr>
              <w:rPr>
                <w:rFonts w:cstheme="minorHAnsi"/>
              </w:rPr>
            </w:pPr>
            <w:r w:rsidRPr="00D7131A">
              <w:rPr>
                <w:rFonts w:cstheme="minorHAnsi"/>
              </w:rPr>
              <w:t>0.22</w:t>
            </w:r>
          </w:p>
        </w:tc>
      </w:tr>
      <w:tr w:rsidR="00D7131A" w:rsidRPr="00D7131A" w14:paraId="58D47721" w14:textId="77777777" w:rsidTr="00125FCC">
        <w:trPr>
          <w:jc w:val="center"/>
        </w:trPr>
        <w:tc>
          <w:tcPr>
            <w:tcW w:w="4390" w:type="dxa"/>
            <w:shd w:val="clear" w:color="auto" w:fill="E7E6E6" w:themeFill="background2"/>
            <w:vAlign w:val="center"/>
          </w:tcPr>
          <w:p w14:paraId="720D6DB9" w14:textId="33D9B93F" w:rsidR="00D7131A" w:rsidRPr="002757F3" w:rsidRDefault="0072430E" w:rsidP="00D7131A">
            <w:pPr>
              <w:rPr>
                <w:rFonts w:cstheme="minorHAnsi"/>
              </w:rPr>
            </w:pPr>
            <w:r>
              <w:rPr>
                <w:rFonts w:cstheme="minorHAnsi"/>
              </w:rPr>
              <w:t>A</w:t>
            </w:r>
            <w:r w:rsidR="00D7131A" w:rsidRPr="002757F3">
              <w:rPr>
                <w:rFonts w:cstheme="minorHAnsi"/>
              </w:rPr>
              <w:t>dult onset asthma (≥18-years)</w:t>
            </w:r>
            <w:r>
              <w:rPr>
                <w:rFonts w:cstheme="minorHAnsi"/>
              </w:rPr>
              <w:t xml:space="preserve"> (%/n)</w:t>
            </w:r>
          </w:p>
        </w:tc>
        <w:tc>
          <w:tcPr>
            <w:tcW w:w="1559" w:type="dxa"/>
            <w:shd w:val="clear" w:color="auto" w:fill="FFFFFF" w:themeFill="background1"/>
            <w:vAlign w:val="center"/>
          </w:tcPr>
          <w:p w14:paraId="0837430E" w14:textId="32287CE8" w:rsidR="00D7131A" w:rsidRPr="008849FE" w:rsidRDefault="00D7131A" w:rsidP="0081440C">
            <w:pPr>
              <w:jc w:val="center"/>
              <w:rPr>
                <w:rFonts w:cstheme="minorHAnsi"/>
              </w:rPr>
            </w:pPr>
            <w:r w:rsidRPr="008849FE">
              <w:rPr>
                <w:rFonts w:cstheme="minorHAnsi"/>
              </w:rPr>
              <w:t>54.7</w:t>
            </w:r>
          </w:p>
          <w:p w14:paraId="564C9C1C" w14:textId="2C458073" w:rsidR="008849FE" w:rsidRPr="008849FE" w:rsidRDefault="008849FE" w:rsidP="0081440C">
            <w:pPr>
              <w:jc w:val="center"/>
              <w:rPr>
                <w:rFonts w:cstheme="minorHAnsi"/>
              </w:rPr>
            </w:pPr>
            <w:r w:rsidRPr="008849FE">
              <w:rPr>
                <w:rFonts w:cstheme="minorHAnsi"/>
              </w:rPr>
              <w:t>(197/360)</w:t>
            </w:r>
          </w:p>
          <w:p w14:paraId="4B14127A" w14:textId="77777777" w:rsidR="00D7131A" w:rsidRPr="0072430E" w:rsidRDefault="00D7131A" w:rsidP="0081440C">
            <w:pPr>
              <w:jc w:val="center"/>
              <w:rPr>
                <w:rFonts w:cstheme="minorHAnsi"/>
                <w:highlight w:val="yellow"/>
              </w:rPr>
            </w:pPr>
          </w:p>
        </w:tc>
        <w:tc>
          <w:tcPr>
            <w:tcW w:w="1417" w:type="dxa"/>
            <w:shd w:val="clear" w:color="auto" w:fill="FFFFFF" w:themeFill="background1"/>
            <w:vAlign w:val="center"/>
          </w:tcPr>
          <w:p w14:paraId="5C15BA78" w14:textId="77777777" w:rsidR="00D7131A" w:rsidRPr="008849FE" w:rsidRDefault="00D7131A" w:rsidP="0081440C">
            <w:pPr>
              <w:jc w:val="center"/>
              <w:rPr>
                <w:rFonts w:cstheme="minorHAnsi"/>
              </w:rPr>
            </w:pPr>
            <w:r w:rsidRPr="008849FE">
              <w:rPr>
                <w:rFonts w:cstheme="minorHAnsi"/>
              </w:rPr>
              <w:t>67.9</w:t>
            </w:r>
          </w:p>
          <w:p w14:paraId="40D41F5B" w14:textId="77777777" w:rsidR="008849FE" w:rsidRPr="008849FE" w:rsidRDefault="008849FE" w:rsidP="008849FE">
            <w:pPr>
              <w:jc w:val="center"/>
              <w:rPr>
                <w:rFonts w:cstheme="minorHAnsi"/>
              </w:rPr>
            </w:pPr>
            <w:r w:rsidRPr="008849FE">
              <w:rPr>
                <w:rFonts w:cstheme="minorHAnsi"/>
              </w:rPr>
              <w:t>(19/28)</w:t>
            </w:r>
          </w:p>
          <w:p w14:paraId="489F79DD" w14:textId="77777777" w:rsidR="00D7131A" w:rsidRPr="0072430E" w:rsidRDefault="00D7131A" w:rsidP="0081440C">
            <w:pPr>
              <w:jc w:val="center"/>
              <w:rPr>
                <w:rFonts w:cstheme="minorHAnsi"/>
                <w:highlight w:val="yellow"/>
              </w:rPr>
            </w:pPr>
          </w:p>
        </w:tc>
        <w:tc>
          <w:tcPr>
            <w:tcW w:w="1140" w:type="dxa"/>
            <w:shd w:val="clear" w:color="auto" w:fill="FFFFFF" w:themeFill="background1"/>
          </w:tcPr>
          <w:p w14:paraId="2912FF2F" w14:textId="77777777" w:rsidR="00D7131A" w:rsidRPr="00D7131A" w:rsidRDefault="00D7131A" w:rsidP="00D7131A">
            <w:pPr>
              <w:rPr>
                <w:rFonts w:cstheme="minorHAnsi"/>
              </w:rPr>
            </w:pPr>
            <w:r w:rsidRPr="00D7131A">
              <w:rPr>
                <w:rFonts w:cstheme="minorHAnsi"/>
              </w:rPr>
              <w:t>0.18</w:t>
            </w:r>
          </w:p>
        </w:tc>
      </w:tr>
      <w:tr w:rsidR="00D7131A" w:rsidRPr="00D7131A" w14:paraId="7A993AD3" w14:textId="77777777" w:rsidTr="00125FCC">
        <w:trPr>
          <w:jc w:val="center"/>
        </w:trPr>
        <w:tc>
          <w:tcPr>
            <w:tcW w:w="4390" w:type="dxa"/>
            <w:shd w:val="clear" w:color="auto" w:fill="E7E6E6" w:themeFill="background2"/>
            <w:vAlign w:val="center"/>
          </w:tcPr>
          <w:p w14:paraId="69EB0AA5" w14:textId="6F73F9B3" w:rsidR="00D7131A" w:rsidRPr="002757F3" w:rsidRDefault="0072430E" w:rsidP="00D7131A">
            <w:pPr>
              <w:rPr>
                <w:rFonts w:cstheme="minorHAnsi"/>
              </w:rPr>
            </w:pPr>
            <w:r>
              <w:rPr>
                <w:rFonts w:cstheme="minorHAnsi"/>
              </w:rPr>
              <w:t>M</w:t>
            </w:r>
            <w:r w:rsidR="00D7131A" w:rsidRPr="002757F3">
              <w:rPr>
                <w:rFonts w:cstheme="minorHAnsi"/>
              </w:rPr>
              <w:t>ale</w:t>
            </w:r>
            <w:r w:rsidR="00125FCC">
              <w:rPr>
                <w:rFonts w:cstheme="minorHAnsi"/>
              </w:rPr>
              <w:t xml:space="preserve"> patients</w:t>
            </w:r>
            <w:r w:rsidR="00056967">
              <w:rPr>
                <w:rFonts w:cstheme="minorHAnsi"/>
              </w:rPr>
              <w:t xml:space="preserve"> (</w:t>
            </w:r>
            <w:r>
              <w:rPr>
                <w:rFonts w:cstheme="minorHAnsi"/>
              </w:rPr>
              <w:t>%/</w:t>
            </w:r>
            <w:r w:rsidR="00056967">
              <w:rPr>
                <w:rFonts w:cstheme="minorHAnsi"/>
              </w:rPr>
              <w:t>n)</w:t>
            </w:r>
          </w:p>
        </w:tc>
        <w:tc>
          <w:tcPr>
            <w:tcW w:w="1559" w:type="dxa"/>
            <w:shd w:val="clear" w:color="auto" w:fill="FFFFFF" w:themeFill="background1"/>
            <w:vAlign w:val="center"/>
          </w:tcPr>
          <w:p w14:paraId="79045E17" w14:textId="77777777" w:rsidR="00D7131A" w:rsidRPr="00D7131A" w:rsidRDefault="00D7131A" w:rsidP="0081440C">
            <w:pPr>
              <w:jc w:val="center"/>
              <w:rPr>
                <w:rFonts w:cstheme="minorHAnsi"/>
              </w:rPr>
            </w:pPr>
            <w:r w:rsidRPr="00D7131A">
              <w:rPr>
                <w:rFonts w:cstheme="minorHAnsi"/>
              </w:rPr>
              <w:t>33</w:t>
            </w:r>
          </w:p>
          <w:p w14:paraId="379A85C0" w14:textId="77777777" w:rsidR="00D7131A" w:rsidRPr="00D7131A" w:rsidRDefault="00D7131A" w:rsidP="0081440C">
            <w:pPr>
              <w:jc w:val="center"/>
              <w:rPr>
                <w:rFonts w:cstheme="minorHAnsi"/>
              </w:rPr>
            </w:pPr>
            <w:r w:rsidRPr="00D7131A">
              <w:rPr>
                <w:rFonts w:cstheme="minorHAnsi"/>
              </w:rPr>
              <w:t>(119/360)</w:t>
            </w:r>
          </w:p>
        </w:tc>
        <w:tc>
          <w:tcPr>
            <w:tcW w:w="1417" w:type="dxa"/>
            <w:shd w:val="clear" w:color="auto" w:fill="FFFFFF" w:themeFill="background1"/>
            <w:vAlign w:val="center"/>
          </w:tcPr>
          <w:p w14:paraId="3E09F815" w14:textId="77777777" w:rsidR="00D7131A" w:rsidRPr="00D7131A" w:rsidRDefault="00D7131A" w:rsidP="0081440C">
            <w:pPr>
              <w:jc w:val="center"/>
              <w:rPr>
                <w:rFonts w:cstheme="minorHAnsi"/>
              </w:rPr>
            </w:pPr>
            <w:r w:rsidRPr="00D7131A">
              <w:rPr>
                <w:rFonts w:cstheme="minorHAnsi"/>
              </w:rPr>
              <w:t>35.7</w:t>
            </w:r>
          </w:p>
          <w:p w14:paraId="1F7F1599" w14:textId="77777777" w:rsidR="00D7131A" w:rsidRPr="00D7131A" w:rsidRDefault="00D7131A" w:rsidP="0081440C">
            <w:pPr>
              <w:jc w:val="center"/>
              <w:rPr>
                <w:rFonts w:cstheme="minorHAnsi"/>
              </w:rPr>
            </w:pPr>
            <w:r w:rsidRPr="00D7131A">
              <w:rPr>
                <w:rFonts w:cstheme="minorHAnsi"/>
              </w:rPr>
              <w:t>(10/28)</w:t>
            </w:r>
          </w:p>
        </w:tc>
        <w:tc>
          <w:tcPr>
            <w:tcW w:w="1140" w:type="dxa"/>
            <w:shd w:val="clear" w:color="auto" w:fill="FFFFFF" w:themeFill="background1"/>
          </w:tcPr>
          <w:p w14:paraId="696C4B7F" w14:textId="193F91E8" w:rsidR="00D7131A" w:rsidRPr="00D7131A" w:rsidRDefault="00D7131A" w:rsidP="00D7131A">
            <w:pPr>
              <w:rPr>
                <w:rFonts w:cstheme="minorHAnsi"/>
              </w:rPr>
            </w:pPr>
            <w:r w:rsidRPr="00D7131A">
              <w:rPr>
                <w:rFonts w:cstheme="minorHAnsi"/>
              </w:rPr>
              <w:t>0.</w:t>
            </w:r>
            <w:r w:rsidR="006B40C4">
              <w:rPr>
                <w:rFonts w:cstheme="minorHAnsi"/>
              </w:rPr>
              <w:t>8</w:t>
            </w:r>
          </w:p>
        </w:tc>
      </w:tr>
      <w:tr w:rsidR="00F54B7D" w:rsidRPr="00D7131A" w14:paraId="7D99CD3C" w14:textId="77777777" w:rsidTr="00125FCC">
        <w:trPr>
          <w:jc w:val="center"/>
        </w:trPr>
        <w:tc>
          <w:tcPr>
            <w:tcW w:w="4390" w:type="dxa"/>
            <w:shd w:val="clear" w:color="auto" w:fill="E7E6E6" w:themeFill="background2"/>
            <w:vAlign w:val="center"/>
          </w:tcPr>
          <w:p w14:paraId="46733332" w14:textId="2DC7B334" w:rsidR="00F54B7D" w:rsidRDefault="00F54B7D" w:rsidP="00F54B7D">
            <w:pPr>
              <w:rPr>
                <w:rFonts w:cstheme="minorHAnsi"/>
              </w:rPr>
            </w:pPr>
            <w:r>
              <w:rPr>
                <w:rFonts w:cstheme="minorHAnsi"/>
              </w:rPr>
              <w:t>Ethnicity</w:t>
            </w:r>
            <w:r w:rsidR="00477117">
              <w:rPr>
                <w:rFonts w:cstheme="minorHAnsi"/>
              </w:rPr>
              <w:t xml:space="preserve">- </w:t>
            </w:r>
            <w:r>
              <w:rPr>
                <w:rFonts w:cstheme="minorHAnsi"/>
              </w:rPr>
              <w:t>% Caucasian</w:t>
            </w:r>
            <w:r w:rsidR="00056967">
              <w:rPr>
                <w:rFonts w:cstheme="minorHAnsi"/>
              </w:rPr>
              <w:t xml:space="preserve"> (n)</w:t>
            </w:r>
          </w:p>
          <w:p w14:paraId="2AF2DBC8" w14:textId="19BB6DE2" w:rsidR="00F54B7D" w:rsidRPr="002757F3" w:rsidRDefault="00F54B7D" w:rsidP="00F54B7D">
            <w:pPr>
              <w:rPr>
                <w:rFonts w:cstheme="minorHAnsi"/>
              </w:rPr>
            </w:pPr>
          </w:p>
        </w:tc>
        <w:tc>
          <w:tcPr>
            <w:tcW w:w="1559" w:type="dxa"/>
            <w:shd w:val="clear" w:color="auto" w:fill="FFFFFF" w:themeFill="background1"/>
            <w:vAlign w:val="center"/>
          </w:tcPr>
          <w:p w14:paraId="56280259" w14:textId="77777777" w:rsidR="00B921C3" w:rsidRDefault="00B921C3" w:rsidP="00F54B7D">
            <w:pPr>
              <w:jc w:val="center"/>
              <w:rPr>
                <w:rFonts w:cstheme="minorHAnsi"/>
              </w:rPr>
            </w:pPr>
            <w:r>
              <w:rPr>
                <w:rFonts w:cstheme="minorHAnsi"/>
              </w:rPr>
              <w:t xml:space="preserve">91.7 </w:t>
            </w:r>
          </w:p>
          <w:p w14:paraId="41E64AA4" w14:textId="79B95613" w:rsidR="00F54B7D" w:rsidRPr="00D7131A" w:rsidRDefault="00B921C3" w:rsidP="00F54B7D">
            <w:pPr>
              <w:jc w:val="center"/>
              <w:rPr>
                <w:rFonts w:cstheme="minorHAnsi"/>
              </w:rPr>
            </w:pPr>
            <w:r>
              <w:rPr>
                <w:rFonts w:cstheme="minorHAnsi"/>
              </w:rPr>
              <w:t>(</w:t>
            </w:r>
            <w:r w:rsidR="00F54B7D">
              <w:rPr>
                <w:rFonts w:cstheme="minorHAnsi"/>
              </w:rPr>
              <w:t>330</w:t>
            </w:r>
            <w:r w:rsidR="00C7426B">
              <w:rPr>
                <w:rFonts w:cstheme="minorHAnsi"/>
              </w:rPr>
              <w:t>/360</w:t>
            </w:r>
            <w:r>
              <w:rPr>
                <w:rFonts w:cstheme="minorHAnsi"/>
              </w:rPr>
              <w:t>)</w:t>
            </w:r>
          </w:p>
        </w:tc>
        <w:tc>
          <w:tcPr>
            <w:tcW w:w="1417" w:type="dxa"/>
            <w:shd w:val="clear" w:color="auto" w:fill="FFFFFF" w:themeFill="background1"/>
            <w:vAlign w:val="center"/>
          </w:tcPr>
          <w:p w14:paraId="05C419F1" w14:textId="77777777" w:rsidR="00CC224C" w:rsidRDefault="00CC224C" w:rsidP="00F54B7D">
            <w:pPr>
              <w:jc w:val="center"/>
              <w:rPr>
                <w:rFonts w:cstheme="minorHAnsi"/>
              </w:rPr>
            </w:pPr>
            <w:r>
              <w:rPr>
                <w:rFonts w:cstheme="minorHAnsi"/>
              </w:rPr>
              <w:t>96.4</w:t>
            </w:r>
          </w:p>
          <w:p w14:paraId="3ACA5E41" w14:textId="17AA9288" w:rsidR="00F54B7D" w:rsidRPr="00D7131A" w:rsidRDefault="00CC224C" w:rsidP="00F54B7D">
            <w:pPr>
              <w:jc w:val="center"/>
              <w:rPr>
                <w:rFonts w:cstheme="minorHAnsi"/>
              </w:rPr>
            </w:pPr>
            <w:r>
              <w:rPr>
                <w:rFonts w:cstheme="minorHAnsi"/>
              </w:rPr>
              <w:t>(</w:t>
            </w:r>
            <w:r w:rsidR="00F54B7D">
              <w:rPr>
                <w:rFonts w:cstheme="minorHAnsi"/>
              </w:rPr>
              <w:t>27</w:t>
            </w:r>
            <w:r w:rsidR="00C7426B">
              <w:rPr>
                <w:rFonts w:cstheme="minorHAnsi"/>
              </w:rPr>
              <w:t>/28</w:t>
            </w:r>
            <w:r>
              <w:rPr>
                <w:rFonts w:cstheme="minorHAnsi"/>
              </w:rPr>
              <w:t>)</w:t>
            </w:r>
          </w:p>
        </w:tc>
        <w:tc>
          <w:tcPr>
            <w:tcW w:w="1140" w:type="dxa"/>
            <w:shd w:val="clear" w:color="auto" w:fill="FFFFFF" w:themeFill="background1"/>
          </w:tcPr>
          <w:p w14:paraId="008EB3F1" w14:textId="1873B9BB" w:rsidR="00F54B7D" w:rsidRPr="00D7131A" w:rsidRDefault="00A7126C" w:rsidP="00F54B7D">
            <w:pPr>
              <w:rPr>
                <w:rFonts w:cstheme="minorHAnsi"/>
              </w:rPr>
            </w:pPr>
            <w:r>
              <w:rPr>
                <w:rFonts w:cstheme="minorHAnsi"/>
              </w:rPr>
              <w:t>0.93</w:t>
            </w:r>
          </w:p>
        </w:tc>
      </w:tr>
      <w:tr w:rsidR="00F54B7D" w:rsidRPr="00D7131A" w14:paraId="495BE20E" w14:textId="77777777" w:rsidTr="00125FCC">
        <w:trPr>
          <w:jc w:val="center"/>
        </w:trPr>
        <w:tc>
          <w:tcPr>
            <w:tcW w:w="4390" w:type="dxa"/>
            <w:shd w:val="clear" w:color="auto" w:fill="E7E6E6" w:themeFill="background2"/>
            <w:vAlign w:val="center"/>
          </w:tcPr>
          <w:p w14:paraId="63729BDF" w14:textId="77777777" w:rsidR="00F54B7D" w:rsidRPr="002757F3" w:rsidRDefault="00F54B7D" w:rsidP="00F54B7D">
            <w:pPr>
              <w:rPr>
                <w:rFonts w:cstheme="minorHAnsi"/>
              </w:rPr>
            </w:pPr>
            <w:r w:rsidRPr="002757F3">
              <w:rPr>
                <w:rFonts w:cstheme="minorHAnsi"/>
                <w:noProof/>
              </w:rPr>
              <w:drawing>
                <wp:anchor distT="0" distB="0" distL="114300" distR="114300" simplePos="0" relativeHeight="251681792" behindDoc="0" locked="0" layoutInCell="1" allowOverlap="1" wp14:anchorId="74637A84" wp14:editId="2760167C">
                  <wp:simplePos x="0" y="0"/>
                  <wp:positionH relativeFrom="column">
                    <wp:posOffset>185135</wp:posOffset>
                  </wp:positionH>
                  <wp:positionV relativeFrom="paragraph">
                    <wp:posOffset>-1510</wp:posOffset>
                  </wp:positionV>
                  <wp:extent cx="360" cy="360"/>
                  <wp:effectExtent l="57150" t="38100" r="38100" b="57150"/>
                  <wp:wrapNone/>
                  <wp:docPr id="11"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1"/>
                          <a:stretch>
                            <a:fillRect/>
                          </a:stretch>
                        </pic:blipFill>
                        <pic:spPr>
                          <a:xfrm>
                            <a:off x="0" y="0"/>
                            <a:ext cx="36000" cy="216000"/>
                          </a:xfrm>
                          <a:prstGeom prst="rect">
                            <a:avLst/>
                          </a:prstGeom>
                        </pic:spPr>
                      </pic:pic>
                    </a:graphicData>
                  </a:graphic>
                </wp:anchor>
              </w:drawing>
            </w:r>
            <w:r w:rsidRPr="002757F3">
              <w:rPr>
                <w:rFonts w:cstheme="minorHAnsi"/>
              </w:rPr>
              <w:t>BMI</w:t>
            </w:r>
          </w:p>
          <w:p w14:paraId="3ED2B784" w14:textId="77777777" w:rsidR="00F54B7D" w:rsidRPr="002757F3" w:rsidRDefault="00F54B7D" w:rsidP="00F54B7D">
            <w:pPr>
              <w:rPr>
                <w:rFonts w:cstheme="minorHAnsi"/>
              </w:rPr>
            </w:pPr>
          </w:p>
        </w:tc>
        <w:tc>
          <w:tcPr>
            <w:tcW w:w="1559" w:type="dxa"/>
            <w:shd w:val="clear" w:color="auto" w:fill="FFFFFF" w:themeFill="background1"/>
            <w:vAlign w:val="center"/>
          </w:tcPr>
          <w:p w14:paraId="34D7264F" w14:textId="77777777" w:rsidR="00F54B7D" w:rsidRPr="00D7131A" w:rsidRDefault="00F54B7D" w:rsidP="00F54B7D">
            <w:pPr>
              <w:jc w:val="center"/>
              <w:rPr>
                <w:rFonts w:cstheme="minorHAnsi"/>
              </w:rPr>
            </w:pPr>
            <w:r w:rsidRPr="00D7131A">
              <w:rPr>
                <w:rFonts w:cstheme="minorHAnsi"/>
                <w:noProof/>
              </w:rPr>
              <w:drawing>
                <wp:anchor distT="0" distB="0" distL="114300" distR="114300" simplePos="0" relativeHeight="251682816" behindDoc="0" locked="0" layoutInCell="1" allowOverlap="1" wp14:anchorId="2C4B68B1" wp14:editId="63FC1961">
                  <wp:simplePos x="0" y="0"/>
                  <wp:positionH relativeFrom="column">
                    <wp:posOffset>268395</wp:posOffset>
                  </wp:positionH>
                  <wp:positionV relativeFrom="paragraph">
                    <wp:posOffset>112610</wp:posOffset>
                  </wp:positionV>
                  <wp:extent cx="360" cy="360"/>
                  <wp:effectExtent l="57150" t="38100" r="38100" b="57150"/>
                  <wp:wrapNone/>
                  <wp:docPr id="14"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11"/>
                          <a:stretch>
                            <a:fillRect/>
                          </a:stretch>
                        </pic:blipFill>
                        <pic:spPr>
                          <a:xfrm>
                            <a:off x="0" y="0"/>
                            <a:ext cx="36000" cy="216000"/>
                          </a:xfrm>
                          <a:prstGeom prst="rect">
                            <a:avLst/>
                          </a:prstGeom>
                        </pic:spPr>
                      </pic:pic>
                    </a:graphicData>
                  </a:graphic>
                </wp:anchor>
              </w:drawing>
            </w:r>
            <w:r w:rsidRPr="00D7131A">
              <w:rPr>
                <w:rFonts w:cstheme="minorHAnsi"/>
              </w:rPr>
              <w:t>29.6</w:t>
            </w:r>
            <w:r w:rsidRPr="00D7131A">
              <w:rPr>
                <w:rFonts w:cstheme="minorHAnsi"/>
                <w:vertAlign w:val="superscript"/>
              </w:rPr>
              <w:t>ƒ</w:t>
            </w:r>
          </w:p>
          <w:p w14:paraId="3CE578FE" w14:textId="77777777" w:rsidR="00F54B7D" w:rsidRPr="00D7131A" w:rsidRDefault="00F54B7D" w:rsidP="00F54B7D">
            <w:pPr>
              <w:jc w:val="center"/>
              <w:rPr>
                <w:rFonts w:cstheme="minorHAnsi"/>
              </w:rPr>
            </w:pPr>
            <w:r w:rsidRPr="00D7131A">
              <w:rPr>
                <w:rFonts w:cstheme="minorHAnsi"/>
              </w:rPr>
              <w:t>(9.8)</w:t>
            </w:r>
          </w:p>
        </w:tc>
        <w:tc>
          <w:tcPr>
            <w:tcW w:w="1417" w:type="dxa"/>
            <w:shd w:val="clear" w:color="auto" w:fill="FFFFFF" w:themeFill="background1"/>
            <w:vAlign w:val="center"/>
          </w:tcPr>
          <w:p w14:paraId="4A5F8F60" w14:textId="77777777" w:rsidR="00F54B7D" w:rsidRPr="00D7131A" w:rsidRDefault="00F54B7D" w:rsidP="00F54B7D">
            <w:pPr>
              <w:jc w:val="center"/>
              <w:rPr>
                <w:rFonts w:cstheme="minorHAnsi"/>
              </w:rPr>
            </w:pPr>
            <w:r w:rsidRPr="00D7131A">
              <w:rPr>
                <w:rFonts w:cstheme="minorHAnsi"/>
              </w:rPr>
              <w:t>29.3</w:t>
            </w:r>
          </w:p>
          <w:p w14:paraId="4F0C2D51" w14:textId="77777777" w:rsidR="00F54B7D" w:rsidRPr="00D7131A" w:rsidRDefault="00F54B7D" w:rsidP="00F54B7D">
            <w:pPr>
              <w:jc w:val="center"/>
              <w:rPr>
                <w:rFonts w:cstheme="minorHAnsi"/>
              </w:rPr>
            </w:pPr>
            <w:r w:rsidRPr="00D7131A">
              <w:rPr>
                <w:rFonts w:cstheme="minorHAnsi"/>
              </w:rPr>
              <w:t>(16.8)</w:t>
            </w:r>
          </w:p>
        </w:tc>
        <w:tc>
          <w:tcPr>
            <w:tcW w:w="1140" w:type="dxa"/>
            <w:shd w:val="clear" w:color="auto" w:fill="FFFFFF" w:themeFill="background1"/>
          </w:tcPr>
          <w:p w14:paraId="2133554B" w14:textId="77777777" w:rsidR="00F54B7D" w:rsidRPr="00D7131A" w:rsidRDefault="00F54B7D" w:rsidP="00F54B7D">
            <w:pPr>
              <w:rPr>
                <w:rFonts w:cstheme="minorHAnsi"/>
                <w:b/>
                <w:bCs/>
              </w:rPr>
            </w:pPr>
            <w:r w:rsidRPr="00D7131A">
              <w:rPr>
                <w:rFonts w:cstheme="minorHAnsi"/>
              </w:rPr>
              <w:t>0.81</w:t>
            </w:r>
          </w:p>
        </w:tc>
      </w:tr>
      <w:tr w:rsidR="00F54B7D" w:rsidRPr="00D7131A" w14:paraId="1D09B9D2" w14:textId="77777777" w:rsidTr="00125FCC">
        <w:trPr>
          <w:jc w:val="center"/>
        </w:trPr>
        <w:tc>
          <w:tcPr>
            <w:tcW w:w="4390" w:type="dxa"/>
            <w:shd w:val="clear" w:color="auto" w:fill="E7E6E6" w:themeFill="background2"/>
            <w:vAlign w:val="center"/>
          </w:tcPr>
          <w:p w14:paraId="64FC1BAF" w14:textId="10E6DB02" w:rsidR="00F54B7D" w:rsidRPr="002757F3" w:rsidRDefault="0072430E" w:rsidP="00F54B7D">
            <w:pPr>
              <w:rPr>
                <w:rFonts w:cstheme="minorHAnsi"/>
              </w:rPr>
            </w:pPr>
            <w:r>
              <w:rPr>
                <w:rFonts w:cstheme="minorHAnsi"/>
              </w:rPr>
              <w:t>N</w:t>
            </w:r>
            <w:r w:rsidR="00F54B7D" w:rsidRPr="002757F3">
              <w:rPr>
                <w:rFonts w:cstheme="minorHAnsi"/>
              </w:rPr>
              <w:t>ever smoker</w:t>
            </w:r>
            <w:r w:rsidR="00F54B7D">
              <w:rPr>
                <w:rFonts w:cstheme="minorHAnsi"/>
              </w:rPr>
              <w:t>s</w:t>
            </w:r>
            <w:r>
              <w:rPr>
                <w:rFonts w:cstheme="minorHAnsi"/>
              </w:rPr>
              <w:t xml:space="preserve"> (%/n)</w:t>
            </w:r>
          </w:p>
        </w:tc>
        <w:tc>
          <w:tcPr>
            <w:tcW w:w="1559" w:type="dxa"/>
            <w:shd w:val="clear" w:color="auto" w:fill="FFFFFF" w:themeFill="background1"/>
            <w:vAlign w:val="center"/>
          </w:tcPr>
          <w:p w14:paraId="36BEF84B" w14:textId="0F4B1C65" w:rsidR="00F54B7D" w:rsidRPr="008849FE" w:rsidRDefault="00F54B7D" w:rsidP="00F54B7D">
            <w:pPr>
              <w:jc w:val="center"/>
              <w:rPr>
                <w:rFonts w:cstheme="minorHAnsi"/>
              </w:rPr>
            </w:pPr>
            <w:r w:rsidRPr="008849FE">
              <w:rPr>
                <w:rFonts w:cstheme="minorHAnsi"/>
              </w:rPr>
              <w:t>51.4</w:t>
            </w:r>
          </w:p>
          <w:p w14:paraId="4F8D02B1" w14:textId="5742CCD5" w:rsidR="008849FE" w:rsidRPr="008849FE" w:rsidRDefault="008849FE" w:rsidP="00F54B7D">
            <w:pPr>
              <w:jc w:val="center"/>
              <w:rPr>
                <w:rFonts w:cstheme="minorHAnsi"/>
              </w:rPr>
            </w:pPr>
            <w:r w:rsidRPr="008849FE">
              <w:rPr>
                <w:rFonts w:cstheme="minorHAnsi"/>
              </w:rPr>
              <w:t>(185/360)</w:t>
            </w:r>
          </w:p>
          <w:p w14:paraId="5748286A" w14:textId="77777777" w:rsidR="00F54B7D" w:rsidRPr="0072430E" w:rsidRDefault="00F54B7D" w:rsidP="00F54B7D">
            <w:pPr>
              <w:jc w:val="center"/>
              <w:rPr>
                <w:rFonts w:cstheme="minorHAnsi"/>
                <w:highlight w:val="yellow"/>
              </w:rPr>
            </w:pPr>
          </w:p>
        </w:tc>
        <w:tc>
          <w:tcPr>
            <w:tcW w:w="1417" w:type="dxa"/>
            <w:shd w:val="clear" w:color="auto" w:fill="FFFFFF" w:themeFill="background1"/>
            <w:vAlign w:val="center"/>
          </w:tcPr>
          <w:p w14:paraId="06435C2E" w14:textId="1694B10E" w:rsidR="00F54B7D" w:rsidRPr="008849FE" w:rsidRDefault="00F54B7D" w:rsidP="00F54B7D">
            <w:pPr>
              <w:jc w:val="center"/>
              <w:rPr>
                <w:rFonts w:cstheme="minorHAnsi"/>
                <w:vertAlign w:val="superscript"/>
              </w:rPr>
            </w:pPr>
            <w:r w:rsidRPr="008849FE">
              <w:rPr>
                <w:rFonts w:cstheme="minorHAnsi"/>
              </w:rPr>
              <w:t>51.</w:t>
            </w:r>
            <w:r w:rsidR="00CD2CB1">
              <w:rPr>
                <w:rFonts w:cstheme="minorHAnsi"/>
              </w:rPr>
              <w:t>9</w:t>
            </w:r>
            <w:r w:rsidRPr="008849FE">
              <w:rPr>
                <w:rFonts w:cstheme="minorHAnsi"/>
                <w:vertAlign w:val="superscript"/>
              </w:rPr>
              <w:t>¶¶</w:t>
            </w:r>
          </w:p>
          <w:p w14:paraId="6133F2E0" w14:textId="600C2D4E" w:rsidR="00F54B7D" w:rsidRPr="0072430E" w:rsidRDefault="00CD2CB1" w:rsidP="008849FE">
            <w:pPr>
              <w:jc w:val="center"/>
              <w:rPr>
                <w:rFonts w:cstheme="minorHAnsi"/>
                <w:highlight w:val="yellow"/>
              </w:rPr>
            </w:pPr>
            <w:r w:rsidRPr="00CD2CB1">
              <w:rPr>
                <w:rFonts w:cstheme="minorHAnsi"/>
              </w:rPr>
              <w:t>(14/27)</w:t>
            </w:r>
          </w:p>
        </w:tc>
        <w:tc>
          <w:tcPr>
            <w:tcW w:w="1140" w:type="dxa"/>
            <w:shd w:val="clear" w:color="auto" w:fill="FFFFFF" w:themeFill="background1"/>
          </w:tcPr>
          <w:p w14:paraId="20F974FC" w14:textId="77777777" w:rsidR="00F54B7D" w:rsidRPr="00D7131A" w:rsidRDefault="00F54B7D" w:rsidP="00F54B7D">
            <w:pPr>
              <w:rPr>
                <w:rFonts w:cstheme="minorHAnsi"/>
                <w:b/>
                <w:bCs/>
              </w:rPr>
            </w:pPr>
            <w:r w:rsidRPr="00D7131A">
              <w:rPr>
                <w:rFonts w:cstheme="minorHAnsi"/>
              </w:rPr>
              <w:t>1</w:t>
            </w:r>
          </w:p>
        </w:tc>
      </w:tr>
      <w:tr w:rsidR="00F54B7D" w:rsidRPr="00D7131A" w14:paraId="2DBB5E4C" w14:textId="77777777" w:rsidTr="00125FCC">
        <w:trPr>
          <w:jc w:val="center"/>
        </w:trPr>
        <w:tc>
          <w:tcPr>
            <w:tcW w:w="4390" w:type="dxa"/>
            <w:shd w:val="clear" w:color="auto" w:fill="E7E6E6" w:themeFill="background2"/>
            <w:vAlign w:val="center"/>
          </w:tcPr>
          <w:p w14:paraId="192A71B4" w14:textId="45E2978B" w:rsidR="00F54B7D" w:rsidRPr="002757F3" w:rsidRDefault="0072430E" w:rsidP="00F54B7D">
            <w:pPr>
              <w:rPr>
                <w:rFonts w:cstheme="minorHAnsi"/>
              </w:rPr>
            </w:pPr>
            <w:r>
              <w:rPr>
                <w:rFonts w:cstheme="minorHAnsi"/>
              </w:rPr>
              <w:t>E</w:t>
            </w:r>
            <w:r w:rsidR="00F54B7D" w:rsidRPr="002757F3">
              <w:rPr>
                <w:rFonts w:cstheme="minorHAnsi"/>
              </w:rPr>
              <w:t xml:space="preserve">ver </w:t>
            </w:r>
            <w:r w:rsidR="00F54B7D">
              <w:rPr>
                <w:rFonts w:cstheme="minorHAnsi"/>
              </w:rPr>
              <w:t>i</w:t>
            </w:r>
            <w:r w:rsidR="00F54B7D" w:rsidRPr="002757F3">
              <w:rPr>
                <w:rFonts w:cstheme="minorHAnsi"/>
              </w:rPr>
              <w:t xml:space="preserve">ntubated for </w:t>
            </w:r>
            <w:r w:rsidR="00F54B7D">
              <w:rPr>
                <w:rFonts w:cstheme="minorHAnsi"/>
              </w:rPr>
              <w:t>a</w:t>
            </w:r>
            <w:r w:rsidR="00F54B7D" w:rsidRPr="002757F3">
              <w:rPr>
                <w:rFonts w:cstheme="minorHAnsi"/>
              </w:rPr>
              <w:t xml:space="preserve">cute </w:t>
            </w:r>
            <w:r w:rsidR="00F54B7D">
              <w:rPr>
                <w:rFonts w:cstheme="minorHAnsi"/>
              </w:rPr>
              <w:t>a</w:t>
            </w:r>
            <w:r w:rsidR="00F54B7D" w:rsidRPr="002757F3">
              <w:rPr>
                <w:rFonts w:cstheme="minorHAnsi"/>
              </w:rPr>
              <w:t>sthma (</w:t>
            </w:r>
            <w:r>
              <w:rPr>
                <w:rFonts w:cstheme="minorHAnsi"/>
              </w:rPr>
              <w:t>%/</w:t>
            </w:r>
            <w:r w:rsidR="00F54B7D" w:rsidRPr="002757F3">
              <w:rPr>
                <w:rFonts w:cstheme="minorHAnsi"/>
              </w:rPr>
              <w:t>n)</w:t>
            </w:r>
          </w:p>
        </w:tc>
        <w:tc>
          <w:tcPr>
            <w:tcW w:w="1559" w:type="dxa"/>
            <w:shd w:val="clear" w:color="auto" w:fill="FFFFFF" w:themeFill="background1"/>
          </w:tcPr>
          <w:p w14:paraId="0C58B3A7" w14:textId="77777777" w:rsidR="00F54B7D" w:rsidRPr="00D7131A" w:rsidRDefault="00F54B7D" w:rsidP="00F54B7D">
            <w:pPr>
              <w:jc w:val="center"/>
              <w:rPr>
                <w:rFonts w:cstheme="minorHAnsi"/>
              </w:rPr>
            </w:pPr>
            <w:r w:rsidRPr="00D7131A">
              <w:rPr>
                <w:rFonts w:cstheme="minorHAnsi"/>
              </w:rPr>
              <w:t>11.1</w:t>
            </w:r>
          </w:p>
          <w:p w14:paraId="41F0B60E" w14:textId="77777777" w:rsidR="00F54B7D" w:rsidRPr="00D7131A" w:rsidRDefault="00F54B7D" w:rsidP="00F54B7D">
            <w:pPr>
              <w:jc w:val="center"/>
              <w:rPr>
                <w:rFonts w:cstheme="minorHAnsi"/>
              </w:rPr>
            </w:pPr>
            <w:r w:rsidRPr="00D7131A">
              <w:rPr>
                <w:rFonts w:cstheme="minorHAnsi"/>
              </w:rPr>
              <w:t>(40)</w:t>
            </w:r>
          </w:p>
        </w:tc>
        <w:tc>
          <w:tcPr>
            <w:tcW w:w="1417" w:type="dxa"/>
            <w:shd w:val="clear" w:color="auto" w:fill="FFFFFF" w:themeFill="background1"/>
          </w:tcPr>
          <w:p w14:paraId="4A850D41" w14:textId="77777777" w:rsidR="00F54B7D" w:rsidRPr="00D7131A" w:rsidRDefault="00F54B7D" w:rsidP="00F54B7D">
            <w:pPr>
              <w:jc w:val="center"/>
              <w:rPr>
                <w:rFonts w:cstheme="minorHAnsi"/>
              </w:rPr>
            </w:pPr>
            <w:r w:rsidRPr="00D7131A">
              <w:rPr>
                <w:rFonts w:cstheme="minorHAnsi"/>
              </w:rPr>
              <w:t>28.6</w:t>
            </w:r>
          </w:p>
          <w:p w14:paraId="6D5A4C1B" w14:textId="77777777" w:rsidR="00F54B7D" w:rsidRPr="00D7131A" w:rsidRDefault="00F54B7D" w:rsidP="00F54B7D">
            <w:pPr>
              <w:jc w:val="center"/>
              <w:rPr>
                <w:rFonts w:cstheme="minorHAnsi"/>
              </w:rPr>
            </w:pPr>
            <w:r w:rsidRPr="00D7131A">
              <w:rPr>
                <w:rFonts w:cstheme="minorHAnsi"/>
              </w:rPr>
              <w:t>(8)</w:t>
            </w:r>
          </w:p>
        </w:tc>
        <w:tc>
          <w:tcPr>
            <w:tcW w:w="1140" w:type="dxa"/>
            <w:shd w:val="clear" w:color="auto" w:fill="FFFFFF" w:themeFill="background1"/>
          </w:tcPr>
          <w:p w14:paraId="3C268B50" w14:textId="77777777" w:rsidR="00F54B7D" w:rsidRPr="00D7131A" w:rsidRDefault="00F54B7D" w:rsidP="00F54B7D">
            <w:pPr>
              <w:rPr>
                <w:rFonts w:cstheme="minorHAnsi"/>
                <w:vertAlign w:val="superscript"/>
              </w:rPr>
            </w:pPr>
            <w:r w:rsidRPr="00D7131A">
              <w:rPr>
                <w:rFonts w:cstheme="minorHAnsi"/>
              </w:rPr>
              <w:t>0.01</w:t>
            </w:r>
          </w:p>
        </w:tc>
      </w:tr>
      <w:tr w:rsidR="00F54B7D" w:rsidRPr="00D7131A" w14:paraId="332C29D2" w14:textId="77777777" w:rsidTr="00125FCC">
        <w:trPr>
          <w:jc w:val="center"/>
        </w:trPr>
        <w:tc>
          <w:tcPr>
            <w:tcW w:w="4390" w:type="dxa"/>
            <w:shd w:val="clear" w:color="auto" w:fill="E7E6E6" w:themeFill="background2"/>
            <w:vAlign w:val="center"/>
          </w:tcPr>
          <w:p w14:paraId="081D421C" w14:textId="0D41F045" w:rsidR="00F54B7D" w:rsidRPr="002757F3" w:rsidRDefault="00F54B7D" w:rsidP="00F54B7D">
            <w:pPr>
              <w:rPr>
                <w:rFonts w:cstheme="minorHAnsi"/>
              </w:rPr>
            </w:pPr>
            <w:r w:rsidRPr="002757F3">
              <w:rPr>
                <w:rFonts w:cstheme="minorHAnsi"/>
              </w:rPr>
              <w:t xml:space="preserve">≥1 </w:t>
            </w:r>
            <w:r>
              <w:rPr>
                <w:rFonts w:cstheme="minorHAnsi"/>
              </w:rPr>
              <w:t>a</w:t>
            </w:r>
            <w:r w:rsidRPr="002757F3">
              <w:rPr>
                <w:rFonts w:cstheme="minorHAnsi"/>
              </w:rPr>
              <w:t>sthma</w:t>
            </w:r>
            <w:r>
              <w:rPr>
                <w:rFonts w:cstheme="minorHAnsi"/>
              </w:rPr>
              <w:t>-related</w:t>
            </w:r>
            <w:r w:rsidRPr="002757F3">
              <w:rPr>
                <w:rFonts w:cstheme="minorHAnsi"/>
              </w:rPr>
              <w:t xml:space="preserve"> </w:t>
            </w:r>
            <w:r>
              <w:rPr>
                <w:rFonts w:cstheme="minorHAnsi"/>
              </w:rPr>
              <w:t>h</w:t>
            </w:r>
            <w:r w:rsidRPr="002757F3">
              <w:rPr>
                <w:rFonts w:cstheme="minorHAnsi"/>
              </w:rPr>
              <w:t xml:space="preserve">ospitalization </w:t>
            </w:r>
            <w:r>
              <w:rPr>
                <w:rFonts w:cstheme="minorHAnsi"/>
              </w:rPr>
              <w:t xml:space="preserve">in the </w:t>
            </w:r>
            <w:r w:rsidRPr="002757F3">
              <w:rPr>
                <w:rFonts w:cstheme="minorHAnsi"/>
              </w:rPr>
              <w:t>last 12 months</w:t>
            </w:r>
            <w:r w:rsidR="0072430E">
              <w:rPr>
                <w:rFonts w:cstheme="minorHAnsi"/>
              </w:rPr>
              <w:t xml:space="preserve"> (%/n)</w:t>
            </w:r>
          </w:p>
        </w:tc>
        <w:tc>
          <w:tcPr>
            <w:tcW w:w="1559" w:type="dxa"/>
            <w:shd w:val="clear" w:color="auto" w:fill="FFFFFF" w:themeFill="background1"/>
          </w:tcPr>
          <w:p w14:paraId="657DDDFF" w14:textId="77777777" w:rsidR="00F54B7D" w:rsidRPr="00D7131A" w:rsidRDefault="00F54B7D" w:rsidP="00F54B7D">
            <w:pPr>
              <w:jc w:val="center"/>
              <w:rPr>
                <w:rFonts w:cstheme="minorHAnsi"/>
              </w:rPr>
            </w:pPr>
            <w:r w:rsidRPr="00D7131A">
              <w:rPr>
                <w:rFonts w:cstheme="minorHAnsi"/>
              </w:rPr>
              <w:t>27.9</w:t>
            </w:r>
          </w:p>
          <w:p w14:paraId="28BA77D3" w14:textId="3DCABAAD" w:rsidR="00F54B7D" w:rsidRPr="00D7131A" w:rsidRDefault="00F54B7D" w:rsidP="00F54B7D">
            <w:pPr>
              <w:jc w:val="center"/>
              <w:rPr>
                <w:rFonts w:cstheme="minorHAnsi"/>
              </w:rPr>
            </w:pPr>
            <w:r w:rsidRPr="00D7131A">
              <w:rPr>
                <w:rFonts w:cstheme="minorHAnsi"/>
              </w:rPr>
              <w:t>(100/358)</w:t>
            </w:r>
          </w:p>
        </w:tc>
        <w:tc>
          <w:tcPr>
            <w:tcW w:w="1417" w:type="dxa"/>
            <w:shd w:val="clear" w:color="auto" w:fill="FFFFFF" w:themeFill="background1"/>
          </w:tcPr>
          <w:p w14:paraId="14939A9E" w14:textId="77777777" w:rsidR="00F54B7D" w:rsidRPr="00D7131A" w:rsidRDefault="00F54B7D" w:rsidP="00F54B7D">
            <w:pPr>
              <w:jc w:val="center"/>
              <w:rPr>
                <w:rFonts w:cstheme="minorHAnsi"/>
              </w:rPr>
            </w:pPr>
            <w:r w:rsidRPr="00D7131A">
              <w:rPr>
                <w:rFonts w:cstheme="minorHAnsi"/>
              </w:rPr>
              <w:t>44.4</w:t>
            </w:r>
          </w:p>
          <w:p w14:paraId="7D9F6561" w14:textId="312D31F2" w:rsidR="00F54B7D" w:rsidRPr="00D7131A" w:rsidRDefault="00F54B7D" w:rsidP="00F54B7D">
            <w:pPr>
              <w:jc w:val="center"/>
              <w:rPr>
                <w:rFonts w:cstheme="minorHAnsi"/>
              </w:rPr>
            </w:pPr>
            <w:r w:rsidRPr="00D7131A">
              <w:rPr>
                <w:rFonts w:cstheme="minorHAnsi"/>
              </w:rPr>
              <w:t>(12/27)</w:t>
            </w:r>
          </w:p>
        </w:tc>
        <w:tc>
          <w:tcPr>
            <w:tcW w:w="1140" w:type="dxa"/>
            <w:shd w:val="clear" w:color="auto" w:fill="FFFFFF" w:themeFill="background1"/>
          </w:tcPr>
          <w:p w14:paraId="67012D1A" w14:textId="77777777" w:rsidR="00F54B7D" w:rsidRPr="00D7131A" w:rsidRDefault="00F54B7D" w:rsidP="00F54B7D">
            <w:pPr>
              <w:rPr>
                <w:rFonts w:cstheme="minorHAnsi"/>
                <w:vertAlign w:val="superscript"/>
              </w:rPr>
            </w:pPr>
            <w:r w:rsidRPr="00D7131A">
              <w:rPr>
                <w:rFonts w:cstheme="minorHAnsi"/>
              </w:rPr>
              <w:t>0.07</w:t>
            </w:r>
          </w:p>
        </w:tc>
      </w:tr>
      <w:tr w:rsidR="00F54B7D" w:rsidRPr="00D7131A" w14:paraId="571B34B1" w14:textId="77777777" w:rsidTr="00125FCC">
        <w:trPr>
          <w:jc w:val="center"/>
        </w:trPr>
        <w:tc>
          <w:tcPr>
            <w:tcW w:w="4390" w:type="dxa"/>
            <w:shd w:val="clear" w:color="auto" w:fill="E7E6E6" w:themeFill="background2"/>
            <w:vAlign w:val="center"/>
          </w:tcPr>
          <w:p w14:paraId="404D1BEE" w14:textId="10048923" w:rsidR="00F54B7D" w:rsidRPr="002757F3" w:rsidRDefault="00F54B7D" w:rsidP="00F54B7D">
            <w:pPr>
              <w:rPr>
                <w:rFonts w:cstheme="minorHAnsi"/>
              </w:rPr>
            </w:pPr>
            <w:r w:rsidRPr="002757F3">
              <w:rPr>
                <w:rFonts w:cstheme="minorHAnsi"/>
              </w:rPr>
              <w:t xml:space="preserve">≥2 </w:t>
            </w:r>
            <w:r>
              <w:rPr>
                <w:rFonts w:cstheme="minorHAnsi"/>
              </w:rPr>
              <w:t>exacerbations treated with steroids</w:t>
            </w:r>
            <w:r w:rsidRPr="002757F3">
              <w:rPr>
                <w:rFonts w:cstheme="minorHAnsi"/>
              </w:rPr>
              <w:t xml:space="preserve"> in preceding 12 months</w:t>
            </w:r>
            <w:r w:rsidR="0072430E">
              <w:rPr>
                <w:rFonts w:cstheme="minorHAnsi"/>
              </w:rPr>
              <w:t xml:space="preserve"> (%/n)</w:t>
            </w:r>
          </w:p>
        </w:tc>
        <w:tc>
          <w:tcPr>
            <w:tcW w:w="1559" w:type="dxa"/>
            <w:shd w:val="clear" w:color="auto" w:fill="FFFFFF" w:themeFill="background1"/>
          </w:tcPr>
          <w:p w14:paraId="4B1DCC25" w14:textId="779FE291" w:rsidR="00F54B7D" w:rsidRDefault="00F54B7D" w:rsidP="00F54B7D">
            <w:pPr>
              <w:jc w:val="center"/>
              <w:rPr>
                <w:rFonts w:cstheme="minorHAnsi"/>
                <w:vertAlign w:val="superscript"/>
              </w:rPr>
            </w:pPr>
            <w:r w:rsidRPr="00D7131A">
              <w:rPr>
                <w:rFonts w:cstheme="minorHAnsi"/>
              </w:rPr>
              <w:t>65.3</w:t>
            </w:r>
          </w:p>
          <w:p w14:paraId="69354D9A" w14:textId="5386DB82" w:rsidR="00125FCC" w:rsidRPr="00125FCC" w:rsidRDefault="00125FCC" w:rsidP="00F54B7D">
            <w:pPr>
              <w:jc w:val="center"/>
              <w:rPr>
                <w:rFonts w:cstheme="minorHAnsi"/>
              </w:rPr>
            </w:pPr>
            <w:r>
              <w:rPr>
                <w:rFonts w:cstheme="minorHAnsi"/>
              </w:rPr>
              <w:t>(209/320)</w:t>
            </w:r>
          </w:p>
        </w:tc>
        <w:tc>
          <w:tcPr>
            <w:tcW w:w="1417" w:type="dxa"/>
            <w:shd w:val="clear" w:color="auto" w:fill="FFFFFF" w:themeFill="background1"/>
          </w:tcPr>
          <w:p w14:paraId="31605DC8" w14:textId="78961B6E" w:rsidR="00F54B7D" w:rsidRDefault="00F54B7D" w:rsidP="00F54B7D">
            <w:pPr>
              <w:jc w:val="center"/>
              <w:rPr>
                <w:rFonts w:cstheme="minorHAnsi"/>
                <w:vertAlign w:val="superscript"/>
              </w:rPr>
            </w:pPr>
            <w:r w:rsidRPr="00D7131A">
              <w:rPr>
                <w:rFonts w:cstheme="minorHAnsi"/>
              </w:rPr>
              <w:t>61.</w:t>
            </w:r>
            <w:r w:rsidR="00125FCC">
              <w:rPr>
                <w:rFonts w:cstheme="minorHAnsi"/>
              </w:rPr>
              <w:t>5</w:t>
            </w:r>
          </w:p>
          <w:p w14:paraId="3CEF0C79" w14:textId="5E611053" w:rsidR="00125FCC" w:rsidRPr="00125FCC" w:rsidRDefault="00125FCC" w:rsidP="00F54B7D">
            <w:pPr>
              <w:jc w:val="center"/>
              <w:rPr>
                <w:rFonts w:cstheme="minorHAnsi"/>
              </w:rPr>
            </w:pPr>
            <w:r>
              <w:rPr>
                <w:rFonts w:cstheme="minorHAnsi"/>
              </w:rPr>
              <w:t>(16/26)</w:t>
            </w:r>
          </w:p>
        </w:tc>
        <w:tc>
          <w:tcPr>
            <w:tcW w:w="1140" w:type="dxa"/>
            <w:shd w:val="clear" w:color="auto" w:fill="FFFFFF" w:themeFill="background1"/>
          </w:tcPr>
          <w:p w14:paraId="39BE5DA4" w14:textId="77777777" w:rsidR="00F54B7D" w:rsidRPr="00D7131A" w:rsidRDefault="00F54B7D" w:rsidP="00F54B7D">
            <w:pPr>
              <w:rPr>
                <w:rFonts w:cstheme="minorHAnsi"/>
              </w:rPr>
            </w:pPr>
            <w:r w:rsidRPr="00D7131A">
              <w:rPr>
                <w:rFonts w:cstheme="minorHAnsi"/>
              </w:rPr>
              <w:t>0.70</w:t>
            </w:r>
          </w:p>
        </w:tc>
      </w:tr>
      <w:tr w:rsidR="00F54B7D" w:rsidRPr="00D7131A" w14:paraId="7F0E1FF3" w14:textId="77777777" w:rsidTr="00125FCC">
        <w:trPr>
          <w:jc w:val="center"/>
        </w:trPr>
        <w:tc>
          <w:tcPr>
            <w:tcW w:w="4390" w:type="dxa"/>
            <w:shd w:val="clear" w:color="auto" w:fill="E7E6E6" w:themeFill="background2"/>
            <w:vAlign w:val="center"/>
          </w:tcPr>
          <w:p w14:paraId="49C15B84" w14:textId="617076BF" w:rsidR="00F54B7D" w:rsidRPr="002757F3" w:rsidRDefault="0072430E" w:rsidP="00F54B7D">
            <w:pPr>
              <w:rPr>
                <w:rFonts w:cstheme="minorHAnsi"/>
              </w:rPr>
            </w:pPr>
            <w:r>
              <w:rPr>
                <w:rFonts w:cstheme="minorHAnsi"/>
              </w:rPr>
              <w:t>S</w:t>
            </w:r>
            <w:r w:rsidR="00F54B7D" w:rsidRPr="002757F3">
              <w:rPr>
                <w:rFonts w:cstheme="minorHAnsi"/>
              </w:rPr>
              <w:t xml:space="preserve">tarted </w:t>
            </w:r>
            <w:r w:rsidR="00F54B7D">
              <w:rPr>
                <w:rFonts w:cstheme="minorHAnsi"/>
              </w:rPr>
              <w:t>b</w:t>
            </w:r>
            <w:r w:rsidR="00F54B7D" w:rsidRPr="002757F3">
              <w:rPr>
                <w:rFonts w:cstheme="minorHAnsi"/>
              </w:rPr>
              <w:t>iologics after enrolment (</w:t>
            </w:r>
            <w:r>
              <w:rPr>
                <w:rFonts w:cstheme="minorHAnsi"/>
              </w:rPr>
              <w:t>%/</w:t>
            </w:r>
            <w:r w:rsidR="00F54B7D" w:rsidRPr="002757F3">
              <w:rPr>
                <w:rFonts w:cstheme="minorHAnsi"/>
              </w:rPr>
              <w:t>n)</w:t>
            </w:r>
          </w:p>
        </w:tc>
        <w:tc>
          <w:tcPr>
            <w:tcW w:w="1559" w:type="dxa"/>
            <w:shd w:val="clear" w:color="auto" w:fill="FFFFFF" w:themeFill="background1"/>
          </w:tcPr>
          <w:p w14:paraId="19E0C267" w14:textId="77777777" w:rsidR="00F54B7D" w:rsidRPr="00D7131A" w:rsidRDefault="00F54B7D" w:rsidP="00F54B7D">
            <w:pPr>
              <w:jc w:val="center"/>
              <w:rPr>
                <w:rFonts w:cstheme="minorHAnsi"/>
              </w:rPr>
            </w:pPr>
            <w:r w:rsidRPr="00D7131A">
              <w:rPr>
                <w:rFonts w:cstheme="minorHAnsi"/>
              </w:rPr>
              <w:t>32.8</w:t>
            </w:r>
          </w:p>
          <w:p w14:paraId="5E8EAF06" w14:textId="77777777" w:rsidR="00F54B7D" w:rsidRPr="00D7131A" w:rsidRDefault="00F54B7D" w:rsidP="00F54B7D">
            <w:pPr>
              <w:jc w:val="center"/>
              <w:rPr>
                <w:rFonts w:cstheme="minorHAnsi"/>
              </w:rPr>
            </w:pPr>
            <w:r w:rsidRPr="00D7131A">
              <w:rPr>
                <w:rFonts w:cstheme="minorHAnsi"/>
              </w:rPr>
              <w:t>(118/360)</w:t>
            </w:r>
          </w:p>
        </w:tc>
        <w:tc>
          <w:tcPr>
            <w:tcW w:w="1417" w:type="dxa"/>
            <w:shd w:val="clear" w:color="auto" w:fill="FFFFFF" w:themeFill="background1"/>
          </w:tcPr>
          <w:p w14:paraId="22DD6F92" w14:textId="77777777" w:rsidR="00F54B7D" w:rsidRPr="00D7131A" w:rsidRDefault="00F54B7D" w:rsidP="00F54B7D">
            <w:pPr>
              <w:jc w:val="center"/>
              <w:rPr>
                <w:rFonts w:cstheme="minorHAnsi"/>
              </w:rPr>
            </w:pPr>
            <w:r w:rsidRPr="00D7131A">
              <w:rPr>
                <w:rFonts w:cstheme="minorHAnsi"/>
              </w:rPr>
              <w:t>10.7</w:t>
            </w:r>
          </w:p>
          <w:p w14:paraId="240DE738" w14:textId="77777777" w:rsidR="00F54B7D" w:rsidRPr="00D7131A" w:rsidRDefault="00F54B7D" w:rsidP="00F54B7D">
            <w:pPr>
              <w:jc w:val="center"/>
              <w:rPr>
                <w:rFonts w:cstheme="minorHAnsi"/>
              </w:rPr>
            </w:pPr>
            <w:r w:rsidRPr="00D7131A">
              <w:rPr>
                <w:rFonts w:cstheme="minorHAnsi"/>
              </w:rPr>
              <w:t>(3/28)</w:t>
            </w:r>
          </w:p>
        </w:tc>
        <w:tc>
          <w:tcPr>
            <w:tcW w:w="1140" w:type="dxa"/>
          </w:tcPr>
          <w:p w14:paraId="446C0524" w14:textId="77777777" w:rsidR="00F54B7D" w:rsidRPr="00D7131A" w:rsidRDefault="00F54B7D" w:rsidP="00F54B7D">
            <w:pPr>
              <w:rPr>
                <w:rFonts w:cstheme="minorHAnsi"/>
                <w:vertAlign w:val="superscript"/>
              </w:rPr>
            </w:pPr>
            <w:r w:rsidRPr="00D7131A">
              <w:rPr>
                <w:rFonts w:cstheme="minorHAnsi"/>
              </w:rPr>
              <w:t>0.015</w:t>
            </w:r>
          </w:p>
        </w:tc>
      </w:tr>
      <w:tr w:rsidR="00F54B7D" w:rsidRPr="00D7131A" w14:paraId="749B8E39" w14:textId="77777777" w:rsidTr="00125FCC">
        <w:trPr>
          <w:trHeight w:val="324"/>
          <w:jc w:val="center"/>
        </w:trPr>
        <w:tc>
          <w:tcPr>
            <w:tcW w:w="4390" w:type="dxa"/>
            <w:shd w:val="clear" w:color="auto" w:fill="E7E6E6" w:themeFill="background2"/>
            <w:vAlign w:val="center"/>
          </w:tcPr>
          <w:p w14:paraId="5BECA05E" w14:textId="2E69B9AC" w:rsidR="00F54B7D" w:rsidRPr="002757F3" w:rsidRDefault="00F54B7D" w:rsidP="00F54B7D">
            <w:pPr>
              <w:rPr>
                <w:rFonts w:cstheme="minorHAnsi"/>
              </w:rPr>
            </w:pPr>
            <w:r w:rsidRPr="002757F3">
              <w:rPr>
                <w:rFonts w:cstheme="minorHAnsi"/>
              </w:rPr>
              <w:t xml:space="preserve">Dose of ICS (BDP equivalent; </w:t>
            </w:r>
            <w:r>
              <w:rPr>
                <w:rFonts w:cstheme="minorHAnsi"/>
              </w:rPr>
              <w:t>m</w:t>
            </w:r>
            <w:r w:rsidRPr="002757F3">
              <w:rPr>
                <w:rFonts w:cstheme="minorHAnsi"/>
              </w:rPr>
              <w:t>cg)</w:t>
            </w:r>
          </w:p>
        </w:tc>
        <w:tc>
          <w:tcPr>
            <w:tcW w:w="1559" w:type="dxa"/>
            <w:shd w:val="clear" w:color="auto" w:fill="FFFFFF" w:themeFill="background1"/>
            <w:vAlign w:val="center"/>
          </w:tcPr>
          <w:p w14:paraId="1FD10FFD" w14:textId="77777777" w:rsidR="00F54B7D" w:rsidRPr="00D7131A" w:rsidRDefault="00F54B7D" w:rsidP="00F54B7D">
            <w:pPr>
              <w:jc w:val="center"/>
              <w:rPr>
                <w:rFonts w:cstheme="minorHAnsi"/>
              </w:rPr>
            </w:pPr>
            <w:r w:rsidRPr="00D7131A">
              <w:rPr>
                <w:rFonts w:cstheme="minorHAnsi"/>
              </w:rPr>
              <w:t>1500</w:t>
            </w:r>
            <w:r w:rsidRPr="00D7131A">
              <w:rPr>
                <w:rFonts w:cstheme="minorHAnsi"/>
                <w:vertAlign w:val="superscript"/>
              </w:rPr>
              <w:t>§§</w:t>
            </w:r>
          </w:p>
          <w:p w14:paraId="325F2E95" w14:textId="77777777" w:rsidR="00F54B7D" w:rsidRPr="00D7131A" w:rsidRDefault="00F54B7D" w:rsidP="00F54B7D">
            <w:pPr>
              <w:jc w:val="center"/>
              <w:rPr>
                <w:rFonts w:cstheme="minorHAnsi"/>
              </w:rPr>
            </w:pPr>
            <w:r w:rsidRPr="00D7131A">
              <w:rPr>
                <w:rFonts w:cstheme="minorHAnsi"/>
              </w:rPr>
              <w:t>(2000)</w:t>
            </w:r>
          </w:p>
        </w:tc>
        <w:tc>
          <w:tcPr>
            <w:tcW w:w="1417" w:type="dxa"/>
            <w:shd w:val="clear" w:color="auto" w:fill="FFFFFF" w:themeFill="background1"/>
            <w:vAlign w:val="center"/>
          </w:tcPr>
          <w:p w14:paraId="088AE386" w14:textId="77777777" w:rsidR="00F54B7D" w:rsidRPr="00D7131A" w:rsidRDefault="00F54B7D" w:rsidP="00F54B7D">
            <w:pPr>
              <w:jc w:val="center"/>
              <w:rPr>
                <w:rFonts w:cstheme="minorHAnsi"/>
              </w:rPr>
            </w:pPr>
            <w:r w:rsidRPr="00D7131A">
              <w:rPr>
                <w:rFonts w:cstheme="minorHAnsi"/>
              </w:rPr>
              <w:t>1500</w:t>
            </w:r>
            <w:r w:rsidRPr="00D7131A">
              <w:rPr>
                <w:rFonts w:cstheme="minorHAnsi"/>
                <w:vertAlign w:val="superscript"/>
              </w:rPr>
              <w:t>¶¶</w:t>
            </w:r>
          </w:p>
          <w:p w14:paraId="5347338A" w14:textId="77777777" w:rsidR="00F54B7D" w:rsidRPr="00D7131A" w:rsidRDefault="00F54B7D" w:rsidP="00F54B7D">
            <w:pPr>
              <w:jc w:val="center"/>
              <w:rPr>
                <w:rFonts w:cstheme="minorHAnsi"/>
              </w:rPr>
            </w:pPr>
            <w:r w:rsidRPr="00D7131A">
              <w:rPr>
                <w:rFonts w:cstheme="minorHAnsi"/>
              </w:rPr>
              <w:t>(2000)</w:t>
            </w:r>
          </w:p>
        </w:tc>
        <w:tc>
          <w:tcPr>
            <w:tcW w:w="1140" w:type="dxa"/>
          </w:tcPr>
          <w:p w14:paraId="6D91273F" w14:textId="77777777" w:rsidR="00F54B7D" w:rsidRPr="00D7131A" w:rsidRDefault="00F54B7D" w:rsidP="00F54B7D">
            <w:pPr>
              <w:rPr>
                <w:rFonts w:cstheme="minorHAnsi"/>
                <w:vertAlign w:val="superscript"/>
              </w:rPr>
            </w:pPr>
            <w:r w:rsidRPr="00D7131A">
              <w:rPr>
                <w:rFonts w:cstheme="minorHAnsi"/>
              </w:rPr>
              <w:t>0.74</w:t>
            </w:r>
          </w:p>
        </w:tc>
      </w:tr>
      <w:tr w:rsidR="00F54B7D" w:rsidRPr="00D7131A" w14:paraId="31338124" w14:textId="77777777" w:rsidTr="00125FCC">
        <w:trPr>
          <w:jc w:val="center"/>
        </w:trPr>
        <w:tc>
          <w:tcPr>
            <w:tcW w:w="4390" w:type="dxa"/>
            <w:shd w:val="clear" w:color="auto" w:fill="E7E6E6" w:themeFill="background2"/>
            <w:vAlign w:val="center"/>
          </w:tcPr>
          <w:p w14:paraId="0EAC281B" w14:textId="7BD84CCE" w:rsidR="00F54B7D" w:rsidRPr="002757F3" w:rsidRDefault="00F54B7D" w:rsidP="00F54B7D">
            <w:pPr>
              <w:rPr>
                <w:rFonts w:cstheme="minorHAnsi"/>
              </w:rPr>
            </w:pPr>
            <w:r w:rsidRPr="002757F3">
              <w:rPr>
                <w:rFonts w:cstheme="minorHAnsi"/>
              </w:rPr>
              <w:t>ICS dose ≥1000 mcg (BDP equivalent)</w:t>
            </w:r>
            <w:r w:rsidR="00C074E9">
              <w:rPr>
                <w:rFonts w:cstheme="minorHAnsi"/>
              </w:rPr>
              <w:t xml:space="preserve"> (%/n)</w:t>
            </w:r>
          </w:p>
        </w:tc>
        <w:tc>
          <w:tcPr>
            <w:tcW w:w="1559" w:type="dxa"/>
            <w:shd w:val="clear" w:color="auto" w:fill="FFFFFF" w:themeFill="background1"/>
          </w:tcPr>
          <w:p w14:paraId="7D8B4FF9" w14:textId="51DDB57B" w:rsidR="00F54B7D" w:rsidRPr="00D7131A" w:rsidRDefault="00F54B7D" w:rsidP="00F54B7D">
            <w:pPr>
              <w:jc w:val="center"/>
              <w:rPr>
                <w:rFonts w:cstheme="minorHAnsi"/>
              </w:rPr>
            </w:pPr>
            <w:r w:rsidRPr="00D7131A">
              <w:rPr>
                <w:rFonts w:cstheme="minorHAnsi"/>
              </w:rPr>
              <w:t>88.5</w:t>
            </w:r>
          </w:p>
          <w:p w14:paraId="6487FE30" w14:textId="41563621" w:rsidR="00F54B7D" w:rsidRPr="00D7131A" w:rsidRDefault="00125FCC" w:rsidP="00F54B7D">
            <w:pPr>
              <w:jc w:val="center"/>
              <w:rPr>
                <w:rFonts w:cstheme="minorHAnsi"/>
              </w:rPr>
            </w:pPr>
            <w:r>
              <w:rPr>
                <w:rFonts w:cstheme="minorHAnsi"/>
              </w:rPr>
              <w:t>(292/330)</w:t>
            </w:r>
          </w:p>
        </w:tc>
        <w:tc>
          <w:tcPr>
            <w:tcW w:w="1417" w:type="dxa"/>
            <w:shd w:val="clear" w:color="auto" w:fill="FFFFFF" w:themeFill="background1"/>
          </w:tcPr>
          <w:p w14:paraId="502F65A8" w14:textId="4A4EEF5D" w:rsidR="00F54B7D" w:rsidRPr="00D7131A" w:rsidRDefault="00F54B7D" w:rsidP="00F54B7D">
            <w:pPr>
              <w:jc w:val="center"/>
              <w:rPr>
                <w:rFonts w:cstheme="minorHAnsi"/>
              </w:rPr>
            </w:pPr>
            <w:r w:rsidRPr="00D7131A">
              <w:rPr>
                <w:rFonts w:cstheme="minorHAnsi"/>
              </w:rPr>
              <w:t>88.9</w:t>
            </w:r>
          </w:p>
          <w:p w14:paraId="455BBF4A" w14:textId="7B8128EA" w:rsidR="00F54B7D" w:rsidRPr="00D7131A" w:rsidRDefault="00125FCC" w:rsidP="00F54B7D">
            <w:pPr>
              <w:jc w:val="center"/>
              <w:rPr>
                <w:rFonts w:cstheme="minorHAnsi"/>
              </w:rPr>
            </w:pPr>
            <w:r>
              <w:rPr>
                <w:rFonts w:cstheme="minorHAnsi"/>
              </w:rPr>
              <w:t>(24/27)</w:t>
            </w:r>
          </w:p>
        </w:tc>
        <w:tc>
          <w:tcPr>
            <w:tcW w:w="1140" w:type="dxa"/>
          </w:tcPr>
          <w:p w14:paraId="6BC64AE1" w14:textId="77777777" w:rsidR="00F54B7D" w:rsidRPr="00D7131A" w:rsidRDefault="00F54B7D" w:rsidP="00F54B7D">
            <w:pPr>
              <w:rPr>
                <w:rFonts w:cstheme="minorHAnsi"/>
                <w:vertAlign w:val="superscript"/>
              </w:rPr>
            </w:pPr>
            <w:r w:rsidRPr="00D7131A">
              <w:rPr>
                <w:rFonts w:cstheme="minorHAnsi"/>
              </w:rPr>
              <w:t>1</w:t>
            </w:r>
          </w:p>
        </w:tc>
      </w:tr>
      <w:tr w:rsidR="00F54B7D" w:rsidRPr="00D7131A" w14:paraId="53E897A1" w14:textId="77777777" w:rsidTr="00125FCC">
        <w:trPr>
          <w:jc w:val="center"/>
        </w:trPr>
        <w:tc>
          <w:tcPr>
            <w:tcW w:w="4390" w:type="dxa"/>
            <w:shd w:val="clear" w:color="auto" w:fill="E7E6E6" w:themeFill="background2"/>
            <w:vAlign w:val="center"/>
          </w:tcPr>
          <w:p w14:paraId="1FEE0F08" w14:textId="1CF27E9E" w:rsidR="00F54B7D" w:rsidRPr="002757F3" w:rsidRDefault="00F54B7D" w:rsidP="00F54B7D">
            <w:pPr>
              <w:rPr>
                <w:rFonts w:cstheme="minorHAnsi"/>
              </w:rPr>
            </w:pPr>
            <w:r w:rsidRPr="002757F3">
              <w:rPr>
                <w:rFonts w:cstheme="minorHAnsi"/>
              </w:rPr>
              <w:t xml:space="preserve">ICS dose ≥2000 mcg(BDP equivalent) </w:t>
            </w:r>
            <w:r w:rsidR="00056967">
              <w:rPr>
                <w:rFonts w:cstheme="minorHAnsi"/>
              </w:rPr>
              <w:t>(</w:t>
            </w:r>
            <w:r w:rsidR="00C074E9">
              <w:rPr>
                <w:rFonts w:cstheme="minorHAnsi"/>
              </w:rPr>
              <w:t>%/</w:t>
            </w:r>
            <w:r w:rsidR="00056967">
              <w:rPr>
                <w:rFonts w:cstheme="minorHAnsi"/>
              </w:rPr>
              <w:t>n)</w:t>
            </w:r>
          </w:p>
        </w:tc>
        <w:tc>
          <w:tcPr>
            <w:tcW w:w="1559" w:type="dxa"/>
            <w:shd w:val="clear" w:color="auto" w:fill="FFFFFF" w:themeFill="background1"/>
          </w:tcPr>
          <w:p w14:paraId="0AC36E4A" w14:textId="77777777" w:rsidR="00F54B7D" w:rsidRPr="00D7131A" w:rsidRDefault="00F54B7D" w:rsidP="00F54B7D">
            <w:pPr>
              <w:jc w:val="center"/>
              <w:rPr>
                <w:rFonts w:cstheme="minorHAnsi"/>
              </w:rPr>
            </w:pPr>
            <w:r w:rsidRPr="00D7131A">
              <w:rPr>
                <w:rFonts w:cstheme="minorHAnsi"/>
              </w:rPr>
              <w:t>46.7</w:t>
            </w:r>
            <w:r w:rsidRPr="00D7131A">
              <w:rPr>
                <w:rFonts w:cstheme="minorHAnsi"/>
                <w:vertAlign w:val="superscript"/>
              </w:rPr>
              <w:t>§§</w:t>
            </w:r>
          </w:p>
          <w:p w14:paraId="066AD232" w14:textId="0A03852D" w:rsidR="00F54B7D" w:rsidRPr="00D7131A" w:rsidRDefault="00125FCC" w:rsidP="00F54B7D">
            <w:pPr>
              <w:jc w:val="center"/>
              <w:rPr>
                <w:rFonts w:cstheme="minorHAnsi"/>
              </w:rPr>
            </w:pPr>
            <w:r>
              <w:rPr>
                <w:rFonts w:cstheme="minorHAnsi"/>
              </w:rPr>
              <w:t>(154/330)</w:t>
            </w:r>
          </w:p>
        </w:tc>
        <w:tc>
          <w:tcPr>
            <w:tcW w:w="1417" w:type="dxa"/>
            <w:shd w:val="clear" w:color="auto" w:fill="FFFFFF" w:themeFill="background1"/>
          </w:tcPr>
          <w:p w14:paraId="4B0E7C50" w14:textId="77777777" w:rsidR="00F54B7D" w:rsidRPr="00D7131A" w:rsidRDefault="00F54B7D" w:rsidP="00F54B7D">
            <w:pPr>
              <w:jc w:val="center"/>
              <w:rPr>
                <w:rFonts w:cstheme="minorHAnsi"/>
              </w:rPr>
            </w:pPr>
            <w:r w:rsidRPr="00D7131A">
              <w:rPr>
                <w:rFonts w:cstheme="minorHAnsi"/>
              </w:rPr>
              <w:t>40.7</w:t>
            </w:r>
            <w:r w:rsidRPr="00D7131A">
              <w:rPr>
                <w:rFonts w:cstheme="minorHAnsi"/>
                <w:vertAlign w:val="superscript"/>
              </w:rPr>
              <w:t>¶¶</w:t>
            </w:r>
          </w:p>
          <w:p w14:paraId="05C3F317" w14:textId="740C11B1" w:rsidR="00F54B7D" w:rsidRPr="00D7131A" w:rsidRDefault="00125FCC" w:rsidP="00F54B7D">
            <w:pPr>
              <w:jc w:val="center"/>
              <w:rPr>
                <w:rFonts w:cstheme="minorHAnsi"/>
              </w:rPr>
            </w:pPr>
            <w:r>
              <w:rPr>
                <w:rFonts w:cstheme="minorHAnsi"/>
              </w:rPr>
              <w:t>(11/27)</w:t>
            </w:r>
          </w:p>
        </w:tc>
        <w:tc>
          <w:tcPr>
            <w:tcW w:w="1140" w:type="dxa"/>
          </w:tcPr>
          <w:p w14:paraId="49516DA8" w14:textId="77777777" w:rsidR="00F54B7D" w:rsidRPr="00D7131A" w:rsidRDefault="00F54B7D" w:rsidP="00F54B7D">
            <w:pPr>
              <w:rPr>
                <w:rFonts w:cstheme="minorHAnsi"/>
                <w:vertAlign w:val="superscript"/>
              </w:rPr>
            </w:pPr>
            <w:r w:rsidRPr="00D7131A">
              <w:rPr>
                <w:rFonts w:cstheme="minorHAnsi"/>
              </w:rPr>
              <w:t>0.55</w:t>
            </w:r>
          </w:p>
        </w:tc>
      </w:tr>
      <w:tr w:rsidR="002873E9" w:rsidRPr="00D7131A" w14:paraId="75911347" w14:textId="77777777" w:rsidTr="00125FCC">
        <w:trPr>
          <w:jc w:val="center"/>
        </w:trPr>
        <w:tc>
          <w:tcPr>
            <w:tcW w:w="4390" w:type="dxa"/>
            <w:shd w:val="clear" w:color="auto" w:fill="E7E6E6" w:themeFill="background2"/>
            <w:vAlign w:val="center"/>
          </w:tcPr>
          <w:p w14:paraId="3DB14956" w14:textId="2C3D4895" w:rsidR="002873E9" w:rsidRPr="002757F3" w:rsidRDefault="003D23B9" w:rsidP="002873E9">
            <w:pPr>
              <w:rPr>
                <w:rFonts w:cstheme="minorHAnsi"/>
              </w:rPr>
            </w:pPr>
            <w:r>
              <w:rPr>
                <w:rFonts w:cstheme="minorHAnsi"/>
              </w:rPr>
              <w:t>O</w:t>
            </w:r>
            <w:r w:rsidR="002873E9">
              <w:rPr>
                <w:rFonts w:cstheme="minorHAnsi"/>
              </w:rPr>
              <w:t xml:space="preserve">n </w:t>
            </w:r>
            <w:r w:rsidR="0057774E">
              <w:rPr>
                <w:rFonts w:cstheme="minorHAnsi"/>
              </w:rPr>
              <w:t xml:space="preserve">inhaled </w:t>
            </w:r>
            <w:r w:rsidR="002873E9">
              <w:rPr>
                <w:rFonts w:cstheme="minorHAnsi"/>
              </w:rPr>
              <w:t>long-acting beta-2 agonist therapy (</w:t>
            </w:r>
            <w:r w:rsidR="0057774E">
              <w:rPr>
                <w:rFonts w:cstheme="minorHAnsi"/>
              </w:rPr>
              <w:t>%/</w:t>
            </w:r>
            <w:r w:rsidR="002873E9">
              <w:rPr>
                <w:rFonts w:cstheme="minorHAnsi"/>
              </w:rPr>
              <w:t>n)</w:t>
            </w:r>
          </w:p>
        </w:tc>
        <w:tc>
          <w:tcPr>
            <w:tcW w:w="1559" w:type="dxa"/>
            <w:shd w:val="clear" w:color="auto" w:fill="FFFFFF" w:themeFill="background1"/>
          </w:tcPr>
          <w:p w14:paraId="44FF7CA7" w14:textId="77777777" w:rsidR="002873E9" w:rsidRDefault="002873E9" w:rsidP="002873E9">
            <w:pPr>
              <w:jc w:val="center"/>
              <w:rPr>
                <w:rFonts w:cstheme="minorHAnsi"/>
              </w:rPr>
            </w:pPr>
            <w:r>
              <w:rPr>
                <w:rFonts w:cstheme="minorHAnsi"/>
              </w:rPr>
              <w:t>86.7</w:t>
            </w:r>
          </w:p>
          <w:p w14:paraId="55574407" w14:textId="185DF9D9" w:rsidR="002873E9" w:rsidRPr="00D7131A" w:rsidRDefault="002873E9" w:rsidP="002873E9">
            <w:pPr>
              <w:jc w:val="center"/>
              <w:rPr>
                <w:rFonts w:cstheme="minorHAnsi"/>
              </w:rPr>
            </w:pPr>
            <w:r>
              <w:rPr>
                <w:rFonts w:cstheme="minorHAnsi"/>
              </w:rPr>
              <w:t>(312/360)</w:t>
            </w:r>
          </w:p>
        </w:tc>
        <w:tc>
          <w:tcPr>
            <w:tcW w:w="1417" w:type="dxa"/>
            <w:shd w:val="clear" w:color="auto" w:fill="FFFFFF" w:themeFill="background1"/>
          </w:tcPr>
          <w:p w14:paraId="6846B1E0" w14:textId="77777777" w:rsidR="002873E9" w:rsidRDefault="002873E9" w:rsidP="002873E9">
            <w:pPr>
              <w:jc w:val="center"/>
              <w:rPr>
                <w:rFonts w:cstheme="minorHAnsi"/>
              </w:rPr>
            </w:pPr>
            <w:r>
              <w:rPr>
                <w:rFonts w:cstheme="minorHAnsi"/>
              </w:rPr>
              <w:t>85.7</w:t>
            </w:r>
          </w:p>
          <w:p w14:paraId="0FD9ADF1" w14:textId="7B22D97B" w:rsidR="002873E9" w:rsidRPr="00D7131A" w:rsidRDefault="002873E9" w:rsidP="002873E9">
            <w:pPr>
              <w:jc w:val="center"/>
              <w:rPr>
                <w:rFonts w:cstheme="minorHAnsi"/>
              </w:rPr>
            </w:pPr>
            <w:r>
              <w:rPr>
                <w:rFonts w:cstheme="minorHAnsi"/>
              </w:rPr>
              <w:t>(24/28)</w:t>
            </w:r>
          </w:p>
        </w:tc>
        <w:tc>
          <w:tcPr>
            <w:tcW w:w="1140" w:type="dxa"/>
          </w:tcPr>
          <w:p w14:paraId="2CF2B185" w14:textId="02FE2E3C" w:rsidR="002873E9" w:rsidRPr="00D7131A" w:rsidRDefault="002873E9" w:rsidP="002873E9">
            <w:pPr>
              <w:rPr>
                <w:rFonts w:cstheme="minorHAnsi"/>
              </w:rPr>
            </w:pPr>
            <w:r>
              <w:rPr>
                <w:rFonts w:cstheme="minorHAnsi"/>
              </w:rPr>
              <w:t>0.89</w:t>
            </w:r>
          </w:p>
        </w:tc>
      </w:tr>
      <w:tr w:rsidR="002873E9" w:rsidRPr="00D7131A" w14:paraId="54AB67A0" w14:textId="77777777" w:rsidTr="00125FCC">
        <w:trPr>
          <w:jc w:val="center"/>
        </w:trPr>
        <w:tc>
          <w:tcPr>
            <w:tcW w:w="4390" w:type="dxa"/>
            <w:shd w:val="clear" w:color="auto" w:fill="E7E6E6" w:themeFill="background2"/>
            <w:vAlign w:val="center"/>
          </w:tcPr>
          <w:p w14:paraId="08A8F5FE" w14:textId="07329D9D" w:rsidR="002873E9" w:rsidRPr="002757F3" w:rsidRDefault="0057774E" w:rsidP="002873E9">
            <w:pPr>
              <w:rPr>
                <w:rFonts w:cstheme="minorHAnsi"/>
              </w:rPr>
            </w:pPr>
            <w:r>
              <w:rPr>
                <w:rFonts w:cstheme="minorHAnsi"/>
              </w:rPr>
              <w:t>O</w:t>
            </w:r>
            <w:r w:rsidR="002873E9">
              <w:rPr>
                <w:rFonts w:cstheme="minorHAnsi"/>
              </w:rPr>
              <w:t xml:space="preserve">n </w:t>
            </w:r>
            <w:r>
              <w:rPr>
                <w:rFonts w:cstheme="minorHAnsi"/>
              </w:rPr>
              <w:t xml:space="preserve">inhaled </w:t>
            </w:r>
            <w:r w:rsidR="002873E9">
              <w:rPr>
                <w:rFonts w:cstheme="minorHAnsi"/>
              </w:rPr>
              <w:t>long-acting anti-muscarinic therapy (</w:t>
            </w:r>
            <w:r w:rsidR="004679AF">
              <w:rPr>
                <w:rFonts w:cstheme="minorHAnsi"/>
              </w:rPr>
              <w:t>%/</w:t>
            </w:r>
            <w:r w:rsidR="002873E9">
              <w:rPr>
                <w:rFonts w:cstheme="minorHAnsi"/>
              </w:rPr>
              <w:t>n)</w:t>
            </w:r>
          </w:p>
        </w:tc>
        <w:tc>
          <w:tcPr>
            <w:tcW w:w="1559" w:type="dxa"/>
            <w:shd w:val="clear" w:color="auto" w:fill="FFFFFF" w:themeFill="background1"/>
          </w:tcPr>
          <w:p w14:paraId="7F7BA671" w14:textId="77777777" w:rsidR="002873E9" w:rsidRDefault="002873E9" w:rsidP="002873E9">
            <w:pPr>
              <w:jc w:val="center"/>
              <w:rPr>
                <w:rFonts w:cstheme="minorHAnsi"/>
              </w:rPr>
            </w:pPr>
            <w:r>
              <w:rPr>
                <w:rFonts w:cstheme="minorHAnsi"/>
              </w:rPr>
              <w:t>67.5</w:t>
            </w:r>
          </w:p>
          <w:p w14:paraId="54F1CC3E" w14:textId="45AD474B" w:rsidR="002873E9" w:rsidRPr="00D7131A" w:rsidRDefault="002873E9" w:rsidP="002873E9">
            <w:pPr>
              <w:jc w:val="center"/>
              <w:rPr>
                <w:rFonts w:cstheme="minorHAnsi"/>
              </w:rPr>
            </w:pPr>
            <w:r>
              <w:rPr>
                <w:rFonts w:cstheme="minorHAnsi"/>
              </w:rPr>
              <w:t>(243/260)</w:t>
            </w:r>
          </w:p>
        </w:tc>
        <w:tc>
          <w:tcPr>
            <w:tcW w:w="1417" w:type="dxa"/>
            <w:shd w:val="clear" w:color="auto" w:fill="FFFFFF" w:themeFill="background1"/>
          </w:tcPr>
          <w:p w14:paraId="2394E708" w14:textId="77777777" w:rsidR="002873E9" w:rsidRDefault="002873E9" w:rsidP="002873E9">
            <w:pPr>
              <w:jc w:val="center"/>
              <w:rPr>
                <w:rFonts w:cstheme="minorHAnsi"/>
              </w:rPr>
            </w:pPr>
            <w:r>
              <w:rPr>
                <w:rFonts w:cstheme="minorHAnsi"/>
              </w:rPr>
              <w:t xml:space="preserve">64/2 </w:t>
            </w:r>
          </w:p>
          <w:p w14:paraId="5B353E7D" w14:textId="226FEF21" w:rsidR="002873E9" w:rsidRPr="00D7131A" w:rsidRDefault="002873E9" w:rsidP="002873E9">
            <w:pPr>
              <w:jc w:val="center"/>
              <w:rPr>
                <w:rFonts w:cstheme="minorHAnsi"/>
              </w:rPr>
            </w:pPr>
            <w:r>
              <w:rPr>
                <w:rFonts w:cstheme="minorHAnsi"/>
              </w:rPr>
              <w:t>(18/28)</w:t>
            </w:r>
          </w:p>
        </w:tc>
        <w:tc>
          <w:tcPr>
            <w:tcW w:w="1140" w:type="dxa"/>
          </w:tcPr>
          <w:p w14:paraId="24AB24B1" w14:textId="3B359AEF" w:rsidR="002873E9" w:rsidRPr="00D7131A" w:rsidRDefault="002873E9" w:rsidP="002873E9">
            <w:pPr>
              <w:rPr>
                <w:rFonts w:cstheme="minorHAnsi"/>
              </w:rPr>
            </w:pPr>
            <w:r>
              <w:rPr>
                <w:rFonts w:cstheme="minorHAnsi"/>
              </w:rPr>
              <w:t>0.73</w:t>
            </w:r>
          </w:p>
        </w:tc>
      </w:tr>
      <w:tr w:rsidR="002873E9" w:rsidRPr="00D7131A" w14:paraId="12964DA5" w14:textId="77777777" w:rsidTr="00125FCC">
        <w:trPr>
          <w:jc w:val="center"/>
        </w:trPr>
        <w:tc>
          <w:tcPr>
            <w:tcW w:w="4390" w:type="dxa"/>
            <w:shd w:val="clear" w:color="auto" w:fill="E7E6E6" w:themeFill="background2"/>
            <w:vAlign w:val="center"/>
          </w:tcPr>
          <w:p w14:paraId="34630F00" w14:textId="631C7C2A" w:rsidR="002873E9" w:rsidRPr="002757F3" w:rsidRDefault="004679AF" w:rsidP="002873E9">
            <w:pPr>
              <w:rPr>
                <w:rFonts w:cstheme="minorHAnsi"/>
              </w:rPr>
            </w:pPr>
            <w:r>
              <w:rPr>
                <w:rFonts w:cstheme="minorHAnsi"/>
              </w:rPr>
              <w:t>O</w:t>
            </w:r>
            <w:r w:rsidR="002873E9">
              <w:rPr>
                <w:rFonts w:cstheme="minorHAnsi"/>
              </w:rPr>
              <w:t>n leukotriene receptor ant</w:t>
            </w:r>
            <w:r>
              <w:rPr>
                <w:rFonts w:cstheme="minorHAnsi"/>
              </w:rPr>
              <w:t>a</w:t>
            </w:r>
            <w:r w:rsidR="002873E9">
              <w:rPr>
                <w:rFonts w:cstheme="minorHAnsi"/>
              </w:rPr>
              <w:t>g</w:t>
            </w:r>
            <w:r>
              <w:rPr>
                <w:rFonts w:cstheme="minorHAnsi"/>
              </w:rPr>
              <w:t>o</w:t>
            </w:r>
            <w:r w:rsidR="002873E9">
              <w:rPr>
                <w:rFonts w:cstheme="minorHAnsi"/>
              </w:rPr>
              <w:t>nists</w:t>
            </w:r>
            <w:r>
              <w:rPr>
                <w:rFonts w:cstheme="minorHAnsi"/>
              </w:rPr>
              <w:t xml:space="preserve"> (%/n)</w:t>
            </w:r>
          </w:p>
        </w:tc>
        <w:tc>
          <w:tcPr>
            <w:tcW w:w="1559" w:type="dxa"/>
            <w:shd w:val="clear" w:color="auto" w:fill="FFFFFF" w:themeFill="background1"/>
          </w:tcPr>
          <w:p w14:paraId="270F4304" w14:textId="77777777" w:rsidR="002873E9" w:rsidRDefault="002873E9" w:rsidP="002873E9">
            <w:pPr>
              <w:jc w:val="center"/>
              <w:rPr>
                <w:rFonts w:cstheme="minorHAnsi"/>
              </w:rPr>
            </w:pPr>
            <w:r>
              <w:rPr>
                <w:rFonts w:cstheme="minorHAnsi"/>
              </w:rPr>
              <w:t>69.7</w:t>
            </w:r>
          </w:p>
          <w:p w14:paraId="574332EA" w14:textId="0F8AAB33" w:rsidR="002873E9" w:rsidRPr="00D7131A" w:rsidRDefault="002873E9" w:rsidP="002873E9">
            <w:pPr>
              <w:jc w:val="center"/>
              <w:rPr>
                <w:rFonts w:cstheme="minorHAnsi"/>
              </w:rPr>
            </w:pPr>
            <w:r>
              <w:rPr>
                <w:rFonts w:cstheme="minorHAnsi"/>
              </w:rPr>
              <w:t>(251/260)</w:t>
            </w:r>
          </w:p>
        </w:tc>
        <w:tc>
          <w:tcPr>
            <w:tcW w:w="1417" w:type="dxa"/>
            <w:shd w:val="clear" w:color="auto" w:fill="FFFFFF" w:themeFill="background1"/>
          </w:tcPr>
          <w:p w14:paraId="55D68696" w14:textId="77777777" w:rsidR="002873E9" w:rsidRDefault="002873E9" w:rsidP="002873E9">
            <w:pPr>
              <w:jc w:val="center"/>
              <w:rPr>
                <w:rFonts w:cstheme="minorHAnsi"/>
              </w:rPr>
            </w:pPr>
            <w:r>
              <w:rPr>
                <w:rFonts w:cstheme="minorHAnsi"/>
              </w:rPr>
              <w:t>67.8</w:t>
            </w:r>
          </w:p>
          <w:p w14:paraId="48051286" w14:textId="21F61823" w:rsidR="002873E9" w:rsidRPr="00D7131A" w:rsidRDefault="002873E9" w:rsidP="002873E9">
            <w:pPr>
              <w:jc w:val="center"/>
              <w:rPr>
                <w:rFonts w:cstheme="minorHAnsi"/>
              </w:rPr>
            </w:pPr>
            <w:r>
              <w:rPr>
                <w:rFonts w:cstheme="minorHAnsi"/>
              </w:rPr>
              <w:t>(19/28)</w:t>
            </w:r>
          </w:p>
        </w:tc>
        <w:tc>
          <w:tcPr>
            <w:tcW w:w="1140" w:type="dxa"/>
          </w:tcPr>
          <w:p w14:paraId="05A47E84" w14:textId="7908C2EA" w:rsidR="002873E9" w:rsidRPr="00D7131A" w:rsidRDefault="002873E9" w:rsidP="002873E9">
            <w:pPr>
              <w:rPr>
                <w:rFonts w:cstheme="minorHAnsi"/>
              </w:rPr>
            </w:pPr>
            <w:r>
              <w:rPr>
                <w:rFonts w:cstheme="minorHAnsi"/>
              </w:rPr>
              <w:t>0.84</w:t>
            </w:r>
          </w:p>
        </w:tc>
      </w:tr>
      <w:tr w:rsidR="002873E9" w:rsidRPr="00D7131A" w14:paraId="1234E461" w14:textId="77777777" w:rsidTr="00125FCC">
        <w:trPr>
          <w:jc w:val="center"/>
        </w:trPr>
        <w:tc>
          <w:tcPr>
            <w:tcW w:w="4390" w:type="dxa"/>
            <w:shd w:val="clear" w:color="auto" w:fill="E7E6E6" w:themeFill="background2"/>
            <w:vAlign w:val="center"/>
          </w:tcPr>
          <w:p w14:paraId="5F4B29C9" w14:textId="16CCA646" w:rsidR="002873E9" w:rsidRPr="00184FBA" w:rsidRDefault="002873E9" w:rsidP="002873E9">
            <w:pPr>
              <w:rPr>
                <w:rFonts w:cstheme="minorHAnsi"/>
              </w:rPr>
            </w:pPr>
            <w:r w:rsidRPr="00184FBA">
              <w:rPr>
                <w:rFonts w:cstheme="minorHAnsi"/>
              </w:rPr>
              <w:t>Peripheral blood eosinophil count at study enrolment (median)</w:t>
            </w:r>
            <w:r>
              <w:rPr>
                <w:rFonts w:cstheme="minorHAnsi"/>
              </w:rPr>
              <w:t>, cells/</w:t>
            </w:r>
            <w:proofErr w:type="spellStart"/>
            <w:r>
              <w:rPr>
                <w:rFonts w:cstheme="minorHAnsi"/>
              </w:rPr>
              <w:t>uL</w:t>
            </w:r>
            <w:proofErr w:type="spellEnd"/>
          </w:p>
          <w:p w14:paraId="64DB2C45" w14:textId="77777777" w:rsidR="002873E9" w:rsidRDefault="002873E9" w:rsidP="002873E9">
            <w:pPr>
              <w:rPr>
                <w:rFonts w:cstheme="minorHAnsi"/>
              </w:rPr>
            </w:pPr>
          </w:p>
        </w:tc>
        <w:tc>
          <w:tcPr>
            <w:tcW w:w="1559" w:type="dxa"/>
            <w:shd w:val="clear" w:color="auto" w:fill="FFFFFF" w:themeFill="background1"/>
          </w:tcPr>
          <w:p w14:paraId="14289FF5" w14:textId="24D5C0C4" w:rsidR="002873E9" w:rsidRDefault="002873E9" w:rsidP="002873E9">
            <w:pPr>
              <w:jc w:val="center"/>
              <w:rPr>
                <w:rFonts w:cstheme="minorHAnsi"/>
              </w:rPr>
            </w:pPr>
            <w:r>
              <w:rPr>
                <w:rFonts w:cstheme="minorHAnsi"/>
              </w:rPr>
              <w:t>200</w:t>
            </w:r>
          </w:p>
          <w:p w14:paraId="473E34BC" w14:textId="066312A0" w:rsidR="002873E9" w:rsidRPr="00D7131A" w:rsidRDefault="002873E9" w:rsidP="002873E9">
            <w:pPr>
              <w:jc w:val="center"/>
              <w:rPr>
                <w:rFonts w:cstheme="minorHAnsi"/>
              </w:rPr>
            </w:pPr>
            <w:r>
              <w:rPr>
                <w:rFonts w:cstheme="minorHAnsi"/>
              </w:rPr>
              <w:t>(300)</w:t>
            </w:r>
          </w:p>
        </w:tc>
        <w:tc>
          <w:tcPr>
            <w:tcW w:w="1417" w:type="dxa"/>
            <w:shd w:val="clear" w:color="auto" w:fill="FFFFFF" w:themeFill="background1"/>
          </w:tcPr>
          <w:p w14:paraId="39573A94" w14:textId="505E6FD9" w:rsidR="002873E9" w:rsidRDefault="002873E9" w:rsidP="002873E9">
            <w:pPr>
              <w:jc w:val="center"/>
              <w:rPr>
                <w:rFonts w:cstheme="minorHAnsi"/>
              </w:rPr>
            </w:pPr>
            <w:r>
              <w:rPr>
                <w:rFonts w:cstheme="minorHAnsi"/>
              </w:rPr>
              <w:t>100</w:t>
            </w:r>
          </w:p>
          <w:p w14:paraId="3879F467" w14:textId="612CD3FC" w:rsidR="002873E9" w:rsidRPr="00D7131A" w:rsidRDefault="002873E9" w:rsidP="002873E9">
            <w:pPr>
              <w:jc w:val="center"/>
              <w:rPr>
                <w:rFonts w:cstheme="minorHAnsi"/>
              </w:rPr>
            </w:pPr>
            <w:r>
              <w:rPr>
                <w:rFonts w:cstheme="minorHAnsi"/>
              </w:rPr>
              <w:t>(100)</w:t>
            </w:r>
          </w:p>
        </w:tc>
        <w:tc>
          <w:tcPr>
            <w:tcW w:w="1140" w:type="dxa"/>
          </w:tcPr>
          <w:p w14:paraId="39A1E0AB" w14:textId="00C63307" w:rsidR="002873E9" w:rsidRPr="00D7131A" w:rsidRDefault="002873E9" w:rsidP="002873E9">
            <w:pPr>
              <w:rPr>
                <w:rFonts w:cstheme="minorHAnsi"/>
              </w:rPr>
            </w:pPr>
            <w:r>
              <w:rPr>
                <w:rFonts w:cstheme="minorHAnsi"/>
              </w:rPr>
              <w:t>&lt;0.01</w:t>
            </w:r>
          </w:p>
        </w:tc>
      </w:tr>
      <w:tr w:rsidR="002873E9" w:rsidRPr="00D7131A" w14:paraId="6B1ECE28" w14:textId="77777777" w:rsidTr="00125FCC">
        <w:trPr>
          <w:jc w:val="center"/>
        </w:trPr>
        <w:tc>
          <w:tcPr>
            <w:tcW w:w="4390" w:type="dxa"/>
            <w:shd w:val="clear" w:color="auto" w:fill="E7E6E6" w:themeFill="background2"/>
            <w:vAlign w:val="center"/>
          </w:tcPr>
          <w:p w14:paraId="1D0DCDE9" w14:textId="0F3B73A3" w:rsidR="002873E9" w:rsidRPr="002757F3" w:rsidRDefault="002873E9" w:rsidP="002873E9">
            <w:pPr>
              <w:rPr>
                <w:rFonts w:cstheme="minorHAnsi"/>
              </w:rPr>
            </w:pPr>
            <w:r>
              <w:rPr>
                <w:rFonts w:cstheme="minorHAnsi"/>
              </w:rPr>
              <w:t>Peak</w:t>
            </w:r>
            <w:r w:rsidRPr="002757F3">
              <w:rPr>
                <w:rFonts w:cstheme="minorHAnsi"/>
              </w:rPr>
              <w:t xml:space="preserve"> </w:t>
            </w:r>
            <w:r>
              <w:rPr>
                <w:rFonts w:cstheme="minorHAnsi"/>
              </w:rPr>
              <w:t>b</w:t>
            </w:r>
            <w:r w:rsidRPr="002757F3">
              <w:rPr>
                <w:rFonts w:cstheme="minorHAnsi"/>
              </w:rPr>
              <w:t xml:space="preserve">lood </w:t>
            </w:r>
            <w:r>
              <w:rPr>
                <w:rFonts w:cstheme="minorHAnsi"/>
              </w:rPr>
              <w:t>e</w:t>
            </w:r>
            <w:r w:rsidRPr="002757F3">
              <w:rPr>
                <w:rFonts w:cstheme="minorHAnsi"/>
              </w:rPr>
              <w:t>osinophil count in past 10-years</w:t>
            </w:r>
            <w:r>
              <w:rPr>
                <w:rFonts w:cstheme="minorHAnsi"/>
              </w:rPr>
              <w:t>, cells/</w:t>
            </w:r>
            <w:proofErr w:type="spellStart"/>
            <w:r>
              <w:rPr>
                <w:rFonts w:cstheme="minorHAnsi"/>
              </w:rPr>
              <w:t>uL</w:t>
            </w:r>
            <w:proofErr w:type="spellEnd"/>
          </w:p>
        </w:tc>
        <w:tc>
          <w:tcPr>
            <w:tcW w:w="1559" w:type="dxa"/>
            <w:shd w:val="clear" w:color="auto" w:fill="FFFFFF" w:themeFill="background1"/>
          </w:tcPr>
          <w:p w14:paraId="35A135FE" w14:textId="444A7511" w:rsidR="002873E9" w:rsidRPr="00D7131A" w:rsidRDefault="002873E9" w:rsidP="002873E9">
            <w:pPr>
              <w:jc w:val="center"/>
              <w:rPr>
                <w:rFonts w:cstheme="minorHAnsi"/>
              </w:rPr>
            </w:pPr>
            <w:r>
              <w:rPr>
                <w:rFonts w:cstheme="minorHAnsi"/>
              </w:rPr>
              <w:t>500</w:t>
            </w:r>
            <w:r w:rsidRPr="00D7131A">
              <w:rPr>
                <w:rFonts w:cstheme="minorHAnsi"/>
                <w:vertAlign w:val="superscript"/>
              </w:rPr>
              <w:t>‡</w:t>
            </w:r>
          </w:p>
          <w:p w14:paraId="04A11CA8" w14:textId="116BD65A" w:rsidR="002873E9" w:rsidRPr="00D7131A" w:rsidRDefault="002873E9" w:rsidP="002873E9">
            <w:pPr>
              <w:jc w:val="center"/>
              <w:rPr>
                <w:rFonts w:cstheme="minorHAnsi"/>
              </w:rPr>
            </w:pPr>
            <w:r w:rsidRPr="00D7131A">
              <w:rPr>
                <w:rFonts w:cstheme="minorHAnsi"/>
              </w:rPr>
              <w:t>(</w:t>
            </w:r>
            <w:r>
              <w:rPr>
                <w:rFonts w:cstheme="minorHAnsi"/>
              </w:rPr>
              <w:t>600</w:t>
            </w:r>
            <w:r w:rsidRPr="00D7131A">
              <w:rPr>
                <w:rFonts w:cstheme="minorHAnsi"/>
              </w:rPr>
              <w:t>)</w:t>
            </w:r>
          </w:p>
        </w:tc>
        <w:tc>
          <w:tcPr>
            <w:tcW w:w="1417" w:type="dxa"/>
            <w:shd w:val="clear" w:color="auto" w:fill="FFFFFF" w:themeFill="background1"/>
          </w:tcPr>
          <w:p w14:paraId="33D5022B" w14:textId="5FCCFB7B" w:rsidR="002873E9" w:rsidRPr="00D7131A" w:rsidRDefault="002873E9" w:rsidP="002873E9">
            <w:pPr>
              <w:jc w:val="center"/>
              <w:rPr>
                <w:rFonts w:cstheme="minorHAnsi"/>
              </w:rPr>
            </w:pPr>
            <w:r>
              <w:rPr>
                <w:rFonts w:cstheme="minorHAnsi"/>
              </w:rPr>
              <w:t>200</w:t>
            </w:r>
          </w:p>
          <w:p w14:paraId="0DC0FAC0" w14:textId="07524510" w:rsidR="002873E9" w:rsidRPr="00D7131A" w:rsidRDefault="002873E9" w:rsidP="002873E9">
            <w:pPr>
              <w:jc w:val="center"/>
              <w:rPr>
                <w:rFonts w:cstheme="minorHAnsi"/>
              </w:rPr>
            </w:pPr>
            <w:r w:rsidRPr="00D7131A">
              <w:rPr>
                <w:rFonts w:cstheme="minorHAnsi"/>
              </w:rPr>
              <w:t>(</w:t>
            </w:r>
            <w:r>
              <w:rPr>
                <w:rFonts w:cstheme="minorHAnsi"/>
              </w:rPr>
              <w:t>300</w:t>
            </w:r>
            <w:r w:rsidRPr="00D7131A">
              <w:rPr>
                <w:rFonts w:cstheme="minorHAnsi"/>
              </w:rPr>
              <w:t>)</w:t>
            </w:r>
          </w:p>
        </w:tc>
        <w:tc>
          <w:tcPr>
            <w:tcW w:w="1140" w:type="dxa"/>
          </w:tcPr>
          <w:p w14:paraId="3F604408" w14:textId="52063B8A" w:rsidR="002873E9" w:rsidRPr="00D7131A" w:rsidRDefault="002873E9" w:rsidP="002873E9">
            <w:pPr>
              <w:rPr>
                <w:rFonts w:cstheme="minorHAnsi"/>
                <w:vertAlign w:val="superscript"/>
              </w:rPr>
            </w:pPr>
            <w:r>
              <w:rPr>
                <w:rFonts w:cstheme="minorHAnsi"/>
              </w:rPr>
              <w:t>&lt;</w:t>
            </w:r>
            <w:r w:rsidRPr="00D7131A">
              <w:rPr>
                <w:rFonts w:cstheme="minorHAnsi"/>
              </w:rPr>
              <w:t>0.0</w:t>
            </w:r>
            <w:r>
              <w:rPr>
                <w:rFonts w:cstheme="minorHAnsi"/>
              </w:rPr>
              <w:t>1</w:t>
            </w:r>
          </w:p>
        </w:tc>
      </w:tr>
      <w:tr w:rsidR="002873E9" w:rsidRPr="00D7131A" w14:paraId="4C0729D1" w14:textId="77777777" w:rsidTr="00125FCC">
        <w:trPr>
          <w:jc w:val="center"/>
        </w:trPr>
        <w:tc>
          <w:tcPr>
            <w:tcW w:w="4390" w:type="dxa"/>
            <w:shd w:val="clear" w:color="auto" w:fill="E7E6E6" w:themeFill="background2"/>
            <w:vAlign w:val="center"/>
          </w:tcPr>
          <w:p w14:paraId="33C71E43" w14:textId="3D45593B" w:rsidR="002873E9" w:rsidRDefault="002873E9" w:rsidP="002873E9">
            <w:pPr>
              <w:rPr>
                <w:rFonts w:cstheme="minorHAnsi"/>
              </w:rPr>
            </w:pPr>
            <w:r>
              <w:rPr>
                <w:rFonts w:cstheme="minorHAnsi"/>
              </w:rPr>
              <w:t>Aeroallergen positive skin prick tests (%/n)</w:t>
            </w:r>
          </w:p>
        </w:tc>
        <w:tc>
          <w:tcPr>
            <w:tcW w:w="1559" w:type="dxa"/>
            <w:shd w:val="clear" w:color="auto" w:fill="FFFFFF" w:themeFill="background1"/>
          </w:tcPr>
          <w:p w14:paraId="42C58CB5" w14:textId="07F2B3E5" w:rsidR="002873E9" w:rsidRDefault="002873E9" w:rsidP="002873E9">
            <w:pPr>
              <w:jc w:val="center"/>
              <w:rPr>
                <w:rFonts w:cstheme="minorHAnsi"/>
              </w:rPr>
            </w:pPr>
            <w:r>
              <w:rPr>
                <w:rFonts w:cstheme="minorHAnsi"/>
              </w:rPr>
              <w:t>69.9</w:t>
            </w:r>
          </w:p>
          <w:p w14:paraId="78E0C288" w14:textId="04E54F80" w:rsidR="002873E9" w:rsidRPr="00D7131A" w:rsidRDefault="002873E9" w:rsidP="002873E9">
            <w:pPr>
              <w:jc w:val="center"/>
              <w:rPr>
                <w:rFonts w:cstheme="minorHAnsi"/>
              </w:rPr>
            </w:pPr>
            <w:r>
              <w:rPr>
                <w:rFonts w:cstheme="minorHAnsi"/>
              </w:rPr>
              <w:t>(197/282)</w:t>
            </w:r>
          </w:p>
        </w:tc>
        <w:tc>
          <w:tcPr>
            <w:tcW w:w="1417" w:type="dxa"/>
            <w:shd w:val="clear" w:color="auto" w:fill="FFFFFF" w:themeFill="background1"/>
          </w:tcPr>
          <w:p w14:paraId="203307BB" w14:textId="65E4700C" w:rsidR="002873E9" w:rsidRDefault="002873E9" w:rsidP="002873E9">
            <w:pPr>
              <w:jc w:val="center"/>
              <w:rPr>
                <w:rFonts w:cstheme="minorHAnsi"/>
              </w:rPr>
            </w:pPr>
            <w:r>
              <w:rPr>
                <w:rFonts w:cstheme="minorHAnsi"/>
              </w:rPr>
              <w:t>22.7</w:t>
            </w:r>
          </w:p>
          <w:p w14:paraId="6193E593" w14:textId="4C7A9A84" w:rsidR="002873E9" w:rsidRPr="00D7131A" w:rsidRDefault="002873E9" w:rsidP="002873E9">
            <w:pPr>
              <w:jc w:val="center"/>
              <w:rPr>
                <w:rFonts w:cstheme="minorHAnsi"/>
              </w:rPr>
            </w:pPr>
            <w:r>
              <w:rPr>
                <w:rFonts w:cstheme="minorHAnsi"/>
              </w:rPr>
              <w:t>(5/22)</w:t>
            </w:r>
          </w:p>
        </w:tc>
        <w:tc>
          <w:tcPr>
            <w:tcW w:w="1140" w:type="dxa"/>
          </w:tcPr>
          <w:p w14:paraId="01DB1026" w14:textId="79E420A9" w:rsidR="002873E9" w:rsidRPr="00D7131A" w:rsidRDefault="002873E9" w:rsidP="002873E9">
            <w:pPr>
              <w:rPr>
                <w:rFonts w:cstheme="minorHAnsi"/>
              </w:rPr>
            </w:pPr>
            <w:r>
              <w:rPr>
                <w:rFonts w:cstheme="minorHAnsi"/>
              </w:rPr>
              <w:t>&lt;0.01</w:t>
            </w:r>
          </w:p>
        </w:tc>
      </w:tr>
      <w:tr w:rsidR="002873E9" w:rsidRPr="00D7131A" w14:paraId="139FF3DE" w14:textId="77777777" w:rsidTr="00125FCC">
        <w:trPr>
          <w:jc w:val="center"/>
        </w:trPr>
        <w:tc>
          <w:tcPr>
            <w:tcW w:w="4390" w:type="dxa"/>
            <w:shd w:val="clear" w:color="auto" w:fill="E7E6E6" w:themeFill="background2"/>
            <w:vAlign w:val="center"/>
          </w:tcPr>
          <w:p w14:paraId="1B3E383B" w14:textId="76CFFB2B" w:rsidR="002873E9" w:rsidRDefault="002873E9" w:rsidP="002873E9">
            <w:pPr>
              <w:rPr>
                <w:rFonts w:cstheme="minorHAnsi"/>
              </w:rPr>
            </w:pPr>
            <w:r>
              <w:rPr>
                <w:rFonts w:cstheme="minorHAnsi"/>
              </w:rPr>
              <w:t>Total IgE (IU/L)</w:t>
            </w:r>
          </w:p>
        </w:tc>
        <w:tc>
          <w:tcPr>
            <w:tcW w:w="1559" w:type="dxa"/>
            <w:shd w:val="clear" w:color="auto" w:fill="FFFFFF" w:themeFill="background1"/>
          </w:tcPr>
          <w:p w14:paraId="19A80F12" w14:textId="77777777" w:rsidR="002873E9" w:rsidRDefault="002873E9" w:rsidP="002873E9">
            <w:pPr>
              <w:jc w:val="center"/>
              <w:rPr>
                <w:rFonts w:cstheme="minorHAnsi"/>
              </w:rPr>
            </w:pPr>
            <w:r>
              <w:rPr>
                <w:rFonts w:cstheme="minorHAnsi"/>
              </w:rPr>
              <w:t>84.7</w:t>
            </w:r>
          </w:p>
          <w:p w14:paraId="3D00011B" w14:textId="5F56F782" w:rsidR="002873E9" w:rsidRDefault="002873E9" w:rsidP="002873E9">
            <w:pPr>
              <w:jc w:val="center"/>
              <w:rPr>
                <w:rFonts w:cstheme="minorHAnsi"/>
              </w:rPr>
            </w:pPr>
            <w:r>
              <w:rPr>
                <w:rFonts w:cstheme="minorHAnsi"/>
              </w:rPr>
              <w:t>(229.2)</w:t>
            </w:r>
          </w:p>
        </w:tc>
        <w:tc>
          <w:tcPr>
            <w:tcW w:w="1417" w:type="dxa"/>
            <w:shd w:val="clear" w:color="auto" w:fill="FFFFFF" w:themeFill="background1"/>
          </w:tcPr>
          <w:p w14:paraId="28B2F894" w14:textId="77777777" w:rsidR="002873E9" w:rsidRDefault="002873E9" w:rsidP="002873E9">
            <w:pPr>
              <w:jc w:val="center"/>
              <w:rPr>
                <w:rFonts w:cstheme="minorHAnsi"/>
              </w:rPr>
            </w:pPr>
            <w:r>
              <w:rPr>
                <w:rFonts w:cstheme="minorHAnsi"/>
              </w:rPr>
              <w:t>17.3</w:t>
            </w:r>
          </w:p>
          <w:p w14:paraId="44374233" w14:textId="74F7024E" w:rsidR="002873E9" w:rsidRDefault="002873E9" w:rsidP="002873E9">
            <w:pPr>
              <w:jc w:val="center"/>
              <w:rPr>
                <w:rFonts w:cstheme="minorHAnsi"/>
              </w:rPr>
            </w:pPr>
            <w:r>
              <w:rPr>
                <w:rFonts w:cstheme="minorHAnsi"/>
              </w:rPr>
              <w:t>(25.4)</w:t>
            </w:r>
          </w:p>
        </w:tc>
        <w:tc>
          <w:tcPr>
            <w:tcW w:w="1140" w:type="dxa"/>
          </w:tcPr>
          <w:p w14:paraId="16F36CC1" w14:textId="66D02B5C" w:rsidR="002873E9" w:rsidRDefault="002873E9" w:rsidP="002873E9">
            <w:pPr>
              <w:rPr>
                <w:rFonts w:cstheme="minorHAnsi"/>
              </w:rPr>
            </w:pPr>
            <w:r>
              <w:rPr>
                <w:rFonts w:cstheme="minorHAnsi"/>
              </w:rPr>
              <w:t>&lt;0.01</w:t>
            </w:r>
          </w:p>
        </w:tc>
      </w:tr>
      <w:tr w:rsidR="002873E9" w:rsidRPr="00D7131A" w14:paraId="3F07CF58" w14:textId="77777777" w:rsidTr="00125FCC">
        <w:trPr>
          <w:jc w:val="center"/>
        </w:trPr>
        <w:tc>
          <w:tcPr>
            <w:tcW w:w="4390" w:type="dxa"/>
            <w:shd w:val="clear" w:color="auto" w:fill="E7E6E6" w:themeFill="background2"/>
            <w:vAlign w:val="center"/>
          </w:tcPr>
          <w:p w14:paraId="3C91B592" w14:textId="76FD4EA0" w:rsidR="002873E9" w:rsidRDefault="002873E9" w:rsidP="002873E9">
            <w:pPr>
              <w:rPr>
                <w:rFonts w:cstheme="minorHAnsi"/>
              </w:rPr>
            </w:pPr>
            <w:r>
              <w:rPr>
                <w:rFonts w:cstheme="minorHAnsi"/>
              </w:rPr>
              <w:t>FeNO at enrolment (ppb)</w:t>
            </w:r>
          </w:p>
        </w:tc>
        <w:tc>
          <w:tcPr>
            <w:tcW w:w="1559" w:type="dxa"/>
            <w:shd w:val="clear" w:color="auto" w:fill="FFFFFF" w:themeFill="background1"/>
          </w:tcPr>
          <w:p w14:paraId="48C51B09" w14:textId="77777777" w:rsidR="005C7457" w:rsidRPr="005C7457" w:rsidRDefault="005C7457" w:rsidP="005C7457">
            <w:pPr>
              <w:jc w:val="center"/>
              <w:rPr>
                <w:rFonts w:cstheme="minorHAnsi"/>
              </w:rPr>
            </w:pPr>
            <w:r w:rsidRPr="005C7457">
              <w:rPr>
                <w:rFonts w:cstheme="minorHAnsi"/>
              </w:rPr>
              <w:t>20.3^</w:t>
            </w:r>
          </w:p>
          <w:p w14:paraId="3CEF6A45" w14:textId="0BB2F600" w:rsidR="002873E9" w:rsidRPr="00D7131A" w:rsidRDefault="005C7457" w:rsidP="002873E9">
            <w:pPr>
              <w:jc w:val="center"/>
              <w:rPr>
                <w:rFonts w:cstheme="minorHAnsi"/>
              </w:rPr>
            </w:pPr>
            <w:r w:rsidRPr="005C7457">
              <w:rPr>
                <w:rFonts w:cstheme="minorHAnsi"/>
              </w:rPr>
              <w:t>(25.9)</w:t>
            </w:r>
          </w:p>
        </w:tc>
        <w:tc>
          <w:tcPr>
            <w:tcW w:w="1417" w:type="dxa"/>
            <w:shd w:val="clear" w:color="auto" w:fill="FFFFFF" w:themeFill="background1"/>
          </w:tcPr>
          <w:p w14:paraId="3718064F" w14:textId="7D4F209C" w:rsidR="005C7457" w:rsidRDefault="005C7457" w:rsidP="002873E9">
            <w:pPr>
              <w:jc w:val="center"/>
              <w:rPr>
                <w:rFonts w:cstheme="minorHAnsi"/>
              </w:rPr>
            </w:pPr>
            <w:r>
              <w:rPr>
                <w:rFonts w:cstheme="minorHAnsi"/>
              </w:rPr>
              <w:t xml:space="preserve">10.0 </w:t>
            </w:r>
          </w:p>
          <w:p w14:paraId="35AC631B" w14:textId="14AF8A70" w:rsidR="005C7457" w:rsidRDefault="005C7457" w:rsidP="002873E9">
            <w:pPr>
              <w:jc w:val="center"/>
              <w:rPr>
                <w:rFonts w:cstheme="minorHAnsi"/>
              </w:rPr>
            </w:pPr>
            <w:r>
              <w:rPr>
                <w:rFonts w:cstheme="minorHAnsi"/>
              </w:rPr>
              <w:t>(10.0)</w:t>
            </w:r>
          </w:p>
          <w:p w14:paraId="47CCB6CD" w14:textId="29C9F99A" w:rsidR="002873E9" w:rsidRPr="00D7131A" w:rsidRDefault="002873E9" w:rsidP="002873E9">
            <w:pPr>
              <w:jc w:val="center"/>
              <w:rPr>
                <w:rFonts w:cstheme="minorHAnsi"/>
              </w:rPr>
            </w:pPr>
          </w:p>
        </w:tc>
        <w:tc>
          <w:tcPr>
            <w:tcW w:w="1140" w:type="dxa"/>
          </w:tcPr>
          <w:p w14:paraId="138DB93B" w14:textId="5D8D441E" w:rsidR="002873E9" w:rsidRPr="00D7131A" w:rsidRDefault="002873E9" w:rsidP="002873E9">
            <w:pPr>
              <w:rPr>
                <w:rFonts w:cstheme="minorHAnsi"/>
              </w:rPr>
            </w:pPr>
            <w:r>
              <w:rPr>
                <w:rFonts w:cstheme="minorHAnsi"/>
              </w:rPr>
              <w:lastRenderedPageBreak/>
              <w:t>&lt;0.01</w:t>
            </w:r>
          </w:p>
        </w:tc>
      </w:tr>
    </w:tbl>
    <w:p w14:paraId="17D7B9E9" w14:textId="77777777" w:rsidR="00D7131A" w:rsidRPr="00D7131A" w:rsidRDefault="00D7131A" w:rsidP="00D7131A">
      <w:pPr>
        <w:rPr>
          <w:rFonts w:cstheme="minorHAnsi"/>
        </w:rPr>
      </w:pPr>
    </w:p>
    <w:p w14:paraId="4A03F058" w14:textId="36CD41C1" w:rsidR="00D7131A" w:rsidRPr="00D7131A" w:rsidRDefault="00D7131A" w:rsidP="00D7131A">
      <w:pPr>
        <w:rPr>
          <w:rFonts w:cstheme="minorHAnsi"/>
        </w:rPr>
      </w:pPr>
      <w:r w:rsidRPr="00D7131A">
        <w:rPr>
          <w:rFonts w:cstheme="minorHAnsi"/>
        </w:rPr>
        <w:t>T2 status was classified base</w:t>
      </w:r>
      <w:r w:rsidR="00064E3A">
        <w:rPr>
          <w:rFonts w:cstheme="minorHAnsi"/>
        </w:rPr>
        <w:t>d</w:t>
      </w:r>
      <w:r w:rsidRPr="00D7131A">
        <w:rPr>
          <w:rFonts w:cstheme="minorHAnsi"/>
        </w:rPr>
        <w:t xml:space="preserve"> on the presence of blood eosinophils≥150</w:t>
      </w:r>
      <w:r w:rsidR="00064E3A">
        <w:rPr>
          <w:rFonts w:cstheme="minorHAnsi"/>
        </w:rPr>
        <w:t>cells/</w:t>
      </w:r>
      <w:proofErr w:type="spellStart"/>
      <w:r w:rsidRPr="00D7131A">
        <w:rPr>
          <w:rFonts w:cstheme="minorHAnsi"/>
        </w:rPr>
        <w:t>ul</w:t>
      </w:r>
      <w:proofErr w:type="spellEnd"/>
      <w:r w:rsidRPr="00D7131A">
        <w:rPr>
          <w:rFonts w:cstheme="minorHAnsi"/>
        </w:rPr>
        <w:t xml:space="preserve"> or FeNO≥20ppb or need for maintenance OCS or allergen driven asthma. Values are median</w:t>
      </w:r>
      <w:r w:rsidR="009008BB">
        <w:rPr>
          <w:rFonts w:cstheme="minorHAnsi"/>
        </w:rPr>
        <w:t xml:space="preserve"> and interquartile ranges</w:t>
      </w:r>
      <w:r w:rsidRPr="00D7131A">
        <w:rPr>
          <w:rFonts w:cstheme="minorHAnsi"/>
        </w:rPr>
        <w:t xml:space="preserve"> (IQR) unless otherwise specified. The </w:t>
      </w:r>
      <w:r w:rsidR="009008BB">
        <w:rPr>
          <w:rFonts w:cstheme="minorHAnsi"/>
        </w:rPr>
        <w:t>P</w:t>
      </w:r>
      <w:r w:rsidRPr="00D7131A">
        <w:rPr>
          <w:rFonts w:cstheme="minorHAnsi"/>
        </w:rPr>
        <w:t xml:space="preserve"> value reflects chi-square comparisons for categorical variables, Mann-Whitney test for continuous variables with non-normal distribution, and Fisher’s exact test where observed cell counts were less than 5. Abbreviations: </w:t>
      </w:r>
      <w:r w:rsidR="0081440C">
        <w:rPr>
          <w:rFonts w:cstheme="minorHAnsi"/>
        </w:rPr>
        <w:t xml:space="preserve">BMI: body mass index, </w:t>
      </w:r>
      <w:r w:rsidR="00C62659">
        <w:rPr>
          <w:rFonts w:cstheme="minorHAnsi"/>
        </w:rPr>
        <w:t xml:space="preserve">FeNO: fractional exhaled nitric oxide, </w:t>
      </w:r>
      <w:r w:rsidRPr="00D7131A">
        <w:rPr>
          <w:rFonts w:cstheme="minorHAnsi"/>
        </w:rPr>
        <w:t>ICS: Inhaled corticosteroid</w:t>
      </w:r>
      <w:r w:rsidR="0081440C">
        <w:rPr>
          <w:rFonts w:cstheme="minorHAnsi"/>
        </w:rPr>
        <w:t xml:space="preserve">, </w:t>
      </w:r>
      <w:r w:rsidRPr="00D7131A">
        <w:rPr>
          <w:rFonts w:cstheme="minorHAnsi"/>
        </w:rPr>
        <w:t>ICU</w:t>
      </w:r>
      <w:r w:rsidR="0081440C">
        <w:rPr>
          <w:rFonts w:cstheme="minorHAnsi"/>
        </w:rPr>
        <w:t>:</w:t>
      </w:r>
      <w:r w:rsidRPr="00D7131A">
        <w:rPr>
          <w:rFonts w:cstheme="minorHAnsi"/>
        </w:rPr>
        <w:t xml:space="preserve"> intensive care unit. </w:t>
      </w:r>
    </w:p>
    <w:p w14:paraId="14282B80" w14:textId="503BAA9D" w:rsidR="00D7131A" w:rsidRPr="00D7131A" w:rsidRDefault="00D7131A" w:rsidP="00D7131A">
      <w:pPr>
        <w:rPr>
          <w:rFonts w:cstheme="minorHAnsi"/>
        </w:rPr>
      </w:pPr>
      <w:r w:rsidRPr="00D7131A">
        <w:rPr>
          <w:rFonts w:cstheme="minorHAnsi"/>
        </w:rPr>
        <w:t>¶ data unavailable for 16 patients, ¶¶ data unavailable for 1 patient, §§ data unavailable for 30 patients, ‡ data unavailable for 6 patients</w:t>
      </w:r>
      <w:r w:rsidR="009C7BE8">
        <w:rPr>
          <w:rFonts w:cstheme="minorHAnsi"/>
        </w:rPr>
        <w:t>,</w:t>
      </w:r>
      <w:r w:rsidR="00D91043">
        <w:rPr>
          <w:rFonts w:cstheme="minorHAnsi"/>
        </w:rPr>
        <w:t xml:space="preserve"> </w:t>
      </w:r>
      <w:r w:rsidR="009C7BE8">
        <w:rPr>
          <w:rFonts w:cstheme="minorHAnsi"/>
        </w:rPr>
        <w:t>^ data unavailable for 67 patients</w:t>
      </w:r>
    </w:p>
    <w:p w14:paraId="64198492" w14:textId="77777777" w:rsidR="00D7131A" w:rsidRPr="00D7131A" w:rsidRDefault="00D7131A" w:rsidP="00D7131A">
      <w:pPr>
        <w:rPr>
          <w:rFonts w:cstheme="minorHAnsi"/>
        </w:rPr>
      </w:pPr>
    </w:p>
    <w:p w14:paraId="5BCD1A37" w14:textId="77777777" w:rsidR="00D7131A" w:rsidRPr="00D7131A" w:rsidRDefault="00D7131A" w:rsidP="00D7131A">
      <w:pPr>
        <w:rPr>
          <w:rFonts w:cstheme="minorHAnsi"/>
        </w:rPr>
      </w:pPr>
    </w:p>
    <w:p w14:paraId="66739282" w14:textId="5B84905E" w:rsidR="00D7131A" w:rsidRPr="00D7131A" w:rsidRDefault="00195EFD" w:rsidP="00D7131A">
      <w:pPr>
        <w:rPr>
          <w:rFonts w:cstheme="minorHAnsi"/>
        </w:rPr>
      </w:pPr>
      <w:bookmarkStart w:id="2" w:name="Table2"/>
      <w:bookmarkEnd w:id="2"/>
      <w:r>
        <w:rPr>
          <w:rFonts w:cstheme="minorHAnsi"/>
          <w:b/>
          <w:bCs/>
        </w:rPr>
        <w:t>Table</w:t>
      </w:r>
      <w:r w:rsidR="0081440C" w:rsidRPr="0081440C">
        <w:rPr>
          <w:rFonts w:cstheme="minorHAnsi"/>
          <w:b/>
          <w:bCs/>
        </w:rPr>
        <w:t xml:space="preserve"> 2</w:t>
      </w:r>
      <w:r w:rsidR="0081440C">
        <w:rPr>
          <w:rFonts w:cstheme="minorHAnsi"/>
        </w:rPr>
        <w:t>: Presence of comorbidities in patients classified as T2-high and T2-low status</w:t>
      </w:r>
    </w:p>
    <w:tbl>
      <w:tblPr>
        <w:tblStyle w:val="TableGrid"/>
        <w:tblW w:w="8016" w:type="dxa"/>
        <w:jc w:val="center"/>
        <w:shd w:val="clear" w:color="auto" w:fill="FFFFFF" w:themeFill="background1"/>
        <w:tblLayout w:type="fixed"/>
        <w:tblLook w:val="04A0" w:firstRow="1" w:lastRow="0" w:firstColumn="1" w:lastColumn="0" w:noHBand="0" w:noVBand="1"/>
      </w:tblPr>
      <w:tblGrid>
        <w:gridCol w:w="4390"/>
        <w:gridCol w:w="1208"/>
        <w:gridCol w:w="1209"/>
        <w:gridCol w:w="1209"/>
      </w:tblGrid>
      <w:tr w:rsidR="00F146F0" w:rsidRPr="00D7131A" w14:paraId="23DC0438" w14:textId="77777777" w:rsidTr="00C62659">
        <w:trPr>
          <w:trHeight w:val="135"/>
          <w:jc w:val="center"/>
        </w:trPr>
        <w:tc>
          <w:tcPr>
            <w:tcW w:w="4390" w:type="dxa"/>
            <w:shd w:val="clear" w:color="auto" w:fill="E7E6E6" w:themeFill="background2"/>
            <w:vAlign w:val="center"/>
          </w:tcPr>
          <w:p w14:paraId="2A1CFBAE" w14:textId="77777777" w:rsidR="00F146F0" w:rsidRPr="00D7131A" w:rsidRDefault="00F146F0" w:rsidP="0022143A">
            <w:pPr>
              <w:rPr>
                <w:rFonts w:cstheme="minorHAnsi"/>
                <w:b/>
                <w:bCs/>
              </w:rPr>
            </w:pPr>
          </w:p>
        </w:tc>
        <w:tc>
          <w:tcPr>
            <w:tcW w:w="1208" w:type="dxa"/>
            <w:shd w:val="clear" w:color="auto" w:fill="FFFFFF" w:themeFill="background1"/>
          </w:tcPr>
          <w:p w14:paraId="7408388F" w14:textId="77777777" w:rsidR="00F146F0" w:rsidRPr="002757F3" w:rsidRDefault="00F146F0" w:rsidP="00F146F0">
            <w:pPr>
              <w:jc w:val="center"/>
              <w:rPr>
                <w:rFonts w:cstheme="minorHAnsi"/>
              </w:rPr>
            </w:pPr>
            <w:r w:rsidRPr="002757F3">
              <w:rPr>
                <w:rFonts w:cstheme="minorHAnsi"/>
              </w:rPr>
              <w:t>T2-high</w:t>
            </w:r>
          </w:p>
          <w:p w14:paraId="147C367A" w14:textId="7A6EC70C" w:rsidR="00F146F0" w:rsidRPr="002757F3" w:rsidRDefault="00F146F0" w:rsidP="00F146F0">
            <w:pPr>
              <w:jc w:val="center"/>
              <w:rPr>
                <w:rFonts w:cstheme="minorHAnsi"/>
              </w:rPr>
            </w:pPr>
            <w:r>
              <w:rPr>
                <w:rFonts w:cstheme="minorHAnsi"/>
              </w:rPr>
              <w:t>n</w:t>
            </w:r>
            <w:r w:rsidRPr="002757F3">
              <w:rPr>
                <w:rFonts w:cstheme="minorHAnsi"/>
              </w:rPr>
              <w:t>= 360</w:t>
            </w:r>
          </w:p>
        </w:tc>
        <w:tc>
          <w:tcPr>
            <w:tcW w:w="1209" w:type="dxa"/>
            <w:shd w:val="clear" w:color="auto" w:fill="FFFFFF" w:themeFill="background1"/>
          </w:tcPr>
          <w:p w14:paraId="065769E9" w14:textId="77777777" w:rsidR="00F146F0" w:rsidRPr="002757F3" w:rsidRDefault="00F146F0" w:rsidP="00F146F0">
            <w:pPr>
              <w:jc w:val="center"/>
              <w:rPr>
                <w:rFonts w:cstheme="minorHAnsi"/>
              </w:rPr>
            </w:pPr>
            <w:r w:rsidRPr="002757F3">
              <w:rPr>
                <w:rFonts w:cstheme="minorHAnsi"/>
              </w:rPr>
              <w:t>T2-low</w:t>
            </w:r>
          </w:p>
          <w:p w14:paraId="5F7D44F2" w14:textId="6286BE9F" w:rsidR="00F146F0" w:rsidRPr="00D7131A" w:rsidRDefault="00F146F0" w:rsidP="00F146F0">
            <w:pPr>
              <w:jc w:val="center"/>
              <w:rPr>
                <w:rFonts w:cstheme="minorHAnsi"/>
              </w:rPr>
            </w:pPr>
            <w:r>
              <w:rPr>
                <w:rFonts w:cstheme="minorHAnsi"/>
              </w:rPr>
              <w:t>n</w:t>
            </w:r>
            <w:r w:rsidRPr="002757F3">
              <w:rPr>
                <w:rFonts w:cstheme="minorHAnsi"/>
              </w:rPr>
              <w:t>=28</w:t>
            </w:r>
          </w:p>
        </w:tc>
        <w:tc>
          <w:tcPr>
            <w:tcW w:w="1209" w:type="dxa"/>
            <w:shd w:val="clear" w:color="auto" w:fill="FFFFFF" w:themeFill="background1"/>
          </w:tcPr>
          <w:p w14:paraId="7C42A5B5" w14:textId="387444B9" w:rsidR="00F146F0" w:rsidRPr="00D7131A" w:rsidRDefault="00F146F0" w:rsidP="0022143A">
            <w:pPr>
              <w:rPr>
                <w:rFonts w:cstheme="minorHAnsi"/>
              </w:rPr>
            </w:pPr>
            <w:r w:rsidRPr="00D7131A">
              <w:rPr>
                <w:rFonts w:cstheme="minorHAnsi"/>
              </w:rPr>
              <w:t>P value</w:t>
            </w:r>
          </w:p>
        </w:tc>
      </w:tr>
      <w:tr w:rsidR="00F146F0" w:rsidRPr="00D7131A" w14:paraId="73ECD893" w14:textId="77777777" w:rsidTr="00C62659">
        <w:trPr>
          <w:jc w:val="center"/>
        </w:trPr>
        <w:tc>
          <w:tcPr>
            <w:tcW w:w="4390" w:type="dxa"/>
            <w:shd w:val="clear" w:color="auto" w:fill="E7E6E6" w:themeFill="background2"/>
            <w:vAlign w:val="center"/>
          </w:tcPr>
          <w:p w14:paraId="528851A6" w14:textId="453FA919" w:rsidR="00F146F0" w:rsidRPr="002757F3" w:rsidRDefault="00C074E9" w:rsidP="00F146F0">
            <w:pPr>
              <w:rPr>
                <w:rFonts w:cstheme="minorHAnsi"/>
              </w:rPr>
            </w:pPr>
            <w:r>
              <w:rPr>
                <w:rFonts w:cstheme="minorHAnsi"/>
              </w:rPr>
              <w:t>N</w:t>
            </w:r>
            <w:r w:rsidR="00F146F0">
              <w:rPr>
                <w:rFonts w:cstheme="minorHAnsi"/>
              </w:rPr>
              <w:t>asal polyps</w:t>
            </w:r>
            <w:r w:rsidR="00E022E1">
              <w:rPr>
                <w:rFonts w:cstheme="minorHAnsi"/>
              </w:rPr>
              <w:t xml:space="preserve"> (</w:t>
            </w:r>
            <w:r>
              <w:rPr>
                <w:rFonts w:cstheme="minorHAnsi"/>
              </w:rPr>
              <w:t>%</w:t>
            </w:r>
            <w:r w:rsidR="00CD58A3">
              <w:rPr>
                <w:rFonts w:cstheme="minorHAnsi"/>
              </w:rPr>
              <w:t>/n</w:t>
            </w:r>
            <w:r w:rsidR="00E022E1">
              <w:rPr>
                <w:rFonts w:cstheme="minorHAnsi"/>
              </w:rPr>
              <w:t>)</w:t>
            </w:r>
          </w:p>
        </w:tc>
        <w:tc>
          <w:tcPr>
            <w:tcW w:w="1208" w:type="dxa"/>
            <w:shd w:val="clear" w:color="auto" w:fill="FFFFFF" w:themeFill="background1"/>
            <w:vAlign w:val="center"/>
          </w:tcPr>
          <w:p w14:paraId="5F2CA83E" w14:textId="77777777" w:rsidR="00F146F0" w:rsidRDefault="00F146F0" w:rsidP="00F146F0">
            <w:pPr>
              <w:jc w:val="center"/>
              <w:rPr>
                <w:rFonts w:cstheme="minorHAnsi"/>
              </w:rPr>
            </w:pPr>
            <w:r>
              <w:rPr>
                <w:rFonts w:cstheme="minorHAnsi"/>
              </w:rPr>
              <w:t>24.3</w:t>
            </w:r>
          </w:p>
          <w:p w14:paraId="0C9B42D9" w14:textId="792F025C" w:rsidR="00F146F0" w:rsidRPr="00D7131A" w:rsidRDefault="00F146F0" w:rsidP="00F146F0">
            <w:pPr>
              <w:jc w:val="center"/>
              <w:rPr>
                <w:rFonts w:cstheme="minorHAnsi"/>
              </w:rPr>
            </w:pPr>
            <w:r>
              <w:rPr>
                <w:rFonts w:cstheme="minorHAnsi"/>
              </w:rPr>
              <w:t>(82/332)</w:t>
            </w:r>
          </w:p>
        </w:tc>
        <w:tc>
          <w:tcPr>
            <w:tcW w:w="1209" w:type="dxa"/>
            <w:shd w:val="clear" w:color="auto" w:fill="FFFFFF" w:themeFill="background1"/>
            <w:vAlign w:val="center"/>
          </w:tcPr>
          <w:p w14:paraId="14F4A8EF" w14:textId="77777777" w:rsidR="00F146F0" w:rsidRDefault="00F146F0" w:rsidP="00F146F0">
            <w:pPr>
              <w:jc w:val="center"/>
              <w:rPr>
                <w:rFonts w:cstheme="minorHAnsi"/>
              </w:rPr>
            </w:pPr>
            <w:r>
              <w:rPr>
                <w:rFonts w:cstheme="minorHAnsi"/>
              </w:rPr>
              <w:t>15.4</w:t>
            </w:r>
          </w:p>
          <w:p w14:paraId="7AE59C5B" w14:textId="09018EED" w:rsidR="00F146F0" w:rsidRDefault="00F146F0" w:rsidP="00F146F0">
            <w:pPr>
              <w:jc w:val="center"/>
              <w:rPr>
                <w:rFonts w:cstheme="minorHAnsi"/>
              </w:rPr>
            </w:pPr>
            <w:r>
              <w:rPr>
                <w:rFonts w:cstheme="minorHAnsi"/>
              </w:rPr>
              <w:t>(4/26)</w:t>
            </w:r>
          </w:p>
        </w:tc>
        <w:tc>
          <w:tcPr>
            <w:tcW w:w="1209" w:type="dxa"/>
            <w:shd w:val="clear" w:color="auto" w:fill="FFFFFF" w:themeFill="background1"/>
          </w:tcPr>
          <w:p w14:paraId="3B602EB6" w14:textId="63CAECA7" w:rsidR="00F146F0" w:rsidRPr="00D7131A" w:rsidRDefault="00F146F0" w:rsidP="00F146F0">
            <w:pPr>
              <w:rPr>
                <w:rFonts w:cstheme="minorHAnsi"/>
              </w:rPr>
            </w:pPr>
            <w:r>
              <w:rPr>
                <w:rFonts w:cstheme="minorHAnsi"/>
              </w:rPr>
              <w:t>0.3</w:t>
            </w:r>
          </w:p>
        </w:tc>
      </w:tr>
      <w:tr w:rsidR="00F146F0" w:rsidRPr="00D7131A" w14:paraId="2A8B19F3" w14:textId="77777777" w:rsidTr="00C62659">
        <w:trPr>
          <w:jc w:val="center"/>
        </w:trPr>
        <w:tc>
          <w:tcPr>
            <w:tcW w:w="4390" w:type="dxa"/>
            <w:shd w:val="clear" w:color="auto" w:fill="E7E6E6" w:themeFill="background2"/>
            <w:vAlign w:val="center"/>
          </w:tcPr>
          <w:p w14:paraId="3329E57D" w14:textId="7A0435EB" w:rsidR="00F146F0" w:rsidRPr="002757F3" w:rsidRDefault="00C074E9" w:rsidP="00F146F0">
            <w:pPr>
              <w:rPr>
                <w:rFonts w:cstheme="minorHAnsi"/>
              </w:rPr>
            </w:pPr>
            <w:r>
              <w:rPr>
                <w:rFonts w:cstheme="minorHAnsi"/>
              </w:rPr>
              <w:t>D</w:t>
            </w:r>
            <w:r w:rsidR="00F146F0">
              <w:rPr>
                <w:rFonts w:cstheme="minorHAnsi"/>
              </w:rPr>
              <w:t>epression</w:t>
            </w:r>
            <w:r w:rsidR="00E022E1">
              <w:rPr>
                <w:rFonts w:cstheme="minorHAnsi"/>
              </w:rPr>
              <w:t xml:space="preserve"> (</w:t>
            </w:r>
            <w:r w:rsidR="00CD58A3">
              <w:rPr>
                <w:rFonts w:cstheme="minorHAnsi"/>
              </w:rPr>
              <w:t>%/n</w:t>
            </w:r>
            <w:r w:rsidR="00E022E1">
              <w:rPr>
                <w:rFonts w:cstheme="minorHAnsi"/>
              </w:rPr>
              <w:t>)</w:t>
            </w:r>
          </w:p>
        </w:tc>
        <w:tc>
          <w:tcPr>
            <w:tcW w:w="1208" w:type="dxa"/>
            <w:shd w:val="clear" w:color="auto" w:fill="FFFFFF" w:themeFill="background1"/>
            <w:vAlign w:val="center"/>
          </w:tcPr>
          <w:p w14:paraId="46555019" w14:textId="77777777" w:rsidR="00F146F0" w:rsidRDefault="00F146F0" w:rsidP="00F146F0">
            <w:pPr>
              <w:jc w:val="center"/>
              <w:rPr>
                <w:rFonts w:cstheme="minorHAnsi"/>
              </w:rPr>
            </w:pPr>
            <w:r>
              <w:rPr>
                <w:rFonts w:cstheme="minorHAnsi"/>
              </w:rPr>
              <w:t>38.1</w:t>
            </w:r>
          </w:p>
          <w:p w14:paraId="16286A87" w14:textId="77C97DA8" w:rsidR="00F146F0" w:rsidRPr="00D7131A" w:rsidRDefault="00F146F0" w:rsidP="00F146F0">
            <w:pPr>
              <w:jc w:val="center"/>
              <w:rPr>
                <w:rFonts w:cstheme="minorHAnsi"/>
              </w:rPr>
            </w:pPr>
            <w:r>
              <w:rPr>
                <w:rFonts w:cstheme="minorHAnsi"/>
              </w:rPr>
              <w:t>(125/328)</w:t>
            </w:r>
          </w:p>
        </w:tc>
        <w:tc>
          <w:tcPr>
            <w:tcW w:w="1209" w:type="dxa"/>
            <w:shd w:val="clear" w:color="auto" w:fill="FFFFFF" w:themeFill="background1"/>
            <w:vAlign w:val="center"/>
          </w:tcPr>
          <w:p w14:paraId="6A284679" w14:textId="77777777" w:rsidR="00F146F0" w:rsidRDefault="00F146F0" w:rsidP="00F146F0">
            <w:pPr>
              <w:jc w:val="center"/>
              <w:rPr>
                <w:rFonts w:cstheme="minorHAnsi"/>
              </w:rPr>
            </w:pPr>
            <w:r>
              <w:rPr>
                <w:rFonts w:cstheme="minorHAnsi"/>
              </w:rPr>
              <w:t>33.3</w:t>
            </w:r>
          </w:p>
          <w:p w14:paraId="4B19952A" w14:textId="26248A2B" w:rsidR="00F146F0" w:rsidRDefault="00F146F0" w:rsidP="00F146F0">
            <w:pPr>
              <w:jc w:val="center"/>
              <w:rPr>
                <w:rFonts w:cstheme="minorHAnsi"/>
              </w:rPr>
            </w:pPr>
            <w:r>
              <w:rPr>
                <w:rFonts w:cstheme="minorHAnsi"/>
              </w:rPr>
              <w:t>(9/27)</w:t>
            </w:r>
          </w:p>
        </w:tc>
        <w:tc>
          <w:tcPr>
            <w:tcW w:w="1209" w:type="dxa"/>
            <w:shd w:val="clear" w:color="auto" w:fill="FFFFFF" w:themeFill="background1"/>
          </w:tcPr>
          <w:p w14:paraId="278B6AC0" w14:textId="55AC3928" w:rsidR="00F146F0" w:rsidRPr="00D7131A" w:rsidRDefault="00F146F0" w:rsidP="00F146F0">
            <w:pPr>
              <w:rPr>
                <w:rFonts w:cstheme="minorHAnsi"/>
              </w:rPr>
            </w:pPr>
            <w:r>
              <w:rPr>
                <w:rFonts w:cstheme="minorHAnsi"/>
              </w:rPr>
              <w:t>0.62</w:t>
            </w:r>
          </w:p>
        </w:tc>
      </w:tr>
      <w:tr w:rsidR="00F146F0" w:rsidRPr="00D7131A" w14:paraId="555DBD02" w14:textId="77777777" w:rsidTr="00C62659">
        <w:trPr>
          <w:jc w:val="center"/>
        </w:trPr>
        <w:tc>
          <w:tcPr>
            <w:tcW w:w="4390" w:type="dxa"/>
            <w:shd w:val="clear" w:color="auto" w:fill="E7E6E6" w:themeFill="background2"/>
            <w:vAlign w:val="center"/>
          </w:tcPr>
          <w:p w14:paraId="07793697" w14:textId="17BA796B" w:rsidR="00F146F0" w:rsidRPr="002757F3" w:rsidRDefault="00C074E9" w:rsidP="00F146F0">
            <w:pPr>
              <w:rPr>
                <w:rFonts w:cstheme="minorHAnsi"/>
              </w:rPr>
            </w:pPr>
            <w:r>
              <w:rPr>
                <w:rFonts w:cstheme="minorHAnsi"/>
              </w:rPr>
              <w:t>A</w:t>
            </w:r>
            <w:r w:rsidR="00F146F0">
              <w:rPr>
                <w:rFonts w:cstheme="minorHAnsi"/>
              </w:rPr>
              <w:t>nxiety</w:t>
            </w:r>
            <w:r w:rsidR="00E022E1">
              <w:rPr>
                <w:rFonts w:cstheme="minorHAnsi"/>
              </w:rPr>
              <w:t xml:space="preserve"> (</w:t>
            </w:r>
            <w:r w:rsidR="00F41295">
              <w:rPr>
                <w:rFonts w:cstheme="minorHAnsi"/>
              </w:rPr>
              <w:t>%/n</w:t>
            </w:r>
            <w:r w:rsidR="00E022E1">
              <w:rPr>
                <w:rFonts w:cstheme="minorHAnsi"/>
              </w:rPr>
              <w:t>)</w:t>
            </w:r>
          </w:p>
        </w:tc>
        <w:tc>
          <w:tcPr>
            <w:tcW w:w="1208" w:type="dxa"/>
            <w:shd w:val="clear" w:color="auto" w:fill="FFFFFF" w:themeFill="background1"/>
            <w:vAlign w:val="center"/>
          </w:tcPr>
          <w:p w14:paraId="36C50B13" w14:textId="77777777" w:rsidR="00F146F0" w:rsidRDefault="00F146F0" w:rsidP="00F146F0">
            <w:pPr>
              <w:jc w:val="center"/>
              <w:rPr>
                <w:rFonts w:cstheme="minorHAnsi"/>
              </w:rPr>
            </w:pPr>
            <w:r>
              <w:rPr>
                <w:rFonts w:cstheme="minorHAnsi"/>
              </w:rPr>
              <w:t>34.8</w:t>
            </w:r>
          </w:p>
          <w:p w14:paraId="1BE2703D" w14:textId="46963562" w:rsidR="00F146F0" w:rsidRPr="00D7131A" w:rsidRDefault="00F146F0" w:rsidP="00F146F0">
            <w:pPr>
              <w:jc w:val="center"/>
              <w:rPr>
                <w:rFonts w:cstheme="minorHAnsi"/>
              </w:rPr>
            </w:pPr>
            <w:r>
              <w:rPr>
                <w:rFonts w:cstheme="minorHAnsi"/>
              </w:rPr>
              <w:t>(114/328)</w:t>
            </w:r>
          </w:p>
        </w:tc>
        <w:tc>
          <w:tcPr>
            <w:tcW w:w="1209" w:type="dxa"/>
            <w:shd w:val="clear" w:color="auto" w:fill="FFFFFF" w:themeFill="background1"/>
            <w:vAlign w:val="center"/>
          </w:tcPr>
          <w:p w14:paraId="62D550E9" w14:textId="77777777" w:rsidR="00F146F0" w:rsidRDefault="00F146F0" w:rsidP="00F146F0">
            <w:pPr>
              <w:jc w:val="center"/>
              <w:rPr>
                <w:rFonts w:cstheme="minorHAnsi"/>
              </w:rPr>
            </w:pPr>
            <w:r>
              <w:rPr>
                <w:rFonts w:cstheme="minorHAnsi"/>
              </w:rPr>
              <w:t>24</w:t>
            </w:r>
          </w:p>
          <w:p w14:paraId="4BBFB418" w14:textId="2C8DEAD0" w:rsidR="00F146F0" w:rsidRDefault="00F146F0" w:rsidP="00F146F0">
            <w:pPr>
              <w:jc w:val="center"/>
              <w:rPr>
                <w:rFonts w:cstheme="minorHAnsi"/>
                <w:b/>
                <w:bCs/>
              </w:rPr>
            </w:pPr>
            <w:r>
              <w:rPr>
                <w:rFonts w:cstheme="minorHAnsi"/>
              </w:rPr>
              <w:t>(6/25)</w:t>
            </w:r>
          </w:p>
        </w:tc>
        <w:tc>
          <w:tcPr>
            <w:tcW w:w="1209" w:type="dxa"/>
            <w:shd w:val="clear" w:color="auto" w:fill="FFFFFF" w:themeFill="background1"/>
          </w:tcPr>
          <w:p w14:paraId="58F8A1A3" w14:textId="2F7C39BC" w:rsidR="00F146F0" w:rsidRPr="00F146F0" w:rsidRDefault="00F146F0" w:rsidP="00F146F0">
            <w:pPr>
              <w:rPr>
                <w:rFonts w:cstheme="minorHAnsi"/>
              </w:rPr>
            </w:pPr>
            <w:r w:rsidRPr="00F146F0">
              <w:rPr>
                <w:rFonts w:cstheme="minorHAnsi"/>
              </w:rPr>
              <w:t>0.27</w:t>
            </w:r>
          </w:p>
        </w:tc>
      </w:tr>
      <w:tr w:rsidR="00F146F0" w:rsidRPr="00D7131A" w14:paraId="7F6015DB" w14:textId="77777777" w:rsidTr="00C62659">
        <w:trPr>
          <w:jc w:val="center"/>
        </w:trPr>
        <w:tc>
          <w:tcPr>
            <w:tcW w:w="4390" w:type="dxa"/>
            <w:shd w:val="clear" w:color="auto" w:fill="E7E6E6" w:themeFill="background2"/>
            <w:vAlign w:val="center"/>
          </w:tcPr>
          <w:p w14:paraId="0828EAEB" w14:textId="45BAC676" w:rsidR="00F146F0" w:rsidRPr="002757F3" w:rsidRDefault="00C074E9" w:rsidP="00F146F0">
            <w:pPr>
              <w:rPr>
                <w:rFonts w:cstheme="minorHAnsi"/>
              </w:rPr>
            </w:pPr>
            <w:r>
              <w:rPr>
                <w:rFonts w:cstheme="minorHAnsi"/>
              </w:rPr>
              <w:t>D</w:t>
            </w:r>
            <w:r w:rsidR="00F146F0">
              <w:rPr>
                <w:rFonts w:cstheme="minorHAnsi"/>
              </w:rPr>
              <w:t>ysfunctional breathing</w:t>
            </w:r>
            <w:r w:rsidR="00E022E1">
              <w:rPr>
                <w:rFonts w:cstheme="minorHAnsi"/>
              </w:rPr>
              <w:t xml:space="preserve"> (</w:t>
            </w:r>
            <w:r w:rsidR="00F41295">
              <w:rPr>
                <w:rFonts w:cstheme="minorHAnsi"/>
              </w:rPr>
              <w:t>%/n</w:t>
            </w:r>
            <w:r w:rsidR="00E022E1">
              <w:rPr>
                <w:rFonts w:cstheme="minorHAnsi"/>
              </w:rPr>
              <w:t>)</w:t>
            </w:r>
          </w:p>
        </w:tc>
        <w:tc>
          <w:tcPr>
            <w:tcW w:w="1208" w:type="dxa"/>
            <w:shd w:val="clear" w:color="auto" w:fill="FFFFFF" w:themeFill="background1"/>
            <w:vAlign w:val="center"/>
          </w:tcPr>
          <w:p w14:paraId="14E2120A" w14:textId="77777777" w:rsidR="00F146F0" w:rsidRDefault="00F146F0" w:rsidP="00F146F0">
            <w:pPr>
              <w:jc w:val="center"/>
              <w:rPr>
                <w:rFonts w:cstheme="minorHAnsi"/>
              </w:rPr>
            </w:pPr>
            <w:r>
              <w:rPr>
                <w:rFonts w:cstheme="minorHAnsi"/>
              </w:rPr>
              <w:t>48.3</w:t>
            </w:r>
          </w:p>
          <w:p w14:paraId="7B1C2CC2" w14:textId="71C16E79" w:rsidR="00F146F0" w:rsidRPr="00D7131A" w:rsidRDefault="00F146F0" w:rsidP="00F146F0">
            <w:pPr>
              <w:jc w:val="center"/>
              <w:rPr>
                <w:rFonts w:cstheme="minorHAnsi"/>
              </w:rPr>
            </w:pPr>
            <w:r>
              <w:rPr>
                <w:rFonts w:cstheme="minorHAnsi"/>
              </w:rPr>
              <w:t>(166/344)</w:t>
            </w:r>
          </w:p>
        </w:tc>
        <w:tc>
          <w:tcPr>
            <w:tcW w:w="1209" w:type="dxa"/>
            <w:shd w:val="clear" w:color="auto" w:fill="FFFFFF" w:themeFill="background1"/>
            <w:vAlign w:val="center"/>
          </w:tcPr>
          <w:p w14:paraId="5B76042E" w14:textId="77777777" w:rsidR="00F146F0" w:rsidRDefault="00F146F0" w:rsidP="00F146F0">
            <w:pPr>
              <w:jc w:val="center"/>
              <w:rPr>
                <w:rFonts w:cstheme="minorHAnsi"/>
              </w:rPr>
            </w:pPr>
            <w:r>
              <w:rPr>
                <w:rFonts w:cstheme="minorHAnsi"/>
              </w:rPr>
              <w:t>59.3</w:t>
            </w:r>
          </w:p>
          <w:p w14:paraId="2CC970A2" w14:textId="598B31A6" w:rsidR="00F146F0" w:rsidRDefault="00F146F0" w:rsidP="00F146F0">
            <w:pPr>
              <w:jc w:val="center"/>
              <w:rPr>
                <w:rFonts w:cstheme="minorHAnsi"/>
                <w:b/>
                <w:bCs/>
              </w:rPr>
            </w:pPr>
            <w:r>
              <w:rPr>
                <w:rFonts w:cstheme="minorHAnsi"/>
              </w:rPr>
              <w:t>(16/27)</w:t>
            </w:r>
          </w:p>
        </w:tc>
        <w:tc>
          <w:tcPr>
            <w:tcW w:w="1209" w:type="dxa"/>
            <w:shd w:val="clear" w:color="auto" w:fill="FFFFFF" w:themeFill="background1"/>
          </w:tcPr>
          <w:p w14:paraId="02EDFF19" w14:textId="146CCB8C" w:rsidR="00F146F0" w:rsidRPr="00F146F0" w:rsidRDefault="00F146F0" w:rsidP="00F146F0">
            <w:pPr>
              <w:rPr>
                <w:rFonts w:cstheme="minorHAnsi"/>
              </w:rPr>
            </w:pPr>
            <w:r w:rsidRPr="00F146F0">
              <w:rPr>
                <w:rFonts w:cstheme="minorHAnsi"/>
              </w:rPr>
              <w:t>0.27</w:t>
            </w:r>
          </w:p>
        </w:tc>
      </w:tr>
      <w:tr w:rsidR="00F146F0" w:rsidRPr="00D7131A" w14:paraId="57898FC6" w14:textId="77777777" w:rsidTr="00C62659">
        <w:trPr>
          <w:jc w:val="center"/>
        </w:trPr>
        <w:tc>
          <w:tcPr>
            <w:tcW w:w="4390" w:type="dxa"/>
            <w:shd w:val="clear" w:color="auto" w:fill="E7E6E6" w:themeFill="background2"/>
            <w:vAlign w:val="center"/>
          </w:tcPr>
          <w:p w14:paraId="2433601C" w14:textId="7C4AEC0F" w:rsidR="00F146F0" w:rsidRPr="002757F3" w:rsidRDefault="00C074E9" w:rsidP="00F146F0">
            <w:pPr>
              <w:rPr>
                <w:rFonts w:cstheme="minorHAnsi"/>
              </w:rPr>
            </w:pPr>
            <w:r>
              <w:rPr>
                <w:rFonts w:cstheme="minorHAnsi"/>
              </w:rPr>
              <w:t>E</w:t>
            </w:r>
            <w:r w:rsidR="00F146F0">
              <w:rPr>
                <w:rFonts w:cstheme="minorHAnsi"/>
              </w:rPr>
              <w:t>czema</w:t>
            </w:r>
            <w:r w:rsidR="00E022E1">
              <w:rPr>
                <w:rFonts w:cstheme="minorHAnsi"/>
              </w:rPr>
              <w:t xml:space="preserve"> (</w:t>
            </w:r>
            <w:r w:rsidR="00F41295">
              <w:rPr>
                <w:rFonts w:cstheme="minorHAnsi"/>
              </w:rPr>
              <w:t>%/n</w:t>
            </w:r>
            <w:r w:rsidR="00E022E1">
              <w:rPr>
                <w:rFonts w:cstheme="minorHAnsi"/>
              </w:rPr>
              <w:t>)</w:t>
            </w:r>
          </w:p>
        </w:tc>
        <w:tc>
          <w:tcPr>
            <w:tcW w:w="1208" w:type="dxa"/>
            <w:shd w:val="clear" w:color="auto" w:fill="FFFFFF" w:themeFill="background1"/>
          </w:tcPr>
          <w:p w14:paraId="36D9CED3" w14:textId="77777777" w:rsidR="00F146F0" w:rsidRDefault="00F146F0" w:rsidP="00F146F0">
            <w:pPr>
              <w:jc w:val="center"/>
              <w:rPr>
                <w:rFonts w:cstheme="minorHAnsi"/>
              </w:rPr>
            </w:pPr>
            <w:r>
              <w:rPr>
                <w:rFonts w:cstheme="minorHAnsi"/>
              </w:rPr>
              <w:t>23.9</w:t>
            </w:r>
          </w:p>
          <w:p w14:paraId="68C0788B" w14:textId="1C654690" w:rsidR="00F146F0" w:rsidRPr="00D7131A" w:rsidRDefault="00F146F0" w:rsidP="00F146F0">
            <w:pPr>
              <w:jc w:val="center"/>
              <w:rPr>
                <w:rFonts w:cstheme="minorHAnsi"/>
              </w:rPr>
            </w:pPr>
            <w:r>
              <w:rPr>
                <w:rFonts w:cstheme="minorHAnsi"/>
              </w:rPr>
              <w:t>(85/356)</w:t>
            </w:r>
          </w:p>
        </w:tc>
        <w:tc>
          <w:tcPr>
            <w:tcW w:w="1209" w:type="dxa"/>
            <w:shd w:val="clear" w:color="auto" w:fill="FFFFFF" w:themeFill="background1"/>
          </w:tcPr>
          <w:p w14:paraId="4BFC9E72" w14:textId="77777777" w:rsidR="00F146F0" w:rsidRDefault="00F146F0" w:rsidP="00F146F0">
            <w:pPr>
              <w:jc w:val="center"/>
              <w:rPr>
                <w:rFonts w:cstheme="minorHAnsi"/>
              </w:rPr>
            </w:pPr>
            <w:r>
              <w:rPr>
                <w:rFonts w:cstheme="minorHAnsi"/>
              </w:rPr>
              <w:t>14.8</w:t>
            </w:r>
          </w:p>
          <w:p w14:paraId="6AF81696" w14:textId="35575FE5" w:rsidR="00F146F0" w:rsidRPr="00E01A38" w:rsidRDefault="00F146F0" w:rsidP="00F146F0">
            <w:pPr>
              <w:jc w:val="center"/>
              <w:rPr>
                <w:rFonts w:cstheme="minorHAnsi"/>
              </w:rPr>
            </w:pPr>
            <w:r>
              <w:rPr>
                <w:rFonts w:cstheme="minorHAnsi"/>
              </w:rPr>
              <w:t>(4/24)</w:t>
            </w:r>
          </w:p>
        </w:tc>
        <w:tc>
          <w:tcPr>
            <w:tcW w:w="1209" w:type="dxa"/>
            <w:shd w:val="clear" w:color="auto" w:fill="FFFFFF" w:themeFill="background1"/>
          </w:tcPr>
          <w:p w14:paraId="3ADD516D" w14:textId="46F2C839" w:rsidR="00F146F0" w:rsidRPr="00E01A38" w:rsidRDefault="00F146F0" w:rsidP="00F146F0">
            <w:pPr>
              <w:rPr>
                <w:rFonts w:cstheme="minorHAnsi"/>
              </w:rPr>
            </w:pPr>
            <w:r w:rsidRPr="00E01A38">
              <w:rPr>
                <w:rFonts w:cstheme="minorHAnsi"/>
              </w:rPr>
              <w:t>0.28</w:t>
            </w:r>
          </w:p>
        </w:tc>
      </w:tr>
      <w:tr w:rsidR="00F146F0" w:rsidRPr="00D7131A" w14:paraId="1A276A97" w14:textId="77777777" w:rsidTr="00C62659">
        <w:trPr>
          <w:jc w:val="center"/>
        </w:trPr>
        <w:tc>
          <w:tcPr>
            <w:tcW w:w="4390" w:type="dxa"/>
            <w:shd w:val="clear" w:color="auto" w:fill="E7E6E6" w:themeFill="background2"/>
            <w:vAlign w:val="center"/>
          </w:tcPr>
          <w:p w14:paraId="535D7C37" w14:textId="249206D0" w:rsidR="00F146F0" w:rsidRPr="002757F3" w:rsidRDefault="00C074E9" w:rsidP="00F146F0">
            <w:pPr>
              <w:rPr>
                <w:rFonts w:cstheme="minorHAnsi"/>
              </w:rPr>
            </w:pPr>
            <w:r>
              <w:rPr>
                <w:rFonts w:cstheme="minorHAnsi"/>
              </w:rPr>
              <w:t>O</w:t>
            </w:r>
            <w:r w:rsidR="00F146F0">
              <w:rPr>
                <w:rFonts w:cstheme="minorHAnsi"/>
              </w:rPr>
              <w:t>bstructive sleep apnoea</w:t>
            </w:r>
            <w:r w:rsidR="00E022E1">
              <w:rPr>
                <w:rFonts w:cstheme="minorHAnsi"/>
              </w:rPr>
              <w:t xml:space="preserve"> (</w:t>
            </w:r>
            <w:r w:rsidR="00F41295">
              <w:rPr>
                <w:rFonts w:cstheme="minorHAnsi"/>
              </w:rPr>
              <w:t>%/n</w:t>
            </w:r>
            <w:r w:rsidR="00E022E1">
              <w:rPr>
                <w:rFonts w:cstheme="minorHAnsi"/>
              </w:rPr>
              <w:t>)</w:t>
            </w:r>
          </w:p>
        </w:tc>
        <w:tc>
          <w:tcPr>
            <w:tcW w:w="1208" w:type="dxa"/>
            <w:shd w:val="clear" w:color="auto" w:fill="FFFFFF" w:themeFill="background1"/>
          </w:tcPr>
          <w:p w14:paraId="2F5699BF" w14:textId="77777777" w:rsidR="00F146F0" w:rsidRDefault="00F146F0" w:rsidP="00F146F0">
            <w:pPr>
              <w:jc w:val="center"/>
              <w:rPr>
                <w:rFonts w:cstheme="minorHAnsi"/>
              </w:rPr>
            </w:pPr>
            <w:r>
              <w:rPr>
                <w:rFonts w:cstheme="minorHAnsi"/>
              </w:rPr>
              <w:t>7.4</w:t>
            </w:r>
          </w:p>
          <w:p w14:paraId="6F41DD80" w14:textId="06E2C013" w:rsidR="00F146F0" w:rsidRPr="00D7131A" w:rsidRDefault="00F146F0" w:rsidP="00F146F0">
            <w:pPr>
              <w:jc w:val="center"/>
              <w:rPr>
                <w:rFonts w:cstheme="minorHAnsi"/>
              </w:rPr>
            </w:pPr>
            <w:r>
              <w:rPr>
                <w:rFonts w:cstheme="minorHAnsi"/>
              </w:rPr>
              <w:t>(26/352)</w:t>
            </w:r>
          </w:p>
        </w:tc>
        <w:tc>
          <w:tcPr>
            <w:tcW w:w="1209" w:type="dxa"/>
            <w:shd w:val="clear" w:color="auto" w:fill="FFFFFF" w:themeFill="background1"/>
          </w:tcPr>
          <w:p w14:paraId="74069DEB" w14:textId="77777777" w:rsidR="00F146F0" w:rsidRDefault="00F146F0" w:rsidP="00F146F0">
            <w:pPr>
              <w:jc w:val="center"/>
              <w:rPr>
                <w:rFonts w:cstheme="minorHAnsi"/>
              </w:rPr>
            </w:pPr>
            <w:r>
              <w:rPr>
                <w:rFonts w:cstheme="minorHAnsi"/>
              </w:rPr>
              <w:t>7.4</w:t>
            </w:r>
          </w:p>
          <w:p w14:paraId="45293025" w14:textId="3CE53662" w:rsidR="00F146F0" w:rsidRDefault="00F146F0" w:rsidP="00F146F0">
            <w:pPr>
              <w:jc w:val="center"/>
              <w:rPr>
                <w:rFonts w:cstheme="minorHAnsi"/>
              </w:rPr>
            </w:pPr>
            <w:r>
              <w:rPr>
                <w:rFonts w:cstheme="minorHAnsi"/>
              </w:rPr>
              <w:t>(2/27)</w:t>
            </w:r>
          </w:p>
        </w:tc>
        <w:tc>
          <w:tcPr>
            <w:tcW w:w="1209" w:type="dxa"/>
            <w:shd w:val="clear" w:color="auto" w:fill="FFFFFF" w:themeFill="background1"/>
          </w:tcPr>
          <w:p w14:paraId="4CDB7514" w14:textId="4A875734" w:rsidR="00F146F0" w:rsidRPr="00E01A38" w:rsidRDefault="00F146F0" w:rsidP="00F146F0">
            <w:pPr>
              <w:rPr>
                <w:rFonts w:cstheme="minorHAnsi"/>
              </w:rPr>
            </w:pPr>
            <w:r>
              <w:rPr>
                <w:rFonts w:cstheme="minorHAnsi"/>
              </w:rPr>
              <w:t>1</w:t>
            </w:r>
          </w:p>
        </w:tc>
      </w:tr>
      <w:tr w:rsidR="00F146F0" w:rsidRPr="00D7131A" w14:paraId="397AFD41" w14:textId="77777777" w:rsidTr="00C62659">
        <w:trPr>
          <w:jc w:val="center"/>
        </w:trPr>
        <w:tc>
          <w:tcPr>
            <w:tcW w:w="4390" w:type="dxa"/>
            <w:shd w:val="clear" w:color="auto" w:fill="E7E6E6" w:themeFill="background2"/>
            <w:vAlign w:val="center"/>
          </w:tcPr>
          <w:p w14:paraId="7530F307" w14:textId="1187F55F" w:rsidR="00F146F0" w:rsidRPr="002757F3" w:rsidRDefault="00C074E9" w:rsidP="00F146F0">
            <w:pPr>
              <w:rPr>
                <w:rFonts w:cstheme="minorHAnsi"/>
              </w:rPr>
            </w:pPr>
            <w:r>
              <w:rPr>
                <w:rFonts w:cstheme="minorHAnsi"/>
              </w:rPr>
              <w:t>V</w:t>
            </w:r>
            <w:r w:rsidR="00F146F0">
              <w:rPr>
                <w:rFonts w:cstheme="minorHAnsi"/>
              </w:rPr>
              <w:t>ocal cord dysfunction</w:t>
            </w:r>
            <w:r w:rsidR="00E022E1">
              <w:rPr>
                <w:rFonts w:cstheme="minorHAnsi"/>
              </w:rPr>
              <w:t xml:space="preserve"> (</w:t>
            </w:r>
            <w:r w:rsidR="00F41295">
              <w:rPr>
                <w:rFonts w:cstheme="minorHAnsi"/>
              </w:rPr>
              <w:t>%/n</w:t>
            </w:r>
            <w:r w:rsidR="00E022E1">
              <w:rPr>
                <w:rFonts w:cstheme="minorHAnsi"/>
              </w:rPr>
              <w:t>)</w:t>
            </w:r>
          </w:p>
        </w:tc>
        <w:tc>
          <w:tcPr>
            <w:tcW w:w="1208" w:type="dxa"/>
            <w:shd w:val="clear" w:color="auto" w:fill="FFFFFF" w:themeFill="background1"/>
          </w:tcPr>
          <w:p w14:paraId="253CA0B4" w14:textId="77777777" w:rsidR="00F146F0" w:rsidRDefault="00F146F0" w:rsidP="00F146F0">
            <w:pPr>
              <w:jc w:val="center"/>
              <w:rPr>
                <w:rFonts w:cstheme="minorHAnsi"/>
              </w:rPr>
            </w:pPr>
            <w:r>
              <w:rPr>
                <w:rFonts w:cstheme="minorHAnsi"/>
              </w:rPr>
              <w:t>13.3</w:t>
            </w:r>
          </w:p>
          <w:p w14:paraId="752D02CF" w14:textId="47FE7895" w:rsidR="00F146F0" w:rsidRPr="00D7131A" w:rsidRDefault="00F146F0" w:rsidP="00F146F0">
            <w:pPr>
              <w:jc w:val="center"/>
              <w:rPr>
                <w:rFonts w:cstheme="minorHAnsi"/>
              </w:rPr>
            </w:pPr>
            <w:r>
              <w:rPr>
                <w:rFonts w:cstheme="minorHAnsi"/>
              </w:rPr>
              <w:t>(43/324)</w:t>
            </w:r>
          </w:p>
        </w:tc>
        <w:tc>
          <w:tcPr>
            <w:tcW w:w="1209" w:type="dxa"/>
            <w:shd w:val="clear" w:color="auto" w:fill="FFFFFF" w:themeFill="background1"/>
          </w:tcPr>
          <w:p w14:paraId="40642ABD" w14:textId="77777777" w:rsidR="00F146F0" w:rsidRDefault="00F146F0" w:rsidP="00F146F0">
            <w:pPr>
              <w:jc w:val="center"/>
              <w:rPr>
                <w:rFonts w:cstheme="minorHAnsi"/>
              </w:rPr>
            </w:pPr>
            <w:r>
              <w:rPr>
                <w:rFonts w:cstheme="minorHAnsi"/>
              </w:rPr>
              <w:t>20</w:t>
            </w:r>
          </w:p>
          <w:p w14:paraId="31939C71" w14:textId="5DC86608" w:rsidR="00F146F0" w:rsidRDefault="00F146F0" w:rsidP="00F146F0">
            <w:pPr>
              <w:jc w:val="center"/>
              <w:rPr>
                <w:rFonts w:cstheme="minorHAnsi"/>
              </w:rPr>
            </w:pPr>
            <w:r>
              <w:rPr>
                <w:rFonts w:cstheme="minorHAnsi"/>
              </w:rPr>
              <w:t>(5/25)</w:t>
            </w:r>
          </w:p>
        </w:tc>
        <w:tc>
          <w:tcPr>
            <w:tcW w:w="1209" w:type="dxa"/>
            <w:shd w:val="clear" w:color="auto" w:fill="FFFFFF" w:themeFill="background1"/>
          </w:tcPr>
          <w:p w14:paraId="5AD1B0DD" w14:textId="5828D581" w:rsidR="00F146F0" w:rsidRPr="00D7131A" w:rsidRDefault="00F146F0" w:rsidP="00F146F0">
            <w:pPr>
              <w:rPr>
                <w:rFonts w:cstheme="minorHAnsi"/>
              </w:rPr>
            </w:pPr>
            <w:r>
              <w:rPr>
                <w:rFonts w:cstheme="minorHAnsi"/>
              </w:rPr>
              <w:t>0.35</w:t>
            </w:r>
          </w:p>
        </w:tc>
      </w:tr>
      <w:tr w:rsidR="00F146F0" w:rsidRPr="00D7131A" w14:paraId="52CA9ECB" w14:textId="77777777" w:rsidTr="00C62659">
        <w:trPr>
          <w:jc w:val="center"/>
        </w:trPr>
        <w:tc>
          <w:tcPr>
            <w:tcW w:w="4390" w:type="dxa"/>
            <w:shd w:val="clear" w:color="auto" w:fill="E7E6E6" w:themeFill="background2"/>
            <w:vAlign w:val="center"/>
          </w:tcPr>
          <w:p w14:paraId="3E5280D4" w14:textId="35A41282" w:rsidR="00F146F0" w:rsidRPr="002757F3" w:rsidRDefault="00C074E9" w:rsidP="00F146F0">
            <w:pPr>
              <w:rPr>
                <w:rFonts w:cstheme="minorHAnsi"/>
              </w:rPr>
            </w:pPr>
            <w:r>
              <w:rPr>
                <w:rFonts w:cstheme="minorHAnsi"/>
              </w:rPr>
              <w:t>G</w:t>
            </w:r>
            <w:r w:rsidR="00125FCC">
              <w:rPr>
                <w:rFonts w:cstheme="minorHAnsi"/>
              </w:rPr>
              <w:t>astroesophageal reflux disease</w:t>
            </w:r>
            <w:r w:rsidR="00E022E1">
              <w:rPr>
                <w:rFonts w:cstheme="minorHAnsi"/>
              </w:rPr>
              <w:t xml:space="preserve"> (</w:t>
            </w:r>
            <w:r w:rsidR="00F41295">
              <w:rPr>
                <w:rFonts w:cstheme="minorHAnsi"/>
              </w:rPr>
              <w:t>%/n</w:t>
            </w:r>
            <w:r w:rsidR="00E022E1">
              <w:rPr>
                <w:rFonts w:cstheme="minorHAnsi"/>
              </w:rPr>
              <w:t>)</w:t>
            </w:r>
          </w:p>
        </w:tc>
        <w:tc>
          <w:tcPr>
            <w:tcW w:w="1208" w:type="dxa"/>
            <w:shd w:val="clear" w:color="auto" w:fill="FFFFFF" w:themeFill="background1"/>
          </w:tcPr>
          <w:p w14:paraId="257A855C" w14:textId="77777777" w:rsidR="00F146F0" w:rsidRDefault="00F146F0" w:rsidP="00F146F0">
            <w:pPr>
              <w:jc w:val="center"/>
              <w:rPr>
                <w:rFonts w:cstheme="minorHAnsi"/>
              </w:rPr>
            </w:pPr>
            <w:r>
              <w:rPr>
                <w:rFonts w:cstheme="minorHAnsi"/>
              </w:rPr>
              <w:t>63.5</w:t>
            </w:r>
          </w:p>
          <w:p w14:paraId="7D07CE0F" w14:textId="604B0E41" w:rsidR="00F146F0" w:rsidRPr="00D7131A" w:rsidRDefault="00F146F0" w:rsidP="00F146F0">
            <w:pPr>
              <w:jc w:val="center"/>
              <w:rPr>
                <w:rFonts w:cstheme="minorHAnsi"/>
              </w:rPr>
            </w:pPr>
            <w:r>
              <w:rPr>
                <w:rFonts w:cstheme="minorHAnsi"/>
              </w:rPr>
              <w:t>(221/348)</w:t>
            </w:r>
          </w:p>
        </w:tc>
        <w:tc>
          <w:tcPr>
            <w:tcW w:w="1209" w:type="dxa"/>
          </w:tcPr>
          <w:p w14:paraId="6BFF24C9" w14:textId="77777777" w:rsidR="00F146F0" w:rsidRDefault="00F146F0" w:rsidP="00F146F0">
            <w:pPr>
              <w:jc w:val="center"/>
              <w:rPr>
                <w:rFonts w:cstheme="minorHAnsi"/>
              </w:rPr>
            </w:pPr>
            <w:r>
              <w:rPr>
                <w:rFonts w:cstheme="minorHAnsi"/>
              </w:rPr>
              <w:t>71.4</w:t>
            </w:r>
          </w:p>
          <w:p w14:paraId="29D6969E" w14:textId="363311BB" w:rsidR="00F146F0" w:rsidRDefault="00F146F0" w:rsidP="00F146F0">
            <w:pPr>
              <w:jc w:val="center"/>
              <w:rPr>
                <w:rFonts w:cstheme="minorHAnsi"/>
              </w:rPr>
            </w:pPr>
            <w:r>
              <w:rPr>
                <w:rFonts w:cstheme="minorHAnsi"/>
              </w:rPr>
              <w:t>(20/28)</w:t>
            </w:r>
          </w:p>
        </w:tc>
        <w:tc>
          <w:tcPr>
            <w:tcW w:w="1209" w:type="dxa"/>
          </w:tcPr>
          <w:p w14:paraId="2F791295" w14:textId="06E56815" w:rsidR="00F146F0" w:rsidRPr="00E01A38" w:rsidRDefault="00F146F0" w:rsidP="00F146F0">
            <w:pPr>
              <w:rPr>
                <w:rFonts w:cstheme="minorHAnsi"/>
              </w:rPr>
            </w:pPr>
            <w:r>
              <w:rPr>
                <w:rFonts w:cstheme="minorHAnsi"/>
              </w:rPr>
              <w:t>0.4</w:t>
            </w:r>
          </w:p>
        </w:tc>
      </w:tr>
      <w:tr w:rsidR="00BD4D30" w:rsidRPr="00D7131A" w14:paraId="3668BCBD" w14:textId="77777777" w:rsidTr="00C62659">
        <w:trPr>
          <w:jc w:val="center"/>
        </w:trPr>
        <w:tc>
          <w:tcPr>
            <w:tcW w:w="4390" w:type="dxa"/>
            <w:shd w:val="clear" w:color="auto" w:fill="E7E6E6" w:themeFill="background2"/>
            <w:vAlign w:val="center"/>
          </w:tcPr>
          <w:p w14:paraId="5E8E6B61" w14:textId="0F286073" w:rsidR="00BD4D30" w:rsidRDefault="00BD4D30" w:rsidP="00F146F0">
            <w:pPr>
              <w:rPr>
                <w:rFonts w:cstheme="minorHAnsi"/>
              </w:rPr>
            </w:pPr>
            <w:r>
              <w:rPr>
                <w:rFonts w:cstheme="minorHAnsi"/>
              </w:rPr>
              <w:t>Obesity (BMI</w:t>
            </w:r>
            <w:r w:rsidR="009513E0">
              <w:rPr>
                <w:rFonts w:cstheme="minorHAnsi"/>
              </w:rPr>
              <w:t xml:space="preserve"> </w:t>
            </w:r>
            <w:r>
              <w:rPr>
                <w:rFonts w:cstheme="minorHAnsi"/>
              </w:rPr>
              <w:t>≥30) (%/n)</w:t>
            </w:r>
          </w:p>
        </w:tc>
        <w:tc>
          <w:tcPr>
            <w:tcW w:w="1208" w:type="dxa"/>
            <w:shd w:val="clear" w:color="auto" w:fill="FFFFFF" w:themeFill="background1"/>
          </w:tcPr>
          <w:p w14:paraId="51CC83B2" w14:textId="77777777" w:rsidR="00BD4D30" w:rsidRDefault="00BD4D30" w:rsidP="00F146F0">
            <w:pPr>
              <w:jc w:val="center"/>
              <w:rPr>
                <w:rFonts w:cstheme="minorHAnsi"/>
              </w:rPr>
            </w:pPr>
            <w:r>
              <w:rPr>
                <w:rFonts w:cstheme="minorHAnsi"/>
              </w:rPr>
              <w:t>46.9</w:t>
            </w:r>
          </w:p>
          <w:p w14:paraId="18BA5650" w14:textId="1A98ED90" w:rsidR="00BD4D30" w:rsidRDefault="00BD4D30" w:rsidP="00F146F0">
            <w:pPr>
              <w:jc w:val="center"/>
              <w:rPr>
                <w:rFonts w:cstheme="minorHAnsi"/>
              </w:rPr>
            </w:pPr>
            <w:r>
              <w:rPr>
                <w:rFonts w:cstheme="minorHAnsi"/>
              </w:rPr>
              <w:t>(169/360)</w:t>
            </w:r>
          </w:p>
        </w:tc>
        <w:tc>
          <w:tcPr>
            <w:tcW w:w="1209" w:type="dxa"/>
          </w:tcPr>
          <w:p w14:paraId="69C778A4" w14:textId="77777777" w:rsidR="00BD4D30" w:rsidRDefault="00BD4D30" w:rsidP="00F146F0">
            <w:pPr>
              <w:jc w:val="center"/>
              <w:rPr>
                <w:rFonts w:cstheme="minorHAnsi"/>
              </w:rPr>
            </w:pPr>
            <w:r>
              <w:rPr>
                <w:rFonts w:cstheme="minorHAnsi"/>
              </w:rPr>
              <w:t>50</w:t>
            </w:r>
          </w:p>
          <w:p w14:paraId="3F8DE805" w14:textId="316934F2" w:rsidR="00BD4D30" w:rsidRDefault="00BD4D30" w:rsidP="00F146F0">
            <w:pPr>
              <w:jc w:val="center"/>
              <w:rPr>
                <w:rFonts w:cstheme="minorHAnsi"/>
              </w:rPr>
            </w:pPr>
            <w:r>
              <w:rPr>
                <w:rFonts w:cstheme="minorHAnsi"/>
              </w:rPr>
              <w:t>(14/28)</w:t>
            </w:r>
          </w:p>
        </w:tc>
        <w:tc>
          <w:tcPr>
            <w:tcW w:w="1209" w:type="dxa"/>
          </w:tcPr>
          <w:p w14:paraId="420AE10E" w14:textId="1BEFABFB" w:rsidR="00BD4D30" w:rsidRDefault="00064E3A" w:rsidP="00F146F0">
            <w:pPr>
              <w:rPr>
                <w:rFonts w:cstheme="minorHAnsi"/>
              </w:rPr>
            </w:pPr>
            <w:r>
              <w:rPr>
                <w:rFonts w:cstheme="minorHAnsi"/>
              </w:rPr>
              <w:t>0.79</w:t>
            </w:r>
          </w:p>
        </w:tc>
      </w:tr>
    </w:tbl>
    <w:p w14:paraId="7AC87FF5" w14:textId="45DFE8DA" w:rsidR="00D7131A" w:rsidRPr="00D7131A" w:rsidRDefault="00064E3A" w:rsidP="00D7131A">
      <w:pPr>
        <w:rPr>
          <w:rFonts w:cstheme="minorHAnsi"/>
        </w:rPr>
      </w:pPr>
      <w:r>
        <w:rPr>
          <w:rFonts w:cstheme="minorHAnsi"/>
        </w:rPr>
        <w:t>T2 status was classified based on the presence of blood eosinophils≥150 cells/</w:t>
      </w:r>
      <w:proofErr w:type="spellStart"/>
      <w:r>
        <w:rPr>
          <w:rFonts w:cstheme="minorHAnsi"/>
        </w:rPr>
        <w:t>ul</w:t>
      </w:r>
      <w:proofErr w:type="spellEnd"/>
      <w:r>
        <w:rPr>
          <w:rFonts w:cstheme="minorHAnsi"/>
        </w:rPr>
        <w:t xml:space="preserve"> or FeNO ≥20ppb or need for maintenance OCS or allergen driven asthma. The p value reflects chi-square comparisons.</w:t>
      </w:r>
    </w:p>
    <w:p w14:paraId="78E1C812" w14:textId="77777777" w:rsidR="00D7131A" w:rsidRPr="00D7131A" w:rsidRDefault="00D7131A" w:rsidP="00D7131A">
      <w:pPr>
        <w:rPr>
          <w:rFonts w:cstheme="minorHAnsi"/>
        </w:rPr>
      </w:pPr>
    </w:p>
    <w:p w14:paraId="2A628686" w14:textId="70B75DBA" w:rsidR="00D7131A" w:rsidRPr="00D7131A" w:rsidRDefault="001449CC" w:rsidP="00D7131A">
      <w:pPr>
        <w:rPr>
          <w:rFonts w:cstheme="minorHAnsi"/>
        </w:rPr>
      </w:pPr>
      <w:bookmarkStart w:id="3" w:name="Figure1"/>
      <w:bookmarkStart w:id="4" w:name="Figure2"/>
      <w:bookmarkStart w:id="5" w:name="Figure3"/>
      <w:bookmarkStart w:id="6" w:name="Figure4"/>
      <w:bookmarkStart w:id="7" w:name="Table3"/>
      <w:bookmarkEnd w:id="3"/>
      <w:bookmarkEnd w:id="4"/>
      <w:bookmarkEnd w:id="5"/>
      <w:bookmarkEnd w:id="6"/>
      <w:bookmarkEnd w:id="7"/>
      <w:r w:rsidRPr="006D62EC">
        <w:rPr>
          <w:rFonts w:cstheme="minorHAnsi"/>
          <w:b/>
          <w:bCs/>
        </w:rPr>
        <w:t>Table 3</w:t>
      </w:r>
      <w:r w:rsidRPr="006D62EC">
        <w:rPr>
          <w:rFonts w:cstheme="minorHAnsi"/>
        </w:rPr>
        <w:t xml:space="preserve"> </w:t>
      </w:r>
      <w:r w:rsidRPr="00CB221B">
        <w:rPr>
          <w:rFonts w:cstheme="minorHAnsi"/>
          <w:b/>
          <w:bCs/>
        </w:rPr>
        <w:t xml:space="preserve">Sputum </w:t>
      </w:r>
      <w:r w:rsidR="00CB221B" w:rsidRPr="00CB221B">
        <w:rPr>
          <w:rFonts w:cstheme="minorHAnsi"/>
          <w:b/>
          <w:bCs/>
        </w:rPr>
        <w:t>c</w:t>
      </w:r>
      <w:r w:rsidRPr="00CB221B">
        <w:rPr>
          <w:rFonts w:cstheme="minorHAnsi"/>
          <w:b/>
          <w:bCs/>
        </w:rPr>
        <w:t xml:space="preserve">haracterisation for </w:t>
      </w:r>
      <w:r w:rsidR="00CB221B" w:rsidRPr="00CB221B">
        <w:rPr>
          <w:rFonts w:cstheme="minorHAnsi"/>
          <w:b/>
          <w:bCs/>
        </w:rPr>
        <w:t>T2-high and T2-low patients</w:t>
      </w:r>
      <w:r w:rsidRPr="00CB221B">
        <w:rPr>
          <w:rFonts w:cstheme="minorHAnsi"/>
          <w:b/>
          <w:bCs/>
        </w:rPr>
        <w:t>.</w:t>
      </w:r>
    </w:p>
    <w:p w14:paraId="5735F1AD" w14:textId="77777777" w:rsidR="00D7131A" w:rsidRPr="00D7131A" w:rsidRDefault="00D7131A" w:rsidP="00D7131A">
      <w:pPr>
        <w:rPr>
          <w:rFonts w:cstheme="minorHAnsi"/>
        </w:rPr>
      </w:pPr>
    </w:p>
    <w:tbl>
      <w:tblPr>
        <w:tblStyle w:val="TableGrid"/>
        <w:tblW w:w="0" w:type="auto"/>
        <w:tblLook w:val="04A0" w:firstRow="1" w:lastRow="0" w:firstColumn="1" w:lastColumn="0" w:noHBand="0" w:noVBand="1"/>
      </w:tblPr>
      <w:tblGrid>
        <w:gridCol w:w="4531"/>
        <w:gridCol w:w="1630"/>
        <w:gridCol w:w="1631"/>
        <w:gridCol w:w="1224"/>
      </w:tblGrid>
      <w:tr w:rsidR="00D7131A" w:rsidRPr="00D7131A" w14:paraId="11F1ECF8" w14:textId="77777777" w:rsidTr="000B67C9">
        <w:tc>
          <w:tcPr>
            <w:tcW w:w="4531" w:type="dxa"/>
          </w:tcPr>
          <w:p w14:paraId="4B856F1C" w14:textId="7343877E" w:rsidR="00D7131A" w:rsidRPr="00D7131A" w:rsidRDefault="00D7131A" w:rsidP="00D7131A">
            <w:pPr>
              <w:rPr>
                <w:rFonts w:cstheme="minorHAnsi"/>
              </w:rPr>
            </w:pPr>
          </w:p>
        </w:tc>
        <w:tc>
          <w:tcPr>
            <w:tcW w:w="1630" w:type="dxa"/>
          </w:tcPr>
          <w:p w14:paraId="59046946" w14:textId="77777777" w:rsidR="00D7131A" w:rsidRPr="00D7131A" w:rsidRDefault="00D7131A" w:rsidP="000B67C9">
            <w:pPr>
              <w:jc w:val="center"/>
              <w:rPr>
                <w:rFonts w:cstheme="minorHAnsi"/>
              </w:rPr>
            </w:pPr>
            <w:r w:rsidRPr="00D7131A">
              <w:rPr>
                <w:rFonts w:cstheme="minorHAnsi"/>
              </w:rPr>
              <w:t>T2-high</w:t>
            </w:r>
          </w:p>
          <w:p w14:paraId="1947960C" w14:textId="77777777" w:rsidR="00D7131A" w:rsidRPr="00D7131A" w:rsidRDefault="00D7131A" w:rsidP="000B67C9">
            <w:pPr>
              <w:jc w:val="center"/>
              <w:rPr>
                <w:rFonts w:cstheme="minorHAnsi"/>
              </w:rPr>
            </w:pPr>
            <w:r w:rsidRPr="00D7131A">
              <w:rPr>
                <w:rFonts w:cstheme="minorHAnsi"/>
              </w:rPr>
              <w:t>n=112</w:t>
            </w:r>
          </w:p>
        </w:tc>
        <w:tc>
          <w:tcPr>
            <w:tcW w:w="1631" w:type="dxa"/>
          </w:tcPr>
          <w:p w14:paraId="6A54083F" w14:textId="77777777" w:rsidR="00D7131A" w:rsidRPr="00D7131A" w:rsidRDefault="00D7131A" w:rsidP="000B67C9">
            <w:pPr>
              <w:jc w:val="center"/>
              <w:rPr>
                <w:rFonts w:cstheme="minorHAnsi"/>
              </w:rPr>
            </w:pPr>
            <w:r w:rsidRPr="00D7131A">
              <w:rPr>
                <w:rFonts w:cstheme="minorHAnsi"/>
              </w:rPr>
              <w:t>T2-low</w:t>
            </w:r>
          </w:p>
          <w:p w14:paraId="34CD5A70" w14:textId="77777777" w:rsidR="00D7131A" w:rsidRPr="00D7131A" w:rsidRDefault="00D7131A" w:rsidP="000B67C9">
            <w:pPr>
              <w:jc w:val="center"/>
              <w:rPr>
                <w:rFonts w:cstheme="minorHAnsi"/>
              </w:rPr>
            </w:pPr>
            <w:r w:rsidRPr="00D7131A">
              <w:rPr>
                <w:rFonts w:cstheme="minorHAnsi"/>
              </w:rPr>
              <w:t>n=5</w:t>
            </w:r>
          </w:p>
        </w:tc>
        <w:tc>
          <w:tcPr>
            <w:tcW w:w="1224" w:type="dxa"/>
          </w:tcPr>
          <w:p w14:paraId="451356B3" w14:textId="77777777" w:rsidR="00D7131A" w:rsidRPr="00D7131A" w:rsidRDefault="00D7131A" w:rsidP="000B67C9">
            <w:pPr>
              <w:jc w:val="center"/>
              <w:rPr>
                <w:rFonts w:cstheme="minorHAnsi"/>
              </w:rPr>
            </w:pPr>
            <w:r w:rsidRPr="00D7131A">
              <w:rPr>
                <w:rFonts w:cstheme="minorHAnsi"/>
              </w:rPr>
              <w:t>p-value</w:t>
            </w:r>
          </w:p>
        </w:tc>
      </w:tr>
      <w:tr w:rsidR="00D7131A" w:rsidRPr="00D7131A" w14:paraId="0EE0BDE9" w14:textId="77777777" w:rsidTr="000B67C9">
        <w:tc>
          <w:tcPr>
            <w:tcW w:w="4531" w:type="dxa"/>
          </w:tcPr>
          <w:p w14:paraId="091C94B4" w14:textId="2FC2E2DA" w:rsidR="00D7131A" w:rsidRPr="00D7131A" w:rsidRDefault="00D7687B" w:rsidP="00D7131A">
            <w:pPr>
              <w:rPr>
                <w:rFonts w:cstheme="minorHAnsi"/>
              </w:rPr>
            </w:pPr>
            <w:r>
              <w:rPr>
                <w:rFonts w:cstheme="minorHAnsi"/>
              </w:rPr>
              <w:t>Median s</w:t>
            </w:r>
            <w:r w:rsidR="000B67C9">
              <w:rPr>
                <w:rFonts w:cstheme="minorHAnsi"/>
              </w:rPr>
              <w:t>putum</w:t>
            </w:r>
            <w:r w:rsidR="00D7131A" w:rsidRPr="00D7131A">
              <w:rPr>
                <w:rFonts w:cstheme="minorHAnsi"/>
              </w:rPr>
              <w:t xml:space="preserve"> eosinophils</w:t>
            </w:r>
            <w:r w:rsidR="000B67C9">
              <w:rPr>
                <w:rFonts w:cstheme="minorHAnsi"/>
              </w:rPr>
              <w:t xml:space="preserve">, </w:t>
            </w:r>
            <w:r w:rsidR="00D7131A" w:rsidRPr="00D7131A">
              <w:rPr>
                <w:rFonts w:cstheme="minorHAnsi"/>
              </w:rPr>
              <w:t>%</w:t>
            </w:r>
          </w:p>
        </w:tc>
        <w:tc>
          <w:tcPr>
            <w:tcW w:w="1630" w:type="dxa"/>
          </w:tcPr>
          <w:p w14:paraId="2881701E" w14:textId="360D3ABD" w:rsidR="00D7131A" w:rsidRPr="00D7131A" w:rsidRDefault="00D7131A" w:rsidP="000B67C9">
            <w:pPr>
              <w:jc w:val="center"/>
              <w:rPr>
                <w:rFonts w:cstheme="minorHAnsi"/>
              </w:rPr>
            </w:pPr>
            <w:r w:rsidRPr="00D7131A">
              <w:rPr>
                <w:rFonts w:cstheme="minorHAnsi"/>
              </w:rPr>
              <w:t xml:space="preserve">1.9 </w:t>
            </w:r>
          </w:p>
        </w:tc>
        <w:tc>
          <w:tcPr>
            <w:tcW w:w="1631" w:type="dxa"/>
          </w:tcPr>
          <w:p w14:paraId="08B7079E" w14:textId="5A6C7AF6" w:rsidR="00D7131A" w:rsidRPr="00D7131A" w:rsidRDefault="00D7131A" w:rsidP="000B67C9">
            <w:pPr>
              <w:jc w:val="center"/>
              <w:rPr>
                <w:rFonts w:cstheme="minorHAnsi"/>
              </w:rPr>
            </w:pPr>
            <w:r w:rsidRPr="00D7131A">
              <w:rPr>
                <w:rFonts w:cstheme="minorHAnsi"/>
              </w:rPr>
              <w:t>0.</w:t>
            </w:r>
            <w:r w:rsidR="003830F4">
              <w:rPr>
                <w:rFonts w:cstheme="minorHAnsi"/>
              </w:rPr>
              <w:t>12</w:t>
            </w:r>
          </w:p>
        </w:tc>
        <w:tc>
          <w:tcPr>
            <w:tcW w:w="1224" w:type="dxa"/>
          </w:tcPr>
          <w:p w14:paraId="70ABEE45" w14:textId="2D79220B" w:rsidR="00D7131A" w:rsidRPr="00D7131A" w:rsidRDefault="00FD37E8" w:rsidP="000B67C9">
            <w:pPr>
              <w:jc w:val="center"/>
              <w:rPr>
                <w:rFonts w:cstheme="minorHAnsi"/>
              </w:rPr>
            </w:pPr>
            <w:r>
              <w:rPr>
                <w:rFonts w:cstheme="minorHAnsi"/>
              </w:rPr>
              <w:t>0.005</w:t>
            </w:r>
          </w:p>
        </w:tc>
      </w:tr>
      <w:tr w:rsidR="000B67C9" w:rsidRPr="00D7131A" w14:paraId="6E410D89" w14:textId="77777777" w:rsidTr="000B67C9">
        <w:tc>
          <w:tcPr>
            <w:tcW w:w="4531" w:type="dxa"/>
          </w:tcPr>
          <w:p w14:paraId="31AEF1F5" w14:textId="02E61BC3" w:rsidR="000B67C9" w:rsidRDefault="00D7687B" w:rsidP="000B67C9">
            <w:pPr>
              <w:rPr>
                <w:rFonts w:cstheme="minorHAnsi"/>
              </w:rPr>
            </w:pPr>
            <w:r>
              <w:rPr>
                <w:rFonts w:cstheme="minorHAnsi"/>
              </w:rPr>
              <w:t>Median s</w:t>
            </w:r>
            <w:r w:rsidR="000B67C9" w:rsidRPr="00D7131A">
              <w:rPr>
                <w:rFonts w:cstheme="minorHAnsi"/>
              </w:rPr>
              <w:t>putum neutrophils</w:t>
            </w:r>
            <w:r w:rsidR="000B67C9">
              <w:rPr>
                <w:rFonts w:cstheme="minorHAnsi"/>
              </w:rPr>
              <w:t>,</w:t>
            </w:r>
            <w:r w:rsidR="000B67C9" w:rsidRPr="00D7131A">
              <w:rPr>
                <w:rFonts w:cstheme="minorHAnsi"/>
              </w:rPr>
              <w:t xml:space="preserve"> %</w:t>
            </w:r>
          </w:p>
        </w:tc>
        <w:tc>
          <w:tcPr>
            <w:tcW w:w="1630" w:type="dxa"/>
          </w:tcPr>
          <w:p w14:paraId="1F8510CF" w14:textId="255F4FA9" w:rsidR="000B67C9" w:rsidRPr="00D7131A" w:rsidRDefault="000B67C9" w:rsidP="000B67C9">
            <w:pPr>
              <w:jc w:val="center"/>
              <w:rPr>
                <w:rFonts w:cstheme="minorHAnsi"/>
              </w:rPr>
            </w:pPr>
            <w:r w:rsidRPr="00D7131A">
              <w:rPr>
                <w:rFonts w:cstheme="minorHAnsi"/>
              </w:rPr>
              <w:t xml:space="preserve">41.7 </w:t>
            </w:r>
          </w:p>
        </w:tc>
        <w:tc>
          <w:tcPr>
            <w:tcW w:w="1631" w:type="dxa"/>
          </w:tcPr>
          <w:p w14:paraId="4EE28FA5" w14:textId="4BD68F5C" w:rsidR="000B67C9" w:rsidRPr="00D7131A" w:rsidRDefault="000B67C9" w:rsidP="000B67C9">
            <w:pPr>
              <w:jc w:val="center"/>
              <w:rPr>
                <w:rFonts w:cstheme="minorHAnsi"/>
              </w:rPr>
            </w:pPr>
            <w:r>
              <w:rPr>
                <w:rFonts w:cstheme="minorHAnsi"/>
              </w:rPr>
              <w:t>67.62</w:t>
            </w:r>
          </w:p>
        </w:tc>
        <w:tc>
          <w:tcPr>
            <w:tcW w:w="1224" w:type="dxa"/>
          </w:tcPr>
          <w:p w14:paraId="64AD7A7E" w14:textId="4007E0D8" w:rsidR="000B67C9" w:rsidRPr="00D7131A" w:rsidRDefault="000B67C9" w:rsidP="000B67C9">
            <w:pPr>
              <w:jc w:val="center"/>
              <w:rPr>
                <w:rFonts w:cstheme="minorHAnsi"/>
              </w:rPr>
            </w:pPr>
            <w:r w:rsidRPr="00D7131A">
              <w:rPr>
                <w:rFonts w:cstheme="minorHAnsi"/>
              </w:rPr>
              <w:t>0.19</w:t>
            </w:r>
          </w:p>
        </w:tc>
      </w:tr>
      <w:tr w:rsidR="00D7687B" w:rsidRPr="00D7131A" w14:paraId="10F1DCAE" w14:textId="77777777" w:rsidTr="000B67C9">
        <w:tc>
          <w:tcPr>
            <w:tcW w:w="4531" w:type="dxa"/>
          </w:tcPr>
          <w:p w14:paraId="6927C195" w14:textId="705E9AFA" w:rsidR="00D7687B" w:rsidRDefault="00D7687B" w:rsidP="000B67C9">
            <w:pPr>
              <w:rPr>
                <w:rFonts w:cstheme="minorHAnsi"/>
              </w:rPr>
            </w:pPr>
            <w:r>
              <w:rPr>
                <w:rFonts w:cstheme="minorHAnsi"/>
              </w:rPr>
              <w:t>Percentage of patients with sputum eosinophils ≥2%</w:t>
            </w:r>
          </w:p>
        </w:tc>
        <w:tc>
          <w:tcPr>
            <w:tcW w:w="1630" w:type="dxa"/>
          </w:tcPr>
          <w:p w14:paraId="295603FF" w14:textId="77777777" w:rsidR="00D7687B" w:rsidRDefault="00D7687B" w:rsidP="00D7687B">
            <w:pPr>
              <w:jc w:val="center"/>
              <w:rPr>
                <w:rFonts w:cstheme="minorHAnsi"/>
              </w:rPr>
            </w:pPr>
            <w:r>
              <w:rPr>
                <w:rFonts w:cstheme="minorHAnsi"/>
              </w:rPr>
              <w:t>50</w:t>
            </w:r>
          </w:p>
          <w:p w14:paraId="353A6C50" w14:textId="11E262E3" w:rsidR="00D7687B" w:rsidRPr="00D7131A" w:rsidRDefault="00D7687B" w:rsidP="00D7687B">
            <w:pPr>
              <w:jc w:val="center"/>
              <w:rPr>
                <w:rFonts w:cstheme="minorHAnsi"/>
              </w:rPr>
            </w:pPr>
            <w:r>
              <w:rPr>
                <w:rFonts w:cstheme="minorHAnsi"/>
              </w:rPr>
              <w:t>(56/112)</w:t>
            </w:r>
          </w:p>
        </w:tc>
        <w:tc>
          <w:tcPr>
            <w:tcW w:w="1631" w:type="dxa"/>
          </w:tcPr>
          <w:p w14:paraId="1D5A0438" w14:textId="34F86A38" w:rsidR="00D7687B" w:rsidRPr="00D7131A" w:rsidRDefault="00D7687B" w:rsidP="000B67C9">
            <w:pPr>
              <w:jc w:val="center"/>
              <w:rPr>
                <w:rFonts w:cstheme="minorHAnsi"/>
              </w:rPr>
            </w:pPr>
            <w:r>
              <w:rPr>
                <w:rFonts w:cstheme="minorHAnsi"/>
              </w:rPr>
              <w:t>0</w:t>
            </w:r>
          </w:p>
        </w:tc>
        <w:tc>
          <w:tcPr>
            <w:tcW w:w="1224" w:type="dxa"/>
          </w:tcPr>
          <w:p w14:paraId="216092F1" w14:textId="77777777" w:rsidR="00D7687B" w:rsidRPr="00D7131A" w:rsidRDefault="00D7687B" w:rsidP="000B67C9">
            <w:pPr>
              <w:jc w:val="center"/>
              <w:rPr>
                <w:rFonts w:cstheme="minorHAnsi"/>
              </w:rPr>
            </w:pPr>
          </w:p>
        </w:tc>
      </w:tr>
      <w:tr w:rsidR="000B67C9" w:rsidRPr="00D7131A" w14:paraId="577CC4CD" w14:textId="77777777" w:rsidTr="000B67C9">
        <w:tc>
          <w:tcPr>
            <w:tcW w:w="4531" w:type="dxa"/>
          </w:tcPr>
          <w:p w14:paraId="5EE25C66" w14:textId="4FB59149" w:rsidR="000B67C9" w:rsidRPr="00D7131A" w:rsidRDefault="000B67C9" w:rsidP="000B67C9">
            <w:pPr>
              <w:rPr>
                <w:rFonts w:cstheme="minorHAnsi"/>
              </w:rPr>
            </w:pPr>
            <w:r>
              <w:rPr>
                <w:rFonts w:cstheme="minorHAnsi"/>
              </w:rPr>
              <w:t>Percentage of patients</w:t>
            </w:r>
            <w:r w:rsidRPr="00D7131A">
              <w:rPr>
                <w:rFonts w:cstheme="minorHAnsi"/>
              </w:rPr>
              <w:t xml:space="preserve"> with sputum neutrophils ≥61%</w:t>
            </w:r>
          </w:p>
        </w:tc>
        <w:tc>
          <w:tcPr>
            <w:tcW w:w="1630" w:type="dxa"/>
          </w:tcPr>
          <w:p w14:paraId="429ED5BD" w14:textId="77777777" w:rsidR="000B67C9" w:rsidRDefault="000B67C9" w:rsidP="000B67C9">
            <w:pPr>
              <w:jc w:val="center"/>
              <w:rPr>
                <w:rFonts w:cstheme="minorHAnsi"/>
              </w:rPr>
            </w:pPr>
            <w:r w:rsidRPr="00D7131A">
              <w:rPr>
                <w:rFonts w:cstheme="minorHAnsi"/>
              </w:rPr>
              <w:t>25</w:t>
            </w:r>
          </w:p>
          <w:p w14:paraId="2CFF9D35" w14:textId="26BD7A70" w:rsidR="000B67C9" w:rsidRPr="00D7131A" w:rsidRDefault="000B67C9" w:rsidP="000B67C9">
            <w:pPr>
              <w:jc w:val="center"/>
              <w:rPr>
                <w:rFonts w:cstheme="minorHAnsi"/>
              </w:rPr>
            </w:pPr>
            <w:r>
              <w:rPr>
                <w:rFonts w:cstheme="minorHAnsi"/>
              </w:rPr>
              <w:t>(28/112)</w:t>
            </w:r>
          </w:p>
        </w:tc>
        <w:tc>
          <w:tcPr>
            <w:tcW w:w="1631" w:type="dxa"/>
          </w:tcPr>
          <w:p w14:paraId="35591FA7" w14:textId="77777777" w:rsidR="000B67C9" w:rsidRDefault="000B67C9" w:rsidP="000B67C9">
            <w:pPr>
              <w:jc w:val="center"/>
              <w:rPr>
                <w:rFonts w:cstheme="minorHAnsi"/>
              </w:rPr>
            </w:pPr>
            <w:r w:rsidRPr="00D7131A">
              <w:rPr>
                <w:rFonts w:cstheme="minorHAnsi"/>
              </w:rPr>
              <w:t>60</w:t>
            </w:r>
          </w:p>
          <w:p w14:paraId="653EC029" w14:textId="0AE4DC95" w:rsidR="000B67C9" w:rsidRPr="00D7131A" w:rsidRDefault="000B67C9" w:rsidP="000B67C9">
            <w:pPr>
              <w:jc w:val="center"/>
              <w:rPr>
                <w:rFonts w:cstheme="minorHAnsi"/>
              </w:rPr>
            </w:pPr>
            <w:r>
              <w:rPr>
                <w:rFonts w:cstheme="minorHAnsi"/>
              </w:rPr>
              <w:t>(3/5)</w:t>
            </w:r>
          </w:p>
        </w:tc>
        <w:tc>
          <w:tcPr>
            <w:tcW w:w="1224" w:type="dxa"/>
          </w:tcPr>
          <w:p w14:paraId="335ED0CB" w14:textId="77777777" w:rsidR="000B67C9" w:rsidRPr="00D7131A" w:rsidRDefault="000B67C9" w:rsidP="000B67C9">
            <w:pPr>
              <w:jc w:val="center"/>
              <w:rPr>
                <w:rFonts w:cstheme="minorHAnsi"/>
              </w:rPr>
            </w:pPr>
            <w:r w:rsidRPr="00D7131A">
              <w:rPr>
                <w:rFonts w:cstheme="minorHAnsi"/>
              </w:rPr>
              <w:t>0.11</w:t>
            </w:r>
          </w:p>
        </w:tc>
      </w:tr>
      <w:tr w:rsidR="000B67C9" w:rsidRPr="00D7131A" w14:paraId="6D492013" w14:textId="77777777" w:rsidTr="000B67C9">
        <w:tc>
          <w:tcPr>
            <w:tcW w:w="4531" w:type="dxa"/>
          </w:tcPr>
          <w:p w14:paraId="7153A14B" w14:textId="01FDEA3E" w:rsidR="000B67C9" w:rsidRPr="00D7131A" w:rsidRDefault="000B67C9" w:rsidP="000B67C9">
            <w:pPr>
              <w:rPr>
                <w:rFonts w:cstheme="minorHAnsi"/>
              </w:rPr>
            </w:pPr>
            <w:r>
              <w:rPr>
                <w:rFonts w:cstheme="minorHAnsi"/>
              </w:rPr>
              <w:lastRenderedPageBreak/>
              <w:t>Percentage of pati</w:t>
            </w:r>
            <w:r w:rsidR="00BD63C5">
              <w:rPr>
                <w:rFonts w:cstheme="minorHAnsi"/>
              </w:rPr>
              <w:t>e</w:t>
            </w:r>
            <w:r>
              <w:rPr>
                <w:rFonts w:cstheme="minorHAnsi"/>
              </w:rPr>
              <w:t xml:space="preserve">nts </w:t>
            </w:r>
            <w:r w:rsidRPr="00D7131A">
              <w:rPr>
                <w:rFonts w:cstheme="minorHAnsi"/>
              </w:rPr>
              <w:t>with mixed granulocytic disease (eosinophils &gt;2% and neutrophils ≥61%)</w:t>
            </w:r>
          </w:p>
        </w:tc>
        <w:tc>
          <w:tcPr>
            <w:tcW w:w="1630" w:type="dxa"/>
          </w:tcPr>
          <w:p w14:paraId="45DABA54" w14:textId="2AD6FFE8" w:rsidR="000B67C9" w:rsidRDefault="000B67C9" w:rsidP="000B67C9">
            <w:pPr>
              <w:jc w:val="center"/>
              <w:rPr>
                <w:rFonts w:cstheme="minorHAnsi"/>
              </w:rPr>
            </w:pPr>
            <w:r>
              <w:rPr>
                <w:rFonts w:cstheme="minorHAnsi"/>
              </w:rPr>
              <w:t>11.6</w:t>
            </w:r>
          </w:p>
          <w:p w14:paraId="305FAE03" w14:textId="71335DF1" w:rsidR="000B67C9" w:rsidRPr="008E1F59" w:rsidRDefault="000B67C9" w:rsidP="000B67C9">
            <w:pPr>
              <w:jc w:val="center"/>
              <w:rPr>
                <w:rFonts w:cstheme="minorHAnsi"/>
              </w:rPr>
            </w:pPr>
            <w:r>
              <w:rPr>
                <w:rFonts w:cstheme="minorHAnsi"/>
              </w:rPr>
              <w:t>(13/112)</w:t>
            </w:r>
          </w:p>
        </w:tc>
        <w:tc>
          <w:tcPr>
            <w:tcW w:w="1631" w:type="dxa"/>
          </w:tcPr>
          <w:p w14:paraId="61A374FE" w14:textId="557764EA" w:rsidR="000B67C9" w:rsidRPr="00D7131A" w:rsidRDefault="000B67C9" w:rsidP="000B67C9">
            <w:pPr>
              <w:jc w:val="center"/>
              <w:rPr>
                <w:rFonts w:cstheme="minorHAnsi"/>
              </w:rPr>
            </w:pPr>
            <w:r>
              <w:rPr>
                <w:rFonts w:cstheme="minorHAnsi"/>
              </w:rPr>
              <w:t>0</w:t>
            </w:r>
          </w:p>
        </w:tc>
        <w:tc>
          <w:tcPr>
            <w:tcW w:w="1224" w:type="dxa"/>
          </w:tcPr>
          <w:p w14:paraId="56CC0E30" w14:textId="440EF4B7" w:rsidR="000B67C9" w:rsidRPr="00D7131A" w:rsidRDefault="000B67C9" w:rsidP="000B67C9">
            <w:pPr>
              <w:jc w:val="center"/>
              <w:rPr>
                <w:rFonts w:cstheme="minorHAnsi"/>
              </w:rPr>
            </w:pPr>
            <w:r>
              <w:rPr>
                <w:rFonts w:cstheme="minorHAnsi"/>
              </w:rPr>
              <w:t>&lt;0.01</w:t>
            </w:r>
          </w:p>
        </w:tc>
      </w:tr>
    </w:tbl>
    <w:p w14:paraId="29607489" w14:textId="26B765CC" w:rsidR="00C04B82" w:rsidRDefault="0023411D" w:rsidP="00D7131A">
      <w:pPr>
        <w:rPr>
          <w:rFonts w:cstheme="minorHAnsi"/>
        </w:rPr>
      </w:pPr>
      <w:r>
        <w:rPr>
          <w:rFonts w:cstheme="minorHAnsi"/>
        </w:rPr>
        <w:t>T2 status was classified based on the presence of blood eosinophils≥150 cells/</w:t>
      </w:r>
      <w:proofErr w:type="spellStart"/>
      <w:r>
        <w:rPr>
          <w:rFonts w:cstheme="minorHAnsi"/>
        </w:rPr>
        <w:t>ul</w:t>
      </w:r>
      <w:proofErr w:type="spellEnd"/>
      <w:r>
        <w:rPr>
          <w:rFonts w:cstheme="minorHAnsi"/>
        </w:rPr>
        <w:t xml:space="preserve"> or FeNO ≥20ppb or need for maintenance OCS or allergen driven asthma or sputum eosinophils ≥2%. The p value was calculated using the Fisher’s exact test for categorical variables and the Mann-Whitney test for continuous variables. </w:t>
      </w:r>
    </w:p>
    <w:p w14:paraId="64C90951" w14:textId="77777777" w:rsidR="00C04B82" w:rsidRDefault="00C04B82">
      <w:pPr>
        <w:rPr>
          <w:rFonts w:cstheme="minorHAnsi"/>
        </w:rPr>
      </w:pPr>
      <w:r>
        <w:rPr>
          <w:rFonts w:cstheme="minorHAnsi"/>
        </w:rPr>
        <w:br w:type="page"/>
      </w:r>
    </w:p>
    <w:p w14:paraId="524E73A5" w14:textId="4BC6C6E7" w:rsidR="00D7131A" w:rsidRDefault="002A6AC5" w:rsidP="00D7131A">
      <w:pPr>
        <w:rPr>
          <w:rFonts w:cstheme="minorHAnsi"/>
          <w:b/>
          <w:bCs/>
        </w:rPr>
      </w:pPr>
      <w:r w:rsidRPr="002A6AC5">
        <w:rPr>
          <w:rFonts w:cstheme="minorHAnsi"/>
          <w:b/>
          <w:bCs/>
        </w:rPr>
        <w:lastRenderedPageBreak/>
        <w:t>Figure 1</w:t>
      </w:r>
    </w:p>
    <w:p w14:paraId="2375FA51" w14:textId="4BF7B8B8" w:rsidR="002A6AC5" w:rsidRPr="002A6AC5" w:rsidRDefault="002A6AC5" w:rsidP="00D7131A">
      <w:pPr>
        <w:rPr>
          <w:rFonts w:cstheme="minorHAnsi"/>
          <w:b/>
          <w:bCs/>
        </w:rPr>
      </w:pPr>
      <w:r w:rsidRPr="004A716D">
        <w:rPr>
          <w:rFonts w:cstheme="minorHAnsi"/>
          <w:noProof/>
        </w:rPr>
        <w:drawing>
          <wp:inline distT="0" distB="0" distL="0" distR="0" wp14:anchorId="79763F23" wp14:editId="10EC42DF">
            <wp:extent cx="5731510" cy="3752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52215"/>
                    </a:xfrm>
                    <a:prstGeom prst="rect">
                      <a:avLst/>
                    </a:prstGeom>
                  </pic:spPr>
                </pic:pic>
              </a:graphicData>
            </a:graphic>
          </wp:inline>
        </w:drawing>
      </w:r>
    </w:p>
    <w:p w14:paraId="58414ED8" w14:textId="3ABDEBCB" w:rsidR="00C320C6" w:rsidRDefault="00C320C6">
      <w:pPr>
        <w:rPr>
          <w:rFonts w:cstheme="minorHAnsi"/>
        </w:rPr>
      </w:pPr>
    </w:p>
    <w:p w14:paraId="230B9D3F" w14:textId="77777777" w:rsidR="000B67C9" w:rsidRDefault="000B67C9">
      <w:pPr>
        <w:rPr>
          <w:rFonts w:cstheme="minorHAnsi"/>
        </w:rPr>
      </w:pPr>
    </w:p>
    <w:p w14:paraId="5CD5B28D" w14:textId="55E9A29B" w:rsidR="001349BB" w:rsidRPr="001349BB" w:rsidRDefault="001349BB" w:rsidP="001349BB">
      <w:pPr>
        <w:rPr>
          <w:rFonts w:cstheme="minorHAnsi"/>
        </w:rPr>
      </w:pPr>
      <w:r w:rsidRPr="001349BB">
        <w:rPr>
          <w:rFonts w:cstheme="minorHAnsi"/>
          <w:b/>
          <w:bCs/>
        </w:rPr>
        <w:t>Figure 2</w:t>
      </w:r>
      <w:r w:rsidRPr="001349BB">
        <w:rPr>
          <w:rFonts w:cstheme="minorHAnsi"/>
        </w:rPr>
        <w:t xml:space="preserve"> </w:t>
      </w:r>
    </w:p>
    <w:p w14:paraId="46D1997A" w14:textId="0D2FBD7E" w:rsidR="00D7687B" w:rsidRDefault="00D7687B">
      <w:pPr>
        <w:rPr>
          <w:rFonts w:cstheme="minorHAnsi"/>
        </w:rPr>
      </w:pPr>
    </w:p>
    <w:p w14:paraId="23E3D845" w14:textId="3B5D702A" w:rsidR="00313597" w:rsidRDefault="00EF3610">
      <w:pPr>
        <w:rPr>
          <w:rFonts w:cstheme="minorHAnsi"/>
        </w:rPr>
      </w:pPr>
      <w:r>
        <w:rPr>
          <w:noProof/>
        </w:rPr>
        <w:drawing>
          <wp:inline distT="0" distB="0" distL="0" distR="0" wp14:anchorId="7E6232CC" wp14:editId="4339109F">
            <wp:extent cx="3409950" cy="3409950"/>
            <wp:effectExtent l="0" t="0" r="0" b="0"/>
            <wp:docPr id="2"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venn diagram&#10;&#10;Description automatically generated"/>
                    <pic:cNvPicPr>
                      <a:picLocks noChangeAspect="1"/>
                    </pic:cNvPicPr>
                  </pic:nvPicPr>
                  <pic:blipFill>
                    <a:blip r:embed="rId13"/>
                    <a:stretch>
                      <a:fillRect/>
                    </a:stretch>
                  </pic:blipFill>
                  <pic:spPr>
                    <a:xfrm>
                      <a:off x="0" y="0"/>
                      <a:ext cx="3409950" cy="3409950"/>
                    </a:xfrm>
                    <a:prstGeom prst="rect">
                      <a:avLst/>
                    </a:prstGeom>
                  </pic:spPr>
                </pic:pic>
              </a:graphicData>
            </a:graphic>
          </wp:inline>
        </w:drawing>
      </w:r>
    </w:p>
    <w:p w14:paraId="0AA4D985" w14:textId="77777777" w:rsidR="00313597" w:rsidRDefault="00313597">
      <w:pPr>
        <w:rPr>
          <w:rFonts w:cstheme="minorHAnsi"/>
        </w:rPr>
      </w:pPr>
      <w:r>
        <w:rPr>
          <w:rFonts w:cstheme="minorHAnsi"/>
        </w:rPr>
        <w:br w:type="page"/>
      </w:r>
    </w:p>
    <w:p w14:paraId="1A5EA144" w14:textId="464FBC3E" w:rsidR="002A6AC5" w:rsidRPr="006F5C86" w:rsidRDefault="006F5C86">
      <w:pPr>
        <w:rPr>
          <w:rFonts w:cstheme="minorHAnsi"/>
          <w:b/>
          <w:bCs/>
        </w:rPr>
      </w:pPr>
      <w:r w:rsidRPr="006F5C86">
        <w:rPr>
          <w:rFonts w:cstheme="minorHAnsi"/>
          <w:b/>
          <w:bCs/>
        </w:rPr>
        <w:lastRenderedPageBreak/>
        <w:t>Figure 3</w:t>
      </w:r>
    </w:p>
    <w:p w14:paraId="6D0B9BF1" w14:textId="5E2200F3" w:rsidR="006F5C86" w:rsidRDefault="006F5C86">
      <w:pPr>
        <w:rPr>
          <w:rFonts w:cstheme="minorHAnsi"/>
        </w:rPr>
      </w:pPr>
      <w:r w:rsidRPr="00EB095C">
        <w:rPr>
          <w:rFonts w:cstheme="minorHAnsi"/>
          <w:noProof/>
        </w:rPr>
        <w:drawing>
          <wp:inline distT="0" distB="0" distL="0" distR="0" wp14:anchorId="7A2AB92F" wp14:editId="47E6DFEE">
            <wp:extent cx="5731510" cy="673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6731000"/>
                    </a:xfrm>
                    <a:prstGeom prst="rect">
                      <a:avLst/>
                    </a:prstGeom>
                  </pic:spPr>
                </pic:pic>
              </a:graphicData>
            </a:graphic>
          </wp:inline>
        </w:drawing>
      </w:r>
    </w:p>
    <w:p w14:paraId="598B569F" w14:textId="77777777" w:rsidR="006F5C86" w:rsidRDefault="006F5C86">
      <w:pPr>
        <w:rPr>
          <w:rFonts w:cstheme="minorHAnsi"/>
        </w:rPr>
      </w:pPr>
      <w:r>
        <w:rPr>
          <w:rFonts w:cstheme="minorHAnsi"/>
        </w:rPr>
        <w:br w:type="page"/>
      </w:r>
    </w:p>
    <w:p w14:paraId="4FF0A620" w14:textId="4E959BFA" w:rsidR="006F5C86" w:rsidRDefault="006F5C86">
      <w:pPr>
        <w:rPr>
          <w:rFonts w:cstheme="minorHAnsi"/>
          <w:b/>
          <w:bCs/>
        </w:rPr>
      </w:pPr>
      <w:r w:rsidRPr="006F5C86">
        <w:rPr>
          <w:rFonts w:cstheme="minorHAnsi"/>
          <w:b/>
          <w:bCs/>
        </w:rPr>
        <w:lastRenderedPageBreak/>
        <w:t>Figure 4</w:t>
      </w:r>
    </w:p>
    <w:p w14:paraId="7D0EA5B4" w14:textId="5F4483AE" w:rsidR="001C250C" w:rsidRDefault="001C250C">
      <w:pPr>
        <w:rPr>
          <w:rFonts w:cstheme="minorHAnsi"/>
          <w:b/>
          <w:bCs/>
        </w:rPr>
      </w:pPr>
      <w:r>
        <w:rPr>
          <w:noProof/>
        </w:rPr>
        <w:drawing>
          <wp:inline distT="0" distB="0" distL="0" distR="0" wp14:anchorId="4071AED1" wp14:editId="1FADF62C">
            <wp:extent cx="5731510" cy="4741096"/>
            <wp:effectExtent l="0" t="0" r="2540" b="2540"/>
            <wp:docPr id="441724146" name="Picture 44172414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741096"/>
                    </a:xfrm>
                    <a:prstGeom prst="rect">
                      <a:avLst/>
                    </a:prstGeom>
                  </pic:spPr>
                </pic:pic>
              </a:graphicData>
            </a:graphic>
          </wp:inline>
        </w:drawing>
      </w:r>
    </w:p>
    <w:p w14:paraId="627C8F5D" w14:textId="77777777" w:rsidR="001C250C" w:rsidRDefault="001C250C">
      <w:pPr>
        <w:rPr>
          <w:rFonts w:cstheme="minorHAnsi"/>
          <w:b/>
          <w:bCs/>
        </w:rPr>
      </w:pPr>
      <w:r>
        <w:rPr>
          <w:rFonts w:cstheme="minorHAnsi"/>
          <w:b/>
          <w:bCs/>
        </w:rPr>
        <w:br w:type="page"/>
      </w:r>
    </w:p>
    <w:p w14:paraId="689A63DD" w14:textId="77777777" w:rsidR="007D0F2B" w:rsidRDefault="007D0F2B" w:rsidP="007D0F2B">
      <w:r>
        <w:lastRenderedPageBreak/>
        <w:t>Online Repository Text File</w:t>
      </w:r>
    </w:p>
    <w:p w14:paraId="05F5FF2A" w14:textId="77777777" w:rsidR="007D0F2B" w:rsidRDefault="007D0F2B" w:rsidP="007D0F2B">
      <w:pPr>
        <w:rPr>
          <w:rFonts w:cstheme="minorHAnsi"/>
        </w:rPr>
      </w:pPr>
      <w:bookmarkStart w:id="8" w:name="SupplTableE1"/>
      <w:bookmarkEnd w:id="8"/>
      <w:r>
        <w:rPr>
          <w:rFonts w:cstheme="minorHAnsi"/>
          <w:b/>
          <w:bCs/>
        </w:rPr>
        <w:t xml:space="preserve">Table E1: WATCH cohort inclusion and exclusion criteria </w:t>
      </w:r>
    </w:p>
    <w:p w14:paraId="494A949F" w14:textId="77777777" w:rsidR="007D0F2B" w:rsidRDefault="007D0F2B" w:rsidP="007D0F2B">
      <w:pPr>
        <w:rPr>
          <w:rFonts w:cstheme="minorHAnsi"/>
        </w:rPr>
      </w:pPr>
    </w:p>
    <w:tbl>
      <w:tblPr>
        <w:tblStyle w:val="TableGrid"/>
        <w:tblW w:w="0" w:type="auto"/>
        <w:tblLook w:val="04A0" w:firstRow="1" w:lastRow="0" w:firstColumn="1" w:lastColumn="0" w:noHBand="0" w:noVBand="1"/>
      </w:tblPr>
      <w:tblGrid>
        <w:gridCol w:w="1838"/>
        <w:gridCol w:w="7178"/>
      </w:tblGrid>
      <w:tr w:rsidR="007D0F2B" w14:paraId="2AE1C3AF" w14:textId="77777777" w:rsidTr="002C69C0">
        <w:tc>
          <w:tcPr>
            <w:tcW w:w="1838" w:type="dxa"/>
          </w:tcPr>
          <w:p w14:paraId="4D34719A" w14:textId="77777777" w:rsidR="007D0F2B" w:rsidRDefault="007D0F2B" w:rsidP="002C69C0">
            <w:pPr>
              <w:rPr>
                <w:rFonts w:cstheme="minorHAnsi"/>
              </w:rPr>
            </w:pPr>
            <w:r>
              <w:rPr>
                <w:rFonts w:cstheme="minorHAnsi"/>
              </w:rPr>
              <w:t>Inclusion criteria</w:t>
            </w:r>
          </w:p>
        </w:tc>
        <w:tc>
          <w:tcPr>
            <w:tcW w:w="7178" w:type="dxa"/>
          </w:tcPr>
          <w:p w14:paraId="6FF6F29D" w14:textId="77777777" w:rsidR="007D0F2B" w:rsidRDefault="007D0F2B" w:rsidP="007D0F2B">
            <w:pPr>
              <w:pStyle w:val="ListParagraph"/>
              <w:numPr>
                <w:ilvl w:val="0"/>
                <w:numId w:val="14"/>
              </w:numPr>
              <w:rPr>
                <w:rFonts w:cstheme="minorHAnsi"/>
              </w:rPr>
            </w:pPr>
            <w:r>
              <w:rPr>
                <w:rFonts w:cstheme="minorHAnsi"/>
              </w:rPr>
              <w:t>All patients who attend the adult or transitional regional asthma clinic at University Hospital Foundation Trust or satellite outreach clinics on the Isle of Wight and are managed with “high dose therapies” and/or “continuous or frequent use of oral steroids”, according to the British Thoracic Society Adult Asthma Management guidelines 2016</w:t>
            </w:r>
          </w:p>
          <w:p w14:paraId="6FC670C9" w14:textId="77777777" w:rsidR="007D0F2B" w:rsidRPr="00422D81" w:rsidRDefault="007D0F2B" w:rsidP="007D0F2B">
            <w:pPr>
              <w:pStyle w:val="ListParagraph"/>
              <w:numPr>
                <w:ilvl w:val="0"/>
                <w:numId w:val="14"/>
              </w:numPr>
              <w:rPr>
                <w:rFonts w:cstheme="minorHAnsi"/>
              </w:rPr>
            </w:pPr>
            <w:r>
              <w:rPr>
                <w:rFonts w:cstheme="minorHAnsi"/>
              </w:rPr>
              <w:t>Be able to provide informed consent</w:t>
            </w:r>
          </w:p>
        </w:tc>
      </w:tr>
      <w:tr w:rsidR="007D0F2B" w14:paraId="00D3FA62" w14:textId="77777777" w:rsidTr="002C69C0">
        <w:tc>
          <w:tcPr>
            <w:tcW w:w="1838" w:type="dxa"/>
          </w:tcPr>
          <w:p w14:paraId="321CE35F" w14:textId="77777777" w:rsidR="007D0F2B" w:rsidRDefault="007D0F2B" w:rsidP="002C69C0">
            <w:pPr>
              <w:rPr>
                <w:rFonts w:cstheme="minorHAnsi"/>
              </w:rPr>
            </w:pPr>
            <w:r>
              <w:rPr>
                <w:rFonts w:cstheme="minorHAnsi"/>
              </w:rPr>
              <w:t>Exclusion criteria</w:t>
            </w:r>
          </w:p>
        </w:tc>
        <w:tc>
          <w:tcPr>
            <w:tcW w:w="7178" w:type="dxa"/>
          </w:tcPr>
          <w:p w14:paraId="194B8257" w14:textId="77777777" w:rsidR="007D0F2B" w:rsidRDefault="007D0F2B" w:rsidP="002C69C0">
            <w:pPr>
              <w:rPr>
                <w:rFonts w:cstheme="minorHAnsi"/>
              </w:rPr>
            </w:pPr>
            <w:r>
              <w:rPr>
                <w:rFonts w:cstheme="minorHAnsi"/>
              </w:rPr>
              <w:t>Patients who attend the adult or transitional regional asthma clinic as University Hospital Southampton NHS Foundation Trust or satellite outreach clinics on the Isle of Wight but are not managed with “high dose therapies” and/or “continuous or frequent use of oral steroids”, according to the British Thoracic Society Adult Asthma Management Guidelines 2016.</w:t>
            </w:r>
          </w:p>
        </w:tc>
      </w:tr>
    </w:tbl>
    <w:p w14:paraId="5F392C9C" w14:textId="77777777" w:rsidR="007D0F2B" w:rsidRPr="005536F9" w:rsidRDefault="007D0F2B" w:rsidP="007D0F2B">
      <w:pPr>
        <w:rPr>
          <w:rFonts w:cstheme="minorHAnsi"/>
        </w:rPr>
      </w:pPr>
    </w:p>
    <w:p w14:paraId="2F71408E" w14:textId="77777777" w:rsidR="007D0F2B" w:rsidRDefault="007D0F2B" w:rsidP="007D0F2B">
      <w:pPr>
        <w:rPr>
          <w:rFonts w:cstheme="minorHAnsi"/>
          <w:b/>
          <w:bCs/>
        </w:rPr>
      </w:pPr>
    </w:p>
    <w:p w14:paraId="26C64B66" w14:textId="77777777" w:rsidR="007D0F2B" w:rsidRPr="001C1D07" w:rsidRDefault="007D0F2B" w:rsidP="007D0F2B">
      <w:pPr>
        <w:rPr>
          <w:rFonts w:cstheme="minorHAnsi"/>
          <w:b/>
          <w:bCs/>
        </w:rPr>
      </w:pPr>
      <w:r>
        <w:rPr>
          <w:rFonts w:cstheme="minorHAnsi"/>
          <w:b/>
          <w:bCs/>
        </w:rPr>
        <w:t>Table E2</w:t>
      </w:r>
      <w:r w:rsidRPr="001C1D07">
        <w:rPr>
          <w:rFonts w:cstheme="minorHAnsi"/>
          <w:b/>
          <w:bCs/>
        </w:rPr>
        <w:t xml:space="preserve">: Clinical characteristics </w:t>
      </w:r>
      <w:r>
        <w:rPr>
          <w:rFonts w:cstheme="minorHAnsi"/>
          <w:b/>
          <w:bCs/>
        </w:rPr>
        <w:t xml:space="preserve">of patients excluded from T2 analysis due to being </w:t>
      </w:r>
      <w:r>
        <w:rPr>
          <w:b/>
          <w:bCs/>
        </w:rPr>
        <w:t xml:space="preserve">on biologic therapy at WATCH enrolment compared to those included (biologic naïve) </w:t>
      </w:r>
    </w:p>
    <w:p w14:paraId="20474A4B" w14:textId="77777777" w:rsidR="007D0F2B" w:rsidRDefault="007D0F2B" w:rsidP="007D0F2B">
      <w:pPr>
        <w:spacing w:after="160" w:line="259" w:lineRule="auto"/>
      </w:pPr>
    </w:p>
    <w:tbl>
      <w:tblPr>
        <w:tblStyle w:val="TableGrid"/>
        <w:tblW w:w="8911" w:type="dxa"/>
        <w:jc w:val="center"/>
        <w:shd w:val="clear" w:color="auto" w:fill="FFFFFF" w:themeFill="background1"/>
        <w:tblLayout w:type="fixed"/>
        <w:tblLook w:val="04A0" w:firstRow="1" w:lastRow="0" w:firstColumn="1" w:lastColumn="0" w:noHBand="0" w:noVBand="1"/>
      </w:tblPr>
      <w:tblGrid>
        <w:gridCol w:w="4253"/>
        <w:gridCol w:w="1749"/>
        <w:gridCol w:w="1628"/>
        <w:gridCol w:w="1281"/>
      </w:tblGrid>
      <w:tr w:rsidR="007D0F2B" w:rsidRPr="003278A5" w14:paraId="4A37196A" w14:textId="77777777" w:rsidTr="002C69C0">
        <w:trPr>
          <w:trHeight w:val="557"/>
          <w:jc w:val="center"/>
        </w:trPr>
        <w:tc>
          <w:tcPr>
            <w:tcW w:w="4253" w:type="dxa"/>
            <w:shd w:val="clear" w:color="auto" w:fill="E7E6E6" w:themeFill="background2"/>
            <w:vAlign w:val="center"/>
          </w:tcPr>
          <w:p w14:paraId="69F9E899" w14:textId="77777777" w:rsidR="007D0F2B" w:rsidRPr="00237333" w:rsidRDefault="007D0F2B" w:rsidP="002C69C0">
            <w:r w:rsidRPr="00237333">
              <w:t>Variable</w:t>
            </w:r>
          </w:p>
        </w:tc>
        <w:tc>
          <w:tcPr>
            <w:tcW w:w="1749" w:type="dxa"/>
            <w:shd w:val="clear" w:color="auto" w:fill="FFFFFF" w:themeFill="background1"/>
          </w:tcPr>
          <w:p w14:paraId="335D2F1E" w14:textId="77777777" w:rsidR="007D0F2B" w:rsidRDefault="007D0F2B" w:rsidP="002C69C0">
            <w:pPr>
              <w:jc w:val="center"/>
              <w:rPr>
                <w:b/>
                <w:bCs/>
              </w:rPr>
            </w:pPr>
            <w:r>
              <w:rPr>
                <w:b/>
                <w:bCs/>
              </w:rPr>
              <w:t xml:space="preserve">Biologics naïve </w:t>
            </w:r>
          </w:p>
          <w:p w14:paraId="18E55D34" w14:textId="77777777" w:rsidR="007D0F2B" w:rsidRPr="001C1D07" w:rsidRDefault="007D0F2B" w:rsidP="002C69C0">
            <w:pPr>
              <w:jc w:val="center"/>
              <w:rPr>
                <w:b/>
                <w:bCs/>
              </w:rPr>
            </w:pPr>
            <w:r>
              <w:rPr>
                <w:b/>
                <w:bCs/>
              </w:rPr>
              <w:t>N= 388</w:t>
            </w:r>
          </w:p>
        </w:tc>
        <w:tc>
          <w:tcPr>
            <w:tcW w:w="1628" w:type="dxa"/>
            <w:shd w:val="clear" w:color="auto" w:fill="FFFFFF" w:themeFill="background1"/>
          </w:tcPr>
          <w:p w14:paraId="32355C6C" w14:textId="77777777" w:rsidR="007D0F2B" w:rsidRDefault="007D0F2B" w:rsidP="002C69C0">
            <w:pPr>
              <w:jc w:val="center"/>
              <w:rPr>
                <w:b/>
                <w:bCs/>
              </w:rPr>
            </w:pPr>
            <w:r>
              <w:rPr>
                <w:b/>
                <w:bCs/>
              </w:rPr>
              <w:t>On biologics</w:t>
            </w:r>
          </w:p>
          <w:p w14:paraId="44276E7B" w14:textId="77777777" w:rsidR="007D0F2B" w:rsidRPr="001C1D07" w:rsidRDefault="007D0F2B" w:rsidP="002C69C0">
            <w:pPr>
              <w:jc w:val="center"/>
              <w:rPr>
                <w:b/>
                <w:bCs/>
              </w:rPr>
            </w:pPr>
            <w:r>
              <w:rPr>
                <w:b/>
                <w:bCs/>
              </w:rPr>
              <w:t>N= 79</w:t>
            </w:r>
          </w:p>
        </w:tc>
        <w:tc>
          <w:tcPr>
            <w:tcW w:w="1281" w:type="dxa"/>
            <w:shd w:val="clear" w:color="auto" w:fill="FFFFFF" w:themeFill="background1"/>
          </w:tcPr>
          <w:p w14:paraId="37C636F5" w14:textId="77777777" w:rsidR="007D0F2B" w:rsidRPr="001C1D07" w:rsidRDefault="007D0F2B" w:rsidP="002C69C0">
            <w:pPr>
              <w:jc w:val="center"/>
              <w:rPr>
                <w:b/>
                <w:bCs/>
              </w:rPr>
            </w:pPr>
            <w:r w:rsidRPr="001C1D07">
              <w:rPr>
                <w:b/>
                <w:bCs/>
              </w:rPr>
              <w:t>P</w:t>
            </w:r>
          </w:p>
        </w:tc>
      </w:tr>
      <w:tr w:rsidR="007D0F2B" w:rsidRPr="003278A5" w14:paraId="656A33CE" w14:textId="77777777" w:rsidTr="002C69C0">
        <w:trPr>
          <w:jc w:val="center"/>
        </w:trPr>
        <w:tc>
          <w:tcPr>
            <w:tcW w:w="4253" w:type="dxa"/>
            <w:shd w:val="clear" w:color="auto" w:fill="E7E6E6" w:themeFill="background2"/>
            <w:vAlign w:val="center"/>
          </w:tcPr>
          <w:p w14:paraId="3ED6CB21" w14:textId="77777777" w:rsidR="007D0F2B" w:rsidRPr="00237333" w:rsidRDefault="007D0F2B" w:rsidP="002C69C0">
            <w:pPr>
              <w:rPr>
                <w:noProof/>
                <w:lang w:eastAsia="en-GB"/>
              </w:rPr>
            </w:pPr>
            <w:r w:rsidRPr="00237333">
              <w:t>Current Age</w:t>
            </w:r>
          </w:p>
        </w:tc>
        <w:tc>
          <w:tcPr>
            <w:tcW w:w="1749" w:type="dxa"/>
            <w:shd w:val="clear" w:color="auto" w:fill="FFFFFF" w:themeFill="background1"/>
            <w:vAlign w:val="center"/>
          </w:tcPr>
          <w:p w14:paraId="513B7FBD" w14:textId="77777777" w:rsidR="007D0F2B" w:rsidRPr="003278A5" w:rsidRDefault="007D0F2B" w:rsidP="002C69C0">
            <w:pPr>
              <w:jc w:val="center"/>
              <w:rPr>
                <w:noProof/>
                <w:lang w:eastAsia="en-GB"/>
              </w:rPr>
            </w:pPr>
            <w:r>
              <w:rPr>
                <w:noProof/>
                <w:lang w:eastAsia="en-GB"/>
              </w:rPr>
              <w:t>52 (24)</w:t>
            </w:r>
          </w:p>
        </w:tc>
        <w:tc>
          <w:tcPr>
            <w:tcW w:w="1628" w:type="dxa"/>
            <w:shd w:val="clear" w:color="auto" w:fill="FFFFFF" w:themeFill="background1"/>
            <w:vAlign w:val="center"/>
          </w:tcPr>
          <w:p w14:paraId="72A04BD3" w14:textId="77777777" w:rsidR="007D0F2B" w:rsidRPr="003278A5" w:rsidRDefault="007D0F2B" w:rsidP="002C69C0">
            <w:pPr>
              <w:jc w:val="center"/>
            </w:pPr>
            <w:r>
              <w:t xml:space="preserve">52 (25) </w:t>
            </w:r>
          </w:p>
        </w:tc>
        <w:tc>
          <w:tcPr>
            <w:tcW w:w="1281" w:type="dxa"/>
            <w:shd w:val="clear" w:color="auto" w:fill="FFFFFF" w:themeFill="background1"/>
          </w:tcPr>
          <w:p w14:paraId="0A89D983" w14:textId="77777777" w:rsidR="007D0F2B" w:rsidRPr="00A41869" w:rsidRDefault="007D0F2B" w:rsidP="002C69C0">
            <w:pPr>
              <w:jc w:val="center"/>
              <w:rPr>
                <w:vertAlign w:val="superscript"/>
              </w:rPr>
            </w:pPr>
            <w:r>
              <w:t>0.96</w:t>
            </w:r>
          </w:p>
        </w:tc>
      </w:tr>
      <w:tr w:rsidR="007D0F2B" w:rsidRPr="003278A5" w14:paraId="64055C94" w14:textId="77777777" w:rsidTr="002C69C0">
        <w:trPr>
          <w:jc w:val="center"/>
        </w:trPr>
        <w:tc>
          <w:tcPr>
            <w:tcW w:w="4253" w:type="dxa"/>
            <w:shd w:val="clear" w:color="auto" w:fill="E7E6E6" w:themeFill="background2"/>
            <w:vAlign w:val="center"/>
          </w:tcPr>
          <w:p w14:paraId="36524F09" w14:textId="77777777" w:rsidR="007D0F2B" w:rsidRPr="00237333" w:rsidRDefault="007D0F2B" w:rsidP="002C69C0">
            <w:pPr>
              <w:rPr>
                <w:noProof/>
                <w:lang w:eastAsia="en-GB"/>
              </w:rPr>
            </w:pPr>
            <w:r w:rsidRPr="00237333">
              <w:t>Age at diagnosis</w:t>
            </w:r>
          </w:p>
        </w:tc>
        <w:tc>
          <w:tcPr>
            <w:tcW w:w="1749" w:type="dxa"/>
            <w:shd w:val="clear" w:color="auto" w:fill="FFFFFF" w:themeFill="background1"/>
            <w:vAlign w:val="center"/>
          </w:tcPr>
          <w:p w14:paraId="0EAEE703" w14:textId="77777777" w:rsidR="007D0F2B" w:rsidRPr="003278A5" w:rsidRDefault="007D0F2B" w:rsidP="002C69C0">
            <w:pPr>
              <w:jc w:val="center"/>
              <w:rPr>
                <w:noProof/>
                <w:lang w:eastAsia="en-GB"/>
              </w:rPr>
            </w:pPr>
            <w:r>
              <w:rPr>
                <w:noProof/>
                <w:lang w:eastAsia="en-GB"/>
              </w:rPr>
              <w:t>21</w:t>
            </w:r>
            <w:r w:rsidRPr="006B53E5">
              <w:rPr>
                <w:noProof/>
                <w:vertAlign w:val="superscript"/>
                <w:lang w:eastAsia="en-GB"/>
              </w:rPr>
              <w:t>¶</w:t>
            </w:r>
            <w:r>
              <w:rPr>
                <w:noProof/>
                <w:vertAlign w:val="superscript"/>
                <w:lang w:eastAsia="en-GB"/>
              </w:rPr>
              <w:t xml:space="preserve">  </w:t>
            </w:r>
            <w:r w:rsidRPr="000B67C9">
              <w:rPr>
                <w:noProof/>
                <w:lang w:eastAsia="en-GB"/>
              </w:rPr>
              <w:t>(</w:t>
            </w:r>
            <w:r>
              <w:rPr>
                <w:noProof/>
                <w:lang w:eastAsia="en-GB"/>
              </w:rPr>
              <w:t>36)</w:t>
            </w:r>
          </w:p>
        </w:tc>
        <w:tc>
          <w:tcPr>
            <w:tcW w:w="1628" w:type="dxa"/>
            <w:shd w:val="clear" w:color="auto" w:fill="FFFFFF" w:themeFill="background1"/>
            <w:vAlign w:val="center"/>
          </w:tcPr>
          <w:p w14:paraId="66E1104A" w14:textId="77777777" w:rsidR="007D0F2B" w:rsidRPr="003278A5" w:rsidRDefault="007D0F2B" w:rsidP="002C69C0">
            <w:pPr>
              <w:jc w:val="center"/>
            </w:pPr>
            <w:r>
              <w:t>14</w:t>
            </w:r>
            <w:r w:rsidRPr="006B53E5">
              <w:rPr>
                <w:vertAlign w:val="superscript"/>
              </w:rPr>
              <w:t>¶¶</w:t>
            </w:r>
            <w:r>
              <w:rPr>
                <w:vertAlign w:val="superscript"/>
              </w:rPr>
              <w:t xml:space="preserve">  </w:t>
            </w:r>
            <w:r>
              <w:t>(37)</w:t>
            </w:r>
          </w:p>
        </w:tc>
        <w:tc>
          <w:tcPr>
            <w:tcW w:w="1281" w:type="dxa"/>
            <w:shd w:val="clear" w:color="auto" w:fill="FFFFFF" w:themeFill="background1"/>
          </w:tcPr>
          <w:p w14:paraId="633ADB8B" w14:textId="77777777" w:rsidR="007D0F2B" w:rsidRPr="00A41869" w:rsidRDefault="007D0F2B" w:rsidP="002C69C0">
            <w:pPr>
              <w:jc w:val="center"/>
              <w:rPr>
                <w:vertAlign w:val="superscript"/>
              </w:rPr>
            </w:pPr>
            <w:r>
              <w:t>0.20</w:t>
            </w:r>
          </w:p>
        </w:tc>
      </w:tr>
      <w:tr w:rsidR="007D0F2B" w:rsidRPr="003278A5" w14:paraId="61D46C65" w14:textId="77777777" w:rsidTr="002C69C0">
        <w:trPr>
          <w:jc w:val="center"/>
        </w:trPr>
        <w:tc>
          <w:tcPr>
            <w:tcW w:w="4253" w:type="dxa"/>
            <w:shd w:val="clear" w:color="auto" w:fill="E7E6E6" w:themeFill="background2"/>
            <w:vAlign w:val="center"/>
          </w:tcPr>
          <w:p w14:paraId="3CBD87FC" w14:textId="77777777" w:rsidR="007D0F2B" w:rsidRPr="00237333" w:rsidRDefault="007D0F2B" w:rsidP="002C69C0">
            <w:r>
              <w:t>Percentage</w:t>
            </w:r>
            <w:r w:rsidRPr="00237333">
              <w:t xml:space="preserve"> of patients with early </w:t>
            </w:r>
            <w:r>
              <w:t xml:space="preserve">onset </w:t>
            </w:r>
            <w:r w:rsidRPr="00237333">
              <w:t>asthma (</w:t>
            </w:r>
            <w:r w:rsidRPr="00237333">
              <w:rPr>
                <w:rFonts w:cstheme="minorHAnsi"/>
              </w:rPr>
              <w:t>≤</w:t>
            </w:r>
            <w:r w:rsidRPr="00237333">
              <w:t>18-years)</w:t>
            </w:r>
          </w:p>
        </w:tc>
        <w:tc>
          <w:tcPr>
            <w:tcW w:w="1749" w:type="dxa"/>
            <w:shd w:val="clear" w:color="auto" w:fill="FFFFFF" w:themeFill="background1"/>
            <w:vAlign w:val="center"/>
          </w:tcPr>
          <w:p w14:paraId="4E16AFCE" w14:textId="77777777" w:rsidR="007D0F2B" w:rsidRDefault="007D0F2B" w:rsidP="002C69C0">
            <w:pPr>
              <w:jc w:val="center"/>
            </w:pPr>
            <w:r>
              <w:t>44.1</w:t>
            </w:r>
          </w:p>
          <w:p w14:paraId="576342D5" w14:textId="77777777" w:rsidR="007D0F2B" w:rsidRPr="003278A5" w:rsidRDefault="007D0F2B" w:rsidP="002C69C0">
            <w:pPr>
              <w:jc w:val="center"/>
              <w:rPr>
                <w:noProof/>
                <w:lang w:eastAsia="en-GB"/>
              </w:rPr>
            </w:pPr>
            <w:r>
              <w:t>(171/388)</w:t>
            </w:r>
          </w:p>
        </w:tc>
        <w:tc>
          <w:tcPr>
            <w:tcW w:w="1628" w:type="dxa"/>
            <w:shd w:val="clear" w:color="auto" w:fill="FFFFFF" w:themeFill="background1"/>
            <w:vAlign w:val="center"/>
          </w:tcPr>
          <w:p w14:paraId="1607CCC8" w14:textId="77777777" w:rsidR="007D0F2B" w:rsidRDefault="007D0F2B" w:rsidP="002C69C0">
            <w:pPr>
              <w:jc w:val="center"/>
            </w:pPr>
            <w:r>
              <w:t>51.9</w:t>
            </w:r>
          </w:p>
          <w:p w14:paraId="4447E19C" w14:textId="77777777" w:rsidR="007D0F2B" w:rsidRPr="003278A5" w:rsidRDefault="007D0F2B" w:rsidP="002C69C0">
            <w:pPr>
              <w:jc w:val="center"/>
            </w:pPr>
            <w:r>
              <w:t>(41/79)</w:t>
            </w:r>
          </w:p>
        </w:tc>
        <w:tc>
          <w:tcPr>
            <w:tcW w:w="1281" w:type="dxa"/>
            <w:shd w:val="clear" w:color="auto" w:fill="FFFFFF" w:themeFill="background1"/>
          </w:tcPr>
          <w:p w14:paraId="14A6E60E" w14:textId="77777777" w:rsidR="007D0F2B" w:rsidRPr="00327D03" w:rsidRDefault="007D0F2B" w:rsidP="002C69C0">
            <w:pPr>
              <w:jc w:val="center"/>
              <w:rPr>
                <w:vertAlign w:val="superscript"/>
              </w:rPr>
            </w:pPr>
            <w:r>
              <w:t>0.2</w:t>
            </w:r>
          </w:p>
        </w:tc>
      </w:tr>
      <w:tr w:rsidR="007D0F2B" w:rsidRPr="003278A5" w14:paraId="4E67C00D" w14:textId="77777777" w:rsidTr="002C69C0">
        <w:trPr>
          <w:jc w:val="center"/>
        </w:trPr>
        <w:tc>
          <w:tcPr>
            <w:tcW w:w="4253" w:type="dxa"/>
            <w:shd w:val="clear" w:color="auto" w:fill="E7E6E6" w:themeFill="background2"/>
            <w:vAlign w:val="center"/>
          </w:tcPr>
          <w:p w14:paraId="2D4F3935" w14:textId="77777777" w:rsidR="007D0F2B" w:rsidRPr="00237333" w:rsidRDefault="007D0F2B" w:rsidP="002C69C0">
            <w:pPr>
              <w:rPr>
                <w:noProof/>
                <w:lang w:eastAsia="en-GB"/>
              </w:rPr>
            </w:pPr>
            <w:r w:rsidRPr="00237333">
              <w:t>Sex (</w:t>
            </w:r>
            <w:proofErr w:type="spellStart"/>
            <w:r w:rsidRPr="00237333">
              <w:t>male:female</w:t>
            </w:r>
            <w:proofErr w:type="spellEnd"/>
            <w:r w:rsidRPr="00237333">
              <w:t>)</w:t>
            </w:r>
          </w:p>
        </w:tc>
        <w:tc>
          <w:tcPr>
            <w:tcW w:w="1749" w:type="dxa"/>
            <w:shd w:val="clear" w:color="auto" w:fill="FFFFFF" w:themeFill="background1"/>
            <w:vAlign w:val="center"/>
          </w:tcPr>
          <w:p w14:paraId="535269EA" w14:textId="77777777" w:rsidR="007D0F2B" w:rsidRPr="003278A5" w:rsidRDefault="007D0F2B" w:rsidP="002C69C0">
            <w:pPr>
              <w:jc w:val="center"/>
              <w:rPr>
                <w:noProof/>
                <w:lang w:eastAsia="en-GB"/>
              </w:rPr>
            </w:pPr>
            <w:r>
              <w:rPr>
                <w:noProof/>
                <w:lang w:eastAsia="en-GB"/>
              </w:rPr>
              <w:t>130:258</w:t>
            </w:r>
          </w:p>
        </w:tc>
        <w:tc>
          <w:tcPr>
            <w:tcW w:w="1628" w:type="dxa"/>
            <w:shd w:val="clear" w:color="auto" w:fill="FFFFFF" w:themeFill="background1"/>
            <w:vAlign w:val="center"/>
          </w:tcPr>
          <w:p w14:paraId="1BB610AC" w14:textId="77777777" w:rsidR="007D0F2B" w:rsidRPr="003278A5" w:rsidRDefault="007D0F2B" w:rsidP="002C69C0">
            <w:pPr>
              <w:jc w:val="center"/>
            </w:pPr>
            <w:r>
              <w:t>35:44</w:t>
            </w:r>
          </w:p>
        </w:tc>
        <w:tc>
          <w:tcPr>
            <w:tcW w:w="1281" w:type="dxa"/>
            <w:shd w:val="clear" w:color="auto" w:fill="FFFFFF" w:themeFill="background1"/>
          </w:tcPr>
          <w:p w14:paraId="32AA6815" w14:textId="77777777" w:rsidR="007D0F2B" w:rsidRPr="00E022E1" w:rsidRDefault="007D0F2B" w:rsidP="002C69C0">
            <w:pPr>
              <w:jc w:val="center"/>
              <w:rPr>
                <w:vertAlign w:val="superscript"/>
              </w:rPr>
            </w:pPr>
            <w:r w:rsidRPr="00E022E1">
              <w:t>0.07</w:t>
            </w:r>
          </w:p>
        </w:tc>
      </w:tr>
      <w:tr w:rsidR="007D0F2B" w:rsidRPr="003278A5" w14:paraId="54F15414" w14:textId="77777777" w:rsidTr="002C69C0">
        <w:trPr>
          <w:jc w:val="center"/>
        </w:trPr>
        <w:tc>
          <w:tcPr>
            <w:tcW w:w="4253" w:type="dxa"/>
            <w:shd w:val="clear" w:color="auto" w:fill="E7E6E6" w:themeFill="background2"/>
            <w:vAlign w:val="center"/>
          </w:tcPr>
          <w:p w14:paraId="7D3F8511" w14:textId="77777777" w:rsidR="007D0F2B" w:rsidRPr="00237333" w:rsidRDefault="007D0F2B" w:rsidP="002C69C0">
            <w:r w:rsidRPr="00237333">
              <w:rPr>
                <w:noProof/>
                <w:lang w:eastAsia="en-GB"/>
              </w:rPr>
              <w:drawing>
                <wp:anchor distT="0" distB="0" distL="114300" distR="114300" simplePos="0" relativeHeight="251684864" behindDoc="0" locked="0" layoutInCell="1" allowOverlap="1" wp14:anchorId="7CCB41AC" wp14:editId="1CA3626A">
                  <wp:simplePos x="0" y="0"/>
                  <wp:positionH relativeFrom="column">
                    <wp:posOffset>185135</wp:posOffset>
                  </wp:positionH>
                  <wp:positionV relativeFrom="paragraph">
                    <wp:posOffset>-1510</wp:posOffset>
                  </wp:positionV>
                  <wp:extent cx="360" cy="360"/>
                  <wp:effectExtent l="57150" t="38100" r="38100" b="57150"/>
                  <wp:wrapNone/>
                  <wp:docPr id="1"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1"/>
                          <a:stretch>
                            <a:fillRect/>
                          </a:stretch>
                        </pic:blipFill>
                        <pic:spPr>
                          <a:xfrm>
                            <a:off x="0" y="0"/>
                            <a:ext cx="36000" cy="216000"/>
                          </a:xfrm>
                          <a:prstGeom prst="rect">
                            <a:avLst/>
                          </a:prstGeom>
                        </pic:spPr>
                      </pic:pic>
                    </a:graphicData>
                  </a:graphic>
                </wp:anchor>
              </w:drawing>
            </w:r>
            <w:r w:rsidRPr="00237333">
              <w:t>BMI</w:t>
            </w:r>
          </w:p>
          <w:p w14:paraId="08E0CEEC" w14:textId="77777777" w:rsidR="007D0F2B" w:rsidRPr="00237333" w:rsidRDefault="007D0F2B" w:rsidP="002C69C0"/>
        </w:tc>
        <w:tc>
          <w:tcPr>
            <w:tcW w:w="1749" w:type="dxa"/>
            <w:shd w:val="clear" w:color="auto" w:fill="FFFFFF" w:themeFill="background1"/>
            <w:vAlign w:val="center"/>
          </w:tcPr>
          <w:p w14:paraId="336EDD05" w14:textId="77777777" w:rsidR="007D0F2B" w:rsidRPr="003278A5" w:rsidRDefault="007D0F2B" w:rsidP="002C69C0">
            <w:pPr>
              <w:jc w:val="center"/>
            </w:pPr>
            <w:r>
              <w:t>29.6 (10.4)</w:t>
            </w:r>
          </w:p>
        </w:tc>
        <w:tc>
          <w:tcPr>
            <w:tcW w:w="1628" w:type="dxa"/>
            <w:shd w:val="clear" w:color="auto" w:fill="FFFFFF" w:themeFill="background1"/>
            <w:vAlign w:val="center"/>
          </w:tcPr>
          <w:p w14:paraId="3F21E5E1" w14:textId="77777777" w:rsidR="007D0F2B" w:rsidRPr="003278A5" w:rsidRDefault="007D0F2B" w:rsidP="002C69C0">
            <w:pPr>
              <w:jc w:val="center"/>
            </w:pPr>
            <w:r>
              <w:t>29.2 (7.7)</w:t>
            </w:r>
          </w:p>
        </w:tc>
        <w:tc>
          <w:tcPr>
            <w:tcW w:w="1281" w:type="dxa"/>
            <w:shd w:val="clear" w:color="auto" w:fill="FFFFFF" w:themeFill="background1"/>
          </w:tcPr>
          <w:p w14:paraId="127CB325" w14:textId="77777777" w:rsidR="007D0F2B" w:rsidRPr="00A41869" w:rsidRDefault="007D0F2B" w:rsidP="002C69C0">
            <w:pPr>
              <w:jc w:val="center"/>
              <w:rPr>
                <w:vertAlign w:val="superscript"/>
              </w:rPr>
            </w:pPr>
            <w:r w:rsidRPr="00A41869">
              <w:t>0.9</w:t>
            </w:r>
            <w:r>
              <w:t>0</w:t>
            </w:r>
          </w:p>
        </w:tc>
      </w:tr>
      <w:tr w:rsidR="007D0F2B" w:rsidRPr="003278A5" w14:paraId="544BA8E1" w14:textId="77777777" w:rsidTr="002C69C0">
        <w:trPr>
          <w:jc w:val="center"/>
        </w:trPr>
        <w:tc>
          <w:tcPr>
            <w:tcW w:w="4253" w:type="dxa"/>
            <w:shd w:val="clear" w:color="auto" w:fill="E7E6E6" w:themeFill="background2"/>
            <w:vAlign w:val="center"/>
          </w:tcPr>
          <w:p w14:paraId="4933619A" w14:textId="77777777" w:rsidR="007D0F2B" w:rsidRPr="00237333" w:rsidRDefault="007D0F2B" w:rsidP="002C69C0">
            <w:r w:rsidRPr="00237333">
              <w:t>Percentage of never smokers (n)</w:t>
            </w:r>
          </w:p>
        </w:tc>
        <w:tc>
          <w:tcPr>
            <w:tcW w:w="1749" w:type="dxa"/>
            <w:shd w:val="clear" w:color="auto" w:fill="FFFFFF" w:themeFill="background1"/>
            <w:vAlign w:val="center"/>
          </w:tcPr>
          <w:p w14:paraId="53341EB8" w14:textId="77777777" w:rsidR="007D0F2B" w:rsidRPr="003278A5" w:rsidRDefault="007D0F2B" w:rsidP="002C69C0">
            <w:pPr>
              <w:jc w:val="center"/>
            </w:pPr>
            <w:r>
              <w:t>51.3</w:t>
            </w:r>
            <w:r>
              <w:rPr>
                <w:rFonts w:cstheme="minorHAnsi"/>
                <w:vertAlign w:val="superscript"/>
              </w:rPr>
              <w:t>ω</w:t>
            </w:r>
            <w:r>
              <w:t xml:space="preserve"> (199/387)</w:t>
            </w:r>
          </w:p>
        </w:tc>
        <w:tc>
          <w:tcPr>
            <w:tcW w:w="1628" w:type="dxa"/>
            <w:shd w:val="clear" w:color="auto" w:fill="FFFFFF" w:themeFill="background1"/>
            <w:vAlign w:val="center"/>
          </w:tcPr>
          <w:p w14:paraId="118B6784" w14:textId="77777777" w:rsidR="007D0F2B" w:rsidRPr="003278A5" w:rsidRDefault="007D0F2B" w:rsidP="002C69C0">
            <w:pPr>
              <w:jc w:val="center"/>
            </w:pPr>
            <w:r>
              <w:t>60.8 (47/79)</w:t>
            </w:r>
          </w:p>
        </w:tc>
        <w:tc>
          <w:tcPr>
            <w:tcW w:w="1281" w:type="dxa"/>
            <w:shd w:val="clear" w:color="auto" w:fill="FFFFFF" w:themeFill="background1"/>
          </w:tcPr>
          <w:p w14:paraId="2C0EF14C" w14:textId="77777777" w:rsidR="007D0F2B" w:rsidRPr="00327D03" w:rsidRDefault="007D0F2B" w:rsidP="002C69C0">
            <w:pPr>
              <w:jc w:val="center"/>
              <w:rPr>
                <w:highlight w:val="yellow"/>
                <w:vertAlign w:val="superscript"/>
              </w:rPr>
            </w:pPr>
            <w:r>
              <w:t>0.13</w:t>
            </w:r>
          </w:p>
        </w:tc>
      </w:tr>
      <w:tr w:rsidR="007D0F2B" w:rsidRPr="003278A5" w14:paraId="77537FA8" w14:textId="77777777" w:rsidTr="002C69C0">
        <w:trPr>
          <w:jc w:val="center"/>
        </w:trPr>
        <w:tc>
          <w:tcPr>
            <w:tcW w:w="4253" w:type="dxa"/>
            <w:shd w:val="clear" w:color="auto" w:fill="E7E6E6" w:themeFill="background2"/>
            <w:vAlign w:val="center"/>
          </w:tcPr>
          <w:p w14:paraId="759AA962" w14:textId="77777777" w:rsidR="007D0F2B" w:rsidRPr="00237333" w:rsidRDefault="007D0F2B" w:rsidP="002C69C0">
            <w:pPr>
              <w:autoSpaceDE w:val="0"/>
              <w:autoSpaceDN w:val="0"/>
              <w:adjustRightInd w:val="0"/>
            </w:pPr>
            <w:r w:rsidRPr="00237333">
              <w:t>Percentage of patients intubated for acute asthma (n)</w:t>
            </w:r>
          </w:p>
        </w:tc>
        <w:tc>
          <w:tcPr>
            <w:tcW w:w="1749" w:type="dxa"/>
            <w:shd w:val="clear" w:color="auto" w:fill="FFFFFF" w:themeFill="background1"/>
            <w:vAlign w:val="center"/>
          </w:tcPr>
          <w:p w14:paraId="49611926" w14:textId="77777777" w:rsidR="007D0F2B" w:rsidRDefault="007D0F2B" w:rsidP="002C69C0">
            <w:pPr>
              <w:jc w:val="center"/>
            </w:pPr>
            <w:r>
              <w:t>12.4</w:t>
            </w:r>
          </w:p>
          <w:p w14:paraId="2D0EAD15" w14:textId="77777777" w:rsidR="007D0F2B" w:rsidRPr="003278A5" w:rsidRDefault="007D0F2B" w:rsidP="002C69C0">
            <w:pPr>
              <w:jc w:val="center"/>
            </w:pPr>
            <w:r>
              <w:t>(48/388)</w:t>
            </w:r>
          </w:p>
        </w:tc>
        <w:tc>
          <w:tcPr>
            <w:tcW w:w="1628" w:type="dxa"/>
            <w:shd w:val="clear" w:color="auto" w:fill="FFFFFF" w:themeFill="background1"/>
            <w:vAlign w:val="center"/>
          </w:tcPr>
          <w:p w14:paraId="2712D626" w14:textId="77777777" w:rsidR="007D0F2B" w:rsidRDefault="007D0F2B" w:rsidP="002C69C0">
            <w:pPr>
              <w:jc w:val="center"/>
            </w:pPr>
            <w:r>
              <w:t>17.7</w:t>
            </w:r>
          </w:p>
          <w:p w14:paraId="18AE2947" w14:textId="77777777" w:rsidR="007D0F2B" w:rsidRPr="003278A5" w:rsidRDefault="007D0F2B" w:rsidP="002C69C0">
            <w:pPr>
              <w:jc w:val="center"/>
            </w:pPr>
            <w:r>
              <w:t>(14/79)</w:t>
            </w:r>
          </w:p>
        </w:tc>
        <w:tc>
          <w:tcPr>
            <w:tcW w:w="1281" w:type="dxa"/>
            <w:shd w:val="clear" w:color="auto" w:fill="FFFFFF" w:themeFill="background1"/>
          </w:tcPr>
          <w:p w14:paraId="6C72487B" w14:textId="77777777" w:rsidR="007D0F2B" w:rsidRPr="00675B4C" w:rsidRDefault="007D0F2B" w:rsidP="002C69C0">
            <w:pPr>
              <w:jc w:val="center"/>
              <w:rPr>
                <w:vertAlign w:val="superscript"/>
              </w:rPr>
            </w:pPr>
            <w:r>
              <w:t>0.2</w:t>
            </w:r>
          </w:p>
        </w:tc>
      </w:tr>
      <w:tr w:rsidR="007D0F2B" w:rsidRPr="003278A5" w14:paraId="1A5B37EE" w14:textId="77777777" w:rsidTr="002C69C0">
        <w:trPr>
          <w:jc w:val="center"/>
        </w:trPr>
        <w:tc>
          <w:tcPr>
            <w:tcW w:w="4253" w:type="dxa"/>
            <w:shd w:val="clear" w:color="auto" w:fill="E7E6E6" w:themeFill="background2"/>
            <w:vAlign w:val="center"/>
          </w:tcPr>
          <w:p w14:paraId="59553C4D" w14:textId="77777777" w:rsidR="007D0F2B" w:rsidRPr="00237333" w:rsidRDefault="007D0F2B" w:rsidP="002C69C0">
            <w:r w:rsidRPr="00237333">
              <w:t>Percentage of patients with ≥1 asthma related hospitalization in the last 12 months (n)</w:t>
            </w:r>
          </w:p>
        </w:tc>
        <w:tc>
          <w:tcPr>
            <w:tcW w:w="1749" w:type="dxa"/>
            <w:shd w:val="clear" w:color="auto" w:fill="FFFFFF" w:themeFill="background1"/>
          </w:tcPr>
          <w:p w14:paraId="35F741F2" w14:textId="77777777" w:rsidR="007D0F2B" w:rsidRDefault="007D0F2B" w:rsidP="002C69C0">
            <w:pPr>
              <w:jc w:val="center"/>
            </w:pPr>
            <w:r>
              <w:t>29.4</w:t>
            </w:r>
            <w:r w:rsidRPr="006B53E5">
              <w:rPr>
                <w:vertAlign w:val="superscript"/>
              </w:rPr>
              <w:t>¶¶</w:t>
            </w:r>
          </w:p>
          <w:p w14:paraId="69A9B0EF" w14:textId="77777777" w:rsidR="007D0F2B" w:rsidRPr="003278A5" w:rsidRDefault="007D0F2B" w:rsidP="002C69C0">
            <w:pPr>
              <w:jc w:val="center"/>
            </w:pPr>
            <w:r>
              <w:t>(113/385)</w:t>
            </w:r>
          </w:p>
        </w:tc>
        <w:tc>
          <w:tcPr>
            <w:tcW w:w="1628" w:type="dxa"/>
            <w:shd w:val="clear" w:color="auto" w:fill="FFFFFF" w:themeFill="background1"/>
          </w:tcPr>
          <w:p w14:paraId="2DF5C0BA" w14:textId="77777777" w:rsidR="007D0F2B" w:rsidRDefault="007D0F2B" w:rsidP="002C69C0">
            <w:pPr>
              <w:jc w:val="center"/>
            </w:pPr>
            <w:r>
              <w:t>29.1</w:t>
            </w:r>
          </w:p>
          <w:p w14:paraId="47EF7BBB" w14:textId="77777777" w:rsidR="007D0F2B" w:rsidRPr="003278A5" w:rsidRDefault="007D0F2B" w:rsidP="002C69C0">
            <w:pPr>
              <w:jc w:val="center"/>
            </w:pPr>
            <w:r>
              <w:t>(23/79)</w:t>
            </w:r>
          </w:p>
        </w:tc>
        <w:tc>
          <w:tcPr>
            <w:tcW w:w="1281" w:type="dxa"/>
            <w:shd w:val="clear" w:color="auto" w:fill="FFFFFF" w:themeFill="background1"/>
          </w:tcPr>
          <w:p w14:paraId="496A9ECF" w14:textId="77777777" w:rsidR="007D0F2B" w:rsidRPr="00675B4C" w:rsidRDefault="007D0F2B" w:rsidP="002C69C0">
            <w:pPr>
              <w:jc w:val="center"/>
            </w:pPr>
            <w:r>
              <w:t>0.97</w:t>
            </w:r>
          </w:p>
        </w:tc>
      </w:tr>
      <w:tr w:rsidR="007D0F2B" w:rsidRPr="003278A5" w14:paraId="7D06978D" w14:textId="77777777" w:rsidTr="002C69C0">
        <w:trPr>
          <w:jc w:val="center"/>
        </w:trPr>
        <w:tc>
          <w:tcPr>
            <w:tcW w:w="4253" w:type="dxa"/>
            <w:shd w:val="clear" w:color="auto" w:fill="E7E6E6" w:themeFill="background2"/>
            <w:vAlign w:val="center"/>
          </w:tcPr>
          <w:p w14:paraId="387D58F0" w14:textId="77777777" w:rsidR="007D0F2B" w:rsidRPr="00237333" w:rsidRDefault="007D0F2B" w:rsidP="002C69C0">
            <w:pPr>
              <w:autoSpaceDE w:val="0"/>
              <w:autoSpaceDN w:val="0"/>
              <w:adjustRightInd w:val="0"/>
            </w:pPr>
            <w:r w:rsidRPr="00237333">
              <w:t>Number of courses of OCS in the last 12 months</w:t>
            </w:r>
          </w:p>
        </w:tc>
        <w:tc>
          <w:tcPr>
            <w:tcW w:w="1749" w:type="dxa"/>
            <w:shd w:val="clear" w:color="auto" w:fill="FFFFFF" w:themeFill="background1"/>
            <w:vAlign w:val="center"/>
          </w:tcPr>
          <w:p w14:paraId="3BC9C0DC" w14:textId="77777777" w:rsidR="007D0F2B" w:rsidRDefault="007D0F2B" w:rsidP="002C69C0">
            <w:pPr>
              <w:jc w:val="center"/>
            </w:pPr>
            <w:r>
              <w:t>3</w:t>
            </w:r>
            <w:r w:rsidRPr="00D7131A">
              <w:rPr>
                <w:rFonts w:cstheme="minorHAnsi"/>
                <w:vertAlign w:val="superscript"/>
              </w:rPr>
              <w:t>§</w:t>
            </w:r>
          </w:p>
          <w:p w14:paraId="45F89150" w14:textId="77777777" w:rsidR="007D0F2B" w:rsidRPr="003278A5" w:rsidRDefault="007D0F2B" w:rsidP="002C69C0">
            <w:pPr>
              <w:jc w:val="center"/>
            </w:pPr>
            <w:r>
              <w:t>(4)</w:t>
            </w:r>
          </w:p>
        </w:tc>
        <w:tc>
          <w:tcPr>
            <w:tcW w:w="1628" w:type="dxa"/>
            <w:shd w:val="clear" w:color="auto" w:fill="FFFFFF" w:themeFill="background1"/>
            <w:vAlign w:val="center"/>
          </w:tcPr>
          <w:p w14:paraId="6BEB7849" w14:textId="77777777" w:rsidR="007D0F2B" w:rsidRDefault="007D0F2B" w:rsidP="002C69C0">
            <w:pPr>
              <w:jc w:val="center"/>
            </w:pPr>
            <w:r>
              <w:t>3</w:t>
            </w:r>
            <w:r w:rsidRPr="00D7131A">
              <w:rPr>
                <w:rFonts w:cstheme="minorHAnsi"/>
                <w:vertAlign w:val="superscript"/>
              </w:rPr>
              <w:t>§§</w:t>
            </w:r>
          </w:p>
          <w:p w14:paraId="43727AA3" w14:textId="77777777" w:rsidR="007D0F2B" w:rsidRPr="003278A5" w:rsidRDefault="007D0F2B" w:rsidP="002C69C0">
            <w:pPr>
              <w:jc w:val="center"/>
            </w:pPr>
            <w:r>
              <w:t>(3)</w:t>
            </w:r>
          </w:p>
        </w:tc>
        <w:tc>
          <w:tcPr>
            <w:tcW w:w="1281" w:type="dxa"/>
            <w:shd w:val="clear" w:color="auto" w:fill="FFFFFF" w:themeFill="background1"/>
          </w:tcPr>
          <w:p w14:paraId="19D78B45" w14:textId="77777777" w:rsidR="007D0F2B" w:rsidRPr="00A41869" w:rsidRDefault="007D0F2B" w:rsidP="002C69C0">
            <w:pPr>
              <w:jc w:val="center"/>
              <w:rPr>
                <w:vertAlign w:val="superscript"/>
              </w:rPr>
            </w:pPr>
            <w:r>
              <w:t>0.34</w:t>
            </w:r>
          </w:p>
        </w:tc>
      </w:tr>
      <w:tr w:rsidR="007D0F2B" w:rsidRPr="003278A5" w14:paraId="3DE0DD5C" w14:textId="77777777" w:rsidTr="002C69C0">
        <w:trPr>
          <w:trHeight w:val="324"/>
          <w:jc w:val="center"/>
        </w:trPr>
        <w:tc>
          <w:tcPr>
            <w:tcW w:w="4253" w:type="dxa"/>
            <w:shd w:val="clear" w:color="auto" w:fill="E7E6E6" w:themeFill="background2"/>
            <w:vAlign w:val="center"/>
          </w:tcPr>
          <w:p w14:paraId="00F0F2FD" w14:textId="77777777" w:rsidR="007D0F2B" w:rsidRPr="00237333" w:rsidRDefault="007D0F2B" w:rsidP="002C69C0">
            <w:pPr>
              <w:autoSpaceDE w:val="0"/>
              <w:autoSpaceDN w:val="0"/>
              <w:adjustRightInd w:val="0"/>
            </w:pPr>
            <w:r w:rsidRPr="00237333">
              <w:t>Dose of ICS (BDP equivalent; mcg)</w:t>
            </w:r>
          </w:p>
        </w:tc>
        <w:tc>
          <w:tcPr>
            <w:tcW w:w="1749" w:type="dxa"/>
            <w:shd w:val="clear" w:color="auto" w:fill="FFFFFF" w:themeFill="background1"/>
            <w:vAlign w:val="center"/>
          </w:tcPr>
          <w:p w14:paraId="36A683A4" w14:textId="77777777" w:rsidR="007D0F2B" w:rsidRDefault="007D0F2B" w:rsidP="002C69C0">
            <w:pPr>
              <w:jc w:val="center"/>
            </w:pPr>
            <w:r>
              <w:t>1500</w:t>
            </w:r>
            <w:r w:rsidRPr="00D7131A">
              <w:rPr>
                <w:rFonts w:cstheme="minorHAnsi"/>
                <w:vertAlign w:val="superscript"/>
              </w:rPr>
              <w:t>‡</w:t>
            </w:r>
          </w:p>
          <w:p w14:paraId="2D14F91B" w14:textId="77777777" w:rsidR="007D0F2B" w:rsidRPr="003278A5" w:rsidRDefault="007D0F2B" w:rsidP="002C69C0">
            <w:pPr>
              <w:jc w:val="center"/>
            </w:pPr>
            <w:r>
              <w:t>(2000)</w:t>
            </w:r>
          </w:p>
        </w:tc>
        <w:tc>
          <w:tcPr>
            <w:tcW w:w="1628" w:type="dxa"/>
            <w:shd w:val="clear" w:color="auto" w:fill="FFFFFF" w:themeFill="background1"/>
            <w:vAlign w:val="center"/>
          </w:tcPr>
          <w:p w14:paraId="18A54D8A" w14:textId="77777777" w:rsidR="007D0F2B" w:rsidRDefault="007D0F2B" w:rsidP="002C69C0">
            <w:pPr>
              <w:jc w:val="center"/>
            </w:pPr>
            <w:r>
              <w:t>1000</w:t>
            </w:r>
            <w:r w:rsidRPr="00D7131A">
              <w:rPr>
                <w:rFonts w:cstheme="minorHAnsi"/>
                <w:vertAlign w:val="superscript"/>
              </w:rPr>
              <w:t>‡‡</w:t>
            </w:r>
          </w:p>
          <w:p w14:paraId="189C5A9C" w14:textId="77777777" w:rsidR="007D0F2B" w:rsidRPr="003278A5" w:rsidRDefault="007D0F2B" w:rsidP="002C69C0">
            <w:pPr>
              <w:jc w:val="center"/>
            </w:pPr>
            <w:r>
              <w:t>(2000)</w:t>
            </w:r>
          </w:p>
        </w:tc>
        <w:tc>
          <w:tcPr>
            <w:tcW w:w="1281" w:type="dxa"/>
          </w:tcPr>
          <w:p w14:paraId="414CE458" w14:textId="77777777" w:rsidR="007D0F2B" w:rsidRPr="00A41869" w:rsidRDefault="007D0F2B" w:rsidP="002C69C0">
            <w:pPr>
              <w:jc w:val="center"/>
              <w:rPr>
                <w:vertAlign w:val="superscript"/>
              </w:rPr>
            </w:pPr>
            <w:r>
              <w:t>0.77</w:t>
            </w:r>
          </w:p>
        </w:tc>
      </w:tr>
      <w:tr w:rsidR="007D0F2B" w:rsidRPr="003278A5" w14:paraId="57002A18" w14:textId="77777777" w:rsidTr="002C69C0">
        <w:trPr>
          <w:jc w:val="center"/>
        </w:trPr>
        <w:tc>
          <w:tcPr>
            <w:tcW w:w="4253" w:type="dxa"/>
            <w:shd w:val="clear" w:color="auto" w:fill="E7E6E6" w:themeFill="background2"/>
            <w:vAlign w:val="center"/>
          </w:tcPr>
          <w:p w14:paraId="7698E0A5" w14:textId="77777777" w:rsidR="007D0F2B" w:rsidRPr="00237333" w:rsidRDefault="007D0F2B" w:rsidP="002C69C0">
            <w:pPr>
              <w:autoSpaceDE w:val="0"/>
              <w:autoSpaceDN w:val="0"/>
              <w:adjustRightInd w:val="0"/>
            </w:pPr>
            <w:r w:rsidRPr="00237333">
              <w:t>Peak blood eosinophil count (in past 10-years)</w:t>
            </w:r>
          </w:p>
        </w:tc>
        <w:tc>
          <w:tcPr>
            <w:tcW w:w="1749" w:type="dxa"/>
            <w:shd w:val="clear" w:color="auto" w:fill="FFFFFF" w:themeFill="background1"/>
          </w:tcPr>
          <w:p w14:paraId="61EF0C0E" w14:textId="77777777" w:rsidR="007D0F2B" w:rsidRPr="003278A5" w:rsidRDefault="007D0F2B" w:rsidP="002C69C0">
            <w:pPr>
              <w:jc w:val="center"/>
            </w:pPr>
            <w:r>
              <w:t>0.4</w:t>
            </w:r>
            <w:r w:rsidRPr="00D7131A">
              <w:rPr>
                <w:rFonts w:cstheme="minorHAnsi"/>
                <w:vertAlign w:val="superscript"/>
              </w:rPr>
              <w:t>§§</w:t>
            </w:r>
            <w:r>
              <w:rPr>
                <w:rFonts w:cstheme="minorHAnsi"/>
                <w:vertAlign w:val="superscript"/>
              </w:rPr>
              <w:t xml:space="preserve"> </w:t>
            </w:r>
            <w:r>
              <w:t>(0.6)</w:t>
            </w:r>
          </w:p>
        </w:tc>
        <w:tc>
          <w:tcPr>
            <w:tcW w:w="1628" w:type="dxa"/>
            <w:shd w:val="clear" w:color="auto" w:fill="FFFFFF" w:themeFill="background1"/>
          </w:tcPr>
          <w:p w14:paraId="2AAE6781" w14:textId="77777777" w:rsidR="007D0F2B" w:rsidRPr="003278A5" w:rsidRDefault="007D0F2B" w:rsidP="002C69C0">
            <w:pPr>
              <w:jc w:val="center"/>
            </w:pPr>
            <w:r>
              <w:t>0.6</w:t>
            </w:r>
            <w:r w:rsidRPr="00237333">
              <w:rPr>
                <w:vertAlign w:val="superscript"/>
              </w:rPr>
              <w:t>≠</w:t>
            </w:r>
            <w:r>
              <w:rPr>
                <w:vertAlign w:val="superscript"/>
              </w:rPr>
              <w:t xml:space="preserve"> </w:t>
            </w:r>
            <w:r>
              <w:t>(0.6)</w:t>
            </w:r>
          </w:p>
        </w:tc>
        <w:tc>
          <w:tcPr>
            <w:tcW w:w="1281" w:type="dxa"/>
          </w:tcPr>
          <w:p w14:paraId="7FC58159" w14:textId="77777777" w:rsidR="007D0F2B" w:rsidRPr="00A41869" w:rsidRDefault="007D0F2B" w:rsidP="002C69C0">
            <w:pPr>
              <w:jc w:val="center"/>
              <w:rPr>
                <w:vertAlign w:val="superscript"/>
              </w:rPr>
            </w:pPr>
            <w:r>
              <w:t>0.2</w:t>
            </w:r>
          </w:p>
        </w:tc>
      </w:tr>
    </w:tbl>
    <w:p w14:paraId="3C5BB0D0" w14:textId="77777777" w:rsidR="007D0F2B" w:rsidRDefault="007D0F2B" w:rsidP="007D0F2B">
      <w:pPr>
        <w:spacing w:after="160" w:line="259" w:lineRule="auto"/>
      </w:pPr>
    </w:p>
    <w:p w14:paraId="249AEA17" w14:textId="77777777" w:rsidR="007D0F2B" w:rsidRPr="0028218C" w:rsidRDefault="007D0F2B" w:rsidP="007D0F2B">
      <w:pPr>
        <w:rPr>
          <w:sz w:val="21"/>
          <w:szCs w:val="21"/>
        </w:rPr>
      </w:pPr>
      <w:r>
        <w:rPr>
          <w:sz w:val="21"/>
          <w:szCs w:val="21"/>
        </w:rPr>
        <w:t xml:space="preserve">Values are median plus </w:t>
      </w:r>
      <w:proofErr w:type="spellStart"/>
      <w:r>
        <w:rPr>
          <w:sz w:val="21"/>
          <w:szCs w:val="21"/>
        </w:rPr>
        <w:t>interquartitile</w:t>
      </w:r>
      <w:proofErr w:type="spellEnd"/>
      <w:r>
        <w:rPr>
          <w:sz w:val="21"/>
          <w:szCs w:val="21"/>
        </w:rPr>
        <w:t xml:space="preserve"> range (IQR) unless otherwise specified. </w:t>
      </w:r>
      <w:r w:rsidRPr="005D3825">
        <w:rPr>
          <w:sz w:val="21"/>
          <w:szCs w:val="21"/>
          <w:vertAlign w:val="superscript"/>
        </w:rPr>
        <w:t>¶</w:t>
      </w:r>
      <w:r w:rsidRPr="005D3825">
        <w:rPr>
          <w:sz w:val="21"/>
          <w:szCs w:val="21"/>
        </w:rPr>
        <w:t xml:space="preserve"> data unavailable for 1</w:t>
      </w:r>
      <w:r>
        <w:rPr>
          <w:sz w:val="21"/>
          <w:szCs w:val="21"/>
        </w:rPr>
        <w:t>7</w:t>
      </w:r>
      <w:r w:rsidRPr="005D3825">
        <w:rPr>
          <w:sz w:val="21"/>
          <w:szCs w:val="21"/>
        </w:rPr>
        <w:t xml:space="preserve"> patients, </w:t>
      </w:r>
      <w:r w:rsidRPr="005D3825">
        <w:rPr>
          <w:sz w:val="21"/>
          <w:szCs w:val="21"/>
          <w:vertAlign w:val="superscript"/>
        </w:rPr>
        <w:t xml:space="preserve">¶¶ </w:t>
      </w:r>
      <w:r w:rsidRPr="005D3825">
        <w:rPr>
          <w:sz w:val="21"/>
          <w:szCs w:val="21"/>
        </w:rPr>
        <w:t xml:space="preserve">data unavailable for 2 patients, </w:t>
      </w:r>
      <w:r w:rsidRPr="005D3825">
        <w:rPr>
          <w:sz w:val="21"/>
          <w:szCs w:val="21"/>
          <w:vertAlign w:val="superscript"/>
        </w:rPr>
        <w:t>§</w:t>
      </w:r>
      <w:r w:rsidRPr="005D3825">
        <w:rPr>
          <w:sz w:val="21"/>
          <w:szCs w:val="21"/>
        </w:rPr>
        <w:t>data unavailable for 4</w:t>
      </w:r>
      <w:r>
        <w:rPr>
          <w:sz w:val="21"/>
          <w:szCs w:val="21"/>
        </w:rPr>
        <w:t>2</w:t>
      </w:r>
      <w:r w:rsidRPr="005D3825">
        <w:rPr>
          <w:sz w:val="21"/>
          <w:szCs w:val="21"/>
        </w:rPr>
        <w:t xml:space="preserve"> patients, </w:t>
      </w:r>
      <w:r w:rsidRPr="005D3825">
        <w:rPr>
          <w:sz w:val="21"/>
          <w:szCs w:val="21"/>
          <w:vertAlign w:val="superscript"/>
        </w:rPr>
        <w:t>§§</w:t>
      </w:r>
      <w:r w:rsidRPr="005D3825">
        <w:rPr>
          <w:sz w:val="21"/>
          <w:szCs w:val="21"/>
        </w:rPr>
        <w:t xml:space="preserve">data unavailable for 6 patients, </w:t>
      </w:r>
      <w:r w:rsidRPr="005D3825">
        <w:rPr>
          <w:sz w:val="21"/>
          <w:szCs w:val="21"/>
          <w:vertAlign w:val="superscript"/>
        </w:rPr>
        <w:t>‡</w:t>
      </w:r>
      <w:r w:rsidRPr="005D3825">
        <w:rPr>
          <w:sz w:val="21"/>
          <w:szCs w:val="21"/>
        </w:rPr>
        <w:t>data unavailable for 3</w:t>
      </w:r>
      <w:r>
        <w:rPr>
          <w:sz w:val="21"/>
          <w:szCs w:val="21"/>
        </w:rPr>
        <w:t>1</w:t>
      </w:r>
      <w:r w:rsidRPr="005D3825">
        <w:rPr>
          <w:sz w:val="21"/>
          <w:szCs w:val="21"/>
        </w:rPr>
        <w:t xml:space="preserve"> patients, </w:t>
      </w:r>
      <w:r w:rsidRPr="005D3825">
        <w:rPr>
          <w:sz w:val="21"/>
          <w:szCs w:val="21"/>
          <w:vertAlign w:val="superscript"/>
        </w:rPr>
        <w:t>‡‡</w:t>
      </w:r>
      <w:r w:rsidRPr="005D3825">
        <w:rPr>
          <w:sz w:val="21"/>
          <w:szCs w:val="21"/>
        </w:rPr>
        <w:t xml:space="preserve"> data unavailable for 8 patients, </w:t>
      </w:r>
      <w:r w:rsidRPr="005D3825">
        <w:rPr>
          <w:sz w:val="21"/>
          <w:szCs w:val="21"/>
          <w:vertAlign w:val="superscript"/>
        </w:rPr>
        <w:t>≠</w:t>
      </w:r>
      <w:r w:rsidRPr="005D3825">
        <w:rPr>
          <w:sz w:val="21"/>
          <w:szCs w:val="21"/>
        </w:rPr>
        <w:t>data unavailable for 4 patients</w:t>
      </w:r>
      <w:r>
        <w:rPr>
          <w:sz w:val="21"/>
          <w:szCs w:val="21"/>
        </w:rPr>
        <w:t xml:space="preserve">, </w:t>
      </w:r>
      <w:r w:rsidRPr="00E022E1">
        <w:rPr>
          <w:rFonts w:cstheme="minorHAnsi"/>
          <w:sz w:val="21"/>
          <w:szCs w:val="21"/>
          <w:vertAlign w:val="superscript"/>
        </w:rPr>
        <w:t xml:space="preserve">ω  </w:t>
      </w:r>
      <w:r w:rsidRPr="00E022E1">
        <w:rPr>
          <w:rFonts w:cstheme="minorHAnsi"/>
          <w:sz w:val="21"/>
          <w:szCs w:val="21"/>
        </w:rPr>
        <w:t xml:space="preserve">data </w:t>
      </w:r>
      <w:r>
        <w:rPr>
          <w:rFonts w:cstheme="minorHAnsi"/>
          <w:sz w:val="21"/>
          <w:szCs w:val="21"/>
        </w:rPr>
        <w:t>un</w:t>
      </w:r>
      <w:r w:rsidRPr="00E022E1">
        <w:rPr>
          <w:rFonts w:cstheme="minorHAnsi"/>
          <w:sz w:val="21"/>
          <w:szCs w:val="21"/>
        </w:rPr>
        <w:t xml:space="preserve">available for </w:t>
      </w:r>
      <w:r>
        <w:rPr>
          <w:rFonts w:cstheme="minorHAnsi"/>
          <w:sz w:val="21"/>
          <w:szCs w:val="21"/>
        </w:rPr>
        <w:t>1</w:t>
      </w:r>
      <w:r w:rsidRPr="00E022E1">
        <w:rPr>
          <w:rFonts w:cstheme="minorHAnsi"/>
          <w:sz w:val="21"/>
          <w:szCs w:val="21"/>
        </w:rPr>
        <w:t xml:space="preserve"> patient</w:t>
      </w:r>
      <w:r>
        <w:rPr>
          <w:rFonts w:cstheme="minorHAnsi"/>
        </w:rPr>
        <w:t xml:space="preserve">. </w:t>
      </w:r>
    </w:p>
    <w:p w14:paraId="6613359E" w14:textId="77777777" w:rsidR="007D0F2B" w:rsidRDefault="007D0F2B" w:rsidP="007D0F2B">
      <w:pPr>
        <w:rPr>
          <w:sz w:val="21"/>
          <w:szCs w:val="21"/>
        </w:rPr>
      </w:pPr>
      <w:r w:rsidRPr="002E27C7">
        <w:rPr>
          <w:sz w:val="21"/>
          <w:szCs w:val="21"/>
        </w:rPr>
        <w:t>Abbreviations: ICS: Inhaled corticosteroid. OCS: oral corticosteroid. ICU, intensive care unit.</w:t>
      </w:r>
    </w:p>
    <w:p w14:paraId="09FCD042" w14:textId="77777777" w:rsidR="007D0F2B" w:rsidRDefault="007D0F2B" w:rsidP="007D0F2B">
      <w:pPr>
        <w:rPr>
          <w:sz w:val="21"/>
          <w:szCs w:val="21"/>
        </w:rPr>
      </w:pPr>
    </w:p>
    <w:p w14:paraId="42CE2FFF" w14:textId="77777777" w:rsidR="007D0F2B" w:rsidRDefault="007D0F2B" w:rsidP="007D0F2B">
      <w:pPr>
        <w:rPr>
          <w:sz w:val="21"/>
          <w:szCs w:val="21"/>
        </w:rPr>
      </w:pPr>
    </w:p>
    <w:p w14:paraId="7B141011" w14:textId="77777777" w:rsidR="007D0F2B" w:rsidRDefault="007D0F2B" w:rsidP="007D0F2B">
      <w:pPr>
        <w:rPr>
          <w:sz w:val="21"/>
          <w:szCs w:val="21"/>
        </w:rPr>
      </w:pPr>
    </w:p>
    <w:p w14:paraId="4BB9527D" w14:textId="77777777" w:rsidR="007D0F2B" w:rsidRDefault="007D0F2B" w:rsidP="007D0F2B">
      <w:pPr>
        <w:rPr>
          <w:rFonts w:cstheme="minorHAnsi"/>
          <w:b/>
          <w:bCs/>
        </w:rPr>
      </w:pPr>
      <w:bookmarkStart w:id="9" w:name="SupplTableE2"/>
      <w:bookmarkEnd w:id="9"/>
      <w:r>
        <w:rPr>
          <w:rFonts w:cstheme="minorHAnsi"/>
          <w:b/>
          <w:bCs/>
        </w:rPr>
        <w:t>Table E3</w:t>
      </w:r>
    </w:p>
    <w:p w14:paraId="1F9E580F" w14:textId="77777777" w:rsidR="007D0F2B" w:rsidRDefault="007D0F2B" w:rsidP="007D0F2B">
      <w:pPr>
        <w:rPr>
          <w:rFonts w:cstheme="minorHAnsi"/>
          <w:b/>
          <w:bCs/>
        </w:rPr>
      </w:pPr>
    </w:p>
    <w:tbl>
      <w:tblPr>
        <w:tblStyle w:val="TableGrid"/>
        <w:tblW w:w="0" w:type="auto"/>
        <w:tblLook w:val="04A0" w:firstRow="1" w:lastRow="0" w:firstColumn="1" w:lastColumn="0" w:noHBand="0" w:noVBand="1"/>
      </w:tblPr>
      <w:tblGrid>
        <w:gridCol w:w="4390"/>
        <w:gridCol w:w="1559"/>
        <w:gridCol w:w="1559"/>
        <w:gridCol w:w="1276"/>
      </w:tblGrid>
      <w:tr w:rsidR="007D0F2B" w14:paraId="79B84EED" w14:textId="77777777" w:rsidTr="002C69C0">
        <w:tc>
          <w:tcPr>
            <w:tcW w:w="4390" w:type="dxa"/>
          </w:tcPr>
          <w:p w14:paraId="18A4F857" w14:textId="77777777" w:rsidR="007D0F2B" w:rsidRDefault="007D0F2B" w:rsidP="002C69C0">
            <w:pPr>
              <w:rPr>
                <w:rFonts w:cstheme="minorHAnsi"/>
              </w:rPr>
            </w:pPr>
          </w:p>
        </w:tc>
        <w:tc>
          <w:tcPr>
            <w:tcW w:w="1559" w:type="dxa"/>
          </w:tcPr>
          <w:p w14:paraId="0BD7E0A0" w14:textId="77777777" w:rsidR="007D0F2B" w:rsidRDefault="007D0F2B" w:rsidP="002C69C0">
            <w:pPr>
              <w:jc w:val="center"/>
              <w:rPr>
                <w:rFonts w:cstheme="minorHAnsi"/>
              </w:rPr>
            </w:pPr>
            <w:r>
              <w:rPr>
                <w:rFonts w:cstheme="minorHAnsi"/>
              </w:rPr>
              <w:t>T2-high</w:t>
            </w:r>
          </w:p>
          <w:p w14:paraId="73D10462" w14:textId="77777777" w:rsidR="007D0F2B" w:rsidRDefault="007D0F2B" w:rsidP="002C69C0">
            <w:pPr>
              <w:jc w:val="center"/>
              <w:rPr>
                <w:rFonts w:cstheme="minorHAnsi"/>
              </w:rPr>
            </w:pPr>
            <w:r>
              <w:rPr>
                <w:rFonts w:cstheme="minorHAnsi"/>
              </w:rPr>
              <w:t>n=250</w:t>
            </w:r>
          </w:p>
        </w:tc>
        <w:tc>
          <w:tcPr>
            <w:tcW w:w="1559" w:type="dxa"/>
          </w:tcPr>
          <w:p w14:paraId="34A20E86" w14:textId="77777777" w:rsidR="007D0F2B" w:rsidRDefault="007D0F2B" w:rsidP="002C69C0">
            <w:pPr>
              <w:jc w:val="center"/>
              <w:rPr>
                <w:rFonts w:cstheme="minorHAnsi"/>
              </w:rPr>
            </w:pPr>
            <w:r>
              <w:rPr>
                <w:rFonts w:cstheme="minorHAnsi"/>
              </w:rPr>
              <w:t>T2-low</w:t>
            </w:r>
          </w:p>
          <w:p w14:paraId="48140C50" w14:textId="77777777" w:rsidR="007D0F2B" w:rsidRDefault="007D0F2B" w:rsidP="002C69C0">
            <w:pPr>
              <w:jc w:val="center"/>
              <w:rPr>
                <w:rFonts w:cstheme="minorHAnsi"/>
              </w:rPr>
            </w:pPr>
            <w:r>
              <w:rPr>
                <w:rFonts w:cstheme="minorHAnsi"/>
              </w:rPr>
              <w:t>n=17</w:t>
            </w:r>
          </w:p>
        </w:tc>
        <w:tc>
          <w:tcPr>
            <w:tcW w:w="1276" w:type="dxa"/>
          </w:tcPr>
          <w:p w14:paraId="4429268A" w14:textId="77777777" w:rsidR="007D0F2B" w:rsidRDefault="007D0F2B" w:rsidP="002C69C0">
            <w:pPr>
              <w:jc w:val="center"/>
              <w:rPr>
                <w:rFonts w:cstheme="minorHAnsi"/>
              </w:rPr>
            </w:pPr>
            <w:r>
              <w:rPr>
                <w:rFonts w:cstheme="minorHAnsi"/>
              </w:rPr>
              <w:t>p-value</w:t>
            </w:r>
          </w:p>
        </w:tc>
      </w:tr>
      <w:tr w:rsidR="007D0F2B" w14:paraId="7ED7EE4F" w14:textId="77777777" w:rsidTr="002C69C0">
        <w:tc>
          <w:tcPr>
            <w:tcW w:w="4390" w:type="dxa"/>
          </w:tcPr>
          <w:p w14:paraId="2EB8CF49" w14:textId="77777777" w:rsidR="007D0F2B" w:rsidRDefault="007D0F2B" w:rsidP="002C69C0">
            <w:pPr>
              <w:rPr>
                <w:rFonts w:cstheme="minorHAnsi"/>
              </w:rPr>
            </w:pPr>
            <w:r>
              <w:rPr>
                <w:rFonts w:cstheme="minorHAnsi"/>
              </w:rPr>
              <w:t>Post-bronchodilator %predicted FEV1</w:t>
            </w:r>
          </w:p>
        </w:tc>
        <w:tc>
          <w:tcPr>
            <w:tcW w:w="1559" w:type="dxa"/>
          </w:tcPr>
          <w:p w14:paraId="02F500A9" w14:textId="77777777" w:rsidR="007D0F2B" w:rsidRDefault="007D0F2B" w:rsidP="002C69C0">
            <w:pPr>
              <w:jc w:val="center"/>
              <w:rPr>
                <w:rFonts w:cstheme="minorHAnsi"/>
              </w:rPr>
            </w:pPr>
            <w:r>
              <w:rPr>
                <w:rFonts w:cstheme="minorHAnsi"/>
              </w:rPr>
              <w:t>75.3 (32.7)</w:t>
            </w:r>
          </w:p>
        </w:tc>
        <w:tc>
          <w:tcPr>
            <w:tcW w:w="1559" w:type="dxa"/>
          </w:tcPr>
          <w:p w14:paraId="0C26FE68" w14:textId="77777777" w:rsidR="007D0F2B" w:rsidRDefault="007D0F2B" w:rsidP="002C69C0">
            <w:pPr>
              <w:jc w:val="center"/>
              <w:rPr>
                <w:rFonts w:cstheme="minorHAnsi"/>
              </w:rPr>
            </w:pPr>
            <w:r>
              <w:rPr>
                <w:rFonts w:cstheme="minorHAnsi"/>
              </w:rPr>
              <w:t>86.9 (26.3)</w:t>
            </w:r>
          </w:p>
        </w:tc>
        <w:tc>
          <w:tcPr>
            <w:tcW w:w="1276" w:type="dxa"/>
          </w:tcPr>
          <w:p w14:paraId="4EFA994D" w14:textId="77777777" w:rsidR="007D0F2B" w:rsidRDefault="007D0F2B" w:rsidP="002C69C0">
            <w:pPr>
              <w:jc w:val="center"/>
              <w:rPr>
                <w:rFonts w:cstheme="minorHAnsi"/>
              </w:rPr>
            </w:pPr>
            <w:r>
              <w:rPr>
                <w:rFonts w:cstheme="minorHAnsi"/>
              </w:rPr>
              <w:t>0.14</w:t>
            </w:r>
          </w:p>
        </w:tc>
      </w:tr>
      <w:tr w:rsidR="007D0F2B" w14:paraId="7688FDF1" w14:textId="77777777" w:rsidTr="002C69C0">
        <w:tc>
          <w:tcPr>
            <w:tcW w:w="4390" w:type="dxa"/>
          </w:tcPr>
          <w:p w14:paraId="3CDE4B54" w14:textId="77777777" w:rsidR="007D0F2B" w:rsidRDefault="007D0F2B" w:rsidP="002C69C0">
            <w:pPr>
              <w:rPr>
                <w:rFonts w:cstheme="minorHAnsi"/>
              </w:rPr>
            </w:pPr>
            <w:r>
              <w:rPr>
                <w:rFonts w:cstheme="minorHAnsi"/>
              </w:rPr>
              <w:t>Post-bronchodilator %predicted FVC</w:t>
            </w:r>
          </w:p>
        </w:tc>
        <w:tc>
          <w:tcPr>
            <w:tcW w:w="1559" w:type="dxa"/>
          </w:tcPr>
          <w:p w14:paraId="36FCAE75" w14:textId="77777777" w:rsidR="007D0F2B" w:rsidRDefault="007D0F2B" w:rsidP="002C69C0">
            <w:pPr>
              <w:jc w:val="center"/>
              <w:rPr>
                <w:rFonts w:cstheme="minorHAnsi"/>
              </w:rPr>
            </w:pPr>
            <w:r>
              <w:rPr>
                <w:rFonts w:cstheme="minorHAnsi"/>
              </w:rPr>
              <w:t>93.2 (26.5)</w:t>
            </w:r>
          </w:p>
        </w:tc>
        <w:tc>
          <w:tcPr>
            <w:tcW w:w="1559" w:type="dxa"/>
          </w:tcPr>
          <w:p w14:paraId="16BD8949" w14:textId="77777777" w:rsidR="007D0F2B" w:rsidRDefault="007D0F2B" w:rsidP="002C69C0">
            <w:pPr>
              <w:jc w:val="center"/>
              <w:rPr>
                <w:rFonts w:cstheme="minorHAnsi"/>
              </w:rPr>
            </w:pPr>
            <w:r>
              <w:rPr>
                <w:rFonts w:cstheme="minorHAnsi"/>
              </w:rPr>
              <w:t>91.2 (19.8)</w:t>
            </w:r>
          </w:p>
        </w:tc>
        <w:tc>
          <w:tcPr>
            <w:tcW w:w="1276" w:type="dxa"/>
          </w:tcPr>
          <w:p w14:paraId="004873A4" w14:textId="77777777" w:rsidR="007D0F2B" w:rsidRDefault="007D0F2B" w:rsidP="002C69C0">
            <w:pPr>
              <w:jc w:val="center"/>
              <w:rPr>
                <w:rFonts w:cstheme="minorHAnsi"/>
              </w:rPr>
            </w:pPr>
            <w:r>
              <w:rPr>
                <w:rFonts w:cstheme="minorHAnsi"/>
              </w:rPr>
              <w:t>0.82</w:t>
            </w:r>
          </w:p>
        </w:tc>
      </w:tr>
      <w:tr w:rsidR="007D0F2B" w14:paraId="0C72526E" w14:textId="77777777" w:rsidTr="002C69C0">
        <w:tc>
          <w:tcPr>
            <w:tcW w:w="4390" w:type="dxa"/>
          </w:tcPr>
          <w:p w14:paraId="0082FC92" w14:textId="77777777" w:rsidR="007D0F2B" w:rsidRDefault="007D0F2B" w:rsidP="002C69C0">
            <w:pPr>
              <w:rPr>
                <w:rFonts w:cstheme="minorHAnsi"/>
              </w:rPr>
            </w:pPr>
            <w:r>
              <w:rPr>
                <w:rFonts w:cstheme="minorHAnsi"/>
              </w:rPr>
              <w:t>Post-bronchodilator  FEV1/FVC ratio</w:t>
            </w:r>
          </w:p>
        </w:tc>
        <w:tc>
          <w:tcPr>
            <w:tcW w:w="1559" w:type="dxa"/>
          </w:tcPr>
          <w:p w14:paraId="3C200BD6" w14:textId="77777777" w:rsidR="007D0F2B" w:rsidRDefault="007D0F2B" w:rsidP="002C69C0">
            <w:pPr>
              <w:jc w:val="center"/>
              <w:rPr>
                <w:rFonts w:cstheme="minorHAnsi"/>
              </w:rPr>
            </w:pPr>
            <w:r>
              <w:rPr>
                <w:rFonts w:cstheme="minorHAnsi"/>
              </w:rPr>
              <w:t>68 (22)</w:t>
            </w:r>
          </w:p>
        </w:tc>
        <w:tc>
          <w:tcPr>
            <w:tcW w:w="1559" w:type="dxa"/>
          </w:tcPr>
          <w:p w14:paraId="3472DD52" w14:textId="77777777" w:rsidR="007D0F2B" w:rsidRDefault="007D0F2B" w:rsidP="002C69C0">
            <w:pPr>
              <w:jc w:val="center"/>
              <w:rPr>
                <w:rFonts w:cstheme="minorHAnsi"/>
              </w:rPr>
            </w:pPr>
            <w:r>
              <w:rPr>
                <w:rFonts w:cstheme="minorHAnsi"/>
              </w:rPr>
              <w:t>78 (20)</w:t>
            </w:r>
          </w:p>
        </w:tc>
        <w:tc>
          <w:tcPr>
            <w:tcW w:w="1276" w:type="dxa"/>
          </w:tcPr>
          <w:p w14:paraId="35A16A28" w14:textId="77777777" w:rsidR="007D0F2B" w:rsidRDefault="007D0F2B" w:rsidP="002C69C0">
            <w:pPr>
              <w:jc w:val="center"/>
              <w:rPr>
                <w:rFonts w:cstheme="minorHAnsi"/>
              </w:rPr>
            </w:pPr>
            <w:r>
              <w:rPr>
                <w:rFonts w:cstheme="minorHAnsi"/>
              </w:rPr>
              <w:t>0.02*</w:t>
            </w:r>
          </w:p>
        </w:tc>
      </w:tr>
      <w:tr w:rsidR="007D0F2B" w14:paraId="6ED1AEF2" w14:textId="77777777" w:rsidTr="002C69C0">
        <w:tc>
          <w:tcPr>
            <w:tcW w:w="4390" w:type="dxa"/>
          </w:tcPr>
          <w:p w14:paraId="18D10DE5" w14:textId="77777777" w:rsidR="007D0F2B" w:rsidRDefault="007D0F2B" w:rsidP="002C69C0">
            <w:pPr>
              <w:rPr>
                <w:rFonts w:cstheme="minorHAnsi"/>
              </w:rPr>
            </w:pPr>
            <w:r>
              <w:rPr>
                <w:rFonts w:cstheme="minorHAnsi"/>
              </w:rPr>
              <w:t>Post-bronchodilator  % predicted MEF 25-75</w:t>
            </w:r>
          </w:p>
        </w:tc>
        <w:tc>
          <w:tcPr>
            <w:tcW w:w="1559" w:type="dxa"/>
          </w:tcPr>
          <w:p w14:paraId="270ECC0E" w14:textId="77777777" w:rsidR="007D0F2B" w:rsidRDefault="007D0F2B" w:rsidP="002C69C0">
            <w:pPr>
              <w:jc w:val="center"/>
              <w:rPr>
                <w:rFonts w:cstheme="minorHAnsi"/>
              </w:rPr>
            </w:pPr>
            <w:r>
              <w:rPr>
                <w:rFonts w:cstheme="minorHAnsi"/>
              </w:rPr>
              <w:t>48.3 (50)</w:t>
            </w:r>
          </w:p>
        </w:tc>
        <w:tc>
          <w:tcPr>
            <w:tcW w:w="1559" w:type="dxa"/>
          </w:tcPr>
          <w:p w14:paraId="7DB701F5" w14:textId="77777777" w:rsidR="007D0F2B" w:rsidRDefault="007D0F2B" w:rsidP="002C69C0">
            <w:pPr>
              <w:jc w:val="center"/>
              <w:rPr>
                <w:rFonts w:cstheme="minorHAnsi"/>
              </w:rPr>
            </w:pPr>
            <w:r>
              <w:rPr>
                <w:rFonts w:cstheme="minorHAnsi"/>
              </w:rPr>
              <w:t>75.6 (69.7)</w:t>
            </w:r>
          </w:p>
        </w:tc>
        <w:tc>
          <w:tcPr>
            <w:tcW w:w="1276" w:type="dxa"/>
          </w:tcPr>
          <w:p w14:paraId="70D32224" w14:textId="77777777" w:rsidR="007D0F2B" w:rsidRDefault="007D0F2B" w:rsidP="002C69C0">
            <w:pPr>
              <w:jc w:val="center"/>
              <w:rPr>
                <w:rFonts w:cstheme="minorHAnsi"/>
              </w:rPr>
            </w:pPr>
            <w:r>
              <w:rPr>
                <w:rFonts w:cstheme="minorHAnsi"/>
              </w:rPr>
              <w:t>0.04*</w:t>
            </w:r>
          </w:p>
        </w:tc>
      </w:tr>
      <w:tr w:rsidR="007D0F2B" w14:paraId="1A118286" w14:textId="77777777" w:rsidTr="002C69C0">
        <w:tc>
          <w:tcPr>
            <w:tcW w:w="4390" w:type="dxa"/>
          </w:tcPr>
          <w:p w14:paraId="7D315B18" w14:textId="77777777" w:rsidR="007D0F2B" w:rsidRDefault="007D0F2B" w:rsidP="002C69C0">
            <w:pPr>
              <w:rPr>
                <w:rFonts w:cstheme="minorHAnsi"/>
              </w:rPr>
            </w:pPr>
            <w:r>
              <w:rPr>
                <w:rFonts w:cstheme="minorHAnsi"/>
              </w:rPr>
              <w:t>%predicted TLCO</w:t>
            </w:r>
          </w:p>
        </w:tc>
        <w:tc>
          <w:tcPr>
            <w:tcW w:w="1559" w:type="dxa"/>
          </w:tcPr>
          <w:p w14:paraId="6980982F" w14:textId="77777777" w:rsidR="007D0F2B" w:rsidRDefault="007D0F2B" w:rsidP="002C69C0">
            <w:pPr>
              <w:jc w:val="center"/>
              <w:rPr>
                <w:rFonts w:cstheme="minorHAnsi"/>
              </w:rPr>
            </w:pPr>
            <w:r>
              <w:rPr>
                <w:rFonts w:cstheme="minorHAnsi"/>
              </w:rPr>
              <w:t>91 (27)</w:t>
            </w:r>
          </w:p>
        </w:tc>
        <w:tc>
          <w:tcPr>
            <w:tcW w:w="1559" w:type="dxa"/>
          </w:tcPr>
          <w:p w14:paraId="055B35A5" w14:textId="77777777" w:rsidR="007D0F2B" w:rsidRDefault="007D0F2B" w:rsidP="002C69C0">
            <w:pPr>
              <w:jc w:val="center"/>
              <w:rPr>
                <w:rFonts w:cstheme="minorHAnsi"/>
              </w:rPr>
            </w:pPr>
            <w:r>
              <w:rPr>
                <w:rFonts w:cstheme="minorHAnsi"/>
              </w:rPr>
              <w:t>91 (22)</w:t>
            </w:r>
          </w:p>
        </w:tc>
        <w:tc>
          <w:tcPr>
            <w:tcW w:w="1276" w:type="dxa"/>
          </w:tcPr>
          <w:p w14:paraId="1725A401" w14:textId="77777777" w:rsidR="007D0F2B" w:rsidRDefault="007D0F2B" w:rsidP="002C69C0">
            <w:pPr>
              <w:jc w:val="center"/>
              <w:rPr>
                <w:rFonts w:cstheme="minorHAnsi"/>
              </w:rPr>
            </w:pPr>
            <w:r>
              <w:rPr>
                <w:rFonts w:cstheme="minorHAnsi"/>
              </w:rPr>
              <w:t>0.82</w:t>
            </w:r>
          </w:p>
        </w:tc>
      </w:tr>
      <w:tr w:rsidR="007D0F2B" w14:paraId="198AAB3A" w14:textId="77777777" w:rsidTr="002C69C0">
        <w:tc>
          <w:tcPr>
            <w:tcW w:w="4390" w:type="dxa"/>
          </w:tcPr>
          <w:p w14:paraId="2CC8FF16" w14:textId="77777777" w:rsidR="007D0F2B" w:rsidRDefault="007D0F2B" w:rsidP="002C69C0">
            <w:pPr>
              <w:rPr>
                <w:rFonts w:cstheme="minorHAnsi"/>
              </w:rPr>
            </w:pPr>
            <w:r>
              <w:rPr>
                <w:rFonts w:cstheme="minorHAnsi"/>
              </w:rPr>
              <w:t>%predicted KCO</w:t>
            </w:r>
          </w:p>
        </w:tc>
        <w:tc>
          <w:tcPr>
            <w:tcW w:w="1559" w:type="dxa"/>
          </w:tcPr>
          <w:p w14:paraId="35EEAF82" w14:textId="77777777" w:rsidR="007D0F2B" w:rsidRDefault="007D0F2B" w:rsidP="002C69C0">
            <w:pPr>
              <w:jc w:val="center"/>
              <w:rPr>
                <w:rFonts w:cstheme="minorHAnsi"/>
              </w:rPr>
            </w:pPr>
            <w:r>
              <w:rPr>
                <w:rFonts w:cstheme="minorHAnsi"/>
              </w:rPr>
              <w:t>102 (23)</w:t>
            </w:r>
          </w:p>
        </w:tc>
        <w:tc>
          <w:tcPr>
            <w:tcW w:w="1559" w:type="dxa"/>
          </w:tcPr>
          <w:p w14:paraId="20CFD0C4" w14:textId="77777777" w:rsidR="007D0F2B" w:rsidRDefault="007D0F2B" w:rsidP="002C69C0">
            <w:pPr>
              <w:jc w:val="center"/>
              <w:rPr>
                <w:rFonts w:cstheme="minorHAnsi"/>
              </w:rPr>
            </w:pPr>
            <w:r>
              <w:rPr>
                <w:rFonts w:cstheme="minorHAnsi"/>
              </w:rPr>
              <w:t>96 (17)</w:t>
            </w:r>
          </w:p>
        </w:tc>
        <w:tc>
          <w:tcPr>
            <w:tcW w:w="1276" w:type="dxa"/>
          </w:tcPr>
          <w:p w14:paraId="5F88AE11" w14:textId="77777777" w:rsidR="007D0F2B" w:rsidRDefault="007D0F2B" w:rsidP="002C69C0">
            <w:pPr>
              <w:jc w:val="center"/>
              <w:rPr>
                <w:rFonts w:cstheme="minorHAnsi"/>
              </w:rPr>
            </w:pPr>
            <w:r>
              <w:rPr>
                <w:rFonts w:cstheme="minorHAnsi"/>
              </w:rPr>
              <w:t>0.34</w:t>
            </w:r>
          </w:p>
        </w:tc>
      </w:tr>
    </w:tbl>
    <w:p w14:paraId="77D79CDE" w14:textId="77777777" w:rsidR="007D0F2B" w:rsidRDefault="007D0F2B" w:rsidP="007D0F2B">
      <w:pPr>
        <w:rPr>
          <w:rFonts w:cstheme="minorHAnsi"/>
        </w:rPr>
      </w:pPr>
      <w:r>
        <w:rPr>
          <w:rFonts w:cstheme="minorHAnsi"/>
        </w:rPr>
        <w:t>Comparison of lung function parameters between patients classified as T2-high and T2-low.</w:t>
      </w:r>
    </w:p>
    <w:p w14:paraId="25A9F7D2" w14:textId="77777777" w:rsidR="007D0F2B" w:rsidRDefault="007D0F2B" w:rsidP="007D0F2B">
      <w:r>
        <w:rPr>
          <w:rFonts w:cstheme="minorHAnsi"/>
        </w:rPr>
        <w:t xml:space="preserve">FEV1: forced expiratory value in 1 second, FVC: forced vital capacity, TLCO: </w:t>
      </w:r>
      <w:r w:rsidRPr="00EB5F17">
        <w:t xml:space="preserve">Transfer Factor </w:t>
      </w:r>
      <w:r>
        <w:t xml:space="preserve">of the lung, </w:t>
      </w:r>
      <w:r w:rsidRPr="00EB5F17">
        <w:t>K</w:t>
      </w:r>
      <w:r>
        <w:t xml:space="preserve">CO: </w:t>
      </w:r>
      <w:proofErr w:type="spellStart"/>
      <w:r>
        <w:t>carbom</w:t>
      </w:r>
      <w:proofErr w:type="spellEnd"/>
      <w:r>
        <w:t xml:space="preserve"> monoxide transfer coefficient; </w:t>
      </w:r>
      <w:r>
        <w:rPr>
          <w:rFonts w:cstheme="minorHAnsi"/>
        </w:rPr>
        <w:t>* significant. Values shown are median (IQR).</w:t>
      </w:r>
    </w:p>
    <w:p w14:paraId="049500D8" w14:textId="77777777" w:rsidR="007D0F2B" w:rsidRDefault="007D0F2B" w:rsidP="007D0F2B">
      <w:pPr>
        <w:rPr>
          <w:rFonts w:cstheme="minorHAnsi"/>
          <w:b/>
          <w:bCs/>
        </w:rPr>
      </w:pPr>
      <w:bookmarkStart w:id="10" w:name="SupplTableE3"/>
      <w:bookmarkEnd w:id="10"/>
    </w:p>
    <w:p w14:paraId="634E11DE" w14:textId="77777777" w:rsidR="007D0F2B" w:rsidRDefault="007D0F2B" w:rsidP="007D0F2B">
      <w:pPr>
        <w:rPr>
          <w:rFonts w:cstheme="minorHAnsi"/>
          <w:b/>
          <w:bCs/>
        </w:rPr>
      </w:pPr>
    </w:p>
    <w:p w14:paraId="451062B7" w14:textId="77777777" w:rsidR="007D0F2B" w:rsidRDefault="007D0F2B" w:rsidP="007D0F2B">
      <w:pPr>
        <w:rPr>
          <w:rFonts w:cstheme="minorHAnsi"/>
          <w:b/>
          <w:bCs/>
        </w:rPr>
      </w:pPr>
      <w:r>
        <w:rPr>
          <w:rFonts w:cstheme="minorHAnsi"/>
          <w:b/>
          <w:bCs/>
        </w:rPr>
        <w:t>Table E4</w:t>
      </w:r>
    </w:p>
    <w:p w14:paraId="20A7E3FE" w14:textId="77777777" w:rsidR="007D0F2B" w:rsidRDefault="007D0F2B" w:rsidP="007D0F2B">
      <w:pPr>
        <w:rPr>
          <w:rFonts w:cstheme="minorHAnsi"/>
          <w:b/>
          <w:bCs/>
        </w:rPr>
      </w:pPr>
    </w:p>
    <w:tbl>
      <w:tblPr>
        <w:tblStyle w:val="TableGrid"/>
        <w:tblW w:w="0" w:type="auto"/>
        <w:tblLook w:val="04A0" w:firstRow="1" w:lastRow="0" w:firstColumn="1" w:lastColumn="0" w:noHBand="0" w:noVBand="1"/>
      </w:tblPr>
      <w:tblGrid>
        <w:gridCol w:w="2263"/>
        <w:gridCol w:w="2197"/>
        <w:gridCol w:w="2056"/>
        <w:gridCol w:w="992"/>
      </w:tblGrid>
      <w:tr w:rsidR="007D0F2B" w14:paraId="70849553" w14:textId="77777777" w:rsidTr="002C69C0">
        <w:tc>
          <w:tcPr>
            <w:tcW w:w="2263" w:type="dxa"/>
          </w:tcPr>
          <w:p w14:paraId="63E2551F" w14:textId="77777777" w:rsidR="007D0F2B" w:rsidRDefault="007D0F2B" w:rsidP="002C69C0">
            <w:pPr>
              <w:rPr>
                <w:rFonts w:cstheme="minorHAnsi"/>
              </w:rPr>
            </w:pPr>
            <w:r>
              <w:rPr>
                <w:rFonts w:cstheme="minorHAnsi"/>
              </w:rPr>
              <w:t>Cytokine levels (</w:t>
            </w:r>
            <w:proofErr w:type="spellStart"/>
            <w:r>
              <w:rPr>
                <w:rFonts w:cstheme="minorHAnsi"/>
              </w:rPr>
              <w:t>pg</w:t>
            </w:r>
            <w:proofErr w:type="spellEnd"/>
            <w:r>
              <w:rPr>
                <w:rFonts w:cstheme="minorHAnsi"/>
              </w:rPr>
              <w:t>/ml)</w:t>
            </w:r>
          </w:p>
        </w:tc>
        <w:tc>
          <w:tcPr>
            <w:tcW w:w="2197" w:type="dxa"/>
          </w:tcPr>
          <w:p w14:paraId="7CE87BE5" w14:textId="77777777" w:rsidR="007D0F2B" w:rsidRDefault="007D0F2B" w:rsidP="002C69C0">
            <w:pPr>
              <w:jc w:val="center"/>
              <w:rPr>
                <w:rFonts w:cstheme="minorHAnsi"/>
              </w:rPr>
            </w:pPr>
            <w:r>
              <w:rPr>
                <w:rFonts w:cstheme="minorHAnsi"/>
              </w:rPr>
              <w:t>T2-high</w:t>
            </w:r>
          </w:p>
          <w:p w14:paraId="7DE60722" w14:textId="77777777" w:rsidR="007D0F2B" w:rsidRDefault="007D0F2B" w:rsidP="002C69C0">
            <w:pPr>
              <w:jc w:val="center"/>
              <w:rPr>
                <w:rFonts w:cstheme="minorHAnsi"/>
              </w:rPr>
            </w:pPr>
            <w:r>
              <w:rPr>
                <w:rFonts w:cstheme="minorHAnsi"/>
              </w:rPr>
              <w:t>(n=335-338)</w:t>
            </w:r>
          </w:p>
        </w:tc>
        <w:tc>
          <w:tcPr>
            <w:tcW w:w="2056" w:type="dxa"/>
          </w:tcPr>
          <w:p w14:paraId="7CACA8CC" w14:textId="77777777" w:rsidR="007D0F2B" w:rsidRDefault="007D0F2B" w:rsidP="002C69C0">
            <w:pPr>
              <w:jc w:val="center"/>
              <w:rPr>
                <w:rFonts w:cstheme="minorHAnsi"/>
              </w:rPr>
            </w:pPr>
            <w:r>
              <w:rPr>
                <w:rFonts w:cstheme="minorHAnsi"/>
              </w:rPr>
              <w:t>T2-low</w:t>
            </w:r>
          </w:p>
          <w:p w14:paraId="06D48749" w14:textId="77777777" w:rsidR="007D0F2B" w:rsidRDefault="007D0F2B" w:rsidP="002C69C0">
            <w:pPr>
              <w:jc w:val="center"/>
              <w:rPr>
                <w:rFonts w:cstheme="minorHAnsi"/>
              </w:rPr>
            </w:pPr>
            <w:r>
              <w:rPr>
                <w:rFonts w:cstheme="minorHAnsi"/>
              </w:rPr>
              <w:t>(n=22)</w:t>
            </w:r>
          </w:p>
        </w:tc>
        <w:tc>
          <w:tcPr>
            <w:tcW w:w="992" w:type="dxa"/>
          </w:tcPr>
          <w:p w14:paraId="2256A1A9" w14:textId="77777777" w:rsidR="007D0F2B" w:rsidRDefault="007D0F2B" w:rsidP="002C69C0">
            <w:pPr>
              <w:jc w:val="center"/>
              <w:rPr>
                <w:rFonts w:cstheme="minorHAnsi"/>
              </w:rPr>
            </w:pPr>
            <w:r>
              <w:rPr>
                <w:rFonts w:cstheme="minorHAnsi"/>
              </w:rPr>
              <w:t>p-value</w:t>
            </w:r>
          </w:p>
        </w:tc>
      </w:tr>
      <w:tr w:rsidR="007D0F2B" w14:paraId="01D303DD" w14:textId="77777777" w:rsidTr="002C69C0">
        <w:tc>
          <w:tcPr>
            <w:tcW w:w="2263" w:type="dxa"/>
            <w:vAlign w:val="center"/>
          </w:tcPr>
          <w:p w14:paraId="2961958D" w14:textId="77777777" w:rsidR="007D0F2B" w:rsidRDefault="007D0F2B" w:rsidP="002C69C0">
            <w:pPr>
              <w:rPr>
                <w:rFonts w:cstheme="minorHAnsi"/>
              </w:rPr>
            </w:pPr>
            <w:r>
              <w:rPr>
                <w:rFonts w:ascii="Calibri" w:hAnsi="Calibri" w:cstheme="minorHAnsi"/>
                <w:color w:val="000000"/>
              </w:rPr>
              <w:t>CCL2/MCP-1</w:t>
            </w:r>
          </w:p>
        </w:tc>
        <w:tc>
          <w:tcPr>
            <w:tcW w:w="2197" w:type="dxa"/>
            <w:vAlign w:val="center"/>
          </w:tcPr>
          <w:p w14:paraId="1FB31A91" w14:textId="77777777" w:rsidR="007D0F2B" w:rsidRDefault="007D0F2B" w:rsidP="002C69C0">
            <w:pPr>
              <w:jc w:val="center"/>
              <w:rPr>
                <w:rFonts w:cstheme="minorHAnsi"/>
              </w:rPr>
            </w:pPr>
            <w:r>
              <w:rPr>
                <w:rFonts w:ascii="Calibri" w:hAnsi="Calibri" w:cstheme="minorHAnsi"/>
                <w:color w:val="000000"/>
              </w:rPr>
              <w:t>64.34 (29.53)</w:t>
            </w:r>
          </w:p>
        </w:tc>
        <w:tc>
          <w:tcPr>
            <w:tcW w:w="2056" w:type="dxa"/>
            <w:vAlign w:val="center"/>
          </w:tcPr>
          <w:p w14:paraId="350EE612" w14:textId="77777777" w:rsidR="007D0F2B" w:rsidRDefault="007D0F2B" w:rsidP="002C69C0">
            <w:pPr>
              <w:jc w:val="center"/>
              <w:rPr>
                <w:rFonts w:cstheme="minorHAnsi"/>
              </w:rPr>
            </w:pPr>
            <w:r>
              <w:rPr>
                <w:rFonts w:ascii="Calibri" w:hAnsi="Calibri" w:cstheme="minorHAnsi"/>
                <w:color w:val="000000"/>
              </w:rPr>
              <w:t>53.42 (27.08)</w:t>
            </w:r>
          </w:p>
        </w:tc>
        <w:tc>
          <w:tcPr>
            <w:tcW w:w="992" w:type="dxa"/>
            <w:vAlign w:val="center"/>
          </w:tcPr>
          <w:p w14:paraId="179D1FA0" w14:textId="77777777" w:rsidR="007D0F2B" w:rsidRDefault="007D0F2B" w:rsidP="002C69C0">
            <w:pPr>
              <w:jc w:val="center"/>
              <w:rPr>
                <w:rFonts w:cstheme="minorHAnsi"/>
              </w:rPr>
            </w:pPr>
            <w:r>
              <w:rPr>
                <w:rFonts w:ascii="Calibri" w:hAnsi="Calibri" w:cs="Calibri"/>
                <w:color w:val="000000"/>
              </w:rPr>
              <w:t>0.048*</w:t>
            </w:r>
          </w:p>
        </w:tc>
      </w:tr>
      <w:tr w:rsidR="007D0F2B" w14:paraId="061BF2F8" w14:textId="77777777" w:rsidTr="002C69C0">
        <w:tc>
          <w:tcPr>
            <w:tcW w:w="2263" w:type="dxa"/>
            <w:vAlign w:val="center"/>
          </w:tcPr>
          <w:p w14:paraId="1747D462" w14:textId="77777777" w:rsidR="007D0F2B" w:rsidRDefault="007D0F2B" w:rsidP="002C69C0">
            <w:pPr>
              <w:rPr>
                <w:rFonts w:cstheme="minorHAnsi"/>
              </w:rPr>
            </w:pPr>
            <w:r>
              <w:rPr>
                <w:rFonts w:ascii="Calibri" w:hAnsi="Calibri" w:cstheme="minorHAnsi"/>
                <w:color w:val="000000"/>
              </w:rPr>
              <w:t>CCL3/MIP-1-Alpha</w:t>
            </w:r>
          </w:p>
        </w:tc>
        <w:tc>
          <w:tcPr>
            <w:tcW w:w="2197" w:type="dxa"/>
            <w:vAlign w:val="center"/>
          </w:tcPr>
          <w:p w14:paraId="39AB75B1" w14:textId="77777777" w:rsidR="007D0F2B" w:rsidRDefault="007D0F2B" w:rsidP="002C69C0">
            <w:pPr>
              <w:jc w:val="center"/>
              <w:rPr>
                <w:rFonts w:cstheme="minorHAnsi"/>
              </w:rPr>
            </w:pPr>
            <w:r>
              <w:rPr>
                <w:rFonts w:ascii="Calibri" w:hAnsi="Calibri" w:cstheme="minorHAnsi"/>
                <w:color w:val="000000"/>
              </w:rPr>
              <w:t>12.72 (14.14)</w:t>
            </w:r>
          </w:p>
        </w:tc>
        <w:tc>
          <w:tcPr>
            <w:tcW w:w="2056" w:type="dxa"/>
            <w:vAlign w:val="center"/>
          </w:tcPr>
          <w:p w14:paraId="01CED9BA" w14:textId="77777777" w:rsidR="007D0F2B" w:rsidRDefault="007D0F2B" w:rsidP="002C69C0">
            <w:pPr>
              <w:jc w:val="center"/>
              <w:rPr>
                <w:rFonts w:cstheme="minorHAnsi"/>
              </w:rPr>
            </w:pPr>
            <w:r>
              <w:rPr>
                <w:rFonts w:ascii="Calibri" w:hAnsi="Calibri" w:cs="Calibri"/>
                <w:color w:val="000000"/>
              </w:rPr>
              <w:t>7.23 (8.43)</w:t>
            </w:r>
          </w:p>
        </w:tc>
        <w:tc>
          <w:tcPr>
            <w:tcW w:w="992" w:type="dxa"/>
            <w:vAlign w:val="center"/>
          </w:tcPr>
          <w:p w14:paraId="7783608D" w14:textId="77777777" w:rsidR="007D0F2B" w:rsidRDefault="007D0F2B" w:rsidP="002C69C0">
            <w:pPr>
              <w:jc w:val="center"/>
              <w:rPr>
                <w:rFonts w:cstheme="minorHAnsi"/>
              </w:rPr>
            </w:pPr>
            <w:r>
              <w:rPr>
                <w:rFonts w:ascii="Calibri" w:hAnsi="Calibri" w:cs="Calibri"/>
                <w:color w:val="000000"/>
              </w:rPr>
              <w:t>0.008**</w:t>
            </w:r>
          </w:p>
        </w:tc>
      </w:tr>
      <w:tr w:rsidR="007D0F2B" w14:paraId="1FD5FFA0" w14:textId="77777777" w:rsidTr="002C69C0">
        <w:tc>
          <w:tcPr>
            <w:tcW w:w="2263" w:type="dxa"/>
            <w:vAlign w:val="center"/>
          </w:tcPr>
          <w:p w14:paraId="7944D44E" w14:textId="77777777" w:rsidR="007D0F2B" w:rsidRDefault="007D0F2B" w:rsidP="002C69C0">
            <w:pPr>
              <w:rPr>
                <w:rFonts w:cstheme="minorHAnsi"/>
              </w:rPr>
            </w:pPr>
            <w:r>
              <w:rPr>
                <w:rFonts w:ascii="Calibri" w:hAnsi="Calibri" w:cstheme="minorHAnsi"/>
                <w:color w:val="000000"/>
              </w:rPr>
              <w:t>IL-4#</w:t>
            </w:r>
          </w:p>
        </w:tc>
        <w:tc>
          <w:tcPr>
            <w:tcW w:w="2197" w:type="dxa"/>
            <w:vAlign w:val="center"/>
          </w:tcPr>
          <w:p w14:paraId="6091A7B9" w14:textId="77777777" w:rsidR="007D0F2B" w:rsidRDefault="007D0F2B" w:rsidP="002C69C0">
            <w:pPr>
              <w:jc w:val="center"/>
              <w:rPr>
                <w:rFonts w:cstheme="minorHAnsi"/>
              </w:rPr>
            </w:pPr>
            <w:r>
              <w:rPr>
                <w:rFonts w:ascii="Calibri" w:hAnsi="Calibri" w:cstheme="minorHAnsi"/>
                <w:color w:val="000000"/>
              </w:rPr>
              <w:t>1.55 (9.6)</w:t>
            </w:r>
          </w:p>
        </w:tc>
        <w:tc>
          <w:tcPr>
            <w:tcW w:w="2056" w:type="dxa"/>
            <w:vAlign w:val="center"/>
          </w:tcPr>
          <w:p w14:paraId="4EDC59EB" w14:textId="77777777" w:rsidR="007D0F2B" w:rsidRDefault="007D0F2B" w:rsidP="002C69C0">
            <w:pPr>
              <w:jc w:val="center"/>
              <w:rPr>
                <w:rFonts w:cstheme="minorHAnsi"/>
              </w:rPr>
            </w:pPr>
            <w:r>
              <w:rPr>
                <w:rFonts w:ascii="Calibri" w:hAnsi="Calibri" w:cs="Calibri"/>
                <w:color w:val="000000"/>
              </w:rPr>
              <w:t>1.51 (3.72)</w:t>
            </w:r>
          </w:p>
        </w:tc>
        <w:tc>
          <w:tcPr>
            <w:tcW w:w="992" w:type="dxa"/>
            <w:vAlign w:val="center"/>
          </w:tcPr>
          <w:p w14:paraId="767273EB" w14:textId="77777777" w:rsidR="007D0F2B" w:rsidRDefault="007D0F2B" w:rsidP="002C69C0">
            <w:pPr>
              <w:jc w:val="center"/>
              <w:rPr>
                <w:rFonts w:cstheme="minorHAnsi"/>
              </w:rPr>
            </w:pPr>
            <w:r>
              <w:rPr>
                <w:rFonts w:ascii="Calibri" w:hAnsi="Calibri" w:cs="Calibri"/>
                <w:color w:val="000000"/>
              </w:rPr>
              <w:t>0.047*</w:t>
            </w:r>
          </w:p>
        </w:tc>
      </w:tr>
      <w:tr w:rsidR="007D0F2B" w14:paraId="548F174D" w14:textId="77777777" w:rsidTr="002C69C0">
        <w:tc>
          <w:tcPr>
            <w:tcW w:w="2263" w:type="dxa"/>
            <w:vAlign w:val="center"/>
          </w:tcPr>
          <w:p w14:paraId="6FBC5D56" w14:textId="77777777" w:rsidR="007D0F2B" w:rsidRDefault="007D0F2B" w:rsidP="002C69C0">
            <w:pPr>
              <w:rPr>
                <w:rFonts w:cstheme="minorHAnsi"/>
              </w:rPr>
            </w:pPr>
            <w:r>
              <w:rPr>
                <w:rFonts w:ascii="Calibri" w:hAnsi="Calibri" w:cstheme="minorHAnsi"/>
                <w:color w:val="000000"/>
              </w:rPr>
              <w:t>IL-5</w:t>
            </w:r>
          </w:p>
        </w:tc>
        <w:tc>
          <w:tcPr>
            <w:tcW w:w="2197" w:type="dxa"/>
            <w:vAlign w:val="center"/>
          </w:tcPr>
          <w:p w14:paraId="28559FA2" w14:textId="77777777" w:rsidR="007D0F2B" w:rsidRDefault="007D0F2B" w:rsidP="002C69C0">
            <w:pPr>
              <w:jc w:val="center"/>
              <w:rPr>
                <w:rFonts w:cstheme="minorHAnsi"/>
              </w:rPr>
            </w:pPr>
            <w:r>
              <w:rPr>
                <w:rFonts w:ascii="Calibri" w:hAnsi="Calibri" w:cstheme="minorHAnsi"/>
                <w:color w:val="000000"/>
              </w:rPr>
              <w:t>7.76 (6.94)</w:t>
            </w:r>
          </w:p>
        </w:tc>
        <w:tc>
          <w:tcPr>
            <w:tcW w:w="2056" w:type="dxa"/>
            <w:vAlign w:val="center"/>
          </w:tcPr>
          <w:p w14:paraId="77D9D933" w14:textId="77777777" w:rsidR="007D0F2B" w:rsidRDefault="007D0F2B" w:rsidP="002C69C0">
            <w:pPr>
              <w:jc w:val="center"/>
              <w:rPr>
                <w:rFonts w:cstheme="minorHAnsi"/>
              </w:rPr>
            </w:pPr>
            <w:r>
              <w:rPr>
                <w:rFonts w:ascii="Calibri" w:hAnsi="Calibri" w:cs="Calibri"/>
                <w:color w:val="000000"/>
              </w:rPr>
              <w:t>6.81 (12.88)</w:t>
            </w:r>
          </w:p>
        </w:tc>
        <w:tc>
          <w:tcPr>
            <w:tcW w:w="992" w:type="dxa"/>
            <w:vAlign w:val="center"/>
          </w:tcPr>
          <w:p w14:paraId="7B6E6113" w14:textId="77777777" w:rsidR="007D0F2B" w:rsidRDefault="007D0F2B" w:rsidP="002C69C0">
            <w:pPr>
              <w:jc w:val="center"/>
              <w:rPr>
                <w:rFonts w:cstheme="minorHAnsi"/>
              </w:rPr>
            </w:pPr>
            <w:r>
              <w:rPr>
                <w:rFonts w:ascii="Calibri" w:hAnsi="Calibri" w:cs="Calibri"/>
                <w:color w:val="000000"/>
              </w:rPr>
              <w:t>0.44</w:t>
            </w:r>
          </w:p>
        </w:tc>
      </w:tr>
      <w:tr w:rsidR="007D0F2B" w14:paraId="286E45E0" w14:textId="77777777" w:rsidTr="002C69C0">
        <w:tc>
          <w:tcPr>
            <w:tcW w:w="2263" w:type="dxa"/>
            <w:vAlign w:val="center"/>
          </w:tcPr>
          <w:p w14:paraId="107DD97D" w14:textId="77777777" w:rsidR="007D0F2B" w:rsidRDefault="007D0F2B" w:rsidP="002C69C0">
            <w:pPr>
              <w:rPr>
                <w:rFonts w:cstheme="minorHAnsi"/>
              </w:rPr>
            </w:pPr>
            <w:r>
              <w:rPr>
                <w:rFonts w:ascii="Calibri" w:hAnsi="Calibri" w:cstheme="minorHAnsi"/>
                <w:color w:val="000000"/>
              </w:rPr>
              <w:t>IL-6#</w:t>
            </w:r>
          </w:p>
        </w:tc>
        <w:tc>
          <w:tcPr>
            <w:tcW w:w="2197" w:type="dxa"/>
            <w:vAlign w:val="center"/>
          </w:tcPr>
          <w:p w14:paraId="470D5532" w14:textId="77777777" w:rsidR="007D0F2B" w:rsidRDefault="007D0F2B" w:rsidP="002C69C0">
            <w:pPr>
              <w:jc w:val="center"/>
              <w:rPr>
                <w:rFonts w:cstheme="minorHAnsi"/>
              </w:rPr>
            </w:pPr>
            <w:r>
              <w:rPr>
                <w:rFonts w:ascii="Calibri" w:hAnsi="Calibri" w:cstheme="minorHAnsi"/>
                <w:color w:val="000000"/>
              </w:rPr>
              <w:t>0.38 (0.74)</w:t>
            </w:r>
          </w:p>
        </w:tc>
        <w:tc>
          <w:tcPr>
            <w:tcW w:w="2056" w:type="dxa"/>
            <w:vAlign w:val="center"/>
          </w:tcPr>
          <w:p w14:paraId="658A2F43" w14:textId="77777777" w:rsidR="007D0F2B" w:rsidRDefault="007D0F2B" w:rsidP="002C69C0">
            <w:pPr>
              <w:jc w:val="center"/>
              <w:rPr>
                <w:rFonts w:cstheme="minorHAnsi"/>
              </w:rPr>
            </w:pPr>
            <w:r>
              <w:rPr>
                <w:rFonts w:ascii="Calibri" w:hAnsi="Calibri" w:cs="Calibri"/>
                <w:color w:val="000000"/>
              </w:rPr>
              <w:t>0.46 (0.65)</w:t>
            </w:r>
          </w:p>
        </w:tc>
        <w:tc>
          <w:tcPr>
            <w:tcW w:w="992" w:type="dxa"/>
            <w:vAlign w:val="center"/>
          </w:tcPr>
          <w:p w14:paraId="0143FDDA" w14:textId="77777777" w:rsidR="007D0F2B" w:rsidRDefault="007D0F2B" w:rsidP="002C69C0">
            <w:pPr>
              <w:jc w:val="center"/>
              <w:rPr>
                <w:rFonts w:cstheme="minorHAnsi"/>
              </w:rPr>
            </w:pPr>
            <w:r>
              <w:rPr>
                <w:rFonts w:ascii="Calibri" w:hAnsi="Calibri" w:cs="Calibri"/>
                <w:color w:val="000000"/>
              </w:rPr>
              <w:t>0.65</w:t>
            </w:r>
          </w:p>
        </w:tc>
      </w:tr>
      <w:tr w:rsidR="007D0F2B" w14:paraId="1BABE08C" w14:textId="77777777" w:rsidTr="002C69C0">
        <w:tc>
          <w:tcPr>
            <w:tcW w:w="2263" w:type="dxa"/>
            <w:vAlign w:val="center"/>
          </w:tcPr>
          <w:p w14:paraId="297B6643" w14:textId="77777777" w:rsidR="007D0F2B" w:rsidRDefault="007D0F2B" w:rsidP="002C69C0">
            <w:pPr>
              <w:rPr>
                <w:rFonts w:cstheme="minorHAnsi"/>
              </w:rPr>
            </w:pPr>
            <w:r>
              <w:rPr>
                <w:rFonts w:ascii="Calibri" w:hAnsi="Calibri" w:cstheme="minorHAnsi"/>
                <w:color w:val="000000"/>
              </w:rPr>
              <w:t>IL-8#</w:t>
            </w:r>
          </w:p>
        </w:tc>
        <w:tc>
          <w:tcPr>
            <w:tcW w:w="2197" w:type="dxa"/>
            <w:vAlign w:val="center"/>
          </w:tcPr>
          <w:p w14:paraId="7E0EED0B" w14:textId="77777777" w:rsidR="007D0F2B" w:rsidRDefault="007D0F2B" w:rsidP="002C69C0">
            <w:pPr>
              <w:jc w:val="center"/>
              <w:rPr>
                <w:rFonts w:cstheme="minorHAnsi"/>
              </w:rPr>
            </w:pPr>
            <w:r>
              <w:rPr>
                <w:rFonts w:ascii="Calibri" w:hAnsi="Calibri" w:cstheme="minorHAnsi"/>
                <w:color w:val="000000"/>
              </w:rPr>
              <w:t>0.81 (0.97)</w:t>
            </w:r>
          </w:p>
        </w:tc>
        <w:tc>
          <w:tcPr>
            <w:tcW w:w="2056" w:type="dxa"/>
            <w:vAlign w:val="center"/>
          </w:tcPr>
          <w:p w14:paraId="1DA8B93E" w14:textId="77777777" w:rsidR="007D0F2B" w:rsidRDefault="007D0F2B" w:rsidP="002C69C0">
            <w:pPr>
              <w:jc w:val="center"/>
              <w:rPr>
                <w:rFonts w:cstheme="minorHAnsi"/>
              </w:rPr>
            </w:pPr>
            <w:r>
              <w:rPr>
                <w:rFonts w:ascii="Calibri" w:hAnsi="Calibri" w:cs="Calibri"/>
                <w:color w:val="000000"/>
              </w:rPr>
              <w:t>0.98 (0.95)</w:t>
            </w:r>
          </w:p>
        </w:tc>
        <w:tc>
          <w:tcPr>
            <w:tcW w:w="992" w:type="dxa"/>
            <w:vAlign w:val="center"/>
          </w:tcPr>
          <w:p w14:paraId="6CD75384" w14:textId="77777777" w:rsidR="007D0F2B" w:rsidRDefault="007D0F2B" w:rsidP="002C69C0">
            <w:pPr>
              <w:jc w:val="center"/>
              <w:rPr>
                <w:rFonts w:cstheme="minorHAnsi"/>
              </w:rPr>
            </w:pPr>
            <w:r>
              <w:rPr>
                <w:rFonts w:ascii="Calibri" w:hAnsi="Calibri" w:cs="Calibri"/>
                <w:color w:val="000000"/>
              </w:rPr>
              <w:t>0.3</w:t>
            </w:r>
          </w:p>
        </w:tc>
      </w:tr>
      <w:tr w:rsidR="007D0F2B" w14:paraId="4E74C648" w14:textId="77777777" w:rsidTr="002C69C0">
        <w:tc>
          <w:tcPr>
            <w:tcW w:w="2263" w:type="dxa"/>
            <w:vAlign w:val="center"/>
          </w:tcPr>
          <w:p w14:paraId="2BD21C6C" w14:textId="77777777" w:rsidR="007D0F2B" w:rsidRDefault="007D0F2B" w:rsidP="002C69C0">
            <w:pPr>
              <w:rPr>
                <w:rFonts w:cstheme="minorHAnsi"/>
              </w:rPr>
            </w:pPr>
            <w:r>
              <w:rPr>
                <w:rFonts w:ascii="Calibri" w:hAnsi="Calibri" w:cstheme="minorHAnsi"/>
                <w:color w:val="000000"/>
              </w:rPr>
              <w:t>IL-10#</w:t>
            </w:r>
          </w:p>
        </w:tc>
        <w:tc>
          <w:tcPr>
            <w:tcW w:w="2197" w:type="dxa"/>
            <w:vAlign w:val="center"/>
          </w:tcPr>
          <w:p w14:paraId="3699329A" w14:textId="77777777" w:rsidR="007D0F2B" w:rsidRDefault="007D0F2B" w:rsidP="002C69C0">
            <w:pPr>
              <w:jc w:val="center"/>
              <w:rPr>
                <w:rFonts w:cstheme="minorHAnsi"/>
              </w:rPr>
            </w:pPr>
            <w:r>
              <w:rPr>
                <w:rFonts w:ascii="Calibri" w:hAnsi="Calibri" w:cstheme="minorHAnsi"/>
                <w:color w:val="000000"/>
              </w:rPr>
              <w:t>0.14 (0.01)</w:t>
            </w:r>
          </w:p>
        </w:tc>
        <w:tc>
          <w:tcPr>
            <w:tcW w:w="2056" w:type="dxa"/>
            <w:vAlign w:val="center"/>
          </w:tcPr>
          <w:p w14:paraId="2E370FD8" w14:textId="77777777" w:rsidR="007D0F2B" w:rsidRDefault="007D0F2B" w:rsidP="002C69C0">
            <w:pPr>
              <w:jc w:val="center"/>
              <w:rPr>
                <w:rFonts w:cstheme="minorHAnsi"/>
              </w:rPr>
            </w:pPr>
            <w:r>
              <w:rPr>
                <w:rFonts w:ascii="Calibri" w:hAnsi="Calibri" w:cs="Calibri"/>
                <w:color w:val="000000"/>
              </w:rPr>
              <w:t>0.14 (0.01)</w:t>
            </w:r>
          </w:p>
        </w:tc>
        <w:tc>
          <w:tcPr>
            <w:tcW w:w="992" w:type="dxa"/>
            <w:vAlign w:val="center"/>
          </w:tcPr>
          <w:p w14:paraId="11679967" w14:textId="77777777" w:rsidR="007D0F2B" w:rsidRDefault="007D0F2B" w:rsidP="002C69C0">
            <w:pPr>
              <w:jc w:val="center"/>
              <w:rPr>
                <w:rFonts w:cstheme="minorHAnsi"/>
              </w:rPr>
            </w:pPr>
            <w:r>
              <w:rPr>
                <w:rFonts w:ascii="Calibri" w:hAnsi="Calibri" w:cs="Calibri"/>
                <w:color w:val="000000"/>
              </w:rPr>
              <w:t>0.85</w:t>
            </w:r>
          </w:p>
        </w:tc>
      </w:tr>
      <w:tr w:rsidR="007D0F2B" w14:paraId="1417D7CF" w14:textId="77777777" w:rsidTr="002C69C0">
        <w:tc>
          <w:tcPr>
            <w:tcW w:w="2263" w:type="dxa"/>
            <w:vAlign w:val="center"/>
          </w:tcPr>
          <w:p w14:paraId="70E78508" w14:textId="77777777" w:rsidR="007D0F2B" w:rsidRDefault="007D0F2B" w:rsidP="002C69C0">
            <w:pPr>
              <w:rPr>
                <w:rFonts w:cstheme="minorHAnsi"/>
              </w:rPr>
            </w:pPr>
            <w:r>
              <w:rPr>
                <w:rFonts w:ascii="Calibri" w:hAnsi="Calibri" w:cstheme="minorHAnsi"/>
                <w:color w:val="000000"/>
              </w:rPr>
              <w:t>IL-13</w:t>
            </w:r>
          </w:p>
        </w:tc>
        <w:tc>
          <w:tcPr>
            <w:tcW w:w="2197" w:type="dxa"/>
            <w:vAlign w:val="center"/>
          </w:tcPr>
          <w:p w14:paraId="7CE76BAE" w14:textId="77777777" w:rsidR="007D0F2B" w:rsidRDefault="007D0F2B" w:rsidP="002C69C0">
            <w:pPr>
              <w:jc w:val="center"/>
              <w:rPr>
                <w:rFonts w:cstheme="minorHAnsi"/>
              </w:rPr>
            </w:pPr>
            <w:r>
              <w:rPr>
                <w:rFonts w:ascii="Calibri" w:hAnsi="Calibri" w:cstheme="minorHAnsi"/>
                <w:color w:val="000000"/>
              </w:rPr>
              <w:t>ND</w:t>
            </w:r>
          </w:p>
        </w:tc>
        <w:tc>
          <w:tcPr>
            <w:tcW w:w="2056" w:type="dxa"/>
            <w:vAlign w:val="center"/>
          </w:tcPr>
          <w:p w14:paraId="551AE214" w14:textId="77777777" w:rsidR="007D0F2B" w:rsidRDefault="007D0F2B" w:rsidP="002C69C0">
            <w:pPr>
              <w:jc w:val="center"/>
              <w:rPr>
                <w:rFonts w:cstheme="minorHAnsi"/>
              </w:rPr>
            </w:pPr>
            <w:r>
              <w:rPr>
                <w:rFonts w:ascii="Calibri" w:hAnsi="Calibri" w:cs="Calibri"/>
                <w:color w:val="000000"/>
              </w:rPr>
              <w:t>ND</w:t>
            </w:r>
          </w:p>
        </w:tc>
        <w:tc>
          <w:tcPr>
            <w:tcW w:w="992" w:type="dxa"/>
            <w:vAlign w:val="center"/>
          </w:tcPr>
          <w:p w14:paraId="035FFA74" w14:textId="77777777" w:rsidR="007D0F2B" w:rsidRDefault="007D0F2B" w:rsidP="002C69C0">
            <w:pPr>
              <w:jc w:val="center"/>
              <w:rPr>
                <w:rFonts w:cstheme="minorHAnsi"/>
              </w:rPr>
            </w:pPr>
            <w:r>
              <w:rPr>
                <w:rFonts w:cstheme="minorHAnsi"/>
              </w:rPr>
              <w:t>-</w:t>
            </w:r>
          </w:p>
        </w:tc>
      </w:tr>
      <w:tr w:rsidR="007D0F2B" w14:paraId="413D18F3" w14:textId="77777777" w:rsidTr="002C69C0">
        <w:tc>
          <w:tcPr>
            <w:tcW w:w="2263" w:type="dxa"/>
            <w:vAlign w:val="center"/>
          </w:tcPr>
          <w:p w14:paraId="71BEE55B" w14:textId="77777777" w:rsidR="007D0F2B" w:rsidRDefault="007D0F2B" w:rsidP="002C69C0">
            <w:pPr>
              <w:rPr>
                <w:rFonts w:cstheme="minorHAnsi"/>
              </w:rPr>
            </w:pPr>
            <w:r>
              <w:rPr>
                <w:rFonts w:ascii="Calibri" w:hAnsi="Calibri" w:cs="Calibri"/>
                <w:color w:val="000000"/>
              </w:rPr>
              <w:t>IL-17#</w:t>
            </w:r>
          </w:p>
        </w:tc>
        <w:tc>
          <w:tcPr>
            <w:tcW w:w="2197" w:type="dxa"/>
            <w:vAlign w:val="center"/>
          </w:tcPr>
          <w:p w14:paraId="4371C700" w14:textId="77777777" w:rsidR="007D0F2B" w:rsidRDefault="007D0F2B" w:rsidP="002C69C0">
            <w:pPr>
              <w:jc w:val="center"/>
              <w:rPr>
                <w:rFonts w:cstheme="minorHAnsi"/>
              </w:rPr>
            </w:pPr>
            <w:r>
              <w:rPr>
                <w:rFonts w:ascii="Calibri" w:hAnsi="Calibri" w:cs="Calibri"/>
                <w:color w:val="000000"/>
              </w:rPr>
              <w:t>0.47 (0.05)</w:t>
            </w:r>
          </w:p>
        </w:tc>
        <w:tc>
          <w:tcPr>
            <w:tcW w:w="2056" w:type="dxa"/>
            <w:vAlign w:val="center"/>
          </w:tcPr>
          <w:p w14:paraId="7EEC170C" w14:textId="77777777" w:rsidR="007D0F2B" w:rsidRDefault="007D0F2B" w:rsidP="002C69C0">
            <w:pPr>
              <w:jc w:val="center"/>
              <w:rPr>
                <w:rFonts w:cstheme="minorHAnsi"/>
              </w:rPr>
            </w:pPr>
            <w:r>
              <w:rPr>
                <w:rFonts w:ascii="Calibri" w:hAnsi="Calibri" w:cs="Calibri"/>
                <w:color w:val="000000"/>
              </w:rPr>
              <w:t>0.47 (0.06)</w:t>
            </w:r>
          </w:p>
        </w:tc>
        <w:tc>
          <w:tcPr>
            <w:tcW w:w="992" w:type="dxa"/>
            <w:vAlign w:val="center"/>
          </w:tcPr>
          <w:p w14:paraId="423D3593" w14:textId="77777777" w:rsidR="007D0F2B" w:rsidRDefault="007D0F2B" w:rsidP="002C69C0">
            <w:pPr>
              <w:jc w:val="center"/>
              <w:rPr>
                <w:rFonts w:cstheme="minorHAnsi"/>
              </w:rPr>
            </w:pPr>
            <w:r>
              <w:rPr>
                <w:rFonts w:ascii="Calibri" w:hAnsi="Calibri" w:cs="Calibri"/>
              </w:rPr>
              <w:t>0.2342</w:t>
            </w:r>
          </w:p>
        </w:tc>
      </w:tr>
      <w:tr w:rsidR="007D0F2B" w14:paraId="1AB5C802" w14:textId="77777777" w:rsidTr="002C69C0">
        <w:tc>
          <w:tcPr>
            <w:tcW w:w="2263" w:type="dxa"/>
            <w:vAlign w:val="center"/>
          </w:tcPr>
          <w:p w14:paraId="5FF3063B" w14:textId="77777777" w:rsidR="007D0F2B" w:rsidRDefault="007D0F2B" w:rsidP="002C69C0">
            <w:pPr>
              <w:rPr>
                <w:rFonts w:cstheme="minorHAnsi"/>
              </w:rPr>
            </w:pPr>
            <w:r>
              <w:rPr>
                <w:rFonts w:ascii="Calibri" w:hAnsi="Calibri" w:cstheme="minorHAnsi"/>
                <w:color w:val="000000"/>
              </w:rPr>
              <w:t>IFN-gamma#</w:t>
            </w:r>
          </w:p>
        </w:tc>
        <w:tc>
          <w:tcPr>
            <w:tcW w:w="2197" w:type="dxa"/>
            <w:vAlign w:val="center"/>
          </w:tcPr>
          <w:p w14:paraId="0942EB1D" w14:textId="77777777" w:rsidR="007D0F2B" w:rsidRDefault="007D0F2B" w:rsidP="002C69C0">
            <w:pPr>
              <w:jc w:val="center"/>
              <w:rPr>
                <w:rFonts w:cstheme="minorHAnsi"/>
              </w:rPr>
            </w:pPr>
            <w:r>
              <w:rPr>
                <w:rFonts w:ascii="Calibri" w:hAnsi="Calibri" w:cstheme="minorHAnsi"/>
                <w:color w:val="000000"/>
              </w:rPr>
              <w:t>1.94 (0.14)</w:t>
            </w:r>
          </w:p>
        </w:tc>
        <w:tc>
          <w:tcPr>
            <w:tcW w:w="2056" w:type="dxa"/>
            <w:vAlign w:val="center"/>
          </w:tcPr>
          <w:p w14:paraId="67427DAA" w14:textId="77777777" w:rsidR="007D0F2B" w:rsidRDefault="007D0F2B" w:rsidP="002C69C0">
            <w:pPr>
              <w:jc w:val="center"/>
              <w:rPr>
                <w:rFonts w:cstheme="minorHAnsi"/>
              </w:rPr>
            </w:pPr>
            <w:r>
              <w:rPr>
                <w:rFonts w:ascii="Calibri" w:hAnsi="Calibri" w:cs="Calibri"/>
                <w:color w:val="000000"/>
              </w:rPr>
              <w:t>1.89 (0.1)</w:t>
            </w:r>
          </w:p>
        </w:tc>
        <w:tc>
          <w:tcPr>
            <w:tcW w:w="992" w:type="dxa"/>
            <w:vAlign w:val="center"/>
          </w:tcPr>
          <w:p w14:paraId="7CDBE38E" w14:textId="77777777" w:rsidR="007D0F2B" w:rsidRDefault="007D0F2B" w:rsidP="002C69C0">
            <w:pPr>
              <w:jc w:val="center"/>
              <w:rPr>
                <w:rFonts w:cstheme="minorHAnsi"/>
              </w:rPr>
            </w:pPr>
            <w:r>
              <w:rPr>
                <w:rFonts w:ascii="Calibri" w:hAnsi="Calibri" w:cs="Calibri"/>
                <w:color w:val="000000"/>
              </w:rPr>
              <w:t>0.01*</w:t>
            </w:r>
          </w:p>
        </w:tc>
      </w:tr>
      <w:tr w:rsidR="007D0F2B" w14:paraId="5D69C23E" w14:textId="77777777" w:rsidTr="002C69C0">
        <w:tc>
          <w:tcPr>
            <w:tcW w:w="2263" w:type="dxa"/>
            <w:vAlign w:val="center"/>
          </w:tcPr>
          <w:p w14:paraId="4AC6AD4C" w14:textId="77777777" w:rsidR="007D0F2B" w:rsidRDefault="007D0F2B" w:rsidP="002C69C0">
            <w:pPr>
              <w:rPr>
                <w:rFonts w:cstheme="minorHAnsi"/>
              </w:rPr>
            </w:pPr>
            <w:r>
              <w:rPr>
                <w:rFonts w:ascii="Calibri" w:hAnsi="Calibri" w:cstheme="minorHAnsi"/>
                <w:color w:val="000000"/>
              </w:rPr>
              <w:t>POSTN</w:t>
            </w:r>
          </w:p>
        </w:tc>
        <w:tc>
          <w:tcPr>
            <w:tcW w:w="2197" w:type="dxa"/>
            <w:vAlign w:val="center"/>
          </w:tcPr>
          <w:p w14:paraId="42F31BC5" w14:textId="77777777" w:rsidR="007D0F2B" w:rsidRDefault="007D0F2B" w:rsidP="002C69C0">
            <w:pPr>
              <w:jc w:val="center"/>
              <w:rPr>
                <w:rFonts w:cstheme="minorHAnsi"/>
              </w:rPr>
            </w:pPr>
            <w:r>
              <w:rPr>
                <w:rFonts w:ascii="Calibri" w:hAnsi="Calibri" w:cstheme="minorHAnsi"/>
                <w:color w:val="000000"/>
              </w:rPr>
              <w:t>39509 (21599)</w:t>
            </w:r>
          </w:p>
        </w:tc>
        <w:tc>
          <w:tcPr>
            <w:tcW w:w="2056" w:type="dxa"/>
            <w:vAlign w:val="center"/>
          </w:tcPr>
          <w:p w14:paraId="037D2245" w14:textId="77777777" w:rsidR="007D0F2B" w:rsidRDefault="007D0F2B" w:rsidP="002C69C0">
            <w:pPr>
              <w:jc w:val="center"/>
              <w:rPr>
                <w:rFonts w:cstheme="minorHAnsi"/>
              </w:rPr>
            </w:pPr>
            <w:r>
              <w:rPr>
                <w:rFonts w:ascii="Calibri" w:hAnsi="Calibri" w:cs="Calibri"/>
                <w:color w:val="000000"/>
              </w:rPr>
              <w:t>36599 (17735)</w:t>
            </w:r>
          </w:p>
        </w:tc>
        <w:tc>
          <w:tcPr>
            <w:tcW w:w="992" w:type="dxa"/>
            <w:vAlign w:val="center"/>
          </w:tcPr>
          <w:p w14:paraId="72987267" w14:textId="77777777" w:rsidR="007D0F2B" w:rsidRDefault="007D0F2B" w:rsidP="002C69C0">
            <w:pPr>
              <w:jc w:val="center"/>
              <w:rPr>
                <w:rFonts w:cstheme="minorHAnsi"/>
              </w:rPr>
            </w:pPr>
            <w:r>
              <w:rPr>
                <w:rFonts w:ascii="Calibri" w:hAnsi="Calibri" w:cs="Calibri"/>
                <w:color w:val="000000"/>
              </w:rPr>
              <w:t>0.68</w:t>
            </w:r>
          </w:p>
        </w:tc>
      </w:tr>
      <w:tr w:rsidR="007D0F2B" w14:paraId="273C7DC4" w14:textId="77777777" w:rsidTr="002C69C0">
        <w:tc>
          <w:tcPr>
            <w:tcW w:w="2263" w:type="dxa"/>
            <w:vAlign w:val="center"/>
          </w:tcPr>
          <w:p w14:paraId="3D4DA2DC" w14:textId="77777777" w:rsidR="007D0F2B" w:rsidRDefault="007D0F2B" w:rsidP="002C69C0">
            <w:pPr>
              <w:rPr>
                <w:rFonts w:cstheme="minorHAnsi"/>
              </w:rPr>
            </w:pPr>
            <w:r>
              <w:rPr>
                <w:rFonts w:ascii="Calibri" w:hAnsi="Calibri" w:cstheme="minorHAnsi"/>
                <w:color w:val="000000"/>
              </w:rPr>
              <w:t>TNF-Alpha#</w:t>
            </w:r>
          </w:p>
        </w:tc>
        <w:tc>
          <w:tcPr>
            <w:tcW w:w="2197" w:type="dxa"/>
            <w:vAlign w:val="center"/>
          </w:tcPr>
          <w:p w14:paraId="666D9FB2" w14:textId="77777777" w:rsidR="007D0F2B" w:rsidRDefault="007D0F2B" w:rsidP="002C69C0">
            <w:pPr>
              <w:jc w:val="center"/>
              <w:rPr>
                <w:rFonts w:cstheme="minorHAnsi"/>
              </w:rPr>
            </w:pPr>
            <w:r>
              <w:rPr>
                <w:rFonts w:ascii="Calibri" w:hAnsi="Calibri" w:cstheme="minorHAnsi"/>
                <w:color w:val="000000"/>
              </w:rPr>
              <w:t>0.36 (0.77)</w:t>
            </w:r>
          </w:p>
        </w:tc>
        <w:tc>
          <w:tcPr>
            <w:tcW w:w="2056" w:type="dxa"/>
            <w:vAlign w:val="center"/>
          </w:tcPr>
          <w:p w14:paraId="16945E56" w14:textId="77777777" w:rsidR="007D0F2B" w:rsidRDefault="007D0F2B" w:rsidP="002C69C0">
            <w:pPr>
              <w:jc w:val="center"/>
              <w:rPr>
                <w:rFonts w:cstheme="minorHAnsi"/>
              </w:rPr>
            </w:pPr>
            <w:r>
              <w:rPr>
                <w:rFonts w:ascii="Calibri" w:hAnsi="Calibri" w:cs="Calibri"/>
                <w:color w:val="000000"/>
              </w:rPr>
              <w:t>0.29 (1.28)</w:t>
            </w:r>
          </w:p>
        </w:tc>
        <w:tc>
          <w:tcPr>
            <w:tcW w:w="992" w:type="dxa"/>
            <w:vAlign w:val="center"/>
          </w:tcPr>
          <w:p w14:paraId="54F3C795" w14:textId="77777777" w:rsidR="007D0F2B" w:rsidRDefault="007D0F2B" w:rsidP="002C69C0">
            <w:pPr>
              <w:jc w:val="center"/>
              <w:rPr>
                <w:rFonts w:cstheme="minorHAnsi"/>
              </w:rPr>
            </w:pPr>
            <w:r>
              <w:rPr>
                <w:rFonts w:ascii="Calibri" w:hAnsi="Calibri" w:cs="Calibri"/>
                <w:color w:val="000000"/>
              </w:rPr>
              <w:t>0.85</w:t>
            </w:r>
          </w:p>
        </w:tc>
      </w:tr>
    </w:tbl>
    <w:p w14:paraId="56B18B7D" w14:textId="77777777" w:rsidR="007D0F2B" w:rsidRDefault="007D0F2B" w:rsidP="007D0F2B">
      <w:pPr>
        <w:rPr>
          <w:rFonts w:cstheme="minorHAnsi"/>
        </w:rPr>
      </w:pPr>
      <w:r>
        <w:rPr>
          <w:rFonts w:cstheme="minorHAnsi"/>
        </w:rPr>
        <w:t>Comparison of lung of cytokine levels in blood (plasma) between patients classified as T2-high and T2-low.</w:t>
      </w:r>
    </w:p>
    <w:p w14:paraId="74411898" w14:textId="77777777" w:rsidR="007D0F2B" w:rsidRPr="00995143" w:rsidRDefault="007D0F2B" w:rsidP="007D0F2B">
      <w:pPr>
        <w:rPr>
          <w:rFonts w:cstheme="minorHAnsi"/>
        </w:rPr>
      </w:pPr>
      <w:r w:rsidRPr="00995143">
        <w:rPr>
          <w:rFonts w:cstheme="minorHAnsi"/>
        </w:rPr>
        <w:t xml:space="preserve">C-C Motif Chemokine Ligand 2/Monocyte chemoattractant protein-1 (CCL2/MCP-1), C-C Motif Chemokine Ligand 3/Macrophage </w:t>
      </w:r>
      <w:proofErr w:type="spellStart"/>
      <w:r w:rsidRPr="00995143">
        <w:rPr>
          <w:rFonts w:cstheme="minorHAnsi"/>
        </w:rPr>
        <w:t>Inflammotry</w:t>
      </w:r>
      <w:proofErr w:type="spellEnd"/>
      <w:r w:rsidRPr="00995143">
        <w:rPr>
          <w:rFonts w:cstheme="minorHAnsi"/>
        </w:rPr>
        <w:t xml:space="preserve"> Protein-1 Alpha (CCL3/MIP-1-Alpha), Interleukin (IL)-4, IL-5, IL-6, IL-8, IL-10, IL-13, IL-17, interferon (IFN)-gamma,</w:t>
      </w:r>
      <w:r w:rsidRPr="00995143">
        <w:rPr>
          <w:rFonts w:cstheme="minorHAnsi"/>
          <w:b/>
          <w:bCs/>
        </w:rPr>
        <w:t xml:space="preserve"> </w:t>
      </w:r>
      <w:r w:rsidRPr="00995143">
        <w:rPr>
          <w:rFonts w:cstheme="minorHAnsi"/>
        </w:rPr>
        <w:t>Periostin (POSTN)</w:t>
      </w:r>
      <w:r>
        <w:rPr>
          <w:rFonts w:cstheme="minorHAnsi"/>
        </w:rPr>
        <w:t>,</w:t>
      </w:r>
      <w:r w:rsidRPr="00995143">
        <w:rPr>
          <w:rFonts w:cstheme="minorHAnsi"/>
        </w:rPr>
        <w:t xml:space="preserve"> </w:t>
      </w:r>
      <w:proofErr w:type="spellStart"/>
      <w:r w:rsidRPr="00995143">
        <w:rPr>
          <w:rFonts w:cstheme="minorHAnsi"/>
        </w:rPr>
        <w:t>Tumor</w:t>
      </w:r>
      <w:proofErr w:type="spellEnd"/>
      <w:r w:rsidRPr="00995143">
        <w:rPr>
          <w:rFonts w:cstheme="minorHAnsi"/>
        </w:rPr>
        <w:t xml:space="preserve"> Necrosis Factor-Alpha (TNF-Alpha</w:t>
      </w:r>
      <w:r>
        <w:rPr>
          <w:rFonts w:cstheme="minorHAnsi"/>
        </w:rPr>
        <w:t>). *, ** significant; # very low or at limit of detection; not detectable (ND).</w:t>
      </w:r>
    </w:p>
    <w:p w14:paraId="0059656D" w14:textId="77777777" w:rsidR="007D0F2B" w:rsidRPr="003E3716" w:rsidRDefault="007D0F2B" w:rsidP="007D0F2B">
      <w:pPr>
        <w:rPr>
          <w:rFonts w:cstheme="minorHAnsi"/>
        </w:rPr>
      </w:pPr>
    </w:p>
    <w:p w14:paraId="0094B0C9" w14:textId="77777777" w:rsidR="007D0F2B" w:rsidRDefault="007D0F2B" w:rsidP="007D0F2B"/>
    <w:p w14:paraId="634ECC9C" w14:textId="47ED0350" w:rsidR="007230B0" w:rsidRDefault="007230B0">
      <w:r>
        <w:br w:type="page"/>
      </w:r>
    </w:p>
    <w:p w14:paraId="2B85386D" w14:textId="77777777" w:rsidR="00637371" w:rsidRPr="005536F9" w:rsidRDefault="00637371" w:rsidP="00637371">
      <w:pPr>
        <w:rPr>
          <w:b/>
          <w:bCs/>
        </w:rPr>
      </w:pPr>
      <w:r>
        <w:rPr>
          <w:b/>
          <w:bCs/>
        </w:rPr>
        <w:lastRenderedPageBreak/>
        <w:t>Online Repository</w:t>
      </w:r>
      <w:r w:rsidRPr="005536F9">
        <w:rPr>
          <w:b/>
          <w:bCs/>
        </w:rPr>
        <w:t xml:space="preserve"> Figure </w:t>
      </w:r>
      <w:r>
        <w:rPr>
          <w:b/>
          <w:bCs/>
        </w:rPr>
        <w:t>E</w:t>
      </w:r>
      <w:r w:rsidRPr="005536F9">
        <w:rPr>
          <w:b/>
          <w:bCs/>
        </w:rPr>
        <w:t>1</w:t>
      </w:r>
    </w:p>
    <w:p w14:paraId="6AA4E4AF" w14:textId="77777777" w:rsidR="007D0F2B" w:rsidRDefault="007D0F2B" w:rsidP="007D0F2B"/>
    <w:p w14:paraId="1A8688B4" w14:textId="77777777" w:rsidR="006B51D0" w:rsidRDefault="006B51D0" w:rsidP="006B51D0"/>
    <w:p w14:paraId="363730BE" w14:textId="77777777" w:rsidR="006B51D0" w:rsidRDefault="006B51D0" w:rsidP="006B51D0">
      <w:r w:rsidRPr="00304855">
        <w:rPr>
          <w:noProof/>
        </w:rPr>
        <mc:AlternateContent>
          <mc:Choice Requires="wpg">
            <w:drawing>
              <wp:anchor distT="0" distB="0" distL="114300" distR="114300" simplePos="0" relativeHeight="251686912" behindDoc="0" locked="0" layoutInCell="1" allowOverlap="1" wp14:anchorId="376FB482" wp14:editId="536C9F70">
                <wp:simplePos x="0" y="0"/>
                <wp:positionH relativeFrom="column">
                  <wp:posOffset>190486</wp:posOffset>
                </wp:positionH>
                <wp:positionV relativeFrom="paragraph">
                  <wp:posOffset>168599</wp:posOffset>
                </wp:positionV>
                <wp:extent cx="4756197" cy="3490420"/>
                <wp:effectExtent l="0" t="0" r="19050" b="15240"/>
                <wp:wrapNone/>
                <wp:docPr id="2032402365" name="Group 32"/>
                <wp:cNvGraphicFramePr/>
                <a:graphic xmlns:a="http://schemas.openxmlformats.org/drawingml/2006/main">
                  <a:graphicData uri="http://schemas.microsoft.com/office/word/2010/wordprocessingGroup">
                    <wpg:wgp>
                      <wpg:cNvGrpSpPr/>
                      <wpg:grpSpPr>
                        <a:xfrm>
                          <a:off x="0" y="0"/>
                          <a:ext cx="4756197" cy="3490420"/>
                          <a:chOff x="0" y="0"/>
                          <a:chExt cx="4756197" cy="3490420"/>
                        </a:xfrm>
                      </wpg:grpSpPr>
                      <wps:wsp>
                        <wps:cNvPr id="726469930" name="Straight Connector 726469930"/>
                        <wps:cNvCnPr/>
                        <wps:spPr>
                          <a:xfrm>
                            <a:off x="1881446" y="1317086"/>
                            <a:ext cx="0" cy="266432"/>
                          </a:xfrm>
                          <a:prstGeom prst="line">
                            <a:avLst/>
                          </a:prstGeom>
                          <a:noFill/>
                          <a:ln w="6350" cap="flat" cmpd="sng" algn="ctr">
                            <a:solidFill>
                              <a:sysClr val="windowText" lastClr="000000"/>
                            </a:solidFill>
                            <a:prstDash val="solid"/>
                            <a:miter lim="800000"/>
                          </a:ln>
                          <a:effectLst/>
                        </wps:spPr>
                        <wps:bodyPr/>
                      </wps:wsp>
                      <wps:wsp>
                        <wps:cNvPr id="507907790" name="Straight Connector 507907790"/>
                        <wps:cNvCnPr>
                          <a:cxnSpLocks/>
                        </wps:cNvCnPr>
                        <wps:spPr>
                          <a:xfrm>
                            <a:off x="844533" y="1583518"/>
                            <a:ext cx="2036348" cy="0"/>
                          </a:xfrm>
                          <a:prstGeom prst="line">
                            <a:avLst/>
                          </a:prstGeom>
                          <a:noFill/>
                          <a:ln w="6350" cap="flat" cmpd="sng" algn="ctr">
                            <a:solidFill>
                              <a:sysClr val="windowText" lastClr="000000"/>
                            </a:solidFill>
                            <a:prstDash val="solid"/>
                            <a:miter lim="800000"/>
                          </a:ln>
                          <a:effectLst/>
                        </wps:spPr>
                        <wps:bodyPr/>
                      </wps:wsp>
                      <wps:wsp>
                        <wps:cNvPr id="1769189165" name="Straight Arrow Connector 1769189165"/>
                        <wps:cNvCnPr/>
                        <wps:spPr>
                          <a:xfrm>
                            <a:off x="844533" y="1583518"/>
                            <a:ext cx="0" cy="271040"/>
                          </a:xfrm>
                          <a:prstGeom prst="straightConnector1">
                            <a:avLst/>
                          </a:prstGeom>
                          <a:noFill/>
                          <a:ln w="6350" cap="flat" cmpd="sng" algn="ctr">
                            <a:solidFill>
                              <a:sysClr val="windowText" lastClr="000000"/>
                            </a:solidFill>
                            <a:prstDash val="solid"/>
                            <a:miter lim="800000"/>
                            <a:tailEnd type="triangle" w="sm" len="sm"/>
                          </a:ln>
                          <a:effectLst/>
                        </wps:spPr>
                        <wps:bodyPr/>
                      </wps:wsp>
                      <wps:wsp>
                        <wps:cNvPr id="1891357663" name="Straight Arrow Connector 1891357663"/>
                        <wps:cNvCnPr/>
                        <wps:spPr>
                          <a:xfrm>
                            <a:off x="2885954" y="1583518"/>
                            <a:ext cx="0" cy="271040"/>
                          </a:xfrm>
                          <a:prstGeom prst="straightConnector1">
                            <a:avLst/>
                          </a:prstGeom>
                          <a:noFill/>
                          <a:ln w="6350" cap="flat" cmpd="sng" algn="ctr">
                            <a:solidFill>
                              <a:sysClr val="windowText" lastClr="000000"/>
                            </a:solidFill>
                            <a:prstDash val="solid"/>
                            <a:miter lim="800000"/>
                            <a:tailEnd type="triangle" w="sm" len="sm"/>
                          </a:ln>
                          <a:effectLst/>
                        </wps:spPr>
                        <wps:bodyPr/>
                      </wps:wsp>
                      <wps:wsp>
                        <wps:cNvPr id="1629750984" name="Straight Arrow Connector 1629750984"/>
                        <wps:cNvCnPr/>
                        <wps:spPr>
                          <a:xfrm>
                            <a:off x="2206704" y="2660151"/>
                            <a:ext cx="0" cy="271040"/>
                          </a:xfrm>
                          <a:prstGeom prst="straightConnector1">
                            <a:avLst/>
                          </a:prstGeom>
                          <a:noFill/>
                          <a:ln w="6350" cap="flat" cmpd="sng" algn="ctr">
                            <a:solidFill>
                              <a:sysClr val="windowText" lastClr="000000"/>
                            </a:solidFill>
                            <a:prstDash val="solid"/>
                            <a:miter lim="800000"/>
                            <a:tailEnd type="triangle" w="sm" len="sm"/>
                          </a:ln>
                          <a:effectLst/>
                        </wps:spPr>
                        <wps:bodyPr/>
                      </wps:wsp>
                      <wps:wsp>
                        <wps:cNvPr id="445662349" name="Straight Arrow Connector 445662349"/>
                        <wps:cNvCnPr/>
                        <wps:spPr>
                          <a:xfrm>
                            <a:off x="3561514" y="2660151"/>
                            <a:ext cx="0" cy="271040"/>
                          </a:xfrm>
                          <a:prstGeom prst="straightConnector1">
                            <a:avLst/>
                          </a:prstGeom>
                          <a:noFill/>
                          <a:ln w="6350" cap="flat" cmpd="sng" algn="ctr">
                            <a:solidFill>
                              <a:sysClr val="windowText" lastClr="000000"/>
                            </a:solidFill>
                            <a:prstDash val="solid"/>
                            <a:miter lim="800000"/>
                            <a:tailEnd type="triangle" w="sm" len="sm"/>
                          </a:ln>
                          <a:effectLst/>
                        </wps:spPr>
                        <wps:bodyPr/>
                      </wps:wsp>
                      <wps:wsp>
                        <wps:cNvPr id="1958092212" name="TextBox 13"/>
                        <wps:cNvSpPr txBox="1"/>
                        <wps:spPr>
                          <a:xfrm>
                            <a:off x="0" y="1849707"/>
                            <a:ext cx="1844675" cy="866775"/>
                          </a:xfrm>
                          <a:prstGeom prst="rect">
                            <a:avLst/>
                          </a:prstGeom>
                          <a:noFill/>
                          <a:ln>
                            <a:solidFill>
                              <a:sysClr val="windowText" lastClr="000000"/>
                            </a:solidFill>
                          </a:ln>
                        </wps:spPr>
                        <wps:txbx>
                          <w:txbxContent>
                            <w:p w14:paraId="6EFBC049"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T2-high</w:t>
                              </w:r>
                            </w:p>
                            <w:p w14:paraId="4B0CA4A8"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FeNO≥20ppb and/or PBE ≥150 and/or mOCS and/or allergy driven asthma</w:t>
                              </w:r>
                            </w:p>
                            <w:p w14:paraId="3F15AFDA"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 xml:space="preserve">n=360   </w:t>
                              </w:r>
                            </w:p>
                          </w:txbxContent>
                        </wps:txbx>
                        <wps:bodyPr wrap="square" rtlCol="0">
                          <a:spAutoFit/>
                        </wps:bodyPr>
                      </wps:wsp>
                      <wps:wsp>
                        <wps:cNvPr id="867012968" name="TextBox 14"/>
                        <wps:cNvSpPr txBox="1"/>
                        <wps:spPr>
                          <a:xfrm>
                            <a:off x="1927562" y="1849951"/>
                            <a:ext cx="1844462" cy="553998"/>
                          </a:xfrm>
                          <a:prstGeom prst="rect">
                            <a:avLst/>
                          </a:prstGeom>
                          <a:noFill/>
                          <a:ln>
                            <a:solidFill>
                              <a:sysClr val="windowText" lastClr="000000"/>
                            </a:solidFill>
                          </a:ln>
                        </wps:spPr>
                        <wps:txbx>
                          <w:txbxContent>
                            <w:p w14:paraId="55869A59"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T2-low</w:t>
                              </w:r>
                            </w:p>
                            <w:p w14:paraId="27DC32BB"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Negative to all 4 parameters</w:t>
                              </w:r>
                            </w:p>
                            <w:p w14:paraId="4593071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n=28</w:t>
                              </w:r>
                            </w:p>
                          </w:txbxContent>
                        </wps:txbx>
                        <wps:bodyPr wrap="square" rtlCol="0">
                          <a:spAutoFit/>
                        </wps:bodyPr>
                      </wps:wsp>
                      <wps:wsp>
                        <wps:cNvPr id="1638390390" name="Straight Connector 1638390390"/>
                        <wps:cNvCnPr/>
                        <wps:spPr>
                          <a:xfrm>
                            <a:off x="2888629" y="2393719"/>
                            <a:ext cx="0" cy="266432"/>
                          </a:xfrm>
                          <a:prstGeom prst="line">
                            <a:avLst/>
                          </a:prstGeom>
                          <a:noFill/>
                          <a:ln w="6350" cap="flat" cmpd="sng" algn="ctr">
                            <a:solidFill>
                              <a:sysClr val="windowText" lastClr="000000"/>
                            </a:solidFill>
                            <a:prstDash val="solid"/>
                            <a:miter lim="800000"/>
                          </a:ln>
                          <a:effectLst/>
                        </wps:spPr>
                        <wps:bodyPr/>
                      </wps:wsp>
                      <wps:wsp>
                        <wps:cNvPr id="1433524639" name="Straight Connector 1433524639"/>
                        <wps:cNvCnPr>
                          <a:cxnSpLocks/>
                        </wps:cNvCnPr>
                        <wps:spPr>
                          <a:xfrm>
                            <a:off x="2205413" y="2660151"/>
                            <a:ext cx="1356101" cy="0"/>
                          </a:xfrm>
                          <a:prstGeom prst="line">
                            <a:avLst/>
                          </a:prstGeom>
                          <a:noFill/>
                          <a:ln w="6350" cap="flat" cmpd="sng" algn="ctr">
                            <a:solidFill>
                              <a:sysClr val="windowText" lastClr="000000"/>
                            </a:solidFill>
                            <a:prstDash val="solid"/>
                            <a:miter lim="800000"/>
                          </a:ln>
                          <a:effectLst/>
                        </wps:spPr>
                        <wps:bodyPr/>
                      </wps:wsp>
                      <wps:wsp>
                        <wps:cNvPr id="409897600" name="TextBox 21"/>
                        <wps:cNvSpPr txBox="1"/>
                        <wps:spPr>
                          <a:xfrm>
                            <a:off x="1446177" y="2936422"/>
                            <a:ext cx="1356101" cy="553998"/>
                          </a:xfrm>
                          <a:prstGeom prst="rect">
                            <a:avLst/>
                          </a:prstGeom>
                          <a:noFill/>
                          <a:ln>
                            <a:solidFill>
                              <a:sysClr val="windowText" lastClr="000000"/>
                            </a:solidFill>
                          </a:ln>
                        </wps:spPr>
                        <wps:txbx>
                          <w:txbxContent>
                            <w:p w14:paraId="2B518346"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Raised PBE within last 10 years</w:t>
                              </w:r>
                            </w:p>
                            <w:p w14:paraId="7125D52A"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n=21</w:t>
                              </w:r>
                            </w:p>
                          </w:txbxContent>
                        </wps:txbx>
                        <wps:bodyPr wrap="square" rtlCol="0">
                          <a:spAutoFit/>
                        </wps:bodyPr>
                      </wps:wsp>
                      <wps:wsp>
                        <wps:cNvPr id="362885569" name="TextBox 22"/>
                        <wps:cNvSpPr txBox="1"/>
                        <wps:spPr>
                          <a:xfrm>
                            <a:off x="2880881" y="2936422"/>
                            <a:ext cx="1356101" cy="400110"/>
                          </a:xfrm>
                          <a:prstGeom prst="rect">
                            <a:avLst/>
                          </a:prstGeom>
                          <a:noFill/>
                          <a:ln>
                            <a:solidFill>
                              <a:sysClr val="windowText" lastClr="000000"/>
                            </a:solidFill>
                          </a:ln>
                        </wps:spPr>
                        <wps:txbx>
                          <w:txbxContent>
                            <w:p w14:paraId="7DDC00C0"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T2-low</w:t>
                              </w:r>
                            </w:p>
                            <w:p w14:paraId="7C15B6E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n=7</w:t>
                              </w:r>
                            </w:p>
                          </w:txbxContent>
                        </wps:txbx>
                        <wps:bodyPr wrap="square" rtlCol="0">
                          <a:spAutoFit/>
                        </wps:bodyPr>
                      </wps:wsp>
                      <wps:wsp>
                        <wps:cNvPr id="1198216057" name="TextBox 23"/>
                        <wps:cNvSpPr txBox="1"/>
                        <wps:spPr>
                          <a:xfrm>
                            <a:off x="2001911" y="0"/>
                            <a:ext cx="1695765" cy="400110"/>
                          </a:xfrm>
                          <a:prstGeom prst="rect">
                            <a:avLst/>
                          </a:prstGeom>
                          <a:noFill/>
                          <a:ln>
                            <a:solidFill>
                              <a:sysClr val="windowText" lastClr="000000"/>
                            </a:solidFill>
                          </a:ln>
                        </wps:spPr>
                        <wps:txbx>
                          <w:txbxContent>
                            <w:p w14:paraId="35DAB93F"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WATCH cohort at enrollment</w:t>
                              </w:r>
                            </w:p>
                            <w:p w14:paraId="23017444"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n=500</w:t>
                              </w:r>
                            </w:p>
                          </w:txbxContent>
                        </wps:txbx>
                        <wps:bodyPr wrap="square" rtlCol="0">
                          <a:spAutoFit/>
                        </wps:bodyPr>
                      </wps:wsp>
                      <wps:wsp>
                        <wps:cNvPr id="1244166676" name="TextBox 24"/>
                        <wps:cNvSpPr txBox="1"/>
                        <wps:spPr>
                          <a:xfrm>
                            <a:off x="1108939" y="916976"/>
                            <a:ext cx="1529160" cy="400110"/>
                          </a:xfrm>
                          <a:prstGeom prst="rect">
                            <a:avLst/>
                          </a:prstGeom>
                          <a:noFill/>
                          <a:ln>
                            <a:solidFill>
                              <a:sysClr val="windowText" lastClr="000000"/>
                            </a:solidFill>
                          </a:ln>
                        </wps:spPr>
                        <wps:txbx>
                          <w:txbxContent>
                            <w:p w14:paraId="72FEDEA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Biologic naïve patients</w:t>
                              </w:r>
                            </w:p>
                            <w:p w14:paraId="36B01B36"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n=388</w:t>
                              </w:r>
                            </w:p>
                          </w:txbxContent>
                        </wps:txbx>
                        <wps:bodyPr wrap="square" rtlCol="0">
                          <a:spAutoFit/>
                        </wps:bodyPr>
                      </wps:wsp>
                      <wps:wsp>
                        <wps:cNvPr id="1430228555" name="TextBox 25"/>
                        <wps:cNvSpPr txBox="1"/>
                        <wps:spPr>
                          <a:xfrm>
                            <a:off x="2971315" y="916976"/>
                            <a:ext cx="1784882" cy="553998"/>
                          </a:xfrm>
                          <a:prstGeom prst="rect">
                            <a:avLst/>
                          </a:prstGeom>
                          <a:noFill/>
                          <a:ln>
                            <a:solidFill>
                              <a:sysClr val="windowText" lastClr="000000"/>
                            </a:solidFill>
                          </a:ln>
                        </wps:spPr>
                        <wps:txbx>
                          <w:txbxContent>
                            <w:p w14:paraId="24DCAF6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Patients on biologic treatment at enrollment excluded</w:t>
                              </w:r>
                            </w:p>
                            <w:p w14:paraId="414133AB"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n=112</w:t>
                              </w:r>
                            </w:p>
                          </w:txbxContent>
                        </wps:txbx>
                        <wps:bodyPr wrap="square" rtlCol="0">
                          <a:spAutoFit/>
                        </wps:bodyPr>
                      </wps:wsp>
                      <wps:wsp>
                        <wps:cNvPr id="554314514" name="Straight Arrow Connector 554314514"/>
                        <wps:cNvCnPr/>
                        <wps:spPr>
                          <a:xfrm>
                            <a:off x="1882736" y="656203"/>
                            <a:ext cx="0" cy="271040"/>
                          </a:xfrm>
                          <a:prstGeom prst="straightConnector1">
                            <a:avLst/>
                          </a:prstGeom>
                          <a:noFill/>
                          <a:ln w="6350" cap="flat" cmpd="sng" algn="ctr">
                            <a:solidFill>
                              <a:sysClr val="windowText" lastClr="000000"/>
                            </a:solidFill>
                            <a:prstDash val="solid"/>
                            <a:miter lim="800000"/>
                            <a:tailEnd type="triangle" w="sm" len="sm"/>
                          </a:ln>
                          <a:effectLst/>
                        </wps:spPr>
                        <wps:bodyPr/>
                      </wps:wsp>
                      <wps:wsp>
                        <wps:cNvPr id="1516655648" name="Straight Arrow Connector 1516655648"/>
                        <wps:cNvCnPr/>
                        <wps:spPr>
                          <a:xfrm>
                            <a:off x="3880317" y="656203"/>
                            <a:ext cx="0" cy="271040"/>
                          </a:xfrm>
                          <a:prstGeom prst="straightConnector1">
                            <a:avLst/>
                          </a:prstGeom>
                          <a:noFill/>
                          <a:ln w="6350" cap="flat" cmpd="sng" algn="ctr">
                            <a:solidFill>
                              <a:sysClr val="windowText" lastClr="000000"/>
                            </a:solidFill>
                            <a:prstDash val="solid"/>
                            <a:miter lim="800000"/>
                            <a:tailEnd type="triangle" w="sm" len="sm"/>
                          </a:ln>
                          <a:effectLst/>
                        </wps:spPr>
                        <wps:bodyPr/>
                      </wps:wsp>
                      <wps:wsp>
                        <wps:cNvPr id="433417503" name="Straight Connector 433417503"/>
                        <wps:cNvCnPr/>
                        <wps:spPr>
                          <a:xfrm>
                            <a:off x="2849794" y="389771"/>
                            <a:ext cx="0" cy="266432"/>
                          </a:xfrm>
                          <a:prstGeom prst="line">
                            <a:avLst/>
                          </a:prstGeom>
                          <a:noFill/>
                          <a:ln w="6350" cap="flat" cmpd="sng" algn="ctr">
                            <a:solidFill>
                              <a:sysClr val="windowText" lastClr="000000"/>
                            </a:solidFill>
                            <a:prstDash val="solid"/>
                            <a:miter lim="800000"/>
                          </a:ln>
                          <a:effectLst/>
                        </wps:spPr>
                        <wps:bodyPr/>
                      </wps:wsp>
                      <wps:wsp>
                        <wps:cNvPr id="1446880763" name="Straight Connector 1446880763"/>
                        <wps:cNvCnPr>
                          <a:cxnSpLocks/>
                        </wps:cNvCnPr>
                        <wps:spPr>
                          <a:xfrm>
                            <a:off x="1881445" y="656203"/>
                            <a:ext cx="1998872"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76FB482" id="Group 32" o:spid="_x0000_s1026" style="position:absolute;margin-left:15pt;margin-top:13.3pt;width:374.5pt;height:274.85pt;z-index:251686912" coordsize="47561,3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">
                <v:line id="Straight Connector 726469930" o:spid="_x0000_s1027" style="position:absolute;visibility:visible;mso-wrap-style:square" from="18814,13170" to="18814,1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" strokecolor="windowText" strokeweight=".5pt">
                  <v:stroke joinstyle="miter"/>
                </v:line>
                <v:line id="Straight Connector 507907790" o:spid="_x0000_s1028" style="position:absolute;visibility:visible;mso-wrap-style:square" from="8445,15835" to="28808,1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1769189165" o:spid="_x0000_s1029" type="#_x0000_t32" style="position:absolute;left:8445;top:15835;width:0;height:2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" strokecolor="windowText" strokeweight=".5pt">
                  <v:stroke endarrow="block" endarrowwidth="narrow" endarrowlength="short" joinstyle="miter"/>
                </v:shape>
                <v:shape id="Straight Arrow Connector 1891357663" o:spid="_x0000_s1030" type="#_x0000_t32" style="position:absolute;left:28859;top:15835;width:0;height:2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" strokecolor="windowText" strokeweight=".5pt">
                  <v:stroke endarrow="block" endarrowwidth="narrow" endarrowlength="short" joinstyle="miter"/>
                </v:shape>
                <v:shape id="Straight Arrow Connector 1629750984" o:spid="_x0000_s1031" type="#_x0000_t32" style="position:absolute;left:22067;top:26601;width:0;height:2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" strokecolor="windowText" strokeweight=".5pt">
                  <v:stroke endarrow="block" endarrowwidth="narrow" endarrowlength="short" joinstyle="miter"/>
                </v:shape>
                <v:shape id="Straight Arrow Connector 445662349" o:spid="_x0000_s1032" type="#_x0000_t32" style="position:absolute;left:35615;top:26601;width:0;height:2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" strokecolor="windowText" strokeweight=".5pt">
                  <v:stroke endarrow="block" endarrowwidth="narrow" endarrowlength="short" joinstyle="miter"/>
                </v:shape>
                <v:shapetype id="_x0000_t202" coordsize="21600,21600" o:spt="202" path="m,l,21600r21600,l21600,xe">
                  <v:stroke joinstyle="miter"/>
                  <v:path gradientshapeok="t" o:connecttype="rect"/>
                </v:shapetype>
                <v:shape id="TextBox 13" o:spid="_x0000_s1033" type="#_x0000_t202" style="position:absolute;top:18497;width:18446;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" filled="f" strokecolor="windowText">
                  <v:textbox style="mso-fit-shape-to-text:t">
                    <w:txbxContent>
                      <w:p w14:paraId="6EFBC049"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T2-high</w:t>
                        </w:r>
                      </w:p>
                      <w:p w14:paraId="4B0CA4A8"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FeNO≥20ppb and/or PBE ≥150 and/or mOCS and/or allergy driven asthma</w:t>
                        </w:r>
                      </w:p>
                      <w:p w14:paraId="3F15AFDA"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 xml:space="preserve">n=360   </w:t>
                        </w:r>
                      </w:p>
                    </w:txbxContent>
                  </v:textbox>
                </v:shape>
                <v:shape id="TextBox 14" o:spid="_x0000_s1034" type="#_x0000_t202" style="position:absolute;left:19275;top:18499;width:18445;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" filled="f" strokecolor="windowText">
                  <v:textbox style="mso-fit-shape-to-text:t">
                    <w:txbxContent>
                      <w:p w14:paraId="55869A59"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T2-low</w:t>
                        </w:r>
                      </w:p>
                      <w:p w14:paraId="27DC32BB"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Negative to all 4 parameters</w:t>
                        </w:r>
                      </w:p>
                      <w:p w14:paraId="4593071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n=28</w:t>
                        </w:r>
                      </w:p>
                    </w:txbxContent>
                  </v:textbox>
                </v:shape>
                <v:line id="Straight Connector 1638390390" o:spid="_x0000_s1035" style="position:absolute;visibility:visible;mso-wrap-style:square" from="28886,23937" to="28886,2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" strokecolor="windowText" strokeweight=".5pt">
                  <v:stroke joinstyle="miter"/>
                </v:line>
                <v:line id="Straight Connector 1433524639" o:spid="_x0000_s1036" style="position:absolute;visibility:visible;mso-wrap-style:square" from="22054,26601" to="35615,2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" strokecolor="windowText" strokeweight=".5pt">
                  <v:stroke joinstyle="miter"/>
                  <o:lock v:ext="edit" shapetype="f"/>
                </v:line>
                <v:shape id="TextBox 21" o:spid="_x0000_s1037" type="#_x0000_t202" style="position:absolute;left:14461;top:29364;width:13561;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" filled="f" strokecolor="windowText">
                  <v:textbox style="mso-fit-shape-to-text:t">
                    <w:txbxContent>
                      <w:p w14:paraId="2B518346"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Raised PBE within last 10 years</w:t>
                        </w:r>
                      </w:p>
                      <w:p w14:paraId="7125D52A"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n=21</w:t>
                        </w:r>
                      </w:p>
                    </w:txbxContent>
                  </v:textbox>
                </v:shape>
                <v:shape id="TextBox 22" o:spid="_x0000_s1038" type="#_x0000_t202" style="position:absolute;left:28808;top:29364;width:1356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" filled="f" strokecolor="windowText">
                  <v:textbox style="mso-fit-shape-to-text:t">
                    <w:txbxContent>
                      <w:p w14:paraId="7DDC00C0"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T2-low</w:t>
                        </w:r>
                      </w:p>
                      <w:p w14:paraId="7C15B6E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n=7</w:t>
                        </w:r>
                      </w:p>
                    </w:txbxContent>
                  </v:textbox>
                </v:shape>
                <v:shape id="TextBox 23" o:spid="_x0000_s1039" type="#_x0000_t202" style="position:absolute;left:20019;width:169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" filled="f" strokecolor="windowText">
                  <v:textbox style="mso-fit-shape-to-text:t">
                    <w:txbxContent>
                      <w:p w14:paraId="35DAB93F"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WATCH cohort at enrollment</w:t>
                        </w:r>
                      </w:p>
                      <w:p w14:paraId="23017444"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n=500</w:t>
                        </w:r>
                      </w:p>
                    </w:txbxContent>
                  </v:textbox>
                </v:shape>
                <v:shape id="TextBox 24" o:spid="_x0000_s1040" type="#_x0000_t202" style="position:absolute;left:11089;top:9169;width:1529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" filled="f" strokecolor="windowText">
                  <v:textbox style="mso-fit-shape-to-text:t">
                    <w:txbxContent>
                      <w:p w14:paraId="72FEDEA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Biologic naïve patients</w:t>
                        </w:r>
                      </w:p>
                      <w:p w14:paraId="36B01B36"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n=388</w:t>
                        </w:r>
                      </w:p>
                    </w:txbxContent>
                  </v:textbox>
                </v:shape>
                <v:shape id="TextBox 25" o:spid="_x0000_s1041" type="#_x0000_t202" style="position:absolute;left:29713;top:9169;width:17848;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" filled="f" strokecolor="windowText">
                  <v:textbox style="mso-fit-shape-to-text:t">
                    <w:txbxContent>
                      <w:p w14:paraId="24DCAF63"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Patients on biologic treatment at enrollment excluded</w:t>
                        </w:r>
                      </w:p>
                      <w:p w14:paraId="414133AB" w14:textId="77777777" w:rsidR="006B51D0" w:rsidRDefault="006B51D0" w:rsidP="006B51D0">
                        <w:pPr>
                          <w:jc w:val="center"/>
                          <w:rPr>
                            <w:rFonts w:hAnsi="Calibri"/>
                            <w:color w:val="000000" w:themeColor="text1"/>
                            <w:kern w:val="24"/>
                            <w:sz w:val="20"/>
                            <w:szCs w:val="20"/>
                            <w:lang w:val="en-US"/>
                          </w:rPr>
                        </w:pPr>
                        <w:r>
                          <w:rPr>
                            <w:rFonts w:hAnsi="Calibri"/>
                            <w:color w:val="000000" w:themeColor="text1"/>
                            <w:kern w:val="24"/>
                            <w:sz w:val="20"/>
                            <w:szCs w:val="20"/>
                            <w:lang w:val="en-US"/>
                          </w:rPr>
                          <w:t>n=112</w:t>
                        </w:r>
                      </w:p>
                    </w:txbxContent>
                  </v:textbox>
                </v:shape>
                <v:shape id="Straight Arrow Connector 554314514" o:spid="_x0000_s1042" type="#_x0000_t32" style="position:absolute;left:18827;top:6562;width:0;height:2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" strokecolor="windowText" strokeweight=".5pt">
                  <v:stroke endarrow="block" endarrowwidth="narrow" endarrowlength="short" joinstyle="miter"/>
                </v:shape>
                <v:shape id="Straight Arrow Connector 1516655648" o:spid="_x0000_s1043" type="#_x0000_t32" style="position:absolute;left:38803;top:6562;width:0;height:2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" strokecolor="windowText" strokeweight=".5pt">
                  <v:stroke endarrow="block" endarrowwidth="narrow" endarrowlength="short" joinstyle="miter"/>
                </v:shape>
                <v:line id="Straight Connector 433417503" o:spid="_x0000_s1044" style="position:absolute;visibility:visible;mso-wrap-style:square" from="28497,3897" to="28497,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" strokecolor="windowText" strokeweight=".5pt">
                  <v:stroke joinstyle="miter"/>
                </v:line>
                <v:line id="Straight Connector 1446880763" o:spid="_x0000_s1045" style="position:absolute;visibility:visible;mso-wrap-style:square" from="18814,6562" to="38803,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" strokecolor="windowText" strokeweight=".5pt">
                  <v:stroke joinstyle="miter"/>
                  <o:lock v:ext="edit" shapetype="f"/>
                </v:line>
              </v:group>
            </w:pict>
          </mc:Fallback>
        </mc:AlternateContent>
      </w:r>
    </w:p>
    <w:p w14:paraId="7E55AA35" w14:textId="77777777" w:rsidR="006B51D0" w:rsidRDefault="006B51D0" w:rsidP="006B51D0"/>
    <w:p w14:paraId="610C70B9" w14:textId="77777777" w:rsidR="007D0F2B" w:rsidRDefault="007D0F2B" w:rsidP="007D0F2B"/>
    <w:p w14:paraId="354D4585" w14:textId="77777777" w:rsidR="007D0F2B" w:rsidRDefault="007D0F2B" w:rsidP="007D0F2B"/>
    <w:p w14:paraId="7070D0C3" w14:textId="77777777" w:rsidR="007D0F2B" w:rsidRDefault="007D0F2B" w:rsidP="007D0F2B"/>
    <w:p w14:paraId="3305B3B0" w14:textId="77777777" w:rsidR="007D0F2B" w:rsidRDefault="007D0F2B" w:rsidP="007D0F2B"/>
    <w:p w14:paraId="0873D87A" w14:textId="77777777" w:rsidR="006F5C86" w:rsidRDefault="006F5C86">
      <w:pPr>
        <w:rPr>
          <w:rFonts w:cstheme="minorHAnsi"/>
          <w:b/>
          <w:bCs/>
        </w:rPr>
      </w:pPr>
    </w:p>
    <w:p w14:paraId="27F678F2" w14:textId="77777777" w:rsidR="00637371" w:rsidRDefault="00637371">
      <w:pPr>
        <w:rPr>
          <w:rFonts w:cstheme="minorHAnsi"/>
          <w:b/>
          <w:bCs/>
        </w:rPr>
      </w:pPr>
    </w:p>
    <w:p w14:paraId="30FD3531" w14:textId="77777777" w:rsidR="00637371" w:rsidRDefault="00637371">
      <w:pPr>
        <w:rPr>
          <w:rFonts w:cstheme="minorHAnsi"/>
          <w:b/>
          <w:bCs/>
        </w:rPr>
      </w:pPr>
    </w:p>
    <w:p w14:paraId="19943798" w14:textId="77777777" w:rsidR="00637371" w:rsidRDefault="00637371">
      <w:pPr>
        <w:rPr>
          <w:rFonts w:cstheme="minorHAnsi"/>
          <w:b/>
          <w:bCs/>
        </w:rPr>
      </w:pPr>
    </w:p>
    <w:p w14:paraId="3A4F39F6" w14:textId="77777777" w:rsidR="00637371" w:rsidRDefault="00637371">
      <w:pPr>
        <w:rPr>
          <w:rFonts w:cstheme="minorHAnsi"/>
          <w:b/>
          <w:bCs/>
        </w:rPr>
      </w:pPr>
    </w:p>
    <w:p w14:paraId="00F65987" w14:textId="77777777" w:rsidR="00637371" w:rsidRDefault="00637371">
      <w:pPr>
        <w:rPr>
          <w:rFonts w:cstheme="minorHAnsi"/>
          <w:b/>
          <w:bCs/>
        </w:rPr>
      </w:pPr>
    </w:p>
    <w:p w14:paraId="4DD2E52A" w14:textId="77777777" w:rsidR="00637371" w:rsidRDefault="00637371">
      <w:pPr>
        <w:rPr>
          <w:rFonts w:cstheme="minorHAnsi"/>
          <w:b/>
          <w:bCs/>
        </w:rPr>
      </w:pPr>
    </w:p>
    <w:p w14:paraId="29128199" w14:textId="77777777" w:rsidR="00637371" w:rsidRDefault="00637371">
      <w:pPr>
        <w:rPr>
          <w:rFonts w:cstheme="minorHAnsi"/>
          <w:b/>
          <w:bCs/>
        </w:rPr>
      </w:pPr>
    </w:p>
    <w:p w14:paraId="6C8AFAC8" w14:textId="77777777" w:rsidR="00637371" w:rsidRDefault="00637371">
      <w:pPr>
        <w:rPr>
          <w:rFonts w:cstheme="minorHAnsi"/>
          <w:b/>
          <w:bCs/>
        </w:rPr>
      </w:pPr>
    </w:p>
    <w:p w14:paraId="6B78B641" w14:textId="77777777" w:rsidR="00637371" w:rsidRDefault="00637371">
      <w:pPr>
        <w:rPr>
          <w:rFonts w:cstheme="minorHAnsi"/>
          <w:b/>
          <w:bCs/>
        </w:rPr>
      </w:pPr>
    </w:p>
    <w:p w14:paraId="07A5043C" w14:textId="77777777" w:rsidR="00637371" w:rsidRDefault="00637371">
      <w:pPr>
        <w:rPr>
          <w:rFonts w:cstheme="minorHAnsi"/>
          <w:b/>
          <w:bCs/>
        </w:rPr>
      </w:pPr>
    </w:p>
    <w:p w14:paraId="3B822520" w14:textId="77777777" w:rsidR="00637371" w:rsidRDefault="00637371">
      <w:pPr>
        <w:rPr>
          <w:rFonts w:cstheme="minorHAnsi"/>
          <w:b/>
          <w:bCs/>
        </w:rPr>
      </w:pPr>
    </w:p>
    <w:p w14:paraId="2833FA38" w14:textId="77777777" w:rsidR="00637371" w:rsidRDefault="00637371">
      <w:pPr>
        <w:rPr>
          <w:rFonts w:cstheme="minorHAnsi"/>
          <w:b/>
          <w:bCs/>
        </w:rPr>
      </w:pPr>
    </w:p>
    <w:p w14:paraId="6775A507" w14:textId="77777777" w:rsidR="00637371" w:rsidRDefault="00637371">
      <w:pPr>
        <w:rPr>
          <w:rFonts w:cstheme="minorHAnsi"/>
          <w:b/>
          <w:bCs/>
        </w:rPr>
      </w:pPr>
    </w:p>
    <w:p w14:paraId="1EB7BA33" w14:textId="77777777" w:rsidR="00637371" w:rsidRDefault="00637371">
      <w:pPr>
        <w:rPr>
          <w:rFonts w:cstheme="minorHAnsi"/>
          <w:b/>
          <w:bCs/>
        </w:rPr>
      </w:pPr>
    </w:p>
    <w:p w14:paraId="33D31AB6" w14:textId="77777777" w:rsidR="00EA1C2B" w:rsidRDefault="00EA1C2B" w:rsidP="00EA1C2B">
      <w:pPr>
        <w:rPr>
          <w:rFonts w:cstheme="minorHAnsi"/>
          <w:b/>
          <w:bCs/>
        </w:rPr>
      </w:pPr>
      <w:r w:rsidRPr="00EA1C2B">
        <w:rPr>
          <w:rFonts w:cstheme="minorHAnsi"/>
          <w:b/>
          <w:bCs/>
        </w:rPr>
        <w:t>Online Repository Text: Figure Legends</w:t>
      </w:r>
    </w:p>
    <w:p w14:paraId="478FDB10" w14:textId="77777777" w:rsidR="00EA1C2B" w:rsidRPr="00EA1C2B" w:rsidRDefault="00EA1C2B" w:rsidP="00EA1C2B">
      <w:pPr>
        <w:rPr>
          <w:rFonts w:cstheme="minorHAnsi"/>
          <w:b/>
          <w:bCs/>
        </w:rPr>
      </w:pPr>
    </w:p>
    <w:p w14:paraId="44B47482" w14:textId="77777777" w:rsidR="00EA1C2B" w:rsidRPr="00EA1C2B" w:rsidRDefault="00EA1C2B" w:rsidP="00EA1C2B">
      <w:pPr>
        <w:rPr>
          <w:rFonts w:cstheme="minorHAnsi"/>
          <w:b/>
          <w:bCs/>
        </w:rPr>
      </w:pPr>
      <w:r w:rsidRPr="00EA1C2B">
        <w:rPr>
          <w:rFonts w:cstheme="minorHAnsi"/>
          <w:b/>
          <w:bCs/>
        </w:rPr>
        <w:t>Online Repository Figure E1: Flowchart of patients from the WATCH study that were included in our analysis</w:t>
      </w:r>
    </w:p>
    <w:p w14:paraId="035F89B9" w14:textId="77777777" w:rsidR="00637371" w:rsidRPr="006F5C86" w:rsidRDefault="00637371">
      <w:pPr>
        <w:rPr>
          <w:rFonts w:cstheme="minorHAnsi"/>
          <w:b/>
          <w:bCs/>
        </w:rPr>
      </w:pPr>
    </w:p>
    <w:sectPr w:rsidR="00637371" w:rsidRPr="006F5C86" w:rsidSect="003748A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1FB3" w14:textId="77777777" w:rsidR="0010159B" w:rsidRDefault="0010159B" w:rsidP="00425B04">
      <w:r>
        <w:separator/>
      </w:r>
    </w:p>
  </w:endnote>
  <w:endnote w:type="continuationSeparator" w:id="0">
    <w:p w14:paraId="125CF4A6" w14:textId="77777777" w:rsidR="0010159B" w:rsidRDefault="0010159B" w:rsidP="0042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0837" w14:textId="77777777" w:rsidR="0010159B" w:rsidRDefault="0010159B" w:rsidP="00425B04">
      <w:r>
        <w:separator/>
      </w:r>
    </w:p>
  </w:footnote>
  <w:footnote w:type="continuationSeparator" w:id="0">
    <w:p w14:paraId="5A567298" w14:textId="77777777" w:rsidR="0010159B" w:rsidRDefault="0010159B" w:rsidP="0042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F6D"/>
    <w:multiLevelType w:val="hybridMultilevel"/>
    <w:tmpl w:val="50A2D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955AC3"/>
    <w:multiLevelType w:val="hybridMultilevel"/>
    <w:tmpl w:val="427E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C1685"/>
    <w:multiLevelType w:val="hybridMultilevel"/>
    <w:tmpl w:val="75AA9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61216"/>
    <w:multiLevelType w:val="multilevel"/>
    <w:tmpl w:val="0870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95D4E"/>
    <w:multiLevelType w:val="hybridMultilevel"/>
    <w:tmpl w:val="3F10D5E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F65852"/>
    <w:multiLevelType w:val="hybridMultilevel"/>
    <w:tmpl w:val="AE267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D4DCE"/>
    <w:multiLevelType w:val="hybridMultilevel"/>
    <w:tmpl w:val="1EF27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57A3C"/>
    <w:multiLevelType w:val="hybridMultilevel"/>
    <w:tmpl w:val="AE267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61401"/>
    <w:multiLevelType w:val="hybridMultilevel"/>
    <w:tmpl w:val="E372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F57B7"/>
    <w:multiLevelType w:val="hybridMultilevel"/>
    <w:tmpl w:val="84040EE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581556BE"/>
    <w:multiLevelType w:val="hybridMultilevel"/>
    <w:tmpl w:val="1BB0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B4C65"/>
    <w:multiLevelType w:val="hybridMultilevel"/>
    <w:tmpl w:val="1F08C9FC"/>
    <w:lvl w:ilvl="0" w:tplc="D6B8D3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034BFD"/>
    <w:multiLevelType w:val="hybridMultilevel"/>
    <w:tmpl w:val="5FA46B32"/>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D2A3D"/>
    <w:multiLevelType w:val="hybridMultilevel"/>
    <w:tmpl w:val="3312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500085">
    <w:abstractNumId w:val="3"/>
  </w:num>
  <w:num w:numId="2" w16cid:durableId="1143813926">
    <w:abstractNumId w:val="0"/>
  </w:num>
  <w:num w:numId="3" w16cid:durableId="373039800">
    <w:abstractNumId w:val="5"/>
  </w:num>
  <w:num w:numId="4" w16cid:durableId="1066298826">
    <w:abstractNumId w:val="7"/>
  </w:num>
  <w:num w:numId="5" w16cid:durableId="1171607249">
    <w:abstractNumId w:val="9"/>
  </w:num>
  <w:num w:numId="6" w16cid:durableId="574359882">
    <w:abstractNumId w:val="1"/>
  </w:num>
  <w:num w:numId="7" w16cid:durableId="153844225">
    <w:abstractNumId w:val="6"/>
  </w:num>
  <w:num w:numId="8" w16cid:durableId="1681008875">
    <w:abstractNumId w:val="8"/>
  </w:num>
  <w:num w:numId="9" w16cid:durableId="1675373827">
    <w:abstractNumId w:val="2"/>
  </w:num>
  <w:num w:numId="10" w16cid:durableId="826438890">
    <w:abstractNumId w:val="12"/>
  </w:num>
  <w:num w:numId="11" w16cid:durableId="1822040889">
    <w:abstractNumId w:val="11"/>
  </w:num>
  <w:num w:numId="12" w16cid:durableId="1350719163">
    <w:abstractNumId w:val="13"/>
  </w:num>
  <w:num w:numId="13" w16cid:durableId="2137020930">
    <w:abstractNumId w:val="4"/>
  </w:num>
  <w:num w:numId="14" w16cid:durableId="1460805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wMjcxMjUzNTc1MjFS0lEKTi0uzszPAykwrgUAHRXosiwAAAA="/>
    <w:docVar w:name="EN.InstantFormat" w:val="&lt;ENInstantFormat&gt;&lt;Enabled&gt;1&lt;/Enabled&gt;&lt;ScanUnformatted&gt;1&lt;/ScanUnformatted&gt;&lt;ScanChanges&gt;1&lt;/ScanChanges&gt;&lt;Suspended&gt;0&lt;/Suspended&gt;&lt;/ENInstantFormat&gt;"/>
    <w:docVar w:name="EN.Layout" w:val="&lt;ENLayout&gt;&lt;Style&gt;AMA 11th  Copy&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epv0xtwrav0neadtqvr09250szt2szzs55&quot;&gt;My EndNote Library&lt;record-ids&gt;&lt;item&gt;73&lt;/item&gt;&lt;item&gt;81&lt;/item&gt;&lt;item&gt;94&lt;/item&gt;&lt;item&gt;96&lt;/item&gt;&lt;item&gt;103&lt;/item&gt;&lt;item&gt;104&lt;/item&gt;&lt;item&gt;117&lt;/item&gt;&lt;item&gt;118&lt;/item&gt;&lt;item&gt;120&lt;/item&gt;&lt;item&gt;126&lt;/item&gt;&lt;item&gt;368&lt;/item&gt;&lt;item&gt;386&lt;/item&gt;&lt;item&gt;388&lt;/item&gt;&lt;item&gt;391&lt;/item&gt;&lt;item&gt;597&lt;/item&gt;&lt;item&gt;607&lt;/item&gt;&lt;item&gt;608&lt;/item&gt;&lt;item&gt;609&lt;/item&gt;&lt;item&gt;614&lt;/item&gt;&lt;item&gt;615&lt;/item&gt;&lt;item&gt;616&lt;/item&gt;&lt;item&gt;620&lt;/item&gt;&lt;item&gt;621&lt;/item&gt;&lt;item&gt;622&lt;/item&gt;&lt;item&gt;623&lt;/item&gt;&lt;item&gt;634&lt;/item&gt;&lt;/record-ids&gt;&lt;/item&gt;&lt;/Libraries&gt;"/>
  </w:docVars>
  <w:rsids>
    <w:rsidRoot w:val="00D35173"/>
    <w:rsid w:val="000014A4"/>
    <w:rsid w:val="0000223E"/>
    <w:rsid w:val="00004908"/>
    <w:rsid w:val="00004F9A"/>
    <w:rsid w:val="000053F1"/>
    <w:rsid w:val="00010811"/>
    <w:rsid w:val="0001092C"/>
    <w:rsid w:val="0001396E"/>
    <w:rsid w:val="0001493E"/>
    <w:rsid w:val="00014E27"/>
    <w:rsid w:val="00015AF4"/>
    <w:rsid w:val="00015C86"/>
    <w:rsid w:val="00017B13"/>
    <w:rsid w:val="00020E23"/>
    <w:rsid w:val="00022726"/>
    <w:rsid w:val="00023289"/>
    <w:rsid w:val="000232E0"/>
    <w:rsid w:val="000246E2"/>
    <w:rsid w:val="000246EB"/>
    <w:rsid w:val="00027285"/>
    <w:rsid w:val="00027B3D"/>
    <w:rsid w:val="00027F73"/>
    <w:rsid w:val="0003320A"/>
    <w:rsid w:val="00035E61"/>
    <w:rsid w:val="00036835"/>
    <w:rsid w:val="00037C8A"/>
    <w:rsid w:val="00043FF1"/>
    <w:rsid w:val="00045F1D"/>
    <w:rsid w:val="0004691F"/>
    <w:rsid w:val="00046AB5"/>
    <w:rsid w:val="00050141"/>
    <w:rsid w:val="00050B16"/>
    <w:rsid w:val="0005147D"/>
    <w:rsid w:val="00054B80"/>
    <w:rsid w:val="00054F12"/>
    <w:rsid w:val="00056967"/>
    <w:rsid w:val="0006025D"/>
    <w:rsid w:val="00063561"/>
    <w:rsid w:val="000643FC"/>
    <w:rsid w:val="00064CA3"/>
    <w:rsid w:val="00064E3A"/>
    <w:rsid w:val="00067243"/>
    <w:rsid w:val="00067F05"/>
    <w:rsid w:val="0007331F"/>
    <w:rsid w:val="00075636"/>
    <w:rsid w:val="00076501"/>
    <w:rsid w:val="00080472"/>
    <w:rsid w:val="00081D15"/>
    <w:rsid w:val="00082BC5"/>
    <w:rsid w:val="00084B47"/>
    <w:rsid w:val="00085ADD"/>
    <w:rsid w:val="00086ABC"/>
    <w:rsid w:val="00087EA2"/>
    <w:rsid w:val="00087FBA"/>
    <w:rsid w:val="000904C2"/>
    <w:rsid w:val="00091F7F"/>
    <w:rsid w:val="00092211"/>
    <w:rsid w:val="000944D7"/>
    <w:rsid w:val="0009785A"/>
    <w:rsid w:val="000A0A99"/>
    <w:rsid w:val="000A3703"/>
    <w:rsid w:val="000A5EA2"/>
    <w:rsid w:val="000A6675"/>
    <w:rsid w:val="000A6D7E"/>
    <w:rsid w:val="000B142C"/>
    <w:rsid w:val="000B1743"/>
    <w:rsid w:val="000B1A84"/>
    <w:rsid w:val="000B3FCF"/>
    <w:rsid w:val="000B4001"/>
    <w:rsid w:val="000B5179"/>
    <w:rsid w:val="000B5E15"/>
    <w:rsid w:val="000B67C9"/>
    <w:rsid w:val="000B6A49"/>
    <w:rsid w:val="000B6F31"/>
    <w:rsid w:val="000B716B"/>
    <w:rsid w:val="000C3DC6"/>
    <w:rsid w:val="000D0167"/>
    <w:rsid w:val="000D0F0B"/>
    <w:rsid w:val="000D13A5"/>
    <w:rsid w:val="000D43BD"/>
    <w:rsid w:val="000D4583"/>
    <w:rsid w:val="000D5149"/>
    <w:rsid w:val="000E0200"/>
    <w:rsid w:val="000E1DAF"/>
    <w:rsid w:val="000E4E76"/>
    <w:rsid w:val="000E51D5"/>
    <w:rsid w:val="000E553F"/>
    <w:rsid w:val="000E5B3F"/>
    <w:rsid w:val="000E6FE2"/>
    <w:rsid w:val="000E7D9C"/>
    <w:rsid w:val="000F004C"/>
    <w:rsid w:val="000F0E68"/>
    <w:rsid w:val="000F212E"/>
    <w:rsid w:val="0010159B"/>
    <w:rsid w:val="00101CB4"/>
    <w:rsid w:val="00101DA8"/>
    <w:rsid w:val="00103EFE"/>
    <w:rsid w:val="00104B6A"/>
    <w:rsid w:val="00104BA3"/>
    <w:rsid w:val="00113535"/>
    <w:rsid w:val="001145F3"/>
    <w:rsid w:val="00117196"/>
    <w:rsid w:val="001171E1"/>
    <w:rsid w:val="00117FF8"/>
    <w:rsid w:val="00121C74"/>
    <w:rsid w:val="00121DA6"/>
    <w:rsid w:val="00125FCC"/>
    <w:rsid w:val="00127511"/>
    <w:rsid w:val="00127FFA"/>
    <w:rsid w:val="00131A7E"/>
    <w:rsid w:val="00131DA7"/>
    <w:rsid w:val="00134559"/>
    <w:rsid w:val="001345A9"/>
    <w:rsid w:val="00134718"/>
    <w:rsid w:val="001349BB"/>
    <w:rsid w:val="00136F13"/>
    <w:rsid w:val="00137E6A"/>
    <w:rsid w:val="001409B3"/>
    <w:rsid w:val="00144542"/>
    <w:rsid w:val="001449CC"/>
    <w:rsid w:val="00145F4D"/>
    <w:rsid w:val="001476EE"/>
    <w:rsid w:val="00150550"/>
    <w:rsid w:val="001519B7"/>
    <w:rsid w:val="00151D1A"/>
    <w:rsid w:val="00153441"/>
    <w:rsid w:val="00153F42"/>
    <w:rsid w:val="00154B37"/>
    <w:rsid w:val="00155616"/>
    <w:rsid w:val="00156299"/>
    <w:rsid w:val="001601BA"/>
    <w:rsid w:val="00160941"/>
    <w:rsid w:val="00160B46"/>
    <w:rsid w:val="00163141"/>
    <w:rsid w:val="00163E09"/>
    <w:rsid w:val="00163EBE"/>
    <w:rsid w:val="00165D63"/>
    <w:rsid w:val="00167952"/>
    <w:rsid w:val="001700E8"/>
    <w:rsid w:val="00170FDB"/>
    <w:rsid w:val="00172C0E"/>
    <w:rsid w:val="00172CC8"/>
    <w:rsid w:val="00174383"/>
    <w:rsid w:val="00174EEB"/>
    <w:rsid w:val="00176B61"/>
    <w:rsid w:val="00176E28"/>
    <w:rsid w:val="00177033"/>
    <w:rsid w:val="00177ED3"/>
    <w:rsid w:val="00180658"/>
    <w:rsid w:val="00181192"/>
    <w:rsid w:val="00181F4F"/>
    <w:rsid w:val="001837F4"/>
    <w:rsid w:val="00184731"/>
    <w:rsid w:val="00184FBA"/>
    <w:rsid w:val="0018534C"/>
    <w:rsid w:val="00186773"/>
    <w:rsid w:val="00187E04"/>
    <w:rsid w:val="00192886"/>
    <w:rsid w:val="00192CF6"/>
    <w:rsid w:val="001942D2"/>
    <w:rsid w:val="00194E77"/>
    <w:rsid w:val="0019513D"/>
    <w:rsid w:val="00195EFD"/>
    <w:rsid w:val="001A37A5"/>
    <w:rsid w:val="001B26F2"/>
    <w:rsid w:val="001B49C9"/>
    <w:rsid w:val="001B4A07"/>
    <w:rsid w:val="001B4B0E"/>
    <w:rsid w:val="001C0081"/>
    <w:rsid w:val="001C0D1D"/>
    <w:rsid w:val="001C250C"/>
    <w:rsid w:val="001C4730"/>
    <w:rsid w:val="001C54C1"/>
    <w:rsid w:val="001C6009"/>
    <w:rsid w:val="001C7E34"/>
    <w:rsid w:val="001D2953"/>
    <w:rsid w:val="001E46DC"/>
    <w:rsid w:val="001E5307"/>
    <w:rsid w:val="001E56D2"/>
    <w:rsid w:val="001E609C"/>
    <w:rsid w:val="001E6E41"/>
    <w:rsid w:val="001E7289"/>
    <w:rsid w:val="001E7F59"/>
    <w:rsid w:val="001F323C"/>
    <w:rsid w:val="001F61B4"/>
    <w:rsid w:val="001F698B"/>
    <w:rsid w:val="001F6AD9"/>
    <w:rsid w:val="001F7679"/>
    <w:rsid w:val="00201C50"/>
    <w:rsid w:val="002048C6"/>
    <w:rsid w:val="00204FC5"/>
    <w:rsid w:val="00205CB6"/>
    <w:rsid w:val="00207A0F"/>
    <w:rsid w:val="00207AD1"/>
    <w:rsid w:val="002108AA"/>
    <w:rsid w:val="00212001"/>
    <w:rsid w:val="002134FF"/>
    <w:rsid w:val="00215209"/>
    <w:rsid w:val="00215B58"/>
    <w:rsid w:val="0021631F"/>
    <w:rsid w:val="0021794A"/>
    <w:rsid w:val="00217D3A"/>
    <w:rsid w:val="002203E3"/>
    <w:rsid w:val="002211C2"/>
    <w:rsid w:val="0022143A"/>
    <w:rsid w:val="002229E8"/>
    <w:rsid w:val="002247AD"/>
    <w:rsid w:val="00225D42"/>
    <w:rsid w:val="002312AE"/>
    <w:rsid w:val="0023411D"/>
    <w:rsid w:val="0023568B"/>
    <w:rsid w:val="002363F7"/>
    <w:rsid w:val="00236714"/>
    <w:rsid w:val="002367AC"/>
    <w:rsid w:val="00237027"/>
    <w:rsid w:val="00240916"/>
    <w:rsid w:val="00240DC8"/>
    <w:rsid w:val="00241365"/>
    <w:rsid w:val="00242200"/>
    <w:rsid w:val="002457F5"/>
    <w:rsid w:val="002516A4"/>
    <w:rsid w:val="00251857"/>
    <w:rsid w:val="00251FA3"/>
    <w:rsid w:val="002520FE"/>
    <w:rsid w:val="00252106"/>
    <w:rsid w:val="00253D5A"/>
    <w:rsid w:val="00255D24"/>
    <w:rsid w:val="00257103"/>
    <w:rsid w:val="002572D6"/>
    <w:rsid w:val="00260E43"/>
    <w:rsid w:val="00263633"/>
    <w:rsid w:val="0026398F"/>
    <w:rsid w:val="00263F58"/>
    <w:rsid w:val="00266434"/>
    <w:rsid w:val="00267406"/>
    <w:rsid w:val="00270093"/>
    <w:rsid w:val="0027042B"/>
    <w:rsid w:val="0027347C"/>
    <w:rsid w:val="002753E8"/>
    <w:rsid w:val="002757F3"/>
    <w:rsid w:val="00275DDC"/>
    <w:rsid w:val="002764EE"/>
    <w:rsid w:val="00276626"/>
    <w:rsid w:val="00277CE4"/>
    <w:rsid w:val="0028198E"/>
    <w:rsid w:val="0028218C"/>
    <w:rsid w:val="002873E9"/>
    <w:rsid w:val="00287407"/>
    <w:rsid w:val="00290320"/>
    <w:rsid w:val="002922D5"/>
    <w:rsid w:val="00293F1C"/>
    <w:rsid w:val="002945B9"/>
    <w:rsid w:val="00294A0B"/>
    <w:rsid w:val="002962DC"/>
    <w:rsid w:val="00296371"/>
    <w:rsid w:val="00297872"/>
    <w:rsid w:val="002A159E"/>
    <w:rsid w:val="002A6AC5"/>
    <w:rsid w:val="002B1096"/>
    <w:rsid w:val="002B40DD"/>
    <w:rsid w:val="002B53E0"/>
    <w:rsid w:val="002B6A64"/>
    <w:rsid w:val="002C3389"/>
    <w:rsid w:val="002C447C"/>
    <w:rsid w:val="002C492E"/>
    <w:rsid w:val="002C67C0"/>
    <w:rsid w:val="002D09A7"/>
    <w:rsid w:val="002D20C4"/>
    <w:rsid w:val="002D3750"/>
    <w:rsid w:val="002D3B6A"/>
    <w:rsid w:val="002D3DE6"/>
    <w:rsid w:val="002D56EB"/>
    <w:rsid w:val="002D6C5B"/>
    <w:rsid w:val="002E04BB"/>
    <w:rsid w:val="002E21B3"/>
    <w:rsid w:val="002E27C7"/>
    <w:rsid w:val="002E3287"/>
    <w:rsid w:val="002E4494"/>
    <w:rsid w:val="002E64F2"/>
    <w:rsid w:val="002E709A"/>
    <w:rsid w:val="002F075B"/>
    <w:rsid w:val="002F24E3"/>
    <w:rsid w:val="002F46D2"/>
    <w:rsid w:val="002F4B64"/>
    <w:rsid w:val="002F5969"/>
    <w:rsid w:val="002F79A2"/>
    <w:rsid w:val="003004F3"/>
    <w:rsid w:val="003019C5"/>
    <w:rsid w:val="003065E9"/>
    <w:rsid w:val="003075B0"/>
    <w:rsid w:val="0031215C"/>
    <w:rsid w:val="003134D0"/>
    <w:rsid w:val="00313597"/>
    <w:rsid w:val="003168BF"/>
    <w:rsid w:val="003175D7"/>
    <w:rsid w:val="00323974"/>
    <w:rsid w:val="003244F0"/>
    <w:rsid w:val="0032547A"/>
    <w:rsid w:val="00327883"/>
    <w:rsid w:val="003279D2"/>
    <w:rsid w:val="00327E41"/>
    <w:rsid w:val="00330CE9"/>
    <w:rsid w:val="003410BD"/>
    <w:rsid w:val="0034311A"/>
    <w:rsid w:val="00343218"/>
    <w:rsid w:val="00344721"/>
    <w:rsid w:val="00344BE9"/>
    <w:rsid w:val="003462D9"/>
    <w:rsid w:val="003471D2"/>
    <w:rsid w:val="00347766"/>
    <w:rsid w:val="0034779D"/>
    <w:rsid w:val="00347957"/>
    <w:rsid w:val="003508E0"/>
    <w:rsid w:val="00350B6A"/>
    <w:rsid w:val="0035160F"/>
    <w:rsid w:val="0035314D"/>
    <w:rsid w:val="00353723"/>
    <w:rsid w:val="00356BEA"/>
    <w:rsid w:val="00357474"/>
    <w:rsid w:val="00361195"/>
    <w:rsid w:val="00361C5C"/>
    <w:rsid w:val="00361E0D"/>
    <w:rsid w:val="003632D5"/>
    <w:rsid w:val="00364073"/>
    <w:rsid w:val="003643FE"/>
    <w:rsid w:val="00364ABE"/>
    <w:rsid w:val="00365A34"/>
    <w:rsid w:val="00366DAA"/>
    <w:rsid w:val="00370985"/>
    <w:rsid w:val="0037125A"/>
    <w:rsid w:val="00372C93"/>
    <w:rsid w:val="00372E23"/>
    <w:rsid w:val="003736E2"/>
    <w:rsid w:val="003737BB"/>
    <w:rsid w:val="0037448B"/>
    <w:rsid w:val="003746B1"/>
    <w:rsid w:val="003748A6"/>
    <w:rsid w:val="003830F4"/>
    <w:rsid w:val="003838D6"/>
    <w:rsid w:val="00384406"/>
    <w:rsid w:val="00384C08"/>
    <w:rsid w:val="003907F2"/>
    <w:rsid w:val="003913C1"/>
    <w:rsid w:val="0039238F"/>
    <w:rsid w:val="00393A04"/>
    <w:rsid w:val="00396890"/>
    <w:rsid w:val="00396F53"/>
    <w:rsid w:val="00397173"/>
    <w:rsid w:val="003A260C"/>
    <w:rsid w:val="003A4291"/>
    <w:rsid w:val="003B16F8"/>
    <w:rsid w:val="003B2916"/>
    <w:rsid w:val="003B683A"/>
    <w:rsid w:val="003B6CDC"/>
    <w:rsid w:val="003B743D"/>
    <w:rsid w:val="003C1E54"/>
    <w:rsid w:val="003C24E0"/>
    <w:rsid w:val="003C2DA2"/>
    <w:rsid w:val="003C59F4"/>
    <w:rsid w:val="003D0937"/>
    <w:rsid w:val="003D0C3C"/>
    <w:rsid w:val="003D1FB8"/>
    <w:rsid w:val="003D23B9"/>
    <w:rsid w:val="003D25E4"/>
    <w:rsid w:val="003D3032"/>
    <w:rsid w:val="003D34B1"/>
    <w:rsid w:val="003D34B6"/>
    <w:rsid w:val="003D72A7"/>
    <w:rsid w:val="003E0173"/>
    <w:rsid w:val="003E0A35"/>
    <w:rsid w:val="003E1240"/>
    <w:rsid w:val="003E15B8"/>
    <w:rsid w:val="003E2B1C"/>
    <w:rsid w:val="003E34EA"/>
    <w:rsid w:val="003E3716"/>
    <w:rsid w:val="003E4217"/>
    <w:rsid w:val="003E54B5"/>
    <w:rsid w:val="003E72B6"/>
    <w:rsid w:val="003E783E"/>
    <w:rsid w:val="003E7935"/>
    <w:rsid w:val="003F0A4E"/>
    <w:rsid w:val="003F4006"/>
    <w:rsid w:val="003F5B5D"/>
    <w:rsid w:val="003F7575"/>
    <w:rsid w:val="003F7F63"/>
    <w:rsid w:val="00401297"/>
    <w:rsid w:val="00401949"/>
    <w:rsid w:val="00402775"/>
    <w:rsid w:val="00402776"/>
    <w:rsid w:val="00402DC2"/>
    <w:rsid w:val="00404192"/>
    <w:rsid w:val="00404686"/>
    <w:rsid w:val="00406405"/>
    <w:rsid w:val="004067F9"/>
    <w:rsid w:val="00410B09"/>
    <w:rsid w:val="00410D01"/>
    <w:rsid w:val="00410FAE"/>
    <w:rsid w:val="00411744"/>
    <w:rsid w:val="00412885"/>
    <w:rsid w:val="004135B0"/>
    <w:rsid w:val="0041397D"/>
    <w:rsid w:val="00414029"/>
    <w:rsid w:val="00415DDF"/>
    <w:rsid w:val="00415E86"/>
    <w:rsid w:val="00416446"/>
    <w:rsid w:val="004173E1"/>
    <w:rsid w:val="0042061A"/>
    <w:rsid w:val="00421986"/>
    <w:rsid w:val="00421D8F"/>
    <w:rsid w:val="0042294B"/>
    <w:rsid w:val="00424376"/>
    <w:rsid w:val="00424D76"/>
    <w:rsid w:val="00424DE3"/>
    <w:rsid w:val="00425B04"/>
    <w:rsid w:val="00427CFC"/>
    <w:rsid w:val="004315F3"/>
    <w:rsid w:val="00431BE4"/>
    <w:rsid w:val="00435EED"/>
    <w:rsid w:val="0043643C"/>
    <w:rsid w:val="00436FDF"/>
    <w:rsid w:val="004379D2"/>
    <w:rsid w:val="00440620"/>
    <w:rsid w:val="004430F3"/>
    <w:rsid w:val="004446D5"/>
    <w:rsid w:val="00447F0E"/>
    <w:rsid w:val="0045091A"/>
    <w:rsid w:val="004537BD"/>
    <w:rsid w:val="00453C81"/>
    <w:rsid w:val="004547B9"/>
    <w:rsid w:val="00454FDF"/>
    <w:rsid w:val="00457E74"/>
    <w:rsid w:val="00460650"/>
    <w:rsid w:val="00460CED"/>
    <w:rsid w:val="004642BB"/>
    <w:rsid w:val="004650E5"/>
    <w:rsid w:val="004659C9"/>
    <w:rsid w:val="004679AF"/>
    <w:rsid w:val="00467F41"/>
    <w:rsid w:val="00470F33"/>
    <w:rsid w:val="00472340"/>
    <w:rsid w:val="00477117"/>
    <w:rsid w:val="0047785E"/>
    <w:rsid w:val="004778C1"/>
    <w:rsid w:val="00477E91"/>
    <w:rsid w:val="0048218B"/>
    <w:rsid w:val="00484FB4"/>
    <w:rsid w:val="00485AE2"/>
    <w:rsid w:val="004866C9"/>
    <w:rsid w:val="004910D8"/>
    <w:rsid w:val="0049192F"/>
    <w:rsid w:val="0049262D"/>
    <w:rsid w:val="004933DA"/>
    <w:rsid w:val="00493BBB"/>
    <w:rsid w:val="00494D38"/>
    <w:rsid w:val="004967F9"/>
    <w:rsid w:val="00496AA6"/>
    <w:rsid w:val="00497C76"/>
    <w:rsid w:val="004A0A42"/>
    <w:rsid w:val="004A3405"/>
    <w:rsid w:val="004A3BF5"/>
    <w:rsid w:val="004A4E77"/>
    <w:rsid w:val="004A5452"/>
    <w:rsid w:val="004A6DBF"/>
    <w:rsid w:val="004A716D"/>
    <w:rsid w:val="004A7FB4"/>
    <w:rsid w:val="004B0458"/>
    <w:rsid w:val="004B0A0A"/>
    <w:rsid w:val="004B0B84"/>
    <w:rsid w:val="004B0CA6"/>
    <w:rsid w:val="004B0D31"/>
    <w:rsid w:val="004B1370"/>
    <w:rsid w:val="004B4F93"/>
    <w:rsid w:val="004B5649"/>
    <w:rsid w:val="004B6456"/>
    <w:rsid w:val="004B70A5"/>
    <w:rsid w:val="004C000D"/>
    <w:rsid w:val="004C03F6"/>
    <w:rsid w:val="004C07C4"/>
    <w:rsid w:val="004C1662"/>
    <w:rsid w:val="004C2F61"/>
    <w:rsid w:val="004C5199"/>
    <w:rsid w:val="004C760C"/>
    <w:rsid w:val="004D066A"/>
    <w:rsid w:val="004D1395"/>
    <w:rsid w:val="004D2BB7"/>
    <w:rsid w:val="004D5C45"/>
    <w:rsid w:val="004E0FAF"/>
    <w:rsid w:val="004E38E3"/>
    <w:rsid w:val="004E5357"/>
    <w:rsid w:val="004E5E68"/>
    <w:rsid w:val="004F15D1"/>
    <w:rsid w:val="004F23CF"/>
    <w:rsid w:val="004F303F"/>
    <w:rsid w:val="004F3292"/>
    <w:rsid w:val="004F3C2A"/>
    <w:rsid w:val="004F6342"/>
    <w:rsid w:val="004F64C5"/>
    <w:rsid w:val="005010EE"/>
    <w:rsid w:val="00504CC3"/>
    <w:rsid w:val="00510190"/>
    <w:rsid w:val="0051039A"/>
    <w:rsid w:val="005106E7"/>
    <w:rsid w:val="00513093"/>
    <w:rsid w:val="005165A4"/>
    <w:rsid w:val="00516FC5"/>
    <w:rsid w:val="00520C50"/>
    <w:rsid w:val="00521E9D"/>
    <w:rsid w:val="005234E2"/>
    <w:rsid w:val="00524E96"/>
    <w:rsid w:val="005318A9"/>
    <w:rsid w:val="0053385B"/>
    <w:rsid w:val="00533938"/>
    <w:rsid w:val="0053395A"/>
    <w:rsid w:val="005339A4"/>
    <w:rsid w:val="00535DC6"/>
    <w:rsid w:val="0053706F"/>
    <w:rsid w:val="00537817"/>
    <w:rsid w:val="0053786D"/>
    <w:rsid w:val="00540EE4"/>
    <w:rsid w:val="0054115E"/>
    <w:rsid w:val="00542530"/>
    <w:rsid w:val="00542F2F"/>
    <w:rsid w:val="005440D1"/>
    <w:rsid w:val="0054489D"/>
    <w:rsid w:val="005463C0"/>
    <w:rsid w:val="00546781"/>
    <w:rsid w:val="0054757B"/>
    <w:rsid w:val="0055085A"/>
    <w:rsid w:val="005519E8"/>
    <w:rsid w:val="00551A09"/>
    <w:rsid w:val="0055370A"/>
    <w:rsid w:val="00555327"/>
    <w:rsid w:val="00555D33"/>
    <w:rsid w:val="0056165B"/>
    <w:rsid w:val="005622CC"/>
    <w:rsid w:val="005650F0"/>
    <w:rsid w:val="00565651"/>
    <w:rsid w:val="0056608A"/>
    <w:rsid w:val="00570B12"/>
    <w:rsid w:val="00571BFA"/>
    <w:rsid w:val="00571FA0"/>
    <w:rsid w:val="005743D2"/>
    <w:rsid w:val="00575590"/>
    <w:rsid w:val="00576155"/>
    <w:rsid w:val="005764D9"/>
    <w:rsid w:val="00576682"/>
    <w:rsid w:val="0057774E"/>
    <w:rsid w:val="0058106B"/>
    <w:rsid w:val="00581FC5"/>
    <w:rsid w:val="00583931"/>
    <w:rsid w:val="00583E49"/>
    <w:rsid w:val="00584879"/>
    <w:rsid w:val="0058550C"/>
    <w:rsid w:val="00587471"/>
    <w:rsid w:val="00590260"/>
    <w:rsid w:val="0059152C"/>
    <w:rsid w:val="00592DF5"/>
    <w:rsid w:val="005932B7"/>
    <w:rsid w:val="005945EF"/>
    <w:rsid w:val="00595E09"/>
    <w:rsid w:val="005962D8"/>
    <w:rsid w:val="005971CB"/>
    <w:rsid w:val="005A0274"/>
    <w:rsid w:val="005A2518"/>
    <w:rsid w:val="005A5F66"/>
    <w:rsid w:val="005A61E6"/>
    <w:rsid w:val="005A78C5"/>
    <w:rsid w:val="005B2876"/>
    <w:rsid w:val="005C1878"/>
    <w:rsid w:val="005C1A06"/>
    <w:rsid w:val="005C4113"/>
    <w:rsid w:val="005C48DD"/>
    <w:rsid w:val="005C491B"/>
    <w:rsid w:val="005C4F3D"/>
    <w:rsid w:val="005C59BC"/>
    <w:rsid w:val="005C63C3"/>
    <w:rsid w:val="005C6D06"/>
    <w:rsid w:val="005C7457"/>
    <w:rsid w:val="005D0C88"/>
    <w:rsid w:val="005D3825"/>
    <w:rsid w:val="005D3DFD"/>
    <w:rsid w:val="005D4BF6"/>
    <w:rsid w:val="005D4E1D"/>
    <w:rsid w:val="005D549C"/>
    <w:rsid w:val="005D6A45"/>
    <w:rsid w:val="005D7428"/>
    <w:rsid w:val="005D7F37"/>
    <w:rsid w:val="005E030E"/>
    <w:rsid w:val="005E183A"/>
    <w:rsid w:val="005E2767"/>
    <w:rsid w:val="005E3533"/>
    <w:rsid w:val="005E3C99"/>
    <w:rsid w:val="005E408C"/>
    <w:rsid w:val="005E4265"/>
    <w:rsid w:val="005E7A8D"/>
    <w:rsid w:val="005E7B9F"/>
    <w:rsid w:val="005F0A1B"/>
    <w:rsid w:val="005F1CC0"/>
    <w:rsid w:val="005F1DCE"/>
    <w:rsid w:val="005F2AA4"/>
    <w:rsid w:val="005F2B16"/>
    <w:rsid w:val="005F68D3"/>
    <w:rsid w:val="005F6FF6"/>
    <w:rsid w:val="005F7150"/>
    <w:rsid w:val="00600D3E"/>
    <w:rsid w:val="00603DA9"/>
    <w:rsid w:val="00603F5B"/>
    <w:rsid w:val="006041A4"/>
    <w:rsid w:val="00604504"/>
    <w:rsid w:val="006048CA"/>
    <w:rsid w:val="006049AB"/>
    <w:rsid w:val="00604BBA"/>
    <w:rsid w:val="00604F66"/>
    <w:rsid w:val="00605E62"/>
    <w:rsid w:val="0060681A"/>
    <w:rsid w:val="00610DA5"/>
    <w:rsid w:val="00610F18"/>
    <w:rsid w:val="00613AA0"/>
    <w:rsid w:val="006143DD"/>
    <w:rsid w:val="006147A9"/>
    <w:rsid w:val="006233E3"/>
    <w:rsid w:val="00624C39"/>
    <w:rsid w:val="00627CF3"/>
    <w:rsid w:val="00631547"/>
    <w:rsid w:val="00631696"/>
    <w:rsid w:val="006339CF"/>
    <w:rsid w:val="00633D66"/>
    <w:rsid w:val="00634DA6"/>
    <w:rsid w:val="00636195"/>
    <w:rsid w:val="00637038"/>
    <w:rsid w:val="00637371"/>
    <w:rsid w:val="00637B65"/>
    <w:rsid w:val="00637E2C"/>
    <w:rsid w:val="00640E20"/>
    <w:rsid w:val="00641335"/>
    <w:rsid w:val="0064415E"/>
    <w:rsid w:val="00644F71"/>
    <w:rsid w:val="00645D98"/>
    <w:rsid w:val="00647F39"/>
    <w:rsid w:val="00650C14"/>
    <w:rsid w:val="00651ABE"/>
    <w:rsid w:val="006540FF"/>
    <w:rsid w:val="0065415D"/>
    <w:rsid w:val="00657812"/>
    <w:rsid w:val="00662450"/>
    <w:rsid w:val="006626C4"/>
    <w:rsid w:val="006634C4"/>
    <w:rsid w:val="00664353"/>
    <w:rsid w:val="00664553"/>
    <w:rsid w:val="006671BE"/>
    <w:rsid w:val="00671E1A"/>
    <w:rsid w:val="00672E2A"/>
    <w:rsid w:val="0067345A"/>
    <w:rsid w:val="006744AB"/>
    <w:rsid w:val="00674D85"/>
    <w:rsid w:val="00676371"/>
    <w:rsid w:val="00676C72"/>
    <w:rsid w:val="00677407"/>
    <w:rsid w:val="00677AF3"/>
    <w:rsid w:val="00680FD7"/>
    <w:rsid w:val="00681B8C"/>
    <w:rsid w:val="00682CDF"/>
    <w:rsid w:val="00684FAB"/>
    <w:rsid w:val="00685964"/>
    <w:rsid w:val="00686259"/>
    <w:rsid w:val="006874D6"/>
    <w:rsid w:val="00693D35"/>
    <w:rsid w:val="0069415F"/>
    <w:rsid w:val="006942EB"/>
    <w:rsid w:val="00694986"/>
    <w:rsid w:val="00694BB9"/>
    <w:rsid w:val="0069556C"/>
    <w:rsid w:val="006A003C"/>
    <w:rsid w:val="006A2A44"/>
    <w:rsid w:val="006A56BD"/>
    <w:rsid w:val="006A5906"/>
    <w:rsid w:val="006B08B8"/>
    <w:rsid w:val="006B291F"/>
    <w:rsid w:val="006B40C4"/>
    <w:rsid w:val="006B42D7"/>
    <w:rsid w:val="006B50BF"/>
    <w:rsid w:val="006B51D0"/>
    <w:rsid w:val="006B57DE"/>
    <w:rsid w:val="006B599A"/>
    <w:rsid w:val="006B74FE"/>
    <w:rsid w:val="006C1087"/>
    <w:rsid w:val="006C2E1B"/>
    <w:rsid w:val="006C418C"/>
    <w:rsid w:val="006C57F6"/>
    <w:rsid w:val="006C7642"/>
    <w:rsid w:val="006D035B"/>
    <w:rsid w:val="006D0723"/>
    <w:rsid w:val="006D09BD"/>
    <w:rsid w:val="006D0CF4"/>
    <w:rsid w:val="006D2A5E"/>
    <w:rsid w:val="006D2D8D"/>
    <w:rsid w:val="006D320D"/>
    <w:rsid w:val="006D4F1A"/>
    <w:rsid w:val="006D62EC"/>
    <w:rsid w:val="006D7750"/>
    <w:rsid w:val="006E44D0"/>
    <w:rsid w:val="006E45EB"/>
    <w:rsid w:val="006E5832"/>
    <w:rsid w:val="006E640D"/>
    <w:rsid w:val="006E7376"/>
    <w:rsid w:val="006F1ABF"/>
    <w:rsid w:val="006F1CF0"/>
    <w:rsid w:val="006F35D9"/>
    <w:rsid w:val="006F5C86"/>
    <w:rsid w:val="0070074F"/>
    <w:rsid w:val="0070148B"/>
    <w:rsid w:val="00701FBF"/>
    <w:rsid w:val="0070316F"/>
    <w:rsid w:val="0070436E"/>
    <w:rsid w:val="00704D3F"/>
    <w:rsid w:val="00706F92"/>
    <w:rsid w:val="00710F10"/>
    <w:rsid w:val="00712E7B"/>
    <w:rsid w:val="007133D4"/>
    <w:rsid w:val="00715CC6"/>
    <w:rsid w:val="00715EC5"/>
    <w:rsid w:val="00716EC9"/>
    <w:rsid w:val="00717555"/>
    <w:rsid w:val="00720DEB"/>
    <w:rsid w:val="00721002"/>
    <w:rsid w:val="007221D2"/>
    <w:rsid w:val="00722CF4"/>
    <w:rsid w:val="007230B0"/>
    <w:rsid w:val="00723CD4"/>
    <w:rsid w:val="007242F6"/>
    <w:rsid w:val="0072430E"/>
    <w:rsid w:val="00727553"/>
    <w:rsid w:val="007302E0"/>
    <w:rsid w:val="007322A5"/>
    <w:rsid w:val="007366AF"/>
    <w:rsid w:val="0073682C"/>
    <w:rsid w:val="0073711A"/>
    <w:rsid w:val="0074009C"/>
    <w:rsid w:val="00740F8B"/>
    <w:rsid w:val="00741656"/>
    <w:rsid w:val="0074226B"/>
    <w:rsid w:val="007425A1"/>
    <w:rsid w:val="00742C87"/>
    <w:rsid w:val="00744BAD"/>
    <w:rsid w:val="007458E4"/>
    <w:rsid w:val="007465F5"/>
    <w:rsid w:val="00747E0C"/>
    <w:rsid w:val="007503EE"/>
    <w:rsid w:val="0075209C"/>
    <w:rsid w:val="00752B11"/>
    <w:rsid w:val="00752F7B"/>
    <w:rsid w:val="00753161"/>
    <w:rsid w:val="0075390B"/>
    <w:rsid w:val="0075492C"/>
    <w:rsid w:val="0075743A"/>
    <w:rsid w:val="00761235"/>
    <w:rsid w:val="00762AA5"/>
    <w:rsid w:val="00764198"/>
    <w:rsid w:val="0076759D"/>
    <w:rsid w:val="007712C9"/>
    <w:rsid w:val="00771C3E"/>
    <w:rsid w:val="00772E5F"/>
    <w:rsid w:val="00776689"/>
    <w:rsid w:val="00776863"/>
    <w:rsid w:val="00780D78"/>
    <w:rsid w:val="00781F09"/>
    <w:rsid w:val="00784142"/>
    <w:rsid w:val="00785D76"/>
    <w:rsid w:val="00787B7C"/>
    <w:rsid w:val="00787DCE"/>
    <w:rsid w:val="00791CB7"/>
    <w:rsid w:val="00792C67"/>
    <w:rsid w:val="00793C85"/>
    <w:rsid w:val="007944FE"/>
    <w:rsid w:val="00794830"/>
    <w:rsid w:val="00796E71"/>
    <w:rsid w:val="007A29DE"/>
    <w:rsid w:val="007A37EA"/>
    <w:rsid w:val="007A3FE7"/>
    <w:rsid w:val="007A5931"/>
    <w:rsid w:val="007A729F"/>
    <w:rsid w:val="007B0D1D"/>
    <w:rsid w:val="007B3CFA"/>
    <w:rsid w:val="007B487A"/>
    <w:rsid w:val="007B48C2"/>
    <w:rsid w:val="007B4A94"/>
    <w:rsid w:val="007B762A"/>
    <w:rsid w:val="007C1180"/>
    <w:rsid w:val="007C1880"/>
    <w:rsid w:val="007C52F3"/>
    <w:rsid w:val="007C64B3"/>
    <w:rsid w:val="007D0F2B"/>
    <w:rsid w:val="007D37BE"/>
    <w:rsid w:val="007D4470"/>
    <w:rsid w:val="007D5464"/>
    <w:rsid w:val="007D6CA5"/>
    <w:rsid w:val="007E00A4"/>
    <w:rsid w:val="007E082D"/>
    <w:rsid w:val="007E182E"/>
    <w:rsid w:val="007E219D"/>
    <w:rsid w:val="007E3408"/>
    <w:rsid w:val="007E465E"/>
    <w:rsid w:val="007E589F"/>
    <w:rsid w:val="007F2369"/>
    <w:rsid w:val="007F2F87"/>
    <w:rsid w:val="007F377D"/>
    <w:rsid w:val="007F3DCD"/>
    <w:rsid w:val="007F6A0F"/>
    <w:rsid w:val="007F74EC"/>
    <w:rsid w:val="00801BF2"/>
    <w:rsid w:val="00801DED"/>
    <w:rsid w:val="00803729"/>
    <w:rsid w:val="00804E27"/>
    <w:rsid w:val="00806430"/>
    <w:rsid w:val="00811D41"/>
    <w:rsid w:val="0081341F"/>
    <w:rsid w:val="00813D28"/>
    <w:rsid w:val="0081440C"/>
    <w:rsid w:val="008210F5"/>
    <w:rsid w:val="00821D16"/>
    <w:rsid w:val="0082269F"/>
    <w:rsid w:val="00823D0C"/>
    <w:rsid w:val="008244D8"/>
    <w:rsid w:val="008267F7"/>
    <w:rsid w:val="0083196D"/>
    <w:rsid w:val="0083339B"/>
    <w:rsid w:val="0083503E"/>
    <w:rsid w:val="00835AC3"/>
    <w:rsid w:val="00836D28"/>
    <w:rsid w:val="0084091D"/>
    <w:rsid w:val="00844DD7"/>
    <w:rsid w:val="00846019"/>
    <w:rsid w:val="00846058"/>
    <w:rsid w:val="00846347"/>
    <w:rsid w:val="00847D66"/>
    <w:rsid w:val="00852517"/>
    <w:rsid w:val="008525D4"/>
    <w:rsid w:val="00852925"/>
    <w:rsid w:val="00852A88"/>
    <w:rsid w:val="00853EF6"/>
    <w:rsid w:val="008604CA"/>
    <w:rsid w:val="008606A2"/>
    <w:rsid w:val="00861F00"/>
    <w:rsid w:val="00861F4C"/>
    <w:rsid w:val="00862C05"/>
    <w:rsid w:val="00864FFF"/>
    <w:rsid w:val="00866F56"/>
    <w:rsid w:val="00870827"/>
    <w:rsid w:val="0087232D"/>
    <w:rsid w:val="008736A2"/>
    <w:rsid w:val="00873F1C"/>
    <w:rsid w:val="008767A5"/>
    <w:rsid w:val="008803D1"/>
    <w:rsid w:val="008811C4"/>
    <w:rsid w:val="00882660"/>
    <w:rsid w:val="00882D43"/>
    <w:rsid w:val="008831ED"/>
    <w:rsid w:val="008849FE"/>
    <w:rsid w:val="00885EAB"/>
    <w:rsid w:val="00885F17"/>
    <w:rsid w:val="00893ADA"/>
    <w:rsid w:val="008A57D8"/>
    <w:rsid w:val="008A63B2"/>
    <w:rsid w:val="008A6DEC"/>
    <w:rsid w:val="008A7432"/>
    <w:rsid w:val="008B0F20"/>
    <w:rsid w:val="008B5AB3"/>
    <w:rsid w:val="008B791E"/>
    <w:rsid w:val="008B79F5"/>
    <w:rsid w:val="008C1251"/>
    <w:rsid w:val="008C1659"/>
    <w:rsid w:val="008C5DA4"/>
    <w:rsid w:val="008C6FC2"/>
    <w:rsid w:val="008D1154"/>
    <w:rsid w:val="008D1B3E"/>
    <w:rsid w:val="008D1CA2"/>
    <w:rsid w:val="008D1EE4"/>
    <w:rsid w:val="008D2979"/>
    <w:rsid w:val="008D4F77"/>
    <w:rsid w:val="008D546C"/>
    <w:rsid w:val="008D7925"/>
    <w:rsid w:val="008E0AC1"/>
    <w:rsid w:val="008E0EF2"/>
    <w:rsid w:val="008E1665"/>
    <w:rsid w:val="008E1F59"/>
    <w:rsid w:val="008E37EC"/>
    <w:rsid w:val="008E51D8"/>
    <w:rsid w:val="008E527F"/>
    <w:rsid w:val="008E6BDD"/>
    <w:rsid w:val="008F074E"/>
    <w:rsid w:val="008F164A"/>
    <w:rsid w:val="008F1C2C"/>
    <w:rsid w:val="008F3B95"/>
    <w:rsid w:val="008F5D7B"/>
    <w:rsid w:val="008F60F3"/>
    <w:rsid w:val="008F6543"/>
    <w:rsid w:val="009008BB"/>
    <w:rsid w:val="00900FC0"/>
    <w:rsid w:val="00910EF3"/>
    <w:rsid w:val="00914384"/>
    <w:rsid w:val="009158CE"/>
    <w:rsid w:val="00921B91"/>
    <w:rsid w:val="00923CBB"/>
    <w:rsid w:val="00925485"/>
    <w:rsid w:val="00925FE5"/>
    <w:rsid w:val="00926603"/>
    <w:rsid w:val="009321AB"/>
    <w:rsid w:val="00932C17"/>
    <w:rsid w:val="00933286"/>
    <w:rsid w:val="009351D5"/>
    <w:rsid w:val="00937DA4"/>
    <w:rsid w:val="00944C8B"/>
    <w:rsid w:val="00945659"/>
    <w:rsid w:val="00946C47"/>
    <w:rsid w:val="009471DA"/>
    <w:rsid w:val="00947615"/>
    <w:rsid w:val="009503BC"/>
    <w:rsid w:val="009513E0"/>
    <w:rsid w:val="00952A77"/>
    <w:rsid w:val="00954F0C"/>
    <w:rsid w:val="0096028C"/>
    <w:rsid w:val="009603CB"/>
    <w:rsid w:val="00961F87"/>
    <w:rsid w:val="00962628"/>
    <w:rsid w:val="009628A0"/>
    <w:rsid w:val="00963F8A"/>
    <w:rsid w:val="009645EA"/>
    <w:rsid w:val="00966609"/>
    <w:rsid w:val="00971E8C"/>
    <w:rsid w:val="00973BBC"/>
    <w:rsid w:val="00974AEE"/>
    <w:rsid w:val="0098065D"/>
    <w:rsid w:val="00980FD0"/>
    <w:rsid w:val="009811F9"/>
    <w:rsid w:val="0098196F"/>
    <w:rsid w:val="009825D1"/>
    <w:rsid w:val="00983774"/>
    <w:rsid w:val="00986C95"/>
    <w:rsid w:val="00992134"/>
    <w:rsid w:val="00995143"/>
    <w:rsid w:val="00995A18"/>
    <w:rsid w:val="009966D1"/>
    <w:rsid w:val="009A1FF4"/>
    <w:rsid w:val="009A244A"/>
    <w:rsid w:val="009A26EC"/>
    <w:rsid w:val="009A319C"/>
    <w:rsid w:val="009A3CC3"/>
    <w:rsid w:val="009A49F9"/>
    <w:rsid w:val="009A71C7"/>
    <w:rsid w:val="009A71E4"/>
    <w:rsid w:val="009A752A"/>
    <w:rsid w:val="009A7B5A"/>
    <w:rsid w:val="009B24E8"/>
    <w:rsid w:val="009B2805"/>
    <w:rsid w:val="009B3F46"/>
    <w:rsid w:val="009B4C15"/>
    <w:rsid w:val="009B4CD7"/>
    <w:rsid w:val="009B4F17"/>
    <w:rsid w:val="009C1288"/>
    <w:rsid w:val="009C2CDA"/>
    <w:rsid w:val="009C2D4D"/>
    <w:rsid w:val="009C2DB6"/>
    <w:rsid w:val="009C4BE2"/>
    <w:rsid w:val="009C528E"/>
    <w:rsid w:val="009C7BE8"/>
    <w:rsid w:val="009C7DA7"/>
    <w:rsid w:val="009D23A8"/>
    <w:rsid w:val="009D2AB9"/>
    <w:rsid w:val="009D2DDD"/>
    <w:rsid w:val="009D5371"/>
    <w:rsid w:val="009D5C38"/>
    <w:rsid w:val="009E3FD7"/>
    <w:rsid w:val="009E400C"/>
    <w:rsid w:val="009E4AA9"/>
    <w:rsid w:val="009E5F99"/>
    <w:rsid w:val="009E6C02"/>
    <w:rsid w:val="009E741B"/>
    <w:rsid w:val="009F04AD"/>
    <w:rsid w:val="009F1075"/>
    <w:rsid w:val="009F3E9E"/>
    <w:rsid w:val="009F444E"/>
    <w:rsid w:val="009F6983"/>
    <w:rsid w:val="00A00B28"/>
    <w:rsid w:val="00A067FC"/>
    <w:rsid w:val="00A0755A"/>
    <w:rsid w:val="00A11E0C"/>
    <w:rsid w:val="00A13B9A"/>
    <w:rsid w:val="00A14CE5"/>
    <w:rsid w:val="00A20EA4"/>
    <w:rsid w:val="00A219C3"/>
    <w:rsid w:val="00A2311F"/>
    <w:rsid w:val="00A2319E"/>
    <w:rsid w:val="00A236F4"/>
    <w:rsid w:val="00A23CDE"/>
    <w:rsid w:val="00A27704"/>
    <w:rsid w:val="00A27940"/>
    <w:rsid w:val="00A307FC"/>
    <w:rsid w:val="00A3309C"/>
    <w:rsid w:val="00A36317"/>
    <w:rsid w:val="00A36562"/>
    <w:rsid w:val="00A36E65"/>
    <w:rsid w:val="00A37CA2"/>
    <w:rsid w:val="00A42D0E"/>
    <w:rsid w:val="00A436E5"/>
    <w:rsid w:val="00A44F73"/>
    <w:rsid w:val="00A453EA"/>
    <w:rsid w:val="00A46A23"/>
    <w:rsid w:val="00A479F2"/>
    <w:rsid w:val="00A50C9C"/>
    <w:rsid w:val="00A51539"/>
    <w:rsid w:val="00A521DE"/>
    <w:rsid w:val="00A5302F"/>
    <w:rsid w:val="00A55F0D"/>
    <w:rsid w:val="00A5615F"/>
    <w:rsid w:val="00A56BE5"/>
    <w:rsid w:val="00A601B0"/>
    <w:rsid w:val="00A60DD1"/>
    <w:rsid w:val="00A619D0"/>
    <w:rsid w:val="00A61D6B"/>
    <w:rsid w:val="00A62A3E"/>
    <w:rsid w:val="00A63931"/>
    <w:rsid w:val="00A63A7B"/>
    <w:rsid w:val="00A64837"/>
    <w:rsid w:val="00A64E98"/>
    <w:rsid w:val="00A650DB"/>
    <w:rsid w:val="00A65FE8"/>
    <w:rsid w:val="00A7126C"/>
    <w:rsid w:val="00A71BB1"/>
    <w:rsid w:val="00A72DD4"/>
    <w:rsid w:val="00A75A53"/>
    <w:rsid w:val="00A76A6F"/>
    <w:rsid w:val="00A80604"/>
    <w:rsid w:val="00A8104A"/>
    <w:rsid w:val="00A81C2C"/>
    <w:rsid w:val="00A83588"/>
    <w:rsid w:val="00A90FA5"/>
    <w:rsid w:val="00A925AE"/>
    <w:rsid w:val="00A93442"/>
    <w:rsid w:val="00A93813"/>
    <w:rsid w:val="00A939ED"/>
    <w:rsid w:val="00A946ED"/>
    <w:rsid w:val="00A9568C"/>
    <w:rsid w:val="00A9729B"/>
    <w:rsid w:val="00A97A09"/>
    <w:rsid w:val="00A97D3F"/>
    <w:rsid w:val="00AA1259"/>
    <w:rsid w:val="00AA2CCD"/>
    <w:rsid w:val="00AA4395"/>
    <w:rsid w:val="00AB0478"/>
    <w:rsid w:val="00AB45BB"/>
    <w:rsid w:val="00AB5932"/>
    <w:rsid w:val="00AC0396"/>
    <w:rsid w:val="00AC039B"/>
    <w:rsid w:val="00AC19B1"/>
    <w:rsid w:val="00AC2AA0"/>
    <w:rsid w:val="00AC4174"/>
    <w:rsid w:val="00AC5099"/>
    <w:rsid w:val="00AC53F8"/>
    <w:rsid w:val="00AC6C0A"/>
    <w:rsid w:val="00AC6F12"/>
    <w:rsid w:val="00AD31D6"/>
    <w:rsid w:val="00AD4FE0"/>
    <w:rsid w:val="00AD50CD"/>
    <w:rsid w:val="00AE392A"/>
    <w:rsid w:val="00AE706D"/>
    <w:rsid w:val="00AF0455"/>
    <w:rsid w:val="00AF0F1A"/>
    <w:rsid w:val="00AF306F"/>
    <w:rsid w:val="00AF3CB5"/>
    <w:rsid w:val="00AF3DB1"/>
    <w:rsid w:val="00AF74FD"/>
    <w:rsid w:val="00AF75BA"/>
    <w:rsid w:val="00B020DB"/>
    <w:rsid w:val="00B034DA"/>
    <w:rsid w:val="00B0667C"/>
    <w:rsid w:val="00B06CF6"/>
    <w:rsid w:val="00B128E6"/>
    <w:rsid w:val="00B12B81"/>
    <w:rsid w:val="00B1374F"/>
    <w:rsid w:val="00B142FB"/>
    <w:rsid w:val="00B16CF2"/>
    <w:rsid w:val="00B174EA"/>
    <w:rsid w:val="00B20245"/>
    <w:rsid w:val="00B206A4"/>
    <w:rsid w:val="00B21C62"/>
    <w:rsid w:val="00B24B0D"/>
    <w:rsid w:val="00B25313"/>
    <w:rsid w:val="00B26D22"/>
    <w:rsid w:val="00B301DD"/>
    <w:rsid w:val="00B3166E"/>
    <w:rsid w:val="00B358F4"/>
    <w:rsid w:val="00B35A89"/>
    <w:rsid w:val="00B36E38"/>
    <w:rsid w:val="00B37710"/>
    <w:rsid w:val="00B40B9F"/>
    <w:rsid w:val="00B410CB"/>
    <w:rsid w:val="00B411F6"/>
    <w:rsid w:val="00B431DC"/>
    <w:rsid w:val="00B43876"/>
    <w:rsid w:val="00B455B1"/>
    <w:rsid w:val="00B46293"/>
    <w:rsid w:val="00B47D78"/>
    <w:rsid w:val="00B519B9"/>
    <w:rsid w:val="00B535B4"/>
    <w:rsid w:val="00B548C5"/>
    <w:rsid w:val="00B54A3A"/>
    <w:rsid w:val="00B54C69"/>
    <w:rsid w:val="00B5526F"/>
    <w:rsid w:val="00B62C88"/>
    <w:rsid w:val="00B634D8"/>
    <w:rsid w:val="00B63FBE"/>
    <w:rsid w:val="00B6766D"/>
    <w:rsid w:val="00B67E9F"/>
    <w:rsid w:val="00B67F4D"/>
    <w:rsid w:val="00B706F5"/>
    <w:rsid w:val="00B70716"/>
    <w:rsid w:val="00B71EAA"/>
    <w:rsid w:val="00B71EFE"/>
    <w:rsid w:val="00B75393"/>
    <w:rsid w:val="00B77BBE"/>
    <w:rsid w:val="00B814A8"/>
    <w:rsid w:val="00B81BA9"/>
    <w:rsid w:val="00B81D67"/>
    <w:rsid w:val="00B83CF8"/>
    <w:rsid w:val="00B83E7E"/>
    <w:rsid w:val="00B843FF"/>
    <w:rsid w:val="00B8797F"/>
    <w:rsid w:val="00B90F38"/>
    <w:rsid w:val="00B921C3"/>
    <w:rsid w:val="00B923FD"/>
    <w:rsid w:val="00B96456"/>
    <w:rsid w:val="00B96505"/>
    <w:rsid w:val="00BA48B3"/>
    <w:rsid w:val="00BB1405"/>
    <w:rsid w:val="00BB27D5"/>
    <w:rsid w:val="00BB2E81"/>
    <w:rsid w:val="00BB4F68"/>
    <w:rsid w:val="00BB7E66"/>
    <w:rsid w:val="00BC1C2F"/>
    <w:rsid w:val="00BC2B81"/>
    <w:rsid w:val="00BC6178"/>
    <w:rsid w:val="00BC640C"/>
    <w:rsid w:val="00BC6C3D"/>
    <w:rsid w:val="00BD2147"/>
    <w:rsid w:val="00BD4B4C"/>
    <w:rsid w:val="00BD4D30"/>
    <w:rsid w:val="00BD5E4E"/>
    <w:rsid w:val="00BD6106"/>
    <w:rsid w:val="00BD63C5"/>
    <w:rsid w:val="00BD6B4B"/>
    <w:rsid w:val="00BE1225"/>
    <w:rsid w:val="00BE169F"/>
    <w:rsid w:val="00BE1D10"/>
    <w:rsid w:val="00BE266F"/>
    <w:rsid w:val="00BE54C0"/>
    <w:rsid w:val="00BE64A0"/>
    <w:rsid w:val="00BE71BB"/>
    <w:rsid w:val="00BF16EA"/>
    <w:rsid w:val="00BF21CC"/>
    <w:rsid w:val="00BF255B"/>
    <w:rsid w:val="00BF2D72"/>
    <w:rsid w:val="00BF462E"/>
    <w:rsid w:val="00BF746A"/>
    <w:rsid w:val="00C003C5"/>
    <w:rsid w:val="00C02C52"/>
    <w:rsid w:val="00C04B82"/>
    <w:rsid w:val="00C04C7A"/>
    <w:rsid w:val="00C059D0"/>
    <w:rsid w:val="00C074E9"/>
    <w:rsid w:val="00C07F54"/>
    <w:rsid w:val="00C1264D"/>
    <w:rsid w:val="00C14390"/>
    <w:rsid w:val="00C15D84"/>
    <w:rsid w:val="00C2231D"/>
    <w:rsid w:val="00C25A63"/>
    <w:rsid w:val="00C26F71"/>
    <w:rsid w:val="00C271F3"/>
    <w:rsid w:val="00C273F1"/>
    <w:rsid w:val="00C274F8"/>
    <w:rsid w:val="00C309A5"/>
    <w:rsid w:val="00C30BE4"/>
    <w:rsid w:val="00C313C0"/>
    <w:rsid w:val="00C320C6"/>
    <w:rsid w:val="00C34ABD"/>
    <w:rsid w:val="00C40AA4"/>
    <w:rsid w:val="00C450A2"/>
    <w:rsid w:val="00C463B6"/>
    <w:rsid w:val="00C47458"/>
    <w:rsid w:val="00C478B7"/>
    <w:rsid w:val="00C47D5D"/>
    <w:rsid w:val="00C47FD2"/>
    <w:rsid w:val="00C50D96"/>
    <w:rsid w:val="00C520D4"/>
    <w:rsid w:val="00C54266"/>
    <w:rsid w:val="00C55695"/>
    <w:rsid w:val="00C56BEA"/>
    <w:rsid w:val="00C57429"/>
    <w:rsid w:val="00C57484"/>
    <w:rsid w:val="00C57703"/>
    <w:rsid w:val="00C62659"/>
    <w:rsid w:val="00C636CA"/>
    <w:rsid w:val="00C647ED"/>
    <w:rsid w:val="00C64923"/>
    <w:rsid w:val="00C71B63"/>
    <w:rsid w:val="00C71C1B"/>
    <w:rsid w:val="00C7426B"/>
    <w:rsid w:val="00C76557"/>
    <w:rsid w:val="00C77509"/>
    <w:rsid w:val="00C804AC"/>
    <w:rsid w:val="00C8534D"/>
    <w:rsid w:val="00C86896"/>
    <w:rsid w:val="00C9052E"/>
    <w:rsid w:val="00C917ED"/>
    <w:rsid w:val="00C92C81"/>
    <w:rsid w:val="00C93913"/>
    <w:rsid w:val="00C94045"/>
    <w:rsid w:val="00CA0B8F"/>
    <w:rsid w:val="00CA3667"/>
    <w:rsid w:val="00CA4071"/>
    <w:rsid w:val="00CA5C66"/>
    <w:rsid w:val="00CA6517"/>
    <w:rsid w:val="00CA76D5"/>
    <w:rsid w:val="00CB0889"/>
    <w:rsid w:val="00CB221B"/>
    <w:rsid w:val="00CB3591"/>
    <w:rsid w:val="00CB36C5"/>
    <w:rsid w:val="00CB59CB"/>
    <w:rsid w:val="00CB5DE1"/>
    <w:rsid w:val="00CB6422"/>
    <w:rsid w:val="00CB6E65"/>
    <w:rsid w:val="00CC1DFA"/>
    <w:rsid w:val="00CC224C"/>
    <w:rsid w:val="00CC31B4"/>
    <w:rsid w:val="00CC5440"/>
    <w:rsid w:val="00CC5AA9"/>
    <w:rsid w:val="00CC624A"/>
    <w:rsid w:val="00CD09ED"/>
    <w:rsid w:val="00CD2CB1"/>
    <w:rsid w:val="00CD32A2"/>
    <w:rsid w:val="00CD3DA1"/>
    <w:rsid w:val="00CD4B30"/>
    <w:rsid w:val="00CD5313"/>
    <w:rsid w:val="00CD58A3"/>
    <w:rsid w:val="00CD5BD4"/>
    <w:rsid w:val="00CE1909"/>
    <w:rsid w:val="00CE37A4"/>
    <w:rsid w:val="00CE673C"/>
    <w:rsid w:val="00CF0271"/>
    <w:rsid w:val="00CF09A4"/>
    <w:rsid w:val="00CF0AE5"/>
    <w:rsid w:val="00CF34EA"/>
    <w:rsid w:val="00CF367F"/>
    <w:rsid w:val="00CF7335"/>
    <w:rsid w:val="00D032CE"/>
    <w:rsid w:val="00D07BA9"/>
    <w:rsid w:val="00D1077E"/>
    <w:rsid w:val="00D1273C"/>
    <w:rsid w:val="00D13825"/>
    <w:rsid w:val="00D13B31"/>
    <w:rsid w:val="00D13B9B"/>
    <w:rsid w:val="00D13D43"/>
    <w:rsid w:val="00D145C6"/>
    <w:rsid w:val="00D176D0"/>
    <w:rsid w:val="00D17AC8"/>
    <w:rsid w:val="00D20518"/>
    <w:rsid w:val="00D22E28"/>
    <w:rsid w:val="00D23D9E"/>
    <w:rsid w:val="00D26207"/>
    <w:rsid w:val="00D26B81"/>
    <w:rsid w:val="00D26C5C"/>
    <w:rsid w:val="00D31803"/>
    <w:rsid w:val="00D334C9"/>
    <w:rsid w:val="00D34714"/>
    <w:rsid w:val="00D35173"/>
    <w:rsid w:val="00D35291"/>
    <w:rsid w:val="00D36375"/>
    <w:rsid w:val="00D3714F"/>
    <w:rsid w:val="00D40984"/>
    <w:rsid w:val="00D42FEA"/>
    <w:rsid w:val="00D44C0D"/>
    <w:rsid w:val="00D45EAD"/>
    <w:rsid w:val="00D460AC"/>
    <w:rsid w:val="00D46719"/>
    <w:rsid w:val="00D516C1"/>
    <w:rsid w:val="00D51DE5"/>
    <w:rsid w:val="00D51FB6"/>
    <w:rsid w:val="00D53FAA"/>
    <w:rsid w:val="00D542B8"/>
    <w:rsid w:val="00D54597"/>
    <w:rsid w:val="00D55187"/>
    <w:rsid w:val="00D557EC"/>
    <w:rsid w:val="00D614FB"/>
    <w:rsid w:val="00D63393"/>
    <w:rsid w:val="00D63DD5"/>
    <w:rsid w:val="00D64D76"/>
    <w:rsid w:val="00D64F0C"/>
    <w:rsid w:val="00D66A70"/>
    <w:rsid w:val="00D6760F"/>
    <w:rsid w:val="00D7131A"/>
    <w:rsid w:val="00D72C1C"/>
    <w:rsid w:val="00D74214"/>
    <w:rsid w:val="00D7687B"/>
    <w:rsid w:val="00D802F7"/>
    <w:rsid w:val="00D81319"/>
    <w:rsid w:val="00D83166"/>
    <w:rsid w:val="00D8341E"/>
    <w:rsid w:val="00D84354"/>
    <w:rsid w:val="00D874C9"/>
    <w:rsid w:val="00D91043"/>
    <w:rsid w:val="00D9305E"/>
    <w:rsid w:val="00D933D8"/>
    <w:rsid w:val="00D948C7"/>
    <w:rsid w:val="00D95613"/>
    <w:rsid w:val="00D956CF"/>
    <w:rsid w:val="00DA2C86"/>
    <w:rsid w:val="00DA2D91"/>
    <w:rsid w:val="00DA356E"/>
    <w:rsid w:val="00DA3840"/>
    <w:rsid w:val="00DA3A63"/>
    <w:rsid w:val="00DA3E79"/>
    <w:rsid w:val="00DA423F"/>
    <w:rsid w:val="00DA470F"/>
    <w:rsid w:val="00DA6A57"/>
    <w:rsid w:val="00DA6A9C"/>
    <w:rsid w:val="00DA6B45"/>
    <w:rsid w:val="00DB44BA"/>
    <w:rsid w:val="00DB4E0E"/>
    <w:rsid w:val="00DC3111"/>
    <w:rsid w:val="00DC526C"/>
    <w:rsid w:val="00DC5E69"/>
    <w:rsid w:val="00DD15DC"/>
    <w:rsid w:val="00DD3B71"/>
    <w:rsid w:val="00DD7630"/>
    <w:rsid w:val="00DE0BE0"/>
    <w:rsid w:val="00DE0D5A"/>
    <w:rsid w:val="00DE1467"/>
    <w:rsid w:val="00DE16DC"/>
    <w:rsid w:val="00DE212B"/>
    <w:rsid w:val="00DE3EF3"/>
    <w:rsid w:val="00DE470E"/>
    <w:rsid w:val="00DE4ECF"/>
    <w:rsid w:val="00DE57E9"/>
    <w:rsid w:val="00DE5F1B"/>
    <w:rsid w:val="00DE64AF"/>
    <w:rsid w:val="00DF0854"/>
    <w:rsid w:val="00DF1652"/>
    <w:rsid w:val="00DF1CF7"/>
    <w:rsid w:val="00DF200A"/>
    <w:rsid w:val="00DF7920"/>
    <w:rsid w:val="00E01680"/>
    <w:rsid w:val="00E01A38"/>
    <w:rsid w:val="00E022E1"/>
    <w:rsid w:val="00E04285"/>
    <w:rsid w:val="00E06684"/>
    <w:rsid w:val="00E0705F"/>
    <w:rsid w:val="00E077E2"/>
    <w:rsid w:val="00E106F4"/>
    <w:rsid w:val="00E109BF"/>
    <w:rsid w:val="00E11D13"/>
    <w:rsid w:val="00E12391"/>
    <w:rsid w:val="00E12CA5"/>
    <w:rsid w:val="00E12F17"/>
    <w:rsid w:val="00E13431"/>
    <w:rsid w:val="00E13B96"/>
    <w:rsid w:val="00E16675"/>
    <w:rsid w:val="00E22685"/>
    <w:rsid w:val="00E30036"/>
    <w:rsid w:val="00E31382"/>
    <w:rsid w:val="00E31F79"/>
    <w:rsid w:val="00E32F45"/>
    <w:rsid w:val="00E33EDD"/>
    <w:rsid w:val="00E35E4C"/>
    <w:rsid w:val="00E366F5"/>
    <w:rsid w:val="00E36A18"/>
    <w:rsid w:val="00E40F9C"/>
    <w:rsid w:val="00E4166C"/>
    <w:rsid w:val="00E4236E"/>
    <w:rsid w:val="00E4423C"/>
    <w:rsid w:val="00E443DF"/>
    <w:rsid w:val="00E454A7"/>
    <w:rsid w:val="00E46101"/>
    <w:rsid w:val="00E514AA"/>
    <w:rsid w:val="00E51BEF"/>
    <w:rsid w:val="00E533E0"/>
    <w:rsid w:val="00E547DA"/>
    <w:rsid w:val="00E5492D"/>
    <w:rsid w:val="00E57730"/>
    <w:rsid w:val="00E60C36"/>
    <w:rsid w:val="00E61E70"/>
    <w:rsid w:val="00E62FF7"/>
    <w:rsid w:val="00E63747"/>
    <w:rsid w:val="00E657F7"/>
    <w:rsid w:val="00E66219"/>
    <w:rsid w:val="00E66B79"/>
    <w:rsid w:val="00E66F55"/>
    <w:rsid w:val="00E678AF"/>
    <w:rsid w:val="00E70487"/>
    <w:rsid w:val="00E71603"/>
    <w:rsid w:val="00E724EB"/>
    <w:rsid w:val="00E72CD2"/>
    <w:rsid w:val="00E72F65"/>
    <w:rsid w:val="00E7685D"/>
    <w:rsid w:val="00E777EF"/>
    <w:rsid w:val="00E80729"/>
    <w:rsid w:val="00E8208A"/>
    <w:rsid w:val="00E820FE"/>
    <w:rsid w:val="00E83992"/>
    <w:rsid w:val="00E84619"/>
    <w:rsid w:val="00E8489C"/>
    <w:rsid w:val="00E85393"/>
    <w:rsid w:val="00E85461"/>
    <w:rsid w:val="00E86F63"/>
    <w:rsid w:val="00E86F7D"/>
    <w:rsid w:val="00E86FC7"/>
    <w:rsid w:val="00E92768"/>
    <w:rsid w:val="00E92F4A"/>
    <w:rsid w:val="00E93C47"/>
    <w:rsid w:val="00E97315"/>
    <w:rsid w:val="00EA1719"/>
    <w:rsid w:val="00EA1C2B"/>
    <w:rsid w:val="00EA470A"/>
    <w:rsid w:val="00EA475C"/>
    <w:rsid w:val="00EA6587"/>
    <w:rsid w:val="00EB095C"/>
    <w:rsid w:val="00EB1916"/>
    <w:rsid w:val="00EB19D3"/>
    <w:rsid w:val="00EB2C43"/>
    <w:rsid w:val="00EB519C"/>
    <w:rsid w:val="00EB5F17"/>
    <w:rsid w:val="00EB62EA"/>
    <w:rsid w:val="00EB72C2"/>
    <w:rsid w:val="00EB7428"/>
    <w:rsid w:val="00EB7B57"/>
    <w:rsid w:val="00EB7D85"/>
    <w:rsid w:val="00EC1F75"/>
    <w:rsid w:val="00EC2127"/>
    <w:rsid w:val="00EC4842"/>
    <w:rsid w:val="00EC55E2"/>
    <w:rsid w:val="00EC6D2D"/>
    <w:rsid w:val="00EC7B6E"/>
    <w:rsid w:val="00ED1904"/>
    <w:rsid w:val="00ED263E"/>
    <w:rsid w:val="00ED3114"/>
    <w:rsid w:val="00ED3403"/>
    <w:rsid w:val="00ED51CE"/>
    <w:rsid w:val="00ED573A"/>
    <w:rsid w:val="00ED6624"/>
    <w:rsid w:val="00EE1969"/>
    <w:rsid w:val="00EE3DEF"/>
    <w:rsid w:val="00EE4450"/>
    <w:rsid w:val="00EE4867"/>
    <w:rsid w:val="00EF017E"/>
    <w:rsid w:val="00EF0870"/>
    <w:rsid w:val="00EF3610"/>
    <w:rsid w:val="00EF37D6"/>
    <w:rsid w:val="00EF418B"/>
    <w:rsid w:val="00F026AE"/>
    <w:rsid w:val="00F04A61"/>
    <w:rsid w:val="00F0522E"/>
    <w:rsid w:val="00F07106"/>
    <w:rsid w:val="00F1036A"/>
    <w:rsid w:val="00F103D6"/>
    <w:rsid w:val="00F13346"/>
    <w:rsid w:val="00F141FE"/>
    <w:rsid w:val="00F146F0"/>
    <w:rsid w:val="00F22FAA"/>
    <w:rsid w:val="00F23EE9"/>
    <w:rsid w:val="00F23F64"/>
    <w:rsid w:val="00F26638"/>
    <w:rsid w:val="00F3068B"/>
    <w:rsid w:val="00F317E3"/>
    <w:rsid w:val="00F320D9"/>
    <w:rsid w:val="00F33E2E"/>
    <w:rsid w:val="00F361F8"/>
    <w:rsid w:val="00F41295"/>
    <w:rsid w:val="00F458C6"/>
    <w:rsid w:val="00F45B23"/>
    <w:rsid w:val="00F45D8B"/>
    <w:rsid w:val="00F51212"/>
    <w:rsid w:val="00F52337"/>
    <w:rsid w:val="00F54B7D"/>
    <w:rsid w:val="00F55198"/>
    <w:rsid w:val="00F553EE"/>
    <w:rsid w:val="00F556B9"/>
    <w:rsid w:val="00F575CD"/>
    <w:rsid w:val="00F60059"/>
    <w:rsid w:val="00F6123D"/>
    <w:rsid w:val="00F637B3"/>
    <w:rsid w:val="00F63F4E"/>
    <w:rsid w:val="00F63FD8"/>
    <w:rsid w:val="00F65D0C"/>
    <w:rsid w:val="00F66234"/>
    <w:rsid w:val="00F6689D"/>
    <w:rsid w:val="00F67B40"/>
    <w:rsid w:val="00F67D20"/>
    <w:rsid w:val="00F72EA3"/>
    <w:rsid w:val="00F76945"/>
    <w:rsid w:val="00F829C3"/>
    <w:rsid w:val="00F8507F"/>
    <w:rsid w:val="00F86AD9"/>
    <w:rsid w:val="00F8788E"/>
    <w:rsid w:val="00F919F7"/>
    <w:rsid w:val="00F92FB4"/>
    <w:rsid w:val="00F93FCD"/>
    <w:rsid w:val="00F96484"/>
    <w:rsid w:val="00FA0A2A"/>
    <w:rsid w:val="00FA1AA7"/>
    <w:rsid w:val="00FA1C9E"/>
    <w:rsid w:val="00FA1FBB"/>
    <w:rsid w:val="00FA3424"/>
    <w:rsid w:val="00FA37D7"/>
    <w:rsid w:val="00FA40F1"/>
    <w:rsid w:val="00FA4229"/>
    <w:rsid w:val="00FA599D"/>
    <w:rsid w:val="00FA7ECF"/>
    <w:rsid w:val="00FB0192"/>
    <w:rsid w:val="00FB0CF3"/>
    <w:rsid w:val="00FB0FE3"/>
    <w:rsid w:val="00FB25C1"/>
    <w:rsid w:val="00FC53ED"/>
    <w:rsid w:val="00FC5635"/>
    <w:rsid w:val="00FC702B"/>
    <w:rsid w:val="00FC788A"/>
    <w:rsid w:val="00FD0DCB"/>
    <w:rsid w:val="00FD0F2E"/>
    <w:rsid w:val="00FD21E2"/>
    <w:rsid w:val="00FD37E8"/>
    <w:rsid w:val="00FD5A91"/>
    <w:rsid w:val="00FD7135"/>
    <w:rsid w:val="00FE2DF4"/>
    <w:rsid w:val="00FE31B9"/>
    <w:rsid w:val="00FE5525"/>
    <w:rsid w:val="00FE713B"/>
    <w:rsid w:val="00FE7BE2"/>
    <w:rsid w:val="00FE7DB5"/>
    <w:rsid w:val="00FF1EFD"/>
    <w:rsid w:val="00FF3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FF22"/>
  <w15:docId w15:val="{3988E194-1C3C-3A40-AE71-9C60CF4C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271F3"/>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C271F3"/>
    <w:rPr>
      <w:rFonts w:ascii="Calibri" w:hAnsi="Calibri" w:cs="Calibri"/>
      <w:lang w:val="en-US"/>
    </w:rPr>
  </w:style>
  <w:style w:type="paragraph" w:customStyle="1" w:styleId="EndNoteBibliography">
    <w:name w:val="EndNote Bibliography"/>
    <w:basedOn w:val="Normal"/>
    <w:link w:val="EndNoteBibliographyChar"/>
    <w:rsid w:val="00C271F3"/>
    <w:rPr>
      <w:rFonts w:ascii="Calibri" w:hAnsi="Calibri" w:cs="Calibri"/>
      <w:lang w:val="en-US"/>
    </w:rPr>
  </w:style>
  <w:style w:type="character" w:customStyle="1" w:styleId="EndNoteBibliographyChar">
    <w:name w:val="EndNote Bibliography Char"/>
    <w:basedOn w:val="DefaultParagraphFont"/>
    <w:link w:val="EndNoteBibliography"/>
    <w:rsid w:val="00C271F3"/>
    <w:rPr>
      <w:rFonts w:ascii="Calibri" w:hAnsi="Calibri" w:cs="Calibri"/>
      <w:lang w:val="en-US"/>
    </w:rPr>
  </w:style>
  <w:style w:type="paragraph" w:styleId="NormalWeb">
    <w:name w:val="Normal (Web)"/>
    <w:basedOn w:val="Normal"/>
    <w:uiPriority w:val="99"/>
    <w:semiHidden/>
    <w:unhideWhenUsed/>
    <w:rsid w:val="003907F2"/>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F164A"/>
    <w:rPr>
      <w:sz w:val="16"/>
      <w:szCs w:val="16"/>
    </w:rPr>
  </w:style>
  <w:style w:type="paragraph" w:styleId="CommentText">
    <w:name w:val="annotation text"/>
    <w:basedOn w:val="Normal"/>
    <w:link w:val="CommentTextChar"/>
    <w:uiPriority w:val="99"/>
    <w:unhideWhenUsed/>
    <w:rsid w:val="008F164A"/>
    <w:rPr>
      <w:sz w:val="20"/>
      <w:szCs w:val="20"/>
    </w:rPr>
  </w:style>
  <w:style w:type="character" w:customStyle="1" w:styleId="CommentTextChar">
    <w:name w:val="Comment Text Char"/>
    <w:basedOn w:val="DefaultParagraphFont"/>
    <w:link w:val="CommentText"/>
    <w:uiPriority w:val="99"/>
    <w:rsid w:val="008F164A"/>
    <w:rPr>
      <w:sz w:val="20"/>
      <w:szCs w:val="20"/>
    </w:rPr>
  </w:style>
  <w:style w:type="paragraph" w:styleId="CommentSubject">
    <w:name w:val="annotation subject"/>
    <w:basedOn w:val="CommentText"/>
    <w:next w:val="CommentText"/>
    <w:link w:val="CommentSubjectChar"/>
    <w:uiPriority w:val="99"/>
    <w:semiHidden/>
    <w:unhideWhenUsed/>
    <w:rsid w:val="008F164A"/>
    <w:rPr>
      <w:b/>
      <w:bCs/>
    </w:rPr>
  </w:style>
  <w:style w:type="character" w:customStyle="1" w:styleId="CommentSubjectChar">
    <w:name w:val="Comment Subject Char"/>
    <w:basedOn w:val="CommentTextChar"/>
    <w:link w:val="CommentSubject"/>
    <w:uiPriority w:val="99"/>
    <w:semiHidden/>
    <w:rsid w:val="008F164A"/>
    <w:rPr>
      <w:b/>
      <w:bCs/>
      <w:sz w:val="20"/>
      <w:szCs w:val="20"/>
    </w:rPr>
  </w:style>
  <w:style w:type="table" w:styleId="TableGrid">
    <w:name w:val="Table Grid"/>
    <w:basedOn w:val="TableNormal"/>
    <w:uiPriority w:val="39"/>
    <w:rsid w:val="000232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FC5"/>
    <w:rPr>
      <w:color w:val="0563C1" w:themeColor="hyperlink"/>
      <w:u w:val="single"/>
    </w:rPr>
  </w:style>
  <w:style w:type="character" w:customStyle="1" w:styleId="UnresolvedMention1">
    <w:name w:val="Unresolved Mention1"/>
    <w:basedOn w:val="DefaultParagraphFont"/>
    <w:uiPriority w:val="99"/>
    <w:semiHidden/>
    <w:unhideWhenUsed/>
    <w:rsid w:val="00581FC5"/>
    <w:rPr>
      <w:color w:val="605E5C"/>
      <w:shd w:val="clear" w:color="auto" w:fill="E1DFDD"/>
    </w:rPr>
  </w:style>
  <w:style w:type="paragraph" w:styleId="ListParagraph">
    <w:name w:val="List Paragraph"/>
    <w:basedOn w:val="Normal"/>
    <w:uiPriority w:val="34"/>
    <w:qFormat/>
    <w:rsid w:val="002E27C7"/>
    <w:pPr>
      <w:ind w:left="720"/>
      <w:contextualSpacing/>
    </w:pPr>
  </w:style>
  <w:style w:type="paragraph" w:styleId="BalloonText">
    <w:name w:val="Balloon Text"/>
    <w:basedOn w:val="Normal"/>
    <w:link w:val="BalloonTextChar"/>
    <w:uiPriority w:val="99"/>
    <w:semiHidden/>
    <w:unhideWhenUsed/>
    <w:rsid w:val="00F07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06"/>
    <w:rPr>
      <w:rFonts w:ascii="Segoe UI" w:hAnsi="Segoe UI" w:cs="Segoe UI"/>
      <w:sz w:val="18"/>
      <w:szCs w:val="18"/>
    </w:rPr>
  </w:style>
  <w:style w:type="paragraph" w:styleId="Revision">
    <w:name w:val="Revision"/>
    <w:hidden/>
    <w:uiPriority w:val="99"/>
    <w:semiHidden/>
    <w:rsid w:val="00E454A7"/>
  </w:style>
  <w:style w:type="character" w:styleId="UnresolvedMention">
    <w:name w:val="Unresolved Mention"/>
    <w:basedOn w:val="DefaultParagraphFont"/>
    <w:uiPriority w:val="99"/>
    <w:semiHidden/>
    <w:unhideWhenUsed/>
    <w:rsid w:val="00B923FD"/>
    <w:rPr>
      <w:color w:val="605E5C"/>
      <w:shd w:val="clear" w:color="auto" w:fill="E1DFDD"/>
    </w:rPr>
  </w:style>
  <w:style w:type="character" w:styleId="PlaceholderText">
    <w:name w:val="Placeholder Text"/>
    <w:basedOn w:val="DefaultParagraphFont"/>
    <w:uiPriority w:val="99"/>
    <w:semiHidden/>
    <w:rsid w:val="005165A4"/>
    <w:rPr>
      <w:color w:val="808080"/>
    </w:rPr>
  </w:style>
  <w:style w:type="character" w:styleId="FollowedHyperlink">
    <w:name w:val="FollowedHyperlink"/>
    <w:basedOn w:val="DefaultParagraphFont"/>
    <w:uiPriority w:val="99"/>
    <w:semiHidden/>
    <w:unhideWhenUsed/>
    <w:rsid w:val="005743D2"/>
    <w:rPr>
      <w:color w:val="954F72" w:themeColor="followedHyperlink"/>
      <w:u w:val="single"/>
    </w:rPr>
  </w:style>
  <w:style w:type="character" w:styleId="LineNumber">
    <w:name w:val="line number"/>
    <w:basedOn w:val="DefaultParagraphFont"/>
    <w:uiPriority w:val="99"/>
    <w:semiHidden/>
    <w:unhideWhenUsed/>
    <w:rsid w:val="003748A6"/>
  </w:style>
  <w:style w:type="paragraph" w:customStyle="1" w:styleId="NEJMcorps">
    <w:name w:val="NEJM corps"/>
    <w:basedOn w:val="BodyText"/>
    <w:link w:val="NEJMcorpsChar"/>
    <w:rsid w:val="0006025D"/>
    <w:pPr>
      <w:suppressAutoHyphens/>
      <w:spacing w:after="0" w:line="480" w:lineRule="auto"/>
      <w:jc w:val="both"/>
    </w:pPr>
    <w:rPr>
      <w:rFonts w:ascii="Times New Roman" w:eastAsia="Times New Roman" w:hAnsi="Times New Roman" w:cs="Times New Roman"/>
      <w:sz w:val="20"/>
      <w:szCs w:val="20"/>
      <w:lang w:val="fr-FR" w:eastAsia="fr-FR"/>
    </w:rPr>
  </w:style>
  <w:style w:type="character" w:customStyle="1" w:styleId="NEJMcorpsChar">
    <w:name w:val="NEJM corps Char"/>
    <w:basedOn w:val="BodyTextChar"/>
    <w:link w:val="NEJMcorps"/>
    <w:rsid w:val="0006025D"/>
    <w:rPr>
      <w:rFonts w:ascii="Times New Roman" w:eastAsia="Times New Roman" w:hAnsi="Times New Roman" w:cs="Times New Roman"/>
      <w:sz w:val="20"/>
      <w:szCs w:val="20"/>
      <w:lang w:val="fr-FR" w:eastAsia="fr-FR"/>
    </w:rPr>
  </w:style>
  <w:style w:type="paragraph" w:styleId="BodyText">
    <w:name w:val="Body Text"/>
    <w:basedOn w:val="Normal"/>
    <w:link w:val="BodyTextChar"/>
    <w:uiPriority w:val="99"/>
    <w:semiHidden/>
    <w:unhideWhenUsed/>
    <w:rsid w:val="0006025D"/>
    <w:pPr>
      <w:spacing w:after="120"/>
    </w:pPr>
  </w:style>
  <w:style w:type="character" w:customStyle="1" w:styleId="BodyTextChar">
    <w:name w:val="Body Text Char"/>
    <w:basedOn w:val="DefaultParagraphFont"/>
    <w:link w:val="BodyText"/>
    <w:uiPriority w:val="99"/>
    <w:semiHidden/>
    <w:rsid w:val="0006025D"/>
  </w:style>
  <w:style w:type="paragraph" w:styleId="Header">
    <w:name w:val="header"/>
    <w:basedOn w:val="Normal"/>
    <w:link w:val="HeaderChar"/>
    <w:uiPriority w:val="99"/>
    <w:unhideWhenUsed/>
    <w:rsid w:val="00425B04"/>
    <w:pPr>
      <w:tabs>
        <w:tab w:val="center" w:pos="4513"/>
        <w:tab w:val="right" w:pos="9026"/>
      </w:tabs>
    </w:pPr>
  </w:style>
  <w:style w:type="character" w:customStyle="1" w:styleId="HeaderChar">
    <w:name w:val="Header Char"/>
    <w:basedOn w:val="DefaultParagraphFont"/>
    <w:link w:val="Header"/>
    <w:uiPriority w:val="99"/>
    <w:rsid w:val="00425B04"/>
  </w:style>
  <w:style w:type="paragraph" w:styleId="Footer">
    <w:name w:val="footer"/>
    <w:basedOn w:val="Normal"/>
    <w:link w:val="FooterChar"/>
    <w:uiPriority w:val="99"/>
    <w:unhideWhenUsed/>
    <w:rsid w:val="00425B04"/>
    <w:pPr>
      <w:tabs>
        <w:tab w:val="center" w:pos="4513"/>
        <w:tab w:val="right" w:pos="9026"/>
      </w:tabs>
    </w:pPr>
  </w:style>
  <w:style w:type="character" w:customStyle="1" w:styleId="FooterChar">
    <w:name w:val="Footer Char"/>
    <w:basedOn w:val="DefaultParagraphFont"/>
    <w:link w:val="Footer"/>
    <w:uiPriority w:val="99"/>
    <w:rsid w:val="00425B04"/>
  </w:style>
  <w:style w:type="character" w:customStyle="1" w:styleId="contentpasted0">
    <w:name w:val="contentpasted0"/>
    <w:basedOn w:val="DefaultParagraphFont"/>
    <w:rsid w:val="00610F18"/>
  </w:style>
  <w:style w:type="character" w:customStyle="1" w:styleId="fluidplugincopy">
    <w:name w:val="fluidplugincopy"/>
    <w:basedOn w:val="DefaultParagraphFont"/>
    <w:rsid w:val="0061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29591">
      <w:bodyDiv w:val="1"/>
      <w:marLeft w:val="0"/>
      <w:marRight w:val="0"/>
      <w:marTop w:val="0"/>
      <w:marBottom w:val="0"/>
      <w:divBdr>
        <w:top w:val="none" w:sz="0" w:space="0" w:color="auto"/>
        <w:left w:val="none" w:sz="0" w:space="0" w:color="auto"/>
        <w:bottom w:val="none" w:sz="0" w:space="0" w:color="auto"/>
        <w:right w:val="none" w:sz="0" w:space="0" w:color="auto"/>
      </w:divBdr>
    </w:div>
    <w:div w:id="1365061123">
      <w:bodyDiv w:val="1"/>
      <w:marLeft w:val="0"/>
      <w:marRight w:val="0"/>
      <w:marTop w:val="0"/>
      <w:marBottom w:val="0"/>
      <w:divBdr>
        <w:top w:val="none" w:sz="0" w:space="0" w:color="auto"/>
        <w:left w:val="none" w:sz="0" w:space="0" w:color="auto"/>
        <w:bottom w:val="none" w:sz="0" w:space="0" w:color="auto"/>
        <w:right w:val="none" w:sz="0" w:space="0" w:color="auto"/>
      </w:divBdr>
    </w:div>
    <w:div w:id="1668241296">
      <w:bodyDiv w:val="1"/>
      <w:marLeft w:val="0"/>
      <w:marRight w:val="0"/>
      <w:marTop w:val="0"/>
      <w:marBottom w:val="0"/>
      <w:divBdr>
        <w:top w:val="none" w:sz="0" w:space="0" w:color="auto"/>
        <w:left w:val="none" w:sz="0" w:space="0" w:color="auto"/>
        <w:bottom w:val="none" w:sz="0" w:space="0" w:color="auto"/>
        <w:right w:val="none" w:sz="0" w:space="0" w:color="auto"/>
      </w:divBdr>
    </w:div>
    <w:div w:id="1734112079">
      <w:bodyDiv w:val="1"/>
      <w:marLeft w:val="0"/>
      <w:marRight w:val="0"/>
      <w:marTop w:val="0"/>
      <w:marBottom w:val="0"/>
      <w:divBdr>
        <w:top w:val="none" w:sz="0" w:space="0" w:color="auto"/>
        <w:left w:val="none" w:sz="0" w:space="0" w:color="auto"/>
        <w:bottom w:val="none" w:sz="0" w:space="0" w:color="auto"/>
        <w:right w:val="none" w:sz="0" w:space="0" w:color="auto"/>
      </w:divBdr>
      <w:divsChild>
        <w:div w:id="1304501072">
          <w:marLeft w:val="0"/>
          <w:marRight w:val="0"/>
          <w:marTop w:val="0"/>
          <w:marBottom w:val="0"/>
          <w:divBdr>
            <w:top w:val="none" w:sz="0" w:space="0" w:color="auto"/>
            <w:left w:val="none" w:sz="0" w:space="0" w:color="auto"/>
            <w:bottom w:val="none" w:sz="0" w:space="0" w:color="auto"/>
            <w:right w:val="none" w:sz="0" w:space="0" w:color="auto"/>
          </w:divBdr>
          <w:divsChild>
            <w:div w:id="29306682">
              <w:marLeft w:val="0"/>
              <w:marRight w:val="0"/>
              <w:marTop w:val="0"/>
              <w:marBottom w:val="0"/>
              <w:divBdr>
                <w:top w:val="none" w:sz="0" w:space="0" w:color="auto"/>
                <w:left w:val="none" w:sz="0" w:space="0" w:color="auto"/>
                <w:bottom w:val="none" w:sz="0" w:space="0" w:color="auto"/>
                <w:right w:val="none" w:sz="0" w:space="0" w:color="auto"/>
              </w:divBdr>
              <w:divsChild>
                <w:div w:id="1994983718">
                  <w:marLeft w:val="0"/>
                  <w:marRight w:val="0"/>
                  <w:marTop w:val="0"/>
                  <w:marBottom w:val="0"/>
                  <w:divBdr>
                    <w:top w:val="none" w:sz="0" w:space="0" w:color="auto"/>
                    <w:left w:val="none" w:sz="0" w:space="0" w:color="auto"/>
                    <w:bottom w:val="none" w:sz="0" w:space="0" w:color="auto"/>
                    <w:right w:val="none" w:sz="0" w:space="0" w:color="auto"/>
                  </w:divBdr>
                  <w:divsChild>
                    <w:div w:id="20520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CDF6E1348894FBB217BA426F2163C" ma:contentTypeVersion="7" ma:contentTypeDescription="Create a new document." ma:contentTypeScope="" ma:versionID="0a2010eae0a5846d2152e942efccadcc">
  <xsd:schema xmlns:xsd="http://www.w3.org/2001/XMLSchema" xmlns:xs="http://www.w3.org/2001/XMLSchema" xmlns:p="http://schemas.microsoft.com/office/2006/metadata/properties" xmlns:ns3="26cf1dbf-2f11-4160-ad11-0aa957ca2d84" xmlns:ns4="f5a2a751-d0a2-4593-8c90-b98594abbea6" targetNamespace="http://schemas.microsoft.com/office/2006/metadata/properties" ma:root="true" ma:fieldsID="838882fd17e22e8e2c7496c7ade0843e" ns3:_="" ns4:_="">
    <xsd:import namespace="26cf1dbf-2f11-4160-ad11-0aa957ca2d84"/>
    <xsd:import namespace="f5a2a751-d0a2-4593-8c90-b98594abbe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f1dbf-2f11-4160-ad11-0aa957ca2d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2a751-d0a2-4593-8c90-b98594abbe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1CEBB-301C-405C-B1A8-9EF3CC9E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f1dbf-2f11-4160-ad11-0aa957ca2d84"/>
    <ds:schemaRef ds:uri="f5a2a751-d0a2-4593-8c90-b98594abb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657B8-4413-4EC1-BC97-78DFFC37C5F6}">
  <ds:schemaRefs>
    <ds:schemaRef ds:uri="http://schemas.openxmlformats.org/officeDocument/2006/bibliography"/>
  </ds:schemaRefs>
</ds:datastoreItem>
</file>

<file path=customXml/itemProps3.xml><?xml version="1.0" encoding="utf-8"?>
<ds:datastoreItem xmlns:ds="http://schemas.openxmlformats.org/officeDocument/2006/customXml" ds:itemID="{55185294-733A-4F13-86A9-251DB43277CB}">
  <ds:schemaRefs>
    <ds:schemaRef ds:uri="http://purl.org/dc/dcmitype/"/>
    <ds:schemaRef ds:uri="http://www.w3.org/XML/1998/namespace"/>
    <ds:schemaRef ds:uri="http://purl.org/dc/elements/1.1/"/>
    <ds:schemaRef ds:uri="f5a2a751-d0a2-4593-8c90-b98594abbea6"/>
    <ds:schemaRef ds:uri="26cf1dbf-2f11-4160-ad11-0aa957ca2d84"/>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3BBA7B7F-EBC9-4FB0-816D-9BD461A2B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7194</Words>
  <Characters>41011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Hitasha Rupani</dc:creator>
  <cp:keywords/>
  <dc:description/>
  <cp:lastModifiedBy>Ramesh Kurukulaaratchy</cp:lastModifiedBy>
  <cp:revision>2</cp:revision>
  <cp:lastPrinted>2022-11-02T09:14:00Z</cp:lastPrinted>
  <dcterms:created xsi:type="dcterms:W3CDTF">2023-06-03T08:36:00Z</dcterms:created>
  <dcterms:modified xsi:type="dcterms:W3CDTF">2023-06-03T08:36:00Z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0x01010019CCDF6E1348894FBB217BA426F2163C</vt:lpwstr>
  </property>
</Properties>
</file>